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A43" w:rsidRDefault="00713405" w:rsidP="00D83C7D">
      <w:pPr>
        <w:pStyle w:val="Body1default"/>
      </w:pPr>
    </w:p>
    <w:p w:rsidR="00E06D95" w:rsidRDefault="00E06D95" w:rsidP="00153392">
      <w:pPr>
        <w:tabs>
          <w:tab w:val="center" w:pos="4680"/>
          <w:tab w:val="right" w:pos="9360"/>
        </w:tabs>
        <w:spacing w:after="260"/>
        <w:rPr>
          <w:iCs/>
          <w:sz w:val="22"/>
        </w:rPr>
      </w:pPr>
    </w:p>
    <w:p w:rsidR="00E06D95" w:rsidRDefault="00E06D95" w:rsidP="00153392">
      <w:pPr>
        <w:tabs>
          <w:tab w:val="center" w:pos="4680"/>
          <w:tab w:val="right" w:pos="9360"/>
        </w:tabs>
        <w:spacing w:after="260"/>
        <w:rPr>
          <w:iCs/>
          <w:sz w:val="22"/>
        </w:rPr>
      </w:pPr>
    </w:p>
    <w:p w:rsidR="00E06D95" w:rsidRDefault="00E06D95" w:rsidP="00153392">
      <w:pPr>
        <w:tabs>
          <w:tab w:val="center" w:pos="4680"/>
          <w:tab w:val="right" w:pos="9360"/>
        </w:tabs>
        <w:spacing w:after="260"/>
        <w:rPr>
          <w:iCs/>
          <w:sz w:val="22"/>
        </w:rPr>
      </w:pPr>
    </w:p>
    <w:p w:rsidR="00153392" w:rsidRPr="00153392" w:rsidRDefault="003D4470" w:rsidP="00153392">
      <w:pPr>
        <w:tabs>
          <w:tab w:val="center" w:pos="4680"/>
          <w:tab w:val="right" w:pos="9360"/>
        </w:tabs>
        <w:spacing w:after="260"/>
        <w:rPr>
          <w:iCs/>
          <w:sz w:val="22"/>
        </w:rPr>
      </w:pPr>
      <w:r>
        <w:rPr>
          <w:iCs/>
          <w:sz w:val="22"/>
        </w:rPr>
        <w:t>June</w:t>
      </w:r>
      <w:r w:rsidR="00153392" w:rsidRPr="00153392">
        <w:rPr>
          <w:iCs/>
          <w:sz w:val="22"/>
        </w:rPr>
        <w:t xml:space="preserve"> 7, 2012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153392" w:rsidRPr="00153392" w:rsidTr="0001642A">
        <w:trPr>
          <w:cantSplit/>
          <w:jc w:val="center"/>
        </w:trPr>
        <w:tc>
          <w:tcPr>
            <w:tcW w:w="5400" w:type="dxa"/>
          </w:tcPr>
          <w:p w:rsidR="00153392" w:rsidRPr="00153392" w:rsidRDefault="00153392" w:rsidP="00153392">
            <w:pPr>
              <w:rPr>
                <w:sz w:val="22"/>
              </w:rPr>
            </w:pPr>
            <w:proofErr w:type="spellStart"/>
            <w:r w:rsidRPr="00153392">
              <w:rPr>
                <w:sz w:val="22"/>
              </w:rPr>
              <w:t>Barcy</w:t>
            </w:r>
            <w:proofErr w:type="spellEnd"/>
            <w:r w:rsidRPr="00153392">
              <w:rPr>
                <w:sz w:val="22"/>
              </w:rPr>
              <w:t xml:space="preserve"> McNeal, Secretary</w:t>
            </w:r>
          </w:p>
          <w:p w:rsidR="00153392" w:rsidRPr="00153392" w:rsidRDefault="00153392" w:rsidP="00153392">
            <w:pPr>
              <w:rPr>
                <w:sz w:val="22"/>
              </w:rPr>
            </w:pPr>
            <w:r w:rsidRPr="00153392">
              <w:rPr>
                <w:sz w:val="22"/>
              </w:rPr>
              <w:t xml:space="preserve">The Public Utilities Commission of </w:t>
            </w:r>
            <w:smartTag w:uri="urn:schemas-microsoft-com:office:smarttags" w:element="State">
              <w:smartTag w:uri="urn:schemas-microsoft-com:office:smarttags" w:element="place">
                <w:r w:rsidRPr="00153392">
                  <w:rPr>
                    <w:sz w:val="22"/>
                  </w:rPr>
                  <w:t>Ohio</w:t>
                </w:r>
              </w:smartTag>
            </w:smartTag>
          </w:p>
          <w:p w:rsidR="00153392" w:rsidRPr="00153392" w:rsidRDefault="00153392" w:rsidP="00153392">
            <w:pPr>
              <w:rPr>
                <w:sz w:val="22"/>
              </w:rPr>
            </w:pPr>
            <w:smartTag w:uri="urn:schemas-microsoft-com:office:smarttags" w:element="Street">
              <w:smartTag w:uri="urn:schemas-microsoft-com:office:smarttags" w:element="address">
                <w:r w:rsidRPr="00153392">
                  <w:rPr>
                    <w:sz w:val="22"/>
                  </w:rPr>
                  <w:t>180 East Broad Street</w:t>
                </w:r>
              </w:smartTag>
            </w:smartTag>
          </w:p>
          <w:p w:rsidR="00153392" w:rsidRPr="00153392" w:rsidRDefault="00153392" w:rsidP="00153392">
            <w:pPr>
              <w:rPr>
                <w:sz w:val="22"/>
              </w:rPr>
            </w:pPr>
            <w:smartTag w:uri="urn:schemas-microsoft-com:office:smarttags" w:element="place">
              <w:smartTag w:uri="urn:schemas-microsoft-com:office:smarttags" w:element="City">
                <w:r w:rsidRPr="00153392">
                  <w:rPr>
                    <w:sz w:val="22"/>
                  </w:rPr>
                  <w:t>Columbus</w:t>
                </w:r>
              </w:smartTag>
              <w:r w:rsidRPr="00153392">
                <w:rPr>
                  <w:sz w:val="22"/>
                </w:rPr>
                <w:t xml:space="preserve">, </w:t>
              </w:r>
              <w:smartTag w:uri="urn:schemas-microsoft-com:office:smarttags" w:element="State">
                <w:r w:rsidRPr="00153392">
                  <w:rPr>
                    <w:sz w:val="22"/>
                  </w:rPr>
                  <w:t>Ohio</w:t>
                </w:r>
              </w:smartTag>
              <w:r w:rsidRPr="00153392">
                <w:rPr>
                  <w:sz w:val="22"/>
                </w:rPr>
                <w:t xml:space="preserve"> </w:t>
              </w:r>
              <w:smartTag w:uri="urn:schemas-microsoft-com:office:smarttags" w:element="PostalCode">
                <w:r w:rsidRPr="00153392">
                  <w:rPr>
                    <w:sz w:val="22"/>
                  </w:rPr>
                  <w:t>43215</w:t>
                </w:r>
              </w:smartTag>
            </w:smartTag>
          </w:p>
        </w:tc>
        <w:tc>
          <w:tcPr>
            <w:tcW w:w="3960" w:type="dxa"/>
          </w:tcPr>
          <w:p w:rsidR="00153392" w:rsidRPr="00153392" w:rsidRDefault="00153392" w:rsidP="00153392"/>
        </w:tc>
      </w:tr>
    </w:tbl>
    <w:p w:rsidR="00153392" w:rsidRPr="00153392" w:rsidRDefault="00153392" w:rsidP="00153392">
      <w:pPr>
        <w:spacing w:after="360"/>
        <w:ind w:left="720" w:hanging="720"/>
        <w:rPr>
          <w:sz w:val="22"/>
          <w:szCs w:val="22"/>
        </w:rPr>
      </w:pPr>
      <w:r w:rsidRPr="00153392">
        <w:rPr>
          <w:smallCaps/>
          <w:sz w:val="22"/>
          <w:szCs w:val="22"/>
        </w:rPr>
        <w:t>Re:</w:t>
      </w:r>
      <w:r w:rsidRPr="00153392">
        <w:rPr>
          <w:sz w:val="22"/>
          <w:szCs w:val="22"/>
        </w:rPr>
        <w:tab/>
        <w:t xml:space="preserve">In the Matter of the Application of </w:t>
      </w:r>
      <w:r>
        <w:rPr>
          <w:sz w:val="22"/>
          <w:szCs w:val="22"/>
        </w:rPr>
        <w:t xml:space="preserve">Conneaut </w:t>
      </w:r>
      <w:r w:rsidRPr="00153392">
        <w:rPr>
          <w:sz w:val="22"/>
          <w:szCs w:val="22"/>
        </w:rPr>
        <w:t xml:space="preserve">Telephone Company to </w:t>
      </w:r>
      <w:r>
        <w:rPr>
          <w:sz w:val="22"/>
          <w:szCs w:val="22"/>
        </w:rPr>
        <w:t>Integrate Touch-Tone Rates into Basic Local Exchange Service Rates</w:t>
      </w:r>
      <w:r w:rsidRPr="00153392">
        <w:rPr>
          <w:sz w:val="22"/>
          <w:szCs w:val="22"/>
        </w:rPr>
        <w:t>, Case No</w:t>
      </w:r>
      <w:r>
        <w:rPr>
          <w:sz w:val="22"/>
          <w:szCs w:val="22"/>
        </w:rPr>
        <w:t>. 12-1489</w:t>
      </w:r>
      <w:r w:rsidRPr="00153392">
        <w:rPr>
          <w:sz w:val="22"/>
          <w:szCs w:val="22"/>
        </w:rPr>
        <w:t>-</w:t>
      </w:r>
      <w:proofErr w:type="spellStart"/>
      <w:r w:rsidRPr="00153392">
        <w:rPr>
          <w:sz w:val="22"/>
          <w:szCs w:val="22"/>
        </w:rPr>
        <w:t>TP</w:t>
      </w:r>
      <w:proofErr w:type="spellEnd"/>
      <w:r w:rsidRPr="00153392">
        <w:rPr>
          <w:sz w:val="22"/>
          <w:szCs w:val="22"/>
        </w:rPr>
        <w:t xml:space="preserve">-ATA, </w:t>
      </w:r>
      <w:proofErr w:type="spellStart"/>
      <w:r w:rsidRPr="00153392">
        <w:rPr>
          <w:sz w:val="22"/>
          <w:szCs w:val="22"/>
        </w:rPr>
        <w:t>TRF</w:t>
      </w:r>
      <w:proofErr w:type="spellEnd"/>
      <w:r w:rsidRPr="00153392">
        <w:rPr>
          <w:sz w:val="22"/>
          <w:szCs w:val="22"/>
        </w:rPr>
        <w:t xml:space="preserve"> Docket</w:t>
      </w:r>
      <w:r w:rsidRPr="00153392">
        <w:rPr>
          <w:sz w:val="22"/>
          <w:szCs w:val="22"/>
        </w:rPr>
        <w:br/>
      </w:r>
      <w:r>
        <w:rPr>
          <w:sz w:val="22"/>
          <w:szCs w:val="22"/>
        </w:rPr>
        <w:t>No. 90-5015</w:t>
      </w:r>
      <w:r w:rsidRPr="00153392">
        <w:rPr>
          <w:sz w:val="22"/>
          <w:szCs w:val="22"/>
        </w:rPr>
        <w:t>-</w:t>
      </w:r>
      <w:proofErr w:type="spellStart"/>
      <w:r w:rsidRPr="00153392">
        <w:rPr>
          <w:sz w:val="22"/>
          <w:szCs w:val="22"/>
        </w:rPr>
        <w:t>TP</w:t>
      </w:r>
      <w:proofErr w:type="spellEnd"/>
      <w:r w:rsidRPr="00153392">
        <w:rPr>
          <w:sz w:val="22"/>
          <w:szCs w:val="22"/>
        </w:rPr>
        <w:t>-</w:t>
      </w:r>
      <w:proofErr w:type="spellStart"/>
      <w:r w:rsidRPr="00153392">
        <w:rPr>
          <w:sz w:val="22"/>
          <w:szCs w:val="22"/>
        </w:rPr>
        <w:t>TRF</w:t>
      </w:r>
      <w:proofErr w:type="spellEnd"/>
    </w:p>
    <w:p w:rsidR="00153392" w:rsidRPr="00153392" w:rsidRDefault="00153392" w:rsidP="00153392">
      <w:pPr>
        <w:spacing w:after="260"/>
        <w:rPr>
          <w:sz w:val="22"/>
        </w:rPr>
      </w:pPr>
      <w:r w:rsidRPr="00153392">
        <w:rPr>
          <w:sz w:val="22"/>
        </w:rPr>
        <w:t xml:space="preserve">Dear </w:t>
      </w:r>
      <w:smartTag w:uri="urn:schemas:contacts" w:element="title">
        <w:r w:rsidRPr="00153392">
          <w:rPr>
            <w:sz w:val="22"/>
          </w:rPr>
          <w:t>Ms.</w:t>
        </w:r>
      </w:smartTag>
      <w:r w:rsidRPr="00153392">
        <w:rPr>
          <w:sz w:val="22"/>
        </w:rPr>
        <w:t xml:space="preserve"> McNeal:</w:t>
      </w:r>
    </w:p>
    <w:p w:rsidR="00153392" w:rsidRPr="00153392" w:rsidRDefault="00153392" w:rsidP="00153392">
      <w:pPr>
        <w:spacing w:after="260"/>
        <w:rPr>
          <w:sz w:val="22"/>
        </w:rPr>
      </w:pPr>
      <w:r w:rsidRPr="00153392">
        <w:rPr>
          <w:sz w:val="22"/>
        </w:rPr>
        <w:t xml:space="preserve">Attached are final tariff sheets to be filed on behalf of </w:t>
      </w:r>
      <w:r>
        <w:rPr>
          <w:sz w:val="22"/>
        </w:rPr>
        <w:t>Conneaut</w:t>
      </w:r>
      <w:r w:rsidRPr="00153392">
        <w:rPr>
          <w:sz w:val="22"/>
        </w:rPr>
        <w:t xml:space="preserve"> Telephone Company in the above-referenced matter.</w:t>
      </w:r>
      <w:r>
        <w:rPr>
          <w:sz w:val="22"/>
        </w:rPr>
        <w:t xml:space="preserve">  These final tariff sheets reflect an effective date of August 1, 2012 (rather than </w:t>
      </w:r>
      <w:r w:rsidR="00CF3FD9">
        <w:rPr>
          <w:sz w:val="22"/>
        </w:rPr>
        <w:t>June</w:t>
      </w:r>
      <w:bookmarkStart w:id="0" w:name="_GoBack"/>
      <w:bookmarkEnd w:id="0"/>
      <w:r>
        <w:rPr>
          <w:sz w:val="22"/>
        </w:rPr>
        <w:t xml:space="preserve"> 7, 2012) due to a delay in the implementation of the integration of the touch tone rates into the </w:t>
      </w:r>
      <w:proofErr w:type="spellStart"/>
      <w:r>
        <w:rPr>
          <w:sz w:val="22"/>
        </w:rPr>
        <w:t>BLES</w:t>
      </w:r>
      <w:proofErr w:type="spellEnd"/>
      <w:r>
        <w:rPr>
          <w:sz w:val="22"/>
        </w:rPr>
        <w:t xml:space="preserve"> rates.</w:t>
      </w:r>
    </w:p>
    <w:p w:rsidR="00153392" w:rsidRPr="00153392" w:rsidRDefault="00153392" w:rsidP="00153392">
      <w:pPr>
        <w:spacing w:after="260"/>
        <w:rPr>
          <w:sz w:val="22"/>
        </w:rPr>
      </w:pPr>
      <w:r w:rsidRPr="00153392">
        <w:rPr>
          <w:sz w:val="22"/>
        </w:rPr>
        <w:t>Thank you for your assistance.  If you have any questions, please do not hesitate to call.</w:t>
      </w:r>
    </w:p>
    <w:p w:rsidR="00153392" w:rsidRPr="00153392" w:rsidRDefault="00153392" w:rsidP="00153392">
      <w:pPr>
        <w:rPr>
          <w:sz w:val="22"/>
        </w:rPr>
      </w:pPr>
      <w:r w:rsidRPr="00153392">
        <w:rPr>
          <w:sz w:val="22"/>
        </w:rPr>
        <w:t>Very truly yours,</w:t>
      </w:r>
    </w:p>
    <w:p w:rsidR="00153392" w:rsidRPr="00153392" w:rsidRDefault="00153392" w:rsidP="00153392">
      <w:pPr>
        <w:rPr>
          <w:sz w:val="22"/>
        </w:rPr>
      </w:pPr>
    </w:p>
    <w:p w:rsidR="00153392" w:rsidRPr="00153392" w:rsidRDefault="00153392" w:rsidP="00153392">
      <w:pPr>
        <w:rPr>
          <w:sz w:val="22"/>
        </w:rPr>
      </w:pPr>
    </w:p>
    <w:p w:rsidR="00153392" w:rsidRPr="00153392" w:rsidRDefault="00153392" w:rsidP="00153392">
      <w:pPr>
        <w:rPr>
          <w:sz w:val="22"/>
        </w:rPr>
      </w:pPr>
    </w:p>
    <w:p w:rsidR="00153392" w:rsidRPr="00153392" w:rsidRDefault="00153392" w:rsidP="00153392">
      <w:pPr>
        <w:rPr>
          <w:sz w:val="22"/>
        </w:rPr>
      </w:pPr>
      <w:r w:rsidRPr="00153392">
        <w:rPr>
          <w:sz w:val="22"/>
        </w:rPr>
        <w:t xml:space="preserve">/s/ </w:t>
      </w:r>
      <w:smartTag w:uri="urn:schemas-microsoft-com:office:smarttags" w:element="PersonName">
        <w:smartTag w:uri="urn:schemas:contacts" w:element="GivenName">
          <w:r w:rsidRPr="00153392">
            <w:rPr>
              <w:sz w:val="22"/>
            </w:rPr>
            <w:t>Carolyn</w:t>
          </w:r>
        </w:smartTag>
        <w:r w:rsidRPr="00153392">
          <w:rPr>
            <w:sz w:val="22"/>
          </w:rPr>
          <w:t xml:space="preserve"> </w:t>
        </w:r>
        <w:smartTag w:uri="urn:schemas:contacts" w:element="middlename">
          <w:r w:rsidRPr="00153392">
            <w:rPr>
              <w:sz w:val="22"/>
            </w:rPr>
            <w:t>S.</w:t>
          </w:r>
        </w:smartTag>
        <w:r w:rsidRPr="00153392">
          <w:rPr>
            <w:sz w:val="22"/>
          </w:rPr>
          <w:t xml:space="preserve"> </w:t>
        </w:r>
        <w:smartTag w:uri="urn:schemas:contacts" w:element="Sn">
          <w:r w:rsidRPr="00153392">
            <w:rPr>
              <w:sz w:val="22"/>
            </w:rPr>
            <w:t>Flahive</w:t>
          </w:r>
        </w:smartTag>
      </w:smartTag>
    </w:p>
    <w:p w:rsidR="00153392" w:rsidRPr="00153392" w:rsidRDefault="00153392" w:rsidP="00153392">
      <w:pPr>
        <w:rPr>
          <w:sz w:val="22"/>
        </w:rPr>
      </w:pPr>
      <w:smartTag w:uri="urn:schemas-microsoft-com:office:smarttags" w:element="PersonName">
        <w:smartTag w:uri="urn:schemas:contacts" w:element="GivenName">
          <w:r w:rsidRPr="00153392">
            <w:rPr>
              <w:sz w:val="22"/>
            </w:rPr>
            <w:t>Carolyn</w:t>
          </w:r>
        </w:smartTag>
        <w:r w:rsidRPr="00153392">
          <w:rPr>
            <w:sz w:val="22"/>
          </w:rPr>
          <w:t xml:space="preserve"> </w:t>
        </w:r>
        <w:smartTag w:uri="urn:schemas:contacts" w:element="middlename">
          <w:r w:rsidRPr="00153392">
            <w:rPr>
              <w:sz w:val="22"/>
            </w:rPr>
            <w:t>S.</w:t>
          </w:r>
        </w:smartTag>
        <w:r w:rsidRPr="00153392">
          <w:rPr>
            <w:sz w:val="22"/>
          </w:rPr>
          <w:t xml:space="preserve"> </w:t>
        </w:r>
        <w:smartTag w:uri="urn:schemas:contacts" w:element="Sn">
          <w:r w:rsidRPr="00153392">
            <w:rPr>
              <w:sz w:val="22"/>
            </w:rPr>
            <w:t>Flahive</w:t>
          </w:r>
        </w:smartTag>
      </w:smartTag>
    </w:p>
    <w:p w:rsidR="00153392" w:rsidRPr="00153392" w:rsidRDefault="00153392" w:rsidP="00153392">
      <w:pPr>
        <w:rPr>
          <w:sz w:val="22"/>
        </w:rPr>
      </w:pPr>
    </w:p>
    <w:p w:rsidR="00153392" w:rsidRPr="00153392" w:rsidRDefault="00153392" w:rsidP="00153392">
      <w:pPr>
        <w:rPr>
          <w:sz w:val="22"/>
        </w:rPr>
      </w:pPr>
    </w:p>
    <w:p w:rsidR="00153392" w:rsidRPr="00153392" w:rsidRDefault="00153392" w:rsidP="00153392">
      <w:pPr>
        <w:rPr>
          <w:sz w:val="22"/>
        </w:rPr>
      </w:pPr>
      <w:r w:rsidRPr="00153392">
        <w:rPr>
          <w:sz w:val="22"/>
        </w:rPr>
        <w:t>Enclosures</w:t>
      </w:r>
    </w:p>
    <w:p w:rsidR="00153392" w:rsidRDefault="00153392" w:rsidP="00153392">
      <w:pPr>
        <w:pStyle w:val="Body1default"/>
      </w:pPr>
    </w:p>
    <w:p w:rsidR="00153392" w:rsidRDefault="00153392" w:rsidP="00153392">
      <w:pPr>
        <w:pStyle w:val="Body1default"/>
      </w:pPr>
    </w:p>
    <w:p w:rsidR="00153392" w:rsidRDefault="00153392" w:rsidP="00153392">
      <w:pPr>
        <w:pStyle w:val="Body1default"/>
        <w:sectPr w:rsidR="00153392">
          <w:headerReference w:type="default" r:id="rId7"/>
          <w:footerReference w:type="default" r:id="rId8"/>
          <w:pgSz w:w="12240" w:h="15840"/>
          <w:pgMar w:top="1440" w:right="1440" w:bottom="1440" w:left="1440" w:header="720" w:footer="720" w:gutter="0"/>
          <w:cols w:space="720"/>
          <w:docGrid w:linePitch="360"/>
        </w:sectPr>
      </w:pPr>
    </w:p>
    <w:tbl>
      <w:tblPr>
        <w:tblW w:w="10548" w:type="dxa"/>
        <w:tblLayout w:type="fixed"/>
        <w:tblLook w:val="0000" w:firstRow="0" w:lastRow="0" w:firstColumn="0" w:lastColumn="0" w:noHBand="0" w:noVBand="0"/>
      </w:tblPr>
      <w:tblGrid>
        <w:gridCol w:w="482"/>
        <w:gridCol w:w="6358"/>
        <w:gridCol w:w="1188"/>
        <w:gridCol w:w="1311"/>
        <w:gridCol w:w="1209"/>
      </w:tblGrid>
      <w:tr w:rsidR="00153392" w:rsidTr="0001642A">
        <w:trPr>
          <w:cantSplit/>
          <w:trHeight w:val="315"/>
        </w:trPr>
        <w:tc>
          <w:tcPr>
            <w:tcW w:w="9339" w:type="dxa"/>
            <w:gridSpan w:val="4"/>
          </w:tcPr>
          <w:p w:rsidR="00153392" w:rsidRDefault="00153392" w:rsidP="0001642A">
            <w:pPr>
              <w:jc w:val="center"/>
              <w:rPr>
                <w:sz w:val="22"/>
                <w:szCs w:val="22"/>
                <w:u w:val="single"/>
              </w:rPr>
            </w:pPr>
            <w:r>
              <w:rPr>
                <w:sz w:val="22"/>
                <w:szCs w:val="22"/>
                <w:u w:val="single"/>
              </w:rPr>
              <w:lastRenderedPageBreak/>
              <w:t>EXCHANGE RATES</w:t>
            </w:r>
          </w:p>
          <w:p w:rsidR="00153392" w:rsidRDefault="00153392" w:rsidP="0001642A">
            <w:pPr>
              <w:rPr>
                <w:sz w:val="22"/>
                <w:szCs w:val="22"/>
              </w:rPr>
            </w:pPr>
          </w:p>
        </w:tc>
        <w:tc>
          <w:tcPr>
            <w:tcW w:w="1209" w:type="dxa"/>
          </w:tcPr>
          <w:p w:rsidR="00153392" w:rsidRDefault="00153392" w:rsidP="0001642A">
            <w:pPr>
              <w:rPr>
                <w:sz w:val="22"/>
                <w:szCs w:val="22"/>
              </w:rPr>
            </w:pPr>
          </w:p>
        </w:tc>
      </w:tr>
      <w:tr w:rsidR="00153392" w:rsidTr="0001642A">
        <w:trPr>
          <w:cantSplit/>
          <w:trHeight w:val="315"/>
        </w:trPr>
        <w:tc>
          <w:tcPr>
            <w:tcW w:w="9339" w:type="dxa"/>
            <w:gridSpan w:val="4"/>
          </w:tcPr>
          <w:p w:rsidR="00153392" w:rsidRDefault="00153392" w:rsidP="0001642A">
            <w:pPr>
              <w:rPr>
                <w:sz w:val="22"/>
                <w:szCs w:val="22"/>
              </w:rPr>
            </w:pPr>
            <w:r>
              <w:rPr>
                <w:sz w:val="22"/>
                <w:szCs w:val="22"/>
              </w:rPr>
              <w:t>The local calling area embraces all calls between stations bearing the designations of Conneaut, Kingsville and Pierpont.</w:t>
            </w:r>
          </w:p>
          <w:p w:rsidR="00153392" w:rsidRDefault="00153392" w:rsidP="0001642A">
            <w:pPr>
              <w:rPr>
                <w:sz w:val="22"/>
                <w:szCs w:val="22"/>
              </w:rPr>
            </w:pPr>
          </w:p>
          <w:p w:rsidR="00153392" w:rsidRDefault="00153392" w:rsidP="0001642A">
            <w:pPr>
              <w:rPr>
                <w:sz w:val="22"/>
                <w:szCs w:val="22"/>
              </w:rPr>
            </w:pPr>
            <w:r>
              <w:rPr>
                <w:sz w:val="22"/>
                <w:szCs w:val="22"/>
              </w:rPr>
              <w:t>The classification and rates provided in this section apply at any point within the Base Rate Area which is defined as all territory in the exchange lying north of Route Interstate 90.</w:t>
            </w:r>
          </w:p>
        </w:tc>
        <w:tc>
          <w:tcPr>
            <w:tcW w:w="1209" w:type="dxa"/>
          </w:tcPr>
          <w:p w:rsidR="00153392" w:rsidRDefault="00153392" w:rsidP="0001642A">
            <w:pPr>
              <w:rPr>
                <w:sz w:val="22"/>
                <w:szCs w:val="22"/>
              </w:rPr>
            </w:pPr>
          </w:p>
        </w:tc>
      </w:tr>
      <w:tr w:rsidR="00153392" w:rsidTr="0001642A">
        <w:trPr>
          <w:cantSplit/>
          <w:trHeight w:val="315"/>
        </w:trPr>
        <w:tc>
          <w:tcPr>
            <w:tcW w:w="482" w:type="dxa"/>
          </w:tcPr>
          <w:p w:rsidR="00153392" w:rsidRDefault="00153392" w:rsidP="0001642A">
            <w:pPr>
              <w:rPr>
                <w:sz w:val="22"/>
                <w:szCs w:val="22"/>
              </w:rPr>
            </w:pPr>
          </w:p>
        </w:tc>
        <w:tc>
          <w:tcPr>
            <w:tcW w:w="6358" w:type="dxa"/>
          </w:tcPr>
          <w:p w:rsidR="00153392" w:rsidRDefault="00153392" w:rsidP="0001642A">
            <w:pPr>
              <w:tabs>
                <w:tab w:val="right" w:leader="dot" w:pos="6063"/>
              </w:tabs>
              <w:rPr>
                <w:sz w:val="22"/>
                <w:szCs w:val="22"/>
              </w:rPr>
            </w:pPr>
          </w:p>
        </w:tc>
        <w:tc>
          <w:tcPr>
            <w:tcW w:w="1188" w:type="dxa"/>
          </w:tcPr>
          <w:p w:rsidR="00153392" w:rsidRDefault="00153392" w:rsidP="0001642A">
            <w:pPr>
              <w:tabs>
                <w:tab w:val="decimal" w:pos="432"/>
              </w:tabs>
              <w:jc w:val="center"/>
              <w:rPr>
                <w:sz w:val="22"/>
                <w:szCs w:val="22"/>
                <w:u w:val="single"/>
              </w:rPr>
            </w:pPr>
            <w:r>
              <w:rPr>
                <w:sz w:val="22"/>
                <w:szCs w:val="22"/>
                <w:u w:val="single"/>
              </w:rPr>
              <w:t>Monthly Rate</w:t>
            </w:r>
          </w:p>
        </w:tc>
        <w:tc>
          <w:tcPr>
            <w:tcW w:w="1311" w:type="dxa"/>
          </w:tcPr>
          <w:p w:rsidR="00153392" w:rsidRDefault="00153392" w:rsidP="0001642A">
            <w:pPr>
              <w:tabs>
                <w:tab w:val="decimal" w:pos="720"/>
              </w:tabs>
              <w:jc w:val="center"/>
              <w:rPr>
                <w:sz w:val="22"/>
                <w:szCs w:val="22"/>
                <w:u w:val="single"/>
              </w:rPr>
            </w:pPr>
            <w:r>
              <w:rPr>
                <w:sz w:val="22"/>
                <w:szCs w:val="22"/>
                <w:u w:val="single"/>
              </w:rPr>
              <w:t>Max. Rate</w:t>
            </w:r>
          </w:p>
        </w:tc>
        <w:tc>
          <w:tcPr>
            <w:tcW w:w="1209" w:type="dxa"/>
          </w:tcPr>
          <w:p w:rsidR="00153392" w:rsidRDefault="00153392" w:rsidP="0001642A">
            <w:pPr>
              <w:rPr>
                <w:sz w:val="22"/>
                <w:szCs w:val="22"/>
              </w:rPr>
            </w:pPr>
          </w:p>
        </w:tc>
      </w:tr>
      <w:tr w:rsidR="00153392" w:rsidTr="0001642A">
        <w:trPr>
          <w:cantSplit/>
          <w:trHeight w:val="315"/>
        </w:trPr>
        <w:tc>
          <w:tcPr>
            <w:tcW w:w="482" w:type="dxa"/>
          </w:tcPr>
          <w:p w:rsidR="00153392" w:rsidRDefault="00153392" w:rsidP="0001642A">
            <w:pPr>
              <w:rPr>
                <w:sz w:val="22"/>
                <w:szCs w:val="22"/>
              </w:rPr>
            </w:pPr>
          </w:p>
        </w:tc>
        <w:tc>
          <w:tcPr>
            <w:tcW w:w="6358" w:type="dxa"/>
          </w:tcPr>
          <w:p w:rsidR="00153392" w:rsidRDefault="00153392" w:rsidP="0001642A">
            <w:pPr>
              <w:tabs>
                <w:tab w:val="right" w:leader="dot" w:pos="6063"/>
              </w:tabs>
              <w:rPr>
                <w:sz w:val="22"/>
                <w:szCs w:val="22"/>
              </w:rPr>
            </w:pPr>
            <w:r>
              <w:rPr>
                <w:sz w:val="22"/>
                <w:szCs w:val="22"/>
              </w:rPr>
              <w:t>Business – Primary Line</w:t>
            </w:r>
            <w:r>
              <w:rPr>
                <w:sz w:val="22"/>
                <w:szCs w:val="22"/>
              </w:rPr>
              <w:tab/>
            </w:r>
          </w:p>
          <w:p w:rsidR="00153392" w:rsidRDefault="00153392" w:rsidP="0001642A">
            <w:pPr>
              <w:tabs>
                <w:tab w:val="right" w:leader="dot" w:pos="6063"/>
              </w:tabs>
              <w:rPr>
                <w:sz w:val="22"/>
                <w:szCs w:val="22"/>
              </w:rPr>
            </w:pPr>
            <w:r>
              <w:rPr>
                <w:sz w:val="22"/>
                <w:szCs w:val="22"/>
              </w:rPr>
              <w:t xml:space="preserve">Residence – Individual Line  </w:t>
            </w:r>
            <w:r>
              <w:rPr>
                <w:sz w:val="22"/>
                <w:szCs w:val="22"/>
              </w:rPr>
              <w:tab/>
            </w:r>
          </w:p>
          <w:p w:rsidR="00153392" w:rsidRDefault="00153392" w:rsidP="0001642A">
            <w:pPr>
              <w:tabs>
                <w:tab w:val="right" w:leader="dot" w:pos="6063"/>
              </w:tabs>
              <w:rPr>
                <w:sz w:val="22"/>
                <w:szCs w:val="22"/>
              </w:rPr>
            </w:pPr>
            <w:r>
              <w:rPr>
                <w:sz w:val="22"/>
                <w:szCs w:val="22"/>
              </w:rPr>
              <w:t xml:space="preserve">Payphone: </w:t>
            </w:r>
            <w:r>
              <w:rPr>
                <w:sz w:val="22"/>
                <w:szCs w:val="22"/>
              </w:rPr>
              <w:tab/>
            </w:r>
          </w:p>
          <w:p w:rsidR="00153392" w:rsidRDefault="00153392" w:rsidP="0001642A">
            <w:pPr>
              <w:tabs>
                <w:tab w:val="right" w:leader="dot" w:pos="6063"/>
              </w:tabs>
              <w:rPr>
                <w:sz w:val="22"/>
                <w:szCs w:val="22"/>
              </w:rPr>
            </w:pPr>
            <w:r>
              <w:rPr>
                <w:sz w:val="22"/>
                <w:szCs w:val="22"/>
              </w:rPr>
              <w:t xml:space="preserve">   Coin Operated Telephone Service Access Line</w:t>
            </w:r>
            <w:r>
              <w:rPr>
                <w:sz w:val="22"/>
                <w:szCs w:val="22"/>
              </w:rPr>
              <w:tab/>
            </w:r>
          </w:p>
          <w:p w:rsidR="00153392" w:rsidRDefault="00153392" w:rsidP="0001642A">
            <w:pPr>
              <w:tabs>
                <w:tab w:val="right" w:leader="dot" w:pos="6063"/>
              </w:tabs>
              <w:rPr>
                <w:sz w:val="22"/>
                <w:szCs w:val="22"/>
              </w:rPr>
            </w:pPr>
            <w:r>
              <w:rPr>
                <w:sz w:val="22"/>
                <w:szCs w:val="22"/>
              </w:rPr>
              <w:t xml:space="preserve">   Coin Supervision Additive</w:t>
            </w:r>
            <w:r>
              <w:rPr>
                <w:sz w:val="22"/>
                <w:szCs w:val="22"/>
              </w:rPr>
              <w:tab/>
            </w:r>
          </w:p>
        </w:tc>
        <w:tc>
          <w:tcPr>
            <w:tcW w:w="1188" w:type="dxa"/>
          </w:tcPr>
          <w:p w:rsidR="00153392" w:rsidRDefault="00153392" w:rsidP="0001642A">
            <w:pPr>
              <w:tabs>
                <w:tab w:val="decimal" w:pos="432"/>
              </w:tabs>
              <w:rPr>
                <w:sz w:val="22"/>
                <w:szCs w:val="22"/>
              </w:rPr>
            </w:pPr>
            <w:r>
              <w:rPr>
                <w:sz w:val="22"/>
                <w:szCs w:val="22"/>
              </w:rPr>
              <w:t>$ 15.65</w:t>
            </w:r>
          </w:p>
          <w:p w:rsidR="00153392" w:rsidRDefault="00153392" w:rsidP="0001642A">
            <w:pPr>
              <w:tabs>
                <w:tab w:val="decimal" w:pos="432"/>
              </w:tabs>
              <w:rPr>
                <w:sz w:val="22"/>
                <w:szCs w:val="22"/>
              </w:rPr>
            </w:pPr>
            <w:r>
              <w:rPr>
                <w:sz w:val="22"/>
                <w:szCs w:val="22"/>
              </w:rPr>
              <w:t>$10.55</w:t>
            </w:r>
          </w:p>
          <w:p w:rsidR="00153392" w:rsidRDefault="00153392" w:rsidP="0001642A">
            <w:pPr>
              <w:tabs>
                <w:tab w:val="decimal" w:pos="432"/>
              </w:tabs>
              <w:rPr>
                <w:sz w:val="22"/>
                <w:szCs w:val="22"/>
              </w:rPr>
            </w:pPr>
          </w:p>
          <w:p w:rsidR="00153392" w:rsidRDefault="00153392" w:rsidP="0001642A">
            <w:pPr>
              <w:tabs>
                <w:tab w:val="decimal" w:pos="432"/>
              </w:tabs>
              <w:rPr>
                <w:sz w:val="22"/>
                <w:szCs w:val="22"/>
              </w:rPr>
            </w:pPr>
            <w:r>
              <w:rPr>
                <w:sz w:val="22"/>
                <w:szCs w:val="22"/>
              </w:rPr>
              <w:t>$ 12.15</w:t>
            </w:r>
          </w:p>
          <w:p w:rsidR="00153392" w:rsidRDefault="00153392" w:rsidP="0001642A">
            <w:pPr>
              <w:tabs>
                <w:tab w:val="decimal" w:pos="432"/>
              </w:tabs>
              <w:rPr>
                <w:sz w:val="22"/>
                <w:szCs w:val="22"/>
              </w:rPr>
            </w:pPr>
            <w:r>
              <w:rPr>
                <w:sz w:val="22"/>
                <w:szCs w:val="22"/>
              </w:rPr>
              <w:t>$  7.20</w:t>
            </w:r>
          </w:p>
          <w:p w:rsidR="00153392" w:rsidRDefault="00153392" w:rsidP="0001642A">
            <w:pPr>
              <w:tabs>
                <w:tab w:val="decimal" w:pos="432"/>
              </w:tabs>
              <w:rPr>
                <w:sz w:val="22"/>
                <w:szCs w:val="22"/>
              </w:rPr>
            </w:pPr>
          </w:p>
        </w:tc>
        <w:tc>
          <w:tcPr>
            <w:tcW w:w="1311" w:type="dxa"/>
          </w:tcPr>
          <w:p w:rsidR="00153392" w:rsidRDefault="00153392" w:rsidP="0001642A">
            <w:pPr>
              <w:tabs>
                <w:tab w:val="decimal" w:pos="720"/>
              </w:tabs>
              <w:rPr>
                <w:sz w:val="22"/>
                <w:szCs w:val="22"/>
              </w:rPr>
            </w:pPr>
            <w:r>
              <w:rPr>
                <w:sz w:val="22"/>
                <w:szCs w:val="22"/>
              </w:rPr>
              <w:t>$ 15.65</w:t>
            </w:r>
          </w:p>
          <w:p w:rsidR="00153392" w:rsidRDefault="00153392" w:rsidP="0001642A">
            <w:pPr>
              <w:tabs>
                <w:tab w:val="decimal" w:pos="720"/>
              </w:tabs>
              <w:rPr>
                <w:sz w:val="22"/>
                <w:szCs w:val="22"/>
              </w:rPr>
            </w:pPr>
            <w:r>
              <w:rPr>
                <w:sz w:val="22"/>
                <w:szCs w:val="22"/>
              </w:rPr>
              <w:t>$10.55</w:t>
            </w:r>
          </w:p>
          <w:p w:rsidR="00153392" w:rsidRDefault="00153392" w:rsidP="0001642A">
            <w:pPr>
              <w:tabs>
                <w:tab w:val="decimal" w:pos="720"/>
              </w:tabs>
              <w:rPr>
                <w:sz w:val="22"/>
                <w:szCs w:val="22"/>
              </w:rPr>
            </w:pPr>
          </w:p>
          <w:p w:rsidR="00153392" w:rsidRDefault="00153392" w:rsidP="0001642A">
            <w:pPr>
              <w:tabs>
                <w:tab w:val="decimal" w:pos="720"/>
              </w:tabs>
              <w:rPr>
                <w:sz w:val="22"/>
                <w:szCs w:val="22"/>
              </w:rPr>
            </w:pPr>
          </w:p>
        </w:tc>
        <w:tc>
          <w:tcPr>
            <w:tcW w:w="1209" w:type="dxa"/>
          </w:tcPr>
          <w:p w:rsidR="00153392" w:rsidRDefault="00153392" w:rsidP="0001642A">
            <w:pPr>
              <w:rPr>
                <w:sz w:val="22"/>
                <w:szCs w:val="22"/>
              </w:rPr>
            </w:pPr>
            <w:r>
              <w:rPr>
                <w:sz w:val="22"/>
                <w:szCs w:val="22"/>
              </w:rPr>
              <w:t>(C)</w:t>
            </w:r>
          </w:p>
          <w:p w:rsidR="00153392" w:rsidRDefault="00153392" w:rsidP="0001642A">
            <w:pPr>
              <w:rPr>
                <w:sz w:val="22"/>
                <w:szCs w:val="22"/>
              </w:rPr>
            </w:pPr>
            <w:r>
              <w:rPr>
                <w:sz w:val="22"/>
                <w:szCs w:val="22"/>
              </w:rPr>
              <w:t>(C)</w:t>
            </w:r>
          </w:p>
          <w:p w:rsidR="00153392" w:rsidRDefault="00153392" w:rsidP="0001642A">
            <w:pPr>
              <w:rPr>
                <w:sz w:val="22"/>
                <w:szCs w:val="22"/>
              </w:rPr>
            </w:pPr>
          </w:p>
          <w:p w:rsidR="00153392" w:rsidRDefault="00153392" w:rsidP="0001642A">
            <w:pPr>
              <w:rPr>
                <w:sz w:val="22"/>
                <w:szCs w:val="22"/>
              </w:rPr>
            </w:pPr>
          </w:p>
        </w:tc>
      </w:tr>
      <w:tr w:rsidR="00153392" w:rsidTr="0001642A">
        <w:trPr>
          <w:cantSplit/>
          <w:trHeight w:val="315"/>
        </w:trPr>
        <w:tc>
          <w:tcPr>
            <w:tcW w:w="482" w:type="dxa"/>
          </w:tcPr>
          <w:p w:rsidR="00153392" w:rsidRDefault="00153392" w:rsidP="0001642A">
            <w:pPr>
              <w:rPr>
                <w:sz w:val="22"/>
                <w:szCs w:val="22"/>
              </w:rPr>
            </w:pPr>
          </w:p>
        </w:tc>
        <w:tc>
          <w:tcPr>
            <w:tcW w:w="8857" w:type="dxa"/>
            <w:gridSpan w:val="3"/>
          </w:tcPr>
          <w:p w:rsidR="00153392" w:rsidRDefault="00153392" w:rsidP="0001642A">
            <w:pPr>
              <w:tabs>
                <w:tab w:val="decimal" w:pos="720"/>
              </w:tabs>
              <w:rPr>
                <w:sz w:val="22"/>
                <w:szCs w:val="22"/>
              </w:rPr>
            </w:pPr>
          </w:p>
          <w:p w:rsidR="00153392" w:rsidRDefault="00153392" w:rsidP="0001642A">
            <w:pPr>
              <w:tabs>
                <w:tab w:val="decimal" w:pos="720"/>
              </w:tabs>
              <w:rPr>
                <w:sz w:val="22"/>
                <w:szCs w:val="22"/>
              </w:rPr>
            </w:pPr>
            <w:r>
              <w:rPr>
                <w:sz w:val="22"/>
                <w:szCs w:val="22"/>
              </w:rPr>
              <w:t>The classifications and rates following apply at any point within Zone A which is defined as all territory in the exchange lying south of Route Interstate 90.</w:t>
            </w:r>
          </w:p>
        </w:tc>
        <w:tc>
          <w:tcPr>
            <w:tcW w:w="1209" w:type="dxa"/>
          </w:tcPr>
          <w:p w:rsidR="00153392" w:rsidRDefault="00153392" w:rsidP="0001642A">
            <w:pPr>
              <w:rPr>
                <w:sz w:val="22"/>
                <w:szCs w:val="22"/>
              </w:rPr>
            </w:pPr>
          </w:p>
        </w:tc>
      </w:tr>
      <w:tr w:rsidR="00153392" w:rsidTr="0001642A">
        <w:trPr>
          <w:cantSplit/>
          <w:trHeight w:val="315"/>
        </w:trPr>
        <w:tc>
          <w:tcPr>
            <w:tcW w:w="482" w:type="dxa"/>
          </w:tcPr>
          <w:p w:rsidR="00153392" w:rsidRDefault="00153392" w:rsidP="0001642A">
            <w:pPr>
              <w:rPr>
                <w:sz w:val="22"/>
                <w:szCs w:val="22"/>
              </w:rPr>
            </w:pPr>
          </w:p>
        </w:tc>
        <w:tc>
          <w:tcPr>
            <w:tcW w:w="6358" w:type="dxa"/>
          </w:tcPr>
          <w:p w:rsidR="00153392" w:rsidRDefault="00153392" w:rsidP="0001642A">
            <w:pPr>
              <w:tabs>
                <w:tab w:val="right" w:leader="dot" w:pos="6063"/>
              </w:tabs>
              <w:rPr>
                <w:sz w:val="22"/>
                <w:szCs w:val="22"/>
              </w:rPr>
            </w:pPr>
          </w:p>
        </w:tc>
        <w:tc>
          <w:tcPr>
            <w:tcW w:w="1188" w:type="dxa"/>
          </w:tcPr>
          <w:p w:rsidR="00153392" w:rsidRDefault="00153392" w:rsidP="0001642A">
            <w:pPr>
              <w:tabs>
                <w:tab w:val="decimal" w:pos="432"/>
              </w:tabs>
              <w:jc w:val="center"/>
              <w:rPr>
                <w:sz w:val="22"/>
                <w:szCs w:val="22"/>
                <w:u w:val="single"/>
              </w:rPr>
            </w:pPr>
            <w:r>
              <w:rPr>
                <w:sz w:val="22"/>
                <w:szCs w:val="22"/>
                <w:u w:val="single"/>
              </w:rPr>
              <w:t>Monthly Rate</w:t>
            </w:r>
          </w:p>
        </w:tc>
        <w:tc>
          <w:tcPr>
            <w:tcW w:w="1311" w:type="dxa"/>
          </w:tcPr>
          <w:p w:rsidR="00153392" w:rsidRDefault="00153392" w:rsidP="0001642A">
            <w:pPr>
              <w:tabs>
                <w:tab w:val="decimal" w:pos="720"/>
              </w:tabs>
              <w:jc w:val="center"/>
              <w:rPr>
                <w:sz w:val="22"/>
                <w:szCs w:val="22"/>
                <w:u w:val="single"/>
              </w:rPr>
            </w:pPr>
            <w:r>
              <w:rPr>
                <w:sz w:val="22"/>
                <w:szCs w:val="22"/>
                <w:u w:val="single"/>
              </w:rPr>
              <w:t>Max. Rate</w:t>
            </w:r>
          </w:p>
        </w:tc>
        <w:tc>
          <w:tcPr>
            <w:tcW w:w="1209" w:type="dxa"/>
          </w:tcPr>
          <w:p w:rsidR="00153392" w:rsidRDefault="00153392" w:rsidP="0001642A">
            <w:pPr>
              <w:rPr>
                <w:sz w:val="22"/>
                <w:szCs w:val="22"/>
              </w:rPr>
            </w:pPr>
          </w:p>
        </w:tc>
      </w:tr>
      <w:tr w:rsidR="00153392" w:rsidTr="0001642A">
        <w:trPr>
          <w:cantSplit/>
          <w:trHeight w:val="315"/>
        </w:trPr>
        <w:tc>
          <w:tcPr>
            <w:tcW w:w="482" w:type="dxa"/>
          </w:tcPr>
          <w:p w:rsidR="00153392" w:rsidRDefault="00153392" w:rsidP="0001642A">
            <w:pPr>
              <w:rPr>
                <w:sz w:val="22"/>
                <w:szCs w:val="22"/>
              </w:rPr>
            </w:pPr>
          </w:p>
        </w:tc>
        <w:tc>
          <w:tcPr>
            <w:tcW w:w="6358" w:type="dxa"/>
          </w:tcPr>
          <w:p w:rsidR="00153392" w:rsidRDefault="00153392" w:rsidP="0001642A">
            <w:pPr>
              <w:tabs>
                <w:tab w:val="right" w:leader="dot" w:pos="6063"/>
              </w:tabs>
              <w:rPr>
                <w:sz w:val="22"/>
                <w:szCs w:val="22"/>
              </w:rPr>
            </w:pPr>
            <w:r>
              <w:rPr>
                <w:sz w:val="22"/>
                <w:szCs w:val="22"/>
              </w:rPr>
              <w:t>Business – Primary Line</w:t>
            </w:r>
            <w:r>
              <w:rPr>
                <w:sz w:val="22"/>
                <w:szCs w:val="22"/>
              </w:rPr>
              <w:tab/>
            </w:r>
          </w:p>
          <w:p w:rsidR="00153392" w:rsidRDefault="00153392" w:rsidP="0001642A">
            <w:pPr>
              <w:tabs>
                <w:tab w:val="right" w:leader="dot" w:pos="6063"/>
              </w:tabs>
              <w:rPr>
                <w:sz w:val="22"/>
                <w:szCs w:val="22"/>
              </w:rPr>
            </w:pPr>
            <w:r>
              <w:rPr>
                <w:sz w:val="22"/>
                <w:szCs w:val="22"/>
              </w:rPr>
              <w:t xml:space="preserve">Residence – Individual Line </w:t>
            </w:r>
            <w:r>
              <w:rPr>
                <w:sz w:val="22"/>
                <w:szCs w:val="22"/>
              </w:rPr>
              <w:tab/>
            </w:r>
          </w:p>
          <w:p w:rsidR="00153392" w:rsidRDefault="00153392" w:rsidP="0001642A">
            <w:pPr>
              <w:tabs>
                <w:tab w:val="right" w:leader="dot" w:pos="6063"/>
              </w:tabs>
              <w:rPr>
                <w:sz w:val="22"/>
                <w:szCs w:val="22"/>
              </w:rPr>
            </w:pPr>
            <w:r>
              <w:rPr>
                <w:sz w:val="22"/>
                <w:szCs w:val="22"/>
              </w:rPr>
              <w:t>Payphone:</w:t>
            </w:r>
            <w:r>
              <w:rPr>
                <w:sz w:val="22"/>
                <w:szCs w:val="22"/>
              </w:rPr>
              <w:tab/>
            </w:r>
          </w:p>
          <w:p w:rsidR="00153392" w:rsidRDefault="00153392" w:rsidP="0001642A">
            <w:pPr>
              <w:tabs>
                <w:tab w:val="right" w:leader="dot" w:pos="6063"/>
              </w:tabs>
              <w:rPr>
                <w:sz w:val="22"/>
                <w:szCs w:val="22"/>
              </w:rPr>
            </w:pPr>
            <w:r>
              <w:rPr>
                <w:sz w:val="22"/>
                <w:szCs w:val="22"/>
              </w:rPr>
              <w:t xml:space="preserve">   Coin Operated Telephone Service Access Line</w:t>
            </w:r>
            <w:r>
              <w:rPr>
                <w:sz w:val="22"/>
                <w:szCs w:val="22"/>
              </w:rPr>
              <w:tab/>
            </w:r>
          </w:p>
          <w:p w:rsidR="00153392" w:rsidRDefault="00153392" w:rsidP="0001642A">
            <w:pPr>
              <w:tabs>
                <w:tab w:val="right" w:leader="dot" w:pos="6063"/>
              </w:tabs>
              <w:rPr>
                <w:sz w:val="22"/>
                <w:szCs w:val="22"/>
              </w:rPr>
            </w:pPr>
            <w:r>
              <w:rPr>
                <w:sz w:val="22"/>
                <w:szCs w:val="22"/>
              </w:rPr>
              <w:t xml:space="preserve">   Coin Supervision Additive</w:t>
            </w:r>
            <w:r>
              <w:rPr>
                <w:sz w:val="22"/>
                <w:szCs w:val="22"/>
              </w:rPr>
              <w:tab/>
            </w:r>
          </w:p>
        </w:tc>
        <w:tc>
          <w:tcPr>
            <w:tcW w:w="1188" w:type="dxa"/>
          </w:tcPr>
          <w:p w:rsidR="00153392" w:rsidRDefault="00153392" w:rsidP="0001642A">
            <w:pPr>
              <w:tabs>
                <w:tab w:val="decimal" w:pos="432"/>
              </w:tabs>
              <w:rPr>
                <w:sz w:val="22"/>
                <w:szCs w:val="22"/>
              </w:rPr>
            </w:pPr>
            <w:r>
              <w:rPr>
                <w:sz w:val="22"/>
                <w:szCs w:val="22"/>
              </w:rPr>
              <w:t>$ 18.65</w:t>
            </w:r>
          </w:p>
          <w:p w:rsidR="00153392" w:rsidRDefault="00153392" w:rsidP="0001642A">
            <w:pPr>
              <w:tabs>
                <w:tab w:val="decimal" w:pos="432"/>
              </w:tabs>
              <w:rPr>
                <w:sz w:val="22"/>
                <w:szCs w:val="22"/>
              </w:rPr>
            </w:pPr>
            <w:r>
              <w:rPr>
                <w:sz w:val="22"/>
                <w:szCs w:val="22"/>
              </w:rPr>
              <w:t>$ 13.55</w:t>
            </w:r>
          </w:p>
          <w:p w:rsidR="00153392" w:rsidRDefault="00153392" w:rsidP="0001642A">
            <w:pPr>
              <w:tabs>
                <w:tab w:val="decimal" w:pos="432"/>
              </w:tabs>
              <w:rPr>
                <w:sz w:val="22"/>
                <w:szCs w:val="22"/>
              </w:rPr>
            </w:pPr>
          </w:p>
          <w:p w:rsidR="00153392" w:rsidRDefault="00153392" w:rsidP="0001642A">
            <w:pPr>
              <w:tabs>
                <w:tab w:val="decimal" w:pos="432"/>
              </w:tabs>
              <w:rPr>
                <w:sz w:val="22"/>
                <w:szCs w:val="22"/>
              </w:rPr>
            </w:pPr>
            <w:r>
              <w:rPr>
                <w:sz w:val="22"/>
                <w:szCs w:val="22"/>
              </w:rPr>
              <w:t>$ 15.15</w:t>
            </w:r>
          </w:p>
          <w:p w:rsidR="00153392" w:rsidRDefault="00153392" w:rsidP="0001642A">
            <w:pPr>
              <w:tabs>
                <w:tab w:val="decimal" w:pos="432"/>
              </w:tabs>
              <w:rPr>
                <w:sz w:val="22"/>
                <w:szCs w:val="22"/>
              </w:rPr>
            </w:pPr>
            <w:r>
              <w:rPr>
                <w:sz w:val="22"/>
                <w:szCs w:val="22"/>
              </w:rPr>
              <w:t>$   7.20</w:t>
            </w:r>
          </w:p>
        </w:tc>
        <w:tc>
          <w:tcPr>
            <w:tcW w:w="1311" w:type="dxa"/>
          </w:tcPr>
          <w:p w:rsidR="00153392" w:rsidRDefault="00153392" w:rsidP="0001642A">
            <w:pPr>
              <w:tabs>
                <w:tab w:val="decimal" w:pos="720"/>
              </w:tabs>
              <w:rPr>
                <w:sz w:val="22"/>
                <w:szCs w:val="22"/>
              </w:rPr>
            </w:pPr>
            <w:r>
              <w:rPr>
                <w:sz w:val="22"/>
                <w:szCs w:val="22"/>
              </w:rPr>
              <w:t>$ 18.65</w:t>
            </w:r>
          </w:p>
          <w:p w:rsidR="00153392" w:rsidRDefault="00153392" w:rsidP="0001642A">
            <w:pPr>
              <w:tabs>
                <w:tab w:val="decimal" w:pos="720"/>
              </w:tabs>
              <w:rPr>
                <w:sz w:val="22"/>
                <w:szCs w:val="22"/>
              </w:rPr>
            </w:pPr>
            <w:r>
              <w:rPr>
                <w:sz w:val="22"/>
                <w:szCs w:val="22"/>
              </w:rPr>
              <w:t>$ 13.55</w:t>
            </w:r>
          </w:p>
          <w:p w:rsidR="00153392" w:rsidRDefault="00153392" w:rsidP="0001642A">
            <w:pPr>
              <w:tabs>
                <w:tab w:val="decimal" w:pos="720"/>
              </w:tabs>
              <w:rPr>
                <w:sz w:val="22"/>
                <w:szCs w:val="22"/>
              </w:rPr>
            </w:pPr>
          </w:p>
        </w:tc>
        <w:tc>
          <w:tcPr>
            <w:tcW w:w="1209" w:type="dxa"/>
          </w:tcPr>
          <w:p w:rsidR="00153392" w:rsidRDefault="00153392" w:rsidP="0001642A">
            <w:pPr>
              <w:rPr>
                <w:sz w:val="22"/>
                <w:szCs w:val="22"/>
              </w:rPr>
            </w:pPr>
            <w:r>
              <w:rPr>
                <w:sz w:val="22"/>
                <w:szCs w:val="22"/>
              </w:rPr>
              <w:t>(C)</w:t>
            </w:r>
          </w:p>
          <w:p w:rsidR="00153392" w:rsidRDefault="00153392" w:rsidP="0001642A">
            <w:pPr>
              <w:rPr>
                <w:sz w:val="22"/>
                <w:szCs w:val="22"/>
              </w:rPr>
            </w:pPr>
            <w:r>
              <w:rPr>
                <w:sz w:val="22"/>
                <w:szCs w:val="22"/>
              </w:rPr>
              <w:t>(C)</w:t>
            </w:r>
          </w:p>
          <w:p w:rsidR="00153392" w:rsidRDefault="00153392" w:rsidP="0001642A">
            <w:pPr>
              <w:rPr>
                <w:sz w:val="22"/>
                <w:szCs w:val="22"/>
              </w:rPr>
            </w:pPr>
          </w:p>
          <w:p w:rsidR="00153392" w:rsidRDefault="00153392" w:rsidP="0001642A">
            <w:pPr>
              <w:rPr>
                <w:sz w:val="22"/>
                <w:szCs w:val="22"/>
              </w:rPr>
            </w:pPr>
            <w:r>
              <w:rPr>
                <w:sz w:val="22"/>
                <w:szCs w:val="22"/>
              </w:rPr>
              <w:t xml:space="preserve"> </w:t>
            </w:r>
          </w:p>
        </w:tc>
      </w:tr>
      <w:tr w:rsidR="00153392" w:rsidTr="0001642A">
        <w:trPr>
          <w:cantSplit/>
          <w:trHeight w:val="315"/>
        </w:trPr>
        <w:tc>
          <w:tcPr>
            <w:tcW w:w="482" w:type="dxa"/>
          </w:tcPr>
          <w:p w:rsidR="00153392" w:rsidRDefault="00153392" w:rsidP="0001642A">
            <w:pPr>
              <w:rPr>
                <w:sz w:val="22"/>
                <w:szCs w:val="22"/>
              </w:rPr>
            </w:pPr>
          </w:p>
        </w:tc>
        <w:tc>
          <w:tcPr>
            <w:tcW w:w="6358" w:type="dxa"/>
          </w:tcPr>
          <w:p w:rsidR="00153392" w:rsidRDefault="00153392" w:rsidP="0001642A">
            <w:pPr>
              <w:tabs>
                <w:tab w:val="right" w:leader="dot" w:pos="6063"/>
              </w:tabs>
              <w:rPr>
                <w:sz w:val="22"/>
                <w:szCs w:val="22"/>
              </w:rPr>
            </w:pPr>
          </w:p>
        </w:tc>
        <w:tc>
          <w:tcPr>
            <w:tcW w:w="1188" w:type="dxa"/>
          </w:tcPr>
          <w:p w:rsidR="00153392" w:rsidRDefault="00153392" w:rsidP="0001642A">
            <w:pPr>
              <w:tabs>
                <w:tab w:val="decimal" w:pos="432"/>
              </w:tabs>
              <w:rPr>
                <w:sz w:val="22"/>
                <w:szCs w:val="22"/>
              </w:rPr>
            </w:pPr>
          </w:p>
        </w:tc>
        <w:tc>
          <w:tcPr>
            <w:tcW w:w="1311" w:type="dxa"/>
          </w:tcPr>
          <w:p w:rsidR="00153392" w:rsidRDefault="00153392" w:rsidP="0001642A">
            <w:pPr>
              <w:tabs>
                <w:tab w:val="decimal" w:pos="720"/>
              </w:tabs>
              <w:rPr>
                <w:sz w:val="22"/>
                <w:szCs w:val="22"/>
              </w:rPr>
            </w:pPr>
          </w:p>
        </w:tc>
        <w:tc>
          <w:tcPr>
            <w:tcW w:w="1209" w:type="dxa"/>
          </w:tcPr>
          <w:p w:rsidR="00153392" w:rsidRDefault="00153392" w:rsidP="0001642A">
            <w:pPr>
              <w:rPr>
                <w:sz w:val="22"/>
                <w:szCs w:val="22"/>
              </w:rPr>
            </w:pPr>
          </w:p>
        </w:tc>
      </w:tr>
      <w:tr w:rsidR="00153392" w:rsidTr="0001642A">
        <w:trPr>
          <w:cantSplit/>
          <w:trHeight w:val="315"/>
        </w:trPr>
        <w:tc>
          <w:tcPr>
            <w:tcW w:w="482" w:type="dxa"/>
          </w:tcPr>
          <w:p w:rsidR="00153392" w:rsidRDefault="00153392" w:rsidP="0001642A">
            <w:pPr>
              <w:rPr>
                <w:sz w:val="22"/>
                <w:szCs w:val="22"/>
              </w:rPr>
            </w:pPr>
          </w:p>
        </w:tc>
        <w:tc>
          <w:tcPr>
            <w:tcW w:w="6358" w:type="dxa"/>
          </w:tcPr>
          <w:p w:rsidR="00153392" w:rsidRDefault="00153392" w:rsidP="0001642A">
            <w:pPr>
              <w:tabs>
                <w:tab w:val="right" w:leader="dot" w:pos="6063"/>
              </w:tabs>
              <w:rPr>
                <w:sz w:val="22"/>
                <w:szCs w:val="22"/>
              </w:rPr>
            </w:pPr>
          </w:p>
        </w:tc>
        <w:tc>
          <w:tcPr>
            <w:tcW w:w="1188" w:type="dxa"/>
          </w:tcPr>
          <w:p w:rsidR="00153392" w:rsidRDefault="00153392" w:rsidP="0001642A">
            <w:pPr>
              <w:tabs>
                <w:tab w:val="decimal" w:pos="432"/>
              </w:tabs>
              <w:rPr>
                <w:sz w:val="22"/>
                <w:szCs w:val="22"/>
              </w:rPr>
            </w:pPr>
          </w:p>
        </w:tc>
        <w:tc>
          <w:tcPr>
            <w:tcW w:w="1311" w:type="dxa"/>
          </w:tcPr>
          <w:p w:rsidR="00153392" w:rsidRDefault="00153392" w:rsidP="0001642A">
            <w:pPr>
              <w:tabs>
                <w:tab w:val="decimal" w:pos="720"/>
              </w:tabs>
              <w:rPr>
                <w:sz w:val="22"/>
                <w:szCs w:val="22"/>
              </w:rPr>
            </w:pPr>
          </w:p>
        </w:tc>
        <w:tc>
          <w:tcPr>
            <w:tcW w:w="1209" w:type="dxa"/>
          </w:tcPr>
          <w:p w:rsidR="00153392" w:rsidRDefault="00153392" w:rsidP="0001642A">
            <w:pPr>
              <w:rPr>
                <w:sz w:val="22"/>
                <w:szCs w:val="22"/>
              </w:rPr>
            </w:pPr>
          </w:p>
        </w:tc>
      </w:tr>
    </w:tbl>
    <w:p w:rsidR="00153392" w:rsidRDefault="00153392" w:rsidP="00153392">
      <w:pPr>
        <w:rPr>
          <w:sz w:val="22"/>
        </w:rPr>
      </w:pPr>
    </w:p>
    <w:p w:rsidR="00153392" w:rsidRDefault="00153392" w:rsidP="00153392">
      <w:pPr>
        <w:rPr>
          <w:sz w:val="22"/>
        </w:rPr>
      </w:pPr>
    </w:p>
    <w:p w:rsidR="00153392" w:rsidRDefault="00153392" w:rsidP="00153392">
      <w:pPr>
        <w:tabs>
          <w:tab w:val="left" w:pos="10368"/>
        </w:tabs>
        <w:autoSpaceDE w:val="0"/>
        <w:autoSpaceDN w:val="0"/>
        <w:adjustRightInd w:val="0"/>
        <w:ind w:right="-108"/>
        <w:jc w:val="center"/>
        <w:sectPr w:rsidR="00153392">
          <w:headerReference w:type="default" r:id="rId9"/>
          <w:footerReference w:type="default" r:id="rId10"/>
          <w:pgSz w:w="12240" w:h="15840"/>
          <w:pgMar w:top="720" w:right="720" w:bottom="720" w:left="720" w:header="720" w:footer="720" w:gutter="0"/>
          <w:cols w:space="720"/>
          <w:docGrid w:linePitch="360"/>
        </w:sectPr>
      </w:pPr>
    </w:p>
    <w:tbl>
      <w:tblPr>
        <w:tblW w:w="9832" w:type="dxa"/>
        <w:tblLayout w:type="fixed"/>
        <w:tblLook w:val="0000" w:firstRow="0" w:lastRow="0" w:firstColumn="0" w:lastColumn="0" w:noHBand="0" w:noVBand="0"/>
      </w:tblPr>
      <w:tblGrid>
        <w:gridCol w:w="6840"/>
        <w:gridCol w:w="1683"/>
        <w:gridCol w:w="1073"/>
        <w:gridCol w:w="236"/>
      </w:tblGrid>
      <w:tr w:rsidR="00153392" w:rsidTr="0001642A">
        <w:trPr>
          <w:cantSplit/>
          <w:trHeight w:val="315"/>
        </w:trPr>
        <w:tc>
          <w:tcPr>
            <w:tcW w:w="9596" w:type="dxa"/>
            <w:gridSpan w:val="3"/>
          </w:tcPr>
          <w:p w:rsidR="00153392" w:rsidRDefault="00153392" w:rsidP="0001642A">
            <w:pPr>
              <w:jc w:val="center"/>
              <w:rPr>
                <w:sz w:val="22"/>
                <w:szCs w:val="22"/>
                <w:u w:val="single"/>
              </w:rPr>
            </w:pPr>
            <w:r>
              <w:rPr>
                <w:sz w:val="22"/>
                <w:szCs w:val="22"/>
                <w:u w:val="single"/>
              </w:rPr>
              <w:lastRenderedPageBreak/>
              <w:t>CHARGES FOR TRANSFERS, MOVES, CHANGES, DISCONNECTS</w:t>
            </w:r>
            <w:r>
              <w:rPr>
                <w:sz w:val="22"/>
                <w:szCs w:val="22"/>
                <w:u w:val="single"/>
              </w:rPr>
              <w:br/>
            </w:r>
            <w:r>
              <w:rPr>
                <w:sz w:val="22"/>
                <w:szCs w:val="22"/>
              </w:rPr>
              <w:tab/>
            </w:r>
            <w:r>
              <w:rPr>
                <w:sz w:val="22"/>
                <w:szCs w:val="22"/>
                <w:u w:val="single"/>
              </w:rPr>
              <w:t>AND RECONNECTS</w:t>
            </w:r>
          </w:p>
        </w:tc>
        <w:tc>
          <w:tcPr>
            <w:tcW w:w="236" w:type="dxa"/>
          </w:tcPr>
          <w:p w:rsidR="00153392" w:rsidRDefault="00153392" w:rsidP="0001642A">
            <w:pPr>
              <w:rPr>
                <w:sz w:val="22"/>
                <w:szCs w:val="22"/>
              </w:rPr>
            </w:pPr>
          </w:p>
        </w:tc>
      </w:tr>
      <w:tr w:rsidR="00153392" w:rsidTr="0001642A">
        <w:trPr>
          <w:cantSplit/>
          <w:trHeight w:val="315"/>
        </w:trPr>
        <w:tc>
          <w:tcPr>
            <w:tcW w:w="9596" w:type="dxa"/>
            <w:gridSpan w:val="3"/>
          </w:tcPr>
          <w:p w:rsidR="00153392" w:rsidRDefault="00153392" w:rsidP="0001642A">
            <w:pPr>
              <w:rPr>
                <w:sz w:val="22"/>
                <w:szCs w:val="22"/>
              </w:rPr>
            </w:pPr>
          </w:p>
        </w:tc>
        <w:tc>
          <w:tcPr>
            <w:tcW w:w="236" w:type="dxa"/>
          </w:tcPr>
          <w:p w:rsidR="00153392" w:rsidRDefault="00153392" w:rsidP="0001642A">
            <w:pPr>
              <w:rPr>
                <w:sz w:val="22"/>
                <w:szCs w:val="22"/>
              </w:rPr>
            </w:pPr>
          </w:p>
        </w:tc>
      </w:tr>
      <w:tr w:rsidR="00153392" w:rsidTr="0001642A">
        <w:trPr>
          <w:cantSplit/>
          <w:trHeight w:val="315"/>
        </w:trPr>
        <w:tc>
          <w:tcPr>
            <w:tcW w:w="6840" w:type="dxa"/>
          </w:tcPr>
          <w:p w:rsidR="00153392" w:rsidRDefault="00153392" w:rsidP="0001642A">
            <w:pPr>
              <w:tabs>
                <w:tab w:val="right" w:leader="dot" w:pos="9000"/>
              </w:tabs>
              <w:rPr>
                <w:sz w:val="22"/>
                <w:szCs w:val="22"/>
                <w:u w:val="single"/>
              </w:rPr>
            </w:pPr>
            <w:r>
              <w:rPr>
                <w:sz w:val="22"/>
                <w:szCs w:val="22"/>
              </w:rPr>
              <w:br/>
            </w:r>
          </w:p>
        </w:tc>
        <w:tc>
          <w:tcPr>
            <w:tcW w:w="1683" w:type="dxa"/>
          </w:tcPr>
          <w:p w:rsidR="00153392" w:rsidRDefault="00153392" w:rsidP="0001642A">
            <w:pPr>
              <w:tabs>
                <w:tab w:val="right" w:leader="dot" w:pos="9000"/>
              </w:tabs>
              <w:rPr>
                <w:sz w:val="22"/>
                <w:szCs w:val="22"/>
              </w:rPr>
            </w:pPr>
            <w:r>
              <w:rPr>
                <w:sz w:val="22"/>
                <w:szCs w:val="22"/>
              </w:rPr>
              <w:t xml:space="preserve">Non-Recurring </w:t>
            </w:r>
            <w:r>
              <w:rPr>
                <w:sz w:val="22"/>
                <w:szCs w:val="22"/>
                <w:u w:val="single"/>
              </w:rPr>
              <w:t>Charge</w:t>
            </w:r>
          </w:p>
        </w:tc>
        <w:tc>
          <w:tcPr>
            <w:tcW w:w="1309" w:type="dxa"/>
            <w:gridSpan w:val="2"/>
          </w:tcPr>
          <w:p w:rsidR="00153392" w:rsidRDefault="00153392" w:rsidP="0001642A">
            <w:pPr>
              <w:tabs>
                <w:tab w:val="right" w:leader="dot" w:pos="9000"/>
              </w:tabs>
              <w:spacing w:after="120"/>
              <w:rPr>
                <w:sz w:val="22"/>
                <w:szCs w:val="22"/>
              </w:rPr>
            </w:pPr>
          </w:p>
        </w:tc>
      </w:tr>
      <w:tr w:rsidR="00153392" w:rsidTr="0001642A">
        <w:trPr>
          <w:cantSplit/>
          <w:trHeight w:val="315"/>
        </w:trPr>
        <w:tc>
          <w:tcPr>
            <w:tcW w:w="6840" w:type="dxa"/>
          </w:tcPr>
          <w:p w:rsidR="00153392" w:rsidRDefault="00153392" w:rsidP="0001642A">
            <w:pPr>
              <w:tabs>
                <w:tab w:val="right" w:leader="dot" w:pos="9000"/>
              </w:tabs>
              <w:ind w:left="374"/>
              <w:rPr>
                <w:sz w:val="22"/>
                <w:szCs w:val="22"/>
              </w:rPr>
            </w:pPr>
            <w:r>
              <w:rPr>
                <w:sz w:val="22"/>
                <w:szCs w:val="22"/>
              </w:rPr>
              <w:t>For the installation of main access line</w:t>
            </w:r>
            <w:r>
              <w:rPr>
                <w:sz w:val="22"/>
                <w:szCs w:val="22"/>
              </w:rPr>
              <w:tab/>
            </w:r>
          </w:p>
        </w:tc>
        <w:tc>
          <w:tcPr>
            <w:tcW w:w="1683" w:type="dxa"/>
          </w:tcPr>
          <w:p w:rsidR="00153392" w:rsidRDefault="00153392" w:rsidP="0001642A">
            <w:pPr>
              <w:tabs>
                <w:tab w:val="decimal" w:pos="576"/>
              </w:tabs>
              <w:rPr>
                <w:sz w:val="22"/>
                <w:szCs w:val="22"/>
              </w:rPr>
            </w:pPr>
            <w:r>
              <w:rPr>
                <w:sz w:val="22"/>
                <w:szCs w:val="22"/>
              </w:rPr>
              <w:t>$ 20.00</w:t>
            </w:r>
          </w:p>
        </w:tc>
        <w:tc>
          <w:tcPr>
            <w:tcW w:w="1309" w:type="dxa"/>
            <w:gridSpan w:val="2"/>
          </w:tcPr>
          <w:p w:rsidR="00153392" w:rsidRDefault="00153392" w:rsidP="0001642A">
            <w:pPr>
              <w:tabs>
                <w:tab w:val="decimal" w:pos="432"/>
              </w:tabs>
              <w:rPr>
                <w:sz w:val="22"/>
                <w:szCs w:val="22"/>
              </w:rPr>
            </w:pPr>
          </w:p>
        </w:tc>
      </w:tr>
      <w:tr w:rsidR="00153392" w:rsidTr="0001642A">
        <w:trPr>
          <w:cantSplit/>
          <w:trHeight w:val="315"/>
        </w:trPr>
        <w:tc>
          <w:tcPr>
            <w:tcW w:w="6840" w:type="dxa"/>
          </w:tcPr>
          <w:p w:rsidR="00153392" w:rsidRDefault="00153392" w:rsidP="0001642A">
            <w:pPr>
              <w:tabs>
                <w:tab w:val="right" w:leader="dot" w:pos="9000"/>
              </w:tabs>
              <w:ind w:left="374"/>
              <w:rPr>
                <w:sz w:val="22"/>
                <w:szCs w:val="22"/>
              </w:rPr>
            </w:pPr>
            <w:r>
              <w:rPr>
                <w:sz w:val="22"/>
                <w:szCs w:val="22"/>
              </w:rPr>
              <w:t>For the transfer of an existing installation from one subscriber to another</w:t>
            </w:r>
            <w:r>
              <w:rPr>
                <w:sz w:val="22"/>
                <w:szCs w:val="22"/>
              </w:rPr>
              <w:tab/>
            </w:r>
          </w:p>
        </w:tc>
        <w:tc>
          <w:tcPr>
            <w:tcW w:w="1683" w:type="dxa"/>
          </w:tcPr>
          <w:p w:rsidR="00153392" w:rsidRDefault="00153392" w:rsidP="0001642A">
            <w:pPr>
              <w:tabs>
                <w:tab w:val="decimal" w:pos="576"/>
              </w:tabs>
              <w:rPr>
                <w:sz w:val="22"/>
                <w:szCs w:val="22"/>
              </w:rPr>
            </w:pPr>
          </w:p>
          <w:p w:rsidR="00153392" w:rsidRDefault="00153392" w:rsidP="0001642A">
            <w:pPr>
              <w:tabs>
                <w:tab w:val="decimal" w:pos="576"/>
              </w:tabs>
              <w:rPr>
                <w:sz w:val="22"/>
                <w:szCs w:val="22"/>
              </w:rPr>
            </w:pPr>
            <w:r>
              <w:rPr>
                <w:sz w:val="22"/>
                <w:szCs w:val="22"/>
              </w:rPr>
              <w:t>$ 10.00</w:t>
            </w:r>
          </w:p>
        </w:tc>
        <w:tc>
          <w:tcPr>
            <w:tcW w:w="1309" w:type="dxa"/>
            <w:gridSpan w:val="2"/>
          </w:tcPr>
          <w:p w:rsidR="00153392" w:rsidRDefault="00153392" w:rsidP="0001642A">
            <w:pPr>
              <w:tabs>
                <w:tab w:val="decimal" w:pos="432"/>
              </w:tabs>
              <w:rPr>
                <w:sz w:val="22"/>
                <w:szCs w:val="22"/>
              </w:rPr>
            </w:pPr>
          </w:p>
        </w:tc>
      </w:tr>
      <w:tr w:rsidR="00153392" w:rsidTr="0001642A">
        <w:trPr>
          <w:cantSplit/>
          <w:trHeight w:val="315"/>
        </w:trPr>
        <w:tc>
          <w:tcPr>
            <w:tcW w:w="6840" w:type="dxa"/>
          </w:tcPr>
          <w:p w:rsidR="00153392" w:rsidRDefault="00153392" w:rsidP="0001642A">
            <w:pPr>
              <w:tabs>
                <w:tab w:val="right" w:leader="dot" w:pos="9000"/>
              </w:tabs>
              <w:ind w:left="374"/>
              <w:rPr>
                <w:sz w:val="22"/>
                <w:szCs w:val="22"/>
              </w:rPr>
            </w:pPr>
            <w:r>
              <w:rPr>
                <w:sz w:val="22"/>
                <w:szCs w:val="22"/>
              </w:rPr>
              <w:t>For changes other than those specified, when made on request of the subscriber, the actual cost of labor and material.</w:t>
            </w:r>
          </w:p>
        </w:tc>
        <w:tc>
          <w:tcPr>
            <w:tcW w:w="1683" w:type="dxa"/>
          </w:tcPr>
          <w:p w:rsidR="00153392" w:rsidRDefault="00153392" w:rsidP="0001642A">
            <w:pPr>
              <w:tabs>
                <w:tab w:val="decimal" w:pos="576"/>
              </w:tabs>
              <w:rPr>
                <w:sz w:val="22"/>
                <w:szCs w:val="22"/>
              </w:rPr>
            </w:pPr>
          </w:p>
        </w:tc>
        <w:tc>
          <w:tcPr>
            <w:tcW w:w="1309" w:type="dxa"/>
            <w:gridSpan w:val="2"/>
          </w:tcPr>
          <w:p w:rsidR="00153392" w:rsidRDefault="00153392" w:rsidP="0001642A">
            <w:pPr>
              <w:tabs>
                <w:tab w:val="decimal" w:pos="432"/>
              </w:tabs>
              <w:rPr>
                <w:sz w:val="22"/>
                <w:szCs w:val="22"/>
              </w:rPr>
            </w:pPr>
          </w:p>
        </w:tc>
      </w:tr>
      <w:tr w:rsidR="00153392" w:rsidTr="0001642A">
        <w:trPr>
          <w:cantSplit/>
          <w:trHeight w:val="315"/>
        </w:trPr>
        <w:tc>
          <w:tcPr>
            <w:tcW w:w="6840" w:type="dxa"/>
          </w:tcPr>
          <w:p w:rsidR="00153392" w:rsidRDefault="00153392" w:rsidP="0001642A">
            <w:pPr>
              <w:tabs>
                <w:tab w:val="right" w:leader="dot" w:pos="9000"/>
              </w:tabs>
              <w:ind w:left="374"/>
              <w:rPr>
                <w:sz w:val="22"/>
                <w:szCs w:val="22"/>
              </w:rPr>
            </w:pPr>
            <w:r>
              <w:rPr>
                <w:sz w:val="22"/>
                <w:szCs w:val="22"/>
              </w:rPr>
              <w:t>For subscribers disconnected for non-payment, before service is again established</w:t>
            </w:r>
            <w:r>
              <w:rPr>
                <w:sz w:val="22"/>
                <w:szCs w:val="22"/>
              </w:rPr>
              <w:tab/>
            </w:r>
          </w:p>
        </w:tc>
        <w:tc>
          <w:tcPr>
            <w:tcW w:w="1683" w:type="dxa"/>
          </w:tcPr>
          <w:p w:rsidR="00153392" w:rsidRDefault="00153392" w:rsidP="0001642A">
            <w:pPr>
              <w:tabs>
                <w:tab w:val="decimal" w:pos="576"/>
              </w:tabs>
              <w:rPr>
                <w:sz w:val="22"/>
                <w:szCs w:val="22"/>
              </w:rPr>
            </w:pPr>
          </w:p>
          <w:p w:rsidR="00153392" w:rsidRDefault="00153392" w:rsidP="0001642A">
            <w:pPr>
              <w:tabs>
                <w:tab w:val="decimal" w:pos="576"/>
              </w:tabs>
              <w:rPr>
                <w:sz w:val="22"/>
                <w:szCs w:val="22"/>
              </w:rPr>
            </w:pPr>
            <w:r>
              <w:rPr>
                <w:sz w:val="22"/>
                <w:szCs w:val="22"/>
              </w:rPr>
              <w:t>$ 20.00</w:t>
            </w:r>
          </w:p>
        </w:tc>
        <w:tc>
          <w:tcPr>
            <w:tcW w:w="1309" w:type="dxa"/>
            <w:gridSpan w:val="2"/>
          </w:tcPr>
          <w:p w:rsidR="00153392" w:rsidRDefault="00153392" w:rsidP="0001642A">
            <w:pPr>
              <w:tabs>
                <w:tab w:val="decimal" w:pos="432"/>
              </w:tabs>
              <w:rPr>
                <w:sz w:val="22"/>
                <w:szCs w:val="22"/>
              </w:rPr>
            </w:pPr>
          </w:p>
        </w:tc>
      </w:tr>
    </w:tbl>
    <w:p w:rsidR="00153392" w:rsidRDefault="00153392" w:rsidP="00153392"/>
    <w:tbl>
      <w:tblPr>
        <w:tblW w:w="10278" w:type="dxa"/>
        <w:tblLayout w:type="fixed"/>
        <w:tblLook w:val="0000" w:firstRow="0" w:lastRow="0" w:firstColumn="0" w:lastColumn="0" w:noHBand="0" w:noVBand="0"/>
      </w:tblPr>
      <w:tblGrid>
        <w:gridCol w:w="482"/>
        <w:gridCol w:w="623"/>
        <w:gridCol w:w="5174"/>
        <w:gridCol w:w="2057"/>
        <w:gridCol w:w="1260"/>
        <w:gridCol w:w="236"/>
        <w:gridCol w:w="446"/>
      </w:tblGrid>
      <w:tr w:rsidR="00153392" w:rsidTr="0001642A">
        <w:trPr>
          <w:gridAfter w:val="1"/>
          <w:wAfter w:w="446" w:type="dxa"/>
          <w:cantSplit/>
          <w:trHeight w:val="315"/>
        </w:trPr>
        <w:tc>
          <w:tcPr>
            <w:tcW w:w="9832" w:type="dxa"/>
            <w:gridSpan w:val="6"/>
          </w:tcPr>
          <w:p w:rsidR="00153392" w:rsidRDefault="00153392" w:rsidP="0001642A">
            <w:pPr>
              <w:jc w:val="center"/>
              <w:rPr>
                <w:sz w:val="22"/>
                <w:szCs w:val="22"/>
                <w:u w:val="single"/>
              </w:rPr>
            </w:pPr>
            <w:r>
              <w:rPr>
                <w:sz w:val="22"/>
                <w:szCs w:val="22"/>
                <w:u w:val="single"/>
              </w:rPr>
              <w:t>MISCELLANEOUS RATES AND CHARGES</w:t>
            </w:r>
            <w:r>
              <w:rPr>
                <w:sz w:val="22"/>
                <w:szCs w:val="22"/>
                <w:u w:val="single"/>
              </w:rPr>
              <w:br/>
            </w:r>
          </w:p>
        </w:tc>
      </w:tr>
      <w:tr w:rsidR="00153392" w:rsidTr="0001642A">
        <w:trPr>
          <w:gridAfter w:val="1"/>
          <w:wAfter w:w="446" w:type="dxa"/>
          <w:cantSplit/>
          <w:trHeight w:val="315"/>
        </w:trPr>
        <w:tc>
          <w:tcPr>
            <w:tcW w:w="482" w:type="dxa"/>
          </w:tcPr>
          <w:p w:rsidR="00153392" w:rsidRDefault="00153392" w:rsidP="0001642A">
            <w:pPr>
              <w:rPr>
                <w:sz w:val="22"/>
                <w:szCs w:val="22"/>
              </w:rPr>
            </w:pPr>
          </w:p>
        </w:tc>
        <w:tc>
          <w:tcPr>
            <w:tcW w:w="623" w:type="dxa"/>
          </w:tcPr>
          <w:p w:rsidR="00153392" w:rsidRDefault="00153392" w:rsidP="0001642A">
            <w:pPr>
              <w:rPr>
                <w:sz w:val="22"/>
                <w:szCs w:val="22"/>
              </w:rPr>
            </w:pPr>
            <w:r>
              <w:rPr>
                <w:sz w:val="22"/>
                <w:szCs w:val="22"/>
              </w:rPr>
              <w:t>1.</w:t>
            </w:r>
          </w:p>
        </w:tc>
        <w:tc>
          <w:tcPr>
            <w:tcW w:w="8727" w:type="dxa"/>
            <w:gridSpan w:val="4"/>
          </w:tcPr>
          <w:p w:rsidR="00153392" w:rsidRDefault="00153392" w:rsidP="0001642A">
            <w:pPr>
              <w:rPr>
                <w:sz w:val="22"/>
                <w:szCs w:val="22"/>
              </w:rPr>
            </w:pPr>
            <w:r>
              <w:rPr>
                <w:sz w:val="22"/>
                <w:szCs w:val="22"/>
              </w:rPr>
              <w:t>Tele-Touch</w:t>
            </w:r>
          </w:p>
        </w:tc>
      </w:tr>
      <w:tr w:rsidR="00153392" w:rsidTr="0001642A">
        <w:trPr>
          <w:gridAfter w:val="1"/>
          <w:wAfter w:w="446" w:type="dxa"/>
          <w:cantSplit/>
          <w:trHeight w:val="315"/>
        </w:trPr>
        <w:tc>
          <w:tcPr>
            <w:tcW w:w="9596" w:type="dxa"/>
            <w:gridSpan w:val="5"/>
          </w:tcPr>
          <w:p w:rsidR="00153392" w:rsidRDefault="00153392" w:rsidP="0001642A">
            <w:pPr>
              <w:jc w:val="center"/>
            </w:pPr>
          </w:p>
        </w:tc>
        <w:tc>
          <w:tcPr>
            <w:tcW w:w="236" w:type="dxa"/>
          </w:tcPr>
          <w:p w:rsidR="00153392" w:rsidRDefault="00153392" w:rsidP="0001642A"/>
        </w:tc>
      </w:tr>
      <w:tr w:rsidR="00153392" w:rsidTr="0001642A">
        <w:trPr>
          <w:cantSplit/>
          <w:trHeight w:val="315"/>
        </w:trPr>
        <w:tc>
          <w:tcPr>
            <w:tcW w:w="482" w:type="dxa"/>
          </w:tcPr>
          <w:p w:rsidR="00153392" w:rsidRDefault="00153392" w:rsidP="0001642A">
            <w:pPr>
              <w:rPr>
                <w:sz w:val="22"/>
                <w:szCs w:val="22"/>
              </w:rPr>
            </w:pPr>
          </w:p>
        </w:tc>
        <w:tc>
          <w:tcPr>
            <w:tcW w:w="9114" w:type="dxa"/>
            <w:gridSpan w:val="4"/>
          </w:tcPr>
          <w:p w:rsidR="00153392" w:rsidRDefault="00153392" w:rsidP="0001642A">
            <w:pPr>
              <w:ind w:left="58"/>
              <w:rPr>
                <w:sz w:val="22"/>
                <w:szCs w:val="22"/>
              </w:rPr>
            </w:pPr>
            <w:r>
              <w:rPr>
                <w:sz w:val="22"/>
                <w:szCs w:val="22"/>
              </w:rPr>
              <w:t>The rate for this service, which is more commonly known as push button or touch tone dialing, is included in the monthly exchange rates set forth in Section 1, Sheet No. 2 herein.</w:t>
            </w:r>
          </w:p>
          <w:p w:rsidR="00153392" w:rsidRDefault="00153392" w:rsidP="0001642A">
            <w:pPr>
              <w:rPr>
                <w:sz w:val="22"/>
                <w:szCs w:val="22"/>
              </w:rPr>
            </w:pPr>
          </w:p>
        </w:tc>
        <w:tc>
          <w:tcPr>
            <w:tcW w:w="682" w:type="dxa"/>
            <w:gridSpan w:val="2"/>
          </w:tcPr>
          <w:p w:rsidR="00153392" w:rsidRDefault="00153392" w:rsidP="0001642A">
            <w:pPr>
              <w:rPr>
                <w:sz w:val="22"/>
                <w:szCs w:val="22"/>
              </w:rPr>
            </w:pPr>
            <w:r>
              <w:rPr>
                <w:sz w:val="22"/>
                <w:szCs w:val="22"/>
              </w:rPr>
              <w:t>(C)</w:t>
            </w:r>
          </w:p>
        </w:tc>
      </w:tr>
      <w:tr w:rsidR="00153392" w:rsidTr="0001642A">
        <w:trPr>
          <w:gridAfter w:val="1"/>
          <w:wAfter w:w="446" w:type="dxa"/>
          <w:cantSplit/>
          <w:trHeight w:val="315"/>
        </w:trPr>
        <w:tc>
          <w:tcPr>
            <w:tcW w:w="482" w:type="dxa"/>
          </w:tcPr>
          <w:p w:rsidR="00153392" w:rsidRDefault="00153392" w:rsidP="0001642A">
            <w:pPr>
              <w:rPr>
                <w:sz w:val="22"/>
                <w:szCs w:val="22"/>
              </w:rPr>
            </w:pPr>
          </w:p>
        </w:tc>
        <w:tc>
          <w:tcPr>
            <w:tcW w:w="5797" w:type="dxa"/>
            <w:gridSpan w:val="2"/>
          </w:tcPr>
          <w:p w:rsidR="00153392" w:rsidRDefault="00153392" w:rsidP="0001642A">
            <w:pPr>
              <w:rPr>
                <w:sz w:val="22"/>
                <w:szCs w:val="22"/>
              </w:rPr>
            </w:pPr>
          </w:p>
        </w:tc>
        <w:tc>
          <w:tcPr>
            <w:tcW w:w="2057" w:type="dxa"/>
          </w:tcPr>
          <w:p w:rsidR="00153392" w:rsidRDefault="00153392" w:rsidP="0001642A">
            <w:pPr>
              <w:jc w:val="center"/>
              <w:rPr>
                <w:sz w:val="22"/>
                <w:szCs w:val="22"/>
              </w:rPr>
            </w:pPr>
          </w:p>
        </w:tc>
        <w:tc>
          <w:tcPr>
            <w:tcW w:w="1260" w:type="dxa"/>
          </w:tcPr>
          <w:p w:rsidR="00153392" w:rsidRDefault="00153392" w:rsidP="0001642A">
            <w:pPr>
              <w:jc w:val="center"/>
              <w:rPr>
                <w:sz w:val="22"/>
                <w:szCs w:val="22"/>
              </w:rPr>
            </w:pPr>
          </w:p>
        </w:tc>
        <w:tc>
          <w:tcPr>
            <w:tcW w:w="236" w:type="dxa"/>
          </w:tcPr>
          <w:p w:rsidR="00153392" w:rsidRDefault="00153392" w:rsidP="0001642A">
            <w:pPr>
              <w:rPr>
                <w:sz w:val="22"/>
                <w:szCs w:val="22"/>
              </w:rPr>
            </w:pPr>
          </w:p>
        </w:tc>
      </w:tr>
      <w:tr w:rsidR="00153392" w:rsidTr="0001642A">
        <w:trPr>
          <w:gridAfter w:val="1"/>
          <w:wAfter w:w="446" w:type="dxa"/>
          <w:cantSplit/>
          <w:trHeight w:val="315"/>
        </w:trPr>
        <w:tc>
          <w:tcPr>
            <w:tcW w:w="482" w:type="dxa"/>
          </w:tcPr>
          <w:p w:rsidR="00153392" w:rsidRDefault="00153392" w:rsidP="0001642A">
            <w:pPr>
              <w:rPr>
                <w:sz w:val="22"/>
                <w:szCs w:val="22"/>
              </w:rPr>
            </w:pPr>
          </w:p>
        </w:tc>
        <w:tc>
          <w:tcPr>
            <w:tcW w:w="9114" w:type="dxa"/>
            <w:gridSpan w:val="4"/>
          </w:tcPr>
          <w:p w:rsidR="00153392" w:rsidRDefault="00153392" w:rsidP="0001642A">
            <w:pPr>
              <w:rPr>
                <w:sz w:val="22"/>
                <w:szCs w:val="22"/>
              </w:rPr>
            </w:pPr>
            <w:r>
              <w:rPr>
                <w:sz w:val="22"/>
                <w:szCs w:val="22"/>
              </w:rPr>
              <w:t>The above stated monthly charges are in addition to other charges for telephone service contained in other sections of this tariff.  The charges are calculated on a per-line basis.  All other normal installation, move or change charges will apply as set forth on other pages of this tariff.</w:t>
            </w:r>
          </w:p>
        </w:tc>
        <w:tc>
          <w:tcPr>
            <w:tcW w:w="236" w:type="dxa"/>
          </w:tcPr>
          <w:p w:rsidR="00153392" w:rsidRDefault="00153392" w:rsidP="0001642A">
            <w:pPr>
              <w:rPr>
                <w:sz w:val="22"/>
                <w:szCs w:val="22"/>
              </w:rPr>
            </w:pPr>
          </w:p>
        </w:tc>
      </w:tr>
    </w:tbl>
    <w:p w:rsidR="00153392" w:rsidRDefault="00153392" w:rsidP="00153392">
      <w:pPr>
        <w:pStyle w:val="Body1default"/>
      </w:pPr>
    </w:p>
    <w:sectPr w:rsidR="0015339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50" w:rsidRDefault="00A61150" w:rsidP="00045AAE">
      <w:r>
        <w:separator/>
      </w:r>
    </w:p>
  </w:endnote>
  <w:endnote w:type="continuationSeparator" w:id="0">
    <w:p w:rsidR="00A61150" w:rsidRDefault="00A61150"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92" w:rsidRDefault="00153392" w:rsidP="00153392">
    <w:pPr>
      <w:pStyle w:val="Footer"/>
      <w:rPr>
        <w:noProof/>
        <w:sz w:val="20"/>
      </w:rPr>
    </w:pPr>
    <w:r w:rsidRPr="00670DDD">
      <w:rPr>
        <w:rFonts w:asciiTheme="majorHAnsi" w:hAnsiTheme="majorHAnsi" w:cstheme="majorHAnsi"/>
        <w:noProof/>
        <w:sz w:val="18"/>
        <w:szCs w:val="18"/>
      </w:rPr>
      <w:drawing>
        <wp:anchor distT="0" distB="0" distL="114300" distR="114300" simplePos="0" relativeHeight="251659264" behindDoc="0" locked="0" layoutInCell="1" allowOverlap="1" wp14:anchorId="78E118E0" wp14:editId="6E8443F5">
          <wp:simplePos x="0" y="0"/>
          <wp:positionH relativeFrom="page">
            <wp:align>center</wp:align>
          </wp:positionH>
          <wp:positionV relativeFrom="page">
            <wp:posOffset>9180195</wp:posOffset>
          </wp:positionV>
          <wp:extent cx="6019800" cy="675321"/>
          <wp:effectExtent l="0" t="0" r="0" b="0"/>
          <wp:wrapNone/>
          <wp:docPr id="2" name="Picture 2"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670DDD">
        <w:rPr>
          <w:rFonts w:asciiTheme="majorHAnsi" w:hAnsiTheme="majorHAnsi" w:cstheme="majorHAnsi"/>
          <w:sz w:val="18"/>
          <w:szCs w:val="18"/>
        </w:rPr>
        <w:t>Carolyn.Flahive@ThompsonHine.com</w:t>
      </w:r>
    </w:hyperlink>
    <w:r w:rsidRPr="001979A2">
      <w:rPr>
        <w:rFonts w:asciiTheme="majorHAnsi" w:hAnsiTheme="majorHAnsi" w:cstheme="majorHAnsi"/>
        <w:noProof/>
        <w:sz w:val="18"/>
        <w:szCs w:val="18"/>
      </w:rPr>
      <w:t xml:space="preserve"> Ph: 614-469-3294 Fax: 614-469-3361</w:t>
    </w:r>
    <w:r>
      <w:rPr>
        <w:noProof/>
        <w:sz w:val="20"/>
      </w:rPr>
      <w:t xml:space="preserve">                     </w:t>
    </w:r>
    <w:r>
      <w:rPr>
        <w:noProof/>
        <w:sz w:val="20"/>
      </w:rPr>
      <w:tab/>
      <w:t xml:space="preserve"> </w:t>
    </w:r>
    <w:r w:rsidRPr="00670DDD">
      <w:rPr>
        <w:rStyle w:val="DocID"/>
      </w:rPr>
      <w:fldChar w:fldCharType="begin"/>
    </w:r>
    <w:r w:rsidRPr="00670DDD">
      <w:rPr>
        <w:rStyle w:val="DocID"/>
      </w:rPr>
      <w:instrText xml:space="preserve"> DOCPROPERTY "DocID" \* MERGEFORMAT </w:instrText>
    </w:r>
    <w:r w:rsidRPr="00670DDD">
      <w:rPr>
        <w:rStyle w:val="DocID"/>
      </w:rPr>
      <w:fldChar w:fldCharType="separate"/>
    </w:r>
    <w:r w:rsidR="003D4470">
      <w:rPr>
        <w:rStyle w:val="DocID"/>
      </w:rPr>
      <w:t>709255.1</w:t>
    </w:r>
    <w:r w:rsidRPr="00670DDD">
      <w:rPr>
        <w:rStyle w:val="DocID"/>
      </w:rPr>
      <w:fldChar w:fldCharType="end"/>
    </w:r>
  </w:p>
  <w:p w:rsidR="00153392" w:rsidRDefault="00153392">
    <w:pPr>
      <w:pStyle w:val="Footer"/>
      <w:jc w:val="center"/>
      <w:rPr>
        <w:noProof/>
        <w:sz w:val="20"/>
      </w:rPr>
    </w:pPr>
  </w:p>
  <w:p w:rsidR="00153392" w:rsidRPr="001027DF" w:rsidRDefault="00153392">
    <w:pPr>
      <w:pStyle w:val="Footer"/>
      <w:jc w:val="center"/>
      <w:rPr>
        <w:sz w:val="20"/>
      </w:rPr>
    </w:pPr>
  </w:p>
  <w:p w:rsidR="00153392" w:rsidRDefault="00153392" w:rsidP="0050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92" w:rsidRDefault="00153392">
    <w:pPr>
      <w:pStyle w:val="Footer"/>
      <w:jc w:val="center"/>
      <w:rPr>
        <w:sz w:val="20"/>
        <w:szCs w:val="20"/>
      </w:rPr>
    </w:pPr>
    <w:r>
      <w:rPr>
        <w:sz w:val="20"/>
        <w:szCs w:val="20"/>
      </w:rPr>
      <w:t xml:space="preserve"> </w:t>
    </w:r>
  </w:p>
  <w:p w:rsidR="00153392" w:rsidRDefault="00153392" w:rsidP="008041AB">
    <w:pPr>
      <w:pBdr>
        <w:top w:val="single" w:sz="4" w:space="1" w:color="auto"/>
      </w:pBdr>
      <w:tabs>
        <w:tab w:val="right" w:pos="9360"/>
        <w:tab w:val="left" w:pos="9990"/>
      </w:tabs>
      <w:jc w:val="both"/>
      <w:rPr>
        <w:sz w:val="22"/>
      </w:rPr>
    </w:pPr>
    <w:r>
      <w:rPr>
        <w:sz w:val="22"/>
      </w:rPr>
      <w:t>Issued: May 7, 2012</w:t>
    </w:r>
    <w:r>
      <w:rPr>
        <w:sz w:val="22"/>
      </w:rPr>
      <w:tab/>
      <w:t xml:space="preserve">Effective: </w:t>
    </w:r>
    <w:r w:rsidR="00E06D95">
      <w:rPr>
        <w:sz w:val="22"/>
      </w:rPr>
      <w:t>August 1, 2012</w:t>
    </w:r>
  </w:p>
  <w:p w:rsidR="00153392" w:rsidRDefault="00153392" w:rsidP="008041AB">
    <w:pPr>
      <w:pStyle w:val="Footer"/>
      <w:jc w:val="center"/>
      <w:rPr>
        <w:sz w:val="22"/>
      </w:rPr>
    </w:pPr>
    <w:r>
      <w:rPr>
        <w:sz w:val="22"/>
      </w:rPr>
      <w:t>In Accordance with Case No. 12-1489-</w:t>
    </w:r>
    <w:proofErr w:type="spellStart"/>
    <w:r>
      <w:rPr>
        <w:sz w:val="22"/>
      </w:rPr>
      <w:t>TP</w:t>
    </w:r>
    <w:proofErr w:type="spellEnd"/>
    <w:r>
      <w:rPr>
        <w:sz w:val="22"/>
      </w:rPr>
      <w:t>-ATA</w:t>
    </w:r>
  </w:p>
  <w:p w:rsidR="00153392" w:rsidRDefault="00153392" w:rsidP="008041AB">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153392" w:rsidRDefault="00153392" w:rsidP="008041AB">
    <w:pPr>
      <w:tabs>
        <w:tab w:val="left" w:pos="5940"/>
        <w:tab w:val="left" w:pos="7470"/>
        <w:tab w:val="left" w:pos="7560"/>
        <w:tab w:val="left" w:pos="7740"/>
        <w:tab w:val="left" w:pos="8640"/>
        <w:tab w:val="left" w:pos="9360"/>
        <w:tab w:val="left" w:pos="9990"/>
      </w:tabs>
      <w:jc w:val="center"/>
      <w:rPr>
        <w:sz w:val="22"/>
      </w:rPr>
    </w:pPr>
    <w:r>
      <w:rPr>
        <w:sz w:val="22"/>
      </w:rPr>
      <w:t>Ken Johnson, General Manager</w:t>
    </w:r>
  </w:p>
  <w:p w:rsidR="00153392" w:rsidRPr="008041AB" w:rsidRDefault="00153392" w:rsidP="008041AB">
    <w:pPr>
      <w:pStyle w:val="Footer"/>
      <w:jc w:val="center"/>
      <w:rPr>
        <w:sz w:val="22"/>
      </w:rPr>
    </w:pPr>
    <w:r>
      <w:rPr>
        <w:sz w:val="22"/>
        <w:szCs w:val="22"/>
      </w:rPr>
      <w:t>Conneaut</w:t>
    </w:r>
    <w:r>
      <w:rPr>
        <w:sz w:val="22"/>
      </w:rPr>
      <w:t>, Ohio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92" w:rsidRDefault="00153392" w:rsidP="00AD01DE">
    <w:pPr>
      <w:pBdr>
        <w:top w:val="single" w:sz="4" w:space="1" w:color="auto"/>
      </w:pBdr>
      <w:tabs>
        <w:tab w:val="right" w:pos="9360"/>
        <w:tab w:val="left" w:pos="9990"/>
      </w:tabs>
      <w:jc w:val="both"/>
      <w:rPr>
        <w:sz w:val="22"/>
      </w:rPr>
    </w:pPr>
    <w:r>
      <w:rPr>
        <w:sz w:val="22"/>
      </w:rPr>
      <w:t>Issued: May 7, 2012</w:t>
    </w:r>
    <w:r>
      <w:rPr>
        <w:sz w:val="22"/>
      </w:rPr>
      <w:tab/>
      <w:t xml:space="preserve">Effective: </w:t>
    </w:r>
    <w:r w:rsidR="00E06D95">
      <w:rPr>
        <w:sz w:val="22"/>
      </w:rPr>
      <w:t>August 1, 2012</w:t>
    </w:r>
  </w:p>
  <w:p w:rsidR="00153392" w:rsidRDefault="00153392" w:rsidP="00AD01DE">
    <w:pPr>
      <w:pStyle w:val="Footer"/>
      <w:jc w:val="center"/>
      <w:rPr>
        <w:sz w:val="22"/>
      </w:rPr>
    </w:pPr>
    <w:r>
      <w:rPr>
        <w:sz w:val="22"/>
      </w:rPr>
      <w:t>In Accordance with Case No. 12-1489-</w:t>
    </w:r>
    <w:proofErr w:type="spellStart"/>
    <w:r>
      <w:rPr>
        <w:sz w:val="22"/>
      </w:rPr>
      <w:t>TP</w:t>
    </w:r>
    <w:proofErr w:type="spellEnd"/>
    <w:r>
      <w:rPr>
        <w:sz w:val="22"/>
      </w:rPr>
      <w:t>-ATA</w:t>
    </w:r>
  </w:p>
  <w:p w:rsidR="00153392" w:rsidRDefault="00153392" w:rsidP="00AD01DE">
    <w:pPr>
      <w:tabs>
        <w:tab w:val="left" w:pos="5940"/>
        <w:tab w:val="left" w:pos="7470"/>
        <w:tab w:val="left" w:pos="7560"/>
        <w:tab w:val="left" w:pos="7740"/>
        <w:tab w:val="left" w:pos="8640"/>
        <w:tab w:val="left" w:pos="9360"/>
        <w:tab w:val="left" w:pos="9990"/>
      </w:tabs>
      <w:jc w:val="center"/>
      <w:rPr>
        <w:sz w:val="22"/>
      </w:rPr>
    </w:pPr>
    <w:r>
      <w:rPr>
        <w:sz w:val="22"/>
      </w:rPr>
      <w:t>Issued by the Public Utilities Commission of Ohio</w:t>
    </w:r>
  </w:p>
  <w:p w:rsidR="00153392" w:rsidRDefault="00153392" w:rsidP="00AD01DE">
    <w:pPr>
      <w:tabs>
        <w:tab w:val="left" w:pos="5940"/>
        <w:tab w:val="left" w:pos="7470"/>
        <w:tab w:val="left" w:pos="7560"/>
        <w:tab w:val="left" w:pos="7740"/>
        <w:tab w:val="left" w:pos="8640"/>
        <w:tab w:val="left" w:pos="9360"/>
        <w:tab w:val="left" w:pos="9990"/>
      </w:tabs>
      <w:jc w:val="center"/>
      <w:rPr>
        <w:sz w:val="22"/>
      </w:rPr>
    </w:pPr>
    <w:r>
      <w:rPr>
        <w:sz w:val="22"/>
      </w:rPr>
      <w:t>Ken Johnson, General Manager</w:t>
    </w:r>
  </w:p>
  <w:p w:rsidR="00153392" w:rsidRDefault="00153392" w:rsidP="00AD01DE">
    <w:pPr>
      <w:pStyle w:val="Footer"/>
      <w:jc w:val="center"/>
      <w:rPr>
        <w:sz w:val="22"/>
      </w:rPr>
    </w:pPr>
    <w:r>
      <w:rPr>
        <w:sz w:val="22"/>
        <w:szCs w:val="22"/>
      </w:rPr>
      <w:t>Conneaut</w:t>
    </w:r>
    <w:r>
      <w:rPr>
        <w:sz w:val="22"/>
      </w:rPr>
      <w:t>,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50" w:rsidRDefault="00A61150" w:rsidP="00045AAE">
      <w:r>
        <w:separator/>
      </w:r>
    </w:p>
  </w:footnote>
  <w:footnote w:type="continuationSeparator" w:id="0">
    <w:p w:rsidR="00A61150" w:rsidRDefault="00A61150"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92" w:rsidRDefault="00153392">
    <w:pPr>
      <w:pStyle w:val="Header"/>
    </w:pPr>
    <w:r>
      <w:rPr>
        <w:noProof/>
      </w:rPr>
      <w:drawing>
        <wp:anchor distT="0" distB="0" distL="114300" distR="114300" simplePos="0" relativeHeight="251660288" behindDoc="0" locked="0" layoutInCell="1" allowOverlap="1" wp14:anchorId="23D81EFE" wp14:editId="3529AD32">
          <wp:simplePos x="0" y="0"/>
          <wp:positionH relativeFrom="page">
            <wp:posOffset>859155</wp:posOffset>
          </wp:positionH>
          <wp:positionV relativeFrom="page">
            <wp:posOffset>365760</wp:posOffset>
          </wp:positionV>
          <wp:extent cx="6043930" cy="597535"/>
          <wp:effectExtent l="0" t="0" r="0" b="0"/>
          <wp:wrapNone/>
          <wp:docPr id="1" name="Picture 1"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92" w:rsidRDefault="00153392" w:rsidP="008041AB">
    <w:pPr>
      <w:tabs>
        <w:tab w:val="right" w:pos="9360"/>
      </w:tabs>
      <w:rPr>
        <w:sz w:val="22"/>
        <w:szCs w:val="22"/>
      </w:rPr>
    </w:pPr>
    <w:r>
      <w:rPr>
        <w:sz w:val="22"/>
        <w:szCs w:val="22"/>
      </w:rPr>
      <w:t>Conneaut Telephone Company</w:t>
    </w:r>
    <w:r>
      <w:rPr>
        <w:sz w:val="22"/>
        <w:szCs w:val="22"/>
      </w:rPr>
      <w:tab/>
      <w:t>Section No. 1</w:t>
    </w:r>
  </w:p>
  <w:p w:rsidR="00153392" w:rsidRDefault="00153392" w:rsidP="008041AB">
    <w:pPr>
      <w:tabs>
        <w:tab w:val="right" w:pos="9360"/>
      </w:tabs>
      <w:rPr>
        <w:sz w:val="22"/>
        <w:szCs w:val="22"/>
      </w:rPr>
    </w:pPr>
    <w:r>
      <w:rPr>
        <w:sz w:val="22"/>
        <w:szCs w:val="22"/>
      </w:rPr>
      <w:t xml:space="preserve">Conneaut, Ohio </w:t>
    </w:r>
    <w:r>
      <w:rPr>
        <w:sz w:val="22"/>
        <w:szCs w:val="22"/>
      </w:rPr>
      <w:tab/>
      <w:t>Second Revised Sheet No. 2</w:t>
    </w:r>
  </w:p>
  <w:p w:rsidR="00153392" w:rsidRDefault="00153392" w:rsidP="008041AB">
    <w:pPr>
      <w:tabs>
        <w:tab w:val="right" w:pos="9360"/>
      </w:tabs>
      <w:rPr>
        <w:sz w:val="22"/>
        <w:szCs w:val="22"/>
      </w:rPr>
    </w:pPr>
    <w:r>
      <w:rPr>
        <w:sz w:val="22"/>
        <w:szCs w:val="22"/>
      </w:rPr>
      <w:tab/>
      <w:t>Replaces First Revised Sheet No. 2</w:t>
    </w:r>
  </w:p>
  <w:p w:rsidR="00153392" w:rsidRDefault="00153392" w:rsidP="008041AB">
    <w:pPr>
      <w:tabs>
        <w:tab w:val="right" w:pos="9360"/>
      </w:tabs>
      <w:jc w:val="center"/>
      <w:rPr>
        <w:sz w:val="22"/>
        <w:szCs w:val="22"/>
      </w:rPr>
    </w:pPr>
    <w:proofErr w:type="spellStart"/>
    <w:r>
      <w:rPr>
        <w:sz w:val="22"/>
        <w:szCs w:val="22"/>
      </w:rPr>
      <w:t>P.U.C.O</w:t>
    </w:r>
    <w:proofErr w:type="spellEnd"/>
    <w:r>
      <w:rPr>
        <w:sz w:val="22"/>
        <w:szCs w:val="22"/>
      </w:rPr>
      <w:t>. NO. 7</w:t>
    </w:r>
  </w:p>
  <w:p w:rsidR="00153392" w:rsidRDefault="00153392" w:rsidP="008041AB">
    <w:pPr>
      <w:tabs>
        <w:tab w:val="right" w:pos="9360"/>
      </w:tabs>
      <w:rPr>
        <w:sz w:val="22"/>
        <w:szCs w:val="22"/>
        <w:u w:val="single"/>
      </w:rPr>
    </w:pPr>
    <w:r>
      <w:rPr>
        <w:sz w:val="22"/>
        <w:szCs w:val="22"/>
        <w:u w:val="single"/>
      </w:rPr>
      <w:tab/>
    </w:r>
  </w:p>
  <w:p w:rsidR="00153392" w:rsidRDefault="00153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392" w:rsidRDefault="00153392">
    <w:pPr>
      <w:tabs>
        <w:tab w:val="right" w:pos="9360"/>
      </w:tabs>
      <w:rPr>
        <w:sz w:val="22"/>
        <w:szCs w:val="22"/>
      </w:rPr>
    </w:pPr>
    <w:r>
      <w:rPr>
        <w:sz w:val="22"/>
        <w:szCs w:val="22"/>
      </w:rPr>
      <w:t>Conneaut Telephone Company</w:t>
    </w:r>
    <w:r>
      <w:rPr>
        <w:sz w:val="22"/>
        <w:szCs w:val="22"/>
      </w:rPr>
      <w:tab/>
      <w:t>Section No. 1</w:t>
    </w:r>
  </w:p>
  <w:p w:rsidR="00153392" w:rsidRDefault="00153392">
    <w:pPr>
      <w:tabs>
        <w:tab w:val="right" w:pos="9360"/>
      </w:tabs>
      <w:rPr>
        <w:sz w:val="22"/>
        <w:szCs w:val="22"/>
      </w:rPr>
    </w:pPr>
    <w:r>
      <w:rPr>
        <w:sz w:val="22"/>
        <w:szCs w:val="22"/>
      </w:rPr>
      <w:t>Conneaut, Ohio</w:t>
    </w:r>
    <w:r>
      <w:rPr>
        <w:sz w:val="22"/>
        <w:szCs w:val="22"/>
      </w:rPr>
      <w:tab/>
      <w:t>First Revised Sheet No. 5</w:t>
    </w:r>
  </w:p>
  <w:p w:rsidR="00153392" w:rsidRDefault="00153392" w:rsidP="00AD01DE">
    <w:pPr>
      <w:tabs>
        <w:tab w:val="right" w:pos="9360"/>
      </w:tabs>
      <w:jc w:val="right"/>
      <w:rPr>
        <w:sz w:val="22"/>
        <w:szCs w:val="22"/>
      </w:rPr>
    </w:pPr>
    <w:r>
      <w:rPr>
        <w:sz w:val="22"/>
        <w:szCs w:val="22"/>
      </w:rPr>
      <w:t>Replaces Original Sheet No. 5</w:t>
    </w:r>
  </w:p>
  <w:p w:rsidR="00153392" w:rsidRDefault="00153392">
    <w:pPr>
      <w:tabs>
        <w:tab w:val="right" w:pos="9360"/>
      </w:tabs>
      <w:jc w:val="center"/>
      <w:rPr>
        <w:sz w:val="22"/>
        <w:szCs w:val="22"/>
      </w:rPr>
    </w:pPr>
    <w:r>
      <w:rPr>
        <w:sz w:val="22"/>
        <w:szCs w:val="22"/>
      </w:rPr>
      <w:t>PUCO NO.  7</w:t>
    </w:r>
  </w:p>
  <w:p w:rsidR="00153392" w:rsidRDefault="00153392">
    <w:pPr>
      <w:tabs>
        <w:tab w:val="right" w:pos="9360"/>
      </w:tabs>
      <w:rPr>
        <w:sz w:val="22"/>
        <w:szCs w:val="22"/>
      </w:rPr>
    </w:pPr>
    <w:r>
      <w:rPr>
        <w:sz w:val="22"/>
        <w:szCs w:val="22"/>
        <w:u w:val="single"/>
      </w:rPr>
      <w:tab/>
    </w:r>
  </w:p>
  <w:p w:rsidR="00153392" w:rsidRDefault="00153392">
    <w:pPr>
      <w:tabs>
        <w:tab w:val="right" w:pos="9360"/>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A61150"/>
    <w:rsid w:val="00045AAE"/>
    <w:rsid w:val="00153392"/>
    <w:rsid w:val="001726D8"/>
    <w:rsid w:val="00255CF7"/>
    <w:rsid w:val="003265B8"/>
    <w:rsid w:val="003B3E9A"/>
    <w:rsid w:val="003D4470"/>
    <w:rsid w:val="006036E6"/>
    <w:rsid w:val="00713405"/>
    <w:rsid w:val="009512CC"/>
    <w:rsid w:val="00A61150"/>
    <w:rsid w:val="00C66A5C"/>
    <w:rsid w:val="00C751CB"/>
    <w:rsid w:val="00CB6376"/>
    <w:rsid w:val="00CF3FD9"/>
    <w:rsid w:val="00D83C7D"/>
    <w:rsid w:val="00E06D95"/>
    <w:rsid w:val="00E70231"/>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place"/>
  <w:smartTagType w:namespaceuri="urn:schemas:contacts" w:name="middlename"/>
  <w:smartTagType w:namespaceuri="urn:schemas:contacts" w:name="Sn"/>
  <w:smartTagType w:namespaceuri="urn:schemas:contacts" w:name="titl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3392"/>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styleId="BalloonText">
    <w:name w:val="Balloon Text"/>
    <w:basedOn w:val="Normal"/>
    <w:link w:val="BalloonTextChar"/>
    <w:uiPriority w:val="99"/>
    <w:semiHidden/>
    <w:unhideWhenUsed/>
    <w:rsid w:val="00A6115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61150"/>
    <w:rPr>
      <w:rFonts w:ascii="Tahoma" w:hAnsi="Tahoma" w:cs="Tahoma"/>
      <w:sz w:val="16"/>
      <w:szCs w:val="16"/>
    </w:rPr>
  </w:style>
  <w:style w:type="character" w:customStyle="1" w:styleId="DocID">
    <w:name w:val="DocID"/>
    <w:basedOn w:val="DefaultParagraphFont"/>
    <w:rsid w:val="00153392"/>
    <w:rPr>
      <w:rFonts w:ascii="Times New Roman" w:hAnsi="Times New Roman" w:cs="Times New Roman"/>
      <w:b w:val="0"/>
      <w:i w:val="0"/>
      <w:iCs/>
      <w:snapToGrid w:val="0"/>
      <w:vanish w:val="0"/>
      <w:color w:val="000000"/>
      <w:sz w:val="16"/>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3392"/>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rFonts w:eastAsiaTheme="minorHAnsi" w:cstheme="minorBidi"/>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eastAsiaTheme="minorHAnsi" w:hAnsi="Arial" w:cstheme="minorBidi"/>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rFonts w:eastAsiaTheme="minorHAnsi" w:cstheme="minorBidi"/>
      <w:color w:val="000000" w:themeColor="text1"/>
    </w:rPr>
  </w:style>
  <w:style w:type="paragraph" w:customStyle="1" w:styleId="Block1">
    <w:name w:val="Block 1&quot;"/>
    <w:basedOn w:val="Normal"/>
    <w:qFormat/>
    <w:rsid w:val="00255CF7"/>
    <w:pPr>
      <w:spacing w:after="240"/>
      <w:ind w:left="1440" w:right="1440"/>
    </w:pPr>
    <w:rPr>
      <w:rFonts w:eastAsiaTheme="minorHAnsi" w:cstheme="minorBidi"/>
      <w:color w:val="000000" w:themeColor="text1"/>
    </w:rPr>
  </w:style>
  <w:style w:type="paragraph" w:customStyle="1" w:styleId="Block15">
    <w:name w:val="Block 1.5&quot;"/>
    <w:basedOn w:val="Normal"/>
    <w:qFormat/>
    <w:rsid w:val="00255CF7"/>
    <w:pPr>
      <w:spacing w:after="240"/>
      <w:ind w:left="2160" w:right="2160"/>
    </w:pPr>
    <w:rPr>
      <w:rFonts w:eastAsiaTheme="minorHAnsi" w:cstheme="minorBidi"/>
      <w:color w:val="000000" w:themeColor="text1"/>
    </w:rPr>
  </w:style>
  <w:style w:type="paragraph" w:customStyle="1" w:styleId="Body1Ind1F">
    <w:name w:val="Body 1 Ind 1: F"/>
    <w:basedOn w:val="Normal"/>
    <w:qFormat/>
    <w:rsid w:val="00255CF7"/>
    <w:pPr>
      <w:spacing w:after="240"/>
      <w:ind w:firstLine="720"/>
    </w:pPr>
    <w:rPr>
      <w:rFonts w:eastAsiaTheme="minorHAnsi" w:cstheme="minorBidi"/>
      <w:color w:val="000000" w:themeColor="text1"/>
    </w:rPr>
  </w:style>
  <w:style w:type="paragraph" w:customStyle="1" w:styleId="Body1Ind2F">
    <w:name w:val="Body 1 Ind 2: F"/>
    <w:basedOn w:val="Normal"/>
    <w:qFormat/>
    <w:rsid w:val="00D83C7D"/>
    <w:pPr>
      <w:spacing w:after="240"/>
      <w:ind w:left="720" w:firstLine="720"/>
    </w:pPr>
    <w:rPr>
      <w:rFonts w:eastAsiaTheme="minorHAnsi" w:cstheme="minorBidi"/>
      <w:color w:val="000000" w:themeColor="text1"/>
    </w:rPr>
  </w:style>
  <w:style w:type="paragraph" w:customStyle="1" w:styleId="Body1Ind1L">
    <w:name w:val="Body 1 Ind 1: L"/>
    <w:basedOn w:val="Normal"/>
    <w:qFormat/>
    <w:rsid w:val="00255CF7"/>
    <w:pPr>
      <w:spacing w:after="240"/>
      <w:ind w:left="720"/>
    </w:pPr>
    <w:rPr>
      <w:rFonts w:eastAsiaTheme="minorHAnsi" w:cstheme="minorBidi"/>
      <w:color w:val="000000" w:themeColor="text1"/>
    </w:rPr>
  </w:style>
  <w:style w:type="paragraph" w:customStyle="1" w:styleId="Body1Ind2L">
    <w:name w:val="Body 1 Ind 2: L"/>
    <w:basedOn w:val="Normal"/>
    <w:qFormat/>
    <w:rsid w:val="001726D8"/>
    <w:pPr>
      <w:spacing w:after="240"/>
      <w:ind w:left="1440"/>
    </w:pPr>
    <w:rPr>
      <w:rFonts w:eastAsiaTheme="minorHAnsi" w:cstheme="minorBidi"/>
      <w:color w:val="000000" w:themeColor="text1"/>
    </w:rPr>
  </w:style>
  <w:style w:type="paragraph" w:customStyle="1" w:styleId="Body2">
    <w:name w:val="Body 2"/>
    <w:basedOn w:val="Normal"/>
    <w:qFormat/>
    <w:rsid w:val="00255CF7"/>
    <w:pPr>
      <w:spacing w:after="240" w:line="480" w:lineRule="auto"/>
    </w:pPr>
    <w:rPr>
      <w:rFonts w:eastAsiaTheme="minorHAnsi" w:cstheme="minorBidi"/>
      <w:color w:val="000000" w:themeColor="text1"/>
    </w:rPr>
  </w:style>
  <w:style w:type="paragraph" w:customStyle="1" w:styleId="Body2Ind1F">
    <w:name w:val="Body 2 Ind 1: F"/>
    <w:basedOn w:val="Normal"/>
    <w:qFormat/>
    <w:rsid w:val="00255CF7"/>
    <w:pPr>
      <w:spacing w:line="480" w:lineRule="auto"/>
      <w:ind w:firstLine="720"/>
    </w:pPr>
    <w:rPr>
      <w:rFonts w:eastAsiaTheme="minorHAnsi" w:cstheme="minorBidi"/>
      <w:color w:val="000000" w:themeColor="text1"/>
    </w:rPr>
  </w:style>
  <w:style w:type="paragraph" w:customStyle="1" w:styleId="Body2Ind1FJ">
    <w:name w:val="Body 2 Ind 1: F J"/>
    <w:basedOn w:val="Normal"/>
    <w:qFormat/>
    <w:rsid w:val="003B3E9A"/>
    <w:pPr>
      <w:spacing w:line="480" w:lineRule="auto"/>
      <w:ind w:firstLine="720"/>
      <w:jc w:val="both"/>
    </w:pPr>
    <w:rPr>
      <w:rFonts w:eastAsiaTheme="minorHAnsi" w:cstheme="minorBidi"/>
      <w:color w:val="000000" w:themeColor="text1"/>
    </w:rPr>
  </w:style>
  <w:style w:type="paragraph" w:customStyle="1" w:styleId="Body2Ind1L">
    <w:name w:val="Body 2 Ind 1: L"/>
    <w:basedOn w:val="Normal"/>
    <w:qFormat/>
    <w:rsid w:val="003B3E9A"/>
    <w:pPr>
      <w:spacing w:after="240" w:line="480" w:lineRule="auto"/>
      <w:ind w:left="720"/>
    </w:pPr>
    <w:rPr>
      <w:rFonts w:eastAsiaTheme="minorHAnsi" w:cstheme="minorBidi"/>
      <w:color w:val="000000" w:themeColor="text1"/>
    </w:rPr>
  </w:style>
  <w:style w:type="paragraph" w:customStyle="1" w:styleId="Body2Ind2F">
    <w:name w:val="Body 2 Ind 2: F"/>
    <w:basedOn w:val="Normal"/>
    <w:qFormat/>
    <w:rsid w:val="003B3E9A"/>
    <w:pPr>
      <w:spacing w:line="480" w:lineRule="auto"/>
      <w:ind w:firstLine="1440"/>
    </w:pPr>
    <w:rPr>
      <w:rFonts w:eastAsiaTheme="minorHAnsi" w:cstheme="minorBidi"/>
      <w:color w:val="000000" w:themeColor="text1"/>
    </w:rPr>
  </w:style>
  <w:style w:type="paragraph" w:customStyle="1" w:styleId="Body2Ind2FJ">
    <w:name w:val="Body 2 Ind 2: F J"/>
    <w:basedOn w:val="Normal"/>
    <w:qFormat/>
    <w:rsid w:val="003B3E9A"/>
    <w:pPr>
      <w:spacing w:line="480" w:lineRule="auto"/>
      <w:ind w:firstLine="1440"/>
      <w:jc w:val="both"/>
    </w:pPr>
    <w:rPr>
      <w:rFonts w:eastAsiaTheme="minorHAnsi" w:cstheme="minorBidi"/>
      <w:color w:val="000000" w:themeColor="text1"/>
    </w:rPr>
  </w:style>
  <w:style w:type="paragraph" w:customStyle="1" w:styleId="Body5">
    <w:name w:val="Body 5"/>
    <w:basedOn w:val="Normal"/>
    <w:qFormat/>
    <w:rsid w:val="003B3E9A"/>
    <w:pPr>
      <w:spacing w:after="240" w:line="360" w:lineRule="auto"/>
    </w:pPr>
    <w:rPr>
      <w:rFonts w:eastAsiaTheme="minorHAnsi" w:cstheme="minorBidi"/>
      <w:color w:val="000000" w:themeColor="text1"/>
    </w:rPr>
  </w:style>
  <w:style w:type="paragraph" w:customStyle="1" w:styleId="Body5Ind1F">
    <w:name w:val="Body 5 Ind 1: F"/>
    <w:basedOn w:val="Normal"/>
    <w:qFormat/>
    <w:rsid w:val="003B3E9A"/>
    <w:pPr>
      <w:spacing w:line="360" w:lineRule="auto"/>
      <w:ind w:firstLine="720"/>
    </w:pPr>
    <w:rPr>
      <w:rFonts w:eastAsiaTheme="minorHAnsi" w:cstheme="minorBidi"/>
      <w:color w:val="000000" w:themeColor="text1"/>
    </w:rPr>
  </w:style>
  <w:style w:type="paragraph" w:customStyle="1" w:styleId="Body5Ind1L">
    <w:name w:val="Body 5 Ind 1: L"/>
    <w:basedOn w:val="Normal"/>
    <w:qFormat/>
    <w:rsid w:val="003B3E9A"/>
    <w:pPr>
      <w:spacing w:after="240" w:line="360" w:lineRule="auto"/>
      <w:ind w:left="720"/>
    </w:pPr>
    <w:rPr>
      <w:rFonts w:eastAsiaTheme="minorHAnsi" w:cstheme="minorBidi"/>
      <w:color w:val="000000" w:themeColor="text1"/>
    </w:rPr>
  </w:style>
  <w:style w:type="paragraph" w:customStyle="1" w:styleId="Body5Ind2F">
    <w:name w:val="Body 5 Ind 2: F"/>
    <w:basedOn w:val="Normal"/>
    <w:qFormat/>
    <w:rsid w:val="003B3E9A"/>
    <w:pPr>
      <w:spacing w:line="360" w:lineRule="auto"/>
      <w:ind w:firstLine="1440"/>
    </w:pPr>
    <w:rPr>
      <w:rFonts w:eastAsiaTheme="minorHAnsi" w:cstheme="minorBidi"/>
      <w:color w:val="000000" w:themeColor="text1"/>
    </w:rPr>
  </w:style>
  <w:style w:type="paragraph" w:customStyle="1" w:styleId="Body5Ind2L">
    <w:name w:val="Body 5 Ind 2: L"/>
    <w:basedOn w:val="Normal"/>
    <w:qFormat/>
    <w:rsid w:val="003B3E9A"/>
    <w:pPr>
      <w:spacing w:after="240" w:line="360" w:lineRule="auto"/>
      <w:ind w:left="1440"/>
    </w:pPr>
    <w:rPr>
      <w:rFonts w:eastAsiaTheme="minorHAnsi" w:cstheme="minorBidi"/>
      <w:color w:val="000000" w:themeColor="text1"/>
    </w:rPr>
  </w:style>
  <w:style w:type="paragraph" w:customStyle="1" w:styleId="Title1">
    <w:name w:val="Title 1"/>
    <w:basedOn w:val="Normal"/>
    <w:next w:val="Body1default"/>
    <w:qFormat/>
    <w:rsid w:val="00E87729"/>
    <w:pPr>
      <w:spacing w:after="240"/>
      <w:jc w:val="center"/>
    </w:pPr>
    <w:rPr>
      <w:rFonts w:eastAsiaTheme="minorHAnsi" w:cstheme="minorBidi"/>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rFonts w:eastAsiaTheme="minorHAnsi" w:cstheme="minorBidi"/>
      <w:caps/>
      <w:u w:val="single"/>
    </w:rPr>
  </w:style>
  <w:style w:type="paragraph" w:customStyle="1" w:styleId="FootnoteText2">
    <w:name w:val="Footnote Text 2"/>
    <w:basedOn w:val="Normal"/>
    <w:unhideWhenUsed/>
    <w:qFormat/>
    <w:rsid w:val="00CB6376"/>
    <w:pPr>
      <w:spacing w:after="120"/>
    </w:pPr>
    <w:rPr>
      <w:rFonts w:eastAsiaTheme="minorHAnsi" w:cstheme="minorBidi"/>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rFonts w:eastAsiaTheme="minorHAnsi" w:cstheme="minorBidi"/>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rFonts w:eastAsiaTheme="minorHAnsi" w:cstheme="minorBidi"/>
      <w:color w:val="000000" w:themeColor="text1"/>
    </w:rPr>
  </w:style>
  <w:style w:type="paragraph" w:customStyle="1" w:styleId="Footer2Land">
    <w:name w:val="Footer 2: Land"/>
    <w:basedOn w:val="Normal"/>
    <w:rsid w:val="00CB6376"/>
    <w:pPr>
      <w:tabs>
        <w:tab w:val="center" w:pos="6480"/>
        <w:tab w:val="right" w:pos="12960"/>
      </w:tabs>
    </w:pPr>
    <w:rPr>
      <w:rFonts w:eastAsiaTheme="minorHAnsi" w:cstheme="minorBidi"/>
      <w:color w:val="000000" w:themeColor="text1"/>
    </w:rPr>
  </w:style>
  <w:style w:type="paragraph" w:styleId="Header">
    <w:name w:val="header"/>
    <w:basedOn w:val="Normal"/>
    <w:link w:val="HeaderChar"/>
    <w:rsid w:val="00045AAE"/>
    <w:pPr>
      <w:tabs>
        <w:tab w:val="center" w:pos="4680"/>
        <w:tab w:val="right" w:pos="9360"/>
      </w:tabs>
    </w:pPr>
    <w:rPr>
      <w:rFonts w:eastAsiaTheme="minorHAnsi" w:cstheme="minorBidi"/>
    </w:r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rPr>
      <w:rFonts w:eastAsiaTheme="minorHAnsi" w:cstheme="minorBidi"/>
    </w:rPr>
  </w:style>
  <w:style w:type="paragraph" w:customStyle="1" w:styleId="TaxDisclaimer">
    <w:name w:val="TaxDisclaimer"/>
    <w:basedOn w:val="Normal"/>
    <w:qFormat/>
    <w:rsid w:val="00C66A5C"/>
    <w:pPr>
      <w:spacing w:before="240" w:after="240"/>
    </w:pPr>
    <w:rPr>
      <w:rFonts w:eastAsiaTheme="minorHAnsi" w:cstheme="minorBidi"/>
      <w:b/>
      <w:sz w:val="28"/>
    </w:rPr>
  </w:style>
  <w:style w:type="paragraph" w:styleId="BalloonText">
    <w:name w:val="Balloon Text"/>
    <w:basedOn w:val="Normal"/>
    <w:link w:val="BalloonTextChar"/>
    <w:uiPriority w:val="99"/>
    <w:semiHidden/>
    <w:unhideWhenUsed/>
    <w:rsid w:val="00A6115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61150"/>
    <w:rPr>
      <w:rFonts w:ascii="Tahoma" w:hAnsi="Tahoma" w:cs="Tahoma"/>
      <w:sz w:val="16"/>
      <w:szCs w:val="16"/>
    </w:rPr>
  </w:style>
  <w:style w:type="character" w:customStyle="1" w:styleId="DocID">
    <w:name w:val="DocID"/>
    <w:basedOn w:val="DefaultParagraphFont"/>
    <w:rsid w:val="00153392"/>
    <w:rPr>
      <w:rFonts w:ascii="Times New Roman" w:hAnsi="Times New Roman" w:cs="Times New Roman"/>
      <w:b w:val="0"/>
      <w:i w:val="0"/>
      <w:iCs/>
      <w:snapToGrid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451</Words>
  <Characters>2342</Characters>
  <Application>Microsoft Office Word</Application>
  <DocSecurity>0</DocSecurity>
  <Lines>167</Lines>
  <Paragraphs>77</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2012-06-07T18:43:00Z</cp:lastPrinted>
  <dcterms:created xsi:type="dcterms:W3CDTF">2012-06-07T18:55:00Z</dcterms:created>
  <dcterms:modified xsi:type="dcterms:W3CDTF">2012-06-07T18:55:00Z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709255.1</vt:lpwstr>
  </property>
  <property fmtid="{D5CDD505-2E9C-101B-9397-08002B2CF9AE}" pid="3" name="DocumentType">
    <vt:lpwstr>pcgBlank</vt:lpwstr>
  </property>
</Properties>
</file>