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726A17" w:rsidRPr="009314FD" w:rsidP="00726A17" w14:paraId="76C9B0A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9314FD">
        <w:rPr>
          <w:rFonts w:ascii="Times New Roman" w:eastAsia="Calibri" w:hAnsi="Times New Roman" w:cs="Times New Roman"/>
          <w:b/>
          <w:bCs/>
          <w:sz w:val="24"/>
          <w:szCs w:val="24"/>
        </w:rPr>
        <w:t>BEFORE</w:t>
      </w:r>
    </w:p>
    <w:p w:rsidR="00726A17" w:rsidRPr="009314FD" w:rsidP="00726A17" w14:paraId="328BC72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9314FD">
        <w:rPr>
          <w:rFonts w:ascii="Times New Roman" w:eastAsia="Calibri" w:hAnsi="Times New Roman" w:cs="Times New Roman"/>
          <w:b/>
          <w:bCs/>
          <w:sz w:val="24"/>
          <w:szCs w:val="24"/>
        </w:rPr>
        <w:t>THE PUBLIC UTILITIES COMMISSION OF OHIO</w:t>
      </w:r>
    </w:p>
    <w:p w:rsidR="00726A17" w:rsidRPr="009314FD" w:rsidP="00726A17" w14:paraId="3764B33C" w14:textId="77777777">
      <w:pPr>
        <w:pStyle w:val="HTMLPreformatted"/>
        <w:jc w:val="center"/>
        <w:rPr>
          <w:rFonts w:ascii="Times New Roman" w:hAnsi="Times New Roman" w:cs="Times New Roman"/>
          <w:b/>
          <w:bCs/>
          <w:sz w:val="24"/>
          <w:szCs w:val="24"/>
        </w:rPr>
      </w:pPr>
    </w:p>
    <w:tbl>
      <w:tblPr>
        <w:tblW w:w="8640" w:type="dxa"/>
        <w:tblLayout w:type="fixed"/>
        <w:tblLook w:val="01E0"/>
      </w:tblPr>
      <w:tblGrid>
        <w:gridCol w:w="4230"/>
        <w:gridCol w:w="462"/>
        <w:gridCol w:w="3948"/>
      </w:tblGrid>
      <w:tr w14:paraId="5532C880" w14:textId="77777777" w:rsidTr="00217CCA">
        <w:tblPrEx>
          <w:tblW w:w="8640" w:type="dxa"/>
          <w:tblLayout w:type="fixed"/>
          <w:tblLook w:val="01E0"/>
        </w:tblPrEx>
        <w:trPr>
          <w:trHeight w:val="807"/>
        </w:trPr>
        <w:tc>
          <w:tcPr>
            <w:tcW w:w="4230" w:type="dxa"/>
            <w:tcMar>
              <w:left w:w="108" w:type="dxa"/>
              <w:right w:w="108" w:type="dxa"/>
            </w:tcMar>
          </w:tcPr>
          <w:p w:rsidR="00726A17" w:rsidRPr="009314FD" w:rsidP="00FE6AFB" w14:paraId="2D3CCCE1" w14:textId="574E43B4">
            <w:pPr>
              <w:pStyle w:val="HTMLPreformatted"/>
              <w:rPr>
                <w:rFonts w:ascii="Times New Roman" w:hAnsi="Times New Roman" w:cs="Times New Roman"/>
                <w:sz w:val="24"/>
                <w:szCs w:val="24"/>
              </w:rPr>
            </w:pPr>
            <w:r w:rsidRPr="009314FD">
              <w:rPr>
                <w:rFonts w:ascii="Times New Roman" w:hAnsi="Times New Roman" w:cs="Times New Roman"/>
                <w:sz w:val="24"/>
                <w:szCs w:val="24"/>
              </w:rPr>
              <w:t>In the Matter of the Commission’s investigation into RPA Energy, Inc.’s Compliance with the Ohio Administrative Code and Potential Remedial Actions for Non-Compliance.</w:t>
            </w:r>
          </w:p>
        </w:tc>
        <w:tc>
          <w:tcPr>
            <w:tcW w:w="462" w:type="dxa"/>
            <w:tcMar>
              <w:left w:w="108" w:type="dxa"/>
              <w:right w:w="108" w:type="dxa"/>
            </w:tcMar>
          </w:tcPr>
          <w:p w:rsidR="00726A17" w:rsidRPr="009314FD" w:rsidP="00FE6AFB" w14:paraId="108CA38A" w14:textId="77777777">
            <w:pPr>
              <w:pStyle w:val="HTMLPreformatted"/>
              <w:rPr>
                <w:rFonts w:ascii="Times New Roman" w:hAnsi="Times New Roman" w:cs="Times New Roman"/>
                <w:sz w:val="24"/>
                <w:szCs w:val="24"/>
              </w:rPr>
            </w:pPr>
            <w:r w:rsidRPr="009314FD">
              <w:rPr>
                <w:rFonts w:ascii="Times New Roman" w:hAnsi="Times New Roman" w:cs="Times New Roman"/>
                <w:sz w:val="24"/>
                <w:szCs w:val="24"/>
              </w:rPr>
              <w:t>)</w:t>
            </w:r>
          </w:p>
          <w:p w:rsidR="00726A17" w:rsidRPr="009314FD" w:rsidP="00FE6AFB" w14:paraId="7E6AA9C3" w14:textId="77777777">
            <w:pPr>
              <w:pStyle w:val="HTMLPreformatted"/>
              <w:rPr>
                <w:rFonts w:ascii="Times New Roman" w:hAnsi="Times New Roman" w:cs="Times New Roman"/>
                <w:sz w:val="24"/>
                <w:szCs w:val="24"/>
              </w:rPr>
            </w:pPr>
            <w:r w:rsidRPr="009314FD">
              <w:rPr>
                <w:rFonts w:ascii="Times New Roman" w:hAnsi="Times New Roman" w:cs="Times New Roman"/>
                <w:sz w:val="24"/>
                <w:szCs w:val="24"/>
              </w:rPr>
              <w:t>)</w:t>
            </w:r>
          </w:p>
          <w:p w:rsidR="00726A17" w:rsidRPr="009314FD" w:rsidP="00FE6AFB" w14:paraId="5CFFACBA" w14:textId="77777777">
            <w:pPr>
              <w:pStyle w:val="HTMLPreformatted"/>
              <w:rPr>
                <w:rFonts w:ascii="Times New Roman" w:hAnsi="Times New Roman" w:cs="Times New Roman"/>
                <w:sz w:val="24"/>
                <w:szCs w:val="24"/>
              </w:rPr>
            </w:pPr>
            <w:r w:rsidRPr="009314FD">
              <w:rPr>
                <w:rFonts w:ascii="Times New Roman" w:hAnsi="Times New Roman" w:cs="Times New Roman"/>
                <w:sz w:val="24"/>
                <w:szCs w:val="24"/>
              </w:rPr>
              <w:t>)</w:t>
            </w:r>
          </w:p>
          <w:p w:rsidR="00726A17" w:rsidP="00FE6AFB" w14:paraId="028BD3A7" w14:textId="77777777">
            <w:pPr>
              <w:pStyle w:val="HTMLPreformatted"/>
              <w:rPr>
                <w:rFonts w:ascii="Times New Roman" w:hAnsi="Times New Roman" w:cs="Times New Roman"/>
                <w:sz w:val="24"/>
                <w:szCs w:val="24"/>
              </w:rPr>
            </w:pPr>
            <w:r w:rsidRPr="009314FD">
              <w:rPr>
                <w:rFonts w:ascii="Times New Roman" w:hAnsi="Times New Roman" w:cs="Times New Roman"/>
                <w:sz w:val="24"/>
                <w:szCs w:val="24"/>
              </w:rPr>
              <w:t>)</w:t>
            </w:r>
          </w:p>
          <w:p w:rsidR="00B743CF" w:rsidRPr="009314FD" w:rsidP="00FE6AFB" w14:paraId="57924465" w14:textId="49435142">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3948" w:type="dxa"/>
            <w:tcMar>
              <w:left w:w="108" w:type="dxa"/>
              <w:right w:w="108" w:type="dxa"/>
            </w:tcMar>
          </w:tcPr>
          <w:p w:rsidR="00726A17" w:rsidRPr="009314FD" w:rsidP="00FE6AFB" w14:paraId="2156B4F4" w14:textId="77777777">
            <w:pPr>
              <w:pStyle w:val="HTMLPreformatted"/>
              <w:rPr>
                <w:rFonts w:ascii="Times New Roman" w:hAnsi="Times New Roman" w:cs="Times New Roman"/>
                <w:sz w:val="24"/>
                <w:szCs w:val="24"/>
              </w:rPr>
            </w:pPr>
          </w:p>
          <w:p w:rsidR="00726A17" w:rsidRPr="009314FD" w:rsidP="00FE6AFB" w14:paraId="1668BB73" w14:textId="11B25220">
            <w:pPr>
              <w:pStyle w:val="HTMLPreformatted"/>
              <w:rPr>
                <w:rFonts w:ascii="Times New Roman" w:hAnsi="Times New Roman" w:cs="Times New Roman"/>
                <w:sz w:val="24"/>
                <w:szCs w:val="24"/>
              </w:rPr>
            </w:pPr>
            <w:r w:rsidRPr="009314FD">
              <w:rPr>
                <w:rFonts w:ascii="Times New Roman" w:hAnsi="Times New Roman" w:cs="Times New Roman"/>
                <w:sz w:val="24"/>
                <w:szCs w:val="24"/>
              </w:rPr>
              <w:t>Case No. 22-441-GE-COI</w:t>
            </w:r>
          </w:p>
          <w:p w:rsidR="00726A17" w:rsidRPr="009314FD" w:rsidP="00FE6AFB" w14:paraId="4AEBF734" w14:textId="77777777">
            <w:pPr>
              <w:pStyle w:val="HTMLPreformatted"/>
              <w:rPr>
                <w:rFonts w:ascii="Times New Roman" w:hAnsi="Times New Roman" w:cs="Times New Roman"/>
                <w:sz w:val="24"/>
                <w:szCs w:val="24"/>
              </w:rPr>
            </w:pPr>
          </w:p>
          <w:p w:rsidR="00726A17" w:rsidRPr="009314FD" w:rsidP="00FE6AFB" w14:paraId="59776A38" w14:textId="77777777">
            <w:pPr>
              <w:pStyle w:val="HTMLPreformatted"/>
              <w:rPr>
                <w:rFonts w:ascii="Times New Roman" w:hAnsi="Times New Roman" w:cs="Times New Roman"/>
                <w:sz w:val="24"/>
                <w:szCs w:val="24"/>
              </w:rPr>
            </w:pPr>
          </w:p>
        </w:tc>
      </w:tr>
    </w:tbl>
    <w:p w:rsidR="00726A17" w:rsidRPr="009314FD" w:rsidP="00726A17" w14:paraId="1842AE65"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726A17" w:rsidRPr="009314FD" w:rsidP="00726A17" w14:paraId="51290EA4" w14:textId="77777777">
      <w:pPr>
        <w:autoSpaceDE w:val="0"/>
        <w:autoSpaceDN w:val="0"/>
        <w:adjustRightInd w:val="0"/>
        <w:spacing w:after="0" w:line="240" w:lineRule="auto"/>
        <w:rPr>
          <w:rFonts w:ascii="Times New Roman" w:eastAsia="Calibri" w:hAnsi="Times New Roman" w:cs="Times New Roman"/>
          <w:sz w:val="24"/>
          <w:szCs w:val="24"/>
        </w:rPr>
      </w:pPr>
    </w:p>
    <w:p w:rsidR="00726A17" w:rsidRPr="009314FD" w:rsidP="00726A17" w14:paraId="2F237B07" w14:textId="77777777">
      <w:pPr>
        <w:widowControl w:val="0"/>
        <w:spacing w:after="0" w:line="240" w:lineRule="auto"/>
        <w:jc w:val="center"/>
        <w:rPr>
          <w:rFonts w:ascii="Times New Roman" w:hAnsi="Times New Roman" w:cs="Times New Roman"/>
          <w:b/>
          <w:sz w:val="24"/>
          <w:szCs w:val="24"/>
        </w:rPr>
      </w:pPr>
      <w:r w:rsidRPr="009314FD">
        <w:rPr>
          <w:rFonts w:ascii="Times New Roman" w:hAnsi="Times New Roman" w:cs="Times New Roman"/>
          <w:b/>
          <w:sz w:val="24"/>
          <w:szCs w:val="24"/>
        </w:rPr>
        <w:t xml:space="preserve">APPLICATION FOR REHEARING </w:t>
      </w:r>
    </w:p>
    <w:p w:rsidR="00726A17" w:rsidRPr="009314FD" w:rsidP="00726A17" w14:paraId="7F338006" w14:textId="77777777">
      <w:pPr>
        <w:widowControl w:val="0"/>
        <w:spacing w:after="0" w:line="240" w:lineRule="auto"/>
        <w:jc w:val="center"/>
        <w:rPr>
          <w:rFonts w:ascii="Times New Roman" w:hAnsi="Times New Roman" w:cs="Times New Roman"/>
          <w:b/>
          <w:sz w:val="24"/>
          <w:szCs w:val="24"/>
        </w:rPr>
      </w:pPr>
      <w:r w:rsidRPr="009314FD">
        <w:rPr>
          <w:rFonts w:ascii="Times New Roman" w:hAnsi="Times New Roman" w:cs="Times New Roman"/>
          <w:b/>
          <w:sz w:val="24"/>
          <w:szCs w:val="24"/>
        </w:rPr>
        <w:t>BY</w:t>
      </w:r>
    </w:p>
    <w:p w:rsidR="00726A17" w:rsidRPr="009314FD" w:rsidP="00726A17" w14:paraId="75C36721" w14:textId="77777777">
      <w:pPr>
        <w:spacing w:after="0" w:line="240" w:lineRule="auto"/>
        <w:jc w:val="center"/>
        <w:rPr>
          <w:rFonts w:ascii="Times New Roman" w:hAnsi="Times New Roman" w:cs="Times New Roman"/>
          <w:b/>
          <w:sz w:val="24"/>
          <w:szCs w:val="24"/>
        </w:rPr>
      </w:pPr>
      <w:r w:rsidRPr="009314FD">
        <w:rPr>
          <w:rFonts w:ascii="Times New Roman" w:hAnsi="Times New Roman" w:cs="Times New Roman"/>
          <w:b/>
          <w:sz w:val="24"/>
          <w:szCs w:val="24"/>
        </w:rPr>
        <w:t>OFFICE OF THE OHIO CONSUMERS’ COUNSEL</w:t>
      </w:r>
    </w:p>
    <w:p w:rsidR="00726A17" w:rsidRPr="009314FD" w:rsidP="00726A17" w14:paraId="64584E0E" w14:textId="77777777">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4"/>
          <w:szCs w:val="24"/>
        </w:rPr>
      </w:pPr>
    </w:p>
    <w:p w:rsidR="00726A17" w:rsidRPr="009314FD" w:rsidP="009314FD" w14:paraId="3E3DD808" w14:textId="77777777">
      <w:pPr>
        <w:spacing w:after="0" w:line="240" w:lineRule="auto"/>
        <w:jc w:val="both"/>
        <w:rPr>
          <w:rFonts w:ascii="Times New Roman" w:hAnsi="Times New Roman" w:cs="Times New Roman"/>
          <w:sz w:val="24"/>
          <w:szCs w:val="24"/>
        </w:rPr>
      </w:pPr>
    </w:p>
    <w:p w:rsidR="0081302F" w:rsidRPr="009314FD" w:rsidP="0081302F" w14:paraId="48229042" w14:textId="3546F0A4">
      <w:pPr>
        <w:pStyle w:val="BodyTextIndent3"/>
        <w:widowControl w:val="0"/>
        <w:spacing w:line="480" w:lineRule="auto"/>
        <w:rPr>
          <w:szCs w:val="24"/>
        </w:rPr>
      </w:pPr>
      <w:r w:rsidRPr="009314FD">
        <w:rPr>
          <w:szCs w:val="24"/>
        </w:rPr>
        <w:t>Energy marketer Green Choice</w:t>
      </w:r>
      <w:r>
        <w:rPr>
          <w:rStyle w:val="FootnoteReference"/>
          <w:szCs w:val="24"/>
        </w:rPr>
        <w:footnoteReference w:id="2"/>
      </w:r>
      <w:r w:rsidRPr="009314FD">
        <w:rPr>
          <w:szCs w:val="24"/>
        </w:rPr>
        <w:t xml:space="preserve"> misled and deceived Ohioans when soliciting and enrolling them in natural gas and electric service.</w:t>
      </w:r>
      <w:r>
        <w:rPr>
          <w:rStyle w:val="FootnoteReference"/>
          <w:szCs w:val="24"/>
        </w:rPr>
        <w:footnoteReference w:id="3"/>
      </w:r>
      <w:r w:rsidRPr="009314FD">
        <w:rPr>
          <w:szCs w:val="24"/>
        </w:rPr>
        <w:t xml:space="preserve"> </w:t>
      </w:r>
      <w:r w:rsidRPr="009314FD" w:rsidR="00012857">
        <w:rPr>
          <w:szCs w:val="24"/>
        </w:rPr>
        <w:t xml:space="preserve">The PUCO’s October 18, 2023 Order rescinded </w:t>
      </w:r>
      <w:r w:rsidRPr="009314FD">
        <w:rPr>
          <w:szCs w:val="24"/>
        </w:rPr>
        <w:t>Green Choice’s certificates to market natural gas and electric service in Ohio.</w:t>
      </w:r>
      <w:r>
        <w:rPr>
          <w:rStyle w:val="FootnoteReference"/>
          <w:szCs w:val="24"/>
        </w:rPr>
        <w:footnoteReference w:id="4"/>
      </w:r>
      <w:r w:rsidRPr="009314FD" w:rsidR="00012857">
        <w:rPr>
          <w:szCs w:val="24"/>
        </w:rPr>
        <w:t xml:space="preserve"> </w:t>
      </w:r>
      <w:r w:rsidRPr="009314FD" w:rsidR="0016101C">
        <w:rPr>
          <w:szCs w:val="24"/>
        </w:rPr>
        <w:t>G</w:t>
      </w:r>
      <w:r w:rsidRPr="009314FD" w:rsidR="00012857">
        <w:rPr>
          <w:szCs w:val="24"/>
        </w:rPr>
        <w:t xml:space="preserve">iven Green Choice’s egregious acts, </w:t>
      </w:r>
      <w:r w:rsidRPr="009314FD" w:rsidR="00890A26">
        <w:rPr>
          <w:szCs w:val="24"/>
        </w:rPr>
        <w:t xml:space="preserve">the PUCO should </w:t>
      </w:r>
      <w:r w:rsidRPr="009314FD" w:rsidR="00890A26">
        <w:rPr>
          <w:i/>
          <w:iCs/>
          <w:szCs w:val="24"/>
        </w:rPr>
        <w:t>permanently</w:t>
      </w:r>
      <w:r w:rsidRPr="009314FD" w:rsidR="00890A26">
        <w:rPr>
          <w:szCs w:val="24"/>
        </w:rPr>
        <w:t xml:space="preserve"> ban Green Choice (or any of its affiliates) from ever again marketing natural gas and electric service in Ohio.</w:t>
      </w:r>
      <w:r w:rsidR="009314FD">
        <w:rPr>
          <w:szCs w:val="24"/>
        </w:rPr>
        <w:t xml:space="preserve"> </w:t>
      </w:r>
    </w:p>
    <w:p w:rsidR="0081302F" w:rsidRPr="009314FD" w:rsidP="0081302F" w14:paraId="24F7620B" w14:textId="4FEBAE2F">
      <w:pPr>
        <w:pStyle w:val="BodyTextIndent3"/>
        <w:widowControl w:val="0"/>
        <w:spacing w:line="480" w:lineRule="auto"/>
        <w:rPr>
          <w:szCs w:val="24"/>
        </w:rPr>
      </w:pPr>
      <w:r w:rsidRPr="009314FD">
        <w:rPr>
          <w:szCs w:val="24"/>
        </w:rPr>
        <w:t xml:space="preserve">Green Choice’s alleged deceptive marketing and enrollment practices are among the worst OCC has ever seen. </w:t>
      </w:r>
      <w:r w:rsidRPr="009314FD" w:rsidR="001724B8">
        <w:rPr>
          <w:szCs w:val="24"/>
        </w:rPr>
        <w:t xml:space="preserve">Among other abuse of consumers, </w:t>
      </w:r>
      <w:r w:rsidRPr="009314FD">
        <w:rPr>
          <w:szCs w:val="24"/>
        </w:rPr>
        <w:t>Green Choice “spoofed” (faked) Caller ID so that consumers believed that someone other than Green Choice was calling them.</w:t>
      </w:r>
      <w:r>
        <w:rPr>
          <w:rStyle w:val="FootnoteReference"/>
          <w:szCs w:val="24"/>
        </w:rPr>
        <w:footnoteReference w:id="5"/>
      </w:r>
      <w:r w:rsidRPr="009314FD">
        <w:rPr>
          <w:szCs w:val="24"/>
        </w:rPr>
        <w:t xml:space="preserve"> OCC’s position on spoofing by a marketer is “one and done” – meaning that the PUCO should have zero tolerance for spoofing. Ample evidence demonstrates Green Choice’s spoofing and other abuse of consumers.</w:t>
      </w:r>
      <w:r>
        <w:rPr>
          <w:rStyle w:val="FootnoteReference"/>
          <w:szCs w:val="24"/>
        </w:rPr>
        <w:footnoteReference w:id="6"/>
      </w:r>
    </w:p>
    <w:p w:rsidR="00C64CE1" w:rsidRPr="009314FD" w:rsidP="004E13FD" w14:paraId="3C58441A" w14:textId="4423CB6C">
      <w:pPr>
        <w:spacing w:after="0" w:line="480" w:lineRule="auto"/>
        <w:rPr>
          <w:rFonts w:ascii="Times New Roman" w:hAnsi="Times New Roman" w:cs="Times New Roman"/>
          <w:sz w:val="24"/>
          <w:szCs w:val="24"/>
        </w:rPr>
      </w:pPr>
      <w:r w:rsidRPr="009314FD">
        <w:rPr>
          <w:rFonts w:ascii="Times New Roman" w:hAnsi="Times New Roman" w:cs="Times New Roman"/>
          <w:sz w:val="24"/>
          <w:szCs w:val="24"/>
        </w:rPr>
        <w:tab/>
        <w:t xml:space="preserve">Accordingly, </w:t>
      </w:r>
      <w:r w:rsidRPr="009314FD" w:rsidR="009319AB">
        <w:rPr>
          <w:rFonts w:ascii="Times New Roman" w:hAnsi="Times New Roman" w:cs="Times New Roman"/>
          <w:sz w:val="24"/>
          <w:szCs w:val="24"/>
        </w:rPr>
        <w:t>pursuant to</w:t>
      </w:r>
      <w:r w:rsidRPr="009314FD">
        <w:rPr>
          <w:rFonts w:ascii="Times New Roman" w:hAnsi="Times New Roman" w:cs="Times New Roman"/>
          <w:sz w:val="24"/>
          <w:szCs w:val="24"/>
        </w:rPr>
        <w:t xml:space="preserve"> R.C. 4903.1</w:t>
      </w:r>
      <w:r w:rsidRPr="009314FD" w:rsidR="00610BD1">
        <w:rPr>
          <w:rFonts w:ascii="Times New Roman" w:hAnsi="Times New Roman" w:cs="Times New Roman"/>
          <w:sz w:val="24"/>
          <w:szCs w:val="24"/>
        </w:rPr>
        <w:t>0</w:t>
      </w:r>
      <w:r w:rsidRPr="009314FD">
        <w:rPr>
          <w:rFonts w:ascii="Times New Roman" w:hAnsi="Times New Roman" w:cs="Times New Roman"/>
          <w:sz w:val="24"/>
          <w:szCs w:val="24"/>
        </w:rPr>
        <w:t xml:space="preserve">, </w:t>
      </w:r>
      <w:r w:rsidRPr="009314FD" w:rsidR="008053FF">
        <w:rPr>
          <w:rFonts w:ascii="Times New Roman" w:hAnsi="Times New Roman" w:cs="Times New Roman"/>
          <w:sz w:val="24"/>
          <w:szCs w:val="24"/>
        </w:rPr>
        <w:t>the Office of the Ohio Consumers’ Counsel (“</w:t>
      </w:r>
      <w:r w:rsidRPr="009314FD">
        <w:rPr>
          <w:rFonts w:ascii="Times New Roman" w:hAnsi="Times New Roman" w:cs="Times New Roman"/>
          <w:sz w:val="24"/>
          <w:szCs w:val="24"/>
        </w:rPr>
        <w:t>OCC</w:t>
      </w:r>
      <w:r w:rsidRPr="009314FD" w:rsidR="008053FF">
        <w:rPr>
          <w:rFonts w:ascii="Times New Roman" w:hAnsi="Times New Roman" w:cs="Times New Roman"/>
          <w:sz w:val="24"/>
          <w:szCs w:val="24"/>
        </w:rPr>
        <w:t>”)</w:t>
      </w:r>
      <w:r w:rsidRPr="009314FD">
        <w:rPr>
          <w:rFonts w:ascii="Times New Roman" w:hAnsi="Times New Roman" w:cs="Times New Roman"/>
          <w:sz w:val="24"/>
          <w:szCs w:val="24"/>
        </w:rPr>
        <w:t xml:space="preserve"> applies for rehearing of the</w:t>
      </w:r>
      <w:r w:rsidRPr="009314FD" w:rsidR="001724B8">
        <w:rPr>
          <w:rFonts w:ascii="Times New Roman" w:hAnsi="Times New Roman" w:cs="Times New Roman"/>
          <w:sz w:val="24"/>
          <w:szCs w:val="24"/>
        </w:rPr>
        <w:t xml:space="preserve"> PUCO’s </w:t>
      </w:r>
      <w:r w:rsidRPr="009314FD" w:rsidR="008053FF">
        <w:rPr>
          <w:rFonts w:ascii="Times New Roman" w:hAnsi="Times New Roman" w:cs="Times New Roman"/>
          <w:sz w:val="24"/>
          <w:szCs w:val="24"/>
        </w:rPr>
        <w:t>October 18, 2023</w:t>
      </w:r>
      <w:r w:rsidRPr="009314FD" w:rsidR="001724B8">
        <w:rPr>
          <w:rFonts w:ascii="Times New Roman" w:hAnsi="Times New Roman" w:cs="Times New Roman"/>
          <w:sz w:val="24"/>
          <w:szCs w:val="24"/>
        </w:rPr>
        <w:t xml:space="preserve"> Order,</w:t>
      </w:r>
      <w:r w:rsidRPr="009314FD" w:rsidR="00974EEC">
        <w:rPr>
          <w:rFonts w:ascii="Times New Roman" w:hAnsi="Times New Roman" w:cs="Times New Roman"/>
          <w:sz w:val="24"/>
          <w:szCs w:val="24"/>
        </w:rPr>
        <w:t xml:space="preserve"> which </w:t>
      </w:r>
      <w:r w:rsidRPr="009314FD" w:rsidR="001724B8">
        <w:rPr>
          <w:rFonts w:ascii="Times New Roman" w:hAnsi="Times New Roman" w:cs="Times New Roman"/>
          <w:sz w:val="24"/>
          <w:szCs w:val="24"/>
        </w:rPr>
        <w:t>is unreasonable</w:t>
      </w:r>
      <w:r w:rsidRPr="009314FD" w:rsidR="0016101C">
        <w:rPr>
          <w:rFonts w:ascii="Times New Roman" w:hAnsi="Times New Roman" w:cs="Times New Roman"/>
          <w:sz w:val="24"/>
          <w:szCs w:val="24"/>
        </w:rPr>
        <w:t xml:space="preserve"> in</w:t>
      </w:r>
      <w:r w:rsidRPr="009314FD" w:rsidR="00974EEC">
        <w:rPr>
          <w:rFonts w:ascii="Times New Roman" w:hAnsi="Times New Roman" w:cs="Times New Roman"/>
          <w:sz w:val="24"/>
          <w:szCs w:val="24"/>
        </w:rPr>
        <w:t xml:space="preserve"> the following respect:</w:t>
      </w:r>
    </w:p>
    <w:p w:rsidR="001724B8" w:rsidRPr="008F0C74" w:rsidP="001724B8" w14:paraId="42FF0A6F" w14:textId="6B25E40A">
      <w:pPr>
        <w:spacing w:after="0" w:line="240" w:lineRule="auto"/>
        <w:ind w:left="720" w:hanging="720"/>
        <w:rPr>
          <w:rFonts w:ascii="Times New Roman" w:hAnsi="Times New Roman" w:cs="Times New Roman"/>
          <w:b/>
          <w:bCs/>
          <w:sz w:val="24"/>
          <w:szCs w:val="24"/>
        </w:rPr>
      </w:pPr>
      <w:r w:rsidRPr="009314FD">
        <w:rPr>
          <w:rFonts w:ascii="Times New Roman" w:hAnsi="Times New Roman" w:cs="Times New Roman"/>
          <w:sz w:val="24"/>
          <w:szCs w:val="24"/>
        </w:rPr>
        <w:tab/>
      </w:r>
      <w:r w:rsidRPr="008F0C74">
        <w:rPr>
          <w:rFonts w:ascii="Times New Roman" w:hAnsi="Times New Roman" w:cs="Times New Roman"/>
          <w:b/>
          <w:bCs/>
          <w:sz w:val="24"/>
          <w:szCs w:val="24"/>
        </w:rPr>
        <w:t>ASSIGNMENT OF ERROR NO. 1: The PUCO</w:t>
      </w:r>
      <w:r w:rsidRPr="008F0C74">
        <w:rPr>
          <w:rFonts w:ascii="Times New Roman" w:hAnsi="Times New Roman" w:cs="Times New Roman"/>
          <w:b/>
          <w:bCs/>
          <w:sz w:val="24"/>
          <w:szCs w:val="24"/>
        </w:rPr>
        <w:t xml:space="preserve"> erred by</w:t>
      </w:r>
      <w:r w:rsidRPr="008F0C74" w:rsidR="00804CA9">
        <w:rPr>
          <w:rFonts w:ascii="Times New Roman" w:hAnsi="Times New Roman" w:cs="Times New Roman"/>
          <w:b/>
          <w:bCs/>
          <w:sz w:val="24"/>
          <w:szCs w:val="24"/>
        </w:rPr>
        <w:t xml:space="preserve"> failing to</w:t>
      </w:r>
      <w:r w:rsidRPr="008F0C74">
        <w:rPr>
          <w:rFonts w:ascii="Times New Roman" w:hAnsi="Times New Roman" w:cs="Times New Roman"/>
          <w:b/>
          <w:bCs/>
          <w:sz w:val="24"/>
          <w:szCs w:val="24"/>
        </w:rPr>
        <w:t xml:space="preserve"> permanently </w:t>
      </w:r>
      <w:r w:rsidRPr="008F0C74" w:rsidR="00804CA9">
        <w:rPr>
          <w:rFonts w:ascii="Times New Roman" w:hAnsi="Times New Roman" w:cs="Times New Roman"/>
          <w:b/>
          <w:bCs/>
          <w:sz w:val="24"/>
          <w:szCs w:val="24"/>
        </w:rPr>
        <w:t xml:space="preserve">rescind Green Choice’s </w:t>
      </w:r>
      <w:r w:rsidRPr="008F0C74">
        <w:rPr>
          <w:rFonts w:ascii="Times New Roman" w:hAnsi="Times New Roman" w:cs="Times New Roman"/>
          <w:b/>
          <w:bCs/>
          <w:sz w:val="24"/>
          <w:szCs w:val="24"/>
        </w:rPr>
        <w:t>certificates to market</w:t>
      </w:r>
      <w:r w:rsidRPr="008F0C74" w:rsidR="00804CA9">
        <w:rPr>
          <w:rFonts w:ascii="Times New Roman" w:hAnsi="Times New Roman" w:cs="Times New Roman"/>
          <w:b/>
          <w:bCs/>
          <w:sz w:val="24"/>
          <w:szCs w:val="24"/>
        </w:rPr>
        <w:t xml:space="preserve"> natural gas and electric service to</w:t>
      </w:r>
      <w:r w:rsidRPr="008F0C74">
        <w:rPr>
          <w:rFonts w:ascii="Times New Roman" w:hAnsi="Times New Roman" w:cs="Times New Roman"/>
          <w:b/>
          <w:bCs/>
          <w:sz w:val="24"/>
          <w:szCs w:val="24"/>
        </w:rPr>
        <w:t xml:space="preserve"> Ohio</w:t>
      </w:r>
      <w:r w:rsidRPr="008F0C74" w:rsidR="00804CA9">
        <w:rPr>
          <w:rFonts w:ascii="Times New Roman" w:hAnsi="Times New Roman" w:cs="Times New Roman"/>
          <w:b/>
          <w:bCs/>
          <w:sz w:val="24"/>
          <w:szCs w:val="24"/>
        </w:rPr>
        <w:t xml:space="preserve"> consumers to prevent Green Choice </w:t>
      </w:r>
      <w:r w:rsidRPr="008F0C74">
        <w:rPr>
          <w:rFonts w:ascii="Times New Roman" w:hAnsi="Times New Roman" w:cs="Times New Roman"/>
          <w:b/>
          <w:bCs/>
          <w:sz w:val="24"/>
          <w:szCs w:val="24"/>
        </w:rPr>
        <w:t xml:space="preserve">or any of its affiliates </w:t>
      </w:r>
      <w:r w:rsidRPr="008F0C74" w:rsidR="00804CA9">
        <w:rPr>
          <w:rFonts w:ascii="Times New Roman" w:hAnsi="Times New Roman" w:cs="Times New Roman"/>
          <w:b/>
          <w:bCs/>
          <w:sz w:val="24"/>
          <w:szCs w:val="24"/>
        </w:rPr>
        <w:t xml:space="preserve">from ever again harming </w:t>
      </w:r>
      <w:r w:rsidRPr="008F0C74">
        <w:rPr>
          <w:rFonts w:ascii="Times New Roman" w:hAnsi="Times New Roman" w:cs="Times New Roman"/>
          <w:b/>
          <w:bCs/>
          <w:sz w:val="24"/>
          <w:szCs w:val="24"/>
        </w:rPr>
        <w:t>Ohio</w:t>
      </w:r>
      <w:r w:rsidRPr="008F0C74" w:rsidR="00804CA9">
        <w:rPr>
          <w:rFonts w:ascii="Times New Roman" w:hAnsi="Times New Roman" w:cs="Times New Roman"/>
          <w:b/>
          <w:bCs/>
          <w:sz w:val="24"/>
          <w:szCs w:val="24"/>
        </w:rPr>
        <w:t>ans</w:t>
      </w:r>
      <w:r w:rsidRPr="008F0C74">
        <w:rPr>
          <w:rFonts w:ascii="Times New Roman" w:hAnsi="Times New Roman" w:cs="Times New Roman"/>
          <w:b/>
          <w:bCs/>
          <w:sz w:val="24"/>
          <w:szCs w:val="24"/>
        </w:rPr>
        <w:t>.</w:t>
      </w:r>
    </w:p>
    <w:p w:rsidR="001724B8" w:rsidRPr="009314FD" w:rsidP="001724B8" w14:paraId="4D0D5579" w14:textId="77777777">
      <w:pPr>
        <w:spacing w:after="0" w:line="240" w:lineRule="auto"/>
        <w:ind w:left="720" w:hanging="720"/>
        <w:rPr>
          <w:rFonts w:ascii="Times New Roman" w:hAnsi="Times New Roman" w:cs="Times New Roman"/>
          <w:sz w:val="24"/>
          <w:szCs w:val="24"/>
        </w:rPr>
      </w:pPr>
    </w:p>
    <w:p w:rsidR="00C94A7E" w:rsidRPr="009314FD" w:rsidP="006D55DC" w14:paraId="669B74FF" w14:textId="615B4F8B">
      <w:pPr>
        <w:spacing w:after="0" w:line="480" w:lineRule="auto"/>
        <w:ind w:firstLine="720"/>
        <w:rPr>
          <w:rFonts w:ascii="Times New Roman" w:hAnsi="Times New Roman" w:cs="Times New Roman"/>
          <w:sz w:val="24"/>
          <w:szCs w:val="24"/>
        </w:rPr>
      </w:pPr>
      <w:r w:rsidRPr="009314FD">
        <w:rPr>
          <w:rFonts w:ascii="Times New Roman" w:hAnsi="Times New Roman" w:cs="Times New Roman"/>
          <w:sz w:val="24"/>
          <w:szCs w:val="24"/>
        </w:rPr>
        <w:t>The reasons in support of this Application for Rehearing are set forth in the accompanying Memorandum in Support. The PUCO should grant rehearing and abrogate or modify its Order as proposed by OCC.</w:t>
      </w:r>
    </w:p>
    <w:p w:rsidR="001724B8" w:rsidRPr="009314FD" w:rsidP="006D55DC" w14:paraId="2E80C46E" w14:textId="77777777">
      <w:pPr>
        <w:spacing w:after="0" w:line="240" w:lineRule="auto"/>
        <w:ind w:left="4320" w:right="-672"/>
        <w:rPr>
          <w:rFonts w:ascii="Times New Roman" w:eastAsia="Times New Roman" w:hAnsi="Times New Roman" w:cs="Times New Roman"/>
          <w:sz w:val="24"/>
          <w:szCs w:val="24"/>
          <w:lang w:bidi="en-US"/>
        </w:rPr>
      </w:pPr>
      <w:r w:rsidRPr="009314FD">
        <w:rPr>
          <w:rFonts w:ascii="Times New Roman" w:eastAsia="Times New Roman" w:hAnsi="Times New Roman" w:cs="Times New Roman"/>
          <w:sz w:val="24"/>
          <w:szCs w:val="24"/>
          <w:lang w:bidi="en-US"/>
        </w:rPr>
        <w:t>Respectfully submitted,</w:t>
      </w:r>
    </w:p>
    <w:p w:rsidR="001724B8" w:rsidRPr="009314FD" w:rsidP="006D55DC" w14:paraId="1CFC79FE" w14:textId="77777777">
      <w:pPr>
        <w:spacing w:after="0" w:line="240" w:lineRule="auto"/>
        <w:jc w:val="center"/>
        <w:rPr>
          <w:rFonts w:ascii="Times New Roman" w:eastAsia="Times New Roman" w:hAnsi="Times New Roman" w:cs="Times New Roman"/>
          <w:b/>
          <w:sz w:val="24"/>
          <w:szCs w:val="24"/>
          <w:lang w:bidi="en-US"/>
        </w:rPr>
      </w:pPr>
    </w:p>
    <w:p w:rsidR="001724B8" w:rsidRPr="009314FD" w:rsidP="006D55DC" w14:paraId="1CE0CA6F" w14:textId="77777777">
      <w:pPr>
        <w:spacing w:after="0" w:line="240" w:lineRule="auto"/>
        <w:ind w:left="4320"/>
        <w:rPr>
          <w:rFonts w:ascii="Times New Roman" w:eastAsia="Times New Roman" w:hAnsi="Times New Roman" w:cs="Times New Roman"/>
          <w:sz w:val="24"/>
          <w:szCs w:val="24"/>
          <w:lang w:bidi="en-US"/>
        </w:rPr>
      </w:pPr>
      <w:r w:rsidRPr="009314FD">
        <w:rPr>
          <w:rFonts w:ascii="Times New Roman" w:eastAsia="Times New Roman" w:hAnsi="Times New Roman" w:cs="Times New Roman"/>
          <w:sz w:val="24"/>
          <w:szCs w:val="24"/>
          <w:lang w:bidi="en-US"/>
        </w:rPr>
        <w:t>Maureen R. Willis (0020847)</w:t>
      </w:r>
    </w:p>
    <w:p w:rsidR="001724B8" w:rsidRPr="009314FD" w:rsidP="006D55DC" w14:paraId="76C2D0E6" w14:textId="77777777">
      <w:pPr>
        <w:tabs>
          <w:tab w:val="left" w:pos="4320"/>
        </w:tabs>
        <w:spacing w:after="0" w:line="240" w:lineRule="auto"/>
        <w:rPr>
          <w:rFonts w:ascii="Times New Roman" w:eastAsia="Times New Roman" w:hAnsi="Times New Roman" w:cs="Times New Roman"/>
          <w:sz w:val="24"/>
          <w:szCs w:val="24"/>
          <w:lang w:bidi="en-US"/>
        </w:rPr>
      </w:pPr>
      <w:r w:rsidRPr="009314FD">
        <w:rPr>
          <w:rFonts w:ascii="Times New Roman" w:eastAsia="Times New Roman" w:hAnsi="Times New Roman" w:cs="Times New Roman"/>
          <w:sz w:val="24"/>
          <w:szCs w:val="24"/>
          <w:lang w:bidi="en-US"/>
        </w:rPr>
        <w:tab/>
        <w:t xml:space="preserve">Ohio Consumers’ Counsel </w:t>
      </w:r>
    </w:p>
    <w:p w:rsidR="001724B8" w:rsidRPr="009314FD" w:rsidP="006D55DC" w14:paraId="2AD4F9D2" w14:textId="77777777">
      <w:pPr>
        <w:tabs>
          <w:tab w:val="left" w:pos="4320"/>
        </w:tabs>
        <w:spacing w:after="0" w:line="240" w:lineRule="auto"/>
        <w:rPr>
          <w:rFonts w:ascii="Times New Roman" w:eastAsia="Times New Roman" w:hAnsi="Times New Roman" w:cs="Times New Roman"/>
          <w:sz w:val="24"/>
          <w:szCs w:val="24"/>
          <w:lang w:bidi="en-US"/>
        </w:rPr>
      </w:pPr>
    </w:p>
    <w:p w:rsidR="001724B8" w:rsidRPr="009314FD" w:rsidP="006D55DC" w14:paraId="4780C747" w14:textId="6E69F746">
      <w:pPr>
        <w:tabs>
          <w:tab w:val="left" w:pos="4320"/>
        </w:tabs>
        <w:spacing w:after="0" w:line="240" w:lineRule="auto"/>
        <w:rPr>
          <w:rFonts w:ascii="Times New Roman" w:eastAsia="Times New Roman" w:hAnsi="Times New Roman" w:cs="Times New Roman"/>
          <w:i/>
          <w:iCs/>
          <w:sz w:val="24"/>
          <w:szCs w:val="24"/>
          <w:u w:val="single"/>
          <w:lang w:bidi="en-US"/>
        </w:rPr>
      </w:pPr>
      <w:r w:rsidRPr="009314FD">
        <w:rPr>
          <w:rFonts w:ascii="Times New Roman" w:eastAsia="Times New Roman" w:hAnsi="Times New Roman" w:cs="Times New Roman"/>
          <w:sz w:val="24"/>
          <w:szCs w:val="24"/>
          <w:lang w:bidi="en-US"/>
        </w:rPr>
        <w:tab/>
      </w:r>
      <w:r w:rsidRPr="009314FD">
        <w:rPr>
          <w:rFonts w:ascii="Times New Roman" w:eastAsia="Times New Roman" w:hAnsi="Times New Roman" w:cs="Times New Roman"/>
          <w:i/>
          <w:iCs/>
          <w:sz w:val="24"/>
          <w:szCs w:val="24"/>
          <w:u w:val="single"/>
          <w:lang w:bidi="en-US"/>
        </w:rPr>
        <w:t>/s/ Angela D. O’Brien</w:t>
      </w:r>
    </w:p>
    <w:p w:rsidR="001724B8" w:rsidRPr="009314FD" w:rsidP="006D55DC" w14:paraId="3269CE67" w14:textId="77777777">
      <w:pPr>
        <w:spacing w:after="0" w:line="240" w:lineRule="auto"/>
        <w:ind w:left="4320"/>
        <w:rPr>
          <w:rFonts w:ascii="Times New Roman" w:eastAsia="Times New Roman" w:hAnsi="Times New Roman" w:cs="Times New Roman"/>
          <w:sz w:val="24"/>
          <w:szCs w:val="24"/>
          <w:lang w:bidi="en-US"/>
        </w:rPr>
      </w:pPr>
      <w:r w:rsidRPr="009314FD">
        <w:rPr>
          <w:rFonts w:ascii="Times New Roman" w:eastAsia="Times New Roman" w:hAnsi="Times New Roman" w:cs="Times New Roman"/>
          <w:sz w:val="24"/>
          <w:szCs w:val="24"/>
          <w:lang w:bidi="en-US"/>
        </w:rPr>
        <w:t>Angela D. O’Brien (0097579)</w:t>
      </w:r>
    </w:p>
    <w:p w:rsidR="001724B8" w:rsidRPr="009314FD" w:rsidP="006D55DC" w14:paraId="20201691" w14:textId="77777777">
      <w:pPr>
        <w:spacing w:after="0" w:line="240" w:lineRule="auto"/>
        <w:ind w:left="4320"/>
        <w:rPr>
          <w:rFonts w:ascii="Times New Roman" w:eastAsia="Times New Roman" w:hAnsi="Times New Roman" w:cs="Times New Roman"/>
          <w:sz w:val="24"/>
          <w:szCs w:val="24"/>
          <w:lang w:bidi="en-US"/>
        </w:rPr>
      </w:pPr>
      <w:r w:rsidRPr="009314FD">
        <w:rPr>
          <w:rFonts w:ascii="Times New Roman" w:eastAsia="Times New Roman" w:hAnsi="Times New Roman" w:cs="Times New Roman"/>
          <w:sz w:val="24"/>
          <w:szCs w:val="24"/>
          <w:lang w:bidi="en-US"/>
        </w:rPr>
        <w:t>Counsel of Record</w:t>
      </w:r>
    </w:p>
    <w:p w:rsidR="001724B8" w:rsidRPr="009314FD" w:rsidP="006D55DC" w14:paraId="0A0E87A7" w14:textId="77777777">
      <w:pPr>
        <w:spacing w:after="0" w:line="240" w:lineRule="auto"/>
        <w:ind w:left="4320"/>
        <w:rPr>
          <w:rFonts w:ascii="Times New Roman" w:eastAsia="Times New Roman" w:hAnsi="Times New Roman" w:cs="Times New Roman"/>
          <w:sz w:val="24"/>
          <w:szCs w:val="24"/>
          <w:lang w:bidi="en-US"/>
        </w:rPr>
      </w:pPr>
      <w:r w:rsidRPr="009314FD">
        <w:rPr>
          <w:rFonts w:ascii="Times New Roman" w:eastAsia="Times New Roman" w:hAnsi="Times New Roman" w:cs="Times New Roman"/>
          <w:sz w:val="24"/>
          <w:szCs w:val="24"/>
          <w:lang w:bidi="en-US"/>
        </w:rPr>
        <w:t>Deputy Consumers’ Counsel</w:t>
      </w:r>
    </w:p>
    <w:p w:rsidR="001724B8" w:rsidRPr="009314FD" w:rsidP="006D55DC" w14:paraId="6A76D660" w14:textId="77777777">
      <w:pPr>
        <w:spacing w:after="0" w:line="240" w:lineRule="auto"/>
        <w:ind w:left="4320"/>
        <w:rPr>
          <w:rFonts w:ascii="Times New Roman" w:eastAsia="Times New Roman" w:hAnsi="Times New Roman" w:cs="Times New Roman"/>
          <w:sz w:val="24"/>
          <w:szCs w:val="24"/>
          <w:lang w:bidi="en-US"/>
        </w:rPr>
      </w:pPr>
    </w:p>
    <w:p w:rsidR="001724B8" w:rsidRPr="009314FD" w:rsidP="006D55DC" w14:paraId="6C0B105E" w14:textId="77777777">
      <w:pPr>
        <w:spacing w:after="0" w:line="240" w:lineRule="auto"/>
        <w:ind w:left="4320"/>
        <w:rPr>
          <w:rFonts w:ascii="Times New Roman" w:eastAsia="Times New Roman" w:hAnsi="Times New Roman" w:cs="Times New Roman"/>
          <w:b/>
          <w:sz w:val="24"/>
          <w:szCs w:val="24"/>
          <w:lang w:bidi="en-US"/>
        </w:rPr>
      </w:pPr>
      <w:r w:rsidRPr="009314FD">
        <w:rPr>
          <w:rFonts w:ascii="Times New Roman" w:eastAsia="Times New Roman" w:hAnsi="Times New Roman" w:cs="Times New Roman"/>
          <w:b/>
          <w:sz w:val="24"/>
          <w:szCs w:val="24"/>
          <w:lang w:bidi="en-US"/>
        </w:rPr>
        <w:t>Office of the Ohio Consumers’ Counsel</w:t>
      </w:r>
    </w:p>
    <w:p w:rsidR="001724B8" w:rsidRPr="009314FD" w:rsidP="006D55DC" w14:paraId="7F7FCAC6" w14:textId="77777777">
      <w:pPr>
        <w:spacing w:after="0" w:line="240" w:lineRule="auto"/>
        <w:ind w:left="4320"/>
        <w:rPr>
          <w:rFonts w:ascii="Times New Roman" w:eastAsia="Times New Roman" w:hAnsi="Times New Roman" w:cs="Times New Roman"/>
          <w:sz w:val="24"/>
          <w:szCs w:val="24"/>
          <w:lang w:bidi="en-US"/>
        </w:rPr>
      </w:pPr>
      <w:r w:rsidRPr="009314FD">
        <w:rPr>
          <w:rFonts w:ascii="Times New Roman" w:eastAsia="Times New Roman" w:hAnsi="Times New Roman" w:cs="Times New Roman"/>
          <w:sz w:val="24"/>
          <w:szCs w:val="24"/>
          <w:lang w:bidi="en-US"/>
        </w:rPr>
        <w:t>65 East State Street, Suite 700</w:t>
      </w:r>
    </w:p>
    <w:p w:rsidR="001724B8" w:rsidRPr="009314FD" w:rsidP="006D55DC" w14:paraId="64930C08" w14:textId="77777777">
      <w:pPr>
        <w:spacing w:after="0" w:line="240" w:lineRule="auto"/>
        <w:ind w:left="4320"/>
        <w:rPr>
          <w:rFonts w:ascii="Times New Roman" w:eastAsia="Times New Roman" w:hAnsi="Times New Roman" w:cs="Times New Roman"/>
          <w:sz w:val="24"/>
          <w:szCs w:val="24"/>
          <w:lang w:bidi="en-US"/>
        </w:rPr>
      </w:pPr>
      <w:r w:rsidRPr="009314FD">
        <w:rPr>
          <w:rFonts w:ascii="Times New Roman" w:eastAsia="Times New Roman" w:hAnsi="Times New Roman" w:cs="Times New Roman"/>
          <w:sz w:val="24"/>
          <w:szCs w:val="24"/>
          <w:lang w:bidi="en-US"/>
        </w:rPr>
        <w:t>Columbus, Ohio 43215</w:t>
      </w:r>
    </w:p>
    <w:p w:rsidR="001724B8" w:rsidRPr="009314FD" w:rsidP="006D55DC" w14:paraId="784183B7" w14:textId="77777777">
      <w:pPr>
        <w:spacing w:after="0" w:line="240" w:lineRule="auto"/>
        <w:ind w:left="4320"/>
        <w:rPr>
          <w:rFonts w:ascii="Times New Roman" w:eastAsia="Times New Roman" w:hAnsi="Times New Roman" w:cs="Times New Roman"/>
          <w:sz w:val="24"/>
          <w:szCs w:val="24"/>
          <w:lang w:bidi="en-US"/>
        </w:rPr>
      </w:pPr>
      <w:r w:rsidRPr="009314FD">
        <w:rPr>
          <w:rFonts w:ascii="Times New Roman" w:eastAsia="Times New Roman" w:hAnsi="Times New Roman" w:cs="Times New Roman"/>
          <w:sz w:val="24"/>
          <w:szCs w:val="24"/>
          <w:lang w:bidi="en-US"/>
        </w:rPr>
        <w:t>Telephone [O’Brien]: (614) 466-9531</w:t>
      </w:r>
    </w:p>
    <w:p w:rsidR="001724B8" w:rsidRPr="009314FD" w:rsidP="006D55DC" w14:paraId="04670A81" w14:textId="77777777">
      <w:pPr>
        <w:spacing w:after="0" w:line="240" w:lineRule="auto"/>
        <w:ind w:left="4320"/>
        <w:rPr>
          <w:rFonts w:ascii="Times New Roman" w:eastAsia="Times New Roman" w:hAnsi="Times New Roman" w:cs="Times New Roman"/>
          <w:color w:val="0000FF"/>
          <w:sz w:val="24"/>
          <w:szCs w:val="24"/>
          <w:u w:val="single"/>
          <w:lang w:bidi="en-US"/>
        </w:rPr>
      </w:pPr>
      <w:hyperlink r:id="rId6" w:history="1">
        <w:r w:rsidRPr="009314FD">
          <w:rPr>
            <w:rStyle w:val="Hyperlink"/>
            <w:rFonts w:ascii="Times New Roman" w:eastAsia="Times New Roman" w:hAnsi="Times New Roman" w:cs="Times New Roman"/>
            <w:color w:val="0000FF"/>
            <w:sz w:val="24"/>
            <w:szCs w:val="24"/>
            <w:lang w:bidi="en-US"/>
          </w:rPr>
          <w:t>angela.obrien@occ.ohio.gov</w:t>
        </w:r>
      </w:hyperlink>
    </w:p>
    <w:p w:rsidR="00E953FD" w:rsidP="006D55DC" w14:paraId="66AFC149" w14:textId="77777777">
      <w:pPr>
        <w:spacing w:after="0" w:line="240" w:lineRule="auto"/>
        <w:rPr>
          <w:rFonts w:ascii="Times New Roman" w:eastAsia="Times New Roman" w:hAnsi="Times New Roman" w:cs="Times New Roman"/>
          <w:sz w:val="24"/>
          <w:szCs w:val="24"/>
          <w:lang w:bidi="en-US"/>
        </w:rPr>
        <w:sectPr w:rsidSect="009314F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pPr>
      <w:r w:rsidRPr="009314FD">
        <w:rPr>
          <w:rFonts w:ascii="Times New Roman" w:eastAsia="Times New Roman" w:hAnsi="Times New Roman" w:cs="Times New Roman"/>
          <w:sz w:val="24"/>
          <w:szCs w:val="24"/>
          <w:lang w:bidi="en-US"/>
        </w:rPr>
        <w:tab/>
      </w:r>
      <w:r w:rsidRPr="009314FD">
        <w:rPr>
          <w:rFonts w:ascii="Times New Roman" w:eastAsia="Times New Roman" w:hAnsi="Times New Roman" w:cs="Times New Roman"/>
          <w:sz w:val="24"/>
          <w:szCs w:val="24"/>
          <w:lang w:bidi="en-US"/>
        </w:rPr>
        <w:tab/>
      </w:r>
      <w:r w:rsidRPr="009314FD">
        <w:rPr>
          <w:rFonts w:ascii="Times New Roman" w:eastAsia="Times New Roman" w:hAnsi="Times New Roman" w:cs="Times New Roman"/>
          <w:sz w:val="24"/>
          <w:szCs w:val="24"/>
          <w:lang w:bidi="en-US"/>
        </w:rPr>
        <w:tab/>
      </w:r>
      <w:r w:rsidRPr="009314FD">
        <w:rPr>
          <w:rFonts w:ascii="Times New Roman" w:eastAsia="Times New Roman" w:hAnsi="Times New Roman" w:cs="Times New Roman"/>
          <w:sz w:val="24"/>
          <w:szCs w:val="24"/>
          <w:lang w:bidi="en-US"/>
        </w:rPr>
        <w:tab/>
      </w:r>
      <w:r w:rsidRPr="009314FD">
        <w:rPr>
          <w:rFonts w:ascii="Times New Roman" w:eastAsia="Times New Roman" w:hAnsi="Times New Roman" w:cs="Times New Roman"/>
          <w:sz w:val="24"/>
          <w:szCs w:val="24"/>
          <w:lang w:bidi="en-US"/>
        </w:rPr>
        <w:tab/>
      </w:r>
      <w:r w:rsidRPr="009314FD">
        <w:rPr>
          <w:rFonts w:ascii="Times New Roman" w:eastAsia="Times New Roman" w:hAnsi="Times New Roman" w:cs="Times New Roman"/>
          <w:sz w:val="24"/>
          <w:szCs w:val="24"/>
          <w:lang w:bidi="en-US"/>
        </w:rPr>
        <w:tab/>
        <w:t>(willing to accept service by e-mail)</w:t>
      </w:r>
    </w:p>
    <w:p w:rsidR="00A42D67" w:rsidRPr="009314FD" w:rsidP="00E953FD" w14:paraId="038DE0DC" w14:textId="77777777">
      <w:pPr>
        <w:spacing w:after="0" w:line="240" w:lineRule="auto"/>
        <w:jc w:val="center"/>
        <w:rPr>
          <w:rFonts w:ascii="Times New Roman" w:hAnsi="Times New Roman" w:cs="Times New Roman"/>
          <w:b/>
          <w:bCs/>
          <w:sz w:val="24"/>
          <w:szCs w:val="24"/>
        </w:rPr>
      </w:pPr>
      <w:r w:rsidRPr="009314FD">
        <w:rPr>
          <w:rFonts w:ascii="Times New Roman" w:hAnsi="Times New Roman" w:cs="Times New Roman"/>
          <w:b/>
          <w:bCs/>
          <w:sz w:val="24"/>
          <w:szCs w:val="24"/>
        </w:rPr>
        <w:t>BEFORE</w:t>
      </w:r>
    </w:p>
    <w:p w:rsidR="00C94A7E" w:rsidP="00E953FD" w14:paraId="64071794" w14:textId="6F7F5933">
      <w:pPr>
        <w:spacing w:after="0" w:line="240" w:lineRule="auto"/>
        <w:jc w:val="center"/>
        <w:rPr>
          <w:rFonts w:ascii="Times New Roman" w:hAnsi="Times New Roman" w:cs="Times New Roman"/>
          <w:b/>
          <w:bCs/>
          <w:sz w:val="24"/>
          <w:szCs w:val="24"/>
        </w:rPr>
      </w:pPr>
      <w:r w:rsidRPr="009314FD">
        <w:rPr>
          <w:rFonts w:ascii="Times New Roman" w:hAnsi="Times New Roman" w:cs="Times New Roman"/>
          <w:b/>
          <w:bCs/>
          <w:sz w:val="24"/>
          <w:szCs w:val="24"/>
        </w:rPr>
        <w:t>THE PUBLIC UTILITIES COMMISSION OF OHIO</w:t>
      </w:r>
    </w:p>
    <w:p w:rsidR="00E953FD" w:rsidRPr="009314FD" w:rsidP="00E953FD" w14:paraId="7B39DF23" w14:textId="77777777">
      <w:pPr>
        <w:spacing w:after="0" w:line="240" w:lineRule="auto"/>
        <w:jc w:val="center"/>
        <w:rPr>
          <w:rFonts w:ascii="Times New Roman" w:hAnsi="Times New Roman" w:cs="Times New Roman"/>
          <w:b/>
          <w:bCs/>
          <w:sz w:val="24"/>
          <w:szCs w:val="24"/>
        </w:rPr>
      </w:pPr>
    </w:p>
    <w:tbl>
      <w:tblPr>
        <w:tblW w:w="8640" w:type="dxa"/>
        <w:tblLayout w:type="fixed"/>
        <w:tblLook w:val="01E0"/>
      </w:tblPr>
      <w:tblGrid>
        <w:gridCol w:w="4230"/>
        <w:gridCol w:w="462"/>
        <w:gridCol w:w="3948"/>
      </w:tblGrid>
      <w:tr w14:paraId="5F61884A" w14:textId="77777777" w:rsidTr="00982EDE">
        <w:tblPrEx>
          <w:tblW w:w="8640" w:type="dxa"/>
          <w:tblLayout w:type="fixed"/>
          <w:tblLook w:val="01E0"/>
        </w:tblPrEx>
        <w:trPr>
          <w:trHeight w:val="807"/>
        </w:trPr>
        <w:tc>
          <w:tcPr>
            <w:tcW w:w="4230" w:type="dxa"/>
            <w:tcMar>
              <w:left w:w="108" w:type="dxa"/>
              <w:right w:w="108" w:type="dxa"/>
            </w:tcMar>
          </w:tcPr>
          <w:p w:rsidR="00594226" w:rsidRPr="009314FD" w:rsidP="00982EDE" w14:paraId="7B198ACB" w14:textId="77777777">
            <w:pPr>
              <w:pStyle w:val="HTMLPreformatted"/>
              <w:rPr>
                <w:rFonts w:ascii="Times New Roman" w:hAnsi="Times New Roman" w:cs="Times New Roman"/>
                <w:sz w:val="24"/>
                <w:szCs w:val="24"/>
              </w:rPr>
            </w:pPr>
            <w:r w:rsidRPr="009314FD">
              <w:rPr>
                <w:rFonts w:ascii="Times New Roman" w:hAnsi="Times New Roman" w:cs="Times New Roman"/>
                <w:sz w:val="24"/>
                <w:szCs w:val="24"/>
              </w:rPr>
              <w:t>In the Matter of the Commission’s investigation into RPA Energy, Inc.’s Compliance with the Ohio Administrative Code and Potential Remedial Actions for Non-Compliance.</w:t>
            </w:r>
          </w:p>
        </w:tc>
        <w:tc>
          <w:tcPr>
            <w:tcW w:w="462" w:type="dxa"/>
            <w:tcMar>
              <w:left w:w="108" w:type="dxa"/>
              <w:right w:w="108" w:type="dxa"/>
            </w:tcMar>
          </w:tcPr>
          <w:p w:rsidR="00594226" w:rsidRPr="009314FD" w:rsidP="00982EDE" w14:paraId="1DEE875B" w14:textId="77777777">
            <w:pPr>
              <w:pStyle w:val="HTMLPreformatted"/>
              <w:rPr>
                <w:rFonts w:ascii="Times New Roman" w:hAnsi="Times New Roman" w:cs="Times New Roman"/>
                <w:sz w:val="24"/>
                <w:szCs w:val="24"/>
              </w:rPr>
            </w:pPr>
            <w:r w:rsidRPr="009314FD">
              <w:rPr>
                <w:rFonts w:ascii="Times New Roman" w:hAnsi="Times New Roman" w:cs="Times New Roman"/>
                <w:sz w:val="24"/>
                <w:szCs w:val="24"/>
              </w:rPr>
              <w:t>)</w:t>
            </w:r>
          </w:p>
          <w:p w:rsidR="00594226" w:rsidRPr="009314FD" w:rsidP="00982EDE" w14:paraId="62CB8067" w14:textId="77777777">
            <w:pPr>
              <w:pStyle w:val="HTMLPreformatted"/>
              <w:rPr>
                <w:rFonts w:ascii="Times New Roman" w:hAnsi="Times New Roman" w:cs="Times New Roman"/>
                <w:sz w:val="24"/>
                <w:szCs w:val="24"/>
              </w:rPr>
            </w:pPr>
            <w:r w:rsidRPr="009314FD">
              <w:rPr>
                <w:rFonts w:ascii="Times New Roman" w:hAnsi="Times New Roman" w:cs="Times New Roman"/>
                <w:sz w:val="24"/>
                <w:szCs w:val="24"/>
              </w:rPr>
              <w:t>)</w:t>
            </w:r>
          </w:p>
          <w:p w:rsidR="00594226" w:rsidRPr="009314FD" w:rsidP="00982EDE" w14:paraId="3409E129" w14:textId="77777777">
            <w:pPr>
              <w:pStyle w:val="HTMLPreformatted"/>
              <w:rPr>
                <w:rFonts w:ascii="Times New Roman" w:hAnsi="Times New Roman" w:cs="Times New Roman"/>
                <w:sz w:val="24"/>
                <w:szCs w:val="24"/>
              </w:rPr>
            </w:pPr>
            <w:r w:rsidRPr="009314FD">
              <w:rPr>
                <w:rFonts w:ascii="Times New Roman" w:hAnsi="Times New Roman" w:cs="Times New Roman"/>
                <w:sz w:val="24"/>
                <w:szCs w:val="24"/>
              </w:rPr>
              <w:t>)</w:t>
            </w:r>
          </w:p>
          <w:p w:rsidR="00594226" w:rsidP="00982EDE" w14:paraId="7A0FB164" w14:textId="77777777">
            <w:pPr>
              <w:pStyle w:val="HTMLPreformatted"/>
              <w:rPr>
                <w:rFonts w:ascii="Times New Roman" w:hAnsi="Times New Roman" w:cs="Times New Roman"/>
                <w:sz w:val="24"/>
                <w:szCs w:val="24"/>
              </w:rPr>
            </w:pPr>
            <w:r w:rsidRPr="009314FD">
              <w:rPr>
                <w:rFonts w:ascii="Times New Roman" w:hAnsi="Times New Roman" w:cs="Times New Roman"/>
                <w:sz w:val="24"/>
                <w:szCs w:val="24"/>
              </w:rPr>
              <w:t>)</w:t>
            </w:r>
          </w:p>
          <w:p w:rsidR="00594226" w:rsidRPr="009314FD" w:rsidP="00982EDE" w14:paraId="47153ED1"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3948" w:type="dxa"/>
            <w:tcMar>
              <w:left w:w="108" w:type="dxa"/>
              <w:right w:w="108" w:type="dxa"/>
            </w:tcMar>
          </w:tcPr>
          <w:p w:rsidR="00594226" w:rsidRPr="009314FD" w:rsidP="00982EDE" w14:paraId="1517AA93" w14:textId="77777777">
            <w:pPr>
              <w:pStyle w:val="HTMLPreformatted"/>
              <w:rPr>
                <w:rFonts w:ascii="Times New Roman" w:hAnsi="Times New Roman" w:cs="Times New Roman"/>
                <w:sz w:val="24"/>
                <w:szCs w:val="24"/>
              </w:rPr>
            </w:pPr>
          </w:p>
          <w:p w:rsidR="00594226" w:rsidRPr="009314FD" w:rsidP="00982EDE" w14:paraId="47F78A4A" w14:textId="77777777">
            <w:pPr>
              <w:pStyle w:val="HTMLPreformatted"/>
              <w:rPr>
                <w:rFonts w:ascii="Times New Roman" w:hAnsi="Times New Roman" w:cs="Times New Roman"/>
                <w:sz w:val="24"/>
                <w:szCs w:val="24"/>
              </w:rPr>
            </w:pPr>
            <w:r w:rsidRPr="009314FD">
              <w:rPr>
                <w:rFonts w:ascii="Times New Roman" w:hAnsi="Times New Roman" w:cs="Times New Roman"/>
                <w:sz w:val="24"/>
                <w:szCs w:val="24"/>
              </w:rPr>
              <w:t>Case No. 22-441-GE-COI</w:t>
            </w:r>
          </w:p>
          <w:p w:rsidR="00594226" w:rsidRPr="009314FD" w:rsidP="00982EDE" w14:paraId="7E811E42" w14:textId="77777777">
            <w:pPr>
              <w:pStyle w:val="HTMLPreformatted"/>
              <w:rPr>
                <w:rFonts w:ascii="Times New Roman" w:hAnsi="Times New Roman" w:cs="Times New Roman"/>
                <w:sz w:val="24"/>
                <w:szCs w:val="24"/>
              </w:rPr>
            </w:pPr>
          </w:p>
          <w:p w:rsidR="00594226" w:rsidRPr="009314FD" w:rsidP="00982EDE" w14:paraId="3A72C0F7" w14:textId="77777777">
            <w:pPr>
              <w:pStyle w:val="HTMLPreformatted"/>
              <w:rPr>
                <w:rFonts w:ascii="Times New Roman" w:hAnsi="Times New Roman" w:cs="Times New Roman"/>
                <w:sz w:val="24"/>
                <w:szCs w:val="24"/>
              </w:rPr>
            </w:pPr>
          </w:p>
        </w:tc>
      </w:tr>
    </w:tbl>
    <w:p w:rsidR="00C94A7E" w:rsidRPr="009314FD" w:rsidP="00C94A7E" w14:paraId="30BAEA60"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C94A7E" w:rsidRPr="009314FD" w:rsidP="00C94A7E" w14:paraId="0DBE36A0" w14:textId="77777777">
      <w:pPr>
        <w:autoSpaceDE w:val="0"/>
        <w:autoSpaceDN w:val="0"/>
        <w:adjustRightInd w:val="0"/>
        <w:spacing w:after="0" w:line="240" w:lineRule="auto"/>
        <w:rPr>
          <w:rFonts w:ascii="Times New Roman" w:eastAsia="Calibri" w:hAnsi="Times New Roman" w:cs="Times New Roman"/>
          <w:sz w:val="24"/>
          <w:szCs w:val="24"/>
        </w:rPr>
      </w:pPr>
    </w:p>
    <w:p w:rsidR="00C94A7E" w:rsidRPr="009314FD" w:rsidP="001F6EB7" w14:paraId="7ADF2121" w14:textId="178E88F1">
      <w:pPr>
        <w:pBdr>
          <w:bottom w:val="single" w:sz="12" w:space="1" w:color="auto"/>
        </w:pBdr>
        <w:autoSpaceDE w:val="0"/>
        <w:autoSpaceDN w:val="0"/>
        <w:adjustRightInd w:val="0"/>
        <w:spacing w:after="0" w:line="240" w:lineRule="auto"/>
        <w:jc w:val="center"/>
        <w:rPr>
          <w:rFonts w:ascii="Times New Roman" w:hAnsi="Times New Roman" w:cs="Times New Roman"/>
          <w:b/>
          <w:bCs/>
          <w:sz w:val="24"/>
          <w:szCs w:val="24"/>
        </w:rPr>
      </w:pPr>
      <w:r w:rsidRPr="009314FD">
        <w:rPr>
          <w:rFonts w:ascii="Times New Roman" w:hAnsi="Times New Roman" w:cs="Times New Roman"/>
          <w:b/>
          <w:bCs/>
          <w:sz w:val="24"/>
          <w:szCs w:val="24"/>
        </w:rPr>
        <w:t>MEMORA</w:t>
      </w:r>
      <w:r w:rsidRPr="009314FD" w:rsidR="0075221A">
        <w:rPr>
          <w:rFonts w:ascii="Times New Roman" w:hAnsi="Times New Roman" w:cs="Times New Roman"/>
          <w:b/>
          <w:bCs/>
          <w:sz w:val="24"/>
          <w:szCs w:val="24"/>
        </w:rPr>
        <w:t>ND</w:t>
      </w:r>
      <w:r w:rsidRPr="009314FD">
        <w:rPr>
          <w:rFonts w:ascii="Times New Roman" w:hAnsi="Times New Roman" w:cs="Times New Roman"/>
          <w:b/>
          <w:bCs/>
          <w:sz w:val="24"/>
          <w:szCs w:val="24"/>
        </w:rPr>
        <w:t>UM IN SUPPORT</w:t>
      </w:r>
    </w:p>
    <w:p w:rsidR="00C94A7E" w:rsidRPr="009314FD" w:rsidP="00C94A7E" w14:paraId="353DF0DA"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C94A7E" w:rsidRPr="009314FD" w:rsidP="00C94A7E" w14:paraId="5D06EE37" w14:textId="77777777">
      <w:pPr>
        <w:autoSpaceDE w:val="0"/>
        <w:autoSpaceDN w:val="0"/>
        <w:adjustRightInd w:val="0"/>
        <w:spacing w:after="0" w:line="240" w:lineRule="auto"/>
        <w:rPr>
          <w:rFonts w:ascii="Times New Roman" w:eastAsia="Calibri" w:hAnsi="Times New Roman" w:cs="Times New Roman"/>
          <w:sz w:val="24"/>
          <w:szCs w:val="24"/>
        </w:rPr>
      </w:pPr>
    </w:p>
    <w:p w:rsidR="00D66F18" w:rsidRPr="000A143A" w:rsidP="000A143A" w14:paraId="52411BDE" w14:textId="20F7E5CC">
      <w:pPr>
        <w:pStyle w:val="Heading1"/>
      </w:pPr>
      <w:r w:rsidRPr="000A143A">
        <w:t>I.</w:t>
      </w:r>
      <w:r w:rsidRPr="000A143A" w:rsidR="000A143A">
        <w:tab/>
      </w:r>
      <w:r w:rsidRPr="000A143A">
        <w:t>INTRODUCTION</w:t>
      </w:r>
    </w:p>
    <w:p w:rsidR="00B302E5" w:rsidRPr="009314FD" w:rsidP="00B302E5" w14:paraId="000AF0F1" w14:textId="63DA8F76">
      <w:pPr>
        <w:pStyle w:val="BodyTextIndent3"/>
        <w:widowControl w:val="0"/>
        <w:spacing w:line="480" w:lineRule="auto"/>
        <w:rPr>
          <w:szCs w:val="24"/>
        </w:rPr>
      </w:pPr>
      <w:r w:rsidRPr="009314FD">
        <w:rPr>
          <w:szCs w:val="24"/>
        </w:rPr>
        <w:t xml:space="preserve">The PUCO determined in its October 18, 2023 Order that energy marketer Green Choice misled and deceived Ohioans when soliciting and enrolling them in natural gas and electric service. </w:t>
      </w:r>
      <w:r w:rsidRPr="009314FD" w:rsidR="0081302F">
        <w:rPr>
          <w:szCs w:val="24"/>
        </w:rPr>
        <w:t xml:space="preserve">The </w:t>
      </w:r>
      <w:r w:rsidRPr="009314FD">
        <w:rPr>
          <w:szCs w:val="24"/>
        </w:rPr>
        <w:t>PUCO found that</w:t>
      </w:r>
      <w:r w:rsidRPr="009314FD" w:rsidR="0081302F">
        <w:rPr>
          <w:szCs w:val="24"/>
        </w:rPr>
        <w:t xml:space="preserve"> Green Choice falsified third-party verification (“TPV”) calls and altered sales calls.</w:t>
      </w:r>
      <w:r>
        <w:rPr>
          <w:rStyle w:val="FootnoteReference"/>
          <w:szCs w:val="24"/>
        </w:rPr>
        <w:footnoteReference w:id="7"/>
      </w:r>
      <w:r w:rsidRPr="009314FD" w:rsidR="0081302F">
        <w:rPr>
          <w:szCs w:val="24"/>
        </w:rPr>
        <w:t xml:space="preserve"> Green Choice falsified enrollment contracts.</w:t>
      </w:r>
      <w:r>
        <w:rPr>
          <w:rStyle w:val="FootnoteReference"/>
          <w:szCs w:val="24"/>
        </w:rPr>
        <w:footnoteReference w:id="8"/>
      </w:r>
      <w:r w:rsidRPr="009314FD" w:rsidR="0081302F">
        <w:rPr>
          <w:szCs w:val="24"/>
        </w:rPr>
        <w:t xml:space="preserve"> Green Choice also </w:t>
      </w:r>
      <w:r w:rsidRPr="009314FD" w:rsidR="00312680">
        <w:rPr>
          <w:szCs w:val="24"/>
        </w:rPr>
        <w:t>misled consumers about</w:t>
      </w:r>
      <w:r w:rsidRPr="009314FD" w:rsidR="0081302F">
        <w:rPr>
          <w:szCs w:val="24"/>
        </w:rPr>
        <w:t xml:space="preserve"> variable rates for service.</w:t>
      </w:r>
      <w:r>
        <w:rPr>
          <w:rStyle w:val="FootnoteReference"/>
          <w:szCs w:val="24"/>
        </w:rPr>
        <w:footnoteReference w:id="9"/>
      </w:r>
      <w:r w:rsidRPr="009314FD" w:rsidR="0081302F">
        <w:rPr>
          <w:szCs w:val="24"/>
        </w:rPr>
        <w:t xml:space="preserve"> Moreover, when PUCO Staff tried to investigate consumer complaints, Green Choice refused to cooperate and provide information.</w:t>
      </w:r>
      <w:r>
        <w:rPr>
          <w:rStyle w:val="FootnoteReference"/>
          <w:szCs w:val="24"/>
        </w:rPr>
        <w:footnoteReference w:id="10"/>
      </w:r>
      <w:r w:rsidRPr="009314FD">
        <w:rPr>
          <w:szCs w:val="24"/>
        </w:rPr>
        <w:t xml:space="preserve"> Green Choice also “spoofed” (faked) Caller ID so that consumers believed that someone other than Green Choice was calling them.</w:t>
      </w:r>
      <w:r>
        <w:rPr>
          <w:rStyle w:val="FootnoteReference"/>
          <w:szCs w:val="24"/>
        </w:rPr>
        <w:footnoteReference w:id="11"/>
      </w:r>
    </w:p>
    <w:p w:rsidR="00C94A7E" w:rsidRPr="009314FD" w:rsidP="002516E3" w14:paraId="41EC7034" w14:textId="76966F6A">
      <w:pPr>
        <w:pStyle w:val="BodyTextIndent3"/>
        <w:widowControl w:val="0"/>
        <w:spacing w:line="480" w:lineRule="auto"/>
        <w:rPr>
          <w:szCs w:val="24"/>
        </w:rPr>
      </w:pPr>
      <w:r w:rsidRPr="009314FD">
        <w:rPr>
          <w:szCs w:val="24"/>
        </w:rPr>
        <w:t xml:space="preserve"> </w:t>
      </w:r>
      <w:r w:rsidRPr="009314FD" w:rsidR="00B302E5">
        <w:rPr>
          <w:szCs w:val="24"/>
        </w:rPr>
        <w:t>T</w:t>
      </w:r>
      <w:r w:rsidRPr="009314FD">
        <w:rPr>
          <w:szCs w:val="24"/>
        </w:rPr>
        <w:t>he PUCO should have zero tolerance for spoofing</w:t>
      </w:r>
      <w:r w:rsidRPr="009314FD" w:rsidR="002516E3">
        <w:rPr>
          <w:szCs w:val="24"/>
        </w:rPr>
        <w:t xml:space="preserve"> and other consumer abuse by Green Choice</w:t>
      </w:r>
      <w:r w:rsidRPr="009314FD">
        <w:rPr>
          <w:szCs w:val="24"/>
        </w:rPr>
        <w:t>. The PUCO should permanently rescind Green Choice’s certificates to market electric and natural gas to Ohioans and not let them or an</w:t>
      </w:r>
      <w:r w:rsidRPr="009314FD" w:rsidR="002516E3">
        <w:rPr>
          <w:szCs w:val="24"/>
        </w:rPr>
        <w:t>y</w:t>
      </w:r>
      <w:r w:rsidRPr="009314FD">
        <w:rPr>
          <w:szCs w:val="24"/>
        </w:rPr>
        <w:t xml:space="preserve"> affiliate receive a certificate again.</w:t>
      </w:r>
      <w:r w:rsidRPr="009314FD" w:rsidR="0075221A">
        <w:rPr>
          <w:szCs w:val="24"/>
        </w:rPr>
        <w:tab/>
      </w:r>
    </w:p>
    <w:p w:rsidR="001F6EB7" w:rsidRPr="009314FD" w:rsidP="00C4451E" w14:paraId="3A183A69" w14:textId="021451EC">
      <w:pPr>
        <w:pStyle w:val="Heading1"/>
      </w:pPr>
      <w:r w:rsidRPr="009314FD">
        <w:t>II.</w:t>
      </w:r>
      <w:r w:rsidR="00C4451E">
        <w:tab/>
      </w:r>
      <w:r w:rsidRPr="009314FD" w:rsidR="0081302F">
        <w:t>ASSIGNMENT OF ERROR</w:t>
      </w:r>
    </w:p>
    <w:p w:rsidR="002516E3" w:rsidRPr="009314FD" w:rsidP="00962961" w14:paraId="527C5094" w14:textId="57606E85">
      <w:pPr>
        <w:pStyle w:val="Heading2"/>
      </w:pPr>
      <w:r w:rsidRPr="00531E4D">
        <w:t>ASSIGNMENT OF ERROR NO. 1: The PUCO erred by failing to permanently rescind Green Choice’s certificates to market natural gas and electric service to Ohio consumers to prevent Green Choice or any of its affiliates from ever again harming Ohioans.</w:t>
      </w:r>
    </w:p>
    <w:p w:rsidR="002516E3" w:rsidRPr="009314FD" w:rsidP="003A4DD5" w14:paraId="09E4AD0A" w14:textId="1AECE671">
      <w:pPr>
        <w:spacing w:after="0" w:line="480" w:lineRule="auto"/>
        <w:rPr>
          <w:rFonts w:ascii="Times New Roman" w:hAnsi="Times New Roman" w:cs="Times New Roman"/>
          <w:sz w:val="24"/>
          <w:szCs w:val="24"/>
        </w:rPr>
      </w:pPr>
      <w:r w:rsidRPr="009314FD">
        <w:rPr>
          <w:rFonts w:ascii="Times New Roman" w:hAnsi="Times New Roman" w:cs="Times New Roman"/>
          <w:sz w:val="24"/>
          <w:szCs w:val="24"/>
        </w:rPr>
        <w:tab/>
        <w:t xml:space="preserve">The PUCO did a good thing by rescinding Green Choice’s </w:t>
      </w:r>
      <w:r w:rsidRPr="009314FD" w:rsidR="00FF47E9">
        <w:rPr>
          <w:rFonts w:ascii="Times New Roman" w:hAnsi="Times New Roman" w:cs="Times New Roman"/>
          <w:sz w:val="24"/>
          <w:szCs w:val="24"/>
        </w:rPr>
        <w:t xml:space="preserve">current </w:t>
      </w:r>
      <w:r w:rsidRPr="009314FD">
        <w:rPr>
          <w:rFonts w:ascii="Times New Roman" w:hAnsi="Times New Roman" w:cs="Times New Roman"/>
          <w:sz w:val="24"/>
          <w:szCs w:val="24"/>
        </w:rPr>
        <w:t>certificates to market natural gas and electric service to Ohio consumers.</w:t>
      </w:r>
      <w:r w:rsidRPr="009314FD" w:rsidR="003A4DD5">
        <w:rPr>
          <w:rFonts w:ascii="Times New Roman" w:hAnsi="Times New Roman" w:cs="Times New Roman"/>
          <w:sz w:val="24"/>
          <w:szCs w:val="24"/>
        </w:rPr>
        <w:t xml:space="preserve"> However, the PUCO should have gone a step further</w:t>
      </w:r>
      <w:r w:rsidRPr="009314FD" w:rsidR="003C53BC">
        <w:rPr>
          <w:rFonts w:ascii="Times New Roman" w:hAnsi="Times New Roman" w:cs="Times New Roman"/>
          <w:sz w:val="24"/>
          <w:szCs w:val="24"/>
        </w:rPr>
        <w:t>. The PUCO should</w:t>
      </w:r>
      <w:r w:rsidRPr="009314FD" w:rsidR="003A4DD5">
        <w:rPr>
          <w:rFonts w:ascii="Times New Roman" w:hAnsi="Times New Roman" w:cs="Times New Roman"/>
          <w:sz w:val="24"/>
          <w:szCs w:val="24"/>
        </w:rPr>
        <w:t xml:space="preserve"> </w:t>
      </w:r>
      <w:r w:rsidRPr="009314FD" w:rsidR="003A4DD5">
        <w:rPr>
          <w:rFonts w:ascii="Times New Roman" w:hAnsi="Times New Roman" w:cs="Times New Roman"/>
          <w:b/>
          <w:bCs/>
          <w:i/>
          <w:iCs/>
          <w:sz w:val="24"/>
          <w:szCs w:val="24"/>
        </w:rPr>
        <w:t xml:space="preserve">permanently </w:t>
      </w:r>
      <w:r w:rsidRPr="009314FD" w:rsidR="003C53BC">
        <w:rPr>
          <w:rFonts w:ascii="Times New Roman" w:hAnsi="Times New Roman" w:cs="Times New Roman"/>
          <w:sz w:val="24"/>
          <w:szCs w:val="24"/>
        </w:rPr>
        <w:t>rescind</w:t>
      </w:r>
      <w:r w:rsidRPr="009314FD" w:rsidR="003A4DD5">
        <w:rPr>
          <w:rFonts w:ascii="Times New Roman" w:hAnsi="Times New Roman" w:cs="Times New Roman"/>
          <w:sz w:val="24"/>
          <w:szCs w:val="24"/>
        </w:rPr>
        <w:t xml:space="preserve"> Green Choice</w:t>
      </w:r>
      <w:r w:rsidRPr="009314FD" w:rsidR="003C53BC">
        <w:rPr>
          <w:rFonts w:ascii="Times New Roman" w:hAnsi="Times New Roman" w:cs="Times New Roman"/>
          <w:sz w:val="24"/>
          <w:szCs w:val="24"/>
        </w:rPr>
        <w:t>’s</w:t>
      </w:r>
      <w:r w:rsidRPr="009314FD" w:rsidR="003A4DD5">
        <w:rPr>
          <w:rFonts w:ascii="Times New Roman" w:hAnsi="Times New Roman" w:cs="Times New Roman"/>
          <w:sz w:val="24"/>
          <w:szCs w:val="24"/>
        </w:rPr>
        <w:t xml:space="preserve"> (or any affiliate</w:t>
      </w:r>
      <w:r w:rsidRPr="009314FD" w:rsidR="003C53BC">
        <w:rPr>
          <w:rFonts w:ascii="Times New Roman" w:hAnsi="Times New Roman" w:cs="Times New Roman"/>
          <w:sz w:val="24"/>
          <w:szCs w:val="24"/>
        </w:rPr>
        <w:t>’s</w:t>
      </w:r>
      <w:r w:rsidRPr="009314FD" w:rsidR="003A4DD5">
        <w:rPr>
          <w:rFonts w:ascii="Times New Roman" w:hAnsi="Times New Roman" w:cs="Times New Roman"/>
          <w:sz w:val="24"/>
          <w:szCs w:val="24"/>
        </w:rPr>
        <w:t>)</w:t>
      </w:r>
      <w:r w:rsidRPr="009314FD" w:rsidR="003C53BC">
        <w:rPr>
          <w:rFonts w:ascii="Times New Roman" w:hAnsi="Times New Roman" w:cs="Times New Roman"/>
          <w:sz w:val="24"/>
          <w:szCs w:val="24"/>
        </w:rPr>
        <w:t xml:space="preserve"> authority</w:t>
      </w:r>
      <w:r w:rsidRPr="009314FD" w:rsidR="003A4DD5">
        <w:rPr>
          <w:rFonts w:ascii="Times New Roman" w:hAnsi="Times New Roman" w:cs="Times New Roman"/>
          <w:sz w:val="24"/>
          <w:szCs w:val="24"/>
        </w:rPr>
        <w:t xml:space="preserve"> to market energy services to Ohio</w:t>
      </w:r>
      <w:r w:rsidRPr="009314FD" w:rsidR="003C53BC">
        <w:rPr>
          <w:rFonts w:ascii="Times New Roman" w:hAnsi="Times New Roman" w:cs="Times New Roman"/>
          <w:sz w:val="24"/>
          <w:szCs w:val="24"/>
        </w:rPr>
        <w:t xml:space="preserve"> consumers</w:t>
      </w:r>
      <w:r w:rsidRPr="009314FD" w:rsidR="003A4DD5">
        <w:rPr>
          <w:rFonts w:ascii="Times New Roman" w:hAnsi="Times New Roman" w:cs="Times New Roman"/>
          <w:sz w:val="24"/>
          <w:szCs w:val="24"/>
        </w:rPr>
        <w:t xml:space="preserve">. Such order is more than appropriate in this case given </w:t>
      </w:r>
      <w:r w:rsidRPr="009314FD">
        <w:rPr>
          <w:rFonts w:ascii="Times New Roman" w:hAnsi="Times New Roman" w:cs="Times New Roman"/>
          <w:sz w:val="24"/>
          <w:szCs w:val="24"/>
        </w:rPr>
        <w:t>Green Choice’s egregious abuse of consumers</w:t>
      </w:r>
      <w:r w:rsidRPr="009314FD" w:rsidR="003A4DD5">
        <w:rPr>
          <w:rFonts w:ascii="Times New Roman" w:hAnsi="Times New Roman" w:cs="Times New Roman"/>
          <w:sz w:val="24"/>
          <w:szCs w:val="24"/>
        </w:rPr>
        <w:t xml:space="preserve"> (including spoofing)</w:t>
      </w:r>
      <w:r w:rsidRPr="009314FD">
        <w:rPr>
          <w:rFonts w:ascii="Times New Roman" w:hAnsi="Times New Roman" w:cs="Times New Roman"/>
          <w:sz w:val="24"/>
          <w:szCs w:val="24"/>
        </w:rPr>
        <w:t xml:space="preserve"> and its refusal to cooperate with the PUCO Staff during its investigation</w:t>
      </w:r>
      <w:r w:rsidRPr="009314FD" w:rsidR="003A4DD5">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r w:rsidRPr="009314FD" w:rsidR="00D66F18">
        <w:rPr>
          <w:rFonts w:ascii="Times New Roman" w:hAnsi="Times New Roman" w:cs="Times New Roman"/>
          <w:sz w:val="24"/>
          <w:szCs w:val="24"/>
        </w:rPr>
        <w:tab/>
      </w:r>
    </w:p>
    <w:p w:rsidR="00C94A7E" w:rsidRPr="009314FD" w:rsidP="003A4DD5" w14:paraId="2BF3C57F" w14:textId="6E89FB82">
      <w:pPr>
        <w:spacing w:after="0" w:line="480" w:lineRule="auto"/>
        <w:ind w:firstLine="720"/>
        <w:rPr>
          <w:rFonts w:ascii="Times New Roman" w:hAnsi="Times New Roman" w:cs="Times New Roman"/>
          <w:sz w:val="24"/>
          <w:szCs w:val="24"/>
        </w:rPr>
      </w:pPr>
      <w:r w:rsidRPr="009314FD">
        <w:rPr>
          <w:rFonts w:ascii="Times New Roman" w:hAnsi="Times New Roman" w:cs="Times New Roman"/>
          <w:sz w:val="24"/>
          <w:szCs w:val="24"/>
        </w:rPr>
        <w:t>The PUCO has authority to permanently rescind Green Choice’s certifications to market natural gas and electric service.</w:t>
      </w:r>
      <w:r>
        <w:rPr>
          <w:rStyle w:val="FootnoteReference"/>
          <w:rFonts w:ascii="Times New Roman" w:hAnsi="Times New Roman" w:cs="Times New Roman"/>
          <w:sz w:val="24"/>
          <w:szCs w:val="24"/>
        </w:rPr>
        <w:footnoteReference w:id="13"/>
      </w:r>
      <w:r w:rsidRPr="009314FD">
        <w:rPr>
          <w:rFonts w:ascii="Times New Roman" w:hAnsi="Times New Roman" w:cs="Times New Roman"/>
          <w:sz w:val="24"/>
          <w:szCs w:val="24"/>
        </w:rPr>
        <w:t xml:space="preserve"> </w:t>
      </w:r>
      <w:r w:rsidRPr="009314FD" w:rsidR="00D66F18">
        <w:rPr>
          <w:rFonts w:ascii="Times New Roman" w:hAnsi="Times New Roman" w:cs="Times New Roman"/>
          <w:sz w:val="24"/>
          <w:szCs w:val="24"/>
        </w:rPr>
        <w:t xml:space="preserve">The PUCO has authority under </w:t>
      </w:r>
      <w:r w:rsidRPr="009314FD" w:rsidR="00CA7A10">
        <w:rPr>
          <w:rFonts w:ascii="Times New Roman" w:hAnsi="Times New Roman" w:cs="Times New Roman"/>
          <w:sz w:val="24"/>
          <w:szCs w:val="24"/>
        </w:rPr>
        <w:t>R</w:t>
      </w:r>
      <w:r w:rsidRPr="009314FD" w:rsidR="003A4DD5">
        <w:rPr>
          <w:rFonts w:ascii="Times New Roman" w:hAnsi="Times New Roman" w:cs="Times New Roman"/>
          <w:sz w:val="24"/>
          <w:szCs w:val="24"/>
        </w:rPr>
        <w:t>.</w:t>
      </w:r>
      <w:r w:rsidRPr="009314FD" w:rsidR="00CA7A10">
        <w:rPr>
          <w:rFonts w:ascii="Times New Roman" w:hAnsi="Times New Roman" w:cs="Times New Roman"/>
          <w:sz w:val="24"/>
          <w:szCs w:val="24"/>
        </w:rPr>
        <w:t>C</w:t>
      </w:r>
      <w:r w:rsidRPr="009314FD" w:rsidR="003A4DD5">
        <w:rPr>
          <w:rFonts w:ascii="Times New Roman" w:hAnsi="Times New Roman" w:cs="Times New Roman"/>
          <w:sz w:val="24"/>
          <w:szCs w:val="24"/>
        </w:rPr>
        <w:t>.</w:t>
      </w:r>
      <w:r w:rsidRPr="009314FD" w:rsidR="00CA7A10">
        <w:rPr>
          <w:rFonts w:ascii="Times New Roman" w:hAnsi="Times New Roman" w:cs="Times New Roman"/>
          <w:sz w:val="24"/>
          <w:szCs w:val="24"/>
        </w:rPr>
        <w:t xml:space="preserve"> 4928.08(D) to “suspend, rescind, or conditionally rescind the certification” of a</w:t>
      </w:r>
      <w:r w:rsidRPr="009314FD" w:rsidR="003A4DD5">
        <w:rPr>
          <w:rFonts w:ascii="Times New Roman" w:hAnsi="Times New Roman" w:cs="Times New Roman"/>
          <w:sz w:val="24"/>
          <w:szCs w:val="24"/>
        </w:rPr>
        <w:t>n electric</w:t>
      </w:r>
      <w:r w:rsidRPr="009314FD" w:rsidR="002516E3">
        <w:rPr>
          <w:rFonts w:ascii="Times New Roman" w:hAnsi="Times New Roman" w:cs="Times New Roman"/>
          <w:sz w:val="24"/>
          <w:szCs w:val="24"/>
        </w:rPr>
        <w:t xml:space="preserve"> marketer</w:t>
      </w:r>
      <w:r w:rsidRPr="009314FD" w:rsidR="00CA7A10">
        <w:rPr>
          <w:rFonts w:ascii="Times New Roman" w:hAnsi="Times New Roman" w:cs="Times New Roman"/>
          <w:sz w:val="24"/>
          <w:szCs w:val="24"/>
        </w:rPr>
        <w:t xml:space="preserve"> if the PUCO “determines . . . that the utility, company, cooperative, or aggregator has failed to comply with any applicable certification standards or has engaged in anticompetitive or unfair, deceptive, or unconscionable acts or practices.” The PUCO has similar authority over </w:t>
      </w:r>
      <w:r w:rsidRPr="009314FD" w:rsidR="003A4DD5">
        <w:rPr>
          <w:rFonts w:ascii="Times New Roman" w:hAnsi="Times New Roman" w:cs="Times New Roman"/>
          <w:sz w:val="24"/>
          <w:szCs w:val="24"/>
        </w:rPr>
        <w:t>natural gas marketers under</w:t>
      </w:r>
      <w:r w:rsidRPr="009314FD" w:rsidR="00CA7A10">
        <w:rPr>
          <w:rFonts w:ascii="Times New Roman" w:hAnsi="Times New Roman" w:cs="Times New Roman"/>
          <w:sz w:val="24"/>
          <w:szCs w:val="24"/>
        </w:rPr>
        <w:t xml:space="preserve"> R.C. 4929.20(C)(1).</w:t>
      </w:r>
    </w:p>
    <w:p w:rsidR="00CA7A10" w:rsidRPr="009314FD" w:rsidP="00460C9F" w14:paraId="63F23AEF" w14:textId="45CF3132">
      <w:pPr>
        <w:spacing w:after="0" w:line="480" w:lineRule="auto"/>
        <w:ind w:firstLine="720"/>
        <w:rPr>
          <w:rFonts w:ascii="Times New Roman" w:hAnsi="Times New Roman" w:cs="Times New Roman"/>
          <w:sz w:val="24"/>
          <w:szCs w:val="24"/>
        </w:rPr>
      </w:pPr>
      <w:r w:rsidRPr="009314FD">
        <w:rPr>
          <w:rFonts w:ascii="Times New Roman" w:eastAsia="Times New Roman" w:hAnsi="Times New Roman" w:cs="Times New Roman"/>
          <w:color w:val="212121"/>
          <w:sz w:val="24"/>
          <w:szCs w:val="24"/>
          <w:bdr w:val="none" w:sz="0" w:space="0" w:color="auto" w:frame="1"/>
        </w:rPr>
        <w:t>The term “suspend” indicates a temporary loss of certification, which will inevitably be lifted.</w:t>
      </w:r>
      <w:r w:rsidR="009314FD">
        <w:rPr>
          <w:rFonts w:ascii="Times New Roman" w:eastAsia="Times New Roman" w:hAnsi="Times New Roman" w:cs="Times New Roman"/>
          <w:color w:val="212121"/>
          <w:sz w:val="24"/>
          <w:szCs w:val="24"/>
          <w:bdr w:val="none" w:sz="0" w:space="0" w:color="auto" w:frame="1"/>
        </w:rPr>
        <w:t xml:space="preserve"> </w:t>
      </w:r>
      <w:r w:rsidRPr="009314FD">
        <w:rPr>
          <w:rFonts w:ascii="Times New Roman" w:eastAsia="Times New Roman" w:hAnsi="Times New Roman" w:cs="Times New Roman"/>
          <w:color w:val="212121"/>
          <w:sz w:val="24"/>
          <w:szCs w:val="24"/>
          <w:bdr w:val="none" w:sz="0" w:space="0" w:color="auto" w:frame="1"/>
        </w:rPr>
        <w:t>Furthermore, the term “conditionally rescind” indicates that such rescission will be lifted upon the meeting of specific conditions, as set by the PUCO, for the reinstatement of certification. Therefore, the term “rescind” is clearly intended to mean a permanent rescission of the Service Provider’s certification. If this were not the case, there would be no need to include both “conditionally rescind” and “rescind” within each of the applicable statutes.</w:t>
      </w:r>
      <w:r w:rsidRPr="009314FD" w:rsidR="00090197">
        <w:rPr>
          <w:rFonts w:ascii="Times New Roman" w:hAnsi="Times New Roman" w:cs="Times New Roman"/>
          <w:sz w:val="24"/>
          <w:szCs w:val="24"/>
        </w:rPr>
        <w:t xml:space="preserve"> </w:t>
      </w:r>
    </w:p>
    <w:p w:rsidR="00610BD1" w:rsidRPr="009314FD" w:rsidP="003C53BC" w14:paraId="663B8582" w14:textId="58B78404">
      <w:pPr>
        <w:spacing w:after="0" w:line="480" w:lineRule="auto"/>
        <w:ind w:firstLine="720"/>
        <w:rPr>
          <w:rFonts w:ascii="Times New Roman" w:hAnsi="Times New Roman" w:cs="Times New Roman"/>
          <w:sz w:val="24"/>
          <w:szCs w:val="24"/>
        </w:rPr>
      </w:pPr>
      <w:r w:rsidRPr="009314FD">
        <w:rPr>
          <w:rFonts w:ascii="Times New Roman" w:hAnsi="Times New Roman" w:cs="Times New Roman"/>
          <w:sz w:val="24"/>
          <w:szCs w:val="24"/>
        </w:rPr>
        <w:t>Further, n</w:t>
      </w:r>
      <w:r w:rsidRPr="009314FD" w:rsidR="007550E9">
        <w:rPr>
          <w:rFonts w:ascii="Times New Roman" w:hAnsi="Times New Roman" w:cs="Times New Roman"/>
          <w:sz w:val="24"/>
          <w:szCs w:val="24"/>
        </w:rPr>
        <w:t xml:space="preserve">othing in R.C. 4928.08, R.C. 4929.20, or the PUCO’s rules precludes permanently rescinding Green Choice’s certificates </w:t>
      </w:r>
      <w:r w:rsidRPr="009314FD" w:rsidR="00733021">
        <w:rPr>
          <w:rFonts w:ascii="Times New Roman" w:hAnsi="Times New Roman" w:cs="Times New Roman"/>
          <w:sz w:val="24"/>
          <w:szCs w:val="24"/>
        </w:rPr>
        <w:t>given its victimization of consumers</w:t>
      </w:r>
      <w:r w:rsidRPr="009314FD" w:rsidR="007550E9">
        <w:rPr>
          <w:rFonts w:ascii="Times New Roman" w:hAnsi="Times New Roman" w:cs="Times New Roman"/>
          <w:sz w:val="24"/>
          <w:szCs w:val="24"/>
        </w:rPr>
        <w:t xml:space="preserve">. </w:t>
      </w:r>
      <w:r w:rsidRPr="009314FD" w:rsidR="008D2A5D">
        <w:rPr>
          <w:rFonts w:ascii="Times New Roman" w:hAnsi="Times New Roman" w:cs="Times New Roman"/>
          <w:sz w:val="24"/>
          <w:szCs w:val="24"/>
        </w:rPr>
        <w:t>The PUCO’s rules</w:t>
      </w:r>
      <w:r w:rsidRPr="009314FD" w:rsidR="001846CB">
        <w:rPr>
          <w:rFonts w:ascii="Times New Roman" w:hAnsi="Times New Roman" w:cs="Times New Roman"/>
          <w:sz w:val="24"/>
          <w:szCs w:val="24"/>
        </w:rPr>
        <w:t xml:space="preserve"> </w:t>
      </w:r>
      <w:r w:rsidRPr="009314FD" w:rsidR="00733021">
        <w:rPr>
          <w:rFonts w:ascii="Times New Roman" w:hAnsi="Times New Roman" w:cs="Times New Roman"/>
          <w:sz w:val="24"/>
          <w:szCs w:val="24"/>
        </w:rPr>
        <w:t>addres</w:t>
      </w:r>
      <w:r w:rsidRPr="009314FD" w:rsidR="00FE682B">
        <w:rPr>
          <w:rFonts w:ascii="Times New Roman" w:hAnsi="Times New Roman" w:cs="Times New Roman"/>
          <w:sz w:val="24"/>
          <w:szCs w:val="24"/>
        </w:rPr>
        <w:t>s</w:t>
      </w:r>
      <w:r w:rsidRPr="009314FD" w:rsidR="003D36F5">
        <w:rPr>
          <w:rFonts w:ascii="Times New Roman" w:hAnsi="Times New Roman" w:cs="Times New Roman"/>
          <w:sz w:val="24"/>
          <w:szCs w:val="24"/>
        </w:rPr>
        <w:t>ing</w:t>
      </w:r>
      <w:r w:rsidRPr="009314FD" w:rsidR="00733021">
        <w:rPr>
          <w:rFonts w:ascii="Times New Roman" w:hAnsi="Times New Roman" w:cs="Times New Roman"/>
          <w:sz w:val="24"/>
          <w:szCs w:val="24"/>
        </w:rPr>
        <w:t xml:space="preserve"> </w:t>
      </w:r>
      <w:r w:rsidRPr="009314FD" w:rsidR="007A0BE9">
        <w:rPr>
          <w:rFonts w:ascii="Times New Roman" w:hAnsi="Times New Roman" w:cs="Times New Roman"/>
          <w:sz w:val="24"/>
          <w:szCs w:val="24"/>
        </w:rPr>
        <w:t>conditional rescission state</w:t>
      </w:r>
      <w:r w:rsidRPr="009314FD" w:rsidR="008D2A5D">
        <w:rPr>
          <w:rFonts w:ascii="Times New Roman" w:hAnsi="Times New Roman" w:cs="Times New Roman"/>
          <w:sz w:val="24"/>
          <w:szCs w:val="24"/>
        </w:rPr>
        <w:t xml:space="preserve"> that</w:t>
      </w:r>
      <w:r w:rsidRPr="009314FD" w:rsidR="007A0BE9">
        <w:rPr>
          <w:rFonts w:ascii="Times New Roman" w:hAnsi="Times New Roman" w:cs="Times New Roman"/>
          <w:sz w:val="24"/>
          <w:szCs w:val="24"/>
        </w:rPr>
        <w:t xml:space="preserve">, “the commission will delineate the specific conditions that the </w:t>
      </w:r>
      <w:r w:rsidRPr="009314FD" w:rsidR="008D2A5D">
        <w:rPr>
          <w:rFonts w:ascii="Times New Roman" w:hAnsi="Times New Roman" w:cs="Times New Roman"/>
          <w:sz w:val="24"/>
          <w:szCs w:val="24"/>
        </w:rPr>
        <w:t xml:space="preserve">[marketer] </w:t>
      </w:r>
      <w:r w:rsidRPr="009314FD" w:rsidR="007A0BE9">
        <w:rPr>
          <w:rFonts w:ascii="Times New Roman" w:hAnsi="Times New Roman" w:cs="Times New Roman"/>
          <w:sz w:val="24"/>
          <w:szCs w:val="24"/>
        </w:rPr>
        <w:t xml:space="preserve">must meet and establish a date by which the conditions must be met in order for the </w:t>
      </w:r>
      <w:r w:rsidRPr="009314FD" w:rsidR="008D2A5D">
        <w:rPr>
          <w:rFonts w:ascii="Times New Roman" w:hAnsi="Times New Roman" w:cs="Times New Roman"/>
          <w:sz w:val="24"/>
          <w:szCs w:val="24"/>
        </w:rPr>
        <w:t>[marketer]</w:t>
      </w:r>
      <w:r w:rsidRPr="009314FD" w:rsidR="007A0BE9">
        <w:rPr>
          <w:rFonts w:ascii="Times New Roman" w:hAnsi="Times New Roman" w:cs="Times New Roman"/>
          <w:sz w:val="24"/>
          <w:szCs w:val="24"/>
        </w:rPr>
        <w:t xml:space="preserve"> provider to avoid </w:t>
      </w:r>
      <w:r w:rsidRPr="009314FD" w:rsidR="007A0BE9">
        <w:rPr>
          <w:rFonts w:ascii="Times New Roman" w:hAnsi="Times New Roman" w:cs="Times New Roman"/>
          <w:i/>
          <w:iCs/>
          <w:sz w:val="24"/>
          <w:szCs w:val="24"/>
        </w:rPr>
        <w:t>permanent rescission</w:t>
      </w:r>
      <w:r w:rsidRPr="009314FD" w:rsidR="007A0BE9">
        <w:rPr>
          <w:rFonts w:ascii="Times New Roman" w:hAnsi="Times New Roman" w:cs="Times New Roman"/>
          <w:sz w:val="24"/>
          <w:szCs w:val="24"/>
        </w:rPr>
        <w:t xml:space="preserve"> of its certificate.”</w:t>
      </w:r>
      <w:r>
        <w:rPr>
          <w:rStyle w:val="FootnoteReference"/>
          <w:rFonts w:ascii="Times New Roman" w:hAnsi="Times New Roman" w:cs="Times New Roman"/>
          <w:sz w:val="24"/>
          <w:szCs w:val="24"/>
        </w:rPr>
        <w:footnoteReference w:id="14"/>
      </w:r>
      <w:r w:rsidRPr="009314FD" w:rsidR="007A0BE9">
        <w:rPr>
          <w:rFonts w:ascii="Times New Roman" w:hAnsi="Times New Roman" w:cs="Times New Roman"/>
          <w:sz w:val="24"/>
          <w:szCs w:val="24"/>
        </w:rPr>
        <w:t xml:space="preserve"> </w:t>
      </w:r>
    </w:p>
    <w:p w:rsidR="00460C9F" w:rsidRPr="009314FD" w:rsidP="00733021" w14:paraId="69651BA8" w14:textId="77777777">
      <w:pPr>
        <w:spacing w:after="0" w:line="480" w:lineRule="auto"/>
        <w:ind w:firstLine="720"/>
        <w:rPr>
          <w:rFonts w:ascii="Times New Roman" w:hAnsi="Times New Roman" w:cs="Times New Roman"/>
          <w:sz w:val="24"/>
          <w:szCs w:val="24"/>
        </w:rPr>
      </w:pPr>
      <w:r w:rsidRPr="009314FD">
        <w:rPr>
          <w:rFonts w:ascii="Times New Roman" w:hAnsi="Times New Roman" w:cs="Times New Roman"/>
          <w:sz w:val="24"/>
          <w:szCs w:val="24"/>
        </w:rPr>
        <w:t xml:space="preserve">The lack of limiting language </w:t>
      </w:r>
      <w:r w:rsidRPr="009314FD" w:rsidR="006F4CB9">
        <w:rPr>
          <w:rFonts w:ascii="Times New Roman" w:hAnsi="Times New Roman" w:cs="Times New Roman"/>
          <w:sz w:val="24"/>
          <w:szCs w:val="24"/>
        </w:rPr>
        <w:t xml:space="preserve">regarding permanent </w:t>
      </w:r>
      <w:r w:rsidRPr="009314FD">
        <w:rPr>
          <w:rFonts w:ascii="Times New Roman" w:hAnsi="Times New Roman" w:cs="Times New Roman"/>
          <w:sz w:val="24"/>
          <w:szCs w:val="24"/>
        </w:rPr>
        <w:t>rescission in R.C. 4928.08</w:t>
      </w:r>
      <w:r w:rsidRPr="009314FD" w:rsidR="006F4CB9">
        <w:rPr>
          <w:rFonts w:ascii="Times New Roman" w:hAnsi="Times New Roman" w:cs="Times New Roman"/>
          <w:sz w:val="24"/>
          <w:szCs w:val="24"/>
        </w:rPr>
        <w:t xml:space="preserve"> and</w:t>
      </w:r>
      <w:r w:rsidRPr="009314FD" w:rsidR="00733021">
        <w:rPr>
          <w:rFonts w:ascii="Times New Roman" w:hAnsi="Times New Roman" w:cs="Times New Roman"/>
          <w:sz w:val="24"/>
          <w:szCs w:val="24"/>
        </w:rPr>
        <w:t xml:space="preserve"> </w:t>
      </w:r>
      <w:r w:rsidRPr="009314FD">
        <w:rPr>
          <w:rFonts w:ascii="Times New Roman" w:hAnsi="Times New Roman" w:cs="Times New Roman"/>
          <w:sz w:val="24"/>
          <w:szCs w:val="24"/>
        </w:rPr>
        <w:t xml:space="preserve">4929.20, </w:t>
      </w:r>
      <w:r w:rsidRPr="009314FD" w:rsidR="006F4CB9">
        <w:rPr>
          <w:rFonts w:ascii="Times New Roman" w:hAnsi="Times New Roman" w:cs="Times New Roman"/>
          <w:sz w:val="24"/>
          <w:szCs w:val="24"/>
        </w:rPr>
        <w:t>as well as</w:t>
      </w:r>
      <w:r w:rsidRPr="009314FD">
        <w:rPr>
          <w:rFonts w:ascii="Times New Roman" w:hAnsi="Times New Roman" w:cs="Times New Roman"/>
          <w:sz w:val="24"/>
          <w:szCs w:val="24"/>
        </w:rPr>
        <w:t xml:space="preserve"> the reference</w:t>
      </w:r>
      <w:r w:rsidRPr="009314FD" w:rsidR="006F4CB9">
        <w:rPr>
          <w:rFonts w:ascii="Times New Roman" w:hAnsi="Times New Roman" w:cs="Times New Roman"/>
          <w:sz w:val="24"/>
          <w:szCs w:val="24"/>
        </w:rPr>
        <w:t>s</w:t>
      </w:r>
      <w:r w:rsidRPr="009314FD">
        <w:rPr>
          <w:rFonts w:ascii="Times New Roman" w:hAnsi="Times New Roman" w:cs="Times New Roman"/>
          <w:sz w:val="24"/>
          <w:szCs w:val="24"/>
        </w:rPr>
        <w:t xml:space="preserve"> to “permanent rescission”</w:t>
      </w:r>
      <w:r w:rsidRPr="009314FD" w:rsidR="006F4CB9">
        <w:rPr>
          <w:rFonts w:ascii="Times New Roman" w:hAnsi="Times New Roman" w:cs="Times New Roman"/>
          <w:sz w:val="24"/>
          <w:szCs w:val="24"/>
        </w:rPr>
        <w:t xml:space="preserve"> in the PUCO’s rules</w:t>
      </w:r>
      <w:r w:rsidRPr="009314FD">
        <w:rPr>
          <w:rFonts w:ascii="Times New Roman" w:hAnsi="Times New Roman" w:cs="Times New Roman"/>
          <w:sz w:val="24"/>
          <w:szCs w:val="24"/>
        </w:rPr>
        <w:t xml:space="preserve">, </w:t>
      </w:r>
      <w:r w:rsidRPr="009314FD" w:rsidR="006F4CB9">
        <w:rPr>
          <w:rFonts w:ascii="Times New Roman" w:hAnsi="Times New Roman" w:cs="Times New Roman"/>
          <w:sz w:val="24"/>
          <w:szCs w:val="24"/>
        </w:rPr>
        <w:t>demonstrate that the PUCO has the authority to permanently rescind the authority of bad actor marketers to serve Ohio consumers</w:t>
      </w:r>
      <w:r w:rsidRPr="009314FD">
        <w:rPr>
          <w:rFonts w:ascii="Times New Roman" w:hAnsi="Times New Roman" w:cs="Times New Roman"/>
          <w:sz w:val="24"/>
          <w:szCs w:val="24"/>
        </w:rPr>
        <w:t xml:space="preserve">. </w:t>
      </w:r>
      <w:r w:rsidRPr="009314FD" w:rsidR="0016101C">
        <w:rPr>
          <w:rFonts w:ascii="Times New Roman" w:hAnsi="Times New Roman" w:cs="Times New Roman"/>
          <w:sz w:val="24"/>
          <w:szCs w:val="24"/>
        </w:rPr>
        <w:t>However, t</w:t>
      </w:r>
      <w:r w:rsidRPr="009314FD" w:rsidR="00674BB8">
        <w:rPr>
          <w:rFonts w:ascii="Times New Roman" w:hAnsi="Times New Roman" w:cs="Times New Roman"/>
          <w:sz w:val="24"/>
          <w:szCs w:val="24"/>
        </w:rPr>
        <w:t xml:space="preserve">he Order does not address </w:t>
      </w:r>
      <w:r w:rsidRPr="009314FD" w:rsidR="0016101C">
        <w:rPr>
          <w:rFonts w:ascii="Times New Roman" w:hAnsi="Times New Roman" w:cs="Times New Roman"/>
          <w:sz w:val="24"/>
          <w:szCs w:val="24"/>
        </w:rPr>
        <w:t>a</w:t>
      </w:r>
      <w:r w:rsidRPr="009314FD" w:rsidR="00674BB8">
        <w:rPr>
          <w:rFonts w:ascii="Times New Roman" w:hAnsi="Times New Roman" w:cs="Times New Roman"/>
          <w:sz w:val="24"/>
          <w:szCs w:val="24"/>
        </w:rPr>
        <w:t xml:space="preserve"> permanent </w:t>
      </w:r>
      <w:r w:rsidRPr="009314FD" w:rsidR="0016101C">
        <w:rPr>
          <w:rFonts w:ascii="Times New Roman" w:hAnsi="Times New Roman" w:cs="Times New Roman"/>
          <w:sz w:val="24"/>
          <w:szCs w:val="24"/>
        </w:rPr>
        <w:t>rescission of</w:t>
      </w:r>
      <w:r w:rsidRPr="009314FD" w:rsidR="00674BB8">
        <w:rPr>
          <w:rFonts w:ascii="Times New Roman" w:hAnsi="Times New Roman" w:cs="Times New Roman"/>
          <w:sz w:val="24"/>
          <w:szCs w:val="24"/>
        </w:rPr>
        <w:t xml:space="preserve"> </w:t>
      </w:r>
      <w:r w:rsidRPr="009314FD" w:rsidR="0016101C">
        <w:rPr>
          <w:rFonts w:ascii="Times New Roman" w:hAnsi="Times New Roman" w:cs="Times New Roman"/>
          <w:sz w:val="24"/>
          <w:szCs w:val="24"/>
        </w:rPr>
        <w:t>Green Choice’s</w:t>
      </w:r>
      <w:r w:rsidRPr="009314FD" w:rsidR="00674BB8">
        <w:rPr>
          <w:rFonts w:ascii="Times New Roman" w:hAnsi="Times New Roman" w:cs="Times New Roman"/>
          <w:sz w:val="24"/>
          <w:szCs w:val="24"/>
        </w:rPr>
        <w:t xml:space="preserve"> certifications.</w:t>
      </w:r>
      <w:r w:rsidRPr="009314FD" w:rsidR="0016101C">
        <w:rPr>
          <w:rFonts w:ascii="Times New Roman" w:hAnsi="Times New Roman" w:cs="Times New Roman"/>
          <w:sz w:val="24"/>
          <w:szCs w:val="24"/>
        </w:rPr>
        <w:t xml:space="preserve"> It should. </w:t>
      </w:r>
    </w:p>
    <w:p w:rsidR="00460C9F" w:rsidP="00733021" w14:paraId="46EC8696" w14:textId="33EC6E4F">
      <w:pPr>
        <w:spacing w:after="0" w:line="480" w:lineRule="auto"/>
        <w:ind w:firstLine="720"/>
        <w:rPr>
          <w:rFonts w:ascii="Times New Roman" w:hAnsi="Times New Roman" w:cs="Times New Roman"/>
          <w:sz w:val="24"/>
          <w:szCs w:val="24"/>
        </w:rPr>
      </w:pPr>
      <w:r w:rsidRPr="009314FD">
        <w:rPr>
          <w:rFonts w:ascii="Times New Roman" w:hAnsi="Times New Roman" w:cs="Times New Roman"/>
          <w:sz w:val="24"/>
          <w:szCs w:val="24"/>
        </w:rPr>
        <w:t>In the Order, the PUCO found that Green Choice “has committed numerous violations of the [PUCO’s] rules and regulations prohibiting deceptive and misleading practices in marketing, soliciting, selling, and providing [natural gas and electric service].”</w:t>
      </w:r>
      <w:r>
        <w:rPr>
          <w:rStyle w:val="FootnoteReference"/>
          <w:rFonts w:ascii="Times New Roman" w:hAnsi="Times New Roman" w:cs="Times New Roman"/>
          <w:sz w:val="24"/>
          <w:szCs w:val="24"/>
        </w:rPr>
        <w:footnoteReference w:id="15"/>
      </w:r>
      <w:r w:rsidRPr="009314FD">
        <w:rPr>
          <w:rFonts w:ascii="Times New Roman" w:hAnsi="Times New Roman" w:cs="Times New Roman"/>
          <w:b/>
          <w:bCs/>
          <w:sz w:val="24"/>
          <w:szCs w:val="24"/>
        </w:rPr>
        <w:t xml:space="preserve"> </w:t>
      </w:r>
      <w:r w:rsidRPr="009314FD">
        <w:rPr>
          <w:rFonts w:ascii="Times New Roman" w:hAnsi="Times New Roman" w:cs="Times New Roman"/>
          <w:sz w:val="24"/>
          <w:szCs w:val="24"/>
        </w:rPr>
        <w:t>The PUCO concluded that Green Choice “lacks managerial capability to provide [natural gas and electric service],” and directed Green Choice to “cease” marketing and providing service</w:t>
      </w:r>
      <w:r w:rsidRPr="009314FD" w:rsidR="003C53BC">
        <w:rPr>
          <w:rFonts w:ascii="Times New Roman" w:hAnsi="Times New Roman" w:cs="Times New Roman"/>
          <w:sz w:val="24"/>
          <w:szCs w:val="24"/>
        </w:rPr>
        <w:t xml:space="preserve"> in Ohio</w:t>
      </w:r>
      <w:r w:rsidRPr="009314FD">
        <w:rPr>
          <w:rFonts w:ascii="Times New Roman" w:hAnsi="Times New Roman" w:cs="Times New Roman"/>
          <w:sz w:val="24"/>
          <w:szCs w:val="24"/>
        </w:rPr>
        <w:t>.</w:t>
      </w:r>
      <w:r>
        <w:rPr>
          <w:rStyle w:val="FootnoteReference"/>
          <w:rFonts w:ascii="Times New Roman" w:hAnsi="Times New Roman" w:cs="Times New Roman"/>
          <w:sz w:val="24"/>
          <w:szCs w:val="24"/>
        </w:rPr>
        <w:footnoteReference w:id="16"/>
      </w:r>
      <w:r w:rsidRPr="009314FD">
        <w:rPr>
          <w:rFonts w:ascii="Times New Roman" w:hAnsi="Times New Roman" w:cs="Times New Roman"/>
          <w:b/>
          <w:bCs/>
          <w:sz w:val="24"/>
          <w:szCs w:val="24"/>
        </w:rPr>
        <w:t xml:space="preserve"> </w:t>
      </w:r>
      <w:r w:rsidRPr="009314FD">
        <w:rPr>
          <w:rFonts w:ascii="Times New Roman" w:hAnsi="Times New Roman" w:cs="Times New Roman"/>
          <w:sz w:val="24"/>
          <w:szCs w:val="24"/>
        </w:rPr>
        <w:t xml:space="preserve">However, the Order makes no mention of whether Green Choice or an affiliate can obtain new certificates to </w:t>
      </w:r>
      <w:r w:rsidRPr="009314FD" w:rsidR="003C53BC">
        <w:rPr>
          <w:rFonts w:ascii="Times New Roman" w:hAnsi="Times New Roman" w:cs="Times New Roman"/>
          <w:sz w:val="24"/>
          <w:szCs w:val="24"/>
        </w:rPr>
        <w:t>serve</w:t>
      </w:r>
      <w:r w:rsidRPr="009314FD">
        <w:rPr>
          <w:rFonts w:ascii="Times New Roman" w:hAnsi="Times New Roman" w:cs="Times New Roman"/>
          <w:sz w:val="24"/>
          <w:szCs w:val="24"/>
        </w:rPr>
        <w:t xml:space="preserve"> Ohio consumers in the future. The PUCO should </w:t>
      </w:r>
      <w:r w:rsidRPr="009314FD" w:rsidR="003C53BC">
        <w:rPr>
          <w:rFonts w:ascii="Times New Roman" w:hAnsi="Times New Roman" w:cs="Times New Roman"/>
          <w:sz w:val="24"/>
          <w:szCs w:val="24"/>
        </w:rPr>
        <w:t xml:space="preserve">therefore </w:t>
      </w:r>
      <w:r w:rsidRPr="009314FD">
        <w:rPr>
          <w:rFonts w:ascii="Times New Roman" w:hAnsi="Times New Roman" w:cs="Times New Roman"/>
          <w:sz w:val="24"/>
          <w:szCs w:val="24"/>
        </w:rPr>
        <w:t>grant rehearing and modify the Order to state that Green Choice and its affiliates can never again be certified to market natural gas or electric service in Ohio.</w:t>
      </w:r>
    </w:p>
    <w:p w:rsidR="00272FA0" w:rsidRPr="009314FD" w:rsidP="00272FA0" w14:paraId="2C536616" w14:textId="77777777">
      <w:pPr>
        <w:spacing w:after="0" w:line="240" w:lineRule="auto"/>
        <w:ind w:firstLine="720"/>
        <w:rPr>
          <w:rFonts w:ascii="Times New Roman" w:hAnsi="Times New Roman" w:cs="Times New Roman"/>
          <w:sz w:val="24"/>
          <w:szCs w:val="24"/>
        </w:rPr>
      </w:pPr>
    </w:p>
    <w:p w:rsidR="006441E5" w:rsidRPr="009314FD" w:rsidP="00272FA0" w14:paraId="3DB44E84" w14:textId="54101E12">
      <w:pPr>
        <w:pStyle w:val="Heading1"/>
      </w:pPr>
      <w:r w:rsidRPr="009314FD">
        <w:t>III.</w:t>
      </w:r>
      <w:r w:rsidR="00272FA0">
        <w:tab/>
      </w:r>
      <w:r w:rsidRPr="009314FD">
        <w:t>CONCLUSION</w:t>
      </w:r>
    </w:p>
    <w:p w:rsidR="00726A17" w:rsidRPr="009314FD" w:rsidP="007C2FFD" w14:paraId="46479449" w14:textId="72A8A7B7">
      <w:pPr>
        <w:spacing w:after="0" w:line="480" w:lineRule="auto"/>
        <w:rPr>
          <w:rFonts w:ascii="Times New Roman" w:hAnsi="Times New Roman" w:cs="Times New Roman"/>
          <w:sz w:val="24"/>
          <w:szCs w:val="24"/>
        </w:rPr>
      </w:pPr>
      <w:r w:rsidRPr="009314FD">
        <w:rPr>
          <w:rFonts w:ascii="Times New Roman" w:hAnsi="Times New Roman" w:cs="Times New Roman"/>
          <w:sz w:val="24"/>
          <w:szCs w:val="24"/>
        </w:rPr>
        <w:tab/>
      </w:r>
      <w:r w:rsidRPr="009314FD" w:rsidR="003C53BC">
        <w:rPr>
          <w:rFonts w:ascii="Times New Roman" w:hAnsi="Times New Roman" w:cs="Times New Roman"/>
          <w:sz w:val="24"/>
          <w:szCs w:val="24"/>
        </w:rPr>
        <w:t>Green Choice’s egregious behavior and victimization of consumers warrants a PUCO order permanently</w:t>
      </w:r>
      <w:r w:rsidRPr="009314FD" w:rsidR="003D36F5">
        <w:rPr>
          <w:rFonts w:ascii="Times New Roman" w:hAnsi="Times New Roman" w:cs="Times New Roman"/>
          <w:sz w:val="24"/>
          <w:szCs w:val="24"/>
        </w:rPr>
        <w:t xml:space="preserve"> rescinding</w:t>
      </w:r>
      <w:r w:rsidRPr="009314FD" w:rsidR="003C53BC">
        <w:rPr>
          <w:rFonts w:ascii="Times New Roman" w:hAnsi="Times New Roman" w:cs="Times New Roman"/>
          <w:sz w:val="24"/>
          <w:szCs w:val="24"/>
        </w:rPr>
        <w:t xml:space="preserve"> Green Choice</w:t>
      </w:r>
      <w:r w:rsidRPr="009314FD" w:rsidR="003D36F5">
        <w:rPr>
          <w:rFonts w:ascii="Times New Roman" w:hAnsi="Times New Roman" w:cs="Times New Roman"/>
          <w:sz w:val="24"/>
          <w:szCs w:val="24"/>
        </w:rPr>
        <w:t xml:space="preserve">’s authority to market service to </w:t>
      </w:r>
      <w:r w:rsidRPr="009314FD" w:rsidR="003C53BC">
        <w:rPr>
          <w:rFonts w:ascii="Times New Roman" w:hAnsi="Times New Roman" w:cs="Times New Roman"/>
          <w:sz w:val="24"/>
          <w:szCs w:val="24"/>
        </w:rPr>
        <w:t xml:space="preserve">Ohioans. </w:t>
      </w:r>
      <w:r w:rsidRPr="009314FD" w:rsidR="0016101C">
        <w:rPr>
          <w:rFonts w:ascii="Times New Roman" w:hAnsi="Times New Roman" w:cs="Times New Roman"/>
          <w:sz w:val="24"/>
          <w:szCs w:val="24"/>
        </w:rPr>
        <w:t xml:space="preserve">The PUCO should protect Ohio consumers from unscrupulous marketers like Green Choice. The evidence demonstrated that Green Choice is bad for consumers and competition in Ohio. </w:t>
      </w:r>
      <w:r w:rsidRPr="009314FD" w:rsidR="00052097">
        <w:rPr>
          <w:rFonts w:ascii="Times New Roman" w:hAnsi="Times New Roman" w:cs="Times New Roman"/>
          <w:sz w:val="24"/>
          <w:szCs w:val="24"/>
        </w:rPr>
        <w:t>T</w:t>
      </w:r>
      <w:r w:rsidRPr="009314FD" w:rsidR="0016101C">
        <w:rPr>
          <w:rFonts w:ascii="Times New Roman" w:hAnsi="Times New Roman" w:cs="Times New Roman"/>
          <w:sz w:val="24"/>
          <w:szCs w:val="24"/>
        </w:rPr>
        <w:t>he</w:t>
      </w:r>
      <w:r w:rsidRPr="009314FD" w:rsidR="00052097">
        <w:rPr>
          <w:rFonts w:ascii="Times New Roman" w:hAnsi="Times New Roman" w:cs="Times New Roman"/>
          <w:sz w:val="24"/>
          <w:szCs w:val="24"/>
        </w:rPr>
        <w:t xml:space="preserve"> PUCO should grant OCC’s Application for </w:t>
      </w:r>
      <w:r w:rsidRPr="009314FD" w:rsidR="0016101C">
        <w:rPr>
          <w:rFonts w:ascii="Times New Roman" w:hAnsi="Times New Roman" w:cs="Times New Roman"/>
          <w:sz w:val="24"/>
          <w:szCs w:val="24"/>
        </w:rPr>
        <w:t>R</w:t>
      </w:r>
      <w:r w:rsidRPr="009314FD" w:rsidR="00052097">
        <w:rPr>
          <w:rFonts w:ascii="Times New Roman" w:hAnsi="Times New Roman" w:cs="Times New Roman"/>
          <w:sz w:val="24"/>
          <w:szCs w:val="24"/>
        </w:rPr>
        <w:t xml:space="preserve">ehearing and modify the </w:t>
      </w:r>
      <w:r w:rsidRPr="009314FD" w:rsidR="0016101C">
        <w:rPr>
          <w:rFonts w:ascii="Times New Roman" w:hAnsi="Times New Roman" w:cs="Times New Roman"/>
          <w:sz w:val="24"/>
          <w:szCs w:val="24"/>
        </w:rPr>
        <w:t xml:space="preserve">October 18, 2023 </w:t>
      </w:r>
      <w:r w:rsidRPr="009314FD" w:rsidR="00052097">
        <w:rPr>
          <w:rFonts w:ascii="Times New Roman" w:hAnsi="Times New Roman" w:cs="Times New Roman"/>
          <w:sz w:val="24"/>
          <w:szCs w:val="24"/>
        </w:rPr>
        <w:t>Order</w:t>
      </w:r>
      <w:r w:rsidRPr="009314FD" w:rsidR="0016101C">
        <w:rPr>
          <w:rFonts w:ascii="Times New Roman" w:hAnsi="Times New Roman" w:cs="Times New Roman"/>
          <w:sz w:val="24"/>
          <w:szCs w:val="24"/>
        </w:rPr>
        <w:t xml:space="preserve"> consistent with OCC’s recommendations.</w:t>
      </w:r>
    </w:p>
    <w:p w:rsidR="00FF47E9" w:rsidRPr="009314FD" w:rsidP="00CD49F9" w14:paraId="5D623775" w14:textId="77777777">
      <w:pPr>
        <w:spacing w:after="0" w:line="240" w:lineRule="auto"/>
        <w:ind w:left="4320" w:right="-672"/>
        <w:rPr>
          <w:rFonts w:ascii="Times New Roman" w:eastAsia="Times New Roman" w:hAnsi="Times New Roman" w:cs="Times New Roman"/>
          <w:sz w:val="24"/>
          <w:szCs w:val="24"/>
          <w:lang w:bidi="en-US"/>
        </w:rPr>
      </w:pPr>
      <w:r w:rsidRPr="009314FD">
        <w:rPr>
          <w:rFonts w:ascii="Times New Roman" w:eastAsia="Times New Roman" w:hAnsi="Times New Roman" w:cs="Times New Roman"/>
          <w:sz w:val="24"/>
          <w:szCs w:val="24"/>
          <w:lang w:bidi="en-US"/>
        </w:rPr>
        <w:t>Respectfully submitted,</w:t>
      </w:r>
    </w:p>
    <w:p w:rsidR="00FF47E9" w:rsidRPr="009314FD" w:rsidP="00CD49F9" w14:paraId="1BF672ED" w14:textId="77777777">
      <w:pPr>
        <w:spacing w:after="0" w:line="240" w:lineRule="auto"/>
        <w:jc w:val="center"/>
        <w:rPr>
          <w:rFonts w:ascii="Times New Roman" w:eastAsia="Times New Roman" w:hAnsi="Times New Roman" w:cs="Times New Roman"/>
          <w:b/>
          <w:sz w:val="24"/>
          <w:szCs w:val="24"/>
          <w:lang w:bidi="en-US"/>
        </w:rPr>
      </w:pPr>
    </w:p>
    <w:p w:rsidR="00FF47E9" w:rsidRPr="009314FD" w:rsidP="00CD49F9" w14:paraId="58A3A565" w14:textId="77777777">
      <w:pPr>
        <w:spacing w:after="0" w:line="240" w:lineRule="auto"/>
        <w:ind w:left="4320"/>
        <w:rPr>
          <w:rFonts w:ascii="Times New Roman" w:eastAsia="Times New Roman" w:hAnsi="Times New Roman" w:cs="Times New Roman"/>
          <w:sz w:val="24"/>
          <w:szCs w:val="24"/>
          <w:lang w:bidi="en-US"/>
        </w:rPr>
      </w:pPr>
      <w:r w:rsidRPr="009314FD">
        <w:rPr>
          <w:rFonts w:ascii="Times New Roman" w:eastAsia="Times New Roman" w:hAnsi="Times New Roman" w:cs="Times New Roman"/>
          <w:sz w:val="24"/>
          <w:szCs w:val="24"/>
          <w:lang w:bidi="en-US"/>
        </w:rPr>
        <w:t>Maureen R. Willis (0020847)</w:t>
      </w:r>
    </w:p>
    <w:p w:rsidR="00FF47E9" w:rsidRPr="009314FD" w:rsidP="00CD49F9" w14:paraId="190CEF7B" w14:textId="77777777">
      <w:pPr>
        <w:tabs>
          <w:tab w:val="left" w:pos="4320"/>
        </w:tabs>
        <w:spacing w:after="0" w:line="240" w:lineRule="auto"/>
        <w:rPr>
          <w:rFonts w:ascii="Times New Roman" w:eastAsia="Times New Roman" w:hAnsi="Times New Roman" w:cs="Times New Roman"/>
          <w:sz w:val="24"/>
          <w:szCs w:val="24"/>
          <w:lang w:bidi="en-US"/>
        </w:rPr>
      </w:pPr>
      <w:r w:rsidRPr="009314FD">
        <w:rPr>
          <w:rFonts w:ascii="Times New Roman" w:eastAsia="Times New Roman" w:hAnsi="Times New Roman" w:cs="Times New Roman"/>
          <w:sz w:val="24"/>
          <w:szCs w:val="24"/>
          <w:lang w:bidi="en-US"/>
        </w:rPr>
        <w:tab/>
        <w:t xml:space="preserve">Ohio Consumers’ Counsel </w:t>
      </w:r>
    </w:p>
    <w:p w:rsidR="00FF47E9" w:rsidRPr="009314FD" w:rsidP="00CD49F9" w14:paraId="204C08B8" w14:textId="77777777">
      <w:pPr>
        <w:tabs>
          <w:tab w:val="left" w:pos="4320"/>
        </w:tabs>
        <w:spacing w:after="0" w:line="240" w:lineRule="auto"/>
        <w:rPr>
          <w:rFonts w:ascii="Times New Roman" w:eastAsia="Times New Roman" w:hAnsi="Times New Roman" w:cs="Times New Roman"/>
          <w:sz w:val="24"/>
          <w:szCs w:val="24"/>
          <w:lang w:bidi="en-US"/>
        </w:rPr>
      </w:pPr>
    </w:p>
    <w:p w:rsidR="00FF47E9" w:rsidRPr="009314FD" w:rsidP="00CD49F9" w14:paraId="1FF735D1" w14:textId="66D7C4FC">
      <w:pPr>
        <w:tabs>
          <w:tab w:val="left" w:pos="4320"/>
        </w:tabs>
        <w:spacing w:after="0" w:line="240" w:lineRule="auto"/>
        <w:rPr>
          <w:rFonts w:ascii="Times New Roman" w:eastAsia="Times New Roman" w:hAnsi="Times New Roman" w:cs="Times New Roman"/>
          <w:i/>
          <w:iCs/>
          <w:sz w:val="24"/>
          <w:szCs w:val="24"/>
          <w:u w:val="single"/>
          <w:lang w:bidi="en-US"/>
        </w:rPr>
      </w:pPr>
      <w:r w:rsidRPr="009314FD">
        <w:rPr>
          <w:rFonts w:ascii="Times New Roman" w:eastAsia="Times New Roman" w:hAnsi="Times New Roman" w:cs="Times New Roman"/>
          <w:sz w:val="24"/>
          <w:szCs w:val="24"/>
          <w:lang w:bidi="en-US"/>
        </w:rPr>
        <w:tab/>
      </w:r>
      <w:r w:rsidRPr="009314FD">
        <w:rPr>
          <w:rFonts w:ascii="Times New Roman" w:eastAsia="Times New Roman" w:hAnsi="Times New Roman" w:cs="Times New Roman"/>
          <w:i/>
          <w:iCs/>
          <w:sz w:val="24"/>
          <w:szCs w:val="24"/>
          <w:u w:val="single"/>
          <w:lang w:bidi="en-US"/>
        </w:rPr>
        <w:t>/s/ Angela D. O’Brien</w:t>
      </w:r>
    </w:p>
    <w:p w:rsidR="00FF47E9" w:rsidRPr="009314FD" w:rsidP="00CD49F9" w14:paraId="69D84487" w14:textId="77777777">
      <w:pPr>
        <w:spacing w:after="0" w:line="240" w:lineRule="auto"/>
        <w:ind w:left="4320"/>
        <w:rPr>
          <w:rFonts w:ascii="Times New Roman" w:eastAsia="Times New Roman" w:hAnsi="Times New Roman" w:cs="Times New Roman"/>
          <w:sz w:val="24"/>
          <w:szCs w:val="24"/>
          <w:lang w:bidi="en-US"/>
        </w:rPr>
      </w:pPr>
      <w:r w:rsidRPr="009314FD">
        <w:rPr>
          <w:rFonts w:ascii="Times New Roman" w:eastAsia="Times New Roman" w:hAnsi="Times New Roman" w:cs="Times New Roman"/>
          <w:sz w:val="24"/>
          <w:szCs w:val="24"/>
          <w:lang w:bidi="en-US"/>
        </w:rPr>
        <w:t>Angela D. O’Brien (0097579)</w:t>
      </w:r>
    </w:p>
    <w:p w:rsidR="00FF47E9" w:rsidRPr="009314FD" w:rsidP="00CD49F9" w14:paraId="28C9D253" w14:textId="77777777">
      <w:pPr>
        <w:spacing w:after="0" w:line="240" w:lineRule="auto"/>
        <w:ind w:left="4320"/>
        <w:rPr>
          <w:rFonts w:ascii="Times New Roman" w:eastAsia="Times New Roman" w:hAnsi="Times New Roman" w:cs="Times New Roman"/>
          <w:sz w:val="24"/>
          <w:szCs w:val="24"/>
          <w:lang w:bidi="en-US"/>
        </w:rPr>
      </w:pPr>
      <w:r w:rsidRPr="009314FD">
        <w:rPr>
          <w:rFonts w:ascii="Times New Roman" w:eastAsia="Times New Roman" w:hAnsi="Times New Roman" w:cs="Times New Roman"/>
          <w:sz w:val="24"/>
          <w:szCs w:val="24"/>
          <w:lang w:bidi="en-US"/>
        </w:rPr>
        <w:t>Counsel of Record</w:t>
      </w:r>
    </w:p>
    <w:p w:rsidR="00FF47E9" w:rsidRPr="009314FD" w:rsidP="00CD49F9" w14:paraId="6196877A" w14:textId="77777777">
      <w:pPr>
        <w:spacing w:after="0" w:line="240" w:lineRule="auto"/>
        <w:ind w:left="4320"/>
        <w:rPr>
          <w:rFonts w:ascii="Times New Roman" w:eastAsia="Times New Roman" w:hAnsi="Times New Roman" w:cs="Times New Roman"/>
          <w:sz w:val="24"/>
          <w:szCs w:val="24"/>
          <w:lang w:bidi="en-US"/>
        </w:rPr>
      </w:pPr>
      <w:r w:rsidRPr="009314FD">
        <w:rPr>
          <w:rFonts w:ascii="Times New Roman" w:eastAsia="Times New Roman" w:hAnsi="Times New Roman" w:cs="Times New Roman"/>
          <w:sz w:val="24"/>
          <w:szCs w:val="24"/>
          <w:lang w:bidi="en-US"/>
        </w:rPr>
        <w:t>Deputy Consumers’ Counsel</w:t>
      </w:r>
    </w:p>
    <w:p w:rsidR="00FF47E9" w:rsidRPr="009314FD" w:rsidP="00CD49F9" w14:paraId="66D83E8A" w14:textId="77777777">
      <w:pPr>
        <w:spacing w:after="0" w:line="240" w:lineRule="auto"/>
        <w:ind w:left="4320"/>
        <w:rPr>
          <w:rFonts w:ascii="Times New Roman" w:eastAsia="Times New Roman" w:hAnsi="Times New Roman" w:cs="Times New Roman"/>
          <w:sz w:val="24"/>
          <w:szCs w:val="24"/>
          <w:lang w:bidi="en-US"/>
        </w:rPr>
      </w:pPr>
    </w:p>
    <w:p w:rsidR="00FF47E9" w:rsidRPr="009314FD" w:rsidP="00CD49F9" w14:paraId="10E43191" w14:textId="77777777">
      <w:pPr>
        <w:spacing w:after="0" w:line="240" w:lineRule="auto"/>
        <w:ind w:left="4320"/>
        <w:rPr>
          <w:rFonts w:ascii="Times New Roman" w:eastAsia="Times New Roman" w:hAnsi="Times New Roman" w:cs="Times New Roman"/>
          <w:b/>
          <w:sz w:val="24"/>
          <w:szCs w:val="24"/>
          <w:lang w:bidi="en-US"/>
        </w:rPr>
      </w:pPr>
      <w:r w:rsidRPr="009314FD">
        <w:rPr>
          <w:rFonts w:ascii="Times New Roman" w:eastAsia="Times New Roman" w:hAnsi="Times New Roman" w:cs="Times New Roman"/>
          <w:b/>
          <w:sz w:val="24"/>
          <w:szCs w:val="24"/>
          <w:lang w:bidi="en-US"/>
        </w:rPr>
        <w:t>Office of the Ohio Consumers’ Counsel</w:t>
      </w:r>
    </w:p>
    <w:p w:rsidR="00FF47E9" w:rsidRPr="009314FD" w:rsidP="00CD49F9" w14:paraId="1D4E3DB4" w14:textId="77777777">
      <w:pPr>
        <w:spacing w:after="0" w:line="240" w:lineRule="auto"/>
        <w:ind w:left="4320"/>
        <w:rPr>
          <w:rFonts w:ascii="Times New Roman" w:eastAsia="Times New Roman" w:hAnsi="Times New Roman" w:cs="Times New Roman"/>
          <w:sz w:val="24"/>
          <w:szCs w:val="24"/>
          <w:lang w:bidi="en-US"/>
        </w:rPr>
      </w:pPr>
      <w:r w:rsidRPr="009314FD">
        <w:rPr>
          <w:rFonts w:ascii="Times New Roman" w:eastAsia="Times New Roman" w:hAnsi="Times New Roman" w:cs="Times New Roman"/>
          <w:sz w:val="24"/>
          <w:szCs w:val="24"/>
          <w:lang w:bidi="en-US"/>
        </w:rPr>
        <w:t>65 East State Street, Suite 700</w:t>
      </w:r>
    </w:p>
    <w:p w:rsidR="00FF47E9" w:rsidRPr="009314FD" w:rsidP="00CD49F9" w14:paraId="5DA1D471" w14:textId="77777777">
      <w:pPr>
        <w:spacing w:after="0" w:line="240" w:lineRule="auto"/>
        <w:ind w:left="4320"/>
        <w:rPr>
          <w:rFonts w:ascii="Times New Roman" w:eastAsia="Times New Roman" w:hAnsi="Times New Roman" w:cs="Times New Roman"/>
          <w:sz w:val="24"/>
          <w:szCs w:val="24"/>
          <w:lang w:bidi="en-US"/>
        </w:rPr>
      </w:pPr>
      <w:r w:rsidRPr="009314FD">
        <w:rPr>
          <w:rFonts w:ascii="Times New Roman" w:eastAsia="Times New Roman" w:hAnsi="Times New Roman" w:cs="Times New Roman"/>
          <w:sz w:val="24"/>
          <w:szCs w:val="24"/>
          <w:lang w:bidi="en-US"/>
        </w:rPr>
        <w:t>Columbus, Ohio 43215</w:t>
      </w:r>
    </w:p>
    <w:p w:rsidR="00FF47E9" w:rsidRPr="009314FD" w:rsidP="00CD49F9" w14:paraId="245FD9C8" w14:textId="77777777">
      <w:pPr>
        <w:spacing w:after="0" w:line="240" w:lineRule="auto"/>
        <w:ind w:left="4320"/>
        <w:rPr>
          <w:rFonts w:ascii="Times New Roman" w:eastAsia="Times New Roman" w:hAnsi="Times New Roman" w:cs="Times New Roman"/>
          <w:sz w:val="24"/>
          <w:szCs w:val="24"/>
          <w:lang w:bidi="en-US"/>
        </w:rPr>
      </w:pPr>
      <w:r w:rsidRPr="009314FD">
        <w:rPr>
          <w:rFonts w:ascii="Times New Roman" w:eastAsia="Times New Roman" w:hAnsi="Times New Roman" w:cs="Times New Roman"/>
          <w:sz w:val="24"/>
          <w:szCs w:val="24"/>
          <w:lang w:bidi="en-US"/>
        </w:rPr>
        <w:t>Telephone [O’Brien]: (614) 466-9531</w:t>
      </w:r>
    </w:p>
    <w:p w:rsidR="00FF47E9" w:rsidRPr="009314FD" w:rsidP="00CD49F9" w14:paraId="0C328242" w14:textId="77777777">
      <w:pPr>
        <w:spacing w:after="0" w:line="240" w:lineRule="auto"/>
        <w:ind w:left="4320"/>
        <w:rPr>
          <w:rFonts w:ascii="Times New Roman" w:eastAsia="Times New Roman" w:hAnsi="Times New Roman" w:cs="Times New Roman"/>
          <w:color w:val="0000FF"/>
          <w:sz w:val="24"/>
          <w:szCs w:val="24"/>
          <w:u w:val="single"/>
          <w:lang w:bidi="en-US"/>
        </w:rPr>
      </w:pPr>
      <w:hyperlink r:id="rId6" w:history="1">
        <w:r w:rsidRPr="009314FD">
          <w:rPr>
            <w:rStyle w:val="Hyperlink"/>
            <w:rFonts w:ascii="Times New Roman" w:eastAsia="Times New Roman" w:hAnsi="Times New Roman" w:cs="Times New Roman"/>
            <w:color w:val="0000FF"/>
            <w:sz w:val="24"/>
            <w:szCs w:val="24"/>
            <w:lang w:bidi="en-US"/>
          </w:rPr>
          <w:t>angela.obrien@occ.ohio.gov</w:t>
        </w:r>
      </w:hyperlink>
    </w:p>
    <w:p w:rsidR="002C3128" w:rsidP="00CD49F9" w14:paraId="50EDDEEB" w14:textId="0A495E23">
      <w:pPr>
        <w:spacing w:after="0" w:line="240" w:lineRule="auto"/>
        <w:rPr>
          <w:rFonts w:ascii="Times New Roman" w:eastAsia="Times New Roman" w:hAnsi="Times New Roman" w:cs="Times New Roman"/>
          <w:sz w:val="24"/>
          <w:szCs w:val="24"/>
          <w:lang w:bidi="en-US"/>
        </w:rPr>
      </w:pPr>
      <w:r w:rsidRPr="009314FD">
        <w:rPr>
          <w:rFonts w:ascii="Times New Roman" w:eastAsia="Times New Roman" w:hAnsi="Times New Roman" w:cs="Times New Roman"/>
          <w:sz w:val="24"/>
          <w:szCs w:val="24"/>
          <w:lang w:bidi="en-US"/>
        </w:rPr>
        <w:tab/>
      </w:r>
      <w:r w:rsidRPr="009314FD">
        <w:rPr>
          <w:rFonts w:ascii="Times New Roman" w:eastAsia="Times New Roman" w:hAnsi="Times New Roman" w:cs="Times New Roman"/>
          <w:sz w:val="24"/>
          <w:szCs w:val="24"/>
          <w:lang w:bidi="en-US"/>
        </w:rPr>
        <w:tab/>
      </w:r>
      <w:r w:rsidRPr="009314FD">
        <w:rPr>
          <w:rFonts w:ascii="Times New Roman" w:eastAsia="Times New Roman" w:hAnsi="Times New Roman" w:cs="Times New Roman"/>
          <w:sz w:val="24"/>
          <w:szCs w:val="24"/>
          <w:lang w:bidi="en-US"/>
        </w:rPr>
        <w:tab/>
      </w:r>
      <w:r w:rsidRPr="009314FD">
        <w:rPr>
          <w:rFonts w:ascii="Times New Roman" w:eastAsia="Times New Roman" w:hAnsi="Times New Roman" w:cs="Times New Roman"/>
          <w:sz w:val="24"/>
          <w:szCs w:val="24"/>
          <w:lang w:bidi="en-US"/>
        </w:rPr>
        <w:tab/>
      </w:r>
      <w:r w:rsidRPr="009314FD">
        <w:rPr>
          <w:rFonts w:ascii="Times New Roman" w:eastAsia="Times New Roman" w:hAnsi="Times New Roman" w:cs="Times New Roman"/>
          <w:sz w:val="24"/>
          <w:szCs w:val="24"/>
          <w:lang w:bidi="en-US"/>
        </w:rPr>
        <w:tab/>
      </w:r>
      <w:r w:rsidRPr="009314FD">
        <w:rPr>
          <w:rFonts w:ascii="Times New Roman" w:eastAsia="Times New Roman" w:hAnsi="Times New Roman" w:cs="Times New Roman"/>
          <w:sz w:val="24"/>
          <w:szCs w:val="24"/>
          <w:lang w:bidi="en-US"/>
        </w:rPr>
        <w:tab/>
        <w:t>(willing to accept service by e-mail)</w:t>
      </w:r>
    </w:p>
    <w:p w:rsidR="002C3128" w14:paraId="3BAD0D07" w14:textId="77777777">
      <w:pPr>
        <w:spacing w:after="160" w:line="259"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br w:type="page"/>
      </w:r>
    </w:p>
    <w:p w:rsidR="00655666" w:rsidRPr="00655666" w:rsidP="00655666" w14:paraId="1252236E" w14:textId="77777777">
      <w:pPr>
        <w:spacing w:after="160" w:line="259" w:lineRule="auto"/>
        <w:jc w:val="center"/>
        <w:rPr>
          <w:rFonts w:ascii="Times New Roman" w:hAnsi="Times New Roman" w:cs="Times New Roman"/>
          <w:b/>
          <w:bCs/>
          <w:sz w:val="24"/>
          <w:szCs w:val="24"/>
          <w:u w:val="single"/>
        </w:rPr>
      </w:pPr>
      <w:r w:rsidRPr="00655666">
        <w:rPr>
          <w:rFonts w:ascii="Times New Roman" w:hAnsi="Times New Roman" w:cs="Times New Roman"/>
          <w:b/>
          <w:bCs/>
          <w:sz w:val="24"/>
          <w:szCs w:val="24"/>
          <w:u w:val="single"/>
        </w:rPr>
        <w:t>CERTIFICATE OF SERVICE</w:t>
      </w:r>
    </w:p>
    <w:p w:rsidR="00655666" w:rsidP="00655666" w14:paraId="2C5FB77C" w14:textId="3639C93E">
      <w:pPr>
        <w:suppressAutoHyphens/>
        <w:spacing w:after="0" w:line="480" w:lineRule="auto"/>
        <w:ind w:firstLine="720"/>
        <w:rPr>
          <w:rFonts w:ascii="Times New Roman" w:eastAsia="Times New Roman" w:hAnsi="Times New Roman" w:cs="Times New Roman"/>
          <w:sz w:val="24"/>
          <w:szCs w:val="24"/>
        </w:rPr>
      </w:pPr>
      <w:r w:rsidRPr="00655666">
        <w:rPr>
          <w:rFonts w:ascii="Times New Roman" w:eastAsia="Times New Roman" w:hAnsi="Times New Roman" w:cs="Times New Roman"/>
          <w:sz w:val="24"/>
          <w:szCs w:val="24"/>
          <w:lang w:bidi="en-US"/>
        </w:rPr>
        <w:t xml:space="preserve">It is hereby certified that a true copy of the foregoing </w:t>
      </w:r>
      <w:r w:rsidR="00DB4F01">
        <w:rPr>
          <w:rFonts w:ascii="Times New Roman" w:eastAsia="Times New Roman" w:hAnsi="Times New Roman" w:cs="Times New Roman"/>
          <w:iCs/>
          <w:sz w:val="24"/>
          <w:szCs w:val="24"/>
          <w:lang w:bidi="en-US"/>
        </w:rPr>
        <w:t>Application for Rehearing</w:t>
      </w:r>
      <w:r w:rsidRPr="00655666">
        <w:rPr>
          <w:rFonts w:ascii="Times New Roman" w:eastAsia="Times New Roman" w:hAnsi="Times New Roman" w:cs="Times New Roman"/>
          <w:sz w:val="24"/>
          <w:szCs w:val="24"/>
          <w:lang w:bidi="en-US"/>
        </w:rPr>
        <w:t xml:space="preserve"> was served by electronic transmission upon the parties below this 1</w:t>
      </w:r>
      <w:r w:rsidR="00DB4F01">
        <w:rPr>
          <w:rFonts w:ascii="Times New Roman" w:eastAsia="Times New Roman" w:hAnsi="Times New Roman" w:cs="Times New Roman"/>
          <w:sz w:val="24"/>
          <w:szCs w:val="24"/>
          <w:lang w:bidi="en-US"/>
        </w:rPr>
        <w:t>7</w:t>
      </w:r>
      <w:r w:rsidRPr="00655666">
        <w:rPr>
          <w:rFonts w:ascii="Times New Roman" w:eastAsia="Times New Roman" w:hAnsi="Times New Roman" w:cs="Times New Roman"/>
          <w:sz w:val="24"/>
          <w:szCs w:val="24"/>
          <w:vertAlign w:val="superscript"/>
          <w:lang w:bidi="en-US"/>
        </w:rPr>
        <w:t>th</w:t>
      </w:r>
      <w:r w:rsidRPr="00655666">
        <w:rPr>
          <w:rFonts w:ascii="Times New Roman" w:eastAsia="Times New Roman" w:hAnsi="Times New Roman" w:cs="Times New Roman"/>
          <w:sz w:val="24"/>
          <w:szCs w:val="24"/>
          <w:lang w:bidi="en-US"/>
        </w:rPr>
        <w:t xml:space="preserve"> day of November 2023.</w:t>
      </w:r>
    </w:p>
    <w:p w:rsidR="00655666" w:rsidRPr="00655666" w:rsidP="00655666" w14:paraId="28D1E64B" w14:textId="408AEAD5">
      <w:pPr>
        <w:suppressAutoHyphens/>
        <w:spacing w:after="0" w:line="240" w:lineRule="auto"/>
        <w:ind w:firstLine="5040"/>
        <w:rPr>
          <w:rFonts w:ascii="Times New Roman" w:eastAsia="Times New Roman" w:hAnsi="Times New Roman" w:cs="Times New Roman"/>
          <w:spacing w:val="-3"/>
          <w:sz w:val="24"/>
          <w:szCs w:val="24"/>
          <w:lang w:bidi="en-US"/>
        </w:rPr>
      </w:pPr>
      <w:r w:rsidRPr="00655666">
        <w:rPr>
          <w:rFonts w:ascii="Times New Roman" w:eastAsia="Times New Roman" w:hAnsi="Times New Roman" w:cs="Times New Roman"/>
          <w:i/>
          <w:sz w:val="24"/>
          <w:szCs w:val="24"/>
          <w:u w:val="single"/>
        </w:rPr>
        <w:t>/s/ Angela D. O’Brien</w:t>
      </w:r>
      <w:r w:rsidRPr="00655666">
        <w:rPr>
          <w:rFonts w:ascii="Times New Roman" w:eastAsia="Times New Roman" w:hAnsi="Times New Roman" w:cs="Times New Roman"/>
          <w:sz w:val="24"/>
          <w:szCs w:val="24"/>
        </w:rPr>
        <w:tab/>
      </w:r>
    </w:p>
    <w:p w:rsidR="00655666" w:rsidRPr="00655666" w:rsidP="00655666" w14:paraId="6C511081" w14:textId="74C0F05C">
      <w:pPr>
        <w:spacing w:after="0" w:line="240" w:lineRule="auto"/>
        <w:ind w:left="4320" w:firstLine="720"/>
        <w:rPr>
          <w:rFonts w:ascii="Times New Roman" w:eastAsia="Times New Roman" w:hAnsi="Times New Roman" w:cs="Times New Roman"/>
          <w:sz w:val="24"/>
          <w:szCs w:val="24"/>
          <w:lang w:bidi="en-US"/>
        </w:rPr>
      </w:pPr>
      <w:r w:rsidRPr="00655666">
        <w:rPr>
          <w:rFonts w:ascii="Times New Roman" w:eastAsia="Times New Roman" w:hAnsi="Times New Roman" w:cs="Times New Roman"/>
          <w:sz w:val="24"/>
          <w:szCs w:val="24"/>
          <w:lang w:bidi="en-US"/>
        </w:rPr>
        <w:t>Angela D. O’Brien (0097579)</w:t>
      </w:r>
    </w:p>
    <w:p w:rsidR="00655666" w:rsidRPr="00655666" w:rsidP="00655666" w14:paraId="7CF31BC5" w14:textId="77777777">
      <w:pPr>
        <w:spacing w:after="0" w:line="240" w:lineRule="auto"/>
        <w:ind w:left="4320" w:firstLine="720"/>
        <w:rPr>
          <w:rFonts w:ascii="Times New Roman" w:eastAsia="Times New Roman" w:hAnsi="Times New Roman" w:cs="Times New Roman"/>
          <w:sz w:val="24"/>
          <w:szCs w:val="24"/>
          <w:lang w:bidi="en-US"/>
        </w:rPr>
      </w:pPr>
      <w:r w:rsidRPr="00655666">
        <w:rPr>
          <w:rFonts w:ascii="Times New Roman" w:eastAsia="Times New Roman" w:hAnsi="Times New Roman" w:cs="Times New Roman"/>
          <w:sz w:val="24"/>
          <w:szCs w:val="24"/>
          <w:lang w:bidi="en-US"/>
        </w:rPr>
        <w:t>Counsel of Record</w:t>
      </w:r>
    </w:p>
    <w:p w:rsidR="00655666" w:rsidRPr="00655666" w:rsidP="00655666" w14:paraId="157D5EF6" w14:textId="77777777">
      <w:pPr>
        <w:spacing w:after="0" w:line="240" w:lineRule="auto"/>
        <w:rPr>
          <w:rFonts w:ascii="Times New Roman" w:eastAsia="Times New Roman" w:hAnsi="Times New Roman" w:cs="Times New Roman"/>
          <w:sz w:val="24"/>
          <w:szCs w:val="24"/>
        </w:rPr>
      </w:pPr>
    </w:p>
    <w:p w:rsidR="00655666" w:rsidRPr="00655666" w:rsidP="00655666" w14:paraId="05B0C9BB" w14:textId="77777777">
      <w:pPr>
        <w:spacing w:after="0" w:line="240" w:lineRule="auto"/>
        <w:rPr>
          <w:rFonts w:ascii="Times New Roman" w:eastAsia="Times New Roman" w:hAnsi="Times New Roman" w:cs="Times New Roman"/>
          <w:sz w:val="24"/>
          <w:szCs w:val="24"/>
          <w:lang w:bidi="en-US"/>
        </w:rPr>
      </w:pPr>
      <w:r w:rsidRPr="00655666">
        <w:rPr>
          <w:rFonts w:ascii="Times New Roman" w:eastAsia="Times New Roman" w:hAnsi="Times New Roman" w:cs="Times New Roman"/>
          <w:sz w:val="24"/>
          <w:szCs w:val="24"/>
          <w:lang w:bidi="en-US"/>
        </w:rPr>
        <w:t>The PUCO’s e-filing system will electronically serve notice of the filing of this document on the following parties:</w:t>
      </w:r>
    </w:p>
    <w:p w:rsidR="00655666" w:rsidRPr="00655666" w:rsidP="00655666" w14:paraId="6A37AD8C" w14:textId="77777777">
      <w:pPr>
        <w:spacing w:after="0" w:line="240" w:lineRule="auto"/>
        <w:jc w:val="center"/>
        <w:rPr>
          <w:rFonts w:ascii="Times New Roman" w:eastAsia="Times New Roman" w:hAnsi="Times New Roman" w:cs="Times New Roman"/>
          <w:b/>
          <w:sz w:val="24"/>
          <w:szCs w:val="24"/>
          <w:u w:val="single"/>
          <w:lang w:bidi="en-US"/>
        </w:rPr>
      </w:pPr>
    </w:p>
    <w:p w:rsidR="00655666" w:rsidRPr="00655666" w:rsidP="00655666" w14:paraId="7509D0E9" w14:textId="77777777">
      <w:pPr>
        <w:widowControl w:val="0"/>
        <w:spacing w:after="0" w:line="480" w:lineRule="auto"/>
        <w:jc w:val="center"/>
        <w:outlineLvl w:val="0"/>
        <w:rPr>
          <w:rFonts w:ascii="Times New Roman" w:eastAsia="Times New Roman" w:hAnsi="Times New Roman" w:cstheme="majorBidi"/>
          <w:b/>
          <w:sz w:val="24"/>
          <w:szCs w:val="32"/>
          <w:lang w:bidi="en-US"/>
        </w:rPr>
      </w:pPr>
      <w:bookmarkStart w:id="0" w:name="_Toc150175688"/>
      <w:r w:rsidRPr="00655666">
        <w:rPr>
          <w:rFonts w:ascii="Times New Roman" w:eastAsia="Times New Roman" w:hAnsi="Times New Roman" w:cstheme="majorBidi"/>
          <w:b/>
          <w:sz w:val="24"/>
          <w:szCs w:val="32"/>
          <w:lang w:bidi="en-US"/>
        </w:rPr>
        <w:t>SERVICE LIST</w:t>
      </w:r>
      <w:bookmarkEnd w:id="0"/>
    </w:p>
    <w:tbl>
      <w:tblPr>
        <w:tblW w:w="0" w:type="auto"/>
        <w:tblLook w:val="04A0"/>
      </w:tblPr>
      <w:tblGrid>
        <w:gridCol w:w="4346"/>
        <w:gridCol w:w="4294"/>
      </w:tblGrid>
      <w:tr w14:paraId="11415A56" w14:textId="77777777" w:rsidTr="00982EDE">
        <w:tblPrEx>
          <w:tblW w:w="0" w:type="auto"/>
          <w:tblLook w:val="04A0"/>
        </w:tblPrEx>
        <w:tc>
          <w:tcPr>
            <w:tcW w:w="4428" w:type="dxa"/>
          </w:tcPr>
          <w:p w:rsidR="00655666" w:rsidRPr="00655666" w:rsidP="00655666" w14:paraId="14A080EB" w14:textId="77777777">
            <w:pPr>
              <w:spacing w:after="0" w:line="240" w:lineRule="auto"/>
              <w:rPr>
                <w:rFonts w:ascii="Times New Roman" w:eastAsia="Times New Roman" w:hAnsi="Times New Roman" w:cs="Times New Roman"/>
                <w:color w:val="0000FF"/>
                <w:sz w:val="24"/>
                <w:szCs w:val="24"/>
                <w:lang w:bidi="en-US"/>
              </w:rPr>
            </w:pPr>
            <w:hyperlink r:id="rId13" w:history="1">
              <w:r w:rsidRPr="00655666">
                <w:rPr>
                  <w:rFonts w:ascii="Times New Roman" w:eastAsia="Times New Roman" w:hAnsi="Times New Roman" w:cs="Times New Roman"/>
                  <w:color w:val="0000FF"/>
                  <w:sz w:val="24"/>
                  <w:szCs w:val="24"/>
                  <w:u w:val="single"/>
                  <w:lang w:bidi="en-US"/>
                </w:rPr>
                <w:t>rhiannon.plant@ohioAGO.gov</w:t>
              </w:r>
            </w:hyperlink>
          </w:p>
          <w:p w:rsidR="00655666" w:rsidRPr="00655666" w:rsidP="00655666" w14:paraId="6C7E7E07" w14:textId="77777777">
            <w:pPr>
              <w:spacing w:after="0" w:line="240" w:lineRule="auto"/>
              <w:jc w:val="center"/>
              <w:rPr>
                <w:rFonts w:ascii="Times New Roman" w:eastAsia="Times New Roman" w:hAnsi="Times New Roman" w:cs="Times New Roman"/>
                <w:color w:val="0000FF"/>
                <w:sz w:val="24"/>
                <w:szCs w:val="24"/>
                <w:lang w:bidi="en-US"/>
              </w:rPr>
            </w:pPr>
          </w:p>
          <w:p w:rsidR="00655666" w:rsidRPr="00655666" w:rsidP="00655666" w14:paraId="4BB5B765" w14:textId="77777777">
            <w:pPr>
              <w:spacing w:after="0" w:line="240" w:lineRule="auto"/>
              <w:rPr>
                <w:rFonts w:ascii="Times New Roman" w:eastAsia="Times New Roman" w:hAnsi="Times New Roman" w:cs="Times New Roman"/>
                <w:sz w:val="24"/>
                <w:szCs w:val="24"/>
                <w:lang w:bidi="en-US"/>
              </w:rPr>
            </w:pPr>
            <w:r w:rsidRPr="00655666">
              <w:rPr>
                <w:rFonts w:ascii="Times New Roman" w:eastAsia="Times New Roman" w:hAnsi="Times New Roman" w:cs="Times New Roman"/>
                <w:sz w:val="24"/>
                <w:szCs w:val="24"/>
                <w:lang w:bidi="en-US"/>
              </w:rPr>
              <w:t xml:space="preserve">Attorney Examiner: </w:t>
            </w:r>
          </w:p>
          <w:p w:rsidR="00655666" w:rsidRPr="00655666" w:rsidP="00655666" w14:paraId="15498A6A" w14:textId="77777777">
            <w:pPr>
              <w:spacing w:after="0" w:line="240" w:lineRule="auto"/>
              <w:rPr>
                <w:rFonts w:ascii="Times New Roman" w:eastAsia="Times New Roman" w:hAnsi="Times New Roman" w:cs="Times New Roman"/>
                <w:color w:val="0000FF"/>
                <w:sz w:val="24"/>
                <w:szCs w:val="24"/>
                <w:lang w:bidi="en-US"/>
              </w:rPr>
            </w:pPr>
            <w:hyperlink r:id="rId14" w:history="1">
              <w:r w:rsidRPr="00655666">
                <w:rPr>
                  <w:rFonts w:ascii="Times New Roman" w:eastAsia="Times New Roman" w:hAnsi="Times New Roman" w:cs="Times New Roman"/>
                  <w:color w:val="0000FF"/>
                  <w:sz w:val="24"/>
                  <w:szCs w:val="24"/>
                  <w:u w:val="single"/>
                  <w:lang w:bidi="en-US"/>
                </w:rPr>
                <w:t>jesse.davis@puco.ohio.gov</w:t>
              </w:r>
            </w:hyperlink>
          </w:p>
          <w:p w:rsidR="00655666" w:rsidRPr="00655666" w:rsidP="00655666" w14:paraId="414FCD7D" w14:textId="77777777">
            <w:pPr>
              <w:spacing w:after="0" w:line="240" w:lineRule="auto"/>
              <w:rPr>
                <w:rFonts w:ascii="Times New Roman" w:eastAsia="Times New Roman" w:hAnsi="Times New Roman" w:cs="Times New Roman"/>
                <w:bCs/>
                <w:color w:val="0000FF"/>
                <w:sz w:val="24"/>
                <w:szCs w:val="24"/>
                <w:lang w:bidi="en-US"/>
              </w:rPr>
            </w:pPr>
          </w:p>
        </w:tc>
        <w:tc>
          <w:tcPr>
            <w:tcW w:w="4428" w:type="dxa"/>
          </w:tcPr>
          <w:p w:rsidR="00655666" w:rsidRPr="00655666" w:rsidP="00655666" w14:paraId="2D8B0B1B" w14:textId="77777777">
            <w:pPr>
              <w:spacing w:after="0" w:line="240" w:lineRule="auto"/>
              <w:rPr>
                <w:rFonts w:ascii="Times New Roman" w:eastAsia="Times New Roman" w:hAnsi="Times New Roman" w:cs="Times New Roman"/>
                <w:color w:val="0000FF"/>
                <w:sz w:val="24"/>
                <w:szCs w:val="24"/>
                <w:lang w:bidi="en-US"/>
              </w:rPr>
            </w:pPr>
            <w:hyperlink r:id="rId15" w:history="1">
              <w:r w:rsidRPr="00655666">
                <w:rPr>
                  <w:rFonts w:ascii="Times New Roman" w:eastAsia="Times New Roman" w:hAnsi="Times New Roman" w:cs="Times New Roman"/>
                  <w:color w:val="0000FF"/>
                  <w:sz w:val="24"/>
                  <w:szCs w:val="24"/>
                  <w:u w:val="single"/>
                  <w:lang w:bidi="en-US"/>
                </w:rPr>
                <w:t>btrombino@uerus.com</w:t>
              </w:r>
            </w:hyperlink>
            <w:r w:rsidRPr="00655666">
              <w:rPr>
                <w:rFonts w:ascii="Times New Roman" w:eastAsia="Times New Roman" w:hAnsi="Times New Roman" w:cs="Times New Roman"/>
                <w:color w:val="0000FF"/>
                <w:sz w:val="24"/>
                <w:szCs w:val="24"/>
                <w:lang w:bidi="en-US"/>
              </w:rPr>
              <w:t xml:space="preserve"> </w:t>
            </w:r>
          </w:p>
          <w:p w:rsidR="00655666" w:rsidRPr="00655666" w:rsidP="00655666" w14:paraId="4A35C45A" w14:textId="77777777">
            <w:pPr>
              <w:spacing w:after="0" w:line="240" w:lineRule="auto"/>
              <w:rPr>
                <w:rFonts w:ascii="Times New Roman" w:eastAsia="Times New Roman" w:hAnsi="Times New Roman" w:cs="Times New Roman"/>
                <w:color w:val="0000FF"/>
                <w:sz w:val="24"/>
                <w:szCs w:val="24"/>
                <w:lang w:bidi="en-US"/>
              </w:rPr>
            </w:pPr>
            <w:hyperlink r:id="rId16" w:history="1">
              <w:r w:rsidRPr="00655666">
                <w:rPr>
                  <w:rFonts w:ascii="Times New Roman" w:eastAsia="Times New Roman" w:hAnsi="Times New Roman" w:cs="Times New Roman"/>
                  <w:color w:val="0000FF"/>
                  <w:sz w:val="24"/>
                  <w:szCs w:val="24"/>
                  <w:u w:val="single"/>
                  <w:lang w:bidi="en-US"/>
                </w:rPr>
                <w:t>whitt@whitt-sturtevant.com</w:t>
              </w:r>
            </w:hyperlink>
          </w:p>
          <w:p w:rsidR="00655666" w:rsidRPr="00655666" w:rsidP="00655666" w14:paraId="0BBA9DB8" w14:textId="77777777">
            <w:pPr>
              <w:spacing w:after="0" w:line="240" w:lineRule="auto"/>
              <w:rPr>
                <w:rFonts w:ascii="Times New Roman" w:eastAsia="Times New Roman" w:hAnsi="Times New Roman" w:cs="Times New Roman"/>
                <w:bCs/>
                <w:color w:val="0000FF"/>
                <w:sz w:val="24"/>
                <w:szCs w:val="24"/>
                <w:lang w:bidi="en-US"/>
              </w:rPr>
            </w:pPr>
            <w:hyperlink r:id="rId17" w:history="1">
              <w:r w:rsidRPr="00655666">
                <w:rPr>
                  <w:rFonts w:ascii="Times New Roman" w:eastAsia="Times New Roman" w:hAnsi="Times New Roman" w:cs="Times New Roman"/>
                  <w:color w:val="0000FF"/>
                  <w:sz w:val="24"/>
                  <w:szCs w:val="24"/>
                  <w:u w:val="single"/>
                  <w:lang w:bidi="en-US"/>
                </w:rPr>
                <w:t>elmer@whitt-sturtevant.com</w:t>
              </w:r>
            </w:hyperlink>
          </w:p>
        </w:tc>
      </w:tr>
    </w:tbl>
    <w:p w:rsidR="00BC5820" w:rsidRPr="009314FD" w:rsidP="00763A2B" w14:paraId="1AAEA2EA" w14:textId="77777777">
      <w:pPr>
        <w:spacing w:line="480" w:lineRule="auto"/>
        <w:jc w:val="both"/>
        <w:rPr>
          <w:rFonts w:ascii="Times New Roman" w:hAnsi="Times New Roman" w:cs="Times New Roman"/>
          <w:sz w:val="24"/>
          <w:szCs w:val="24"/>
        </w:rPr>
      </w:pPr>
    </w:p>
    <w:sectPr w:rsidSect="00C36A10">
      <w:footerReference w:type="default" r:id="rId18"/>
      <w:footerReference w:type="first" r:id="rId19"/>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6727" w14:paraId="1BAEB89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4"/>
        <w:szCs w:val="24"/>
      </w:rPr>
      <w:id w:val="-1111277928"/>
      <w:docPartObj>
        <w:docPartGallery w:val="Page Numbers (Bottom of Page)"/>
        <w:docPartUnique/>
      </w:docPartObj>
    </w:sdtPr>
    <w:sdtEndPr>
      <w:rPr>
        <w:noProof/>
      </w:rPr>
    </w:sdtEndPr>
    <w:sdtContent>
      <w:p w:rsidR="001340AA" w:rsidRPr="00B27532" w:rsidP="00B27532" w14:paraId="039835B7" w14:textId="04F24F89">
        <w:pPr>
          <w:pStyle w:val="Footer"/>
          <w:jc w:val="center"/>
          <w:rPr>
            <w:rFonts w:ascii="Times New Roman" w:hAnsi="Times New Roman" w:cs="Times New Roman"/>
            <w:sz w:val="24"/>
            <w:szCs w:val="24"/>
          </w:rPr>
        </w:pPr>
        <w:r w:rsidRPr="00B27532">
          <w:rPr>
            <w:rFonts w:ascii="Times New Roman" w:hAnsi="Times New Roman" w:cs="Times New Roman"/>
            <w:sz w:val="24"/>
            <w:szCs w:val="24"/>
          </w:rPr>
          <w:fldChar w:fldCharType="begin"/>
        </w:r>
        <w:r w:rsidRPr="00B27532">
          <w:rPr>
            <w:rFonts w:ascii="Times New Roman" w:hAnsi="Times New Roman" w:cs="Times New Roman"/>
            <w:sz w:val="24"/>
            <w:szCs w:val="24"/>
          </w:rPr>
          <w:instrText xml:space="preserve"> PAGE   \* MERGEFORMAT </w:instrText>
        </w:r>
        <w:r w:rsidRPr="00B27532">
          <w:rPr>
            <w:rFonts w:ascii="Times New Roman" w:hAnsi="Times New Roman" w:cs="Times New Roman"/>
            <w:sz w:val="24"/>
            <w:szCs w:val="24"/>
          </w:rPr>
          <w:fldChar w:fldCharType="separate"/>
        </w:r>
        <w:r w:rsidRPr="00B27532">
          <w:rPr>
            <w:rFonts w:ascii="Times New Roman" w:hAnsi="Times New Roman" w:cs="Times New Roman"/>
            <w:noProof/>
            <w:sz w:val="24"/>
            <w:szCs w:val="24"/>
          </w:rPr>
          <w:t>2</w:t>
        </w:r>
        <w:r w:rsidRPr="00B27532">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6727" w14:paraId="57E0320C"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4"/>
        <w:szCs w:val="24"/>
      </w:rPr>
      <w:id w:val="-2593860"/>
      <w:docPartObj>
        <w:docPartGallery w:val="Page Numbers (Bottom of Page)"/>
        <w:docPartUnique/>
      </w:docPartObj>
    </w:sdtPr>
    <w:sdtEndPr>
      <w:rPr>
        <w:noProof/>
      </w:rPr>
    </w:sdtEndPr>
    <w:sdtContent>
      <w:p w:rsidR="00C36A10" w:rsidRPr="00B27532" w:rsidP="00B27532" w14:paraId="383695A6" w14:textId="77777777">
        <w:pPr>
          <w:pStyle w:val="Footer"/>
          <w:jc w:val="center"/>
          <w:rPr>
            <w:rFonts w:ascii="Times New Roman" w:hAnsi="Times New Roman" w:cs="Times New Roman"/>
            <w:sz w:val="24"/>
            <w:szCs w:val="24"/>
          </w:rPr>
        </w:pPr>
        <w:r w:rsidRPr="00B27532">
          <w:rPr>
            <w:rFonts w:ascii="Times New Roman" w:hAnsi="Times New Roman" w:cs="Times New Roman"/>
            <w:sz w:val="24"/>
            <w:szCs w:val="24"/>
          </w:rPr>
          <w:fldChar w:fldCharType="begin"/>
        </w:r>
        <w:r w:rsidRPr="00B27532">
          <w:rPr>
            <w:rFonts w:ascii="Times New Roman" w:hAnsi="Times New Roman" w:cs="Times New Roman"/>
            <w:sz w:val="24"/>
            <w:szCs w:val="24"/>
          </w:rPr>
          <w:instrText xml:space="preserve"> PAGE   \* MERGEFORMAT </w:instrText>
        </w:r>
        <w:r w:rsidRPr="00B27532">
          <w:rPr>
            <w:rFonts w:ascii="Times New Roman" w:hAnsi="Times New Roman" w:cs="Times New Roman"/>
            <w:sz w:val="24"/>
            <w:szCs w:val="24"/>
          </w:rPr>
          <w:fldChar w:fldCharType="separate"/>
        </w:r>
        <w:r w:rsidRPr="00B27532">
          <w:rPr>
            <w:rFonts w:ascii="Times New Roman" w:hAnsi="Times New Roman" w:cs="Times New Roman"/>
            <w:noProof/>
            <w:sz w:val="24"/>
            <w:szCs w:val="24"/>
          </w:rPr>
          <w:t>2</w:t>
        </w:r>
        <w:r w:rsidRPr="00B27532">
          <w:rPr>
            <w:rFonts w:ascii="Times New Roman" w:hAnsi="Times New Roman" w:cs="Times New Roman"/>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6A10" w14:paraId="3C56346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A3547" w:rsidP="00052097" w14:paraId="208ABF0E" w14:textId="77777777">
      <w:pPr>
        <w:spacing w:after="0" w:line="240" w:lineRule="auto"/>
      </w:pPr>
      <w:r>
        <w:separator/>
      </w:r>
    </w:p>
  </w:footnote>
  <w:footnote w:type="continuationSeparator" w:id="1">
    <w:p w:rsidR="00CA3547" w:rsidP="00052097" w14:paraId="20F97F40" w14:textId="77777777">
      <w:pPr>
        <w:spacing w:after="0" w:line="240" w:lineRule="auto"/>
      </w:pPr>
      <w:r>
        <w:continuationSeparator/>
      </w:r>
    </w:p>
  </w:footnote>
  <w:footnote w:id="2">
    <w:p w:rsidR="00B646E2" w:rsidP="000006AE" w14:paraId="0933B946" w14:textId="77777777">
      <w:pPr>
        <w:pStyle w:val="FootnoteText"/>
        <w:spacing w:after="120"/>
      </w:pPr>
      <w:r>
        <w:rPr>
          <w:rStyle w:val="FootnoteReference"/>
        </w:rPr>
        <w:footnoteRef/>
      </w:r>
      <w:r>
        <w:t xml:space="preserve"> RPA Energy, Inc. d/b/a Green Choice Energy (“Green Choice”).</w:t>
      </w:r>
    </w:p>
  </w:footnote>
  <w:footnote w:id="3">
    <w:p w:rsidR="00B646E2" w:rsidP="000006AE" w14:paraId="205766A8" w14:textId="0BA9AA48">
      <w:pPr>
        <w:pStyle w:val="FootnoteText"/>
        <w:spacing w:after="120"/>
      </w:pPr>
      <w:r>
        <w:rPr>
          <w:rStyle w:val="FootnoteReference"/>
        </w:rPr>
        <w:footnoteRef/>
      </w:r>
      <w:r>
        <w:t xml:space="preserve"> PUCO Opinion and Order (October 18, 2023)</w:t>
      </w:r>
      <w:r w:rsidR="004F66B7">
        <w:t xml:space="preserve"> (“Order”)</w:t>
      </w:r>
      <w:r>
        <w:t>, ¶ 1.</w:t>
      </w:r>
    </w:p>
  </w:footnote>
  <w:footnote w:id="4">
    <w:p w:rsidR="00B646E2" w:rsidRPr="00EB37F5" w:rsidP="000006AE" w14:paraId="540A05A9" w14:textId="77777777">
      <w:pPr>
        <w:pStyle w:val="FootnoteText"/>
        <w:spacing w:after="120"/>
        <w:rPr>
          <w:i/>
          <w:iCs/>
        </w:rPr>
      </w:pPr>
      <w:r>
        <w:rPr>
          <w:rStyle w:val="FootnoteReference"/>
        </w:rPr>
        <w:footnoteRef/>
      </w:r>
      <w:r>
        <w:t xml:space="preserve"> </w:t>
      </w:r>
      <w:r>
        <w:rPr>
          <w:i/>
          <w:iCs/>
        </w:rPr>
        <w:t>Id.</w:t>
      </w:r>
    </w:p>
  </w:footnote>
  <w:footnote w:id="5">
    <w:p w:rsidR="0081302F" w:rsidRPr="00055C43" w:rsidP="000006AE" w14:paraId="2C5923F7" w14:textId="4BC9663C">
      <w:pPr>
        <w:pStyle w:val="FootnoteText"/>
        <w:spacing w:after="120"/>
      </w:pPr>
      <w:r w:rsidRPr="00055C43">
        <w:rPr>
          <w:rStyle w:val="FootnoteReference"/>
        </w:rPr>
        <w:footnoteRef/>
      </w:r>
      <w:r w:rsidRPr="00055C43">
        <w:t xml:space="preserve"> </w:t>
      </w:r>
      <w:r w:rsidR="001724B8">
        <w:rPr>
          <w:i/>
          <w:iCs/>
        </w:rPr>
        <w:t>Id.</w:t>
      </w:r>
      <w:r w:rsidR="001724B8">
        <w:t xml:space="preserve"> at</w:t>
      </w:r>
      <w:r w:rsidR="004F66B7">
        <w:t xml:space="preserve"> ¶ 70.</w:t>
      </w:r>
    </w:p>
  </w:footnote>
  <w:footnote w:id="6">
    <w:p w:rsidR="001724B8" w:rsidRPr="001724B8" w:rsidP="000006AE" w14:paraId="6122FCA6" w14:textId="496F3596">
      <w:pPr>
        <w:pStyle w:val="FootnoteText"/>
        <w:spacing w:after="120"/>
        <w:rPr>
          <w:i/>
          <w:iCs/>
        </w:rPr>
      </w:pPr>
      <w:r>
        <w:rPr>
          <w:rStyle w:val="FootnoteReference"/>
        </w:rPr>
        <w:footnoteRef/>
      </w:r>
      <w:r>
        <w:t xml:space="preserve"> </w:t>
      </w:r>
      <w:r>
        <w:rPr>
          <w:i/>
          <w:iCs/>
        </w:rPr>
        <w:t>Id.</w:t>
      </w:r>
    </w:p>
  </w:footnote>
  <w:footnote w:id="7">
    <w:p w:rsidR="0081302F" w:rsidRPr="00055C43" w:rsidP="000006AE" w14:paraId="4D37872A" w14:textId="120D7806">
      <w:pPr>
        <w:pStyle w:val="FootnoteText"/>
        <w:spacing w:after="120"/>
      </w:pPr>
      <w:r w:rsidRPr="00055C43">
        <w:rPr>
          <w:rStyle w:val="FootnoteReference"/>
        </w:rPr>
        <w:footnoteRef/>
      </w:r>
      <w:r w:rsidRPr="00055C43">
        <w:t xml:space="preserve"> </w:t>
      </w:r>
      <w:r w:rsidR="00415719">
        <w:t>Order, at ¶ 68.</w:t>
      </w:r>
    </w:p>
  </w:footnote>
  <w:footnote w:id="8">
    <w:p w:rsidR="0081302F" w:rsidRPr="00055C43" w:rsidP="000006AE" w14:paraId="66492C20" w14:textId="384FE5DC">
      <w:pPr>
        <w:pStyle w:val="FootnoteText"/>
        <w:spacing w:after="120"/>
      </w:pPr>
      <w:r w:rsidRPr="00055C43">
        <w:rPr>
          <w:rStyle w:val="FootnoteReference"/>
        </w:rPr>
        <w:footnoteRef/>
      </w:r>
      <w:r w:rsidRPr="00055C43">
        <w:t xml:space="preserve"> </w:t>
      </w:r>
      <w:r w:rsidR="003541A0">
        <w:t>Order, at ¶ 69.</w:t>
      </w:r>
    </w:p>
  </w:footnote>
  <w:footnote w:id="9">
    <w:p w:rsidR="0081302F" w:rsidRPr="00312680" w:rsidP="000006AE" w14:paraId="202EA79C" w14:textId="38005EDF">
      <w:pPr>
        <w:pStyle w:val="FootnoteText"/>
        <w:spacing w:after="120"/>
      </w:pPr>
      <w:r w:rsidRPr="00055C43">
        <w:rPr>
          <w:rStyle w:val="FootnoteReference"/>
        </w:rPr>
        <w:footnoteRef/>
      </w:r>
      <w:r w:rsidRPr="00055C43">
        <w:t xml:space="preserve"> </w:t>
      </w:r>
      <w:r w:rsidR="00312680">
        <w:rPr>
          <w:i/>
          <w:iCs/>
        </w:rPr>
        <w:t xml:space="preserve">Id. </w:t>
      </w:r>
      <w:r w:rsidR="00312680">
        <w:t>at ¶ 67.</w:t>
      </w:r>
      <w:r w:rsidR="00312680">
        <w:tab/>
      </w:r>
    </w:p>
  </w:footnote>
  <w:footnote w:id="10">
    <w:p w:rsidR="0081302F" w:rsidRPr="00312680" w:rsidP="000006AE" w14:paraId="38E0D94C" w14:textId="08A188FE">
      <w:pPr>
        <w:pStyle w:val="FootnoteText"/>
        <w:spacing w:after="120"/>
      </w:pPr>
      <w:r w:rsidRPr="00055C43">
        <w:rPr>
          <w:rStyle w:val="FootnoteReference"/>
        </w:rPr>
        <w:footnoteRef/>
      </w:r>
      <w:r w:rsidRPr="00055C43">
        <w:t xml:space="preserve"> </w:t>
      </w:r>
      <w:r w:rsidR="00312680">
        <w:rPr>
          <w:i/>
          <w:iCs/>
        </w:rPr>
        <w:t>Id.</w:t>
      </w:r>
      <w:r w:rsidR="00312680">
        <w:t xml:space="preserve"> at ¶ 77.</w:t>
      </w:r>
    </w:p>
  </w:footnote>
  <w:footnote w:id="11">
    <w:p w:rsidR="00B302E5" w:rsidRPr="00B302E5" w:rsidP="000006AE" w14:paraId="52BE830C" w14:textId="03DE4D44">
      <w:pPr>
        <w:pStyle w:val="FootnoteText"/>
        <w:spacing w:after="120"/>
      </w:pPr>
      <w:r>
        <w:rPr>
          <w:rStyle w:val="FootnoteReference"/>
        </w:rPr>
        <w:footnoteRef/>
      </w:r>
      <w:r>
        <w:t xml:space="preserve"> </w:t>
      </w:r>
      <w:r>
        <w:rPr>
          <w:i/>
          <w:iCs/>
        </w:rPr>
        <w:t>Id.</w:t>
      </w:r>
      <w:r>
        <w:t xml:space="preserve"> at ¶ 70.</w:t>
      </w:r>
    </w:p>
  </w:footnote>
  <w:footnote w:id="12">
    <w:p w:rsidR="003A4DD5" w:rsidP="000006AE" w14:paraId="58C8E5D3" w14:textId="718B7518">
      <w:pPr>
        <w:pStyle w:val="FootnoteText"/>
        <w:spacing w:after="120"/>
      </w:pPr>
      <w:r>
        <w:rPr>
          <w:rStyle w:val="FootnoteReference"/>
        </w:rPr>
        <w:footnoteRef/>
      </w:r>
      <w:r>
        <w:t xml:space="preserve"> Order, at ¶ 77.</w:t>
      </w:r>
    </w:p>
  </w:footnote>
  <w:footnote w:id="13">
    <w:p w:rsidR="00460C9F" w:rsidP="000006AE" w14:paraId="0FAE85BC" w14:textId="77777777">
      <w:pPr>
        <w:pStyle w:val="FootnoteText"/>
        <w:spacing w:after="120"/>
      </w:pPr>
      <w:r>
        <w:rPr>
          <w:rStyle w:val="FootnoteReference"/>
        </w:rPr>
        <w:footnoteRef/>
      </w:r>
      <w:r>
        <w:t xml:space="preserve"> </w:t>
      </w:r>
      <w:r w:rsidRPr="007550E9">
        <w:t>R.C. 4928.08</w:t>
      </w:r>
      <w:r>
        <w:t xml:space="preserve">, R.C. </w:t>
      </w:r>
      <w:r w:rsidRPr="007550E9">
        <w:t>4929.20</w:t>
      </w:r>
      <w:r>
        <w:t xml:space="preserve">, </w:t>
      </w:r>
      <w:r w:rsidRPr="007F3CA3">
        <w:t>O.A.C. 4901:1-24-13</w:t>
      </w:r>
      <w:r>
        <w:t>, and O.A.C. 4901:1-27-13.</w:t>
      </w:r>
    </w:p>
  </w:footnote>
  <w:footnote w:id="14">
    <w:p w:rsidR="00733021" w:rsidRPr="00733021" w:rsidP="000006AE" w14:paraId="63E22F84" w14:textId="74A43EBA">
      <w:pPr>
        <w:pStyle w:val="FootnoteText"/>
        <w:spacing w:after="120"/>
      </w:pPr>
      <w:r>
        <w:rPr>
          <w:rStyle w:val="FootnoteReference"/>
        </w:rPr>
        <w:footnoteRef/>
      </w:r>
      <w:r>
        <w:t xml:space="preserve"> </w:t>
      </w:r>
      <w:r w:rsidRPr="008D2A5D" w:rsidR="008D2A5D">
        <w:t>O.A.C. 4901:1-24-13(C)</w:t>
      </w:r>
      <w:r w:rsidR="00FE682B">
        <w:t xml:space="preserve"> (emphasis added)</w:t>
      </w:r>
      <w:r w:rsidR="008D2A5D">
        <w:t xml:space="preserve">. </w:t>
      </w:r>
      <w:r>
        <w:rPr>
          <w:i/>
          <w:iCs/>
        </w:rPr>
        <w:t xml:space="preserve">See also </w:t>
      </w:r>
      <w:r>
        <w:t>O.A.C. 4901:1-27-13(C)(1).</w:t>
      </w:r>
    </w:p>
  </w:footnote>
  <w:footnote w:id="15">
    <w:p w:rsidR="00460C9F" w:rsidP="000006AE" w14:paraId="27FCD4A2" w14:textId="77777777">
      <w:pPr>
        <w:pStyle w:val="FootnoteText"/>
        <w:spacing w:after="120"/>
      </w:pPr>
      <w:r>
        <w:rPr>
          <w:rStyle w:val="FootnoteReference"/>
        </w:rPr>
        <w:footnoteRef/>
      </w:r>
      <w:r>
        <w:t xml:space="preserve"> </w:t>
      </w:r>
      <w:r w:rsidRPr="003A4DD5">
        <w:t>O</w:t>
      </w:r>
      <w:r>
        <w:t xml:space="preserve">rder, </w:t>
      </w:r>
      <w:r w:rsidRPr="003A4DD5">
        <w:t>at ¶ 81.</w:t>
      </w:r>
    </w:p>
  </w:footnote>
  <w:footnote w:id="16">
    <w:p w:rsidR="00460C9F" w:rsidRPr="00090197" w:rsidP="000006AE" w14:paraId="29761050" w14:textId="77777777">
      <w:pPr>
        <w:pStyle w:val="FootnoteText"/>
        <w:spacing w:after="120"/>
        <w:rPr>
          <w:i/>
          <w:iCs/>
        </w:rPr>
      </w:pPr>
      <w:r>
        <w:rPr>
          <w:rStyle w:val="FootnoteReference"/>
        </w:rPr>
        <w:footnoteRef/>
      </w:r>
      <w:r>
        <w:t xml:space="preserve"> </w:t>
      </w:r>
      <w:r>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6727" w14:paraId="4E9ACE1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6727" w14:paraId="7635C65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6727" w14:paraId="1958C50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6303A76"/>
    <w:multiLevelType w:val="hybridMultilevel"/>
    <w:tmpl w:val="A6AE084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7FC872BF"/>
    <w:multiLevelType w:val="hybridMultilevel"/>
    <w:tmpl w:val="08CCCFC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A17"/>
    <w:rsid w:val="000006AE"/>
    <w:rsid w:val="00012857"/>
    <w:rsid w:val="00052097"/>
    <w:rsid w:val="00055C43"/>
    <w:rsid w:val="00090197"/>
    <w:rsid w:val="000A143A"/>
    <w:rsid w:val="000A58D0"/>
    <w:rsid w:val="000D4E1F"/>
    <w:rsid w:val="00124606"/>
    <w:rsid w:val="001340AA"/>
    <w:rsid w:val="001548F9"/>
    <w:rsid w:val="0016101C"/>
    <w:rsid w:val="001724B8"/>
    <w:rsid w:val="001846CB"/>
    <w:rsid w:val="00185098"/>
    <w:rsid w:val="00186727"/>
    <w:rsid w:val="001E7655"/>
    <w:rsid w:val="001F6EB7"/>
    <w:rsid w:val="00217CCA"/>
    <w:rsid w:val="00230FC9"/>
    <w:rsid w:val="002516E3"/>
    <w:rsid w:val="00272F6F"/>
    <w:rsid w:val="00272FA0"/>
    <w:rsid w:val="002C3128"/>
    <w:rsid w:val="002D284F"/>
    <w:rsid w:val="00312680"/>
    <w:rsid w:val="0033283E"/>
    <w:rsid w:val="0034779F"/>
    <w:rsid w:val="003541A0"/>
    <w:rsid w:val="003A4DD5"/>
    <w:rsid w:val="003C1F7D"/>
    <w:rsid w:val="003C53BC"/>
    <w:rsid w:val="003D36F5"/>
    <w:rsid w:val="003F746D"/>
    <w:rsid w:val="00401428"/>
    <w:rsid w:val="00415719"/>
    <w:rsid w:val="00460C9F"/>
    <w:rsid w:val="00476888"/>
    <w:rsid w:val="004E13FD"/>
    <w:rsid w:val="004F66B7"/>
    <w:rsid w:val="00505670"/>
    <w:rsid w:val="0051711A"/>
    <w:rsid w:val="00527229"/>
    <w:rsid w:val="00531E4D"/>
    <w:rsid w:val="00553B6F"/>
    <w:rsid w:val="00574108"/>
    <w:rsid w:val="00577341"/>
    <w:rsid w:val="00594226"/>
    <w:rsid w:val="00610BD1"/>
    <w:rsid w:val="006441E5"/>
    <w:rsid w:val="00655666"/>
    <w:rsid w:val="00674BB8"/>
    <w:rsid w:val="006D55DC"/>
    <w:rsid w:val="006D5862"/>
    <w:rsid w:val="006F4CB9"/>
    <w:rsid w:val="00726A17"/>
    <w:rsid w:val="00733021"/>
    <w:rsid w:val="007359AC"/>
    <w:rsid w:val="0075221A"/>
    <w:rsid w:val="007534AA"/>
    <w:rsid w:val="007550E9"/>
    <w:rsid w:val="00763A2B"/>
    <w:rsid w:val="007961E5"/>
    <w:rsid w:val="007A0BE9"/>
    <w:rsid w:val="007B380B"/>
    <w:rsid w:val="007C2FFD"/>
    <w:rsid w:val="007F3CA3"/>
    <w:rsid w:val="00804CA9"/>
    <w:rsid w:val="008053FF"/>
    <w:rsid w:val="0081302F"/>
    <w:rsid w:val="00855598"/>
    <w:rsid w:val="00890A26"/>
    <w:rsid w:val="008D2A5D"/>
    <w:rsid w:val="008E2C83"/>
    <w:rsid w:val="008F0C74"/>
    <w:rsid w:val="0093135D"/>
    <w:rsid w:val="009314FD"/>
    <w:rsid w:val="009319AB"/>
    <w:rsid w:val="00962961"/>
    <w:rsid w:val="00974EEC"/>
    <w:rsid w:val="00982EDE"/>
    <w:rsid w:val="00994E4C"/>
    <w:rsid w:val="009B4D3B"/>
    <w:rsid w:val="00A42D67"/>
    <w:rsid w:val="00B27319"/>
    <w:rsid w:val="00B27532"/>
    <w:rsid w:val="00B302E5"/>
    <w:rsid w:val="00B3170F"/>
    <w:rsid w:val="00B646E2"/>
    <w:rsid w:val="00B743CF"/>
    <w:rsid w:val="00BA4FC8"/>
    <w:rsid w:val="00BB7CE5"/>
    <w:rsid w:val="00BC5820"/>
    <w:rsid w:val="00C36A10"/>
    <w:rsid w:val="00C4451E"/>
    <w:rsid w:val="00C64CE1"/>
    <w:rsid w:val="00C70A6C"/>
    <w:rsid w:val="00C94A7E"/>
    <w:rsid w:val="00CA3547"/>
    <w:rsid w:val="00CA7A10"/>
    <w:rsid w:val="00CD49F9"/>
    <w:rsid w:val="00CE70C9"/>
    <w:rsid w:val="00D66F18"/>
    <w:rsid w:val="00D77307"/>
    <w:rsid w:val="00DB4F01"/>
    <w:rsid w:val="00E3404D"/>
    <w:rsid w:val="00E77D42"/>
    <w:rsid w:val="00E953FD"/>
    <w:rsid w:val="00EB0413"/>
    <w:rsid w:val="00EB37F5"/>
    <w:rsid w:val="00EF0C0E"/>
    <w:rsid w:val="00EF6C1E"/>
    <w:rsid w:val="00F831F3"/>
    <w:rsid w:val="00F84C6E"/>
    <w:rsid w:val="00FD6859"/>
    <w:rsid w:val="00FE5023"/>
    <w:rsid w:val="00FE682B"/>
    <w:rsid w:val="00FE6AFB"/>
    <w:rsid w:val="00FF47E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16363F8"/>
  <w15:chartTrackingRefBased/>
  <w15:docId w15:val="{CE83FCB1-082C-4573-A337-613CE6010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226"/>
    <w:pPr>
      <w:spacing w:after="200" w:line="276" w:lineRule="auto"/>
    </w:pPr>
    <w:rPr>
      <w:kern w:val="0"/>
      <w14:ligatures w14:val="none"/>
    </w:rPr>
  </w:style>
  <w:style w:type="paragraph" w:styleId="Heading1">
    <w:name w:val="heading 1"/>
    <w:basedOn w:val="Normal"/>
    <w:next w:val="Normal"/>
    <w:link w:val="Heading1Char"/>
    <w:uiPriority w:val="9"/>
    <w:qFormat/>
    <w:rsid w:val="000A143A"/>
    <w:pPr>
      <w:spacing w:after="240" w:line="240" w:lineRule="auto"/>
      <w:ind w:left="720" w:hanging="720"/>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unhideWhenUsed/>
    <w:qFormat/>
    <w:rsid w:val="00962961"/>
    <w:pPr>
      <w:spacing w:after="240" w:line="240" w:lineRule="auto"/>
      <w:ind w:left="720"/>
      <w:outlineLvl w:val="1"/>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26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726A17"/>
    <w:rPr>
      <w:rFonts w:ascii="Courier New" w:eastAsia="Courier New" w:hAnsi="Courier New" w:cs="Courier New"/>
      <w:kern w:val="0"/>
      <w:sz w:val="20"/>
      <w:szCs w:val="20"/>
      <w14:ligatures w14:val="none"/>
    </w:rPr>
  </w:style>
  <w:style w:type="paragraph" w:styleId="ListParagraph">
    <w:name w:val="List Paragraph"/>
    <w:basedOn w:val="Normal"/>
    <w:uiPriority w:val="34"/>
    <w:qFormat/>
    <w:rsid w:val="00D66F18"/>
    <w:pPr>
      <w:ind w:left="720"/>
      <w:contextualSpacing/>
    </w:pPr>
  </w:style>
  <w:style w:type="paragraph" w:styleId="Header">
    <w:name w:val="header"/>
    <w:basedOn w:val="Normal"/>
    <w:link w:val="HeaderChar"/>
    <w:uiPriority w:val="99"/>
    <w:unhideWhenUsed/>
    <w:rsid w:val="00052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097"/>
    <w:rPr>
      <w:kern w:val="0"/>
      <w14:ligatures w14:val="none"/>
    </w:rPr>
  </w:style>
  <w:style w:type="paragraph" w:styleId="Footer">
    <w:name w:val="footer"/>
    <w:basedOn w:val="Normal"/>
    <w:link w:val="FooterChar"/>
    <w:uiPriority w:val="99"/>
    <w:unhideWhenUsed/>
    <w:rsid w:val="00052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097"/>
    <w:rPr>
      <w:kern w:val="0"/>
      <w14:ligatures w14:val="none"/>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B646E2"/>
    <w:pPr>
      <w:spacing w:after="0" w:line="240" w:lineRule="auto"/>
    </w:pPr>
    <w:rPr>
      <w:rFonts w:ascii="Times New Roman" w:hAnsi="Times New Roman" w:cs="Times New Roman"/>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sid w:val="00B646E2"/>
    <w:rPr>
      <w:rFonts w:ascii="Times New Roman" w:hAnsi="Times New Roman" w:cs="Times New Roman"/>
      <w:kern w:val="0"/>
      <w:sz w:val="20"/>
      <w:szCs w:val="20"/>
      <w14:ligatures w14:val="none"/>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unhideWhenUsed/>
    <w:qFormat/>
    <w:rsid w:val="00B646E2"/>
    <w:rPr>
      <w:vertAlign w:val="superscript"/>
    </w:rPr>
  </w:style>
  <w:style w:type="paragraph" w:styleId="BodyTextIndent3">
    <w:name w:val="Body Text Indent 3"/>
    <w:basedOn w:val="Normal"/>
    <w:link w:val="BodyTextIndent3Char"/>
    <w:rsid w:val="0081302F"/>
    <w:pPr>
      <w:spacing w:after="0" w:line="480" w:lineRule="atLeast"/>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81302F"/>
    <w:rPr>
      <w:rFonts w:ascii="Times New Roman" w:eastAsia="Times New Roman" w:hAnsi="Times New Roman" w:cs="Times New Roman"/>
      <w:kern w:val="0"/>
      <w:sz w:val="24"/>
      <w:szCs w:val="20"/>
      <w14:ligatures w14:val="none"/>
    </w:rPr>
  </w:style>
  <w:style w:type="character" w:styleId="Hyperlink">
    <w:name w:val="Hyperlink"/>
    <w:basedOn w:val="DefaultParagraphFont"/>
    <w:uiPriority w:val="99"/>
    <w:unhideWhenUsed/>
    <w:rsid w:val="001724B8"/>
    <w:rPr>
      <w:color w:val="0563C1" w:themeColor="hyperlink"/>
      <w:u w:val="single"/>
    </w:rPr>
  </w:style>
  <w:style w:type="character" w:customStyle="1" w:styleId="Heading1Char">
    <w:name w:val="Heading 1 Char"/>
    <w:basedOn w:val="DefaultParagraphFont"/>
    <w:link w:val="Heading1"/>
    <w:uiPriority w:val="9"/>
    <w:rsid w:val="000A143A"/>
    <w:rPr>
      <w:rFonts w:ascii="Times New Roman" w:hAnsi="Times New Roman" w:cs="Times New Roman"/>
      <w:b/>
      <w:bCs/>
      <w:kern w:val="0"/>
      <w:sz w:val="24"/>
      <w:szCs w:val="24"/>
      <w14:ligatures w14:val="none"/>
    </w:rPr>
  </w:style>
  <w:style w:type="character" w:customStyle="1" w:styleId="Heading2Char">
    <w:name w:val="Heading 2 Char"/>
    <w:basedOn w:val="DefaultParagraphFont"/>
    <w:link w:val="Heading2"/>
    <w:uiPriority w:val="9"/>
    <w:rsid w:val="00962961"/>
    <w:rPr>
      <w:rFonts w:ascii="Times New Roman" w:hAnsi="Times New Roman" w:cs="Times New Roman"/>
      <w:b/>
      <w:bCs/>
      <w:kern w:val="0"/>
      <w:sz w:val="24"/>
      <w:szCs w:val="24"/>
      <w14:ligatures w14:val="none"/>
    </w:rPr>
  </w:style>
  <w:style w:type="paragraph" w:styleId="Revision">
    <w:name w:val="Revision"/>
    <w:hidden/>
    <w:uiPriority w:val="99"/>
    <w:semiHidden/>
    <w:rsid w:val="00553B6F"/>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hyperlink" Target="mailto:rhiannon.plant@ohioAGO.gov" TargetMode="External" /><Relationship Id="rId14" Type="http://schemas.openxmlformats.org/officeDocument/2006/relationships/hyperlink" Target="mailto:jesse.davis@puco.ohio.gov" TargetMode="External" /><Relationship Id="rId15" Type="http://schemas.openxmlformats.org/officeDocument/2006/relationships/hyperlink" Target="mailto:btrombino@uerus.com" TargetMode="External" /><Relationship Id="rId16" Type="http://schemas.openxmlformats.org/officeDocument/2006/relationships/hyperlink" Target="mailto:whitt@whitt-sturtevant.com" TargetMode="External" /><Relationship Id="rId17" Type="http://schemas.openxmlformats.org/officeDocument/2006/relationships/hyperlink" Target="mailto:elmer@whitt-sturtevant.com" TargetMode="External" /><Relationship Id="rId18" Type="http://schemas.openxmlformats.org/officeDocument/2006/relationships/footer" Target="footer4.xml" /><Relationship Id="rId19" Type="http://schemas.openxmlformats.org/officeDocument/2006/relationships/footer" Target="footer5.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ngela.obrien@occ.ohio.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3E4FB-1262-4A52-AD7D-7740FA3A8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2</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2023-11-17T19:32:29Z</dcterms:created>
  <dcterms:modified xsi:type="dcterms:W3CDTF">2023-11-17T19:32:29Z</dcterms:modified>
</cp:coreProperties>
</file>