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9 -->
  <w:body>
    <w:p w:rsidR="002C1F21" w14:paraId="1EF74FDF" w14:textId="77777777">
      <w:pPr>
        <w:pStyle w:val="List"/>
        <w:ind w:left="0" w:firstLine="0"/>
        <w:jc w:val="center"/>
        <w:rPr>
          <w:b/>
          <w:szCs w:val="24"/>
        </w:rPr>
      </w:pPr>
      <w:r>
        <w:rPr>
          <w:b/>
          <w:szCs w:val="24"/>
        </w:rPr>
        <w:t>BEFORE</w:t>
      </w:r>
    </w:p>
    <w:p w:rsidR="002C1F21" w14:paraId="10BFEF89" w14:textId="77777777">
      <w:pPr>
        <w:pStyle w:val="List"/>
        <w:ind w:left="0" w:firstLine="0"/>
        <w:jc w:val="center"/>
        <w:rPr>
          <w:b/>
          <w:szCs w:val="24"/>
        </w:rPr>
      </w:pPr>
      <w:r>
        <w:rPr>
          <w:b/>
          <w:szCs w:val="24"/>
        </w:rPr>
        <w:t>THE PUBLIC UTILITIES COMMISSION OF OHIO</w:t>
      </w:r>
    </w:p>
    <w:p w:rsidR="002C1F21" w14:paraId="2E552639" w14:textId="77777777">
      <w:pPr>
        <w:pStyle w:val="HTMLPreformatted"/>
        <w:rPr>
          <w:rFonts w:ascii="Times New Roman" w:hAnsi="Times New Roman" w:cs="Times New Roman"/>
          <w:sz w:val="24"/>
          <w:szCs w:val="24"/>
        </w:rPr>
      </w:pPr>
    </w:p>
    <w:tbl>
      <w:tblPr>
        <w:tblW w:w="9360" w:type="dxa"/>
        <w:tblLook w:val="01E0"/>
      </w:tblPr>
      <w:tblGrid>
        <w:gridCol w:w="4590"/>
        <w:gridCol w:w="360"/>
        <w:gridCol w:w="4410"/>
      </w:tblGrid>
      <w:tr w14:paraId="12579279" w14:textId="77777777">
        <w:tblPrEx>
          <w:tblW w:w="9360" w:type="dxa"/>
          <w:tblLook w:val="01E0"/>
        </w:tblPrEx>
        <w:trPr>
          <w:trHeight w:val="807"/>
        </w:trPr>
        <w:tc>
          <w:tcPr>
            <w:tcW w:w="4590" w:type="dxa"/>
            <w:shd w:val="clear" w:color="auto" w:fill="auto"/>
          </w:tcPr>
          <w:p w:rsidR="002C1F21" w14:paraId="13A82F2D" w14:textId="77777777">
            <w:pPr>
              <w:pStyle w:val="HTMLPreformatted"/>
              <w:rPr>
                <w:rFonts w:ascii="Times New Roman" w:hAnsi="Times New Roman" w:cs="Times New Roman"/>
                <w:sz w:val="24"/>
                <w:szCs w:val="24"/>
              </w:rPr>
            </w:pPr>
            <w:r>
              <w:rPr>
                <w:rFonts w:ascii="Times New Roman" w:hAnsi="Times New Roman" w:cs="Times New Roman"/>
                <w:sz w:val="24"/>
                <w:szCs w:val="24"/>
              </w:rPr>
              <w:t>In the Matter of the Review of the Power Purchase Agreement Rider of Ohio Power Company for 2018.</w:t>
            </w:r>
          </w:p>
          <w:p w:rsidR="002C1F21" w14:paraId="36269C5A" w14:textId="77777777">
            <w:pPr>
              <w:pStyle w:val="HTMLPreformatted"/>
              <w:rPr>
                <w:rFonts w:ascii="Times New Roman" w:hAnsi="Times New Roman" w:cs="Times New Roman"/>
                <w:sz w:val="24"/>
                <w:szCs w:val="24"/>
              </w:rPr>
            </w:pPr>
          </w:p>
          <w:p w:rsidR="002C1F21" w14:paraId="0248FBB8" w14:textId="77777777">
            <w:pPr>
              <w:pStyle w:val="HTMLPreformatted"/>
              <w:rPr>
                <w:rFonts w:ascii="Times New Roman" w:hAnsi="Times New Roman" w:cs="Times New Roman"/>
                <w:sz w:val="24"/>
                <w:szCs w:val="24"/>
              </w:rPr>
            </w:pPr>
            <w:r>
              <w:rPr>
                <w:rFonts w:ascii="Times New Roman" w:hAnsi="Times New Roman" w:cs="Times New Roman"/>
                <w:sz w:val="24"/>
                <w:szCs w:val="24"/>
              </w:rPr>
              <w:t>In the Matter of the Review of the Power Purchase Agreement Rider of Ohio Power Company for 2019.</w:t>
            </w:r>
          </w:p>
        </w:tc>
        <w:tc>
          <w:tcPr>
            <w:tcW w:w="360" w:type="dxa"/>
            <w:shd w:val="clear" w:color="auto" w:fill="auto"/>
          </w:tcPr>
          <w:p w:rsidR="002C1F21" w14:paraId="44ED7F36" w14:textId="77777777">
            <w:pPr>
              <w:pStyle w:val="HTMLPreformatted"/>
              <w:rPr>
                <w:rFonts w:ascii="Times New Roman" w:hAnsi="Times New Roman" w:cs="Times New Roman"/>
                <w:sz w:val="24"/>
                <w:szCs w:val="24"/>
              </w:rPr>
            </w:pPr>
            <w:r>
              <w:rPr>
                <w:rFonts w:ascii="Times New Roman" w:hAnsi="Times New Roman" w:cs="Times New Roman"/>
                <w:sz w:val="24"/>
                <w:szCs w:val="24"/>
              </w:rPr>
              <w:t>)</w:t>
            </w:r>
          </w:p>
          <w:p w:rsidR="002C1F21" w14:paraId="66360B64" w14:textId="77777777">
            <w:pPr>
              <w:pStyle w:val="HTMLPreformatted"/>
              <w:rPr>
                <w:rFonts w:ascii="Times New Roman" w:hAnsi="Times New Roman" w:cs="Times New Roman"/>
                <w:sz w:val="24"/>
                <w:szCs w:val="24"/>
              </w:rPr>
            </w:pPr>
            <w:r>
              <w:rPr>
                <w:rFonts w:ascii="Times New Roman" w:hAnsi="Times New Roman" w:cs="Times New Roman"/>
                <w:sz w:val="24"/>
                <w:szCs w:val="24"/>
              </w:rPr>
              <w:t>)</w:t>
            </w:r>
          </w:p>
          <w:p w:rsidR="002C1F21" w14:paraId="425FE4D4" w14:textId="77777777">
            <w:pPr>
              <w:pStyle w:val="HTMLPreformatted"/>
              <w:rPr>
                <w:rFonts w:ascii="Times New Roman" w:hAnsi="Times New Roman" w:cs="Times New Roman"/>
                <w:sz w:val="24"/>
                <w:szCs w:val="24"/>
              </w:rPr>
            </w:pPr>
            <w:r>
              <w:rPr>
                <w:rFonts w:ascii="Times New Roman" w:hAnsi="Times New Roman" w:cs="Times New Roman"/>
                <w:sz w:val="24"/>
                <w:szCs w:val="24"/>
              </w:rPr>
              <w:t>)</w:t>
            </w:r>
          </w:p>
          <w:p w:rsidR="002C1F21" w14:paraId="73DA6943" w14:textId="77777777">
            <w:pPr>
              <w:pStyle w:val="HTMLPreformatted"/>
              <w:rPr>
                <w:rFonts w:ascii="Times New Roman" w:hAnsi="Times New Roman" w:cs="Times New Roman"/>
                <w:sz w:val="24"/>
                <w:szCs w:val="24"/>
              </w:rPr>
            </w:pPr>
          </w:p>
          <w:p w:rsidR="002C1F21" w14:paraId="1D051DC9" w14:textId="77777777">
            <w:pPr>
              <w:pStyle w:val="HTMLPreformatted"/>
              <w:rPr>
                <w:rFonts w:ascii="Times New Roman" w:hAnsi="Times New Roman" w:cs="Times New Roman"/>
                <w:sz w:val="24"/>
                <w:szCs w:val="24"/>
              </w:rPr>
            </w:pPr>
            <w:r>
              <w:rPr>
                <w:rFonts w:ascii="Times New Roman" w:hAnsi="Times New Roman" w:cs="Times New Roman"/>
                <w:sz w:val="24"/>
                <w:szCs w:val="24"/>
              </w:rPr>
              <w:t>)</w:t>
            </w:r>
          </w:p>
          <w:p w:rsidR="002C1F21" w14:paraId="685477F7" w14:textId="77777777">
            <w:pPr>
              <w:pStyle w:val="HTMLPreformatted"/>
              <w:rPr>
                <w:rFonts w:ascii="Times New Roman" w:hAnsi="Times New Roman" w:cs="Times New Roman"/>
                <w:sz w:val="24"/>
                <w:szCs w:val="24"/>
              </w:rPr>
            </w:pPr>
            <w:r>
              <w:rPr>
                <w:rFonts w:ascii="Times New Roman" w:hAnsi="Times New Roman" w:cs="Times New Roman"/>
                <w:sz w:val="24"/>
                <w:szCs w:val="24"/>
              </w:rPr>
              <w:t>)</w:t>
            </w:r>
          </w:p>
          <w:p w:rsidR="002C1F21" w14:paraId="0B8B37AB" w14:textId="77777777">
            <w:pPr>
              <w:pStyle w:val="HTMLPreformatted"/>
              <w:rPr>
                <w:rFonts w:ascii="Times New Roman" w:hAnsi="Times New Roman" w:cs="Times New Roman"/>
                <w:sz w:val="24"/>
                <w:szCs w:val="24"/>
              </w:rPr>
            </w:pPr>
            <w:r>
              <w:rPr>
                <w:rFonts w:ascii="Times New Roman" w:hAnsi="Times New Roman" w:cs="Times New Roman"/>
                <w:sz w:val="24"/>
                <w:szCs w:val="24"/>
              </w:rPr>
              <w:t>)</w:t>
            </w:r>
          </w:p>
        </w:tc>
        <w:tc>
          <w:tcPr>
            <w:tcW w:w="4410" w:type="dxa"/>
            <w:shd w:val="clear" w:color="auto" w:fill="auto"/>
          </w:tcPr>
          <w:p w:rsidR="002C1F21" w14:paraId="76E3550A" w14:textId="77777777">
            <w:pPr>
              <w:pStyle w:val="HTMLPreformatted"/>
              <w:rPr>
                <w:rFonts w:ascii="Times New Roman" w:hAnsi="Times New Roman" w:cs="Times New Roman"/>
                <w:sz w:val="24"/>
                <w:szCs w:val="24"/>
              </w:rPr>
            </w:pPr>
          </w:p>
          <w:p w:rsidR="002C1F21" w14:paraId="0A424A23" w14:textId="77777777">
            <w:pPr>
              <w:pStyle w:val="HTMLPreformatted"/>
              <w:rPr>
                <w:rFonts w:ascii="Times New Roman" w:hAnsi="Times New Roman" w:cs="Times New Roman"/>
                <w:sz w:val="24"/>
                <w:szCs w:val="24"/>
              </w:rPr>
            </w:pPr>
            <w:r>
              <w:rPr>
                <w:rFonts w:ascii="Times New Roman" w:hAnsi="Times New Roman" w:cs="Times New Roman"/>
                <w:sz w:val="24"/>
                <w:szCs w:val="24"/>
              </w:rPr>
              <w:t>Case No. 18-1004-EL-RDR</w:t>
            </w:r>
          </w:p>
          <w:p w:rsidR="002C1F21" w14:paraId="2C22CA9A" w14:textId="77777777">
            <w:pPr>
              <w:pStyle w:val="HTMLPreformatted"/>
              <w:rPr>
                <w:rFonts w:ascii="Times New Roman" w:hAnsi="Times New Roman" w:cs="Times New Roman"/>
                <w:sz w:val="24"/>
                <w:szCs w:val="24"/>
              </w:rPr>
            </w:pPr>
          </w:p>
          <w:p w:rsidR="002C1F21" w14:paraId="4DC33E07" w14:textId="77777777">
            <w:pPr>
              <w:pStyle w:val="HTMLPreformatted"/>
              <w:rPr>
                <w:rFonts w:ascii="Times New Roman" w:hAnsi="Times New Roman" w:cs="Times New Roman"/>
                <w:sz w:val="24"/>
                <w:szCs w:val="24"/>
              </w:rPr>
            </w:pPr>
          </w:p>
          <w:p w:rsidR="002C1F21" w14:paraId="562F6257" w14:textId="77777777">
            <w:pPr>
              <w:pStyle w:val="HTMLPreformatted"/>
              <w:rPr>
                <w:rFonts w:ascii="Times New Roman" w:hAnsi="Times New Roman" w:cs="Times New Roman"/>
                <w:sz w:val="24"/>
                <w:szCs w:val="24"/>
              </w:rPr>
            </w:pPr>
          </w:p>
          <w:p w:rsidR="002C1F21" w14:paraId="72DC8E9A" w14:textId="77777777">
            <w:pPr>
              <w:pStyle w:val="HTMLPreformatted"/>
              <w:rPr>
                <w:rFonts w:ascii="Times New Roman" w:hAnsi="Times New Roman" w:cs="Times New Roman"/>
                <w:sz w:val="24"/>
                <w:szCs w:val="24"/>
              </w:rPr>
            </w:pPr>
            <w:r>
              <w:rPr>
                <w:rFonts w:ascii="Times New Roman" w:hAnsi="Times New Roman" w:cs="Times New Roman"/>
                <w:sz w:val="24"/>
                <w:szCs w:val="24"/>
              </w:rPr>
              <w:t>Case No. 18-1759-EL-RDR</w:t>
            </w:r>
          </w:p>
        </w:tc>
      </w:tr>
    </w:tbl>
    <w:p w:rsidR="002C1F21" w14:paraId="449AEE6B" w14:textId="77777777">
      <w:pPr>
        <w:pStyle w:val="HTMLPreformatted"/>
        <w:rPr>
          <w:rFonts w:ascii="Times New Roman" w:hAnsi="Times New Roman" w:cs="Times New Roman"/>
          <w:sz w:val="24"/>
          <w:szCs w:val="24"/>
        </w:rPr>
      </w:pPr>
    </w:p>
    <w:tbl>
      <w:tblPr>
        <w:tblW w:w="9450" w:type="dxa"/>
        <w:tblLook w:val="01E0"/>
      </w:tblPr>
      <w:tblGrid>
        <w:gridCol w:w="4500"/>
        <w:gridCol w:w="360"/>
        <w:gridCol w:w="4590"/>
      </w:tblGrid>
      <w:tr w14:paraId="672178CC" w14:textId="77777777">
        <w:tblPrEx>
          <w:tblW w:w="9450" w:type="dxa"/>
          <w:tblLook w:val="01E0"/>
        </w:tblPrEx>
        <w:trPr>
          <w:trHeight w:val="807"/>
        </w:trPr>
        <w:tc>
          <w:tcPr>
            <w:tcW w:w="4500" w:type="dxa"/>
            <w:shd w:val="clear" w:color="auto" w:fill="auto"/>
          </w:tcPr>
          <w:p w:rsidR="002C1F21" w14:paraId="06B95D22" w14:textId="77777777">
            <w:pPr>
              <w:pStyle w:val="HTMLPreformatted"/>
              <w:rPr>
                <w:rFonts w:ascii="Times New Roman" w:hAnsi="Times New Roman" w:cs="Times New Roman"/>
                <w:sz w:val="24"/>
                <w:szCs w:val="24"/>
              </w:rPr>
            </w:pPr>
            <w:r>
              <w:rPr>
                <w:rFonts w:ascii="Times New Roman" w:hAnsi="Times New Roman" w:cs="Times New Roman"/>
                <w:sz w:val="24"/>
                <w:szCs w:val="24"/>
              </w:rPr>
              <w:t>In the Matter of the Review of the Reconciliation Rider of Duke Energy Ohio, Inc.</w:t>
            </w:r>
          </w:p>
        </w:tc>
        <w:tc>
          <w:tcPr>
            <w:tcW w:w="360" w:type="dxa"/>
            <w:shd w:val="clear" w:color="auto" w:fill="auto"/>
          </w:tcPr>
          <w:p w:rsidR="002C1F21" w14:paraId="1036A829" w14:textId="77777777">
            <w:pPr>
              <w:pStyle w:val="HTMLPreformatted"/>
              <w:rPr>
                <w:rFonts w:ascii="Times New Roman" w:hAnsi="Times New Roman" w:cs="Times New Roman"/>
                <w:sz w:val="24"/>
                <w:szCs w:val="24"/>
              </w:rPr>
            </w:pPr>
            <w:r>
              <w:rPr>
                <w:rFonts w:ascii="Times New Roman" w:hAnsi="Times New Roman" w:cs="Times New Roman"/>
                <w:sz w:val="24"/>
                <w:szCs w:val="24"/>
              </w:rPr>
              <w:t xml:space="preserve"> )</w:t>
            </w:r>
          </w:p>
          <w:p w:rsidR="002C1F21" w14:paraId="1BDDF953" w14:textId="77777777">
            <w:pPr>
              <w:pStyle w:val="HTMLPreformatted"/>
              <w:rPr>
                <w:rFonts w:ascii="Times New Roman" w:hAnsi="Times New Roman" w:cs="Times New Roman"/>
                <w:sz w:val="24"/>
                <w:szCs w:val="24"/>
              </w:rPr>
            </w:pPr>
            <w:r>
              <w:rPr>
                <w:rFonts w:ascii="Times New Roman" w:hAnsi="Times New Roman" w:cs="Times New Roman"/>
                <w:sz w:val="24"/>
                <w:szCs w:val="24"/>
              </w:rPr>
              <w:t xml:space="preserve"> )</w:t>
            </w:r>
          </w:p>
          <w:p w:rsidR="002C1F21" w14:paraId="2DB2A31F" w14:textId="77777777">
            <w:pPr>
              <w:pStyle w:val="HTMLPreformatted"/>
              <w:rPr>
                <w:rFonts w:ascii="Times New Roman" w:hAnsi="Times New Roman" w:cs="Times New Roman"/>
                <w:sz w:val="24"/>
                <w:szCs w:val="24"/>
              </w:rPr>
            </w:pPr>
            <w:r>
              <w:rPr>
                <w:rFonts w:ascii="Times New Roman" w:hAnsi="Times New Roman" w:cs="Times New Roman"/>
                <w:sz w:val="24"/>
                <w:szCs w:val="24"/>
              </w:rPr>
              <w:t xml:space="preserve"> )</w:t>
            </w:r>
          </w:p>
        </w:tc>
        <w:tc>
          <w:tcPr>
            <w:tcW w:w="4590" w:type="dxa"/>
            <w:shd w:val="clear" w:color="auto" w:fill="auto"/>
          </w:tcPr>
          <w:p w:rsidR="002C1F21" w14:paraId="3928980E" w14:textId="77777777">
            <w:pPr>
              <w:pStyle w:val="HTMLPreformatted"/>
              <w:rPr>
                <w:rFonts w:ascii="Times New Roman" w:hAnsi="Times New Roman" w:cs="Times New Roman"/>
                <w:sz w:val="24"/>
                <w:szCs w:val="24"/>
              </w:rPr>
            </w:pPr>
          </w:p>
          <w:p w:rsidR="002C1F21" w14:paraId="655E28FA" w14:textId="77777777">
            <w:pPr>
              <w:pStyle w:val="HTMLPreformatted"/>
              <w:rPr>
                <w:rFonts w:ascii="Times New Roman" w:hAnsi="Times New Roman" w:cs="Times New Roman"/>
                <w:sz w:val="24"/>
                <w:szCs w:val="24"/>
              </w:rPr>
            </w:pPr>
            <w:r>
              <w:rPr>
                <w:rFonts w:ascii="Times New Roman" w:hAnsi="Times New Roman" w:cs="Times New Roman"/>
                <w:sz w:val="24"/>
                <w:szCs w:val="24"/>
              </w:rPr>
              <w:t xml:space="preserve"> Case No. 20-167-EL-RDR</w:t>
            </w:r>
          </w:p>
          <w:p w:rsidR="002C1F21" w14:paraId="6856DB21" w14:textId="77777777">
            <w:pPr>
              <w:pStyle w:val="HTMLPreformatted"/>
              <w:rPr>
                <w:rFonts w:ascii="Times New Roman" w:hAnsi="Times New Roman" w:cs="Times New Roman"/>
                <w:sz w:val="24"/>
                <w:szCs w:val="24"/>
              </w:rPr>
            </w:pPr>
          </w:p>
        </w:tc>
      </w:tr>
    </w:tbl>
    <w:p w:rsidR="002C1F21" w14:paraId="0A2414F6" w14:textId="77777777">
      <w:pPr>
        <w:pBdr>
          <w:bottom w:val="single" w:sz="12" w:space="1" w:color="auto"/>
        </w:pBdr>
        <w:rPr>
          <w:szCs w:val="24"/>
        </w:rPr>
      </w:pPr>
    </w:p>
    <w:p w:rsidR="002C1F21" w14:paraId="2544D598" w14:textId="77777777">
      <w:pPr>
        <w:rPr>
          <w:b/>
          <w:bCs w:val="0"/>
          <w:szCs w:val="24"/>
        </w:rPr>
      </w:pPr>
    </w:p>
    <w:p w:rsidR="00760EF7" w14:paraId="2468D070" w14:textId="10393214">
      <w:pPr>
        <w:jc w:val="center"/>
        <w:rPr>
          <w:b/>
          <w:bCs w:val="0"/>
          <w:szCs w:val="24"/>
        </w:rPr>
      </w:pPr>
      <w:r>
        <w:rPr>
          <w:b/>
          <w:bCs w:val="0"/>
          <w:szCs w:val="24"/>
        </w:rPr>
        <w:t>REPLY MEMORANDUM IN SUPPORT OF</w:t>
      </w:r>
    </w:p>
    <w:p w:rsidR="002C1F21" w14:paraId="5CC2F2D9" w14:textId="79C562B6">
      <w:pPr>
        <w:jc w:val="center"/>
        <w:rPr>
          <w:b/>
          <w:bCs w:val="0"/>
          <w:szCs w:val="24"/>
        </w:rPr>
      </w:pPr>
      <w:r>
        <w:rPr>
          <w:b/>
          <w:bCs w:val="0"/>
          <w:szCs w:val="24"/>
        </w:rPr>
        <w:t xml:space="preserve">JOINT MOTION FOR A CONSOLIDATED HEARING </w:t>
      </w:r>
    </w:p>
    <w:p w:rsidR="002C1F21" w14:paraId="3DEB4560" w14:textId="3387350E">
      <w:pPr>
        <w:jc w:val="center"/>
        <w:rPr>
          <w:b/>
          <w:bCs w:val="0"/>
          <w:szCs w:val="24"/>
        </w:rPr>
      </w:pPr>
      <w:r>
        <w:rPr>
          <w:b/>
          <w:bCs w:val="0"/>
          <w:szCs w:val="24"/>
        </w:rPr>
        <w:t xml:space="preserve">TO DETERMINE WHETHER AEP’S AND DUKE’S </w:t>
      </w:r>
    </w:p>
    <w:p w:rsidR="002C1F21" w14:paraId="05D145DA" w14:textId="77777777">
      <w:pPr>
        <w:jc w:val="center"/>
        <w:rPr>
          <w:b/>
          <w:bCs w:val="0"/>
          <w:szCs w:val="24"/>
        </w:rPr>
      </w:pPr>
      <w:r>
        <w:rPr>
          <w:b/>
          <w:bCs w:val="0"/>
          <w:szCs w:val="24"/>
        </w:rPr>
        <w:t>OVEC CHARGES TO CUSTOMERS WERE PRUDENT</w:t>
      </w:r>
    </w:p>
    <w:p w:rsidR="002C1F21" w14:paraId="487164BB" w14:textId="77777777">
      <w:pPr>
        <w:jc w:val="center"/>
        <w:rPr>
          <w:b/>
          <w:bCs w:val="0"/>
          <w:szCs w:val="24"/>
        </w:rPr>
      </w:pPr>
      <w:r>
        <w:rPr>
          <w:b/>
          <w:bCs w:val="0"/>
          <w:szCs w:val="24"/>
        </w:rPr>
        <w:t>BY</w:t>
      </w:r>
    </w:p>
    <w:p w:rsidR="00816C60" w14:paraId="5CFE343E" w14:textId="77777777">
      <w:pPr>
        <w:pBdr>
          <w:bottom w:val="single" w:sz="12" w:space="1" w:color="auto"/>
        </w:pBdr>
        <w:jc w:val="center"/>
        <w:rPr>
          <w:b/>
          <w:bCs w:val="0"/>
          <w:szCs w:val="24"/>
        </w:rPr>
      </w:pPr>
      <w:r>
        <w:rPr>
          <w:b/>
          <w:bCs w:val="0"/>
          <w:szCs w:val="24"/>
        </w:rPr>
        <w:t>OFFICE OF THE OHIO CONSUMERS’ COUNSEL</w:t>
      </w:r>
    </w:p>
    <w:p w:rsidR="002C1F21" w14:paraId="41323E0A" w14:textId="73626D11">
      <w:pPr>
        <w:pBdr>
          <w:bottom w:val="single" w:sz="12" w:space="1" w:color="auto"/>
        </w:pBdr>
        <w:jc w:val="center"/>
        <w:rPr>
          <w:b/>
          <w:bCs w:val="0"/>
          <w:szCs w:val="24"/>
        </w:rPr>
      </w:pPr>
      <w:r>
        <w:rPr>
          <w:b/>
          <w:bCs w:val="0"/>
          <w:szCs w:val="24"/>
        </w:rPr>
        <w:t xml:space="preserve">AND </w:t>
      </w:r>
    </w:p>
    <w:p w:rsidR="002C1F21" w14:paraId="3F82D2E2" w14:textId="77777777">
      <w:pPr>
        <w:pBdr>
          <w:bottom w:val="single" w:sz="12" w:space="1" w:color="auto"/>
        </w:pBdr>
        <w:jc w:val="center"/>
        <w:rPr>
          <w:b/>
          <w:bCs w:val="0"/>
          <w:szCs w:val="24"/>
        </w:rPr>
      </w:pPr>
      <w:r>
        <w:rPr>
          <w:b/>
          <w:bCs w:val="0"/>
          <w:szCs w:val="24"/>
        </w:rPr>
        <w:t>OHIO MANUFACTURERS’ ASSOCIATION ENERGY GROUP</w:t>
      </w:r>
    </w:p>
    <w:p w:rsidR="002C1F21" w14:paraId="18E10C5C" w14:textId="77777777">
      <w:pPr>
        <w:pBdr>
          <w:bottom w:val="single" w:sz="12" w:space="1" w:color="auto"/>
        </w:pBdr>
        <w:jc w:val="center"/>
        <w:rPr>
          <w:b/>
          <w:bCs w:val="0"/>
          <w:szCs w:val="24"/>
        </w:rPr>
      </w:pPr>
    </w:p>
    <w:p w:rsidR="002C1F21" w14:paraId="0CA3DA40" w14:textId="77777777">
      <w:pPr>
        <w:ind w:firstLine="720"/>
        <w:rPr>
          <w:szCs w:val="24"/>
        </w:rPr>
      </w:pPr>
    </w:p>
    <w:p w:rsidR="00760EF7" w:rsidRPr="00DB1D28" w:rsidP="00DB1D28" w14:paraId="4E2EBB67" w14:textId="13FEC128">
      <w:pPr>
        <w:pStyle w:val="BodyTextIndent3"/>
        <w:widowControl w:val="0"/>
        <w:spacing w:after="0" w:line="480" w:lineRule="auto"/>
        <w:ind w:left="0" w:firstLine="720"/>
        <w:jc w:val="both"/>
        <w:rPr>
          <w:sz w:val="24"/>
          <w:szCs w:val="24"/>
        </w:rPr>
      </w:pPr>
      <w:r w:rsidRPr="00DB1D28">
        <w:rPr>
          <w:sz w:val="24"/>
          <w:szCs w:val="24"/>
        </w:rPr>
        <w:t>On July 8, 2021, the Office of the Ohio Consumers’ Counsel (“OCC”) and the Ohio Manufacturers’ Association Energy Group (“OMAEG”) filed a Joint Motion requesting that the Public Utilities Commission of Ohio (“PUCO”) consolidate the above-referenced cases for purposes of hearing.</w:t>
      </w:r>
      <w:r w:rsidR="00816C60">
        <w:rPr>
          <w:sz w:val="24"/>
          <w:szCs w:val="24"/>
        </w:rPr>
        <w:t xml:space="preserve"> </w:t>
      </w:r>
      <w:r w:rsidRPr="00DB1D28">
        <w:rPr>
          <w:sz w:val="24"/>
          <w:szCs w:val="24"/>
        </w:rPr>
        <w:t xml:space="preserve">On July 23, 2021, the PUCO </w:t>
      </w:r>
      <w:r w:rsidRPr="00DB1D28">
        <w:rPr>
          <w:sz w:val="24"/>
          <w:szCs w:val="24"/>
        </w:rPr>
        <w:t xml:space="preserve">Staff, Ohio Power Company (“AEP”) and Duke Energy Ohio, Inc. (“Duke”) </w:t>
      </w:r>
      <w:r w:rsidRPr="00DB1D28">
        <w:rPr>
          <w:sz w:val="24"/>
          <w:szCs w:val="24"/>
        </w:rPr>
        <w:t>filed memoranda contra</w:t>
      </w:r>
      <w:r w:rsidRPr="00DB1D28">
        <w:rPr>
          <w:sz w:val="24"/>
          <w:szCs w:val="24"/>
        </w:rPr>
        <w:t xml:space="preserve"> oppos</w:t>
      </w:r>
      <w:r w:rsidRPr="00DB1D28">
        <w:rPr>
          <w:sz w:val="24"/>
          <w:szCs w:val="24"/>
        </w:rPr>
        <w:t>ing</w:t>
      </w:r>
      <w:r w:rsidRPr="00DB1D28">
        <w:rPr>
          <w:sz w:val="24"/>
          <w:szCs w:val="24"/>
        </w:rPr>
        <w:t xml:space="preserve"> the </w:t>
      </w:r>
      <w:r w:rsidRPr="00DB1D28" w:rsidR="00D562E8">
        <w:rPr>
          <w:sz w:val="24"/>
          <w:szCs w:val="24"/>
        </w:rPr>
        <w:t>Joint M</w:t>
      </w:r>
      <w:r w:rsidRPr="00DB1D28">
        <w:rPr>
          <w:sz w:val="24"/>
          <w:szCs w:val="24"/>
        </w:rPr>
        <w:t xml:space="preserve">otion to consolidate </w:t>
      </w:r>
      <w:r w:rsidR="00844E9B">
        <w:rPr>
          <w:sz w:val="24"/>
          <w:szCs w:val="24"/>
        </w:rPr>
        <w:t xml:space="preserve">and/or the hearing in </w:t>
      </w:r>
      <w:r w:rsidRPr="00DB1D28">
        <w:rPr>
          <w:sz w:val="24"/>
          <w:szCs w:val="24"/>
        </w:rPr>
        <w:t>these cases</w:t>
      </w:r>
      <w:r w:rsidRPr="00DB1D28" w:rsidR="000F0118">
        <w:rPr>
          <w:sz w:val="24"/>
          <w:szCs w:val="24"/>
        </w:rPr>
        <w:t xml:space="preserve">. </w:t>
      </w:r>
      <w:r w:rsidRPr="00DB1D28" w:rsidR="00427042">
        <w:rPr>
          <w:sz w:val="24"/>
          <w:szCs w:val="24"/>
        </w:rPr>
        <w:t>In response to</w:t>
      </w:r>
      <w:r w:rsidRPr="00DB1D28" w:rsidR="000F0118">
        <w:rPr>
          <w:sz w:val="24"/>
          <w:szCs w:val="24"/>
        </w:rPr>
        <w:t xml:space="preserve"> the</w:t>
      </w:r>
      <w:r w:rsidRPr="00DB1D28" w:rsidR="00427042">
        <w:rPr>
          <w:sz w:val="24"/>
          <w:szCs w:val="24"/>
        </w:rPr>
        <w:t>se</w:t>
      </w:r>
      <w:r w:rsidRPr="00DB1D28" w:rsidR="000F0118">
        <w:rPr>
          <w:sz w:val="24"/>
          <w:szCs w:val="24"/>
        </w:rPr>
        <w:t xml:space="preserve"> objections, OCC and OMAEG hereby withdraw their request to consolidate the cases</w:t>
      </w:r>
      <w:r w:rsidR="00844E9B">
        <w:rPr>
          <w:sz w:val="24"/>
          <w:szCs w:val="24"/>
        </w:rPr>
        <w:t xml:space="preserve"> for hearing</w:t>
      </w:r>
      <w:r w:rsidRPr="00DB1D28" w:rsidR="000F0118">
        <w:rPr>
          <w:sz w:val="24"/>
          <w:szCs w:val="24"/>
        </w:rPr>
        <w:t>.</w:t>
      </w:r>
    </w:p>
    <w:p w:rsidR="00DB1D28" w:rsidP="00DB1D28" w14:paraId="60CCF39F" w14:textId="6507F172">
      <w:pPr>
        <w:shd w:val="clear" w:color="auto" w:fill="FFFFFF"/>
        <w:spacing w:line="480" w:lineRule="auto"/>
        <w:ind w:firstLine="720"/>
        <w:jc w:val="both"/>
        <w:rPr>
          <w:szCs w:val="24"/>
        </w:rPr>
      </w:pPr>
      <w:r>
        <w:rPr>
          <w:szCs w:val="24"/>
        </w:rPr>
        <w:t xml:space="preserve">However, </w:t>
      </w:r>
      <w:r w:rsidRPr="00DB1D28" w:rsidR="000F0118">
        <w:rPr>
          <w:szCs w:val="24"/>
        </w:rPr>
        <w:t xml:space="preserve">OCC and OMAEG also </w:t>
      </w:r>
      <w:r>
        <w:rPr>
          <w:szCs w:val="24"/>
        </w:rPr>
        <w:t xml:space="preserve">continue to seek </w:t>
      </w:r>
      <w:r w:rsidRPr="00DB1D28" w:rsidR="000F0118">
        <w:rPr>
          <w:szCs w:val="24"/>
        </w:rPr>
        <w:t>an evidentiary hearing</w:t>
      </w:r>
      <w:r>
        <w:rPr>
          <w:szCs w:val="24"/>
        </w:rPr>
        <w:t xml:space="preserve"> in these cases</w:t>
      </w:r>
      <w:r w:rsidRPr="00DB1D28" w:rsidR="000F0118">
        <w:rPr>
          <w:szCs w:val="24"/>
        </w:rPr>
        <w:t>.</w:t>
      </w:r>
      <w:r w:rsidR="00816C60">
        <w:rPr>
          <w:szCs w:val="24"/>
        </w:rPr>
        <w:t xml:space="preserve"> </w:t>
      </w:r>
      <w:r w:rsidRPr="00DB1D28" w:rsidR="003F5C27">
        <w:rPr>
          <w:szCs w:val="24"/>
        </w:rPr>
        <w:t xml:space="preserve">Staff’s memorandum contra appears to </w:t>
      </w:r>
      <w:r>
        <w:rPr>
          <w:szCs w:val="24"/>
        </w:rPr>
        <w:t xml:space="preserve">support an evidentiary hearing </w:t>
      </w:r>
      <w:r w:rsidRPr="00DB1D28" w:rsidR="003F5C27">
        <w:rPr>
          <w:szCs w:val="24"/>
        </w:rPr>
        <w:t xml:space="preserve">(“Testimony can be </w:t>
      </w:r>
      <w:r w:rsidRPr="00DB1D28" w:rsidR="00816C60">
        <w:rPr>
          <w:szCs w:val="24"/>
        </w:rPr>
        <w:t>presented,</w:t>
      </w:r>
      <w:r w:rsidRPr="00DB1D28" w:rsidR="003F5C27">
        <w:rPr>
          <w:szCs w:val="24"/>
        </w:rPr>
        <w:t xml:space="preserve"> and cross-examination conducted without consolidating these cases.”).</w:t>
      </w:r>
      <w:r>
        <w:rPr>
          <w:rStyle w:val="FootnoteReference"/>
          <w:szCs w:val="24"/>
        </w:rPr>
        <w:footnoteReference w:id="3"/>
      </w:r>
      <w:r w:rsidRPr="00DB1D28" w:rsidR="003F5C27">
        <w:rPr>
          <w:szCs w:val="24"/>
        </w:rPr>
        <w:t xml:space="preserve"> </w:t>
      </w:r>
      <w:r>
        <w:rPr>
          <w:szCs w:val="24"/>
        </w:rPr>
        <w:t>Duke also appears to support a hearing.</w:t>
      </w:r>
      <w:r w:rsidRPr="00DB1D28" w:rsidR="003F5C27">
        <w:rPr>
          <w:szCs w:val="24"/>
        </w:rPr>
        <w:t xml:space="preserve"> </w:t>
      </w:r>
      <w:r w:rsidRPr="00DB1D28" w:rsidR="00CE0EFC">
        <w:rPr>
          <w:szCs w:val="24"/>
        </w:rPr>
        <w:t>Only AEP</w:t>
      </w:r>
      <w:r w:rsidRPr="00DB1D28" w:rsidR="00427042">
        <w:rPr>
          <w:szCs w:val="24"/>
        </w:rPr>
        <w:t xml:space="preserve"> appear</w:t>
      </w:r>
      <w:r w:rsidRPr="00DB1D28" w:rsidR="00CE0EFC">
        <w:rPr>
          <w:szCs w:val="24"/>
        </w:rPr>
        <w:t>s</w:t>
      </w:r>
      <w:r w:rsidRPr="00DB1D28" w:rsidR="00427042">
        <w:rPr>
          <w:szCs w:val="24"/>
        </w:rPr>
        <w:t xml:space="preserve"> to oppose this request</w:t>
      </w:r>
      <w:r w:rsidRPr="00DB1D28" w:rsidR="00CE0EFC">
        <w:rPr>
          <w:szCs w:val="24"/>
        </w:rPr>
        <w:t xml:space="preserve">, but it provides no </w:t>
      </w:r>
      <w:r w:rsidRPr="00DB1D28" w:rsidR="0060636D">
        <w:rPr>
          <w:szCs w:val="24"/>
        </w:rPr>
        <w:t xml:space="preserve">substantive </w:t>
      </w:r>
      <w:r w:rsidRPr="00DB1D28" w:rsidR="00CE0EFC">
        <w:rPr>
          <w:szCs w:val="24"/>
        </w:rPr>
        <w:t>reason</w:t>
      </w:r>
      <w:r w:rsidRPr="00DB1D28" w:rsidR="0060636D">
        <w:rPr>
          <w:szCs w:val="24"/>
        </w:rPr>
        <w:t>s</w:t>
      </w:r>
      <w:r w:rsidRPr="00DB1D28" w:rsidR="00CE0EFC">
        <w:rPr>
          <w:szCs w:val="24"/>
        </w:rPr>
        <w:t xml:space="preserve"> for not holding an evidentiary hearing</w:t>
      </w:r>
      <w:r w:rsidRPr="00DB1D28" w:rsidR="00427042">
        <w:rPr>
          <w:szCs w:val="24"/>
        </w:rPr>
        <w:t xml:space="preserve">. </w:t>
      </w:r>
    </w:p>
    <w:p w:rsidR="0008240B" w:rsidP="00DB1D28" w14:paraId="1CA00585" w14:textId="5DCDED37">
      <w:pPr>
        <w:shd w:val="clear" w:color="auto" w:fill="FFFFFF"/>
        <w:spacing w:line="480" w:lineRule="auto"/>
        <w:ind w:firstLine="720"/>
        <w:jc w:val="both"/>
        <w:rPr>
          <w:szCs w:val="24"/>
        </w:rPr>
      </w:pPr>
      <w:r w:rsidRPr="00DB1D28">
        <w:rPr>
          <w:szCs w:val="24"/>
        </w:rPr>
        <w:t>Instead, AEP downplays the impact of the Ohio Valley Electric Corporation (“OVEC”) subsidies on customers by characterizing</w:t>
      </w:r>
      <w:r w:rsidRPr="00EE7176">
        <w:rPr>
          <w:szCs w:val="24"/>
        </w:rPr>
        <w:t xml:space="preserve"> </w:t>
      </w:r>
      <w:r w:rsidRPr="00EE7176" w:rsidR="003F5C27">
        <w:rPr>
          <w:szCs w:val="24"/>
        </w:rPr>
        <w:t>the proceeding as merely a</w:t>
      </w:r>
      <w:r w:rsidRPr="00EE7176">
        <w:rPr>
          <w:szCs w:val="24"/>
        </w:rPr>
        <w:t xml:space="preserve"> </w:t>
      </w:r>
      <w:r w:rsidRPr="00721A4F">
        <w:rPr>
          <w:szCs w:val="24"/>
        </w:rPr>
        <w:t>“straightforward annual prudency review</w:t>
      </w:r>
      <w:r w:rsidRPr="00DB1D28" w:rsidR="003F5C27">
        <w:rPr>
          <w:szCs w:val="24"/>
        </w:rPr>
        <w:t>” and asks the PUCO to avoid “litigious and inefficient procedure</w:t>
      </w:r>
      <w:r w:rsidRPr="00DB1D28" w:rsidR="00C0397F">
        <w:rPr>
          <w:szCs w:val="24"/>
        </w:rPr>
        <w:t>”</w:t>
      </w:r>
      <w:r w:rsidRPr="00DB1D28" w:rsidR="003F5C27">
        <w:rPr>
          <w:szCs w:val="24"/>
        </w:rPr>
        <w:t xml:space="preserve"> by denying OCC and OMAEG’s Joint Motion</w:t>
      </w:r>
      <w:r w:rsidRPr="00DB1D28" w:rsidR="00C0397F">
        <w:rPr>
          <w:szCs w:val="24"/>
        </w:rPr>
        <w:t xml:space="preserve"> for a hearing</w:t>
      </w:r>
      <w:r w:rsidRPr="00DB1D28" w:rsidR="003F5C27">
        <w:rPr>
          <w:szCs w:val="24"/>
        </w:rPr>
        <w:t>.</w:t>
      </w:r>
      <w:r>
        <w:rPr>
          <w:rStyle w:val="FootnoteReference"/>
          <w:szCs w:val="24"/>
        </w:rPr>
        <w:footnoteReference w:id="4"/>
      </w:r>
      <w:r w:rsidR="00816C60">
        <w:rPr>
          <w:szCs w:val="24"/>
        </w:rPr>
        <w:t xml:space="preserve"> </w:t>
      </w:r>
      <w:r w:rsidRPr="00DB1D28" w:rsidR="003F5C27">
        <w:rPr>
          <w:szCs w:val="24"/>
        </w:rPr>
        <w:t xml:space="preserve">As explained in the Joint Motion, </w:t>
      </w:r>
      <w:r w:rsidRPr="00DB1D28" w:rsidR="00C0397F">
        <w:rPr>
          <w:szCs w:val="24"/>
        </w:rPr>
        <w:t xml:space="preserve">customers have already been charged millions of dollars to prop up the </w:t>
      </w:r>
      <w:r>
        <w:rPr>
          <w:szCs w:val="24"/>
        </w:rPr>
        <w:t xml:space="preserve">dirty </w:t>
      </w:r>
      <w:r w:rsidRPr="00DB1D28" w:rsidR="00C0397F">
        <w:rPr>
          <w:szCs w:val="24"/>
        </w:rPr>
        <w:t xml:space="preserve">OVEC coal plants </w:t>
      </w:r>
      <w:r>
        <w:rPr>
          <w:szCs w:val="24"/>
        </w:rPr>
        <w:t xml:space="preserve">(of the two plants one is in Indiana) </w:t>
      </w:r>
      <w:r w:rsidRPr="00DB1D28" w:rsidR="00C0397F">
        <w:rPr>
          <w:szCs w:val="24"/>
        </w:rPr>
        <w:t>and are expected to pay an additional $700 million by 2030.</w:t>
      </w:r>
      <w:r>
        <w:rPr>
          <w:rStyle w:val="FootnoteReference"/>
          <w:szCs w:val="24"/>
        </w:rPr>
        <w:footnoteReference w:id="5"/>
      </w:r>
      <w:r w:rsidR="00816C60">
        <w:rPr>
          <w:szCs w:val="24"/>
        </w:rPr>
        <w:t xml:space="preserve"> </w:t>
      </w:r>
    </w:p>
    <w:p w:rsidR="00D30A99" w:rsidP="00DB1D28" w14:paraId="47636F07" w14:textId="59E11FE2">
      <w:pPr>
        <w:shd w:val="clear" w:color="auto" w:fill="FFFFFF"/>
        <w:spacing w:line="480" w:lineRule="auto"/>
        <w:ind w:firstLine="720"/>
        <w:jc w:val="both"/>
        <w:rPr>
          <w:szCs w:val="24"/>
        </w:rPr>
      </w:pPr>
      <w:r w:rsidRPr="00DB1D28">
        <w:rPr>
          <w:szCs w:val="24"/>
        </w:rPr>
        <w:t xml:space="preserve">Here, </w:t>
      </w:r>
      <w:r w:rsidRPr="00DB1D28" w:rsidR="00490E85">
        <w:rPr>
          <w:szCs w:val="24"/>
        </w:rPr>
        <w:t xml:space="preserve">evidentiary </w:t>
      </w:r>
      <w:r w:rsidRPr="00DB1D28">
        <w:rPr>
          <w:szCs w:val="24"/>
        </w:rPr>
        <w:t>hearing</w:t>
      </w:r>
      <w:r w:rsidR="0008240B">
        <w:rPr>
          <w:szCs w:val="24"/>
        </w:rPr>
        <w:t>s</w:t>
      </w:r>
      <w:r w:rsidRPr="00DB1D28">
        <w:rPr>
          <w:szCs w:val="24"/>
        </w:rPr>
        <w:t xml:space="preserve"> will give “teeth” to the PUCO’s review of the OVEC subsidies </w:t>
      </w:r>
      <w:r w:rsidR="0008240B">
        <w:rPr>
          <w:szCs w:val="24"/>
        </w:rPr>
        <w:t>being charged to AEP and Duke consumers.</w:t>
      </w:r>
      <w:r w:rsidR="00816C60">
        <w:rPr>
          <w:szCs w:val="24"/>
        </w:rPr>
        <w:t xml:space="preserve"> </w:t>
      </w:r>
      <w:r w:rsidR="0008240B">
        <w:rPr>
          <w:szCs w:val="24"/>
        </w:rPr>
        <w:t>The hearings will</w:t>
      </w:r>
      <w:r w:rsidRPr="00DB1D28">
        <w:rPr>
          <w:szCs w:val="24"/>
        </w:rPr>
        <w:t xml:space="preserve"> ensure that </w:t>
      </w:r>
      <w:r w:rsidRPr="00DB1D28" w:rsidR="00490E85">
        <w:rPr>
          <w:szCs w:val="24"/>
        </w:rPr>
        <w:t xml:space="preserve">the review </w:t>
      </w:r>
      <w:r w:rsidRPr="00DB1D28">
        <w:rPr>
          <w:szCs w:val="24"/>
        </w:rPr>
        <w:t>do</w:t>
      </w:r>
      <w:r w:rsidRPr="00DB1D28" w:rsidR="00490E85">
        <w:rPr>
          <w:szCs w:val="24"/>
        </w:rPr>
        <w:t>es</w:t>
      </w:r>
      <w:r w:rsidRPr="00DB1D28">
        <w:rPr>
          <w:szCs w:val="24"/>
        </w:rPr>
        <w:t xml:space="preserve"> not become </w:t>
      </w:r>
      <w:r w:rsidRPr="00DB1D28" w:rsidR="0060636D">
        <w:rPr>
          <w:szCs w:val="24"/>
        </w:rPr>
        <w:t xml:space="preserve">a </w:t>
      </w:r>
      <w:r w:rsidRPr="00DB1D28" w:rsidR="00490E85">
        <w:rPr>
          <w:szCs w:val="24"/>
        </w:rPr>
        <w:t>perfunctory</w:t>
      </w:r>
      <w:r w:rsidRPr="00DB1D28" w:rsidR="0060636D">
        <w:rPr>
          <w:szCs w:val="24"/>
        </w:rPr>
        <w:t xml:space="preserve"> proceeding</w:t>
      </w:r>
      <w:r w:rsidRPr="00DB1D28" w:rsidR="00490E85">
        <w:rPr>
          <w:szCs w:val="24"/>
        </w:rPr>
        <w:t xml:space="preserve"> </w:t>
      </w:r>
      <w:r w:rsidR="0008240B">
        <w:rPr>
          <w:szCs w:val="24"/>
        </w:rPr>
        <w:t>such that these subsidy costs are passed through to</w:t>
      </w:r>
      <w:r w:rsidRPr="00DB1D28" w:rsidR="00490E85">
        <w:rPr>
          <w:szCs w:val="24"/>
        </w:rPr>
        <w:t xml:space="preserve"> c</w:t>
      </w:r>
      <w:r w:rsidR="0008240B">
        <w:rPr>
          <w:szCs w:val="24"/>
        </w:rPr>
        <w:t>onsu</w:t>
      </w:r>
      <w:r w:rsidRPr="00DB1D28" w:rsidR="00490E85">
        <w:rPr>
          <w:szCs w:val="24"/>
        </w:rPr>
        <w:t>mers</w:t>
      </w:r>
      <w:r w:rsidR="0008240B">
        <w:rPr>
          <w:szCs w:val="24"/>
        </w:rPr>
        <w:t xml:space="preserve"> without scrutiny</w:t>
      </w:r>
      <w:r w:rsidRPr="00EE7176" w:rsidR="00490E85">
        <w:rPr>
          <w:szCs w:val="24"/>
        </w:rPr>
        <w:t>.</w:t>
      </w:r>
      <w:r w:rsidR="00816C60">
        <w:rPr>
          <w:szCs w:val="24"/>
        </w:rPr>
        <w:t xml:space="preserve"> </w:t>
      </w:r>
      <w:r w:rsidRPr="00EE7176" w:rsidR="00490E85">
        <w:rPr>
          <w:szCs w:val="24"/>
        </w:rPr>
        <w:t xml:space="preserve">Furthermore, </w:t>
      </w:r>
      <w:r w:rsidRPr="00721A4F" w:rsidR="00490E85">
        <w:rPr>
          <w:szCs w:val="24"/>
        </w:rPr>
        <w:t>contrary to AEP’s assertions,</w:t>
      </w:r>
      <w:r>
        <w:rPr>
          <w:rStyle w:val="FootnoteReference"/>
          <w:szCs w:val="24"/>
        </w:rPr>
        <w:footnoteReference w:id="6"/>
      </w:r>
      <w:r w:rsidRPr="00DB1D28" w:rsidR="00490E85">
        <w:rPr>
          <w:szCs w:val="24"/>
        </w:rPr>
        <w:t xml:space="preserve"> the PUCO is more than capable of </w:t>
      </w:r>
      <w:r w:rsidRPr="00DB1D28" w:rsidR="0060636D">
        <w:rPr>
          <w:szCs w:val="24"/>
        </w:rPr>
        <w:t>holding an efficient and fair hearing on the OVEC subsidies</w:t>
      </w:r>
      <w:r w:rsidR="0008240B">
        <w:rPr>
          <w:szCs w:val="24"/>
        </w:rPr>
        <w:t>.</w:t>
      </w:r>
      <w:r w:rsidR="00816C60">
        <w:rPr>
          <w:szCs w:val="24"/>
        </w:rPr>
        <w:t xml:space="preserve"> </w:t>
      </w:r>
      <w:r>
        <w:rPr>
          <w:szCs w:val="24"/>
        </w:rPr>
        <w:t>With respect to the PUCO’s ability to manage its own dockets, Supreme Court of Ohio precedent holds:</w:t>
      </w:r>
    </w:p>
    <w:p w:rsidR="00DB1D28" w:rsidRPr="00B21153" w:rsidP="00816C60" w14:paraId="68A55C9A" w14:textId="6281920F">
      <w:pPr>
        <w:shd w:val="clear" w:color="auto" w:fill="FFFFFF"/>
        <w:ind w:left="720"/>
        <w:rPr>
          <w:rFonts w:eastAsia="Times New Roman"/>
          <w:bCs w:val="0"/>
          <w:szCs w:val="24"/>
          <w:shd w:val="clear" w:color="auto" w:fill="FFFFFF"/>
        </w:rPr>
      </w:pPr>
      <w:r w:rsidRPr="00DB1D28">
        <w:rPr>
          <w:rFonts w:eastAsia="Times New Roman"/>
          <w:bCs w:val="0"/>
          <w:szCs w:val="24"/>
          <w:shd w:val="clear" w:color="auto" w:fill="FFFFFF"/>
        </w:rPr>
        <w:t xml:space="preserve">It is well-settled that pursuant to R.C. 4901.13, the commission has the discretion to decide how, in light of its internal organization and docket considerations, it may best proceed to manage and expedite the orderly flow of its business, avoid undue </w:t>
      </w:r>
      <w:r w:rsidRPr="00DB1D28" w:rsidR="00816C60">
        <w:rPr>
          <w:rFonts w:eastAsia="Times New Roman"/>
          <w:bCs w:val="0"/>
          <w:szCs w:val="24"/>
          <w:shd w:val="clear" w:color="auto" w:fill="FFFFFF"/>
        </w:rPr>
        <w:t>delay,</w:t>
      </w:r>
      <w:r w:rsidRPr="00DB1D28">
        <w:rPr>
          <w:rFonts w:eastAsia="Times New Roman"/>
          <w:bCs w:val="0"/>
          <w:szCs w:val="24"/>
          <w:shd w:val="clear" w:color="auto" w:fill="FFFFFF"/>
        </w:rPr>
        <w:t xml:space="preserve"> and eliminate unnecessary duplication of effort.</w:t>
      </w:r>
      <w:r>
        <w:rPr>
          <w:rStyle w:val="FootnoteReference"/>
          <w:rFonts w:eastAsia="Times New Roman"/>
          <w:bCs w:val="0"/>
          <w:szCs w:val="24"/>
          <w:shd w:val="clear" w:color="auto" w:fill="FFFFFF"/>
        </w:rPr>
        <w:footnoteReference w:id="7"/>
      </w:r>
      <w:r w:rsidR="00816C60">
        <w:rPr>
          <w:rFonts w:eastAsia="Times New Roman"/>
          <w:bCs w:val="0"/>
          <w:szCs w:val="24"/>
          <w:shd w:val="clear" w:color="auto" w:fill="FFFFFF"/>
        </w:rPr>
        <w:t xml:space="preserve"> </w:t>
      </w:r>
    </w:p>
    <w:p w:rsidR="00816C60" w14:paraId="44E9E670" w14:textId="650B2BC1">
      <w:pPr>
        <w:rPr>
          <w:szCs w:val="24"/>
        </w:rPr>
      </w:pPr>
      <w:r>
        <w:rPr>
          <w:szCs w:val="24"/>
        </w:rPr>
        <w:br w:type="page"/>
      </w:r>
    </w:p>
    <w:p w:rsidR="000F0118" w14:paraId="69C7484F" w14:textId="57BB2640">
      <w:pPr>
        <w:pStyle w:val="BodyTextIndent3"/>
        <w:widowControl w:val="0"/>
        <w:spacing w:after="0" w:line="480" w:lineRule="auto"/>
        <w:ind w:left="0" w:right="-312" w:firstLine="720"/>
        <w:rPr>
          <w:sz w:val="24"/>
          <w:szCs w:val="24"/>
        </w:rPr>
      </w:pPr>
      <w:r>
        <w:rPr>
          <w:sz w:val="24"/>
          <w:szCs w:val="24"/>
        </w:rPr>
        <w:t xml:space="preserve">While </w:t>
      </w:r>
      <w:r w:rsidR="00CE0EFC">
        <w:rPr>
          <w:sz w:val="24"/>
          <w:szCs w:val="24"/>
        </w:rPr>
        <w:t xml:space="preserve">AEP and </w:t>
      </w:r>
      <w:r w:rsidR="00CF376C">
        <w:rPr>
          <w:sz w:val="24"/>
          <w:szCs w:val="24"/>
        </w:rPr>
        <w:t>Duke off</w:t>
      </w:r>
      <w:r w:rsidR="00CE0EFC">
        <w:rPr>
          <w:sz w:val="24"/>
          <w:szCs w:val="24"/>
        </w:rPr>
        <w:t xml:space="preserve">er no </w:t>
      </w:r>
      <w:r w:rsidR="00CF376C">
        <w:rPr>
          <w:sz w:val="24"/>
          <w:szCs w:val="24"/>
        </w:rPr>
        <w:t xml:space="preserve">reasons why an evidentiary hearing should not occur, </w:t>
      </w:r>
      <w:r>
        <w:rPr>
          <w:sz w:val="24"/>
          <w:szCs w:val="24"/>
        </w:rPr>
        <w:t>they</w:t>
      </w:r>
      <w:r w:rsidR="00844E9B">
        <w:rPr>
          <w:sz w:val="24"/>
          <w:szCs w:val="24"/>
        </w:rPr>
        <w:t xml:space="preserve"> </w:t>
      </w:r>
      <w:r w:rsidR="00CF376C">
        <w:rPr>
          <w:sz w:val="24"/>
          <w:szCs w:val="24"/>
        </w:rPr>
        <w:t xml:space="preserve">simply state that the </w:t>
      </w:r>
      <w:r w:rsidR="002658A7">
        <w:rPr>
          <w:sz w:val="24"/>
          <w:szCs w:val="24"/>
        </w:rPr>
        <w:t>PUCO</w:t>
      </w:r>
      <w:r w:rsidR="00844E9B">
        <w:rPr>
          <w:sz w:val="24"/>
          <w:szCs w:val="24"/>
        </w:rPr>
        <w:t xml:space="preserve"> </w:t>
      </w:r>
      <w:r w:rsidR="00CE0EFC">
        <w:rPr>
          <w:sz w:val="24"/>
          <w:szCs w:val="24"/>
        </w:rPr>
        <w:t>has discretion to</w:t>
      </w:r>
      <w:r w:rsidR="00CF376C">
        <w:rPr>
          <w:sz w:val="24"/>
          <w:szCs w:val="24"/>
        </w:rPr>
        <w:t xml:space="preserve"> decide whether a hearing is appropriate (</w:t>
      </w:r>
      <w:r w:rsidR="00CE0EFC">
        <w:rPr>
          <w:sz w:val="24"/>
          <w:szCs w:val="24"/>
        </w:rPr>
        <w:t>AEP</w:t>
      </w:r>
      <w:r w:rsidR="00893B4A">
        <w:rPr>
          <w:sz w:val="24"/>
          <w:szCs w:val="24"/>
        </w:rPr>
        <w:t>:</w:t>
      </w:r>
      <w:r w:rsidR="00CE0EFC">
        <w:rPr>
          <w:sz w:val="24"/>
          <w:szCs w:val="24"/>
        </w:rPr>
        <w:t xml:space="preserve"> (“[T]he Commission has discretion to decide what is appropriate.”</w:t>
      </w:r>
      <w:r>
        <w:rPr>
          <w:rStyle w:val="FootnoteReference"/>
          <w:sz w:val="24"/>
          <w:szCs w:val="24"/>
        </w:rPr>
        <w:footnoteReference w:id="8"/>
      </w:r>
      <w:r w:rsidR="00CE0EFC">
        <w:rPr>
          <w:sz w:val="24"/>
          <w:szCs w:val="24"/>
        </w:rPr>
        <w:t>; Duke</w:t>
      </w:r>
      <w:r w:rsidR="00893B4A">
        <w:rPr>
          <w:sz w:val="24"/>
          <w:szCs w:val="24"/>
        </w:rPr>
        <w:t>:</w:t>
      </w:r>
      <w:r w:rsidR="00CE0EFC">
        <w:rPr>
          <w:sz w:val="24"/>
          <w:szCs w:val="24"/>
        </w:rPr>
        <w:t xml:space="preserve"> </w:t>
      </w:r>
      <w:r w:rsidR="00CF376C">
        <w:rPr>
          <w:sz w:val="24"/>
          <w:szCs w:val="24"/>
        </w:rPr>
        <w:t>“If the Commission decides that a hearing is appropriate, it will schedule one, without the filing of a motion.”).</w:t>
      </w:r>
      <w:r>
        <w:rPr>
          <w:rStyle w:val="FootnoteReference"/>
          <w:sz w:val="24"/>
          <w:szCs w:val="24"/>
        </w:rPr>
        <w:footnoteReference w:id="9"/>
      </w:r>
      <w:r w:rsidR="00816C60">
        <w:rPr>
          <w:sz w:val="24"/>
          <w:szCs w:val="24"/>
        </w:rPr>
        <w:t xml:space="preserve"> </w:t>
      </w:r>
      <w:r w:rsidR="00CE0EFC">
        <w:rPr>
          <w:sz w:val="24"/>
          <w:szCs w:val="24"/>
        </w:rPr>
        <w:t xml:space="preserve">The PUCO should grant the Joint Motion for an evidentiary hearing </w:t>
      </w:r>
      <w:r>
        <w:rPr>
          <w:sz w:val="24"/>
          <w:szCs w:val="24"/>
        </w:rPr>
        <w:t xml:space="preserve">for the reasons articulated therein and </w:t>
      </w:r>
      <w:r w:rsidR="00CE0EFC">
        <w:rPr>
          <w:sz w:val="24"/>
          <w:szCs w:val="24"/>
        </w:rPr>
        <w:t>because no party has provided any argument against it.</w:t>
      </w:r>
    </w:p>
    <w:p w:rsidR="00CA4428" w14:paraId="40C30A9B" w14:textId="23E23878">
      <w:pPr>
        <w:pStyle w:val="BodyTextIndent3"/>
        <w:widowControl w:val="0"/>
        <w:spacing w:after="0" w:line="480" w:lineRule="auto"/>
        <w:ind w:left="0" w:right="-312" w:firstLine="720"/>
        <w:rPr>
          <w:sz w:val="24"/>
          <w:szCs w:val="24"/>
        </w:rPr>
      </w:pPr>
      <w:r>
        <w:rPr>
          <w:sz w:val="24"/>
          <w:szCs w:val="24"/>
        </w:rPr>
        <w:t xml:space="preserve">The Joint Motion </w:t>
      </w:r>
      <w:r>
        <w:rPr>
          <w:sz w:val="24"/>
          <w:szCs w:val="24"/>
        </w:rPr>
        <w:t>presented</w:t>
      </w:r>
      <w:r>
        <w:rPr>
          <w:sz w:val="24"/>
          <w:szCs w:val="24"/>
        </w:rPr>
        <w:t xml:space="preserve"> the </w:t>
      </w:r>
      <w:r>
        <w:rPr>
          <w:sz w:val="24"/>
          <w:szCs w:val="24"/>
        </w:rPr>
        <w:t xml:space="preserve">following </w:t>
      </w:r>
      <w:r>
        <w:rPr>
          <w:sz w:val="24"/>
          <w:szCs w:val="24"/>
        </w:rPr>
        <w:t>reasons why an evidentiary hearing is required</w:t>
      </w:r>
      <w:r>
        <w:rPr>
          <w:sz w:val="24"/>
          <w:szCs w:val="24"/>
        </w:rPr>
        <w:t>:</w:t>
      </w:r>
    </w:p>
    <w:p w:rsidR="0061102B" w:rsidRPr="0061102B" w:rsidP="00816C60" w14:paraId="7696CDB9" w14:textId="6C079EC5">
      <w:pPr>
        <w:pStyle w:val="BodyTextIndent3"/>
        <w:widowControl w:val="0"/>
        <w:numPr>
          <w:ilvl w:val="0"/>
          <w:numId w:val="10"/>
        </w:numPr>
        <w:spacing w:after="0" w:line="480" w:lineRule="auto"/>
        <w:ind w:left="2160" w:right="-312" w:hanging="720"/>
        <w:rPr>
          <w:sz w:val="24"/>
          <w:szCs w:val="24"/>
        </w:rPr>
      </w:pPr>
      <w:r>
        <w:rPr>
          <w:sz w:val="24"/>
          <w:szCs w:val="24"/>
        </w:rPr>
        <w:t>Under current conditions, the OVEC plants are expected to lose $700 million over the next decade and a hearing would allow the PUCO an opportunity to develop a record that it could use to protect consumers by requiring the utilities to mitigate these expected losses.</w:t>
      </w:r>
      <w:r>
        <w:rPr>
          <w:rStyle w:val="FootnoteReference"/>
          <w:sz w:val="24"/>
          <w:szCs w:val="24"/>
        </w:rPr>
        <w:footnoteReference w:id="10"/>
      </w:r>
    </w:p>
    <w:p w:rsidR="00CA4428" w:rsidP="00816C60" w14:paraId="1C8206F2" w14:textId="30AE07FE">
      <w:pPr>
        <w:pStyle w:val="BodyTextIndent3"/>
        <w:widowControl w:val="0"/>
        <w:numPr>
          <w:ilvl w:val="0"/>
          <w:numId w:val="10"/>
        </w:numPr>
        <w:spacing w:after="0" w:line="480" w:lineRule="auto"/>
        <w:ind w:left="2160" w:right="-312" w:hanging="720"/>
        <w:rPr>
          <w:sz w:val="24"/>
          <w:szCs w:val="24"/>
        </w:rPr>
      </w:pPr>
      <w:r>
        <w:rPr>
          <w:sz w:val="24"/>
          <w:szCs w:val="24"/>
        </w:rPr>
        <w:t>A</w:t>
      </w:r>
      <w:r w:rsidR="006802A1">
        <w:rPr>
          <w:sz w:val="24"/>
          <w:szCs w:val="24"/>
        </w:rPr>
        <w:t xml:space="preserve">n evidentiary hearing is consistent with the </w:t>
      </w:r>
      <w:r>
        <w:rPr>
          <w:sz w:val="24"/>
          <w:szCs w:val="24"/>
        </w:rPr>
        <w:t xml:space="preserve">PUCO’s commitment to conduct a “rigorous” and “substantive” review of charges from the </w:t>
      </w:r>
      <w:r w:rsidR="00EB01BA">
        <w:rPr>
          <w:sz w:val="24"/>
          <w:szCs w:val="24"/>
        </w:rPr>
        <w:t>OVEC</w:t>
      </w:r>
      <w:r>
        <w:rPr>
          <w:sz w:val="24"/>
          <w:szCs w:val="24"/>
        </w:rPr>
        <w:t xml:space="preserve"> plants.</w:t>
      </w:r>
      <w:r>
        <w:rPr>
          <w:rStyle w:val="FootnoteReference"/>
          <w:sz w:val="24"/>
          <w:szCs w:val="24"/>
        </w:rPr>
        <w:footnoteReference w:id="11"/>
      </w:r>
      <w:r w:rsidR="00816C60">
        <w:rPr>
          <w:sz w:val="24"/>
          <w:szCs w:val="24"/>
        </w:rPr>
        <w:t xml:space="preserve"> </w:t>
      </w:r>
    </w:p>
    <w:p w:rsidR="00CA4428" w:rsidP="00816C60" w14:paraId="27CC5F12" w14:textId="738B9FB6">
      <w:pPr>
        <w:pStyle w:val="BodyTextIndent3"/>
        <w:widowControl w:val="0"/>
        <w:numPr>
          <w:ilvl w:val="0"/>
          <w:numId w:val="10"/>
        </w:numPr>
        <w:spacing w:after="0" w:line="480" w:lineRule="auto"/>
        <w:ind w:left="2160" w:right="-312" w:hanging="720"/>
        <w:rPr>
          <w:sz w:val="24"/>
          <w:szCs w:val="24"/>
        </w:rPr>
      </w:pPr>
      <w:r>
        <w:rPr>
          <w:sz w:val="24"/>
          <w:szCs w:val="24"/>
        </w:rPr>
        <w:t xml:space="preserve">When </w:t>
      </w:r>
      <w:r w:rsidR="00CE0EFC">
        <w:rPr>
          <w:sz w:val="24"/>
          <w:szCs w:val="24"/>
        </w:rPr>
        <w:t xml:space="preserve">the PUCO and AEP </w:t>
      </w:r>
      <w:r>
        <w:rPr>
          <w:sz w:val="24"/>
          <w:szCs w:val="24"/>
        </w:rPr>
        <w:t xml:space="preserve">set forth the due process rights that parties should enjoy in these OVEC Rider cases, they </w:t>
      </w:r>
      <w:r w:rsidR="00CE0EFC">
        <w:rPr>
          <w:sz w:val="24"/>
          <w:szCs w:val="24"/>
        </w:rPr>
        <w:t>both relied on a</w:t>
      </w:r>
      <w:r w:rsidR="006802A1">
        <w:rPr>
          <w:sz w:val="24"/>
          <w:szCs w:val="24"/>
        </w:rPr>
        <w:t xml:space="preserve"> Pennsylvania case where an evidentiary hearing was held.</w:t>
      </w:r>
      <w:r>
        <w:rPr>
          <w:rStyle w:val="FootnoteReference"/>
          <w:sz w:val="24"/>
          <w:szCs w:val="24"/>
        </w:rPr>
        <w:footnoteReference w:id="12"/>
      </w:r>
      <w:r w:rsidR="00816C60">
        <w:rPr>
          <w:sz w:val="24"/>
          <w:szCs w:val="24"/>
        </w:rPr>
        <w:t xml:space="preserve"> </w:t>
      </w:r>
    </w:p>
    <w:p w:rsidR="00CA4428" w:rsidP="00816C60" w14:paraId="14D6D320" w14:textId="5ED6FAEB">
      <w:pPr>
        <w:pStyle w:val="BodyTextIndent3"/>
        <w:widowControl w:val="0"/>
        <w:numPr>
          <w:ilvl w:val="0"/>
          <w:numId w:val="10"/>
        </w:numPr>
        <w:spacing w:after="0" w:line="480" w:lineRule="auto"/>
        <w:ind w:left="2160" w:right="-312" w:hanging="720"/>
        <w:rPr>
          <w:sz w:val="24"/>
          <w:szCs w:val="24"/>
        </w:rPr>
      </w:pPr>
      <w:r>
        <w:rPr>
          <w:sz w:val="24"/>
          <w:szCs w:val="24"/>
        </w:rPr>
        <w:t>T</w:t>
      </w:r>
      <w:r w:rsidR="006802A1">
        <w:rPr>
          <w:sz w:val="24"/>
          <w:szCs w:val="24"/>
        </w:rPr>
        <w:t xml:space="preserve">he Supreme </w:t>
      </w:r>
      <w:r w:rsidR="00CE0EFC">
        <w:rPr>
          <w:sz w:val="24"/>
          <w:szCs w:val="24"/>
        </w:rPr>
        <w:t xml:space="preserve">Court of Ohio’s dicta in the first Fuel Adjustment Clause “FAC”) case of the Electric Security Plan </w:t>
      </w:r>
      <w:r>
        <w:rPr>
          <w:sz w:val="24"/>
          <w:szCs w:val="24"/>
        </w:rPr>
        <w:t xml:space="preserve">(“ESP”) </w:t>
      </w:r>
      <w:r w:rsidR="00CE0EFC">
        <w:rPr>
          <w:sz w:val="24"/>
          <w:szCs w:val="24"/>
        </w:rPr>
        <w:t xml:space="preserve">era </w:t>
      </w:r>
      <w:r w:rsidR="006802A1">
        <w:rPr>
          <w:sz w:val="24"/>
          <w:szCs w:val="24"/>
        </w:rPr>
        <w:t>st</w:t>
      </w:r>
      <w:r w:rsidR="00447842">
        <w:rPr>
          <w:sz w:val="24"/>
          <w:szCs w:val="24"/>
        </w:rPr>
        <w:t>ates</w:t>
      </w:r>
      <w:r w:rsidR="006802A1">
        <w:rPr>
          <w:sz w:val="24"/>
          <w:szCs w:val="24"/>
        </w:rPr>
        <w:t xml:space="preserve"> that an evidentiary hearing should occur</w:t>
      </w:r>
      <w:r>
        <w:rPr>
          <w:sz w:val="24"/>
          <w:szCs w:val="24"/>
        </w:rPr>
        <w:t xml:space="preserve"> in these cases</w:t>
      </w:r>
      <w:r w:rsidR="006802A1">
        <w:rPr>
          <w:sz w:val="24"/>
          <w:szCs w:val="24"/>
        </w:rPr>
        <w:t>.</w:t>
      </w:r>
      <w:r>
        <w:rPr>
          <w:rStyle w:val="FootnoteReference"/>
          <w:sz w:val="24"/>
          <w:szCs w:val="24"/>
        </w:rPr>
        <w:footnoteReference w:id="13"/>
      </w:r>
      <w:r w:rsidR="00816C60">
        <w:rPr>
          <w:sz w:val="24"/>
          <w:szCs w:val="24"/>
        </w:rPr>
        <w:t xml:space="preserve"> </w:t>
      </w:r>
    </w:p>
    <w:p w:rsidR="00CE0EFC" w:rsidP="00816C60" w14:paraId="37FD6E31" w14:textId="51A1EBA3">
      <w:pPr>
        <w:pStyle w:val="BodyTextIndent3"/>
        <w:widowControl w:val="0"/>
        <w:numPr>
          <w:ilvl w:val="0"/>
          <w:numId w:val="10"/>
        </w:numPr>
        <w:spacing w:after="0" w:line="480" w:lineRule="auto"/>
        <w:ind w:left="2160" w:right="-312" w:hanging="720"/>
        <w:rPr>
          <w:sz w:val="24"/>
          <w:szCs w:val="24"/>
        </w:rPr>
      </w:pPr>
      <w:r>
        <w:rPr>
          <w:sz w:val="24"/>
          <w:szCs w:val="24"/>
        </w:rPr>
        <w:t>T</w:t>
      </w:r>
      <w:r w:rsidR="006802A1">
        <w:rPr>
          <w:sz w:val="24"/>
          <w:szCs w:val="24"/>
        </w:rPr>
        <w:t>he PUCO has held an evidentiary hearing in each FAC case in the ESP era following this Supreme Court pronouncement</w:t>
      </w:r>
      <w:r>
        <w:rPr>
          <w:sz w:val="24"/>
          <w:szCs w:val="24"/>
        </w:rPr>
        <w:t>;</w:t>
      </w:r>
      <w:r>
        <w:rPr>
          <w:rStyle w:val="FootnoteReference"/>
          <w:sz w:val="24"/>
          <w:szCs w:val="24"/>
        </w:rPr>
        <w:footnoteReference w:id="14"/>
      </w:r>
      <w:r>
        <w:rPr>
          <w:sz w:val="24"/>
          <w:szCs w:val="24"/>
        </w:rPr>
        <w:t xml:space="preserve"> and</w:t>
      </w:r>
    </w:p>
    <w:p w:rsidR="002658A7" w:rsidP="00B953C7" w14:paraId="772F5E6B" w14:textId="39B41399">
      <w:pPr>
        <w:pStyle w:val="BodyTextIndent3"/>
        <w:widowControl w:val="0"/>
        <w:spacing w:after="0" w:line="480" w:lineRule="auto"/>
        <w:ind w:left="0" w:right="-312" w:firstLine="720"/>
        <w:rPr>
          <w:sz w:val="24"/>
          <w:szCs w:val="24"/>
        </w:rPr>
      </w:pPr>
      <w:r>
        <w:rPr>
          <w:sz w:val="24"/>
          <w:szCs w:val="24"/>
        </w:rPr>
        <w:t xml:space="preserve">The PUCO must </w:t>
      </w:r>
      <w:r w:rsidRPr="00B953C7">
        <w:rPr>
          <w:sz w:val="24"/>
          <w:szCs w:val="24"/>
        </w:rPr>
        <w:t xml:space="preserve">“respect its own precedents in its decisions to assure the </w:t>
      </w:r>
      <w:r w:rsidRPr="00B953C7" w:rsidR="00816C60">
        <w:rPr>
          <w:sz w:val="24"/>
          <w:szCs w:val="24"/>
        </w:rPr>
        <w:t>predictability,</w:t>
      </w:r>
      <w:r w:rsidRPr="00B953C7">
        <w:rPr>
          <w:sz w:val="24"/>
          <w:szCs w:val="24"/>
        </w:rPr>
        <w:t xml:space="preserve"> which is essential in all areas of the law, including administrative law.”</w:t>
      </w:r>
      <w:r>
        <w:rPr>
          <w:rStyle w:val="FootnoteReference"/>
          <w:sz w:val="24"/>
          <w:szCs w:val="24"/>
        </w:rPr>
        <w:footnoteReference w:id="15"/>
      </w:r>
      <w:r w:rsidR="00816C60">
        <w:rPr>
          <w:sz w:val="24"/>
          <w:szCs w:val="24"/>
        </w:rPr>
        <w:t xml:space="preserve"> </w:t>
      </w:r>
      <w:r>
        <w:rPr>
          <w:sz w:val="24"/>
          <w:szCs w:val="24"/>
        </w:rPr>
        <w:t>Joint Movants respectfully request that the PUCO follow its own precedents, by holding an evidentiary hearing in th</w:t>
      </w:r>
      <w:r w:rsidR="003069EE">
        <w:rPr>
          <w:sz w:val="24"/>
          <w:szCs w:val="24"/>
        </w:rPr>
        <w:t>ese</w:t>
      </w:r>
      <w:r>
        <w:rPr>
          <w:sz w:val="24"/>
          <w:szCs w:val="24"/>
        </w:rPr>
        <w:t xml:space="preserve"> case</w:t>
      </w:r>
      <w:r w:rsidR="003069EE">
        <w:rPr>
          <w:sz w:val="24"/>
          <w:szCs w:val="24"/>
        </w:rPr>
        <w:t>s</w:t>
      </w:r>
      <w:r>
        <w:rPr>
          <w:sz w:val="24"/>
          <w:szCs w:val="24"/>
        </w:rPr>
        <w:t>.</w:t>
      </w:r>
    </w:p>
    <w:p w:rsidR="002C1F21" w14:paraId="4DD95E40" w14:textId="77777777">
      <w:pPr>
        <w:rPr>
          <w:szCs w:val="24"/>
        </w:rPr>
      </w:pPr>
    </w:p>
    <w:p w:rsidR="002C1F21" w14:paraId="6C15EF81" w14:textId="77777777">
      <w:pPr>
        <w:spacing w:line="480" w:lineRule="auto"/>
        <w:ind w:left="3600"/>
        <w:rPr>
          <w:szCs w:val="24"/>
        </w:rPr>
      </w:pPr>
      <w:r>
        <w:rPr>
          <w:szCs w:val="24"/>
        </w:rPr>
        <w:t>Respectfully submitted,</w:t>
      </w:r>
    </w:p>
    <w:p w:rsidR="002C1F21" w14:paraId="20922B37" w14:textId="77777777">
      <w:pPr>
        <w:pStyle w:val="Footer"/>
        <w:tabs>
          <w:tab w:val="left" w:pos="4320"/>
        </w:tabs>
        <w:ind w:left="3600"/>
        <w:rPr>
          <w:szCs w:val="24"/>
        </w:rPr>
      </w:pPr>
      <w:r>
        <w:rPr>
          <w:szCs w:val="24"/>
        </w:rPr>
        <w:t>Bruce Weston (0016973)</w:t>
      </w:r>
    </w:p>
    <w:p w:rsidR="002C1F21" w14:paraId="2290A07E" w14:textId="77777777">
      <w:pPr>
        <w:tabs>
          <w:tab w:val="left" w:pos="4320"/>
        </w:tabs>
        <w:ind w:left="3600"/>
        <w:rPr>
          <w:szCs w:val="24"/>
        </w:rPr>
      </w:pPr>
      <w:r>
        <w:rPr>
          <w:szCs w:val="24"/>
        </w:rPr>
        <w:t>Ohio Consumers’ Counsel</w:t>
      </w:r>
    </w:p>
    <w:p w:rsidR="002C1F21" w14:paraId="2169CE81" w14:textId="77777777">
      <w:pPr>
        <w:pStyle w:val="ListParagraph"/>
        <w:tabs>
          <w:tab w:val="left" w:pos="4320"/>
        </w:tabs>
        <w:ind w:left="3600"/>
        <w:rPr>
          <w:szCs w:val="24"/>
        </w:rPr>
      </w:pPr>
      <w:r>
        <w:rPr>
          <w:szCs w:val="24"/>
        </w:rPr>
        <w:tab/>
      </w:r>
    </w:p>
    <w:p w:rsidR="002C1F21" w14:paraId="7323DE56" w14:textId="77777777">
      <w:pPr>
        <w:tabs>
          <w:tab w:val="left" w:pos="4320"/>
        </w:tabs>
        <w:ind w:left="3600"/>
        <w:rPr>
          <w:i/>
          <w:iCs/>
          <w:szCs w:val="24"/>
          <w:u w:val="single"/>
        </w:rPr>
      </w:pPr>
      <w:r>
        <w:rPr>
          <w:i/>
          <w:iCs/>
          <w:szCs w:val="24"/>
          <w:u w:val="single"/>
        </w:rPr>
        <w:t>/s/ John Finnigan</w:t>
      </w:r>
      <w:r>
        <w:rPr>
          <w:i/>
          <w:iCs/>
          <w:szCs w:val="24"/>
          <w:u w:val="single"/>
        </w:rPr>
        <w:tab/>
      </w:r>
    </w:p>
    <w:p w:rsidR="002C1F21" w14:paraId="42158147" w14:textId="77777777">
      <w:pPr>
        <w:tabs>
          <w:tab w:val="left" w:pos="4320"/>
        </w:tabs>
        <w:ind w:left="3600"/>
        <w:rPr>
          <w:szCs w:val="24"/>
        </w:rPr>
      </w:pPr>
      <w:r>
        <w:rPr>
          <w:szCs w:val="24"/>
        </w:rPr>
        <w:t>Christopher Healey (0086027)</w:t>
      </w:r>
    </w:p>
    <w:p w:rsidR="002C1F21" w14:paraId="4E0D5A55" w14:textId="77777777">
      <w:pPr>
        <w:tabs>
          <w:tab w:val="left" w:pos="4320"/>
        </w:tabs>
        <w:ind w:left="3600"/>
        <w:rPr>
          <w:szCs w:val="24"/>
        </w:rPr>
      </w:pPr>
      <w:r>
        <w:rPr>
          <w:szCs w:val="24"/>
        </w:rPr>
        <w:t>Counsel of Record</w:t>
      </w:r>
    </w:p>
    <w:p w:rsidR="002C1F21" w14:paraId="714F4B0A" w14:textId="77777777">
      <w:pPr>
        <w:tabs>
          <w:tab w:val="left" w:pos="4320"/>
        </w:tabs>
        <w:ind w:left="3600"/>
        <w:rPr>
          <w:szCs w:val="24"/>
        </w:rPr>
      </w:pPr>
      <w:r>
        <w:rPr>
          <w:szCs w:val="24"/>
        </w:rPr>
        <w:t>William Michael (0070921)</w:t>
      </w:r>
    </w:p>
    <w:p w:rsidR="002C1F21" w14:paraId="09FEA883" w14:textId="77777777">
      <w:pPr>
        <w:tabs>
          <w:tab w:val="left" w:pos="4320"/>
        </w:tabs>
        <w:ind w:left="3600"/>
        <w:rPr>
          <w:szCs w:val="24"/>
        </w:rPr>
      </w:pPr>
      <w:r>
        <w:rPr>
          <w:szCs w:val="24"/>
        </w:rPr>
        <w:t>John Finnigan (0018689)</w:t>
      </w:r>
      <w:r>
        <w:rPr>
          <w:szCs w:val="24"/>
        </w:rPr>
        <w:br/>
        <w:t>Assistant Consumers’ Counsel</w:t>
      </w:r>
    </w:p>
    <w:p w:rsidR="002C1F21" w14:paraId="09935008" w14:textId="77777777">
      <w:pPr>
        <w:tabs>
          <w:tab w:val="left" w:pos="4320"/>
        </w:tabs>
        <w:ind w:left="3600"/>
        <w:rPr>
          <w:b/>
          <w:bCs w:val="0"/>
          <w:szCs w:val="24"/>
        </w:rPr>
      </w:pPr>
      <w:r>
        <w:rPr>
          <w:b/>
          <w:bCs w:val="0"/>
          <w:szCs w:val="24"/>
        </w:rPr>
        <w:t>18-1004-EL-RDR et al</w:t>
      </w:r>
    </w:p>
    <w:p w:rsidR="002C1F21" w14:paraId="7371FD59" w14:textId="77777777">
      <w:pPr>
        <w:tabs>
          <w:tab w:val="left" w:pos="4320"/>
        </w:tabs>
        <w:ind w:left="3600"/>
        <w:rPr>
          <w:b/>
          <w:bCs w:val="0"/>
          <w:szCs w:val="24"/>
        </w:rPr>
      </w:pPr>
    </w:p>
    <w:p w:rsidR="002C1F21" w14:paraId="7711333E" w14:textId="77777777">
      <w:pPr>
        <w:ind w:left="3600"/>
        <w:rPr>
          <w:b/>
          <w:bCs w:val="0"/>
          <w:szCs w:val="24"/>
        </w:rPr>
      </w:pPr>
      <w:r>
        <w:rPr>
          <w:szCs w:val="24"/>
        </w:rPr>
        <w:t>Angela D. O’Brien (0097579)</w:t>
      </w:r>
    </w:p>
    <w:p w:rsidR="002C1F21" w14:paraId="69E7D1B9" w14:textId="77777777">
      <w:pPr>
        <w:ind w:left="3600"/>
        <w:rPr>
          <w:b/>
          <w:bCs w:val="0"/>
          <w:szCs w:val="24"/>
        </w:rPr>
      </w:pPr>
      <w:r>
        <w:rPr>
          <w:szCs w:val="24"/>
        </w:rPr>
        <w:t>Counsel of Record</w:t>
      </w:r>
    </w:p>
    <w:p w:rsidR="002C1F21" w14:paraId="7D659E50" w14:textId="77777777">
      <w:pPr>
        <w:ind w:left="3600"/>
        <w:rPr>
          <w:b/>
          <w:bCs w:val="0"/>
          <w:szCs w:val="24"/>
        </w:rPr>
      </w:pPr>
      <w:r>
        <w:rPr>
          <w:szCs w:val="24"/>
        </w:rPr>
        <w:t>John Finnigan (0018689)</w:t>
      </w:r>
    </w:p>
    <w:p w:rsidR="002C1F21" w14:paraId="3E7769C9" w14:textId="77777777">
      <w:pPr>
        <w:ind w:left="3600"/>
        <w:rPr>
          <w:b/>
          <w:bCs w:val="0"/>
          <w:szCs w:val="24"/>
        </w:rPr>
      </w:pPr>
      <w:r>
        <w:rPr>
          <w:szCs w:val="24"/>
        </w:rPr>
        <w:t>Assistant Consumers’ Counsel</w:t>
      </w:r>
    </w:p>
    <w:p w:rsidR="002C1F21" w14:paraId="06220E47" w14:textId="41B00578">
      <w:pPr>
        <w:ind w:left="3600"/>
        <w:rPr>
          <w:b/>
          <w:bCs w:val="0"/>
          <w:szCs w:val="24"/>
        </w:rPr>
      </w:pPr>
      <w:r>
        <w:rPr>
          <w:b/>
          <w:bCs w:val="0"/>
          <w:szCs w:val="24"/>
        </w:rPr>
        <w:t>20-167-EL-RDR</w:t>
      </w:r>
    </w:p>
    <w:p w:rsidR="00816C60" w14:paraId="69A8B2CC" w14:textId="0F498F47">
      <w:pPr>
        <w:rPr>
          <w:b/>
          <w:bCs w:val="0"/>
          <w:szCs w:val="24"/>
        </w:rPr>
      </w:pPr>
      <w:r>
        <w:rPr>
          <w:b/>
          <w:bCs w:val="0"/>
          <w:szCs w:val="24"/>
        </w:rPr>
        <w:br w:type="page"/>
      </w:r>
    </w:p>
    <w:p w:rsidR="002C1F21" w:rsidRPr="00B953C7" w:rsidP="00B953C7" w14:paraId="638A6D7E" w14:textId="77777777">
      <w:pPr>
        <w:tabs>
          <w:tab w:val="left" w:pos="4320"/>
        </w:tabs>
        <w:rPr>
          <w:szCs w:val="24"/>
        </w:rPr>
      </w:pPr>
    </w:p>
    <w:p w:rsidR="002C1F21" w14:paraId="50976159" w14:textId="77777777">
      <w:pPr>
        <w:tabs>
          <w:tab w:val="left" w:pos="4320"/>
        </w:tabs>
        <w:ind w:left="3600"/>
        <w:rPr>
          <w:b/>
          <w:bCs w:val="0"/>
          <w:szCs w:val="24"/>
        </w:rPr>
      </w:pPr>
      <w:r>
        <w:rPr>
          <w:b/>
          <w:szCs w:val="24"/>
        </w:rPr>
        <w:t>Office of the Ohio Consumers’ Counsel</w:t>
      </w:r>
    </w:p>
    <w:p w:rsidR="002C1F21" w14:paraId="5A7E86B8" w14:textId="77777777">
      <w:pPr>
        <w:ind w:left="3600"/>
        <w:rPr>
          <w:szCs w:val="24"/>
        </w:rPr>
      </w:pPr>
      <w:r>
        <w:rPr>
          <w:szCs w:val="24"/>
        </w:rPr>
        <w:t>65 East State Street, 7th Floor</w:t>
      </w:r>
    </w:p>
    <w:p w:rsidR="002C1F21" w14:paraId="4303368E" w14:textId="77777777">
      <w:pPr>
        <w:ind w:left="3600"/>
        <w:rPr>
          <w:szCs w:val="24"/>
        </w:rPr>
      </w:pPr>
      <w:r>
        <w:rPr>
          <w:szCs w:val="24"/>
        </w:rPr>
        <w:t>Columbus, Ohio 43215</w:t>
      </w:r>
    </w:p>
    <w:p w:rsidR="002C1F21" w14:paraId="6D50CD22" w14:textId="77777777">
      <w:pPr>
        <w:autoSpaceDE w:val="0"/>
        <w:autoSpaceDN w:val="0"/>
        <w:adjustRightInd w:val="0"/>
        <w:ind w:left="3600"/>
        <w:rPr>
          <w:szCs w:val="24"/>
        </w:rPr>
      </w:pPr>
      <w:r>
        <w:rPr>
          <w:szCs w:val="24"/>
        </w:rPr>
        <w:t>Telephone [Healey]: (614) 466-9571</w:t>
      </w:r>
    </w:p>
    <w:p w:rsidR="002C1F21" w14:paraId="4FDA929A" w14:textId="77777777">
      <w:pPr>
        <w:autoSpaceDE w:val="0"/>
        <w:autoSpaceDN w:val="0"/>
        <w:adjustRightInd w:val="0"/>
        <w:ind w:left="3600"/>
        <w:rPr>
          <w:szCs w:val="24"/>
        </w:rPr>
      </w:pPr>
      <w:r>
        <w:rPr>
          <w:szCs w:val="24"/>
        </w:rPr>
        <w:t>Telephone [Michael]: (614) 466-1291</w:t>
      </w:r>
    </w:p>
    <w:p w:rsidR="002C1F21" w14:paraId="0F370487" w14:textId="77777777">
      <w:pPr>
        <w:ind w:left="3600"/>
        <w:rPr>
          <w:b/>
          <w:bCs w:val="0"/>
          <w:szCs w:val="24"/>
        </w:rPr>
      </w:pPr>
      <w:r>
        <w:rPr>
          <w:szCs w:val="24"/>
        </w:rPr>
        <w:t>Telephone [O’Brien]: (614) 466-9531</w:t>
      </w:r>
    </w:p>
    <w:p w:rsidR="002C1F21" w14:paraId="4CB555B5" w14:textId="77777777">
      <w:pPr>
        <w:pStyle w:val="ListParagraph"/>
        <w:autoSpaceDE w:val="0"/>
        <w:autoSpaceDN w:val="0"/>
        <w:adjustRightInd w:val="0"/>
        <w:ind w:left="3600"/>
        <w:rPr>
          <w:szCs w:val="24"/>
        </w:rPr>
      </w:pPr>
      <w:r>
        <w:rPr>
          <w:szCs w:val="24"/>
        </w:rPr>
        <w:t>Telephone [Finnigan]: (614) 466-9585</w:t>
      </w:r>
    </w:p>
    <w:p w:rsidR="002C1F21" w14:paraId="63A5D01A" w14:textId="77777777">
      <w:pPr>
        <w:pStyle w:val="ListParagraph"/>
        <w:autoSpaceDE w:val="0"/>
        <w:autoSpaceDN w:val="0"/>
        <w:adjustRightInd w:val="0"/>
        <w:ind w:left="2880" w:firstLine="720"/>
        <w:rPr>
          <w:szCs w:val="24"/>
        </w:rPr>
      </w:pPr>
      <w:r>
        <w:rPr>
          <w:szCs w:val="24"/>
        </w:rPr>
        <w:t>christopher.healey@occ.ohio.gov</w:t>
      </w:r>
    </w:p>
    <w:p w:rsidR="002C1F21" w14:paraId="6B2D5CFE" w14:textId="77777777">
      <w:pPr>
        <w:pStyle w:val="ListParagraph"/>
        <w:autoSpaceDE w:val="0"/>
        <w:autoSpaceDN w:val="0"/>
        <w:adjustRightInd w:val="0"/>
        <w:ind w:left="3600"/>
        <w:rPr>
          <w:rStyle w:val="Hyperlink"/>
          <w:szCs w:val="24"/>
        </w:rPr>
      </w:pPr>
      <w:r>
        <w:rPr>
          <w:szCs w:val="24"/>
        </w:rPr>
        <w:t>william.michael@occ.ohio.gov</w:t>
      </w:r>
    </w:p>
    <w:p w:rsidR="002C1F21" w14:paraId="46557D86" w14:textId="77777777">
      <w:pPr>
        <w:ind w:left="3600"/>
        <w:rPr>
          <w:b/>
          <w:bCs w:val="0"/>
          <w:szCs w:val="24"/>
        </w:rPr>
      </w:pPr>
      <w:r>
        <w:rPr>
          <w:szCs w:val="24"/>
        </w:rPr>
        <w:t>angela.obrien@occ.ohio.gov</w:t>
      </w:r>
    </w:p>
    <w:p w:rsidR="002C1F21" w14:paraId="58BD6441" w14:textId="77777777">
      <w:pPr>
        <w:pStyle w:val="ListParagraph"/>
        <w:autoSpaceDE w:val="0"/>
        <w:autoSpaceDN w:val="0"/>
        <w:adjustRightInd w:val="0"/>
        <w:ind w:left="3600"/>
        <w:rPr>
          <w:rStyle w:val="Hyperlink"/>
          <w:szCs w:val="24"/>
        </w:rPr>
      </w:pPr>
      <w:r>
        <w:rPr>
          <w:szCs w:val="24"/>
        </w:rPr>
        <w:t>john.finnigan@occ.ohio.gov</w:t>
      </w:r>
    </w:p>
    <w:p w:rsidR="002C1F21" w14:paraId="74BC0500" w14:textId="77777777">
      <w:pPr>
        <w:pStyle w:val="ListParagraph"/>
        <w:autoSpaceDE w:val="0"/>
        <w:autoSpaceDN w:val="0"/>
        <w:adjustRightInd w:val="0"/>
        <w:ind w:left="3600"/>
        <w:rPr>
          <w:rStyle w:val="Hyperlink"/>
          <w:color w:val="auto"/>
          <w:szCs w:val="24"/>
          <w:u w:val="none"/>
        </w:rPr>
      </w:pPr>
      <w:r>
        <w:rPr>
          <w:rStyle w:val="Hyperlink"/>
          <w:color w:val="auto"/>
          <w:szCs w:val="24"/>
          <w:u w:val="none"/>
        </w:rPr>
        <w:t>(willing to accept service by e-mail)</w:t>
      </w:r>
    </w:p>
    <w:p w:rsidR="002C1F21" w14:paraId="6C18C6B6" w14:textId="07E02949">
      <w:pPr>
        <w:pStyle w:val="ListParagraph"/>
        <w:autoSpaceDE w:val="0"/>
        <w:autoSpaceDN w:val="0"/>
        <w:adjustRightInd w:val="0"/>
        <w:ind w:left="3600"/>
        <w:rPr>
          <w:rStyle w:val="Hyperlink"/>
          <w:color w:val="auto"/>
          <w:szCs w:val="24"/>
          <w:u w:val="none"/>
        </w:rPr>
      </w:pPr>
    </w:p>
    <w:p w:rsidR="00B953C7" w14:paraId="3D9C7B95" w14:textId="40E3EDD0">
      <w:pPr>
        <w:pStyle w:val="ListParagraph"/>
        <w:autoSpaceDE w:val="0"/>
        <w:autoSpaceDN w:val="0"/>
        <w:adjustRightInd w:val="0"/>
        <w:ind w:left="3600"/>
        <w:rPr>
          <w:rStyle w:val="Hyperlink"/>
          <w:color w:val="auto"/>
          <w:szCs w:val="24"/>
          <w:u w:val="none"/>
        </w:rPr>
      </w:pPr>
      <w:r>
        <w:rPr>
          <w:i/>
          <w:szCs w:val="24"/>
        </w:rPr>
        <w:t>Counsel for the Office of the Ohio Consumers’ Counsel</w:t>
      </w:r>
    </w:p>
    <w:p w:rsidR="002C1F21" w14:paraId="0D8C1BBF" w14:textId="77777777">
      <w:pPr>
        <w:ind w:left="2880" w:firstLine="720"/>
        <w:contextualSpacing/>
        <w:rPr>
          <w:szCs w:val="24"/>
          <w:u w:val="single"/>
        </w:rPr>
      </w:pPr>
    </w:p>
    <w:p w:rsidR="002C1F21" w14:paraId="54950301" w14:textId="77777777">
      <w:pPr>
        <w:ind w:left="2880" w:firstLine="720"/>
        <w:contextualSpacing/>
        <w:rPr>
          <w:szCs w:val="24"/>
          <w:u w:val="single"/>
        </w:rPr>
      </w:pPr>
      <w:r>
        <w:rPr>
          <w:szCs w:val="24"/>
          <w:u w:val="single"/>
        </w:rPr>
        <w:t xml:space="preserve">/s/ </w:t>
      </w:r>
      <w:r>
        <w:rPr>
          <w:i/>
          <w:szCs w:val="24"/>
          <w:u w:val="single"/>
        </w:rPr>
        <w:t>Kimberly W. Bojko</w:t>
      </w:r>
      <w:r>
        <w:rPr>
          <w:szCs w:val="24"/>
          <w:u w:val="single"/>
        </w:rPr>
        <w:tab/>
      </w:r>
    </w:p>
    <w:p w:rsidR="002C1F21" w14:paraId="73A12962" w14:textId="77777777">
      <w:pPr>
        <w:ind w:left="2880" w:firstLine="720"/>
        <w:contextualSpacing/>
        <w:rPr>
          <w:szCs w:val="24"/>
        </w:rPr>
      </w:pPr>
      <w:r>
        <w:rPr>
          <w:szCs w:val="24"/>
        </w:rPr>
        <w:t>Kimberly W. Bojko (0069402) (Counsel of Record)</w:t>
      </w:r>
    </w:p>
    <w:p w:rsidR="002C1F21" w14:paraId="08BD922F" w14:textId="77777777">
      <w:pPr>
        <w:ind w:left="2880" w:firstLine="720"/>
        <w:contextualSpacing/>
        <w:rPr>
          <w:szCs w:val="24"/>
        </w:rPr>
      </w:pPr>
      <w:r>
        <w:rPr>
          <w:szCs w:val="24"/>
        </w:rPr>
        <w:t xml:space="preserve">Thomas V. Donadio (0100027) </w:t>
      </w:r>
    </w:p>
    <w:p w:rsidR="002C1F21" w14:paraId="6B9DD908" w14:textId="77777777">
      <w:pPr>
        <w:ind w:left="2880" w:firstLine="720"/>
        <w:contextualSpacing/>
        <w:rPr>
          <w:szCs w:val="24"/>
        </w:rPr>
      </w:pPr>
      <w:r>
        <w:rPr>
          <w:szCs w:val="24"/>
        </w:rPr>
        <w:t>Carpenter Lipps &amp; Leland LLP</w:t>
      </w:r>
    </w:p>
    <w:p w:rsidR="002C1F21" w14:paraId="219BFE72" w14:textId="77777777">
      <w:pPr>
        <w:ind w:left="2880" w:firstLine="720"/>
        <w:contextualSpacing/>
        <w:rPr>
          <w:szCs w:val="24"/>
        </w:rPr>
      </w:pPr>
      <w:r>
        <w:rPr>
          <w:szCs w:val="24"/>
        </w:rPr>
        <w:t>280 North High Street, Suite 1300</w:t>
      </w:r>
    </w:p>
    <w:p w:rsidR="002C1F21" w14:paraId="787D1CAC" w14:textId="77777777">
      <w:pPr>
        <w:ind w:left="2880" w:firstLine="720"/>
        <w:contextualSpacing/>
        <w:jc w:val="both"/>
        <w:rPr>
          <w:szCs w:val="24"/>
        </w:rPr>
      </w:pPr>
      <w:r>
        <w:rPr>
          <w:szCs w:val="24"/>
        </w:rPr>
        <w:t>Columbus, Ohio 43215</w:t>
      </w:r>
    </w:p>
    <w:p w:rsidR="002C1F21" w14:paraId="72C1FAB4" w14:textId="04E54A91">
      <w:pPr>
        <w:ind w:left="2880" w:firstLine="720"/>
        <w:contextualSpacing/>
        <w:jc w:val="both"/>
        <w:rPr>
          <w:szCs w:val="24"/>
        </w:rPr>
      </w:pPr>
      <w:r>
        <w:rPr>
          <w:szCs w:val="24"/>
        </w:rPr>
        <w:t>Telephone:</w:t>
      </w:r>
      <w:r w:rsidR="00816C60">
        <w:rPr>
          <w:szCs w:val="24"/>
        </w:rPr>
        <w:t xml:space="preserve"> </w:t>
      </w:r>
      <w:r>
        <w:rPr>
          <w:szCs w:val="24"/>
        </w:rPr>
        <w:t xml:space="preserve">(614) 365-4100 </w:t>
      </w:r>
      <w:r>
        <w:rPr>
          <w:szCs w:val="24"/>
        </w:rPr>
        <w:tab/>
      </w:r>
    </w:p>
    <w:p w:rsidR="002C1F21" w14:paraId="16BBADED" w14:textId="77777777">
      <w:pPr>
        <w:ind w:left="2880" w:firstLine="720"/>
        <w:contextualSpacing/>
        <w:jc w:val="both"/>
        <w:rPr>
          <w:szCs w:val="24"/>
        </w:rPr>
      </w:pPr>
      <w:r>
        <w:rPr>
          <w:szCs w:val="24"/>
        </w:rPr>
        <w:t>bojko@carpenterlipps.com</w:t>
      </w:r>
    </w:p>
    <w:p w:rsidR="002C1F21" w14:paraId="390C0B2E" w14:textId="77777777">
      <w:pPr>
        <w:ind w:left="2880" w:firstLine="720"/>
        <w:contextualSpacing/>
        <w:jc w:val="both"/>
        <w:rPr>
          <w:szCs w:val="24"/>
        </w:rPr>
      </w:pPr>
      <w:r>
        <w:rPr>
          <w:szCs w:val="24"/>
        </w:rPr>
        <w:t xml:space="preserve">donadio@carpenterlipps.com </w:t>
      </w:r>
    </w:p>
    <w:p w:rsidR="002C1F21" w14:paraId="1E15B263" w14:textId="77777777">
      <w:pPr>
        <w:ind w:left="2880" w:firstLine="720"/>
        <w:contextualSpacing/>
        <w:jc w:val="both"/>
        <w:rPr>
          <w:szCs w:val="24"/>
        </w:rPr>
      </w:pPr>
      <w:r>
        <w:rPr>
          <w:szCs w:val="24"/>
        </w:rPr>
        <w:t>(willing to accept service by e-mail</w:t>
      </w:r>
    </w:p>
    <w:p w:rsidR="002C1F21" w14:paraId="41694F2A" w14:textId="77777777">
      <w:pPr>
        <w:ind w:left="3960"/>
        <w:contextualSpacing/>
        <w:jc w:val="both"/>
        <w:rPr>
          <w:szCs w:val="24"/>
        </w:rPr>
      </w:pPr>
    </w:p>
    <w:p w:rsidR="002C1F21" w14:paraId="000ED7E0" w14:textId="77777777">
      <w:pPr>
        <w:ind w:left="3600"/>
        <w:contextualSpacing/>
        <w:jc w:val="both"/>
        <w:rPr>
          <w:rStyle w:val="Hyperlink"/>
          <w:color w:val="auto"/>
          <w:szCs w:val="24"/>
          <w:u w:val="none"/>
        </w:rPr>
      </w:pPr>
      <w:r>
        <w:rPr>
          <w:i/>
          <w:szCs w:val="24"/>
        </w:rPr>
        <w:t>Counsel for the Ohio Manufacturers’ Association</w:t>
      </w:r>
      <w:r>
        <w:rPr>
          <w:i/>
          <w:szCs w:val="24"/>
        </w:rPr>
        <w:tab/>
        <w:t xml:space="preserve"> Energy Group</w:t>
      </w:r>
    </w:p>
    <w:p w:rsidR="002C1F21" w14:paraId="547C6924" w14:textId="77777777">
      <w:pPr>
        <w:pStyle w:val="NormalWeb"/>
        <w:shd w:val="clear" w:color="auto" w:fill="FFFFFF"/>
        <w:spacing w:before="0" w:beforeAutospacing="0" w:after="0" w:afterAutospacing="0" w:line="480" w:lineRule="auto"/>
        <w:textAlignment w:val="baseline"/>
        <w:rPr>
          <w:rFonts w:eastAsiaTheme="minorHAnsi"/>
        </w:rPr>
      </w:pPr>
    </w:p>
    <w:p w:rsidR="002C1F21" w14:paraId="43DA6FD5" w14:textId="77777777">
      <w:pPr>
        <w:pStyle w:val="NormalWeb"/>
        <w:shd w:val="clear" w:color="auto" w:fill="FFFFFF"/>
        <w:spacing w:before="0" w:beforeAutospacing="0" w:after="0" w:afterAutospacing="0" w:line="480" w:lineRule="auto"/>
        <w:textAlignment w:val="baseline"/>
        <w:rPr>
          <w:rFonts w:eastAsiaTheme="minorHAnsi"/>
        </w:rPr>
        <w:sectPr>
          <w:footerReference w:type="default" r:id="rId6"/>
          <w:pgSz w:w="12240" w:h="15840"/>
          <w:pgMar w:top="1440" w:right="1440" w:bottom="1440" w:left="1440" w:header="720" w:footer="720" w:gutter="0"/>
          <w:pgNumType w:start="1"/>
          <w:cols w:space="720"/>
          <w:docGrid w:linePitch="360"/>
        </w:sectPr>
      </w:pPr>
    </w:p>
    <w:p w:rsidR="002C1F21" w14:paraId="2E01191E" w14:textId="77777777">
      <w:pPr>
        <w:jc w:val="center"/>
        <w:rPr>
          <w:b/>
          <w:bCs w:val="0"/>
          <w:szCs w:val="24"/>
          <w:u w:val="single"/>
        </w:rPr>
      </w:pPr>
      <w:r>
        <w:rPr>
          <w:b/>
          <w:szCs w:val="24"/>
          <w:u w:val="single"/>
        </w:rPr>
        <w:t>CERTIFICATE OF SERVICE</w:t>
      </w:r>
    </w:p>
    <w:p w:rsidR="002C1F21" w14:paraId="7B2D6C76" w14:textId="77777777">
      <w:pPr>
        <w:jc w:val="center"/>
        <w:rPr>
          <w:szCs w:val="24"/>
          <w:u w:val="single"/>
        </w:rPr>
      </w:pPr>
    </w:p>
    <w:p w:rsidR="002C1F21" w14:paraId="18A6DF89" w14:textId="01399B7A">
      <w:pPr>
        <w:spacing w:line="480" w:lineRule="auto"/>
        <w:rPr>
          <w:b/>
          <w:bCs w:val="0"/>
          <w:szCs w:val="24"/>
        </w:rPr>
      </w:pPr>
      <w:r>
        <w:rPr>
          <w:szCs w:val="24"/>
        </w:rPr>
        <w:tab/>
        <w:t xml:space="preserve">I hereby certify that a copy of this Motion was served on the persons stated below via electric transmission this </w:t>
      </w:r>
      <w:r w:rsidR="00037AB8">
        <w:rPr>
          <w:szCs w:val="24"/>
        </w:rPr>
        <w:t>30</w:t>
      </w:r>
      <w:r>
        <w:rPr>
          <w:szCs w:val="24"/>
        </w:rPr>
        <w:t>th day of July 2021.</w:t>
      </w:r>
    </w:p>
    <w:p w:rsidR="002C1F21" w14:paraId="54DA3733" w14:textId="77777777">
      <w:pPr>
        <w:rPr>
          <w:b/>
          <w:bCs w:val="0"/>
          <w:i/>
          <w:iCs/>
          <w:szCs w:val="24"/>
          <w:u w:val="single"/>
        </w:rPr>
      </w:pPr>
      <w:bookmarkStart w:id="0" w:name="_Hlk60904023"/>
      <w:r>
        <w:rPr>
          <w:szCs w:val="24"/>
        </w:rPr>
        <w:tab/>
      </w:r>
      <w:r>
        <w:rPr>
          <w:szCs w:val="24"/>
        </w:rPr>
        <w:tab/>
      </w:r>
      <w:r>
        <w:rPr>
          <w:szCs w:val="24"/>
        </w:rPr>
        <w:tab/>
      </w:r>
      <w:r>
        <w:rPr>
          <w:szCs w:val="24"/>
        </w:rPr>
        <w:tab/>
      </w:r>
      <w:r>
        <w:rPr>
          <w:szCs w:val="24"/>
        </w:rPr>
        <w:tab/>
      </w:r>
      <w:r>
        <w:rPr>
          <w:szCs w:val="24"/>
        </w:rPr>
        <w:tab/>
      </w:r>
      <w:r>
        <w:rPr>
          <w:i/>
          <w:iCs/>
          <w:szCs w:val="24"/>
          <w:u w:val="single"/>
        </w:rPr>
        <w:t>/s/ John Finnigan</w:t>
      </w:r>
    </w:p>
    <w:p w:rsidR="002C1F21" w14:paraId="528494B7" w14:textId="77777777">
      <w:pPr>
        <w:rPr>
          <w:b/>
          <w:bCs w:val="0"/>
          <w:szCs w:val="24"/>
        </w:rPr>
      </w:pPr>
      <w:r>
        <w:rPr>
          <w:szCs w:val="24"/>
        </w:rPr>
        <w:tab/>
      </w:r>
      <w:r>
        <w:rPr>
          <w:szCs w:val="24"/>
        </w:rPr>
        <w:tab/>
      </w:r>
      <w:r>
        <w:rPr>
          <w:szCs w:val="24"/>
        </w:rPr>
        <w:tab/>
      </w:r>
      <w:r>
        <w:rPr>
          <w:szCs w:val="24"/>
        </w:rPr>
        <w:tab/>
      </w:r>
      <w:r>
        <w:rPr>
          <w:szCs w:val="24"/>
        </w:rPr>
        <w:tab/>
      </w:r>
      <w:r>
        <w:rPr>
          <w:szCs w:val="24"/>
        </w:rPr>
        <w:tab/>
        <w:t>John Finnigan (0018689)</w:t>
      </w:r>
    </w:p>
    <w:p w:rsidR="002C1F21" w14:paraId="434A0D9E" w14:textId="77777777">
      <w:pPr>
        <w:rPr>
          <w:b/>
          <w:bCs w:val="0"/>
          <w:szCs w:val="24"/>
        </w:rPr>
      </w:pPr>
      <w:r>
        <w:rPr>
          <w:szCs w:val="24"/>
        </w:rPr>
        <w:tab/>
      </w:r>
      <w:r>
        <w:rPr>
          <w:szCs w:val="24"/>
        </w:rPr>
        <w:tab/>
      </w:r>
      <w:r>
        <w:rPr>
          <w:szCs w:val="24"/>
        </w:rPr>
        <w:tab/>
      </w:r>
      <w:r>
        <w:rPr>
          <w:szCs w:val="24"/>
        </w:rPr>
        <w:tab/>
      </w:r>
      <w:r>
        <w:rPr>
          <w:szCs w:val="24"/>
        </w:rPr>
        <w:tab/>
      </w:r>
      <w:r>
        <w:rPr>
          <w:szCs w:val="24"/>
        </w:rPr>
        <w:tab/>
        <w:t>Assistant Consumers’ Counsel</w:t>
      </w:r>
    </w:p>
    <w:bookmarkEnd w:id="0"/>
    <w:p w:rsidR="002C1F21" w14:paraId="0AF937C6" w14:textId="77777777">
      <w:pPr>
        <w:rPr>
          <w:b/>
          <w:bCs w:val="0"/>
          <w:szCs w:val="24"/>
        </w:rPr>
      </w:pPr>
    </w:p>
    <w:p w:rsidR="002C1F21" w14:paraId="15DD6473" w14:textId="77777777">
      <w:pPr>
        <w:rPr>
          <w:b/>
          <w:bCs w:val="0"/>
          <w:szCs w:val="24"/>
        </w:rPr>
      </w:pPr>
      <w:r>
        <w:rPr>
          <w:szCs w:val="24"/>
        </w:rPr>
        <w:t>The PUCO’s e-filing system will electronically serve notice of the filing of this document on the following parties:</w:t>
      </w:r>
    </w:p>
    <w:p w:rsidR="002C1F21" w14:paraId="6963481F" w14:textId="77777777">
      <w:pPr>
        <w:rPr>
          <w:b/>
          <w:bCs w:val="0"/>
          <w:szCs w:val="24"/>
        </w:rPr>
      </w:pPr>
    </w:p>
    <w:p w:rsidR="002C1F21" w14:paraId="20D2BDE2" w14:textId="77777777">
      <w:pPr>
        <w:pStyle w:val="CommentText"/>
        <w:jc w:val="center"/>
        <w:rPr>
          <w:b/>
          <w:sz w:val="24"/>
          <w:szCs w:val="24"/>
          <w:u w:val="single"/>
        </w:rPr>
      </w:pPr>
      <w:r>
        <w:rPr>
          <w:b/>
          <w:sz w:val="24"/>
          <w:szCs w:val="24"/>
          <w:u w:val="single"/>
        </w:rPr>
        <w:t>SERVICE LIST</w:t>
      </w:r>
    </w:p>
    <w:p w:rsidR="002C1F21" w14:paraId="4FCB3ACD" w14:textId="77777777">
      <w:pPr>
        <w:pStyle w:val="CommentText"/>
        <w:jc w:val="center"/>
        <w:rPr>
          <w:b/>
          <w:sz w:val="24"/>
          <w:szCs w:val="24"/>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75"/>
        <w:gridCol w:w="4675"/>
      </w:tblGrid>
      <w:tr w14:paraId="35343A73" w14:textId="77777777">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675" w:type="dxa"/>
          </w:tcPr>
          <w:p w:rsidR="002C1F21" w14:paraId="429BB10D" w14:textId="77777777">
            <w:pPr>
              <w:pStyle w:val="BodyText"/>
              <w:spacing w:line="240" w:lineRule="auto"/>
              <w:rPr>
                <w:u w:val="single"/>
              </w:rPr>
            </w:pPr>
            <w:r>
              <w:rPr>
                <w:u w:val="single"/>
              </w:rPr>
              <w:t>18-1004-EL-RDR et al</w:t>
            </w:r>
          </w:p>
          <w:p w:rsidR="002C1F21" w14:paraId="69E40CBF" w14:textId="77777777">
            <w:pPr>
              <w:pStyle w:val="BodyText"/>
              <w:spacing w:line="240" w:lineRule="auto"/>
              <w:rPr>
                <w:rStyle w:val="Hyperlink"/>
                <w:bCs/>
              </w:rPr>
            </w:pPr>
            <w:r>
              <w:t>kyle</w:t>
            </w:r>
            <w:r>
              <w:rPr>
                <w:bCs/>
              </w:rPr>
              <w:t>.kern@ohioAGO.gov</w:t>
            </w:r>
          </w:p>
          <w:p w:rsidR="002C1F21" w14:paraId="6CC9F119" w14:textId="77777777">
            <w:pPr>
              <w:pStyle w:val="BodyText"/>
              <w:spacing w:line="240" w:lineRule="auto"/>
              <w:rPr>
                <w:rStyle w:val="Hyperlink"/>
                <w:bCs/>
              </w:rPr>
            </w:pPr>
            <w:r>
              <w:rPr>
                <w:bCs/>
              </w:rPr>
              <w:t>thomas.lindgren@ohioAGO.gov</w:t>
            </w:r>
          </w:p>
          <w:p w:rsidR="002C1F21" w14:paraId="1A3333A3" w14:textId="77777777">
            <w:pPr>
              <w:autoSpaceDE w:val="0"/>
              <w:autoSpaceDN w:val="0"/>
              <w:adjustRightInd w:val="0"/>
              <w:rPr>
                <w:color w:val="0000FF"/>
                <w:szCs w:val="24"/>
              </w:rPr>
            </w:pPr>
            <w:r>
              <w:rPr>
                <w:szCs w:val="24"/>
              </w:rPr>
              <w:t>mkurtz@BKLlawfirm.com</w:t>
            </w:r>
          </w:p>
          <w:p w:rsidR="002C1F21" w14:paraId="3950A8E4" w14:textId="77777777">
            <w:pPr>
              <w:autoSpaceDE w:val="0"/>
              <w:autoSpaceDN w:val="0"/>
              <w:adjustRightInd w:val="0"/>
              <w:rPr>
                <w:color w:val="0000FF"/>
                <w:szCs w:val="24"/>
              </w:rPr>
            </w:pPr>
            <w:r>
              <w:rPr>
                <w:szCs w:val="24"/>
              </w:rPr>
              <w:t>kboehm@BKLlawfirm.com</w:t>
            </w:r>
          </w:p>
          <w:p w:rsidR="002C1F21" w14:paraId="666C00E7" w14:textId="77777777">
            <w:pPr>
              <w:pStyle w:val="BodyText"/>
              <w:spacing w:line="240" w:lineRule="auto"/>
              <w:rPr>
                <w:rStyle w:val="Hyperlink"/>
                <w:rFonts w:eastAsiaTheme="minorHAnsi"/>
              </w:rPr>
            </w:pPr>
            <w:r>
              <w:rPr>
                <w:rFonts w:eastAsiaTheme="minorHAnsi"/>
              </w:rPr>
              <w:t>jkylercohn@BKLlawfirm.com</w:t>
            </w:r>
          </w:p>
          <w:p w:rsidR="002C1F21" w14:paraId="586B8219" w14:textId="77777777">
            <w:pPr>
              <w:pStyle w:val="BodyText"/>
              <w:spacing w:line="240" w:lineRule="auto"/>
              <w:rPr>
                <w:rStyle w:val="Hyperlink"/>
                <w:rFonts w:eastAsiaTheme="minorHAnsi"/>
              </w:rPr>
            </w:pPr>
          </w:p>
          <w:p w:rsidR="002C1F21" w14:paraId="2F6ACD4E" w14:textId="77777777">
            <w:pPr>
              <w:pStyle w:val="BodyText"/>
              <w:spacing w:line="240" w:lineRule="auto"/>
              <w:rPr>
                <w:bCs/>
              </w:rPr>
            </w:pPr>
            <w:r>
              <w:rPr>
                <w:bCs/>
              </w:rPr>
              <w:t>Attorney Examiners:</w:t>
            </w:r>
          </w:p>
          <w:p w:rsidR="002C1F21" w14:paraId="2F52E31B" w14:textId="77777777">
            <w:pPr>
              <w:pStyle w:val="BodyText"/>
              <w:spacing w:line="240" w:lineRule="auto"/>
              <w:rPr>
                <w:bCs/>
              </w:rPr>
            </w:pPr>
            <w:r>
              <w:t>s</w:t>
            </w:r>
            <w:r>
              <w:rPr>
                <w:bCs/>
              </w:rPr>
              <w:t>arah.parrot@puco.ohio.gov</w:t>
            </w:r>
          </w:p>
          <w:p w:rsidR="002C1F21" w14:paraId="19DF5E60" w14:textId="77777777">
            <w:pPr>
              <w:pStyle w:val="BodyText"/>
              <w:spacing w:line="240" w:lineRule="auto"/>
              <w:rPr>
                <w:rStyle w:val="Hyperlink"/>
                <w:bCs/>
              </w:rPr>
            </w:pPr>
            <w:r>
              <w:t>g</w:t>
            </w:r>
            <w:r>
              <w:rPr>
                <w:bCs/>
              </w:rPr>
              <w:t>reta.see@puco.ohio.gov</w:t>
            </w:r>
          </w:p>
          <w:p w:rsidR="002C1F21" w14:paraId="29343B01" w14:textId="77777777">
            <w:pPr>
              <w:pStyle w:val="BodyText"/>
              <w:spacing w:line="240" w:lineRule="auto"/>
              <w:rPr>
                <w:rStyle w:val="Hyperlink"/>
                <w:rFonts w:eastAsiaTheme="minorHAnsi"/>
              </w:rPr>
            </w:pPr>
          </w:p>
          <w:p w:rsidR="002C1F21" w14:paraId="53C85CB2" w14:textId="77777777">
            <w:pPr>
              <w:pStyle w:val="CommentText"/>
              <w:jc w:val="center"/>
              <w:rPr>
                <w:b/>
                <w:sz w:val="24"/>
                <w:szCs w:val="24"/>
                <w:u w:val="single"/>
              </w:rPr>
            </w:pPr>
          </w:p>
          <w:p w:rsidR="002C1F21" w14:paraId="4898EF81" w14:textId="77777777">
            <w:pPr>
              <w:pStyle w:val="CommentText"/>
              <w:rPr>
                <w:bCs w:val="0"/>
                <w:sz w:val="24"/>
                <w:szCs w:val="24"/>
              </w:rPr>
            </w:pPr>
            <w:r>
              <w:rPr>
                <w:bCs w:val="0"/>
                <w:sz w:val="24"/>
                <w:szCs w:val="24"/>
              </w:rPr>
              <w:t>20-167-EL-RDR</w:t>
            </w:r>
          </w:p>
          <w:p w:rsidR="002C1F21" w14:paraId="2E2915B6" w14:textId="77777777">
            <w:pPr>
              <w:pStyle w:val="CommentText"/>
              <w:spacing w:line="276" w:lineRule="auto"/>
              <w:rPr>
                <w:b/>
                <w:sz w:val="24"/>
                <w:szCs w:val="24"/>
              </w:rPr>
            </w:pPr>
            <w:r>
              <w:rPr>
                <w:sz w:val="24"/>
                <w:szCs w:val="24"/>
              </w:rPr>
              <w:t>thomas.lindgren@ohioAGO.gov</w:t>
            </w:r>
          </w:p>
          <w:p w:rsidR="002C1F21" w14:paraId="7932A587" w14:textId="77777777">
            <w:pPr>
              <w:pStyle w:val="CommentText"/>
              <w:spacing w:line="276" w:lineRule="auto"/>
              <w:rPr>
                <w:sz w:val="24"/>
                <w:szCs w:val="24"/>
              </w:rPr>
            </w:pPr>
            <w:r>
              <w:rPr>
                <w:sz w:val="24"/>
                <w:szCs w:val="24"/>
              </w:rPr>
              <w:t>kyle.kern@ohioAGO.gov</w:t>
            </w:r>
          </w:p>
          <w:p w:rsidR="002C1F21" w14:paraId="27053803" w14:textId="77777777">
            <w:pPr>
              <w:pStyle w:val="CommentText"/>
              <w:spacing w:line="276" w:lineRule="auto"/>
              <w:rPr>
                <w:color w:val="0563C2"/>
                <w:sz w:val="24"/>
                <w:szCs w:val="24"/>
              </w:rPr>
            </w:pPr>
            <w:r>
              <w:rPr>
                <w:sz w:val="24"/>
                <w:szCs w:val="24"/>
              </w:rPr>
              <w:t>bojko@carpenterlipps.com</w:t>
            </w:r>
          </w:p>
          <w:p w:rsidR="002C1F21" w14:paraId="0E428A42" w14:textId="77777777">
            <w:pPr>
              <w:pStyle w:val="CommentText"/>
              <w:spacing w:line="276" w:lineRule="auto"/>
              <w:rPr>
                <w:rStyle w:val="Hyperlink"/>
                <w:sz w:val="24"/>
                <w:szCs w:val="24"/>
              </w:rPr>
            </w:pPr>
            <w:r>
              <w:rPr>
                <w:sz w:val="24"/>
                <w:szCs w:val="24"/>
              </w:rPr>
              <w:t>paul@carpenterlipps.com</w:t>
            </w:r>
          </w:p>
          <w:p w:rsidR="002C1F21" w14:paraId="29BEBE2D" w14:textId="77777777">
            <w:pPr>
              <w:pStyle w:val="CommentText"/>
              <w:spacing w:line="276" w:lineRule="auto"/>
              <w:rPr>
                <w:rStyle w:val="Hyperlink"/>
                <w:sz w:val="24"/>
                <w:szCs w:val="24"/>
              </w:rPr>
            </w:pPr>
          </w:p>
          <w:p w:rsidR="002C1F21" w14:paraId="159280AB" w14:textId="77777777">
            <w:pPr>
              <w:pStyle w:val="CommentText"/>
              <w:spacing w:line="276" w:lineRule="auto"/>
              <w:ind w:left="-18"/>
              <w:rPr>
                <w:b/>
                <w:sz w:val="24"/>
                <w:szCs w:val="24"/>
              </w:rPr>
            </w:pPr>
            <w:r>
              <w:rPr>
                <w:sz w:val="24"/>
                <w:szCs w:val="24"/>
              </w:rPr>
              <w:t>Attorney Examiners:</w:t>
            </w:r>
          </w:p>
          <w:p w:rsidR="002C1F21" w14:paraId="305EDC11" w14:textId="77777777">
            <w:pPr>
              <w:pStyle w:val="CommentText"/>
              <w:spacing w:line="276" w:lineRule="auto"/>
              <w:ind w:left="-18"/>
              <w:rPr>
                <w:b/>
                <w:sz w:val="24"/>
                <w:szCs w:val="24"/>
              </w:rPr>
            </w:pPr>
            <w:r>
              <w:rPr>
                <w:sz w:val="24"/>
                <w:szCs w:val="24"/>
              </w:rPr>
              <w:t>Lauren.augostini@puco.ohio.gov</w:t>
            </w:r>
          </w:p>
          <w:p w:rsidR="002C1F21" w14:paraId="422D37A4" w14:textId="77777777">
            <w:pPr>
              <w:pStyle w:val="CommentText"/>
              <w:spacing w:line="276" w:lineRule="auto"/>
              <w:ind w:left="-18"/>
              <w:rPr>
                <w:rStyle w:val="Hyperlink"/>
                <w:b/>
                <w:sz w:val="24"/>
                <w:szCs w:val="24"/>
              </w:rPr>
            </w:pPr>
            <w:r>
              <w:rPr>
                <w:sz w:val="24"/>
                <w:szCs w:val="24"/>
              </w:rPr>
              <w:t>Nicholas.walstra@puco.ohio.gov</w:t>
            </w:r>
          </w:p>
          <w:p w:rsidR="002C1F21" w14:paraId="5BBC62A5" w14:textId="77777777">
            <w:pPr>
              <w:pStyle w:val="CommentText"/>
              <w:rPr>
                <w:bCs w:val="0"/>
                <w:sz w:val="24"/>
                <w:szCs w:val="24"/>
              </w:rPr>
            </w:pPr>
          </w:p>
        </w:tc>
        <w:tc>
          <w:tcPr>
            <w:tcW w:w="4675" w:type="dxa"/>
          </w:tcPr>
          <w:p w:rsidR="002C1F21" w14:paraId="65214C80" w14:textId="77777777">
            <w:pPr>
              <w:autoSpaceDE w:val="0"/>
              <w:autoSpaceDN w:val="0"/>
              <w:adjustRightInd w:val="0"/>
              <w:ind w:left="342"/>
              <w:rPr>
                <w:szCs w:val="24"/>
              </w:rPr>
            </w:pPr>
          </w:p>
          <w:p w:rsidR="002C1F21" w14:paraId="4980AE4E" w14:textId="77777777">
            <w:pPr>
              <w:autoSpaceDE w:val="0"/>
              <w:autoSpaceDN w:val="0"/>
              <w:adjustRightInd w:val="0"/>
              <w:ind w:left="342"/>
              <w:rPr>
                <w:rStyle w:val="Hyperlink"/>
                <w:bCs w:val="0"/>
                <w:szCs w:val="24"/>
              </w:rPr>
            </w:pPr>
            <w:r>
              <w:rPr>
                <w:szCs w:val="24"/>
              </w:rPr>
              <w:t>stnourse@aep.com</w:t>
            </w:r>
          </w:p>
          <w:p w:rsidR="002C1F21" w14:paraId="68ABBE13" w14:textId="77777777">
            <w:pPr>
              <w:autoSpaceDE w:val="0"/>
              <w:autoSpaceDN w:val="0"/>
              <w:adjustRightInd w:val="0"/>
              <w:ind w:left="342"/>
              <w:rPr>
                <w:bCs w:val="0"/>
                <w:szCs w:val="24"/>
              </w:rPr>
            </w:pPr>
            <w:r>
              <w:rPr>
                <w:szCs w:val="24"/>
              </w:rPr>
              <w:t>mpritchard@mcneeslaw.com</w:t>
            </w:r>
          </w:p>
          <w:p w:rsidR="002C1F21" w14:paraId="1FA7D3A5" w14:textId="77777777">
            <w:pPr>
              <w:autoSpaceDE w:val="0"/>
              <w:autoSpaceDN w:val="0"/>
              <w:adjustRightInd w:val="0"/>
              <w:ind w:left="342"/>
              <w:rPr>
                <w:rStyle w:val="Hyperlink"/>
                <w:bCs w:val="0"/>
                <w:szCs w:val="24"/>
              </w:rPr>
            </w:pPr>
            <w:r>
              <w:rPr>
                <w:szCs w:val="24"/>
              </w:rPr>
              <w:t>rglover@mcneeslaw.com</w:t>
            </w:r>
          </w:p>
          <w:p w:rsidR="002C1F21" w14:paraId="046F1445" w14:textId="77777777">
            <w:pPr>
              <w:autoSpaceDE w:val="0"/>
              <w:autoSpaceDN w:val="0"/>
              <w:adjustRightInd w:val="0"/>
              <w:ind w:left="342"/>
              <w:rPr>
                <w:rStyle w:val="Hyperlink"/>
                <w:szCs w:val="24"/>
              </w:rPr>
            </w:pPr>
            <w:r>
              <w:rPr>
                <w:szCs w:val="24"/>
              </w:rPr>
              <w:t>rdove@keglerbrown.com</w:t>
            </w:r>
          </w:p>
          <w:p w:rsidR="002C1F21" w14:paraId="34695ECD" w14:textId="77777777">
            <w:pPr>
              <w:autoSpaceDE w:val="0"/>
              <w:autoSpaceDN w:val="0"/>
              <w:adjustRightInd w:val="0"/>
              <w:ind w:left="342"/>
              <w:rPr>
                <w:szCs w:val="24"/>
              </w:rPr>
            </w:pPr>
            <w:r>
              <w:rPr>
                <w:szCs w:val="24"/>
              </w:rPr>
              <w:t>megan.wachpress@sierraclub.org</w:t>
            </w:r>
          </w:p>
          <w:p w:rsidR="002C1F21" w14:paraId="4966C01B" w14:textId="77777777">
            <w:pPr>
              <w:autoSpaceDE w:val="0"/>
              <w:autoSpaceDN w:val="0"/>
              <w:adjustRightInd w:val="0"/>
              <w:ind w:left="342"/>
              <w:rPr>
                <w:color w:val="0000FF"/>
                <w:szCs w:val="24"/>
              </w:rPr>
            </w:pPr>
            <w:r>
              <w:rPr>
                <w:szCs w:val="24"/>
              </w:rPr>
              <w:t>bojko@carpenterlipps.com</w:t>
            </w:r>
          </w:p>
          <w:p w:rsidR="002C1F21" w14:paraId="05E4994A" w14:textId="77777777">
            <w:pPr>
              <w:autoSpaceDE w:val="0"/>
              <w:autoSpaceDN w:val="0"/>
              <w:adjustRightInd w:val="0"/>
              <w:ind w:left="342"/>
              <w:rPr>
                <w:szCs w:val="24"/>
              </w:rPr>
            </w:pPr>
            <w:r>
              <w:rPr>
                <w:szCs w:val="24"/>
              </w:rPr>
              <w:t>donadio@carpenterlipps.com</w:t>
            </w:r>
          </w:p>
          <w:p w:rsidR="002C1F21" w14:paraId="2DD95851" w14:textId="77777777">
            <w:pPr>
              <w:autoSpaceDE w:val="0"/>
              <w:autoSpaceDN w:val="0"/>
              <w:adjustRightInd w:val="0"/>
              <w:ind w:left="342"/>
              <w:rPr>
                <w:rStyle w:val="Hyperlink"/>
                <w:szCs w:val="24"/>
              </w:rPr>
            </w:pPr>
          </w:p>
          <w:p w:rsidR="002C1F21" w14:paraId="061DEA41" w14:textId="77777777">
            <w:pPr>
              <w:autoSpaceDE w:val="0"/>
              <w:autoSpaceDN w:val="0"/>
              <w:adjustRightInd w:val="0"/>
              <w:ind w:left="1100"/>
              <w:rPr>
                <w:rStyle w:val="Hyperlink"/>
                <w:szCs w:val="24"/>
              </w:rPr>
            </w:pPr>
          </w:p>
          <w:p w:rsidR="002C1F21" w14:paraId="44B07663" w14:textId="77777777">
            <w:pPr>
              <w:autoSpaceDE w:val="0"/>
              <w:autoSpaceDN w:val="0"/>
              <w:adjustRightInd w:val="0"/>
              <w:ind w:left="1100"/>
              <w:rPr>
                <w:rStyle w:val="Hyperlink"/>
                <w:szCs w:val="24"/>
              </w:rPr>
            </w:pPr>
          </w:p>
          <w:p w:rsidR="002C1F21" w14:paraId="40BA8556" w14:textId="77777777">
            <w:pPr>
              <w:autoSpaceDE w:val="0"/>
              <w:autoSpaceDN w:val="0"/>
              <w:adjustRightInd w:val="0"/>
              <w:ind w:left="1100"/>
              <w:rPr>
                <w:rStyle w:val="Hyperlink"/>
                <w:szCs w:val="24"/>
              </w:rPr>
            </w:pPr>
          </w:p>
          <w:p w:rsidR="002C1F21" w14:paraId="4E9A181F" w14:textId="77777777">
            <w:pPr>
              <w:autoSpaceDE w:val="0"/>
              <w:autoSpaceDN w:val="0"/>
              <w:adjustRightInd w:val="0"/>
              <w:ind w:left="342"/>
              <w:rPr>
                <w:szCs w:val="24"/>
              </w:rPr>
            </w:pPr>
          </w:p>
          <w:p w:rsidR="002C1F21" w14:paraId="089C3BFA" w14:textId="77777777">
            <w:pPr>
              <w:pStyle w:val="CommentText"/>
              <w:spacing w:line="276" w:lineRule="auto"/>
              <w:ind w:left="360"/>
              <w:rPr>
                <w:rStyle w:val="Hyperlink"/>
                <w:sz w:val="24"/>
                <w:szCs w:val="24"/>
              </w:rPr>
            </w:pPr>
            <w:r>
              <w:rPr>
                <w:sz w:val="24"/>
                <w:szCs w:val="24"/>
              </w:rPr>
              <w:t>rocco.dascenzo@duke-energy.com</w:t>
            </w:r>
          </w:p>
          <w:p w:rsidR="002C1F21" w14:paraId="6CB589B5" w14:textId="77777777">
            <w:pPr>
              <w:pStyle w:val="CommentText"/>
              <w:spacing w:line="276" w:lineRule="auto"/>
              <w:ind w:left="360"/>
              <w:rPr>
                <w:rStyle w:val="Hyperlink"/>
                <w:b/>
                <w:sz w:val="24"/>
                <w:szCs w:val="24"/>
              </w:rPr>
            </w:pPr>
            <w:r>
              <w:rPr>
                <w:sz w:val="24"/>
                <w:szCs w:val="24"/>
              </w:rPr>
              <w:t>Jeanne.kingery@duke-energy.com</w:t>
            </w:r>
          </w:p>
          <w:p w:rsidR="002C1F21" w14:paraId="0B70E52F" w14:textId="77777777">
            <w:pPr>
              <w:pStyle w:val="CommentText"/>
              <w:spacing w:line="276" w:lineRule="auto"/>
              <w:ind w:left="360"/>
              <w:rPr>
                <w:rStyle w:val="Hyperlink"/>
                <w:sz w:val="24"/>
                <w:szCs w:val="24"/>
              </w:rPr>
            </w:pPr>
            <w:r>
              <w:rPr>
                <w:sz w:val="24"/>
                <w:szCs w:val="24"/>
              </w:rPr>
              <w:t>Larisa.vaysman@duke-energy.com</w:t>
            </w:r>
          </w:p>
          <w:p w:rsidR="002C1F21" w14:paraId="0514FC71" w14:textId="77777777">
            <w:pPr>
              <w:pStyle w:val="CommentText"/>
              <w:spacing w:line="276" w:lineRule="auto"/>
              <w:ind w:left="360"/>
              <w:rPr>
                <w:rStyle w:val="Hyperlink"/>
                <w:sz w:val="24"/>
                <w:szCs w:val="24"/>
              </w:rPr>
            </w:pPr>
          </w:p>
          <w:p w:rsidR="002C1F21" w14:paraId="11252FA7" w14:textId="77777777">
            <w:pPr>
              <w:autoSpaceDE w:val="0"/>
              <w:autoSpaceDN w:val="0"/>
              <w:adjustRightInd w:val="0"/>
              <w:ind w:left="1247"/>
              <w:rPr>
                <w:bCs w:val="0"/>
                <w:szCs w:val="24"/>
              </w:rPr>
            </w:pPr>
          </w:p>
          <w:p w:rsidR="002C1F21" w14:paraId="5AA1E0C6" w14:textId="77777777">
            <w:pPr>
              <w:autoSpaceDE w:val="0"/>
              <w:autoSpaceDN w:val="0"/>
              <w:adjustRightInd w:val="0"/>
              <w:ind w:left="1100"/>
              <w:rPr>
                <w:rStyle w:val="Hyperlink"/>
                <w:szCs w:val="24"/>
              </w:rPr>
            </w:pPr>
          </w:p>
          <w:p w:rsidR="002C1F21" w14:paraId="0F38F43C" w14:textId="77777777">
            <w:pPr>
              <w:autoSpaceDE w:val="0"/>
              <w:autoSpaceDN w:val="0"/>
              <w:adjustRightInd w:val="0"/>
              <w:ind w:left="1100"/>
              <w:rPr>
                <w:rStyle w:val="Hyperlink"/>
                <w:bCs w:val="0"/>
                <w:szCs w:val="24"/>
              </w:rPr>
            </w:pPr>
          </w:p>
          <w:p w:rsidR="002C1F21" w14:paraId="16FE4F48" w14:textId="77777777">
            <w:pPr>
              <w:pStyle w:val="CommentText"/>
              <w:rPr>
                <w:b/>
                <w:sz w:val="24"/>
                <w:szCs w:val="24"/>
                <w:u w:val="single"/>
              </w:rPr>
            </w:pPr>
          </w:p>
        </w:tc>
      </w:tr>
    </w:tbl>
    <w:p w:rsidR="002C1F21" w14:paraId="2FB31795" w14:textId="77777777">
      <w:pPr>
        <w:pStyle w:val="CommentText"/>
        <w:rPr>
          <w:sz w:val="24"/>
          <w:szCs w:val="24"/>
          <w:u w:val="single"/>
        </w:rPr>
      </w:pP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roman"/>
    <w:pitch w:val="variable"/>
    <w:sig w:usb0="E0002AEF" w:usb1="C0007841"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07985725"/>
      <w:docPartObj>
        <w:docPartGallery w:val="Page Numbers (Bottom of Page)"/>
        <w:docPartUnique/>
      </w:docPartObj>
    </w:sdtPr>
    <w:sdtEndPr>
      <w:rPr>
        <w:noProof/>
      </w:rPr>
    </w:sdtEndPr>
    <w:sdtContent>
      <w:p w:rsidR="00365812" w14:paraId="3F05092E" w14:textId="322152F5">
        <w:pPr>
          <w:pStyle w:val="Footer"/>
          <w:jc w:val="center"/>
        </w:pPr>
        <w:r>
          <w:fldChar w:fldCharType="begin"/>
        </w:r>
        <w:r>
          <w:instrText xml:space="preserve"> PAGE   \* MERGEFORMAT </w:instrText>
        </w:r>
        <w:r>
          <w:fldChar w:fldCharType="separate"/>
        </w:r>
        <w:r w:rsidR="00893B4A">
          <w:rPr>
            <w:noProof/>
          </w:rPr>
          <w:t>3</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1E25B5" w14:paraId="4086834F" w14:textId="77777777">
      <w:r>
        <w:separator/>
      </w:r>
    </w:p>
  </w:footnote>
  <w:footnote w:type="continuationSeparator" w:id="1">
    <w:p w:rsidR="001E25B5" w14:paraId="53482266" w14:textId="77777777">
      <w:r>
        <w:continuationSeparator/>
      </w:r>
    </w:p>
  </w:footnote>
  <w:footnote w:type="continuationNotice" w:id="2">
    <w:p w:rsidR="001E25B5" w14:paraId="2438CE7A" w14:textId="77777777"/>
  </w:footnote>
  <w:footnote w:id="3">
    <w:p w:rsidR="003F5C27" w:rsidRPr="00816C60" w:rsidP="00816C60" w14:paraId="5FFD1DE3" w14:textId="27FEEC16">
      <w:pPr>
        <w:pStyle w:val="FootnoteText"/>
        <w:spacing w:after="120"/>
        <w:rPr>
          <w:b w:val="0"/>
          <w:bCs w:val="0"/>
        </w:rPr>
      </w:pPr>
      <w:r w:rsidRPr="00816C60">
        <w:rPr>
          <w:rStyle w:val="FootnoteReference"/>
        </w:rPr>
        <w:footnoteRef/>
      </w:r>
      <w:r w:rsidRPr="00816C60">
        <w:t xml:space="preserve"> </w:t>
      </w:r>
      <w:r w:rsidRPr="00816C60">
        <w:rPr>
          <w:b w:val="0"/>
          <w:bCs w:val="0"/>
        </w:rPr>
        <w:t>Staff Memorandum Contra at 3</w:t>
      </w:r>
      <w:r w:rsidR="00816C60">
        <w:rPr>
          <w:b w:val="0"/>
          <w:bCs w:val="0"/>
        </w:rPr>
        <w:t>.</w:t>
      </w:r>
      <w:r w:rsidRPr="00816C60">
        <w:rPr>
          <w:b w:val="0"/>
          <w:bCs w:val="0"/>
        </w:rPr>
        <w:t>.</w:t>
      </w:r>
    </w:p>
  </w:footnote>
  <w:footnote w:id="4">
    <w:p w:rsidR="003F5C27" w:rsidRPr="00816C60" w:rsidP="00816C60" w14:paraId="6878FC33" w14:textId="79B3DFCE">
      <w:pPr>
        <w:pStyle w:val="FootnoteText"/>
        <w:spacing w:after="120"/>
        <w:rPr>
          <w:b w:val="0"/>
        </w:rPr>
      </w:pPr>
      <w:r w:rsidRPr="00816C60">
        <w:rPr>
          <w:rStyle w:val="FootnoteReference"/>
        </w:rPr>
        <w:footnoteRef/>
      </w:r>
      <w:r w:rsidRPr="00816C60">
        <w:t xml:space="preserve"> </w:t>
      </w:r>
      <w:r w:rsidRPr="00816C60">
        <w:rPr>
          <w:b w:val="0"/>
        </w:rPr>
        <w:t>AEP Memorandum Contra at 1.</w:t>
      </w:r>
      <w:r w:rsidRPr="00816C60">
        <w:t xml:space="preserve"> </w:t>
      </w:r>
    </w:p>
  </w:footnote>
  <w:footnote w:id="5">
    <w:p w:rsidR="00C0397F" w:rsidRPr="00816C60" w:rsidP="00816C60" w14:paraId="28D3AF72" w14:textId="049DDD8C">
      <w:pPr>
        <w:pStyle w:val="FootnoteText"/>
        <w:spacing w:after="120"/>
      </w:pPr>
      <w:r w:rsidRPr="00816C60">
        <w:rPr>
          <w:rStyle w:val="FootnoteReference"/>
          <w:b w:val="0"/>
        </w:rPr>
        <w:footnoteRef/>
      </w:r>
      <w:r w:rsidRPr="00816C60">
        <w:rPr>
          <w:b w:val="0"/>
          <w:i/>
        </w:rPr>
        <w:t xml:space="preserve"> See</w:t>
      </w:r>
      <w:r w:rsidRPr="00816C60">
        <w:rPr>
          <w:b w:val="0"/>
        </w:rPr>
        <w:t xml:space="preserve"> OCC and OMAEG’s Joint Motion at 1-2.</w:t>
      </w:r>
      <w:r w:rsidRPr="00816C60">
        <w:t xml:space="preserve"> </w:t>
      </w:r>
    </w:p>
  </w:footnote>
  <w:footnote w:id="6">
    <w:p w:rsidR="00490E85" w:rsidRPr="00816C60" w:rsidP="00816C60" w14:paraId="1BDFCC80" w14:textId="3748F324">
      <w:pPr>
        <w:pStyle w:val="FootnoteText"/>
        <w:spacing w:after="120"/>
      </w:pPr>
      <w:r w:rsidRPr="00816C60">
        <w:rPr>
          <w:rStyle w:val="FootnoteReference"/>
        </w:rPr>
        <w:footnoteRef/>
      </w:r>
      <w:r w:rsidRPr="00816C60">
        <w:t xml:space="preserve"> </w:t>
      </w:r>
      <w:r w:rsidRPr="00816C60">
        <w:rPr>
          <w:b w:val="0"/>
        </w:rPr>
        <w:t>AEP Memorandum Contra at 1.</w:t>
      </w:r>
    </w:p>
  </w:footnote>
  <w:footnote w:id="7">
    <w:p w:rsidR="0008240B" w:rsidRPr="00816C60" w:rsidP="00816C60" w14:paraId="0AA4A048" w14:textId="347C1385">
      <w:pPr>
        <w:spacing w:after="120"/>
        <w:rPr>
          <w:b/>
          <w:bCs w:val="0"/>
          <w:sz w:val="20"/>
        </w:rPr>
      </w:pPr>
      <w:r w:rsidRPr="00816C60">
        <w:rPr>
          <w:rStyle w:val="FootnoteReference"/>
          <w:sz w:val="20"/>
        </w:rPr>
        <w:footnoteRef/>
      </w:r>
      <w:r w:rsidRPr="00816C60">
        <w:rPr>
          <w:sz w:val="20"/>
        </w:rPr>
        <w:t xml:space="preserve"> </w:t>
      </w:r>
      <w:r w:rsidRPr="00816C60">
        <w:rPr>
          <w:i/>
          <w:sz w:val="20"/>
          <w:szCs w:val="20"/>
        </w:rPr>
        <w:t>See</w:t>
      </w:r>
      <w:r w:rsidRPr="00816C60">
        <w:rPr>
          <w:sz w:val="20"/>
          <w:szCs w:val="20"/>
        </w:rPr>
        <w:t xml:space="preserve"> </w:t>
      </w:r>
      <w:r w:rsidRPr="00816C60">
        <w:rPr>
          <w:rFonts w:eastAsia="Times New Roman"/>
          <w:i/>
          <w:iCs/>
          <w:sz w:val="20"/>
          <w:szCs w:val="20"/>
          <w:u w:val="single"/>
        </w:rPr>
        <w:t>T</w:t>
      </w:r>
      <w:r w:rsidRPr="00816C60">
        <w:rPr>
          <w:rFonts w:eastAsia="Times New Roman"/>
          <w:i/>
          <w:sz w:val="20"/>
          <w:szCs w:val="20"/>
          <w:u w:val="single"/>
        </w:rPr>
        <w:t>oledo Coal. for Safe Energy v. Pub. Util. Comm</w:t>
      </w:r>
      <w:r w:rsidRPr="00816C60">
        <w:rPr>
          <w:rFonts w:eastAsia="Times New Roman"/>
          <w:sz w:val="20"/>
          <w:szCs w:val="20"/>
          <w:u w:val="single"/>
        </w:rPr>
        <w:t>.</w:t>
      </w:r>
      <w:r w:rsidRPr="00816C60">
        <w:rPr>
          <w:rFonts w:eastAsia="Times New Roman"/>
          <w:sz w:val="20"/>
          <w:szCs w:val="20"/>
        </w:rPr>
        <w:t>, 69 Ohio St.2d 559, 560, 433 N.E.2d 212, 214 (1982)</w:t>
      </w:r>
      <w:r w:rsidRPr="00816C60">
        <w:rPr>
          <w:rFonts w:eastAsia="Times New Roman"/>
          <w:b/>
          <w:bCs w:val="0"/>
          <w:sz w:val="20"/>
          <w:szCs w:val="20"/>
        </w:rPr>
        <w:t xml:space="preserve"> </w:t>
      </w:r>
      <w:r w:rsidRPr="00816C60">
        <w:rPr>
          <w:rFonts w:eastAsia="Times New Roman"/>
          <w:bCs w:val="0"/>
          <w:sz w:val="20"/>
          <w:szCs w:val="20"/>
          <w:shd w:val="clear" w:color="auto" w:fill="FFFFFF"/>
        </w:rPr>
        <w:t>(Citations omitted).</w:t>
      </w:r>
      <w:r w:rsidRPr="00816C60">
        <w:rPr>
          <w:rFonts w:eastAsia="Times New Roman"/>
          <w:bCs w:val="0"/>
          <w:sz w:val="20"/>
          <w:szCs w:val="24"/>
          <w:shd w:val="clear" w:color="auto" w:fill="FFFFFF"/>
        </w:rPr>
        <w:t xml:space="preserve"> </w:t>
      </w:r>
    </w:p>
  </w:footnote>
  <w:footnote w:id="8">
    <w:p w:rsidR="00B21153" w:rsidRPr="00816C60" w:rsidP="00816C60" w14:paraId="54B85869" w14:textId="1705B4ED">
      <w:pPr>
        <w:pStyle w:val="FootnoteText"/>
        <w:spacing w:after="120"/>
        <w:rPr>
          <w:b w:val="0"/>
          <w:bCs w:val="0"/>
        </w:rPr>
      </w:pPr>
      <w:r w:rsidRPr="00816C60">
        <w:rPr>
          <w:rStyle w:val="FootnoteReference"/>
          <w:b w:val="0"/>
        </w:rPr>
        <w:footnoteRef/>
      </w:r>
      <w:r w:rsidRPr="00816C60">
        <w:rPr>
          <w:b w:val="0"/>
        </w:rPr>
        <w:t xml:space="preserve"> </w:t>
      </w:r>
      <w:r w:rsidRPr="00816C60">
        <w:rPr>
          <w:b w:val="0"/>
          <w:bCs w:val="0"/>
        </w:rPr>
        <w:t>AEP Memorandum Contra at 4.</w:t>
      </w:r>
      <w:r w:rsidRPr="00816C60" w:rsidR="003F5C27">
        <w:rPr>
          <w:b w:val="0"/>
          <w:bCs w:val="0"/>
        </w:rPr>
        <w:t xml:space="preserve"> </w:t>
      </w:r>
    </w:p>
  </w:footnote>
  <w:footnote w:id="9">
    <w:p w:rsidR="00B21153" w:rsidRPr="00816C60" w:rsidP="00816C60" w14:paraId="7C502136" w14:textId="50FAB93F">
      <w:pPr>
        <w:pStyle w:val="FootnoteText"/>
        <w:spacing w:after="120"/>
        <w:rPr>
          <w:b w:val="0"/>
          <w:bCs w:val="0"/>
        </w:rPr>
      </w:pPr>
      <w:r w:rsidRPr="00816C60">
        <w:rPr>
          <w:rStyle w:val="FootnoteReference"/>
          <w:b w:val="0"/>
        </w:rPr>
        <w:footnoteRef/>
      </w:r>
      <w:r w:rsidRPr="00816C60">
        <w:t xml:space="preserve"> </w:t>
      </w:r>
      <w:r w:rsidRPr="00816C60">
        <w:rPr>
          <w:b w:val="0"/>
          <w:bCs w:val="0"/>
        </w:rPr>
        <w:t>Duke Memorandum Contra at 2.</w:t>
      </w:r>
    </w:p>
  </w:footnote>
  <w:footnote w:id="10">
    <w:p w:rsidR="0061102B" w:rsidRPr="00816C60" w:rsidP="00816C60" w14:paraId="321BA525" w14:textId="3DA174DD">
      <w:pPr>
        <w:pStyle w:val="FootnoteText"/>
        <w:spacing w:after="120"/>
      </w:pPr>
      <w:r w:rsidRPr="00816C60">
        <w:rPr>
          <w:rStyle w:val="FootnoteReference"/>
        </w:rPr>
        <w:footnoteRef/>
      </w:r>
      <w:r w:rsidRPr="00816C60">
        <w:t xml:space="preserve"> </w:t>
      </w:r>
      <w:r w:rsidRPr="00816C60">
        <w:rPr>
          <w:b w:val="0"/>
          <w:bCs w:val="0"/>
        </w:rPr>
        <w:t>Joint Motion at 1-2.</w:t>
      </w:r>
    </w:p>
  </w:footnote>
  <w:footnote w:id="11">
    <w:p w:rsidR="00B21153" w:rsidRPr="00816C60" w:rsidP="00816C60" w14:paraId="7341E828" w14:textId="760D06FE">
      <w:pPr>
        <w:pStyle w:val="FootnoteText"/>
        <w:spacing w:after="120"/>
      </w:pPr>
      <w:r w:rsidRPr="00816C60">
        <w:rPr>
          <w:rStyle w:val="FootnoteReference"/>
        </w:rPr>
        <w:footnoteRef/>
      </w:r>
      <w:r w:rsidRPr="00816C60">
        <w:t xml:space="preserve"> </w:t>
      </w:r>
      <w:r w:rsidRPr="00816C60">
        <w:rPr>
          <w:b w:val="0"/>
          <w:bCs w:val="0"/>
        </w:rPr>
        <w:t>Joint Motion, Memorandum in Support at 3.</w:t>
      </w:r>
    </w:p>
  </w:footnote>
  <w:footnote w:id="12">
    <w:p w:rsidR="0097306E" w:rsidRPr="00816C60" w:rsidP="00816C60" w14:paraId="1127D583" w14:textId="6CD22DC4">
      <w:pPr>
        <w:pStyle w:val="FootnoteText"/>
        <w:spacing w:after="120"/>
        <w:rPr>
          <w:b w:val="0"/>
          <w:bCs w:val="0"/>
        </w:rPr>
      </w:pPr>
      <w:r w:rsidRPr="00816C60">
        <w:rPr>
          <w:rStyle w:val="FootnoteReference"/>
        </w:rPr>
        <w:footnoteRef/>
      </w:r>
      <w:r w:rsidRPr="00816C60">
        <w:t xml:space="preserve"> </w:t>
      </w:r>
      <w:r w:rsidRPr="00816C60">
        <w:rPr>
          <w:b w:val="0"/>
          <w:bCs w:val="0"/>
        </w:rPr>
        <w:t>Joint Motion, Memorandum in Support at 3-6.</w:t>
      </w:r>
    </w:p>
  </w:footnote>
  <w:footnote w:id="13">
    <w:p w:rsidR="003637E7" w:rsidRPr="00816C60" w:rsidP="00816C60" w14:paraId="4BB3AB60" w14:textId="56329CD5">
      <w:pPr>
        <w:pStyle w:val="FootnoteText"/>
        <w:spacing w:after="120"/>
      </w:pPr>
      <w:r w:rsidRPr="00816C60">
        <w:rPr>
          <w:rStyle w:val="FootnoteReference"/>
        </w:rPr>
        <w:footnoteRef/>
      </w:r>
      <w:r w:rsidRPr="00816C60">
        <w:t xml:space="preserve"> </w:t>
      </w:r>
      <w:r w:rsidRPr="00816C60">
        <w:rPr>
          <w:b w:val="0"/>
          <w:bCs w:val="0"/>
        </w:rPr>
        <w:t>Joint Motion, Memorandum in Support at</w:t>
      </w:r>
      <w:r w:rsidRPr="00816C60" w:rsidR="002469C9">
        <w:rPr>
          <w:b w:val="0"/>
          <w:bCs w:val="0"/>
        </w:rPr>
        <w:t xml:space="preserve"> 6-7.</w:t>
      </w:r>
    </w:p>
  </w:footnote>
  <w:footnote w:id="14">
    <w:p w:rsidR="0097306E" w:rsidRPr="00816C60" w:rsidP="00816C60" w14:paraId="115D5489" w14:textId="6EB76F1E">
      <w:pPr>
        <w:pStyle w:val="FootnoteText"/>
        <w:spacing w:after="120"/>
      </w:pPr>
      <w:r w:rsidRPr="00816C60">
        <w:rPr>
          <w:rStyle w:val="FootnoteReference"/>
        </w:rPr>
        <w:footnoteRef/>
      </w:r>
      <w:r w:rsidRPr="00816C60">
        <w:t xml:space="preserve"> </w:t>
      </w:r>
      <w:r w:rsidRPr="00816C60">
        <w:rPr>
          <w:b w:val="0"/>
          <w:bCs w:val="0"/>
        </w:rPr>
        <w:t>Joint Motion, Memorandum in Support at</w:t>
      </w:r>
      <w:r w:rsidRPr="00816C60" w:rsidR="002469C9">
        <w:rPr>
          <w:b w:val="0"/>
          <w:bCs w:val="0"/>
        </w:rPr>
        <w:t xml:space="preserve"> 7.</w:t>
      </w:r>
    </w:p>
  </w:footnote>
  <w:footnote w:id="15">
    <w:p w:rsidR="00B953C7" w:rsidRPr="00816C60" w:rsidP="00816C60" w14:paraId="4E3E711B" w14:textId="0E2EC6A4">
      <w:pPr>
        <w:pStyle w:val="FootnoteText"/>
        <w:spacing w:after="120"/>
      </w:pPr>
      <w:r w:rsidRPr="00816C60">
        <w:rPr>
          <w:rStyle w:val="FootnoteReference"/>
        </w:rPr>
        <w:footnoteRef/>
      </w:r>
      <w:r w:rsidRPr="00816C60">
        <w:t xml:space="preserve"> </w:t>
      </w:r>
      <w:r w:rsidRPr="00816C60">
        <w:rPr>
          <w:b w:val="0"/>
          <w:bCs w:val="0"/>
          <w:i/>
          <w:iCs/>
        </w:rPr>
        <w:t>Cleveland Elec. Illum. Co. v. Pub. Util. Comm</w:t>
      </w:r>
      <w:r w:rsidRPr="00816C60">
        <w:rPr>
          <w:b w:val="0"/>
          <w:bCs w:val="0"/>
        </w:rPr>
        <w:t xml:space="preserve">., 42 Ohio St.2d 403, 431, 330 N.E.2d 1 (1975), </w:t>
      </w:r>
      <w:r w:rsidRPr="00816C60">
        <w:rPr>
          <w:b w:val="0"/>
          <w:bCs w:val="0"/>
          <w:i/>
          <w:iCs/>
        </w:rPr>
        <w:t>superseded on other grounds by statute,</w:t>
      </w:r>
      <w:r w:rsidRPr="00816C60">
        <w:rPr>
          <w:b w:val="0"/>
          <w:bCs w:val="0"/>
        </w:rPr>
        <w:t xml:space="preserve"> as recognized in </w:t>
      </w:r>
      <w:r w:rsidRPr="00816C60">
        <w:rPr>
          <w:b w:val="0"/>
          <w:bCs w:val="0"/>
          <w:i/>
          <w:iCs/>
        </w:rPr>
        <w:t>Babbit v. Pub. Util. Comm.,</w:t>
      </w:r>
      <w:r w:rsidRPr="00816C60">
        <w:rPr>
          <w:b w:val="0"/>
          <w:bCs w:val="0"/>
        </w:rPr>
        <w:t xml:space="preserve"> 59 Ohio St.2d 81, 89, 391 N.E.2d 1376 (1979).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E644087"/>
    <w:multiLevelType w:val="hybridMultilevel"/>
    <w:tmpl w:val="FC025B1A"/>
    <w:lvl w:ilvl="0">
      <w:start w:val="1"/>
      <w:numFmt w:val="upperLetter"/>
      <w:pStyle w:val="Heading2"/>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157A20A1"/>
    <w:multiLevelType w:val="hybridMultilevel"/>
    <w:tmpl w:val="5E9C0704"/>
    <w:lvl w:ilvl="0">
      <w:start w:val="1"/>
      <w:numFmt w:val="decimal"/>
      <w:lvlText w:val="%1."/>
      <w:lvlJc w:val="left"/>
      <w:pPr>
        <w:ind w:left="1558" w:hanging="360"/>
      </w:pPr>
      <w:rPr>
        <w:rFonts w:hint="default"/>
      </w:rPr>
    </w:lvl>
    <w:lvl w:ilvl="1" w:tentative="1">
      <w:start w:val="1"/>
      <w:numFmt w:val="bullet"/>
      <w:lvlText w:val="o"/>
      <w:lvlJc w:val="left"/>
      <w:pPr>
        <w:ind w:left="2278" w:hanging="360"/>
      </w:pPr>
      <w:rPr>
        <w:rFonts w:ascii="Courier New" w:hAnsi="Courier New" w:cs="Courier New" w:hint="default"/>
      </w:rPr>
    </w:lvl>
    <w:lvl w:ilvl="2" w:tentative="1">
      <w:start w:val="1"/>
      <w:numFmt w:val="bullet"/>
      <w:lvlText w:val=""/>
      <w:lvlJc w:val="left"/>
      <w:pPr>
        <w:ind w:left="2998" w:hanging="360"/>
      </w:pPr>
      <w:rPr>
        <w:rFonts w:ascii="Wingdings" w:hAnsi="Wingdings" w:hint="default"/>
      </w:rPr>
    </w:lvl>
    <w:lvl w:ilvl="3" w:tentative="1">
      <w:start w:val="1"/>
      <w:numFmt w:val="bullet"/>
      <w:lvlText w:val=""/>
      <w:lvlJc w:val="left"/>
      <w:pPr>
        <w:ind w:left="3718" w:hanging="360"/>
      </w:pPr>
      <w:rPr>
        <w:rFonts w:ascii="Symbol" w:hAnsi="Symbol" w:hint="default"/>
      </w:rPr>
    </w:lvl>
    <w:lvl w:ilvl="4" w:tentative="1">
      <w:start w:val="1"/>
      <w:numFmt w:val="bullet"/>
      <w:lvlText w:val="o"/>
      <w:lvlJc w:val="left"/>
      <w:pPr>
        <w:ind w:left="4438" w:hanging="360"/>
      </w:pPr>
      <w:rPr>
        <w:rFonts w:ascii="Courier New" w:hAnsi="Courier New" w:cs="Courier New" w:hint="default"/>
      </w:rPr>
    </w:lvl>
    <w:lvl w:ilvl="5" w:tentative="1">
      <w:start w:val="1"/>
      <w:numFmt w:val="bullet"/>
      <w:lvlText w:val=""/>
      <w:lvlJc w:val="left"/>
      <w:pPr>
        <w:ind w:left="5158" w:hanging="360"/>
      </w:pPr>
      <w:rPr>
        <w:rFonts w:ascii="Wingdings" w:hAnsi="Wingdings" w:hint="default"/>
      </w:rPr>
    </w:lvl>
    <w:lvl w:ilvl="6" w:tentative="1">
      <w:start w:val="1"/>
      <w:numFmt w:val="bullet"/>
      <w:lvlText w:val=""/>
      <w:lvlJc w:val="left"/>
      <w:pPr>
        <w:ind w:left="5878" w:hanging="360"/>
      </w:pPr>
      <w:rPr>
        <w:rFonts w:ascii="Symbol" w:hAnsi="Symbol" w:hint="default"/>
      </w:rPr>
    </w:lvl>
    <w:lvl w:ilvl="7" w:tentative="1">
      <w:start w:val="1"/>
      <w:numFmt w:val="bullet"/>
      <w:lvlText w:val="o"/>
      <w:lvlJc w:val="left"/>
      <w:pPr>
        <w:ind w:left="6598" w:hanging="360"/>
      </w:pPr>
      <w:rPr>
        <w:rFonts w:ascii="Courier New" w:hAnsi="Courier New" w:cs="Courier New" w:hint="default"/>
      </w:rPr>
    </w:lvl>
    <w:lvl w:ilvl="8" w:tentative="1">
      <w:start w:val="1"/>
      <w:numFmt w:val="bullet"/>
      <w:lvlText w:val=""/>
      <w:lvlJc w:val="left"/>
      <w:pPr>
        <w:ind w:left="7318" w:hanging="360"/>
      </w:pPr>
      <w:rPr>
        <w:rFonts w:ascii="Wingdings" w:hAnsi="Wingdings" w:hint="default"/>
      </w:rPr>
    </w:lvl>
  </w:abstractNum>
  <w:abstractNum w:abstractNumId="2">
    <w:nsid w:val="258A67D7"/>
    <w:multiLevelType w:val="hybridMultilevel"/>
    <w:tmpl w:val="70665E5A"/>
    <w:lvl w:ilvl="0">
      <w:start w:val="1"/>
      <w:numFmt w:val="decimal"/>
      <w:lvlText w:val="%1."/>
      <w:lvlJc w:val="left"/>
      <w:pPr>
        <w:ind w:left="2160" w:hanging="720"/>
      </w:pPr>
      <w:rPr>
        <w:rFonts w:hint="default"/>
        <w:b/>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3">
    <w:nsid w:val="289E705C"/>
    <w:multiLevelType w:val="hybridMultilevel"/>
    <w:tmpl w:val="C1567A80"/>
    <w:lvl w:ilvl="0">
      <w:start w:val="1"/>
      <w:numFmt w:val="decimal"/>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4">
    <w:nsid w:val="39BA4CE3"/>
    <w:multiLevelType w:val="hybridMultilevel"/>
    <w:tmpl w:val="733E7A78"/>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
    <w:nsid w:val="63296BF0"/>
    <w:multiLevelType w:val="hybridMultilevel"/>
    <w:tmpl w:val="CCCC5B72"/>
    <w:lvl w:ilvl="0">
      <w:start w:val="3"/>
      <w:numFmt w:val="bullet"/>
      <w:lvlText w:val="-"/>
      <w:lvlJc w:val="left"/>
      <w:pPr>
        <w:ind w:left="720" w:hanging="360"/>
      </w:pPr>
      <w:rPr>
        <w:rFonts w:ascii="Times New Roman" w:hAnsi="Times New Roman" w:eastAsiaTheme="minorHAnsi"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75144116"/>
    <w:multiLevelType w:val="hybridMultilevel"/>
    <w:tmpl w:val="76ECB394"/>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788F684F"/>
    <w:multiLevelType w:val="hybridMultilevel"/>
    <w:tmpl w:val="2A7AE02C"/>
    <w:lvl w:ilvl="0">
      <w:start w:val="1"/>
      <w:numFmt w:val="upperRoman"/>
      <w:lvlText w:val="%1."/>
      <w:lvlJc w:val="left"/>
      <w:pPr>
        <w:ind w:left="297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7BCC0E39"/>
    <w:multiLevelType w:val="hybridMultilevel"/>
    <w:tmpl w:val="E3B8B09A"/>
    <w:lvl w:ilvl="0">
      <w:start w:val="1"/>
      <w:numFmt w:val="upperLetter"/>
      <w:lvlText w:val="%1."/>
      <w:lvlJc w:val="left"/>
      <w:pPr>
        <w:ind w:left="1350" w:hanging="72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num w:numId="1">
    <w:abstractNumId w:val="6"/>
  </w:num>
  <w:num w:numId="2">
    <w:abstractNumId w:val="7"/>
  </w:num>
  <w:num w:numId="3">
    <w:abstractNumId w:val="4"/>
  </w:num>
  <w:num w:numId="4">
    <w:abstractNumId w:val="3"/>
  </w:num>
  <w:num w:numId="5">
    <w:abstractNumId w:val="8"/>
  </w:num>
  <w:num w:numId="6">
    <w:abstractNumId w:val="5"/>
  </w:num>
  <w:num w:numId="7">
    <w:abstractNumId w:val="2"/>
  </w:num>
  <w:num w:numId="8">
    <w:abstractNumId w:val="8"/>
    <w:lvlOverride w:ilvl="0">
      <w:startOverride w:val="1"/>
    </w:lvlOverride>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removePersonalInformation/>
  <w:removeDateAndTime/>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1F21"/>
    <w:rsid w:val="00037AB8"/>
    <w:rsid w:val="0008240B"/>
    <w:rsid w:val="000A4608"/>
    <w:rsid w:val="000F0118"/>
    <w:rsid w:val="001E0C28"/>
    <w:rsid w:val="001E25B5"/>
    <w:rsid w:val="001E718A"/>
    <w:rsid w:val="002469C9"/>
    <w:rsid w:val="002658A7"/>
    <w:rsid w:val="002C1F21"/>
    <w:rsid w:val="002D5039"/>
    <w:rsid w:val="003069EE"/>
    <w:rsid w:val="00326BF1"/>
    <w:rsid w:val="00326C57"/>
    <w:rsid w:val="003637E7"/>
    <w:rsid w:val="00365812"/>
    <w:rsid w:val="003C184B"/>
    <w:rsid w:val="003F5C27"/>
    <w:rsid w:val="00400960"/>
    <w:rsid w:val="004015BF"/>
    <w:rsid w:val="00427042"/>
    <w:rsid w:val="00447842"/>
    <w:rsid w:val="00490E85"/>
    <w:rsid w:val="005153B6"/>
    <w:rsid w:val="0060636D"/>
    <w:rsid w:val="0061102B"/>
    <w:rsid w:val="006802A1"/>
    <w:rsid w:val="00706C31"/>
    <w:rsid w:val="00721A4F"/>
    <w:rsid w:val="00760EF7"/>
    <w:rsid w:val="00816C60"/>
    <w:rsid w:val="00844E9B"/>
    <w:rsid w:val="00893B4A"/>
    <w:rsid w:val="008C5838"/>
    <w:rsid w:val="0097306E"/>
    <w:rsid w:val="009A3873"/>
    <w:rsid w:val="00B21153"/>
    <w:rsid w:val="00B226FC"/>
    <w:rsid w:val="00B44AFD"/>
    <w:rsid w:val="00B8685D"/>
    <w:rsid w:val="00B953C7"/>
    <w:rsid w:val="00C0397F"/>
    <w:rsid w:val="00C10BCA"/>
    <w:rsid w:val="00CA4428"/>
    <w:rsid w:val="00CE0EFC"/>
    <w:rsid w:val="00CF376C"/>
    <w:rsid w:val="00D30A99"/>
    <w:rsid w:val="00D562E8"/>
    <w:rsid w:val="00DB1D28"/>
    <w:rsid w:val="00E05DB9"/>
    <w:rsid w:val="00EB01BA"/>
    <w:rsid w:val="00EB7E0B"/>
    <w:rsid w:val="00EE7176"/>
    <w:rsid w:val="00F20EFA"/>
    <w:rsid w:val="00F34216"/>
    <w:rsid w:val="00F967F6"/>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heme="minorHAnsi" w:cs="Times New Roman"/>
        <w:bCs/>
        <w:color w:val="000000"/>
        <w:sz w:val="24"/>
        <w:szCs w:val="19"/>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autoRedefine/>
    <w:uiPriority w:val="9"/>
    <w:qFormat/>
    <w:pPr>
      <w:keepNext/>
      <w:keepLines/>
      <w:spacing w:after="240"/>
      <w:ind w:left="720" w:hanging="720"/>
      <w:outlineLvl w:val="0"/>
    </w:pPr>
    <w:rPr>
      <w:rFonts w:ascii="Times New Roman Bold" w:hAnsi="Times New Roman Bold" w:eastAsiaTheme="majorEastAsia" w:cstheme="majorBidi"/>
      <w:b/>
      <w:caps/>
      <w:color w:val="auto"/>
      <w:szCs w:val="32"/>
    </w:rPr>
  </w:style>
  <w:style w:type="paragraph" w:styleId="Heading2">
    <w:name w:val="heading 2"/>
    <w:basedOn w:val="Normal"/>
    <w:next w:val="Normal"/>
    <w:link w:val="Heading2Char"/>
    <w:autoRedefine/>
    <w:uiPriority w:val="9"/>
    <w:unhideWhenUsed/>
    <w:qFormat/>
    <w:pPr>
      <w:keepNext/>
      <w:keepLines/>
      <w:numPr>
        <w:numId w:val="9"/>
      </w:numPr>
      <w:spacing w:after="240"/>
      <w:ind w:left="1440"/>
      <w:outlineLvl w:val="1"/>
    </w:pPr>
    <w:rPr>
      <w:rFonts w:ascii="Times New Roman Bold" w:hAnsi="Times New Roman Bold" w:eastAsiaTheme="majorEastAsia" w:cstheme="majorBidi"/>
      <w:b/>
      <w:bCs w:val="0"/>
      <w:color w:val="auto"/>
      <w:szCs w:val="26"/>
    </w:rPr>
  </w:style>
  <w:style w:type="paragraph" w:styleId="Heading3">
    <w:name w:val="heading 3"/>
    <w:basedOn w:val="Normal"/>
    <w:next w:val="Normal"/>
    <w:link w:val="Heading3Char"/>
    <w:autoRedefine/>
    <w:uiPriority w:val="9"/>
    <w:unhideWhenUsed/>
    <w:qFormat/>
    <w:pPr>
      <w:keepNext/>
      <w:keepLines/>
      <w:spacing w:after="240"/>
      <w:ind w:left="720" w:hanging="720"/>
      <w:outlineLvl w:val="2"/>
    </w:pPr>
    <w:rPr>
      <w:rFonts w:ascii="Times New Roman Bold" w:hAnsi="Times New Roman Bold" w:eastAsiaTheme="majorEastAsia" w:cstheme="majorBidi"/>
      <w:bCs w:val="0"/>
      <w:color w:val="auto"/>
      <w:spacing w:val="-3"/>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Heading1Char">
    <w:name w:val="Heading 1 Char"/>
    <w:basedOn w:val="DefaultParagraphFont"/>
    <w:link w:val="Heading1"/>
    <w:uiPriority w:val="9"/>
    <w:rPr>
      <w:rFonts w:ascii="Times New Roman Bold" w:hAnsi="Times New Roman Bold" w:eastAsiaTheme="majorEastAsia" w:cstheme="majorBidi"/>
      <w:b/>
      <w:caps/>
      <w:color w:val="auto"/>
      <w:szCs w:val="32"/>
    </w:rPr>
  </w:style>
  <w:style w:type="paragraph" w:styleId="FootnoteText">
    <w:name w:val="footnote text"/>
    <w:aliases w:val="ALTS FOOTNOTE,Footnote Text Char Char,Footnote Text Char Char Char Char,Footnote Text Char Char1,Footnote Text Char1,Footnote Text Char1 Char Char1,Footnote Text Char1 Char Char1 Char Char Char,Footnote Text Char2 Char Char Char Char1,fn"/>
    <w:basedOn w:val="Normal"/>
    <w:link w:val="FootnoteTextChar"/>
    <w:uiPriority w:val="99"/>
    <w:unhideWhenUsed/>
    <w:qFormat/>
    <w:rPr>
      <w:b/>
      <w:color w:val="auto"/>
      <w:sz w:val="20"/>
      <w:szCs w:val="20"/>
    </w:rPr>
  </w:style>
  <w:style w:type="character" w:customStyle="1" w:styleId="FootnoteTextChar">
    <w:name w:val="Footnote Text Char"/>
    <w:aliases w:val="ALTS FOOTNOTE Char,Footnote Text Char Char Char,Footnote Text Char Char Char Char Char,Footnote Text Char Char1 Char,Footnote Text Char1 Char,Footnote Text Char1 Char Char1 Char,Footnote Text Char1 Char Char1 Char Char Char Char"/>
    <w:basedOn w:val="DefaultParagraphFont"/>
    <w:link w:val="FootnoteText"/>
    <w:uiPriority w:val="99"/>
    <w:rPr>
      <w:b/>
      <w:color w:val="auto"/>
      <w:sz w:val="20"/>
      <w:szCs w:val="20"/>
    </w:rPr>
  </w:style>
  <w:style w:type="character" w:styleId="FootnoteReference">
    <w:name w:val="footnote reference"/>
    <w:aliases w:val="(NECG) Footnote Reference,Appel note de bas de p,Style,Style 11,Style 12,Style 124,Style 13,Style 15,Style 17,Style 18,Style 19,Style 20,Style 21,Style 28,Style 3,Style 4,Style 42,Style 7,Style 8,Style 9,fnr,fr,fr1,fr2,fr3,o,o1,o2,o3"/>
    <w:basedOn w:val="DefaultParagraphFont"/>
    <w:uiPriority w:val="99"/>
    <w:semiHidden/>
    <w:unhideWhenUsed/>
    <w:rPr>
      <w:vertAlign w:val="superscript"/>
    </w:rPr>
  </w:style>
  <w:style w:type="paragraph" w:styleId="ListParagraph">
    <w:name w:val="List Paragraph"/>
    <w:basedOn w:val="Normal"/>
    <w:uiPriority w:val="34"/>
    <w:qFormat/>
    <w:pPr>
      <w:ind w:left="720"/>
      <w:contextualSpacing/>
    </w:pPr>
  </w:style>
  <w:style w:type="paragraph" w:styleId="NormalWeb">
    <w:name w:val="Normal (Web)"/>
    <w:basedOn w:val="Normal"/>
    <w:uiPriority w:val="99"/>
    <w:unhideWhenUsed/>
    <w:pPr>
      <w:spacing w:before="100" w:beforeAutospacing="1" w:after="100" w:afterAutospacing="1"/>
    </w:pPr>
    <w:rPr>
      <w:rFonts w:eastAsia="Times New Roman"/>
      <w:bCs w:val="0"/>
      <w:color w:val="auto"/>
      <w:szCs w:val="24"/>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sz w:val="20"/>
      <w:szCs w:val="20"/>
    </w:rPr>
  </w:style>
  <w:style w:type="paragraph" w:styleId="CommentSubject">
    <w:name w:val="annotation subject"/>
    <w:basedOn w:val="CommentText"/>
    <w:next w:val="CommentText"/>
    <w:link w:val="CommentSubjectChar"/>
    <w:uiPriority w:val="99"/>
    <w:semiHidden/>
    <w:unhideWhenUsed/>
    <w:rPr>
      <w:b/>
    </w:rPr>
  </w:style>
  <w:style w:type="character" w:customStyle="1" w:styleId="CommentSubjectChar">
    <w:name w:val="Comment Subject Char"/>
    <w:basedOn w:val="CommentTextChar"/>
    <w:link w:val="CommentSubject"/>
    <w:uiPriority w:val="99"/>
    <w:semiHidden/>
    <w:rPr>
      <w:b/>
      <w:sz w:val="20"/>
      <w:szCs w:val="20"/>
    </w:rPr>
  </w:style>
  <w:style w:type="character" w:styleId="Hyperlink">
    <w:name w:val="Hyperlink"/>
    <w:basedOn w:val="DefaultParagraphFont"/>
    <w:uiPriority w:val="99"/>
    <w:unhideWhenUsed/>
    <w:rPr>
      <w:color w:val="0563C1" w:themeColor="hyperlink"/>
      <w:u w:val="single"/>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styleId="HTMLPreformatted">
    <w:name w:val="HTML Preformatted"/>
    <w:basedOn w:val="Normal"/>
    <w:link w:val="HTMLPreformatted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bCs w:val="0"/>
      <w:color w:val="auto"/>
      <w:sz w:val="20"/>
      <w:szCs w:val="20"/>
    </w:rPr>
  </w:style>
  <w:style w:type="character" w:customStyle="1" w:styleId="HTMLPreformattedChar">
    <w:name w:val="HTML Preformatted Char"/>
    <w:basedOn w:val="DefaultParagraphFont"/>
    <w:link w:val="HTMLPreformatted"/>
    <w:rPr>
      <w:rFonts w:ascii="Courier New" w:eastAsia="Courier New" w:hAnsi="Courier New" w:cs="Courier New"/>
      <w:bCs w:val="0"/>
      <w:color w:val="auto"/>
      <w:sz w:val="20"/>
      <w:szCs w:val="20"/>
    </w:rPr>
  </w:style>
  <w:style w:type="paragraph" w:styleId="List">
    <w:name w:val="List"/>
    <w:basedOn w:val="Normal"/>
    <w:pPr>
      <w:ind w:left="360" w:hanging="360"/>
    </w:pPr>
    <w:rPr>
      <w:rFonts w:eastAsia="Times New Roman"/>
      <w:bCs w:val="0"/>
      <w:color w:val="auto"/>
      <w:szCs w:val="20"/>
    </w:rPr>
  </w:style>
  <w:style w:type="paragraph" w:styleId="BodyText">
    <w:name w:val="Body Text"/>
    <w:basedOn w:val="Normal"/>
    <w:link w:val="BodyTextChar"/>
    <w:uiPriority w:val="99"/>
    <w:pPr>
      <w:tabs>
        <w:tab w:val="left" w:pos="-720"/>
      </w:tabs>
      <w:suppressAutoHyphens/>
      <w:spacing w:line="480" w:lineRule="auto"/>
      <w:jc w:val="both"/>
    </w:pPr>
    <w:rPr>
      <w:rFonts w:eastAsia="Times New Roman"/>
      <w:bCs w:val="0"/>
      <w:color w:val="auto"/>
      <w:szCs w:val="24"/>
    </w:rPr>
  </w:style>
  <w:style w:type="character" w:customStyle="1" w:styleId="BodyTextChar">
    <w:name w:val="Body Text Char"/>
    <w:basedOn w:val="DefaultParagraphFont"/>
    <w:link w:val="BodyText"/>
    <w:uiPriority w:val="99"/>
    <w:rPr>
      <w:rFonts w:eastAsia="Times New Roman"/>
      <w:bCs w:val="0"/>
      <w:color w:val="auto"/>
      <w:szCs w:val="24"/>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0">
    <w:name w:val="Unresolved Mention1_0"/>
    <w:basedOn w:val="DefaultParagraphFont"/>
    <w:uiPriority w:val="99"/>
    <w:semiHidden/>
    <w:unhideWhenUsed/>
    <w:rPr>
      <w:color w:val="605E5C"/>
      <w:shd w:val="clear" w:color="auto" w:fill="E1DFDD"/>
    </w:rPr>
  </w:style>
  <w:style w:type="paragraph" w:styleId="TOC1">
    <w:name w:val="toc 1"/>
    <w:basedOn w:val="Normal"/>
    <w:next w:val="Normal"/>
    <w:autoRedefine/>
    <w:uiPriority w:val="39"/>
    <w:unhideWhenUsed/>
    <w:pPr>
      <w:tabs>
        <w:tab w:val="decimal" w:leader="dot" w:pos="9360"/>
      </w:tabs>
      <w:spacing w:after="120"/>
      <w:ind w:left="720" w:hanging="720"/>
    </w:pPr>
    <w:rPr>
      <w:caps/>
      <w:color w:val="auto"/>
    </w:rPr>
  </w:style>
  <w:style w:type="paragraph" w:styleId="TOC2">
    <w:name w:val="toc 2"/>
    <w:basedOn w:val="Normal"/>
    <w:next w:val="Normal"/>
    <w:autoRedefine/>
    <w:uiPriority w:val="39"/>
    <w:unhideWhenUsed/>
    <w:qFormat/>
    <w:pPr>
      <w:tabs>
        <w:tab w:val="decimal" w:leader="dot" w:pos="9360"/>
      </w:tabs>
      <w:spacing w:after="120"/>
      <w:ind w:left="1440" w:hanging="720"/>
    </w:pPr>
    <w:rPr>
      <w:color w:val="auto"/>
    </w:rPr>
  </w:style>
  <w:style w:type="paragraph" w:styleId="TOC3">
    <w:name w:val="toc 3"/>
    <w:basedOn w:val="Normal"/>
    <w:next w:val="Normal"/>
    <w:autoRedefine/>
    <w:uiPriority w:val="39"/>
    <w:unhideWhenUsed/>
    <w:qFormat/>
    <w:pPr>
      <w:tabs>
        <w:tab w:val="decimal" w:leader="dot" w:pos="9360"/>
      </w:tabs>
      <w:spacing w:after="120"/>
      <w:ind w:left="2160" w:hanging="720"/>
    </w:pPr>
    <w:rPr>
      <w:color w:val="auto"/>
    </w:rPr>
  </w:style>
  <w:style w:type="character" w:customStyle="1" w:styleId="Heading2Char">
    <w:name w:val="Heading 2 Char"/>
    <w:basedOn w:val="DefaultParagraphFont"/>
    <w:link w:val="Heading2"/>
    <w:uiPriority w:val="9"/>
    <w:rPr>
      <w:rFonts w:ascii="Times New Roman Bold" w:hAnsi="Times New Roman Bold" w:eastAsiaTheme="majorEastAsia" w:cstheme="majorBidi"/>
      <w:b/>
      <w:bCs w:val="0"/>
      <w:color w:val="auto"/>
      <w:szCs w:val="26"/>
    </w:rPr>
  </w:style>
  <w:style w:type="character" w:customStyle="1" w:styleId="Heading3Char">
    <w:name w:val="Heading 3 Char"/>
    <w:basedOn w:val="DefaultParagraphFont"/>
    <w:link w:val="Heading3"/>
    <w:uiPriority w:val="9"/>
    <w:rPr>
      <w:rFonts w:ascii="Times New Roman Bold" w:hAnsi="Times New Roman Bold" w:eastAsiaTheme="majorEastAsia" w:cstheme="majorBidi"/>
      <w:bCs w:val="0"/>
      <w:color w:val="auto"/>
      <w:spacing w:val="-3"/>
      <w:szCs w:val="24"/>
    </w:rPr>
  </w:style>
  <w:style w:type="paragraph" w:styleId="Revision">
    <w:name w:val="Revision"/>
    <w:hidden/>
    <w:uiPriority w:val="99"/>
    <w:semiHidden/>
  </w:style>
  <w:style w:type="paragraph" w:styleId="BodyTextIndent3">
    <w:name w:val="Body Text Indent 3"/>
    <w:basedOn w:val="Normal"/>
    <w:link w:val="BodyTextIndent3Char"/>
    <w:uiPriority w:val="99"/>
    <w:unhideWhenUsed/>
    <w:pPr>
      <w:spacing w:after="120"/>
      <w:ind w:left="360"/>
    </w:pPr>
    <w:rPr>
      <w:sz w:val="16"/>
      <w:szCs w:val="16"/>
    </w:rPr>
  </w:style>
  <w:style w:type="character" w:customStyle="1" w:styleId="BodyTextIndent3Char">
    <w:name w:val="Body Text Indent 3 Char"/>
    <w:basedOn w:val="DefaultParagraphFont"/>
    <w:link w:val="BodyTextIndent3"/>
    <w:uiPriority w:val="99"/>
    <w:rPr>
      <w:sz w:val="16"/>
      <w:szCs w:val="16"/>
    </w:rPr>
  </w:style>
  <w:style w:type="character" w:customStyle="1" w:styleId="markedcontent">
    <w:name w:val="markedcontent"/>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F01287-6589-4FB8-984D-6F10BF70BA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1064</Words>
  <Characters>6065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Draft OCC-OMAEG Reply to MC Joint Motion for Consolidated  OVEC Hearing (20-167) (834608).DOCX</vt:lpstr>
    </vt:vector>
  </TitlesOfParts>
  <Company/>
  <LinksUpToDate>false</LinksUpToDate>
  <CharactersWithSpaces>7115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2021-07-30T20:25:28Z</dcterms:created>
  <dcterms:modified xsi:type="dcterms:W3CDTF">2021-07-30T20:25:28Z</dcterms:modified>
</cp:coreProperties>
</file>