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tbl>
      <w:tblPr>
        <w:tblW w:w="8762" w:type="dxa"/>
        <w:tblLook w:val="04A0" w:firstRow="1" w:lastRow="0" w:firstColumn="1" w:lastColumn="0" w:noHBand="0" w:noVBand="1"/>
      </w:tblPr>
      <w:tblGrid>
        <w:gridCol w:w="4518"/>
        <w:gridCol w:w="360"/>
        <w:gridCol w:w="3884"/>
      </w:tblGrid>
      <w:tr w:rsidR="00DC3B94" w:rsidRPr="00CC6214" w:rsidTr="00050E84">
        <w:tc>
          <w:tcPr>
            <w:tcW w:w="4518" w:type="dxa"/>
            <w:shd w:val="clear" w:color="auto" w:fill="auto"/>
          </w:tcPr>
          <w:p w:rsidR="00DC3B94" w:rsidRPr="00CC6214" w:rsidRDefault="00DC3B94" w:rsidP="00050E84">
            <w:pPr>
              <w:rPr>
                <w:rFonts w:eastAsia="Calibri"/>
                <w:sz w:val="26"/>
                <w:szCs w:val="26"/>
              </w:rPr>
            </w:pPr>
            <w:r w:rsidRPr="00CC6214">
              <w:rPr>
                <w:rFonts w:eastAsia="Calibri"/>
                <w:sz w:val="26"/>
                <w:szCs w:val="26"/>
              </w:rPr>
              <w:t xml:space="preserve">In the Matter of the Application of Vectren Energy Delivery of Ohio, Inc. </w:t>
            </w:r>
            <w:r>
              <w:rPr>
                <w:rFonts w:eastAsia="Calibri"/>
                <w:sz w:val="26"/>
                <w:szCs w:val="26"/>
              </w:rPr>
              <w:t>for</w:t>
            </w:r>
            <w:r w:rsidRPr="00CC6214">
              <w:rPr>
                <w:rFonts w:eastAsia="Calibri"/>
                <w:sz w:val="26"/>
                <w:szCs w:val="26"/>
              </w:rPr>
              <w:t xml:space="preserve"> </w:t>
            </w:r>
            <w:r>
              <w:rPr>
                <w:rFonts w:eastAsia="Calibri"/>
                <w:sz w:val="26"/>
                <w:szCs w:val="26"/>
              </w:rPr>
              <w:t>Approval of an Alternative Form of Regulation</w:t>
            </w:r>
            <w:r w:rsidRPr="00CC6214">
              <w:rPr>
                <w:rFonts w:eastAsia="Calibri"/>
                <w:sz w:val="26"/>
                <w:szCs w:val="26"/>
              </w:rPr>
              <w:t>.</w:t>
            </w:r>
          </w:p>
        </w:tc>
        <w:tc>
          <w:tcPr>
            <w:tcW w:w="360" w:type="dxa"/>
          </w:tcPr>
          <w:p w:rsidR="00DC3B94" w:rsidRPr="00CC6214" w:rsidRDefault="00DC3B94" w:rsidP="00050E84">
            <w:pPr>
              <w:rPr>
                <w:rFonts w:eastAsia="Calibri"/>
                <w:sz w:val="26"/>
                <w:szCs w:val="26"/>
              </w:rPr>
            </w:pPr>
            <w:r w:rsidRPr="00CC6214">
              <w:rPr>
                <w:rFonts w:eastAsia="Calibri"/>
                <w:sz w:val="26"/>
                <w:szCs w:val="26"/>
              </w:rPr>
              <w:t>:</w:t>
            </w:r>
            <w:r w:rsidRPr="00CC6214">
              <w:rPr>
                <w:rFonts w:eastAsia="Calibri"/>
                <w:sz w:val="26"/>
                <w:szCs w:val="26"/>
              </w:rPr>
              <w:br/>
              <w:t>:</w:t>
            </w:r>
            <w:r w:rsidRPr="00CC6214">
              <w:rPr>
                <w:rFonts w:eastAsia="Calibri"/>
                <w:sz w:val="26"/>
                <w:szCs w:val="26"/>
              </w:rPr>
              <w:br/>
              <w:t>:</w:t>
            </w:r>
            <w:r w:rsidRPr="00CC6214">
              <w:rPr>
                <w:rFonts w:eastAsia="Calibri"/>
                <w:sz w:val="26"/>
                <w:szCs w:val="26"/>
              </w:rPr>
              <w:br/>
              <w:t>:</w:t>
            </w:r>
            <w:r w:rsidRPr="00CC6214">
              <w:rPr>
                <w:rFonts w:eastAsia="Calibri"/>
                <w:sz w:val="26"/>
                <w:szCs w:val="26"/>
              </w:rPr>
              <w:br/>
            </w:r>
          </w:p>
        </w:tc>
        <w:tc>
          <w:tcPr>
            <w:tcW w:w="3884" w:type="dxa"/>
            <w:shd w:val="clear" w:color="auto" w:fill="auto"/>
          </w:tcPr>
          <w:p w:rsidR="00DC3B94" w:rsidRPr="00CC6214" w:rsidRDefault="00DC3B94" w:rsidP="00050E84">
            <w:pPr>
              <w:ind w:left="-288"/>
              <w:rPr>
                <w:rFonts w:eastAsia="Calibri"/>
                <w:sz w:val="26"/>
                <w:szCs w:val="26"/>
              </w:rPr>
            </w:pPr>
          </w:p>
          <w:p w:rsidR="00DC3B94" w:rsidRPr="00CC6214" w:rsidRDefault="00DC3B94" w:rsidP="00050E84">
            <w:pPr>
              <w:ind w:left="72"/>
              <w:rPr>
                <w:rFonts w:eastAsia="Calibri"/>
                <w:sz w:val="26"/>
                <w:szCs w:val="26"/>
              </w:rPr>
            </w:pPr>
            <w:r w:rsidRPr="00CC6214">
              <w:rPr>
                <w:rFonts w:eastAsia="Calibri"/>
                <w:sz w:val="26"/>
                <w:szCs w:val="26"/>
              </w:rPr>
              <w:t>Case No. 13-</w:t>
            </w:r>
            <w:r>
              <w:rPr>
                <w:rFonts w:eastAsia="Calibri"/>
                <w:sz w:val="26"/>
                <w:szCs w:val="26"/>
              </w:rPr>
              <w:t>1571</w:t>
            </w:r>
            <w:r w:rsidRPr="00CC6214">
              <w:rPr>
                <w:rFonts w:eastAsia="Calibri"/>
                <w:sz w:val="26"/>
                <w:szCs w:val="26"/>
              </w:rPr>
              <w:t>-GA-</w:t>
            </w:r>
            <w:r>
              <w:rPr>
                <w:rFonts w:eastAsia="Calibri"/>
                <w:sz w:val="26"/>
                <w:szCs w:val="26"/>
              </w:rPr>
              <w:t>ALT</w:t>
            </w:r>
          </w:p>
        </w:tc>
      </w:tr>
    </w:tbl>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DC3B94" w:rsidP="00E10679">
      <w:pPr>
        <w:pStyle w:val="Title"/>
        <w:tabs>
          <w:tab w:val="left" w:pos="9360"/>
        </w:tabs>
        <w:rPr>
          <w:rFonts w:ascii="Times New Roman" w:hAnsi="Times New Roman"/>
          <w:b/>
          <w:sz w:val="32"/>
          <w:szCs w:val="32"/>
        </w:rPr>
      </w:pPr>
      <w:r>
        <w:rPr>
          <w:rFonts w:ascii="Times New Roman" w:hAnsi="Times New Roman"/>
          <w:b/>
          <w:sz w:val="32"/>
          <w:szCs w:val="32"/>
        </w:rPr>
        <w:t>REPLY COMMENTS</w:t>
      </w:r>
    </w:p>
    <w:p w:rsidR="00663D6A" w:rsidRPr="00DC3B94" w:rsidRDefault="00663D6A" w:rsidP="00DC3B94">
      <w:pPr>
        <w:jc w:val="center"/>
        <w:rPr>
          <w:b/>
          <w:sz w:val="26"/>
          <w:szCs w:val="26"/>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DC3B94">
        <w:rPr>
          <w:b/>
          <w:sz w:val="26"/>
          <w:szCs w:val="26"/>
        </w:rPr>
        <w:t>SUBMITTED ON BEHALF OF THE STAFF OF</w:t>
      </w:r>
      <w:bookmarkEnd w:id="0"/>
      <w:bookmarkEnd w:id="1"/>
      <w:bookmarkEnd w:id="2"/>
      <w:bookmarkEnd w:id="3"/>
      <w:bookmarkEnd w:id="4"/>
      <w:bookmarkEnd w:id="5"/>
      <w:bookmarkEnd w:id="6"/>
    </w:p>
    <w:p w:rsidR="00663D6A" w:rsidRPr="00DC3B94" w:rsidRDefault="00663D6A" w:rsidP="00DC3B94">
      <w:pPr>
        <w:jc w:val="center"/>
        <w:rPr>
          <w:b/>
          <w:sz w:val="26"/>
          <w:szCs w:val="26"/>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DC3B94">
        <w:rPr>
          <w:b/>
          <w:sz w:val="26"/>
          <w:szCs w:val="26"/>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DC3B94" w:rsidRPr="00CC6214" w:rsidRDefault="00DC3B94" w:rsidP="00DC3B94">
      <w:pPr>
        <w:tabs>
          <w:tab w:val="left" w:pos="9360"/>
        </w:tabs>
        <w:ind w:left="4320"/>
        <w:jc w:val="both"/>
        <w:rPr>
          <w:b/>
          <w:sz w:val="26"/>
          <w:szCs w:val="26"/>
        </w:rPr>
      </w:pPr>
      <w:r w:rsidRPr="00CC6214">
        <w:rPr>
          <w:b/>
          <w:sz w:val="26"/>
          <w:szCs w:val="26"/>
        </w:rPr>
        <w:t>Ryan P. O’Rourke</w:t>
      </w:r>
    </w:p>
    <w:p w:rsidR="00DC3B94" w:rsidRPr="00CC6214" w:rsidRDefault="00DC3B94" w:rsidP="00DC3B94">
      <w:pPr>
        <w:tabs>
          <w:tab w:val="left" w:pos="9360"/>
        </w:tabs>
        <w:ind w:left="4320"/>
        <w:jc w:val="both"/>
        <w:rPr>
          <w:sz w:val="26"/>
          <w:szCs w:val="26"/>
        </w:rPr>
      </w:pPr>
      <w:r w:rsidRPr="00CC6214">
        <w:rPr>
          <w:sz w:val="26"/>
          <w:szCs w:val="26"/>
        </w:rPr>
        <w:t>Assistant Attorney General</w:t>
      </w:r>
    </w:p>
    <w:p w:rsidR="00DC3B94" w:rsidRPr="00CC6214" w:rsidRDefault="00DC3B94" w:rsidP="00DC3B94">
      <w:pPr>
        <w:tabs>
          <w:tab w:val="left" w:pos="9360"/>
        </w:tabs>
        <w:ind w:left="4320"/>
        <w:jc w:val="both"/>
        <w:rPr>
          <w:sz w:val="26"/>
          <w:szCs w:val="26"/>
        </w:rPr>
      </w:pPr>
      <w:r w:rsidRPr="00CC6214">
        <w:rPr>
          <w:sz w:val="26"/>
          <w:szCs w:val="26"/>
        </w:rPr>
        <w:t>Public Utilities Section</w:t>
      </w:r>
    </w:p>
    <w:p w:rsidR="00DC3B94" w:rsidRPr="00CC6214" w:rsidRDefault="00DC3B94" w:rsidP="00DC3B94">
      <w:pPr>
        <w:tabs>
          <w:tab w:val="left" w:pos="9360"/>
        </w:tabs>
        <w:ind w:left="4320"/>
        <w:jc w:val="both"/>
        <w:rPr>
          <w:sz w:val="26"/>
          <w:szCs w:val="26"/>
        </w:rPr>
      </w:pPr>
      <w:r w:rsidRPr="00CC6214">
        <w:rPr>
          <w:sz w:val="26"/>
          <w:szCs w:val="26"/>
        </w:rPr>
        <w:t>180 East Broad Street, 6</w:t>
      </w:r>
      <w:r w:rsidRPr="00CC6214">
        <w:rPr>
          <w:sz w:val="26"/>
          <w:szCs w:val="26"/>
          <w:vertAlign w:val="superscript"/>
        </w:rPr>
        <w:t>th</w:t>
      </w:r>
      <w:r w:rsidRPr="00CC6214">
        <w:rPr>
          <w:sz w:val="26"/>
          <w:szCs w:val="26"/>
        </w:rPr>
        <w:t xml:space="preserve"> Fl. </w:t>
      </w:r>
    </w:p>
    <w:p w:rsidR="00DC3B94" w:rsidRPr="00CC6214" w:rsidRDefault="00DC3B94" w:rsidP="00DC3B94">
      <w:pPr>
        <w:tabs>
          <w:tab w:val="left" w:pos="9360"/>
        </w:tabs>
        <w:ind w:left="4320"/>
        <w:jc w:val="both"/>
        <w:rPr>
          <w:sz w:val="26"/>
          <w:szCs w:val="26"/>
        </w:rPr>
      </w:pPr>
      <w:r w:rsidRPr="00CC6214">
        <w:rPr>
          <w:sz w:val="26"/>
          <w:szCs w:val="26"/>
        </w:rPr>
        <w:t>Columbus, OH  43215</w:t>
      </w:r>
    </w:p>
    <w:p w:rsidR="00DC3B94" w:rsidRPr="00CC6214" w:rsidRDefault="00DC3B94" w:rsidP="00DC3B94">
      <w:pPr>
        <w:tabs>
          <w:tab w:val="left" w:pos="9360"/>
        </w:tabs>
        <w:ind w:left="4320"/>
        <w:jc w:val="both"/>
        <w:rPr>
          <w:sz w:val="26"/>
          <w:szCs w:val="26"/>
        </w:rPr>
      </w:pPr>
      <w:r w:rsidRPr="00CC6214">
        <w:rPr>
          <w:sz w:val="26"/>
          <w:szCs w:val="26"/>
        </w:rPr>
        <w:t>614.466.4395 (telephone)</w:t>
      </w:r>
    </w:p>
    <w:p w:rsidR="00DC3B94" w:rsidRPr="00CC6214" w:rsidRDefault="00DC3B94" w:rsidP="00DC3B94">
      <w:pPr>
        <w:ind w:left="4320"/>
        <w:jc w:val="both"/>
        <w:rPr>
          <w:rFonts w:eastAsia="Calibri"/>
          <w:sz w:val="26"/>
          <w:szCs w:val="26"/>
        </w:rPr>
      </w:pPr>
      <w:r w:rsidRPr="00CC6214">
        <w:rPr>
          <w:rFonts w:eastAsia="Calibri"/>
          <w:sz w:val="26"/>
          <w:szCs w:val="26"/>
        </w:rPr>
        <w:t>614.644.8764 (fax)</w:t>
      </w:r>
    </w:p>
    <w:p w:rsidR="00DC3B94" w:rsidRPr="00CC6214" w:rsidRDefault="00846436" w:rsidP="00DC3B94">
      <w:pPr>
        <w:ind w:left="4320"/>
        <w:jc w:val="both"/>
        <w:rPr>
          <w:rFonts w:eastAsia="Calibri"/>
          <w:sz w:val="26"/>
          <w:szCs w:val="26"/>
        </w:rPr>
      </w:pPr>
      <w:hyperlink r:id="rId8" w:history="1">
        <w:r w:rsidR="00DC3B94" w:rsidRPr="00A63F9B">
          <w:rPr>
            <w:rStyle w:val="Hyperlink"/>
            <w:rFonts w:eastAsia="Calibri"/>
            <w:sz w:val="26"/>
            <w:szCs w:val="26"/>
          </w:rPr>
          <w:t>ryan.orourke@puc.state.oh.us</w:t>
        </w:r>
      </w:hyperlink>
    </w:p>
    <w:p w:rsidR="00E10679" w:rsidRPr="00E10679" w:rsidRDefault="00E10679" w:rsidP="00DC3B94">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AE4FAE" w:rsidRDefault="00AE4FAE" w:rsidP="00663D6A">
      <w:pPr>
        <w:pStyle w:val="Title"/>
        <w:tabs>
          <w:tab w:val="left" w:pos="5130"/>
          <w:tab w:val="left" w:pos="5670"/>
        </w:tabs>
        <w:jc w:val="left"/>
        <w:rPr>
          <w:rFonts w:ascii="Times New Roman" w:hAnsi="Times New Roman"/>
          <w:sz w:val="26"/>
          <w:szCs w:val="26"/>
        </w:rPr>
      </w:pPr>
    </w:p>
    <w:p w:rsidR="00AE4FAE" w:rsidRDefault="00AE4FAE" w:rsidP="00663D6A">
      <w:pPr>
        <w:pStyle w:val="Title"/>
        <w:tabs>
          <w:tab w:val="left" w:pos="5130"/>
          <w:tab w:val="left" w:pos="5670"/>
        </w:tabs>
        <w:jc w:val="left"/>
        <w:rPr>
          <w:rFonts w:ascii="Times New Roman" w:hAnsi="Times New Roman"/>
          <w:sz w:val="26"/>
          <w:szCs w:val="26"/>
        </w:rPr>
      </w:pPr>
    </w:p>
    <w:p w:rsidR="00AE4FAE" w:rsidRDefault="00AE4FAE" w:rsidP="00663D6A">
      <w:pPr>
        <w:pStyle w:val="Title"/>
        <w:tabs>
          <w:tab w:val="left" w:pos="5130"/>
          <w:tab w:val="left" w:pos="5670"/>
        </w:tabs>
        <w:jc w:val="left"/>
        <w:rPr>
          <w:rFonts w:ascii="Times New Roman" w:hAnsi="Times New Roman"/>
          <w:sz w:val="26"/>
          <w:szCs w:val="26"/>
        </w:rPr>
      </w:pPr>
    </w:p>
    <w:p w:rsidR="00AE4FAE" w:rsidRDefault="00AE4FAE" w:rsidP="00663D6A">
      <w:pPr>
        <w:pStyle w:val="Title"/>
        <w:tabs>
          <w:tab w:val="left" w:pos="5130"/>
          <w:tab w:val="left" w:pos="5670"/>
        </w:tabs>
        <w:jc w:val="left"/>
        <w:rPr>
          <w:rFonts w:ascii="Times New Roman" w:hAnsi="Times New Roman"/>
          <w:sz w:val="26"/>
          <w:szCs w:val="26"/>
        </w:rPr>
      </w:pPr>
    </w:p>
    <w:p w:rsidR="00AE4FAE" w:rsidRPr="002D54AC" w:rsidRDefault="00AE4FAE" w:rsidP="00663D6A">
      <w:pPr>
        <w:pStyle w:val="Title"/>
        <w:tabs>
          <w:tab w:val="left" w:pos="5130"/>
          <w:tab w:val="left" w:pos="5670"/>
        </w:tabs>
        <w:jc w:val="left"/>
        <w:rPr>
          <w:rFonts w:ascii="Times New Roman" w:hAnsi="Times New Roman"/>
          <w:sz w:val="26"/>
          <w:szCs w:val="26"/>
        </w:rPr>
      </w:pPr>
    </w:p>
    <w:p w:rsidR="00663D6A" w:rsidRPr="002D54AC" w:rsidRDefault="00DC3B94" w:rsidP="004B6358">
      <w:pPr>
        <w:pStyle w:val="PlainText"/>
        <w:rPr>
          <w:rFonts w:ascii="Times New Roman" w:hAnsi="Times New Roman"/>
          <w:sz w:val="26"/>
          <w:szCs w:val="26"/>
        </w:rPr>
      </w:pPr>
      <w:r>
        <w:rPr>
          <w:rFonts w:ascii="Times New Roman" w:hAnsi="Times New Roman"/>
          <w:sz w:val="26"/>
          <w:szCs w:val="26"/>
        </w:rPr>
        <w:t>November 13, 2013</w:t>
      </w:r>
    </w:p>
    <w:p w:rsidR="003B12DD" w:rsidRDefault="003B12DD" w:rsidP="00663D6A">
      <w:pPr>
        <w:jc w:val="center"/>
        <w:rPr>
          <w:b/>
          <w:sz w:val="26"/>
          <w:szCs w:val="26"/>
        </w:rPr>
        <w:sectPr w:rsidR="003B12DD" w:rsidSect="003B12DD">
          <w:headerReference w:type="default" r:id="rId9"/>
          <w:footerReference w:type="default" r:id="rId10"/>
          <w:pgSz w:w="12240" w:h="15840" w:code="1"/>
          <w:pgMar w:top="1440" w:right="1440" w:bottom="1440" w:left="1440" w:header="720" w:footer="720" w:gutter="0"/>
          <w:pgNumType w:fmt="lowerRoman" w:start="1"/>
          <w:cols w:space="720"/>
          <w:titlePg/>
          <w:docGrid w:linePitch="360"/>
        </w:sectPr>
      </w:pPr>
    </w:p>
    <w:p w:rsidR="00DC3B94" w:rsidRPr="002D54AC" w:rsidRDefault="00DC3B94" w:rsidP="00DC3B94">
      <w:pPr>
        <w:jc w:val="center"/>
        <w:rPr>
          <w:b/>
          <w:sz w:val="26"/>
          <w:szCs w:val="26"/>
        </w:rPr>
      </w:pPr>
      <w:bookmarkStart w:id="14" w:name="_Toc260212957"/>
      <w:r w:rsidRPr="002D54AC">
        <w:rPr>
          <w:b/>
          <w:sz w:val="26"/>
          <w:szCs w:val="26"/>
        </w:rPr>
        <w:lastRenderedPageBreak/>
        <w:t>BEFORE</w:t>
      </w:r>
    </w:p>
    <w:p w:rsidR="00DC3B94" w:rsidRPr="002D54AC" w:rsidRDefault="00DC3B94" w:rsidP="00DC3B94">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DC3B94" w:rsidRDefault="00DC3B94" w:rsidP="00DC3B94">
      <w:pPr>
        <w:pStyle w:val="Title"/>
        <w:tabs>
          <w:tab w:val="left" w:pos="5130"/>
          <w:tab w:val="left" w:pos="5670"/>
        </w:tabs>
        <w:rPr>
          <w:rFonts w:ascii="Times New Roman" w:hAnsi="Times New Roman"/>
          <w:sz w:val="26"/>
          <w:szCs w:val="26"/>
        </w:rPr>
      </w:pPr>
    </w:p>
    <w:tbl>
      <w:tblPr>
        <w:tblW w:w="8762" w:type="dxa"/>
        <w:tblLook w:val="04A0" w:firstRow="1" w:lastRow="0" w:firstColumn="1" w:lastColumn="0" w:noHBand="0" w:noVBand="1"/>
      </w:tblPr>
      <w:tblGrid>
        <w:gridCol w:w="4518"/>
        <w:gridCol w:w="360"/>
        <w:gridCol w:w="3884"/>
      </w:tblGrid>
      <w:tr w:rsidR="00DC3B94" w:rsidRPr="00CC6214" w:rsidTr="00050E84">
        <w:tc>
          <w:tcPr>
            <w:tcW w:w="4518" w:type="dxa"/>
            <w:shd w:val="clear" w:color="auto" w:fill="auto"/>
          </w:tcPr>
          <w:p w:rsidR="00DC3B94" w:rsidRPr="00CC6214" w:rsidRDefault="00DC3B94" w:rsidP="00050E84">
            <w:pPr>
              <w:rPr>
                <w:rFonts w:eastAsia="Calibri"/>
                <w:sz w:val="26"/>
                <w:szCs w:val="26"/>
              </w:rPr>
            </w:pPr>
            <w:r w:rsidRPr="00CC6214">
              <w:rPr>
                <w:rFonts w:eastAsia="Calibri"/>
                <w:sz w:val="26"/>
                <w:szCs w:val="26"/>
              </w:rPr>
              <w:t xml:space="preserve">In the Matter of the Application of Vectren Energy Delivery of Ohio, Inc. </w:t>
            </w:r>
            <w:r>
              <w:rPr>
                <w:rFonts w:eastAsia="Calibri"/>
                <w:sz w:val="26"/>
                <w:szCs w:val="26"/>
              </w:rPr>
              <w:t>for</w:t>
            </w:r>
            <w:r w:rsidRPr="00CC6214">
              <w:rPr>
                <w:rFonts w:eastAsia="Calibri"/>
                <w:sz w:val="26"/>
                <w:szCs w:val="26"/>
              </w:rPr>
              <w:t xml:space="preserve"> </w:t>
            </w:r>
            <w:r>
              <w:rPr>
                <w:rFonts w:eastAsia="Calibri"/>
                <w:sz w:val="26"/>
                <w:szCs w:val="26"/>
              </w:rPr>
              <w:t>Approval of an Alternative Form of Regulation</w:t>
            </w:r>
            <w:r w:rsidRPr="00CC6214">
              <w:rPr>
                <w:rFonts w:eastAsia="Calibri"/>
                <w:sz w:val="26"/>
                <w:szCs w:val="26"/>
              </w:rPr>
              <w:t>.</w:t>
            </w:r>
          </w:p>
        </w:tc>
        <w:tc>
          <w:tcPr>
            <w:tcW w:w="360" w:type="dxa"/>
          </w:tcPr>
          <w:p w:rsidR="00DC3B94" w:rsidRPr="00CC6214" w:rsidRDefault="00DC3B94" w:rsidP="00050E84">
            <w:pPr>
              <w:rPr>
                <w:rFonts w:eastAsia="Calibri"/>
                <w:sz w:val="26"/>
                <w:szCs w:val="26"/>
              </w:rPr>
            </w:pPr>
            <w:r w:rsidRPr="00CC6214">
              <w:rPr>
                <w:rFonts w:eastAsia="Calibri"/>
                <w:sz w:val="26"/>
                <w:szCs w:val="26"/>
              </w:rPr>
              <w:t>:</w:t>
            </w:r>
            <w:r w:rsidRPr="00CC6214">
              <w:rPr>
                <w:rFonts w:eastAsia="Calibri"/>
                <w:sz w:val="26"/>
                <w:szCs w:val="26"/>
              </w:rPr>
              <w:br/>
              <w:t>:</w:t>
            </w:r>
            <w:r w:rsidRPr="00CC6214">
              <w:rPr>
                <w:rFonts w:eastAsia="Calibri"/>
                <w:sz w:val="26"/>
                <w:szCs w:val="26"/>
              </w:rPr>
              <w:br/>
              <w:t>:</w:t>
            </w:r>
            <w:r w:rsidRPr="00CC6214">
              <w:rPr>
                <w:rFonts w:eastAsia="Calibri"/>
                <w:sz w:val="26"/>
                <w:szCs w:val="26"/>
              </w:rPr>
              <w:br/>
              <w:t>:</w:t>
            </w:r>
            <w:r w:rsidRPr="00CC6214">
              <w:rPr>
                <w:rFonts w:eastAsia="Calibri"/>
                <w:sz w:val="26"/>
                <w:szCs w:val="26"/>
              </w:rPr>
              <w:br/>
            </w:r>
          </w:p>
        </w:tc>
        <w:tc>
          <w:tcPr>
            <w:tcW w:w="3884" w:type="dxa"/>
            <w:shd w:val="clear" w:color="auto" w:fill="auto"/>
          </w:tcPr>
          <w:p w:rsidR="00DC3B94" w:rsidRPr="00CC6214" w:rsidRDefault="00DC3B94" w:rsidP="00050E84">
            <w:pPr>
              <w:ind w:left="-288"/>
              <w:rPr>
                <w:rFonts w:eastAsia="Calibri"/>
                <w:sz w:val="26"/>
                <w:szCs w:val="26"/>
              </w:rPr>
            </w:pPr>
          </w:p>
          <w:p w:rsidR="00DC3B94" w:rsidRPr="00CC6214" w:rsidRDefault="00DC3B94" w:rsidP="00050E84">
            <w:pPr>
              <w:ind w:left="72"/>
              <w:rPr>
                <w:rFonts w:eastAsia="Calibri"/>
                <w:sz w:val="26"/>
                <w:szCs w:val="26"/>
              </w:rPr>
            </w:pPr>
            <w:r w:rsidRPr="00CC6214">
              <w:rPr>
                <w:rFonts w:eastAsia="Calibri"/>
                <w:sz w:val="26"/>
                <w:szCs w:val="26"/>
              </w:rPr>
              <w:t>Case No. 13-</w:t>
            </w:r>
            <w:r>
              <w:rPr>
                <w:rFonts w:eastAsia="Calibri"/>
                <w:sz w:val="26"/>
                <w:szCs w:val="26"/>
              </w:rPr>
              <w:t>1571</w:t>
            </w:r>
            <w:r w:rsidRPr="00CC6214">
              <w:rPr>
                <w:rFonts w:eastAsia="Calibri"/>
                <w:sz w:val="26"/>
                <w:szCs w:val="26"/>
              </w:rPr>
              <w:t>-GA-</w:t>
            </w:r>
            <w:r>
              <w:rPr>
                <w:rFonts w:eastAsia="Calibri"/>
                <w:sz w:val="26"/>
                <w:szCs w:val="26"/>
              </w:rPr>
              <w:t>ALT</w:t>
            </w:r>
          </w:p>
        </w:tc>
      </w:tr>
    </w:tbl>
    <w:p w:rsidR="00DC3B94" w:rsidRDefault="00DC3B94" w:rsidP="00DC3B94">
      <w:pPr>
        <w:pStyle w:val="Title"/>
        <w:tabs>
          <w:tab w:val="left" w:pos="5130"/>
          <w:tab w:val="left" w:pos="5670"/>
        </w:tabs>
        <w:jc w:val="left"/>
        <w:rPr>
          <w:rFonts w:ascii="Times New Roman" w:hAnsi="Times New Roman"/>
          <w:sz w:val="26"/>
          <w:szCs w:val="26"/>
        </w:rPr>
      </w:pPr>
    </w:p>
    <w:p w:rsidR="00DC3B94" w:rsidRDefault="00DC3B94" w:rsidP="00DC3B94">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DC3B94" w:rsidRPr="00E10679" w:rsidRDefault="00DC3B94" w:rsidP="00DC3B94">
      <w:pPr>
        <w:pStyle w:val="Title"/>
        <w:tabs>
          <w:tab w:val="left" w:pos="9360"/>
        </w:tabs>
        <w:rPr>
          <w:rFonts w:ascii="Times New Roman" w:hAnsi="Times New Roman"/>
          <w:b/>
          <w:sz w:val="32"/>
          <w:szCs w:val="32"/>
        </w:rPr>
      </w:pPr>
      <w:r>
        <w:rPr>
          <w:rFonts w:ascii="Times New Roman" w:hAnsi="Times New Roman"/>
          <w:b/>
          <w:sz w:val="32"/>
          <w:szCs w:val="32"/>
        </w:rPr>
        <w:t>REPLY COMMENTS</w:t>
      </w:r>
    </w:p>
    <w:p w:rsidR="00DC3B94" w:rsidRPr="00DC3B94" w:rsidRDefault="00DC3B94" w:rsidP="00DC3B94">
      <w:pPr>
        <w:jc w:val="center"/>
        <w:rPr>
          <w:b/>
          <w:sz w:val="26"/>
          <w:szCs w:val="26"/>
        </w:rPr>
      </w:pPr>
      <w:r w:rsidRPr="00DC3B94">
        <w:rPr>
          <w:b/>
          <w:sz w:val="26"/>
          <w:szCs w:val="26"/>
        </w:rPr>
        <w:t>SUBMITTED ON BEHALF OF THE STAFF OF</w:t>
      </w:r>
    </w:p>
    <w:p w:rsidR="00DC3B94" w:rsidRDefault="00DC3B94" w:rsidP="00DC3B94">
      <w:pPr>
        <w:jc w:val="center"/>
        <w:rPr>
          <w:b/>
          <w:sz w:val="26"/>
          <w:szCs w:val="26"/>
        </w:rPr>
      </w:pPr>
      <w:r w:rsidRPr="00DC3B94">
        <w:rPr>
          <w:b/>
          <w:sz w:val="26"/>
          <w:szCs w:val="26"/>
        </w:rPr>
        <w:t>THE PUBLIC UTILITIES COMMISSION OF OHIO</w:t>
      </w:r>
    </w:p>
    <w:p w:rsidR="00DC3B94" w:rsidRDefault="00DC3B94" w:rsidP="00DC3B94">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64436A">
      <w:pPr>
        <w:pStyle w:val="Heading1"/>
      </w:pPr>
      <w:r w:rsidRPr="00613023">
        <w:t>INTRODUCTION</w:t>
      </w:r>
      <w:bookmarkEnd w:id="14"/>
      <w:r w:rsidR="00DC3B94">
        <w:t xml:space="preserve"> AND BACKGROUND</w:t>
      </w:r>
    </w:p>
    <w:p w:rsidR="00DC3B94" w:rsidRDefault="00DC3B94" w:rsidP="00DC3B94">
      <w:pPr>
        <w:pStyle w:val="textstyle0"/>
      </w:pPr>
      <w:bookmarkStart w:id="15" w:name="_Toc260212958"/>
      <w:r>
        <w:tab/>
        <w:t>On August 22, 2013, Vectren Energy Delivery of Ohio, Inc. (“VEDO” or “Company”) filed an application in the above captioned case (“Application”) requesting authority to continue and modify the Distribution Replacement Rider program (“DRR” or “Program”) that was authorized by the Public Utilities Commission of Ohio (“Commis</w:t>
      </w:r>
      <w:r>
        <w:softHyphen/>
        <w:t>sion”) in Case No. 07-1080-GA-AIR.</w:t>
      </w:r>
      <w:r>
        <w:rPr>
          <w:rStyle w:val="FootnoteReference"/>
        </w:rPr>
        <w:footnoteReference w:id="1"/>
      </w:r>
      <w:r>
        <w:t xml:space="preserve">  The purpose of the DRR was to allow VEDO </w:t>
      </w:r>
      <w:r w:rsidRPr="005A32F3">
        <w:t>to</w:t>
      </w:r>
      <w:r>
        <w:t xml:space="preserve"> </w:t>
      </w:r>
      <w:r w:rsidRPr="005A32F3">
        <w:t xml:space="preserve">recover a return of and on investments to replace </w:t>
      </w:r>
      <w:r>
        <w:t xml:space="preserve">by the end of 2028 all </w:t>
      </w:r>
      <w:r w:rsidRPr="005A32F3">
        <w:t xml:space="preserve">aging </w:t>
      </w:r>
      <w:r>
        <w:t xml:space="preserve">bare steel and cast iron (“BS/CI”) </w:t>
      </w:r>
      <w:r w:rsidRPr="005A32F3">
        <w:t>natural gas pipeline</w:t>
      </w:r>
      <w:r>
        <w:t>s</w:t>
      </w:r>
      <w:r w:rsidRPr="005A32F3">
        <w:t xml:space="preserve"> </w:t>
      </w:r>
      <w:r>
        <w:t xml:space="preserve">in its system with lines made from newer materials, </w:t>
      </w:r>
      <w:r w:rsidRPr="005A32F3">
        <w:t>recover the costs of assuming ownership and repair of previously customer-owned service lines</w:t>
      </w:r>
      <w:r>
        <w:t>,</w:t>
      </w:r>
      <w:r w:rsidRPr="005A32F3">
        <w:t xml:space="preserve"> and</w:t>
      </w:r>
      <w:r>
        <w:t xml:space="preserve"> recover the cost of </w:t>
      </w:r>
      <w:r w:rsidRPr="005A32F3">
        <w:t>replac</w:t>
      </w:r>
      <w:r>
        <w:t>ing</w:t>
      </w:r>
      <w:r w:rsidRPr="005A32F3">
        <w:t xml:space="preserve"> prone-to-fail risers.</w:t>
      </w:r>
      <w:r>
        <w:t xml:space="preserve">  The Commis</w:t>
      </w:r>
      <w:r>
        <w:softHyphen/>
        <w:t xml:space="preserve">sion authorized the DRR Program for an initial five-year period, which is scheduled to </w:t>
      </w:r>
      <w:r>
        <w:lastRenderedPageBreak/>
        <w:t>end on February 22, 2014.</w:t>
      </w:r>
      <w:r>
        <w:rPr>
          <w:rStyle w:val="FootnoteReference"/>
        </w:rPr>
        <w:footnoteReference w:id="2"/>
      </w:r>
      <w:r>
        <w:t xml:space="preserve">  VEDO indicates that it filed its Application in this case pursu</w:t>
      </w:r>
      <w:r>
        <w:softHyphen/>
        <w:t xml:space="preserve">ant to R.C. 4929.05, R.C. 4929.051(B), R.C. 4929.11, and R.C. 4909.18, which, among other things, provide for utility alternative rate plans, review of alternative rate plan applications, continuation of rate plans, and automatic rate adjustment mechanisms.  </w:t>
      </w:r>
    </w:p>
    <w:p w:rsidR="00DC3B94" w:rsidRDefault="00DC3B94" w:rsidP="00DC3B94">
      <w:pPr>
        <w:pStyle w:val="textstyle0"/>
      </w:pPr>
      <w:r>
        <w:rPr>
          <w:vertAlign w:val="superscript"/>
        </w:rPr>
        <w:tab/>
      </w:r>
      <w:r>
        <w:t>In its Application, VEDO requests authority to continue the DRR through calendar year 2017 and proposes certain modifications to the Program, including: acceleration of pipe</w:t>
      </w:r>
      <w:r>
        <w:softHyphen/>
        <w:t>line replacement in order to replace all BS/CI lines by the end of 2023; no longer includ</w:t>
      </w:r>
      <w:r>
        <w:softHyphen/>
        <w:t>ing the costs to replace prone-to-fail risers, as all such risers have been replaced; adding replacement and retirement of ineffectively coated steel infrastructure to the Pro</w:t>
      </w:r>
      <w:r w:rsidR="00406158">
        <w:softHyphen/>
      </w:r>
      <w:r>
        <w:t>gram scope; adding replacement of obsolete pipe and related appurtenances and vintage plastic pipe when done in conjunction with a BS/CI replacement project to the scope of the Pro</w:t>
      </w:r>
      <w:r>
        <w:softHyphen/>
        <w:t>gram; and recovery of the non-reimbursable portion of replacement or relocation project costs incurred as a result of a public works project where a majority of the infra</w:t>
      </w:r>
      <w:r w:rsidR="00406158">
        <w:softHyphen/>
      </w:r>
      <w:r>
        <w:t>structure replaced is BS/CI.</w:t>
      </w:r>
      <w:r>
        <w:rPr>
          <w:rStyle w:val="FootnoteReference"/>
        </w:rPr>
        <w:footnoteReference w:id="3"/>
      </w:r>
      <w:r>
        <w:t xml:space="preserve">  </w:t>
      </w:r>
    </w:p>
    <w:p w:rsidR="00DC3B94" w:rsidRDefault="00DC3B94" w:rsidP="00DC3B94">
      <w:pPr>
        <w:pStyle w:val="textstyle0"/>
      </w:pPr>
      <w:r>
        <w:tab/>
        <w:t xml:space="preserve">On September 13, 2013, the Office of the Ohio Consumers’ Counsel (“OCC”) filed a </w:t>
      </w:r>
      <w:r w:rsidR="00406158">
        <w:t>m</w:t>
      </w:r>
      <w:r>
        <w:t xml:space="preserve">otion to </w:t>
      </w:r>
      <w:r w:rsidR="00406158">
        <w:t>i</w:t>
      </w:r>
      <w:r>
        <w:t>ntervene in the case</w:t>
      </w:r>
      <w:r w:rsidR="00406158">
        <w:t xml:space="preserve">.  </w:t>
      </w:r>
      <w:r>
        <w:t>On September 26, 2013, the Attorney Examiner assigned to this case issued an Entry establish</w:t>
      </w:r>
      <w:r w:rsidR="001C4C16">
        <w:t>ing</w:t>
      </w:r>
      <w:r>
        <w:t xml:space="preserve"> a procedural schedule for Initial Com</w:t>
      </w:r>
      <w:r w:rsidR="00406158">
        <w:softHyphen/>
      </w:r>
      <w:r>
        <w:lastRenderedPageBreak/>
        <w:t xml:space="preserve">ments (due October 30, 2013) and Reply Comments (due November 13, 2013).  On October 30, 2013, the Staff of the Public Utilities Commission of Ohio (“Staff”) and OCC filed Comments.  The Staff is submitting these Reply Comments </w:t>
      </w:r>
      <w:r w:rsidR="001C4C16">
        <w:t xml:space="preserve">in response </w:t>
      </w:r>
      <w:r>
        <w:t xml:space="preserve">to the Comments filed by the OCC pursuant to the Attorney Examiner’s schedule.  </w:t>
      </w:r>
    </w:p>
    <w:p w:rsidR="00DC3B94" w:rsidRDefault="00DC3B94" w:rsidP="00DC3B94">
      <w:pPr>
        <w:pStyle w:val="Heading1"/>
      </w:pPr>
      <w:r>
        <w:t>STAFF’S REPLY COMMENTS</w:t>
      </w:r>
    </w:p>
    <w:p w:rsidR="00DC3B94" w:rsidRPr="001348D1" w:rsidRDefault="00DC3B94" w:rsidP="00DC3B94">
      <w:pPr>
        <w:pStyle w:val="Heading2"/>
      </w:pPr>
      <w:r>
        <w:t>A.</w:t>
      </w:r>
      <w:r>
        <w:tab/>
      </w:r>
      <w:r w:rsidRPr="001348D1">
        <w:t>Clarification of the Staff’s use of the term “actual savings” while discuss</w:t>
      </w:r>
      <w:r w:rsidR="00406158">
        <w:softHyphen/>
      </w:r>
      <w:r w:rsidRPr="001348D1">
        <w:t>ing VEDO’s proposal for determining operation and main</w:t>
      </w:r>
      <w:r w:rsidR="00AE4FAE">
        <w:softHyphen/>
      </w:r>
      <w:r w:rsidRPr="001348D1">
        <w:t>tenance savings resulting from the DRR Program</w:t>
      </w:r>
      <w:r>
        <w:t>.</w:t>
      </w:r>
    </w:p>
    <w:p w:rsidR="00DC3B94" w:rsidRPr="00C951FF" w:rsidRDefault="00DC3B94" w:rsidP="00DC3B94">
      <w:pPr>
        <w:pStyle w:val="textstyle0"/>
      </w:pPr>
      <w:r>
        <w:tab/>
        <w:t>In Initial Comments, both the Staff and OCC recommend modifying VEDO’s pro</w:t>
      </w:r>
      <w:r w:rsidR="00406158">
        <w:softHyphen/>
      </w:r>
      <w:r>
        <w:t>posed Operation and Maintenance (“O&amp;M”) Savings process to reflect the “actual” sav</w:t>
      </w:r>
      <w:r w:rsidR="00406158">
        <w:softHyphen/>
      </w:r>
      <w:r>
        <w:t xml:space="preserve">ings that VEDO experienced during the first four years of the DRR Program.  However, </w:t>
      </w:r>
      <w:r w:rsidR="001C4C16">
        <w:t xml:space="preserve">Staff and OCC differ on </w:t>
      </w:r>
      <w:r>
        <w:t xml:space="preserve">the actual O&amp;M savings that VEDO achieved.  The Staff believes that this difference in the use of the term “actual” in reference to the </w:t>
      </w:r>
      <w:proofErr w:type="spellStart"/>
      <w:r>
        <w:t>O&amp;M</w:t>
      </w:r>
      <w:proofErr w:type="spellEnd"/>
      <w:r>
        <w:t xml:space="preserve"> sav</w:t>
      </w:r>
      <w:r w:rsidR="00AE4FAE">
        <w:softHyphen/>
      </w:r>
      <w:r>
        <w:t xml:space="preserve">ings that </w:t>
      </w:r>
      <w:proofErr w:type="spellStart"/>
      <w:r>
        <w:t>VEDO</w:t>
      </w:r>
      <w:proofErr w:type="spellEnd"/>
      <w:r>
        <w:t xml:space="preserve"> achieved in its first four years should be explained.  To compute the O&amp;M savings recommendation contained in its Comments, the Staff determined that VEDO achieved an average annual O&amp;M savings amount of $294,116.  Staff arrived at this amount by adding the average of the actual amounts reported by VEDO as the “Annualized Maintenance Adjustment,”  or O&amp;M savings, ($310,253) in the revenue requirement calculations for the mains to the average “Annualized Maintenance Adjust</w:t>
      </w:r>
      <w:r w:rsidR="00406158">
        <w:softHyphen/>
      </w:r>
      <w:r>
        <w:t xml:space="preserve">ment” (-16,137) reported in the revenue requirement calculations for the service lines .  </w:t>
      </w:r>
      <w:r w:rsidR="00AE4FAE">
        <w:t>The average</w:t>
      </w:r>
      <w:r>
        <w:t xml:space="preserve"> “Annualized Maintenance Adjustment” for the ser</w:t>
      </w:r>
      <w:r w:rsidR="00406158">
        <w:softHyphen/>
      </w:r>
      <w:r>
        <w:t>vice lines is</w:t>
      </w:r>
      <w:r w:rsidR="008F3756">
        <w:t xml:space="preserve"> negative because</w:t>
      </w:r>
      <w:r>
        <w:t xml:space="preserve"> VEDO experienced increases in O&amp;M spending related to service lines</w:t>
      </w:r>
      <w:r w:rsidR="008E09A6">
        <w:t xml:space="preserve"> during </w:t>
      </w:r>
      <w:r w:rsidR="008E09A6">
        <w:lastRenderedPageBreak/>
        <w:t>three of the first four years of the DRR Program</w:t>
      </w:r>
      <w:r>
        <w:t xml:space="preserve">.  Staff then used this “net” amount of actual O&amp;M savings to recommend modifications </w:t>
      </w:r>
      <w:r w:rsidR="008F3756">
        <w:t xml:space="preserve">to </w:t>
      </w:r>
      <w:r>
        <w:t>VEDO’s proposed O&amp;M savings methodology as described in Staff’s Initial Comments.  OCC, on the other hand, did not net the O&amp;M savings reported for the mains against the savings reported for the service lines.  Instead, it utilized only the savings reported for the mains by dividing the cumula</w:t>
      </w:r>
      <w:r w:rsidR="00AE4FAE">
        <w:softHyphen/>
      </w:r>
      <w:r>
        <w:t>tive savings reported for the mains during the Program’s first four years by the cumula</w:t>
      </w:r>
      <w:r w:rsidR="00AE4FAE">
        <w:softHyphen/>
      </w:r>
      <w:r>
        <w:t xml:space="preserve">tive miles of </w:t>
      </w:r>
      <w:r w:rsidR="008F3756">
        <w:t xml:space="preserve">replaced </w:t>
      </w:r>
      <w:r>
        <w:t xml:space="preserve">BS/CI </w:t>
      </w:r>
      <w:r w:rsidR="00AE4FAE">
        <w:t>mains to</w:t>
      </w:r>
      <w:r>
        <w:t xml:space="preserve"> determine an estimate of the average annual O&amp;M savings per mile achieved.  </w:t>
      </w:r>
      <w:r w:rsidR="008F3756">
        <w:t xml:space="preserve">OCC </w:t>
      </w:r>
      <w:r>
        <w:t>then used this figure to arrive at the recommenda</w:t>
      </w:r>
      <w:r w:rsidR="00406158">
        <w:softHyphen/>
      </w:r>
      <w:r>
        <w:t xml:space="preserve">tions for modifying VEDO’s proposed O&amp;M savings methodology described in its Comments. </w:t>
      </w:r>
    </w:p>
    <w:p w:rsidR="00DC3B94" w:rsidRPr="00C9136A" w:rsidRDefault="00DC3B94" w:rsidP="00DC3B94">
      <w:pPr>
        <w:pStyle w:val="Heading2"/>
      </w:pPr>
      <w:r>
        <w:t>B.</w:t>
      </w:r>
      <w:r>
        <w:tab/>
      </w:r>
      <w:r w:rsidRPr="00C9136A">
        <w:t xml:space="preserve">If the Annual DRR Rate Caps proposed in OCC’s Comments are a more accurate projection of the </w:t>
      </w:r>
      <w:r>
        <w:t xml:space="preserve">future </w:t>
      </w:r>
      <w:r w:rsidRPr="00C9136A">
        <w:t xml:space="preserve">rates VEDO expects, then </w:t>
      </w:r>
      <w:r w:rsidR="00CE0E91">
        <w:t>those rate caps</w:t>
      </w:r>
      <w:r w:rsidR="00CE0E91" w:rsidRPr="00C9136A">
        <w:t xml:space="preserve"> </w:t>
      </w:r>
      <w:r w:rsidRPr="00C9136A">
        <w:t>should be adopted</w:t>
      </w:r>
      <w:r>
        <w:t>.</w:t>
      </w:r>
    </w:p>
    <w:p w:rsidR="00DC3B94" w:rsidRDefault="00DC3B94" w:rsidP="00DC3B94">
      <w:pPr>
        <w:pStyle w:val="textstyle0"/>
      </w:pPr>
      <w:r>
        <w:tab/>
        <w:t xml:space="preserve">OCC recommends that if the Commission approves VEDO’s proposed extension of the DRR, then it should </w:t>
      </w:r>
      <w:r w:rsidR="00AE4FAE">
        <w:t>adopt the</w:t>
      </w:r>
      <w:r w:rsidR="008F3756">
        <w:t xml:space="preserve"> annual</w:t>
      </w:r>
      <w:r>
        <w:t xml:space="preserve"> rate caps for the Residential and Group 1 General Service customers specified in its Comments rather than the rate caps recom</w:t>
      </w:r>
      <w:r w:rsidR="00AE4FAE">
        <w:softHyphen/>
      </w:r>
      <w:r>
        <w:t>mended in VEDO’s Application.  The OCC’s recommended rate caps range between $0.02 and $0.10 less than the annual caps proposed by VEDO.</w:t>
      </w:r>
      <w:r>
        <w:rPr>
          <w:rStyle w:val="FootnoteReference"/>
          <w:szCs w:val="26"/>
        </w:rPr>
        <w:footnoteReference w:id="4"/>
      </w:r>
      <w:proofErr w:type="gramStart"/>
      <w:r>
        <w:t xml:space="preserve"> </w:t>
      </w:r>
      <w:proofErr w:type="gramEnd"/>
      <w:r w:rsidR="00AE4FAE">
        <w:t>OCC main</w:t>
      </w:r>
      <w:r w:rsidR="00AE4FAE">
        <w:softHyphen/>
        <w:t xml:space="preserve">tains that the rate caps posited in its Comments were provided by VEDO in response to a discovery request and are VEDO’s own projections of the annual rates necessary to recover each </w:t>
      </w:r>
      <w:r w:rsidR="00AE4FAE">
        <w:lastRenderedPageBreak/>
        <w:t>year’s estimated revenue requirement during the extended DRR period.</w:t>
      </w:r>
      <w:r w:rsidR="00AE4FAE">
        <w:rPr>
          <w:rStyle w:val="FootnoteReference"/>
          <w:szCs w:val="26"/>
        </w:rPr>
        <w:footnoteReference w:id="5"/>
      </w:r>
      <w:r w:rsidR="00AE4FAE">
        <w:t xml:space="preserve">  </w:t>
      </w:r>
      <w:r w:rsidR="008F3756">
        <w:t xml:space="preserve">If </w:t>
      </w:r>
      <w:r>
        <w:t xml:space="preserve">the rate caps advocated by OCC were provided by VEDO and were derived from VEDO’s estimates of the annual revenue requirements needed to fully recover its annual DRR investments (including factoring in the Company’s proposed acceleration of </w:t>
      </w:r>
      <w:r w:rsidR="00CE0E91">
        <w:t xml:space="preserve">the </w:t>
      </w:r>
      <w:r>
        <w:t xml:space="preserve">implementation pace of the Program and expansion of its scope), then the Staff agrees with OCC.  The most accurate projections of future rate caps should be adopted. </w:t>
      </w:r>
    </w:p>
    <w:p w:rsidR="00DC3B94" w:rsidRPr="008F7C40" w:rsidRDefault="00DC3B94" w:rsidP="00DC3B94">
      <w:pPr>
        <w:pStyle w:val="Heading2"/>
      </w:pPr>
      <w:r>
        <w:t>C.</w:t>
      </w:r>
      <w:r>
        <w:tab/>
      </w:r>
      <w:r w:rsidRPr="008F7C40">
        <w:t>OCC’s recommendation that the Commission require VEDO to file a base rate case in conjunction with any future request to extend the DRR beyond the five year</w:t>
      </w:r>
      <w:r w:rsidR="008F3756">
        <w:t>s</w:t>
      </w:r>
      <w:r w:rsidRPr="008F7C40">
        <w:t xml:space="preserve"> sought in the current Application has merit</w:t>
      </w:r>
      <w:r>
        <w:t>.</w:t>
      </w:r>
    </w:p>
    <w:p w:rsidR="00DC3B94" w:rsidRDefault="00DC3B94" w:rsidP="00DC3B94">
      <w:pPr>
        <w:pStyle w:val="textstyle0"/>
      </w:pPr>
      <w:r>
        <w:tab/>
        <w:t>OCC recommends that, if the Commission authorizes extension of the DRR for an additional five-year period in this case as advocated by VEDO, then any subsequent extension request that the Company makes should be contingent on it filing the extension request in conjunction with a base rate application filed pursuant to R.C. 4909.18 and 4909.19</w:t>
      </w:r>
      <w:r w:rsidRPr="00C9486C">
        <w:t>.</w:t>
      </w:r>
      <w:r>
        <w:rPr>
          <w:rStyle w:val="FootnoteReference"/>
          <w:szCs w:val="26"/>
        </w:rPr>
        <w:footnoteReference w:id="6"/>
      </w:r>
      <w:r>
        <w:t xml:space="preserve">  The Staff believes that this recommendation has merit.  VEDO’s Application in this case would extend the DRR for Program investments through 2017 and rate recov</w:t>
      </w:r>
      <w:r w:rsidR="00406158">
        <w:softHyphen/>
      </w:r>
      <w:r>
        <w:t xml:space="preserve">ery </w:t>
      </w:r>
      <w:r w:rsidR="008E09A6">
        <w:t xml:space="preserve">until </w:t>
      </w:r>
      <w:r>
        <w:t>August 31, 2019.</w:t>
      </w:r>
      <w:r>
        <w:rPr>
          <w:rStyle w:val="FootnoteReference"/>
          <w:szCs w:val="26"/>
        </w:rPr>
        <w:footnoteReference w:id="7"/>
      </w:r>
      <w:r>
        <w:t xml:space="preserve">  This means that by the time VEDO finishes recovering the DRR investments authorized in this case it will have been more than ten years since the Commission last approved base distribution rates for VEDO.  Similarly, VEDO’s Appli</w:t>
      </w:r>
      <w:r w:rsidR="00406158">
        <w:softHyphen/>
      </w:r>
      <w:r>
        <w:lastRenderedPageBreak/>
        <w:t xml:space="preserve">cation provides that the rate cap that will be in place for Residential and Group 1 General Service class of customers will be an additional $9.25 per customer per month charge over and above the customers’ monthly base distribution rates.   </w:t>
      </w:r>
      <w:r w:rsidRPr="0095004E">
        <w:t xml:space="preserve">   </w:t>
      </w:r>
    </w:p>
    <w:p w:rsidR="00DC3B94" w:rsidRPr="00DC3B94" w:rsidRDefault="00DC3B94" w:rsidP="00DC3B94">
      <w:pPr>
        <w:pStyle w:val="Heading1"/>
      </w:pPr>
      <w:bookmarkStart w:id="17" w:name="_Toc370912425"/>
      <w:r>
        <w:t>RECOMMENDATIONS TO THE COMMISSION</w:t>
      </w:r>
      <w:bookmarkEnd w:id="17"/>
    </w:p>
    <w:p w:rsidR="00DC3B94" w:rsidRDefault="00DC3B94" w:rsidP="00DC3B94">
      <w:pPr>
        <w:pStyle w:val="textstyle0"/>
      </w:pPr>
      <w:r>
        <w:tab/>
      </w:r>
      <w:r w:rsidRPr="0095004E">
        <w:t xml:space="preserve">The Staff </w:t>
      </w:r>
      <w:r>
        <w:t xml:space="preserve">respectfully </w:t>
      </w:r>
      <w:r w:rsidRPr="0095004E">
        <w:t xml:space="preserve">recommends that the Commission </w:t>
      </w:r>
      <w:r>
        <w:t xml:space="preserve">consider the clarifications and </w:t>
      </w:r>
      <w:r w:rsidRPr="0095004E">
        <w:t>recommenda</w:t>
      </w:r>
      <w:r>
        <w:softHyphen/>
      </w:r>
      <w:r w:rsidRPr="0095004E">
        <w:t xml:space="preserve">tions contained herein </w:t>
      </w:r>
      <w:r>
        <w:t>in addition to the recommendations contained in Staff’s Initial Comments.</w:t>
      </w:r>
    </w:p>
    <w:bookmarkEnd w:id="15"/>
    <w:p w:rsidR="00200A0A" w:rsidRPr="0064436A" w:rsidRDefault="00200A0A" w:rsidP="00DC3B94">
      <w:pPr>
        <w:tabs>
          <w:tab w:val="left" w:pos="9348"/>
        </w:tabs>
        <w:spacing w:line="480" w:lineRule="auto"/>
        <w:ind w:left="4320"/>
        <w:rPr>
          <w:sz w:val="26"/>
          <w:szCs w:val="26"/>
        </w:rPr>
      </w:pPr>
      <w:r w:rsidRPr="0064436A">
        <w:rPr>
          <w:sz w:val="26"/>
          <w:szCs w:val="26"/>
        </w:rPr>
        <w:t>Respectfully submitted,</w:t>
      </w:r>
    </w:p>
    <w:p w:rsidR="00200A0A" w:rsidRPr="0064436A" w:rsidRDefault="00C90964" w:rsidP="00DC3B94">
      <w:pPr>
        <w:tabs>
          <w:tab w:val="left" w:pos="9348"/>
        </w:tabs>
        <w:ind w:left="4320"/>
        <w:rPr>
          <w:sz w:val="26"/>
          <w:szCs w:val="26"/>
        </w:rPr>
      </w:pPr>
      <w:r>
        <w:rPr>
          <w:b/>
          <w:sz w:val="26"/>
          <w:szCs w:val="26"/>
        </w:rPr>
        <w:t>Michael DeWine</w:t>
      </w:r>
    </w:p>
    <w:p w:rsidR="00200A0A" w:rsidRPr="0064436A" w:rsidRDefault="00200A0A" w:rsidP="00DC3B94">
      <w:pPr>
        <w:tabs>
          <w:tab w:val="left" w:pos="9348"/>
        </w:tabs>
        <w:ind w:left="4320"/>
        <w:rPr>
          <w:sz w:val="26"/>
          <w:szCs w:val="26"/>
        </w:rPr>
      </w:pPr>
      <w:r w:rsidRPr="0064436A">
        <w:rPr>
          <w:sz w:val="26"/>
          <w:szCs w:val="26"/>
        </w:rPr>
        <w:t>Ohio Attorney General</w:t>
      </w:r>
    </w:p>
    <w:p w:rsidR="00200A0A" w:rsidRPr="0064436A" w:rsidRDefault="00200A0A" w:rsidP="00DC3B94">
      <w:pPr>
        <w:tabs>
          <w:tab w:val="left" w:pos="9348"/>
        </w:tabs>
        <w:ind w:left="4320"/>
        <w:rPr>
          <w:sz w:val="26"/>
          <w:szCs w:val="26"/>
        </w:rPr>
      </w:pPr>
    </w:p>
    <w:p w:rsidR="000753F8" w:rsidRDefault="00BC5B75" w:rsidP="00DC3B94">
      <w:pPr>
        <w:tabs>
          <w:tab w:val="left" w:pos="9348"/>
        </w:tabs>
        <w:ind w:left="4320"/>
        <w:rPr>
          <w:b/>
          <w:sz w:val="26"/>
          <w:szCs w:val="26"/>
        </w:rPr>
      </w:pPr>
      <w:r>
        <w:rPr>
          <w:b/>
          <w:sz w:val="26"/>
          <w:szCs w:val="26"/>
        </w:rPr>
        <w:t>William L. Wright</w:t>
      </w:r>
    </w:p>
    <w:p w:rsidR="00200A0A" w:rsidRPr="0064436A" w:rsidRDefault="00200A0A" w:rsidP="00DC3B94">
      <w:pPr>
        <w:tabs>
          <w:tab w:val="left" w:pos="9348"/>
        </w:tabs>
        <w:ind w:left="4320"/>
        <w:rPr>
          <w:sz w:val="26"/>
          <w:szCs w:val="26"/>
        </w:rPr>
      </w:pPr>
      <w:r w:rsidRPr="0064436A">
        <w:rPr>
          <w:sz w:val="26"/>
          <w:szCs w:val="26"/>
        </w:rPr>
        <w:t>Section Chief</w:t>
      </w:r>
    </w:p>
    <w:p w:rsidR="00200A0A" w:rsidRPr="0064436A" w:rsidRDefault="00200A0A" w:rsidP="00DC3B94">
      <w:pPr>
        <w:tabs>
          <w:tab w:val="left" w:pos="9348"/>
        </w:tabs>
        <w:ind w:left="4320"/>
        <w:rPr>
          <w:sz w:val="26"/>
          <w:szCs w:val="26"/>
        </w:rPr>
      </w:pPr>
    </w:p>
    <w:p w:rsidR="00200A0A" w:rsidRPr="0064436A" w:rsidRDefault="00200A0A" w:rsidP="00DC3B94">
      <w:pPr>
        <w:tabs>
          <w:tab w:val="left" w:pos="9348"/>
        </w:tabs>
        <w:ind w:left="4320"/>
        <w:rPr>
          <w:sz w:val="26"/>
          <w:szCs w:val="26"/>
        </w:rPr>
      </w:pPr>
    </w:p>
    <w:p w:rsidR="00200A0A" w:rsidRPr="00157170" w:rsidRDefault="00157170" w:rsidP="00DC3B94">
      <w:pPr>
        <w:tabs>
          <w:tab w:val="left" w:pos="9348"/>
        </w:tabs>
        <w:ind w:left="4320"/>
        <w:rPr>
          <w:rFonts w:ascii="Viner Hand ITC" w:hAnsi="Viner Hand ITC"/>
          <w:sz w:val="28"/>
          <w:szCs w:val="28"/>
          <w:u w:val="single"/>
        </w:rPr>
      </w:pPr>
      <w:r w:rsidRPr="00157170">
        <w:rPr>
          <w:rFonts w:ascii="Viner Hand ITC" w:hAnsi="Viner Hand ITC"/>
          <w:sz w:val="28"/>
          <w:szCs w:val="28"/>
          <w:u w:val="single"/>
        </w:rPr>
        <w:t>/s/ Ryan P. O’Rourke</w:t>
      </w:r>
      <w:r w:rsidR="00200A0A" w:rsidRPr="00157170">
        <w:rPr>
          <w:rFonts w:ascii="Viner Hand ITC" w:hAnsi="Viner Hand ITC"/>
          <w:sz w:val="28"/>
          <w:szCs w:val="28"/>
          <w:u w:val="single"/>
        </w:rPr>
        <w:tab/>
      </w:r>
    </w:p>
    <w:p w:rsidR="00DC3B94" w:rsidRPr="00CC6214" w:rsidRDefault="00DC3B94" w:rsidP="00DC3B94">
      <w:pPr>
        <w:tabs>
          <w:tab w:val="left" w:pos="9360"/>
        </w:tabs>
        <w:ind w:left="4320"/>
        <w:jc w:val="both"/>
        <w:rPr>
          <w:b/>
          <w:sz w:val="26"/>
          <w:szCs w:val="26"/>
        </w:rPr>
      </w:pPr>
      <w:r w:rsidRPr="00CC6214">
        <w:rPr>
          <w:b/>
          <w:sz w:val="26"/>
          <w:szCs w:val="26"/>
        </w:rPr>
        <w:t>Ryan P. O’Rourke</w:t>
      </w:r>
    </w:p>
    <w:p w:rsidR="00DC3B94" w:rsidRPr="00CC6214" w:rsidRDefault="00DC3B94" w:rsidP="00DC3B94">
      <w:pPr>
        <w:tabs>
          <w:tab w:val="left" w:pos="9360"/>
        </w:tabs>
        <w:ind w:left="4320"/>
        <w:jc w:val="both"/>
        <w:rPr>
          <w:sz w:val="26"/>
          <w:szCs w:val="26"/>
        </w:rPr>
      </w:pPr>
      <w:r w:rsidRPr="00CC6214">
        <w:rPr>
          <w:sz w:val="26"/>
          <w:szCs w:val="26"/>
        </w:rPr>
        <w:t>Assistant Attorney General</w:t>
      </w:r>
    </w:p>
    <w:p w:rsidR="00DC3B94" w:rsidRPr="00CC6214" w:rsidRDefault="00DC3B94" w:rsidP="00DC3B94">
      <w:pPr>
        <w:tabs>
          <w:tab w:val="left" w:pos="9360"/>
        </w:tabs>
        <w:ind w:left="4320"/>
        <w:jc w:val="both"/>
        <w:rPr>
          <w:sz w:val="26"/>
          <w:szCs w:val="26"/>
        </w:rPr>
      </w:pPr>
      <w:r w:rsidRPr="00CC6214">
        <w:rPr>
          <w:sz w:val="26"/>
          <w:szCs w:val="26"/>
        </w:rPr>
        <w:t>Public Utilities Section</w:t>
      </w:r>
    </w:p>
    <w:p w:rsidR="00DC3B94" w:rsidRPr="00CC6214" w:rsidRDefault="00DC3B94" w:rsidP="00DC3B94">
      <w:pPr>
        <w:tabs>
          <w:tab w:val="left" w:pos="9360"/>
        </w:tabs>
        <w:ind w:left="4320"/>
        <w:jc w:val="both"/>
        <w:rPr>
          <w:sz w:val="26"/>
          <w:szCs w:val="26"/>
        </w:rPr>
      </w:pPr>
      <w:r w:rsidRPr="00CC6214">
        <w:rPr>
          <w:sz w:val="26"/>
          <w:szCs w:val="26"/>
        </w:rPr>
        <w:t>180 East Broad Street, 6</w:t>
      </w:r>
      <w:r w:rsidRPr="00CC6214">
        <w:rPr>
          <w:sz w:val="26"/>
          <w:szCs w:val="26"/>
          <w:vertAlign w:val="superscript"/>
        </w:rPr>
        <w:t>th</w:t>
      </w:r>
      <w:r w:rsidRPr="00CC6214">
        <w:rPr>
          <w:sz w:val="26"/>
          <w:szCs w:val="26"/>
        </w:rPr>
        <w:t xml:space="preserve"> Fl. </w:t>
      </w:r>
    </w:p>
    <w:p w:rsidR="00DC3B94" w:rsidRPr="00CC6214" w:rsidRDefault="00DC3B94" w:rsidP="00DC3B94">
      <w:pPr>
        <w:tabs>
          <w:tab w:val="left" w:pos="9360"/>
        </w:tabs>
        <w:ind w:left="4320"/>
        <w:jc w:val="both"/>
        <w:rPr>
          <w:sz w:val="26"/>
          <w:szCs w:val="26"/>
        </w:rPr>
      </w:pPr>
      <w:r w:rsidRPr="00CC6214">
        <w:rPr>
          <w:sz w:val="26"/>
          <w:szCs w:val="26"/>
        </w:rPr>
        <w:t>Columbus, OH  43215</w:t>
      </w:r>
    </w:p>
    <w:p w:rsidR="00DC3B94" w:rsidRPr="00CC6214" w:rsidRDefault="00DC3B94" w:rsidP="00DC3B94">
      <w:pPr>
        <w:tabs>
          <w:tab w:val="left" w:pos="9360"/>
        </w:tabs>
        <w:ind w:left="4320"/>
        <w:jc w:val="both"/>
        <w:rPr>
          <w:sz w:val="26"/>
          <w:szCs w:val="26"/>
        </w:rPr>
      </w:pPr>
      <w:r w:rsidRPr="00CC6214">
        <w:rPr>
          <w:sz w:val="26"/>
          <w:szCs w:val="26"/>
        </w:rPr>
        <w:t>614.466.4395 (telephone)</w:t>
      </w:r>
    </w:p>
    <w:p w:rsidR="00DC3B94" w:rsidRPr="00CC6214" w:rsidRDefault="00DC3B94" w:rsidP="00DC3B94">
      <w:pPr>
        <w:ind w:left="4320"/>
        <w:jc w:val="both"/>
        <w:rPr>
          <w:rFonts w:eastAsia="Calibri"/>
          <w:sz w:val="26"/>
          <w:szCs w:val="26"/>
        </w:rPr>
      </w:pPr>
      <w:r w:rsidRPr="00CC6214">
        <w:rPr>
          <w:rFonts w:eastAsia="Calibri"/>
          <w:sz w:val="26"/>
          <w:szCs w:val="26"/>
        </w:rPr>
        <w:t>614.644.8764 (fax)</w:t>
      </w:r>
    </w:p>
    <w:p w:rsidR="00DC3B94" w:rsidRPr="00CC6214" w:rsidRDefault="00846436" w:rsidP="00DC3B94">
      <w:pPr>
        <w:ind w:left="4320"/>
        <w:jc w:val="both"/>
        <w:rPr>
          <w:rFonts w:eastAsia="Calibri"/>
          <w:sz w:val="26"/>
          <w:szCs w:val="26"/>
        </w:rPr>
      </w:pPr>
      <w:hyperlink r:id="rId11" w:history="1">
        <w:r w:rsidR="00DC3B94" w:rsidRPr="00A63F9B">
          <w:rPr>
            <w:rStyle w:val="Hyperlink"/>
            <w:rFonts w:eastAsia="Calibri"/>
            <w:sz w:val="26"/>
            <w:szCs w:val="26"/>
          </w:rPr>
          <w:t>ryan.orourke@puc.state.oh.us</w:t>
        </w:r>
      </w:hyperlink>
    </w:p>
    <w:p w:rsidR="00200A0A" w:rsidRPr="0064436A" w:rsidRDefault="00200A0A" w:rsidP="00200A0A">
      <w:pPr>
        <w:tabs>
          <w:tab w:val="left" w:pos="9348"/>
        </w:tabs>
        <w:ind w:left="5040"/>
        <w:rPr>
          <w:b/>
          <w:sz w:val="26"/>
          <w:szCs w:val="26"/>
        </w:rPr>
      </w:pPr>
    </w:p>
    <w:p w:rsidR="00200A0A" w:rsidRPr="00934B92" w:rsidRDefault="00200A0A" w:rsidP="0064436A">
      <w:pPr>
        <w:pStyle w:val="Heading1"/>
      </w:pPr>
      <w:r w:rsidRPr="00955E20">
        <w:br w:type="page"/>
      </w:r>
      <w:bookmarkStart w:id="18" w:name="_Toc205862526"/>
      <w:bookmarkStart w:id="19" w:name="_Toc260212964"/>
      <w:r w:rsidR="00C95499" w:rsidRPr="00934B92">
        <w:rPr>
          <w:caps w:val="0"/>
        </w:rPr>
        <w:lastRenderedPageBreak/>
        <w:t>PROOF OF SERVICE</w:t>
      </w:r>
      <w:bookmarkEnd w:id="18"/>
      <w:bookmarkEnd w:id="19"/>
    </w:p>
    <w:p w:rsidR="00200A0A" w:rsidRPr="00934B92" w:rsidRDefault="0064436A" w:rsidP="006A3730">
      <w:pPr>
        <w:pStyle w:val="textstyle0"/>
      </w:pPr>
      <w:r>
        <w:tab/>
      </w:r>
      <w:r w:rsidR="00200A0A" w:rsidRPr="00934B92">
        <w:t xml:space="preserve">I hereby certify that a true copy of the foregoing </w:t>
      </w:r>
      <w:r w:rsidR="00DC3B94">
        <w:rPr>
          <w:b/>
        </w:rPr>
        <w:t>Reply Comments</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721F2D">
        <w:t>1</w:t>
      </w:r>
      <w:r w:rsidR="00DC3B94">
        <w:t>3</w:t>
      </w:r>
      <w:r w:rsidR="001A5C2F" w:rsidRPr="001A5C2F">
        <w:rPr>
          <w:vertAlign w:val="superscript"/>
        </w:rPr>
        <w:t>th</w:t>
      </w:r>
      <w:r w:rsidR="001A5C2F">
        <w:t xml:space="preserve"> </w:t>
      </w:r>
      <w:r w:rsidR="004B6358">
        <w:t>d</w:t>
      </w:r>
      <w:r w:rsidR="00200A0A" w:rsidRPr="00934B92">
        <w:t xml:space="preserve">ay of </w:t>
      </w:r>
      <w:r w:rsidR="00DC3B94">
        <w:t>November, 2013</w:t>
      </w:r>
      <w:r w:rsidR="00200A0A" w:rsidRPr="00934B92">
        <w:t>.</w:t>
      </w:r>
    </w:p>
    <w:p w:rsidR="00200A0A" w:rsidRPr="00DF3D54" w:rsidRDefault="00200A0A" w:rsidP="00200A0A">
      <w:pPr>
        <w:spacing w:line="480" w:lineRule="auto"/>
        <w:jc w:val="both"/>
      </w:pPr>
    </w:p>
    <w:p w:rsidR="00157170" w:rsidRDefault="00157170" w:rsidP="00157170">
      <w:pPr>
        <w:tabs>
          <w:tab w:val="left" w:pos="9360"/>
        </w:tabs>
        <w:ind w:left="4332"/>
        <w:jc w:val="both"/>
        <w:rPr>
          <w:rFonts w:ascii="Viner Hand ITC" w:hAnsi="Viner Hand ITC"/>
          <w:sz w:val="28"/>
          <w:szCs w:val="28"/>
          <w:u w:val="single"/>
        </w:rPr>
      </w:pPr>
      <w:r w:rsidRPr="00157170">
        <w:rPr>
          <w:rFonts w:ascii="Viner Hand ITC" w:hAnsi="Viner Hand ITC"/>
          <w:sz w:val="28"/>
          <w:szCs w:val="28"/>
          <w:u w:val="single"/>
        </w:rPr>
        <w:t>/s/ Ryan P. O’Rourke</w:t>
      </w:r>
      <w:r>
        <w:rPr>
          <w:rFonts w:ascii="Viner Hand ITC" w:hAnsi="Viner Hand ITC"/>
          <w:sz w:val="28"/>
          <w:szCs w:val="28"/>
          <w:u w:val="single"/>
        </w:rPr>
        <w:tab/>
      </w:r>
    </w:p>
    <w:p w:rsidR="00200A0A" w:rsidRPr="00DF3D54" w:rsidRDefault="00DC3B94" w:rsidP="00200A0A">
      <w:pPr>
        <w:ind w:left="4332"/>
        <w:jc w:val="both"/>
        <w:rPr>
          <w:b/>
          <w:sz w:val="26"/>
          <w:szCs w:val="26"/>
        </w:rPr>
      </w:pPr>
      <w:r>
        <w:rPr>
          <w:b/>
          <w:sz w:val="26"/>
          <w:szCs w:val="26"/>
        </w:rPr>
        <w:t>Ryan P. O’Rourke</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950"/>
      </w:tblGrid>
      <w:tr w:rsidR="00DC3B94" w:rsidRPr="00493916" w:rsidTr="00050E84">
        <w:tc>
          <w:tcPr>
            <w:tcW w:w="5238" w:type="dxa"/>
            <w:shd w:val="clear" w:color="auto" w:fill="auto"/>
          </w:tcPr>
          <w:p w:rsidR="00DC3B94" w:rsidRPr="00493916" w:rsidRDefault="00DC3B94" w:rsidP="00050E84">
            <w:pPr>
              <w:autoSpaceDE w:val="0"/>
              <w:autoSpaceDN w:val="0"/>
              <w:adjustRightInd w:val="0"/>
              <w:rPr>
                <w:sz w:val="26"/>
                <w:szCs w:val="26"/>
              </w:rPr>
            </w:pPr>
            <w:r w:rsidRPr="00493916">
              <w:rPr>
                <w:sz w:val="26"/>
                <w:szCs w:val="26"/>
              </w:rPr>
              <w:t>Mark A. Whitt</w:t>
            </w:r>
          </w:p>
          <w:p w:rsidR="00DC3B94" w:rsidRPr="00493916" w:rsidRDefault="00DC3B94" w:rsidP="00050E84">
            <w:pPr>
              <w:autoSpaceDE w:val="0"/>
              <w:autoSpaceDN w:val="0"/>
              <w:adjustRightInd w:val="0"/>
              <w:rPr>
                <w:sz w:val="26"/>
                <w:szCs w:val="26"/>
              </w:rPr>
            </w:pPr>
            <w:r w:rsidRPr="00493916">
              <w:rPr>
                <w:sz w:val="26"/>
                <w:szCs w:val="26"/>
              </w:rPr>
              <w:t>Joel E. Sechler</w:t>
            </w:r>
          </w:p>
          <w:p w:rsidR="00DC3B94" w:rsidRPr="00493916" w:rsidRDefault="00DC3B94" w:rsidP="00050E84">
            <w:pPr>
              <w:autoSpaceDE w:val="0"/>
              <w:autoSpaceDN w:val="0"/>
              <w:adjustRightInd w:val="0"/>
              <w:rPr>
                <w:sz w:val="26"/>
                <w:szCs w:val="26"/>
              </w:rPr>
            </w:pPr>
            <w:r w:rsidRPr="00493916">
              <w:rPr>
                <w:sz w:val="26"/>
                <w:szCs w:val="26"/>
              </w:rPr>
              <w:t>Melissa L. Thompson</w:t>
            </w:r>
          </w:p>
          <w:p w:rsidR="00DC3B94" w:rsidRPr="00493916" w:rsidRDefault="00DC3B94" w:rsidP="00050E84">
            <w:pPr>
              <w:autoSpaceDE w:val="0"/>
              <w:autoSpaceDN w:val="0"/>
              <w:adjustRightInd w:val="0"/>
              <w:rPr>
                <w:sz w:val="26"/>
                <w:szCs w:val="26"/>
              </w:rPr>
            </w:pPr>
            <w:r w:rsidRPr="00493916">
              <w:rPr>
                <w:sz w:val="26"/>
                <w:szCs w:val="26"/>
              </w:rPr>
              <w:t>Carpenter, Lipps &amp; Leland LLP</w:t>
            </w:r>
          </w:p>
          <w:p w:rsidR="00DC3B94" w:rsidRPr="00493916" w:rsidRDefault="00DC3B94" w:rsidP="00050E84">
            <w:pPr>
              <w:autoSpaceDE w:val="0"/>
              <w:autoSpaceDN w:val="0"/>
              <w:adjustRightInd w:val="0"/>
              <w:rPr>
                <w:sz w:val="26"/>
                <w:szCs w:val="26"/>
              </w:rPr>
            </w:pPr>
            <w:r w:rsidRPr="00493916">
              <w:rPr>
                <w:sz w:val="26"/>
                <w:szCs w:val="26"/>
              </w:rPr>
              <w:t>280 Plaza, Suite 1300</w:t>
            </w:r>
          </w:p>
          <w:p w:rsidR="00DC3B94" w:rsidRPr="00493916" w:rsidRDefault="00DC3B94" w:rsidP="00050E84">
            <w:pPr>
              <w:autoSpaceDE w:val="0"/>
              <w:autoSpaceDN w:val="0"/>
              <w:adjustRightInd w:val="0"/>
              <w:rPr>
                <w:sz w:val="26"/>
                <w:szCs w:val="26"/>
              </w:rPr>
            </w:pPr>
            <w:r w:rsidRPr="00493916">
              <w:rPr>
                <w:sz w:val="26"/>
                <w:szCs w:val="26"/>
              </w:rPr>
              <w:t>280 North High Street</w:t>
            </w:r>
          </w:p>
          <w:p w:rsidR="00DC3B94" w:rsidRPr="00493916" w:rsidRDefault="00DC3B94" w:rsidP="00050E84">
            <w:pPr>
              <w:autoSpaceDE w:val="0"/>
              <w:autoSpaceDN w:val="0"/>
              <w:adjustRightInd w:val="0"/>
              <w:rPr>
                <w:sz w:val="26"/>
                <w:szCs w:val="26"/>
              </w:rPr>
            </w:pPr>
            <w:r w:rsidRPr="00493916">
              <w:rPr>
                <w:sz w:val="26"/>
                <w:szCs w:val="26"/>
              </w:rPr>
              <w:t>Columbus, Ohio 43215</w:t>
            </w:r>
          </w:p>
          <w:p w:rsidR="00DC3B94" w:rsidRDefault="00846436" w:rsidP="00050E84">
            <w:pPr>
              <w:autoSpaceDE w:val="0"/>
              <w:autoSpaceDN w:val="0"/>
              <w:adjustRightInd w:val="0"/>
              <w:rPr>
                <w:sz w:val="26"/>
                <w:szCs w:val="26"/>
              </w:rPr>
            </w:pPr>
            <w:hyperlink r:id="rId12" w:history="1">
              <w:r w:rsidR="00DC3B94" w:rsidRPr="00D519A5">
                <w:rPr>
                  <w:rStyle w:val="Hyperlink"/>
                  <w:sz w:val="26"/>
                  <w:szCs w:val="26"/>
                </w:rPr>
                <w:t>whitt@carpenterlipps.com</w:t>
              </w:r>
            </w:hyperlink>
          </w:p>
          <w:p w:rsidR="00DC3B94" w:rsidRDefault="00846436" w:rsidP="00050E84">
            <w:pPr>
              <w:autoSpaceDE w:val="0"/>
              <w:autoSpaceDN w:val="0"/>
              <w:adjustRightInd w:val="0"/>
              <w:rPr>
                <w:sz w:val="26"/>
                <w:szCs w:val="26"/>
              </w:rPr>
            </w:pPr>
            <w:hyperlink r:id="rId13" w:history="1">
              <w:r w:rsidR="00DC3B94" w:rsidRPr="00D519A5">
                <w:rPr>
                  <w:rStyle w:val="Hyperlink"/>
                  <w:sz w:val="26"/>
                  <w:szCs w:val="26"/>
                </w:rPr>
                <w:t>sechler@carpenterlipps.com</w:t>
              </w:r>
            </w:hyperlink>
          </w:p>
          <w:p w:rsidR="00DC3B94" w:rsidRDefault="00846436" w:rsidP="00050E84">
            <w:pPr>
              <w:autoSpaceDE w:val="0"/>
              <w:autoSpaceDN w:val="0"/>
              <w:adjustRightInd w:val="0"/>
              <w:rPr>
                <w:sz w:val="26"/>
                <w:szCs w:val="26"/>
              </w:rPr>
            </w:pPr>
            <w:hyperlink r:id="rId14" w:history="1">
              <w:r w:rsidR="00DC3B94" w:rsidRPr="00D519A5">
                <w:rPr>
                  <w:rStyle w:val="Hyperlink"/>
                  <w:sz w:val="26"/>
                  <w:szCs w:val="26"/>
                </w:rPr>
                <w:t>thompson@carpenterlipps.com</w:t>
              </w:r>
            </w:hyperlink>
          </w:p>
          <w:p w:rsidR="00DC3B94" w:rsidRPr="00493916" w:rsidRDefault="00DC3B94" w:rsidP="00050E84">
            <w:pPr>
              <w:autoSpaceDE w:val="0"/>
              <w:autoSpaceDN w:val="0"/>
              <w:adjustRightInd w:val="0"/>
              <w:rPr>
                <w:sz w:val="26"/>
                <w:szCs w:val="26"/>
              </w:rPr>
            </w:pPr>
          </w:p>
          <w:p w:rsidR="00DC3B94" w:rsidRPr="00493916" w:rsidRDefault="00DC3B94" w:rsidP="00050E84">
            <w:pPr>
              <w:autoSpaceDE w:val="0"/>
              <w:autoSpaceDN w:val="0"/>
              <w:adjustRightInd w:val="0"/>
              <w:rPr>
                <w:sz w:val="26"/>
                <w:szCs w:val="26"/>
              </w:rPr>
            </w:pPr>
            <w:r w:rsidRPr="00493916">
              <w:rPr>
                <w:sz w:val="26"/>
                <w:szCs w:val="26"/>
              </w:rPr>
              <w:t>Colleen L. Mooney</w:t>
            </w:r>
          </w:p>
          <w:p w:rsidR="00DC3B94" w:rsidRPr="00493916" w:rsidRDefault="00DC3B94" w:rsidP="00050E84">
            <w:pPr>
              <w:autoSpaceDE w:val="0"/>
              <w:autoSpaceDN w:val="0"/>
              <w:adjustRightInd w:val="0"/>
              <w:rPr>
                <w:sz w:val="26"/>
                <w:szCs w:val="26"/>
              </w:rPr>
            </w:pPr>
            <w:r w:rsidRPr="00493916">
              <w:rPr>
                <w:sz w:val="26"/>
                <w:szCs w:val="26"/>
              </w:rPr>
              <w:t>David C. Rinebolt</w:t>
            </w:r>
          </w:p>
          <w:p w:rsidR="00DC3B94" w:rsidRPr="00493916" w:rsidRDefault="00DC3B94" w:rsidP="00050E84">
            <w:pPr>
              <w:autoSpaceDE w:val="0"/>
              <w:autoSpaceDN w:val="0"/>
              <w:adjustRightInd w:val="0"/>
              <w:rPr>
                <w:sz w:val="26"/>
                <w:szCs w:val="26"/>
              </w:rPr>
            </w:pPr>
            <w:r w:rsidRPr="00493916">
              <w:rPr>
                <w:sz w:val="26"/>
                <w:szCs w:val="26"/>
              </w:rPr>
              <w:t>Ohio Partners for Affordable Energy</w:t>
            </w:r>
          </w:p>
          <w:p w:rsidR="00DC3B94" w:rsidRPr="00493916" w:rsidRDefault="00DC3B94" w:rsidP="00050E84">
            <w:pPr>
              <w:autoSpaceDE w:val="0"/>
              <w:autoSpaceDN w:val="0"/>
              <w:adjustRightInd w:val="0"/>
              <w:rPr>
                <w:sz w:val="26"/>
                <w:szCs w:val="26"/>
              </w:rPr>
            </w:pPr>
            <w:r w:rsidRPr="00493916">
              <w:rPr>
                <w:sz w:val="26"/>
                <w:szCs w:val="26"/>
              </w:rPr>
              <w:t>231 West Lima Street</w:t>
            </w:r>
          </w:p>
          <w:p w:rsidR="00DC3B94" w:rsidRPr="00493916" w:rsidRDefault="00DC3B94" w:rsidP="00050E84">
            <w:pPr>
              <w:autoSpaceDE w:val="0"/>
              <w:autoSpaceDN w:val="0"/>
              <w:adjustRightInd w:val="0"/>
              <w:rPr>
                <w:sz w:val="26"/>
                <w:szCs w:val="26"/>
              </w:rPr>
            </w:pPr>
            <w:r w:rsidRPr="00493916">
              <w:rPr>
                <w:sz w:val="26"/>
                <w:szCs w:val="26"/>
              </w:rPr>
              <w:t>P.O. Box 1793</w:t>
            </w:r>
          </w:p>
          <w:p w:rsidR="00DC3B94" w:rsidRPr="00493916" w:rsidRDefault="00DC3B94" w:rsidP="00050E84">
            <w:pPr>
              <w:autoSpaceDE w:val="0"/>
              <w:autoSpaceDN w:val="0"/>
              <w:adjustRightInd w:val="0"/>
              <w:rPr>
                <w:sz w:val="26"/>
                <w:szCs w:val="26"/>
              </w:rPr>
            </w:pPr>
            <w:r w:rsidRPr="00493916">
              <w:rPr>
                <w:sz w:val="26"/>
                <w:szCs w:val="26"/>
              </w:rPr>
              <w:t>Findlay, Ohio 45839-1793</w:t>
            </w:r>
          </w:p>
          <w:p w:rsidR="00DC3B94" w:rsidRDefault="00846436" w:rsidP="00050E84">
            <w:pPr>
              <w:autoSpaceDE w:val="0"/>
              <w:autoSpaceDN w:val="0"/>
              <w:adjustRightInd w:val="0"/>
              <w:rPr>
                <w:sz w:val="26"/>
                <w:szCs w:val="26"/>
              </w:rPr>
            </w:pPr>
            <w:hyperlink r:id="rId15" w:history="1">
              <w:r w:rsidR="00DC3B94" w:rsidRPr="00D519A5">
                <w:rPr>
                  <w:rStyle w:val="Hyperlink"/>
                  <w:sz w:val="26"/>
                  <w:szCs w:val="26"/>
                </w:rPr>
                <w:t>cmooney@ohiopartners.org</w:t>
              </w:r>
            </w:hyperlink>
          </w:p>
          <w:p w:rsidR="00DC3B94" w:rsidRDefault="00846436" w:rsidP="00050E84">
            <w:pPr>
              <w:autoSpaceDE w:val="0"/>
              <w:autoSpaceDN w:val="0"/>
              <w:adjustRightInd w:val="0"/>
              <w:rPr>
                <w:sz w:val="26"/>
                <w:szCs w:val="26"/>
              </w:rPr>
            </w:pPr>
            <w:hyperlink r:id="rId16" w:history="1">
              <w:r w:rsidR="00DC3B94" w:rsidRPr="00D519A5">
                <w:rPr>
                  <w:rStyle w:val="Hyperlink"/>
                  <w:sz w:val="26"/>
                  <w:szCs w:val="26"/>
                </w:rPr>
                <w:t>drinebolt@aol.com</w:t>
              </w:r>
            </w:hyperlink>
          </w:p>
          <w:p w:rsidR="00DC3B94" w:rsidRPr="00493916" w:rsidRDefault="00DC3B94" w:rsidP="00050E84">
            <w:pPr>
              <w:autoSpaceDE w:val="0"/>
              <w:autoSpaceDN w:val="0"/>
              <w:adjustRightInd w:val="0"/>
              <w:rPr>
                <w:sz w:val="26"/>
                <w:szCs w:val="26"/>
              </w:rPr>
            </w:pPr>
          </w:p>
          <w:p w:rsidR="00DC3B94" w:rsidRPr="00493916" w:rsidRDefault="00DC3B94" w:rsidP="00050E84">
            <w:pPr>
              <w:autoSpaceDE w:val="0"/>
              <w:autoSpaceDN w:val="0"/>
              <w:adjustRightInd w:val="0"/>
              <w:rPr>
                <w:sz w:val="26"/>
                <w:szCs w:val="26"/>
              </w:rPr>
            </w:pPr>
          </w:p>
        </w:tc>
        <w:tc>
          <w:tcPr>
            <w:tcW w:w="4950" w:type="dxa"/>
            <w:shd w:val="clear" w:color="auto" w:fill="auto"/>
          </w:tcPr>
          <w:p w:rsidR="00DC3B94" w:rsidRPr="00493916" w:rsidRDefault="00DC3B94" w:rsidP="00050E84">
            <w:pPr>
              <w:autoSpaceDE w:val="0"/>
              <w:autoSpaceDN w:val="0"/>
              <w:adjustRightInd w:val="0"/>
              <w:rPr>
                <w:sz w:val="26"/>
                <w:szCs w:val="26"/>
              </w:rPr>
            </w:pPr>
            <w:r w:rsidRPr="00493916">
              <w:rPr>
                <w:sz w:val="26"/>
                <w:szCs w:val="26"/>
              </w:rPr>
              <w:t>Joseph P. Serio</w:t>
            </w:r>
          </w:p>
          <w:p w:rsidR="00DC3B94" w:rsidRPr="00493916" w:rsidRDefault="00DC3B94" w:rsidP="00050E84">
            <w:pPr>
              <w:autoSpaceDE w:val="0"/>
              <w:autoSpaceDN w:val="0"/>
              <w:adjustRightInd w:val="0"/>
              <w:rPr>
                <w:sz w:val="26"/>
                <w:szCs w:val="26"/>
              </w:rPr>
            </w:pPr>
            <w:r w:rsidRPr="00493916">
              <w:rPr>
                <w:sz w:val="26"/>
                <w:szCs w:val="26"/>
              </w:rPr>
              <w:t>Larry S. Sauer</w:t>
            </w:r>
          </w:p>
          <w:p w:rsidR="00DC3B94" w:rsidRPr="00493916" w:rsidRDefault="00DC3B94" w:rsidP="00050E84">
            <w:pPr>
              <w:autoSpaceDE w:val="0"/>
              <w:autoSpaceDN w:val="0"/>
              <w:adjustRightInd w:val="0"/>
              <w:rPr>
                <w:sz w:val="26"/>
                <w:szCs w:val="26"/>
              </w:rPr>
            </w:pPr>
            <w:r w:rsidRPr="00493916">
              <w:rPr>
                <w:sz w:val="26"/>
                <w:szCs w:val="26"/>
              </w:rPr>
              <w:t>Kyle L. Verrett</w:t>
            </w:r>
          </w:p>
          <w:p w:rsidR="00DC3B94" w:rsidRPr="00493916" w:rsidRDefault="00DC3B94" w:rsidP="00050E84">
            <w:pPr>
              <w:autoSpaceDE w:val="0"/>
              <w:autoSpaceDN w:val="0"/>
              <w:adjustRightInd w:val="0"/>
              <w:rPr>
                <w:sz w:val="26"/>
                <w:szCs w:val="26"/>
              </w:rPr>
            </w:pPr>
            <w:r w:rsidRPr="00493916">
              <w:rPr>
                <w:sz w:val="26"/>
                <w:szCs w:val="26"/>
              </w:rPr>
              <w:t>Assistant Consumers' Counsel</w:t>
            </w:r>
          </w:p>
          <w:p w:rsidR="00DC3B94" w:rsidRPr="00493916" w:rsidRDefault="00DC3B94" w:rsidP="00050E84">
            <w:pPr>
              <w:autoSpaceDE w:val="0"/>
              <w:autoSpaceDN w:val="0"/>
              <w:adjustRightInd w:val="0"/>
              <w:rPr>
                <w:sz w:val="26"/>
                <w:szCs w:val="26"/>
              </w:rPr>
            </w:pPr>
            <w:r w:rsidRPr="00493916">
              <w:rPr>
                <w:sz w:val="26"/>
                <w:szCs w:val="26"/>
              </w:rPr>
              <w:t>Office of the Ohio Consumers' Counsel</w:t>
            </w:r>
          </w:p>
          <w:p w:rsidR="00DC3B94" w:rsidRPr="00493916" w:rsidRDefault="00DC3B94" w:rsidP="00050E84">
            <w:pPr>
              <w:autoSpaceDE w:val="0"/>
              <w:autoSpaceDN w:val="0"/>
              <w:adjustRightInd w:val="0"/>
              <w:rPr>
                <w:sz w:val="26"/>
                <w:szCs w:val="26"/>
              </w:rPr>
            </w:pPr>
            <w:r w:rsidRPr="00493916">
              <w:rPr>
                <w:sz w:val="26"/>
                <w:szCs w:val="26"/>
              </w:rPr>
              <w:t>10 West Broad Street, Suite 1800</w:t>
            </w:r>
          </w:p>
          <w:p w:rsidR="00DC3B94" w:rsidRPr="00493916" w:rsidRDefault="00DC3B94" w:rsidP="00050E84">
            <w:pPr>
              <w:autoSpaceDE w:val="0"/>
              <w:autoSpaceDN w:val="0"/>
              <w:adjustRightInd w:val="0"/>
              <w:rPr>
                <w:sz w:val="26"/>
                <w:szCs w:val="26"/>
              </w:rPr>
            </w:pPr>
            <w:r w:rsidRPr="00493916">
              <w:rPr>
                <w:sz w:val="26"/>
                <w:szCs w:val="26"/>
              </w:rPr>
              <w:t>Columbus, Ohio 43215-3485</w:t>
            </w:r>
          </w:p>
          <w:p w:rsidR="00DC3B94" w:rsidRDefault="00846436" w:rsidP="00050E84">
            <w:pPr>
              <w:autoSpaceDE w:val="0"/>
              <w:autoSpaceDN w:val="0"/>
              <w:adjustRightInd w:val="0"/>
              <w:rPr>
                <w:sz w:val="26"/>
                <w:szCs w:val="26"/>
              </w:rPr>
            </w:pPr>
            <w:hyperlink r:id="rId17" w:history="1">
              <w:r w:rsidR="00DC3B94" w:rsidRPr="00D519A5">
                <w:rPr>
                  <w:rStyle w:val="Hyperlink"/>
                  <w:sz w:val="26"/>
                  <w:szCs w:val="26"/>
                </w:rPr>
                <w:t>serio@occ.state.oh.us</w:t>
              </w:r>
            </w:hyperlink>
          </w:p>
          <w:p w:rsidR="00DC3B94" w:rsidRDefault="00846436" w:rsidP="00050E84">
            <w:pPr>
              <w:autoSpaceDE w:val="0"/>
              <w:autoSpaceDN w:val="0"/>
              <w:adjustRightInd w:val="0"/>
              <w:rPr>
                <w:sz w:val="26"/>
                <w:szCs w:val="26"/>
              </w:rPr>
            </w:pPr>
            <w:hyperlink r:id="rId18" w:history="1">
              <w:r w:rsidR="00DC3B94" w:rsidRPr="00D519A5">
                <w:rPr>
                  <w:rStyle w:val="Hyperlink"/>
                  <w:sz w:val="26"/>
                  <w:szCs w:val="26"/>
                </w:rPr>
                <w:t>sauer@occ.state.oh.us</w:t>
              </w:r>
            </w:hyperlink>
          </w:p>
          <w:p w:rsidR="00DC3B94" w:rsidRDefault="00846436" w:rsidP="00050E84">
            <w:pPr>
              <w:autoSpaceDE w:val="0"/>
              <w:autoSpaceDN w:val="0"/>
              <w:adjustRightInd w:val="0"/>
              <w:rPr>
                <w:sz w:val="26"/>
                <w:szCs w:val="26"/>
              </w:rPr>
            </w:pPr>
            <w:hyperlink r:id="rId19" w:history="1">
              <w:r w:rsidR="00DC3B94" w:rsidRPr="00D519A5">
                <w:rPr>
                  <w:rStyle w:val="Hyperlink"/>
                  <w:sz w:val="26"/>
                  <w:szCs w:val="26"/>
                </w:rPr>
                <w:t>verrett@occ.state.oh.us</w:t>
              </w:r>
            </w:hyperlink>
          </w:p>
          <w:p w:rsidR="00DC3B94" w:rsidRDefault="00DC3B94" w:rsidP="00050E84">
            <w:pPr>
              <w:autoSpaceDE w:val="0"/>
              <w:autoSpaceDN w:val="0"/>
              <w:adjustRightInd w:val="0"/>
              <w:rPr>
                <w:sz w:val="26"/>
                <w:szCs w:val="26"/>
              </w:rPr>
            </w:pPr>
          </w:p>
          <w:p w:rsidR="00DC3B94" w:rsidRPr="00493916" w:rsidRDefault="00DC3B94" w:rsidP="00050E84">
            <w:pPr>
              <w:autoSpaceDE w:val="0"/>
              <w:autoSpaceDN w:val="0"/>
              <w:adjustRightInd w:val="0"/>
              <w:rPr>
                <w:sz w:val="26"/>
                <w:szCs w:val="26"/>
              </w:rPr>
            </w:pPr>
            <w:r w:rsidRPr="00493916">
              <w:rPr>
                <w:sz w:val="26"/>
                <w:szCs w:val="26"/>
              </w:rPr>
              <w:t>Todd M. Smith</w:t>
            </w:r>
          </w:p>
          <w:p w:rsidR="00DC3B94" w:rsidRPr="00493916" w:rsidRDefault="00DC3B94" w:rsidP="00050E84">
            <w:pPr>
              <w:autoSpaceDE w:val="0"/>
              <w:autoSpaceDN w:val="0"/>
              <w:adjustRightInd w:val="0"/>
              <w:rPr>
                <w:sz w:val="26"/>
                <w:szCs w:val="26"/>
              </w:rPr>
            </w:pPr>
            <w:r w:rsidRPr="00493916">
              <w:rPr>
                <w:sz w:val="26"/>
                <w:szCs w:val="26"/>
              </w:rPr>
              <w:t>Schwarzwald McNair &amp; Fuso LLP</w:t>
            </w:r>
          </w:p>
          <w:p w:rsidR="00DC3B94" w:rsidRPr="00493916" w:rsidRDefault="00DC3B94" w:rsidP="00050E84">
            <w:pPr>
              <w:autoSpaceDE w:val="0"/>
              <w:autoSpaceDN w:val="0"/>
              <w:adjustRightInd w:val="0"/>
              <w:rPr>
                <w:sz w:val="26"/>
                <w:szCs w:val="26"/>
              </w:rPr>
            </w:pPr>
            <w:r w:rsidRPr="00493916">
              <w:rPr>
                <w:sz w:val="26"/>
                <w:szCs w:val="26"/>
              </w:rPr>
              <w:t>616 Penton Media Building</w:t>
            </w:r>
          </w:p>
          <w:p w:rsidR="00DC3B94" w:rsidRPr="00493916" w:rsidRDefault="00DC3B94" w:rsidP="00050E84">
            <w:pPr>
              <w:autoSpaceDE w:val="0"/>
              <w:autoSpaceDN w:val="0"/>
              <w:adjustRightInd w:val="0"/>
              <w:rPr>
                <w:sz w:val="26"/>
                <w:szCs w:val="26"/>
              </w:rPr>
            </w:pPr>
            <w:r w:rsidRPr="00493916">
              <w:rPr>
                <w:sz w:val="26"/>
                <w:szCs w:val="26"/>
              </w:rPr>
              <w:t>300 East Ninth Street</w:t>
            </w:r>
          </w:p>
          <w:p w:rsidR="00DC3B94" w:rsidRPr="00493916" w:rsidRDefault="00DC3B94" w:rsidP="00050E84">
            <w:pPr>
              <w:autoSpaceDE w:val="0"/>
              <w:autoSpaceDN w:val="0"/>
              <w:adjustRightInd w:val="0"/>
              <w:rPr>
                <w:sz w:val="26"/>
                <w:szCs w:val="26"/>
              </w:rPr>
            </w:pPr>
            <w:r w:rsidRPr="00493916">
              <w:rPr>
                <w:sz w:val="26"/>
                <w:szCs w:val="26"/>
              </w:rPr>
              <w:t>Cleveland, Ohio 44114</w:t>
            </w:r>
          </w:p>
          <w:p w:rsidR="00DC3B94" w:rsidRDefault="00846436" w:rsidP="00050E84">
            <w:pPr>
              <w:autoSpaceDE w:val="0"/>
              <w:autoSpaceDN w:val="0"/>
              <w:adjustRightInd w:val="0"/>
              <w:rPr>
                <w:sz w:val="26"/>
                <w:szCs w:val="26"/>
              </w:rPr>
            </w:pPr>
            <w:hyperlink r:id="rId20" w:history="1">
              <w:r w:rsidR="00DC3B94" w:rsidRPr="00D519A5">
                <w:rPr>
                  <w:rStyle w:val="Hyperlink"/>
                  <w:sz w:val="26"/>
                  <w:szCs w:val="26"/>
                </w:rPr>
                <w:t>tsmith@smcnlaw.com</w:t>
              </w:r>
            </w:hyperlink>
          </w:p>
          <w:p w:rsidR="00DC3B94" w:rsidRPr="00493916" w:rsidRDefault="00DC3B94" w:rsidP="00050E84">
            <w:pPr>
              <w:autoSpaceDE w:val="0"/>
              <w:autoSpaceDN w:val="0"/>
              <w:adjustRightInd w:val="0"/>
              <w:rPr>
                <w:sz w:val="26"/>
                <w:szCs w:val="26"/>
              </w:rPr>
            </w:pPr>
          </w:p>
          <w:p w:rsidR="00DC3B94" w:rsidRPr="00493916" w:rsidRDefault="00DC3B94" w:rsidP="00050E84">
            <w:pPr>
              <w:autoSpaceDE w:val="0"/>
              <w:autoSpaceDN w:val="0"/>
              <w:adjustRightInd w:val="0"/>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21"/>
      <w:footerReference w:type="default" r:id="rId22"/>
      <w:headerReference w:type="first" r:id="rId23"/>
      <w:footerReference w:type="first" r:id="rId2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BE2" w:rsidRDefault="008B5BE2" w:rsidP="008866FC">
      <w:pPr>
        <w:pStyle w:val="Title"/>
      </w:pPr>
      <w:r>
        <w:separator/>
      </w:r>
    </w:p>
  </w:endnote>
  <w:endnote w:type="continuationSeparator" w:id="0">
    <w:p w:rsidR="008B5BE2" w:rsidRDefault="008B5BE2"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Default="00BF0931" w:rsidP="003B12DD">
    <w:pPr>
      <w:pStyle w:val="Footer"/>
      <w:jc w:val="center"/>
    </w:pPr>
    <w:r>
      <w:rPr>
        <w:rStyle w:val="PageNumber"/>
      </w:rPr>
      <w:fldChar w:fldCharType="begin"/>
    </w:r>
    <w:r w:rsidR="00FB4C8A">
      <w:rPr>
        <w:rStyle w:val="PageNumber"/>
      </w:rPr>
      <w:instrText xml:space="preserve"> PAGE </w:instrText>
    </w:r>
    <w:r>
      <w:rPr>
        <w:rStyle w:val="PageNumber"/>
      </w:rPr>
      <w:fldChar w:fldCharType="separate"/>
    </w:r>
    <w:r w:rsidR="00AE4FAE">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846436">
      <w:rPr>
        <w:rStyle w:val="PageNumber"/>
        <w:noProof/>
        <w:sz w:val="24"/>
        <w:szCs w:val="24"/>
      </w:rPr>
      <w:t>7</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C95499" w:rsidRDefault="00FB4C8A"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BE2" w:rsidRDefault="008B5BE2" w:rsidP="00663D6A">
      <w:pPr>
        <w:pStyle w:val="Title"/>
        <w:jc w:val="left"/>
      </w:pPr>
      <w:r>
        <w:separator/>
      </w:r>
    </w:p>
  </w:footnote>
  <w:footnote w:type="continuationSeparator" w:id="0">
    <w:p w:rsidR="008B5BE2" w:rsidRDefault="008B5BE2" w:rsidP="008866FC">
      <w:pPr>
        <w:pStyle w:val="Title"/>
      </w:pPr>
      <w:r>
        <w:continuationSeparator/>
      </w:r>
    </w:p>
  </w:footnote>
  <w:footnote w:id="1">
    <w:p w:rsidR="00DC3B94" w:rsidRDefault="00DC3B94" w:rsidP="00DC3B94">
      <w:pPr>
        <w:pStyle w:val="FootnoteText"/>
      </w:pPr>
      <w:r>
        <w:rPr>
          <w:rStyle w:val="FootnoteReference"/>
        </w:rPr>
        <w:footnoteRef/>
      </w:r>
      <w:r>
        <w:t xml:space="preserve"> </w:t>
      </w:r>
      <w:r>
        <w:tab/>
      </w:r>
      <w:r>
        <w:tab/>
      </w:r>
      <w:r w:rsidRPr="005F15EE">
        <w:rPr>
          <w:i/>
        </w:rPr>
        <w:t>In the Matter of the Application of Vectren Energy Delivery of Ohio, Inc., for Authority to Amend its Filed Tariffs to Increase the Rates and Charges for Gas Services and Related Matters</w:t>
      </w:r>
      <w:r>
        <w:t>, Case No. 07-1080-GA-AIR</w:t>
      </w:r>
      <w:r w:rsidR="00406158">
        <w:t xml:space="preserve"> </w:t>
      </w:r>
      <w:r>
        <w:t>(</w:t>
      </w:r>
      <w:r w:rsidRPr="00B95A11">
        <w:t>Opinion and Order</w:t>
      </w:r>
      <w:r>
        <w:t>) (</w:t>
      </w:r>
      <w:r w:rsidRPr="00B95A11">
        <w:t>Jan</w:t>
      </w:r>
      <w:r>
        <w:t>.</w:t>
      </w:r>
      <w:r w:rsidRPr="00B95A11">
        <w:t xml:space="preserve"> 7, 2009</w:t>
      </w:r>
      <w:r>
        <w:t>)</w:t>
      </w:r>
      <w:r w:rsidRPr="00B95A11">
        <w:t>.</w:t>
      </w:r>
    </w:p>
  </w:footnote>
  <w:footnote w:id="2">
    <w:p w:rsidR="00DC3B94" w:rsidRDefault="00DC3B94" w:rsidP="00DC3B94">
      <w:pPr>
        <w:pStyle w:val="FootnoteText"/>
      </w:pPr>
      <w:r>
        <w:rPr>
          <w:rStyle w:val="FootnoteReference"/>
        </w:rPr>
        <w:footnoteRef/>
      </w:r>
      <w:r>
        <w:t xml:space="preserve"> </w:t>
      </w:r>
      <w:r>
        <w:tab/>
      </w:r>
      <w:r>
        <w:tab/>
      </w:r>
      <w:r w:rsidRPr="00A51C4D">
        <w:t xml:space="preserve">The Opinion and Order </w:t>
      </w:r>
      <w:r>
        <w:t xml:space="preserve">in </w:t>
      </w:r>
      <w:r w:rsidRPr="00A51C4D">
        <w:t>Case No. 07-1080</w:t>
      </w:r>
      <w:r>
        <w:t>-GA-AIR</w:t>
      </w:r>
      <w:r w:rsidRPr="00A51C4D">
        <w:t xml:space="preserve"> </w:t>
      </w:r>
      <w:r w:rsidR="001536FA">
        <w:t>(</w:t>
      </w:r>
      <w:r>
        <w:t>Jan</w:t>
      </w:r>
      <w:r w:rsidR="00AE4FAE">
        <w:t>.</w:t>
      </w:r>
      <w:r>
        <w:t xml:space="preserve"> 7, 2009) </w:t>
      </w:r>
      <w:r w:rsidRPr="00A51C4D">
        <w:t>authorized the DRR for a five year period from the effective date of rates filed in Ca</w:t>
      </w:r>
      <w:bookmarkStart w:id="16" w:name="_GoBack"/>
      <w:bookmarkEnd w:id="16"/>
      <w:r w:rsidRPr="00A51C4D">
        <w:t>se No. 07-1081-GA-AL</w:t>
      </w:r>
      <w:r>
        <w:t>T</w:t>
      </w:r>
      <w:r w:rsidRPr="00A51C4D">
        <w:t>, which was Febru</w:t>
      </w:r>
      <w:r>
        <w:softHyphen/>
      </w:r>
      <w:r w:rsidRPr="00A51C4D">
        <w:t>ary 22, 2009.</w:t>
      </w:r>
    </w:p>
  </w:footnote>
  <w:footnote w:id="3">
    <w:p w:rsidR="00DC3B94" w:rsidRPr="003548DA" w:rsidRDefault="00DC3B94" w:rsidP="00DC3B94">
      <w:pPr>
        <w:pStyle w:val="FootnoteText"/>
        <w:rPr>
          <w:highlight w:val="yellow"/>
        </w:rPr>
      </w:pPr>
      <w:r>
        <w:rPr>
          <w:rStyle w:val="FootnoteReference"/>
        </w:rPr>
        <w:footnoteRef/>
      </w:r>
      <w:r>
        <w:t xml:space="preserve"> </w:t>
      </w:r>
      <w:r>
        <w:tab/>
      </w:r>
      <w:r>
        <w:tab/>
      </w:r>
      <w:r w:rsidRPr="005F15EE">
        <w:rPr>
          <w:rFonts w:eastAsia="Calibri"/>
          <w:i/>
        </w:rPr>
        <w:t>In the Matter of the Application of Vectren Energy Delivery of Ohio, Inc. for Approval of an Alterna</w:t>
      </w:r>
      <w:r>
        <w:rPr>
          <w:rFonts w:eastAsia="Calibri"/>
          <w:i/>
        </w:rPr>
        <w:softHyphen/>
      </w:r>
      <w:r w:rsidRPr="005F15EE">
        <w:rPr>
          <w:rFonts w:eastAsia="Calibri"/>
          <w:i/>
        </w:rPr>
        <w:t>tive Form of Regulation</w:t>
      </w:r>
      <w:r>
        <w:rPr>
          <w:rFonts w:eastAsia="Calibri"/>
        </w:rPr>
        <w:t>, Case No. 13-1571-GA-ALT</w:t>
      </w:r>
      <w:r w:rsidRPr="00E552D6">
        <w:rPr>
          <w:rFonts w:eastAsia="Calibri"/>
        </w:rPr>
        <w:t xml:space="preserve"> </w:t>
      </w:r>
      <w:r>
        <w:rPr>
          <w:rFonts w:eastAsia="Calibri"/>
        </w:rPr>
        <w:t>(</w:t>
      </w:r>
      <w:r>
        <w:rPr>
          <w:rFonts w:eastAsia="Calibri"/>
          <w:i/>
        </w:rPr>
        <w:t>In re VEDO</w:t>
      </w:r>
      <w:r>
        <w:rPr>
          <w:rFonts w:eastAsia="Calibri"/>
        </w:rPr>
        <w:t xml:space="preserve">) </w:t>
      </w:r>
      <w:r w:rsidRPr="00E552D6">
        <w:rPr>
          <w:rFonts w:eastAsia="Calibri"/>
        </w:rPr>
        <w:t>(</w:t>
      </w:r>
      <w:r>
        <w:rPr>
          <w:rFonts w:eastAsia="Calibri"/>
        </w:rPr>
        <w:t>Application at 3-4) (Aug. 22</w:t>
      </w:r>
      <w:r w:rsidRPr="00E552D6">
        <w:rPr>
          <w:rFonts w:eastAsia="Calibri"/>
        </w:rPr>
        <w:t>, 2013).</w:t>
      </w:r>
    </w:p>
  </w:footnote>
  <w:footnote w:id="4">
    <w:p w:rsidR="00DC3B94" w:rsidRPr="00C9486C" w:rsidRDefault="00DC3B94" w:rsidP="00DC3B94">
      <w:pPr>
        <w:pStyle w:val="FootnoteText"/>
      </w:pPr>
      <w:r>
        <w:rPr>
          <w:rStyle w:val="FootnoteReference"/>
        </w:rPr>
        <w:footnoteRef/>
      </w:r>
      <w:r>
        <w:t xml:space="preserve"> </w:t>
      </w:r>
      <w:r>
        <w:tab/>
      </w:r>
      <w:r>
        <w:tab/>
      </w:r>
      <w:r w:rsidRPr="005676CB">
        <w:rPr>
          <w:rFonts w:eastAsia="Calibri"/>
          <w:i/>
        </w:rPr>
        <w:t>In re VEDO</w:t>
      </w:r>
      <w:r>
        <w:rPr>
          <w:rFonts w:eastAsia="Calibri"/>
        </w:rPr>
        <w:t xml:space="preserve"> (Comments by the Office of the Ohio Consumers’ Counsel at 19) (Oct. 30, 2013)</w:t>
      </w:r>
      <w:r w:rsidR="00406158">
        <w:rPr>
          <w:rFonts w:eastAsia="Calibri"/>
        </w:rPr>
        <w:t>.</w:t>
      </w:r>
    </w:p>
  </w:footnote>
  <w:footnote w:id="5">
    <w:p w:rsidR="00AE4FAE" w:rsidRDefault="00AE4FAE" w:rsidP="00DC3B94">
      <w:pPr>
        <w:pStyle w:val="FootnoteText"/>
      </w:pPr>
      <w:r>
        <w:rPr>
          <w:rStyle w:val="FootnoteReference"/>
        </w:rPr>
        <w:footnoteRef/>
      </w:r>
      <w:r>
        <w:t xml:space="preserve"> </w:t>
      </w:r>
      <w:r>
        <w:tab/>
      </w:r>
      <w:r>
        <w:tab/>
      </w:r>
      <w:r w:rsidRPr="005676CB">
        <w:rPr>
          <w:rFonts w:eastAsia="Calibri"/>
          <w:i/>
        </w:rPr>
        <w:t>In re VEDO</w:t>
      </w:r>
      <w:r>
        <w:rPr>
          <w:rFonts w:eastAsia="Calibri"/>
        </w:rPr>
        <w:t xml:space="preserve"> (Comments by the Office of the Ohio Consumers’ Counsel at 19) (Oct. 30, 2013).</w:t>
      </w:r>
    </w:p>
  </w:footnote>
  <w:footnote w:id="6">
    <w:p w:rsidR="00DC3B94" w:rsidRDefault="00DC3B94" w:rsidP="00DC3B94">
      <w:pPr>
        <w:pStyle w:val="FootnoteText"/>
      </w:pPr>
      <w:r>
        <w:rPr>
          <w:rStyle w:val="FootnoteReference"/>
        </w:rPr>
        <w:footnoteRef/>
      </w:r>
      <w:r>
        <w:t xml:space="preserve"> </w:t>
      </w:r>
      <w:r>
        <w:tab/>
      </w:r>
      <w:r>
        <w:tab/>
      </w:r>
      <w:r w:rsidRPr="00C9486C">
        <w:rPr>
          <w:i/>
        </w:rPr>
        <w:t>Id.</w:t>
      </w:r>
    </w:p>
  </w:footnote>
  <w:footnote w:id="7">
    <w:p w:rsidR="00DC3B94" w:rsidRDefault="00DC3B94" w:rsidP="00DC3B94">
      <w:pPr>
        <w:pStyle w:val="FootnoteText"/>
      </w:pPr>
      <w:r>
        <w:rPr>
          <w:rStyle w:val="FootnoteReference"/>
        </w:rPr>
        <w:footnoteRef/>
      </w:r>
      <w:r>
        <w:t xml:space="preserve"> </w:t>
      </w:r>
      <w:r>
        <w:tab/>
      </w:r>
      <w:r>
        <w:tab/>
      </w:r>
      <w:r>
        <w:rPr>
          <w:rFonts w:eastAsia="Calibri"/>
          <w:i/>
        </w:rPr>
        <w:t>In re VEDO</w:t>
      </w:r>
      <w:r>
        <w:rPr>
          <w:rFonts w:eastAsia="Calibri"/>
        </w:rPr>
        <w:t xml:space="preserve"> </w:t>
      </w:r>
      <w:r w:rsidRPr="00E552D6">
        <w:rPr>
          <w:rFonts w:eastAsia="Calibri"/>
        </w:rPr>
        <w:t>(</w:t>
      </w:r>
      <w:r>
        <w:rPr>
          <w:rFonts w:eastAsia="Calibri"/>
        </w:rPr>
        <w:t>Application Alternative Rate Plan Exhibits at 9) (Aug. 22</w:t>
      </w:r>
      <w:r w:rsidRPr="00E552D6">
        <w:rPr>
          <w:rFonts w:eastAsia="Calibri"/>
        </w:rPr>
        <w:t>, 2013)</w:t>
      </w:r>
      <w:r>
        <w:rPr>
          <w:rFonts w:eastAsia="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846436">
      <w:rPr>
        <w:b/>
        <w:noProof/>
        <w:color w:val="FF0000"/>
      </w:rPr>
      <w:t>11/13/2013</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846436">
      <w:rPr>
        <w:b/>
        <w:noProof/>
        <w:color w:val="FF0000"/>
      </w:rPr>
      <w:t>10:41:42 AM</w:t>
    </w:r>
    <w:r w:rsidR="00BF0931">
      <w:rPr>
        <w:b/>
        <w:color w:val="FF0000"/>
      </w:rPr>
      <w:fldChar w:fldCharType="end"/>
    </w:r>
  </w:p>
  <w:p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846436">
      <w:rPr>
        <w:b/>
        <w:noProof/>
        <w:color w:val="FF0000"/>
      </w:rPr>
      <w:t>\\puc\shares\Departments\Attorney General\Attorneys\O'Rourke\Vectren 13-1571-GA-ALT\Reply Comments 111313.docx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AE4FAE" w:rsidRDefault="00FB4C8A" w:rsidP="00AE4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AE4FAE" w:rsidRDefault="00FB4C8A" w:rsidP="00AE4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28750D"/>
    <w:multiLevelType w:val="hybridMultilevel"/>
    <w:tmpl w:val="0FCE8F88"/>
    <w:lvl w:ilvl="0" w:tplc="E75099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8343516"/>
    <w:multiLevelType w:val="hybridMultilevel"/>
    <w:tmpl w:val="D7C8C8F0"/>
    <w:lvl w:ilvl="0" w:tplc="13C01AE0">
      <w:start w:val="1"/>
      <w:numFmt w:val="upperLetter"/>
      <w:lvlText w:val="%1."/>
      <w:lvlJc w:val="left"/>
      <w:pPr>
        <w:ind w:left="1440" w:hanging="360"/>
      </w:pPr>
      <w:rPr>
        <w:rFonts w:ascii="Times New Roman Bold" w:hAnsi="Times New Roman Bold"/>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94"/>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6FA"/>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170"/>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4C16"/>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6E84"/>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2EB"/>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535"/>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15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476"/>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436"/>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BE2"/>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09A6"/>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375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4FAE"/>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6E"/>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0E9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3B9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5A"/>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2D61"/>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link w:val="Heading1Char"/>
    <w:autoRedefine/>
    <w:uiPriority w:val="9"/>
    <w:qFormat/>
    <w:rsid w:val="00DC3B94"/>
    <w:pPr>
      <w:keepNext/>
      <w:widowControl w:val="0"/>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DC3B94"/>
    <w:pPr>
      <w:keepNext/>
      <w:spacing w:before="360" w:after="240"/>
      <w:ind w:left="72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uiPriority w:val="59"/>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uiPriority w:val="99"/>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DC3B94"/>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uiPriority w:val="9"/>
    <w:rsid w:val="00DC3B94"/>
    <w:rPr>
      <w:rFonts w:cs="Arial"/>
      <w:b/>
      <w:bCs/>
      <w:caps/>
      <w:kern w:val="32"/>
      <w:sz w:val="28"/>
      <w:szCs w:val="24"/>
    </w:rPr>
  </w:style>
  <w:style w:type="paragraph" w:styleId="ListParagraph">
    <w:name w:val="List Paragraph"/>
    <w:basedOn w:val="Normal"/>
    <w:uiPriority w:val="34"/>
    <w:qFormat/>
    <w:rsid w:val="00DC3B9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link w:val="Heading1Char"/>
    <w:autoRedefine/>
    <w:uiPriority w:val="9"/>
    <w:qFormat/>
    <w:rsid w:val="00DC3B94"/>
    <w:pPr>
      <w:keepNext/>
      <w:widowControl w:val="0"/>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DC3B94"/>
    <w:pPr>
      <w:keepNext/>
      <w:spacing w:before="360" w:after="240"/>
      <w:ind w:left="72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uiPriority w:val="59"/>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uiPriority w:val="99"/>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DC3B94"/>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uiPriority w:val="9"/>
    <w:rsid w:val="00DC3B94"/>
    <w:rPr>
      <w:rFonts w:cs="Arial"/>
      <w:b/>
      <w:bCs/>
      <w:caps/>
      <w:kern w:val="32"/>
      <w:sz w:val="28"/>
      <w:szCs w:val="24"/>
    </w:rPr>
  </w:style>
  <w:style w:type="paragraph" w:styleId="ListParagraph">
    <w:name w:val="List Paragraph"/>
    <w:basedOn w:val="Normal"/>
    <w:uiPriority w:val="34"/>
    <w:qFormat/>
    <w:rsid w:val="00DC3B9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orourke@puc.state.oh.us" TargetMode="External"/><Relationship Id="rId13" Type="http://schemas.openxmlformats.org/officeDocument/2006/relationships/hyperlink" Target="mailto:sechler@carpenterlipps.com" TargetMode="External"/><Relationship Id="rId18" Type="http://schemas.openxmlformats.org/officeDocument/2006/relationships/hyperlink" Target="mailto:sauer@occ.state.oh.u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hitt@carpenterlipps.com" TargetMode="External"/><Relationship Id="rId17" Type="http://schemas.openxmlformats.org/officeDocument/2006/relationships/hyperlink" Target="mailto:serio@occ.state.oh.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inebolt@aol.com" TargetMode="External"/><Relationship Id="rId20" Type="http://schemas.openxmlformats.org/officeDocument/2006/relationships/hyperlink" Target="mailto:tsmith@smcnlaw.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yan.orourke@puc.state.oh.u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mooney@ohiopartners.org"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verrett@occ.state.oh.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pson@carpenterlipps.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3</TotalTime>
  <Pages>8</Pages>
  <Words>1491</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10331</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6</cp:revision>
  <cp:lastPrinted>2013-11-13T15:41:00Z</cp:lastPrinted>
  <dcterms:created xsi:type="dcterms:W3CDTF">2013-11-13T15:36:00Z</dcterms:created>
  <dcterms:modified xsi:type="dcterms:W3CDTF">2013-11-13T15:41:00Z</dcterms:modified>
</cp:coreProperties>
</file>