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6B5909" w:rsidP="006B5909" w14:paraId="6A8EF0F1" w14:textId="77777777">
      <w:pPr>
        <w:spacing w:after="0" w:line="240" w:lineRule="auto"/>
        <w:jc w:val="center"/>
        <w:rPr>
          <w:b/>
          <w:bCs/>
        </w:rPr>
      </w:pPr>
      <w:r>
        <w:rPr>
          <w:b/>
          <w:bCs/>
        </w:rPr>
        <w:t>BEFORE</w:t>
      </w:r>
    </w:p>
    <w:p w:rsidR="006B5909" w:rsidP="006B5909" w14:paraId="08BE375A" w14:textId="77777777">
      <w:pPr>
        <w:jc w:val="center"/>
        <w:rPr>
          <w:b/>
          <w:bCs/>
        </w:rPr>
      </w:pPr>
      <w:r>
        <w:rPr>
          <w:b/>
          <w:bCs/>
        </w:rPr>
        <w:t>THE PUBLIC UTILITIES COMMISSION OF OHIO</w:t>
      </w: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4272"/>
        <w:gridCol w:w="513"/>
        <w:gridCol w:w="3855"/>
      </w:tblGrid>
      <w:tr w14:paraId="3F150DF3" w14:textId="77777777" w:rsidTr="00F801F3">
        <w:tblPrEx>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Ex>
        <w:tc>
          <w:tcPr>
            <w:tcW w:w="4585" w:type="dxa"/>
          </w:tcPr>
          <w:p w:rsidR="006B5909" w:rsidRPr="00283E3B" w:rsidP="00F801F3" w14:paraId="045E3D75" w14:textId="0BBB1623">
            <w:r w:rsidRPr="00283E3B">
              <w:t>In the Matters of the Applications of Duke Energy Ohio, Inc., for Adjustments to Rider MGP Rates.</w:t>
            </w:r>
          </w:p>
          <w:p w:rsidR="006B5909" w:rsidP="00F801F3" w14:paraId="2E68691A" w14:textId="77777777">
            <w:pPr>
              <w:rPr>
                <w:b/>
                <w:bCs/>
              </w:rPr>
            </w:pPr>
          </w:p>
        </w:tc>
        <w:tc>
          <w:tcPr>
            <w:tcW w:w="540" w:type="dxa"/>
          </w:tcPr>
          <w:p w:rsidR="006B5909" w:rsidP="00F801F3" w14:paraId="7694DBBD" w14:textId="77777777">
            <w:pPr>
              <w:jc w:val="center"/>
            </w:pPr>
            <w:r w:rsidRPr="00283E3B">
              <w:t>)</w:t>
            </w:r>
          </w:p>
          <w:p w:rsidR="006B5909" w:rsidP="00F801F3" w14:paraId="47BEE4EF" w14:textId="77777777">
            <w:pPr>
              <w:jc w:val="center"/>
            </w:pPr>
            <w:r>
              <w:t>)</w:t>
            </w:r>
          </w:p>
          <w:p w:rsidR="006B5909" w:rsidP="00F801F3" w14:paraId="016187A9" w14:textId="77777777">
            <w:pPr>
              <w:jc w:val="center"/>
            </w:pPr>
            <w:r>
              <w:t>)</w:t>
            </w:r>
          </w:p>
          <w:p w:rsidR="006B5909" w:rsidP="00F801F3" w14:paraId="159E01EA" w14:textId="77777777">
            <w:pPr>
              <w:jc w:val="center"/>
            </w:pPr>
            <w:r>
              <w:t>)</w:t>
            </w:r>
          </w:p>
          <w:p w:rsidR="006B5909" w:rsidP="00F801F3" w14:paraId="69BC253B" w14:textId="77777777">
            <w:pPr>
              <w:jc w:val="center"/>
            </w:pPr>
            <w:r>
              <w:t>)</w:t>
            </w:r>
          </w:p>
          <w:p w:rsidR="006B5909" w:rsidP="00F801F3" w14:paraId="71ED28C0" w14:textId="77777777">
            <w:pPr>
              <w:jc w:val="center"/>
            </w:pPr>
            <w:r>
              <w:t>)</w:t>
            </w:r>
          </w:p>
          <w:p w:rsidR="006B5909" w:rsidRPr="00283E3B" w:rsidP="00F801F3" w14:paraId="32414DE1" w14:textId="77777777">
            <w:pPr>
              <w:jc w:val="center"/>
            </w:pPr>
            <w:r>
              <w:t>)</w:t>
            </w:r>
          </w:p>
        </w:tc>
        <w:tc>
          <w:tcPr>
            <w:tcW w:w="4235" w:type="dxa"/>
          </w:tcPr>
          <w:p w:rsidR="006B5909" w:rsidP="00F801F3" w14:paraId="0E557B98" w14:textId="39BF1297">
            <w:r w:rsidRPr="00283E3B">
              <w:t>Case No.</w:t>
            </w:r>
            <w:r w:rsidR="00CD2055">
              <w:t xml:space="preserve"> </w:t>
            </w:r>
            <w:r w:rsidRPr="00283E3B">
              <w:t xml:space="preserve">14-375-GA-RDR </w:t>
            </w:r>
          </w:p>
          <w:p w:rsidR="006B5909" w:rsidP="00F801F3" w14:paraId="00733B4F" w14:textId="0F78FDB8">
            <w:r w:rsidRPr="00283E3B">
              <w:t>Case No.</w:t>
            </w:r>
            <w:r w:rsidR="00CD2055">
              <w:t xml:space="preserve"> </w:t>
            </w:r>
            <w:r w:rsidRPr="00283E3B">
              <w:t xml:space="preserve">15-452-GA-RDR </w:t>
            </w:r>
          </w:p>
          <w:p w:rsidR="006B5909" w:rsidP="00F801F3" w14:paraId="5FB6E4F1" w14:textId="317590FA">
            <w:r w:rsidRPr="00283E3B">
              <w:t>Case No.</w:t>
            </w:r>
            <w:r w:rsidR="00CD2055">
              <w:t xml:space="preserve"> </w:t>
            </w:r>
            <w:r w:rsidRPr="00283E3B">
              <w:t xml:space="preserve">16-542-GA-RDR </w:t>
            </w:r>
          </w:p>
          <w:p w:rsidR="006B5909" w:rsidP="00F801F3" w14:paraId="0679E7F1" w14:textId="0205A670">
            <w:r w:rsidRPr="00283E3B">
              <w:t>Case No.</w:t>
            </w:r>
            <w:r w:rsidR="00CD2055">
              <w:t xml:space="preserve"> </w:t>
            </w:r>
            <w:r w:rsidRPr="00283E3B">
              <w:t xml:space="preserve">17-596-GA-RDR </w:t>
            </w:r>
          </w:p>
          <w:p w:rsidR="006B5909" w:rsidP="00F801F3" w14:paraId="0DC3C732" w14:textId="6F799296">
            <w:r w:rsidRPr="00283E3B">
              <w:t>Case No.</w:t>
            </w:r>
            <w:r w:rsidR="00CD2055">
              <w:t xml:space="preserve"> </w:t>
            </w:r>
            <w:r w:rsidRPr="00283E3B">
              <w:t xml:space="preserve">18-283-GA-RDR </w:t>
            </w:r>
          </w:p>
          <w:p w:rsidR="006B5909" w:rsidP="00F801F3" w14:paraId="2ABD76F2" w14:textId="6FE8D7E5">
            <w:r w:rsidRPr="00283E3B">
              <w:t>Case No.</w:t>
            </w:r>
            <w:r w:rsidR="00CD2055">
              <w:t xml:space="preserve"> </w:t>
            </w:r>
            <w:r w:rsidRPr="00283E3B">
              <w:t xml:space="preserve">19-174-GA-RDR </w:t>
            </w:r>
          </w:p>
          <w:p w:rsidR="006B5909" w:rsidRPr="00283E3B" w:rsidP="00F801F3" w14:paraId="4188FB14" w14:textId="2C9C6A82">
            <w:r w:rsidRPr="00283E3B">
              <w:t>Case No.</w:t>
            </w:r>
            <w:r w:rsidR="00CD2055">
              <w:t xml:space="preserve"> </w:t>
            </w:r>
            <w:r w:rsidRPr="00283E3B">
              <w:t>20-53-GA-RDR</w:t>
            </w:r>
          </w:p>
        </w:tc>
      </w:tr>
      <w:tr w14:paraId="34A46886" w14:textId="77777777" w:rsidTr="00F801F3">
        <w:tblPrEx>
          <w:tblW w:w="0" w:type="auto"/>
          <w:tblLook w:val="04A0"/>
        </w:tblPrEx>
        <w:tc>
          <w:tcPr>
            <w:tcW w:w="4585" w:type="dxa"/>
          </w:tcPr>
          <w:p w:rsidR="006B5909" w:rsidP="00F801F3" w14:paraId="25C4FB65" w14:textId="77777777">
            <w:pPr>
              <w:rPr>
                <w:b/>
                <w:bCs/>
              </w:rPr>
            </w:pPr>
          </w:p>
        </w:tc>
        <w:tc>
          <w:tcPr>
            <w:tcW w:w="540" w:type="dxa"/>
          </w:tcPr>
          <w:p w:rsidR="006B5909" w:rsidP="00F801F3" w14:paraId="10ED1C8C" w14:textId="77777777">
            <w:pPr>
              <w:jc w:val="center"/>
              <w:rPr>
                <w:b/>
                <w:bCs/>
              </w:rPr>
            </w:pPr>
          </w:p>
        </w:tc>
        <w:tc>
          <w:tcPr>
            <w:tcW w:w="4235" w:type="dxa"/>
          </w:tcPr>
          <w:p w:rsidR="006B5909" w:rsidP="00F801F3" w14:paraId="736CEBF1" w14:textId="77777777">
            <w:pPr>
              <w:rPr>
                <w:b/>
                <w:bCs/>
              </w:rPr>
            </w:pPr>
          </w:p>
        </w:tc>
      </w:tr>
      <w:tr w14:paraId="6419BF79" w14:textId="77777777" w:rsidTr="00F801F3">
        <w:tblPrEx>
          <w:tblW w:w="0" w:type="auto"/>
          <w:tblLook w:val="04A0"/>
        </w:tblPrEx>
        <w:tc>
          <w:tcPr>
            <w:tcW w:w="4585" w:type="dxa"/>
          </w:tcPr>
          <w:p w:rsidR="006B5909" w:rsidRPr="00283E3B" w:rsidP="00F801F3" w14:paraId="224AACC8" w14:textId="619D36F5">
            <w:r w:rsidRPr="00283E3B">
              <w:t>In the Matters of the Applications of Duke Energy Ohio, Inc. for Tariff Approval.</w:t>
            </w:r>
          </w:p>
        </w:tc>
        <w:tc>
          <w:tcPr>
            <w:tcW w:w="540" w:type="dxa"/>
          </w:tcPr>
          <w:p w:rsidR="006B5909" w:rsidP="00F801F3" w14:paraId="25D32ECD" w14:textId="77777777">
            <w:pPr>
              <w:jc w:val="center"/>
            </w:pPr>
            <w:r w:rsidRPr="00283E3B">
              <w:t>)</w:t>
            </w:r>
          </w:p>
          <w:p w:rsidR="006B5909" w:rsidP="00F801F3" w14:paraId="31B74684" w14:textId="77777777">
            <w:pPr>
              <w:jc w:val="center"/>
            </w:pPr>
            <w:r>
              <w:t>)</w:t>
            </w:r>
          </w:p>
          <w:p w:rsidR="006B5909" w:rsidP="00F801F3" w14:paraId="5F18F9D6" w14:textId="77777777">
            <w:pPr>
              <w:jc w:val="center"/>
            </w:pPr>
            <w:r>
              <w:t>)</w:t>
            </w:r>
          </w:p>
          <w:p w:rsidR="006B5909" w:rsidP="00F801F3" w14:paraId="5C35764F" w14:textId="77777777">
            <w:pPr>
              <w:jc w:val="center"/>
            </w:pPr>
            <w:r>
              <w:t>)</w:t>
            </w:r>
          </w:p>
          <w:p w:rsidR="006B5909" w:rsidP="00F801F3" w14:paraId="0A08A04D" w14:textId="77777777">
            <w:pPr>
              <w:jc w:val="center"/>
            </w:pPr>
            <w:r>
              <w:t>)</w:t>
            </w:r>
          </w:p>
          <w:p w:rsidR="006B5909" w:rsidP="00F801F3" w14:paraId="07FA5728" w14:textId="77777777">
            <w:pPr>
              <w:jc w:val="center"/>
            </w:pPr>
            <w:r>
              <w:t>)</w:t>
            </w:r>
          </w:p>
          <w:p w:rsidR="006B5909" w:rsidP="00F801F3" w14:paraId="29EE6150" w14:textId="77777777">
            <w:pPr>
              <w:jc w:val="center"/>
            </w:pPr>
            <w:r>
              <w:t>)</w:t>
            </w:r>
          </w:p>
          <w:p w:rsidR="006B5909" w:rsidRPr="00283E3B" w:rsidP="00F801F3" w14:paraId="3918145A" w14:textId="77777777">
            <w:pPr>
              <w:jc w:val="center"/>
            </w:pPr>
            <w:r>
              <w:t>)</w:t>
            </w:r>
          </w:p>
        </w:tc>
        <w:tc>
          <w:tcPr>
            <w:tcW w:w="4235" w:type="dxa"/>
          </w:tcPr>
          <w:p w:rsidR="006B5909" w:rsidP="00F801F3" w14:paraId="6BD195D0" w14:textId="592A1C99">
            <w:r w:rsidRPr="00283E3B">
              <w:t>Case No.</w:t>
            </w:r>
            <w:r w:rsidR="00CD2055">
              <w:t xml:space="preserve"> </w:t>
            </w:r>
            <w:r w:rsidRPr="00283E3B">
              <w:t xml:space="preserve">14-376-GA-ATA </w:t>
            </w:r>
          </w:p>
          <w:p w:rsidR="006B5909" w:rsidP="00F801F3" w14:paraId="626D3396" w14:textId="43FAA10D">
            <w:r w:rsidRPr="00283E3B">
              <w:t>Case No.</w:t>
            </w:r>
            <w:r w:rsidR="00CD2055">
              <w:t xml:space="preserve"> </w:t>
            </w:r>
            <w:r w:rsidRPr="00283E3B">
              <w:t xml:space="preserve">15-453-GA-ATA </w:t>
            </w:r>
          </w:p>
          <w:p w:rsidR="006B5909" w:rsidP="00F801F3" w14:paraId="1260F868" w14:textId="2B21F775">
            <w:r w:rsidRPr="00283E3B">
              <w:t>Case No.</w:t>
            </w:r>
            <w:r w:rsidR="00CD2055">
              <w:t xml:space="preserve"> </w:t>
            </w:r>
            <w:r w:rsidRPr="00283E3B">
              <w:t xml:space="preserve">16-543-GA-ATA </w:t>
            </w:r>
          </w:p>
          <w:p w:rsidR="006B5909" w:rsidP="00F801F3" w14:paraId="2D266B60" w14:textId="305F8588">
            <w:r w:rsidRPr="00283E3B">
              <w:t>Case No.</w:t>
            </w:r>
            <w:r w:rsidR="00CD2055">
              <w:t xml:space="preserve"> </w:t>
            </w:r>
            <w:r w:rsidRPr="00283E3B">
              <w:t>17-597-GA-ATA</w:t>
            </w:r>
          </w:p>
          <w:p w:rsidR="006B5909" w:rsidP="00F801F3" w14:paraId="35F20131" w14:textId="20FE3458">
            <w:r w:rsidRPr="00283E3B">
              <w:t>Case No.</w:t>
            </w:r>
            <w:r w:rsidR="00CD2055">
              <w:t xml:space="preserve"> </w:t>
            </w:r>
            <w:r w:rsidRPr="00283E3B">
              <w:t xml:space="preserve">18-284-GA-ATA </w:t>
            </w:r>
          </w:p>
          <w:p w:rsidR="006B5909" w:rsidP="00F801F3" w14:paraId="20247AF0" w14:textId="2E14F0DA">
            <w:r w:rsidRPr="00283E3B">
              <w:t>Case No.</w:t>
            </w:r>
            <w:r w:rsidR="00CD2055">
              <w:t xml:space="preserve"> </w:t>
            </w:r>
            <w:r w:rsidRPr="00283E3B">
              <w:t xml:space="preserve">19-175-GA-ATA </w:t>
            </w:r>
          </w:p>
          <w:p w:rsidR="006B5909" w:rsidP="00F801F3" w14:paraId="328CFD44" w14:textId="1BB2801B">
            <w:r w:rsidRPr="00283E3B">
              <w:t>Case No.</w:t>
            </w:r>
            <w:r w:rsidR="00CD2055">
              <w:t xml:space="preserve"> </w:t>
            </w:r>
            <w:r w:rsidRPr="00283E3B">
              <w:t>19-1086-GA-</w:t>
            </w:r>
            <w:r>
              <w:t>UNC</w:t>
            </w:r>
            <w:r w:rsidRPr="00283E3B">
              <w:t xml:space="preserve"> </w:t>
            </w:r>
          </w:p>
          <w:p w:rsidR="006B5909" w:rsidRPr="00283E3B" w:rsidP="00F801F3" w14:paraId="65DCD665" w14:textId="76965C71">
            <w:r w:rsidRPr="00283E3B">
              <w:t>Case No.</w:t>
            </w:r>
            <w:r w:rsidR="00CD2055">
              <w:t xml:space="preserve"> </w:t>
            </w:r>
            <w:r w:rsidRPr="00283E3B">
              <w:t>20-54-GA-ATA</w:t>
            </w:r>
          </w:p>
        </w:tc>
      </w:tr>
      <w:tr w14:paraId="3DD9D615" w14:textId="77777777" w:rsidTr="00F801F3">
        <w:tblPrEx>
          <w:tblW w:w="0" w:type="auto"/>
          <w:tblLook w:val="04A0"/>
        </w:tblPrEx>
        <w:tc>
          <w:tcPr>
            <w:tcW w:w="4585" w:type="dxa"/>
          </w:tcPr>
          <w:p w:rsidR="006B5909" w:rsidP="00F801F3" w14:paraId="4AD37C8B" w14:textId="77777777">
            <w:pPr>
              <w:rPr>
                <w:b/>
                <w:bCs/>
              </w:rPr>
            </w:pPr>
          </w:p>
        </w:tc>
        <w:tc>
          <w:tcPr>
            <w:tcW w:w="540" w:type="dxa"/>
          </w:tcPr>
          <w:p w:rsidR="006B5909" w:rsidP="00F801F3" w14:paraId="2E5DB671" w14:textId="77777777">
            <w:pPr>
              <w:jc w:val="center"/>
              <w:rPr>
                <w:b/>
                <w:bCs/>
              </w:rPr>
            </w:pPr>
          </w:p>
        </w:tc>
        <w:tc>
          <w:tcPr>
            <w:tcW w:w="4235" w:type="dxa"/>
          </w:tcPr>
          <w:p w:rsidR="006B5909" w:rsidP="00F801F3" w14:paraId="5C2CCDA3" w14:textId="77777777">
            <w:pPr>
              <w:rPr>
                <w:b/>
                <w:bCs/>
              </w:rPr>
            </w:pPr>
          </w:p>
        </w:tc>
      </w:tr>
      <w:tr w14:paraId="7F9645F0" w14:textId="77777777" w:rsidTr="00F801F3">
        <w:tblPrEx>
          <w:tblW w:w="0" w:type="auto"/>
          <w:tblLook w:val="04A0"/>
        </w:tblPrEx>
        <w:tc>
          <w:tcPr>
            <w:tcW w:w="4585" w:type="dxa"/>
          </w:tcPr>
          <w:p w:rsidR="006B5909" w:rsidRPr="00283E3B" w:rsidP="00F801F3" w14:paraId="68F6C4BC" w14:textId="60628461">
            <w:r w:rsidRPr="00283E3B">
              <w:t>In the Matter of the Application of Duke Energy Ohio, Inc., for Implementation of the Tax Cuts and Jobs Act of 2017.</w:t>
            </w:r>
          </w:p>
        </w:tc>
        <w:tc>
          <w:tcPr>
            <w:tcW w:w="540" w:type="dxa"/>
          </w:tcPr>
          <w:p w:rsidR="006B5909" w:rsidRPr="00283E3B" w:rsidP="00F801F3" w14:paraId="5DE649B8" w14:textId="77777777">
            <w:pPr>
              <w:jc w:val="center"/>
            </w:pPr>
            <w:r w:rsidRPr="00283E3B">
              <w:t>)</w:t>
            </w:r>
          </w:p>
          <w:p w:rsidR="006B5909" w:rsidRPr="00283E3B" w:rsidP="00F801F3" w14:paraId="66A7077C" w14:textId="77777777">
            <w:pPr>
              <w:jc w:val="center"/>
            </w:pPr>
            <w:r w:rsidRPr="00283E3B">
              <w:t>)</w:t>
            </w:r>
          </w:p>
          <w:p w:rsidR="006B5909" w:rsidP="006B5909" w14:paraId="6B3CD705" w14:textId="5AF11E23">
            <w:pPr>
              <w:jc w:val="center"/>
              <w:rPr>
                <w:b/>
                <w:bCs/>
              </w:rPr>
            </w:pPr>
            <w:r w:rsidRPr="00283E3B">
              <w:t>)</w:t>
            </w:r>
          </w:p>
        </w:tc>
        <w:tc>
          <w:tcPr>
            <w:tcW w:w="4235" w:type="dxa"/>
          </w:tcPr>
          <w:p w:rsidR="006B5909" w:rsidRPr="00283E3B" w:rsidP="00F801F3" w14:paraId="1811D7F3" w14:textId="274E0B17">
            <w:r w:rsidRPr="00283E3B">
              <w:t>Case No.</w:t>
            </w:r>
            <w:r w:rsidR="00CD2055">
              <w:t xml:space="preserve"> </w:t>
            </w:r>
            <w:r w:rsidRPr="00283E3B">
              <w:t>18-1830-GA-UNC</w:t>
            </w:r>
          </w:p>
        </w:tc>
      </w:tr>
      <w:tr w14:paraId="368F2FFD" w14:textId="77777777" w:rsidTr="00F801F3">
        <w:tblPrEx>
          <w:tblW w:w="0" w:type="auto"/>
          <w:tblLook w:val="04A0"/>
        </w:tblPrEx>
        <w:tc>
          <w:tcPr>
            <w:tcW w:w="4585" w:type="dxa"/>
          </w:tcPr>
          <w:p w:rsidR="006B5909" w:rsidP="00F801F3" w14:paraId="4305FF06" w14:textId="77777777">
            <w:pPr>
              <w:rPr>
                <w:b/>
                <w:bCs/>
              </w:rPr>
            </w:pPr>
          </w:p>
        </w:tc>
        <w:tc>
          <w:tcPr>
            <w:tcW w:w="540" w:type="dxa"/>
          </w:tcPr>
          <w:p w:rsidR="006B5909" w:rsidP="00F801F3" w14:paraId="58156650" w14:textId="77777777">
            <w:pPr>
              <w:jc w:val="center"/>
              <w:rPr>
                <w:b/>
                <w:bCs/>
              </w:rPr>
            </w:pPr>
          </w:p>
        </w:tc>
        <w:tc>
          <w:tcPr>
            <w:tcW w:w="4235" w:type="dxa"/>
          </w:tcPr>
          <w:p w:rsidR="006B5909" w:rsidP="00F801F3" w14:paraId="480302CC" w14:textId="77777777">
            <w:pPr>
              <w:rPr>
                <w:b/>
                <w:bCs/>
              </w:rPr>
            </w:pPr>
          </w:p>
        </w:tc>
      </w:tr>
      <w:tr w14:paraId="2F18CB09" w14:textId="77777777" w:rsidTr="00F801F3">
        <w:tblPrEx>
          <w:tblW w:w="0" w:type="auto"/>
          <w:tblLook w:val="04A0"/>
        </w:tblPrEx>
        <w:tc>
          <w:tcPr>
            <w:tcW w:w="4585" w:type="dxa"/>
          </w:tcPr>
          <w:p w:rsidR="006B5909" w:rsidRPr="00283E3B" w:rsidP="00F801F3" w14:paraId="2E30DB9F" w14:textId="2AD00D58">
            <w:r w:rsidRPr="00283E3B">
              <w:t>In the Matter of the Application of Duke Energy Ohio, Inc., for Approval of Tariff Amendments.</w:t>
            </w:r>
          </w:p>
        </w:tc>
        <w:tc>
          <w:tcPr>
            <w:tcW w:w="540" w:type="dxa"/>
          </w:tcPr>
          <w:p w:rsidR="006B5909" w:rsidRPr="00283E3B" w:rsidP="00F801F3" w14:paraId="23662D05" w14:textId="77777777">
            <w:pPr>
              <w:jc w:val="center"/>
            </w:pPr>
            <w:r w:rsidRPr="00283E3B">
              <w:t>)</w:t>
            </w:r>
          </w:p>
          <w:p w:rsidR="006B5909" w:rsidRPr="00283E3B" w:rsidP="00F801F3" w14:paraId="21D9CC85" w14:textId="77777777">
            <w:pPr>
              <w:jc w:val="center"/>
            </w:pPr>
            <w:r w:rsidRPr="00283E3B">
              <w:t>)</w:t>
            </w:r>
          </w:p>
          <w:p w:rsidR="006B5909" w:rsidP="006B5909" w14:paraId="6371906E" w14:textId="2B85F01A">
            <w:pPr>
              <w:jc w:val="center"/>
              <w:rPr>
                <w:b/>
                <w:bCs/>
              </w:rPr>
            </w:pPr>
            <w:r w:rsidRPr="00283E3B">
              <w:t>)</w:t>
            </w:r>
          </w:p>
        </w:tc>
        <w:tc>
          <w:tcPr>
            <w:tcW w:w="4235" w:type="dxa"/>
          </w:tcPr>
          <w:p w:rsidR="006B5909" w:rsidP="00F801F3" w14:paraId="16BEC1AD" w14:textId="650F3C4E">
            <w:pPr>
              <w:rPr>
                <w:b/>
                <w:bCs/>
              </w:rPr>
            </w:pPr>
            <w:r w:rsidRPr="00283E3B">
              <w:t>Case No.</w:t>
            </w:r>
            <w:r w:rsidR="00CD2055">
              <w:t xml:space="preserve"> </w:t>
            </w:r>
            <w:r w:rsidRPr="00283E3B">
              <w:t>18-1831-GA-</w:t>
            </w:r>
            <w:r>
              <w:t>ATA</w:t>
            </w:r>
          </w:p>
        </w:tc>
      </w:tr>
      <w:tr w14:paraId="608D38FC" w14:textId="77777777" w:rsidTr="00F801F3">
        <w:tblPrEx>
          <w:tblW w:w="0" w:type="auto"/>
          <w:tblLook w:val="04A0"/>
        </w:tblPrEx>
        <w:tc>
          <w:tcPr>
            <w:tcW w:w="4585" w:type="dxa"/>
          </w:tcPr>
          <w:p w:rsidR="006B5909" w:rsidP="00F801F3" w14:paraId="6531F328" w14:textId="77777777">
            <w:pPr>
              <w:rPr>
                <w:b/>
                <w:bCs/>
              </w:rPr>
            </w:pPr>
          </w:p>
        </w:tc>
        <w:tc>
          <w:tcPr>
            <w:tcW w:w="540" w:type="dxa"/>
          </w:tcPr>
          <w:p w:rsidR="006B5909" w:rsidP="00F801F3" w14:paraId="484A2C08" w14:textId="77777777">
            <w:pPr>
              <w:jc w:val="center"/>
              <w:rPr>
                <w:b/>
                <w:bCs/>
              </w:rPr>
            </w:pPr>
          </w:p>
        </w:tc>
        <w:tc>
          <w:tcPr>
            <w:tcW w:w="4235" w:type="dxa"/>
          </w:tcPr>
          <w:p w:rsidR="006B5909" w:rsidP="00F801F3" w14:paraId="60881B53" w14:textId="77777777">
            <w:pPr>
              <w:rPr>
                <w:b/>
                <w:bCs/>
              </w:rPr>
            </w:pPr>
          </w:p>
        </w:tc>
      </w:tr>
      <w:tr w14:paraId="0CEBDE31" w14:textId="77777777" w:rsidTr="00F801F3">
        <w:tblPrEx>
          <w:tblW w:w="0" w:type="auto"/>
          <w:tblLook w:val="04A0"/>
        </w:tblPrEx>
        <w:tc>
          <w:tcPr>
            <w:tcW w:w="4585" w:type="dxa"/>
          </w:tcPr>
          <w:p w:rsidR="006B5909" w:rsidRPr="00283E3B" w:rsidP="00F801F3" w14:paraId="24D002BA" w14:textId="375D0E59">
            <w:r w:rsidRPr="00283E3B">
              <w:t>In the Matter of the Application of Duke Energy Ohio, Inc., for Authority to Defer Environmental Investigation and Remediation Costs.</w:t>
            </w:r>
          </w:p>
        </w:tc>
        <w:tc>
          <w:tcPr>
            <w:tcW w:w="540" w:type="dxa"/>
          </w:tcPr>
          <w:p w:rsidR="006B5909" w:rsidRPr="00283E3B" w:rsidP="00F801F3" w14:paraId="5B05519E" w14:textId="77777777">
            <w:pPr>
              <w:jc w:val="center"/>
            </w:pPr>
            <w:r w:rsidRPr="00283E3B">
              <w:t>)</w:t>
            </w:r>
          </w:p>
          <w:p w:rsidR="006B5909" w:rsidRPr="00283E3B" w:rsidP="00F801F3" w14:paraId="7618EF24" w14:textId="77777777">
            <w:pPr>
              <w:jc w:val="center"/>
            </w:pPr>
            <w:r w:rsidRPr="00283E3B">
              <w:t>)</w:t>
            </w:r>
          </w:p>
          <w:p w:rsidR="006B5909" w:rsidRPr="00283E3B" w:rsidP="00F801F3" w14:paraId="359B22A1" w14:textId="77777777">
            <w:pPr>
              <w:jc w:val="center"/>
            </w:pPr>
            <w:r w:rsidRPr="00283E3B">
              <w:t>)</w:t>
            </w:r>
          </w:p>
          <w:p w:rsidR="006B5909" w:rsidRPr="00283E3B" w:rsidP="00F801F3" w14:paraId="1B8C395B" w14:textId="77777777">
            <w:pPr>
              <w:jc w:val="center"/>
            </w:pPr>
            <w:r w:rsidRPr="00283E3B">
              <w:t>)</w:t>
            </w:r>
          </w:p>
        </w:tc>
        <w:tc>
          <w:tcPr>
            <w:tcW w:w="4235" w:type="dxa"/>
          </w:tcPr>
          <w:p w:rsidR="006B5909" w:rsidRPr="00283E3B" w:rsidP="00F801F3" w14:paraId="6D811ABE" w14:textId="3E141A77">
            <w:r w:rsidRPr="00283E3B">
              <w:t>Case No.</w:t>
            </w:r>
            <w:r w:rsidR="00CD2055">
              <w:t xml:space="preserve"> </w:t>
            </w:r>
            <w:r w:rsidRPr="00283E3B">
              <w:t>19-1085-GA-AAM</w:t>
            </w:r>
          </w:p>
        </w:tc>
      </w:tr>
      <w:tr w14:paraId="0ECD9D0D" w14:textId="77777777" w:rsidTr="00F801F3">
        <w:tblPrEx>
          <w:tblW w:w="0" w:type="auto"/>
          <w:tblLook w:val="04A0"/>
        </w:tblPrEx>
        <w:tc>
          <w:tcPr>
            <w:tcW w:w="4585" w:type="dxa"/>
          </w:tcPr>
          <w:p w:rsidR="006B5909" w:rsidP="00F801F3" w14:paraId="4FB7B852" w14:textId="77777777">
            <w:pPr>
              <w:rPr>
                <w:b/>
                <w:bCs/>
              </w:rPr>
            </w:pPr>
          </w:p>
        </w:tc>
        <w:tc>
          <w:tcPr>
            <w:tcW w:w="540" w:type="dxa"/>
          </w:tcPr>
          <w:p w:rsidR="006B5909" w:rsidRPr="00283E3B" w:rsidP="00F801F3" w14:paraId="5626F64F" w14:textId="77777777">
            <w:pPr>
              <w:jc w:val="center"/>
            </w:pPr>
          </w:p>
        </w:tc>
        <w:tc>
          <w:tcPr>
            <w:tcW w:w="4235" w:type="dxa"/>
          </w:tcPr>
          <w:p w:rsidR="006B5909" w:rsidP="00F801F3" w14:paraId="2FC40A58" w14:textId="77777777">
            <w:pPr>
              <w:rPr>
                <w:b/>
                <w:bCs/>
              </w:rPr>
            </w:pPr>
          </w:p>
        </w:tc>
      </w:tr>
    </w:tbl>
    <w:p w:rsidR="00B12ADE" w:rsidP="00B51819" w14:paraId="258B3B6D" w14:textId="77777777">
      <w:pPr>
        <w:pBdr>
          <w:bottom w:val="single" w:sz="12" w:space="1" w:color="auto"/>
        </w:pBdr>
        <w:spacing w:after="0"/>
        <w:jc w:val="center"/>
        <w:rPr>
          <w:b/>
          <w:bCs/>
        </w:rPr>
      </w:pPr>
    </w:p>
    <w:p w:rsidR="004312C3" w:rsidP="00B51819" w14:paraId="5E0E739D" w14:textId="742AB5BE">
      <w:pPr>
        <w:pBdr>
          <w:bottom w:val="single" w:sz="12" w:space="1" w:color="auto"/>
        </w:pBdr>
        <w:spacing w:after="0"/>
        <w:jc w:val="center"/>
        <w:rPr>
          <w:b/>
          <w:bCs/>
        </w:rPr>
      </w:pPr>
      <w:r>
        <w:rPr>
          <w:b/>
          <w:bCs/>
        </w:rPr>
        <w:t>MEMORANDUM CONTRA THE JOINT MOTION OF THE RETAIL ENERGY SUPPLY ASSOCIATION AND INTERSTATE GAS SUPPLY, INC. TO REOPEN THE HEARING RECORD TO SUBMIT A STIPULATED FACT</w:t>
      </w:r>
    </w:p>
    <w:p w:rsidR="00B51819" w:rsidP="00B51819" w14:paraId="2F0CEBDC" w14:textId="781B002A">
      <w:pPr>
        <w:pBdr>
          <w:bottom w:val="single" w:sz="12" w:space="1" w:color="auto"/>
        </w:pBdr>
        <w:spacing w:after="0"/>
        <w:jc w:val="center"/>
        <w:rPr>
          <w:b/>
          <w:bCs/>
        </w:rPr>
      </w:pPr>
      <w:r>
        <w:rPr>
          <w:b/>
          <w:bCs/>
        </w:rPr>
        <w:t>BY</w:t>
      </w:r>
    </w:p>
    <w:p w:rsidR="00B51819" w:rsidP="00B51819" w14:paraId="3EE25055" w14:textId="339BC6F2">
      <w:pPr>
        <w:pBdr>
          <w:bottom w:val="single" w:sz="12" w:space="1" w:color="auto"/>
        </w:pBdr>
        <w:spacing w:after="0"/>
        <w:jc w:val="center"/>
        <w:rPr>
          <w:b/>
          <w:bCs/>
        </w:rPr>
      </w:pPr>
      <w:r>
        <w:rPr>
          <w:b/>
          <w:bCs/>
        </w:rPr>
        <w:t>OFFICE OF THE OHIO CONSUMERS’ COUNSEL</w:t>
      </w:r>
    </w:p>
    <w:p w:rsidR="004312C3" w:rsidP="004312C3" w14:paraId="42A83F04" w14:textId="77777777">
      <w:pPr>
        <w:pBdr>
          <w:bottom w:val="single" w:sz="12" w:space="1" w:color="auto"/>
        </w:pBdr>
        <w:jc w:val="center"/>
        <w:rPr>
          <w:b/>
          <w:bCs/>
        </w:rPr>
      </w:pPr>
    </w:p>
    <w:p w:rsidR="006C2DB7" w:rsidP="008B6CAA" w14:paraId="06557BF8" w14:textId="21F1426E">
      <w:pPr>
        <w:spacing w:after="0" w:line="480" w:lineRule="auto"/>
        <w:ind w:firstLine="720"/>
      </w:pPr>
      <w:r>
        <w:t xml:space="preserve">Three months after the </w:t>
      </w:r>
      <w:r w:rsidR="004674D7">
        <w:t xml:space="preserve">evidentiary </w:t>
      </w:r>
      <w:r>
        <w:t>hearing in this case</w:t>
      </w:r>
      <w:r w:rsidR="004674D7">
        <w:t xml:space="preserve"> was completed and the record was closed</w:t>
      </w:r>
      <w:r>
        <w:t xml:space="preserve">, </w:t>
      </w:r>
      <w:r w:rsidR="0098109B">
        <w:t>RESA and IGS</w:t>
      </w:r>
      <w:r w:rsidR="00C90489">
        <w:t xml:space="preserve"> </w:t>
      </w:r>
      <w:r w:rsidR="0098109B">
        <w:t>(the “</w:t>
      </w:r>
      <w:r w:rsidR="00742031">
        <w:t>M</w:t>
      </w:r>
      <w:r w:rsidR="0098109B">
        <w:t xml:space="preserve">arketers”) </w:t>
      </w:r>
      <w:r w:rsidR="00C90489">
        <w:t xml:space="preserve">seek to have the PUCO reopen the </w:t>
      </w:r>
      <w:r w:rsidR="00C90489">
        <w:t>hearing record</w:t>
      </w:r>
      <w:r>
        <w:rPr>
          <w:rStyle w:val="FootnoteReference"/>
        </w:rPr>
        <w:footnoteReference w:id="2"/>
      </w:r>
      <w:r w:rsidR="00C90489">
        <w:t xml:space="preserve"> </w:t>
      </w:r>
      <w:r>
        <w:t>to enter a</w:t>
      </w:r>
      <w:r w:rsidR="00C90489">
        <w:t xml:space="preserve"> </w:t>
      </w:r>
      <w:r>
        <w:t xml:space="preserve">(non-existent) </w:t>
      </w:r>
      <w:r w:rsidR="00C90489">
        <w:t>stipulation</w:t>
      </w:r>
      <w:r>
        <w:t>.</w:t>
      </w:r>
      <w:r w:rsidR="00CD2055">
        <w:t xml:space="preserve"> </w:t>
      </w:r>
      <w:r>
        <w:t>They assert that the (non-existent) stipulation is necessary</w:t>
      </w:r>
      <w:r w:rsidR="00C90489">
        <w:t xml:space="preserve"> to correct an exhibit </w:t>
      </w:r>
      <w:r>
        <w:t xml:space="preserve">(Duke Exhibit 8) </w:t>
      </w:r>
      <w:r w:rsidR="008F5703">
        <w:t xml:space="preserve">containing information about shopping in Dominion East Ohio’s service area </w:t>
      </w:r>
      <w:r w:rsidR="00C90489">
        <w:t xml:space="preserve">that </w:t>
      </w:r>
      <w:r w:rsidR="00641EC5">
        <w:t xml:space="preserve">purportedly </w:t>
      </w:r>
      <w:r w:rsidR="00C90489">
        <w:t>contains an error</w:t>
      </w:r>
      <w:r w:rsidR="00BB5D46">
        <w:t>.</w:t>
      </w:r>
      <w:r w:rsidR="00C90489">
        <w:t xml:space="preserve"> </w:t>
      </w:r>
      <w:r w:rsidR="0098109B">
        <w:t xml:space="preserve">The </w:t>
      </w:r>
      <w:r w:rsidR="00742031">
        <w:t>M</w:t>
      </w:r>
      <w:r w:rsidR="0098109B">
        <w:t>arketers’</w:t>
      </w:r>
      <w:r w:rsidR="00581914">
        <w:t xml:space="preserve"> </w:t>
      </w:r>
      <w:r>
        <w:t>say</w:t>
      </w:r>
      <w:r w:rsidR="00581914">
        <w:t xml:space="preserve"> that </w:t>
      </w:r>
      <w:r w:rsidR="00C214B5">
        <w:t>a</w:t>
      </w:r>
      <w:r w:rsidRPr="00A73487" w:rsidR="00A73487">
        <w:t>fter the hearing</w:t>
      </w:r>
      <w:r w:rsidR="007C5AAB">
        <w:t xml:space="preserve"> occurred, </w:t>
      </w:r>
      <w:r w:rsidRPr="00A73487" w:rsidR="00A73487">
        <w:t xml:space="preserve">and based on information received from the </w:t>
      </w:r>
      <w:r w:rsidR="00C214B5">
        <w:t>PUCO Staff</w:t>
      </w:r>
      <w:r w:rsidRPr="00A73487" w:rsidR="00A73487">
        <w:t xml:space="preserve">, </w:t>
      </w:r>
      <w:r>
        <w:t>they learned that Duke Exhibit 8</w:t>
      </w:r>
      <w:r w:rsidRPr="00A73487" w:rsidR="00A73487">
        <w:t xml:space="preserve"> incorrectly fail</w:t>
      </w:r>
      <w:r w:rsidR="008F5703">
        <w:t>s</w:t>
      </w:r>
      <w:r w:rsidRPr="00A73487" w:rsidR="00A73487">
        <w:t xml:space="preserve"> to include a clarifier that the </w:t>
      </w:r>
      <w:r w:rsidR="008F5703">
        <w:t xml:space="preserve">shopping </w:t>
      </w:r>
      <w:r w:rsidRPr="00A73487" w:rsidR="00A73487">
        <w:t xml:space="preserve">percentages included standard choice offer </w:t>
      </w:r>
      <w:r w:rsidR="008F5703">
        <w:t>consumers</w:t>
      </w:r>
      <w:r w:rsidRPr="00A73487" w:rsidR="00A73487">
        <w:t>.</w:t>
      </w:r>
      <w:r>
        <w:rPr>
          <w:rStyle w:val="FootnoteReference"/>
        </w:rPr>
        <w:footnoteReference w:id="3"/>
      </w:r>
      <w:r w:rsidR="00CD2055">
        <w:t xml:space="preserve"> </w:t>
      </w:r>
      <w:r>
        <w:t>The Marketers want a stipulation saying:</w:t>
      </w:r>
      <w:r w:rsidRPr="006C2DB7">
        <w:t xml:space="preserve"> </w:t>
      </w:r>
      <w:r w:rsidRPr="00C214B5">
        <w:t xml:space="preserve">“The choice statistics for Dominion East </w:t>
      </w:r>
      <w:r w:rsidRPr="00C214B5" w:rsidR="00CD2055">
        <w:t>Ohio Gas</w:t>
      </w:r>
      <w:r w:rsidRPr="00C214B5">
        <w:t xml:space="preserve"> shown on Duke Ex.</w:t>
      </w:r>
      <w:r w:rsidR="00CD2055">
        <w:t xml:space="preserve"> </w:t>
      </w:r>
      <w:r w:rsidRPr="00C214B5">
        <w:t>8</w:t>
      </w:r>
      <w:r w:rsidR="008F5703">
        <w:t xml:space="preserve"> </w:t>
      </w:r>
      <w:r w:rsidRPr="00C214B5">
        <w:t>include both Choice customers and SCO customers.”</w:t>
      </w:r>
      <w:r>
        <w:rPr>
          <w:rStyle w:val="FootnoteReference"/>
        </w:rPr>
        <w:footnoteReference w:id="4"/>
      </w:r>
      <w:r w:rsidR="00B12ADE">
        <w:t xml:space="preserve"> </w:t>
      </w:r>
      <w:r w:rsidRPr="00A73487" w:rsidR="00A73487">
        <w:t xml:space="preserve"> </w:t>
      </w:r>
    </w:p>
    <w:p w:rsidR="002D5A8E" w:rsidP="008B6CAA" w14:paraId="372BB86A" w14:textId="4F33F8B1">
      <w:pPr>
        <w:spacing w:after="0" w:line="480" w:lineRule="auto"/>
        <w:ind w:firstLine="720"/>
      </w:pPr>
      <w:r>
        <w:t>The PUCO should deny the Marketers’ request.</w:t>
      </w:r>
      <w:r w:rsidR="00CD2055">
        <w:t xml:space="preserve"> </w:t>
      </w:r>
      <w:r w:rsidR="003A1262">
        <w:t>First, there is no stipulation.</w:t>
      </w:r>
      <w:r w:rsidR="00CD2055">
        <w:t xml:space="preserve"> </w:t>
      </w:r>
      <w:r w:rsidR="001B213D">
        <w:t>The so-called stipulation (or stipulated facts) is only between RESA and IGS.</w:t>
      </w:r>
      <w:r w:rsidR="00B12ADE">
        <w:t xml:space="preserve"> </w:t>
      </w:r>
      <w:r w:rsidR="001B213D">
        <w:t xml:space="preserve">No </w:t>
      </w:r>
      <w:r w:rsidR="004674D7">
        <w:t xml:space="preserve">other </w:t>
      </w:r>
      <w:r w:rsidR="001B213D">
        <w:t>party join</w:t>
      </w:r>
      <w:r w:rsidR="004674D7">
        <w:t>s</w:t>
      </w:r>
      <w:r w:rsidR="001B213D">
        <w:t xml:space="preserve"> the “stipulation.</w:t>
      </w:r>
      <w:r w:rsidR="00F677CE">
        <w:t>”</w:t>
      </w:r>
      <w:r w:rsidR="001B213D">
        <w:t xml:space="preserve"> </w:t>
      </w:r>
      <w:r w:rsidR="003A1262">
        <w:t xml:space="preserve">The Marketers cannot force one on the </w:t>
      </w:r>
      <w:r w:rsidR="004674D7">
        <w:t xml:space="preserve">other </w:t>
      </w:r>
      <w:r w:rsidR="003A1262">
        <w:t>parties by filing a motion.</w:t>
      </w:r>
      <w:r w:rsidR="00CD2055">
        <w:t xml:space="preserve"> </w:t>
      </w:r>
    </w:p>
    <w:p w:rsidR="001B213D" w:rsidP="001B213D" w14:paraId="26FE659D" w14:textId="5674B3A2">
      <w:pPr>
        <w:spacing w:after="0" w:line="480" w:lineRule="auto"/>
        <w:ind w:firstLine="720"/>
        <w:rPr>
          <w:rFonts w:cs="Times New Roman"/>
        </w:rPr>
      </w:pPr>
      <w:r>
        <w:t xml:space="preserve">Second, the Marketers are not looking to have admitted </w:t>
      </w:r>
      <w:r>
        <w:rPr>
          <w:i/>
          <w:iCs/>
        </w:rPr>
        <w:t xml:space="preserve">additional </w:t>
      </w:r>
      <w:r>
        <w:t xml:space="preserve">evidence and the hearing records can be re-opened only to permit the presentation of additional evidence. But the Marketers are not requesting to admit </w:t>
      </w:r>
      <w:r w:rsidRPr="00EA40F5">
        <w:rPr>
          <w:i/>
          <w:iCs/>
        </w:rPr>
        <w:t>additional</w:t>
      </w:r>
      <w:r>
        <w:t xml:space="preserve"> evidence. They are requesting a stipulation that one of Duke’s exhibits contained inaccurate information because it was missing a disclaimer. Re-opening of the hearing records is not allowed under Ohio law.</w:t>
      </w:r>
    </w:p>
    <w:p w:rsidR="00E703DD" w:rsidRPr="00E703DD" w:rsidP="008B6CAA" w14:paraId="2EE72C52" w14:textId="12E34F30">
      <w:pPr>
        <w:spacing w:after="0" w:line="480" w:lineRule="auto"/>
        <w:ind w:firstLine="720"/>
      </w:pPr>
      <w:r w:rsidRPr="00E703DD">
        <w:t xml:space="preserve">Under O.A.C. 4901-1-34, </w:t>
      </w:r>
      <w:r w:rsidRPr="00E703DD">
        <w:rPr>
          <w:rFonts w:cs="Times New Roman"/>
          <w:szCs w:val="24"/>
          <w:shd w:val="clear" w:color="auto" w:fill="FFFFFF"/>
        </w:rPr>
        <w:t xml:space="preserve">the PUCO, the legal director, the deputy legal director, or an attorney examiner may, upon their own motion or upon motion of any person for good cause shown, reopen a proceeding at any time </w:t>
      </w:r>
      <w:r w:rsidRPr="00006BFC">
        <w:rPr>
          <w:rFonts w:cs="Times New Roman"/>
          <w:szCs w:val="24"/>
          <w:shd w:val="clear" w:color="auto" w:fill="FFFFFF"/>
        </w:rPr>
        <w:t xml:space="preserve">prior to the issuance of a final order. Additionally, </w:t>
      </w:r>
      <w:r w:rsidR="008F5703">
        <w:rPr>
          <w:rFonts w:cs="Times New Roman"/>
          <w:szCs w:val="24"/>
          <w:shd w:val="clear" w:color="auto" w:fill="FFFFFF"/>
        </w:rPr>
        <w:t>a</w:t>
      </w:r>
      <w:r w:rsidRPr="00006BFC" w:rsidR="00006BFC">
        <w:rPr>
          <w:rFonts w:cs="Times New Roman"/>
          <w:szCs w:val="24"/>
          <w:shd w:val="clear" w:color="auto" w:fill="FFFFFF"/>
        </w:rPr>
        <w:t xml:space="preserve"> motion to reopen a proceeding shall specifically set forth the purpose of the requested reopening.</w:t>
      </w:r>
      <w:r>
        <w:rPr>
          <w:rStyle w:val="FootnoteReference"/>
          <w:rFonts w:cs="Times New Roman"/>
          <w:szCs w:val="24"/>
          <w:shd w:val="clear" w:color="auto" w:fill="FFFFFF"/>
        </w:rPr>
        <w:footnoteReference w:id="5"/>
      </w:r>
      <w:r w:rsidRPr="00006BFC" w:rsidR="00006BFC">
        <w:rPr>
          <w:rFonts w:cs="Times New Roman"/>
          <w:szCs w:val="24"/>
          <w:shd w:val="clear" w:color="auto" w:fill="FFFFFF"/>
        </w:rPr>
        <w:t xml:space="preserve"> </w:t>
      </w:r>
      <w:r w:rsidR="00EF0012">
        <w:rPr>
          <w:rFonts w:cs="Times New Roman"/>
          <w:szCs w:val="24"/>
          <w:shd w:val="clear" w:color="auto" w:fill="FFFFFF"/>
        </w:rPr>
        <w:t>And i</w:t>
      </w:r>
      <w:r w:rsidRPr="00006BFC" w:rsidR="00006BFC">
        <w:rPr>
          <w:rFonts w:cs="Times New Roman"/>
          <w:szCs w:val="24"/>
          <w:shd w:val="clear" w:color="auto" w:fill="FFFFFF"/>
        </w:rPr>
        <w:t xml:space="preserve">f the purpose is to permit the presentation of </w:t>
      </w:r>
      <w:r w:rsidRPr="006276A8" w:rsidR="00006BFC">
        <w:rPr>
          <w:rFonts w:cs="Times New Roman"/>
          <w:i/>
          <w:iCs/>
          <w:szCs w:val="24"/>
          <w:shd w:val="clear" w:color="auto" w:fill="FFFFFF"/>
        </w:rPr>
        <w:t>additional evidence</w:t>
      </w:r>
      <w:r w:rsidRPr="00006BFC" w:rsidR="00006BFC">
        <w:rPr>
          <w:rFonts w:cs="Times New Roman"/>
          <w:szCs w:val="24"/>
          <w:shd w:val="clear" w:color="auto" w:fill="FFFFFF"/>
        </w:rPr>
        <w:t>, the motion shall specifically describe the nature and purpose of such evidence and shall set forth facts showing why such evidence could not, with reasonable diligence, have been presented earlier in the proceeding.</w:t>
      </w:r>
      <w:r>
        <w:rPr>
          <w:rStyle w:val="FootnoteReference"/>
          <w:rFonts w:cs="Times New Roman"/>
          <w:szCs w:val="24"/>
          <w:shd w:val="clear" w:color="auto" w:fill="FFFFFF"/>
        </w:rPr>
        <w:footnoteReference w:id="6"/>
      </w:r>
    </w:p>
    <w:p w:rsidR="00B67F75" w:rsidP="00795A5B" w14:paraId="1A7852E9" w14:textId="697392BF">
      <w:pPr>
        <w:spacing w:after="0" w:line="480" w:lineRule="auto"/>
        <w:ind w:firstLine="720"/>
      </w:pPr>
      <w:r>
        <w:t>Third,</w:t>
      </w:r>
      <w:r w:rsidR="00DB46B3">
        <w:t xml:space="preserve"> </w:t>
      </w:r>
      <w:r w:rsidR="00641EC5">
        <w:t>Duke Exhibit 8</w:t>
      </w:r>
      <w:r w:rsidR="00AD2E36">
        <w:t xml:space="preserve"> </w:t>
      </w:r>
      <w:r w:rsidR="00DB46B3">
        <w:t>is a PUC</w:t>
      </w:r>
      <w:r w:rsidR="00641EC5">
        <w:t>O-</w:t>
      </w:r>
      <w:r w:rsidR="00AD2E36">
        <w:t xml:space="preserve">created </w:t>
      </w:r>
      <w:r w:rsidR="00DB46B3">
        <w:t>document</w:t>
      </w:r>
      <w:r w:rsidR="00DC0FB5">
        <w:t xml:space="preserve"> that reflects information </w:t>
      </w:r>
      <w:r w:rsidR="00E11F44">
        <w:t xml:space="preserve">publicly </w:t>
      </w:r>
      <w:r w:rsidR="008B6CAA">
        <w:t xml:space="preserve">available </w:t>
      </w:r>
      <w:r w:rsidR="00DC0FB5">
        <w:t xml:space="preserve">on the PUCO energy choice website. </w:t>
      </w:r>
      <w:r w:rsidR="001D0BB5">
        <w:t xml:space="preserve">The </w:t>
      </w:r>
      <w:r w:rsidR="008B6CAA">
        <w:t>M</w:t>
      </w:r>
      <w:r w:rsidR="001D0BB5">
        <w:t xml:space="preserve">arketers admit in their </w:t>
      </w:r>
      <w:r w:rsidR="00641EC5">
        <w:t>m</w:t>
      </w:r>
      <w:r w:rsidR="001D0BB5">
        <w:t xml:space="preserve">emorandum in </w:t>
      </w:r>
      <w:r w:rsidR="00641EC5">
        <w:t>s</w:t>
      </w:r>
      <w:r w:rsidR="001D0BB5">
        <w:t xml:space="preserve">upport that </w:t>
      </w:r>
      <w:r w:rsidR="003D4F9A">
        <w:t>the document</w:t>
      </w:r>
      <w:r w:rsidRPr="001A31A0" w:rsidR="001A31A0">
        <w:t xml:space="preserve"> is available on the </w:t>
      </w:r>
      <w:r w:rsidR="003D4F9A">
        <w:t>PUCO’s</w:t>
      </w:r>
      <w:r w:rsidRPr="001A31A0" w:rsidR="001A31A0">
        <w:t xml:space="preserve"> </w:t>
      </w:r>
      <w:r w:rsidRPr="001A31A0" w:rsidR="000E3672">
        <w:t>website and</w:t>
      </w:r>
      <w:r w:rsidRPr="001A31A0" w:rsidR="001A31A0">
        <w:t xml:space="preserve"> includes the </w:t>
      </w:r>
      <w:r w:rsidR="009B6280">
        <w:t xml:space="preserve">desired </w:t>
      </w:r>
      <w:r w:rsidRPr="001A31A0" w:rsidR="001A31A0">
        <w:t>disclaimer</w:t>
      </w:r>
      <w:r w:rsidR="003D4F9A">
        <w:t>.</w:t>
      </w:r>
      <w:r>
        <w:rPr>
          <w:rStyle w:val="FootnoteReference"/>
        </w:rPr>
        <w:footnoteReference w:id="7"/>
      </w:r>
      <w:r w:rsidR="002A3097">
        <w:t xml:space="preserve"> Since th</w:t>
      </w:r>
      <w:r w:rsidR="000E3672">
        <w:t>e</w:t>
      </w:r>
      <w:r w:rsidR="002A3097">
        <w:t xml:space="preserve"> Marketers are seeking a </w:t>
      </w:r>
      <w:r w:rsidR="00B11795">
        <w:t>clarification</w:t>
      </w:r>
      <w:r w:rsidR="002A3097">
        <w:t xml:space="preserve"> o</w:t>
      </w:r>
      <w:r w:rsidR="003A1262">
        <w:t>f</w:t>
      </w:r>
      <w:r w:rsidR="002A3097">
        <w:t xml:space="preserve"> </w:t>
      </w:r>
      <w:r w:rsidR="002A3097">
        <w:rPr>
          <w:i/>
          <w:iCs/>
        </w:rPr>
        <w:t xml:space="preserve">another party’s </w:t>
      </w:r>
      <w:r w:rsidR="002A3097">
        <w:t xml:space="preserve">exhibit </w:t>
      </w:r>
      <w:r w:rsidR="003A1262">
        <w:t>(</w:t>
      </w:r>
      <w:r w:rsidR="00B11795">
        <w:t xml:space="preserve">a </w:t>
      </w:r>
      <w:r w:rsidR="003A1262">
        <w:t xml:space="preserve">document created by the </w:t>
      </w:r>
      <w:r w:rsidR="00B11795">
        <w:t xml:space="preserve">PUCO </w:t>
      </w:r>
      <w:r w:rsidR="008F5703">
        <w:t>and</w:t>
      </w:r>
      <w:r w:rsidR="00641EC5">
        <w:t xml:space="preserve"> </w:t>
      </w:r>
      <w:r w:rsidR="00B11795">
        <w:t xml:space="preserve">currently in </w:t>
      </w:r>
      <w:r w:rsidR="008F5703">
        <w:t xml:space="preserve">the </w:t>
      </w:r>
      <w:r w:rsidR="00B11795">
        <w:t>public record</w:t>
      </w:r>
      <w:r w:rsidR="008F5703">
        <w:t>)</w:t>
      </w:r>
      <w:r w:rsidR="00B11795">
        <w:t xml:space="preserve">, there </w:t>
      </w:r>
      <w:r w:rsidR="00956610">
        <w:t>is not good cause to reopen the proceedings.</w:t>
      </w:r>
    </w:p>
    <w:p w:rsidR="00592A9D" w:rsidP="00C32205" w14:paraId="5F840DA1" w14:textId="0501FA76">
      <w:pPr>
        <w:spacing w:line="480" w:lineRule="auto"/>
        <w:ind w:firstLine="720"/>
      </w:pPr>
      <w:r>
        <w:t>The Marketers h</w:t>
      </w:r>
      <w:r w:rsidR="00C90489">
        <w:t>a</w:t>
      </w:r>
      <w:r>
        <w:t>ve</w:t>
      </w:r>
      <w:r w:rsidR="00C90489">
        <w:t xml:space="preserve"> not provided good cause for the PUCO </w:t>
      </w:r>
      <w:r w:rsidR="00956610">
        <w:t xml:space="preserve">to reopen the </w:t>
      </w:r>
      <w:r w:rsidR="007F0825">
        <w:t>hearing to</w:t>
      </w:r>
      <w:r w:rsidR="008F5703">
        <w:t xml:space="preserve"> enter a non-existent stipulation making </w:t>
      </w:r>
      <w:r>
        <w:t>a</w:t>
      </w:r>
      <w:r w:rsidR="007F0825">
        <w:t>n unnecessary correction to the exhibit of another party</w:t>
      </w:r>
      <w:r w:rsidR="008C0CAD">
        <w:t xml:space="preserve"> based on hearsay</w:t>
      </w:r>
      <w:r w:rsidR="007F0825">
        <w:t>.</w:t>
      </w:r>
      <w:r w:rsidR="00C90489">
        <w:t xml:space="preserve"> </w:t>
      </w:r>
      <w:r w:rsidR="00C32205">
        <w:t>As the Marketer’s admit in their request, there is no prejudice from the error in the exhibit</w:t>
      </w:r>
      <w:r w:rsidR="00843319">
        <w:t xml:space="preserve"> b</w:t>
      </w:r>
      <w:r w:rsidR="008F202B">
        <w:t>eca</w:t>
      </w:r>
      <w:r w:rsidR="00843319">
        <w:t xml:space="preserve">use </w:t>
      </w:r>
      <w:r w:rsidR="008F202B">
        <w:t>the Marketers do not seek to supplement any briefing or to hold an additional hearing.</w:t>
      </w:r>
      <w:r>
        <w:rPr>
          <w:rStyle w:val="FootnoteReference"/>
        </w:rPr>
        <w:footnoteReference w:id="8"/>
      </w:r>
      <w:r w:rsidR="00C32205">
        <w:t xml:space="preserve"> </w:t>
      </w:r>
      <w:r w:rsidR="00C90489">
        <w:t>The PUCO should</w:t>
      </w:r>
      <w:r w:rsidR="00C32205">
        <w:t xml:space="preserve"> deny</w:t>
      </w:r>
      <w:r w:rsidR="00C90489">
        <w:t xml:space="preserve"> </w:t>
      </w:r>
      <w:r w:rsidR="007F0825">
        <w:t>the Marketers’</w:t>
      </w:r>
      <w:r w:rsidR="00C90489">
        <w:t xml:space="preserve"> motion</w:t>
      </w:r>
      <w:r w:rsidR="00AD2E36">
        <w:t xml:space="preserve"> to reopen the hearing</w:t>
      </w:r>
      <w:r w:rsidR="00C90489">
        <w:t xml:space="preserve">. </w:t>
      </w:r>
    </w:p>
    <w:p w:rsidR="00592A9D" w14:paraId="37F241AE" w14:textId="77777777">
      <w:r>
        <w:br w:type="page"/>
      </w:r>
    </w:p>
    <w:p w:rsidR="00B51819" w:rsidRPr="00F7404D" w:rsidP="00CD2055" w14:paraId="0E24AFC2" w14:textId="77777777">
      <w:pPr>
        <w:pStyle w:val="BodyTextIndent3"/>
        <w:widowControl w:val="0"/>
        <w:spacing w:after="0" w:line="480" w:lineRule="auto"/>
        <w:ind w:left="3960"/>
        <w:rPr>
          <w:sz w:val="24"/>
          <w:szCs w:val="24"/>
        </w:rPr>
      </w:pPr>
      <w:r w:rsidRPr="00F7404D">
        <w:rPr>
          <w:sz w:val="24"/>
          <w:szCs w:val="24"/>
        </w:rPr>
        <w:t>Respectfully submitted,</w:t>
      </w:r>
    </w:p>
    <w:p w:rsidR="00B51819" w:rsidRPr="00F7404D" w:rsidP="00CD2055" w14:paraId="30775D39" w14:textId="77777777">
      <w:pPr>
        <w:spacing w:after="0"/>
        <w:ind w:left="3960"/>
        <w:rPr>
          <w:szCs w:val="24"/>
        </w:rPr>
      </w:pPr>
      <w:r w:rsidRPr="00F7404D">
        <w:rPr>
          <w:szCs w:val="24"/>
        </w:rPr>
        <w:t>Bruce Weston (0016973)</w:t>
      </w:r>
    </w:p>
    <w:p w:rsidR="00B51819" w:rsidRPr="00F7404D" w:rsidP="00CD2055" w14:paraId="6E4032F0" w14:textId="77777777">
      <w:pPr>
        <w:tabs>
          <w:tab w:val="left" w:pos="4320"/>
        </w:tabs>
        <w:spacing w:after="0"/>
        <w:ind w:left="3960"/>
        <w:rPr>
          <w:szCs w:val="24"/>
        </w:rPr>
      </w:pPr>
      <w:r w:rsidRPr="00F7404D">
        <w:rPr>
          <w:szCs w:val="24"/>
        </w:rPr>
        <w:t>Ohio Consumers’ Counsel</w:t>
      </w:r>
    </w:p>
    <w:p w:rsidR="00B51819" w:rsidRPr="00F7404D" w:rsidP="00CD2055" w14:paraId="2FEF1C39" w14:textId="77777777">
      <w:pPr>
        <w:tabs>
          <w:tab w:val="left" w:pos="4320"/>
        </w:tabs>
        <w:ind w:left="3960"/>
        <w:rPr>
          <w:szCs w:val="24"/>
        </w:rPr>
      </w:pPr>
    </w:p>
    <w:p w:rsidR="00B51819" w:rsidRPr="00F7404D" w:rsidP="00CD2055" w14:paraId="031A7414" w14:textId="2EDEA140">
      <w:pPr>
        <w:autoSpaceDE w:val="0"/>
        <w:autoSpaceDN w:val="0"/>
        <w:adjustRightInd w:val="0"/>
        <w:spacing w:after="0"/>
        <w:ind w:left="3960"/>
        <w:rPr>
          <w:i/>
          <w:szCs w:val="24"/>
        </w:rPr>
      </w:pPr>
      <w:r w:rsidRPr="00F7404D">
        <w:rPr>
          <w:i/>
          <w:szCs w:val="24"/>
          <w:u w:val="single"/>
        </w:rPr>
        <w:t xml:space="preserve">/s/ </w:t>
      </w:r>
      <w:r>
        <w:rPr>
          <w:i/>
          <w:szCs w:val="24"/>
          <w:u w:val="single"/>
        </w:rPr>
        <w:t>William J. Michael</w:t>
      </w:r>
      <w:r w:rsidRPr="00F7404D">
        <w:rPr>
          <w:i/>
          <w:szCs w:val="24"/>
          <w:u w:val="single"/>
        </w:rPr>
        <w:tab/>
      </w:r>
      <w:r w:rsidRPr="00F7404D">
        <w:rPr>
          <w:i/>
          <w:szCs w:val="24"/>
          <w:u w:val="single"/>
        </w:rPr>
        <w:tab/>
      </w:r>
    </w:p>
    <w:p w:rsidR="00B51819" w:rsidRPr="00F7404D" w:rsidP="00CD2055" w14:paraId="60920DE2" w14:textId="77777777">
      <w:pPr>
        <w:tabs>
          <w:tab w:val="left" w:pos="4320"/>
        </w:tabs>
        <w:spacing w:after="0"/>
        <w:ind w:left="3960"/>
        <w:rPr>
          <w:szCs w:val="24"/>
        </w:rPr>
      </w:pPr>
      <w:r w:rsidRPr="00F7404D">
        <w:rPr>
          <w:szCs w:val="24"/>
        </w:rPr>
        <w:t>William J. Michael (0070921)</w:t>
      </w:r>
    </w:p>
    <w:p w:rsidR="00B51819" w:rsidRPr="00F7404D" w:rsidP="00CD2055" w14:paraId="46563859" w14:textId="77777777">
      <w:pPr>
        <w:spacing w:after="0"/>
        <w:ind w:left="3960"/>
        <w:rPr>
          <w:szCs w:val="24"/>
        </w:rPr>
      </w:pPr>
      <w:r w:rsidRPr="00F7404D">
        <w:rPr>
          <w:szCs w:val="24"/>
        </w:rPr>
        <w:t>Counsel of Record (Case No. 14-375-GA-RDR, et al.)</w:t>
      </w:r>
    </w:p>
    <w:p w:rsidR="00B51819" w:rsidRPr="00F7404D" w:rsidP="00CD2055" w14:paraId="74BC7849" w14:textId="77777777">
      <w:pPr>
        <w:tabs>
          <w:tab w:val="left" w:pos="4320"/>
        </w:tabs>
        <w:spacing w:after="0"/>
        <w:ind w:left="3960"/>
        <w:rPr>
          <w:szCs w:val="24"/>
        </w:rPr>
      </w:pPr>
      <w:r w:rsidRPr="00F7404D">
        <w:rPr>
          <w:szCs w:val="24"/>
        </w:rPr>
        <w:t>Amy Botschner O’Brien (0074423)</w:t>
      </w:r>
    </w:p>
    <w:p w:rsidR="00B51819" w:rsidRPr="00F7404D" w:rsidP="00CD2055" w14:paraId="7D5F6D12" w14:textId="77777777">
      <w:pPr>
        <w:tabs>
          <w:tab w:val="left" w:pos="4320"/>
        </w:tabs>
        <w:spacing w:after="0"/>
        <w:ind w:left="3960"/>
        <w:rPr>
          <w:szCs w:val="24"/>
        </w:rPr>
      </w:pPr>
      <w:r w:rsidRPr="00F7404D">
        <w:rPr>
          <w:szCs w:val="24"/>
        </w:rPr>
        <w:t>Assistant Consumers’ Counsel</w:t>
      </w:r>
    </w:p>
    <w:p w:rsidR="00B51819" w:rsidRPr="00F7404D" w:rsidP="00CD2055" w14:paraId="50E842C0" w14:textId="77777777">
      <w:pPr>
        <w:tabs>
          <w:tab w:val="left" w:pos="4320"/>
        </w:tabs>
        <w:spacing w:after="0"/>
        <w:ind w:left="3960"/>
        <w:rPr>
          <w:szCs w:val="24"/>
        </w:rPr>
      </w:pPr>
    </w:p>
    <w:p w:rsidR="00B51819" w:rsidRPr="00F7404D" w:rsidP="00CD2055" w14:paraId="79559949" w14:textId="77777777">
      <w:pPr>
        <w:spacing w:after="0"/>
        <w:ind w:left="3960"/>
        <w:rPr>
          <w:b/>
          <w:bCs/>
          <w:szCs w:val="24"/>
        </w:rPr>
      </w:pPr>
      <w:r w:rsidRPr="00F7404D">
        <w:rPr>
          <w:b/>
          <w:bCs/>
          <w:szCs w:val="24"/>
        </w:rPr>
        <w:t>Office of the Ohio Consumers’ Counsel</w:t>
      </w:r>
    </w:p>
    <w:p w:rsidR="00B51819" w:rsidRPr="00F7404D" w:rsidP="00CD2055" w14:paraId="63E6880B" w14:textId="77777777">
      <w:pPr>
        <w:spacing w:after="0"/>
        <w:ind w:left="3960"/>
        <w:rPr>
          <w:b/>
          <w:szCs w:val="24"/>
        </w:rPr>
      </w:pPr>
      <w:r w:rsidRPr="00F7404D">
        <w:rPr>
          <w:szCs w:val="24"/>
        </w:rPr>
        <w:t>65 East State Street, Suite 700</w:t>
      </w:r>
    </w:p>
    <w:p w:rsidR="00B51819" w:rsidRPr="00F7404D" w:rsidP="00CD2055" w14:paraId="1DFDF806" w14:textId="77777777">
      <w:pPr>
        <w:spacing w:after="0"/>
        <w:ind w:left="3960"/>
        <w:rPr>
          <w:b/>
          <w:szCs w:val="24"/>
        </w:rPr>
      </w:pPr>
      <w:r w:rsidRPr="00F7404D">
        <w:rPr>
          <w:szCs w:val="24"/>
        </w:rPr>
        <w:t>Columbus, Ohio 43215-4213</w:t>
      </w:r>
    </w:p>
    <w:p w:rsidR="00CD2055" w:rsidRPr="00F7404D" w:rsidP="00CD2055" w14:paraId="19197B4D" w14:textId="77777777">
      <w:pPr>
        <w:tabs>
          <w:tab w:val="left" w:pos="4320"/>
        </w:tabs>
        <w:spacing w:after="0"/>
        <w:ind w:left="3960"/>
        <w:rPr>
          <w:szCs w:val="24"/>
        </w:rPr>
      </w:pPr>
      <w:r w:rsidRPr="00F7404D">
        <w:rPr>
          <w:szCs w:val="24"/>
        </w:rPr>
        <w:t>Telephone: (614) 466-1291 (Michael)</w:t>
      </w:r>
    </w:p>
    <w:p w:rsidR="00B51819" w:rsidRPr="00F7404D" w:rsidP="00CD2055" w14:paraId="086BEA49" w14:textId="7353A6D4">
      <w:pPr>
        <w:autoSpaceDE w:val="0"/>
        <w:autoSpaceDN w:val="0"/>
        <w:adjustRightInd w:val="0"/>
        <w:spacing w:after="0"/>
        <w:ind w:left="3960"/>
        <w:rPr>
          <w:szCs w:val="24"/>
        </w:rPr>
      </w:pPr>
      <w:r w:rsidRPr="00F7404D">
        <w:rPr>
          <w:szCs w:val="24"/>
        </w:rPr>
        <w:t xml:space="preserve">Telephone </w:t>
      </w:r>
      <w:r w:rsidR="00CD2055">
        <w:rPr>
          <w:szCs w:val="24"/>
        </w:rPr>
        <w:t>:</w:t>
      </w:r>
      <w:r w:rsidRPr="00F7404D">
        <w:rPr>
          <w:szCs w:val="24"/>
        </w:rPr>
        <w:t>(614) 466-9575</w:t>
      </w:r>
      <w:r w:rsidR="00CD2055">
        <w:rPr>
          <w:szCs w:val="24"/>
        </w:rPr>
        <w:t xml:space="preserve"> (Botschner O’Brien)</w:t>
      </w:r>
    </w:p>
    <w:p w:rsidR="00CD2055" w:rsidRPr="00F7404D" w:rsidP="00CD2055" w14:paraId="3E0E498E" w14:textId="77777777">
      <w:pPr>
        <w:spacing w:after="0"/>
        <w:ind w:left="3960"/>
        <w:rPr>
          <w:rStyle w:val="Hyperlink"/>
          <w:rFonts w:eastAsiaTheme="majorEastAsia"/>
          <w:szCs w:val="24"/>
        </w:rPr>
      </w:pPr>
      <w:hyperlink r:id="rId6" w:history="1">
        <w:r w:rsidRPr="00F7404D" w:rsidR="001C26D5">
          <w:rPr>
            <w:rStyle w:val="Hyperlink"/>
            <w:rFonts w:eastAsiaTheme="majorEastAsia"/>
            <w:szCs w:val="24"/>
          </w:rPr>
          <w:t>william.michael@occ.ohio.gov</w:t>
        </w:r>
      </w:hyperlink>
    </w:p>
    <w:p w:rsidR="00B51819" w:rsidRPr="00F7404D" w:rsidP="00CD2055" w14:paraId="525B661C" w14:textId="77777777">
      <w:pPr>
        <w:spacing w:after="0"/>
        <w:ind w:left="3960"/>
        <w:rPr>
          <w:rStyle w:val="Hyperlink"/>
          <w:szCs w:val="24"/>
        </w:rPr>
      </w:pPr>
      <w:r w:rsidRPr="00F7404D">
        <w:rPr>
          <w:rStyle w:val="Hyperlink"/>
          <w:szCs w:val="24"/>
        </w:rPr>
        <w:t>amy.botschner.obrien@occ.ohio.gov</w:t>
      </w:r>
    </w:p>
    <w:p w:rsidR="00B51819" w:rsidRPr="00F7404D" w:rsidP="00CD2055" w14:paraId="176931EA" w14:textId="77777777">
      <w:pPr>
        <w:spacing w:after="0"/>
        <w:ind w:left="3960"/>
        <w:rPr>
          <w:szCs w:val="24"/>
        </w:rPr>
      </w:pPr>
      <w:r w:rsidRPr="00F7404D">
        <w:rPr>
          <w:szCs w:val="24"/>
        </w:rPr>
        <w:t>(willing to accept service by e-mail)</w:t>
      </w:r>
    </w:p>
    <w:p w:rsidR="00CD2055" w14:paraId="3089235A" w14:textId="6EA7CE1E">
      <w:pPr>
        <w:rPr>
          <w:szCs w:val="24"/>
        </w:rPr>
      </w:pPr>
    </w:p>
    <w:p w:rsidR="00B51819" w:rsidRPr="00F7404D" w:rsidP="00CD2055" w14:paraId="181E0658" w14:textId="77777777">
      <w:pPr>
        <w:tabs>
          <w:tab w:val="left" w:pos="4320"/>
        </w:tabs>
        <w:spacing w:after="0"/>
        <w:ind w:left="4320" w:hanging="360"/>
        <w:rPr>
          <w:szCs w:val="24"/>
        </w:rPr>
      </w:pPr>
      <w:r w:rsidRPr="00F7404D">
        <w:rPr>
          <w:szCs w:val="24"/>
        </w:rPr>
        <w:t>William J. Michael (0070921)</w:t>
      </w:r>
    </w:p>
    <w:p w:rsidR="00B51819" w:rsidRPr="00F7404D" w:rsidP="00CD2055" w14:paraId="52E61EDB" w14:textId="77777777">
      <w:pPr>
        <w:spacing w:after="0"/>
        <w:ind w:left="3960"/>
        <w:rPr>
          <w:szCs w:val="24"/>
        </w:rPr>
      </w:pPr>
      <w:r w:rsidRPr="00F7404D">
        <w:rPr>
          <w:szCs w:val="24"/>
        </w:rPr>
        <w:t>Counsel of Record (Case No. 18-1830-GA-UNC)</w:t>
      </w:r>
    </w:p>
    <w:p w:rsidR="00B51819" w:rsidRPr="00F7404D" w:rsidP="00CD2055" w14:paraId="613A9CEF" w14:textId="77777777">
      <w:pPr>
        <w:tabs>
          <w:tab w:val="left" w:pos="4320"/>
        </w:tabs>
        <w:spacing w:after="0"/>
        <w:ind w:left="4320" w:hanging="360"/>
        <w:rPr>
          <w:szCs w:val="24"/>
        </w:rPr>
      </w:pPr>
      <w:r w:rsidRPr="00F7404D">
        <w:rPr>
          <w:szCs w:val="24"/>
        </w:rPr>
        <w:t>Angela D. O’Brien (0097579)</w:t>
      </w:r>
    </w:p>
    <w:p w:rsidR="00B51819" w:rsidRPr="00F7404D" w:rsidP="00CD2055" w14:paraId="20A373D0" w14:textId="77777777">
      <w:pPr>
        <w:tabs>
          <w:tab w:val="left" w:pos="4320"/>
        </w:tabs>
        <w:spacing w:after="0"/>
        <w:ind w:left="4320" w:hanging="360"/>
        <w:rPr>
          <w:szCs w:val="24"/>
        </w:rPr>
      </w:pPr>
      <w:r w:rsidRPr="00F7404D">
        <w:rPr>
          <w:szCs w:val="24"/>
        </w:rPr>
        <w:t>Ambrosia E. Wilson (0096598)</w:t>
      </w:r>
    </w:p>
    <w:p w:rsidR="00B51819" w:rsidRPr="00F7404D" w:rsidP="00CD2055" w14:paraId="399EB71F" w14:textId="77777777">
      <w:pPr>
        <w:tabs>
          <w:tab w:val="left" w:pos="4320"/>
        </w:tabs>
        <w:spacing w:after="0"/>
        <w:ind w:left="4320" w:hanging="360"/>
        <w:rPr>
          <w:szCs w:val="24"/>
        </w:rPr>
      </w:pPr>
      <w:r w:rsidRPr="00F7404D">
        <w:rPr>
          <w:szCs w:val="24"/>
        </w:rPr>
        <w:t xml:space="preserve">Assistant Consumers’ Counsel </w:t>
      </w:r>
    </w:p>
    <w:p w:rsidR="00B51819" w:rsidRPr="00F7404D" w:rsidP="00CD2055" w14:paraId="170A9AEF" w14:textId="77777777">
      <w:pPr>
        <w:spacing w:after="0"/>
        <w:ind w:left="4320" w:hanging="360"/>
        <w:rPr>
          <w:b/>
          <w:szCs w:val="24"/>
        </w:rPr>
      </w:pPr>
    </w:p>
    <w:p w:rsidR="00B51819" w:rsidRPr="00F7404D" w:rsidP="00CD2055" w14:paraId="0CE68271" w14:textId="77777777">
      <w:pPr>
        <w:spacing w:after="0"/>
        <w:ind w:left="4320" w:hanging="360"/>
        <w:rPr>
          <w:b/>
          <w:szCs w:val="24"/>
        </w:rPr>
      </w:pPr>
      <w:r w:rsidRPr="00F7404D">
        <w:rPr>
          <w:b/>
          <w:szCs w:val="24"/>
        </w:rPr>
        <w:t>Office of the Ohio Consumers’ Counsel</w:t>
      </w:r>
    </w:p>
    <w:p w:rsidR="00B51819" w:rsidRPr="00F7404D" w:rsidP="00CD2055" w14:paraId="0226E4B3" w14:textId="77777777">
      <w:pPr>
        <w:tabs>
          <w:tab w:val="left" w:pos="4320"/>
        </w:tabs>
        <w:spacing w:after="0"/>
        <w:ind w:left="4320" w:hanging="360"/>
        <w:rPr>
          <w:szCs w:val="24"/>
        </w:rPr>
      </w:pPr>
      <w:r w:rsidRPr="00F7404D">
        <w:rPr>
          <w:szCs w:val="24"/>
        </w:rPr>
        <w:t>65 East State Street, Suite 700</w:t>
      </w:r>
    </w:p>
    <w:p w:rsidR="00B51819" w:rsidRPr="00F7404D" w:rsidP="00CD2055" w14:paraId="29204A9F" w14:textId="77777777">
      <w:pPr>
        <w:tabs>
          <w:tab w:val="left" w:pos="4320"/>
        </w:tabs>
        <w:spacing w:after="0"/>
        <w:ind w:left="4320" w:hanging="360"/>
        <w:rPr>
          <w:szCs w:val="24"/>
        </w:rPr>
      </w:pPr>
      <w:r w:rsidRPr="00F7404D">
        <w:rPr>
          <w:szCs w:val="24"/>
        </w:rPr>
        <w:t>Columbus, Ohio 43215-4213</w:t>
      </w:r>
    </w:p>
    <w:p w:rsidR="00B51819" w:rsidRPr="00F7404D" w:rsidP="00CD2055" w14:paraId="56DB73F4" w14:textId="77777777">
      <w:pPr>
        <w:tabs>
          <w:tab w:val="left" w:pos="4320"/>
        </w:tabs>
        <w:spacing w:after="0"/>
        <w:ind w:left="4320" w:hanging="360"/>
        <w:rPr>
          <w:szCs w:val="24"/>
        </w:rPr>
      </w:pPr>
      <w:r w:rsidRPr="00F7404D">
        <w:rPr>
          <w:szCs w:val="24"/>
        </w:rPr>
        <w:t>Telephone: (614) 466-1291 (Michael)</w:t>
      </w:r>
    </w:p>
    <w:p w:rsidR="00B51819" w:rsidRPr="00F7404D" w:rsidP="00CD2055" w14:paraId="3BFC3F58" w14:textId="77777777">
      <w:pPr>
        <w:tabs>
          <w:tab w:val="left" w:pos="4320"/>
        </w:tabs>
        <w:spacing w:after="0"/>
        <w:ind w:left="4320" w:hanging="360"/>
        <w:rPr>
          <w:szCs w:val="24"/>
        </w:rPr>
      </w:pPr>
      <w:r w:rsidRPr="00F7404D">
        <w:rPr>
          <w:szCs w:val="24"/>
        </w:rPr>
        <w:t xml:space="preserve">Telephone: (614) 466-9531 (O’Brien) </w:t>
      </w:r>
    </w:p>
    <w:p w:rsidR="00B51819" w:rsidRPr="00F7404D" w:rsidP="00CD2055" w14:paraId="5716D56E" w14:textId="77777777">
      <w:pPr>
        <w:tabs>
          <w:tab w:val="left" w:pos="4320"/>
        </w:tabs>
        <w:spacing w:after="0"/>
        <w:ind w:left="4320" w:hanging="360"/>
        <w:rPr>
          <w:szCs w:val="24"/>
        </w:rPr>
      </w:pPr>
      <w:r w:rsidRPr="00F7404D">
        <w:rPr>
          <w:szCs w:val="24"/>
        </w:rPr>
        <w:t xml:space="preserve">Telephone: (614) 466-1292 (Wilson) </w:t>
      </w:r>
    </w:p>
    <w:p w:rsidR="00B51819" w:rsidRPr="00F7404D" w:rsidP="00CD2055" w14:paraId="2206BB39" w14:textId="77777777">
      <w:pPr>
        <w:spacing w:after="0"/>
        <w:ind w:left="4320" w:hanging="360"/>
        <w:rPr>
          <w:rStyle w:val="Hyperlink"/>
          <w:rFonts w:eastAsiaTheme="majorEastAsia"/>
          <w:szCs w:val="24"/>
        </w:rPr>
      </w:pPr>
      <w:hyperlink r:id="rId6" w:history="1">
        <w:r w:rsidRPr="00F7404D" w:rsidR="001C26D5">
          <w:rPr>
            <w:rStyle w:val="Hyperlink"/>
            <w:rFonts w:eastAsiaTheme="majorEastAsia"/>
            <w:szCs w:val="24"/>
          </w:rPr>
          <w:t>william.michael@occ.ohio.gov</w:t>
        </w:r>
      </w:hyperlink>
    </w:p>
    <w:p w:rsidR="00B51819" w:rsidRPr="00F7404D" w:rsidP="00CD2055" w14:paraId="77494083" w14:textId="77777777">
      <w:pPr>
        <w:spacing w:after="0"/>
        <w:ind w:left="4320" w:hanging="360"/>
        <w:rPr>
          <w:rStyle w:val="Hyperlink"/>
          <w:rFonts w:eastAsiaTheme="majorEastAsia"/>
          <w:szCs w:val="24"/>
        </w:rPr>
      </w:pPr>
      <w:hyperlink r:id="rId7" w:history="1">
        <w:r w:rsidRPr="00F7404D" w:rsidR="001C26D5">
          <w:rPr>
            <w:rStyle w:val="Hyperlink"/>
            <w:rFonts w:eastAsiaTheme="majorEastAsia"/>
            <w:szCs w:val="24"/>
          </w:rPr>
          <w:t>angela.obrien@occ.ohio.gov</w:t>
        </w:r>
      </w:hyperlink>
    </w:p>
    <w:p w:rsidR="00B51819" w:rsidRPr="00F7404D" w:rsidP="00CD2055" w14:paraId="503CD461" w14:textId="77777777">
      <w:pPr>
        <w:spacing w:after="0"/>
        <w:ind w:left="4320" w:hanging="360"/>
        <w:rPr>
          <w:rStyle w:val="Hyperlink"/>
          <w:rFonts w:eastAsiaTheme="majorEastAsia"/>
          <w:szCs w:val="24"/>
        </w:rPr>
      </w:pPr>
      <w:hyperlink r:id="rId8" w:history="1">
        <w:r w:rsidRPr="00F7404D" w:rsidR="001C26D5">
          <w:rPr>
            <w:rStyle w:val="Hyperlink"/>
            <w:rFonts w:eastAsiaTheme="majorEastAsia"/>
            <w:szCs w:val="24"/>
          </w:rPr>
          <w:t>ambrosia.wilson@occ.ohio.gov</w:t>
        </w:r>
      </w:hyperlink>
    </w:p>
    <w:p w:rsidR="00B51819" w:rsidRPr="00F7404D" w:rsidP="00CD2055" w14:paraId="48AC7191" w14:textId="77777777">
      <w:pPr>
        <w:spacing w:after="0"/>
        <w:ind w:firstLine="3960"/>
        <w:rPr>
          <w:szCs w:val="24"/>
        </w:rPr>
      </w:pPr>
      <w:r w:rsidRPr="00F7404D">
        <w:rPr>
          <w:szCs w:val="24"/>
        </w:rPr>
        <w:t>(willing to accept service by e-mail)</w:t>
      </w:r>
    </w:p>
    <w:p w:rsidR="00CD2055" w14:paraId="3264E8B3" w14:textId="53DBD0F3">
      <w:r>
        <w:br w:type="page"/>
      </w:r>
    </w:p>
    <w:p w:rsidR="00CD2055" w:rsidRPr="00F7404D" w:rsidP="00CD2055" w14:paraId="4EEB5D75" w14:textId="77777777">
      <w:pPr>
        <w:ind w:left="2160" w:firstLine="720"/>
        <w:rPr>
          <w:b/>
          <w:bCs/>
          <w:szCs w:val="24"/>
          <w:u w:val="single"/>
        </w:rPr>
      </w:pPr>
      <w:r w:rsidRPr="00F7404D">
        <w:rPr>
          <w:b/>
          <w:bCs/>
          <w:szCs w:val="24"/>
          <w:u w:val="single"/>
        </w:rPr>
        <w:t>CERTIFICATE OF SERVICE</w:t>
      </w:r>
    </w:p>
    <w:p w:rsidR="00CD2055" w:rsidRPr="00F7404D" w:rsidP="00CD2055" w14:paraId="366D4053" w14:textId="77777777">
      <w:pPr>
        <w:pStyle w:val="EndnoteText"/>
        <w:widowControl/>
        <w:tabs>
          <w:tab w:val="left" w:pos="-720"/>
        </w:tabs>
        <w:suppressAutoHyphens/>
        <w:rPr>
          <w:rFonts w:ascii="Times New Roman" w:hAnsi="Times New Roman"/>
          <w:spacing w:val="-3"/>
          <w:szCs w:val="24"/>
        </w:rPr>
      </w:pPr>
    </w:p>
    <w:p w:rsidR="00CD2055" w:rsidRPr="00F7404D" w:rsidP="00CD2055" w14:paraId="18497C6F" w14:textId="59FE638F">
      <w:pPr>
        <w:tabs>
          <w:tab w:val="left" w:pos="-720"/>
        </w:tabs>
        <w:suppressAutoHyphens/>
        <w:spacing w:line="480" w:lineRule="auto"/>
        <w:ind w:firstLine="720"/>
        <w:rPr>
          <w:szCs w:val="24"/>
        </w:rPr>
      </w:pPr>
      <w:r w:rsidRPr="00F7404D">
        <w:rPr>
          <w:szCs w:val="24"/>
        </w:rPr>
        <w:t xml:space="preserve">It is hereby certified that a true copy of the foregoing </w:t>
      </w:r>
      <w:r>
        <w:rPr>
          <w:szCs w:val="24"/>
        </w:rPr>
        <w:t>Memorandum Contra</w:t>
      </w:r>
      <w:r w:rsidRPr="00F7404D">
        <w:rPr>
          <w:szCs w:val="24"/>
        </w:rPr>
        <w:t xml:space="preserve"> was served by electronic transmission upon the parties below this </w:t>
      </w:r>
      <w:r>
        <w:rPr>
          <w:szCs w:val="24"/>
        </w:rPr>
        <w:t>22nd</w:t>
      </w:r>
      <w:r w:rsidRPr="00F7404D">
        <w:rPr>
          <w:szCs w:val="24"/>
        </w:rPr>
        <w:t xml:space="preserve"> day of </w:t>
      </w:r>
      <w:r>
        <w:rPr>
          <w:szCs w:val="24"/>
        </w:rPr>
        <w:t>February</w:t>
      </w:r>
      <w:r w:rsidRPr="00F7404D">
        <w:rPr>
          <w:szCs w:val="24"/>
        </w:rPr>
        <w:t xml:space="preserve"> 202</w:t>
      </w:r>
      <w:r>
        <w:rPr>
          <w:szCs w:val="24"/>
        </w:rPr>
        <w:t>2</w:t>
      </w:r>
      <w:r w:rsidRPr="00F7404D">
        <w:rPr>
          <w:szCs w:val="24"/>
        </w:rPr>
        <w:t>.</w:t>
      </w:r>
    </w:p>
    <w:p w:rsidR="00CD2055" w:rsidRPr="00F7404D" w:rsidP="00CD2055" w14:paraId="56375E5A" w14:textId="77777777">
      <w:pPr>
        <w:pStyle w:val="EndnoteText"/>
        <w:widowControl/>
        <w:rPr>
          <w:rFonts w:ascii="Times New Roman" w:hAnsi="Times New Roman"/>
          <w:snapToGrid/>
          <w:szCs w:val="24"/>
        </w:rPr>
      </w:pPr>
    </w:p>
    <w:p w:rsidR="00CD2055" w:rsidRPr="00F7404D" w:rsidP="00CD2055" w14:paraId="252B8D18" w14:textId="594712E1">
      <w:pPr>
        <w:pStyle w:val="EndnoteText"/>
        <w:widowControl/>
        <w:rPr>
          <w:rFonts w:ascii="Times New Roman" w:hAnsi="Times New Roman"/>
          <w:snapToGrid/>
          <w:szCs w:val="24"/>
        </w:rPr>
      </w:pP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i/>
          <w:snapToGrid/>
          <w:szCs w:val="24"/>
          <w:u w:val="single"/>
        </w:rPr>
        <w:t xml:space="preserve">/s/ </w:t>
      </w:r>
      <w:r>
        <w:rPr>
          <w:rFonts w:ascii="Times New Roman" w:hAnsi="Times New Roman"/>
          <w:i/>
          <w:snapToGrid/>
          <w:szCs w:val="24"/>
          <w:u w:val="single"/>
        </w:rPr>
        <w:t>William J. Michael</w:t>
      </w:r>
      <w:r>
        <w:rPr>
          <w:rFonts w:ascii="Times New Roman" w:hAnsi="Times New Roman"/>
          <w:i/>
          <w:snapToGrid/>
          <w:szCs w:val="24"/>
          <w:u w:val="single"/>
        </w:rPr>
        <w:tab/>
      </w:r>
      <w:r w:rsidRPr="00F7404D">
        <w:rPr>
          <w:rFonts w:ascii="Times New Roman" w:hAnsi="Times New Roman"/>
          <w:i/>
          <w:snapToGrid/>
          <w:szCs w:val="24"/>
          <w:u w:val="single"/>
        </w:rPr>
        <w:tab/>
      </w:r>
    </w:p>
    <w:p w:rsidR="00CD2055" w:rsidRPr="00F7404D" w:rsidP="00CD2055" w14:paraId="12D0A8DD" w14:textId="3EF3517E">
      <w:pPr>
        <w:pStyle w:val="EndnoteText"/>
        <w:widowControl/>
        <w:rPr>
          <w:rFonts w:ascii="Times New Roman" w:hAnsi="Times New Roman"/>
          <w:snapToGrid/>
          <w:szCs w:val="24"/>
        </w:rPr>
      </w:pP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Pr>
          <w:rFonts w:ascii="Times New Roman" w:hAnsi="Times New Roman"/>
          <w:snapToGrid/>
          <w:szCs w:val="24"/>
        </w:rPr>
        <w:t>William J. Michael</w:t>
      </w:r>
    </w:p>
    <w:p w:rsidR="00CD2055" w:rsidRPr="00F7404D" w:rsidP="00CD2055" w14:paraId="69EAE346" w14:textId="77777777">
      <w:pPr>
        <w:pStyle w:val="EndnoteText"/>
        <w:widowControl/>
        <w:rPr>
          <w:rFonts w:ascii="Times New Roman" w:hAnsi="Times New Roman"/>
          <w:snapToGrid/>
          <w:szCs w:val="24"/>
        </w:rPr>
      </w:pP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t>Assistant Consumers’ Counsel</w:t>
      </w:r>
    </w:p>
    <w:p w:rsidR="00CD2055" w:rsidRPr="00F7404D" w:rsidP="00CD2055" w14:paraId="731DEF16" w14:textId="77777777">
      <w:pPr>
        <w:pStyle w:val="EndnoteText"/>
        <w:widowControl/>
        <w:rPr>
          <w:rFonts w:ascii="Times New Roman" w:hAnsi="Times New Roman"/>
          <w:snapToGrid/>
          <w:szCs w:val="24"/>
        </w:rPr>
      </w:pPr>
    </w:p>
    <w:p w:rsidR="00CD2055" w:rsidRPr="00F7404D" w:rsidP="00CD2055" w14:paraId="5E6A0618" w14:textId="77777777">
      <w:pPr>
        <w:pStyle w:val="EndnoteText"/>
        <w:widowControl/>
        <w:jc w:val="center"/>
        <w:rPr>
          <w:rFonts w:ascii="Times New Roman" w:hAnsi="Times New Roman"/>
          <w:b/>
          <w:bCs/>
          <w:snapToGrid/>
          <w:szCs w:val="24"/>
        </w:rPr>
      </w:pPr>
    </w:p>
    <w:p w:rsidR="00CD2055" w:rsidRPr="00F7404D" w:rsidP="00CD2055" w14:paraId="24789E29" w14:textId="77777777">
      <w:pPr>
        <w:pStyle w:val="CommentText"/>
        <w:rPr>
          <w:sz w:val="24"/>
          <w:szCs w:val="24"/>
        </w:rPr>
      </w:pPr>
      <w:bookmarkStart w:id="0" w:name="_Hlk22544303"/>
      <w:r w:rsidRPr="00F7404D">
        <w:rPr>
          <w:sz w:val="24"/>
          <w:szCs w:val="24"/>
        </w:rPr>
        <w:t>The PUCO’s e-filing system will electronically serve notice of the filing of this document on the following parties:</w:t>
      </w:r>
    </w:p>
    <w:p w:rsidR="00CD2055" w:rsidRPr="00F7404D" w:rsidP="00CD2055" w14:paraId="425863C2" w14:textId="77777777">
      <w:pPr>
        <w:pStyle w:val="EndnoteText"/>
        <w:widowControl/>
        <w:rPr>
          <w:rFonts w:ascii="Times New Roman" w:hAnsi="Times New Roman"/>
          <w:snapToGrid/>
          <w:szCs w:val="24"/>
        </w:rPr>
      </w:pPr>
    </w:p>
    <w:p w:rsidR="00CD2055" w:rsidRPr="00F7404D" w:rsidP="00CD2055" w14:paraId="53F7F3A6" w14:textId="77777777">
      <w:pPr>
        <w:pStyle w:val="CommentText"/>
        <w:jc w:val="center"/>
        <w:rPr>
          <w:b/>
          <w:bCs/>
          <w:sz w:val="24"/>
          <w:szCs w:val="24"/>
          <w:u w:val="single"/>
        </w:rPr>
      </w:pPr>
      <w:r w:rsidRPr="00F7404D">
        <w:rPr>
          <w:b/>
          <w:bCs/>
          <w:sz w:val="24"/>
          <w:szCs w:val="24"/>
          <w:u w:val="single"/>
        </w:rPr>
        <w:t>SERVICE LIST</w:t>
      </w:r>
    </w:p>
    <w:p w:rsidR="00CD2055" w:rsidRPr="00F7404D" w:rsidP="00CD2055" w14:paraId="6A4B0FE7" w14:textId="77777777">
      <w:pPr>
        <w:pStyle w:val="CommentText"/>
        <w:jc w:val="center"/>
        <w:rPr>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9"/>
        <w:gridCol w:w="4111"/>
      </w:tblGrid>
      <w:tr w14:paraId="5251268D" w14:textId="77777777" w:rsidTr="0082584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29" w:type="dxa"/>
          </w:tcPr>
          <w:p w:rsidR="00CD2055" w:rsidRPr="00F7404D" w:rsidP="0082584B" w14:paraId="5CAE00A2" w14:textId="77777777">
            <w:pPr>
              <w:rPr>
                <w:rStyle w:val="Hyperlink"/>
                <w:szCs w:val="24"/>
              </w:rPr>
            </w:pPr>
            <w:hyperlink r:id="rId9" w:history="1">
              <w:r w:rsidRPr="00F7404D" w:rsidR="001C26D5">
                <w:rPr>
                  <w:rStyle w:val="Hyperlink"/>
                  <w:szCs w:val="24"/>
                </w:rPr>
                <w:t>werner.margard@ohioAGO.gov</w:t>
              </w:r>
            </w:hyperlink>
          </w:p>
          <w:p w:rsidR="00CD2055" w:rsidRPr="00F7404D" w:rsidP="0082584B" w14:paraId="1A5B4063" w14:textId="77777777">
            <w:pPr>
              <w:rPr>
                <w:szCs w:val="24"/>
              </w:rPr>
            </w:pPr>
            <w:hyperlink r:id="rId10" w:history="1">
              <w:r w:rsidRPr="00F7404D" w:rsidR="001C26D5">
                <w:rPr>
                  <w:rStyle w:val="Hyperlink"/>
                  <w:szCs w:val="24"/>
                </w:rPr>
                <w:t>Robert.eubanks@ohioAGO.gov</w:t>
              </w:r>
            </w:hyperlink>
          </w:p>
          <w:p w:rsidR="00CD2055" w:rsidRPr="00F7404D" w:rsidP="0082584B" w14:paraId="39C1E145" w14:textId="77777777">
            <w:pPr>
              <w:rPr>
                <w:szCs w:val="24"/>
              </w:rPr>
            </w:pPr>
            <w:hyperlink r:id="rId11" w:history="1">
              <w:r w:rsidRPr="00F7404D" w:rsidR="001C26D5">
                <w:rPr>
                  <w:rStyle w:val="Hyperlink"/>
                  <w:szCs w:val="24"/>
                </w:rPr>
                <w:t>Jodi.bair@ohioAGO.gov</w:t>
              </w:r>
            </w:hyperlink>
          </w:p>
          <w:p w:rsidR="00CD2055" w:rsidRPr="00F7404D" w:rsidP="0082584B" w14:paraId="5DEBDC98" w14:textId="77777777">
            <w:pPr>
              <w:rPr>
                <w:szCs w:val="24"/>
              </w:rPr>
            </w:pPr>
            <w:hyperlink r:id="rId12" w:history="1">
              <w:r w:rsidRPr="00F7404D" w:rsidR="001C26D5">
                <w:rPr>
                  <w:rStyle w:val="Hyperlink"/>
                  <w:szCs w:val="24"/>
                </w:rPr>
                <w:t>Kyle.kern@ohioAGO.gov</w:t>
              </w:r>
            </w:hyperlink>
          </w:p>
          <w:p w:rsidR="00CD2055" w:rsidRPr="00F7404D" w:rsidP="0082584B" w14:paraId="3C7AACD4" w14:textId="77777777">
            <w:pPr>
              <w:rPr>
                <w:rStyle w:val="Hyperlink"/>
                <w:szCs w:val="24"/>
              </w:rPr>
            </w:pPr>
            <w:hyperlink r:id="rId13" w:history="1">
              <w:r w:rsidRPr="00F7404D" w:rsidR="001C26D5">
                <w:rPr>
                  <w:rStyle w:val="Hyperlink"/>
                  <w:szCs w:val="24"/>
                </w:rPr>
                <w:t>John.jones@ohioAGO.gov</w:t>
              </w:r>
            </w:hyperlink>
          </w:p>
          <w:p w:rsidR="00CD2055" w:rsidRPr="00F7404D" w:rsidP="0082584B" w14:paraId="49451349" w14:textId="77777777">
            <w:pPr>
              <w:rPr>
                <w:rStyle w:val="Hyperlink"/>
                <w:szCs w:val="24"/>
              </w:rPr>
            </w:pPr>
            <w:r w:rsidRPr="00F7404D">
              <w:rPr>
                <w:rStyle w:val="Hyperlink"/>
                <w:szCs w:val="24"/>
              </w:rPr>
              <w:t>rdove@keglerbrown.com</w:t>
            </w:r>
          </w:p>
          <w:p w:rsidR="00CD2055" w:rsidRPr="00F7404D" w:rsidP="0082584B" w14:paraId="7A01C24A" w14:textId="77777777">
            <w:pPr>
              <w:rPr>
                <w:szCs w:val="24"/>
              </w:rPr>
            </w:pPr>
            <w:hyperlink r:id="rId14" w:history="1">
              <w:r w:rsidRPr="00F7404D" w:rsidR="001C26D5">
                <w:rPr>
                  <w:rStyle w:val="Hyperlink"/>
                  <w:szCs w:val="24"/>
                </w:rPr>
                <w:t>dboehm@BKLlawfirm.com</w:t>
              </w:r>
            </w:hyperlink>
          </w:p>
          <w:p w:rsidR="00CD2055" w:rsidRPr="00F7404D" w:rsidP="0082584B" w14:paraId="30878ADE" w14:textId="77777777">
            <w:pPr>
              <w:rPr>
                <w:szCs w:val="24"/>
              </w:rPr>
            </w:pPr>
            <w:hyperlink r:id="rId15" w:history="1">
              <w:r w:rsidRPr="00F7404D" w:rsidR="001C26D5">
                <w:rPr>
                  <w:rStyle w:val="Hyperlink"/>
                  <w:szCs w:val="24"/>
                </w:rPr>
                <w:t>mkurtz@BKLlawfirm.com</w:t>
              </w:r>
            </w:hyperlink>
          </w:p>
          <w:p w:rsidR="00CD2055" w:rsidRPr="00F7404D" w:rsidP="0082584B" w14:paraId="5AE73566" w14:textId="77777777">
            <w:pPr>
              <w:rPr>
                <w:szCs w:val="24"/>
              </w:rPr>
            </w:pPr>
            <w:hyperlink r:id="rId16" w:history="1">
              <w:r w:rsidRPr="00F7404D" w:rsidR="001C26D5">
                <w:rPr>
                  <w:rStyle w:val="Hyperlink"/>
                  <w:szCs w:val="24"/>
                </w:rPr>
                <w:t>jkylercohn@BKLlawfirm.com</w:t>
              </w:r>
            </w:hyperlink>
          </w:p>
          <w:p w:rsidR="00CD2055" w:rsidRPr="00F7404D" w:rsidP="0082584B" w14:paraId="72F86038" w14:textId="77777777">
            <w:pPr>
              <w:rPr>
                <w:szCs w:val="24"/>
              </w:rPr>
            </w:pPr>
          </w:p>
          <w:p w:rsidR="00CD2055" w:rsidRPr="00F7404D" w:rsidP="0082584B" w14:paraId="3D904033" w14:textId="77777777">
            <w:pPr>
              <w:rPr>
                <w:szCs w:val="24"/>
              </w:rPr>
            </w:pPr>
            <w:r w:rsidRPr="00F7404D">
              <w:rPr>
                <w:szCs w:val="24"/>
              </w:rPr>
              <w:t>Attorney Examiner:</w:t>
            </w:r>
          </w:p>
          <w:p w:rsidR="00CD2055" w:rsidRPr="00F7404D" w:rsidP="0082584B" w14:paraId="61FBC81B" w14:textId="77777777">
            <w:pPr>
              <w:rPr>
                <w:szCs w:val="24"/>
              </w:rPr>
            </w:pPr>
          </w:p>
          <w:p w:rsidR="00CD2055" w:rsidRPr="00F7404D" w:rsidP="0082584B" w14:paraId="13389D03" w14:textId="77777777">
            <w:pPr>
              <w:rPr>
                <w:szCs w:val="24"/>
              </w:rPr>
            </w:pPr>
            <w:hyperlink r:id="rId17" w:history="1">
              <w:r w:rsidRPr="00F7404D" w:rsidR="001C26D5">
                <w:rPr>
                  <w:rStyle w:val="Hyperlink"/>
                  <w:szCs w:val="24"/>
                </w:rPr>
                <w:t>Megan.addison@puco.ohio.gov</w:t>
              </w:r>
            </w:hyperlink>
          </w:p>
          <w:p w:rsidR="00CD2055" w:rsidRPr="00F7404D" w:rsidP="0082584B" w14:paraId="7DEC3076" w14:textId="77777777">
            <w:pPr>
              <w:rPr>
                <w:szCs w:val="24"/>
              </w:rPr>
            </w:pPr>
            <w:hyperlink r:id="rId18" w:history="1">
              <w:r w:rsidRPr="00F7404D" w:rsidR="001C26D5">
                <w:rPr>
                  <w:rStyle w:val="Hyperlink"/>
                  <w:szCs w:val="24"/>
                </w:rPr>
                <w:t>Matthew.sandor@puco.ohio.gov</w:t>
              </w:r>
            </w:hyperlink>
          </w:p>
          <w:p w:rsidR="00CD2055" w:rsidRPr="00F7404D" w:rsidP="0082584B" w14:paraId="690C1DCB" w14:textId="77777777">
            <w:pPr>
              <w:rPr>
                <w:rStyle w:val="Hyperlink"/>
                <w:szCs w:val="24"/>
              </w:rPr>
            </w:pPr>
            <w:hyperlink r:id="rId19" w:history="1">
              <w:r w:rsidRPr="00F7404D" w:rsidR="001C26D5">
                <w:rPr>
                  <w:rStyle w:val="Hyperlink"/>
                  <w:szCs w:val="24"/>
                </w:rPr>
                <w:t>Nicholas.walstra@puco.ohio.gov</w:t>
              </w:r>
            </w:hyperlink>
          </w:p>
          <w:p w:rsidR="00CD2055" w:rsidRPr="00F7404D" w:rsidP="0082584B" w14:paraId="10DFE990" w14:textId="77777777">
            <w:pPr>
              <w:pStyle w:val="CommentText"/>
              <w:jc w:val="both"/>
              <w:rPr>
                <w:rStyle w:val="Hyperlink"/>
                <w:rFonts w:eastAsiaTheme="majorEastAsia"/>
                <w:sz w:val="24"/>
                <w:szCs w:val="24"/>
              </w:rPr>
            </w:pPr>
            <w:r w:rsidRPr="00F7404D">
              <w:rPr>
                <w:rStyle w:val="Hyperlink"/>
                <w:rFonts w:eastAsiaTheme="majorEastAsia"/>
                <w:sz w:val="24"/>
                <w:szCs w:val="24"/>
              </w:rPr>
              <w:t>Lauren.augostini@puco.ohio.gov</w:t>
            </w:r>
          </w:p>
          <w:p w:rsidR="00CD2055" w:rsidRPr="00F7404D" w:rsidP="0082584B" w14:paraId="790FF39B" w14:textId="77777777">
            <w:pPr>
              <w:rPr>
                <w:szCs w:val="24"/>
              </w:rPr>
            </w:pPr>
          </w:p>
          <w:p w:rsidR="00CD2055" w:rsidRPr="00F7404D" w:rsidP="0082584B" w14:paraId="74016748" w14:textId="77777777">
            <w:pPr>
              <w:rPr>
                <w:szCs w:val="24"/>
              </w:rPr>
            </w:pPr>
          </w:p>
          <w:p w:rsidR="00CD2055" w:rsidRPr="00F7404D" w:rsidP="0082584B" w14:paraId="74E43D99" w14:textId="77777777">
            <w:pPr>
              <w:rPr>
                <w:szCs w:val="24"/>
              </w:rPr>
            </w:pPr>
          </w:p>
        </w:tc>
        <w:tc>
          <w:tcPr>
            <w:tcW w:w="4111" w:type="dxa"/>
          </w:tcPr>
          <w:p w:rsidR="00CD2055" w:rsidRPr="00F7404D" w:rsidP="0082584B" w14:paraId="731C0DF1" w14:textId="77777777">
            <w:pPr>
              <w:ind w:left="400"/>
              <w:rPr>
                <w:rStyle w:val="Hyperlink"/>
                <w:szCs w:val="24"/>
              </w:rPr>
            </w:pPr>
            <w:hyperlink r:id="rId20" w:history="1">
              <w:r w:rsidRPr="00F7404D" w:rsidR="001C26D5">
                <w:rPr>
                  <w:rStyle w:val="Hyperlink"/>
                  <w:szCs w:val="24"/>
                </w:rPr>
                <w:t>Rocco.dascenzo@duke-energy.com</w:t>
              </w:r>
            </w:hyperlink>
          </w:p>
          <w:p w:rsidR="00CD2055" w:rsidRPr="00F7404D" w:rsidP="0082584B" w14:paraId="164FBE08" w14:textId="77777777">
            <w:pPr>
              <w:ind w:left="400"/>
              <w:rPr>
                <w:rStyle w:val="Hyperlink"/>
                <w:szCs w:val="24"/>
              </w:rPr>
            </w:pPr>
            <w:hyperlink r:id="rId21" w:history="1">
              <w:r w:rsidRPr="00F7404D" w:rsidR="001C26D5">
                <w:rPr>
                  <w:rStyle w:val="Hyperlink"/>
                  <w:szCs w:val="24"/>
                </w:rPr>
                <w:t>Jeanne.kingery@duke-energy.com</w:t>
              </w:r>
            </w:hyperlink>
          </w:p>
          <w:p w:rsidR="00CD2055" w:rsidRPr="00F7404D" w:rsidP="0082584B" w14:paraId="0C39E68B" w14:textId="77777777">
            <w:pPr>
              <w:ind w:left="400"/>
              <w:rPr>
                <w:rStyle w:val="Hyperlink"/>
                <w:szCs w:val="24"/>
              </w:rPr>
            </w:pPr>
            <w:hyperlink r:id="rId22" w:history="1">
              <w:r w:rsidRPr="00F7404D" w:rsidR="001C26D5">
                <w:rPr>
                  <w:rStyle w:val="Hyperlink"/>
                  <w:szCs w:val="24"/>
                </w:rPr>
                <w:t>Larisa.vaysman@duke-energy.com</w:t>
              </w:r>
            </w:hyperlink>
          </w:p>
          <w:p w:rsidR="00CD2055" w:rsidRPr="00F7404D" w:rsidP="0082584B" w14:paraId="244E075D" w14:textId="77777777">
            <w:pPr>
              <w:ind w:left="400"/>
              <w:rPr>
                <w:rStyle w:val="Hyperlink"/>
                <w:szCs w:val="24"/>
              </w:rPr>
            </w:pPr>
            <w:hyperlink r:id="rId23" w:history="1">
              <w:r w:rsidRPr="00F7404D" w:rsidR="001C26D5">
                <w:rPr>
                  <w:rStyle w:val="Hyperlink"/>
                  <w:szCs w:val="24"/>
                </w:rPr>
                <w:t>kmcmurray@fbtlaw.com</w:t>
              </w:r>
            </w:hyperlink>
          </w:p>
          <w:p w:rsidR="00CD2055" w:rsidRPr="00F7404D" w:rsidP="0082584B" w14:paraId="607D3C59" w14:textId="77777777">
            <w:pPr>
              <w:ind w:left="400"/>
              <w:rPr>
                <w:rStyle w:val="Hyperlink"/>
                <w:szCs w:val="24"/>
              </w:rPr>
            </w:pPr>
            <w:hyperlink r:id="rId24" w:history="1">
              <w:r w:rsidRPr="00F7404D" w:rsidR="001C26D5">
                <w:rPr>
                  <w:rStyle w:val="Hyperlink"/>
                  <w:szCs w:val="24"/>
                </w:rPr>
                <w:t>Paul@carpenterlipps.com</w:t>
              </w:r>
            </w:hyperlink>
          </w:p>
          <w:p w:rsidR="00CD2055" w:rsidRPr="00F7404D" w:rsidP="0082584B" w14:paraId="3F80F9B3" w14:textId="77777777">
            <w:pPr>
              <w:ind w:left="400"/>
              <w:rPr>
                <w:rStyle w:val="Hyperlink"/>
                <w:szCs w:val="24"/>
              </w:rPr>
            </w:pPr>
            <w:hyperlink r:id="rId25" w:history="1">
              <w:r w:rsidRPr="00F7404D" w:rsidR="001C26D5">
                <w:rPr>
                  <w:rStyle w:val="Hyperlink"/>
                  <w:szCs w:val="24"/>
                </w:rPr>
                <w:t>bojko@carpenterlipps.com</w:t>
              </w:r>
            </w:hyperlink>
          </w:p>
          <w:p w:rsidR="00CD2055" w:rsidRPr="00F7404D" w:rsidP="0082584B" w14:paraId="51F819EC" w14:textId="77777777">
            <w:pPr>
              <w:ind w:left="400"/>
              <w:rPr>
                <w:rStyle w:val="Hyperlink"/>
                <w:szCs w:val="24"/>
              </w:rPr>
            </w:pPr>
            <w:hyperlink r:id="rId26" w:history="1">
              <w:r w:rsidRPr="00F7404D" w:rsidR="001C26D5">
                <w:rPr>
                  <w:rStyle w:val="Hyperlink"/>
                  <w:szCs w:val="24"/>
                </w:rPr>
                <w:t>michael.nugent@igs.com</w:t>
              </w:r>
            </w:hyperlink>
          </w:p>
          <w:p w:rsidR="00CD2055" w:rsidRPr="00F7404D" w:rsidP="0082584B" w14:paraId="36076108" w14:textId="77777777">
            <w:pPr>
              <w:ind w:left="400"/>
              <w:rPr>
                <w:rStyle w:val="Hyperlink"/>
                <w:szCs w:val="24"/>
              </w:rPr>
            </w:pPr>
            <w:hyperlink r:id="rId27" w:history="1">
              <w:r w:rsidRPr="00F7404D" w:rsidR="001C26D5">
                <w:rPr>
                  <w:rStyle w:val="Hyperlink"/>
                  <w:szCs w:val="24"/>
                </w:rPr>
                <w:t>bethany.allen@igs.com</w:t>
              </w:r>
            </w:hyperlink>
          </w:p>
          <w:p w:rsidR="00CD2055" w:rsidRPr="00F7404D" w:rsidP="0082584B" w14:paraId="542231C4" w14:textId="77777777">
            <w:pPr>
              <w:ind w:left="400"/>
              <w:rPr>
                <w:rStyle w:val="Hyperlink"/>
                <w:szCs w:val="24"/>
              </w:rPr>
            </w:pPr>
            <w:hyperlink r:id="rId28" w:history="1">
              <w:r w:rsidRPr="00F7404D" w:rsidR="001C26D5">
                <w:rPr>
                  <w:rStyle w:val="Hyperlink"/>
                  <w:szCs w:val="24"/>
                </w:rPr>
                <w:t>evan.betterton@igs.com</w:t>
              </w:r>
            </w:hyperlink>
          </w:p>
          <w:p w:rsidR="00CD2055" w:rsidRPr="00F7404D" w:rsidP="0082584B" w14:paraId="3EDC1F71" w14:textId="77777777">
            <w:pPr>
              <w:ind w:left="400"/>
              <w:rPr>
                <w:rStyle w:val="Hyperlink"/>
                <w:szCs w:val="24"/>
              </w:rPr>
            </w:pPr>
          </w:p>
          <w:p w:rsidR="00CD2055" w:rsidRPr="00F7404D" w:rsidP="0082584B" w14:paraId="1DAF19D4" w14:textId="77777777">
            <w:pPr>
              <w:rPr>
                <w:rStyle w:val="Hyperlink"/>
                <w:szCs w:val="24"/>
              </w:rPr>
            </w:pPr>
          </w:p>
          <w:p w:rsidR="00CD2055" w:rsidRPr="00F7404D" w:rsidP="0082584B" w14:paraId="617EA372" w14:textId="77777777">
            <w:pPr>
              <w:rPr>
                <w:rStyle w:val="Hyperlink"/>
                <w:szCs w:val="24"/>
              </w:rPr>
            </w:pPr>
          </w:p>
        </w:tc>
      </w:tr>
      <w:tr w14:paraId="786A03AD" w14:textId="77777777" w:rsidTr="0082584B">
        <w:tblPrEx>
          <w:tblW w:w="0" w:type="auto"/>
          <w:tblLook w:val="04A0"/>
        </w:tblPrEx>
        <w:tc>
          <w:tcPr>
            <w:tcW w:w="4529" w:type="dxa"/>
          </w:tcPr>
          <w:p w:rsidR="00CD2055" w:rsidRPr="00F7404D" w:rsidP="0082584B" w14:paraId="0E40DCC5" w14:textId="77777777">
            <w:pPr>
              <w:rPr>
                <w:szCs w:val="24"/>
              </w:rPr>
            </w:pPr>
          </w:p>
        </w:tc>
        <w:tc>
          <w:tcPr>
            <w:tcW w:w="4111" w:type="dxa"/>
          </w:tcPr>
          <w:p w:rsidR="00CD2055" w:rsidRPr="00F7404D" w:rsidP="0082584B" w14:paraId="69623A78" w14:textId="77777777">
            <w:pPr>
              <w:ind w:left="400"/>
              <w:rPr>
                <w:szCs w:val="24"/>
              </w:rPr>
            </w:pPr>
          </w:p>
        </w:tc>
      </w:tr>
      <w:bookmarkEnd w:id="0"/>
    </w:tbl>
    <w:p w:rsidR="00B51819" w:rsidP="00C32205" w14:paraId="32EBE50D" w14:textId="77777777">
      <w:pPr>
        <w:spacing w:line="480" w:lineRule="auto"/>
        <w:ind w:firstLine="720"/>
      </w:pPr>
    </w:p>
    <w:sectPr w:rsidSect="00CD2055">
      <w:footerReference w:type="default" r:id="rId29"/>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91497011"/>
      <w:docPartObj>
        <w:docPartGallery w:val="Page Numbers (Bottom of Page)"/>
        <w:docPartUnique/>
      </w:docPartObj>
    </w:sdtPr>
    <w:sdtEndPr>
      <w:rPr>
        <w:noProof/>
      </w:rPr>
    </w:sdtEndPr>
    <w:sdtContent>
      <w:p w:rsidR="00B51819" w14:paraId="11EE8F51" w14:textId="0B2A6E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16AF" w:rsidP="00C90489" w14:paraId="75A74E07" w14:textId="77777777">
      <w:pPr>
        <w:spacing w:after="0" w:line="240" w:lineRule="auto"/>
      </w:pPr>
      <w:r>
        <w:separator/>
      </w:r>
    </w:p>
  </w:footnote>
  <w:footnote w:type="continuationSeparator" w:id="1">
    <w:p w:rsidR="001216AF" w:rsidP="00C90489" w14:paraId="1A1E00A9" w14:textId="77777777">
      <w:pPr>
        <w:spacing w:after="0" w:line="240" w:lineRule="auto"/>
      </w:pPr>
      <w:r>
        <w:continuationSeparator/>
      </w:r>
    </w:p>
  </w:footnote>
  <w:footnote w:id="2">
    <w:p w:rsidR="006C2DB7" w:rsidP="00CD2055" w14:paraId="2E44D3B9" w14:textId="02C0F970">
      <w:pPr>
        <w:pStyle w:val="FootnoteText"/>
        <w:spacing w:after="120"/>
      </w:pPr>
      <w:r>
        <w:rPr>
          <w:rStyle w:val="FootnoteReference"/>
        </w:rPr>
        <w:footnoteRef/>
      </w:r>
      <w:r>
        <w:t xml:space="preserve"> Under O.A.C. 4901-1-34.</w:t>
      </w:r>
    </w:p>
  </w:footnote>
  <w:footnote w:id="3">
    <w:p w:rsidR="00C214B5" w:rsidP="00CD2055" w14:paraId="32A153D8" w14:textId="78A1FBBB">
      <w:pPr>
        <w:pStyle w:val="FootnoteText"/>
        <w:spacing w:after="120"/>
      </w:pPr>
      <w:r>
        <w:rPr>
          <w:rStyle w:val="FootnoteReference"/>
        </w:rPr>
        <w:footnoteRef/>
      </w:r>
      <w:r>
        <w:t xml:space="preserve"> </w:t>
      </w:r>
      <w:r w:rsidR="002D5A8E">
        <w:t xml:space="preserve">Motion at 1-2. </w:t>
      </w:r>
    </w:p>
  </w:footnote>
  <w:footnote w:id="4">
    <w:p w:rsidR="006C2DB7" w:rsidRPr="008B6CAA" w:rsidP="00CD2055" w14:paraId="7608BC4C" w14:textId="77777777">
      <w:pPr>
        <w:pStyle w:val="FootnoteText"/>
        <w:spacing w:after="120"/>
        <w:rPr>
          <w:i/>
          <w:iCs/>
        </w:rPr>
      </w:pPr>
      <w:r>
        <w:rPr>
          <w:rStyle w:val="FootnoteReference"/>
        </w:rPr>
        <w:footnoteRef/>
      </w:r>
      <w:r>
        <w:t xml:space="preserve"> </w:t>
      </w:r>
      <w:r>
        <w:rPr>
          <w:i/>
          <w:iCs/>
        </w:rPr>
        <w:t>Id.</w:t>
      </w:r>
    </w:p>
  </w:footnote>
  <w:footnote w:id="5">
    <w:p w:rsidR="00006BFC" w:rsidP="00CD2055" w14:paraId="73E0880A" w14:textId="27C0882A">
      <w:pPr>
        <w:pStyle w:val="FootnoteText"/>
        <w:spacing w:after="120"/>
      </w:pPr>
      <w:r>
        <w:rPr>
          <w:rStyle w:val="FootnoteReference"/>
        </w:rPr>
        <w:footnoteRef/>
      </w:r>
      <w:r>
        <w:t xml:space="preserve"> O.A.C. 4901-1-34 (B).</w:t>
      </w:r>
    </w:p>
  </w:footnote>
  <w:footnote w:id="6">
    <w:p w:rsidR="00006BFC" w:rsidRPr="00006BFC" w:rsidP="00CD2055" w14:paraId="165BA034" w14:textId="54761EA9">
      <w:pPr>
        <w:pStyle w:val="FootnoteText"/>
        <w:spacing w:after="120"/>
        <w:rPr>
          <w:i/>
          <w:iCs/>
        </w:rPr>
      </w:pPr>
      <w:r>
        <w:rPr>
          <w:rStyle w:val="FootnoteReference"/>
        </w:rPr>
        <w:footnoteRef/>
      </w:r>
      <w:r>
        <w:t xml:space="preserve"> </w:t>
      </w:r>
      <w:r>
        <w:rPr>
          <w:i/>
          <w:iCs/>
        </w:rPr>
        <w:t>Id.</w:t>
      </w:r>
    </w:p>
  </w:footnote>
  <w:footnote w:id="7">
    <w:p w:rsidR="009B6280" w:rsidP="00CD2055" w14:paraId="7CC0A34B" w14:textId="55FD4FDD">
      <w:pPr>
        <w:pStyle w:val="FootnoteText"/>
        <w:spacing w:after="120"/>
      </w:pPr>
      <w:r>
        <w:rPr>
          <w:rStyle w:val="FootnoteReference"/>
        </w:rPr>
        <w:footnoteRef/>
      </w:r>
      <w:r>
        <w:t xml:space="preserve"> </w:t>
      </w:r>
      <w:r w:rsidR="0037770A">
        <w:t>Memorandum in Support at 5-6.</w:t>
      </w:r>
    </w:p>
  </w:footnote>
  <w:footnote w:id="8">
    <w:p w:rsidR="008F202B" w:rsidRPr="008F202B" w:rsidP="00CD2055" w14:paraId="3BD4F09F" w14:textId="23219C44">
      <w:pPr>
        <w:pStyle w:val="FootnoteText"/>
        <w:spacing w:after="120"/>
      </w:pPr>
      <w:r>
        <w:rPr>
          <w:rStyle w:val="FootnoteReference"/>
        </w:rPr>
        <w:footnoteRef/>
      </w:r>
      <w:r>
        <w:t xml:space="preserve"> </w:t>
      </w:r>
      <w:r>
        <w:rPr>
          <w:i/>
          <w:iCs/>
        </w:rPr>
        <w:t xml:space="preserve">Id. </w:t>
      </w:r>
      <w:r>
        <w:t>at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011636"/>
    <w:multiLevelType w:val="hybridMultilevel"/>
    <w:tmpl w:val="8FDC74E8"/>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89"/>
    <w:rsid w:val="00006BFC"/>
    <w:rsid w:val="00071323"/>
    <w:rsid w:val="000C1FBA"/>
    <w:rsid w:val="000C7BB0"/>
    <w:rsid w:val="000D3CD1"/>
    <w:rsid w:val="000E3672"/>
    <w:rsid w:val="000F7898"/>
    <w:rsid w:val="001216AF"/>
    <w:rsid w:val="00125A8D"/>
    <w:rsid w:val="00134331"/>
    <w:rsid w:val="00156752"/>
    <w:rsid w:val="00160216"/>
    <w:rsid w:val="001A31A0"/>
    <w:rsid w:val="001A5A16"/>
    <w:rsid w:val="001B213D"/>
    <w:rsid w:val="001C26D5"/>
    <w:rsid w:val="001D0BB5"/>
    <w:rsid w:val="00205004"/>
    <w:rsid w:val="002420F3"/>
    <w:rsid w:val="00244F7F"/>
    <w:rsid w:val="002506FC"/>
    <w:rsid w:val="00257A8C"/>
    <w:rsid w:val="00283E3B"/>
    <w:rsid w:val="002A3097"/>
    <w:rsid w:val="002D0A6B"/>
    <w:rsid w:val="002D5A8E"/>
    <w:rsid w:val="002E196C"/>
    <w:rsid w:val="003109E8"/>
    <w:rsid w:val="003608B5"/>
    <w:rsid w:val="00366C8A"/>
    <w:rsid w:val="0037770A"/>
    <w:rsid w:val="00390512"/>
    <w:rsid w:val="00392493"/>
    <w:rsid w:val="003A1262"/>
    <w:rsid w:val="003A6FC2"/>
    <w:rsid w:val="003D4F9A"/>
    <w:rsid w:val="004168EB"/>
    <w:rsid w:val="00421AD3"/>
    <w:rsid w:val="004312C3"/>
    <w:rsid w:val="00462B49"/>
    <w:rsid w:val="004674D7"/>
    <w:rsid w:val="004711E7"/>
    <w:rsid w:val="00473A74"/>
    <w:rsid w:val="00481885"/>
    <w:rsid w:val="004D67F0"/>
    <w:rsid w:val="004F6975"/>
    <w:rsid w:val="0050278A"/>
    <w:rsid w:val="00581914"/>
    <w:rsid w:val="00585F6E"/>
    <w:rsid w:val="005925E9"/>
    <w:rsid w:val="00592A9D"/>
    <w:rsid w:val="005D0BF7"/>
    <w:rsid w:val="00613F45"/>
    <w:rsid w:val="006276A8"/>
    <w:rsid w:val="00641EC5"/>
    <w:rsid w:val="00652BD5"/>
    <w:rsid w:val="00686CF1"/>
    <w:rsid w:val="006B5909"/>
    <w:rsid w:val="006C2DB7"/>
    <w:rsid w:val="006C622C"/>
    <w:rsid w:val="006F637A"/>
    <w:rsid w:val="00742031"/>
    <w:rsid w:val="00787FBD"/>
    <w:rsid w:val="00795A5B"/>
    <w:rsid w:val="007B7666"/>
    <w:rsid w:val="007C5AAB"/>
    <w:rsid w:val="007C7C41"/>
    <w:rsid w:val="007F0825"/>
    <w:rsid w:val="008022F7"/>
    <w:rsid w:val="0082584B"/>
    <w:rsid w:val="008344B1"/>
    <w:rsid w:val="00843319"/>
    <w:rsid w:val="00867894"/>
    <w:rsid w:val="00873ADC"/>
    <w:rsid w:val="00874B1D"/>
    <w:rsid w:val="00876EEC"/>
    <w:rsid w:val="008B6CAA"/>
    <w:rsid w:val="008C0920"/>
    <w:rsid w:val="008C0CAD"/>
    <w:rsid w:val="008F202B"/>
    <w:rsid w:val="008F5703"/>
    <w:rsid w:val="00913EA2"/>
    <w:rsid w:val="00951CB6"/>
    <w:rsid w:val="00956610"/>
    <w:rsid w:val="0098109B"/>
    <w:rsid w:val="009B6280"/>
    <w:rsid w:val="00A23633"/>
    <w:rsid w:val="00A37D5B"/>
    <w:rsid w:val="00A56089"/>
    <w:rsid w:val="00A73487"/>
    <w:rsid w:val="00A751EC"/>
    <w:rsid w:val="00A87BAD"/>
    <w:rsid w:val="00AD2E36"/>
    <w:rsid w:val="00AE0B7F"/>
    <w:rsid w:val="00B11795"/>
    <w:rsid w:val="00B12ADE"/>
    <w:rsid w:val="00B15E00"/>
    <w:rsid w:val="00B224FA"/>
    <w:rsid w:val="00B3499C"/>
    <w:rsid w:val="00B51819"/>
    <w:rsid w:val="00B67F75"/>
    <w:rsid w:val="00BB5D46"/>
    <w:rsid w:val="00BC2790"/>
    <w:rsid w:val="00BD57B6"/>
    <w:rsid w:val="00BF506A"/>
    <w:rsid w:val="00C0368A"/>
    <w:rsid w:val="00C214B5"/>
    <w:rsid w:val="00C32205"/>
    <w:rsid w:val="00C34B49"/>
    <w:rsid w:val="00C90489"/>
    <w:rsid w:val="00CA7481"/>
    <w:rsid w:val="00CB2A4F"/>
    <w:rsid w:val="00CB64C3"/>
    <w:rsid w:val="00CC18F1"/>
    <w:rsid w:val="00CD2055"/>
    <w:rsid w:val="00CD531C"/>
    <w:rsid w:val="00D679F5"/>
    <w:rsid w:val="00D67BB4"/>
    <w:rsid w:val="00D80950"/>
    <w:rsid w:val="00DB46B3"/>
    <w:rsid w:val="00DC0FB5"/>
    <w:rsid w:val="00DF2F3E"/>
    <w:rsid w:val="00DF567A"/>
    <w:rsid w:val="00E07878"/>
    <w:rsid w:val="00E11F44"/>
    <w:rsid w:val="00E57284"/>
    <w:rsid w:val="00E703DD"/>
    <w:rsid w:val="00EA3BBC"/>
    <w:rsid w:val="00EA40F5"/>
    <w:rsid w:val="00EB2DF5"/>
    <w:rsid w:val="00EC433C"/>
    <w:rsid w:val="00EC479D"/>
    <w:rsid w:val="00EF0012"/>
    <w:rsid w:val="00EF06EC"/>
    <w:rsid w:val="00F028C0"/>
    <w:rsid w:val="00F12F40"/>
    <w:rsid w:val="00F677CE"/>
    <w:rsid w:val="00F7404D"/>
    <w:rsid w:val="00F801F3"/>
    <w:rsid w:val="00FA0540"/>
    <w:rsid w:val="00FF7C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05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0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489"/>
    <w:rPr>
      <w:rFonts w:ascii="Times New Roman" w:hAnsi="Times New Roman"/>
      <w:sz w:val="20"/>
      <w:szCs w:val="20"/>
    </w:rPr>
  </w:style>
  <w:style w:type="character" w:styleId="FootnoteReference">
    <w:name w:val="footnote reference"/>
    <w:basedOn w:val="DefaultParagraphFont"/>
    <w:uiPriority w:val="99"/>
    <w:semiHidden/>
    <w:unhideWhenUsed/>
    <w:rsid w:val="00C90489"/>
    <w:rPr>
      <w:vertAlign w:val="superscript"/>
    </w:rPr>
  </w:style>
  <w:style w:type="table" w:styleId="TableGrid">
    <w:name w:val="Table Grid"/>
    <w:basedOn w:val="TableNormal"/>
    <w:rsid w:val="0028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7C06"/>
    <w:rPr>
      <w:color w:val="0563C1" w:themeColor="hyperlink"/>
      <w:u w:val="single"/>
    </w:rPr>
  </w:style>
  <w:style w:type="character" w:customStyle="1" w:styleId="UnresolvedMention1">
    <w:name w:val="Unresolved Mention1"/>
    <w:basedOn w:val="DefaultParagraphFont"/>
    <w:uiPriority w:val="99"/>
    <w:semiHidden/>
    <w:unhideWhenUsed/>
    <w:rsid w:val="00FF7C06"/>
    <w:rPr>
      <w:color w:val="605E5C"/>
      <w:shd w:val="clear" w:color="auto" w:fill="E1DFDD"/>
    </w:rPr>
  </w:style>
  <w:style w:type="character" w:styleId="CommentReference">
    <w:name w:val="annotation reference"/>
    <w:basedOn w:val="DefaultParagraphFont"/>
    <w:uiPriority w:val="99"/>
    <w:semiHidden/>
    <w:unhideWhenUsed/>
    <w:rsid w:val="00A23633"/>
    <w:rPr>
      <w:sz w:val="16"/>
      <w:szCs w:val="16"/>
    </w:rPr>
  </w:style>
  <w:style w:type="paragraph" w:styleId="CommentText">
    <w:name w:val="annotation text"/>
    <w:basedOn w:val="Normal"/>
    <w:link w:val="CommentTextChar"/>
    <w:unhideWhenUsed/>
    <w:rsid w:val="00A23633"/>
    <w:pPr>
      <w:spacing w:line="240" w:lineRule="auto"/>
    </w:pPr>
    <w:rPr>
      <w:sz w:val="20"/>
      <w:szCs w:val="20"/>
    </w:rPr>
  </w:style>
  <w:style w:type="character" w:customStyle="1" w:styleId="CommentTextChar">
    <w:name w:val="Comment Text Char"/>
    <w:basedOn w:val="DefaultParagraphFont"/>
    <w:link w:val="CommentText"/>
    <w:rsid w:val="00A236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23633"/>
    <w:rPr>
      <w:b/>
      <w:bCs/>
    </w:rPr>
  </w:style>
  <w:style w:type="character" w:customStyle="1" w:styleId="CommentSubjectChar">
    <w:name w:val="Comment Subject Char"/>
    <w:basedOn w:val="CommentTextChar"/>
    <w:link w:val="CommentSubject"/>
    <w:uiPriority w:val="99"/>
    <w:semiHidden/>
    <w:rsid w:val="00A23633"/>
    <w:rPr>
      <w:rFonts w:ascii="Times New Roman" w:hAnsi="Times New Roman"/>
      <w:b/>
      <w:bCs/>
      <w:sz w:val="20"/>
      <w:szCs w:val="20"/>
    </w:rPr>
  </w:style>
  <w:style w:type="paragraph" w:styleId="ListParagraph">
    <w:name w:val="List Paragraph"/>
    <w:basedOn w:val="Normal"/>
    <w:uiPriority w:val="34"/>
    <w:qFormat/>
    <w:rsid w:val="00D67BB4"/>
    <w:pPr>
      <w:ind w:left="720"/>
      <w:contextualSpacing/>
    </w:pPr>
  </w:style>
  <w:style w:type="paragraph" w:styleId="Header">
    <w:name w:val="header"/>
    <w:basedOn w:val="Normal"/>
    <w:link w:val="HeaderChar"/>
    <w:uiPriority w:val="99"/>
    <w:unhideWhenUsed/>
    <w:rsid w:val="00585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F6E"/>
    <w:rPr>
      <w:rFonts w:ascii="Times New Roman" w:hAnsi="Times New Roman"/>
      <w:sz w:val="24"/>
    </w:rPr>
  </w:style>
  <w:style w:type="paragraph" w:styleId="Footer">
    <w:name w:val="footer"/>
    <w:basedOn w:val="Normal"/>
    <w:link w:val="FooterChar"/>
    <w:uiPriority w:val="99"/>
    <w:unhideWhenUsed/>
    <w:rsid w:val="00585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F6E"/>
    <w:rPr>
      <w:rFonts w:ascii="Times New Roman" w:hAnsi="Times New Roman"/>
      <w:sz w:val="24"/>
    </w:rPr>
  </w:style>
  <w:style w:type="paragraph" w:styleId="BodyTextIndent3">
    <w:name w:val="Body Text Indent 3"/>
    <w:basedOn w:val="Normal"/>
    <w:link w:val="BodyTextIndent3Char"/>
    <w:uiPriority w:val="99"/>
    <w:semiHidden/>
    <w:unhideWhenUsed/>
    <w:rsid w:val="00B51819"/>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uiPriority w:val="99"/>
    <w:semiHidden/>
    <w:rsid w:val="00B51819"/>
    <w:rPr>
      <w:rFonts w:ascii="Times New Roman" w:eastAsia="Times New Roman" w:hAnsi="Times New Roman" w:cs="Times New Roman"/>
      <w:sz w:val="16"/>
      <w:szCs w:val="16"/>
    </w:rPr>
  </w:style>
  <w:style w:type="paragraph" w:styleId="EndnoteText">
    <w:name w:val="endnote text"/>
    <w:basedOn w:val="Normal"/>
    <w:link w:val="EndnoteTextChar"/>
    <w:semiHidden/>
    <w:rsid w:val="00CD2055"/>
    <w:pPr>
      <w:widowControl w:val="0"/>
      <w:spacing w:after="0" w:line="240" w:lineRule="auto"/>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CD2055"/>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eubanks@ohioAGO.gov" TargetMode="External" /><Relationship Id="rId11" Type="http://schemas.openxmlformats.org/officeDocument/2006/relationships/hyperlink" Target="mailto:Jodi.bair@ohioAGO.gov" TargetMode="External" /><Relationship Id="rId12" Type="http://schemas.openxmlformats.org/officeDocument/2006/relationships/hyperlink" Target="mailto:Kyle.kern@ohioAGO.gov" TargetMode="External" /><Relationship Id="rId13" Type="http://schemas.openxmlformats.org/officeDocument/2006/relationships/hyperlink" Target="mailto:John.jones@ohioAGO.gov" TargetMode="External" /><Relationship Id="rId14" Type="http://schemas.openxmlformats.org/officeDocument/2006/relationships/hyperlink" Target="mailto:dboehm@BKLlawfirm.com" TargetMode="External" /><Relationship Id="rId15" Type="http://schemas.openxmlformats.org/officeDocument/2006/relationships/hyperlink" Target="mailto:mkurtz@BKLlawfirm.com" TargetMode="External" /><Relationship Id="rId16" Type="http://schemas.openxmlformats.org/officeDocument/2006/relationships/hyperlink" Target="mailto:jkylercohn@BKLlawfirm.com" TargetMode="External" /><Relationship Id="rId17" Type="http://schemas.openxmlformats.org/officeDocument/2006/relationships/hyperlink" Target="mailto:Megan.addison@puco.ohio.gov" TargetMode="External" /><Relationship Id="rId18" Type="http://schemas.openxmlformats.org/officeDocument/2006/relationships/hyperlink" Target="mailto:Matthew.sandor@puco.ohio.gov" TargetMode="External" /><Relationship Id="rId19" Type="http://schemas.openxmlformats.org/officeDocument/2006/relationships/hyperlink" Target="mailto:Nicholas.walstra@puco.ohio.gov" TargetMode="External" /><Relationship Id="rId2" Type="http://schemas.openxmlformats.org/officeDocument/2006/relationships/settings" Target="settings.xml" /><Relationship Id="rId20" Type="http://schemas.openxmlformats.org/officeDocument/2006/relationships/hyperlink" Target="mailto:Rocco.dascenzo@duke-energy.com" TargetMode="External" /><Relationship Id="rId21" Type="http://schemas.openxmlformats.org/officeDocument/2006/relationships/hyperlink" Target="mailto:Jeanne.kingery@duke-energy.com" TargetMode="External" /><Relationship Id="rId22" Type="http://schemas.openxmlformats.org/officeDocument/2006/relationships/hyperlink" Target="mailto:Larisa.vaysman@duke-energy.com" TargetMode="External" /><Relationship Id="rId23" Type="http://schemas.openxmlformats.org/officeDocument/2006/relationships/hyperlink" Target="mailto:kmcmurray@fbtlaw.com" TargetMode="External" /><Relationship Id="rId24" Type="http://schemas.openxmlformats.org/officeDocument/2006/relationships/hyperlink" Target="mailto:Paul@carpenterlipps.com" TargetMode="External" /><Relationship Id="rId25" Type="http://schemas.openxmlformats.org/officeDocument/2006/relationships/hyperlink" Target="mailto:bojko@carpenterlipps.com" TargetMode="External" /><Relationship Id="rId26" Type="http://schemas.openxmlformats.org/officeDocument/2006/relationships/hyperlink" Target="mailto:michael.nugent@igs.com" TargetMode="External" /><Relationship Id="rId27" Type="http://schemas.openxmlformats.org/officeDocument/2006/relationships/hyperlink" Target="mailto:bethany.allen@igs.com" TargetMode="External" /><Relationship Id="rId28" Type="http://schemas.openxmlformats.org/officeDocument/2006/relationships/hyperlink" Target="mailto:evan.betterton@igs.com" TargetMode="External" /><Relationship Id="rId29" Type="http://schemas.openxmlformats.org/officeDocument/2006/relationships/footer" Target="footer1.xml" /><Relationship Id="rId3" Type="http://schemas.openxmlformats.org/officeDocument/2006/relationships/webSettings" Target="web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ngela.obrien@occ.ohio.gov" TargetMode="External" /><Relationship Id="rId8" Type="http://schemas.openxmlformats.org/officeDocument/2006/relationships/hyperlink" Target="mailto:ambrosia.wilson@occ.ohio.gov" TargetMode="External" /><Relationship Id="rId9" Type="http://schemas.openxmlformats.org/officeDocument/2006/relationships/hyperlink" Target="mailto:werner.margard@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EF438-75B8-455F-A3CC-CA33E883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2022-02-22T21:32:21Z</dcterms:created>
  <dcterms:modified xsi:type="dcterms:W3CDTF">2022-02-22T21:32:21Z</dcterms:modified>
</cp:coreProperties>
</file>