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AF0" w:rsidRPr="004B1AF0" w:rsidRDefault="004B1AF0" w:rsidP="00F22FA2">
      <w:pPr>
        <w:tabs>
          <w:tab w:val="left" w:pos="2040"/>
        </w:tabs>
        <w:spacing w:after="0" w:line="240" w:lineRule="auto"/>
        <w:jc w:val="center"/>
        <w:rPr>
          <w:rFonts w:eastAsia="Times New Roman" w:cs="Arial"/>
          <w:b/>
          <w:smallCaps/>
        </w:rPr>
      </w:pPr>
      <w:bookmarkStart w:id="0" w:name="OLE_LINK1"/>
      <w:bookmarkStart w:id="1" w:name="OLE_LINK2"/>
      <w:r w:rsidRPr="004B1AF0">
        <w:rPr>
          <w:rFonts w:eastAsia="Times New Roman" w:cs="Arial"/>
          <w:b/>
          <w:smallCaps/>
        </w:rPr>
        <w:t>Before</w:t>
      </w:r>
    </w:p>
    <w:p w:rsidR="004B1AF0" w:rsidRPr="004B1AF0" w:rsidRDefault="004B1AF0" w:rsidP="00F22FA2">
      <w:pPr>
        <w:spacing w:after="0" w:line="240" w:lineRule="auto"/>
        <w:jc w:val="center"/>
        <w:rPr>
          <w:rFonts w:eastAsia="Times New Roman" w:cs="Arial"/>
          <w:b/>
          <w:smallCaps/>
        </w:rPr>
      </w:pPr>
      <w:r w:rsidRPr="004B1AF0">
        <w:rPr>
          <w:rFonts w:eastAsia="Times New Roman" w:cs="Arial"/>
          <w:b/>
          <w:smallCaps/>
        </w:rPr>
        <w:t xml:space="preserve">The Public Utilities Commission of </w:t>
      </w:r>
      <w:smartTag w:uri="urn:schemas-microsoft-com:office:smarttags" w:element="State">
        <w:smartTag w:uri="urn:schemas-microsoft-com:office:smarttags" w:element="place">
          <w:r w:rsidRPr="004B1AF0">
            <w:rPr>
              <w:rFonts w:eastAsia="Times New Roman" w:cs="Arial"/>
              <w:b/>
              <w:smallCaps/>
            </w:rPr>
            <w:t>Ohio</w:t>
          </w:r>
        </w:smartTag>
      </w:smartTag>
    </w:p>
    <w:p w:rsidR="004B1AF0" w:rsidRPr="004B1AF0" w:rsidRDefault="004B1AF0" w:rsidP="00F22FA2">
      <w:pPr>
        <w:autoSpaceDE w:val="0"/>
        <w:autoSpaceDN w:val="0"/>
        <w:adjustRightInd w:val="0"/>
        <w:spacing w:after="0" w:line="240" w:lineRule="auto"/>
        <w:rPr>
          <w:rFonts w:eastAsia="Calibri" w:cs="Arial"/>
        </w:rPr>
      </w:pPr>
    </w:p>
    <w:p w:rsidR="004B1AF0" w:rsidRPr="004B1AF0" w:rsidRDefault="004B1AF0" w:rsidP="00F22FA2">
      <w:pPr>
        <w:autoSpaceDE w:val="0"/>
        <w:autoSpaceDN w:val="0"/>
        <w:adjustRightInd w:val="0"/>
        <w:spacing w:after="0" w:line="240" w:lineRule="auto"/>
        <w:rPr>
          <w:rFonts w:eastAsia="Calibri" w:cs="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50"/>
        <w:gridCol w:w="4158"/>
      </w:tblGrid>
      <w:tr w:rsidR="004B1AF0" w:rsidRPr="004B1AF0" w:rsidTr="00023279">
        <w:tc>
          <w:tcPr>
            <w:tcW w:w="4968" w:type="dxa"/>
          </w:tcPr>
          <w:p w:rsidR="004B1AF0" w:rsidRPr="004B1AF0" w:rsidRDefault="004B1AF0" w:rsidP="00023279">
            <w:pPr>
              <w:tabs>
                <w:tab w:val="left" w:pos="5040"/>
              </w:tabs>
              <w:spacing w:after="0"/>
              <w:rPr>
                <w:rFonts w:ascii="Arial" w:eastAsia="Times New Roman" w:hAnsi="Arial" w:cs="Arial"/>
                <w:sz w:val="24"/>
                <w:szCs w:val="24"/>
              </w:rPr>
            </w:pPr>
            <w:r w:rsidRPr="004B1AF0">
              <w:rPr>
                <w:rFonts w:ascii="Arial" w:eastAsia="Times New Roman" w:hAnsi="Arial" w:cs="Arial"/>
                <w:sz w:val="24"/>
                <w:szCs w:val="24"/>
              </w:rPr>
              <w:t>Ohio Schools Council, Ohio School Boards Association, Ohio Association of School Business Officials, and Buckeye Association of School Ad</w:t>
            </w:r>
            <w:r w:rsidR="00FB0361">
              <w:rPr>
                <w:rFonts w:ascii="Arial" w:eastAsia="Times New Roman" w:hAnsi="Arial" w:cs="Arial"/>
                <w:sz w:val="24"/>
                <w:szCs w:val="24"/>
              </w:rPr>
              <w:t>ministrators, dba Power4Schools</w:t>
            </w:r>
            <w:bookmarkStart w:id="2" w:name="_GoBack"/>
            <w:bookmarkEnd w:id="2"/>
          </w:p>
          <w:p w:rsidR="004B1AF0" w:rsidRPr="004B1AF0" w:rsidRDefault="004B1AF0" w:rsidP="00023279">
            <w:pPr>
              <w:tabs>
                <w:tab w:val="left" w:pos="5040"/>
              </w:tabs>
              <w:spacing w:after="0"/>
              <w:ind w:left="720"/>
              <w:rPr>
                <w:rFonts w:ascii="Arial" w:eastAsia="Times New Roman" w:hAnsi="Arial" w:cs="Arial"/>
                <w:sz w:val="24"/>
                <w:szCs w:val="24"/>
              </w:rPr>
            </w:pPr>
          </w:p>
          <w:p w:rsidR="004B1AF0" w:rsidRPr="004B1AF0" w:rsidRDefault="004B1AF0" w:rsidP="00023279">
            <w:pPr>
              <w:tabs>
                <w:tab w:val="left" w:pos="5040"/>
              </w:tabs>
              <w:spacing w:after="0"/>
              <w:ind w:left="720"/>
              <w:rPr>
                <w:rFonts w:ascii="Arial" w:eastAsia="Times New Roman" w:hAnsi="Arial" w:cs="Arial"/>
                <w:sz w:val="24"/>
                <w:szCs w:val="24"/>
              </w:rPr>
            </w:pPr>
            <w:r w:rsidRPr="004B1AF0">
              <w:rPr>
                <w:rFonts w:ascii="Arial" w:eastAsia="Times New Roman" w:hAnsi="Arial" w:cs="Arial"/>
                <w:sz w:val="24"/>
                <w:szCs w:val="24"/>
              </w:rPr>
              <w:t>Complainants,</w:t>
            </w:r>
          </w:p>
          <w:p w:rsidR="004B1AF0" w:rsidRPr="004B1AF0" w:rsidRDefault="004B1AF0" w:rsidP="00023279">
            <w:pPr>
              <w:tabs>
                <w:tab w:val="left" w:pos="5040"/>
              </w:tabs>
              <w:spacing w:after="0"/>
              <w:ind w:left="720"/>
              <w:rPr>
                <w:rFonts w:ascii="Arial" w:eastAsia="Times New Roman" w:hAnsi="Arial" w:cs="Arial"/>
                <w:sz w:val="24"/>
                <w:szCs w:val="24"/>
              </w:rPr>
            </w:pPr>
          </w:p>
          <w:p w:rsidR="004B1AF0" w:rsidRPr="004B1AF0" w:rsidRDefault="004B1AF0" w:rsidP="00023279">
            <w:pPr>
              <w:tabs>
                <w:tab w:val="left" w:pos="5040"/>
              </w:tabs>
              <w:spacing w:after="0"/>
              <w:ind w:left="720"/>
              <w:rPr>
                <w:rFonts w:ascii="Arial" w:eastAsia="Times New Roman" w:hAnsi="Arial" w:cs="Arial"/>
                <w:sz w:val="24"/>
                <w:szCs w:val="24"/>
              </w:rPr>
            </w:pPr>
            <w:r w:rsidRPr="004B1AF0">
              <w:rPr>
                <w:rFonts w:ascii="Arial" w:eastAsia="Times New Roman" w:hAnsi="Arial" w:cs="Arial"/>
                <w:sz w:val="24"/>
                <w:szCs w:val="24"/>
              </w:rPr>
              <w:t>v.</w:t>
            </w:r>
          </w:p>
          <w:p w:rsidR="004B1AF0" w:rsidRPr="004B1AF0" w:rsidRDefault="004B1AF0" w:rsidP="00023279">
            <w:pPr>
              <w:tabs>
                <w:tab w:val="left" w:pos="5040"/>
              </w:tabs>
              <w:spacing w:after="0"/>
              <w:ind w:left="720"/>
              <w:rPr>
                <w:rFonts w:ascii="Arial" w:eastAsia="Times New Roman" w:hAnsi="Arial" w:cs="Arial"/>
                <w:sz w:val="24"/>
                <w:szCs w:val="24"/>
              </w:rPr>
            </w:pPr>
          </w:p>
          <w:p w:rsidR="004B1AF0" w:rsidRPr="004B1AF0" w:rsidRDefault="004B1AF0" w:rsidP="00023279">
            <w:pPr>
              <w:tabs>
                <w:tab w:val="left" w:pos="5040"/>
              </w:tabs>
              <w:spacing w:after="0"/>
              <w:rPr>
                <w:rFonts w:ascii="Arial" w:eastAsia="Times New Roman" w:hAnsi="Arial" w:cs="Arial"/>
                <w:sz w:val="24"/>
                <w:szCs w:val="24"/>
              </w:rPr>
            </w:pPr>
            <w:r w:rsidRPr="004B1AF0">
              <w:rPr>
                <w:rFonts w:ascii="Arial" w:eastAsia="Times New Roman" w:hAnsi="Arial" w:cs="Arial"/>
                <w:sz w:val="24"/>
                <w:szCs w:val="24"/>
              </w:rPr>
              <w:t>FirstEnergy Solutions Corp.,</w:t>
            </w:r>
          </w:p>
          <w:p w:rsidR="004B1AF0" w:rsidRPr="004B1AF0" w:rsidRDefault="004B1AF0" w:rsidP="00023279">
            <w:pPr>
              <w:tabs>
                <w:tab w:val="left" w:pos="5040"/>
              </w:tabs>
              <w:spacing w:after="0"/>
              <w:rPr>
                <w:rFonts w:ascii="Arial" w:eastAsia="Times New Roman" w:hAnsi="Arial" w:cs="Arial"/>
                <w:sz w:val="24"/>
                <w:szCs w:val="24"/>
              </w:rPr>
            </w:pPr>
          </w:p>
          <w:p w:rsidR="004B1AF0" w:rsidRPr="004B1AF0" w:rsidRDefault="004B1AF0" w:rsidP="00023279">
            <w:pPr>
              <w:tabs>
                <w:tab w:val="left" w:pos="5040"/>
              </w:tabs>
              <w:spacing w:after="0"/>
              <w:ind w:left="720"/>
              <w:rPr>
                <w:rFonts w:ascii="Arial" w:eastAsia="Times New Roman" w:hAnsi="Arial" w:cs="Arial"/>
                <w:sz w:val="24"/>
                <w:szCs w:val="24"/>
              </w:rPr>
            </w:pPr>
            <w:r w:rsidRPr="004B1AF0">
              <w:rPr>
                <w:rFonts w:ascii="Arial" w:eastAsia="Times New Roman" w:hAnsi="Arial" w:cs="Arial"/>
                <w:sz w:val="24"/>
                <w:szCs w:val="24"/>
              </w:rPr>
              <w:t>Respondent.</w:t>
            </w:r>
          </w:p>
          <w:p w:rsidR="004B1AF0" w:rsidRPr="004B1AF0" w:rsidRDefault="004B1AF0" w:rsidP="00023279">
            <w:pPr>
              <w:tabs>
                <w:tab w:val="left" w:pos="5040"/>
              </w:tabs>
              <w:spacing w:after="0"/>
              <w:rPr>
                <w:rFonts w:ascii="Arial" w:eastAsia="Times New Roman" w:hAnsi="Arial" w:cs="Arial"/>
                <w:sz w:val="24"/>
                <w:szCs w:val="24"/>
              </w:rPr>
            </w:pPr>
          </w:p>
        </w:tc>
        <w:tc>
          <w:tcPr>
            <w:tcW w:w="450" w:type="dxa"/>
          </w:tcPr>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tc>
        <w:tc>
          <w:tcPr>
            <w:tcW w:w="4158" w:type="dxa"/>
          </w:tcPr>
          <w:p w:rsidR="004B1AF0" w:rsidRPr="004B1AF0" w:rsidRDefault="004B1AF0" w:rsidP="00F22FA2">
            <w:pPr>
              <w:tabs>
                <w:tab w:val="left" w:pos="5040"/>
              </w:tabs>
              <w:spacing w:after="0"/>
              <w:jc w:val="both"/>
              <w:rPr>
                <w:rFonts w:ascii="Arial" w:eastAsia="Times New Roman" w:hAnsi="Arial" w:cs="Arial"/>
                <w:sz w:val="24"/>
                <w:szCs w:val="24"/>
              </w:rPr>
            </w:pPr>
          </w:p>
          <w:p w:rsidR="004B1AF0" w:rsidRPr="004B1AF0" w:rsidRDefault="004B1AF0" w:rsidP="00F22FA2">
            <w:pPr>
              <w:spacing w:after="0"/>
              <w:jc w:val="both"/>
              <w:rPr>
                <w:rFonts w:ascii="Arial" w:eastAsia="Times New Roman" w:hAnsi="Arial" w:cs="Arial"/>
                <w:sz w:val="24"/>
                <w:szCs w:val="24"/>
              </w:rPr>
            </w:pPr>
          </w:p>
          <w:p w:rsidR="004B1AF0" w:rsidRPr="004B1AF0" w:rsidRDefault="004B1AF0" w:rsidP="00F22FA2">
            <w:pPr>
              <w:spacing w:after="0"/>
              <w:jc w:val="both"/>
              <w:rPr>
                <w:rFonts w:ascii="Arial" w:eastAsia="Times New Roman" w:hAnsi="Arial" w:cs="Arial"/>
                <w:sz w:val="24"/>
                <w:szCs w:val="24"/>
              </w:rPr>
            </w:pPr>
          </w:p>
          <w:p w:rsidR="004B1AF0" w:rsidRPr="004B1AF0" w:rsidRDefault="004B1AF0" w:rsidP="00F22FA2">
            <w:pPr>
              <w:spacing w:after="0"/>
              <w:jc w:val="both"/>
              <w:rPr>
                <w:rFonts w:ascii="Arial" w:eastAsia="Times New Roman" w:hAnsi="Arial" w:cs="Arial"/>
                <w:sz w:val="24"/>
                <w:szCs w:val="24"/>
              </w:rPr>
            </w:pPr>
          </w:p>
          <w:p w:rsidR="004B1AF0" w:rsidRPr="004B1AF0" w:rsidRDefault="004B1AF0" w:rsidP="00F22FA2">
            <w:pPr>
              <w:spacing w:after="0"/>
              <w:jc w:val="both"/>
              <w:rPr>
                <w:rFonts w:ascii="Arial" w:eastAsia="Times New Roman" w:hAnsi="Arial" w:cs="Arial"/>
                <w:sz w:val="24"/>
                <w:szCs w:val="24"/>
              </w:rPr>
            </w:pPr>
          </w:p>
          <w:p w:rsidR="004B1AF0" w:rsidRPr="004B1AF0" w:rsidRDefault="004B1AF0" w:rsidP="00F22FA2">
            <w:pPr>
              <w:spacing w:after="0"/>
              <w:jc w:val="both"/>
              <w:rPr>
                <w:rFonts w:ascii="Arial" w:eastAsia="Times New Roman" w:hAnsi="Arial" w:cs="Arial"/>
                <w:sz w:val="24"/>
                <w:szCs w:val="24"/>
              </w:rPr>
            </w:pPr>
          </w:p>
          <w:p w:rsidR="004B1AF0" w:rsidRPr="004B1AF0" w:rsidRDefault="004B1AF0" w:rsidP="00F22FA2">
            <w:pPr>
              <w:spacing w:after="0"/>
              <w:ind w:left="342"/>
              <w:jc w:val="both"/>
              <w:rPr>
                <w:rFonts w:ascii="Arial" w:eastAsia="Times New Roman" w:hAnsi="Arial" w:cs="Arial"/>
                <w:sz w:val="24"/>
                <w:szCs w:val="24"/>
              </w:rPr>
            </w:pPr>
            <w:r w:rsidRPr="004B1AF0">
              <w:rPr>
                <w:rFonts w:ascii="Arial" w:eastAsia="Times New Roman" w:hAnsi="Arial" w:cs="Arial"/>
                <w:sz w:val="24"/>
                <w:szCs w:val="24"/>
              </w:rPr>
              <w:t>Case No. 14-1182-EL-CSS</w:t>
            </w:r>
          </w:p>
          <w:p w:rsidR="004B1AF0" w:rsidRPr="004B1AF0" w:rsidRDefault="004B1AF0" w:rsidP="00F22FA2">
            <w:pPr>
              <w:spacing w:after="0"/>
              <w:jc w:val="both"/>
              <w:rPr>
                <w:rFonts w:ascii="Arial" w:eastAsia="Times New Roman" w:hAnsi="Arial" w:cs="Arial"/>
                <w:sz w:val="24"/>
                <w:szCs w:val="24"/>
              </w:rPr>
            </w:pPr>
          </w:p>
          <w:p w:rsidR="004B1AF0" w:rsidRPr="004B1AF0" w:rsidRDefault="004B1AF0" w:rsidP="00F22FA2">
            <w:pPr>
              <w:spacing w:after="0"/>
              <w:jc w:val="both"/>
              <w:rPr>
                <w:rFonts w:ascii="Arial" w:eastAsia="Times New Roman" w:hAnsi="Arial" w:cs="Arial"/>
                <w:sz w:val="24"/>
                <w:szCs w:val="24"/>
              </w:rPr>
            </w:pPr>
          </w:p>
          <w:p w:rsidR="004B1AF0" w:rsidRPr="004B1AF0" w:rsidRDefault="004B1AF0" w:rsidP="00F22FA2">
            <w:pPr>
              <w:spacing w:after="0"/>
              <w:jc w:val="both"/>
              <w:rPr>
                <w:rFonts w:ascii="Arial" w:eastAsia="Times New Roman" w:hAnsi="Arial" w:cs="Arial"/>
                <w:sz w:val="24"/>
                <w:szCs w:val="24"/>
              </w:rPr>
            </w:pPr>
          </w:p>
        </w:tc>
      </w:tr>
    </w:tbl>
    <w:p w:rsidR="004B1AF0" w:rsidRPr="004B1AF0" w:rsidRDefault="004B1AF0" w:rsidP="00F22FA2">
      <w:pPr>
        <w:tabs>
          <w:tab w:val="left" w:pos="5040"/>
        </w:tabs>
        <w:spacing w:after="0" w:line="240" w:lineRule="auto"/>
        <w:rPr>
          <w:rFonts w:eastAsia="Times New Roman" w:cs="Arial"/>
        </w:rPr>
      </w:pPr>
    </w:p>
    <w:p w:rsidR="004B1AF0" w:rsidRPr="004B1AF0" w:rsidRDefault="004B1AF0" w:rsidP="00F22FA2">
      <w:pPr>
        <w:tabs>
          <w:tab w:val="left" w:pos="5040"/>
        </w:tabs>
        <w:spacing w:after="0" w:line="240" w:lineRule="auto"/>
        <w:rPr>
          <w:rFonts w:eastAsia="Times New Roman" w:cs="Arial"/>
        </w:rPr>
      </w:pPr>
    </w:p>
    <w:p w:rsidR="004B1AF0" w:rsidRPr="004B1AF0" w:rsidRDefault="004B1AF0" w:rsidP="00F22FA2">
      <w:pPr>
        <w:keepNext/>
        <w:pBdr>
          <w:top w:val="single" w:sz="12" w:space="1" w:color="auto"/>
        </w:pBdr>
        <w:tabs>
          <w:tab w:val="left" w:pos="7320"/>
        </w:tabs>
        <w:spacing w:after="0" w:line="240" w:lineRule="auto"/>
        <w:outlineLvl w:val="0"/>
        <w:rPr>
          <w:rFonts w:eastAsia="Times New Roman" w:cs="Arial"/>
          <w:b/>
          <w:smallCaps/>
        </w:rPr>
      </w:pPr>
    </w:p>
    <w:p w:rsidR="004B1AF0" w:rsidRPr="004B1AF0" w:rsidRDefault="004B1AF0" w:rsidP="006A40B0">
      <w:pPr>
        <w:keepNext/>
        <w:tabs>
          <w:tab w:val="left" w:pos="7320"/>
        </w:tabs>
        <w:spacing w:after="0" w:line="240" w:lineRule="auto"/>
        <w:jc w:val="center"/>
        <w:outlineLvl w:val="0"/>
        <w:rPr>
          <w:rFonts w:eastAsia="Times New Roman" w:cs="Arial"/>
          <w:b/>
          <w:smallCaps/>
        </w:rPr>
      </w:pPr>
      <w:r w:rsidRPr="004B1AF0">
        <w:rPr>
          <w:rFonts w:eastAsia="Times New Roman" w:cs="Arial"/>
          <w:b/>
          <w:smallCaps/>
        </w:rPr>
        <w:t xml:space="preserve">Motion </w:t>
      </w:r>
      <w:r>
        <w:rPr>
          <w:rFonts w:eastAsia="Times New Roman" w:cs="Arial"/>
          <w:b/>
          <w:smallCaps/>
        </w:rPr>
        <w:t>for Interim and Preliminary Orders</w:t>
      </w:r>
      <w:r w:rsidRPr="004B1AF0">
        <w:rPr>
          <w:rFonts w:eastAsia="Times New Roman" w:cs="Arial"/>
          <w:b/>
          <w:smallCaps/>
        </w:rPr>
        <w:t xml:space="preserve"> and Memorandum In Support</w:t>
      </w:r>
    </w:p>
    <w:p w:rsidR="008224AE" w:rsidRDefault="004B1AF0" w:rsidP="008224AE">
      <w:pPr>
        <w:spacing w:after="0" w:line="240" w:lineRule="auto"/>
        <w:jc w:val="center"/>
        <w:rPr>
          <w:rFonts w:ascii="Arial Bold" w:eastAsia="Times New Roman" w:hAnsi="Arial Bold"/>
          <w:smallCaps/>
        </w:rPr>
      </w:pPr>
      <w:r w:rsidRPr="004B1AF0">
        <w:rPr>
          <w:rFonts w:eastAsia="Times New Roman" w:cs="Arial"/>
          <w:b/>
          <w:smallCaps/>
        </w:rPr>
        <w:t xml:space="preserve">of </w:t>
      </w:r>
      <w:r w:rsidR="008224AE">
        <w:rPr>
          <w:rFonts w:ascii="Arial Bold" w:eastAsia="Times New Roman" w:hAnsi="Arial Bold"/>
          <w:smallCaps/>
        </w:rPr>
        <w:t>Navco Enterpris</w:t>
      </w:r>
      <w:r w:rsidR="00DD7226" w:rsidRPr="00DD7226">
        <w:rPr>
          <w:rFonts w:ascii="Arial Bold" w:eastAsia="Times New Roman" w:hAnsi="Arial Bold"/>
          <w:smallCaps/>
        </w:rPr>
        <w:t>es.Com, Inc., Navco Enterprises of P</w:t>
      </w:r>
      <w:r w:rsidR="008224AE">
        <w:rPr>
          <w:rFonts w:ascii="Arial Bold" w:eastAsia="Times New Roman" w:hAnsi="Arial Bold"/>
          <w:smallCaps/>
        </w:rPr>
        <w:t>.</w:t>
      </w:r>
      <w:r w:rsidR="00DD7226" w:rsidRPr="00DD7226">
        <w:rPr>
          <w:rFonts w:ascii="Arial Bold" w:eastAsia="Times New Roman" w:hAnsi="Arial Bold"/>
          <w:smallCaps/>
        </w:rPr>
        <w:t>V</w:t>
      </w:r>
      <w:r w:rsidR="008224AE">
        <w:rPr>
          <w:rFonts w:ascii="Arial Bold" w:eastAsia="Times New Roman" w:hAnsi="Arial Bold"/>
          <w:smallCaps/>
        </w:rPr>
        <w:t>.</w:t>
      </w:r>
      <w:r w:rsidR="00DD7226" w:rsidRPr="00DD7226">
        <w:rPr>
          <w:rFonts w:ascii="Arial Bold" w:eastAsia="Times New Roman" w:hAnsi="Arial Bold"/>
          <w:smallCaps/>
        </w:rPr>
        <w:t xml:space="preserve">, Inc., Navco Enterprises, Inc., Foodlife </w:t>
      </w:r>
      <w:r w:rsidR="008224AE">
        <w:rPr>
          <w:rFonts w:ascii="Arial Bold" w:eastAsia="Times New Roman" w:hAnsi="Arial Bold"/>
          <w:smallCaps/>
        </w:rPr>
        <w:t>International</w:t>
      </w:r>
      <w:r w:rsidR="00DD7226" w:rsidRPr="00DD7226">
        <w:rPr>
          <w:rFonts w:ascii="Arial Bold" w:eastAsia="Times New Roman" w:hAnsi="Arial Bold"/>
          <w:smallCaps/>
        </w:rPr>
        <w:t>, Inc., Navco Enterprises of O</w:t>
      </w:r>
      <w:r w:rsidR="008224AE">
        <w:rPr>
          <w:rFonts w:ascii="Arial Bold" w:eastAsia="Times New Roman" w:hAnsi="Arial Bold"/>
          <w:smallCaps/>
        </w:rPr>
        <w:t>.</w:t>
      </w:r>
      <w:r w:rsidR="00DD7226" w:rsidRPr="00DD7226">
        <w:rPr>
          <w:rFonts w:ascii="Arial Bold" w:eastAsia="Times New Roman" w:hAnsi="Arial Bold"/>
          <w:smallCaps/>
        </w:rPr>
        <w:t>V</w:t>
      </w:r>
      <w:r w:rsidR="008224AE">
        <w:rPr>
          <w:rFonts w:ascii="Arial Bold" w:eastAsia="Times New Roman" w:hAnsi="Arial Bold"/>
          <w:smallCaps/>
        </w:rPr>
        <w:t>.</w:t>
      </w:r>
      <w:r w:rsidR="00DD7226" w:rsidRPr="00DD7226">
        <w:rPr>
          <w:rFonts w:ascii="Arial Bold" w:eastAsia="Times New Roman" w:hAnsi="Arial Bold"/>
          <w:smallCaps/>
        </w:rPr>
        <w:t xml:space="preserve">, Inc., </w:t>
      </w:r>
    </w:p>
    <w:p w:rsidR="004B1AF0" w:rsidRPr="00A75226" w:rsidRDefault="008224AE" w:rsidP="00A75226">
      <w:pPr>
        <w:spacing w:line="240" w:lineRule="auto"/>
        <w:jc w:val="center"/>
      </w:pPr>
      <w:r>
        <w:rPr>
          <w:rFonts w:ascii="Arial Bold" w:eastAsia="Times New Roman" w:hAnsi="Arial Bold"/>
          <w:smallCaps/>
        </w:rPr>
        <w:t xml:space="preserve">and </w:t>
      </w:r>
      <w:r w:rsidR="00DD7226" w:rsidRPr="00DD7226">
        <w:rPr>
          <w:rFonts w:ascii="Arial Bold" w:eastAsia="Times New Roman" w:hAnsi="Arial Bold"/>
          <w:smallCaps/>
        </w:rPr>
        <w:t>Navco of York Road, Inc.</w:t>
      </w:r>
    </w:p>
    <w:bookmarkEnd w:id="0"/>
    <w:bookmarkEnd w:id="1"/>
    <w:p w:rsidR="004B1AF0" w:rsidRPr="0050585D" w:rsidRDefault="004B1AF0" w:rsidP="00F22FA2">
      <w:pPr>
        <w:pBdr>
          <w:bottom w:val="single" w:sz="12" w:space="1" w:color="auto"/>
        </w:pBdr>
        <w:spacing w:after="0" w:line="240" w:lineRule="auto"/>
        <w:rPr>
          <w:rFonts w:eastAsia="Times New Roman" w:cs="Arial"/>
          <w:b/>
          <w:i/>
          <w:smallCaps/>
          <w:u w:val="single"/>
        </w:rPr>
      </w:pPr>
    </w:p>
    <w:p w:rsidR="004B1AF0" w:rsidRPr="0050585D" w:rsidRDefault="004B1AF0" w:rsidP="00F22FA2">
      <w:pPr>
        <w:spacing w:after="0" w:line="240" w:lineRule="auto"/>
        <w:rPr>
          <w:rFonts w:eastAsia="Times New Roman" w:cs="Arial"/>
          <w:b/>
          <w:i/>
          <w:smallCaps/>
          <w:u w:val="single"/>
        </w:rPr>
      </w:pPr>
    </w:p>
    <w:p w:rsidR="004B1AF0" w:rsidRPr="0050585D" w:rsidRDefault="004B1AF0" w:rsidP="00F22FA2">
      <w:pPr>
        <w:spacing w:after="0" w:line="240" w:lineRule="auto"/>
        <w:rPr>
          <w:rFonts w:eastAsia="Times New Roman" w:cs="Arial"/>
          <w:b/>
          <w:i/>
          <w:smallCaps/>
          <w:u w:val="single"/>
        </w:rPr>
      </w:pPr>
    </w:p>
    <w:p w:rsidR="004B1AF0" w:rsidRPr="0050585D" w:rsidRDefault="004B1AF0" w:rsidP="00F22FA2">
      <w:pPr>
        <w:spacing w:after="0" w:line="240" w:lineRule="auto"/>
        <w:rPr>
          <w:rFonts w:eastAsia="Times New Roman" w:cs="Arial"/>
          <w:b/>
          <w:i/>
          <w:smallCaps/>
          <w:u w:val="single"/>
        </w:rPr>
      </w:pPr>
    </w:p>
    <w:p w:rsidR="004B1AF0" w:rsidRPr="00023279" w:rsidRDefault="004B1AF0" w:rsidP="001E375C">
      <w:pPr>
        <w:tabs>
          <w:tab w:val="left" w:pos="720"/>
          <w:tab w:val="left" w:pos="4320"/>
          <w:tab w:val="right" w:pos="8640"/>
        </w:tabs>
        <w:spacing w:after="0" w:line="240" w:lineRule="auto"/>
        <w:rPr>
          <w:rFonts w:eastAsia="Calibri" w:cs="Arial"/>
          <w:bCs/>
        </w:rPr>
      </w:pPr>
      <w:r w:rsidRPr="0050585D">
        <w:rPr>
          <w:rFonts w:eastAsia="Calibri" w:cs="Arial"/>
          <w:i/>
        </w:rPr>
        <w:tab/>
      </w:r>
      <w:r w:rsidRPr="0050585D">
        <w:rPr>
          <w:rFonts w:eastAsia="Calibri" w:cs="Arial"/>
          <w:i/>
        </w:rPr>
        <w:tab/>
      </w:r>
      <w:r w:rsidRPr="00023279">
        <w:rPr>
          <w:rFonts w:eastAsia="Calibri" w:cs="Arial"/>
          <w:bCs/>
        </w:rPr>
        <w:t>Frank P. Darr (Reg. No. 0025469)</w:t>
      </w:r>
    </w:p>
    <w:p w:rsidR="006A40B0" w:rsidRDefault="006A40B0" w:rsidP="00F22FA2">
      <w:pPr>
        <w:widowControl w:val="0"/>
        <w:tabs>
          <w:tab w:val="left" w:pos="4320"/>
        </w:tabs>
        <w:spacing w:after="0" w:line="240" w:lineRule="auto"/>
        <w:ind w:left="4320"/>
        <w:rPr>
          <w:rFonts w:eastAsia="Calibri" w:cs="Arial"/>
        </w:rPr>
      </w:pPr>
      <w:r w:rsidRPr="00023279">
        <w:rPr>
          <w:rFonts w:eastAsia="Calibri" w:cs="Arial"/>
        </w:rPr>
        <w:t>(Counsel of Record)</w:t>
      </w:r>
    </w:p>
    <w:p w:rsidR="004B1AF0" w:rsidRPr="00023279" w:rsidRDefault="004B1AF0" w:rsidP="00F22FA2">
      <w:pPr>
        <w:widowControl w:val="0"/>
        <w:tabs>
          <w:tab w:val="left" w:pos="4320"/>
        </w:tabs>
        <w:spacing w:after="0" w:line="240" w:lineRule="auto"/>
        <w:ind w:left="4320"/>
        <w:rPr>
          <w:rFonts w:eastAsia="Calibri" w:cs="Arial"/>
          <w:b/>
          <w:bCs/>
        </w:rPr>
      </w:pPr>
      <w:r w:rsidRPr="00023279">
        <w:rPr>
          <w:rFonts w:eastAsia="Calibri" w:cs="Arial"/>
          <w:bCs/>
        </w:rPr>
        <w:t>Matthew R. Pritchard (Reg. No. 0088070)</w:t>
      </w:r>
    </w:p>
    <w:p w:rsidR="004B1AF0" w:rsidRPr="00023279" w:rsidRDefault="004B1AF0" w:rsidP="00F22FA2">
      <w:pPr>
        <w:widowControl w:val="0"/>
        <w:tabs>
          <w:tab w:val="left" w:pos="4320"/>
        </w:tabs>
        <w:spacing w:after="0" w:line="240" w:lineRule="auto"/>
        <w:ind w:left="4320"/>
        <w:rPr>
          <w:rFonts w:eastAsia="Calibri" w:cs="Arial"/>
          <w:b/>
          <w:bCs/>
          <w:smallCaps/>
        </w:rPr>
      </w:pPr>
      <w:r w:rsidRPr="00023279">
        <w:rPr>
          <w:rFonts w:eastAsia="Calibri" w:cs="Arial"/>
          <w:bCs/>
          <w:smallCaps/>
        </w:rPr>
        <w:t>McNees Wallace &amp; Nurick LLC</w:t>
      </w:r>
    </w:p>
    <w:p w:rsidR="004B1AF0" w:rsidRPr="00023279" w:rsidRDefault="004B1AF0" w:rsidP="00F22FA2">
      <w:pPr>
        <w:widowControl w:val="0"/>
        <w:tabs>
          <w:tab w:val="left" w:pos="4320"/>
        </w:tabs>
        <w:spacing w:after="0" w:line="240" w:lineRule="auto"/>
        <w:ind w:left="4320"/>
        <w:rPr>
          <w:rFonts w:eastAsia="Calibri" w:cs="Arial"/>
          <w:b/>
          <w:bCs/>
        </w:rPr>
      </w:pPr>
      <w:r w:rsidRPr="00023279">
        <w:rPr>
          <w:rFonts w:eastAsia="Calibri" w:cs="Arial"/>
          <w:bCs/>
        </w:rPr>
        <w:t>21 East State Street, 17</w:t>
      </w:r>
      <w:r w:rsidRPr="00023279">
        <w:rPr>
          <w:rFonts w:eastAsia="Calibri" w:cs="Arial"/>
          <w:bCs/>
          <w:vertAlign w:val="superscript"/>
        </w:rPr>
        <w:t>TH</w:t>
      </w:r>
      <w:r w:rsidRPr="00023279">
        <w:rPr>
          <w:rFonts w:eastAsia="Calibri" w:cs="Arial"/>
          <w:bCs/>
        </w:rPr>
        <w:t xml:space="preserve"> Floor</w:t>
      </w:r>
    </w:p>
    <w:p w:rsidR="004B1AF0" w:rsidRPr="00023279" w:rsidRDefault="004B1AF0" w:rsidP="00F22FA2">
      <w:pPr>
        <w:tabs>
          <w:tab w:val="left" w:pos="-1440"/>
          <w:tab w:val="left" w:pos="-720"/>
          <w:tab w:val="left" w:pos="4320"/>
          <w:tab w:val="left" w:pos="5040"/>
          <w:tab w:val="center" w:pos="7200"/>
        </w:tabs>
        <w:overflowPunct w:val="0"/>
        <w:autoSpaceDE w:val="0"/>
        <w:autoSpaceDN w:val="0"/>
        <w:adjustRightInd w:val="0"/>
        <w:spacing w:after="0" w:line="240" w:lineRule="auto"/>
        <w:ind w:left="4320"/>
        <w:rPr>
          <w:rFonts w:eastAsia="Calibri" w:cs="Arial"/>
        </w:rPr>
      </w:pPr>
      <w:r w:rsidRPr="00023279">
        <w:rPr>
          <w:rFonts w:eastAsia="Calibri" w:cs="Arial"/>
        </w:rPr>
        <w:t>Columbus, OH  43215</w:t>
      </w:r>
    </w:p>
    <w:p w:rsidR="004B1AF0" w:rsidRPr="00023279" w:rsidRDefault="004B1AF0" w:rsidP="00F22FA2">
      <w:pPr>
        <w:tabs>
          <w:tab w:val="left" w:pos="-1440"/>
          <w:tab w:val="left" w:pos="-720"/>
          <w:tab w:val="left" w:pos="4320"/>
          <w:tab w:val="left" w:pos="5040"/>
          <w:tab w:val="center" w:pos="7200"/>
        </w:tabs>
        <w:overflowPunct w:val="0"/>
        <w:autoSpaceDE w:val="0"/>
        <w:autoSpaceDN w:val="0"/>
        <w:adjustRightInd w:val="0"/>
        <w:spacing w:after="0" w:line="240" w:lineRule="auto"/>
        <w:ind w:left="4320"/>
        <w:rPr>
          <w:rFonts w:eastAsia="Calibri" w:cs="Arial"/>
        </w:rPr>
      </w:pPr>
      <w:r w:rsidRPr="00023279">
        <w:rPr>
          <w:rFonts w:eastAsia="Calibri" w:cs="Arial"/>
        </w:rPr>
        <w:t>Telephone:  (614) 469-8000</w:t>
      </w:r>
    </w:p>
    <w:p w:rsidR="004B1AF0" w:rsidRPr="00023279" w:rsidRDefault="004B1AF0" w:rsidP="00F22FA2">
      <w:pPr>
        <w:tabs>
          <w:tab w:val="left" w:pos="-1440"/>
          <w:tab w:val="left" w:pos="-720"/>
          <w:tab w:val="left" w:pos="4320"/>
          <w:tab w:val="left" w:pos="5040"/>
          <w:tab w:val="center" w:pos="7200"/>
        </w:tabs>
        <w:overflowPunct w:val="0"/>
        <w:autoSpaceDE w:val="0"/>
        <w:autoSpaceDN w:val="0"/>
        <w:adjustRightInd w:val="0"/>
        <w:spacing w:after="0" w:line="240" w:lineRule="auto"/>
        <w:ind w:left="4320"/>
        <w:rPr>
          <w:rFonts w:eastAsia="Calibri" w:cs="Arial"/>
        </w:rPr>
      </w:pPr>
      <w:r w:rsidRPr="00023279">
        <w:rPr>
          <w:rFonts w:eastAsia="Calibri" w:cs="Arial"/>
        </w:rPr>
        <w:t>Telecopier:  (614) 469-4653</w:t>
      </w:r>
    </w:p>
    <w:p w:rsidR="004B1AF0" w:rsidRPr="008224AE" w:rsidRDefault="00FB0361" w:rsidP="00F22FA2">
      <w:pPr>
        <w:tabs>
          <w:tab w:val="left" w:pos="-1440"/>
          <w:tab w:val="left" w:pos="-720"/>
          <w:tab w:val="left" w:pos="5040"/>
          <w:tab w:val="center" w:pos="7200"/>
        </w:tabs>
        <w:overflowPunct w:val="0"/>
        <w:autoSpaceDE w:val="0"/>
        <w:autoSpaceDN w:val="0"/>
        <w:adjustRightInd w:val="0"/>
        <w:spacing w:after="0" w:line="240" w:lineRule="auto"/>
        <w:ind w:left="4320"/>
        <w:rPr>
          <w:rFonts w:eastAsia="Calibri" w:cs="Arial"/>
          <w:color w:val="000000"/>
        </w:rPr>
      </w:pPr>
      <w:hyperlink r:id="rId8" w:history="1">
        <w:r w:rsidR="004B1AF0" w:rsidRPr="008224AE">
          <w:rPr>
            <w:rFonts w:eastAsia="Calibri" w:cs="Arial"/>
            <w:color w:val="000000"/>
          </w:rPr>
          <w:t>fdarr@mwncmh.com</w:t>
        </w:r>
      </w:hyperlink>
    </w:p>
    <w:p w:rsidR="004B1AF0" w:rsidRPr="00023279" w:rsidRDefault="004B1AF0" w:rsidP="00F22FA2">
      <w:pPr>
        <w:tabs>
          <w:tab w:val="left" w:pos="-1440"/>
          <w:tab w:val="left" w:pos="-720"/>
          <w:tab w:val="left" w:pos="5040"/>
          <w:tab w:val="center" w:pos="7200"/>
        </w:tabs>
        <w:overflowPunct w:val="0"/>
        <w:autoSpaceDE w:val="0"/>
        <w:autoSpaceDN w:val="0"/>
        <w:adjustRightInd w:val="0"/>
        <w:spacing w:after="0" w:line="240" w:lineRule="auto"/>
        <w:ind w:left="4320"/>
        <w:rPr>
          <w:rFonts w:eastAsia="Calibri" w:cs="Arial"/>
          <w:color w:val="000000"/>
        </w:rPr>
      </w:pPr>
      <w:r w:rsidRPr="00023279">
        <w:rPr>
          <w:rFonts w:eastAsia="Calibri" w:cs="Arial"/>
          <w:color w:val="000000"/>
        </w:rPr>
        <w:t>(willing to accept service by e-mail)</w:t>
      </w:r>
    </w:p>
    <w:p w:rsidR="004B1AF0" w:rsidRPr="00023279" w:rsidRDefault="004B1AF0" w:rsidP="00F22FA2">
      <w:pPr>
        <w:tabs>
          <w:tab w:val="left" w:pos="-1440"/>
          <w:tab w:val="left" w:pos="-720"/>
          <w:tab w:val="left" w:pos="5040"/>
          <w:tab w:val="center" w:pos="7200"/>
        </w:tabs>
        <w:overflowPunct w:val="0"/>
        <w:autoSpaceDE w:val="0"/>
        <w:autoSpaceDN w:val="0"/>
        <w:adjustRightInd w:val="0"/>
        <w:spacing w:after="0" w:line="240" w:lineRule="auto"/>
        <w:ind w:left="4320"/>
        <w:rPr>
          <w:rFonts w:eastAsia="Calibri" w:cs="Arial"/>
          <w:smallCaps/>
          <w:color w:val="000000"/>
        </w:rPr>
      </w:pPr>
      <w:r w:rsidRPr="00023279">
        <w:rPr>
          <w:rFonts w:eastAsia="Calibri" w:cs="Arial"/>
          <w:color w:val="000000"/>
        </w:rPr>
        <w:t>mpritchard@mwncmh.com</w:t>
      </w:r>
    </w:p>
    <w:p w:rsidR="004B1AF0" w:rsidRPr="00023279" w:rsidRDefault="004B1AF0" w:rsidP="00F22FA2">
      <w:pPr>
        <w:tabs>
          <w:tab w:val="left" w:pos="-1440"/>
          <w:tab w:val="left" w:pos="-720"/>
          <w:tab w:val="left" w:pos="5040"/>
          <w:tab w:val="center" w:pos="7200"/>
        </w:tabs>
        <w:overflowPunct w:val="0"/>
        <w:autoSpaceDE w:val="0"/>
        <w:autoSpaceDN w:val="0"/>
        <w:adjustRightInd w:val="0"/>
        <w:spacing w:after="0" w:line="240" w:lineRule="auto"/>
        <w:ind w:left="4320"/>
        <w:rPr>
          <w:rFonts w:eastAsia="Calibri" w:cs="Arial"/>
          <w:color w:val="000000"/>
        </w:rPr>
      </w:pPr>
      <w:r w:rsidRPr="00023279">
        <w:rPr>
          <w:rFonts w:eastAsia="Calibri" w:cs="Arial"/>
          <w:color w:val="000000"/>
        </w:rPr>
        <w:t>(willing to accept service by e-mail)</w:t>
      </w:r>
    </w:p>
    <w:p w:rsidR="004B1AF0" w:rsidRPr="0050585D" w:rsidRDefault="004B1AF0" w:rsidP="00F22FA2">
      <w:pPr>
        <w:tabs>
          <w:tab w:val="left" w:pos="-1440"/>
          <w:tab w:val="left" w:pos="-720"/>
          <w:tab w:val="left" w:pos="5040"/>
          <w:tab w:val="center" w:pos="7200"/>
        </w:tabs>
        <w:overflowPunct w:val="0"/>
        <w:autoSpaceDE w:val="0"/>
        <w:autoSpaceDN w:val="0"/>
        <w:adjustRightInd w:val="0"/>
        <w:spacing w:after="0" w:line="240" w:lineRule="auto"/>
        <w:ind w:left="4320"/>
        <w:rPr>
          <w:rFonts w:eastAsia="Calibri" w:cs="Arial"/>
          <w:b/>
          <w:i/>
          <w:smallCaps/>
        </w:rPr>
      </w:pPr>
    </w:p>
    <w:p w:rsidR="004B1AF0" w:rsidRPr="008224AE" w:rsidRDefault="00C360D1" w:rsidP="00F22FA2">
      <w:pPr>
        <w:spacing w:after="0" w:line="240" w:lineRule="auto"/>
        <w:rPr>
          <w:rFonts w:ascii="Arial Bold" w:eastAsia="Calibri" w:hAnsi="Arial Bold" w:cs="Arial"/>
          <w:b/>
          <w:smallCaps/>
        </w:rPr>
      </w:pPr>
      <w:r>
        <w:rPr>
          <w:rFonts w:eastAsia="Calibri" w:cs="Arial"/>
          <w:b/>
        </w:rPr>
        <w:t xml:space="preserve">July </w:t>
      </w:r>
      <w:r w:rsidR="00DD7226">
        <w:rPr>
          <w:rFonts w:eastAsia="Calibri" w:cs="Arial"/>
          <w:b/>
        </w:rPr>
        <w:t>21</w:t>
      </w:r>
      <w:r w:rsidR="004B1AF0" w:rsidRPr="00023279">
        <w:rPr>
          <w:rFonts w:eastAsia="Calibri" w:cs="Arial"/>
          <w:b/>
        </w:rPr>
        <w:t>, 2014</w:t>
      </w:r>
      <w:r w:rsidR="004B1AF0" w:rsidRPr="00023279">
        <w:rPr>
          <w:rFonts w:eastAsia="Calibri" w:cs="Arial"/>
          <w:b/>
        </w:rPr>
        <w:tab/>
      </w:r>
      <w:r w:rsidR="004B1AF0" w:rsidRPr="00023279">
        <w:rPr>
          <w:rFonts w:eastAsia="Calibri" w:cs="Arial"/>
          <w:b/>
        </w:rPr>
        <w:tab/>
      </w:r>
      <w:r w:rsidR="004B1AF0" w:rsidRPr="00023279">
        <w:rPr>
          <w:rFonts w:eastAsia="Calibri" w:cs="Arial"/>
          <w:b/>
        </w:rPr>
        <w:tab/>
      </w:r>
      <w:r w:rsidR="004B1AF0" w:rsidRPr="00023279">
        <w:rPr>
          <w:rFonts w:eastAsia="Calibri" w:cs="Arial"/>
          <w:b/>
        </w:rPr>
        <w:tab/>
      </w:r>
      <w:r w:rsidR="004B1AF0" w:rsidRPr="008224AE">
        <w:rPr>
          <w:rFonts w:ascii="Arial Bold" w:eastAsia="Calibri" w:hAnsi="Arial Bold" w:cs="Arial"/>
          <w:b/>
          <w:smallCaps/>
        </w:rPr>
        <w:t xml:space="preserve">Attorneys for </w:t>
      </w:r>
      <w:r w:rsidR="00B337D0" w:rsidRPr="008224AE">
        <w:rPr>
          <w:rFonts w:ascii="Arial Bold" w:eastAsia="Calibri" w:hAnsi="Arial Bold" w:cs="Arial"/>
          <w:b/>
          <w:smallCaps/>
        </w:rPr>
        <w:t>Movants</w:t>
      </w:r>
    </w:p>
    <w:p w:rsidR="004B1AF0" w:rsidRPr="008224AE" w:rsidRDefault="004B1AF0" w:rsidP="00F22FA2">
      <w:pPr>
        <w:spacing w:after="0" w:line="240" w:lineRule="auto"/>
        <w:rPr>
          <w:rFonts w:ascii="Arial Bold" w:eastAsia="Times New Roman" w:hAnsi="Arial Bold" w:cs="Arial"/>
          <w:b/>
          <w:i/>
          <w:smallCaps/>
          <w:u w:val="single"/>
        </w:rPr>
      </w:pPr>
    </w:p>
    <w:p w:rsidR="004B1AF0" w:rsidRPr="0050585D" w:rsidRDefault="004B1AF0" w:rsidP="00F22FA2">
      <w:pPr>
        <w:spacing w:after="0" w:line="240" w:lineRule="auto"/>
        <w:rPr>
          <w:rFonts w:eastAsia="Times New Roman" w:cs="Arial"/>
          <w:b/>
          <w:i/>
          <w:smallCaps/>
        </w:rPr>
        <w:sectPr w:rsidR="004B1AF0" w:rsidRPr="0050585D" w:rsidSect="004B1AF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41" w:left="1440" w:header="720" w:footer="720" w:gutter="0"/>
          <w:pgNumType w:start="1"/>
          <w:cols w:space="720"/>
          <w:titlePg/>
          <w:docGrid w:linePitch="326"/>
        </w:sectPr>
      </w:pPr>
    </w:p>
    <w:p w:rsidR="004B1AF0" w:rsidRPr="00023279" w:rsidRDefault="004B1AF0" w:rsidP="00F22FA2">
      <w:pPr>
        <w:spacing w:after="0" w:line="240" w:lineRule="auto"/>
        <w:jc w:val="center"/>
        <w:rPr>
          <w:rFonts w:eastAsia="Times New Roman" w:cs="Arial"/>
          <w:b/>
          <w:smallCaps/>
        </w:rPr>
      </w:pPr>
      <w:r w:rsidRPr="00023279">
        <w:rPr>
          <w:rFonts w:eastAsia="Times New Roman" w:cs="Arial"/>
          <w:b/>
          <w:smallCaps/>
        </w:rPr>
        <w:lastRenderedPageBreak/>
        <w:t>Before</w:t>
      </w:r>
    </w:p>
    <w:p w:rsidR="004B1AF0" w:rsidRPr="00023279" w:rsidRDefault="004B1AF0" w:rsidP="00F22FA2">
      <w:pPr>
        <w:spacing w:after="0" w:line="240" w:lineRule="auto"/>
        <w:jc w:val="center"/>
        <w:rPr>
          <w:rFonts w:eastAsia="Times New Roman" w:cs="Arial"/>
          <w:b/>
          <w:smallCaps/>
        </w:rPr>
      </w:pPr>
      <w:r w:rsidRPr="00023279">
        <w:rPr>
          <w:rFonts w:eastAsia="Times New Roman" w:cs="Arial"/>
          <w:b/>
          <w:smallCaps/>
        </w:rPr>
        <w:t>The Public Utilities Commission of Ohio</w:t>
      </w:r>
    </w:p>
    <w:p w:rsidR="004B1AF0" w:rsidRPr="0050585D" w:rsidRDefault="004B1AF0" w:rsidP="00F22FA2">
      <w:pPr>
        <w:tabs>
          <w:tab w:val="left" w:pos="5040"/>
        </w:tabs>
        <w:spacing w:after="0" w:line="240" w:lineRule="auto"/>
        <w:rPr>
          <w:rFonts w:eastAsia="Times New Roman" w:cs="Arial"/>
          <w:i/>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50"/>
        <w:gridCol w:w="4158"/>
      </w:tblGrid>
      <w:tr w:rsidR="004B1AF0" w:rsidRPr="006C461A" w:rsidTr="00480FE0">
        <w:tc>
          <w:tcPr>
            <w:tcW w:w="4968" w:type="dxa"/>
          </w:tcPr>
          <w:p w:rsidR="004B1AF0" w:rsidRPr="00023279" w:rsidRDefault="004B1AF0" w:rsidP="00023279">
            <w:pPr>
              <w:tabs>
                <w:tab w:val="left" w:pos="5040"/>
              </w:tabs>
              <w:spacing w:after="0"/>
              <w:rPr>
                <w:rFonts w:ascii="Arial" w:eastAsia="Times New Roman" w:hAnsi="Arial" w:cs="Arial"/>
                <w:sz w:val="24"/>
                <w:szCs w:val="24"/>
              </w:rPr>
            </w:pPr>
            <w:r w:rsidRPr="00023279">
              <w:rPr>
                <w:rFonts w:ascii="Arial" w:eastAsia="Times New Roman" w:hAnsi="Arial" w:cs="Arial"/>
              </w:rPr>
              <w:t>Ohio Schools Council, Ohio School Boards Association, Ohio Association of School Business Officials, and Buckeye Association of School Administrators, dba Power4Schools,</w:t>
            </w:r>
          </w:p>
          <w:p w:rsidR="004B1AF0" w:rsidRPr="00023279" w:rsidRDefault="004B1AF0" w:rsidP="00023279">
            <w:pPr>
              <w:tabs>
                <w:tab w:val="left" w:pos="5040"/>
              </w:tabs>
              <w:spacing w:after="0"/>
              <w:ind w:left="720"/>
              <w:rPr>
                <w:rFonts w:ascii="Arial" w:eastAsia="Times New Roman" w:hAnsi="Arial" w:cs="Arial"/>
                <w:sz w:val="24"/>
                <w:szCs w:val="24"/>
              </w:rPr>
            </w:pPr>
          </w:p>
          <w:p w:rsidR="004B1AF0" w:rsidRPr="00023279" w:rsidRDefault="004B1AF0" w:rsidP="00023279">
            <w:pPr>
              <w:tabs>
                <w:tab w:val="left" w:pos="5040"/>
              </w:tabs>
              <w:spacing w:after="0"/>
              <w:ind w:left="720"/>
              <w:rPr>
                <w:rFonts w:ascii="Arial" w:eastAsia="Times New Roman" w:hAnsi="Arial" w:cs="Arial"/>
                <w:sz w:val="24"/>
                <w:szCs w:val="24"/>
              </w:rPr>
            </w:pPr>
            <w:r w:rsidRPr="00023279">
              <w:rPr>
                <w:rFonts w:ascii="Arial" w:eastAsia="Times New Roman" w:hAnsi="Arial" w:cs="Arial"/>
              </w:rPr>
              <w:t>Complainants,</w:t>
            </w:r>
          </w:p>
          <w:p w:rsidR="004B1AF0" w:rsidRPr="00023279" w:rsidRDefault="004B1AF0" w:rsidP="00023279">
            <w:pPr>
              <w:tabs>
                <w:tab w:val="left" w:pos="5040"/>
              </w:tabs>
              <w:spacing w:after="0"/>
              <w:ind w:left="720"/>
              <w:rPr>
                <w:rFonts w:ascii="Arial" w:eastAsia="Times New Roman" w:hAnsi="Arial" w:cs="Arial"/>
                <w:sz w:val="24"/>
                <w:szCs w:val="24"/>
              </w:rPr>
            </w:pPr>
          </w:p>
          <w:p w:rsidR="004B1AF0" w:rsidRPr="00023279" w:rsidRDefault="004B1AF0" w:rsidP="00023279">
            <w:pPr>
              <w:tabs>
                <w:tab w:val="left" w:pos="5040"/>
              </w:tabs>
              <w:spacing w:after="0"/>
              <w:ind w:left="720"/>
              <w:rPr>
                <w:rFonts w:ascii="Arial" w:eastAsia="Times New Roman" w:hAnsi="Arial" w:cs="Arial"/>
                <w:sz w:val="24"/>
                <w:szCs w:val="24"/>
              </w:rPr>
            </w:pPr>
            <w:r w:rsidRPr="00023279">
              <w:rPr>
                <w:rFonts w:ascii="Arial" w:eastAsia="Times New Roman" w:hAnsi="Arial" w:cs="Arial"/>
              </w:rPr>
              <w:t>v.</w:t>
            </w:r>
          </w:p>
          <w:p w:rsidR="004B1AF0" w:rsidRPr="00023279" w:rsidRDefault="004B1AF0" w:rsidP="00023279">
            <w:pPr>
              <w:tabs>
                <w:tab w:val="left" w:pos="5040"/>
              </w:tabs>
              <w:spacing w:after="0"/>
              <w:ind w:left="720"/>
              <w:rPr>
                <w:rFonts w:ascii="Arial" w:eastAsia="Times New Roman" w:hAnsi="Arial" w:cs="Arial"/>
                <w:sz w:val="24"/>
                <w:szCs w:val="24"/>
              </w:rPr>
            </w:pPr>
          </w:p>
          <w:p w:rsidR="004B1AF0" w:rsidRPr="00023279" w:rsidRDefault="004B1AF0" w:rsidP="00023279">
            <w:pPr>
              <w:tabs>
                <w:tab w:val="left" w:pos="5040"/>
              </w:tabs>
              <w:spacing w:after="0"/>
              <w:rPr>
                <w:rFonts w:ascii="Arial" w:eastAsia="Times New Roman" w:hAnsi="Arial" w:cs="Arial"/>
                <w:sz w:val="24"/>
                <w:szCs w:val="24"/>
              </w:rPr>
            </w:pPr>
            <w:r w:rsidRPr="00023279">
              <w:rPr>
                <w:rFonts w:ascii="Arial" w:eastAsia="Times New Roman" w:hAnsi="Arial" w:cs="Arial"/>
              </w:rPr>
              <w:t>FirstEnergy Solutions Corp.,</w:t>
            </w:r>
          </w:p>
          <w:p w:rsidR="004B1AF0" w:rsidRPr="00023279" w:rsidRDefault="004B1AF0" w:rsidP="00023279">
            <w:pPr>
              <w:tabs>
                <w:tab w:val="left" w:pos="5040"/>
              </w:tabs>
              <w:spacing w:after="0"/>
              <w:rPr>
                <w:rFonts w:ascii="Arial" w:eastAsia="Times New Roman" w:hAnsi="Arial" w:cs="Arial"/>
                <w:sz w:val="24"/>
                <w:szCs w:val="24"/>
              </w:rPr>
            </w:pPr>
          </w:p>
          <w:p w:rsidR="004B1AF0" w:rsidRPr="00023279" w:rsidRDefault="004B1AF0" w:rsidP="00023279">
            <w:pPr>
              <w:tabs>
                <w:tab w:val="left" w:pos="5040"/>
              </w:tabs>
              <w:spacing w:after="0"/>
              <w:ind w:left="720"/>
              <w:rPr>
                <w:rFonts w:ascii="Arial" w:eastAsia="Times New Roman" w:hAnsi="Arial" w:cs="Arial"/>
                <w:sz w:val="24"/>
                <w:szCs w:val="24"/>
              </w:rPr>
            </w:pPr>
            <w:r w:rsidRPr="00023279">
              <w:rPr>
                <w:rFonts w:ascii="Arial" w:eastAsia="Times New Roman" w:hAnsi="Arial" w:cs="Arial"/>
              </w:rPr>
              <w:t>Respondent.</w:t>
            </w:r>
          </w:p>
          <w:p w:rsidR="004B1AF0" w:rsidRPr="00023279" w:rsidRDefault="004B1AF0" w:rsidP="00023279">
            <w:pPr>
              <w:tabs>
                <w:tab w:val="left" w:pos="5040"/>
              </w:tabs>
              <w:spacing w:after="0"/>
              <w:rPr>
                <w:rFonts w:ascii="Arial" w:eastAsia="Times New Roman" w:hAnsi="Arial" w:cs="Arial"/>
                <w:sz w:val="24"/>
                <w:szCs w:val="24"/>
              </w:rPr>
            </w:pPr>
          </w:p>
        </w:tc>
        <w:tc>
          <w:tcPr>
            <w:tcW w:w="450" w:type="dxa"/>
          </w:tcPr>
          <w:p w:rsidR="004B1AF0" w:rsidRPr="00023279" w:rsidRDefault="004B1AF0" w:rsidP="00F22FA2">
            <w:pPr>
              <w:spacing w:after="0"/>
              <w:jc w:val="both"/>
              <w:rPr>
                <w:rFonts w:ascii="Arial" w:eastAsia="Times New Roman" w:hAnsi="Arial" w:cs="Arial"/>
                <w:sz w:val="24"/>
                <w:szCs w:val="24"/>
              </w:rPr>
            </w:pPr>
            <w:r w:rsidRPr="00023279">
              <w:rPr>
                <w:rFonts w:ascii="Arial" w:eastAsia="Times New Roman" w:hAnsi="Arial" w:cs="Arial"/>
              </w:rPr>
              <w:t>)</w:t>
            </w:r>
          </w:p>
          <w:p w:rsidR="004B1AF0" w:rsidRPr="00023279" w:rsidRDefault="004B1AF0" w:rsidP="00F22FA2">
            <w:pPr>
              <w:spacing w:after="0"/>
              <w:jc w:val="both"/>
              <w:rPr>
                <w:rFonts w:ascii="Arial" w:eastAsia="Times New Roman" w:hAnsi="Arial" w:cs="Arial"/>
                <w:sz w:val="24"/>
                <w:szCs w:val="24"/>
              </w:rPr>
            </w:pPr>
            <w:r w:rsidRPr="00023279">
              <w:rPr>
                <w:rFonts w:ascii="Arial" w:eastAsia="Times New Roman" w:hAnsi="Arial" w:cs="Arial"/>
              </w:rPr>
              <w:t>)</w:t>
            </w:r>
          </w:p>
          <w:p w:rsidR="004B1AF0" w:rsidRPr="00023279" w:rsidRDefault="004B1AF0" w:rsidP="00F22FA2">
            <w:pPr>
              <w:spacing w:after="0"/>
              <w:jc w:val="both"/>
              <w:rPr>
                <w:rFonts w:ascii="Arial" w:eastAsia="Times New Roman" w:hAnsi="Arial" w:cs="Arial"/>
                <w:sz w:val="24"/>
                <w:szCs w:val="24"/>
              </w:rPr>
            </w:pPr>
            <w:r w:rsidRPr="00023279">
              <w:rPr>
                <w:rFonts w:ascii="Arial" w:eastAsia="Times New Roman" w:hAnsi="Arial" w:cs="Arial"/>
              </w:rPr>
              <w:t>)</w:t>
            </w:r>
          </w:p>
          <w:p w:rsidR="004B1AF0" w:rsidRPr="00023279" w:rsidRDefault="004B1AF0" w:rsidP="00F22FA2">
            <w:pPr>
              <w:spacing w:after="0"/>
              <w:jc w:val="both"/>
              <w:rPr>
                <w:rFonts w:ascii="Arial" w:eastAsia="Times New Roman" w:hAnsi="Arial" w:cs="Arial"/>
                <w:sz w:val="24"/>
                <w:szCs w:val="24"/>
              </w:rPr>
            </w:pPr>
            <w:r w:rsidRPr="00023279">
              <w:rPr>
                <w:rFonts w:ascii="Arial" w:eastAsia="Times New Roman" w:hAnsi="Arial" w:cs="Arial"/>
              </w:rPr>
              <w:t>)</w:t>
            </w:r>
          </w:p>
          <w:p w:rsidR="004B1AF0" w:rsidRPr="00023279" w:rsidRDefault="004B1AF0" w:rsidP="00F22FA2">
            <w:pPr>
              <w:spacing w:after="0"/>
              <w:jc w:val="both"/>
              <w:rPr>
                <w:rFonts w:ascii="Arial" w:eastAsia="Times New Roman" w:hAnsi="Arial" w:cs="Arial"/>
                <w:sz w:val="24"/>
                <w:szCs w:val="24"/>
              </w:rPr>
            </w:pPr>
            <w:r w:rsidRPr="00023279">
              <w:rPr>
                <w:rFonts w:ascii="Arial" w:eastAsia="Times New Roman" w:hAnsi="Arial" w:cs="Arial"/>
              </w:rPr>
              <w:t>)</w:t>
            </w:r>
          </w:p>
          <w:p w:rsidR="004B1AF0" w:rsidRPr="00023279" w:rsidRDefault="004B1AF0" w:rsidP="00F22FA2">
            <w:pPr>
              <w:spacing w:after="0"/>
              <w:jc w:val="both"/>
              <w:rPr>
                <w:rFonts w:ascii="Arial" w:eastAsia="Times New Roman" w:hAnsi="Arial" w:cs="Arial"/>
                <w:sz w:val="24"/>
                <w:szCs w:val="24"/>
              </w:rPr>
            </w:pPr>
            <w:r w:rsidRPr="00023279">
              <w:rPr>
                <w:rFonts w:ascii="Arial" w:eastAsia="Times New Roman" w:hAnsi="Arial" w:cs="Arial"/>
              </w:rPr>
              <w:t>)</w:t>
            </w:r>
          </w:p>
          <w:p w:rsidR="004B1AF0" w:rsidRPr="00023279" w:rsidRDefault="004B1AF0" w:rsidP="00F22FA2">
            <w:pPr>
              <w:spacing w:after="0"/>
              <w:jc w:val="both"/>
              <w:rPr>
                <w:rFonts w:ascii="Arial" w:eastAsia="Times New Roman" w:hAnsi="Arial" w:cs="Arial"/>
                <w:sz w:val="24"/>
                <w:szCs w:val="24"/>
              </w:rPr>
            </w:pPr>
            <w:r w:rsidRPr="00023279">
              <w:rPr>
                <w:rFonts w:ascii="Arial" w:eastAsia="Times New Roman" w:hAnsi="Arial" w:cs="Arial"/>
              </w:rPr>
              <w:t>)</w:t>
            </w:r>
          </w:p>
          <w:p w:rsidR="004B1AF0" w:rsidRPr="00023279" w:rsidRDefault="004B1AF0" w:rsidP="00F22FA2">
            <w:pPr>
              <w:spacing w:after="0"/>
              <w:jc w:val="both"/>
              <w:rPr>
                <w:rFonts w:ascii="Arial" w:eastAsia="Times New Roman" w:hAnsi="Arial" w:cs="Arial"/>
                <w:sz w:val="24"/>
                <w:szCs w:val="24"/>
              </w:rPr>
            </w:pPr>
            <w:r w:rsidRPr="00023279">
              <w:rPr>
                <w:rFonts w:ascii="Arial" w:eastAsia="Times New Roman" w:hAnsi="Arial" w:cs="Arial"/>
              </w:rPr>
              <w:t>)</w:t>
            </w:r>
          </w:p>
          <w:p w:rsidR="004B1AF0" w:rsidRPr="00023279" w:rsidRDefault="004B1AF0" w:rsidP="00F22FA2">
            <w:pPr>
              <w:spacing w:after="0"/>
              <w:jc w:val="both"/>
              <w:rPr>
                <w:rFonts w:ascii="Arial" w:eastAsia="Times New Roman" w:hAnsi="Arial" w:cs="Arial"/>
                <w:sz w:val="24"/>
                <w:szCs w:val="24"/>
              </w:rPr>
            </w:pPr>
            <w:r w:rsidRPr="00023279">
              <w:rPr>
                <w:rFonts w:ascii="Arial" w:eastAsia="Times New Roman" w:hAnsi="Arial" w:cs="Arial"/>
              </w:rPr>
              <w:t>)</w:t>
            </w:r>
          </w:p>
          <w:p w:rsidR="004B1AF0" w:rsidRPr="00023279" w:rsidRDefault="004B1AF0" w:rsidP="00F22FA2">
            <w:pPr>
              <w:spacing w:after="0"/>
              <w:jc w:val="both"/>
              <w:rPr>
                <w:rFonts w:ascii="Arial" w:eastAsia="Times New Roman" w:hAnsi="Arial" w:cs="Arial"/>
                <w:sz w:val="24"/>
                <w:szCs w:val="24"/>
              </w:rPr>
            </w:pPr>
            <w:r w:rsidRPr="00023279">
              <w:rPr>
                <w:rFonts w:ascii="Arial" w:eastAsia="Times New Roman" w:hAnsi="Arial" w:cs="Arial"/>
              </w:rPr>
              <w:t>)</w:t>
            </w:r>
          </w:p>
          <w:p w:rsidR="004B1AF0" w:rsidRPr="00023279" w:rsidRDefault="004B1AF0" w:rsidP="00F22FA2">
            <w:pPr>
              <w:spacing w:after="0"/>
              <w:jc w:val="both"/>
              <w:rPr>
                <w:rFonts w:ascii="Arial" w:eastAsia="Times New Roman" w:hAnsi="Arial" w:cs="Arial"/>
                <w:sz w:val="24"/>
                <w:szCs w:val="24"/>
              </w:rPr>
            </w:pPr>
            <w:r w:rsidRPr="00023279">
              <w:rPr>
                <w:rFonts w:ascii="Arial" w:eastAsia="Times New Roman" w:hAnsi="Arial" w:cs="Arial"/>
              </w:rPr>
              <w:t>)</w:t>
            </w:r>
          </w:p>
          <w:p w:rsidR="004B1AF0" w:rsidRPr="00023279" w:rsidRDefault="004B1AF0" w:rsidP="00F22FA2">
            <w:pPr>
              <w:spacing w:after="0"/>
              <w:jc w:val="both"/>
              <w:rPr>
                <w:rFonts w:ascii="Arial" w:eastAsia="Times New Roman" w:hAnsi="Arial" w:cs="Arial"/>
                <w:sz w:val="24"/>
                <w:szCs w:val="24"/>
              </w:rPr>
            </w:pPr>
            <w:r w:rsidRPr="00023279">
              <w:rPr>
                <w:rFonts w:ascii="Arial" w:eastAsia="Times New Roman" w:hAnsi="Arial" w:cs="Arial"/>
              </w:rPr>
              <w:t>)</w:t>
            </w:r>
          </w:p>
          <w:p w:rsidR="004B1AF0" w:rsidRPr="00023279" w:rsidRDefault="004B1AF0" w:rsidP="00F22FA2">
            <w:pPr>
              <w:spacing w:after="0"/>
              <w:jc w:val="both"/>
              <w:rPr>
                <w:rFonts w:ascii="Arial" w:eastAsia="Times New Roman" w:hAnsi="Arial" w:cs="Arial"/>
                <w:sz w:val="24"/>
                <w:szCs w:val="24"/>
              </w:rPr>
            </w:pPr>
            <w:r w:rsidRPr="00023279">
              <w:rPr>
                <w:rFonts w:ascii="Arial" w:eastAsia="Times New Roman" w:hAnsi="Arial" w:cs="Arial"/>
              </w:rPr>
              <w:t>)</w:t>
            </w:r>
          </w:p>
        </w:tc>
        <w:tc>
          <w:tcPr>
            <w:tcW w:w="4158" w:type="dxa"/>
          </w:tcPr>
          <w:p w:rsidR="004B1AF0" w:rsidRPr="00023279" w:rsidRDefault="004B1AF0" w:rsidP="00F22FA2">
            <w:pPr>
              <w:tabs>
                <w:tab w:val="left" w:pos="5040"/>
              </w:tabs>
              <w:spacing w:after="0"/>
              <w:jc w:val="both"/>
              <w:rPr>
                <w:rFonts w:ascii="Arial" w:eastAsia="Times New Roman" w:hAnsi="Arial" w:cs="Arial"/>
                <w:sz w:val="24"/>
                <w:szCs w:val="24"/>
              </w:rPr>
            </w:pPr>
          </w:p>
          <w:p w:rsidR="004B1AF0" w:rsidRPr="00023279" w:rsidRDefault="004B1AF0" w:rsidP="00F22FA2">
            <w:pPr>
              <w:spacing w:after="0"/>
              <w:jc w:val="both"/>
              <w:rPr>
                <w:rFonts w:ascii="Arial" w:eastAsia="Times New Roman" w:hAnsi="Arial" w:cs="Arial"/>
                <w:sz w:val="24"/>
                <w:szCs w:val="24"/>
              </w:rPr>
            </w:pPr>
          </w:p>
          <w:p w:rsidR="004B1AF0" w:rsidRPr="00023279" w:rsidRDefault="004B1AF0" w:rsidP="00F22FA2">
            <w:pPr>
              <w:spacing w:after="0"/>
              <w:jc w:val="both"/>
              <w:rPr>
                <w:rFonts w:ascii="Arial" w:eastAsia="Times New Roman" w:hAnsi="Arial" w:cs="Arial"/>
                <w:sz w:val="24"/>
                <w:szCs w:val="24"/>
              </w:rPr>
            </w:pPr>
          </w:p>
          <w:p w:rsidR="004B1AF0" w:rsidRPr="00023279" w:rsidRDefault="004B1AF0" w:rsidP="00F22FA2">
            <w:pPr>
              <w:spacing w:after="0"/>
              <w:jc w:val="both"/>
              <w:rPr>
                <w:rFonts w:ascii="Arial" w:eastAsia="Times New Roman" w:hAnsi="Arial" w:cs="Arial"/>
                <w:sz w:val="24"/>
                <w:szCs w:val="24"/>
              </w:rPr>
            </w:pPr>
          </w:p>
          <w:p w:rsidR="004B1AF0" w:rsidRPr="00023279" w:rsidRDefault="004B1AF0" w:rsidP="00F22FA2">
            <w:pPr>
              <w:spacing w:after="0"/>
              <w:jc w:val="both"/>
              <w:rPr>
                <w:rFonts w:ascii="Arial" w:eastAsia="Times New Roman" w:hAnsi="Arial" w:cs="Arial"/>
                <w:sz w:val="24"/>
                <w:szCs w:val="24"/>
              </w:rPr>
            </w:pPr>
          </w:p>
          <w:p w:rsidR="004B1AF0" w:rsidRPr="00023279" w:rsidRDefault="004B1AF0" w:rsidP="00F22FA2">
            <w:pPr>
              <w:spacing w:after="0"/>
              <w:jc w:val="both"/>
              <w:rPr>
                <w:rFonts w:ascii="Arial" w:eastAsia="Times New Roman" w:hAnsi="Arial" w:cs="Arial"/>
                <w:sz w:val="24"/>
                <w:szCs w:val="24"/>
              </w:rPr>
            </w:pPr>
          </w:p>
          <w:p w:rsidR="004B1AF0" w:rsidRPr="00023279" w:rsidRDefault="004B1AF0" w:rsidP="00F22FA2">
            <w:pPr>
              <w:spacing w:after="0"/>
              <w:ind w:left="342"/>
              <w:jc w:val="both"/>
              <w:rPr>
                <w:rFonts w:ascii="Arial" w:eastAsia="Times New Roman" w:hAnsi="Arial" w:cs="Arial"/>
                <w:sz w:val="24"/>
                <w:szCs w:val="24"/>
              </w:rPr>
            </w:pPr>
            <w:r w:rsidRPr="00023279">
              <w:rPr>
                <w:rFonts w:ascii="Arial" w:eastAsia="Times New Roman" w:hAnsi="Arial" w:cs="Arial"/>
              </w:rPr>
              <w:t>Case No. 14-1182-EL-CSS</w:t>
            </w:r>
          </w:p>
          <w:p w:rsidR="004B1AF0" w:rsidRPr="00023279" w:rsidRDefault="004B1AF0" w:rsidP="00F22FA2">
            <w:pPr>
              <w:spacing w:after="0"/>
              <w:jc w:val="both"/>
              <w:rPr>
                <w:rFonts w:ascii="Arial" w:eastAsia="Times New Roman" w:hAnsi="Arial" w:cs="Arial"/>
                <w:sz w:val="24"/>
                <w:szCs w:val="24"/>
              </w:rPr>
            </w:pPr>
          </w:p>
          <w:p w:rsidR="004B1AF0" w:rsidRPr="00023279" w:rsidRDefault="004B1AF0" w:rsidP="00F22FA2">
            <w:pPr>
              <w:spacing w:after="0"/>
              <w:jc w:val="both"/>
              <w:rPr>
                <w:rFonts w:ascii="Arial" w:eastAsia="Times New Roman" w:hAnsi="Arial" w:cs="Arial"/>
                <w:sz w:val="24"/>
                <w:szCs w:val="24"/>
              </w:rPr>
            </w:pPr>
          </w:p>
          <w:p w:rsidR="004B1AF0" w:rsidRPr="00023279" w:rsidRDefault="004B1AF0" w:rsidP="00F22FA2">
            <w:pPr>
              <w:spacing w:after="0"/>
              <w:jc w:val="both"/>
              <w:rPr>
                <w:rFonts w:ascii="Arial" w:eastAsia="Times New Roman" w:hAnsi="Arial" w:cs="Arial"/>
                <w:sz w:val="24"/>
                <w:szCs w:val="24"/>
              </w:rPr>
            </w:pPr>
          </w:p>
        </w:tc>
      </w:tr>
    </w:tbl>
    <w:p w:rsidR="004B1AF0" w:rsidRPr="0050585D" w:rsidRDefault="004B1AF0" w:rsidP="00F22FA2">
      <w:pPr>
        <w:tabs>
          <w:tab w:val="left" w:pos="5040"/>
        </w:tabs>
        <w:spacing w:after="0" w:line="240" w:lineRule="auto"/>
        <w:rPr>
          <w:rFonts w:eastAsia="Times New Roman" w:cs="Arial"/>
          <w:i/>
        </w:rPr>
      </w:pPr>
    </w:p>
    <w:p w:rsidR="004B1AF0" w:rsidRPr="0050585D" w:rsidRDefault="004B1AF0" w:rsidP="00F22FA2">
      <w:pPr>
        <w:keepNext/>
        <w:pBdr>
          <w:top w:val="single" w:sz="12" w:space="1" w:color="auto"/>
        </w:pBdr>
        <w:tabs>
          <w:tab w:val="left" w:pos="7320"/>
        </w:tabs>
        <w:spacing w:after="0" w:line="240" w:lineRule="auto"/>
        <w:outlineLvl w:val="0"/>
        <w:rPr>
          <w:rFonts w:eastAsia="Times New Roman" w:cs="Arial"/>
          <w:b/>
          <w:i/>
          <w:smallCaps/>
        </w:rPr>
      </w:pPr>
    </w:p>
    <w:p w:rsidR="004B1AF0" w:rsidRPr="004B1AF0" w:rsidRDefault="004B1AF0" w:rsidP="00F22FA2">
      <w:pPr>
        <w:keepNext/>
        <w:tabs>
          <w:tab w:val="left" w:pos="7320"/>
        </w:tabs>
        <w:spacing w:after="0" w:line="240" w:lineRule="auto"/>
        <w:jc w:val="center"/>
        <w:outlineLvl w:val="0"/>
        <w:rPr>
          <w:rFonts w:eastAsia="Times New Roman" w:cs="Arial"/>
          <w:b/>
          <w:smallCaps/>
        </w:rPr>
      </w:pPr>
      <w:r w:rsidRPr="00023279">
        <w:rPr>
          <w:rFonts w:eastAsia="Times New Roman" w:cs="Arial"/>
          <w:b/>
          <w:smallCaps/>
        </w:rPr>
        <w:t xml:space="preserve">Motion for Interim and Preliminary Orders of </w:t>
      </w:r>
      <w:r w:rsidR="00DD7226" w:rsidRPr="00DD7226">
        <w:rPr>
          <w:rFonts w:ascii="Arial Bold" w:eastAsia="Times New Roman" w:hAnsi="Arial Bold"/>
          <w:smallCaps/>
        </w:rPr>
        <w:t>Navco Enterpri</w:t>
      </w:r>
      <w:r w:rsidR="008224AE">
        <w:rPr>
          <w:rFonts w:ascii="Arial Bold" w:eastAsia="Times New Roman" w:hAnsi="Arial Bold"/>
          <w:smallCaps/>
        </w:rPr>
        <w:t>s</w:t>
      </w:r>
      <w:r w:rsidR="00DD7226" w:rsidRPr="00DD7226">
        <w:rPr>
          <w:rFonts w:ascii="Arial Bold" w:eastAsia="Times New Roman" w:hAnsi="Arial Bold"/>
          <w:smallCaps/>
        </w:rPr>
        <w:t>es.Com, Inc., Navco Enterprises of P</w:t>
      </w:r>
      <w:r w:rsidR="008224AE">
        <w:rPr>
          <w:rFonts w:ascii="Arial Bold" w:eastAsia="Times New Roman" w:hAnsi="Arial Bold"/>
          <w:smallCaps/>
        </w:rPr>
        <w:t>.</w:t>
      </w:r>
      <w:r w:rsidR="00DD7226" w:rsidRPr="00DD7226">
        <w:rPr>
          <w:rFonts w:ascii="Arial Bold" w:eastAsia="Times New Roman" w:hAnsi="Arial Bold"/>
          <w:smallCaps/>
        </w:rPr>
        <w:t>V</w:t>
      </w:r>
      <w:r w:rsidR="008224AE">
        <w:rPr>
          <w:rFonts w:ascii="Arial Bold" w:eastAsia="Times New Roman" w:hAnsi="Arial Bold"/>
          <w:smallCaps/>
        </w:rPr>
        <w:t>.</w:t>
      </w:r>
      <w:r w:rsidR="00DD7226" w:rsidRPr="00DD7226">
        <w:rPr>
          <w:rFonts w:ascii="Arial Bold" w:eastAsia="Times New Roman" w:hAnsi="Arial Bold"/>
          <w:smallCaps/>
        </w:rPr>
        <w:t xml:space="preserve">, Inc., Navco Enterprises, Inc., Foodlife </w:t>
      </w:r>
      <w:r w:rsidR="008224AE">
        <w:rPr>
          <w:rFonts w:ascii="Arial Bold" w:eastAsia="Times New Roman" w:hAnsi="Arial Bold"/>
          <w:smallCaps/>
        </w:rPr>
        <w:t>International</w:t>
      </w:r>
      <w:r w:rsidR="00DD7226" w:rsidRPr="00DD7226">
        <w:rPr>
          <w:rFonts w:ascii="Arial Bold" w:eastAsia="Times New Roman" w:hAnsi="Arial Bold"/>
          <w:smallCaps/>
        </w:rPr>
        <w:t>, Inc., Navco Enterprises of O</w:t>
      </w:r>
      <w:r w:rsidR="008224AE">
        <w:rPr>
          <w:rFonts w:ascii="Arial Bold" w:eastAsia="Times New Roman" w:hAnsi="Arial Bold"/>
          <w:smallCaps/>
        </w:rPr>
        <w:t>.</w:t>
      </w:r>
      <w:r w:rsidR="00DD7226" w:rsidRPr="00DD7226">
        <w:rPr>
          <w:rFonts w:ascii="Arial Bold" w:eastAsia="Times New Roman" w:hAnsi="Arial Bold"/>
          <w:smallCaps/>
        </w:rPr>
        <w:t>V</w:t>
      </w:r>
      <w:r w:rsidR="008224AE">
        <w:rPr>
          <w:rFonts w:ascii="Arial Bold" w:eastAsia="Times New Roman" w:hAnsi="Arial Bold"/>
          <w:smallCaps/>
        </w:rPr>
        <w:t>.</w:t>
      </w:r>
      <w:r w:rsidR="00DD7226" w:rsidRPr="00DD7226">
        <w:rPr>
          <w:rFonts w:ascii="Arial Bold" w:eastAsia="Times New Roman" w:hAnsi="Arial Bold"/>
          <w:smallCaps/>
        </w:rPr>
        <w:t xml:space="preserve">, Inc., </w:t>
      </w:r>
      <w:r w:rsidR="008224AE">
        <w:rPr>
          <w:rFonts w:ascii="Arial Bold" w:eastAsia="Times New Roman" w:hAnsi="Arial Bold"/>
          <w:smallCaps/>
        </w:rPr>
        <w:t xml:space="preserve">and </w:t>
      </w:r>
      <w:r w:rsidR="00DD7226" w:rsidRPr="00DD7226">
        <w:rPr>
          <w:rFonts w:ascii="Arial Bold" w:eastAsia="Times New Roman" w:hAnsi="Arial Bold"/>
          <w:smallCaps/>
        </w:rPr>
        <w:t>Navco of York Road, Inc.</w:t>
      </w:r>
    </w:p>
    <w:p w:rsidR="004B1AF0" w:rsidRPr="004B1AF0" w:rsidRDefault="004B1AF0" w:rsidP="00F22FA2">
      <w:pPr>
        <w:pBdr>
          <w:bottom w:val="single" w:sz="12" w:space="1" w:color="auto"/>
        </w:pBdr>
        <w:spacing w:after="0" w:line="240" w:lineRule="auto"/>
        <w:rPr>
          <w:rFonts w:eastAsia="Times New Roman" w:cs="Arial"/>
          <w:b/>
          <w:smallCaps/>
          <w:u w:val="single"/>
        </w:rPr>
      </w:pPr>
    </w:p>
    <w:p w:rsidR="004B1AF0" w:rsidRPr="004B1AF0" w:rsidRDefault="004B1AF0" w:rsidP="00F22FA2">
      <w:pPr>
        <w:spacing w:after="0" w:line="240" w:lineRule="auto"/>
        <w:rPr>
          <w:rFonts w:eastAsia="Times New Roman" w:cs="Arial"/>
          <w:b/>
          <w:smallCaps/>
          <w:u w:val="single"/>
        </w:rPr>
      </w:pPr>
    </w:p>
    <w:p w:rsidR="008E3BF4" w:rsidRDefault="004B1AF0" w:rsidP="00F22FA2">
      <w:pPr>
        <w:ind w:firstLine="720"/>
        <w:rPr>
          <w:rFonts w:eastAsia="Times New Roman" w:cs="Arial"/>
        </w:rPr>
      </w:pPr>
      <w:r w:rsidRPr="00C00D4C">
        <w:rPr>
          <w:rFonts w:eastAsia="Times New Roman" w:cs="Arial"/>
        </w:rPr>
        <w:t>Pursuant to R.C. 4928.10 and Rule 4901-1-1</w:t>
      </w:r>
      <w:r w:rsidR="0001061B" w:rsidRPr="00C00D4C">
        <w:rPr>
          <w:rFonts w:eastAsia="Times New Roman" w:cs="Arial"/>
        </w:rPr>
        <w:t>2</w:t>
      </w:r>
      <w:r w:rsidRPr="00C00D4C">
        <w:rPr>
          <w:rFonts w:eastAsia="Times New Roman" w:cs="Arial"/>
        </w:rPr>
        <w:t xml:space="preserve">, Ohio Administrative Code, </w:t>
      </w:r>
      <w:r w:rsidR="00DD7226" w:rsidRPr="00DD7226">
        <w:rPr>
          <w:rFonts w:cs="Arial"/>
        </w:rPr>
        <w:t>Navco Enterpri</w:t>
      </w:r>
      <w:r w:rsidR="008224AE">
        <w:rPr>
          <w:rFonts w:cs="Arial"/>
        </w:rPr>
        <w:t>s</w:t>
      </w:r>
      <w:r w:rsidR="00DD7226" w:rsidRPr="00DD7226">
        <w:rPr>
          <w:rFonts w:cs="Arial"/>
        </w:rPr>
        <w:t>es.Com, Inc., Navco Enterprises of P</w:t>
      </w:r>
      <w:r w:rsidR="008224AE">
        <w:rPr>
          <w:rFonts w:cs="Arial"/>
        </w:rPr>
        <w:t>.</w:t>
      </w:r>
      <w:r w:rsidR="00DD7226" w:rsidRPr="00DD7226">
        <w:rPr>
          <w:rFonts w:cs="Arial"/>
        </w:rPr>
        <w:t>V</w:t>
      </w:r>
      <w:r w:rsidR="008224AE">
        <w:rPr>
          <w:rFonts w:cs="Arial"/>
        </w:rPr>
        <w:t>.</w:t>
      </w:r>
      <w:r w:rsidR="00DD7226" w:rsidRPr="00DD7226">
        <w:rPr>
          <w:rFonts w:cs="Arial"/>
        </w:rPr>
        <w:t xml:space="preserve">, Inc., Navco Enterprises, Inc., Foodlife </w:t>
      </w:r>
      <w:r w:rsidR="008224AE">
        <w:rPr>
          <w:rFonts w:cs="Arial"/>
        </w:rPr>
        <w:t>International</w:t>
      </w:r>
      <w:r w:rsidR="00DD7226" w:rsidRPr="00DD7226">
        <w:rPr>
          <w:rFonts w:cs="Arial"/>
        </w:rPr>
        <w:t>, Inc., Navco Enterprises of O</w:t>
      </w:r>
      <w:r w:rsidR="008224AE">
        <w:rPr>
          <w:rFonts w:cs="Arial"/>
        </w:rPr>
        <w:t>.</w:t>
      </w:r>
      <w:r w:rsidR="00DD7226" w:rsidRPr="00DD7226">
        <w:rPr>
          <w:rFonts w:cs="Arial"/>
        </w:rPr>
        <w:t>V</w:t>
      </w:r>
      <w:r w:rsidR="008224AE">
        <w:rPr>
          <w:rFonts w:cs="Arial"/>
        </w:rPr>
        <w:t>.</w:t>
      </w:r>
      <w:r w:rsidR="00DD7226" w:rsidRPr="00DD7226">
        <w:rPr>
          <w:rFonts w:cs="Arial"/>
        </w:rPr>
        <w:t xml:space="preserve">, Inc., </w:t>
      </w:r>
      <w:r w:rsidR="008224AE">
        <w:rPr>
          <w:rFonts w:cs="Arial"/>
        </w:rPr>
        <w:t xml:space="preserve">and </w:t>
      </w:r>
      <w:r w:rsidR="00DD7226" w:rsidRPr="00DD7226">
        <w:rPr>
          <w:rFonts w:cs="Arial"/>
        </w:rPr>
        <w:t>Navco of York Road, Inc.</w:t>
      </w:r>
      <w:r w:rsidR="008224AE">
        <w:rPr>
          <w:rFonts w:cs="Arial"/>
        </w:rPr>
        <w:t xml:space="preserve"> ("Movants"),</w:t>
      </w:r>
      <w:r w:rsidR="006A40B0" w:rsidRPr="006A40B0">
        <w:rPr>
          <w:rFonts w:cs="Arial"/>
        </w:rPr>
        <w:t xml:space="preserve"> </w:t>
      </w:r>
      <w:r>
        <w:rPr>
          <w:rFonts w:eastAsia="Times New Roman" w:cs="Arial"/>
        </w:rPr>
        <w:t>move the Public Utilities Commission of Ohio (“Commission”) for orders providing the following preliminary and interim relief:</w:t>
      </w:r>
    </w:p>
    <w:p w:rsidR="004B1AF0" w:rsidRPr="004B1AF0" w:rsidRDefault="00F22FA2" w:rsidP="001E375C">
      <w:pPr>
        <w:numPr>
          <w:ilvl w:val="0"/>
          <w:numId w:val="1"/>
        </w:numPr>
        <w:spacing w:after="0" w:line="240" w:lineRule="auto"/>
        <w:ind w:right="720" w:hanging="720"/>
        <w:contextualSpacing/>
        <w:rPr>
          <w:rFonts w:cstheme="minorBidi"/>
        </w:rPr>
      </w:pPr>
      <w:r>
        <w:rPr>
          <w:rFonts w:cstheme="minorBidi"/>
        </w:rPr>
        <w:t>An order</w:t>
      </w:r>
      <w:r w:rsidR="004B1AF0" w:rsidRPr="004B1AF0">
        <w:rPr>
          <w:rFonts w:cstheme="minorBidi"/>
        </w:rPr>
        <w:t xml:space="preserve"> finding that an amount disputed by a </w:t>
      </w:r>
      <w:r w:rsidR="004B1AF0">
        <w:rPr>
          <w:rFonts w:cstheme="minorBidi"/>
        </w:rPr>
        <w:t>Movant</w:t>
      </w:r>
      <w:r w:rsidR="004B1AF0" w:rsidRPr="004B1AF0">
        <w:rPr>
          <w:rFonts w:cstheme="minorBidi"/>
        </w:rPr>
        <w:t xml:space="preserve"> will not be deemed due and payable and the contract will not be deemed as in default if the </w:t>
      </w:r>
      <w:r w:rsidR="004B1AF0">
        <w:rPr>
          <w:rFonts w:cstheme="minorBidi"/>
        </w:rPr>
        <w:t>Movant</w:t>
      </w:r>
      <w:r w:rsidR="004B1AF0" w:rsidRPr="004B1AF0">
        <w:rPr>
          <w:rFonts w:cstheme="minorBidi"/>
        </w:rPr>
        <w:t xml:space="preserve"> has notified </w:t>
      </w:r>
      <w:r w:rsidR="006C461A">
        <w:rPr>
          <w:rFonts w:cstheme="minorBidi"/>
        </w:rPr>
        <w:t>FirstEnergy Solutions Corp. (“</w:t>
      </w:r>
      <w:r w:rsidR="004B1AF0">
        <w:rPr>
          <w:rFonts w:cstheme="minorBidi"/>
        </w:rPr>
        <w:t>FES</w:t>
      </w:r>
      <w:r w:rsidR="006C461A">
        <w:rPr>
          <w:rFonts w:cstheme="minorBidi"/>
        </w:rPr>
        <w:t>”)</w:t>
      </w:r>
      <w:r w:rsidR="004B1AF0" w:rsidRPr="004B1AF0">
        <w:rPr>
          <w:rFonts w:cstheme="minorBidi"/>
        </w:rPr>
        <w:t xml:space="preserve"> that its invoice, or, in the case </w:t>
      </w:r>
      <w:r w:rsidR="0001061B">
        <w:rPr>
          <w:rFonts w:cstheme="minorBidi"/>
        </w:rPr>
        <w:t xml:space="preserve">in which the </w:t>
      </w:r>
      <w:r w:rsidR="00023279">
        <w:rPr>
          <w:rFonts w:cstheme="minorBidi"/>
        </w:rPr>
        <w:t>Movant</w:t>
      </w:r>
      <w:r w:rsidR="0001061B">
        <w:rPr>
          <w:rFonts w:cstheme="minorBidi"/>
        </w:rPr>
        <w:t xml:space="preserve"> is billed through </w:t>
      </w:r>
      <w:r w:rsidR="004B1AF0" w:rsidRPr="004B1AF0">
        <w:rPr>
          <w:rFonts w:cstheme="minorBidi"/>
        </w:rPr>
        <w:t xml:space="preserve">consolidated billing, a portion of the bill of the </w:t>
      </w:r>
      <w:r>
        <w:rPr>
          <w:rFonts w:cstheme="minorBidi"/>
        </w:rPr>
        <w:t>electric distribution utility or utilities (“</w:t>
      </w:r>
      <w:r w:rsidR="004B1AF0" w:rsidRPr="004B1AF0">
        <w:rPr>
          <w:rFonts w:cstheme="minorBidi"/>
        </w:rPr>
        <w:t>EDU</w:t>
      </w:r>
      <w:r>
        <w:rPr>
          <w:rFonts w:cstheme="minorBidi"/>
        </w:rPr>
        <w:t>”)</w:t>
      </w:r>
      <w:r w:rsidR="004B1AF0" w:rsidRPr="004B1AF0">
        <w:rPr>
          <w:rFonts w:cstheme="minorBidi"/>
        </w:rPr>
        <w:t xml:space="preserve"> related to the </w:t>
      </w:r>
      <w:r w:rsidR="006C461A">
        <w:rPr>
          <w:rFonts w:cstheme="minorBidi"/>
        </w:rPr>
        <w:t xml:space="preserve">Competitive Retail Electric Service </w:t>
      </w:r>
      <w:r>
        <w:rPr>
          <w:rFonts w:cstheme="minorBidi"/>
        </w:rPr>
        <w:t>(“</w:t>
      </w:r>
      <w:r w:rsidR="004B1AF0" w:rsidRPr="004B1AF0">
        <w:rPr>
          <w:rFonts w:cstheme="minorBidi"/>
        </w:rPr>
        <w:t>CRES</w:t>
      </w:r>
      <w:r>
        <w:rPr>
          <w:rFonts w:cstheme="minorBidi"/>
        </w:rPr>
        <w:t>”)</w:t>
      </w:r>
      <w:r w:rsidR="004B1AF0" w:rsidRPr="004B1AF0">
        <w:rPr>
          <w:rFonts w:cstheme="minorBidi"/>
        </w:rPr>
        <w:t xml:space="preserve"> </w:t>
      </w:r>
      <w:r w:rsidR="00A83322">
        <w:rPr>
          <w:rFonts w:cstheme="minorBidi"/>
        </w:rPr>
        <w:t>Customer Supply Agreement ("CSA")</w:t>
      </w:r>
      <w:r w:rsidR="004B1AF0" w:rsidRPr="004B1AF0">
        <w:rPr>
          <w:rFonts w:cstheme="minorBidi"/>
        </w:rPr>
        <w:t xml:space="preserve"> between </w:t>
      </w:r>
      <w:r w:rsidR="004B1AF0">
        <w:rPr>
          <w:rFonts w:cstheme="minorBidi"/>
        </w:rPr>
        <w:t>FES</w:t>
      </w:r>
      <w:r w:rsidR="004B1AF0" w:rsidRPr="004B1AF0">
        <w:rPr>
          <w:rFonts w:cstheme="minorBidi"/>
        </w:rPr>
        <w:t xml:space="preserve"> and the </w:t>
      </w:r>
      <w:r w:rsidR="004B1AF0">
        <w:rPr>
          <w:rFonts w:cstheme="minorBidi"/>
        </w:rPr>
        <w:t>Movant</w:t>
      </w:r>
      <w:r w:rsidR="004B1AF0" w:rsidRPr="004B1AF0">
        <w:rPr>
          <w:rFonts w:cstheme="minorBidi"/>
        </w:rPr>
        <w:t xml:space="preserve">, is disputed;  </w:t>
      </w:r>
    </w:p>
    <w:p w:rsidR="004B1AF0" w:rsidRPr="004B1AF0" w:rsidRDefault="004B1AF0" w:rsidP="001E375C">
      <w:pPr>
        <w:spacing w:after="0" w:line="240" w:lineRule="auto"/>
        <w:ind w:right="720"/>
        <w:rPr>
          <w:rFonts w:cstheme="minorBidi"/>
        </w:rPr>
      </w:pPr>
    </w:p>
    <w:p w:rsidR="004B1AF0" w:rsidRPr="004B1AF0" w:rsidRDefault="00F22FA2" w:rsidP="001E375C">
      <w:pPr>
        <w:numPr>
          <w:ilvl w:val="0"/>
          <w:numId w:val="1"/>
        </w:numPr>
        <w:spacing w:after="0" w:line="240" w:lineRule="auto"/>
        <w:ind w:right="720" w:hanging="720"/>
        <w:contextualSpacing/>
        <w:rPr>
          <w:rFonts w:cstheme="minorBidi"/>
        </w:rPr>
      </w:pPr>
      <w:r>
        <w:rPr>
          <w:rFonts w:cstheme="minorBidi"/>
        </w:rPr>
        <w:t>An order</w:t>
      </w:r>
      <w:r w:rsidR="004B1AF0" w:rsidRPr="004B1AF0">
        <w:rPr>
          <w:rFonts w:cstheme="minorBidi"/>
        </w:rPr>
        <w:t xml:space="preserve"> finding that </w:t>
      </w:r>
      <w:r w:rsidR="004B1AF0">
        <w:rPr>
          <w:rFonts w:cstheme="minorBidi"/>
        </w:rPr>
        <w:t>FES</w:t>
      </w:r>
      <w:r w:rsidR="004B1AF0" w:rsidRPr="004B1AF0">
        <w:rPr>
          <w:rFonts w:cstheme="minorBidi"/>
        </w:rPr>
        <w:t xml:space="preserve">, pending the resolution of the billing dispute and during the balance of the term of the service agreement, shall take no action that may result in a </w:t>
      </w:r>
      <w:r w:rsidR="004B1AF0">
        <w:rPr>
          <w:rFonts w:cstheme="minorBidi"/>
        </w:rPr>
        <w:t>Movant</w:t>
      </w:r>
      <w:r w:rsidR="004B1AF0" w:rsidRPr="004B1AF0">
        <w:rPr>
          <w:rFonts w:cstheme="minorBidi"/>
        </w:rPr>
        <w:t xml:space="preserve"> being required to pay for retail electric service in accordance with the </w:t>
      </w:r>
      <w:r w:rsidR="004B1AF0" w:rsidRPr="004B1AF0">
        <w:rPr>
          <w:rFonts w:cstheme="minorBidi"/>
        </w:rPr>
        <w:lastRenderedPageBreak/>
        <w:t xml:space="preserve">otherwise applicable </w:t>
      </w:r>
      <w:r w:rsidR="003132D1">
        <w:rPr>
          <w:rFonts w:cstheme="minorBidi"/>
        </w:rPr>
        <w:t>Standard Service Offer (“</w:t>
      </w:r>
      <w:r w:rsidR="004B1AF0" w:rsidRPr="004B1AF0">
        <w:rPr>
          <w:rFonts w:cstheme="minorBidi"/>
        </w:rPr>
        <w:t>SSO</w:t>
      </w:r>
      <w:r w:rsidR="003132D1">
        <w:rPr>
          <w:rFonts w:cstheme="minorBidi"/>
        </w:rPr>
        <w:t>”)</w:t>
      </w:r>
      <w:r w:rsidR="004B1AF0" w:rsidRPr="004B1AF0">
        <w:rPr>
          <w:rFonts w:cstheme="minorBidi"/>
        </w:rPr>
        <w:t xml:space="preserve"> rate schedule or that may subject the </w:t>
      </w:r>
      <w:r w:rsidR="004B1AF0">
        <w:rPr>
          <w:rFonts w:cstheme="minorBidi"/>
        </w:rPr>
        <w:t>Movant</w:t>
      </w:r>
      <w:r w:rsidR="004B1AF0" w:rsidRPr="004B1AF0">
        <w:rPr>
          <w:rFonts w:cstheme="minorBidi"/>
        </w:rPr>
        <w:t xml:space="preserve"> to SSO terms and conditions that may affect the opportunity for the </w:t>
      </w:r>
      <w:r w:rsidR="004B1AF0">
        <w:rPr>
          <w:rFonts w:cstheme="minorBidi"/>
        </w:rPr>
        <w:t>Movant</w:t>
      </w:r>
      <w:r w:rsidR="004B1AF0" w:rsidRPr="004B1AF0">
        <w:rPr>
          <w:rFonts w:cstheme="minorBidi"/>
        </w:rPr>
        <w:t xml:space="preserve"> to obtain CRES from a CRES provider;</w:t>
      </w:r>
    </w:p>
    <w:p w:rsidR="004B1AF0" w:rsidRPr="004B1AF0" w:rsidRDefault="004B1AF0" w:rsidP="001E375C">
      <w:pPr>
        <w:spacing w:after="0" w:line="240" w:lineRule="auto"/>
        <w:ind w:right="720"/>
        <w:rPr>
          <w:rFonts w:cstheme="minorBidi"/>
        </w:rPr>
      </w:pPr>
    </w:p>
    <w:p w:rsidR="004B1AF0" w:rsidRPr="004B1AF0" w:rsidRDefault="00F22FA2" w:rsidP="001E375C">
      <w:pPr>
        <w:numPr>
          <w:ilvl w:val="0"/>
          <w:numId w:val="1"/>
        </w:numPr>
        <w:spacing w:after="0" w:line="240" w:lineRule="auto"/>
        <w:ind w:right="720" w:hanging="720"/>
        <w:contextualSpacing/>
        <w:rPr>
          <w:rFonts w:cstheme="minorBidi"/>
        </w:rPr>
      </w:pPr>
      <w:r>
        <w:rPr>
          <w:rFonts w:cstheme="minorBidi"/>
        </w:rPr>
        <w:t>An order</w:t>
      </w:r>
      <w:r w:rsidR="004B1AF0" w:rsidRPr="004B1AF0">
        <w:rPr>
          <w:rFonts w:cstheme="minorBidi"/>
        </w:rPr>
        <w:t xml:space="preserve"> that </w:t>
      </w:r>
      <w:r w:rsidR="004B1AF0">
        <w:rPr>
          <w:rFonts w:cstheme="minorBidi"/>
        </w:rPr>
        <w:t>FES</w:t>
      </w:r>
      <w:r w:rsidR="004B1AF0" w:rsidRPr="004B1AF0">
        <w:rPr>
          <w:rFonts w:cstheme="minorBidi"/>
        </w:rPr>
        <w:t xml:space="preserve"> will not seek to terminate service of a </w:t>
      </w:r>
      <w:r w:rsidR="004B1AF0">
        <w:rPr>
          <w:rFonts w:cstheme="minorBidi"/>
        </w:rPr>
        <w:t>Movant</w:t>
      </w:r>
      <w:r w:rsidR="004B1AF0" w:rsidRPr="004B1AF0">
        <w:rPr>
          <w:rFonts w:cstheme="minorBidi"/>
        </w:rPr>
        <w:t xml:space="preserve"> for failure to pay any disputed amounts and that </w:t>
      </w:r>
      <w:r w:rsidR="004B1AF0">
        <w:rPr>
          <w:rFonts w:cstheme="minorBidi"/>
        </w:rPr>
        <w:t>FES</w:t>
      </w:r>
      <w:r w:rsidR="004B1AF0" w:rsidRPr="004B1AF0">
        <w:rPr>
          <w:rFonts w:cstheme="minorBidi"/>
        </w:rPr>
        <w:t xml:space="preserve"> will refrain from terminating service for so long as there is no final determination that the disputed amount is due and payable, except that CRES will not extend beyond the stated term of the CRES Contract and any extensions agreed to by the parties;  </w:t>
      </w:r>
    </w:p>
    <w:p w:rsidR="004B1AF0" w:rsidRPr="004B1AF0" w:rsidRDefault="004B1AF0" w:rsidP="001E375C">
      <w:pPr>
        <w:spacing w:after="0" w:line="240" w:lineRule="auto"/>
        <w:ind w:right="720"/>
        <w:rPr>
          <w:rFonts w:cstheme="minorBidi"/>
        </w:rPr>
      </w:pPr>
    </w:p>
    <w:p w:rsidR="004B1AF0" w:rsidRPr="004B1AF0" w:rsidRDefault="00F22FA2" w:rsidP="001E375C">
      <w:pPr>
        <w:numPr>
          <w:ilvl w:val="0"/>
          <w:numId w:val="1"/>
        </w:numPr>
        <w:spacing w:after="0" w:line="240" w:lineRule="auto"/>
        <w:ind w:right="720" w:hanging="720"/>
        <w:contextualSpacing/>
        <w:rPr>
          <w:rFonts w:cstheme="minorBidi"/>
        </w:rPr>
      </w:pPr>
      <w:r>
        <w:rPr>
          <w:rFonts w:cstheme="minorBidi"/>
        </w:rPr>
        <w:t>An order</w:t>
      </w:r>
      <w:r w:rsidR="004B1AF0" w:rsidRPr="004B1AF0">
        <w:rPr>
          <w:rFonts w:cstheme="minorBidi"/>
        </w:rPr>
        <w:t xml:space="preserve"> that </w:t>
      </w:r>
      <w:r w:rsidR="004B1AF0">
        <w:rPr>
          <w:rFonts w:cstheme="minorBidi"/>
        </w:rPr>
        <w:t>FES</w:t>
      </w:r>
      <w:r w:rsidR="004B1AF0" w:rsidRPr="004B1AF0">
        <w:rPr>
          <w:rFonts w:cstheme="minorBidi"/>
        </w:rPr>
        <w:t xml:space="preserve"> shall in good faith, verbally and in writing, attempt to resolve the dispute;  </w:t>
      </w:r>
    </w:p>
    <w:p w:rsidR="004B1AF0" w:rsidRPr="004B1AF0" w:rsidRDefault="004B1AF0" w:rsidP="001E375C">
      <w:pPr>
        <w:spacing w:after="0" w:line="240" w:lineRule="auto"/>
        <w:ind w:right="720"/>
        <w:rPr>
          <w:rFonts w:cstheme="minorBidi"/>
        </w:rPr>
      </w:pPr>
    </w:p>
    <w:p w:rsidR="004B1AF0" w:rsidRPr="004B1AF0" w:rsidRDefault="00F22FA2" w:rsidP="001E375C">
      <w:pPr>
        <w:numPr>
          <w:ilvl w:val="0"/>
          <w:numId w:val="1"/>
        </w:numPr>
        <w:spacing w:after="0" w:line="240" w:lineRule="auto"/>
        <w:ind w:right="720" w:hanging="720"/>
        <w:contextualSpacing/>
        <w:rPr>
          <w:rFonts w:cstheme="minorBidi"/>
        </w:rPr>
      </w:pPr>
      <w:r>
        <w:rPr>
          <w:rFonts w:cstheme="minorBidi"/>
        </w:rPr>
        <w:t>An order</w:t>
      </w:r>
      <w:r w:rsidR="004B1AF0" w:rsidRPr="004B1AF0">
        <w:rPr>
          <w:rFonts w:cstheme="minorBidi"/>
        </w:rPr>
        <w:t xml:space="preserve"> that </w:t>
      </w:r>
      <w:r w:rsidR="004B1AF0">
        <w:rPr>
          <w:rFonts w:cstheme="minorBidi"/>
        </w:rPr>
        <w:t>FES</w:t>
      </w:r>
      <w:r w:rsidR="004B1AF0" w:rsidRPr="004B1AF0">
        <w:rPr>
          <w:rFonts w:cstheme="minorBidi"/>
        </w:rPr>
        <w:t xml:space="preserve"> shall not seek to impose a late payment charge on any amount disputed by a </w:t>
      </w:r>
      <w:r w:rsidR="004B1AF0">
        <w:rPr>
          <w:rFonts w:cstheme="minorBidi"/>
        </w:rPr>
        <w:t>Movant</w:t>
      </w:r>
      <w:r w:rsidR="004B1AF0" w:rsidRPr="004B1AF0">
        <w:rPr>
          <w:rFonts w:cstheme="minorBidi"/>
        </w:rPr>
        <w:t>;</w:t>
      </w:r>
    </w:p>
    <w:p w:rsidR="004B1AF0" w:rsidRPr="004B1AF0" w:rsidRDefault="004B1AF0" w:rsidP="001E375C">
      <w:pPr>
        <w:spacing w:after="0" w:line="240" w:lineRule="auto"/>
        <w:ind w:right="720"/>
        <w:rPr>
          <w:rFonts w:cstheme="minorBidi"/>
        </w:rPr>
      </w:pPr>
    </w:p>
    <w:p w:rsidR="004B1AF0" w:rsidRPr="004B1AF0" w:rsidRDefault="00F22FA2" w:rsidP="001E375C">
      <w:pPr>
        <w:numPr>
          <w:ilvl w:val="0"/>
          <w:numId w:val="1"/>
        </w:numPr>
        <w:spacing w:after="0" w:line="240" w:lineRule="auto"/>
        <w:ind w:right="720" w:hanging="720"/>
        <w:contextualSpacing/>
        <w:rPr>
          <w:rFonts w:cstheme="minorBidi"/>
        </w:rPr>
      </w:pPr>
      <w:r>
        <w:rPr>
          <w:rFonts w:cstheme="minorBidi"/>
        </w:rPr>
        <w:t>An order</w:t>
      </w:r>
      <w:r w:rsidR="004B1AF0" w:rsidRPr="004B1AF0">
        <w:rPr>
          <w:rFonts w:cstheme="minorBidi"/>
        </w:rPr>
        <w:t xml:space="preserve"> that </w:t>
      </w:r>
      <w:r w:rsidR="004B1AF0">
        <w:rPr>
          <w:rFonts w:cstheme="minorBidi"/>
        </w:rPr>
        <w:t>FES</w:t>
      </w:r>
      <w:r w:rsidR="004B1AF0" w:rsidRPr="004B1AF0">
        <w:rPr>
          <w:rFonts w:cstheme="minorBidi"/>
        </w:rPr>
        <w:t xml:space="preserve"> shall, for </w:t>
      </w:r>
      <w:r w:rsidR="004B1AF0">
        <w:rPr>
          <w:rFonts w:cstheme="minorBidi"/>
        </w:rPr>
        <w:t>a Movant</w:t>
      </w:r>
      <w:r w:rsidR="004B1AF0" w:rsidRPr="004B1AF0">
        <w:rPr>
          <w:rFonts w:cstheme="minorBidi"/>
        </w:rPr>
        <w:t xml:space="preserve"> that receive</w:t>
      </w:r>
      <w:r w:rsidR="004B1AF0">
        <w:rPr>
          <w:rFonts w:cstheme="minorBidi"/>
        </w:rPr>
        <w:t>s</w:t>
      </w:r>
      <w:r w:rsidR="004B1AF0" w:rsidRPr="004B1AF0">
        <w:rPr>
          <w:rFonts w:cstheme="minorBidi"/>
        </w:rPr>
        <w:t xml:space="preserve"> a consolidated bill that includes an RTO Expense Surcharge that is disputed by a </w:t>
      </w:r>
      <w:r w:rsidR="004B1AF0">
        <w:rPr>
          <w:rFonts w:cstheme="minorBidi"/>
        </w:rPr>
        <w:t>Movant</w:t>
      </w:r>
      <w:r w:rsidR="004B1AF0" w:rsidRPr="004B1AF0">
        <w:rPr>
          <w:rFonts w:cstheme="minorBidi"/>
        </w:rPr>
        <w:t xml:space="preserve"> (regardless of whether the </w:t>
      </w:r>
      <w:r w:rsidR="004B1AF0">
        <w:rPr>
          <w:rFonts w:cstheme="minorBidi"/>
        </w:rPr>
        <w:t>Movant</w:t>
      </w:r>
      <w:r w:rsidR="004B1AF0" w:rsidRPr="004B1AF0">
        <w:rPr>
          <w:rFonts w:cstheme="minorBidi"/>
        </w:rPr>
        <w:t xml:space="preserve"> has withheld payment of the disputed amount) (1) notify in writing the EDU or EDUs serving the </w:t>
      </w:r>
      <w:r w:rsidR="004B1AF0">
        <w:rPr>
          <w:rFonts w:cstheme="minorBidi"/>
        </w:rPr>
        <w:t>Movant</w:t>
      </w:r>
      <w:r w:rsidR="004B1AF0" w:rsidRPr="004B1AF0">
        <w:rPr>
          <w:rFonts w:cstheme="minorBidi"/>
        </w:rPr>
        <w:t xml:space="preserve"> that there is a dispute regarding </w:t>
      </w:r>
      <w:r w:rsidR="004B1AF0">
        <w:rPr>
          <w:rFonts w:cstheme="minorBidi"/>
        </w:rPr>
        <w:t>FES</w:t>
      </w:r>
      <w:r w:rsidR="004B1AF0" w:rsidRPr="004B1AF0">
        <w:rPr>
          <w:rFonts w:cstheme="minorBidi"/>
        </w:rPr>
        <w:t xml:space="preserve">’s right to bill and collect the amount or charge identified by the </w:t>
      </w:r>
      <w:r w:rsidR="004B1AF0">
        <w:rPr>
          <w:rFonts w:cstheme="minorBidi"/>
        </w:rPr>
        <w:t>Movant</w:t>
      </w:r>
      <w:r w:rsidR="004B1AF0" w:rsidRPr="004B1AF0">
        <w:rPr>
          <w:rFonts w:cstheme="minorBidi"/>
        </w:rPr>
        <w:t xml:space="preserve"> as being in dispute and indicate, in such notice to the EDU or EDUs, that </w:t>
      </w:r>
      <w:r w:rsidR="004B1AF0">
        <w:rPr>
          <w:rFonts w:cstheme="minorBidi"/>
        </w:rPr>
        <w:t>FES</w:t>
      </w:r>
      <w:r w:rsidR="004B1AF0" w:rsidRPr="004B1AF0">
        <w:rPr>
          <w:rFonts w:cstheme="minorBidi"/>
        </w:rPr>
        <w:t xml:space="preserve">’s service relationship with the </w:t>
      </w:r>
      <w:r w:rsidR="004B1AF0">
        <w:rPr>
          <w:rFonts w:cstheme="minorBidi"/>
        </w:rPr>
        <w:t>Movant</w:t>
      </w:r>
      <w:r w:rsidR="004B1AF0" w:rsidRPr="004B1AF0">
        <w:rPr>
          <w:rFonts w:cstheme="minorBidi"/>
        </w:rPr>
        <w:t xml:space="preserve"> is not and will not be altered as a consequence of the billing dispute; and (2) provide each </w:t>
      </w:r>
      <w:r w:rsidR="004B1AF0">
        <w:rPr>
          <w:rFonts w:cstheme="minorBidi"/>
        </w:rPr>
        <w:t>Movant</w:t>
      </w:r>
      <w:r w:rsidR="004B1AF0" w:rsidRPr="004B1AF0">
        <w:rPr>
          <w:rFonts w:cstheme="minorBidi"/>
        </w:rPr>
        <w:t xml:space="preserve"> disputing the amount or charge with a copy of the notice provided to the EDU or EDUs;  </w:t>
      </w:r>
    </w:p>
    <w:p w:rsidR="004B1AF0" w:rsidRPr="004B1AF0" w:rsidRDefault="004B1AF0" w:rsidP="001E375C">
      <w:pPr>
        <w:spacing w:after="0" w:line="240" w:lineRule="auto"/>
        <w:ind w:right="720"/>
        <w:rPr>
          <w:rFonts w:cstheme="minorBidi"/>
        </w:rPr>
      </w:pPr>
    </w:p>
    <w:p w:rsidR="004B1AF0" w:rsidRPr="004B1AF0" w:rsidRDefault="00F22FA2" w:rsidP="001E375C">
      <w:pPr>
        <w:numPr>
          <w:ilvl w:val="0"/>
          <w:numId w:val="1"/>
        </w:numPr>
        <w:spacing w:after="0" w:line="240" w:lineRule="auto"/>
        <w:ind w:right="720" w:hanging="720"/>
        <w:contextualSpacing/>
        <w:rPr>
          <w:rFonts w:cstheme="minorBidi"/>
        </w:rPr>
      </w:pPr>
      <w:r>
        <w:rPr>
          <w:rFonts w:cstheme="minorBidi"/>
        </w:rPr>
        <w:t>An order</w:t>
      </w:r>
      <w:r w:rsidR="004B1AF0" w:rsidRPr="004B1AF0">
        <w:rPr>
          <w:rFonts w:cstheme="minorBidi"/>
        </w:rPr>
        <w:t xml:space="preserve"> that </w:t>
      </w:r>
      <w:r w:rsidR="004B1AF0">
        <w:rPr>
          <w:rFonts w:cstheme="minorBidi"/>
        </w:rPr>
        <w:t>FES</w:t>
      </w:r>
      <w:r w:rsidR="004B1AF0" w:rsidRPr="004B1AF0">
        <w:rPr>
          <w:rFonts w:cstheme="minorBidi"/>
        </w:rPr>
        <w:t xml:space="preserve"> will not apply any prepayment, deposit, escrow, or other credit mechanism which </w:t>
      </w:r>
      <w:r w:rsidR="003132D1">
        <w:rPr>
          <w:rFonts w:cstheme="minorBidi"/>
        </w:rPr>
        <w:t>a</w:t>
      </w:r>
      <w:r w:rsidR="003132D1" w:rsidRPr="004B1AF0">
        <w:rPr>
          <w:rFonts w:cstheme="minorBidi"/>
        </w:rPr>
        <w:t xml:space="preserve"> </w:t>
      </w:r>
      <w:r w:rsidR="004B1AF0">
        <w:rPr>
          <w:rFonts w:cstheme="minorBidi"/>
        </w:rPr>
        <w:t>Movant</w:t>
      </w:r>
      <w:r w:rsidR="004B1AF0" w:rsidRPr="004B1AF0">
        <w:rPr>
          <w:rFonts w:cstheme="minorBidi"/>
        </w:rPr>
        <w:t xml:space="preserve"> may have provided to the disputed amount;</w:t>
      </w:r>
    </w:p>
    <w:p w:rsidR="004B1AF0" w:rsidRPr="004B1AF0" w:rsidRDefault="004B1AF0" w:rsidP="001E375C">
      <w:pPr>
        <w:spacing w:after="0" w:line="240" w:lineRule="auto"/>
        <w:ind w:right="720"/>
        <w:rPr>
          <w:rFonts w:cstheme="minorBidi"/>
        </w:rPr>
      </w:pPr>
    </w:p>
    <w:p w:rsidR="004B1AF0" w:rsidRPr="004B1AF0" w:rsidRDefault="00F22FA2" w:rsidP="001E375C">
      <w:pPr>
        <w:numPr>
          <w:ilvl w:val="0"/>
          <w:numId w:val="1"/>
        </w:numPr>
        <w:spacing w:after="0" w:line="240" w:lineRule="auto"/>
        <w:ind w:left="1350" w:right="720" w:hanging="630"/>
        <w:contextualSpacing/>
        <w:rPr>
          <w:rFonts w:cstheme="minorBidi"/>
        </w:rPr>
      </w:pPr>
      <w:r>
        <w:rPr>
          <w:rFonts w:cstheme="minorBidi"/>
        </w:rPr>
        <w:t>An order</w:t>
      </w:r>
      <w:r w:rsidR="004B1AF0" w:rsidRPr="004B1AF0">
        <w:rPr>
          <w:rFonts w:cstheme="minorBidi"/>
        </w:rPr>
        <w:t xml:space="preserve"> that </w:t>
      </w:r>
      <w:r w:rsidR="004B1AF0">
        <w:rPr>
          <w:rFonts w:cstheme="minorBidi"/>
        </w:rPr>
        <w:t>FES</w:t>
      </w:r>
      <w:r w:rsidR="004B1AF0" w:rsidRPr="004B1AF0">
        <w:rPr>
          <w:rFonts w:cstheme="minorBidi"/>
        </w:rPr>
        <w:t xml:space="preserve"> will not revise its credit profile of </w:t>
      </w:r>
      <w:r w:rsidR="003132D1">
        <w:rPr>
          <w:rFonts w:cstheme="minorBidi"/>
        </w:rPr>
        <w:t>a</w:t>
      </w:r>
      <w:r w:rsidR="003132D1" w:rsidRPr="004B1AF0">
        <w:rPr>
          <w:rFonts w:cstheme="minorBidi"/>
        </w:rPr>
        <w:t xml:space="preserve"> </w:t>
      </w:r>
      <w:r w:rsidR="004B1AF0">
        <w:rPr>
          <w:rFonts w:cstheme="minorBidi"/>
        </w:rPr>
        <w:t>Movant</w:t>
      </w:r>
      <w:r w:rsidR="004B1AF0" w:rsidRPr="004B1AF0">
        <w:rPr>
          <w:rFonts w:cstheme="minorBidi"/>
        </w:rPr>
        <w:t xml:space="preserve"> or take any action that might alter </w:t>
      </w:r>
      <w:r w:rsidR="003132D1">
        <w:rPr>
          <w:rFonts w:cstheme="minorBidi"/>
        </w:rPr>
        <w:t>a</w:t>
      </w:r>
      <w:r w:rsidR="003132D1" w:rsidRPr="004B1AF0">
        <w:rPr>
          <w:rFonts w:cstheme="minorBidi"/>
        </w:rPr>
        <w:t xml:space="preserve"> </w:t>
      </w:r>
      <w:r w:rsidR="004B1AF0">
        <w:rPr>
          <w:rFonts w:cstheme="minorBidi"/>
        </w:rPr>
        <w:t>Movant</w:t>
      </w:r>
      <w:r w:rsidR="004B1AF0" w:rsidRPr="004B1AF0">
        <w:rPr>
          <w:rFonts w:cstheme="minorBidi"/>
        </w:rPr>
        <w:t xml:space="preserve">’s credit profile for the sole reason that the </w:t>
      </w:r>
      <w:r w:rsidR="004B1AF0">
        <w:rPr>
          <w:rFonts w:cstheme="minorBidi"/>
        </w:rPr>
        <w:t>Movant</w:t>
      </w:r>
      <w:r w:rsidR="004B1AF0" w:rsidRPr="004B1AF0">
        <w:rPr>
          <w:rFonts w:cstheme="minorBidi"/>
        </w:rPr>
        <w:t xml:space="preserve"> has disputed an amount or charge which </w:t>
      </w:r>
      <w:r w:rsidR="004B1AF0">
        <w:rPr>
          <w:rFonts w:cstheme="minorBidi"/>
        </w:rPr>
        <w:t>FES</w:t>
      </w:r>
      <w:r w:rsidR="004B1AF0" w:rsidRPr="004B1AF0">
        <w:rPr>
          <w:rFonts w:cstheme="minorBidi"/>
        </w:rPr>
        <w:t xml:space="preserve"> has billed the </w:t>
      </w:r>
      <w:r w:rsidR="004B1AF0">
        <w:rPr>
          <w:rFonts w:cstheme="minorBidi"/>
        </w:rPr>
        <w:t>Movant</w:t>
      </w:r>
      <w:r w:rsidR="004B1AF0" w:rsidRPr="004B1AF0">
        <w:rPr>
          <w:rFonts w:cstheme="minorBidi"/>
        </w:rPr>
        <w:t xml:space="preserve"> (either directly or through consolidated billing); and </w:t>
      </w:r>
    </w:p>
    <w:p w:rsidR="004B1AF0" w:rsidRPr="004B1AF0" w:rsidRDefault="004B1AF0" w:rsidP="001E375C">
      <w:pPr>
        <w:spacing w:after="0" w:line="240" w:lineRule="auto"/>
        <w:ind w:left="720" w:right="720"/>
        <w:contextualSpacing/>
        <w:rPr>
          <w:rFonts w:cstheme="minorBidi"/>
        </w:rPr>
      </w:pPr>
    </w:p>
    <w:p w:rsidR="003132D1" w:rsidRPr="004B1AF0" w:rsidRDefault="004B1AF0" w:rsidP="001E375C">
      <w:pPr>
        <w:numPr>
          <w:ilvl w:val="0"/>
          <w:numId w:val="1"/>
        </w:numPr>
        <w:spacing w:after="240" w:line="240" w:lineRule="auto"/>
        <w:ind w:right="720" w:hanging="720"/>
        <w:contextualSpacing/>
        <w:rPr>
          <w:rFonts w:cstheme="minorBidi"/>
        </w:rPr>
      </w:pPr>
      <w:r w:rsidRPr="004B1AF0">
        <w:rPr>
          <w:rFonts w:cstheme="minorBidi"/>
        </w:rPr>
        <w:t>Such additional orders as the Commission may find are just, reasonable and lawful.</w:t>
      </w:r>
    </w:p>
    <w:p w:rsidR="004B1AF0" w:rsidRPr="004A5D26" w:rsidRDefault="004B1AF0" w:rsidP="00023279">
      <w:pPr>
        <w:spacing w:after="240" w:line="240" w:lineRule="auto"/>
        <w:contextualSpacing/>
        <w:rPr>
          <w:rFonts w:eastAsia="Times New Roman" w:cs="Arial"/>
        </w:rPr>
      </w:pPr>
    </w:p>
    <w:p w:rsidR="00BE3266" w:rsidRDefault="00BE3266" w:rsidP="00023279">
      <w:pPr>
        <w:autoSpaceDE w:val="0"/>
        <w:autoSpaceDN w:val="0"/>
        <w:adjustRightInd w:val="0"/>
        <w:spacing w:after="0"/>
        <w:ind w:firstLine="720"/>
        <w:rPr>
          <w:rFonts w:cs="Arial"/>
        </w:rPr>
      </w:pPr>
      <w:r w:rsidRPr="00BE3266">
        <w:rPr>
          <w:rFonts w:cs="Arial"/>
        </w:rPr>
        <w:t xml:space="preserve">Movants are supportive of and join the motion filed by </w:t>
      </w:r>
      <w:r w:rsidR="00DC5759" w:rsidRPr="00DC5759">
        <w:rPr>
          <w:rFonts w:cs="Arial"/>
        </w:rPr>
        <w:t xml:space="preserve">The Timken Company, Marathon Petroleum Company, Wausau Paper Towel and Tissue LLC, ASHTA </w:t>
      </w:r>
      <w:r w:rsidR="00DC5759" w:rsidRPr="00DC5759">
        <w:rPr>
          <w:rFonts w:cs="Arial"/>
        </w:rPr>
        <w:lastRenderedPageBreak/>
        <w:t xml:space="preserve">Chemicals Inc., Columbus Castings, The Lincoln Electric Company, Delphi Corporation, and Landmark Plastic Corporation </w:t>
      </w:r>
      <w:r w:rsidRPr="00BE3266">
        <w:rPr>
          <w:rFonts w:cs="Arial"/>
        </w:rPr>
        <w:t>on July 17, 2014.</w:t>
      </w:r>
      <w:r>
        <w:rPr>
          <w:rFonts w:cs="Arial"/>
        </w:rPr>
        <w:t xml:space="preserve">  </w:t>
      </w:r>
    </w:p>
    <w:p w:rsidR="004B1AF0" w:rsidRPr="004B1AF0" w:rsidRDefault="004B1AF0" w:rsidP="00023279">
      <w:pPr>
        <w:autoSpaceDE w:val="0"/>
        <w:autoSpaceDN w:val="0"/>
        <w:adjustRightInd w:val="0"/>
        <w:spacing w:after="0"/>
        <w:ind w:firstLine="720"/>
        <w:rPr>
          <w:rFonts w:ascii="Times New Roman" w:eastAsia="Times New Roman" w:hAnsi="Times New Roman"/>
        </w:rPr>
      </w:pPr>
      <w:r>
        <w:rPr>
          <w:rFonts w:cs="Arial"/>
        </w:rPr>
        <w:t xml:space="preserve">The grounds </w:t>
      </w:r>
      <w:r w:rsidR="00F22FA2">
        <w:rPr>
          <w:rFonts w:cs="Arial"/>
        </w:rPr>
        <w:t>supporting</w:t>
      </w:r>
      <w:r>
        <w:rPr>
          <w:rFonts w:cs="Arial"/>
        </w:rPr>
        <w:t xml:space="preserve"> </w:t>
      </w:r>
      <w:r w:rsidR="00A83322">
        <w:rPr>
          <w:rFonts w:cs="Arial"/>
        </w:rPr>
        <w:t xml:space="preserve">this </w:t>
      </w:r>
      <w:r w:rsidR="00023279">
        <w:rPr>
          <w:rFonts w:cs="Arial"/>
        </w:rPr>
        <w:t xml:space="preserve">Motion </w:t>
      </w:r>
      <w:r>
        <w:rPr>
          <w:rFonts w:cs="Arial"/>
        </w:rPr>
        <w:t xml:space="preserve">are set out in the accompanying </w:t>
      </w:r>
      <w:r w:rsidR="00A83322">
        <w:rPr>
          <w:rFonts w:cs="Arial"/>
        </w:rPr>
        <w:t>M</w:t>
      </w:r>
      <w:r>
        <w:rPr>
          <w:rFonts w:cs="Arial"/>
        </w:rPr>
        <w:t xml:space="preserve">emorandum in </w:t>
      </w:r>
      <w:r w:rsidR="00A83322">
        <w:rPr>
          <w:rFonts w:cs="Arial"/>
        </w:rPr>
        <w:t>S</w:t>
      </w:r>
      <w:r>
        <w:rPr>
          <w:rFonts w:cs="Arial"/>
        </w:rPr>
        <w:t>upport.</w:t>
      </w:r>
      <w:r w:rsidRPr="004B1AF0">
        <w:rPr>
          <w:rFonts w:eastAsia="Times New Roman" w:cs="Arial"/>
        </w:rPr>
        <w:t xml:space="preserve"> </w:t>
      </w:r>
      <w:r w:rsidR="003132D1">
        <w:rPr>
          <w:rFonts w:eastAsia="Times New Roman" w:cs="Arial"/>
        </w:rPr>
        <w:t xml:space="preserve"> </w:t>
      </w:r>
    </w:p>
    <w:p w:rsidR="004B1AF0" w:rsidRPr="004B1AF0" w:rsidRDefault="004B1AF0" w:rsidP="00F22FA2">
      <w:pPr>
        <w:tabs>
          <w:tab w:val="left" w:pos="4320"/>
          <w:tab w:val="right" w:pos="8640"/>
        </w:tabs>
        <w:spacing w:after="0" w:line="240" w:lineRule="auto"/>
        <w:rPr>
          <w:rFonts w:eastAsia="Times New Roman" w:cs="Arial"/>
        </w:rPr>
      </w:pPr>
      <w:r w:rsidRPr="004B1AF0">
        <w:rPr>
          <w:rFonts w:eastAsia="Times New Roman" w:cs="Arial"/>
        </w:rPr>
        <w:tab/>
        <w:t>Respectfully submitted,</w:t>
      </w:r>
    </w:p>
    <w:p w:rsidR="004B1AF0" w:rsidRPr="004B1AF0" w:rsidRDefault="004B1AF0" w:rsidP="00F22FA2">
      <w:pPr>
        <w:tabs>
          <w:tab w:val="left" w:pos="4320"/>
          <w:tab w:val="right" w:pos="8640"/>
        </w:tabs>
        <w:spacing w:after="0" w:line="240" w:lineRule="auto"/>
        <w:rPr>
          <w:rFonts w:eastAsia="Times New Roman" w:cs="Arial"/>
        </w:rPr>
      </w:pPr>
    </w:p>
    <w:p w:rsidR="004B1AF0" w:rsidRPr="004B1AF0" w:rsidRDefault="004B1AF0" w:rsidP="00F22FA2">
      <w:pPr>
        <w:tabs>
          <w:tab w:val="left" w:pos="4320"/>
          <w:tab w:val="right" w:pos="8640"/>
        </w:tabs>
        <w:spacing w:after="0" w:line="240" w:lineRule="auto"/>
        <w:rPr>
          <w:rFonts w:eastAsia="Times New Roman" w:cs="Arial"/>
        </w:rPr>
      </w:pPr>
    </w:p>
    <w:p w:rsidR="004B1AF0" w:rsidRPr="004B1AF0" w:rsidRDefault="004B1AF0" w:rsidP="00F22FA2">
      <w:pPr>
        <w:tabs>
          <w:tab w:val="left" w:pos="4320"/>
          <w:tab w:val="right" w:pos="8640"/>
        </w:tabs>
        <w:spacing w:after="0" w:line="240" w:lineRule="auto"/>
        <w:ind w:left="4320"/>
        <w:rPr>
          <w:rFonts w:eastAsia="Times New Roman" w:cs="Arial"/>
        </w:rPr>
      </w:pPr>
      <w:r w:rsidRPr="004B1AF0">
        <w:rPr>
          <w:rFonts w:eastAsia="Times New Roman" w:cs="Arial"/>
          <w:u w:val="single"/>
        </w:rPr>
        <w:t>/s/ Frank P. Darr</w:t>
      </w:r>
      <w:r w:rsidRPr="004B1AF0">
        <w:rPr>
          <w:rFonts w:eastAsia="Times New Roman" w:cs="Arial"/>
          <w:u w:val="single"/>
        </w:rPr>
        <w:tab/>
      </w:r>
    </w:p>
    <w:p w:rsidR="004B1AF0" w:rsidRPr="004B1AF0" w:rsidRDefault="004B1AF0" w:rsidP="001E375C">
      <w:pPr>
        <w:tabs>
          <w:tab w:val="left" w:pos="720"/>
          <w:tab w:val="left" w:pos="4320"/>
          <w:tab w:val="right" w:pos="8640"/>
        </w:tabs>
        <w:spacing w:after="0" w:line="240" w:lineRule="auto"/>
        <w:rPr>
          <w:rFonts w:eastAsia="Calibri" w:cs="Arial"/>
          <w:bCs/>
        </w:rPr>
      </w:pPr>
      <w:r w:rsidRPr="004B1AF0">
        <w:rPr>
          <w:rFonts w:eastAsia="Calibri" w:cs="Arial"/>
        </w:rPr>
        <w:tab/>
      </w:r>
      <w:r w:rsidRPr="004B1AF0">
        <w:rPr>
          <w:rFonts w:eastAsia="Calibri" w:cs="Arial"/>
        </w:rPr>
        <w:tab/>
      </w:r>
      <w:r w:rsidRPr="004B1AF0">
        <w:rPr>
          <w:rFonts w:eastAsia="Calibri" w:cs="Arial"/>
          <w:bCs/>
        </w:rPr>
        <w:t>Frank P. Darr (Reg. No. 0025469)</w:t>
      </w:r>
    </w:p>
    <w:p w:rsidR="00533012" w:rsidRDefault="00533012" w:rsidP="00F22FA2">
      <w:pPr>
        <w:widowControl w:val="0"/>
        <w:tabs>
          <w:tab w:val="left" w:pos="4320"/>
        </w:tabs>
        <w:spacing w:after="0" w:line="240" w:lineRule="auto"/>
        <w:ind w:left="4320"/>
        <w:rPr>
          <w:rFonts w:eastAsia="Calibri" w:cs="Arial"/>
        </w:rPr>
      </w:pPr>
      <w:r w:rsidRPr="004B1AF0">
        <w:rPr>
          <w:rFonts w:eastAsia="Calibri" w:cs="Arial"/>
        </w:rPr>
        <w:t xml:space="preserve">(Counsel of Record) </w:t>
      </w:r>
    </w:p>
    <w:p w:rsidR="004B1AF0" w:rsidRPr="004B1AF0" w:rsidRDefault="004B1AF0" w:rsidP="00F22FA2">
      <w:pPr>
        <w:widowControl w:val="0"/>
        <w:tabs>
          <w:tab w:val="left" w:pos="4320"/>
        </w:tabs>
        <w:spacing w:after="0" w:line="240" w:lineRule="auto"/>
        <w:ind w:left="4320"/>
        <w:rPr>
          <w:rFonts w:eastAsia="Calibri" w:cs="Arial"/>
          <w:b/>
          <w:bCs/>
        </w:rPr>
      </w:pPr>
      <w:r w:rsidRPr="004B1AF0">
        <w:rPr>
          <w:rFonts w:eastAsia="Calibri" w:cs="Arial"/>
          <w:bCs/>
        </w:rPr>
        <w:t>Matthew R. Pritchard (Reg. No. 0088070)</w:t>
      </w:r>
    </w:p>
    <w:p w:rsidR="004B1AF0" w:rsidRPr="004B1AF0" w:rsidRDefault="004B1AF0" w:rsidP="00F22FA2">
      <w:pPr>
        <w:widowControl w:val="0"/>
        <w:tabs>
          <w:tab w:val="left" w:pos="4320"/>
        </w:tabs>
        <w:spacing w:after="0" w:line="240" w:lineRule="auto"/>
        <w:ind w:left="4320"/>
        <w:rPr>
          <w:rFonts w:eastAsia="Calibri" w:cs="Arial"/>
          <w:b/>
          <w:bCs/>
          <w:smallCaps/>
        </w:rPr>
      </w:pPr>
      <w:r w:rsidRPr="004B1AF0">
        <w:rPr>
          <w:rFonts w:eastAsia="Calibri" w:cs="Arial"/>
          <w:bCs/>
          <w:smallCaps/>
        </w:rPr>
        <w:t>McNees Wallace &amp; Nurick LLC</w:t>
      </w:r>
    </w:p>
    <w:p w:rsidR="004B1AF0" w:rsidRPr="004B1AF0" w:rsidRDefault="004B1AF0" w:rsidP="00F22FA2">
      <w:pPr>
        <w:widowControl w:val="0"/>
        <w:tabs>
          <w:tab w:val="left" w:pos="4320"/>
        </w:tabs>
        <w:spacing w:after="0" w:line="240" w:lineRule="auto"/>
        <w:ind w:left="4320"/>
        <w:rPr>
          <w:rFonts w:eastAsia="Calibri" w:cs="Arial"/>
          <w:b/>
          <w:bCs/>
        </w:rPr>
      </w:pPr>
      <w:r w:rsidRPr="004B1AF0">
        <w:rPr>
          <w:rFonts w:eastAsia="Calibri" w:cs="Arial"/>
          <w:bCs/>
        </w:rPr>
        <w:t>21 East State Street, 17</w:t>
      </w:r>
      <w:r w:rsidRPr="004B1AF0">
        <w:rPr>
          <w:rFonts w:eastAsia="Calibri" w:cs="Arial"/>
          <w:bCs/>
          <w:vertAlign w:val="superscript"/>
        </w:rPr>
        <w:t>TH</w:t>
      </w:r>
      <w:r w:rsidRPr="004B1AF0">
        <w:rPr>
          <w:rFonts w:eastAsia="Calibri" w:cs="Arial"/>
          <w:bCs/>
        </w:rPr>
        <w:t xml:space="preserve"> Floor</w:t>
      </w:r>
    </w:p>
    <w:p w:rsidR="004B1AF0" w:rsidRPr="004B1AF0" w:rsidRDefault="004B1AF0" w:rsidP="00F22FA2">
      <w:pPr>
        <w:tabs>
          <w:tab w:val="left" w:pos="-1440"/>
          <w:tab w:val="left" w:pos="-720"/>
          <w:tab w:val="left" w:pos="4320"/>
          <w:tab w:val="left" w:pos="5040"/>
          <w:tab w:val="center" w:pos="7200"/>
        </w:tabs>
        <w:overflowPunct w:val="0"/>
        <w:autoSpaceDE w:val="0"/>
        <w:autoSpaceDN w:val="0"/>
        <w:adjustRightInd w:val="0"/>
        <w:spacing w:after="0" w:line="240" w:lineRule="auto"/>
        <w:ind w:left="4320"/>
        <w:rPr>
          <w:rFonts w:eastAsia="Calibri" w:cs="Arial"/>
        </w:rPr>
      </w:pPr>
      <w:r w:rsidRPr="004B1AF0">
        <w:rPr>
          <w:rFonts w:eastAsia="Calibri" w:cs="Arial"/>
        </w:rPr>
        <w:t>Columbus, OH  43215</w:t>
      </w:r>
    </w:p>
    <w:p w:rsidR="004B1AF0" w:rsidRPr="004B1AF0" w:rsidRDefault="004B1AF0" w:rsidP="00F22FA2">
      <w:pPr>
        <w:tabs>
          <w:tab w:val="left" w:pos="-1440"/>
          <w:tab w:val="left" w:pos="-720"/>
          <w:tab w:val="left" w:pos="4320"/>
          <w:tab w:val="left" w:pos="5040"/>
          <w:tab w:val="center" w:pos="7200"/>
        </w:tabs>
        <w:overflowPunct w:val="0"/>
        <w:autoSpaceDE w:val="0"/>
        <w:autoSpaceDN w:val="0"/>
        <w:adjustRightInd w:val="0"/>
        <w:spacing w:after="0" w:line="240" w:lineRule="auto"/>
        <w:ind w:left="4320"/>
        <w:rPr>
          <w:rFonts w:eastAsia="Calibri" w:cs="Arial"/>
        </w:rPr>
      </w:pPr>
      <w:r w:rsidRPr="004B1AF0">
        <w:rPr>
          <w:rFonts w:eastAsia="Calibri" w:cs="Arial"/>
        </w:rPr>
        <w:t>Telephone:  (614) 469-8000</w:t>
      </w:r>
    </w:p>
    <w:p w:rsidR="004B1AF0" w:rsidRPr="004B1AF0" w:rsidRDefault="004B1AF0" w:rsidP="00F22FA2">
      <w:pPr>
        <w:tabs>
          <w:tab w:val="left" w:pos="-1440"/>
          <w:tab w:val="left" w:pos="-720"/>
          <w:tab w:val="left" w:pos="4320"/>
          <w:tab w:val="left" w:pos="5040"/>
          <w:tab w:val="center" w:pos="7200"/>
        </w:tabs>
        <w:overflowPunct w:val="0"/>
        <w:autoSpaceDE w:val="0"/>
        <w:autoSpaceDN w:val="0"/>
        <w:adjustRightInd w:val="0"/>
        <w:spacing w:after="0" w:line="240" w:lineRule="auto"/>
        <w:ind w:left="4320"/>
        <w:rPr>
          <w:rFonts w:eastAsia="Calibri" w:cs="Arial"/>
        </w:rPr>
      </w:pPr>
      <w:r w:rsidRPr="004B1AF0">
        <w:rPr>
          <w:rFonts w:eastAsia="Calibri" w:cs="Arial"/>
        </w:rPr>
        <w:t>Telecopier:  (614) 469-4653</w:t>
      </w:r>
    </w:p>
    <w:p w:rsidR="004B1AF0" w:rsidRPr="006B76E2" w:rsidRDefault="00FB0361" w:rsidP="00F22FA2">
      <w:pPr>
        <w:tabs>
          <w:tab w:val="left" w:pos="-1440"/>
          <w:tab w:val="left" w:pos="-720"/>
          <w:tab w:val="left" w:pos="5040"/>
          <w:tab w:val="center" w:pos="7200"/>
        </w:tabs>
        <w:overflowPunct w:val="0"/>
        <w:autoSpaceDE w:val="0"/>
        <w:autoSpaceDN w:val="0"/>
        <w:adjustRightInd w:val="0"/>
        <w:spacing w:after="0" w:line="240" w:lineRule="auto"/>
        <w:ind w:left="4320"/>
        <w:rPr>
          <w:rFonts w:eastAsia="Calibri" w:cs="Arial"/>
          <w:color w:val="000000"/>
        </w:rPr>
      </w:pPr>
      <w:hyperlink r:id="rId15" w:history="1">
        <w:r w:rsidR="004B1AF0" w:rsidRPr="0004496E">
          <w:rPr>
            <w:rFonts w:eastAsia="Calibri" w:cs="Arial"/>
            <w:color w:val="000000"/>
          </w:rPr>
          <w:t>fdarr@mwncmh.com</w:t>
        </w:r>
      </w:hyperlink>
    </w:p>
    <w:p w:rsidR="004B1AF0" w:rsidRPr="004B1AF0" w:rsidRDefault="004B1AF0" w:rsidP="00F22FA2">
      <w:pPr>
        <w:tabs>
          <w:tab w:val="left" w:pos="-1440"/>
          <w:tab w:val="left" w:pos="-720"/>
          <w:tab w:val="left" w:pos="5040"/>
          <w:tab w:val="center" w:pos="7200"/>
        </w:tabs>
        <w:overflowPunct w:val="0"/>
        <w:autoSpaceDE w:val="0"/>
        <w:autoSpaceDN w:val="0"/>
        <w:adjustRightInd w:val="0"/>
        <w:spacing w:after="0" w:line="240" w:lineRule="auto"/>
        <w:ind w:left="4320"/>
        <w:rPr>
          <w:rFonts w:eastAsia="Calibri" w:cs="Arial"/>
          <w:color w:val="000000"/>
        </w:rPr>
      </w:pPr>
      <w:r w:rsidRPr="004B1AF0">
        <w:rPr>
          <w:rFonts w:eastAsia="Calibri" w:cs="Arial"/>
          <w:color w:val="000000"/>
        </w:rPr>
        <w:t>(willing to accept service by e-mail)</w:t>
      </w:r>
    </w:p>
    <w:p w:rsidR="004B1AF0" w:rsidRPr="004B1AF0" w:rsidRDefault="004B1AF0" w:rsidP="00F22FA2">
      <w:pPr>
        <w:tabs>
          <w:tab w:val="left" w:pos="-1440"/>
          <w:tab w:val="left" w:pos="-720"/>
          <w:tab w:val="left" w:pos="5040"/>
          <w:tab w:val="center" w:pos="7200"/>
        </w:tabs>
        <w:overflowPunct w:val="0"/>
        <w:autoSpaceDE w:val="0"/>
        <w:autoSpaceDN w:val="0"/>
        <w:adjustRightInd w:val="0"/>
        <w:spacing w:after="0" w:line="240" w:lineRule="auto"/>
        <w:ind w:left="4320"/>
        <w:rPr>
          <w:rFonts w:eastAsia="Calibri" w:cs="Arial"/>
          <w:smallCaps/>
          <w:color w:val="000000"/>
        </w:rPr>
      </w:pPr>
      <w:r w:rsidRPr="004B1AF0">
        <w:rPr>
          <w:rFonts w:eastAsia="Calibri" w:cs="Arial"/>
          <w:color w:val="000000"/>
        </w:rPr>
        <w:t>mpritchard@mwncmh.com</w:t>
      </w:r>
    </w:p>
    <w:p w:rsidR="004B1AF0" w:rsidRPr="004B1AF0" w:rsidRDefault="004B1AF0" w:rsidP="00F22FA2">
      <w:pPr>
        <w:tabs>
          <w:tab w:val="left" w:pos="-1440"/>
          <w:tab w:val="left" w:pos="-720"/>
          <w:tab w:val="left" w:pos="5040"/>
          <w:tab w:val="center" w:pos="7200"/>
        </w:tabs>
        <w:overflowPunct w:val="0"/>
        <w:autoSpaceDE w:val="0"/>
        <w:autoSpaceDN w:val="0"/>
        <w:adjustRightInd w:val="0"/>
        <w:spacing w:after="0" w:line="240" w:lineRule="auto"/>
        <w:ind w:left="4320"/>
        <w:rPr>
          <w:rFonts w:eastAsia="Calibri" w:cs="Arial"/>
          <w:color w:val="000000"/>
        </w:rPr>
      </w:pPr>
      <w:r w:rsidRPr="004B1AF0">
        <w:rPr>
          <w:rFonts w:eastAsia="Calibri" w:cs="Arial"/>
          <w:color w:val="000000"/>
        </w:rPr>
        <w:t>(willing to accept service by e-mail)</w:t>
      </w:r>
    </w:p>
    <w:p w:rsidR="004B1AF0" w:rsidRPr="004B1AF0" w:rsidRDefault="004B1AF0" w:rsidP="00F22FA2">
      <w:pPr>
        <w:tabs>
          <w:tab w:val="left" w:pos="4320"/>
          <w:tab w:val="right" w:pos="8640"/>
        </w:tabs>
        <w:spacing w:after="0" w:line="240" w:lineRule="auto"/>
        <w:rPr>
          <w:rFonts w:ascii="Times New Roman" w:eastAsia="Times New Roman" w:hAnsi="Times New Roman"/>
        </w:rPr>
      </w:pPr>
    </w:p>
    <w:p w:rsidR="004B1AF0" w:rsidRPr="004B1AF0" w:rsidRDefault="004B1AF0" w:rsidP="00F22FA2">
      <w:pPr>
        <w:tabs>
          <w:tab w:val="left" w:pos="4320"/>
        </w:tabs>
        <w:spacing w:after="0" w:line="240" w:lineRule="auto"/>
        <w:rPr>
          <w:rFonts w:eastAsia="Times New Roman" w:cs="Arial"/>
          <w:b/>
          <w:smallCaps/>
        </w:rPr>
      </w:pPr>
      <w:r w:rsidRPr="004B1AF0">
        <w:rPr>
          <w:rFonts w:eastAsia="Times New Roman" w:cs="Arial"/>
          <w:b/>
          <w:smallCaps/>
        </w:rPr>
        <w:tab/>
        <w:t xml:space="preserve">Attorneys for </w:t>
      </w:r>
      <w:r w:rsidR="00B337D0">
        <w:rPr>
          <w:rFonts w:eastAsia="Times New Roman" w:cs="Arial"/>
          <w:b/>
          <w:smallCaps/>
        </w:rPr>
        <w:t>Movants</w:t>
      </w:r>
    </w:p>
    <w:p w:rsidR="004B1AF0" w:rsidRPr="004B1AF0" w:rsidRDefault="004B1AF0" w:rsidP="00F22FA2">
      <w:pPr>
        <w:spacing w:after="0" w:line="240" w:lineRule="auto"/>
        <w:rPr>
          <w:rFonts w:eastAsia="Times New Roman" w:cs="Arial"/>
          <w:smallCaps/>
          <w:sz w:val="32"/>
        </w:rPr>
      </w:pPr>
      <w:r w:rsidRPr="004B1AF0">
        <w:rPr>
          <w:rFonts w:eastAsia="Times New Roman" w:cs="Arial"/>
          <w:sz w:val="32"/>
        </w:rPr>
        <w:br w:type="page"/>
      </w:r>
    </w:p>
    <w:p w:rsidR="004B1AF0" w:rsidRPr="004B1AF0" w:rsidRDefault="004B1AF0" w:rsidP="00F22FA2">
      <w:pPr>
        <w:spacing w:after="0" w:line="240" w:lineRule="auto"/>
        <w:jc w:val="center"/>
        <w:rPr>
          <w:rFonts w:eastAsia="Times New Roman" w:cs="Arial"/>
          <w:b/>
          <w:smallCaps/>
          <w:sz w:val="28"/>
        </w:rPr>
      </w:pPr>
      <w:r w:rsidRPr="004B1AF0">
        <w:rPr>
          <w:rFonts w:eastAsia="Times New Roman" w:cs="Arial"/>
          <w:b/>
          <w:smallCaps/>
          <w:sz w:val="28"/>
        </w:rPr>
        <w:lastRenderedPageBreak/>
        <w:t>Before</w:t>
      </w:r>
    </w:p>
    <w:p w:rsidR="004B1AF0" w:rsidRPr="004B1AF0" w:rsidRDefault="004B1AF0" w:rsidP="00F22FA2">
      <w:pPr>
        <w:spacing w:after="0" w:line="240" w:lineRule="auto"/>
        <w:jc w:val="center"/>
        <w:rPr>
          <w:rFonts w:eastAsia="Times New Roman" w:cs="Arial"/>
          <w:b/>
          <w:smallCaps/>
          <w:sz w:val="28"/>
        </w:rPr>
      </w:pPr>
      <w:r w:rsidRPr="004B1AF0">
        <w:rPr>
          <w:rFonts w:eastAsia="Times New Roman" w:cs="Arial"/>
          <w:b/>
          <w:smallCaps/>
          <w:sz w:val="28"/>
        </w:rPr>
        <w:t xml:space="preserve">The Public Utilities Commission of </w:t>
      </w:r>
      <w:smartTag w:uri="urn:schemas-microsoft-com:office:smarttags" w:element="State">
        <w:smartTag w:uri="urn:schemas-microsoft-com:office:smarttags" w:element="place">
          <w:r w:rsidRPr="004B1AF0">
            <w:rPr>
              <w:rFonts w:eastAsia="Times New Roman" w:cs="Arial"/>
              <w:b/>
              <w:smallCaps/>
              <w:sz w:val="28"/>
            </w:rPr>
            <w:t>Ohio</w:t>
          </w:r>
        </w:smartTag>
      </w:smartTag>
    </w:p>
    <w:p w:rsidR="004B1AF0" w:rsidRPr="004B1AF0" w:rsidRDefault="004B1AF0" w:rsidP="00F22FA2">
      <w:pPr>
        <w:tabs>
          <w:tab w:val="left" w:pos="5040"/>
        </w:tabs>
        <w:spacing w:after="0" w:line="240" w:lineRule="auto"/>
        <w:jc w:val="center"/>
        <w:rPr>
          <w:rFonts w:eastAsia="Times New Roman" w:cs="Arial"/>
        </w:rPr>
      </w:pPr>
    </w:p>
    <w:p w:rsidR="004B1AF0" w:rsidRPr="004B1AF0" w:rsidRDefault="004B1AF0" w:rsidP="00F22FA2">
      <w:pPr>
        <w:tabs>
          <w:tab w:val="left" w:pos="5040"/>
        </w:tabs>
        <w:spacing w:after="0" w:line="240" w:lineRule="auto"/>
        <w:rPr>
          <w:rFonts w:eastAsia="Times New Roman" w:cs="Arial"/>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50"/>
        <w:gridCol w:w="4158"/>
      </w:tblGrid>
      <w:tr w:rsidR="004B1AF0" w:rsidRPr="004B1AF0" w:rsidTr="004B1AF0">
        <w:tc>
          <w:tcPr>
            <w:tcW w:w="4968" w:type="dxa"/>
          </w:tcPr>
          <w:p w:rsidR="004B1AF0" w:rsidRPr="004B1AF0" w:rsidRDefault="004B1AF0" w:rsidP="00023279">
            <w:pPr>
              <w:tabs>
                <w:tab w:val="left" w:pos="5040"/>
              </w:tabs>
              <w:spacing w:after="0"/>
              <w:rPr>
                <w:rFonts w:ascii="Arial" w:eastAsia="Times New Roman" w:hAnsi="Arial" w:cs="Arial"/>
                <w:sz w:val="24"/>
                <w:szCs w:val="24"/>
              </w:rPr>
            </w:pPr>
            <w:r w:rsidRPr="004B1AF0">
              <w:rPr>
                <w:rFonts w:ascii="Arial" w:eastAsia="Times New Roman" w:hAnsi="Arial" w:cs="Arial"/>
                <w:sz w:val="24"/>
                <w:szCs w:val="24"/>
              </w:rPr>
              <w:t>Ohio Schools Council, Ohio School Boards Association, Ohio Association of School Business Officials, and Buckeye Association of School Administrators, dba Power4Schools,</w:t>
            </w:r>
          </w:p>
          <w:p w:rsidR="004B1AF0" w:rsidRPr="004B1AF0" w:rsidRDefault="004B1AF0" w:rsidP="00023279">
            <w:pPr>
              <w:tabs>
                <w:tab w:val="left" w:pos="5040"/>
              </w:tabs>
              <w:spacing w:after="0"/>
              <w:ind w:left="720"/>
              <w:rPr>
                <w:rFonts w:ascii="Arial" w:eastAsia="Times New Roman" w:hAnsi="Arial" w:cs="Arial"/>
                <w:sz w:val="24"/>
                <w:szCs w:val="24"/>
              </w:rPr>
            </w:pPr>
          </w:p>
          <w:p w:rsidR="004B1AF0" w:rsidRPr="004B1AF0" w:rsidRDefault="004B1AF0" w:rsidP="00023279">
            <w:pPr>
              <w:tabs>
                <w:tab w:val="left" w:pos="5040"/>
              </w:tabs>
              <w:spacing w:after="0"/>
              <w:ind w:left="720"/>
              <w:rPr>
                <w:rFonts w:ascii="Arial" w:eastAsia="Times New Roman" w:hAnsi="Arial" w:cs="Arial"/>
                <w:sz w:val="24"/>
                <w:szCs w:val="24"/>
              </w:rPr>
            </w:pPr>
            <w:r w:rsidRPr="004B1AF0">
              <w:rPr>
                <w:rFonts w:ascii="Arial" w:eastAsia="Times New Roman" w:hAnsi="Arial" w:cs="Arial"/>
                <w:sz w:val="24"/>
                <w:szCs w:val="24"/>
              </w:rPr>
              <w:t>Complainants,</w:t>
            </w:r>
          </w:p>
          <w:p w:rsidR="004B1AF0" w:rsidRPr="004B1AF0" w:rsidRDefault="004B1AF0" w:rsidP="00023279">
            <w:pPr>
              <w:tabs>
                <w:tab w:val="left" w:pos="5040"/>
              </w:tabs>
              <w:spacing w:after="0"/>
              <w:ind w:left="720"/>
              <w:rPr>
                <w:rFonts w:ascii="Arial" w:eastAsia="Times New Roman" w:hAnsi="Arial" w:cs="Arial"/>
                <w:sz w:val="24"/>
                <w:szCs w:val="24"/>
              </w:rPr>
            </w:pPr>
          </w:p>
          <w:p w:rsidR="004B1AF0" w:rsidRPr="004B1AF0" w:rsidRDefault="004B1AF0" w:rsidP="00023279">
            <w:pPr>
              <w:tabs>
                <w:tab w:val="left" w:pos="5040"/>
              </w:tabs>
              <w:spacing w:after="0"/>
              <w:ind w:left="720"/>
              <w:rPr>
                <w:rFonts w:ascii="Arial" w:eastAsia="Times New Roman" w:hAnsi="Arial" w:cs="Arial"/>
                <w:sz w:val="24"/>
                <w:szCs w:val="24"/>
              </w:rPr>
            </w:pPr>
            <w:r w:rsidRPr="004B1AF0">
              <w:rPr>
                <w:rFonts w:ascii="Arial" w:eastAsia="Times New Roman" w:hAnsi="Arial" w:cs="Arial"/>
                <w:sz w:val="24"/>
                <w:szCs w:val="24"/>
              </w:rPr>
              <w:t>v.</w:t>
            </w:r>
          </w:p>
          <w:p w:rsidR="004B1AF0" w:rsidRPr="004B1AF0" w:rsidRDefault="004B1AF0" w:rsidP="00023279">
            <w:pPr>
              <w:tabs>
                <w:tab w:val="left" w:pos="5040"/>
              </w:tabs>
              <w:spacing w:after="0"/>
              <w:ind w:left="720"/>
              <w:rPr>
                <w:rFonts w:ascii="Arial" w:eastAsia="Times New Roman" w:hAnsi="Arial" w:cs="Arial"/>
                <w:sz w:val="24"/>
                <w:szCs w:val="24"/>
              </w:rPr>
            </w:pPr>
          </w:p>
          <w:p w:rsidR="004B1AF0" w:rsidRPr="004B1AF0" w:rsidRDefault="004B1AF0" w:rsidP="00023279">
            <w:pPr>
              <w:tabs>
                <w:tab w:val="left" w:pos="5040"/>
              </w:tabs>
              <w:spacing w:after="0"/>
              <w:rPr>
                <w:rFonts w:ascii="Arial" w:eastAsia="Times New Roman" w:hAnsi="Arial" w:cs="Arial"/>
                <w:sz w:val="24"/>
                <w:szCs w:val="24"/>
              </w:rPr>
            </w:pPr>
            <w:r w:rsidRPr="004B1AF0">
              <w:rPr>
                <w:rFonts w:ascii="Arial" w:eastAsia="Times New Roman" w:hAnsi="Arial" w:cs="Arial"/>
                <w:sz w:val="24"/>
                <w:szCs w:val="24"/>
              </w:rPr>
              <w:t>FirstEnergy Solutions Corp.,</w:t>
            </w:r>
          </w:p>
          <w:p w:rsidR="004B1AF0" w:rsidRPr="004B1AF0" w:rsidRDefault="004B1AF0" w:rsidP="00023279">
            <w:pPr>
              <w:tabs>
                <w:tab w:val="left" w:pos="5040"/>
              </w:tabs>
              <w:spacing w:after="0"/>
              <w:rPr>
                <w:rFonts w:ascii="Arial" w:eastAsia="Times New Roman" w:hAnsi="Arial" w:cs="Arial"/>
                <w:sz w:val="24"/>
                <w:szCs w:val="24"/>
              </w:rPr>
            </w:pPr>
          </w:p>
          <w:p w:rsidR="004B1AF0" w:rsidRPr="004B1AF0" w:rsidRDefault="004B1AF0" w:rsidP="00023279">
            <w:pPr>
              <w:tabs>
                <w:tab w:val="left" w:pos="5040"/>
              </w:tabs>
              <w:spacing w:after="0"/>
              <w:ind w:left="720"/>
              <w:rPr>
                <w:rFonts w:ascii="Arial" w:eastAsia="Times New Roman" w:hAnsi="Arial" w:cs="Arial"/>
                <w:sz w:val="24"/>
                <w:szCs w:val="24"/>
              </w:rPr>
            </w:pPr>
            <w:r w:rsidRPr="004B1AF0">
              <w:rPr>
                <w:rFonts w:ascii="Arial" w:eastAsia="Times New Roman" w:hAnsi="Arial" w:cs="Arial"/>
                <w:sz w:val="24"/>
                <w:szCs w:val="24"/>
              </w:rPr>
              <w:t>Respondent.</w:t>
            </w:r>
          </w:p>
          <w:p w:rsidR="004B1AF0" w:rsidRPr="004B1AF0" w:rsidRDefault="004B1AF0" w:rsidP="00023279">
            <w:pPr>
              <w:tabs>
                <w:tab w:val="left" w:pos="5040"/>
              </w:tabs>
              <w:spacing w:after="0"/>
              <w:rPr>
                <w:rFonts w:ascii="Arial" w:eastAsia="Times New Roman" w:hAnsi="Arial" w:cs="Arial"/>
                <w:sz w:val="24"/>
                <w:szCs w:val="24"/>
              </w:rPr>
            </w:pPr>
          </w:p>
        </w:tc>
        <w:tc>
          <w:tcPr>
            <w:tcW w:w="450" w:type="dxa"/>
          </w:tcPr>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Arial" w:eastAsia="Times New Roman" w:hAnsi="Arial" w:cs="Arial"/>
                <w:sz w:val="24"/>
                <w:szCs w:val="24"/>
              </w:rPr>
            </w:pPr>
            <w:r w:rsidRPr="004B1AF0">
              <w:rPr>
                <w:rFonts w:ascii="Arial" w:eastAsia="Times New Roman" w:hAnsi="Arial" w:cs="Arial"/>
                <w:sz w:val="24"/>
                <w:szCs w:val="24"/>
              </w:rPr>
              <w:t>)</w:t>
            </w:r>
          </w:p>
          <w:p w:rsidR="004B1AF0" w:rsidRPr="004B1AF0" w:rsidRDefault="004B1AF0" w:rsidP="00F22FA2">
            <w:pPr>
              <w:spacing w:after="0"/>
              <w:jc w:val="both"/>
              <w:rPr>
                <w:rFonts w:ascii="Times New Roman" w:eastAsia="Times New Roman" w:hAnsi="Times New Roman"/>
                <w:sz w:val="24"/>
                <w:szCs w:val="24"/>
              </w:rPr>
            </w:pPr>
            <w:r w:rsidRPr="004B1AF0">
              <w:rPr>
                <w:rFonts w:ascii="Arial" w:eastAsia="Times New Roman" w:hAnsi="Arial" w:cs="Arial"/>
                <w:sz w:val="24"/>
                <w:szCs w:val="24"/>
              </w:rPr>
              <w:t>)</w:t>
            </w:r>
          </w:p>
        </w:tc>
        <w:tc>
          <w:tcPr>
            <w:tcW w:w="4158" w:type="dxa"/>
          </w:tcPr>
          <w:p w:rsidR="004B1AF0" w:rsidRPr="004B1AF0" w:rsidRDefault="004B1AF0" w:rsidP="00F22FA2">
            <w:pPr>
              <w:tabs>
                <w:tab w:val="left" w:pos="5040"/>
              </w:tabs>
              <w:spacing w:after="0"/>
              <w:jc w:val="both"/>
              <w:rPr>
                <w:rFonts w:ascii="Arial" w:eastAsia="Times New Roman" w:hAnsi="Arial" w:cs="Arial"/>
                <w:sz w:val="24"/>
                <w:szCs w:val="24"/>
              </w:rPr>
            </w:pPr>
          </w:p>
          <w:p w:rsidR="004B1AF0" w:rsidRPr="004B1AF0" w:rsidRDefault="004B1AF0" w:rsidP="00F22FA2">
            <w:pPr>
              <w:spacing w:after="0"/>
              <w:jc w:val="both"/>
              <w:rPr>
                <w:rFonts w:ascii="Times New Roman" w:eastAsia="Times New Roman" w:hAnsi="Times New Roman"/>
                <w:sz w:val="24"/>
                <w:szCs w:val="24"/>
              </w:rPr>
            </w:pPr>
          </w:p>
          <w:p w:rsidR="004B1AF0" w:rsidRPr="004B1AF0" w:rsidRDefault="004B1AF0" w:rsidP="00F22FA2">
            <w:pPr>
              <w:spacing w:after="0"/>
              <w:jc w:val="both"/>
              <w:rPr>
                <w:rFonts w:ascii="Times New Roman" w:eastAsia="Times New Roman" w:hAnsi="Times New Roman"/>
                <w:sz w:val="24"/>
                <w:szCs w:val="24"/>
              </w:rPr>
            </w:pPr>
          </w:p>
          <w:p w:rsidR="004B1AF0" w:rsidRPr="004B1AF0" w:rsidRDefault="004B1AF0" w:rsidP="00F22FA2">
            <w:pPr>
              <w:spacing w:after="0"/>
              <w:jc w:val="both"/>
              <w:rPr>
                <w:rFonts w:ascii="Times New Roman" w:eastAsia="Times New Roman" w:hAnsi="Times New Roman"/>
                <w:sz w:val="24"/>
                <w:szCs w:val="24"/>
              </w:rPr>
            </w:pPr>
          </w:p>
          <w:p w:rsidR="004B1AF0" w:rsidRPr="004B1AF0" w:rsidRDefault="004B1AF0" w:rsidP="00F22FA2">
            <w:pPr>
              <w:spacing w:after="0"/>
              <w:jc w:val="both"/>
              <w:rPr>
                <w:rFonts w:ascii="Times New Roman" w:eastAsia="Times New Roman" w:hAnsi="Times New Roman"/>
                <w:sz w:val="24"/>
                <w:szCs w:val="24"/>
              </w:rPr>
            </w:pPr>
          </w:p>
          <w:p w:rsidR="004B1AF0" w:rsidRPr="004B1AF0" w:rsidRDefault="004B1AF0" w:rsidP="00F22FA2">
            <w:pPr>
              <w:spacing w:after="0"/>
              <w:jc w:val="both"/>
              <w:rPr>
                <w:rFonts w:ascii="Times New Roman" w:eastAsia="Times New Roman" w:hAnsi="Times New Roman"/>
                <w:sz w:val="24"/>
                <w:szCs w:val="24"/>
              </w:rPr>
            </w:pPr>
          </w:p>
          <w:p w:rsidR="004B1AF0" w:rsidRPr="004B1AF0" w:rsidRDefault="004B1AF0" w:rsidP="00F22FA2">
            <w:pPr>
              <w:spacing w:after="0"/>
              <w:ind w:left="342"/>
              <w:jc w:val="both"/>
              <w:rPr>
                <w:rFonts w:ascii="Arial" w:eastAsia="Times New Roman" w:hAnsi="Arial" w:cs="Arial"/>
                <w:sz w:val="24"/>
                <w:szCs w:val="24"/>
              </w:rPr>
            </w:pPr>
            <w:r w:rsidRPr="004B1AF0">
              <w:rPr>
                <w:rFonts w:ascii="Arial" w:eastAsia="Times New Roman" w:hAnsi="Arial" w:cs="Arial"/>
                <w:sz w:val="24"/>
                <w:szCs w:val="24"/>
              </w:rPr>
              <w:t>Case No. 14-1182-EL-CSS</w:t>
            </w:r>
          </w:p>
          <w:p w:rsidR="004B1AF0" w:rsidRPr="004B1AF0" w:rsidRDefault="004B1AF0" w:rsidP="00F22FA2">
            <w:pPr>
              <w:spacing w:after="0"/>
              <w:jc w:val="both"/>
              <w:rPr>
                <w:rFonts w:ascii="Times New Roman" w:eastAsia="Times New Roman" w:hAnsi="Times New Roman"/>
                <w:sz w:val="24"/>
                <w:szCs w:val="24"/>
              </w:rPr>
            </w:pPr>
          </w:p>
          <w:p w:rsidR="004B1AF0" w:rsidRPr="004B1AF0" w:rsidRDefault="004B1AF0" w:rsidP="00F22FA2">
            <w:pPr>
              <w:spacing w:after="0"/>
              <w:jc w:val="both"/>
              <w:rPr>
                <w:rFonts w:ascii="Times New Roman" w:eastAsia="Times New Roman" w:hAnsi="Times New Roman"/>
                <w:sz w:val="24"/>
                <w:szCs w:val="24"/>
              </w:rPr>
            </w:pPr>
          </w:p>
          <w:p w:rsidR="004B1AF0" w:rsidRPr="004B1AF0" w:rsidRDefault="004B1AF0" w:rsidP="00F22FA2">
            <w:pPr>
              <w:spacing w:after="0"/>
              <w:jc w:val="both"/>
              <w:rPr>
                <w:rFonts w:ascii="Times New Roman" w:eastAsia="Times New Roman" w:hAnsi="Times New Roman"/>
                <w:sz w:val="24"/>
                <w:szCs w:val="24"/>
              </w:rPr>
            </w:pPr>
          </w:p>
        </w:tc>
      </w:tr>
    </w:tbl>
    <w:p w:rsidR="004B1AF0" w:rsidRPr="004B1AF0" w:rsidRDefault="004B1AF0" w:rsidP="00F22FA2">
      <w:pPr>
        <w:tabs>
          <w:tab w:val="left" w:pos="5040"/>
        </w:tabs>
        <w:spacing w:after="0" w:line="240" w:lineRule="auto"/>
        <w:rPr>
          <w:rFonts w:eastAsia="Times New Roman" w:cs="Arial"/>
        </w:rPr>
      </w:pPr>
    </w:p>
    <w:p w:rsidR="004B1AF0" w:rsidRPr="004B1AF0" w:rsidRDefault="004B1AF0" w:rsidP="00F22FA2">
      <w:pPr>
        <w:tabs>
          <w:tab w:val="left" w:pos="5040"/>
        </w:tabs>
        <w:spacing w:after="0" w:line="240" w:lineRule="auto"/>
        <w:rPr>
          <w:rFonts w:eastAsia="Times New Roman" w:cs="Arial"/>
          <w:sz w:val="28"/>
        </w:rPr>
      </w:pPr>
    </w:p>
    <w:p w:rsidR="004B1AF0" w:rsidRPr="004B1AF0" w:rsidRDefault="004B1AF0" w:rsidP="00F22FA2">
      <w:pPr>
        <w:keepNext/>
        <w:pBdr>
          <w:top w:val="single" w:sz="12" w:space="1" w:color="auto"/>
        </w:pBdr>
        <w:tabs>
          <w:tab w:val="left" w:pos="7320"/>
        </w:tabs>
        <w:spacing w:after="0" w:line="240" w:lineRule="auto"/>
        <w:outlineLvl w:val="0"/>
        <w:rPr>
          <w:rFonts w:ascii="Arial Bold" w:eastAsia="Times New Roman" w:hAnsi="Arial Bold" w:cs="Arial"/>
          <w:b/>
          <w:smallCaps/>
          <w:sz w:val="28"/>
        </w:rPr>
      </w:pPr>
    </w:p>
    <w:p w:rsidR="004B1AF0" w:rsidRPr="004B1AF0" w:rsidRDefault="004B1AF0" w:rsidP="00F22FA2">
      <w:pPr>
        <w:keepNext/>
        <w:tabs>
          <w:tab w:val="left" w:pos="7320"/>
        </w:tabs>
        <w:spacing w:after="0" w:line="240" w:lineRule="auto"/>
        <w:jc w:val="center"/>
        <w:outlineLvl w:val="0"/>
        <w:rPr>
          <w:rFonts w:ascii="Arial Bold" w:eastAsia="Times New Roman" w:hAnsi="Arial Bold" w:cs="Arial"/>
          <w:b/>
          <w:smallCaps/>
          <w:sz w:val="28"/>
        </w:rPr>
      </w:pPr>
      <w:r w:rsidRPr="004B1AF0">
        <w:rPr>
          <w:rFonts w:ascii="Arial Bold" w:eastAsia="Times New Roman" w:hAnsi="Arial Bold" w:cs="Arial"/>
          <w:b/>
          <w:smallCaps/>
          <w:sz w:val="28"/>
        </w:rPr>
        <w:t>Memorandum In Support</w:t>
      </w:r>
    </w:p>
    <w:p w:rsidR="004B1AF0" w:rsidRPr="004B1AF0" w:rsidRDefault="004B1AF0" w:rsidP="00F22FA2">
      <w:pPr>
        <w:pBdr>
          <w:bottom w:val="single" w:sz="12" w:space="1" w:color="auto"/>
        </w:pBdr>
        <w:spacing w:after="0" w:line="240" w:lineRule="auto"/>
        <w:rPr>
          <w:rFonts w:eastAsia="Times New Roman" w:cs="Arial"/>
          <w:b/>
          <w:smallCaps/>
          <w:sz w:val="28"/>
          <w:u w:val="single"/>
        </w:rPr>
      </w:pPr>
    </w:p>
    <w:p w:rsidR="004B1AF0" w:rsidRPr="004B1AF0" w:rsidRDefault="004B1AF0" w:rsidP="00F22FA2">
      <w:pPr>
        <w:spacing w:after="0" w:line="240" w:lineRule="auto"/>
        <w:rPr>
          <w:rFonts w:eastAsia="Times New Roman" w:cs="Arial"/>
          <w:b/>
          <w:smallCaps/>
          <w:sz w:val="28"/>
          <w:u w:val="single"/>
        </w:rPr>
      </w:pPr>
    </w:p>
    <w:p w:rsidR="004B1AF0" w:rsidRDefault="004B1AF0" w:rsidP="00023279">
      <w:pPr>
        <w:spacing w:after="0"/>
        <w:rPr>
          <w:rFonts w:cs="Arial"/>
        </w:rPr>
      </w:pPr>
      <w:r>
        <w:rPr>
          <w:rFonts w:cs="Arial"/>
        </w:rPr>
        <w:tab/>
      </w:r>
      <w:r w:rsidR="00CC4CC9">
        <w:rPr>
          <w:rFonts w:cs="Arial"/>
        </w:rPr>
        <w:t xml:space="preserve">In this Complaint, </w:t>
      </w:r>
      <w:r w:rsidR="00AA63BA" w:rsidRPr="00AA63BA">
        <w:rPr>
          <w:rFonts w:cs="Arial"/>
        </w:rPr>
        <w:t xml:space="preserve">Ohio Schools Council, Ohio School Boards Association, Ohio Association of School Business Officials, and Buckeye Association of School Administrators, dba Power4Schools </w:t>
      </w:r>
      <w:r w:rsidR="00AA63BA">
        <w:rPr>
          <w:rFonts w:cs="Arial"/>
        </w:rPr>
        <w:t>(“</w:t>
      </w:r>
      <w:r w:rsidR="00CC4CC9">
        <w:rPr>
          <w:rFonts w:cs="Arial"/>
        </w:rPr>
        <w:t>Complain</w:t>
      </w:r>
      <w:r w:rsidR="00595D7F">
        <w:rPr>
          <w:rFonts w:cs="Arial"/>
        </w:rPr>
        <w:t>ant</w:t>
      </w:r>
      <w:r w:rsidR="00CC4CC9">
        <w:rPr>
          <w:rFonts w:cs="Arial"/>
        </w:rPr>
        <w:t>s</w:t>
      </w:r>
      <w:r w:rsidR="00AA63BA">
        <w:rPr>
          <w:rFonts w:cs="Arial"/>
        </w:rPr>
        <w:t>”)</w:t>
      </w:r>
      <w:r w:rsidR="00CC4CC9">
        <w:rPr>
          <w:rFonts w:cs="Arial"/>
        </w:rPr>
        <w:t xml:space="preserve"> are seeking orders that there are reasonable grounds for complaint and that FES </w:t>
      </w:r>
      <w:r w:rsidR="00C00D4C">
        <w:rPr>
          <w:rFonts w:cs="Arial"/>
        </w:rPr>
        <w:t>committed</w:t>
      </w:r>
      <w:r w:rsidR="00CC4CC9">
        <w:rPr>
          <w:rFonts w:cs="Arial"/>
        </w:rPr>
        <w:t xml:space="preserve"> unfair, misleading, deceptive, or unconscionable acts and practices and </w:t>
      </w:r>
      <w:r w:rsidR="00595D7F">
        <w:rPr>
          <w:rFonts w:cs="Arial"/>
        </w:rPr>
        <w:t>relief</w:t>
      </w:r>
      <w:r w:rsidR="00CC4CC9">
        <w:rPr>
          <w:rFonts w:cs="Arial"/>
        </w:rPr>
        <w:t xml:space="preserve"> imposing civil forfeitures and the conditional suspension of FES’s certificate to provide CRES in Ohio.  </w:t>
      </w:r>
      <w:r>
        <w:rPr>
          <w:rFonts w:cs="Arial"/>
        </w:rPr>
        <w:t xml:space="preserve">By this </w:t>
      </w:r>
      <w:r w:rsidR="00A83322">
        <w:rPr>
          <w:rFonts w:cs="Arial"/>
        </w:rPr>
        <w:t>M</w:t>
      </w:r>
      <w:r>
        <w:rPr>
          <w:rFonts w:cs="Arial"/>
        </w:rPr>
        <w:t>otion, Movants seek preliminary and interim relief to assure that the moving parties are not adversely affected by actions of FES while billing matters</w:t>
      </w:r>
      <w:r w:rsidR="00057AF3">
        <w:rPr>
          <w:rFonts w:cs="Arial"/>
        </w:rPr>
        <w:t>,</w:t>
      </w:r>
      <w:r>
        <w:rPr>
          <w:rFonts w:cs="Arial"/>
        </w:rPr>
        <w:t xml:space="preserve"> which are the subject of bona fide disputes</w:t>
      </w:r>
      <w:r w:rsidR="00057AF3">
        <w:rPr>
          <w:rFonts w:cs="Arial"/>
        </w:rPr>
        <w:t>,</w:t>
      </w:r>
      <w:r>
        <w:rPr>
          <w:rFonts w:cs="Arial"/>
        </w:rPr>
        <w:t xml:space="preserve"> are resolved.  Because the Commission’s rules do not address many of the potential problems of notice to </w:t>
      </w:r>
      <w:r w:rsidR="00F22FA2">
        <w:rPr>
          <w:rFonts w:cs="Arial"/>
        </w:rPr>
        <w:t>EDUs</w:t>
      </w:r>
      <w:r w:rsidR="00023279">
        <w:rPr>
          <w:rFonts w:cs="Arial"/>
        </w:rPr>
        <w:t xml:space="preserve"> and ongoing relationships between the Movants and FES</w:t>
      </w:r>
      <w:r>
        <w:rPr>
          <w:rFonts w:cs="Arial"/>
        </w:rPr>
        <w:t>, the requested relief is necessary and reasonable.</w:t>
      </w:r>
      <w:r w:rsidR="00BE3266">
        <w:rPr>
          <w:rFonts w:cs="Arial"/>
        </w:rPr>
        <w:t xml:space="preserve">  Movants are </w:t>
      </w:r>
      <w:r w:rsidR="00BE3266">
        <w:rPr>
          <w:rFonts w:cs="Arial"/>
        </w:rPr>
        <w:lastRenderedPageBreak/>
        <w:t xml:space="preserve">supportive of and join the motion filed by </w:t>
      </w:r>
      <w:r w:rsidR="00DC5759" w:rsidRPr="00DC5759">
        <w:rPr>
          <w:rFonts w:cs="Arial"/>
        </w:rPr>
        <w:t xml:space="preserve">The Timken Company, Marathon Petroleum Company, Wausau Paper Towel and Tissue LLC, ASHTA Chemicals Inc., Columbus Castings, The Lincoln Electric Company, Delphi Corporation, and Landmark Plastic Corporation </w:t>
      </w:r>
      <w:r w:rsidR="00BE3266">
        <w:rPr>
          <w:rFonts w:cs="Arial"/>
        </w:rPr>
        <w:t>on July 17, 2014.</w:t>
      </w:r>
    </w:p>
    <w:p w:rsidR="004B1AF0" w:rsidRDefault="004B1AF0" w:rsidP="00023279">
      <w:pPr>
        <w:spacing w:after="0"/>
        <w:rPr>
          <w:rFonts w:cs="Arial"/>
        </w:rPr>
      </w:pPr>
      <w:r>
        <w:rPr>
          <w:rFonts w:cs="Arial"/>
        </w:rPr>
        <w:tab/>
        <w:t xml:space="preserve">The specific relief the </w:t>
      </w:r>
      <w:r w:rsidR="00DD70CD">
        <w:rPr>
          <w:rFonts w:cs="Arial"/>
        </w:rPr>
        <w:t xml:space="preserve">Movants </w:t>
      </w:r>
      <w:r>
        <w:rPr>
          <w:rFonts w:cs="Arial"/>
        </w:rPr>
        <w:t>seek includes the following orders:</w:t>
      </w:r>
    </w:p>
    <w:p w:rsidR="00DD70CD" w:rsidRDefault="00F22FA2" w:rsidP="001E375C">
      <w:pPr>
        <w:pStyle w:val="ListParagraph"/>
        <w:numPr>
          <w:ilvl w:val="0"/>
          <w:numId w:val="2"/>
        </w:numPr>
        <w:spacing w:after="240"/>
        <w:ind w:right="720" w:hanging="720"/>
        <w:jc w:val="both"/>
      </w:pPr>
      <w:r>
        <w:t>An order</w:t>
      </w:r>
      <w:r w:rsidR="004B1AF0">
        <w:t xml:space="preserve"> finding that an amount disputed by a Movant will not be deemed due and payable and the contract will not be deemed as in default if the Movant has notified FES that its invoice, or, in the case </w:t>
      </w:r>
      <w:r w:rsidR="00023279" w:rsidRPr="00023279">
        <w:t xml:space="preserve">in which the </w:t>
      </w:r>
      <w:r w:rsidR="00023279">
        <w:t>Movant</w:t>
      </w:r>
      <w:r w:rsidR="00023279" w:rsidRPr="00023279">
        <w:t xml:space="preserve"> is billed through </w:t>
      </w:r>
      <w:r w:rsidR="004B1AF0">
        <w:t xml:space="preserve">consolidated billing, a portion of the bill of the EDU related to the CRES Contract between FES and the Movant, is disputed;  </w:t>
      </w:r>
    </w:p>
    <w:p w:rsidR="00DD70CD" w:rsidRDefault="00DD70CD" w:rsidP="001E375C">
      <w:pPr>
        <w:pStyle w:val="ListParagraph"/>
        <w:spacing w:after="240"/>
        <w:ind w:left="1440" w:right="720"/>
        <w:jc w:val="both"/>
      </w:pPr>
    </w:p>
    <w:p w:rsidR="00DD70CD" w:rsidRDefault="00F22FA2" w:rsidP="001E375C">
      <w:pPr>
        <w:pStyle w:val="ListParagraph"/>
        <w:numPr>
          <w:ilvl w:val="0"/>
          <w:numId w:val="2"/>
        </w:numPr>
        <w:spacing w:after="240"/>
        <w:ind w:right="720" w:hanging="720"/>
        <w:jc w:val="both"/>
      </w:pPr>
      <w:r>
        <w:t>An order</w:t>
      </w:r>
      <w:r w:rsidR="004B1AF0">
        <w:t xml:space="preserve"> finding that FES, pending the resolution of the billing dispute and during the balance of the term of the service agreement, shall take no action that may result in a Movant being required to pay for retail electric service in accordance with the otherwise applicable SSO rate schedule or that may subject the Movant to SSO terms and conditions that may affect the opportunity for the Movant to obtain CRES from a CRES provider;</w:t>
      </w:r>
    </w:p>
    <w:p w:rsidR="00DD70CD" w:rsidRDefault="00DD70CD" w:rsidP="001E375C">
      <w:pPr>
        <w:pStyle w:val="ListParagraph"/>
        <w:spacing w:after="240"/>
        <w:ind w:left="1440" w:right="720"/>
        <w:jc w:val="both"/>
      </w:pPr>
    </w:p>
    <w:p w:rsidR="00DD70CD" w:rsidRDefault="00F22FA2" w:rsidP="001E375C">
      <w:pPr>
        <w:pStyle w:val="ListParagraph"/>
        <w:numPr>
          <w:ilvl w:val="0"/>
          <w:numId w:val="2"/>
        </w:numPr>
        <w:ind w:right="720" w:hanging="720"/>
        <w:jc w:val="both"/>
      </w:pPr>
      <w:r>
        <w:t>An order</w:t>
      </w:r>
      <w:r w:rsidR="004B1AF0">
        <w:t xml:space="preserve"> that FES will not seek to terminate service of a Movant for failure to pay any disputed amounts and that FES will refrain from terminating service for so long as there is no final determination that the disputed amount is due and payable, except that CRES will not extend beyond the stated term of the CRES Contract and any extensions agreed to by the parties; </w:t>
      </w:r>
    </w:p>
    <w:p w:rsidR="00DD70CD" w:rsidRDefault="00DD70CD" w:rsidP="001E375C">
      <w:pPr>
        <w:pStyle w:val="ListParagraph"/>
        <w:ind w:left="1440" w:right="720"/>
        <w:jc w:val="both"/>
      </w:pPr>
    </w:p>
    <w:p w:rsidR="00DD70CD" w:rsidRDefault="00F22FA2" w:rsidP="001E375C">
      <w:pPr>
        <w:pStyle w:val="ListParagraph"/>
        <w:numPr>
          <w:ilvl w:val="0"/>
          <w:numId w:val="2"/>
        </w:numPr>
        <w:spacing w:after="240"/>
        <w:ind w:right="720" w:hanging="720"/>
        <w:jc w:val="both"/>
      </w:pPr>
      <w:r>
        <w:t>An order</w:t>
      </w:r>
      <w:r w:rsidR="004B1AF0">
        <w:t xml:space="preserve"> that FES shall in good faith, verbally and in writing, attempt to resolve the dispute;  </w:t>
      </w:r>
    </w:p>
    <w:p w:rsidR="00DD70CD" w:rsidRDefault="00DD70CD" w:rsidP="001E375C">
      <w:pPr>
        <w:pStyle w:val="ListParagraph"/>
        <w:spacing w:after="240"/>
        <w:ind w:left="1440" w:right="720"/>
        <w:jc w:val="both"/>
      </w:pPr>
    </w:p>
    <w:p w:rsidR="00DD70CD" w:rsidRDefault="00F22FA2" w:rsidP="001E375C">
      <w:pPr>
        <w:pStyle w:val="ListParagraph"/>
        <w:numPr>
          <w:ilvl w:val="0"/>
          <w:numId w:val="2"/>
        </w:numPr>
        <w:spacing w:after="240"/>
        <w:ind w:right="720" w:hanging="720"/>
        <w:jc w:val="both"/>
      </w:pPr>
      <w:r>
        <w:t>An order</w:t>
      </w:r>
      <w:r w:rsidR="004B1AF0">
        <w:t xml:space="preserve"> that FES shall not seek to impose a late payment charge on any amount disputed by a Movant;</w:t>
      </w:r>
    </w:p>
    <w:p w:rsidR="00DD70CD" w:rsidRDefault="00DD70CD" w:rsidP="001E375C">
      <w:pPr>
        <w:pStyle w:val="ListParagraph"/>
        <w:spacing w:after="240"/>
        <w:ind w:left="1440" w:right="720"/>
        <w:jc w:val="both"/>
      </w:pPr>
    </w:p>
    <w:p w:rsidR="00DD70CD" w:rsidRDefault="00F22FA2" w:rsidP="001E375C">
      <w:pPr>
        <w:pStyle w:val="ListParagraph"/>
        <w:numPr>
          <w:ilvl w:val="0"/>
          <w:numId w:val="2"/>
        </w:numPr>
        <w:spacing w:after="240"/>
        <w:ind w:right="720" w:hanging="720"/>
        <w:jc w:val="both"/>
      </w:pPr>
      <w:r>
        <w:t>An order</w:t>
      </w:r>
      <w:r w:rsidR="004B1AF0">
        <w:t xml:space="preserve"> that FES shall, for a Movant that receives a consolidated bill that includes an RTO Expense Surcharge that is disputed by a Movant (regardless of whether the Movant has withheld payment of the disputed amount) (1) notify in writing the EDU or EDUs serving the Movant that there is a dispute regarding FES’s right to bill and collect the amount or charge identified by the Movant as being in dispute and indicate, in such notice to the EDU or EDUs, that FES’s service relationship with the Movant is not and will not be altered as </w:t>
      </w:r>
      <w:r w:rsidR="004B1AF0">
        <w:lastRenderedPageBreak/>
        <w:t xml:space="preserve">a consequence of the billing dispute; and (2) to provide each Movant disputing the amount or charge with a copy of the notice provided to the EDU or EDUs;  </w:t>
      </w:r>
    </w:p>
    <w:p w:rsidR="00DD70CD" w:rsidRDefault="00DD70CD" w:rsidP="001E375C">
      <w:pPr>
        <w:pStyle w:val="ListParagraph"/>
        <w:spacing w:after="240"/>
        <w:ind w:left="1440" w:right="720"/>
        <w:jc w:val="both"/>
      </w:pPr>
    </w:p>
    <w:p w:rsidR="00DD70CD" w:rsidRDefault="00F22FA2" w:rsidP="001E375C">
      <w:pPr>
        <w:pStyle w:val="ListParagraph"/>
        <w:numPr>
          <w:ilvl w:val="0"/>
          <w:numId w:val="2"/>
        </w:numPr>
        <w:spacing w:after="240"/>
        <w:ind w:right="720" w:hanging="720"/>
        <w:jc w:val="both"/>
      </w:pPr>
      <w:r>
        <w:t>An order</w:t>
      </w:r>
      <w:r w:rsidR="004B1AF0">
        <w:t xml:space="preserve"> that FES will not apply any prepayment, deposit, escrow, or other credit mechanism which </w:t>
      </w:r>
      <w:r w:rsidR="00DD70CD">
        <w:t xml:space="preserve">a </w:t>
      </w:r>
      <w:r w:rsidR="004B1AF0">
        <w:t>Movant may have provided to the disputed amount;</w:t>
      </w:r>
    </w:p>
    <w:p w:rsidR="00DD70CD" w:rsidRDefault="00DD70CD" w:rsidP="001E375C">
      <w:pPr>
        <w:pStyle w:val="ListParagraph"/>
        <w:spacing w:after="240"/>
        <w:ind w:left="1440" w:right="720"/>
        <w:jc w:val="both"/>
      </w:pPr>
    </w:p>
    <w:p w:rsidR="00DD70CD" w:rsidRDefault="00F22FA2" w:rsidP="001E375C">
      <w:pPr>
        <w:pStyle w:val="ListParagraph"/>
        <w:numPr>
          <w:ilvl w:val="0"/>
          <w:numId w:val="2"/>
        </w:numPr>
        <w:spacing w:after="240"/>
        <w:ind w:right="720" w:hanging="720"/>
        <w:jc w:val="both"/>
      </w:pPr>
      <w:r>
        <w:t>An order</w:t>
      </w:r>
      <w:r w:rsidR="004B1AF0">
        <w:t xml:space="preserve"> that FES will not revise its credit profile of </w:t>
      </w:r>
      <w:r w:rsidR="00DD70CD">
        <w:t xml:space="preserve">a </w:t>
      </w:r>
      <w:r w:rsidR="004B1AF0">
        <w:t xml:space="preserve">Movant or take any action that might alter </w:t>
      </w:r>
      <w:r w:rsidR="00DD70CD">
        <w:t xml:space="preserve">a </w:t>
      </w:r>
      <w:r w:rsidR="004B1AF0">
        <w:t xml:space="preserve">Movant’s credit profile for the sole reason that the Movant has disputed an amount or charge which FES has billed the Movant (either directly or through consolidated billing); and </w:t>
      </w:r>
    </w:p>
    <w:p w:rsidR="00DD70CD" w:rsidRDefault="00DD70CD" w:rsidP="001E375C">
      <w:pPr>
        <w:pStyle w:val="ListParagraph"/>
        <w:spacing w:after="240"/>
        <w:ind w:left="1440" w:right="720"/>
        <w:jc w:val="both"/>
      </w:pPr>
    </w:p>
    <w:p w:rsidR="004B1AF0" w:rsidRDefault="004B1AF0" w:rsidP="001E375C">
      <w:pPr>
        <w:pStyle w:val="ListParagraph"/>
        <w:numPr>
          <w:ilvl w:val="0"/>
          <w:numId w:val="2"/>
        </w:numPr>
        <w:spacing w:after="360"/>
        <w:ind w:right="720" w:hanging="720"/>
        <w:jc w:val="both"/>
      </w:pPr>
      <w:r>
        <w:t>Such additional orders as the Commission may find are just, reasonable and lawful.</w:t>
      </w:r>
    </w:p>
    <w:p w:rsidR="004B1AF0" w:rsidRDefault="004B1AF0" w:rsidP="00F22FA2">
      <w:pPr>
        <w:pStyle w:val="Heading1"/>
      </w:pPr>
      <w:r>
        <w:t xml:space="preserve">There is a bona fide dispute regarding an RTO Expense Surcharge between </w:t>
      </w:r>
      <w:r w:rsidR="00B337D0">
        <w:t xml:space="preserve">Movants </w:t>
      </w:r>
      <w:r>
        <w:t>and FES</w:t>
      </w:r>
    </w:p>
    <w:p w:rsidR="0031347B" w:rsidRPr="0031347B" w:rsidRDefault="00CC4CC9" w:rsidP="00C175CA">
      <w:pPr>
        <w:pStyle w:val="BodyText2"/>
        <w:spacing w:after="0"/>
        <w:rPr>
          <w:rFonts w:eastAsia="Times New Roman" w:cs="Arial"/>
          <w:szCs w:val="20"/>
        </w:rPr>
      </w:pPr>
      <w:r>
        <w:rPr>
          <w:rFonts w:cs="Arial"/>
        </w:rPr>
        <w:tab/>
      </w:r>
      <w:r w:rsidR="0031347B" w:rsidRPr="0031347B">
        <w:rPr>
          <w:rFonts w:eastAsia="Times New Roman" w:cs="Arial"/>
          <w:szCs w:val="20"/>
        </w:rPr>
        <w:t xml:space="preserve">On July 3, 2014, </w:t>
      </w:r>
      <w:r w:rsidR="003A1E21">
        <w:rPr>
          <w:rFonts w:eastAsia="Times New Roman" w:cs="Arial"/>
          <w:szCs w:val="20"/>
        </w:rPr>
        <w:t>Complainants</w:t>
      </w:r>
      <w:r w:rsidR="0031347B" w:rsidRPr="0031347B">
        <w:rPr>
          <w:rFonts w:eastAsia="Times New Roman" w:cs="Arial"/>
          <w:szCs w:val="20"/>
        </w:rPr>
        <w:t xml:space="preserve"> filed a multi-count complaint (“Complaint”) in this proceeding.  The Complaint alleges that certain of the Complainants’ participating members are customers of Ohio EDU</w:t>
      </w:r>
      <w:r w:rsidR="00533012">
        <w:rPr>
          <w:rFonts w:eastAsia="Times New Roman" w:cs="Arial"/>
          <w:szCs w:val="20"/>
        </w:rPr>
        <w:t>s</w:t>
      </w:r>
      <w:r w:rsidR="0031347B" w:rsidRPr="0031347B">
        <w:rPr>
          <w:rFonts w:eastAsia="Times New Roman" w:cs="Arial"/>
          <w:szCs w:val="20"/>
        </w:rPr>
        <w:t xml:space="preserve"> and customers that receive </w:t>
      </w:r>
      <w:r w:rsidR="00533012">
        <w:rPr>
          <w:rFonts w:eastAsia="Times New Roman" w:cs="Arial"/>
          <w:szCs w:val="20"/>
        </w:rPr>
        <w:t>CRES</w:t>
      </w:r>
      <w:r w:rsidR="0031347B" w:rsidRPr="0031347B">
        <w:rPr>
          <w:rFonts w:eastAsia="Times New Roman" w:cs="Arial"/>
          <w:szCs w:val="20"/>
        </w:rPr>
        <w:t xml:space="preserve"> from </w:t>
      </w:r>
      <w:r w:rsidR="003A1E21">
        <w:rPr>
          <w:rFonts w:eastAsia="Times New Roman" w:cs="Arial"/>
          <w:szCs w:val="20"/>
        </w:rPr>
        <w:t>FES</w:t>
      </w:r>
      <w:r w:rsidR="00754763">
        <w:rPr>
          <w:rFonts w:eastAsia="Times New Roman" w:cs="Arial"/>
          <w:szCs w:val="20"/>
        </w:rPr>
        <w:t>, the Respondent</w:t>
      </w:r>
      <w:r w:rsidR="0031347B" w:rsidRPr="0031347B">
        <w:rPr>
          <w:rFonts w:eastAsia="Times New Roman" w:cs="Arial"/>
          <w:szCs w:val="20"/>
        </w:rPr>
        <w:t xml:space="preserve"> in this proceeding.  </w:t>
      </w:r>
    </w:p>
    <w:p w:rsidR="0031347B" w:rsidRPr="0031347B" w:rsidRDefault="0031347B" w:rsidP="003134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ind w:firstLine="720"/>
        <w:textAlignment w:val="baseline"/>
        <w:rPr>
          <w:rFonts w:eastAsia="Times New Roman" w:cs="Arial"/>
          <w:szCs w:val="20"/>
        </w:rPr>
      </w:pPr>
      <w:r w:rsidRPr="0031347B">
        <w:rPr>
          <w:rFonts w:eastAsia="Times New Roman" w:cs="Arial"/>
          <w:szCs w:val="20"/>
        </w:rPr>
        <w:t xml:space="preserve">Movants are also EDU customers and have received or are receiving </w:t>
      </w:r>
      <w:r w:rsidR="00533012">
        <w:rPr>
          <w:rFonts w:eastAsia="Times New Roman" w:cs="Arial"/>
          <w:szCs w:val="20"/>
        </w:rPr>
        <w:t>CRES</w:t>
      </w:r>
      <w:r w:rsidRPr="0031347B">
        <w:rPr>
          <w:rFonts w:eastAsia="Times New Roman" w:cs="Arial"/>
          <w:szCs w:val="20"/>
        </w:rPr>
        <w:t xml:space="preserve"> from </w:t>
      </w:r>
      <w:r w:rsidR="003A1E21">
        <w:rPr>
          <w:rFonts w:eastAsia="Times New Roman" w:cs="Arial"/>
          <w:szCs w:val="20"/>
        </w:rPr>
        <w:t>FES</w:t>
      </w:r>
      <w:r w:rsidRPr="0031347B">
        <w:rPr>
          <w:rFonts w:eastAsia="Times New Roman" w:cs="Arial"/>
          <w:szCs w:val="20"/>
        </w:rPr>
        <w:t xml:space="preserve"> pursuant to CSA</w:t>
      </w:r>
      <w:r w:rsidR="00B36183">
        <w:rPr>
          <w:rFonts w:eastAsia="Times New Roman" w:cs="Arial"/>
          <w:szCs w:val="20"/>
        </w:rPr>
        <w:t>'s</w:t>
      </w:r>
      <w:r w:rsidRPr="0031347B">
        <w:rPr>
          <w:rFonts w:eastAsia="Times New Roman" w:cs="Arial"/>
          <w:szCs w:val="20"/>
        </w:rPr>
        <w:t xml:space="preserve"> that contain provisions either identical to or substantially similar to the provisions described in the Complaint.  </w:t>
      </w:r>
    </w:p>
    <w:p w:rsidR="0031347B" w:rsidRPr="0031347B" w:rsidRDefault="0031347B" w:rsidP="003134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ind w:firstLine="720"/>
        <w:textAlignment w:val="baseline"/>
        <w:rPr>
          <w:rFonts w:eastAsia="Times New Roman" w:cs="Arial"/>
          <w:szCs w:val="20"/>
        </w:rPr>
      </w:pPr>
      <w:r w:rsidRPr="0031347B">
        <w:rPr>
          <w:rFonts w:eastAsia="Times New Roman" w:cs="Arial"/>
          <w:szCs w:val="20"/>
        </w:rPr>
        <w:t xml:space="preserve">As more specifically described in the Complaint, FES has subjected or has threatened to subject Complainants’ participating members to an extra charge (called an RTO Expense Surcharge) based on a claim by FES that it is entitled to pass-through certain costs which FES claims to have been billed by PJMPJM.  </w:t>
      </w:r>
    </w:p>
    <w:p w:rsidR="0031347B" w:rsidRPr="0031347B" w:rsidRDefault="0031347B" w:rsidP="003134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ind w:firstLine="720"/>
        <w:textAlignment w:val="baseline"/>
        <w:rPr>
          <w:rFonts w:eastAsia="Times New Roman" w:cs="Arial"/>
          <w:szCs w:val="20"/>
        </w:rPr>
      </w:pPr>
      <w:r w:rsidRPr="0031347B">
        <w:rPr>
          <w:rFonts w:eastAsia="Times New Roman" w:cs="Arial"/>
          <w:szCs w:val="20"/>
        </w:rPr>
        <w:t xml:space="preserve">Similar to the Complainants, FES has subjected or has threatened to subject Movants to an </w:t>
      </w:r>
      <w:r w:rsidR="003A1E21">
        <w:rPr>
          <w:rFonts w:eastAsia="Times New Roman" w:cs="Arial"/>
          <w:szCs w:val="20"/>
        </w:rPr>
        <w:t>RTO Expense Surcharge</w:t>
      </w:r>
      <w:r w:rsidRPr="0031347B">
        <w:rPr>
          <w:rFonts w:eastAsia="Times New Roman" w:cs="Arial"/>
          <w:szCs w:val="20"/>
        </w:rPr>
        <w:t xml:space="preserve"> based on a claim by FES that it is entitled to </w:t>
      </w:r>
      <w:r w:rsidRPr="0031347B">
        <w:rPr>
          <w:rFonts w:eastAsia="Times New Roman" w:cs="Arial"/>
          <w:szCs w:val="20"/>
        </w:rPr>
        <w:lastRenderedPageBreak/>
        <w:t>pass-through certain costs which FES claims that it has been billed by PJM.  Based on Movants</w:t>
      </w:r>
      <w:r w:rsidR="003A1E21">
        <w:rPr>
          <w:rFonts w:eastAsia="Times New Roman" w:cs="Arial"/>
          <w:szCs w:val="20"/>
        </w:rPr>
        <w:t>’</w:t>
      </w:r>
      <w:r w:rsidRPr="0031347B">
        <w:rPr>
          <w:rFonts w:eastAsia="Times New Roman" w:cs="Arial"/>
          <w:szCs w:val="20"/>
        </w:rPr>
        <w:t xml:space="preserve"> information or belief, non-residential customers of FES that are located throughout Ohio are similarly situated to Movants and Complainants with regard to the general efforts by FES to bill and collect an RTO Expense Surcharge.  </w:t>
      </w:r>
    </w:p>
    <w:p w:rsidR="0031347B" w:rsidRPr="0031347B" w:rsidRDefault="0031347B" w:rsidP="0031347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ind w:firstLine="720"/>
        <w:textAlignment w:val="baseline"/>
        <w:rPr>
          <w:rFonts w:eastAsia="Times New Roman" w:cs="Arial"/>
          <w:szCs w:val="20"/>
        </w:rPr>
      </w:pPr>
      <w:r w:rsidRPr="0031347B">
        <w:rPr>
          <w:rFonts w:eastAsia="Times New Roman" w:cs="Arial"/>
          <w:szCs w:val="20"/>
        </w:rPr>
        <w:t xml:space="preserve">The </w:t>
      </w:r>
      <w:r w:rsidRPr="00C00D4C">
        <w:rPr>
          <w:rFonts w:eastAsia="Times New Roman" w:cs="Arial"/>
          <w:szCs w:val="20"/>
        </w:rPr>
        <w:t>Movant</w:t>
      </w:r>
      <w:r w:rsidRPr="0031347B">
        <w:rPr>
          <w:rFonts w:eastAsia="Times New Roman" w:cs="Arial"/>
          <w:szCs w:val="20"/>
        </w:rPr>
        <w:t>s, individually, have, pursuant to the controlling CSA, disputed FES’</w:t>
      </w:r>
      <w:r w:rsidR="00C0558C">
        <w:rPr>
          <w:rFonts w:eastAsia="Times New Roman" w:cs="Arial"/>
          <w:szCs w:val="20"/>
        </w:rPr>
        <w:t>s</w:t>
      </w:r>
      <w:r w:rsidRPr="0031347B">
        <w:rPr>
          <w:rFonts w:eastAsia="Times New Roman" w:cs="Arial"/>
          <w:szCs w:val="20"/>
        </w:rPr>
        <w:t xml:space="preserve"> right to bill and collect the RTO Expense Surcharge.  Some </w:t>
      </w:r>
      <w:r w:rsidRPr="00C00D4C">
        <w:rPr>
          <w:rFonts w:eastAsia="Times New Roman" w:cs="Arial"/>
          <w:szCs w:val="20"/>
        </w:rPr>
        <w:t>Movants</w:t>
      </w:r>
      <w:r w:rsidRPr="0031347B">
        <w:rPr>
          <w:rFonts w:eastAsia="Times New Roman" w:cs="Arial"/>
          <w:szCs w:val="20"/>
        </w:rPr>
        <w:t xml:space="preserve"> have also withheld payment of the disputed amount, in accordance with their right to do so under their C</w:t>
      </w:r>
      <w:r w:rsidR="00533012">
        <w:rPr>
          <w:rFonts w:eastAsia="Times New Roman" w:cs="Arial"/>
          <w:szCs w:val="20"/>
        </w:rPr>
        <w:t>S</w:t>
      </w:r>
      <w:r w:rsidRPr="0031347B">
        <w:rPr>
          <w:rFonts w:eastAsia="Times New Roman" w:cs="Arial"/>
          <w:szCs w:val="20"/>
        </w:rPr>
        <w:t xml:space="preserve">A with FES.  The </w:t>
      </w:r>
      <w:r w:rsidRPr="00C00D4C">
        <w:rPr>
          <w:rFonts w:eastAsia="Times New Roman" w:cs="Arial"/>
          <w:szCs w:val="20"/>
        </w:rPr>
        <w:t>Movant</w:t>
      </w:r>
      <w:r w:rsidRPr="0031347B">
        <w:rPr>
          <w:rFonts w:eastAsia="Times New Roman" w:cs="Arial"/>
          <w:szCs w:val="20"/>
        </w:rPr>
        <w:t xml:space="preserve">s are current in their payments to both FES and their individual EDU or EDUs although they may have withheld or </w:t>
      </w:r>
      <w:r w:rsidR="00AC10E4">
        <w:rPr>
          <w:rFonts w:eastAsia="Times New Roman" w:cs="Arial"/>
          <w:szCs w:val="20"/>
        </w:rPr>
        <w:t xml:space="preserve">will </w:t>
      </w:r>
      <w:r w:rsidRPr="0031347B">
        <w:rPr>
          <w:rFonts w:eastAsia="Times New Roman" w:cs="Arial"/>
          <w:szCs w:val="20"/>
        </w:rPr>
        <w:t xml:space="preserve">withhold payment of the disputed amount of the RTO </w:t>
      </w:r>
      <w:r w:rsidR="00021484">
        <w:rPr>
          <w:rFonts w:eastAsia="Times New Roman" w:cs="Arial"/>
          <w:szCs w:val="20"/>
        </w:rPr>
        <w:t>Expense Surcharge</w:t>
      </w:r>
      <w:r w:rsidRPr="0031347B">
        <w:rPr>
          <w:rFonts w:eastAsia="Times New Roman" w:cs="Arial"/>
          <w:szCs w:val="20"/>
        </w:rPr>
        <w:t>.  Based on Movants’ information or belief, once they have notified FES that they dispute FES’</w:t>
      </w:r>
      <w:r w:rsidR="00C0558C">
        <w:rPr>
          <w:rFonts w:eastAsia="Times New Roman" w:cs="Arial"/>
          <w:szCs w:val="20"/>
        </w:rPr>
        <w:t>s</w:t>
      </w:r>
      <w:r w:rsidRPr="0031347B">
        <w:rPr>
          <w:rFonts w:eastAsia="Times New Roman" w:cs="Arial"/>
          <w:szCs w:val="20"/>
        </w:rPr>
        <w:t xml:space="preserve"> right to bill and collect the RTO Expense Surcharge, Movants and all similarly situated customers may withhold payment of the disputed amount pending the resolution of the dispute.  Based on Movants’ information or belief, once Movants or any similarly situated customers have properly withheld payment of the disputed amount, the disputed amount is not due and payable and is, therefore, not subject to late payment charges, penalties, or any other action by FES (or its billing and collection agents) that may be based on FES’</w:t>
      </w:r>
      <w:r w:rsidR="00C0558C">
        <w:rPr>
          <w:rFonts w:eastAsia="Times New Roman" w:cs="Arial"/>
          <w:szCs w:val="20"/>
        </w:rPr>
        <w:t>s</w:t>
      </w:r>
      <w:r w:rsidRPr="0031347B">
        <w:rPr>
          <w:rFonts w:eastAsia="Times New Roman" w:cs="Arial"/>
          <w:szCs w:val="20"/>
        </w:rPr>
        <w:t xml:space="preserve"> RTO Expense Surcharge claim and may adversely affect the interests of Movants or similarly situated customers.  </w:t>
      </w:r>
    </w:p>
    <w:p w:rsidR="00595D7F" w:rsidRPr="0031347B" w:rsidRDefault="00D130D8" w:rsidP="001E375C">
      <w:pPr>
        <w:pStyle w:val="Heading1"/>
        <w:jc w:val="both"/>
        <w:rPr>
          <w:rFonts w:eastAsia="Times New Roman"/>
        </w:rPr>
      </w:pPr>
      <w:r>
        <w:rPr>
          <w:rFonts w:eastAsia="Times New Roman"/>
        </w:rPr>
        <w:t>While the Complaint is pending, there is the potential for Movants and similarly situated parties to be adversely affected</w:t>
      </w:r>
      <w:r w:rsidR="00754763">
        <w:rPr>
          <w:rFonts w:eastAsia="Times New Roman"/>
        </w:rPr>
        <w:t xml:space="preserve"> by actions of FES or their respective EDUs</w:t>
      </w:r>
    </w:p>
    <w:p w:rsidR="004B1AF0" w:rsidRDefault="004B1AF0" w:rsidP="00F22FA2">
      <w:pPr>
        <w:rPr>
          <w:rFonts w:cs="Arial"/>
        </w:rPr>
      </w:pPr>
      <w:r>
        <w:tab/>
        <w:t xml:space="preserve">As </w:t>
      </w:r>
      <w:r w:rsidRPr="00F31A1A">
        <w:t xml:space="preserve">the dispute resolution process proceeds, </w:t>
      </w:r>
      <w:r>
        <w:t>there is</w:t>
      </w:r>
      <w:r w:rsidRPr="00F31A1A">
        <w:t xml:space="preserve"> potential for confusion and unintended consequences if there is no common understanding regarding such things as how the dispute</w:t>
      </w:r>
      <w:r>
        <w:t>s</w:t>
      </w:r>
      <w:r w:rsidR="00F22FA2">
        <w:t xml:space="preserve"> affect</w:t>
      </w:r>
      <w:r w:rsidRPr="00F31A1A">
        <w:t xml:space="preserve"> </w:t>
      </w:r>
      <w:r>
        <w:t>FES’s</w:t>
      </w:r>
      <w:r w:rsidRPr="00F31A1A">
        <w:t xml:space="preserve"> supply obligation</w:t>
      </w:r>
      <w:r>
        <w:t xml:space="preserve"> to each Movant</w:t>
      </w:r>
      <w:r w:rsidRPr="00F31A1A">
        <w:t xml:space="preserve">, EDU billings on behalf of </w:t>
      </w:r>
      <w:r>
        <w:t>FES</w:t>
      </w:r>
      <w:r w:rsidRPr="00F31A1A">
        <w:t xml:space="preserve"> that contain a disputed amount</w:t>
      </w:r>
      <w:r>
        <w:t>,</w:t>
      </w:r>
      <w:r w:rsidRPr="00F31A1A">
        <w:t xml:space="preserve"> and the potential for a </w:t>
      </w:r>
      <w:r>
        <w:t>Movant’s</w:t>
      </w:r>
      <w:r w:rsidRPr="00F31A1A">
        <w:t xml:space="preserve"> return to </w:t>
      </w:r>
      <w:r w:rsidRPr="00F31A1A">
        <w:lastRenderedPageBreak/>
        <w:t xml:space="preserve">SSO service either as a result of </w:t>
      </w:r>
      <w:r>
        <w:t>FES’s</w:t>
      </w:r>
      <w:r w:rsidRPr="00F31A1A">
        <w:t xml:space="preserve"> directions to an EDU or actions by an EDU that occur as a result of a lack of clarity about the significance of the dispute or how the </w:t>
      </w:r>
      <w:r w:rsidR="00F22FA2">
        <w:t xml:space="preserve">EDU should exercise its billing and </w:t>
      </w:r>
      <w:r w:rsidRPr="00F31A1A">
        <w:t>collection function in light of the billing dispute. </w:t>
      </w:r>
      <w:r>
        <w:t xml:space="preserve"> </w:t>
      </w:r>
      <w:r w:rsidR="00F72EEF">
        <w:t>These issues are not formally presented as matters for the Commission’s consideration by the Complainants, but nonetheless are important to customers</w:t>
      </w:r>
      <w:r w:rsidR="00754763">
        <w:t xml:space="preserve"> such as the Movants and similarly situated customers</w:t>
      </w:r>
      <w:r w:rsidR="00F72EEF">
        <w:t xml:space="preserve"> that have disputed the amounts that FES is seeking to collect through the RTO Expense Surcharge.</w:t>
      </w:r>
    </w:p>
    <w:p w:rsidR="004B1AF0" w:rsidRDefault="004B1AF0" w:rsidP="00F22FA2">
      <w:pPr>
        <w:pStyle w:val="Heading1"/>
      </w:pPr>
      <w:r>
        <w:t>The Commission is authorized to issue the requested relief</w:t>
      </w:r>
    </w:p>
    <w:p w:rsidR="00F22FA2" w:rsidRDefault="004B1AF0" w:rsidP="00023279">
      <w:pPr>
        <w:spacing w:after="0"/>
      </w:pPr>
      <w:r>
        <w:rPr>
          <w:rFonts w:cs="Arial"/>
        </w:rPr>
        <w:tab/>
        <w:t xml:space="preserve">The </w:t>
      </w:r>
      <w:r>
        <w:t>Commission has authority under R.C. 4928.10 to establish minimum service requirements</w:t>
      </w:r>
      <w:r w:rsidR="00533012">
        <w:t xml:space="preserve">. </w:t>
      </w:r>
      <w:r>
        <w:t xml:space="preserve"> </w:t>
      </w:r>
      <w:r w:rsidR="00533012">
        <w:t xml:space="preserve">The section further provides that the Commission may adopt </w:t>
      </w:r>
      <w:r>
        <w:t xml:space="preserve">standards applicable to disconnection and termination of CRES including coordination between suppliers for purposes of maintaining CRES, the allocation of payments between suppliers when CRES components are jointly billed, and the specification of notice for early termination of CRES.  </w:t>
      </w:r>
      <w:r w:rsidR="003A1E21">
        <w:t>The Commission</w:t>
      </w:r>
      <w:r w:rsidR="00CC4CC9">
        <w:t xml:space="preserve"> has previously asserted authority to investigate matters arising out of the January 2014 weather events in a Commission-ordered investigation</w:t>
      </w:r>
      <w:r w:rsidR="008A3F21">
        <w:t xml:space="preserve"> to determine if the practices identified in that proceeding were unfair, misleading, deceptive, or unconscionable</w:t>
      </w:r>
      <w:r w:rsidR="00CC4CC9">
        <w:t>.</w:t>
      </w:r>
      <w:r w:rsidR="00CC4CC9">
        <w:rPr>
          <w:rStyle w:val="FootnoteReference"/>
        </w:rPr>
        <w:footnoteReference w:id="1"/>
      </w:r>
      <w:r w:rsidR="00CC4CC9">
        <w:t xml:space="preserve">  The issues presented by the Commission for comment did not address the Commission’s treatment of issues that may need to be addressed while billing disputes between FES and Movants are being resolved.</w:t>
      </w:r>
    </w:p>
    <w:p w:rsidR="00F22FA2" w:rsidRDefault="004B1AF0" w:rsidP="00023279">
      <w:pPr>
        <w:spacing w:after="0"/>
        <w:ind w:firstLine="720"/>
      </w:pPr>
      <w:r>
        <w:t xml:space="preserve">Pursuant to the authorization of R.C 4928.10, Rule 4901:1-10-15, </w:t>
      </w:r>
      <w:r w:rsidR="00533012">
        <w:t>OAC</w:t>
      </w:r>
      <w:r>
        <w:t xml:space="preserve">, provides that the electric utility may refuse or disconnect CRES to a nonresidential customer only </w:t>
      </w:r>
      <w:r>
        <w:lastRenderedPageBreak/>
        <w:t>when the customer violates or fails to comply with the applicable electric utility contract or tariff.  The rule prohibits termination of EDU services so long as the amounts owed the EDU are paid.  As noted above, the Movants have paid or will pay current charges of the EDUs</w:t>
      </w:r>
      <w:r w:rsidR="003A1E21">
        <w:t xml:space="preserve"> except that some of the Movants withheld or may withhold amounts that are disputed</w:t>
      </w:r>
      <w:r>
        <w:t xml:space="preserve">.  </w:t>
      </w:r>
    </w:p>
    <w:p w:rsidR="004B1AF0" w:rsidRDefault="004B1AF0" w:rsidP="00023279">
      <w:pPr>
        <w:spacing w:after="0"/>
        <w:ind w:firstLine="720"/>
      </w:pPr>
      <w:r>
        <w:t xml:space="preserve">Pursuant </w:t>
      </w:r>
      <w:r w:rsidRPr="00497961">
        <w:t xml:space="preserve">to </w:t>
      </w:r>
      <w:r>
        <w:t>the</w:t>
      </w:r>
      <w:r w:rsidRPr="00497961">
        <w:t xml:space="preserve"> </w:t>
      </w:r>
      <w:r>
        <w:t>authorization of</w:t>
      </w:r>
      <w:r w:rsidRPr="00497961">
        <w:t xml:space="preserve"> R.C 4928.</w:t>
      </w:r>
      <w:r>
        <w:t>10, Rule 4901:1-10-31</w:t>
      </w:r>
      <w:r w:rsidRPr="00497961">
        <w:t xml:space="preserve">, </w:t>
      </w:r>
      <w:r w:rsidR="00533012">
        <w:t>OAC</w:t>
      </w:r>
      <w:r w:rsidRPr="00497961">
        <w:t>,</w:t>
      </w:r>
      <w:r>
        <w:t xml:space="preserve"> provides that</w:t>
      </w:r>
      <w:r w:rsidR="00C00D4C">
        <w:t>, if a portion of a bill or invoice is the subject of a bona fide dispute,</w:t>
      </w:r>
      <w:r>
        <w:t xml:space="preserve"> payments in full of the undisputed amount </w:t>
      </w:r>
      <w:r w:rsidR="00C00D4C">
        <w:t xml:space="preserve">of a bill or invoice </w:t>
      </w:r>
      <w:r>
        <w:t>under a consolidated billing shall be credited to the undisputed portion of the account and are not deemed partial payments for purposes of allocating a partial payment to a customer’s bill for electric services that are billed on a consolidated basis.</w:t>
      </w:r>
      <w:r w:rsidR="00F22FA2">
        <w:t xml:space="preserve">  </w:t>
      </w:r>
      <w:r w:rsidR="00533012">
        <w:t>F</w:t>
      </w:r>
      <w:r w:rsidR="00C00D4C">
        <w:t>or those customers that are subject to consolidated billing</w:t>
      </w:r>
      <w:r w:rsidR="00F22FA2">
        <w:t>, parties that have withheld payment in accordance with the rights under their respective contracts should be deemed current and the amounts should be applied appropriately to the CRES and EDU charges by the EDU.</w:t>
      </w:r>
    </w:p>
    <w:p w:rsidR="004B1AF0" w:rsidRDefault="004B1AF0" w:rsidP="00023279">
      <w:pPr>
        <w:spacing w:after="0"/>
      </w:pPr>
      <w:r>
        <w:tab/>
        <w:t xml:space="preserve">Although Commission rules provide some guidance as to the treatment of billing related matters when there is a bona fide dispute between a customer and a CRES provider, the rules do not address matters of notice to the EDUs of disputed matters and </w:t>
      </w:r>
      <w:r w:rsidR="00F22FA2">
        <w:t xml:space="preserve">do not address </w:t>
      </w:r>
      <w:r>
        <w:t xml:space="preserve">related matters such as credit issues.  Because the Commission has the authority to address these issues </w:t>
      </w:r>
      <w:r w:rsidR="00F22FA2">
        <w:t>pursuant to statute</w:t>
      </w:r>
      <w:r>
        <w:t xml:space="preserve">, the Movants request the Commission to issue interim and preliminary orders to assure that </w:t>
      </w:r>
      <w:r w:rsidR="00C00D4C">
        <w:t xml:space="preserve">Movants </w:t>
      </w:r>
      <w:r>
        <w:t>are not adversely affected while they and FES address the bona fide billing disputes regarding the RTO Expense Surcharge.</w:t>
      </w:r>
    </w:p>
    <w:p w:rsidR="004B1AF0" w:rsidRDefault="004B1AF0" w:rsidP="00023279">
      <w:pPr>
        <w:spacing w:after="0"/>
      </w:pPr>
      <w:r>
        <w:lastRenderedPageBreak/>
        <w:tab/>
      </w:r>
      <w:r w:rsidR="0031347B">
        <w:t>While this Complaint is pending</w:t>
      </w:r>
      <w:r>
        <w:t xml:space="preserve">, it would be lawful and reasonable for the Commission to direct FES to treat the disputed amounts of the RTO Expense Surcharge as not due and payable, to avoid taking action that would terminate the contracts of Movants or that would otherwise result in the </w:t>
      </w:r>
      <w:r w:rsidR="00533012">
        <w:t>return of the Movants</w:t>
      </w:r>
      <w:r>
        <w:t xml:space="preserve"> to the SSO during the remaining terms of their contracts with FES, to resolve the </w:t>
      </w:r>
      <w:r w:rsidR="00F22FA2">
        <w:t>billing</w:t>
      </w:r>
      <w:r>
        <w:t xml:space="preserve"> disputes in good faith, to </w:t>
      </w:r>
      <w:r w:rsidR="00023279">
        <w:t>prohibit FES from imposing</w:t>
      </w:r>
      <w:r>
        <w:t xml:space="preserve"> a late fee </w:t>
      </w:r>
      <w:r w:rsidR="00F22FA2">
        <w:t>on</w:t>
      </w:r>
      <w:r>
        <w:t xml:space="preserve"> those amounts that are the subject to the bona fide dispute</w:t>
      </w:r>
      <w:r w:rsidR="00023279">
        <w:t>, and to prohibit FES from taking</w:t>
      </w:r>
      <w:r>
        <w:t xml:space="preserve"> actions that adversely affect the business relationship between FES</w:t>
      </w:r>
      <w:r w:rsidR="00C360D1">
        <w:t>, third parties,</w:t>
      </w:r>
      <w:r>
        <w:t xml:space="preserve"> and the Movants.</w:t>
      </w:r>
    </w:p>
    <w:p w:rsidR="004B1AF0" w:rsidRDefault="004B1AF0" w:rsidP="00023279">
      <w:pPr>
        <w:spacing w:after="0"/>
        <w:rPr>
          <w:rFonts w:cs="Arial"/>
        </w:rPr>
      </w:pPr>
      <w:r>
        <w:tab/>
        <w:t xml:space="preserve">Additionally, the Commission should order FES to </w:t>
      </w:r>
      <w:r w:rsidRPr="00AA60B8">
        <w:t xml:space="preserve">(1) notify in writing the EDU or EDUs serving </w:t>
      </w:r>
      <w:r>
        <w:t>a</w:t>
      </w:r>
      <w:r w:rsidRPr="00AA60B8">
        <w:t xml:space="preserve"> </w:t>
      </w:r>
      <w:r>
        <w:t xml:space="preserve">Movant </w:t>
      </w:r>
      <w:r w:rsidRPr="00AA60B8">
        <w:t xml:space="preserve">that there is a </w:t>
      </w:r>
      <w:r w:rsidR="00F22FA2">
        <w:t xml:space="preserve">bona fide </w:t>
      </w:r>
      <w:r w:rsidRPr="00AA60B8">
        <w:t xml:space="preserve">dispute regarding </w:t>
      </w:r>
      <w:r>
        <w:t>FES’s</w:t>
      </w:r>
      <w:r w:rsidRPr="00AA60B8">
        <w:t xml:space="preserve"> right to bill and collect the amount or charge identified by the </w:t>
      </w:r>
      <w:r>
        <w:t>Movant</w:t>
      </w:r>
      <w:r w:rsidRPr="00AA60B8">
        <w:t xml:space="preserve"> as being in dispute and indicate, in such notice to the EDU or EDUs, that </w:t>
      </w:r>
      <w:r>
        <w:t>FES’s</w:t>
      </w:r>
      <w:r w:rsidRPr="00AA60B8">
        <w:t xml:space="preserve"> service relationship with the </w:t>
      </w:r>
      <w:r>
        <w:t>Movant</w:t>
      </w:r>
      <w:r w:rsidRPr="00AA60B8">
        <w:t xml:space="preserve"> is not and will not be altered as a consequence of the billing dispute</w:t>
      </w:r>
      <w:r>
        <w:t>;</w:t>
      </w:r>
      <w:r w:rsidRPr="00AA60B8">
        <w:t xml:space="preserve"> and (2) provide each </w:t>
      </w:r>
      <w:r>
        <w:t>Movant</w:t>
      </w:r>
      <w:r w:rsidRPr="00AA60B8">
        <w:t xml:space="preserve"> disputing the amount or charge with a copy of the notice provided to the EDU</w:t>
      </w:r>
      <w:r>
        <w:t xml:space="preserve"> or EDUs</w:t>
      </w:r>
      <w:r w:rsidRPr="00AA60B8">
        <w:t xml:space="preserve">. </w:t>
      </w:r>
      <w:r>
        <w:t xml:space="preserve"> </w:t>
      </w:r>
    </w:p>
    <w:p w:rsidR="004B1AF0" w:rsidRPr="004B1AF0" w:rsidRDefault="004B1AF0" w:rsidP="00F22FA2">
      <w:pPr>
        <w:rPr>
          <w:rFonts w:cs="Arial"/>
        </w:rPr>
      </w:pPr>
      <w:r>
        <w:rPr>
          <w:rFonts w:cs="Arial"/>
        </w:rPr>
        <w:tab/>
        <w:t>For the reasons discussed above, the Commission should issue interim and preliminary orders providing for requested relief.</w:t>
      </w:r>
    </w:p>
    <w:p w:rsidR="004B1AF0" w:rsidRDefault="004B1AF0" w:rsidP="00F22FA2">
      <w:pPr>
        <w:tabs>
          <w:tab w:val="left" w:pos="4320"/>
          <w:tab w:val="right" w:pos="8640"/>
        </w:tabs>
        <w:spacing w:after="0" w:line="240" w:lineRule="auto"/>
        <w:rPr>
          <w:rFonts w:cs="Arial"/>
        </w:rPr>
      </w:pPr>
      <w:r>
        <w:rPr>
          <w:rFonts w:cs="Arial"/>
        </w:rPr>
        <w:tab/>
        <w:t>Respectfully submitted,</w:t>
      </w:r>
    </w:p>
    <w:p w:rsidR="004B1AF0" w:rsidRDefault="004B1AF0" w:rsidP="00F22FA2">
      <w:pPr>
        <w:tabs>
          <w:tab w:val="left" w:pos="4320"/>
          <w:tab w:val="right" w:pos="8640"/>
        </w:tabs>
        <w:spacing w:after="0" w:line="240" w:lineRule="auto"/>
        <w:rPr>
          <w:rFonts w:cs="Arial"/>
        </w:rPr>
      </w:pPr>
    </w:p>
    <w:p w:rsidR="004B1AF0" w:rsidRDefault="004B1AF0" w:rsidP="00F22FA2">
      <w:pPr>
        <w:tabs>
          <w:tab w:val="left" w:pos="4320"/>
          <w:tab w:val="right" w:pos="8640"/>
        </w:tabs>
        <w:spacing w:after="0" w:line="240" w:lineRule="auto"/>
        <w:ind w:left="4320"/>
        <w:rPr>
          <w:rFonts w:cs="Arial"/>
        </w:rPr>
      </w:pPr>
      <w:r>
        <w:rPr>
          <w:rFonts w:cs="Arial"/>
          <w:u w:val="single"/>
        </w:rPr>
        <w:t>/s/ Frank P. Darr</w:t>
      </w:r>
      <w:r>
        <w:rPr>
          <w:rFonts w:cs="Arial"/>
          <w:u w:val="single"/>
        </w:rPr>
        <w:tab/>
      </w:r>
    </w:p>
    <w:p w:rsidR="00533012" w:rsidRDefault="00533012" w:rsidP="001E375C">
      <w:pPr>
        <w:tabs>
          <w:tab w:val="left" w:pos="720"/>
          <w:tab w:val="left" w:pos="4320"/>
          <w:tab w:val="right" w:pos="8640"/>
        </w:tabs>
        <w:spacing w:after="0" w:line="240" w:lineRule="auto"/>
        <w:rPr>
          <w:rFonts w:cs="Arial"/>
        </w:rPr>
      </w:pPr>
      <w:r>
        <w:rPr>
          <w:rFonts w:cs="Arial"/>
          <w:bCs/>
        </w:rPr>
        <w:tab/>
      </w:r>
      <w:r>
        <w:rPr>
          <w:rFonts w:cs="Arial"/>
          <w:bCs/>
        </w:rPr>
        <w:tab/>
      </w:r>
      <w:r w:rsidR="004B1AF0">
        <w:rPr>
          <w:rFonts w:cs="Arial"/>
          <w:bCs/>
        </w:rPr>
        <w:t>Frank P. Darr (Reg. No. 0025469)</w:t>
      </w:r>
      <w:r w:rsidRPr="00533012">
        <w:rPr>
          <w:rFonts w:cs="Arial"/>
        </w:rPr>
        <w:t xml:space="preserve"> </w:t>
      </w:r>
      <w:r>
        <w:rPr>
          <w:rFonts w:cs="Arial"/>
        </w:rPr>
        <w:tab/>
      </w:r>
    </w:p>
    <w:p w:rsidR="004B1AF0" w:rsidRDefault="00533012" w:rsidP="001E375C">
      <w:pPr>
        <w:tabs>
          <w:tab w:val="left" w:pos="720"/>
          <w:tab w:val="left" w:pos="4320"/>
          <w:tab w:val="right" w:pos="8640"/>
        </w:tabs>
        <w:spacing w:after="0" w:line="240" w:lineRule="auto"/>
        <w:rPr>
          <w:rFonts w:cs="Arial"/>
          <w:bCs/>
        </w:rPr>
      </w:pPr>
      <w:r>
        <w:rPr>
          <w:rFonts w:cs="Arial"/>
        </w:rPr>
        <w:tab/>
      </w:r>
      <w:r>
        <w:rPr>
          <w:rFonts w:cs="Arial"/>
        </w:rPr>
        <w:tab/>
        <w:t>(Counsel of Record)</w:t>
      </w:r>
    </w:p>
    <w:p w:rsidR="004B1AF0" w:rsidRDefault="004B1AF0" w:rsidP="00F22FA2">
      <w:pPr>
        <w:widowControl w:val="0"/>
        <w:tabs>
          <w:tab w:val="left" w:pos="4320"/>
        </w:tabs>
        <w:spacing w:after="0" w:line="240" w:lineRule="auto"/>
        <w:ind w:left="4320"/>
        <w:rPr>
          <w:rFonts w:cs="Arial"/>
          <w:b/>
          <w:bCs/>
        </w:rPr>
      </w:pPr>
      <w:r>
        <w:rPr>
          <w:rFonts w:cs="Arial"/>
          <w:bCs/>
        </w:rPr>
        <w:t>Matthew R. Pritchard (Reg. No. 0088070)</w:t>
      </w:r>
    </w:p>
    <w:p w:rsidR="004B1AF0" w:rsidRDefault="004B1AF0" w:rsidP="00F22FA2">
      <w:pPr>
        <w:widowControl w:val="0"/>
        <w:tabs>
          <w:tab w:val="left" w:pos="4320"/>
        </w:tabs>
        <w:spacing w:after="0" w:line="240" w:lineRule="auto"/>
        <w:ind w:left="4320"/>
        <w:rPr>
          <w:rFonts w:cs="Arial"/>
          <w:b/>
          <w:bCs/>
          <w:smallCaps/>
        </w:rPr>
      </w:pPr>
      <w:r>
        <w:rPr>
          <w:rFonts w:cs="Arial"/>
          <w:bCs/>
          <w:smallCaps/>
        </w:rPr>
        <w:t>McNees Wallace &amp; Nurick LLC</w:t>
      </w:r>
    </w:p>
    <w:p w:rsidR="004B1AF0" w:rsidRDefault="004B1AF0" w:rsidP="00F22FA2">
      <w:pPr>
        <w:widowControl w:val="0"/>
        <w:tabs>
          <w:tab w:val="left" w:pos="4320"/>
        </w:tabs>
        <w:spacing w:after="0" w:line="240" w:lineRule="auto"/>
        <w:ind w:left="4320"/>
        <w:rPr>
          <w:rFonts w:cs="Arial"/>
          <w:b/>
          <w:bCs/>
        </w:rPr>
      </w:pPr>
      <w:r>
        <w:rPr>
          <w:rFonts w:cs="Arial"/>
          <w:bCs/>
        </w:rPr>
        <w:t>21 East State Street, 17</w:t>
      </w:r>
      <w:r>
        <w:rPr>
          <w:rFonts w:cs="Arial"/>
          <w:bCs/>
          <w:vertAlign w:val="superscript"/>
        </w:rPr>
        <w:t>TH</w:t>
      </w:r>
      <w:r>
        <w:rPr>
          <w:rFonts w:cs="Arial"/>
          <w:bCs/>
        </w:rPr>
        <w:t xml:space="preserve"> Floor</w:t>
      </w:r>
    </w:p>
    <w:p w:rsidR="004B1AF0" w:rsidRDefault="004B1AF0" w:rsidP="00F22FA2">
      <w:pPr>
        <w:tabs>
          <w:tab w:val="left" w:pos="-1440"/>
          <w:tab w:val="left" w:pos="-720"/>
          <w:tab w:val="left" w:pos="4320"/>
          <w:tab w:val="left" w:pos="5040"/>
          <w:tab w:val="center" w:pos="7200"/>
        </w:tabs>
        <w:overflowPunct w:val="0"/>
        <w:autoSpaceDE w:val="0"/>
        <w:autoSpaceDN w:val="0"/>
        <w:adjustRightInd w:val="0"/>
        <w:spacing w:after="0" w:line="240" w:lineRule="auto"/>
        <w:ind w:left="4320"/>
        <w:rPr>
          <w:rFonts w:cs="Arial"/>
        </w:rPr>
      </w:pPr>
      <w:r>
        <w:rPr>
          <w:rFonts w:cs="Arial"/>
        </w:rPr>
        <w:t>Columbus, OH  43215</w:t>
      </w:r>
    </w:p>
    <w:p w:rsidR="004B1AF0" w:rsidRDefault="004B1AF0" w:rsidP="00F22FA2">
      <w:pPr>
        <w:tabs>
          <w:tab w:val="left" w:pos="-1440"/>
          <w:tab w:val="left" w:pos="-720"/>
          <w:tab w:val="left" w:pos="4320"/>
          <w:tab w:val="left" w:pos="5040"/>
          <w:tab w:val="center" w:pos="7200"/>
        </w:tabs>
        <w:overflowPunct w:val="0"/>
        <w:autoSpaceDE w:val="0"/>
        <w:autoSpaceDN w:val="0"/>
        <w:adjustRightInd w:val="0"/>
        <w:spacing w:after="0" w:line="240" w:lineRule="auto"/>
        <w:ind w:left="4320"/>
        <w:rPr>
          <w:rFonts w:cs="Arial"/>
        </w:rPr>
      </w:pPr>
      <w:r>
        <w:rPr>
          <w:rFonts w:cs="Arial"/>
        </w:rPr>
        <w:t>Telephone:  (614) 469-8000</w:t>
      </w:r>
    </w:p>
    <w:p w:rsidR="004B1AF0" w:rsidRDefault="004B1AF0" w:rsidP="00F22FA2">
      <w:pPr>
        <w:tabs>
          <w:tab w:val="left" w:pos="-1440"/>
          <w:tab w:val="left" w:pos="-720"/>
          <w:tab w:val="left" w:pos="5040"/>
          <w:tab w:val="center" w:pos="7200"/>
        </w:tabs>
        <w:overflowPunct w:val="0"/>
        <w:autoSpaceDE w:val="0"/>
        <w:autoSpaceDN w:val="0"/>
        <w:adjustRightInd w:val="0"/>
        <w:spacing w:after="0" w:line="240" w:lineRule="auto"/>
        <w:ind w:left="4320"/>
        <w:rPr>
          <w:rFonts w:cs="Arial"/>
          <w:color w:val="000000" w:themeColor="text1"/>
        </w:rPr>
      </w:pPr>
      <w:r>
        <w:rPr>
          <w:rFonts w:cs="Arial"/>
        </w:rPr>
        <w:t>Telecopier:  (614) 469-4653</w:t>
      </w:r>
    </w:p>
    <w:p w:rsidR="004B1AF0" w:rsidRPr="00A20BC8" w:rsidRDefault="00FB0361" w:rsidP="00F22FA2">
      <w:pPr>
        <w:tabs>
          <w:tab w:val="left" w:pos="-1440"/>
          <w:tab w:val="left" w:pos="-720"/>
          <w:tab w:val="left" w:pos="5040"/>
          <w:tab w:val="center" w:pos="7200"/>
        </w:tabs>
        <w:overflowPunct w:val="0"/>
        <w:autoSpaceDE w:val="0"/>
        <w:autoSpaceDN w:val="0"/>
        <w:adjustRightInd w:val="0"/>
        <w:spacing w:after="0" w:line="240" w:lineRule="auto"/>
        <w:ind w:left="4320"/>
        <w:rPr>
          <w:rFonts w:cs="Arial"/>
          <w:color w:val="000000" w:themeColor="text1"/>
        </w:rPr>
      </w:pPr>
      <w:hyperlink r:id="rId16" w:history="1">
        <w:r w:rsidR="004B1AF0" w:rsidRPr="00A20BC8">
          <w:rPr>
            <w:rStyle w:val="Hyperlink"/>
            <w:rFonts w:cs="Arial"/>
            <w:color w:val="000000" w:themeColor="text1"/>
            <w:u w:val="none"/>
          </w:rPr>
          <w:t>fdarr@mwncmh.com</w:t>
        </w:r>
      </w:hyperlink>
    </w:p>
    <w:p w:rsidR="004B1AF0" w:rsidRDefault="004B1AF0" w:rsidP="00F22FA2">
      <w:pPr>
        <w:tabs>
          <w:tab w:val="left" w:pos="-1440"/>
          <w:tab w:val="left" w:pos="-720"/>
          <w:tab w:val="left" w:pos="5040"/>
          <w:tab w:val="center" w:pos="7200"/>
        </w:tabs>
        <w:overflowPunct w:val="0"/>
        <w:autoSpaceDE w:val="0"/>
        <w:autoSpaceDN w:val="0"/>
        <w:adjustRightInd w:val="0"/>
        <w:spacing w:after="0" w:line="240" w:lineRule="auto"/>
        <w:ind w:left="4320"/>
        <w:rPr>
          <w:rFonts w:cs="Arial"/>
          <w:color w:val="000000" w:themeColor="text1"/>
        </w:rPr>
      </w:pPr>
      <w:r>
        <w:rPr>
          <w:rFonts w:cs="Arial"/>
          <w:color w:val="000000" w:themeColor="text1"/>
        </w:rPr>
        <w:lastRenderedPageBreak/>
        <w:t>(willing to accept service by e-mail)</w:t>
      </w:r>
    </w:p>
    <w:p w:rsidR="004B1AF0" w:rsidRDefault="004B1AF0" w:rsidP="00F22FA2">
      <w:pPr>
        <w:tabs>
          <w:tab w:val="left" w:pos="-1440"/>
          <w:tab w:val="left" w:pos="-720"/>
          <w:tab w:val="left" w:pos="5040"/>
          <w:tab w:val="center" w:pos="7200"/>
        </w:tabs>
        <w:overflowPunct w:val="0"/>
        <w:autoSpaceDE w:val="0"/>
        <w:autoSpaceDN w:val="0"/>
        <w:adjustRightInd w:val="0"/>
        <w:spacing w:after="0" w:line="240" w:lineRule="auto"/>
        <w:ind w:left="4320"/>
        <w:rPr>
          <w:rFonts w:cs="Arial"/>
          <w:smallCaps/>
          <w:color w:val="000000" w:themeColor="text1"/>
        </w:rPr>
      </w:pPr>
      <w:r>
        <w:rPr>
          <w:rFonts w:cs="Arial"/>
          <w:color w:val="000000" w:themeColor="text1"/>
        </w:rPr>
        <w:t>mpritchard@mwncmh.com</w:t>
      </w:r>
    </w:p>
    <w:p w:rsidR="004B1AF0" w:rsidRDefault="004B1AF0" w:rsidP="00F22FA2">
      <w:pPr>
        <w:tabs>
          <w:tab w:val="left" w:pos="-1440"/>
          <w:tab w:val="left" w:pos="-720"/>
          <w:tab w:val="left" w:pos="5040"/>
          <w:tab w:val="center" w:pos="7200"/>
        </w:tabs>
        <w:overflowPunct w:val="0"/>
        <w:autoSpaceDE w:val="0"/>
        <w:autoSpaceDN w:val="0"/>
        <w:adjustRightInd w:val="0"/>
        <w:spacing w:after="0" w:line="240" w:lineRule="auto"/>
        <w:ind w:left="4320"/>
        <w:rPr>
          <w:rFonts w:cs="Arial"/>
          <w:color w:val="000000" w:themeColor="text1"/>
        </w:rPr>
      </w:pPr>
      <w:r>
        <w:rPr>
          <w:rFonts w:cs="Arial"/>
          <w:color w:val="000000" w:themeColor="text1"/>
        </w:rPr>
        <w:t>(willing to accept service by e-mail)</w:t>
      </w:r>
    </w:p>
    <w:p w:rsidR="004B1AF0" w:rsidRDefault="004B1AF0" w:rsidP="00F22FA2">
      <w:pPr>
        <w:tabs>
          <w:tab w:val="left" w:pos="4320"/>
          <w:tab w:val="right" w:pos="8640"/>
        </w:tabs>
        <w:spacing w:after="0" w:line="240" w:lineRule="auto"/>
      </w:pPr>
    </w:p>
    <w:p w:rsidR="00A75226" w:rsidRDefault="004B1AF0" w:rsidP="00A75226">
      <w:pPr>
        <w:pStyle w:val="Title"/>
        <w:tabs>
          <w:tab w:val="left" w:pos="4320"/>
        </w:tabs>
        <w:jc w:val="left"/>
        <w:rPr>
          <w:sz w:val="24"/>
        </w:rPr>
        <w:sectPr w:rsidR="00A75226" w:rsidSect="00A75226">
          <w:headerReference w:type="default" r:id="rId17"/>
          <w:pgSz w:w="12240" w:h="15840" w:code="1"/>
          <w:pgMar w:top="1440" w:right="1440" w:bottom="1440" w:left="1440" w:header="720" w:footer="720" w:gutter="0"/>
          <w:pgNumType w:start="1"/>
          <w:cols w:space="720"/>
          <w:titlePg/>
          <w:docGrid w:linePitch="360"/>
        </w:sectPr>
      </w:pPr>
      <w:r>
        <w:rPr>
          <w:sz w:val="24"/>
        </w:rPr>
        <w:tab/>
        <w:t xml:space="preserve">Attorneys for </w:t>
      </w:r>
      <w:r w:rsidR="00B337D0">
        <w:rPr>
          <w:sz w:val="24"/>
        </w:rPr>
        <w:t>Movants</w:t>
      </w:r>
    </w:p>
    <w:p w:rsidR="00F22FA2" w:rsidRPr="00F22FA2" w:rsidRDefault="00F22FA2" w:rsidP="00A75226">
      <w:pPr>
        <w:tabs>
          <w:tab w:val="left" w:pos="2160"/>
          <w:tab w:val="left" w:pos="2280"/>
        </w:tabs>
        <w:spacing w:after="0" w:line="240" w:lineRule="auto"/>
        <w:jc w:val="center"/>
        <w:rPr>
          <w:rFonts w:ascii="Arial Bold" w:eastAsia="Times New Roman" w:hAnsi="Arial Bold" w:cs="Arial"/>
          <w:b/>
          <w:smallCaps/>
          <w:sz w:val="28"/>
          <w:u w:val="single"/>
        </w:rPr>
      </w:pPr>
      <w:r w:rsidRPr="00F22FA2">
        <w:rPr>
          <w:rFonts w:ascii="Arial Bold" w:eastAsia="Times New Roman" w:hAnsi="Arial Bold" w:cs="Arial"/>
          <w:b/>
          <w:smallCaps/>
          <w:sz w:val="28"/>
          <w:u w:val="single"/>
        </w:rPr>
        <w:lastRenderedPageBreak/>
        <w:t>Certificate of Service</w:t>
      </w:r>
    </w:p>
    <w:p w:rsidR="00F22FA2" w:rsidRPr="00F22FA2" w:rsidRDefault="00F22FA2" w:rsidP="00F22FA2">
      <w:pPr>
        <w:spacing w:after="0" w:line="240" w:lineRule="auto"/>
        <w:jc w:val="left"/>
        <w:rPr>
          <w:rFonts w:eastAsia="Times New Roman" w:cs="Arial"/>
        </w:rPr>
      </w:pPr>
    </w:p>
    <w:p w:rsidR="00F22FA2" w:rsidRPr="00F22FA2" w:rsidRDefault="00F22FA2" w:rsidP="00F22FA2">
      <w:pPr>
        <w:spacing w:after="0"/>
        <w:ind w:firstLine="720"/>
        <w:rPr>
          <w:rFonts w:eastAsia="Times New Roman" w:cs="Arial"/>
          <w:b/>
          <w:smallCaps/>
        </w:rPr>
      </w:pPr>
      <w:r w:rsidRPr="00F22FA2">
        <w:rPr>
          <w:rFonts w:eastAsia="Times New Roman" w:cs="Arial"/>
        </w:rPr>
        <w:t>In accordance with Rule 4901-1-05, Ohio Administrative Code, the P</w:t>
      </w:r>
      <w:r w:rsidR="00A20BC8">
        <w:rPr>
          <w:rFonts w:eastAsia="Times New Roman" w:cs="Arial"/>
        </w:rPr>
        <w:t xml:space="preserve">ublic </w:t>
      </w:r>
      <w:r w:rsidRPr="00F22FA2">
        <w:rPr>
          <w:rFonts w:eastAsia="Times New Roman" w:cs="Arial"/>
        </w:rPr>
        <w:t>U</w:t>
      </w:r>
      <w:r w:rsidR="00A20BC8">
        <w:rPr>
          <w:rFonts w:eastAsia="Times New Roman" w:cs="Arial"/>
        </w:rPr>
        <w:t xml:space="preserve">tilities </w:t>
      </w:r>
      <w:r w:rsidRPr="00F22FA2">
        <w:rPr>
          <w:rFonts w:eastAsia="Times New Roman" w:cs="Arial"/>
        </w:rPr>
        <w:t>C</w:t>
      </w:r>
      <w:r w:rsidR="00A20BC8">
        <w:rPr>
          <w:rFonts w:eastAsia="Times New Roman" w:cs="Arial"/>
        </w:rPr>
        <w:t xml:space="preserve">ommission of </w:t>
      </w:r>
      <w:r w:rsidRPr="00F22FA2">
        <w:rPr>
          <w:rFonts w:eastAsia="Times New Roman" w:cs="Arial"/>
        </w:rPr>
        <w:t>O</w:t>
      </w:r>
      <w:r w:rsidR="00A20BC8">
        <w:rPr>
          <w:rFonts w:eastAsia="Times New Roman" w:cs="Arial"/>
        </w:rPr>
        <w:t>hio</w:t>
      </w:r>
      <w:r w:rsidRPr="00F22FA2">
        <w:rPr>
          <w:rFonts w:eastAsia="Times New Roman" w:cs="Arial"/>
        </w:rPr>
        <w:t xml:space="preserve">'s e-filing system will electronically serve notice of the filing of this document upon the following parties.  In addition, I hereby certify that a service copy of the foregoing </w:t>
      </w:r>
      <w:r w:rsidRPr="00F22FA2">
        <w:rPr>
          <w:rFonts w:eastAsia="Times New Roman" w:cs="Arial"/>
          <w:i/>
        </w:rPr>
        <w:t xml:space="preserve">Motion </w:t>
      </w:r>
      <w:r>
        <w:rPr>
          <w:rFonts w:eastAsia="Times New Roman" w:cs="Arial"/>
          <w:i/>
        </w:rPr>
        <w:t>for Interim and Preliminary Orders</w:t>
      </w:r>
      <w:r w:rsidRPr="00F22FA2">
        <w:rPr>
          <w:rFonts w:eastAsia="Times New Roman" w:cs="Arial"/>
          <w:i/>
        </w:rPr>
        <w:t xml:space="preserve"> of </w:t>
      </w:r>
      <w:r w:rsidR="00A20BC8">
        <w:rPr>
          <w:rFonts w:cs="Arial"/>
          <w:i/>
        </w:rPr>
        <w:t>Navco Enterpris</w:t>
      </w:r>
      <w:r w:rsidR="009101F9" w:rsidRPr="009101F9">
        <w:rPr>
          <w:rFonts w:cs="Arial"/>
          <w:i/>
        </w:rPr>
        <w:t>es.Com, Inc., Navco Enterprises of P</w:t>
      </w:r>
      <w:r w:rsidR="00A20BC8">
        <w:rPr>
          <w:rFonts w:cs="Arial"/>
          <w:i/>
        </w:rPr>
        <w:t>.</w:t>
      </w:r>
      <w:r w:rsidR="009101F9" w:rsidRPr="009101F9">
        <w:rPr>
          <w:rFonts w:cs="Arial"/>
          <w:i/>
        </w:rPr>
        <w:t>V</w:t>
      </w:r>
      <w:r w:rsidR="00A20BC8">
        <w:rPr>
          <w:rFonts w:cs="Arial"/>
          <w:i/>
        </w:rPr>
        <w:t>.</w:t>
      </w:r>
      <w:r w:rsidR="009101F9" w:rsidRPr="009101F9">
        <w:rPr>
          <w:rFonts w:cs="Arial"/>
          <w:i/>
        </w:rPr>
        <w:t xml:space="preserve">, Inc., Navco Enterprises, Inc., Foodlife </w:t>
      </w:r>
      <w:r w:rsidR="00A20BC8">
        <w:rPr>
          <w:rFonts w:cs="Arial"/>
          <w:i/>
        </w:rPr>
        <w:t>International,</w:t>
      </w:r>
      <w:r w:rsidR="009101F9" w:rsidRPr="009101F9">
        <w:rPr>
          <w:rFonts w:cs="Arial"/>
          <w:i/>
        </w:rPr>
        <w:t xml:space="preserve"> Inc., Navco Enterprises of O</w:t>
      </w:r>
      <w:r w:rsidR="00A20BC8">
        <w:rPr>
          <w:rFonts w:cs="Arial"/>
          <w:i/>
        </w:rPr>
        <w:t>.</w:t>
      </w:r>
      <w:r w:rsidR="009101F9" w:rsidRPr="009101F9">
        <w:rPr>
          <w:rFonts w:cs="Arial"/>
          <w:i/>
        </w:rPr>
        <w:t>V</w:t>
      </w:r>
      <w:r w:rsidR="00A20BC8">
        <w:rPr>
          <w:rFonts w:cs="Arial"/>
          <w:i/>
        </w:rPr>
        <w:t>.</w:t>
      </w:r>
      <w:r w:rsidR="009101F9" w:rsidRPr="009101F9">
        <w:rPr>
          <w:rFonts w:cs="Arial"/>
          <w:i/>
        </w:rPr>
        <w:t xml:space="preserve">, Inc., </w:t>
      </w:r>
      <w:r w:rsidR="00A20BC8">
        <w:rPr>
          <w:rFonts w:cs="Arial"/>
          <w:i/>
        </w:rPr>
        <w:t xml:space="preserve">and </w:t>
      </w:r>
      <w:r w:rsidR="009101F9" w:rsidRPr="009101F9">
        <w:rPr>
          <w:rFonts w:cs="Arial"/>
          <w:i/>
        </w:rPr>
        <w:t>Navco of York Road, Inc.</w:t>
      </w:r>
      <w:r w:rsidR="00533012" w:rsidRPr="00533012">
        <w:rPr>
          <w:rFonts w:cs="Arial"/>
        </w:rPr>
        <w:t xml:space="preserve"> </w:t>
      </w:r>
      <w:r w:rsidRPr="00F22FA2">
        <w:rPr>
          <w:rFonts w:eastAsia="Times New Roman" w:cs="Arial"/>
        </w:rPr>
        <w:t xml:space="preserve">was sent by, or on behalf of, the undersigned counsel for </w:t>
      </w:r>
      <w:r w:rsidR="00D83689">
        <w:rPr>
          <w:rFonts w:eastAsia="Times New Roman" w:cs="Arial"/>
        </w:rPr>
        <w:t>Movants</w:t>
      </w:r>
      <w:r w:rsidRPr="00F22FA2">
        <w:rPr>
          <w:rFonts w:eastAsia="Times New Roman" w:cs="Arial"/>
        </w:rPr>
        <w:t xml:space="preserve"> to the following parties of record this </w:t>
      </w:r>
      <w:r w:rsidR="009101F9">
        <w:rPr>
          <w:rFonts w:eastAsia="Times New Roman" w:cs="Arial"/>
        </w:rPr>
        <w:t>21st</w:t>
      </w:r>
      <w:r w:rsidRPr="00F22FA2">
        <w:rPr>
          <w:rFonts w:eastAsia="Times New Roman" w:cs="Arial"/>
        </w:rPr>
        <w:t xml:space="preserve"> day of July 2014, </w:t>
      </w:r>
      <w:r w:rsidRPr="00F22FA2">
        <w:rPr>
          <w:rFonts w:eastAsia="Times New Roman" w:cs="Arial"/>
          <w:i/>
        </w:rPr>
        <w:t>via</w:t>
      </w:r>
      <w:r w:rsidRPr="00F22FA2">
        <w:rPr>
          <w:rFonts w:eastAsia="Times New Roman" w:cs="Arial"/>
        </w:rPr>
        <w:t xml:space="preserve"> electronic transmission. </w:t>
      </w:r>
    </w:p>
    <w:p w:rsidR="00F22FA2" w:rsidRPr="00F22FA2" w:rsidRDefault="00F22FA2" w:rsidP="00F22FA2">
      <w:pPr>
        <w:spacing w:after="0" w:line="240" w:lineRule="auto"/>
        <w:jc w:val="left"/>
        <w:rPr>
          <w:rFonts w:ascii="Times New Roman" w:eastAsia="Times New Roman" w:hAnsi="Times New Roman"/>
        </w:rPr>
      </w:pPr>
    </w:p>
    <w:p w:rsidR="00F22FA2" w:rsidRPr="00F22FA2" w:rsidRDefault="00F22FA2" w:rsidP="00F22FA2">
      <w:pPr>
        <w:tabs>
          <w:tab w:val="right" w:pos="8640"/>
        </w:tabs>
        <w:spacing w:after="0" w:line="240" w:lineRule="auto"/>
        <w:ind w:left="5040"/>
        <w:jc w:val="left"/>
        <w:rPr>
          <w:rFonts w:eastAsia="Times New Roman" w:cs="Arial"/>
          <w:u w:val="single"/>
        </w:rPr>
      </w:pPr>
      <w:r w:rsidRPr="00F22FA2">
        <w:rPr>
          <w:rFonts w:eastAsia="Times New Roman" w:cs="Arial"/>
          <w:u w:val="single"/>
        </w:rPr>
        <w:t>/s/ Frank P. Darr</w:t>
      </w:r>
      <w:r w:rsidRPr="00F22FA2">
        <w:rPr>
          <w:rFonts w:eastAsia="Times New Roman" w:cs="Arial"/>
          <w:u w:val="single"/>
        </w:rPr>
        <w:tab/>
      </w:r>
    </w:p>
    <w:p w:rsidR="00A20BC8" w:rsidRDefault="00F22FA2" w:rsidP="00F22FA2">
      <w:pPr>
        <w:tabs>
          <w:tab w:val="right" w:pos="8640"/>
        </w:tabs>
        <w:spacing w:after="0" w:line="240" w:lineRule="auto"/>
        <w:ind w:left="5760"/>
        <w:jc w:val="left"/>
        <w:rPr>
          <w:rFonts w:eastAsia="Times New Roman" w:cs="Arial"/>
        </w:rPr>
        <w:sectPr w:rsidR="00A20BC8" w:rsidSect="00A75226">
          <w:pgSz w:w="12240" w:h="15840" w:code="1"/>
          <w:pgMar w:top="1440" w:right="1440" w:bottom="1440" w:left="1440" w:header="720" w:footer="720" w:gutter="0"/>
          <w:pgNumType w:start="1"/>
          <w:cols w:space="720"/>
          <w:titlePg/>
          <w:docGrid w:linePitch="360"/>
        </w:sectPr>
      </w:pPr>
      <w:r w:rsidRPr="00F22FA2">
        <w:rPr>
          <w:rFonts w:eastAsia="Times New Roman" w:cs="Arial"/>
        </w:rPr>
        <w:t>Frank P. Darr</w:t>
      </w:r>
    </w:p>
    <w:p w:rsidR="00A20BC8" w:rsidRDefault="00A20BC8" w:rsidP="00922120">
      <w:pPr>
        <w:spacing w:after="0" w:line="240" w:lineRule="auto"/>
        <w:rPr>
          <w:rFonts w:cs="Arial"/>
        </w:rPr>
      </w:pPr>
    </w:p>
    <w:p w:rsidR="00C21F29" w:rsidRDefault="00922120" w:rsidP="00922120">
      <w:pPr>
        <w:spacing w:after="0" w:line="240" w:lineRule="auto"/>
        <w:rPr>
          <w:rFonts w:cs="Arial"/>
        </w:rPr>
      </w:pPr>
      <w:r>
        <w:rPr>
          <w:rFonts w:cs="Arial"/>
        </w:rPr>
        <w:t>Dane Stinson</w:t>
      </w:r>
    </w:p>
    <w:p w:rsidR="00922120" w:rsidRDefault="00922120" w:rsidP="00922120">
      <w:pPr>
        <w:spacing w:after="0" w:line="240" w:lineRule="auto"/>
        <w:rPr>
          <w:rFonts w:cs="Arial"/>
        </w:rPr>
      </w:pPr>
      <w:r>
        <w:rPr>
          <w:rFonts w:cs="Arial"/>
        </w:rPr>
        <w:t>Bricker and Eckler LLP</w:t>
      </w:r>
    </w:p>
    <w:p w:rsidR="00922120" w:rsidRDefault="00922120" w:rsidP="00922120">
      <w:pPr>
        <w:spacing w:after="0" w:line="240" w:lineRule="auto"/>
        <w:rPr>
          <w:rFonts w:cs="Arial"/>
        </w:rPr>
      </w:pPr>
      <w:r>
        <w:rPr>
          <w:rFonts w:cs="Arial"/>
        </w:rPr>
        <w:t>100 South Third Street</w:t>
      </w:r>
    </w:p>
    <w:p w:rsidR="00922120" w:rsidRDefault="00922120" w:rsidP="00922120">
      <w:pPr>
        <w:spacing w:after="0" w:line="240" w:lineRule="auto"/>
        <w:rPr>
          <w:rFonts w:cs="Arial"/>
        </w:rPr>
      </w:pPr>
      <w:r>
        <w:rPr>
          <w:rFonts w:cs="Arial"/>
        </w:rPr>
        <w:t>Columbus, Ohio 43215</w:t>
      </w:r>
    </w:p>
    <w:p w:rsidR="00922120" w:rsidRDefault="00922120" w:rsidP="00922120">
      <w:pPr>
        <w:spacing w:after="0" w:line="240" w:lineRule="auto"/>
        <w:rPr>
          <w:rFonts w:cs="Arial"/>
        </w:rPr>
      </w:pPr>
      <w:r>
        <w:rPr>
          <w:rFonts w:cs="Arial"/>
        </w:rPr>
        <w:t>Dstinson @bricker.com</w:t>
      </w:r>
    </w:p>
    <w:p w:rsidR="00922120" w:rsidRDefault="00922120" w:rsidP="00922120">
      <w:pPr>
        <w:spacing w:after="0" w:line="240" w:lineRule="auto"/>
        <w:rPr>
          <w:rFonts w:cs="Arial"/>
        </w:rPr>
      </w:pPr>
    </w:p>
    <w:p w:rsidR="00922120" w:rsidRDefault="00922120" w:rsidP="00922120">
      <w:pPr>
        <w:spacing w:after="0" w:line="240" w:lineRule="auto"/>
        <w:rPr>
          <w:rFonts w:cs="Arial"/>
        </w:rPr>
      </w:pPr>
      <w:r>
        <w:rPr>
          <w:rFonts w:cs="Arial"/>
        </w:rPr>
        <w:t>Glenn S. Krassen</w:t>
      </w:r>
    </w:p>
    <w:p w:rsidR="00922120" w:rsidRDefault="00922120" w:rsidP="00922120">
      <w:pPr>
        <w:spacing w:after="0" w:line="240" w:lineRule="auto"/>
        <w:rPr>
          <w:rFonts w:cs="Arial"/>
        </w:rPr>
      </w:pPr>
      <w:r>
        <w:rPr>
          <w:rFonts w:cs="Arial"/>
        </w:rPr>
        <w:t>Bricker and Eckler</w:t>
      </w:r>
    </w:p>
    <w:p w:rsidR="00922120" w:rsidRDefault="00922120" w:rsidP="00922120">
      <w:pPr>
        <w:spacing w:after="0" w:line="240" w:lineRule="auto"/>
        <w:rPr>
          <w:rFonts w:cs="Arial"/>
        </w:rPr>
      </w:pPr>
      <w:r>
        <w:rPr>
          <w:rFonts w:cs="Arial"/>
        </w:rPr>
        <w:t>1001 Lakeside Avenew, Suite 1350</w:t>
      </w:r>
    </w:p>
    <w:p w:rsidR="00922120" w:rsidRDefault="00922120" w:rsidP="00922120">
      <w:pPr>
        <w:spacing w:after="0" w:line="240" w:lineRule="auto"/>
        <w:rPr>
          <w:rFonts w:cs="Arial"/>
        </w:rPr>
      </w:pPr>
      <w:r>
        <w:rPr>
          <w:rFonts w:cs="Arial"/>
        </w:rPr>
        <w:t>Cleveland, Ohio 44114</w:t>
      </w:r>
    </w:p>
    <w:p w:rsidR="00B756D3" w:rsidRPr="00B756D3" w:rsidRDefault="00FB0361" w:rsidP="00B756D3">
      <w:pPr>
        <w:spacing w:after="0" w:line="240" w:lineRule="auto"/>
        <w:rPr>
          <w:rFonts w:cs="Arial"/>
        </w:rPr>
      </w:pPr>
      <w:hyperlink r:id="rId18" w:history="1">
        <w:r w:rsidR="00B756D3" w:rsidRPr="0004496E">
          <w:rPr>
            <w:rStyle w:val="Hyperlink"/>
            <w:rFonts w:cs="Arial"/>
            <w:color w:val="auto"/>
            <w:u w:val="none"/>
          </w:rPr>
          <w:t>gkrassen@bricker.com</w:t>
        </w:r>
      </w:hyperlink>
    </w:p>
    <w:p w:rsidR="00B756D3" w:rsidRDefault="00B756D3" w:rsidP="00922120">
      <w:pPr>
        <w:spacing w:after="0" w:line="240" w:lineRule="auto"/>
        <w:rPr>
          <w:rFonts w:cs="Arial"/>
        </w:rPr>
      </w:pPr>
    </w:p>
    <w:p w:rsidR="00922120" w:rsidRPr="0004496E" w:rsidRDefault="00922120" w:rsidP="00922120">
      <w:pPr>
        <w:spacing w:after="0" w:line="240" w:lineRule="auto"/>
        <w:rPr>
          <w:rFonts w:cs="Arial"/>
          <w:b/>
          <w:smallCaps/>
        </w:rPr>
      </w:pPr>
      <w:r w:rsidRPr="0004496E">
        <w:rPr>
          <w:rFonts w:cs="Arial"/>
          <w:b/>
          <w:smallCaps/>
        </w:rPr>
        <w:t>Counsel for Complainants</w:t>
      </w:r>
    </w:p>
    <w:p w:rsidR="00922120" w:rsidRDefault="00922120" w:rsidP="00922120">
      <w:pPr>
        <w:spacing w:after="0" w:line="240" w:lineRule="auto"/>
        <w:rPr>
          <w:rFonts w:cs="Arial"/>
        </w:rPr>
      </w:pPr>
    </w:p>
    <w:p w:rsidR="00922120" w:rsidRDefault="00922120" w:rsidP="00922120">
      <w:pPr>
        <w:spacing w:after="0" w:line="240" w:lineRule="auto"/>
        <w:rPr>
          <w:rFonts w:cs="Arial"/>
        </w:rPr>
      </w:pPr>
      <w:r>
        <w:rPr>
          <w:rFonts w:cs="Arial"/>
        </w:rPr>
        <w:t>FirstEnergy Solutions Corp.</w:t>
      </w:r>
    </w:p>
    <w:p w:rsidR="00922120" w:rsidRDefault="00922120" w:rsidP="00922120">
      <w:pPr>
        <w:spacing w:after="0" w:line="240" w:lineRule="auto"/>
        <w:rPr>
          <w:rFonts w:cs="Arial"/>
        </w:rPr>
      </w:pPr>
      <w:r>
        <w:rPr>
          <w:rFonts w:cs="Arial"/>
        </w:rPr>
        <w:t>341 White Pond Drive</w:t>
      </w:r>
    </w:p>
    <w:p w:rsidR="00922120" w:rsidRDefault="00922120" w:rsidP="00922120">
      <w:pPr>
        <w:spacing w:after="0" w:line="240" w:lineRule="auto"/>
        <w:rPr>
          <w:rFonts w:cs="Arial"/>
        </w:rPr>
      </w:pPr>
      <w:r>
        <w:rPr>
          <w:rFonts w:cs="Arial"/>
        </w:rPr>
        <w:t>Akron, Ohio 44320</w:t>
      </w:r>
    </w:p>
    <w:p w:rsidR="00B756D3" w:rsidRDefault="00B756D3" w:rsidP="00922120">
      <w:pPr>
        <w:spacing w:after="0" w:line="240" w:lineRule="auto"/>
        <w:rPr>
          <w:rFonts w:cs="Arial"/>
        </w:rPr>
      </w:pPr>
    </w:p>
    <w:p w:rsidR="00922120" w:rsidRDefault="00922120" w:rsidP="00A20BC8">
      <w:pPr>
        <w:spacing w:after="0" w:line="240" w:lineRule="auto"/>
        <w:rPr>
          <w:rFonts w:cs="Arial"/>
          <w:b/>
          <w:smallCaps/>
        </w:rPr>
      </w:pPr>
      <w:r w:rsidRPr="0004496E">
        <w:rPr>
          <w:rFonts w:cs="Arial"/>
          <w:b/>
          <w:smallCaps/>
        </w:rPr>
        <w:t>Respondent</w:t>
      </w:r>
      <w:r w:rsidR="00A20BC8">
        <w:rPr>
          <w:rFonts w:cs="Arial"/>
          <w:b/>
          <w:smallCaps/>
        </w:rPr>
        <w:br w:type="column"/>
      </w:r>
    </w:p>
    <w:p w:rsidR="00A20BC8" w:rsidRDefault="00A20BC8" w:rsidP="00A20BC8">
      <w:pPr>
        <w:spacing w:after="0" w:line="240" w:lineRule="auto"/>
        <w:rPr>
          <w:rFonts w:cs="Arial"/>
          <w:bCs/>
        </w:rPr>
      </w:pPr>
      <w:r>
        <w:rPr>
          <w:rFonts w:eastAsia="Calibri" w:cs="Arial"/>
          <w:smallCaps/>
        </w:rPr>
        <w:t>F</w:t>
      </w:r>
      <w:r>
        <w:rPr>
          <w:rFonts w:eastAsia="Calibri" w:cs="Arial"/>
        </w:rPr>
        <w:t>rank P. Darr (</w:t>
      </w:r>
      <w:r w:rsidRPr="00D00701">
        <w:rPr>
          <w:rFonts w:cs="Arial"/>
          <w:bCs/>
        </w:rPr>
        <w:t>Reg. No. 0025469</w:t>
      </w:r>
      <w:r>
        <w:rPr>
          <w:rFonts w:cs="Arial"/>
          <w:bCs/>
        </w:rPr>
        <w:t>)</w:t>
      </w:r>
    </w:p>
    <w:p w:rsidR="00A20BC8" w:rsidRDefault="00A20BC8" w:rsidP="00A20BC8">
      <w:pPr>
        <w:spacing w:after="0" w:line="240" w:lineRule="auto"/>
        <w:rPr>
          <w:rFonts w:cs="Arial"/>
          <w:bCs/>
        </w:rPr>
      </w:pPr>
      <w:r>
        <w:rPr>
          <w:rFonts w:cs="Arial"/>
          <w:bCs/>
        </w:rPr>
        <w:t>(Counsel of Record)</w:t>
      </w:r>
    </w:p>
    <w:p w:rsidR="00A20BC8" w:rsidRDefault="00A20BC8" w:rsidP="00A20BC8">
      <w:pPr>
        <w:spacing w:after="0" w:line="240" w:lineRule="auto"/>
        <w:rPr>
          <w:rFonts w:cs="Arial"/>
          <w:bCs/>
        </w:rPr>
      </w:pPr>
      <w:r>
        <w:rPr>
          <w:rFonts w:cs="Arial"/>
          <w:bCs/>
        </w:rPr>
        <w:t xml:space="preserve">Matthew R. Pritchard </w:t>
      </w:r>
    </w:p>
    <w:p w:rsidR="00A20BC8" w:rsidRDefault="00A20BC8" w:rsidP="00A20BC8">
      <w:pPr>
        <w:spacing w:after="0" w:line="240" w:lineRule="auto"/>
        <w:rPr>
          <w:rFonts w:cs="Arial"/>
          <w:bCs/>
        </w:rPr>
      </w:pPr>
      <w:r>
        <w:rPr>
          <w:rFonts w:cs="Arial"/>
          <w:bCs/>
        </w:rPr>
        <w:t xml:space="preserve">(Reg. No. </w:t>
      </w:r>
      <w:r w:rsidRPr="00D00701">
        <w:rPr>
          <w:rFonts w:cs="Arial"/>
          <w:bCs/>
        </w:rPr>
        <w:t>0088070</w:t>
      </w:r>
      <w:r>
        <w:rPr>
          <w:rFonts w:cs="Arial"/>
          <w:bCs/>
        </w:rPr>
        <w:t>)</w:t>
      </w:r>
    </w:p>
    <w:p w:rsidR="00A20BC8" w:rsidRDefault="00A20BC8" w:rsidP="00A20BC8">
      <w:pPr>
        <w:spacing w:after="0" w:line="240" w:lineRule="auto"/>
        <w:rPr>
          <w:rFonts w:cs="Arial"/>
          <w:bCs/>
        </w:rPr>
      </w:pPr>
      <w:r>
        <w:rPr>
          <w:rFonts w:cs="Arial"/>
          <w:bCs/>
        </w:rPr>
        <w:t>McNees Wallace &amp; Nurick</w:t>
      </w:r>
    </w:p>
    <w:p w:rsidR="00A20BC8" w:rsidRDefault="00A20BC8" w:rsidP="00A20BC8">
      <w:pPr>
        <w:spacing w:after="0" w:line="240" w:lineRule="auto"/>
        <w:rPr>
          <w:rFonts w:cs="Arial"/>
          <w:bCs/>
        </w:rPr>
      </w:pPr>
      <w:r>
        <w:rPr>
          <w:rFonts w:cs="Arial"/>
          <w:bCs/>
        </w:rPr>
        <w:t>21 East State Street, 17</w:t>
      </w:r>
      <w:r w:rsidRPr="00817158">
        <w:rPr>
          <w:rFonts w:cs="Arial"/>
          <w:bCs/>
          <w:vertAlign w:val="superscript"/>
        </w:rPr>
        <w:t>th</w:t>
      </w:r>
      <w:r>
        <w:rPr>
          <w:rFonts w:cs="Arial"/>
          <w:bCs/>
        </w:rPr>
        <w:t xml:space="preserve"> Floor</w:t>
      </w:r>
    </w:p>
    <w:p w:rsidR="00A20BC8" w:rsidRDefault="00A20BC8" w:rsidP="00A20BC8">
      <w:pPr>
        <w:spacing w:after="0" w:line="240" w:lineRule="auto"/>
        <w:rPr>
          <w:rFonts w:cs="Arial"/>
          <w:bCs/>
        </w:rPr>
      </w:pPr>
      <w:r>
        <w:rPr>
          <w:rFonts w:cs="Arial"/>
          <w:bCs/>
        </w:rPr>
        <w:t>Columbus, Ohio  43215</w:t>
      </w:r>
    </w:p>
    <w:p w:rsidR="00A20BC8" w:rsidRDefault="00A20BC8" w:rsidP="00A20BC8">
      <w:pPr>
        <w:spacing w:after="0" w:line="240" w:lineRule="auto"/>
        <w:rPr>
          <w:rFonts w:cs="Arial"/>
          <w:bCs/>
        </w:rPr>
      </w:pPr>
      <w:r>
        <w:rPr>
          <w:rFonts w:cs="Arial"/>
          <w:bCs/>
        </w:rPr>
        <w:t>fdarr@mwncmh.com</w:t>
      </w:r>
    </w:p>
    <w:p w:rsidR="00A20BC8" w:rsidRPr="00817158" w:rsidRDefault="00A20BC8" w:rsidP="00A20BC8">
      <w:pPr>
        <w:spacing w:after="0" w:line="240" w:lineRule="auto"/>
        <w:rPr>
          <w:rFonts w:eastAsia="Calibri" w:cs="Arial"/>
        </w:rPr>
      </w:pPr>
      <w:r>
        <w:rPr>
          <w:rFonts w:eastAsia="Calibri" w:cs="Arial"/>
        </w:rPr>
        <w:t>mpritchard@mwncmh.com</w:t>
      </w:r>
    </w:p>
    <w:p w:rsidR="00A20BC8" w:rsidRDefault="00A20BC8" w:rsidP="00A20BC8">
      <w:pPr>
        <w:spacing w:after="0" w:line="240" w:lineRule="auto"/>
        <w:rPr>
          <w:rFonts w:eastAsia="Calibri" w:cs="Arial"/>
          <w:b/>
          <w:smallCaps/>
        </w:rPr>
      </w:pPr>
    </w:p>
    <w:p w:rsidR="00A20BC8" w:rsidRPr="00A20BC8" w:rsidRDefault="00A20BC8" w:rsidP="00A20BC8">
      <w:pPr>
        <w:spacing w:after="0" w:line="240" w:lineRule="auto"/>
        <w:rPr>
          <w:rFonts w:cs="Arial"/>
          <w:smallCaps/>
        </w:rPr>
      </w:pPr>
      <w:r>
        <w:rPr>
          <w:rFonts w:ascii="Arial Bold" w:hAnsi="Arial Bold"/>
          <w:smallCaps/>
        </w:rPr>
        <w:t xml:space="preserve">Counsel for The Timken Company, Marathon Petroleum Company, Wausau Paper Towel and Tissue, LLC, ASHTA Chemicals, Inc., Columbus Castings, </w:t>
      </w:r>
      <w:r w:rsidRPr="00E6368C">
        <w:rPr>
          <w:rFonts w:ascii="Arial Bold" w:hAnsi="Arial Bold"/>
          <w:smallCaps/>
        </w:rPr>
        <w:t xml:space="preserve">Lincoln Electric Company, Delphi Corporation, </w:t>
      </w:r>
      <w:r>
        <w:rPr>
          <w:rFonts w:ascii="Arial Bold" w:hAnsi="Arial Bold"/>
          <w:smallCaps/>
        </w:rPr>
        <w:t>and Landmark Plastic Corporation</w:t>
      </w:r>
    </w:p>
    <w:sectPr w:rsidR="00A20BC8" w:rsidRPr="00A20BC8" w:rsidSect="00A20BC8">
      <w:type w:val="continuous"/>
      <w:pgSz w:w="12240" w:h="15840" w:code="1"/>
      <w:pgMar w:top="1440" w:right="1440" w:bottom="1440" w:left="1440" w:header="720" w:footer="720" w:gutter="0"/>
      <w:pgNumType w:start="1"/>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AF0" w:rsidRDefault="004B1AF0" w:rsidP="004B1AF0">
      <w:pPr>
        <w:spacing w:after="0" w:line="240" w:lineRule="auto"/>
      </w:pPr>
      <w:r>
        <w:separator/>
      </w:r>
    </w:p>
  </w:endnote>
  <w:endnote w:type="continuationSeparator" w:id="0">
    <w:p w:rsidR="004B1AF0" w:rsidRDefault="004B1AF0" w:rsidP="004B1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F0" w:rsidRDefault="004B1AF0">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B1AF0" w:rsidRDefault="004B1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F0" w:rsidRPr="00F31AD4" w:rsidRDefault="00FB0361" w:rsidP="00F31AD4">
    <w:pPr>
      <w:pStyle w:val="Footer"/>
      <w:rPr>
        <w:rFonts w:cs="Arial"/>
        <w:noProof/>
        <w:sz w:val="16"/>
      </w:rPr>
    </w:pPr>
    <w:r w:rsidRPr="00FB0361">
      <w:rPr>
        <w:rFonts w:cs="Arial"/>
        <w:noProof/>
        <w:sz w:val="16"/>
      </w:rPr>
      <w:t>{C44240:2 }</w:t>
    </w:r>
  </w:p>
  <w:p w:rsidR="004B1AF0" w:rsidRPr="008C3388" w:rsidRDefault="00FB0361" w:rsidP="00A75226">
    <w:pPr>
      <w:pStyle w:val="Footer"/>
      <w:jc w:val="center"/>
      <w:rPr>
        <w:rFonts w:cs="Arial"/>
      </w:rPr>
    </w:pPr>
    <w:sdt>
      <w:sdtPr>
        <w:id w:val="96990229"/>
        <w:docPartObj>
          <w:docPartGallery w:val="Page Numbers (Bottom of Page)"/>
          <w:docPartUnique/>
        </w:docPartObj>
      </w:sdtPr>
      <w:sdtEndPr>
        <w:rPr>
          <w:rFonts w:cs="Arial"/>
          <w:noProof/>
        </w:rPr>
      </w:sdtEndPr>
      <w:sdtContent>
        <w:r w:rsidR="004B1AF0" w:rsidRPr="008C3388">
          <w:rPr>
            <w:rFonts w:cs="Arial"/>
          </w:rPr>
          <w:fldChar w:fldCharType="begin"/>
        </w:r>
        <w:r w:rsidR="004B1AF0" w:rsidRPr="008C3388">
          <w:rPr>
            <w:rFonts w:cs="Arial"/>
          </w:rPr>
          <w:instrText xml:space="preserve"> PAGE   \* MERGEFORMAT </w:instrText>
        </w:r>
        <w:r w:rsidR="004B1AF0" w:rsidRPr="008C3388">
          <w:rPr>
            <w:rFonts w:cs="Arial"/>
          </w:rPr>
          <w:fldChar w:fldCharType="separate"/>
        </w:r>
        <w:r>
          <w:rPr>
            <w:rFonts w:cs="Arial"/>
            <w:noProof/>
          </w:rPr>
          <w:t>11</w:t>
        </w:r>
        <w:r w:rsidR="004B1AF0" w:rsidRPr="008C3388">
          <w:rPr>
            <w:rFonts w:cs="Arial"/>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AF0" w:rsidRPr="008C3388" w:rsidRDefault="00FB0361">
    <w:pPr>
      <w:pStyle w:val="Footer"/>
      <w:rPr>
        <w:rFonts w:cs="Arial"/>
      </w:rPr>
    </w:pPr>
    <w:r w:rsidRPr="00FB0361">
      <w:rPr>
        <w:rFonts w:cs="Arial"/>
        <w:noProof/>
        <w:sz w:val="16"/>
      </w:rPr>
      <w:t>{C44240:2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AF0" w:rsidRDefault="004B1AF0" w:rsidP="004B1AF0">
      <w:pPr>
        <w:spacing w:after="0" w:line="240" w:lineRule="auto"/>
        <w:rPr>
          <w:noProof/>
        </w:rPr>
      </w:pPr>
      <w:r>
        <w:rPr>
          <w:noProof/>
        </w:rPr>
        <w:separator/>
      </w:r>
    </w:p>
  </w:footnote>
  <w:footnote w:type="continuationSeparator" w:id="0">
    <w:p w:rsidR="004B1AF0" w:rsidRDefault="004B1AF0" w:rsidP="004B1AF0">
      <w:pPr>
        <w:spacing w:after="0" w:line="240" w:lineRule="auto"/>
      </w:pPr>
      <w:r>
        <w:continuationSeparator/>
      </w:r>
    </w:p>
  </w:footnote>
  <w:footnote w:id="1">
    <w:p w:rsidR="00CC4CC9" w:rsidRDefault="00CC4CC9">
      <w:pPr>
        <w:pStyle w:val="FootnoteText"/>
      </w:pPr>
      <w:r>
        <w:rPr>
          <w:rStyle w:val="FootnoteReference"/>
        </w:rPr>
        <w:footnoteRef/>
      </w:r>
      <w:r>
        <w:t xml:space="preserve"> </w:t>
      </w:r>
      <w:r w:rsidRPr="00C00D4C">
        <w:rPr>
          <w:i/>
        </w:rPr>
        <w:t>In the Matter of the Commission-Ordered Investigation of Marketing Practices in the Competitive Retail Electric Service Market</w:t>
      </w:r>
      <w:r>
        <w:t xml:space="preserve">, Case No. 14-568-EL-COI, Entry (Apr. </w:t>
      </w:r>
      <w:r w:rsidR="00CD473F">
        <w:t>8</w:t>
      </w:r>
      <w:r>
        <w:t>,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26" w:rsidRDefault="00A752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26" w:rsidRDefault="00A752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26" w:rsidRDefault="00A752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26" w:rsidRDefault="00A752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37B6"/>
    <w:multiLevelType w:val="multilevel"/>
    <w:tmpl w:val="BA2220BA"/>
    <w:name w:val="Outline - Litigation"/>
    <w:lvl w:ilvl="0">
      <w:start w:val="1"/>
      <w:numFmt w:val="upperRoman"/>
      <w:pStyle w:val="Heading1"/>
      <w:lvlText w:val="%1."/>
      <w:lvlJc w:val="left"/>
      <w:pPr>
        <w:tabs>
          <w:tab w:val="num" w:pos="720"/>
        </w:tabs>
        <w:ind w:left="720" w:hanging="720"/>
      </w:pPr>
      <w:rPr>
        <w:b/>
        <w:caps w:val="0"/>
        <w:color w:val="010000"/>
        <w:u w:val="none"/>
      </w:rPr>
    </w:lvl>
    <w:lvl w:ilvl="1">
      <w:start w:val="1"/>
      <w:numFmt w:val="upperLetter"/>
      <w:pStyle w:val="Heading2"/>
      <w:lvlText w:val="%2."/>
      <w:lvlJc w:val="left"/>
      <w:pPr>
        <w:tabs>
          <w:tab w:val="num" w:pos="1440"/>
        </w:tabs>
        <w:ind w:left="0" w:firstLine="720"/>
      </w:pPr>
      <w:rPr>
        <w:caps w:val="0"/>
        <w:color w:val="010000"/>
        <w:u w:val="none"/>
      </w:rPr>
    </w:lvl>
    <w:lvl w:ilvl="2">
      <w:start w:val="1"/>
      <w:numFmt w:val="decimal"/>
      <w:pStyle w:val="Heading3"/>
      <w:lvlText w:val="%3."/>
      <w:lvlJc w:val="left"/>
      <w:pPr>
        <w:tabs>
          <w:tab w:val="num" w:pos="2160"/>
        </w:tabs>
        <w:ind w:left="0" w:firstLine="1440"/>
      </w:pPr>
      <w:rPr>
        <w:caps w:val="0"/>
        <w:color w:val="010000"/>
        <w:u w:val="none"/>
      </w:rPr>
    </w:lvl>
    <w:lvl w:ilvl="3">
      <w:start w:val="1"/>
      <w:numFmt w:val="lowerLetter"/>
      <w:pStyle w:val="Heading4"/>
      <w:lvlText w:val="(%4)"/>
      <w:lvlJc w:val="left"/>
      <w:pPr>
        <w:tabs>
          <w:tab w:val="num" w:pos="2160"/>
        </w:tabs>
        <w:ind w:left="0" w:firstLine="2160"/>
      </w:pPr>
      <w:rPr>
        <w:caps w:val="0"/>
        <w:color w:val="010000"/>
        <w:u w:val="none"/>
      </w:rPr>
    </w:lvl>
    <w:lvl w:ilvl="4">
      <w:start w:val="1"/>
      <w:numFmt w:val="lowerRoman"/>
      <w:pStyle w:val="Heading5"/>
      <w:lvlText w:val="(%5)"/>
      <w:lvlJc w:val="left"/>
      <w:pPr>
        <w:tabs>
          <w:tab w:val="num" w:pos="2880"/>
        </w:tabs>
        <w:ind w:left="1440" w:firstLine="1440"/>
      </w:pPr>
      <w:rPr>
        <w:caps w:val="0"/>
        <w:color w:val="010000"/>
        <w:u w:val="none"/>
      </w:rPr>
    </w:lvl>
    <w:lvl w:ilvl="5">
      <w:start w:val="1"/>
      <w:numFmt w:val="decimal"/>
      <w:pStyle w:val="Heading6"/>
      <w:lvlText w:val="(%6)"/>
      <w:lvlJc w:val="left"/>
      <w:pPr>
        <w:tabs>
          <w:tab w:val="num" w:pos="2880"/>
        </w:tabs>
        <w:ind w:left="1440" w:firstLine="1440"/>
      </w:pPr>
      <w:rPr>
        <w:caps w:val="0"/>
        <w:color w:val="010000"/>
        <w:u w:val="none"/>
      </w:rPr>
    </w:lvl>
    <w:lvl w:ilvl="6">
      <w:start w:val="1"/>
      <w:numFmt w:val="decimal"/>
      <w:pStyle w:val="Heading7"/>
      <w:lvlText w:val="%7."/>
      <w:lvlJc w:val="left"/>
      <w:pPr>
        <w:tabs>
          <w:tab w:val="num" w:pos="3600"/>
        </w:tabs>
        <w:ind w:left="2160" w:firstLine="1440"/>
      </w:pPr>
      <w:rPr>
        <w:caps w:val="0"/>
        <w:color w:val="010000"/>
        <w:u w:val="none"/>
      </w:rPr>
    </w:lvl>
    <w:lvl w:ilvl="7">
      <w:start w:val="1"/>
      <w:numFmt w:val="lowerRoman"/>
      <w:pStyle w:val="Heading8"/>
      <w:lvlText w:val="%8."/>
      <w:lvlJc w:val="left"/>
      <w:pPr>
        <w:tabs>
          <w:tab w:val="num" w:pos="4320"/>
        </w:tabs>
        <w:ind w:left="3600" w:firstLine="720"/>
      </w:pPr>
      <w:rPr>
        <w:caps w:val="0"/>
        <w:color w:val="010000"/>
        <w:u w:val="none"/>
      </w:rPr>
    </w:lvl>
    <w:lvl w:ilvl="8">
      <w:start w:val="1"/>
      <w:numFmt w:val="decimal"/>
      <w:pStyle w:val="Heading9"/>
      <w:lvlText w:val="(%9)"/>
      <w:lvlJc w:val="left"/>
      <w:pPr>
        <w:tabs>
          <w:tab w:val="num" w:pos="5040"/>
        </w:tabs>
        <w:ind w:left="4320" w:firstLine="720"/>
      </w:pPr>
      <w:rPr>
        <w:caps w:val="0"/>
        <w:color w:val="010000"/>
        <w:u w:val="none"/>
      </w:rPr>
    </w:lvl>
  </w:abstractNum>
  <w:abstractNum w:abstractNumId="1">
    <w:nsid w:val="40F0672F"/>
    <w:multiLevelType w:val="hybridMultilevel"/>
    <w:tmpl w:val="9C8E85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LastSchemeChoice" w:val="Outline - Litigation"/>
    <w:docVar w:name="LastSchemeUniqueID" w:val="101"/>
    <w:docVar w:name="Option0True" w:val="False"/>
    <w:docVar w:name="Option1True" w:val="False"/>
    <w:docVar w:name="Option2True" w:val="False"/>
    <w:docVar w:name="Option3True" w:val="False"/>
  </w:docVars>
  <w:rsids>
    <w:rsidRoot w:val="004B1AF0"/>
    <w:rsid w:val="0001061B"/>
    <w:rsid w:val="00021484"/>
    <w:rsid w:val="00023279"/>
    <w:rsid w:val="0004496E"/>
    <w:rsid w:val="00057AF3"/>
    <w:rsid w:val="0011049C"/>
    <w:rsid w:val="001E375C"/>
    <w:rsid w:val="00245438"/>
    <w:rsid w:val="003132D1"/>
    <w:rsid w:val="0031347B"/>
    <w:rsid w:val="003A1E21"/>
    <w:rsid w:val="004A235B"/>
    <w:rsid w:val="004A5D26"/>
    <w:rsid w:val="004B1AF0"/>
    <w:rsid w:val="0050585D"/>
    <w:rsid w:val="00533012"/>
    <w:rsid w:val="00595D7F"/>
    <w:rsid w:val="006A40B0"/>
    <w:rsid w:val="006B3421"/>
    <w:rsid w:val="006B76E2"/>
    <w:rsid w:val="006C461A"/>
    <w:rsid w:val="006E74C5"/>
    <w:rsid w:val="00754763"/>
    <w:rsid w:val="007611B0"/>
    <w:rsid w:val="008224AE"/>
    <w:rsid w:val="008A3F21"/>
    <w:rsid w:val="008E3BF4"/>
    <w:rsid w:val="009101F9"/>
    <w:rsid w:val="00922120"/>
    <w:rsid w:val="00A20BC8"/>
    <w:rsid w:val="00A53EB7"/>
    <w:rsid w:val="00A75226"/>
    <w:rsid w:val="00A83322"/>
    <w:rsid w:val="00AA63BA"/>
    <w:rsid w:val="00AC10E4"/>
    <w:rsid w:val="00B337D0"/>
    <w:rsid w:val="00B36183"/>
    <w:rsid w:val="00B756D3"/>
    <w:rsid w:val="00B86F4C"/>
    <w:rsid w:val="00BE3266"/>
    <w:rsid w:val="00C00D4C"/>
    <w:rsid w:val="00C0405A"/>
    <w:rsid w:val="00C0558C"/>
    <w:rsid w:val="00C175CA"/>
    <w:rsid w:val="00C21F29"/>
    <w:rsid w:val="00C360D1"/>
    <w:rsid w:val="00CC4CC9"/>
    <w:rsid w:val="00CD473F"/>
    <w:rsid w:val="00D130D8"/>
    <w:rsid w:val="00D83689"/>
    <w:rsid w:val="00DC5759"/>
    <w:rsid w:val="00DD70CD"/>
    <w:rsid w:val="00DD7226"/>
    <w:rsid w:val="00E04898"/>
    <w:rsid w:val="00E6368C"/>
    <w:rsid w:val="00F22FA2"/>
    <w:rsid w:val="00F72EEF"/>
    <w:rsid w:val="00FB0361"/>
    <w:rsid w:val="00FB5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paragraph" w:styleId="Heading1">
    <w:name w:val="heading 1"/>
    <w:basedOn w:val="Normal"/>
    <w:next w:val="Normal"/>
    <w:link w:val="Heading1Char"/>
    <w:uiPriority w:val="9"/>
    <w:qFormat/>
    <w:rsid w:val="00F22FA2"/>
    <w:pPr>
      <w:keepLines/>
      <w:numPr>
        <w:numId w:val="3"/>
      </w:numPr>
      <w:spacing w:after="240" w:line="240" w:lineRule="auto"/>
      <w:jc w:val="left"/>
      <w:outlineLvl w:val="0"/>
    </w:pPr>
    <w:rPr>
      <w:rFonts w:eastAsiaTheme="majorEastAsia" w:cs="Arial"/>
      <w:b/>
      <w:bCs/>
      <w:color w:val="000000"/>
      <w:szCs w:val="28"/>
    </w:rPr>
  </w:style>
  <w:style w:type="paragraph" w:styleId="Heading2">
    <w:name w:val="heading 2"/>
    <w:basedOn w:val="Normal"/>
    <w:next w:val="Normal"/>
    <w:link w:val="Heading2Char"/>
    <w:uiPriority w:val="9"/>
    <w:semiHidden/>
    <w:unhideWhenUsed/>
    <w:qFormat/>
    <w:rsid w:val="00F22FA2"/>
    <w:pPr>
      <w:keepLines/>
      <w:numPr>
        <w:ilvl w:val="1"/>
        <w:numId w:val="3"/>
      </w:numPr>
      <w:spacing w:after="240" w:line="240" w:lineRule="auto"/>
      <w:jc w:val="left"/>
      <w:outlineLvl w:val="1"/>
    </w:pPr>
    <w:rPr>
      <w:rFonts w:eastAsiaTheme="majorEastAsia" w:cs="Arial"/>
      <w:bCs/>
      <w:color w:val="000000"/>
      <w:szCs w:val="26"/>
    </w:rPr>
  </w:style>
  <w:style w:type="paragraph" w:styleId="Heading3">
    <w:name w:val="heading 3"/>
    <w:basedOn w:val="Normal"/>
    <w:next w:val="Normal"/>
    <w:link w:val="Heading3Char"/>
    <w:uiPriority w:val="9"/>
    <w:semiHidden/>
    <w:unhideWhenUsed/>
    <w:qFormat/>
    <w:rsid w:val="00F22FA2"/>
    <w:pPr>
      <w:numPr>
        <w:ilvl w:val="2"/>
        <w:numId w:val="3"/>
      </w:numPr>
      <w:spacing w:after="240" w:line="240" w:lineRule="auto"/>
      <w:jc w:val="left"/>
      <w:outlineLvl w:val="2"/>
    </w:pPr>
    <w:rPr>
      <w:rFonts w:eastAsiaTheme="majorEastAsia" w:cs="Arial"/>
      <w:bCs/>
      <w:color w:val="000000"/>
    </w:rPr>
  </w:style>
  <w:style w:type="paragraph" w:styleId="Heading4">
    <w:name w:val="heading 4"/>
    <w:basedOn w:val="Normal"/>
    <w:next w:val="Normal"/>
    <w:link w:val="Heading4Char"/>
    <w:uiPriority w:val="9"/>
    <w:semiHidden/>
    <w:unhideWhenUsed/>
    <w:qFormat/>
    <w:rsid w:val="00F22FA2"/>
    <w:pPr>
      <w:numPr>
        <w:ilvl w:val="3"/>
        <w:numId w:val="3"/>
      </w:numPr>
      <w:spacing w:after="240" w:line="240" w:lineRule="auto"/>
      <w:jc w:val="left"/>
      <w:outlineLvl w:val="3"/>
    </w:pPr>
    <w:rPr>
      <w:rFonts w:eastAsiaTheme="majorEastAsia" w:cs="Arial"/>
      <w:bCs/>
      <w:iCs/>
      <w:color w:val="000000"/>
    </w:rPr>
  </w:style>
  <w:style w:type="paragraph" w:styleId="Heading5">
    <w:name w:val="heading 5"/>
    <w:basedOn w:val="Normal"/>
    <w:next w:val="Normal"/>
    <w:link w:val="Heading5Char"/>
    <w:uiPriority w:val="9"/>
    <w:semiHidden/>
    <w:unhideWhenUsed/>
    <w:qFormat/>
    <w:rsid w:val="00F22FA2"/>
    <w:pPr>
      <w:numPr>
        <w:ilvl w:val="4"/>
        <w:numId w:val="3"/>
      </w:numPr>
      <w:spacing w:after="240" w:line="240" w:lineRule="auto"/>
      <w:jc w:val="left"/>
      <w:outlineLvl w:val="4"/>
    </w:pPr>
    <w:rPr>
      <w:rFonts w:eastAsiaTheme="majorEastAsia" w:cs="Arial"/>
      <w:color w:val="000000"/>
    </w:rPr>
  </w:style>
  <w:style w:type="paragraph" w:styleId="Heading6">
    <w:name w:val="heading 6"/>
    <w:basedOn w:val="Normal"/>
    <w:next w:val="Normal"/>
    <w:link w:val="Heading6Char"/>
    <w:uiPriority w:val="9"/>
    <w:semiHidden/>
    <w:unhideWhenUsed/>
    <w:qFormat/>
    <w:rsid w:val="00F22FA2"/>
    <w:pPr>
      <w:numPr>
        <w:ilvl w:val="5"/>
        <w:numId w:val="3"/>
      </w:numPr>
      <w:spacing w:after="240" w:line="240" w:lineRule="auto"/>
      <w:jc w:val="left"/>
      <w:outlineLvl w:val="5"/>
    </w:pPr>
    <w:rPr>
      <w:rFonts w:eastAsiaTheme="majorEastAsia" w:cs="Arial"/>
      <w:iCs/>
      <w:color w:val="000000"/>
    </w:rPr>
  </w:style>
  <w:style w:type="paragraph" w:styleId="Heading7">
    <w:name w:val="heading 7"/>
    <w:basedOn w:val="Normal"/>
    <w:next w:val="Normal"/>
    <w:link w:val="Heading7Char"/>
    <w:uiPriority w:val="9"/>
    <w:semiHidden/>
    <w:unhideWhenUsed/>
    <w:qFormat/>
    <w:rsid w:val="00F22FA2"/>
    <w:pPr>
      <w:numPr>
        <w:ilvl w:val="6"/>
        <w:numId w:val="3"/>
      </w:numPr>
      <w:spacing w:after="240" w:line="240" w:lineRule="auto"/>
      <w:jc w:val="left"/>
      <w:outlineLvl w:val="6"/>
    </w:pPr>
    <w:rPr>
      <w:rFonts w:eastAsiaTheme="majorEastAsia" w:cs="Arial"/>
      <w:iCs/>
      <w:color w:val="000000"/>
    </w:rPr>
  </w:style>
  <w:style w:type="paragraph" w:styleId="Heading8">
    <w:name w:val="heading 8"/>
    <w:basedOn w:val="Normal"/>
    <w:next w:val="Normal"/>
    <w:link w:val="Heading8Char"/>
    <w:uiPriority w:val="9"/>
    <w:semiHidden/>
    <w:unhideWhenUsed/>
    <w:qFormat/>
    <w:rsid w:val="00F22FA2"/>
    <w:pPr>
      <w:numPr>
        <w:ilvl w:val="7"/>
        <w:numId w:val="3"/>
      </w:numPr>
      <w:spacing w:after="240" w:line="240" w:lineRule="auto"/>
      <w:jc w:val="left"/>
      <w:outlineLvl w:val="7"/>
    </w:pPr>
    <w:rPr>
      <w:rFonts w:eastAsiaTheme="majorEastAsia" w:cs="Arial"/>
      <w:color w:val="000000"/>
      <w:szCs w:val="20"/>
    </w:rPr>
  </w:style>
  <w:style w:type="paragraph" w:styleId="Heading9">
    <w:name w:val="heading 9"/>
    <w:basedOn w:val="Normal"/>
    <w:next w:val="Normal"/>
    <w:link w:val="Heading9Char"/>
    <w:uiPriority w:val="9"/>
    <w:semiHidden/>
    <w:unhideWhenUsed/>
    <w:qFormat/>
    <w:rsid w:val="00F22FA2"/>
    <w:pPr>
      <w:numPr>
        <w:ilvl w:val="8"/>
        <w:numId w:val="3"/>
      </w:numPr>
      <w:spacing w:after="240" w:line="240" w:lineRule="auto"/>
      <w:jc w:val="left"/>
      <w:outlineLvl w:val="8"/>
    </w:pPr>
    <w:rPr>
      <w:rFonts w:eastAsiaTheme="majorEastAsia" w:cs="Arial"/>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B1A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1AF0"/>
  </w:style>
  <w:style w:type="paragraph" w:styleId="Header">
    <w:name w:val="header"/>
    <w:basedOn w:val="Normal"/>
    <w:link w:val="HeaderChar"/>
    <w:uiPriority w:val="99"/>
    <w:unhideWhenUsed/>
    <w:rsid w:val="004B1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AF0"/>
  </w:style>
  <w:style w:type="character" w:styleId="PageNumber">
    <w:name w:val="page number"/>
    <w:basedOn w:val="DefaultParagraphFont"/>
    <w:rsid w:val="004B1AF0"/>
  </w:style>
  <w:style w:type="table" w:customStyle="1" w:styleId="TableGrid1">
    <w:name w:val="Table Grid1"/>
    <w:basedOn w:val="TableNormal"/>
    <w:next w:val="TableGrid"/>
    <w:uiPriority w:val="59"/>
    <w:rsid w:val="004B1AF0"/>
    <w:pPr>
      <w:spacing w:line="240" w:lineRule="auto"/>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B1AF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B1AF0"/>
    <w:pPr>
      <w:spacing w:line="240" w:lineRule="auto"/>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1AF0"/>
    <w:pPr>
      <w:spacing w:after="0" w:line="240" w:lineRule="auto"/>
      <w:ind w:left="720"/>
      <w:contextualSpacing/>
      <w:jc w:val="left"/>
    </w:pPr>
    <w:rPr>
      <w:rFonts w:cstheme="minorBidi"/>
    </w:rPr>
  </w:style>
  <w:style w:type="character" w:customStyle="1" w:styleId="Heading1Char">
    <w:name w:val="Heading 1 Char"/>
    <w:basedOn w:val="DefaultParagraphFont"/>
    <w:link w:val="Heading1"/>
    <w:uiPriority w:val="9"/>
    <w:rsid w:val="00F22FA2"/>
    <w:rPr>
      <w:rFonts w:eastAsiaTheme="majorEastAsia" w:cs="Arial"/>
      <w:b/>
      <w:bCs/>
      <w:color w:val="000000"/>
      <w:szCs w:val="28"/>
    </w:rPr>
  </w:style>
  <w:style w:type="character" w:styleId="Hyperlink">
    <w:name w:val="Hyperlink"/>
    <w:basedOn w:val="DefaultParagraphFont"/>
    <w:uiPriority w:val="99"/>
    <w:unhideWhenUsed/>
    <w:rsid w:val="004B1AF0"/>
    <w:rPr>
      <w:color w:val="0000FF" w:themeColor="hyperlink"/>
      <w:u w:val="single"/>
    </w:rPr>
  </w:style>
  <w:style w:type="paragraph" w:styleId="Title">
    <w:name w:val="Title"/>
    <w:basedOn w:val="Normal"/>
    <w:link w:val="TitleChar"/>
    <w:qFormat/>
    <w:rsid w:val="004B1AF0"/>
    <w:pPr>
      <w:spacing w:after="0" w:line="240" w:lineRule="auto"/>
      <w:jc w:val="center"/>
    </w:pPr>
    <w:rPr>
      <w:rFonts w:eastAsia="Times New Roman" w:cs="Arial"/>
      <w:b/>
      <w:smallCaps/>
      <w:sz w:val="32"/>
    </w:rPr>
  </w:style>
  <w:style w:type="character" w:customStyle="1" w:styleId="TitleChar">
    <w:name w:val="Title Char"/>
    <w:basedOn w:val="DefaultParagraphFont"/>
    <w:link w:val="Title"/>
    <w:rsid w:val="004B1AF0"/>
    <w:rPr>
      <w:rFonts w:eastAsia="Times New Roman" w:cs="Arial"/>
      <w:b/>
      <w:smallCaps/>
      <w:sz w:val="32"/>
    </w:rPr>
  </w:style>
  <w:style w:type="character" w:customStyle="1" w:styleId="Heading2Char">
    <w:name w:val="Heading 2 Char"/>
    <w:basedOn w:val="DefaultParagraphFont"/>
    <w:link w:val="Heading2"/>
    <w:uiPriority w:val="9"/>
    <w:semiHidden/>
    <w:rsid w:val="00F22FA2"/>
    <w:rPr>
      <w:rFonts w:eastAsiaTheme="majorEastAsia" w:cs="Arial"/>
      <w:bCs/>
      <w:color w:val="000000"/>
      <w:szCs w:val="26"/>
    </w:rPr>
  </w:style>
  <w:style w:type="character" w:customStyle="1" w:styleId="Heading3Char">
    <w:name w:val="Heading 3 Char"/>
    <w:basedOn w:val="DefaultParagraphFont"/>
    <w:link w:val="Heading3"/>
    <w:uiPriority w:val="9"/>
    <w:semiHidden/>
    <w:rsid w:val="00F22FA2"/>
    <w:rPr>
      <w:rFonts w:eastAsiaTheme="majorEastAsia" w:cs="Arial"/>
      <w:bCs/>
      <w:color w:val="000000"/>
    </w:rPr>
  </w:style>
  <w:style w:type="character" w:customStyle="1" w:styleId="Heading4Char">
    <w:name w:val="Heading 4 Char"/>
    <w:basedOn w:val="DefaultParagraphFont"/>
    <w:link w:val="Heading4"/>
    <w:uiPriority w:val="9"/>
    <w:semiHidden/>
    <w:rsid w:val="00F22FA2"/>
    <w:rPr>
      <w:rFonts w:eastAsiaTheme="majorEastAsia" w:cs="Arial"/>
      <w:bCs/>
      <w:iCs/>
      <w:color w:val="000000"/>
    </w:rPr>
  </w:style>
  <w:style w:type="character" w:customStyle="1" w:styleId="Heading5Char">
    <w:name w:val="Heading 5 Char"/>
    <w:basedOn w:val="DefaultParagraphFont"/>
    <w:link w:val="Heading5"/>
    <w:uiPriority w:val="9"/>
    <w:semiHidden/>
    <w:rsid w:val="00F22FA2"/>
    <w:rPr>
      <w:rFonts w:eastAsiaTheme="majorEastAsia" w:cs="Arial"/>
      <w:color w:val="000000"/>
    </w:rPr>
  </w:style>
  <w:style w:type="character" w:customStyle="1" w:styleId="Heading6Char">
    <w:name w:val="Heading 6 Char"/>
    <w:basedOn w:val="DefaultParagraphFont"/>
    <w:link w:val="Heading6"/>
    <w:uiPriority w:val="9"/>
    <w:semiHidden/>
    <w:rsid w:val="00F22FA2"/>
    <w:rPr>
      <w:rFonts w:eastAsiaTheme="majorEastAsia" w:cs="Arial"/>
      <w:iCs/>
      <w:color w:val="000000"/>
    </w:rPr>
  </w:style>
  <w:style w:type="character" w:customStyle="1" w:styleId="Heading7Char">
    <w:name w:val="Heading 7 Char"/>
    <w:basedOn w:val="DefaultParagraphFont"/>
    <w:link w:val="Heading7"/>
    <w:uiPriority w:val="9"/>
    <w:semiHidden/>
    <w:rsid w:val="00F22FA2"/>
    <w:rPr>
      <w:rFonts w:eastAsiaTheme="majorEastAsia" w:cs="Arial"/>
      <w:iCs/>
      <w:color w:val="000000"/>
    </w:rPr>
  </w:style>
  <w:style w:type="character" w:customStyle="1" w:styleId="Heading8Char">
    <w:name w:val="Heading 8 Char"/>
    <w:basedOn w:val="DefaultParagraphFont"/>
    <w:link w:val="Heading8"/>
    <w:uiPriority w:val="9"/>
    <w:semiHidden/>
    <w:rsid w:val="00F22FA2"/>
    <w:rPr>
      <w:rFonts w:eastAsiaTheme="majorEastAsia" w:cs="Arial"/>
      <w:color w:val="000000"/>
      <w:szCs w:val="20"/>
    </w:rPr>
  </w:style>
  <w:style w:type="character" w:customStyle="1" w:styleId="Heading9Char">
    <w:name w:val="Heading 9 Char"/>
    <w:basedOn w:val="DefaultParagraphFont"/>
    <w:link w:val="Heading9"/>
    <w:uiPriority w:val="9"/>
    <w:semiHidden/>
    <w:rsid w:val="00F22FA2"/>
    <w:rPr>
      <w:rFonts w:eastAsiaTheme="majorEastAsia" w:cs="Arial"/>
      <w:iCs/>
      <w:color w:val="000000"/>
      <w:szCs w:val="20"/>
    </w:rPr>
  </w:style>
  <w:style w:type="paragraph" w:styleId="BodyText">
    <w:name w:val="Body Text"/>
    <w:basedOn w:val="Normal"/>
    <w:link w:val="BodyTextChar"/>
    <w:uiPriority w:val="99"/>
    <w:semiHidden/>
    <w:unhideWhenUsed/>
    <w:rsid w:val="00F22FA2"/>
  </w:style>
  <w:style w:type="character" w:customStyle="1" w:styleId="BodyTextChar">
    <w:name w:val="Body Text Char"/>
    <w:basedOn w:val="DefaultParagraphFont"/>
    <w:link w:val="BodyText"/>
    <w:uiPriority w:val="99"/>
    <w:semiHidden/>
    <w:rsid w:val="00F22FA2"/>
  </w:style>
  <w:style w:type="paragraph" w:styleId="BalloonText">
    <w:name w:val="Balloon Text"/>
    <w:basedOn w:val="Normal"/>
    <w:link w:val="BalloonTextChar"/>
    <w:uiPriority w:val="99"/>
    <w:semiHidden/>
    <w:unhideWhenUsed/>
    <w:rsid w:val="004A5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D26"/>
    <w:rPr>
      <w:rFonts w:ascii="Tahoma" w:hAnsi="Tahoma" w:cs="Tahoma"/>
      <w:sz w:val="16"/>
      <w:szCs w:val="16"/>
    </w:rPr>
  </w:style>
  <w:style w:type="paragraph" w:styleId="FootnoteText">
    <w:name w:val="footnote text"/>
    <w:basedOn w:val="Normal"/>
    <w:link w:val="FootnoteTextChar"/>
    <w:uiPriority w:val="99"/>
    <w:semiHidden/>
    <w:unhideWhenUsed/>
    <w:rsid w:val="00CC4C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CC9"/>
    <w:rPr>
      <w:sz w:val="20"/>
      <w:szCs w:val="20"/>
    </w:rPr>
  </w:style>
  <w:style w:type="character" w:styleId="FootnoteReference">
    <w:name w:val="footnote reference"/>
    <w:basedOn w:val="DefaultParagraphFont"/>
    <w:uiPriority w:val="99"/>
    <w:semiHidden/>
    <w:unhideWhenUsed/>
    <w:rsid w:val="00CC4CC9"/>
    <w:rPr>
      <w:vertAlign w:val="superscript"/>
    </w:rPr>
  </w:style>
  <w:style w:type="paragraph" w:styleId="BodyText2">
    <w:name w:val="Body Text 2"/>
    <w:basedOn w:val="Normal"/>
    <w:link w:val="BodyText2Char"/>
    <w:uiPriority w:val="99"/>
    <w:semiHidden/>
    <w:unhideWhenUsed/>
    <w:rsid w:val="0031347B"/>
  </w:style>
  <w:style w:type="character" w:customStyle="1" w:styleId="BodyText2Char">
    <w:name w:val="Body Text 2 Char"/>
    <w:basedOn w:val="DefaultParagraphFont"/>
    <w:link w:val="BodyText2"/>
    <w:uiPriority w:val="99"/>
    <w:semiHidden/>
    <w:rsid w:val="0031347B"/>
  </w:style>
  <w:style w:type="character" w:styleId="CommentReference">
    <w:name w:val="annotation reference"/>
    <w:basedOn w:val="DefaultParagraphFont"/>
    <w:uiPriority w:val="99"/>
    <w:semiHidden/>
    <w:unhideWhenUsed/>
    <w:rsid w:val="003A1E21"/>
    <w:rPr>
      <w:sz w:val="16"/>
      <w:szCs w:val="16"/>
    </w:rPr>
  </w:style>
  <w:style w:type="paragraph" w:styleId="CommentText">
    <w:name w:val="annotation text"/>
    <w:basedOn w:val="Normal"/>
    <w:link w:val="CommentTextChar"/>
    <w:uiPriority w:val="99"/>
    <w:semiHidden/>
    <w:unhideWhenUsed/>
    <w:rsid w:val="003A1E21"/>
    <w:pPr>
      <w:spacing w:line="240" w:lineRule="auto"/>
    </w:pPr>
    <w:rPr>
      <w:sz w:val="20"/>
      <w:szCs w:val="20"/>
    </w:rPr>
  </w:style>
  <w:style w:type="character" w:customStyle="1" w:styleId="CommentTextChar">
    <w:name w:val="Comment Text Char"/>
    <w:basedOn w:val="DefaultParagraphFont"/>
    <w:link w:val="CommentText"/>
    <w:uiPriority w:val="99"/>
    <w:semiHidden/>
    <w:rsid w:val="003A1E21"/>
    <w:rPr>
      <w:sz w:val="20"/>
      <w:szCs w:val="20"/>
    </w:rPr>
  </w:style>
  <w:style w:type="paragraph" w:styleId="CommentSubject">
    <w:name w:val="annotation subject"/>
    <w:basedOn w:val="CommentText"/>
    <w:next w:val="CommentText"/>
    <w:link w:val="CommentSubjectChar"/>
    <w:uiPriority w:val="99"/>
    <w:semiHidden/>
    <w:unhideWhenUsed/>
    <w:rsid w:val="003A1E21"/>
    <w:rPr>
      <w:b/>
      <w:bCs/>
    </w:rPr>
  </w:style>
  <w:style w:type="character" w:customStyle="1" w:styleId="CommentSubjectChar">
    <w:name w:val="Comment Subject Char"/>
    <w:basedOn w:val="CommentTextChar"/>
    <w:link w:val="CommentSubject"/>
    <w:uiPriority w:val="99"/>
    <w:semiHidden/>
    <w:rsid w:val="003A1E2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pPr>
  </w:style>
  <w:style w:type="paragraph" w:styleId="Heading1">
    <w:name w:val="heading 1"/>
    <w:basedOn w:val="Normal"/>
    <w:next w:val="Normal"/>
    <w:link w:val="Heading1Char"/>
    <w:uiPriority w:val="9"/>
    <w:qFormat/>
    <w:rsid w:val="00F22FA2"/>
    <w:pPr>
      <w:keepLines/>
      <w:numPr>
        <w:numId w:val="3"/>
      </w:numPr>
      <w:spacing w:after="240" w:line="240" w:lineRule="auto"/>
      <w:jc w:val="left"/>
      <w:outlineLvl w:val="0"/>
    </w:pPr>
    <w:rPr>
      <w:rFonts w:eastAsiaTheme="majorEastAsia" w:cs="Arial"/>
      <w:b/>
      <w:bCs/>
      <w:color w:val="000000"/>
      <w:szCs w:val="28"/>
    </w:rPr>
  </w:style>
  <w:style w:type="paragraph" w:styleId="Heading2">
    <w:name w:val="heading 2"/>
    <w:basedOn w:val="Normal"/>
    <w:next w:val="Normal"/>
    <w:link w:val="Heading2Char"/>
    <w:uiPriority w:val="9"/>
    <w:semiHidden/>
    <w:unhideWhenUsed/>
    <w:qFormat/>
    <w:rsid w:val="00F22FA2"/>
    <w:pPr>
      <w:keepLines/>
      <w:numPr>
        <w:ilvl w:val="1"/>
        <w:numId w:val="3"/>
      </w:numPr>
      <w:spacing w:after="240" w:line="240" w:lineRule="auto"/>
      <w:jc w:val="left"/>
      <w:outlineLvl w:val="1"/>
    </w:pPr>
    <w:rPr>
      <w:rFonts w:eastAsiaTheme="majorEastAsia" w:cs="Arial"/>
      <w:bCs/>
      <w:color w:val="000000"/>
      <w:szCs w:val="26"/>
    </w:rPr>
  </w:style>
  <w:style w:type="paragraph" w:styleId="Heading3">
    <w:name w:val="heading 3"/>
    <w:basedOn w:val="Normal"/>
    <w:next w:val="Normal"/>
    <w:link w:val="Heading3Char"/>
    <w:uiPriority w:val="9"/>
    <w:semiHidden/>
    <w:unhideWhenUsed/>
    <w:qFormat/>
    <w:rsid w:val="00F22FA2"/>
    <w:pPr>
      <w:numPr>
        <w:ilvl w:val="2"/>
        <w:numId w:val="3"/>
      </w:numPr>
      <w:spacing w:after="240" w:line="240" w:lineRule="auto"/>
      <w:jc w:val="left"/>
      <w:outlineLvl w:val="2"/>
    </w:pPr>
    <w:rPr>
      <w:rFonts w:eastAsiaTheme="majorEastAsia" w:cs="Arial"/>
      <w:bCs/>
      <w:color w:val="000000"/>
    </w:rPr>
  </w:style>
  <w:style w:type="paragraph" w:styleId="Heading4">
    <w:name w:val="heading 4"/>
    <w:basedOn w:val="Normal"/>
    <w:next w:val="Normal"/>
    <w:link w:val="Heading4Char"/>
    <w:uiPriority w:val="9"/>
    <w:semiHidden/>
    <w:unhideWhenUsed/>
    <w:qFormat/>
    <w:rsid w:val="00F22FA2"/>
    <w:pPr>
      <w:numPr>
        <w:ilvl w:val="3"/>
        <w:numId w:val="3"/>
      </w:numPr>
      <w:spacing w:after="240" w:line="240" w:lineRule="auto"/>
      <w:jc w:val="left"/>
      <w:outlineLvl w:val="3"/>
    </w:pPr>
    <w:rPr>
      <w:rFonts w:eastAsiaTheme="majorEastAsia" w:cs="Arial"/>
      <w:bCs/>
      <w:iCs/>
      <w:color w:val="000000"/>
    </w:rPr>
  </w:style>
  <w:style w:type="paragraph" w:styleId="Heading5">
    <w:name w:val="heading 5"/>
    <w:basedOn w:val="Normal"/>
    <w:next w:val="Normal"/>
    <w:link w:val="Heading5Char"/>
    <w:uiPriority w:val="9"/>
    <w:semiHidden/>
    <w:unhideWhenUsed/>
    <w:qFormat/>
    <w:rsid w:val="00F22FA2"/>
    <w:pPr>
      <w:numPr>
        <w:ilvl w:val="4"/>
        <w:numId w:val="3"/>
      </w:numPr>
      <w:spacing w:after="240" w:line="240" w:lineRule="auto"/>
      <w:jc w:val="left"/>
      <w:outlineLvl w:val="4"/>
    </w:pPr>
    <w:rPr>
      <w:rFonts w:eastAsiaTheme="majorEastAsia" w:cs="Arial"/>
      <w:color w:val="000000"/>
    </w:rPr>
  </w:style>
  <w:style w:type="paragraph" w:styleId="Heading6">
    <w:name w:val="heading 6"/>
    <w:basedOn w:val="Normal"/>
    <w:next w:val="Normal"/>
    <w:link w:val="Heading6Char"/>
    <w:uiPriority w:val="9"/>
    <w:semiHidden/>
    <w:unhideWhenUsed/>
    <w:qFormat/>
    <w:rsid w:val="00F22FA2"/>
    <w:pPr>
      <w:numPr>
        <w:ilvl w:val="5"/>
        <w:numId w:val="3"/>
      </w:numPr>
      <w:spacing w:after="240" w:line="240" w:lineRule="auto"/>
      <w:jc w:val="left"/>
      <w:outlineLvl w:val="5"/>
    </w:pPr>
    <w:rPr>
      <w:rFonts w:eastAsiaTheme="majorEastAsia" w:cs="Arial"/>
      <w:iCs/>
      <w:color w:val="000000"/>
    </w:rPr>
  </w:style>
  <w:style w:type="paragraph" w:styleId="Heading7">
    <w:name w:val="heading 7"/>
    <w:basedOn w:val="Normal"/>
    <w:next w:val="Normal"/>
    <w:link w:val="Heading7Char"/>
    <w:uiPriority w:val="9"/>
    <w:semiHidden/>
    <w:unhideWhenUsed/>
    <w:qFormat/>
    <w:rsid w:val="00F22FA2"/>
    <w:pPr>
      <w:numPr>
        <w:ilvl w:val="6"/>
        <w:numId w:val="3"/>
      </w:numPr>
      <w:spacing w:after="240" w:line="240" w:lineRule="auto"/>
      <w:jc w:val="left"/>
      <w:outlineLvl w:val="6"/>
    </w:pPr>
    <w:rPr>
      <w:rFonts w:eastAsiaTheme="majorEastAsia" w:cs="Arial"/>
      <w:iCs/>
      <w:color w:val="000000"/>
    </w:rPr>
  </w:style>
  <w:style w:type="paragraph" w:styleId="Heading8">
    <w:name w:val="heading 8"/>
    <w:basedOn w:val="Normal"/>
    <w:next w:val="Normal"/>
    <w:link w:val="Heading8Char"/>
    <w:uiPriority w:val="9"/>
    <w:semiHidden/>
    <w:unhideWhenUsed/>
    <w:qFormat/>
    <w:rsid w:val="00F22FA2"/>
    <w:pPr>
      <w:numPr>
        <w:ilvl w:val="7"/>
        <w:numId w:val="3"/>
      </w:numPr>
      <w:spacing w:after="240" w:line="240" w:lineRule="auto"/>
      <w:jc w:val="left"/>
      <w:outlineLvl w:val="7"/>
    </w:pPr>
    <w:rPr>
      <w:rFonts w:eastAsiaTheme="majorEastAsia" w:cs="Arial"/>
      <w:color w:val="000000"/>
      <w:szCs w:val="20"/>
    </w:rPr>
  </w:style>
  <w:style w:type="paragraph" w:styleId="Heading9">
    <w:name w:val="heading 9"/>
    <w:basedOn w:val="Normal"/>
    <w:next w:val="Normal"/>
    <w:link w:val="Heading9Char"/>
    <w:uiPriority w:val="9"/>
    <w:semiHidden/>
    <w:unhideWhenUsed/>
    <w:qFormat/>
    <w:rsid w:val="00F22FA2"/>
    <w:pPr>
      <w:numPr>
        <w:ilvl w:val="8"/>
        <w:numId w:val="3"/>
      </w:numPr>
      <w:spacing w:after="240" w:line="240" w:lineRule="auto"/>
      <w:jc w:val="left"/>
      <w:outlineLvl w:val="8"/>
    </w:pPr>
    <w:rPr>
      <w:rFonts w:eastAsiaTheme="majorEastAsia" w:cs="Arial"/>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B1A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1AF0"/>
  </w:style>
  <w:style w:type="paragraph" w:styleId="Header">
    <w:name w:val="header"/>
    <w:basedOn w:val="Normal"/>
    <w:link w:val="HeaderChar"/>
    <w:uiPriority w:val="99"/>
    <w:unhideWhenUsed/>
    <w:rsid w:val="004B1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AF0"/>
  </w:style>
  <w:style w:type="character" w:styleId="PageNumber">
    <w:name w:val="page number"/>
    <w:basedOn w:val="DefaultParagraphFont"/>
    <w:rsid w:val="004B1AF0"/>
  </w:style>
  <w:style w:type="table" w:customStyle="1" w:styleId="TableGrid1">
    <w:name w:val="Table Grid1"/>
    <w:basedOn w:val="TableNormal"/>
    <w:next w:val="TableGrid"/>
    <w:uiPriority w:val="59"/>
    <w:rsid w:val="004B1AF0"/>
    <w:pPr>
      <w:spacing w:line="240" w:lineRule="auto"/>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B1AF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B1AF0"/>
    <w:pPr>
      <w:spacing w:line="240" w:lineRule="auto"/>
      <w:jc w:val="left"/>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B1AF0"/>
    <w:pPr>
      <w:spacing w:after="0" w:line="240" w:lineRule="auto"/>
      <w:ind w:left="720"/>
      <w:contextualSpacing/>
      <w:jc w:val="left"/>
    </w:pPr>
    <w:rPr>
      <w:rFonts w:cstheme="minorBidi"/>
    </w:rPr>
  </w:style>
  <w:style w:type="character" w:customStyle="1" w:styleId="Heading1Char">
    <w:name w:val="Heading 1 Char"/>
    <w:basedOn w:val="DefaultParagraphFont"/>
    <w:link w:val="Heading1"/>
    <w:uiPriority w:val="9"/>
    <w:rsid w:val="00F22FA2"/>
    <w:rPr>
      <w:rFonts w:eastAsiaTheme="majorEastAsia" w:cs="Arial"/>
      <w:b/>
      <w:bCs/>
      <w:color w:val="000000"/>
      <w:szCs w:val="28"/>
    </w:rPr>
  </w:style>
  <w:style w:type="character" w:styleId="Hyperlink">
    <w:name w:val="Hyperlink"/>
    <w:basedOn w:val="DefaultParagraphFont"/>
    <w:uiPriority w:val="99"/>
    <w:unhideWhenUsed/>
    <w:rsid w:val="004B1AF0"/>
    <w:rPr>
      <w:color w:val="0000FF" w:themeColor="hyperlink"/>
      <w:u w:val="single"/>
    </w:rPr>
  </w:style>
  <w:style w:type="paragraph" w:styleId="Title">
    <w:name w:val="Title"/>
    <w:basedOn w:val="Normal"/>
    <w:link w:val="TitleChar"/>
    <w:qFormat/>
    <w:rsid w:val="004B1AF0"/>
    <w:pPr>
      <w:spacing w:after="0" w:line="240" w:lineRule="auto"/>
      <w:jc w:val="center"/>
    </w:pPr>
    <w:rPr>
      <w:rFonts w:eastAsia="Times New Roman" w:cs="Arial"/>
      <w:b/>
      <w:smallCaps/>
      <w:sz w:val="32"/>
    </w:rPr>
  </w:style>
  <w:style w:type="character" w:customStyle="1" w:styleId="TitleChar">
    <w:name w:val="Title Char"/>
    <w:basedOn w:val="DefaultParagraphFont"/>
    <w:link w:val="Title"/>
    <w:rsid w:val="004B1AF0"/>
    <w:rPr>
      <w:rFonts w:eastAsia="Times New Roman" w:cs="Arial"/>
      <w:b/>
      <w:smallCaps/>
      <w:sz w:val="32"/>
    </w:rPr>
  </w:style>
  <w:style w:type="character" w:customStyle="1" w:styleId="Heading2Char">
    <w:name w:val="Heading 2 Char"/>
    <w:basedOn w:val="DefaultParagraphFont"/>
    <w:link w:val="Heading2"/>
    <w:uiPriority w:val="9"/>
    <w:semiHidden/>
    <w:rsid w:val="00F22FA2"/>
    <w:rPr>
      <w:rFonts w:eastAsiaTheme="majorEastAsia" w:cs="Arial"/>
      <w:bCs/>
      <w:color w:val="000000"/>
      <w:szCs w:val="26"/>
    </w:rPr>
  </w:style>
  <w:style w:type="character" w:customStyle="1" w:styleId="Heading3Char">
    <w:name w:val="Heading 3 Char"/>
    <w:basedOn w:val="DefaultParagraphFont"/>
    <w:link w:val="Heading3"/>
    <w:uiPriority w:val="9"/>
    <w:semiHidden/>
    <w:rsid w:val="00F22FA2"/>
    <w:rPr>
      <w:rFonts w:eastAsiaTheme="majorEastAsia" w:cs="Arial"/>
      <w:bCs/>
      <w:color w:val="000000"/>
    </w:rPr>
  </w:style>
  <w:style w:type="character" w:customStyle="1" w:styleId="Heading4Char">
    <w:name w:val="Heading 4 Char"/>
    <w:basedOn w:val="DefaultParagraphFont"/>
    <w:link w:val="Heading4"/>
    <w:uiPriority w:val="9"/>
    <w:semiHidden/>
    <w:rsid w:val="00F22FA2"/>
    <w:rPr>
      <w:rFonts w:eastAsiaTheme="majorEastAsia" w:cs="Arial"/>
      <w:bCs/>
      <w:iCs/>
      <w:color w:val="000000"/>
    </w:rPr>
  </w:style>
  <w:style w:type="character" w:customStyle="1" w:styleId="Heading5Char">
    <w:name w:val="Heading 5 Char"/>
    <w:basedOn w:val="DefaultParagraphFont"/>
    <w:link w:val="Heading5"/>
    <w:uiPriority w:val="9"/>
    <w:semiHidden/>
    <w:rsid w:val="00F22FA2"/>
    <w:rPr>
      <w:rFonts w:eastAsiaTheme="majorEastAsia" w:cs="Arial"/>
      <w:color w:val="000000"/>
    </w:rPr>
  </w:style>
  <w:style w:type="character" w:customStyle="1" w:styleId="Heading6Char">
    <w:name w:val="Heading 6 Char"/>
    <w:basedOn w:val="DefaultParagraphFont"/>
    <w:link w:val="Heading6"/>
    <w:uiPriority w:val="9"/>
    <w:semiHidden/>
    <w:rsid w:val="00F22FA2"/>
    <w:rPr>
      <w:rFonts w:eastAsiaTheme="majorEastAsia" w:cs="Arial"/>
      <w:iCs/>
      <w:color w:val="000000"/>
    </w:rPr>
  </w:style>
  <w:style w:type="character" w:customStyle="1" w:styleId="Heading7Char">
    <w:name w:val="Heading 7 Char"/>
    <w:basedOn w:val="DefaultParagraphFont"/>
    <w:link w:val="Heading7"/>
    <w:uiPriority w:val="9"/>
    <w:semiHidden/>
    <w:rsid w:val="00F22FA2"/>
    <w:rPr>
      <w:rFonts w:eastAsiaTheme="majorEastAsia" w:cs="Arial"/>
      <w:iCs/>
      <w:color w:val="000000"/>
    </w:rPr>
  </w:style>
  <w:style w:type="character" w:customStyle="1" w:styleId="Heading8Char">
    <w:name w:val="Heading 8 Char"/>
    <w:basedOn w:val="DefaultParagraphFont"/>
    <w:link w:val="Heading8"/>
    <w:uiPriority w:val="9"/>
    <w:semiHidden/>
    <w:rsid w:val="00F22FA2"/>
    <w:rPr>
      <w:rFonts w:eastAsiaTheme="majorEastAsia" w:cs="Arial"/>
      <w:color w:val="000000"/>
      <w:szCs w:val="20"/>
    </w:rPr>
  </w:style>
  <w:style w:type="character" w:customStyle="1" w:styleId="Heading9Char">
    <w:name w:val="Heading 9 Char"/>
    <w:basedOn w:val="DefaultParagraphFont"/>
    <w:link w:val="Heading9"/>
    <w:uiPriority w:val="9"/>
    <w:semiHidden/>
    <w:rsid w:val="00F22FA2"/>
    <w:rPr>
      <w:rFonts w:eastAsiaTheme="majorEastAsia" w:cs="Arial"/>
      <w:iCs/>
      <w:color w:val="000000"/>
      <w:szCs w:val="20"/>
    </w:rPr>
  </w:style>
  <w:style w:type="paragraph" w:styleId="BodyText">
    <w:name w:val="Body Text"/>
    <w:basedOn w:val="Normal"/>
    <w:link w:val="BodyTextChar"/>
    <w:uiPriority w:val="99"/>
    <w:semiHidden/>
    <w:unhideWhenUsed/>
    <w:rsid w:val="00F22FA2"/>
  </w:style>
  <w:style w:type="character" w:customStyle="1" w:styleId="BodyTextChar">
    <w:name w:val="Body Text Char"/>
    <w:basedOn w:val="DefaultParagraphFont"/>
    <w:link w:val="BodyText"/>
    <w:uiPriority w:val="99"/>
    <w:semiHidden/>
    <w:rsid w:val="00F22FA2"/>
  </w:style>
  <w:style w:type="paragraph" w:styleId="BalloonText">
    <w:name w:val="Balloon Text"/>
    <w:basedOn w:val="Normal"/>
    <w:link w:val="BalloonTextChar"/>
    <w:uiPriority w:val="99"/>
    <w:semiHidden/>
    <w:unhideWhenUsed/>
    <w:rsid w:val="004A5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D26"/>
    <w:rPr>
      <w:rFonts w:ascii="Tahoma" w:hAnsi="Tahoma" w:cs="Tahoma"/>
      <w:sz w:val="16"/>
      <w:szCs w:val="16"/>
    </w:rPr>
  </w:style>
  <w:style w:type="paragraph" w:styleId="FootnoteText">
    <w:name w:val="footnote text"/>
    <w:basedOn w:val="Normal"/>
    <w:link w:val="FootnoteTextChar"/>
    <w:uiPriority w:val="99"/>
    <w:semiHidden/>
    <w:unhideWhenUsed/>
    <w:rsid w:val="00CC4C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CC9"/>
    <w:rPr>
      <w:sz w:val="20"/>
      <w:szCs w:val="20"/>
    </w:rPr>
  </w:style>
  <w:style w:type="character" w:styleId="FootnoteReference">
    <w:name w:val="footnote reference"/>
    <w:basedOn w:val="DefaultParagraphFont"/>
    <w:uiPriority w:val="99"/>
    <w:semiHidden/>
    <w:unhideWhenUsed/>
    <w:rsid w:val="00CC4CC9"/>
    <w:rPr>
      <w:vertAlign w:val="superscript"/>
    </w:rPr>
  </w:style>
  <w:style w:type="paragraph" w:styleId="BodyText2">
    <w:name w:val="Body Text 2"/>
    <w:basedOn w:val="Normal"/>
    <w:link w:val="BodyText2Char"/>
    <w:uiPriority w:val="99"/>
    <w:semiHidden/>
    <w:unhideWhenUsed/>
    <w:rsid w:val="0031347B"/>
  </w:style>
  <w:style w:type="character" w:customStyle="1" w:styleId="BodyText2Char">
    <w:name w:val="Body Text 2 Char"/>
    <w:basedOn w:val="DefaultParagraphFont"/>
    <w:link w:val="BodyText2"/>
    <w:uiPriority w:val="99"/>
    <w:semiHidden/>
    <w:rsid w:val="0031347B"/>
  </w:style>
  <w:style w:type="character" w:styleId="CommentReference">
    <w:name w:val="annotation reference"/>
    <w:basedOn w:val="DefaultParagraphFont"/>
    <w:uiPriority w:val="99"/>
    <w:semiHidden/>
    <w:unhideWhenUsed/>
    <w:rsid w:val="003A1E21"/>
    <w:rPr>
      <w:sz w:val="16"/>
      <w:szCs w:val="16"/>
    </w:rPr>
  </w:style>
  <w:style w:type="paragraph" w:styleId="CommentText">
    <w:name w:val="annotation text"/>
    <w:basedOn w:val="Normal"/>
    <w:link w:val="CommentTextChar"/>
    <w:uiPriority w:val="99"/>
    <w:semiHidden/>
    <w:unhideWhenUsed/>
    <w:rsid w:val="003A1E21"/>
    <w:pPr>
      <w:spacing w:line="240" w:lineRule="auto"/>
    </w:pPr>
    <w:rPr>
      <w:sz w:val="20"/>
      <w:szCs w:val="20"/>
    </w:rPr>
  </w:style>
  <w:style w:type="character" w:customStyle="1" w:styleId="CommentTextChar">
    <w:name w:val="Comment Text Char"/>
    <w:basedOn w:val="DefaultParagraphFont"/>
    <w:link w:val="CommentText"/>
    <w:uiPriority w:val="99"/>
    <w:semiHidden/>
    <w:rsid w:val="003A1E21"/>
    <w:rPr>
      <w:sz w:val="20"/>
      <w:szCs w:val="20"/>
    </w:rPr>
  </w:style>
  <w:style w:type="paragraph" w:styleId="CommentSubject">
    <w:name w:val="annotation subject"/>
    <w:basedOn w:val="CommentText"/>
    <w:next w:val="CommentText"/>
    <w:link w:val="CommentSubjectChar"/>
    <w:uiPriority w:val="99"/>
    <w:semiHidden/>
    <w:unhideWhenUsed/>
    <w:rsid w:val="003A1E21"/>
    <w:rPr>
      <w:b/>
      <w:bCs/>
    </w:rPr>
  </w:style>
  <w:style w:type="character" w:customStyle="1" w:styleId="CommentSubjectChar">
    <w:name w:val="Comment Subject Char"/>
    <w:basedOn w:val="CommentTextChar"/>
    <w:link w:val="CommentSubject"/>
    <w:uiPriority w:val="99"/>
    <w:semiHidden/>
    <w:rsid w:val="003A1E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9702">
      <w:bodyDiv w:val="1"/>
      <w:marLeft w:val="0"/>
      <w:marRight w:val="0"/>
      <w:marTop w:val="0"/>
      <w:marBottom w:val="0"/>
      <w:divBdr>
        <w:top w:val="none" w:sz="0" w:space="0" w:color="auto"/>
        <w:left w:val="none" w:sz="0" w:space="0" w:color="auto"/>
        <w:bottom w:val="none" w:sz="0" w:space="0" w:color="auto"/>
        <w:right w:val="none" w:sz="0" w:space="0" w:color="auto"/>
      </w:divBdr>
    </w:div>
    <w:div w:id="616527352">
      <w:bodyDiv w:val="1"/>
      <w:marLeft w:val="0"/>
      <w:marRight w:val="0"/>
      <w:marTop w:val="0"/>
      <w:marBottom w:val="0"/>
      <w:divBdr>
        <w:top w:val="none" w:sz="0" w:space="0" w:color="auto"/>
        <w:left w:val="none" w:sz="0" w:space="0" w:color="auto"/>
        <w:bottom w:val="none" w:sz="0" w:space="0" w:color="auto"/>
        <w:right w:val="none" w:sz="0" w:space="0" w:color="auto"/>
      </w:divBdr>
    </w:div>
    <w:div w:id="631449972">
      <w:bodyDiv w:val="1"/>
      <w:marLeft w:val="0"/>
      <w:marRight w:val="0"/>
      <w:marTop w:val="0"/>
      <w:marBottom w:val="0"/>
      <w:divBdr>
        <w:top w:val="none" w:sz="0" w:space="0" w:color="auto"/>
        <w:left w:val="none" w:sz="0" w:space="0" w:color="auto"/>
        <w:bottom w:val="none" w:sz="0" w:space="0" w:color="auto"/>
        <w:right w:val="none" w:sz="0" w:space="0" w:color="auto"/>
      </w:divBdr>
    </w:div>
    <w:div w:id="690571222">
      <w:bodyDiv w:val="1"/>
      <w:marLeft w:val="0"/>
      <w:marRight w:val="0"/>
      <w:marTop w:val="0"/>
      <w:marBottom w:val="0"/>
      <w:divBdr>
        <w:top w:val="none" w:sz="0" w:space="0" w:color="auto"/>
        <w:left w:val="none" w:sz="0" w:space="0" w:color="auto"/>
        <w:bottom w:val="none" w:sz="0" w:space="0" w:color="auto"/>
        <w:right w:val="none" w:sz="0" w:space="0" w:color="auto"/>
      </w:divBdr>
    </w:div>
    <w:div w:id="1056586340">
      <w:bodyDiv w:val="1"/>
      <w:marLeft w:val="0"/>
      <w:marRight w:val="0"/>
      <w:marTop w:val="0"/>
      <w:marBottom w:val="0"/>
      <w:divBdr>
        <w:top w:val="none" w:sz="0" w:space="0" w:color="auto"/>
        <w:left w:val="none" w:sz="0" w:space="0" w:color="auto"/>
        <w:bottom w:val="none" w:sz="0" w:space="0" w:color="auto"/>
        <w:right w:val="none" w:sz="0" w:space="0" w:color="auto"/>
      </w:divBdr>
    </w:div>
    <w:div w:id="1658996212">
      <w:bodyDiv w:val="1"/>
      <w:marLeft w:val="0"/>
      <w:marRight w:val="0"/>
      <w:marTop w:val="0"/>
      <w:marBottom w:val="0"/>
      <w:divBdr>
        <w:top w:val="none" w:sz="0" w:space="0" w:color="auto"/>
        <w:left w:val="none" w:sz="0" w:space="0" w:color="auto"/>
        <w:bottom w:val="none" w:sz="0" w:space="0" w:color="auto"/>
        <w:right w:val="none" w:sz="0" w:space="0" w:color="auto"/>
      </w:divBdr>
    </w:div>
    <w:div w:id="180932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darr@mwncmh.com" TargetMode="External"/><Relationship Id="rId13" Type="http://schemas.openxmlformats.org/officeDocument/2006/relationships/header" Target="header3.xml"/><Relationship Id="rId18" Type="http://schemas.openxmlformats.org/officeDocument/2006/relationships/hyperlink" Target="mailto:gkrassen@bricke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fdarr@mwncmh.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fdarr@mwncmh.co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13</Pages>
  <Words>3120</Words>
  <Characters>16189</Characters>
  <Application>Microsoft Office Word</Application>
  <DocSecurity>0</DocSecurity>
  <PresentationFormat/>
  <Lines>487</Lines>
  <Paragraphs>179</Paragraphs>
  <ScaleCrop>false</ScaleCrop>
  <HeadingPairs>
    <vt:vector size="2" baseType="variant">
      <vt:variant>
        <vt:lpstr>Title</vt:lpstr>
      </vt:variant>
      <vt:variant>
        <vt:i4>1</vt:i4>
      </vt:variant>
    </vt:vector>
  </HeadingPairs>
  <TitlesOfParts>
    <vt:vector size="1" baseType="lpstr">
      <vt:lpstr>FES complaint; motion for preliminary orders; navco (C44240-2).DOCX</vt:lpstr>
    </vt:vector>
  </TitlesOfParts>
  <Company>Some Company, Inc.</Company>
  <LinksUpToDate>false</LinksUpToDate>
  <CharactersWithSpaces>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 complaint; motion for preliminary orders; navco (C44240-2).DOCX</dc:title>
  <dc:subject>C44240:2 /font=8</dc:subject>
  <dc:creator>_</dc:creator>
  <cp:keywords/>
  <dc:description/>
  <cp:lastModifiedBy>Renee Gannon</cp:lastModifiedBy>
  <cp:revision>9</cp:revision>
  <cp:lastPrinted>2014-07-21T19:22:00Z</cp:lastPrinted>
  <dcterms:created xsi:type="dcterms:W3CDTF">2014-07-19T12:34:00Z</dcterms:created>
  <dcterms:modified xsi:type="dcterms:W3CDTF">2014-07-21T19:23:00Z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7/21/2014 3:13:09 PM</vt:lpwstr>
  </property>
</Properties>
</file>