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A46CDB" w:rsidRPr="00E666E3" w:rsidP="00A46CDB" w14:paraId="5F36688F" w14:textId="298EAB20">
      <w:pPr>
        <w:jc w:val="center"/>
        <w:rPr>
          <w:b/>
        </w:rPr>
      </w:pPr>
      <w:bookmarkStart w:id="0" w:name="_GoBack"/>
      <w:bookmarkEnd w:id="0"/>
      <w:r w:rsidRPr="00E666E3">
        <w:rPr>
          <w:b/>
        </w:rPr>
        <w:t>BEFORE</w:t>
      </w:r>
    </w:p>
    <w:p w:rsidR="00A46CDB" w:rsidP="00A46CDB" w14:paraId="4556231F" w14:textId="77777777">
      <w:pPr>
        <w:jc w:val="center"/>
        <w:rPr>
          <w:b/>
          <w:bCs/>
        </w:rPr>
      </w:pPr>
      <w:r w:rsidRPr="00E666E3">
        <w:rPr>
          <w:b/>
          <w:bCs/>
        </w:rPr>
        <w:t>THE PUBLIC UTILITIES COMMISSION OF OHIO</w:t>
      </w:r>
    </w:p>
    <w:p w:rsidR="00A46CDB" w:rsidP="00A46CDB" w14:paraId="148E28B1" w14:textId="77777777">
      <w:pPr>
        <w:jc w:val="center"/>
        <w:rPr>
          <w:b/>
          <w:bCs/>
        </w:rPr>
      </w:pPr>
    </w:p>
    <w:tbl>
      <w:tblPr>
        <w:tblW w:w="9408" w:type="dxa"/>
        <w:tblLook w:val="01E0"/>
      </w:tblPr>
      <w:tblGrid>
        <w:gridCol w:w="5018"/>
        <w:gridCol w:w="358"/>
        <w:gridCol w:w="4032"/>
      </w:tblGrid>
      <w:tr w14:paraId="73D3E0D3" w14:textId="77777777" w:rsidTr="00B72A48">
        <w:tblPrEx>
          <w:tblW w:w="9408" w:type="dxa"/>
          <w:tblLook w:val="01E0"/>
        </w:tblPrEx>
        <w:trPr>
          <w:trHeight w:val="807"/>
        </w:trPr>
        <w:tc>
          <w:tcPr>
            <w:tcW w:w="5018" w:type="dxa"/>
            <w:shd w:val="clear" w:color="auto" w:fill="auto"/>
          </w:tcPr>
          <w:p w:rsidR="00AA7B8B" w:rsidRPr="00A329C2" w:rsidP="00AA7B8B" w14:paraId="3DE4365B" w14:textId="77777777">
            <w:pPr>
              <w:pStyle w:val="HTMLPreformatted"/>
              <w:rPr>
                <w:rFonts w:ascii="Times New Roman" w:hAnsi="Times New Roman" w:cs="Times New Roman"/>
                <w:sz w:val="24"/>
              </w:rPr>
            </w:pPr>
            <w:r w:rsidRPr="00A329C2">
              <w:rPr>
                <w:rFonts w:ascii="Times New Roman" w:hAnsi="Times New Roman" w:cs="Times New Roman"/>
                <w:sz w:val="24"/>
              </w:rPr>
              <w:t>In the Matter of the Application of Vectren Energy Delivery of Ohio, Inc., for Approval of an Alternative Rate Plan.</w:t>
            </w:r>
          </w:p>
        </w:tc>
        <w:tc>
          <w:tcPr>
            <w:tcW w:w="358" w:type="dxa"/>
            <w:shd w:val="clear" w:color="auto" w:fill="auto"/>
          </w:tcPr>
          <w:p w:rsidR="00AA7B8B" w:rsidRPr="00A329C2" w:rsidP="00AA7B8B" w14:paraId="7706204A"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p w:rsidR="00AA7B8B" w:rsidRPr="00A329C2" w:rsidP="00AA7B8B" w14:paraId="4111B1EA"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p w:rsidR="00AA7B8B" w:rsidRPr="00A329C2" w:rsidP="00AA7B8B" w14:paraId="5EE341BC"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p w:rsidR="00AA7B8B" w:rsidRPr="00A329C2" w:rsidP="00AA7B8B" w14:paraId="4F5DC06F" w14:textId="77777777">
            <w:pPr>
              <w:pStyle w:val="HTMLPreformatted"/>
              <w:rPr>
                <w:rFonts w:ascii="Times New Roman" w:hAnsi="Times New Roman" w:cs="Times New Roman"/>
                <w:sz w:val="24"/>
              </w:rPr>
            </w:pPr>
          </w:p>
        </w:tc>
        <w:tc>
          <w:tcPr>
            <w:tcW w:w="4032" w:type="dxa"/>
            <w:shd w:val="clear" w:color="auto" w:fill="auto"/>
          </w:tcPr>
          <w:p w:rsidR="00AA7B8B" w:rsidRPr="00A329C2" w:rsidP="00AA7B8B" w14:paraId="5AAC34D2" w14:textId="77777777">
            <w:pPr>
              <w:pStyle w:val="HTMLPreformatted"/>
              <w:rPr>
                <w:rFonts w:ascii="Times New Roman" w:hAnsi="Times New Roman" w:cs="Times New Roman"/>
                <w:sz w:val="24"/>
              </w:rPr>
            </w:pPr>
          </w:p>
          <w:p w:rsidR="00AA7B8B" w:rsidRPr="00A329C2" w:rsidP="00AA7B8B" w14:paraId="1B73359B" w14:textId="77777777">
            <w:pPr>
              <w:pStyle w:val="HTMLPreformatted"/>
              <w:rPr>
                <w:rFonts w:ascii="Times New Roman" w:hAnsi="Times New Roman" w:cs="Times New Roman"/>
                <w:sz w:val="24"/>
              </w:rPr>
            </w:pPr>
            <w:r w:rsidRPr="00A329C2">
              <w:rPr>
                <w:rFonts w:ascii="Times New Roman" w:hAnsi="Times New Roman" w:cs="Times New Roman"/>
                <w:sz w:val="24"/>
                <w:szCs w:val="20"/>
              </w:rPr>
              <w:t>Case No. 18-0049-GA-ALT</w:t>
            </w:r>
          </w:p>
          <w:p w:rsidR="00AA7B8B" w:rsidRPr="00A329C2" w:rsidP="00AA7B8B" w14:paraId="2DDC4291" w14:textId="77777777">
            <w:pPr>
              <w:pStyle w:val="HTMLPreformatted"/>
              <w:rPr>
                <w:rFonts w:ascii="Times New Roman" w:hAnsi="Times New Roman" w:cs="Times New Roman"/>
                <w:sz w:val="24"/>
              </w:rPr>
            </w:pPr>
          </w:p>
          <w:p w:rsidR="00AA7B8B" w:rsidRPr="00A329C2" w:rsidP="00AA7B8B" w14:paraId="75F2848C" w14:textId="77777777">
            <w:pPr>
              <w:pStyle w:val="HTMLPreformatted"/>
              <w:rPr>
                <w:rFonts w:ascii="Times New Roman" w:hAnsi="Times New Roman" w:cs="Times New Roman"/>
                <w:sz w:val="24"/>
              </w:rPr>
            </w:pPr>
          </w:p>
        </w:tc>
      </w:tr>
      <w:tr w14:paraId="7906D240" w14:textId="77777777" w:rsidTr="00B72A48">
        <w:tblPrEx>
          <w:tblW w:w="9408" w:type="dxa"/>
          <w:tblLook w:val="01E0"/>
        </w:tblPrEx>
        <w:trPr>
          <w:trHeight w:val="807"/>
        </w:trPr>
        <w:tc>
          <w:tcPr>
            <w:tcW w:w="5018" w:type="dxa"/>
            <w:shd w:val="clear" w:color="auto" w:fill="auto"/>
          </w:tcPr>
          <w:p w:rsidR="00AA7B8B" w:rsidRPr="00A329C2" w:rsidP="00AA7B8B" w14:paraId="2264E322" w14:textId="77777777">
            <w:pPr>
              <w:pStyle w:val="HTMLPreformatted"/>
              <w:rPr>
                <w:rFonts w:ascii="Times New Roman" w:hAnsi="Times New Roman" w:cs="Times New Roman"/>
                <w:sz w:val="24"/>
              </w:rPr>
            </w:pPr>
            <w:r w:rsidRPr="00A329C2">
              <w:rPr>
                <w:rFonts w:ascii="Times New Roman" w:hAnsi="Times New Roman" w:cs="Times New Roman"/>
                <w:sz w:val="24"/>
              </w:rPr>
              <w:t>In the Matter of the Application of Vectren Energy Delivery of Ohio, Inc., for Approval of an Increase in Gas Rates.</w:t>
            </w:r>
          </w:p>
          <w:p w:rsidR="00AA7B8B" w:rsidRPr="00A329C2" w:rsidP="00AA7B8B" w14:paraId="136A5929" w14:textId="77777777">
            <w:pPr>
              <w:pStyle w:val="HTMLPreformatted"/>
              <w:rPr>
                <w:rFonts w:ascii="Times New Roman" w:hAnsi="Times New Roman" w:cs="Times New Roman"/>
                <w:sz w:val="24"/>
              </w:rPr>
            </w:pPr>
          </w:p>
          <w:p w:rsidR="00AA7B8B" w:rsidRPr="00A329C2" w:rsidP="00AA7B8B" w14:paraId="71EB2A25" w14:textId="77777777">
            <w:pPr>
              <w:pStyle w:val="HTMLPreformatted"/>
              <w:rPr>
                <w:rFonts w:ascii="Times New Roman" w:hAnsi="Times New Roman" w:cs="Times New Roman"/>
                <w:sz w:val="24"/>
              </w:rPr>
            </w:pPr>
            <w:r w:rsidRPr="00A329C2">
              <w:rPr>
                <w:rFonts w:ascii="Times New Roman" w:hAnsi="Times New Roman" w:cs="Times New Roman"/>
                <w:sz w:val="24"/>
              </w:rPr>
              <w:t xml:space="preserve">In the Matter of the Application of Vectren Energy Delivery of Ohio, Inc., for Approval of an Alternative Rate Plan. </w:t>
            </w:r>
          </w:p>
        </w:tc>
        <w:tc>
          <w:tcPr>
            <w:tcW w:w="358" w:type="dxa"/>
            <w:shd w:val="clear" w:color="auto" w:fill="auto"/>
          </w:tcPr>
          <w:p w:rsidR="00AA7B8B" w:rsidRPr="00A329C2" w:rsidP="00AA7B8B" w14:paraId="65BCCCBE"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p w:rsidR="00AA7B8B" w:rsidRPr="00A329C2" w:rsidP="00AA7B8B" w14:paraId="1707863E"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p w:rsidR="00AA7B8B" w:rsidRPr="00A329C2" w:rsidP="00AA7B8B" w14:paraId="16B5BD9C"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p w:rsidR="00AA7B8B" w:rsidRPr="00A329C2" w:rsidP="00AA7B8B" w14:paraId="5537CF47" w14:textId="77777777">
            <w:pPr>
              <w:pStyle w:val="HTMLPreformatted"/>
              <w:rPr>
                <w:rFonts w:ascii="Times New Roman" w:hAnsi="Times New Roman" w:cs="Times New Roman"/>
                <w:sz w:val="24"/>
              </w:rPr>
            </w:pPr>
          </w:p>
          <w:p w:rsidR="00AA7B8B" w:rsidRPr="00A329C2" w:rsidP="00AA7B8B" w14:paraId="5917CD2E"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p w:rsidR="00AA7B8B" w:rsidRPr="00A329C2" w:rsidP="00AA7B8B" w14:paraId="01273741"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p w:rsidR="00AA7B8B" w:rsidRPr="00A329C2" w:rsidP="00AA7B8B" w14:paraId="587F6E69"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tc>
        <w:tc>
          <w:tcPr>
            <w:tcW w:w="4032" w:type="dxa"/>
            <w:shd w:val="clear" w:color="auto" w:fill="auto"/>
          </w:tcPr>
          <w:p w:rsidR="00AA7B8B" w:rsidRPr="00A329C2" w:rsidP="00AA7B8B" w14:paraId="2BBB9C05" w14:textId="77777777">
            <w:pPr>
              <w:pStyle w:val="HTMLPreformatted"/>
              <w:rPr>
                <w:rFonts w:ascii="Times New Roman" w:hAnsi="Times New Roman" w:cs="Times New Roman"/>
                <w:sz w:val="24"/>
              </w:rPr>
            </w:pPr>
          </w:p>
          <w:p w:rsidR="00AA7B8B" w:rsidRPr="00A329C2" w:rsidP="00AA7B8B" w14:paraId="575D4402" w14:textId="77777777">
            <w:pPr>
              <w:pStyle w:val="HTMLPreformatted"/>
              <w:rPr>
                <w:rFonts w:ascii="Times New Roman" w:hAnsi="Times New Roman" w:cs="Times New Roman"/>
                <w:sz w:val="24"/>
              </w:rPr>
            </w:pPr>
            <w:r w:rsidRPr="00A329C2">
              <w:rPr>
                <w:rFonts w:ascii="Times New Roman" w:hAnsi="Times New Roman" w:cs="Times New Roman"/>
                <w:sz w:val="24"/>
                <w:szCs w:val="20"/>
              </w:rPr>
              <w:t>Case No. 18-0298-GA-AIR</w:t>
            </w:r>
          </w:p>
          <w:p w:rsidR="00AA7B8B" w:rsidRPr="00A329C2" w:rsidP="00AA7B8B" w14:paraId="3006D28D" w14:textId="77777777">
            <w:pPr>
              <w:pStyle w:val="HTMLPreformatted"/>
              <w:rPr>
                <w:rFonts w:ascii="Times New Roman" w:hAnsi="Times New Roman" w:cs="Times New Roman"/>
                <w:sz w:val="24"/>
              </w:rPr>
            </w:pPr>
          </w:p>
          <w:p w:rsidR="00AA7B8B" w:rsidRPr="00A329C2" w:rsidP="00AA7B8B" w14:paraId="10C82C30" w14:textId="77777777">
            <w:pPr>
              <w:pStyle w:val="HTMLPreformatted"/>
              <w:rPr>
                <w:rFonts w:ascii="Times New Roman" w:hAnsi="Times New Roman" w:cs="Times New Roman"/>
                <w:sz w:val="24"/>
              </w:rPr>
            </w:pPr>
          </w:p>
          <w:p w:rsidR="00AA7B8B" w:rsidRPr="00A329C2" w:rsidP="00AA7B8B" w14:paraId="6A53F36B" w14:textId="77777777">
            <w:pPr>
              <w:pStyle w:val="HTMLPreformatted"/>
              <w:rPr>
                <w:rFonts w:ascii="Times New Roman" w:hAnsi="Times New Roman" w:cs="Times New Roman"/>
                <w:sz w:val="24"/>
              </w:rPr>
            </w:pPr>
          </w:p>
          <w:p w:rsidR="00AA7B8B" w:rsidRPr="00A329C2" w:rsidP="00AA7B8B" w14:paraId="31AE42BD" w14:textId="77777777">
            <w:pPr>
              <w:pStyle w:val="HTMLPreformatted"/>
              <w:rPr>
                <w:rFonts w:ascii="Times New Roman" w:hAnsi="Times New Roman" w:cs="Times New Roman"/>
                <w:sz w:val="24"/>
              </w:rPr>
            </w:pPr>
            <w:r w:rsidRPr="00A329C2">
              <w:rPr>
                <w:rFonts w:ascii="Times New Roman" w:hAnsi="Times New Roman" w:cs="Times New Roman"/>
                <w:sz w:val="24"/>
                <w:szCs w:val="20"/>
              </w:rPr>
              <w:t>Case No. 18-0299-GA-ALT</w:t>
            </w:r>
          </w:p>
          <w:p w:rsidR="00AA7B8B" w:rsidRPr="00A329C2" w:rsidP="00AA7B8B" w14:paraId="05431199" w14:textId="77777777">
            <w:pPr>
              <w:pStyle w:val="HTMLPreformatted"/>
              <w:rPr>
                <w:rFonts w:ascii="Times New Roman" w:hAnsi="Times New Roman" w:cs="Times New Roman"/>
                <w:sz w:val="24"/>
              </w:rPr>
            </w:pPr>
          </w:p>
        </w:tc>
      </w:tr>
    </w:tbl>
    <w:p w:rsidR="00A46CDB" w:rsidRPr="00E666E3" w:rsidP="00AA7B8B" w14:paraId="2C94F86F"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46CDB" w:rsidRPr="00E666E3" w:rsidP="00A46CDB" w14:paraId="6A0B81CE" w14:textId="77777777">
      <w:pPr>
        <w:jc w:val="center"/>
        <w:rPr>
          <w:b/>
        </w:rPr>
      </w:pPr>
    </w:p>
    <w:p w:rsidR="00A46CDB" w:rsidRPr="00E666E3" w:rsidP="00A46CDB" w14:paraId="567FA09D" w14:textId="4AC2BC14">
      <w:pPr>
        <w:jc w:val="center"/>
        <w:rPr>
          <w:b/>
        </w:rPr>
      </w:pPr>
      <w:r>
        <w:rPr>
          <w:b/>
        </w:rPr>
        <w:t>MEMORANDUM CONTRA RESA</w:t>
      </w:r>
      <w:r w:rsidR="00834259">
        <w:rPr>
          <w:b/>
        </w:rPr>
        <w:t>’</w:t>
      </w:r>
      <w:r>
        <w:rPr>
          <w:b/>
        </w:rPr>
        <w:t xml:space="preserve">S </w:t>
      </w:r>
      <w:r w:rsidRPr="00E666E3">
        <w:rPr>
          <w:b/>
        </w:rPr>
        <w:t xml:space="preserve">APPLICATION FOR REHEARING </w:t>
      </w:r>
    </w:p>
    <w:p w:rsidR="00A46CDB" w:rsidRPr="00E666E3" w:rsidP="00A46CDB" w14:paraId="79418CA2" w14:textId="77777777">
      <w:pPr>
        <w:jc w:val="center"/>
        <w:rPr>
          <w:b/>
        </w:rPr>
      </w:pPr>
      <w:r w:rsidRPr="00E666E3">
        <w:rPr>
          <w:b/>
        </w:rPr>
        <w:t>BY</w:t>
      </w:r>
    </w:p>
    <w:p w:rsidR="00A46CDB" w:rsidRPr="00E666E3" w:rsidP="00A46CDB" w14:paraId="62BD2EBE" w14:textId="05B1AEDF">
      <w:pPr>
        <w:jc w:val="center"/>
        <w:rPr>
          <w:b/>
        </w:rPr>
      </w:pPr>
      <w:r w:rsidRPr="00E666E3">
        <w:rPr>
          <w:b/>
        </w:rPr>
        <w:t>THE OFFICE OF THE OHIO CONSUMERS</w:t>
      </w:r>
      <w:r w:rsidR="00834259">
        <w:rPr>
          <w:b/>
        </w:rPr>
        <w:t>’</w:t>
      </w:r>
      <w:r w:rsidRPr="00E666E3">
        <w:rPr>
          <w:b/>
        </w:rPr>
        <w:t xml:space="preserve"> COUNSEL </w:t>
      </w:r>
    </w:p>
    <w:p w:rsidR="00A46CDB" w:rsidRPr="00E666E3" w:rsidP="00A46CDB" w14:paraId="0EB70DA9" w14:textId="77777777">
      <w:pPr>
        <w:pBdr>
          <w:bottom w:val="single" w:sz="12" w:space="1" w:color="auto"/>
        </w:pBdr>
        <w:jc w:val="center"/>
        <w:rPr>
          <w:b/>
        </w:rPr>
      </w:pPr>
    </w:p>
    <w:p w:rsidR="00A46CDB" w:rsidRPr="00E666E3" w:rsidP="00A46CDB" w14:paraId="1F93CFAF" w14:textId="77777777">
      <w:pPr>
        <w:ind w:firstLine="48"/>
      </w:pPr>
    </w:p>
    <w:p w:rsidR="00171D46" w:rsidP="00171D46" w14:paraId="5AF03E40" w14:textId="04D02F04">
      <w:pPr>
        <w:rPr>
          <w:b/>
          <w:bCs/>
        </w:rPr>
      </w:pPr>
      <w:r>
        <w:rPr>
          <w:b/>
          <w:bCs/>
        </w:rPr>
        <w:t>I.</w:t>
      </w:r>
      <w:r>
        <w:rPr>
          <w:b/>
          <w:bCs/>
        </w:rPr>
        <w:tab/>
        <w:t>INTRODUCTION</w:t>
      </w:r>
    </w:p>
    <w:p w:rsidR="00171D46" w:rsidRPr="007938D2" w:rsidP="00171D46" w14:paraId="41A84D6C" w14:textId="77777777">
      <w:pPr>
        <w:rPr>
          <w:b/>
          <w:bCs/>
        </w:rPr>
      </w:pPr>
    </w:p>
    <w:p w:rsidR="00EA2E53" w:rsidP="00EA2E53" w14:paraId="62E8CF5B" w14:textId="4D151C85">
      <w:pPr>
        <w:spacing w:line="480" w:lineRule="auto"/>
        <w:ind w:firstLine="720"/>
      </w:pPr>
      <w:r>
        <w:t>When deciding whether to shop for utility service, consumers can have a daunting task.</w:t>
      </w:r>
      <w:r w:rsidR="00834259">
        <w:t xml:space="preserve"> </w:t>
      </w:r>
      <w:r>
        <w:t xml:space="preserve">Questions such as whether to shop, or stay with </w:t>
      </w:r>
      <w:r w:rsidR="002126E0">
        <w:t>a</w:t>
      </w:r>
      <w:r>
        <w:t xml:space="preserve"> utility, must be asked and answered.</w:t>
      </w:r>
      <w:r w:rsidR="00834259">
        <w:t xml:space="preserve"> </w:t>
      </w:r>
      <w:r>
        <w:t>If a consumer chooses to shop, many different offers must be evaluated.</w:t>
      </w:r>
      <w:r w:rsidR="00834259">
        <w:t xml:space="preserve"> </w:t>
      </w:r>
      <w:r>
        <w:t>Further, the “fine print” of marketers</w:t>
      </w:r>
      <w:r w:rsidR="00834259">
        <w:t>’</w:t>
      </w:r>
      <w:r>
        <w:t xml:space="preserve"> contracts must be considered.</w:t>
      </w:r>
      <w:r w:rsidR="00834259">
        <w:t xml:space="preserve"> </w:t>
      </w:r>
      <w:r w:rsidR="00AF4456">
        <w:t>Ohioans have many priorities for their time including family and work, that rise above trying to surmount the steep challenge of understanding and continually monitoring complicated natural gas pricing and contracts.</w:t>
      </w:r>
      <w:r w:rsidR="00834259">
        <w:t xml:space="preserve"> </w:t>
      </w:r>
      <w:r w:rsidR="00732C1D">
        <w:t>Co</w:t>
      </w:r>
      <w:r>
        <w:t xml:space="preserve">mpetition </w:t>
      </w:r>
      <w:r w:rsidR="00AF4456">
        <w:t xml:space="preserve">may provide benefits for some customers, but </w:t>
      </w:r>
      <w:r>
        <w:t>it must come with the appropriate consumer protections.</w:t>
      </w:r>
      <w:r w:rsidR="00834259">
        <w:t xml:space="preserve"> </w:t>
      </w:r>
      <w:r>
        <w:t xml:space="preserve"> </w:t>
      </w:r>
    </w:p>
    <w:p w:rsidR="004B19FB" w:rsidP="00834259" w14:paraId="1F4C31E8" w14:textId="77777777">
      <w:pPr>
        <w:spacing w:line="480" w:lineRule="auto"/>
        <w:ind w:firstLine="720"/>
        <w:sectPr w:rsidSect="004B19FB">
          <w:footerReference w:type="default" r:id="rId6"/>
          <w:pgSz w:w="12240" w:h="15840"/>
          <w:pgMar w:top="1440" w:right="1800" w:bottom="1440" w:left="1800" w:header="720" w:footer="720" w:gutter="0"/>
          <w:pgNumType w:start="2"/>
          <w:cols w:space="720"/>
          <w:docGrid w:linePitch="360"/>
        </w:sectPr>
      </w:pPr>
      <w:r>
        <w:t>The Public Utilities Commission of Ohio (“PUCO”) recognized this when it approved a Settlement in this case</w:t>
      </w:r>
      <w:r w:rsidR="00EA2E53">
        <w:t xml:space="preserve"> subject to </w:t>
      </w:r>
      <w:r w:rsidR="00AE10BA">
        <w:t>consumer protections</w:t>
      </w:r>
      <w:r w:rsidR="002126E0">
        <w:t xml:space="preserve"> outlined in its Opinion </w:t>
      </w:r>
    </w:p>
    <w:p w:rsidR="00171D46" w:rsidP="004B19FB" w14:paraId="4CC02666" w14:textId="0540BAD5">
      <w:pPr>
        <w:spacing w:line="480" w:lineRule="auto"/>
      </w:pPr>
      <w:r>
        <w:t>and Order.</w:t>
      </w:r>
      <w:r>
        <w:rPr>
          <w:rStyle w:val="FootnoteReference"/>
        </w:rPr>
        <w:footnoteReference w:id="2"/>
      </w:r>
      <w:r w:rsidR="00834259">
        <w:t xml:space="preserve"> </w:t>
      </w:r>
      <w:r>
        <w:t>Oddly, the Retail Energy Supply Association (“RESA”) – a signatory party to the Settlement – challenges the</w:t>
      </w:r>
      <w:r w:rsidR="00EA2E53">
        <w:t xml:space="preserve"> </w:t>
      </w:r>
      <w:r w:rsidR="00AB237D">
        <w:t>PUCO</w:t>
      </w:r>
      <w:r w:rsidR="00834259">
        <w:t>’</w:t>
      </w:r>
      <w:r w:rsidR="00AB237D">
        <w:t>s add</w:t>
      </w:r>
      <w:r w:rsidR="00971AB0">
        <w:t>itional</w:t>
      </w:r>
      <w:r w:rsidR="00AB237D">
        <w:t xml:space="preserve"> </w:t>
      </w:r>
      <w:r>
        <w:t>consumer</w:t>
      </w:r>
      <w:r w:rsidR="00834259">
        <w:t xml:space="preserve"> </w:t>
      </w:r>
      <w:r>
        <w:t>protections</w:t>
      </w:r>
      <w:r w:rsidR="00971AB0">
        <w:t xml:space="preserve"> that were added to the Settlement</w:t>
      </w:r>
      <w:r>
        <w:t>.</w:t>
      </w:r>
      <w:r w:rsidR="00834259">
        <w:t xml:space="preserve"> </w:t>
      </w:r>
      <w:r>
        <w:t>But</w:t>
      </w:r>
      <w:r w:rsidR="00834259">
        <w:t xml:space="preserve"> </w:t>
      </w:r>
      <w:r>
        <w:t>contrary to RESA</w:t>
      </w:r>
      <w:r w:rsidR="00834259">
        <w:t>’</w:t>
      </w:r>
      <w:r>
        <w:t>s assertions, proper documentation, openness, and transparency are important to protecting consumers and the marketplace.</w:t>
      </w:r>
      <w:r w:rsidR="00834259">
        <w:t xml:space="preserve"> </w:t>
      </w:r>
      <w:r>
        <w:t xml:space="preserve">So is </w:t>
      </w:r>
      <w:r w:rsidR="00EA2E53">
        <w:t xml:space="preserve">PUCO </w:t>
      </w:r>
      <w:r>
        <w:t>oversight of Vectren</w:t>
      </w:r>
      <w:r w:rsidR="00834259">
        <w:t>’</w:t>
      </w:r>
      <w:r>
        <w:t>s interaction with marketers.</w:t>
      </w:r>
      <w:r w:rsidRPr="002A1200">
        <w:t xml:space="preserve"> </w:t>
      </w:r>
      <w:r w:rsidR="00AE10BA">
        <w:t xml:space="preserve">Both are part and parcel of the existing regulatory construct </w:t>
      </w:r>
      <w:r w:rsidR="00AB237D">
        <w:t>that the PUCO ordered.</w:t>
      </w:r>
      <w:r w:rsidR="00834259">
        <w:t xml:space="preserve"> </w:t>
      </w:r>
      <w:r>
        <w:t>To protect Vectren</w:t>
      </w:r>
      <w:r w:rsidR="00834259">
        <w:t>’</w:t>
      </w:r>
      <w:r>
        <w:t>s nearly 324,000 customers, the Office of the Ohio Consumers</w:t>
      </w:r>
      <w:r w:rsidR="00834259">
        <w:t>’</w:t>
      </w:r>
      <w:r>
        <w:t xml:space="preserve"> Counsel (“OCC”) recommends rejecting RESA</w:t>
      </w:r>
      <w:r w:rsidR="00834259">
        <w:t>’</w:t>
      </w:r>
      <w:r>
        <w:t xml:space="preserve">s challenges to the Opinion and Order. </w:t>
      </w:r>
    </w:p>
    <w:p w:rsidR="00171D46" w:rsidP="00171D46" w14:paraId="4D004D0D" w14:textId="77777777">
      <w:pPr>
        <w:ind w:firstLine="720"/>
      </w:pPr>
    </w:p>
    <w:p w:rsidR="00171D46" w:rsidP="00171D46" w14:paraId="114FDE7D" w14:textId="77777777">
      <w:pPr>
        <w:rPr>
          <w:b/>
          <w:bCs/>
        </w:rPr>
      </w:pPr>
      <w:r>
        <w:rPr>
          <w:b/>
          <w:bCs/>
        </w:rPr>
        <w:t>II.</w:t>
      </w:r>
      <w:r>
        <w:rPr>
          <w:b/>
          <w:bCs/>
        </w:rPr>
        <w:tab/>
        <w:t>BACKGROUND</w:t>
      </w:r>
    </w:p>
    <w:p w:rsidR="00171D46" w:rsidRPr="007938D2" w:rsidP="00171D46" w14:paraId="028DF52B" w14:textId="5FBF8F84">
      <w:pPr>
        <w:rPr>
          <w:b/>
          <w:bCs/>
        </w:rPr>
      </w:pPr>
    </w:p>
    <w:p w:rsidR="00171D46" w:rsidP="00171D46" w14:paraId="1B032B7F" w14:textId="174E87B8">
      <w:pPr>
        <w:spacing w:line="480" w:lineRule="auto"/>
        <w:ind w:firstLine="720"/>
      </w:pPr>
      <w:r>
        <w:t>RESA asserts seven errors in its Application for Rehearing.</w:t>
      </w:r>
      <w:r>
        <w:rPr>
          <w:rStyle w:val="FootnoteReference"/>
        </w:rPr>
        <w:footnoteReference w:id="3"/>
      </w:r>
      <w:r w:rsidR="00834259">
        <w:t xml:space="preserve"> </w:t>
      </w:r>
      <w:r>
        <w:t>They relate to the conditions that apply (consumer protections) when Vectren Energy Delivery Ohio, Inc. (“Vectren”) transfers customers</w:t>
      </w:r>
      <w:r w:rsidR="00834259">
        <w:t>’</w:t>
      </w:r>
      <w:r>
        <w:t xml:space="preserve"> phone calls to the Standard Choice Offer (“SCO”) marketer listed on customers</w:t>
      </w:r>
      <w:r w:rsidR="00834259">
        <w:t>’</w:t>
      </w:r>
      <w:r>
        <w:t xml:space="preserve"> bills.</w:t>
      </w:r>
      <w:r>
        <w:rPr>
          <w:rStyle w:val="FootnoteReference"/>
        </w:rPr>
        <w:footnoteReference w:id="4"/>
      </w:r>
      <w:r>
        <w:t xml:space="preserve"> They also relate to specific items (consumer protections) that Vectren must include in its application if it choose</w:t>
      </w:r>
      <w:r w:rsidR="0045285A">
        <w:t>s</w:t>
      </w:r>
      <w:r>
        <w:t xml:space="preserve"> to try and implement a so-called “Top 25% List” program.</w:t>
      </w:r>
      <w:r>
        <w:rPr>
          <w:rStyle w:val="FootnoteReference"/>
        </w:rPr>
        <w:footnoteReference w:id="5"/>
      </w:r>
      <w:r w:rsidR="00834259">
        <w:t xml:space="preserve"> </w:t>
      </w:r>
      <w:r>
        <w:t>The seven assignments of error are:</w:t>
      </w:r>
      <w:r w:rsidR="00834259">
        <w:t xml:space="preserve"> </w:t>
      </w:r>
    </w:p>
    <w:p w:rsidR="00171D46" w:rsidP="00171D46" w14:paraId="63A85571" w14:textId="5E73507E">
      <w:pPr>
        <w:ind w:left="720"/>
      </w:pPr>
      <w:r>
        <w:t>Assignment of Error 1.</w:t>
      </w:r>
      <w:r w:rsidR="00834259">
        <w:t xml:space="preserve"> </w:t>
      </w:r>
      <w:r>
        <w:t>RESA asserts that the PUCO unreasonably and unlawfully stated in its August 28, 2019 decision that it was not modifying Section 15(b) and Section 15(e).</w:t>
      </w:r>
    </w:p>
    <w:p w:rsidR="002126E0" w:rsidP="00171D46" w14:paraId="310D94D0" w14:textId="77777777">
      <w:pPr>
        <w:ind w:left="720"/>
      </w:pPr>
    </w:p>
    <w:p w:rsidR="00171D46" w:rsidP="00171D46" w14:paraId="4BE2CAA2" w14:textId="77777777">
      <w:pPr>
        <w:autoSpaceDE w:val="0"/>
        <w:autoSpaceDN w:val="0"/>
        <w:adjustRightInd w:val="0"/>
        <w:ind w:left="720"/>
      </w:pPr>
      <w:r>
        <w:t>Assignment of Error 2. RESA claims the PUCO unreasonably and unlawfully modified the stipulated terms in Section 15(b) of the Stipulation related to calls transferred to SCO suppliers by imposing numerous terms and obligations.</w:t>
      </w:r>
    </w:p>
    <w:p w:rsidR="00834259" w14:paraId="568488FC" w14:textId="52F19D68">
      <w:r>
        <w:br w:type="page"/>
      </w:r>
    </w:p>
    <w:p w:rsidR="00171D46" w:rsidP="00171D46" w14:paraId="3588071C" w14:textId="77777777">
      <w:pPr>
        <w:autoSpaceDE w:val="0"/>
        <w:autoSpaceDN w:val="0"/>
        <w:adjustRightInd w:val="0"/>
        <w:ind w:firstLine="720"/>
      </w:pPr>
      <w:r>
        <w:t>Assignment of Error 3. RESA alleges that recordkeeping and reporting</w:t>
      </w:r>
    </w:p>
    <w:p w:rsidR="00171D46" w:rsidP="00171D46" w14:paraId="3E8595AA" w14:textId="72CAA473">
      <w:pPr>
        <w:autoSpaceDE w:val="0"/>
        <w:autoSpaceDN w:val="0"/>
        <w:adjustRightInd w:val="0"/>
        <w:ind w:left="720"/>
      </w:pPr>
      <w:r>
        <w:t>requirements on SCO suppliers related to the transfer of calls from Vectren is unreasonable and unlawful because it is contrary to Ohio</w:t>
      </w:r>
      <w:r w:rsidR="00834259">
        <w:t>’</w:t>
      </w:r>
      <w:r>
        <w:t xml:space="preserve"> statutory natural gas policy and will undermine the competitive market.</w:t>
      </w:r>
    </w:p>
    <w:p w:rsidR="00171D46" w:rsidP="00171D46" w14:paraId="25CB6217" w14:textId="77777777">
      <w:pPr>
        <w:autoSpaceDE w:val="0"/>
        <w:autoSpaceDN w:val="0"/>
        <w:adjustRightInd w:val="0"/>
        <w:ind w:left="720"/>
      </w:pPr>
    </w:p>
    <w:p w:rsidR="00171D46" w:rsidP="00171D46" w14:paraId="067EE334" w14:textId="0827987E">
      <w:pPr>
        <w:autoSpaceDE w:val="0"/>
        <w:autoSpaceDN w:val="0"/>
        <w:adjustRightInd w:val="0"/>
        <w:ind w:left="720"/>
      </w:pPr>
      <w:r>
        <w:t>Assignment of Error 4.</w:t>
      </w:r>
      <w:r w:rsidR="00834259">
        <w:t xml:space="preserve"> </w:t>
      </w:r>
      <w:r>
        <w:t>RESA argues that it is unreasonably and unlawful for the PUCO to pre-determine the terms and conditions that must be included in the required application to amend Vectren</w:t>
      </w:r>
      <w:r w:rsidR="00834259">
        <w:t>’</w:t>
      </w:r>
      <w:r>
        <w:t>s supplier coordination tariff related to the transfer of calls to SCO suppliers.</w:t>
      </w:r>
    </w:p>
    <w:p w:rsidR="00171D46" w:rsidP="00171D46" w14:paraId="4CDEE302" w14:textId="77777777">
      <w:pPr>
        <w:autoSpaceDE w:val="0"/>
        <w:autoSpaceDN w:val="0"/>
        <w:adjustRightInd w:val="0"/>
        <w:ind w:left="720"/>
      </w:pPr>
    </w:p>
    <w:p w:rsidR="00171D46" w:rsidP="00171D46" w14:paraId="1DB7A882" w14:textId="2EC29005">
      <w:pPr>
        <w:autoSpaceDE w:val="0"/>
        <w:autoSpaceDN w:val="0"/>
        <w:adjustRightInd w:val="0"/>
        <w:ind w:left="720"/>
      </w:pPr>
      <w:r>
        <w:t>Assignment of Error 5.</w:t>
      </w:r>
      <w:r w:rsidR="00834259">
        <w:t xml:space="preserve"> </w:t>
      </w:r>
      <w:r>
        <w:t>RESA claims that the PUCO</w:t>
      </w:r>
      <w:r w:rsidR="00834259">
        <w:t>’</w:t>
      </w:r>
      <w:r w:rsidR="00755622">
        <w:t>s</w:t>
      </w:r>
      <w:r>
        <w:t xml:space="preserve"> modification of the stipulated terms in Section 15(e) of the Stipulation related to the Top 25% List was unreasonable and unlawful because the modification was based solely on speculation, without record support and manifestly against the weight of the evidence in the record.</w:t>
      </w:r>
    </w:p>
    <w:p w:rsidR="00171D46" w:rsidP="00171D46" w14:paraId="29C84278" w14:textId="77777777">
      <w:pPr>
        <w:autoSpaceDE w:val="0"/>
        <w:autoSpaceDN w:val="0"/>
        <w:adjustRightInd w:val="0"/>
        <w:ind w:left="720"/>
      </w:pPr>
    </w:p>
    <w:p w:rsidR="00171D46" w:rsidP="00171D46" w14:paraId="02AAB4C3" w14:textId="3D24F79F">
      <w:pPr>
        <w:autoSpaceDE w:val="0"/>
        <w:autoSpaceDN w:val="0"/>
        <w:adjustRightInd w:val="0"/>
        <w:ind w:left="720"/>
      </w:pPr>
      <w:r>
        <w:t>Assignment of Error 6.</w:t>
      </w:r>
      <w:r w:rsidR="00834259">
        <w:t xml:space="preserve"> </w:t>
      </w:r>
      <w:r>
        <w:t>According to RESA, the PUCO unreasonably and unlawfully pre-determined the terms and conditions that must be included in the required application to amend Vectren</w:t>
      </w:r>
      <w:r w:rsidR="00834259">
        <w:t>’</w:t>
      </w:r>
      <w:r>
        <w:t>s supplier coordination tariff related to the implementation of the Top 25% List.</w:t>
      </w:r>
    </w:p>
    <w:p w:rsidR="00171D46" w:rsidP="00171D46" w14:paraId="69E55509" w14:textId="77777777">
      <w:pPr>
        <w:autoSpaceDE w:val="0"/>
        <w:autoSpaceDN w:val="0"/>
        <w:adjustRightInd w:val="0"/>
        <w:ind w:left="720"/>
      </w:pPr>
    </w:p>
    <w:p w:rsidR="00171D46" w:rsidP="00171D46" w14:paraId="1DFC1CF4" w14:textId="7BD3CCA7">
      <w:pPr>
        <w:autoSpaceDE w:val="0"/>
        <w:autoSpaceDN w:val="0"/>
        <w:adjustRightInd w:val="0"/>
        <w:ind w:left="720"/>
      </w:pPr>
      <w:r>
        <w:t>Assignment of Error 7.</w:t>
      </w:r>
      <w:r w:rsidR="00834259">
        <w:t xml:space="preserve"> </w:t>
      </w:r>
      <w:r>
        <w:t>The PUCO modifications to Section 15(e) of the Stipulation are contrary to Ohio</w:t>
      </w:r>
      <w:r w:rsidR="00834259">
        <w:t>’</w:t>
      </w:r>
      <w:r>
        <w:t>s statutory natural gas policy as they undermine the development of the competitive market.</w:t>
      </w:r>
    </w:p>
    <w:p w:rsidR="002126E0" w:rsidP="002126E0" w14:paraId="7701FA64" w14:textId="21EFC8FD">
      <w:pPr>
        <w:autoSpaceDE w:val="0"/>
        <w:autoSpaceDN w:val="0"/>
        <w:adjustRightInd w:val="0"/>
      </w:pPr>
    </w:p>
    <w:p w:rsidR="002126E0" w:rsidP="002126E0" w14:paraId="06FE52BA" w14:textId="057AF977">
      <w:pPr>
        <w:autoSpaceDE w:val="0"/>
        <w:autoSpaceDN w:val="0"/>
        <w:adjustRightInd w:val="0"/>
        <w:spacing w:line="480" w:lineRule="auto"/>
      </w:pPr>
      <w:r>
        <w:tab/>
        <w:t>These assignments of error are without merit and should be rejected.</w:t>
      </w:r>
      <w:r w:rsidR="00834259">
        <w:t xml:space="preserve"> </w:t>
      </w:r>
      <w:r>
        <w:t xml:space="preserve">The consumer protections in the Opinion and Order are </w:t>
      </w:r>
      <w:r w:rsidR="00AB237D">
        <w:t xml:space="preserve">lawful and reasonable and </w:t>
      </w:r>
      <w:r>
        <w:t>necessary</w:t>
      </w:r>
      <w:r w:rsidR="00AB237D">
        <w:t xml:space="preserve"> to protect customers</w:t>
      </w:r>
      <w:r>
        <w:t>.</w:t>
      </w:r>
      <w:r w:rsidR="00834259">
        <w:t xml:space="preserve"> </w:t>
      </w:r>
      <w:r>
        <w:t xml:space="preserve">They flow directly from the statutory grant </w:t>
      </w:r>
      <w:r w:rsidR="0045285A">
        <w:t xml:space="preserve">to the PUCO </w:t>
      </w:r>
      <w:r>
        <w:t>of general supervisory authority over public utilities.</w:t>
      </w:r>
    </w:p>
    <w:p w:rsidR="00171D46" w:rsidP="00171D46" w14:paraId="6BEF8F95" w14:textId="77777777">
      <w:pPr>
        <w:autoSpaceDE w:val="0"/>
        <w:autoSpaceDN w:val="0"/>
        <w:adjustRightInd w:val="0"/>
      </w:pPr>
    </w:p>
    <w:p w:rsidR="00171D46" w:rsidP="00171D46" w14:paraId="028174A9" w14:textId="7520D0DB">
      <w:pPr>
        <w:rPr>
          <w:b/>
          <w:bCs/>
        </w:rPr>
      </w:pPr>
      <w:r>
        <w:rPr>
          <w:b/>
          <w:bCs/>
        </w:rPr>
        <w:t>III.</w:t>
      </w:r>
      <w:r>
        <w:rPr>
          <w:b/>
          <w:bCs/>
        </w:rPr>
        <w:tab/>
      </w:r>
      <w:r w:rsidR="00987A72">
        <w:rPr>
          <w:b/>
          <w:bCs/>
        </w:rPr>
        <w:t>RECOMMENDATIONS</w:t>
      </w:r>
    </w:p>
    <w:p w:rsidR="00171D46" w:rsidRPr="00CC3B37" w:rsidP="00171D46" w14:paraId="3F2045D2" w14:textId="77777777">
      <w:pPr>
        <w:rPr>
          <w:b/>
          <w:bCs/>
        </w:rPr>
      </w:pPr>
    </w:p>
    <w:p w:rsidR="00171D46" w:rsidP="00171D46" w14:paraId="3B653117" w14:textId="692D93EB">
      <w:pPr>
        <w:spacing w:line="480" w:lineRule="auto"/>
        <w:ind w:firstLine="720"/>
      </w:pPr>
      <w:r>
        <w:t>All seven of RESA</w:t>
      </w:r>
      <w:r w:rsidR="00834259">
        <w:t>’</w:t>
      </w:r>
      <w:r>
        <w:t>s assignments of error involve what RESA claims are PUCO modifications to sections 15(b) and 15(e) of the Settlement.</w:t>
      </w:r>
      <w:r>
        <w:rPr>
          <w:rStyle w:val="FootnoteReference"/>
        </w:rPr>
        <w:footnoteReference w:id="6"/>
      </w:r>
      <w:r w:rsidR="00834259">
        <w:t xml:space="preserve"> </w:t>
      </w:r>
      <w:r>
        <w:t>Section 15(b) of the Settlement involves customer calls that Vectren transfers to SCO marketers.</w:t>
      </w:r>
      <w:r>
        <w:rPr>
          <w:rStyle w:val="FootnoteReference"/>
        </w:rPr>
        <w:footnoteReference w:id="7"/>
      </w:r>
      <w:r>
        <w:t xml:space="preserve"> Section 15(e) involves a future application that Vectren may file to provide to marketers a list of shopping customers who are paying the highest 25% of marketer rates.</w:t>
      </w:r>
      <w:r>
        <w:rPr>
          <w:rStyle w:val="FootnoteReference"/>
        </w:rPr>
        <w:footnoteReference w:id="8"/>
      </w:r>
      <w:r w:rsidR="00834259">
        <w:t xml:space="preserve"> </w:t>
      </w:r>
      <w:r>
        <w:t>According to RESA, the PUCO has imposed additional terms in the Settlement that are unreasonable or unlawful.</w:t>
      </w:r>
      <w:r>
        <w:rPr>
          <w:rStyle w:val="FootnoteReference"/>
        </w:rPr>
        <w:footnoteReference w:id="9"/>
      </w:r>
      <w:r w:rsidR="00834259">
        <w:t xml:space="preserve"> </w:t>
      </w:r>
      <w:r>
        <w:t>RESA is wrong.</w:t>
      </w:r>
      <w:r w:rsidR="00834259">
        <w:t xml:space="preserve"> </w:t>
      </w:r>
      <w:r w:rsidR="002126E0">
        <w:t>The PUCO</w:t>
      </w:r>
      <w:r w:rsidR="00834259">
        <w:t>’</w:t>
      </w:r>
      <w:r w:rsidR="002126E0">
        <w:t>s terms are reasonable, lawful, and necessary to protecting consumers.</w:t>
      </w:r>
      <w:r w:rsidRPr="00AE10BA" w:rsidR="00AE10BA">
        <w:t xml:space="preserve"> </w:t>
      </w:r>
      <w:r w:rsidR="00AE10BA">
        <w:t>They flow directly from the statutory grant of general supervisory authority over public utilities to the PUCO.</w:t>
      </w:r>
    </w:p>
    <w:p w:rsidR="00171D46" w:rsidRPr="00CC3B37" w:rsidP="00171D46" w14:paraId="341913F4" w14:textId="081B01DE">
      <w:pPr>
        <w:pStyle w:val="ListParagraph"/>
        <w:numPr>
          <w:ilvl w:val="0"/>
          <w:numId w:val="21"/>
        </w:numPr>
        <w:spacing w:after="200" w:line="276" w:lineRule="auto"/>
        <w:ind w:left="1440" w:hanging="720"/>
        <w:rPr>
          <w:b/>
          <w:bCs/>
        </w:rPr>
      </w:pPr>
      <w:r w:rsidRPr="00CC3B37">
        <w:rPr>
          <w:b/>
          <w:bCs/>
        </w:rPr>
        <w:t>RESA</w:t>
      </w:r>
      <w:r w:rsidR="00834259">
        <w:rPr>
          <w:b/>
          <w:bCs/>
        </w:rPr>
        <w:t>’</w:t>
      </w:r>
      <w:r w:rsidRPr="00CC3B37">
        <w:rPr>
          <w:b/>
          <w:bCs/>
        </w:rPr>
        <w:t xml:space="preserve">s application for rehearing should be rejected because proper record-keeping, openness, and transparency are </w:t>
      </w:r>
      <w:r w:rsidR="00AF081A">
        <w:rPr>
          <w:b/>
          <w:bCs/>
        </w:rPr>
        <w:t xml:space="preserve">reasonable conditions and provide </w:t>
      </w:r>
      <w:r w:rsidRPr="00CC3B37">
        <w:rPr>
          <w:b/>
          <w:bCs/>
        </w:rPr>
        <w:t xml:space="preserve">important consumer protections. </w:t>
      </w:r>
    </w:p>
    <w:p w:rsidR="00171D46" w:rsidP="00171D46" w14:paraId="411F44E4" w14:textId="23286944">
      <w:pPr>
        <w:spacing w:line="480" w:lineRule="auto"/>
        <w:ind w:firstLine="720"/>
      </w:pPr>
      <w:r>
        <w:t>Under R.C. 4905.06, the PUCO has general supervisory authority over public utilities to protect the public and to ensure compliance with all laws, rules, and orders.</w:t>
      </w:r>
      <w:r>
        <w:rPr>
          <w:rStyle w:val="FootnoteReference"/>
        </w:rPr>
        <w:footnoteReference w:id="10"/>
      </w:r>
      <w:r w:rsidR="00834259">
        <w:t xml:space="preserve"> </w:t>
      </w:r>
      <w:r>
        <w:t>This includes overseeing and supervising the auction process that is used to establish Vectren</w:t>
      </w:r>
      <w:r w:rsidR="00834259">
        <w:t>’</w:t>
      </w:r>
      <w:r>
        <w:t>s competitive SCO rate.</w:t>
      </w:r>
      <w:r>
        <w:rPr>
          <w:rStyle w:val="FootnoteReference"/>
        </w:rPr>
        <w:footnoteReference w:id="11"/>
      </w:r>
      <w:r>
        <w:t xml:space="preserve"> It includes overseeing and supervising Vectren</w:t>
      </w:r>
      <w:r w:rsidR="00834259">
        <w:t>’</w:t>
      </w:r>
      <w:r>
        <w:t>s call center and the manner in which Vectren interacts with its customers.</w:t>
      </w:r>
      <w:r>
        <w:rPr>
          <w:rStyle w:val="FootnoteReference"/>
        </w:rPr>
        <w:footnoteReference w:id="12"/>
      </w:r>
      <w:r w:rsidR="00834259">
        <w:t xml:space="preserve"> </w:t>
      </w:r>
      <w:r>
        <w:t>Further, the PUCO oversees and supervises natural gas marketers through minimum consumer protection rules regarding the marketing, solicitation, sales practices, enrollment, and billing for retail natural gas service.</w:t>
      </w:r>
      <w:r>
        <w:rPr>
          <w:rStyle w:val="FootnoteReference"/>
        </w:rPr>
        <w:footnoteReference w:id="13"/>
      </w:r>
      <w:r w:rsidR="00834259">
        <w:t xml:space="preserve"> </w:t>
      </w:r>
    </w:p>
    <w:p w:rsidR="00D9018A" w:rsidP="00171D46" w14:paraId="72C41AE1" w14:textId="1FC3D827">
      <w:pPr>
        <w:spacing w:line="480" w:lineRule="auto"/>
        <w:ind w:firstLine="720"/>
      </w:pPr>
      <w:r>
        <w:t>Consistent with its authority, the PUCO said that consumer protections were necessary to the Settlement</w:t>
      </w:r>
      <w:r w:rsidR="00834259">
        <w:t>’</w:t>
      </w:r>
      <w:r>
        <w:t>s provision (15(b)) regarding Vectren transferring calls to SCO marketers.</w:t>
      </w:r>
      <w:r w:rsidR="00834259">
        <w:t xml:space="preserve"> </w:t>
      </w:r>
      <w:r>
        <w:t>Vectren must:</w:t>
      </w:r>
    </w:p>
    <w:p w:rsidR="00D9018A" w:rsidP="00ED2957" w14:paraId="347DA8B7" w14:textId="5F474B44">
      <w:pPr>
        <w:pStyle w:val="ListParagraph"/>
        <w:numPr>
          <w:ilvl w:val="0"/>
          <w:numId w:val="22"/>
        </w:numPr>
        <w:spacing w:line="480" w:lineRule="auto"/>
        <w:ind w:left="2160" w:hanging="720"/>
      </w:pPr>
      <w:r>
        <w:t>Log all calls transferred to an SCO marketer;</w:t>
      </w:r>
    </w:p>
    <w:p w:rsidR="00D9018A" w:rsidP="00ED2957" w14:paraId="4D1F5887" w14:textId="31C64E58">
      <w:pPr>
        <w:pStyle w:val="ListParagraph"/>
        <w:numPr>
          <w:ilvl w:val="0"/>
          <w:numId w:val="22"/>
        </w:numPr>
        <w:ind w:left="2160" w:hanging="720"/>
      </w:pPr>
      <w:r>
        <w:t>Provide PUCO Staff with quarterly reports of all calls transferred to SCO marketers;</w:t>
      </w:r>
    </w:p>
    <w:p w:rsidR="00D9018A" w:rsidP="00ED2957" w14:paraId="1FB853D2" w14:textId="77777777">
      <w:pPr>
        <w:pStyle w:val="ListParagraph"/>
        <w:ind w:left="2160" w:hanging="720"/>
      </w:pPr>
    </w:p>
    <w:p w:rsidR="00D9018A" w:rsidP="00ED2957" w14:paraId="3163EBB5" w14:textId="793BA41D">
      <w:pPr>
        <w:pStyle w:val="ListParagraph"/>
        <w:numPr>
          <w:ilvl w:val="0"/>
          <w:numId w:val="22"/>
        </w:numPr>
        <w:ind w:left="2160" w:hanging="720"/>
      </w:pPr>
      <w:r>
        <w:t>File an application to amend its supplier coordination tariff to require SCO marketers to maintain records of customer sales though a transferred call and to provide monthly reports to Vectren of those sales; and</w:t>
      </w:r>
    </w:p>
    <w:p w:rsidR="00D9018A" w:rsidP="00ED2957" w14:paraId="0013ED31" w14:textId="77777777">
      <w:pPr>
        <w:pStyle w:val="ListParagraph"/>
        <w:ind w:left="2160" w:hanging="720"/>
      </w:pPr>
    </w:p>
    <w:p w:rsidR="00D9018A" w:rsidP="00ED2957" w14:paraId="65CA4588" w14:textId="7D746E8F">
      <w:pPr>
        <w:pStyle w:val="ListParagraph"/>
        <w:numPr>
          <w:ilvl w:val="0"/>
          <w:numId w:val="22"/>
        </w:numPr>
        <w:ind w:left="2160" w:hanging="720"/>
      </w:pPr>
      <w:r>
        <w:t>Submit quarterly reports to PUCO Staff summarizing the number of sales made each quarter by SCO marketers.</w:t>
      </w:r>
      <w:r>
        <w:rPr>
          <w:rStyle w:val="FootnoteReference"/>
        </w:rPr>
        <w:footnoteReference w:id="14"/>
      </w:r>
    </w:p>
    <w:p w:rsidR="00ED2957" w:rsidP="00ED2957" w14:paraId="60AF6D52" w14:textId="77777777">
      <w:pPr>
        <w:ind w:firstLine="720"/>
      </w:pPr>
    </w:p>
    <w:p w:rsidR="00D9018A" w:rsidP="00171D46" w14:paraId="4BD8F567" w14:textId="4DF8F7E4">
      <w:pPr>
        <w:spacing w:line="480" w:lineRule="auto"/>
        <w:ind w:firstLine="720"/>
      </w:pPr>
      <w:r>
        <w:t>RESA</w:t>
      </w:r>
      <w:r w:rsidR="00834259">
        <w:t>’</w:t>
      </w:r>
      <w:r>
        <w:t xml:space="preserve">s argument that Vectren should not have to maintain records of calls that are transferred to an SCO marketer flies in the face of the basic regulatory obligations </w:t>
      </w:r>
      <w:r w:rsidR="00595F51">
        <w:t>with which</w:t>
      </w:r>
      <w:r>
        <w:t xml:space="preserve"> Vectren </w:t>
      </w:r>
      <w:r w:rsidR="00595F51">
        <w:t xml:space="preserve">already </w:t>
      </w:r>
      <w:r>
        <w:t>has to comply.</w:t>
      </w:r>
      <w:r w:rsidR="00834259">
        <w:t xml:space="preserve"> </w:t>
      </w:r>
      <w:r>
        <w:t>For example, Vectren has to maintain records regarding its interaction with consumers.</w:t>
      </w:r>
      <w:r>
        <w:rPr>
          <w:rStyle w:val="FootnoteReference"/>
        </w:rPr>
        <w:footnoteReference w:id="15"/>
      </w:r>
      <w:r>
        <w:t xml:space="preserve"> This is extremely important because the PUCO has the obligation to ensure that Vectren is providing consumers with adequate, reliable, and reasonably priced natural gas services.</w:t>
      </w:r>
      <w:r>
        <w:rPr>
          <w:rStyle w:val="FootnoteReference"/>
        </w:rPr>
        <w:footnoteReference w:id="16"/>
      </w:r>
      <w:r>
        <w:t xml:space="preserve"> Additionally, Vectren is responsible for maintaining records so that the PUCO can evaluate customer calls to Vectren.</w:t>
      </w:r>
      <w:r>
        <w:rPr>
          <w:rStyle w:val="FootnoteReference"/>
        </w:rPr>
        <w:footnoteReference w:id="17"/>
      </w:r>
      <w:r w:rsidR="00834259">
        <w:t xml:space="preserve"> </w:t>
      </w:r>
      <w:r w:rsidR="00AE10BA">
        <w:t>The record keeping in connection with call transfers from Vectren to SCO marketers is consistent with Vectren</w:t>
      </w:r>
      <w:r w:rsidR="00834259">
        <w:t>’</w:t>
      </w:r>
      <w:r w:rsidR="00AE10BA">
        <w:t>s overall record keeping responsibilities and the PUCO</w:t>
      </w:r>
      <w:r w:rsidR="00834259">
        <w:t>’</w:t>
      </w:r>
      <w:r w:rsidR="00AE10BA">
        <w:t>s general supervisory authority over public utilities to protect the public and to ensure compliance with all laws, rules, and orders.</w:t>
      </w:r>
      <w:r>
        <w:rPr>
          <w:rStyle w:val="FootnoteReference"/>
        </w:rPr>
        <w:footnoteReference w:id="18"/>
      </w:r>
      <w:r w:rsidR="00834259">
        <w:t xml:space="preserve"> </w:t>
      </w:r>
      <w:r w:rsidR="00732C1D">
        <w:t>The PUCO</w:t>
      </w:r>
      <w:r w:rsidR="00834259">
        <w:t>’</w:t>
      </w:r>
      <w:r w:rsidR="00732C1D">
        <w:t>s Opinion and Order is reasonable and lawful.</w:t>
      </w:r>
    </w:p>
    <w:p w:rsidR="00595F51" w:rsidP="00171D46" w14:paraId="3F9E6619" w14:textId="1E358849">
      <w:pPr>
        <w:spacing w:line="480" w:lineRule="auto"/>
        <w:ind w:firstLine="720"/>
      </w:pPr>
      <w:r>
        <w:t xml:space="preserve">Consumer protection requires more than what RESA would have it </w:t>
      </w:r>
      <w:r w:rsidR="0045285A">
        <w:t xml:space="preserve">be </w:t>
      </w:r>
      <w:r>
        <w:t xml:space="preserve">– record keeping for nearly all calls from consumers to their utilities, but </w:t>
      </w:r>
      <w:r w:rsidRPr="0005066B">
        <w:rPr>
          <w:i/>
          <w:iCs/>
        </w:rPr>
        <w:t>not</w:t>
      </w:r>
      <w:r>
        <w:t xml:space="preserve"> calls where the caller is being transferred to an SCO marketer.</w:t>
      </w:r>
      <w:r w:rsidR="00834259">
        <w:t xml:space="preserve"> </w:t>
      </w:r>
      <w:r>
        <w:t>The PUCO</w:t>
      </w:r>
      <w:r w:rsidR="00834259">
        <w:t>’</w:t>
      </w:r>
      <w:r>
        <w:t xml:space="preserve">s general supervisory authority extends to </w:t>
      </w:r>
      <w:r w:rsidRPr="0005066B">
        <w:rPr>
          <w:i/>
          <w:iCs/>
        </w:rPr>
        <w:t>all</w:t>
      </w:r>
      <w:r>
        <w:t xml:space="preserve"> aspects of customer interaction in receiving utility service – including customer interaction with SCO marketers.</w:t>
      </w:r>
      <w:r>
        <w:rPr>
          <w:rStyle w:val="FootnoteReference"/>
        </w:rPr>
        <w:footnoteReference w:id="19"/>
      </w:r>
      <w:r w:rsidR="00834259">
        <w:t xml:space="preserve"> </w:t>
      </w:r>
      <w:r>
        <w:t>That authority is important to protecting consumers.</w:t>
      </w:r>
      <w:r w:rsidR="00834259">
        <w:t xml:space="preserve"> </w:t>
      </w:r>
      <w:r>
        <w:t>RESA</w:t>
      </w:r>
      <w:r w:rsidR="00834259">
        <w:t>’</w:t>
      </w:r>
      <w:r>
        <w:t>s opposition to Vectren maintaining records of calls transferred to SCO marketers hurts the openness and transparency in the marketplace necessary to protect consumers.</w:t>
      </w:r>
      <w:r>
        <w:rPr>
          <w:rStyle w:val="FootnoteReference"/>
        </w:rPr>
        <w:footnoteReference w:id="20"/>
      </w:r>
      <w:r w:rsidR="00834259">
        <w:t xml:space="preserve"> </w:t>
      </w:r>
      <w:r>
        <w:t>It is contrary to the law.</w:t>
      </w:r>
      <w:r>
        <w:rPr>
          <w:rStyle w:val="FootnoteReference"/>
        </w:rPr>
        <w:footnoteReference w:id="21"/>
      </w:r>
      <w:r>
        <w:t xml:space="preserve"> </w:t>
      </w:r>
    </w:p>
    <w:p w:rsidR="00171D46" w:rsidP="00171D46" w14:paraId="67A2C315" w14:textId="2A99053E">
      <w:pPr>
        <w:spacing w:line="480" w:lineRule="auto"/>
        <w:ind w:firstLine="720"/>
      </w:pPr>
      <w:r>
        <w:t>The PUCO should not adopt RESA</w:t>
      </w:r>
      <w:r w:rsidR="00834259">
        <w:t>’</w:t>
      </w:r>
      <w:r>
        <w:t>s piecemeal approach to consumer protection.</w:t>
      </w:r>
      <w:r w:rsidR="00834259">
        <w:t xml:space="preserve"> </w:t>
      </w:r>
      <w:r w:rsidR="00595F51">
        <w:t>It should affirm its Opinion and Order</w:t>
      </w:r>
      <w:r w:rsidR="00732C1D">
        <w:t>, which was reasonable and lawful,</w:t>
      </w:r>
      <w:r w:rsidR="00595F51">
        <w:t xml:space="preserve"> so that it can obtain the records necessary to confirm that the public is being protected and that all laws, rules, and orders are being complied with.</w:t>
      </w:r>
    </w:p>
    <w:p w:rsidR="00171D46" w:rsidRPr="00CC3B37" w:rsidP="00171D46" w14:paraId="55BE48F0" w14:textId="5D20B2D3">
      <w:pPr>
        <w:pStyle w:val="ListParagraph"/>
        <w:numPr>
          <w:ilvl w:val="0"/>
          <w:numId w:val="21"/>
        </w:numPr>
        <w:spacing w:after="200" w:line="276" w:lineRule="auto"/>
        <w:ind w:left="1440" w:hanging="720"/>
        <w:rPr>
          <w:b/>
          <w:bCs/>
        </w:rPr>
      </w:pPr>
      <w:r w:rsidRPr="00CC3B37">
        <w:rPr>
          <w:b/>
          <w:bCs/>
        </w:rPr>
        <w:t>RESA</w:t>
      </w:r>
      <w:r w:rsidR="00834259">
        <w:rPr>
          <w:b/>
          <w:bCs/>
        </w:rPr>
        <w:t>’</w:t>
      </w:r>
      <w:r w:rsidRPr="00CC3B37">
        <w:rPr>
          <w:b/>
          <w:bCs/>
        </w:rPr>
        <w:t>s application for rehearing should be rejected because consumer protections regarding the so-called “Top 25% List” are necessary</w:t>
      </w:r>
      <w:r w:rsidR="00AF081A">
        <w:rPr>
          <w:b/>
          <w:bCs/>
        </w:rPr>
        <w:t>, reasonable and lawful</w:t>
      </w:r>
      <w:r w:rsidRPr="00CC3B37">
        <w:rPr>
          <w:b/>
          <w:bCs/>
        </w:rPr>
        <w:t xml:space="preserve">. </w:t>
      </w:r>
    </w:p>
    <w:p w:rsidR="00595F51" w:rsidP="00171D46" w14:paraId="68AB0255" w14:textId="567FEB58">
      <w:pPr>
        <w:spacing w:line="480" w:lineRule="auto"/>
        <w:ind w:firstLine="720"/>
      </w:pPr>
      <w:r>
        <w:t>RESA argues that the PUCO unreasonably and unlawfully modified Section 15(e) of the Settlement by requiring that certain consumer protections be included in any future application by Vectren to implement a “Top 25% List” program.</w:t>
      </w:r>
      <w:r>
        <w:rPr>
          <w:rStyle w:val="FootnoteReference"/>
        </w:rPr>
        <w:footnoteReference w:id="22"/>
      </w:r>
      <w:r w:rsidR="00834259">
        <w:t xml:space="preserve"> </w:t>
      </w:r>
      <w:r>
        <w:t xml:space="preserve">Those consumer protections </w:t>
      </w:r>
      <w:r w:rsidR="00185280">
        <w:t>involve Vectren filing an application to amend its marketer tariff and</w:t>
      </w:r>
      <w:r>
        <w:t>:</w:t>
      </w:r>
    </w:p>
    <w:p w:rsidR="00595F51" w:rsidP="00ED2957" w14:paraId="2E0042CD" w14:textId="26A473A9">
      <w:pPr>
        <w:pStyle w:val="ListParagraph"/>
        <w:numPr>
          <w:ilvl w:val="0"/>
          <w:numId w:val="23"/>
        </w:numPr>
        <w:ind w:left="2160" w:hanging="720"/>
      </w:pPr>
      <w:r>
        <w:t>Requiring marketers who use the Top 25% List to keep records of all sales made from soliciting customers on the Top 25% List;</w:t>
      </w:r>
    </w:p>
    <w:p w:rsidR="00581356" w:rsidP="00ED2957" w14:paraId="0DF5D105" w14:textId="77777777">
      <w:pPr>
        <w:pStyle w:val="ListParagraph"/>
        <w:ind w:left="2160" w:hanging="720"/>
      </w:pPr>
    </w:p>
    <w:p w:rsidR="00581356" w:rsidP="00ED2957" w14:paraId="50B44078" w14:textId="251E8295">
      <w:pPr>
        <w:pStyle w:val="ListParagraph"/>
        <w:numPr>
          <w:ilvl w:val="0"/>
          <w:numId w:val="23"/>
        </w:numPr>
        <w:ind w:left="2160" w:hanging="720"/>
      </w:pPr>
      <w:r>
        <w:t>Requiring that records be made available to PUCO Staff upon request and any failure to timely respond would terminate the marketers</w:t>
      </w:r>
      <w:r w:rsidR="00834259">
        <w:t>’</w:t>
      </w:r>
      <w:r>
        <w:t xml:space="preserve"> access to the Top 25% List; </w:t>
      </w:r>
    </w:p>
    <w:p w:rsidR="00581356" w:rsidP="00ED2957" w14:paraId="1A5BD983" w14:textId="77777777">
      <w:pPr>
        <w:pStyle w:val="ListParagraph"/>
        <w:ind w:left="2160" w:hanging="720"/>
      </w:pPr>
    </w:p>
    <w:p w:rsidR="00581356" w:rsidP="00ED2957" w14:paraId="3EC8F0DC" w14:textId="75542975">
      <w:pPr>
        <w:pStyle w:val="ListParagraph"/>
        <w:numPr>
          <w:ilvl w:val="0"/>
          <w:numId w:val="23"/>
        </w:numPr>
        <w:ind w:left="2160" w:hanging="720"/>
      </w:pPr>
      <w:r>
        <w:t>Requiring marketers to report to Vectren monthly the names, account numbers, and dates of enrollment of those customers appearing on the Top 25% List who have accepted an offer made by the marketer; and</w:t>
      </w:r>
    </w:p>
    <w:p w:rsidR="00581356" w:rsidP="00ED2957" w14:paraId="38C754FB" w14:textId="77777777">
      <w:pPr>
        <w:pStyle w:val="ListParagraph"/>
        <w:ind w:left="2160" w:hanging="720"/>
      </w:pPr>
    </w:p>
    <w:p w:rsidR="00581356" w:rsidP="00ED2957" w14:paraId="17759C69" w14:textId="5861A918">
      <w:pPr>
        <w:pStyle w:val="ListParagraph"/>
        <w:numPr>
          <w:ilvl w:val="0"/>
          <w:numId w:val="23"/>
        </w:numPr>
        <w:autoSpaceDE w:val="0"/>
        <w:autoSpaceDN w:val="0"/>
        <w:adjustRightInd w:val="0"/>
        <w:ind w:left="2160" w:hanging="720"/>
      </w:pPr>
      <w:r>
        <w:t>Requiring Vectren to link to each customer</w:t>
      </w:r>
      <w:r w:rsidR="00834259">
        <w:t>’</w:t>
      </w:r>
      <w:r>
        <w:t>s record the rate charged</w:t>
      </w:r>
      <w:r w:rsidR="00ED2957">
        <w:t xml:space="preserve"> </w:t>
      </w:r>
      <w:r>
        <w:t>which placed the customer on the Top 25% List, and to make those</w:t>
      </w:r>
      <w:r w:rsidR="00ED2957">
        <w:t xml:space="preserve"> </w:t>
      </w:r>
      <w:r>
        <w:t>records available to PUCO Staff upon request.</w:t>
      </w:r>
      <w:r>
        <w:rPr>
          <w:rStyle w:val="FootnoteReference"/>
        </w:rPr>
        <w:footnoteReference w:id="23"/>
      </w:r>
      <w:r>
        <w:t xml:space="preserve"> </w:t>
      </w:r>
    </w:p>
    <w:p w:rsidR="00ED2957" w:rsidP="00ED2957" w14:paraId="3AC5C23D" w14:textId="77777777">
      <w:pPr>
        <w:ind w:firstLine="720"/>
      </w:pPr>
    </w:p>
    <w:p w:rsidR="00F879C4" w:rsidP="00171D46" w14:paraId="3D8A24E3" w14:textId="120E7E07">
      <w:pPr>
        <w:spacing w:line="480" w:lineRule="auto"/>
        <w:ind w:firstLine="720"/>
      </w:pPr>
      <w:r>
        <w:t>T</w:t>
      </w:r>
      <w:r w:rsidR="00171D46">
        <w:t>he PUCO</w:t>
      </w:r>
      <w:r w:rsidR="00834259">
        <w:t>’</w:t>
      </w:r>
      <w:r w:rsidR="00185280">
        <w:t>s</w:t>
      </w:r>
      <w:r w:rsidR="00171D46">
        <w:t xml:space="preserve"> rules establish specific requirements on natural gas companies and marketers regarding their interactions in providing competitive retail natural gas services to customers.</w:t>
      </w:r>
      <w:r>
        <w:rPr>
          <w:rStyle w:val="FootnoteReference"/>
        </w:rPr>
        <w:footnoteReference w:id="24"/>
      </w:r>
      <w:r w:rsidR="00171D46">
        <w:t xml:space="preserve"> And the terms and conditions of any agreement between Vectren and marketers is governed by </w:t>
      </w:r>
      <w:r w:rsidR="00185280">
        <w:t>marketer</w:t>
      </w:r>
      <w:r w:rsidR="00171D46">
        <w:t xml:space="preserve"> tariffs that are subject to approval by the PUCO.</w:t>
      </w:r>
      <w:r>
        <w:rPr>
          <w:rStyle w:val="FootnoteReference"/>
        </w:rPr>
        <w:footnoteReference w:id="25"/>
      </w:r>
      <w:r w:rsidR="00171D46">
        <w:t xml:space="preserve"> </w:t>
      </w:r>
      <w:r>
        <w:t>RESA</w:t>
      </w:r>
      <w:r w:rsidR="00834259">
        <w:t>’</w:t>
      </w:r>
      <w:r>
        <w:t>s argument seems to be that there should be no requirements in Vectren</w:t>
      </w:r>
      <w:r w:rsidR="00834259">
        <w:t>’</w:t>
      </w:r>
      <w:r>
        <w:t>s marketer tariff governing the interactions between Vectren and the marketers who might use the Top 25% List.</w:t>
      </w:r>
      <w:r w:rsidR="00834259">
        <w:t xml:space="preserve"> </w:t>
      </w:r>
    </w:p>
    <w:p w:rsidR="00171D46" w:rsidP="00171D46" w14:paraId="0000FB21" w14:textId="03C64AA4">
      <w:pPr>
        <w:spacing w:line="480" w:lineRule="auto"/>
        <w:ind w:firstLine="720"/>
      </w:pPr>
      <w:r>
        <w:t>But the Top 25% List and its use would be governed by the terms and conditions in Vectren</w:t>
      </w:r>
      <w:r w:rsidR="00834259">
        <w:t>’</w:t>
      </w:r>
      <w:r>
        <w:t xml:space="preserve">s </w:t>
      </w:r>
      <w:r w:rsidR="00185280">
        <w:t>marketer</w:t>
      </w:r>
      <w:r>
        <w:t xml:space="preserve"> tariffs in any event.</w:t>
      </w:r>
      <w:r>
        <w:rPr>
          <w:rStyle w:val="FootnoteReference"/>
        </w:rPr>
        <w:footnoteReference w:id="26"/>
      </w:r>
      <w:r w:rsidR="00834259">
        <w:t xml:space="preserve"> </w:t>
      </w:r>
      <w:r>
        <w:t xml:space="preserve">The guidance from the PUCO in its Opinion and Order to Vectren </w:t>
      </w:r>
      <w:r w:rsidR="00185280">
        <w:t xml:space="preserve">regarding amending its marketer tariff </w:t>
      </w:r>
      <w:r>
        <w:t>to protect consumers if the Top 25% List is implemented is invaluable as the overall program is being formulated.</w:t>
      </w:r>
      <w:r w:rsidR="00834259">
        <w:t xml:space="preserve"> </w:t>
      </w:r>
      <w:r>
        <w:t>In the PUCO</w:t>
      </w:r>
      <w:r w:rsidR="00834259">
        <w:t>’</w:t>
      </w:r>
      <w:r>
        <w:t>s words, it will “ensure that retail customers are properly protected and that retail sales resulting from this new avenue are carefully and properly monitored.”</w:t>
      </w:r>
      <w:r>
        <w:rPr>
          <w:rStyle w:val="FootnoteReference"/>
        </w:rPr>
        <w:footnoteReference w:id="27"/>
      </w:r>
      <w:r w:rsidR="00834259">
        <w:t xml:space="preserve"> </w:t>
      </w:r>
    </w:p>
    <w:p w:rsidR="00834259" w:rsidP="00834259" w14:paraId="3207F223" w14:textId="77777777">
      <w:pPr>
        <w:spacing w:line="480" w:lineRule="auto"/>
        <w:ind w:firstLine="720"/>
      </w:pPr>
      <w:r>
        <w:t>The PUCO should not adopt RESA approach to consumer protection. It should affirm its Opinion and Order</w:t>
      </w:r>
      <w:r w:rsidR="00732C1D">
        <w:t>, which was reasonable and lawful,</w:t>
      </w:r>
      <w:r>
        <w:t xml:space="preserve"> so that it can obtain the records necessary to confirm that the public is being protected and that all laws, rules, and orders are being complied with.</w:t>
      </w:r>
    </w:p>
    <w:p w:rsidR="00834259" w:rsidP="00834259" w14:paraId="51E16DA4" w14:textId="77777777">
      <w:pPr>
        <w:ind w:firstLine="720"/>
      </w:pPr>
    </w:p>
    <w:p w:rsidR="00171D46" w:rsidP="00834259" w14:paraId="40AECF98" w14:textId="75E0F344">
      <w:pPr>
        <w:spacing w:line="480" w:lineRule="auto"/>
        <w:rPr>
          <w:b/>
          <w:bCs/>
        </w:rPr>
      </w:pPr>
      <w:r>
        <w:rPr>
          <w:b/>
          <w:bCs/>
        </w:rPr>
        <w:t>IV.</w:t>
      </w:r>
      <w:r>
        <w:rPr>
          <w:b/>
          <w:bCs/>
        </w:rPr>
        <w:tab/>
        <w:t>CONCLUSION</w:t>
      </w:r>
    </w:p>
    <w:p w:rsidR="00834259" w:rsidP="00171D46" w14:paraId="0D5ED350" w14:textId="64475071">
      <w:pPr>
        <w:spacing w:line="480" w:lineRule="auto"/>
        <w:ind w:firstLine="720"/>
      </w:pPr>
      <w:r>
        <w:t xml:space="preserve">Competitive markets require </w:t>
      </w:r>
      <w:r w:rsidR="00971AB0">
        <w:t xml:space="preserve">reasonable </w:t>
      </w:r>
      <w:r>
        <w:t>consumer</w:t>
      </w:r>
      <w:r w:rsidR="009E2AC4">
        <w:t xml:space="preserve"> </w:t>
      </w:r>
      <w:r>
        <w:t xml:space="preserve">protections. </w:t>
      </w:r>
      <w:r w:rsidR="00581356">
        <w:t>The</w:t>
      </w:r>
      <w:r>
        <w:t xml:space="preserve"> consumer protections in the Opinion and Order</w:t>
      </w:r>
      <w:r w:rsidR="00581356">
        <w:t xml:space="preserve"> </w:t>
      </w:r>
      <w:r w:rsidR="00971AB0">
        <w:t xml:space="preserve">are reasonable and lawful; therefore, they </w:t>
      </w:r>
      <w:r>
        <w:t>should be affirmed. RESA’s application for rehearing should be denied.</w:t>
      </w:r>
    </w:p>
    <w:p w:rsidR="00834259" w14:paraId="1EE5F930" w14:textId="77777777">
      <w:r>
        <w:br w:type="page"/>
      </w:r>
    </w:p>
    <w:p w:rsidR="00A46CDB" w:rsidP="001D74EF" w14:paraId="7D8DD3A3" w14:textId="216D465A">
      <w:pPr>
        <w:ind w:left="4320"/>
      </w:pPr>
      <w:r w:rsidRPr="0029024A">
        <w:t>Respectfully submitted,</w:t>
      </w:r>
    </w:p>
    <w:p w:rsidR="00A46CDB" w:rsidRPr="0029024A" w:rsidP="00A46CDB" w14:paraId="44FD220E" w14:textId="77777777">
      <w:pPr>
        <w:ind w:left="3600" w:firstLine="720"/>
      </w:pPr>
    </w:p>
    <w:p w:rsidR="00A46CDB" w:rsidRPr="00CD4C8A" w:rsidP="00A46CDB" w14:paraId="3E104715" w14:textId="77777777">
      <w:pPr>
        <w:pStyle w:val="Footer"/>
        <w:suppressLineNumbers/>
        <w:tabs>
          <w:tab w:val="clear" w:pos="4320"/>
          <w:tab w:val="clear" w:pos="8640"/>
        </w:tabs>
        <w:ind w:left="4320"/>
        <w:rPr>
          <w:sz w:val="24"/>
          <w:szCs w:val="32"/>
        </w:rPr>
      </w:pPr>
      <w:r w:rsidRPr="00CD4C8A">
        <w:rPr>
          <w:sz w:val="24"/>
          <w:szCs w:val="32"/>
        </w:rPr>
        <w:t>Bruce Weston (0016973)</w:t>
      </w:r>
    </w:p>
    <w:p w:rsidR="00A46CDB" w:rsidRPr="0029024A" w:rsidP="00A46CDB" w14:paraId="1183BBDC" w14:textId="22F5FB98">
      <w:pPr>
        <w:suppressLineNumbers/>
        <w:ind w:left="4320"/>
      </w:pPr>
      <w:r w:rsidRPr="0029024A">
        <w:t>Ohio Consumers</w:t>
      </w:r>
      <w:r w:rsidR="00834259">
        <w:t>’</w:t>
      </w:r>
      <w:r w:rsidRPr="0029024A">
        <w:t xml:space="preserve"> Counsel</w:t>
      </w:r>
    </w:p>
    <w:p w:rsidR="00A46CDB" w:rsidRPr="0029024A" w:rsidP="00A46CDB" w14:paraId="05CAA87D" w14:textId="77777777">
      <w:pPr>
        <w:suppressLineNumbers/>
        <w:ind w:left="4320"/>
      </w:pPr>
      <w:r w:rsidRPr="0029024A">
        <w:tab/>
      </w:r>
    </w:p>
    <w:p w:rsidR="00A46CDB" w:rsidRPr="0029024A" w:rsidP="00A46CDB" w14:paraId="4AAE746A" w14:textId="020CBCBA">
      <w:pPr>
        <w:suppressLineNumbers/>
        <w:ind w:left="4320"/>
      </w:pPr>
      <w:r w:rsidRPr="0029024A">
        <w:rPr>
          <w:i/>
          <w:u w:val="single"/>
        </w:rPr>
        <w:t>/s/ William J. Michael</w:t>
      </w:r>
      <w:r w:rsidR="000454D8">
        <w:rPr>
          <w:i/>
          <w:u w:val="single"/>
        </w:rPr>
        <w:tab/>
      </w:r>
      <w:r w:rsidR="000454D8">
        <w:rPr>
          <w:i/>
          <w:u w:val="single"/>
        </w:rPr>
        <w:tab/>
      </w:r>
    </w:p>
    <w:p w:rsidR="00A46CDB" w:rsidRPr="0029024A" w:rsidP="00A46CDB" w14:paraId="21B4D868" w14:textId="77777777">
      <w:pPr>
        <w:suppressLineNumbers/>
        <w:ind w:left="4320"/>
      </w:pPr>
      <w:r w:rsidRPr="0029024A">
        <w:t>William J. Michael (0070921)</w:t>
      </w:r>
    </w:p>
    <w:p w:rsidR="00A46CDB" w:rsidP="00A46CDB" w14:paraId="31DED5B7" w14:textId="4AA7B16C">
      <w:pPr>
        <w:suppressLineNumbers/>
        <w:ind w:left="4320"/>
      </w:pPr>
      <w:r w:rsidRPr="0029024A">
        <w:t>Counsel of Record</w:t>
      </w:r>
    </w:p>
    <w:p w:rsidR="00DC2B7B" w:rsidRPr="00A329C2" w:rsidP="00DC2B7B" w14:paraId="3D93D0B9" w14:textId="11CAF2F9">
      <w:pPr>
        <w:tabs>
          <w:tab w:val="left" w:pos="3870"/>
        </w:tabs>
        <w:ind w:left="4320"/>
        <w:rPr>
          <w:rFonts w:eastAsia="Calibri"/>
        </w:rPr>
      </w:pPr>
      <w:bookmarkStart w:id="1" w:name="_Hlk19101820"/>
      <w:r w:rsidRPr="00A329C2">
        <w:rPr>
          <w:rFonts w:eastAsia="Calibri"/>
        </w:rPr>
        <w:t>Amy Botschner-O</w:t>
      </w:r>
      <w:r w:rsidR="00834259">
        <w:rPr>
          <w:rFonts w:eastAsia="Calibri"/>
        </w:rPr>
        <w:t>’</w:t>
      </w:r>
      <w:r w:rsidRPr="00A329C2">
        <w:rPr>
          <w:rFonts w:eastAsia="Calibri"/>
        </w:rPr>
        <w:t>Brien (0074423)</w:t>
      </w:r>
    </w:p>
    <w:p w:rsidR="00A46CDB" w:rsidP="00A46CDB" w14:paraId="4CB98F58" w14:textId="05C7A6A1">
      <w:pPr>
        <w:suppressLineNumbers/>
        <w:ind w:left="4320"/>
      </w:pPr>
      <w:r w:rsidRPr="0029024A">
        <w:t>Christopher Healey (0086027)</w:t>
      </w:r>
    </w:p>
    <w:p w:rsidR="00FF1D40" w:rsidRPr="00A329C2" w:rsidP="00FF1D40" w14:paraId="36C10316" w14:textId="42BBC7E9">
      <w:pPr>
        <w:tabs>
          <w:tab w:val="left" w:pos="3870"/>
        </w:tabs>
        <w:ind w:left="4320"/>
        <w:rPr>
          <w:rFonts w:eastAsia="Calibri"/>
        </w:rPr>
      </w:pPr>
      <w:r w:rsidRPr="00A329C2">
        <w:rPr>
          <w:rFonts w:eastAsia="Calibri"/>
        </w:rPr>
        <w:t>Angela O</w:t>
      </w:r>
      <w:r w:rsidR="00834259">
        <w:rPr>
          <w:rFonts w:eastAsia="Calibri"/>
        </w:rPr>
        <w:t>’</w:t>
      </w:r>
      <w:r w:rsidRPr="00A329C2">
        <w:rPr>
          <w:rFonts w:eastAsia="Calibri"/>
        </w:rPr>
        <w:t>Brien (0097579)</w:t>
      </w:r>
    </w:p>
    <w:p w:rsidR="00A46CDB" w:rsidRPr="0029024A" w:rsidP="00A46CDB" w14:paraId="05BCEFD9" w14:textId="14A685CE">
      <w:pPr>
        <w:suppressLineNumbers/>
        <w:ind w:left="4320"/>
      </w:pPr>
      <w:r w:rsidRPr="0029024A">
        <w:t>Assistant Consumers</w:t>
      </w:r>
      <w:r w:rsidR="00834259">
        <w:t>’</w:t>
      </w:r>
      <w:r w:rsidRPr="0029024A">
        <w:t xml:space="preserve"> Counsel</w:t>
      </w:r>
    </w:p>
    <w:p w:rsidR="00A46CDB" w:rsidRPr="0029024A" w:rsidP="00A46CDB" w14:paraId="3C4A193F" w14:textId="77777777">
      <w:pPr>
        <w:suppressLineNumbers/>
        <w:ind w:left="4320"/>
      </w:pPr>
    </w:p>
    <w:p w:rsidR="00A46CDB" w:rsidRPr="0029024A" w:rsidP="00A46CDB" w14:paraId="01B74F52" w14:textId="5617A83F">
      <w:pPr>
        <w:suppressLineNumbers/>
        <w:ind w:left="4320"/>
        <w:rPr>
          <w:b/>
        </w:rPr>
      </w:pPr>
      <w:r w:rsidRPr="0029024A">
        <w:rPr>
          <w:b/>
        </w:rPr>
        <w:t>Office of the Ohio Consumers</w:t>
      </w:r>
      <w:r w:rsidR="00834259">
        <w:rPr>
          <w:b/>
        </w:rPr>
        <w:t>’</w:t>
      </w:r>
      <w:r w:rsidRPr="0029024A">
        <w:rPr>
          <w:b/>
        </w:rPr>
        <w:t xml:space="preserve"> Counsel</w:t>
      </w:r>
    </w:p>
    <w:p w:rsidR="00A46CDB" w:rsidRPr="0029024A" w:rsidP="00A46CDB" w14:paraId="706AB090" w14:textId="77777777">
      <w:pPr>
        <w:suppressLineNumbers/>
        <w:ind w:left="4320"/>
      </w:pPr>
      <w:r w:rsidRPr="0029024A">
        <w:t>65 East State Street, 7</w:t>
      </w:r>
      <w:r w:rsidRPr="000454D8">
        <w:t>th</w:t>
      </w:r>
      <w:r w:rsidRPr="0029024A">
        <w:t xml:space="preserve"> Floor</w:t>
      </w:r>
    </w:p>
    <w:p w:rsidR="00A46CDB" w:rsidRPr="0029024A" w:rsidP="00A46CDB" w14:paraId="480471DC" w14:textId="77777777">
      <w:pPr>
        <w:suppressLineNumbers/>
        <w:ind w:left="4320"/>
      </w:pPr>
      <w:r w:rsidRPr="0029024A">
        <w:t>Columbus, Ohio 43215-4213</w:t>
      </w:r>
    </w:p>
    <w:p w:rsidR="00A46CDB" w:rsidP="00A46CDB" w14:paraId="6D90E4E7" w14:textId="75D7217C">
      <w:pPr>
        <w:suppressLineNumbers/>
        <w:autoSpaceDE w:val="0"/>
        <w:autoSpaceDN w:val="0"/>
        <w:adjustRightInd w:val="0"/>
        <w:ind w:left="3600" w:firstLine="720"/>
      </w:pPr>
      <w:r w:rsidRPr="0029024A">
        <w:t>Telephone [Michael]: (614) 466-1291</w:t>
      </w:r>
    </w:p>
    <w:p w:rsidR="00DC2B7B" w:rsidRPr="00A329C2" w:rsidP="00DC2B7B" w14:paraId="1E918BF6" w14:textId="2BB29A65">
      <w:pPr>
        <w:tabs>
          <w:tab w:val="left" w:pos="3870"/>
        </w:tabs>
        <w:ind w:left="4320" w:right="-450"/>
      </w:pPr>
      <w:r w:rsidRPr="00A329C2">
        <w:t>Telephone: [Botschner-O</w:t>
      </w:r>
      <w:r w:rsidR="00834259">
        <w:t>’</w:t>
      </w:r>
      <w:r w:rsidRPr="00A329C2">
        <w:t xml:space="preserve">Brien] </w:t>
      </w:r>
      <w:r>
        <w:t>(</w:t>
      </w:r>
      <w:r w:rsidRPr="00A329C2">
        <w:t>614</w:t>
      </w:r>
      <w:r>
        <w:t>)</w:t>
      </w:r>
      <w:r w:rsidRPr="00A329C2">
        <w:t>-466-9575</w:t>
      </w:r>
    </w:p>
    <w:p w:rsidR="00A46CDB" w:rsidP="00A46CDB" w14:paraId="6AAA65E8" w14:textId="7F773026">
      <w:pPr>
        <w:suppressLineNumbers/>
        <w:autoSpaceDE w:val="0"/>
        <w:autoSpaceDN w:val="0"/>
        <w:adjustRightInd w:val="0"/>
        <w:ind w:left="3600" w:firstLine="720"/>
      </w:pPr>
      <w:r w:rsidRPr="0029024A">
        <w:t>Telephone [Healey]: (614) 466-9571</w:t>
      </w:r>
      <w:r w:rsidRPr="0029024A">
        <w:tab/>
      </w:r>
    </w:p>
    <w:p w:rsidR="00FF1D40" w:rsidRPr="00A329C2" w:rsidP="00FF1D40" w14:paraId="1C0EA40B" w14:textId="2AEBBCBD">
      <w:pPr>
        <w:tabs>
          <w:tab w:val="left" w:pos="3870"/>
        </w:tabs>
        <w:ind w:left="4320"/>
      </w:pPr>
      <w:r w:rsidRPr="00A329C2">
        <w:t>Telephone: [O</w:t>
      </w:r>
      <w:r w:rsidR="00834259">
        <w:t>’</w:t>
      </w:r>
      <w:r w:rsidRPr="00A329C2">
        <w:t>Brien] 614-466-9531</w:t>
      </w:r>
    </w:p>
    <w:p w:rsidR="00A46CDB" w:rsidP="00A46CDB" w14:paraId="26145604" w14:textId="51B1DD92">
      <w:pPr>
        <w:suppressLineNumbers/>
        <w:autoSpaceDE w:val="0"/>
        <w:autoSpaceDN w:val="0"/>
        <w:adjustRightInd w:val="0"/>
        <w:ind w:left="3600" w:firstLine="720"/>
        <w:rPr>
          <w:rStyle w:val="Hyperlink"/>
        </w:rPr>
      </w:pPr>
      <w:hyperlink r:id="rId7" w:history="1">
        <w:r w:rsidRPr="00661CD3" w:rsidR="00875C93">
          <w:rPr>
            <w:rStyle w:val="Hyperlink"/>
          </w:rPr>
          <w:t>william.michael@occ.ohio.gov</w:t>
        </w:r>
      </w:hyperlink>
    </w:p>
    <w:p w:rsidR="001D74EF" w:rsidP="001D74EF" w14:paraId="74C4D117" w14:textId="77777777">
      <w:pPr>
        <w:suppressLineNumbers/>
        <w:autoSpaceDE w:val="0"/>
        <w:autoSpaceDN w:val="0"/>
        <w:adjustRightInd w:val="0"/>
        <w:ind w:left="3600" w:firstLine="720"/>
        <w:rPr>
          <w:rStyle w:val="Hyperlink"/>
        </w:rPr>
      </w:pPr>
      <w:r>
        <w:rPr>
          <w:rStyle w:val="Hyperlink"/>
        </w:rPr>
        <w:t>amy.botschner.obrien@occ.ohio.gov</w:t>
      </w:r>
    </w:p>
    <w:p w:rsidR="00A46CDB" w:rsidP="00A46CDB" w14:paraId="75349E08" w14:textId="78573EB8">
      <w:pPr>
        <w:suppressLineNumbers/>
        <w:autoSpaceDE w:val="0"/>
        <w:autoSpaceDN w:val="0"/>
        <w:adjustRightInd w:val="0"/>
        <w:ind w:left="3600" w:firstLine="720"/>
        <w:rPr>
          <w:rStyle w:val="Hyperlink"/>
        </w:rPr>
      </w:pPr>
      <w:hyperlink r:id="rId8" w:history="1">
        <w:r w:rsidR="000454D8">
          <w:rPr>
            <w:rStyle w:val="Hyperlink"/>
          </w:rPr>
          <w:t>c</w:t>
        </w:r>
        <w:r w:rsidRPr="00661CD3" w:rsidR="00875C93">
          <w:rPr>
            <w:rStyle w:val="Hyperlink"/>
          </w:rPr>
          <w:t>hristopher.healey@occ.ohio.gov</w:t>
        </w:r>
      </w:hyperlink>
    </w:p>
    <w:p w:rsidR="008A2B55" w:rsidP="008A2B55" w14:paraId="0DDAAD5B" w14:textId="77777777">
      <w:pPr>
        <w:suppressLineNumbers/>
        <w:autoSpaceDE w:val="0"/>
        <w:autoSpaceDN w:val="0"/>
        <w:adjustRightInd w:val="0"/>
        <w:ind w:left="3600" w:firstLine="720"/>
      </w:pPr>
      <w:r>
        <w:rPr>
          <w:rStyle w:val="Hyperlink"/>
        </w:rPr>
        <w:t>angela.obrien@occ.ohio.gov</w:t>
      </w:r>
    </w:p>
    <w:p w:rsidR="00A46CDB" w:rsidP="00A46CDB" w14:paraId="7E9F9D27" w14:textId="77777777">
      <w:pPr>
        <w:suppressLineNumbers/>
        <w:autoSpaceDE w:val="0"/>
        <w:autoSpaceDN w:val="0"/>
        <w:adjustRightInd w:val="0"/>
        <w:ind w:left="3600" w:firstLine="720"/>
      </w:pPr>
      <w:r>
        <w:t>(</w:t>
      </w:r>
      <w:r w:rsidRPr="0029024A">
        <w:t>will</w:t>
      </w:r>
      <w:r>
        <w:t>ing to</w:t>
      </w:r>
      <w:r w:rsidRPr="0029024A">
        <w:t xml:space="preserve"> accept service </w:t>
      </w:r>
      <w:r>
        <w:t>by e-</w:t>
      </w:r>
      <w:r w:rsidRPr="0029024A">
        <w:t>mail)</w:t>
      </w:r>
    </w:p>
    <w:bookmarkEnd w:id="1"/>
    <w:p w:rsidR="00A46CDB" w:rsidRPr="00BB1D2E" w:rsidP="00A46CDB" w14:paraId="4C5CD1EF" w14:textId="77777777">
      <w:pPr>
        <w:spacing w:line="480" w:lineRule="auto"/>
      </w:pPr>
    </w:p>
    <w:p w:rsidR="00A46CDB" w:rsidP="00A46CDB" w14:paraId="1FEEA5E7" w14:textId="77777777">
      <w:pPr>
        <w:pStyle w:val="ANSWER"/>
        <w:suppressLineNumbers/>
        <w:ind w:left="720"/>
        <w:jc w:val="center"/>
        <w:rPr>
          <w:b/>
          <w:szCs w:val="24"/>
          <w:u w:val="single"/>
        </w:rPr>
        <w:sectPr w:rsidSect="004B19FB">
          <w:footerReference w:type="default" r:id="rId9"/>
          <w:pgSz w:w="12240" w:h="15840"/>
          <w:pgMar w:top="1440" w:right="1800" w:bottom="1440" w:left="1800" w:header="720" w:footer="720" w:gutter="0"/>
          <w:pgNumType w:start="2"/>
          <w:cols w:space="720"/>
          <w:docGrid w:linePitch="360"/>
        </w:sectPr>
      </w:pPr>
    </w:p>
    <w:p w:rsidR="00A46CDB" w:rsidP="00A46CDB" w14:paraId="215F4DDC" w14:textId="77777777">
      <w:pPr>
        <w:pStyle w:val="ANSWER"/>
        <w:suppressLineNumbers/>
        <w:ind w:left="720"/>
        <w:jc w:val="center"/>
        <w:rPr>
          <w:b/>
          <w:szCs w:val="24"/>
          <w:u w:val="single"/>
        </w:rPr>
      </w:pPr>
      <w:r>
        <w:rPr>
          <w:b/>
          <w:szCs w:val="24"/>
          <w:u w:val="single"/>
        </w:rPr>
        <w:t>CERTIFICATE OF SERVICE</w:t>
      </w:r>
    </w:p>
    <w:p w:rsidR="00A46CDB" w:rsidP="00A46CDB" w14:paraId="603ABA93" w14:textId="71CACB82">
      <w:pPr>
        <w:suppressLineNumbers/>
        <w:spacing w:line="480" w:lineRule="auto"/>
        <w:ind w:firstLine="720"/>
      </w:pPr>
      <w:r>
        <w:t>The undersigned hereby certifies that a true and correct copy of the foregoing Memorandum Contra RESA</w:t>
      </w:r>
      <w:r w:rsidR="00834259">
        <w:t>’</w:t>
      </w:r>
      <w:r>
        <w:t xml:space="preserve">s Application for Rehearing has been served upon the below-named persons via electronic transmission this </w:t>
      </w:r>
      <w:r w:rsidR="002A657D">
        <w:t>7th</w:t>
      </w:r>
      <w:r>
        <w:t xml:space="preserve"> day of October 2019.</w:t>
      </w:r>
      <w:r>
        <w:tab/>
      </w:r>
    </w:p>
    <w:p w:rsidR="00A46CDB" w:rsidP="00A46CDB" w14:paraId="48148872" w14:textId="56D58924">
      <w:pPr>
        <w:suppressLineNumbers/>
        <w:rPr>
          <w:u w:val="single"/>
        </w:rPr>
      </w:pPr>
      <w:r>
        <w:t xml:space="preserve"> </w:t>
      </w:r>
      <w:r>
        <w:tab/>
      </w:r>
      <w:r>
        <w:tab/>
      </w:r>
      <w:r>
        <w:tab/>
      </w:r>
      <w:r>
        <w:tab/>
      </w:r>
      <w:r>
        <w:tab/>
      </w:r>
      <w:r>
        <w:tab/>
      </w:r>
      <w:r>
        <w:rPr>
          <w:i/>
          <w:u w:val="single"/>
        </w:rPr>
        <w:t>/s/ William J. Michael</w:t>
      </w:r>
      <w:r w:rsidR="00546450">
        <w:rPr>
          <w:i/>
          <w:u w:val="single"/>
        </w:rPr>
        <w:tab/>
      </w:r>
      <w:r w:rsidR="00546450">
        <w:rPr>
          <w:i/>
          <w:u w:val="single"/>
        </w:rPr>
        <w:tab/>
      </w:r>
    </w:p>
    <w:p w:rsidR="00A46CDB" w:rsidP="00A46CDB" w14:paraId="56C35E98" w14:textId="77777777">
      <w:pPr>
        <w:pStyle w:val="EndnoteText"/>
        <w:widowControl/>
        <w:suppressLineNumber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William J. Michael</w:t>
      </w:r>
    </w:p>
    <w:p w:rsidR="00A46CDB" w:rsidP="00A46CDB" w14:paraId="2010DD9D" w14:textId="4A0E44B2">
      <w:pPr>
        <w:pStyle w:val="EndnoteText"/>
        <w:widowControl/>
        <w:suppressLineNumber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Assistant Consumers</w:t>
      </w:r>
      <w:r w:rsidR="00834259">
        <w:rPr>
          <w:rFonts w:ascii="Times New Roman" w:hAnsi="Times New Roman"/>
          <w:szCs w:val="24"/>
        </w:rPr>
        <w:t>’</w:t>
      </w:r>
      <w:r>
        <w:rPr>
          <w:rFonts w:ascii="Times New Roman" w:hAnsi="Times New Roman"/>
          <w:szCs w:val="24"/>
        </w:rPr>
        <w:t xml:space="preserve"> Counsel</w:t>
      </w:r>
    </w:p>
    <w:p w:rsidR="00A46CDB" w:rsidP="00A46CDB" w14:paraId="42129532" w14:textId="58A514DD">
      <w:pPr>
        <w:suppressLineNumbers/>
        <w:autoSpaceDE w:val="0"/>
        <w:autoSpaceDN w:val="0"/>
        <w:adjustRightInd w:val="0"/>
        <w:ind w:left="3600" w:firstLine="720"/>
      </w:pPr>
    </w:p>
    <w:p w:rsidR="002A1C42" w:rsidP="00A46CDB" w14:paraId="501E36CE" w14:textId="77777777">
      <w:pPr>
        <w:suppressLineNumbers/>
        <w:autoSpaceDE w:val="0"/>
        <w:autoSpaceDN w:val="0"/>
        <w:adjustRightInd w:val="0"/>
        <w:ind w:left="3600" w:firstLine="720"/>
      </w:pPr>
    </w:p>
    <w:p w:rsidR="002A1C42" w:rsidRPr="00F2718B" w:rsidP="002A1C42" w14:paraId="08284E21" w14:textId="3F291FA6">
      <w:r>
        <w:t>The PUCO</w:t>
      </w:r>
      <w:r w:rsidR="00834259">
        <w:t>’</w:t>
      </w:r>
      <w:r>
        <w:t>s e-filing system will electronically serve notice of the filing of this document on the following parties:</w:t>
      </w:r>
    </w:p>
    <w:p w:rsidR="002A1C42" w:rsidP="00A46CDB" w14:paraId="23E0F51E" w14:textId="77777777">
      <w:pPr>
        <w:suppressLineNumbers/>
        <w:autoSpaceDE w:val="0"/>
        <w:autoSpaceDN w:val="0"/>
        <w:adjustRightInd w:val="0"/>
        <w:ind w:left="3600" w:firstLine="720"/>
      </w:pPr>
    </w:p>
    <w:p w:rsidR="00A46CDB" w:rsidP="00A46CDB" w14:paraId="5DF26BBD" w14:textId="77777777">
      <w:pPr>
        <w:suppressLineNumbers/>
        <w:spacing w:line="480" w:lineRule="auto"/>
        <w:ind w:firstLine="720"/>
        <w:jc w:val="center"/>
        <w:rPr>
          <w:b/>
        </w:rPr>
      </w:pPr>
      <w:r>
        <w:rPr>
          <w:b/>
        </w:rPr>
        <w:t>SERVICE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4230"/>
      </w:tblGrid>
      <w:tr w14:paraId="75BC61E3" w14:textId="77777777" w:rsidTr="0018683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0"/>
        </w:trPr>
        <w:tc>
          <w:tcPr>
            <w:tcW w:w="4428" w:type="dxa"/>
            <w:tcBorders>
              <w:top w:val="nil"/>
              <w:left w:val="nil"/>
              <w:bottom w:val="nil"/>
              <w:right w:val="nil"/>
            </w:tcBorders>
          </w:tcPr>
          <w:p w:rsidR="004B5190" w:rsidRPr="00A329C2" w:rsidP="004B5190" w14:paraId="38893025" w14:textId="77777777">
            <w:pPr>
              <w:autoSpaceDE w:val="0"/>
              <w:autoSpaceDN w:val="0"/>
              <w:adjustRightInd w:val="0"/>
            </w:pPr>
            <w:hyperlink r:id="rId10" w:history="1">
              <w:r w:rsidRPr="00A329C2" w:rsidR="00CA65BA">
                <w:rPr>
                  <w:rStyle w:val="Hyperlink"/>
                  <w:rFonts w:eastAsiaTheme="minorHAnsi"/>
                </w:rPr>
                <w:t>werner.margard@ohioattorneygeneral.gov</w:t>
              </w:r>
            </w:hyperlink>
          </w:p>
          <w:p w:rsidR="004B5190" w:rsidRPr="00A329C2" w:rsidP="004B5190" w14:paraId="0208BD3C" w14:textId="77777777">
            <w:pPr>
              <w:autoSpaceDE w:val="0"/>
              <w:autoSpaceDN w:val="0"/>
              <w:adjustRightInd w:val="0"/>
            </w:pPr>
            <w:hyperlink r:id="rId11" w:history="1">
              <w:r w:rsidRPr="00A329C2" w:rsidR="00CA65BA">
                <w:rPr>
                  <w:rStyle w:val="Hyperlink"/>
                  <w:rFonts w:eastAsiaTheme="minorHAnsi"/>
                </w:rPr>
                <w:t>mjsettineri@vorys.com</w:t>
              </w:r>
            </w:hyperlink>
          </w:p>
          <w:p w:rsidR="004B5190" w:rsidRPr="00A329C2" w:rsidP="004B5190" w14:paraId="24504658" w14:textId="77777777">
            <w:pPr>
              <w:autoSpaceDE w:val="0"/>
              <w:autoSpaceDN w:val="0"/>
              <w:adjustRightInd w:val="0"/>
            </w:pPr>
            <w:hyperlink r:id="rId12" w:history="1">
              <w:r w:rsidRPr="00A329C2" w:rsidR="00CA65BA">
                <w:rPr>
                  <w:rStyle w:val="Hyperlink"/>
                  <w:rFonts w:eastAsiaTheme="minorHAnsi"/>
                </w:rPr>
                <w:t>glpetrucci@vorys.com</w:t>
              </w:r>
            </w:hyperlink>
            <w:r w:rsidRPr="00A329C2" w:rsidR="00CA65BA">
              <w:rPr>
                <w:rFonts w:eastAsiaTheme="minorHAnsi"/>
              </w:rPr>
              <w:t xml:space="preserve"> </w:t>
            </w:r>
          </w:p>
          <w:p w:rsidR="004B5190" w:rsidRPr="00A329C2" w:rsidP="004B5190" w14:paraId="36A76381" w14:textId="77777777">
            <w:pPr>
              <w:autoSpaceDE w:val="0"/>
              <w:autoSpaceDN w:val="0"/>
              <w:adjustRightInd w:val="0"/>
            </w:pPr>
            <w:hyperlink r:id="rId13" w:history="1">
              <w:r w:rsidRPr="00A329C2" w:rsidR="00CA65BA">
                <w:rPr>
                  <w:rStyle w:val="Hyperlink"/>
                  <w:rFonts w:eastAsiaTheme="minorHAnsi"/>
                </w:rPr>
                <w:t>joliker@igsenergy.com</w:t>
              </w:r>
            </w:hyperlink>
          </w:p>
          <w:p w:rsidR="004B5190" w:rsidRPr="00A329C2" w:rsidP="004B5190" w14:paraId="4EA12BEC" w14:textId="77777777">
            <w:pPr>
              <w:autoSpaceDE w:val="0"/>
              <w:autoSpaceDN w:val="0"/>
              <w:adjustRightInd w:val="0"/>
            </w:pPr>
            <w:hyperlink r:id="rId14" w:history="1">
              <w:r w:rsidRPr="00A329C2" w:rsidR="00CA65BA">
                <w:rPr>
                  <w:rStyle w:val="Hyperlink"/>
                  <w:rFonts w:eastAsiaTheme="minorHAnsi"/>
                </w:rPr>
                <w:t>mnugent@igsenergy.com</w:t>
              </w:r>
            </w:hyperlink>
          </w:p>
          <w:p w:rsidR="004B5190" w:rsidRPr="00A329C2" w:rsidP="004B5190" w14:paraId="181ED155" w14:textId="77777777">
            <w:pPr>
              <w:autoSpaceDE w:val="0"/>
              <w:autoSpaceDN w:val="0"/>
              <w:adjustRightInd w:val="0"/>
            </w:pPr>
            <w:hyperlink r:id="rId15" w:history="1">
              <w:r w:rsidRPr="00A329C2" w:rsidR="00CA65BA">
                <w:rPr>
                  <w:rStyle w:val="Hyperlink"/>
                  <w:rFonts w:eastAsiaTheme="minorHAnsi"/>
                </w:rPr>
                <w:t>slesser@calfee.com</w:t>
              </w:r>
            </w:hyperlink>
          </w:p>
          <w:p w:rsidR="004B5190" w:rsidRPr="00A329C2" w:rsidP="004B5190" w14:paraId="71516020" w14:textId="77777777">
            <w:pPr>
              <w:autoSpaceDE w:val="0"/>
              <w:autoSpaceDN w:val="0"/>
              <w:adjustRightInd w:val="0"/>
            </w:pPr>
            <w:hyperlink r:id="rId16" w:history="1">
              <w:r w:rsidRPr="00A329C2" w:rsidR="00CA65BA">
                <w:rPr>
                  <w:rStyle w:val="Hyperlink"/>
                  <w:rFonts w:eastAsiaTheme="minorHAnsi"/>
                </w:rPr>
                <w:t>mkeaney@calfee.com</w:t>
              </w:r>
            </w:hyperlink>
          </w:p>
          <w:p w:rsidR="004B5190" w:rsidRPr="00A329C2" w:rsidP="004B5190" w14:paraId="59E198F2" w14:textId="77777777">
            <w:pPr>
              <w:autoSpaceDE w:val="0"/>
              <w:autoSpaceDN w:val="0"/>
              <w:adjustRightInd w:val="0"/>
            </w:pPr>
            <w:hyperlink r:id="rId17" w:history="1">
              <w:r w:rsidRPr="00A329C2" w:rsidR="00CA65BA">
                <w:rPr>
                  <w:rStyle w:val="Hyperlink"/>
                  <w:rFonts w:eastAsiaTheme="minorHAnsi"/>
                </w:rPr>
                <w:t>talexander@calfee.com</w:t>
              </w:r>
            </w:hyperlink>
          </w:p>
          <w:p w:rsidR="004B5190" w:rsidRPr="00A329C2" w:rsidP="004B5190" w14:paraId="3EB5565A" w14:textId="6FAFB275">
            <w:pPr>
              <w:autoSpaceDE w:val="0"/>
              <w:autoSpaceDN w:val="0"/>
              <w:adjustRightInd w:val="0"/>
            </w:pPr>
            <w:hyperlink r:id="rId18" w:history="1">
              <w:r w:rsidRPr="00A329C2" w:rsidR="00CA65BA">
                <w:rPr>
                  <w:rStyle w:val="Hyperlink"/>
                  <w:rFonts w:eastAsiaTheme="minorHAnsi"/>
                </w:rPr>
                <w:t>tony</w:t>
              </w:r>
              <w:r w:rsidR="0012587D">
                <w:rPr>
                  <w:rStyle w:val="Hyperlink"/>
                  <w:rFonts w:eastAsiaTheme="minorHAnsi"/>
                </w:rPr>
                <w:t>_</w:t>
              </w:r>
              <w:r w:rsidRPr="00A329C2" w:rsidR="00CA65BA">
                <w:rPr>
                  <w:rStyle w:val="Hyperlink"/>
                  <w:rFonts w:eastAsiaTheme="minorHAnsi"/>
                </w:rPr>
                <w:t>long@hna.honda.com</w:t>
              </w:r>
            </w:hyperlink>
          </w:p>
          <w:p w:rsidR="004B5190" w:rsidRPr="00A329C2" w:rsidP="004B5190" w14:paraId="24B6AD89" w14:textId="77777777">
            <w:pPr>
              <w:autoSpaceDE w:val="0"/>
              <w:autoSpaceDN w:val="0"/>
              <w:adjustRightInd w:val="0"/>
            </w:pPr>
            <w:hyperlink r:id="rId19" w:history="1">
              <w:r w:rsidRPr="00A329C2" w:rsidR="00CA65BA">
                <w:rPr>
                  <w:rStyle w:val="Hyperlink"/>
                  <w:rFonts w:eastAsiaTheme="minorHAnsi"/>
                </w:rPr>
                <w:t>cmooney@ohiopartners.org</w:t>
              </w:r>
            </w:hyperlink>
          </w:p>
          <w:p w:rsidR="004B5190" w:rsidRPr="00A329C2" w:rsidP="004B5190" w14:paraId="0F2C31FF" w14:textId="77777777">
            <w:pPr>
              <w:autoSpaceDE w:val="0"/>
              <w:autoSpaceDN w:val="0"/>
              <w:adjustRightInd w:val="0"/>
            </w:pPr>
          </w:p>
          <w:p w:rsidR="004B5190" w:rsidP="004B5190" w14:paraId="2D86B338" w14:textId="67311FAA">
            <w:pPr>
              <w:autoSpaceDE w:val="0"/>
              <w:autoSpaceDN w:val="0"/>
              <w:adjustRightInd w:val="0"/>
              <w:rPr>
                <w:rFonts w:eastAsiaTheme="minorHAnsi"/>
              </w:rPr>
            </w:pPr>
            <w:r w:rsidRPr="00A329C2">
              <w:rPr>
                <w:rFonts w:eastAsiaTheme="minorHAnsi"/>
              </w:rPr>
              <w:t>Attorney Examiner:</w:t>
            </w:r>
          </w:p>
          <w:p w:rsidR="009609C8" w:rsidRPr="00440A17" w:rsidP="004B5190" w14:paraId="6298A8A7" w14:textId="77777777">
            <w:pPr>
              <w:autoSpaceDE w:val="0"/>
              <w:autoSpaceDN w:val="0"/>
              <w:adjustRightInd w:val="0"/>
              <w:rPr>
                <w:rStyle w:val="Hyperlink"/>
                <w:rFonts w:eastAsiaTheme="minorHAnsi"/>
              </w:rPr>
            </w:pPr>
          </w:p>
          <w:p w:rsidR="004B5190" w:rsidRPr="00A329C2" w:rsidP="004B5190" w14:paraId="23962BEF" w14:textId="17C6064C">
            <w:pPr>
              <w:autoSpaceDE w:val="0"/>
              <w:autoSpaceDN w:val="0"/>
              <w:adjustRightInd w:val="0"/>
            </w:pPr>
            <w:hyperlink r:id="rId20" w:history="1">
              <w:r w:rsidRPr="00440A17" w:rsidR="00F27097">
                <w:rPr>
                  <w:rStyle w:val="Hyperlink"/>
                  <w:rFonts w:eastAsiaTheme="minorHAnsi"/>
                </w:rPr>
                <w:t>g</w:t>
              </w:r>
              <w:r w:rsidRPr="00A329C2" w:rsidR="00CA65BA">
                <w:rPr>
                  <w:rStyle w:val="Hyperlink"/>
                  <w:rFonts w:eastAsiaTheme="minorHAnsi"/>
                </w:rPr>
                <w:t>regory.price@puc.state.oh.us</w:t>
              </w:r>
            </w:hyperlink>
          </w:p>
          <w:p w:rsidR="004B5190" w:rsidRPr="00A329C2" w:rsidP="004B5190" w14:paraId="53203954" w14:textId="77777777">
            <w:pPr>
              <w:autoSpaceDE w:val="0"/>
              <w:autoSpaceDN w:val="0"/>
              <w:adjustRightInd w:val="0"/>
            </w:pPr>
            <w:hyperlink r:id="rId21" w:history="1">
              <w:r w:rsidRPr="00A329C2" w:rsidR="00CA65BA">
                <w:rPr>
                  <w:rStyle w:val="Hyperlink"/>
                  <w:rFonts w:eastAsiaTheme="minorHAnsi"/>
                </w:rPr>
                <w:t>patricia.schabo@puc.state.oh.us</w:t>
              </w:r>
            </w:hyperlink>
            <w:r w:rsidRPr="00A329C2" w:rsidR="00CA65BA">
              <w:rPr>
                <w:rFonts w:eastAsiaTheme="minorHAnsi"/>
              </w:rPr>
              <w:t xml:space="preserve"> </w:t>
            </w:r>
          </w:p>
          <w:p w:rsidR="00A46CDB" w:rsidP="00A46CDB" w14:paraId="1E81ACAE" w14:textId="77777777">
            <w:pPr>
              <w:suppressLineNumbers/>
              <w:rPr>
                <w:b/>
                <w:bCs/>
              </w:rPr>
            </w:pPr>
          </w:p>
        </w:tc>
        <w:tc>
          <w:tcPr>
            <w:tcW w:w="4428" w:type="dxa"/>
            <w:tcBorders>
              <w:top w:val="nil"/>
              <w:left w:val="nil"/>
              <w:bottom w:val="nil"/>
              <w:right w:val="nil"/>
            </w:tcBorders>
          </w:tcPr>
          <w:p w:rsidR="004B5190" w:rsidRPr="004B5190" w:rsidP="004B5190" w14:paraId="3FA6BC6A" w14:textId="283D3369">
            <w:pPr>
              <w:autoSpaceDE w:val="0"/>
              <w:autoSpaceDN w:val="0"/>
              <w:adjustRightInd w:val="0"/>
              <w:rPr>
                <w:rStyle w:val="Hyperlink"/>
              </w:rPr>
            </w:pPr>
            <w:r w:rsidRPr="004B5190">
              <w:rPr>
                <w:rStyle w:val="Hyperlink"/>
                <w:rFonts w:eastAsiaTheme="minorHAnsi"/>
              </w:rPr>
              <w:t xml:space="preserve">whitt@whitt-sturtevant.com </w:t>
            </w:r>
          </w:p>
          <w:p w:rsidR="004B5190" w:rsidRPr="00A329C2" w:rsidP="004B5190" w14:paraId="7A96FFF4" w14:textId="77777777">
            <w:pPr>
              <w:autoSpaceDE w:val="0"/>
              <w:autoSpaceDN w:val="0"/>
              <w:adjustRightInd w:val="0"/>
            </w:pPr>
            <w:hyperlink r:id="rId22" w:history="1">
              <w:r w:rsidRPr="00A329C2" w:rsidR="00CA65BA">
                <w:rPr>
                  <w:rStyle w:val="Hyperlink"/>
                  <w:rFonts w:eastAsiaTheme="minorHAnsi"/>
                </w:rPr>
                <w:t>rust@whitt-sturtevant.com</w:t>
              </w:r>
            </w:hyperlink>
            <w:r w:rsidRPr="00A329C2" w:rsidR="00CA65BA">
              <w:rPr>
                <w:rFonts w:eastAsiaTheme="minorHAnsi"/>
              </w:rPr>
              <w:t xml:space="preserve"> </w:t>
            </w:r>
          </w:p>
          <w:p w:rsidR="004B5190" w:rsidRPr="004B5190" w:rsidP="004B5190" w14:paraId="0DE61E7E" w14:textId="77777777">
            <w:pPr>
              <w:autoSpaceDE w:val="0"/>
              <w:autoSpaceDN w:val="0"/>
              <w:adjustRightInd w:val="0"/>
              <w:rPr>
                <w:rStyle w:val="Hyperlink"/>
                <w:rFonts w:eastAsiaTheme="minorHAnsi"/>
                <w:iCs/>
              </w:rPr>
            </w:pPr>
            <w:r w:rsidRPr="004B5190">
              <w:rPr>
                <w:rStyle w:val="Hyperlink"/>
                <w:rFonts w:eastAsiaTheme="minorHAnsi"/>
                <w:iCs/>
              </w:rPr>
              <w:t>kennedy@whitt-sturtevant.com</w:t>
            </w:r>
          </w:p>
          <w:p w:rsidR="004B5190" w:rsidRPr="00A329C2" w:rsidP="004B5190" w14:paraId="502C7C26" w14:textId="77777777">
            <w:pPr>
              <w:autoSpaceDE w:val="0"/>
              <w:autoSpaceDN w:val="0"/>
              <w:adjustRightInd w:val="0"/>
            </w:pPr>
            <w:hyperlink r:id="rId23" w:history="1">
              <w:r w:rsidRPr="00A329C2" w:rsidR="00CA65BA">
                <w:rPr>
                  <w:rStyle w:val="Hyperlink"/>
                  <w:rFonts w:eastAsiaTheme="minorHAnsi"/>
                </w:rPr>
                <w:t>fdarr@mcneeslaw.com</w:t>
              </w:r>
            </w:hyperlink>
            <w:r w:rsidRPr="00A329C2" w:rsidR="00CA65BA">
              <w:rPr>
                <w:rFonts w:eastAsiaTheme="minorHAnsi"/>
              </w:rPr>
              <w:t xml:space="preserve"> </w:t>
            </w:r>
          </w:p>
          <w:p w:rsidR="004B5190" w:rsidRPr="00A329C2" w:rsidP="004B5190" w14:paraId="55A3965E" w14:textId="77777777">
            <w:pPr>
              <w:tabs>
                <w:tab w:val="left" w:pos="960"/>
              </w:tabs>
              <w:rPr>
                <w:rStyle w:val="Hyperlink"/>
                <w:iCs/>
              </w:rPr>
            </w:pPr>
            <w:hyperlink r:id="rId24" w:history="1">
              <w:r w:rsidRPr="00A329C2" w:rsidR="00CA65BA">
                <w:rPr>
                  <w:rStyle w:val="Hyperlink"/>
                  <w:rFonts w:eastAsiaTheme="minorHAnsi"/>
                  <w:iCs/>
                </w:rPr>
                <w:t>mpritchard@mcneeslaw.com</w:t>
              </w:r>
            </w:hyperlink>
          </w:p>
          <w:p w:rsidR="004B5190" w:rsidRPr="00A329C2" w:rsidP="004B5190" w14:paraId="7FCC88CF" w14:textId="77777777">
            <w:pPr>
              <w:autoSpaceDE w:val="0"/>
              <w:autoSpaceDN w:val="0"/>
              <w:adjustRightInd w:val="0"/>
            </w:pPr>
            <w:hyperlink r:id="rId25" w:history="1">
              <w:r w:rsidRPr="00A329C2" w:rsidR="00CA65BA">
                <w:rPr>
                  <w:rStyle w:val="Hyperlink"/>
                  <w:rFonts w:eastAsiaTheme="minorHAnsi"/>
                </w:rPr>
                <w:t>jstephenson@vectren.com</w:t>
              </w:r>
            </w:hyperlink>
          </w:p>
          <w:p w:rsidR="004B5190" w:rsidRPr="00A329C2" w:rsidP="004B5190" w14:paraId="64A96648" w14:textId="77777777">
            <w:pPr>
              <w:tabs>
                <w:tab w:val="left" w:pos="960"/>
              </w:tabs>
              <w:rPr>
                <w:iCs/>
              </w:rPr>
            </w:pPr>
            <w:hyperlink r:id="rId26" w:history="1">
              <w:r w:rsidRPr="00A329C2" w:rsidR="00CA65BA">
                <w:rPr>
                  <w:rStyle w:val="Hyperlink"/>
                  <w:rFonts w:eastAsiaTheme="minorHAnsi"/>
                  <w:iCs/>
                </w:rPr>
                <w:t>Thomas.jernigan.3@us.af.mil</w:t>
              </w:r>
            </w:hyperlink>
          </w:p>
          <w:p w:rsidR="004B5190" w:rsidRPr="00A329C2" w:rsidP="004B5190" w14:paraId="51C5C660" w14:textId="77777777">
            <w:pPr>
              <w:tabs>
                <w:tab w:val="left" w:pos="960"/>
              </w:tabs>
              <w:rPr>
                <w:rStyle w:val="Hyperlink"/>
                <w:iCs/>
              </w:rPr>
            </w:pPr>
            <w:hyperlink r:id="rId27" w:history="1">
              <w:r w:rsidRPr="00A329C2" w:rsidR="00CA65BA">
                <w:rPr>
                  <w:rStyle w:val="Hyperlink"/>
                  <w:rFonts w:eastAsiaTheme="minorHAnsi"/>
                  <w:iCs/>
                </w:rPr>
                <w:t>Andrew.unsicker@us.af.mil</w:t>
              </w:r>
            </w:hyperlink>
          </w:p>
          <w:p w:rsidR="004B5190" w:rsidRPr="00A329C2" w:rsidP="004B5190" w14:paraId="2B583222" w14:textId="77777777">
            <w:pPr>
              <w:tabs>
                <w:tab w:val="left" w:pos="960"/>
              </w:tabs>
              <w:rPr>
                <w:iCs/>
              </w:rPr>
            </w:pPr>
            <w:hyperlink r:id="rId28" w:history="1">
              <w:r w:rsidRPr="00A329C2" w:rsidR="00CA65BA">
                <w:rPr>
                  <w:rStyle w:val="Hyperlink"/>
                  <w:rFonts w:eastAsiaTheme="minorHAnsi"/>
                  <w:iCs/>
                </w:rPr>
                <w:t>Darryl.Brown@us.af.mil</w:t>
              </w:r>
            </w:hyperlink>
          </w:p>
          <w:p w:rsidR="004B5190" w:rsidRPr="00A329C2" w:rsidP="004B5190" w14:paraId="71881359" w14:textId="77777777">
            <w:pPr>
              <w:tabs>
                <w:tab w:val="left" w:pos="960"/>
              </w:tabs>
              <w:rPr>
                <w:iCs/>
              </w:rPr>
            </w:pPr>
            <w:hyperlink r:id="rId29" w:history="1">
              <w:r w:rsidRPr="00A329C2" w:rsidR="00CA65BA">
                <w:rPr>
                  <w:rStyle w:val="Hyperlink"/>
                  <w:rFonts w:eastAsiaTheme="minorHAnsi"/>
                  <w:iCs/>
                </w:rPr>
                <w:t>Robert.friedman.5@us.af.mil</w:t>
              </w:r>
            </w:hyperlink>
          </w:p>
          <w:p w:rsidR="00A46CDB" w:rsidP="00A46CDB" w14:paraId="6D2313D2" w14:textId="77777777">
            <w:pPr>
              <w:suppressLineNumbers/>
              <w:rPr>
                <w:b/>
                <w:bCs/>
              </w:rPr>
            </w:pPr>
          </w:p>
        </w:tc>
      </w:tr>
    </w:tbl>
    <w:p w:rsidR="00A46CDB" w:rsidRPr="00E666E3" w:rsidP="00A46CDB" w14:paraId="57043261" w14:textId="77777777">
      <w:pPr>
        <w:ind w:left="3600" w:firstLine="720"/>
        <w:rPr>
          <w:b/>
          <w:bCs/>
        </w:rPr>
      </w:pPr>
    </w:p>
    <w:sectPr w:rsidSect="00A46CDB">
      <w:headerReference w:type="default" r:id="rId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19FB" w14:paraId="58CD2B5C" w14:textId="7E2F2A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65243781"/>
      <w:docPartObj>
        <w:docPartGallery w:val="Page Numbers (Bottom of Page)"/>
        <w:docPartUnique/>
      </w:docPartObj>
    </w:sdtPr>
    <w:sdtEndPr>
      <w:rPr>
        <w:noProof/>
        <w:sz w:val="24"/>
      </w:rPr>
    </w:sdtEndPr>
    <w:sdtContent>
      <w:p w:rsidR="004B19FB" w:rsidRPr="00AD1E0C" w14:paraId="23ABC0B3" w14:textId="67D0D3D0">
        <w:pPr>
          <w:pStyle w:val="Footer"/>
          <w:jc w:val="center"/>
          <w:rPr>
            <w:sz w:val="24"/>
          </w:rPr>
        </w:pPr>
        <w:r w:rsidRPr="00AD1E0C">
          <w:rPr>
            <w:sz w:val="24"/>
          </w:rPr>
          <w:fldChar w:fldCharType="begin"/>
        </w:r>
        <w:r w:rsidRPr="00AD1E0C">
          <w:rPr>
            <w:sz w:val="24"/>
          </w:rPr>
          <w:instrText xml:space="preserve"> PAGE   \* MERGEFORMAT </w:instrText>
        </w:r>
        <w:r w:rsidRPr="00AD1E0C">
          <w:rPr>
            <w:sz w:val="24"/>
          </w:rPr>
          <w:fldChar w:fldCharType="separate"/>
        </w:r>
        <w:r w:rsidRPr="00AD1E0C">
          <w:rPr>
            <w:noProof/>
            <w:sz w:val="24"/>
          </w:rPr>
          <w:t>2</w:t>
        </w:r>
        <w:r w:rsidRPr="00AD1E0C">
          <w:rPr>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5667" w14:paraId="7C5B09E9" w14:textId="77777777">
      <w:r>
        <w:separator/>
      </w:r>
    </w:p>
  </w:footnote>
  <w:footnote w:type="continuationSeparator" w:id="1">
    <w:p w:rsidR="00845667" w14:paraId="270919D2" w14:textId="77777777">
      <w:r>
        <w:continuationSeparator/>
      </w:r>
    </w:p>
  </w:footnote>
  <w:footnote w:id="2">
    <w:p w:rsidR="00171D46" w:rsidRPr="0082054B" w:rsidP="00171D46" w14:paraId="0D5CC4D3" w14:textId="2812FB3A">
      <w:pPr>
        <w:pStyle w:val="FootnoteText"/>
        <w:spacing w:after="120"/>
      </w:pPr>
      <w:r>
        <w:rPr>
          <w:rStyle w:val="FootnoteReference"/>
        </w:rPr>
        <w:footnoteRef/>
      </w:r>
      <w:r>
        <w:t xml:space="preserve"> </w:t>
      </w:r>
      <w:r>
        <w:rPr>
          <w:i/>
          <w:iCs/>
        </w:rPr>
        <w:t>See</w:t>
      </w:r>
      <w:r w:rsidR="002126E0">
        <w:rPr>
          <w:i/>
          <w:iCs/>
        </w:rPr>
        <w:t>, e.g.,</w:t>
      </w:r>
      <w:r>
        <w:rPr>
          <w:i/>
          <w:iCs/>
        </w:rPr>
        <w:t xml:space="preserve"> </w:t>
      </w:r>
      <w:r>
        <w:t>August 28, 2019 Opinion and Order</w:t>
      </w:r>
      <w:r w:rsidR="002126E0">
        <w:t xml:space="preserve"> at ¶ 87 (requiring certain record keeping)</w:t>
      </w:r>
      <w:r>
        <w:t>.</w:t>
      </w:r>
    </w:p>
  </w:footnote>
  <w:footnote w:id="3">
    <w:p w:rsidR="00171D46" w:rsidRPr="007938D2" w:rsidP="00171D46" w14:paraId="3AF77BA4" w14:textId="77777777">
      <w:pPr>
        <w:pStyle w:val="FootnoteText"/>
        <w:spacing w:after="120"/>
      </w:pPr>
      <w:r>
        <w:rPr>
          <w:rStyle w:val="FootnoteReference"/>
        </w:rPr>
        <w:footnoteRef/>
      </w:r>
      <w:r>
        <w:t xml:space="preserve"> </w:t>
      </w:r>
      <w:r>
        <w:rPr>
          <w:i/>
          <w:iCs/>
        </w:rPr>
        <w:t xml:space="preserve">See </w:t>
      </w:r>
      <w:r>
        <w:t>Application for Rehearing of the Retail Energy Supply Association filed September 27, 2019.</w:t>
      </w:r>
    </w:p>
  </w:footnote>
  <w:footnote w:id="4">
    <w:p w:rsidR="00171D46" w:rsidRPr="007938D2" w:rsidP="00171D46" w14:paraId="434F03C4" w14:textId="77777777">
      <w:pPr>
        <w:pStyle w:val="FootnoteText"/>
        <w:spacing w:after="120"/>
      </w:pPr>
      <w:r>
        <w:rPr>
          <w:rStyle w:val="FootnoteReference"/>
        </w:rPr>
        <w:footnoteRef/>
      </w:r>
      <w:r>
        <w:t xml:space="preserve"> </w:t>
      </w:r>
      <w:r>
        <w:rPr>
          <w:i/>
          <w:iCs/>
        </w:rPr>
        <w:t xml:space="preserve">See id. </w:t>
      </w:r>
    </w:p>
  </w:footnote>
  <w:footnote w:id="5">
    <w:p w:rsidR="00171D46" w:rsidRPr="004A7F50" w:rsidP="00171D46" w14:paraId="49505117" w14:textId="7F098182">
      <w:pPr>
        <w:pStyle w:val="FootnoteText"/>
        <w:spacing w:after="120"/>
        <w:rPr>
          <w:i/>
          <w:iCs/>
        </w:rPr>
      </w:pPr>
      <w:r>
        <w:rPr>
          <w:rStyle w:val="FootnoteReference"/>
        </w:rPr>
        <w:footnoteRef/>
      </w:r>
      <w:r>
        <w:t xml:space="preserve"> Essentially, this is a list of customers paying the top 25 percent highest shopping rates.</w:t>
      </w:r>
      <w:r w:rsidR="00834259">
        <w:t xml:space="preserve"> </w:t>
      </w:r>
      <w:r>
        <w:rPr>
          <w:i/>
          <w:iCs/>
        </w:rPr>
        <w:t xml:space="preserve">See id. </w:t>
      </w:r>
      <w:r>
        <w:t>at 1.</w:t>
      </w:r>
      <w:r w:rsidR="00834259">
        <w:t xml:space="preserve"> </w:t>
      </w:r>
      <w:r>
        <w:t>Under the program, the list would be made available to marketers.</w:t>
      </w:r>
      <w:r w:rsidR="00834259">
        <w:t xml:space="preserve"> </w:t>
      </w:r>
      <w:r>
        <w:rPr>
          <w:i/>
          <w:iCs/>
        </w:rPr>
        <w:t>See id.</w:t>
      </w:r>
    </w:p>
  </w:footnote>
  <w:footnote w:id="6">
    <w:p w:rsidR="00171D46" w:rsidRPr="004A7F50" w:rsidP="00171D46" w14:paraId="2943C5DC" w14:textId="77777777">
      <w:pPr>
        <w:pStyle w:val="FootnoteText"/>
        <w:spacing w:after="120"/>
      </w:pPr>
      <w:r>
        <w:rPr>
          <w:rStyle w:val="FootnoteReference"/>
        </w:rPr>
        <w:footnoteRef/>
      </w:r>
      <w:r>
        <w:t xml:space="preserve"> </w:t>
      </w:r>
      <w:r>
        <w:rPr>
          <w:i/>
          <w:iCs/>
        </w:rPr>
        <w:t xml:space="preserve">See </w:t>
      </w:r>
      <w:r>
        <w:t>Application for Rehearing at 1-2.</w:t>
      </w:r>
    </w:p>
  </w:footnote>
  <w:footnote w:id="7">
    <w:p w:rsidR="00171D46" w:rsidRPr="004A7F50" w:rsidP="00171D46" w14:paraId="280A4EFB" w14:textId="77777777">
      <w:pPr>
        <w:pStyle w:val="FootnoteText"/>
        <w:spacing w:after="120"/>
      </w:pPr>
      <w:r>
        <w:rPr>
          <w:rStyle w:val="FootnoteReference"/>
        </w:rPr>
        <w:footnoteRef/>
      </w:r>
      <w:r>
        <w:t xml:space="preserve"> </w:t>
      </w:r>
      <w:r>
        <w:rPr>
          <w:i/>
          <w:iCs/>
        </w:rPr>
        <w:t xml:space="preserve">See </w:t>
      </w:r>
      <w:r>
        <w:t>Stipulation and Recommendation filed January 4, 2019, at section 15(b).</w:t>
      </w:r>
    </w:p>
  </w:footnote>
  <w:footnote w:id="8">
    <w:p w:rsidR="00171D46" w:rsidRPr="004A7F50" w:rsidP="00171D46" w14:paraId="2E84C6A8" w14:textId="432F8490">
      <w:pPr>
        <w:pStyle w:val="FootnoteText"/>
        <w:spacing w:after="120"/>
      </w:pPr>
      <w:r>
        <w:rPr>
          <w:rStyle w:val="FootnoteReference"/>
        </w:rPr>
        <w:footnoteRef/>
      </w:r>
      <w:r>
        <w:t xml:space="preserve"> </w:t>
      </w:r>
      <w:r>
        <w:rPr>
          <w:i/>
          <w:iCs/>
        </w:rPr>
        <w:t xml:space="preserve">See id. </w:t>
      </w:r>
      <w:r>
        <w:t>at 15(e)</w:t>
      </w:r>
      <w:r w:rsidR="002126E0">
        <w:t>, the so-called “Top 25% List</w:t>
      </w:r>
      <w:r>
        <w:t>.</w:t>
      </w:r>
      <w:r w:rsidR="002126E0">
        <w:t>”</w:t>
      </w:r>
    </w:p>
  </w:footnote>
  <w:footnote w:id="9">
    <w:p w:rsidR="00171D46" w:rsidRPr="009312F3" w:rsidP="00171D46" w14:paraId="36C5DBD8" w14:textId="77777777">
      <w:pPr>
        <w:pStyle w:val="FootnoteText"/>
        <w:spacing w:after="120"/>
      </w:pPr>
      <w:r>
        <w:rPr>
          <w:rStyle w:val="FootnoteReference"/>
        </w:rPr>
        <w:footnoteRef/>
      </w:r>
      <w:r>
        <w:t xml:space="preserve"> </w:t>
      </w:r>
      <w:r>
        <w:rPr>
          <w:i/>
          <w:iCs/>
        </w:rPr>
        <w:t xml:space="preserve">See </w:t>
      </w:r>
      <w:r>
        <w:t>Application for Rehearing.</w:t>
      </w:r>
    </w:p>
  </w:footnote>
  <w:footnote w:id="10">
    <w:p w:rsidR="00171D46" w:rsidP="00171D46" w14:paraId="5F8FCBE0" w14:textId="77777777">
      <w:pPr>
        <w:pStyle w:val="FootnoteText"/>
        <w:spacing w:after="120"/>
      </w:pPr>
      <w:r>
        <w:rPr>
          <w:rStyle w:val="FootnoteReference"/>
        </w:rPr>
        <w:footnoteRef/>
      </w:r>
      <w:r>
        <w:t xml:space="preserve"> R.C. 4905.06.</w:t>
      </w:r>
    </w:p>
  </w:footnote>
  <w:footnote w:id="11">
    <w:p w:rsidR="00171D46" w:rsidRPr="00CC266C" w:rsidP="00171D46" w14:paraId="2A8D4B7C" w14:textId="77777777">
      <w:pPr>
        <w:pStyle w:val="FootnoteText"/>
        <w:spacing w:after="120"/>
        <w:rPr>
          <w:i/>
          <w:iCs/>
        </w:rPr>
      </w:pPr>
      <w:r>
        <w:rPr>
          <w:rStyle w:val="FootnoteReference"/>
        </w:rPr>
        <w:footnoteRef/>
      </w:r>
      <w:r>
        <w:t xml:space="preserve"> </w:t>
      </w:r>
      <w:r>
        <w:rPr>
          <w:i/>
          <w:iCs/>
        </w:rPr>
        <w:t>See id.</w:t>
      </w:r>
    </w:p>
  </w:footnote>
  <w:footnote w:id="12">
    <w:p w:rsidR="00171D46" w:rsidRPr="00CC266C" w:rsidP="00171D46" w14:paraId="0995983C" w14:textId="77777777">
      <w:pPr>
        <w:pStyle w:val="FootnoteText"/>
        <w:spacing w:after="120"/>
        <w:rPr>
          <w:i/>
          <w:iCs/>
        </w:rPr>
      </w:pPr>
      <w:r>
        <w:rPr>
          <w:rStyle w:val="FootnoteReference"/>
        </w:rPr>
        <w:footnoteRef/>
      </w:r>
      <w:r>
        <w:t xml:space="preserve"> </w:t>
      </w:r>
      <w:r>
        <w:rPr>
          <w:i/>
          <w:iCs/>
        </w:rPr>
        <w:t>See id.</w:t>
      </w:r>
    </w:p>
  </w:footnote>
  <w:footnote w:id="13">
    <w:p w:rsidR="00171D46" w:rsidP="00171D46" w14:paraId="4AFDF483" w14:textId="77777777">
      <w:pPr>
        <w:pStyle w:val="FootnoteText"/>
        <w:spacing w:after="120"/>
      </w:pPr>
      <w:r>
        <w:rPr>
          <w:rStyle w:val="FootnoteReference"/>
        </w:rPr>
        <w:footnoteRef/>
      </w:r>
      <w:r>
        <w:t xml:space="preserve"> Ohio Adm. Code 4901:1-29.</w:t>
      </w:r>
    </w:p>
  </w:footnote>
  <w:footnote w:id="14">
    <w:p w:rsidR="00D9018A" w:rsidRPr="00D9018A" w:rsidP="00ED2957" w14:paraId="76C26AE4" w14:textId="7A595DC9">
      <w:pPr>
        <w:pStyle w:val="FootnoteText"/>
        <w:spacing w:after="120"/>
      </w:pPr>
      <w:r>
        <w:rPr>
          <w:rStyle w:val="FootnoteReference"/>
        </w:rPr>
        <w:footnoteRef/>
      </w:r>
      <w:r>
        <w:t xml:space="preserve"> </w:t>
      </w:r>
      <w:r>
        <w:rPr>
          <w:i/>
          <w:iCs/>
        </w:rPr>
        <w:t xml:space="preserve">See </w:t>
      </w:r>
      <w:r>
        <w:t>Opinion and Order at ¶ 84.</w:t>
      </w:r>
    </w:p>
  </w:footnote>
  <w:footnote w:id="15">
    <w:p w:rsidR="00171D46" w:rsidP="00ED2957" w14:paraId="0B9A20B5" w14:textId="52718CF0">
      <w:pPr>
        <w:pStyle w:val="FootnoteText"/>
        <w:spacing w:after="120"/>
      </w:pPr>
      <w:r>
        <w:rPr>
          <w:rStyle w:val="FootnoteReference"/>
        </w:rPr>
        <w:footnoteRef/>
      </w:r>
      <w:r>
        <w:t xml:space="preserve"> Ohio Adm. Code 4901:1-9-06</w:t>
      </w:r>
      <w:r w:rsidR="00ED2957">
        <w:t>.</w:t>
      </w:r>
    </w:p>
  </w:footnote>
  <w:footnote w:id="16">
    <w:p w:rsidR="00171D46" w:rsidP="00ED2957" w14:paraId="32E56E6F" w14:textId="474FE332">
      <w:pPr>
        <w:pStyle w:val="FootnoteText"/>
        <w:spacing w:after="120"/>
      </w:pPr>
      <w:r>
        <w:rPr>
          <w:rStyle w:val="FootnoteReference"/>
        </w:rPr>
        <w:footnoteRef/>
      </w:r>
      <w:r>
        <w:t xml:space="preserve"> Ohio Revised Code 4929.02(A)(1).</w:t>
      </w:r>
      <w:r w:rsidR="00834259">
        <w:t xml:space="preserve"> </w:t>
      </w:r>
    </w:p>
  </w:footnote>
  <w:footnote w:id="17">
    <w:p w:rsidR="00171D46" w:rsidP="00ED2957" w14:paraId="26CA7862" w14:textId="77777777">
      <w:pPr>
        <w:pStyle w:val="FootnoteText"/>
        <w:spacing w:after="120"/>
      </w:pPr>
      <w:r>
        <w:rPr>
          <w:rStyle w:val="FootnoteReference"/>
        </w:rPr>
        <w:footnoteRef/>
      </w:r>
      <w:r>
        <w:t xml:space="preserve"> Ohio Adm. Code 4901:1-13-03.</w:t>
      </w:r>
    </w:p>
  </w:footnote>
  <w:footnote w:id="18">
    <w:p w:rsidR="00AE10BA" w:rsidP="00ED2957" w14:paraId="6180024F" w14:textId="77777777">
      <w:pPr>
        <w:pStyle w:val="FootnoteText"/>
        <w:spacing w:after="120"/>
      </w:pPr>
      <w:r>
        <w:rPr>
          <w:rStyle w:val="FootnoteReference"/>
        </w:rPr>
        <w:footnoteRef/>
      </w:r>
      <w:r>
        <w:t xml:space="preserve"> R.C. 4905.06.</w:t>
      </w:r>
    </w:p>
  </w:footnote>
  <w:footnote w:id="19">
    <w:p w:rsidR="00595F51" w:rsidRPr="00595F51" w:rsidP="00ED2957" w14:paraId="6CE72B0B" w14:textId="327EA637">
      <w:pPr>
        <w:pStyle w:val="FootnoteText"/>
        <w:spacing w:after="120"/>
        <w:rPr>
          <w:i/>
          <w:iCs/>
        </w:rPr>
      </w:pPr>
      <w:r>
        <w:rPr>
          <w:rStyle w:val="FootnoteReference"/>
        </w:rPr>
        <w:footnoteRef/>
      </w:r>
      <w:r>
        <w:t xml:space="preserve"> </w:t>
      </w:r>
      <w:r>
        <w:rPr>
          <w:i/>
          <w:iCs/>
        </w:rPr>
        <w:t>See id.</w:t>
      </w:r>
    </w:p>
  </w:footnote>
  <w:footnote w:id="20">
    <w:p w:rsidR="00595F51" w:rsidP="00595F51" w14:paraId="3A9DD4FD" w14:textId="77777777">
      <w:pPr>
        <w:pStyle w:val="FootnoteText"/>
        <w:spacing w:after="120"/>
      </w:pPr>
      <w:r>
        <w:rPr>
          <w:rStyle w:val="FootnoteReference"/>
        </w:rPr>
        <w:footnoteRef/>
      </w:r>
      <w:r>
        <w:t xml:space="preserve"> Ohio Revised Code 4929.02(A).</w:t>
      </w:r>
    </w:p>
  </w:footnote>
  <w:footnote w:id="21">
    <w:p w:rsidR="00595F51" w:rsidRPr="00834259" w:rsidP="00595F51" w14:paraId="5400CD98" w14:textId="0F4C9D60">
      <w:pPr>
        <w:pStyle w:val="FootnoteText"/>
        <w:spacing w:after="120"/>
      </w:pPr>
      <w:r>
        <w:rPr>
          <w:rStyle w:val="FootnoteReference"/>
        </w:rPr>
        <w:footnoteRef/>
      </w:r>
      <w:r>
        <w:t xml:space="preserve"> </w:t>
      </w:r>
      <w:r>
        <w:rPr>
          <w:i/>
          <w:iCs/>
        </w:rPr>
        <w:t>See id.</w:t>
      </w:r>
      <w:r w:rsidR="00834259">
        <w:rPr>
          <w:i/>
          <w:iCs/>
        </w:rPr>
        <w:t xml:space="preserve"> </w:t>
      </w:r>
      <w:r w:rsidR="004270DA">
        <w:t xml:space="preserve">RESA </w:t>
      </w:r>
      <w:r w:rsidRPr="00834259" w:rsidR="004270DA">
        <w:rPr>
          <w:i/>
          <w:iCs/>
        </w:rPr>
        <w:t>asserts</w:t>
      </w:r>
      <w:r w:rsidR="004270DA">
        <w:t xml:space="preserve"> that the PUCO</w:t>
      </w:r>
      <w:r w:rsidR="00834259">
        <w:t>’</w:t>
      </w:r>
      <w:r w:rsidR="004270DA">
        <w:t>s consumer protections are unlawful.</w:t>
      </w:r>
      <w:r w:rsidR="00834259">
        <w:t xml:space="preserve"> </w:t>
      </w:r>
      <w:r w:rsidR="004270DA">
        <w:t>It says: “although Ohio law and the Commission</w:t>
      </w:r>
      <w:r w:rsidR="00834259">
        <w:t>’</w:t>
      </w:r>
      <w:r w:rsidR="004270DA">
        <w:t>s rules does not prohibit the Top 25% list</w:t>
      </w:r>
      <w:r w:rsidR="00FF4CC2">
        <w:t xml:space="preserve"> . . . the Commission has unilaterally imposed additional requirements on the implementation and use of that list . . . .</w:t>
      </w:r>
      <w:r w:rsidR="004270DA">
        <w:t>”</w:t>
      </w:r>
      <w:r w:rsidR="00834259">
        <w:t xml:space="preserve"> </w:t>
      </w:r>
      <w:r w:rsidR="004270DA">
        <w:t>Application for Rehearing at 19.</w:t>
      </w:r>
      <w:r w:rsidR="00834259">
        <w:t xml:space="preserve"> </w:t>
      </w:r>
      <w:r w:rsidR="004270DA">
        <w:t>As described herein, the Opinion and Order simply integrates consumer protections into any potential Top 25% List program consistent with, and based on, existing PUCO authority.</w:t>
      </w:r>
      <w:r w:rsidR="00834259">
        <w:t xml:space="preserve"> </w:t>
      </w:r>
      <w:r w:rsidR="00FF4CC2">
        <w:t>That a particular program may be lawful and may at some future point in time be approved by the PUCO, does not mean that the PUCO is without authority to supplement the program with consumer protections.</w:t>
      </w:r>
      <w:r w:rsidR="00834259">
        <w:t xml:space="preserve"> </w:t>
      </w:r>
      <w:r w:rsidR="004270DA">
        <w:t>RESA</w:t>
      </w:r>
      <w:r w:rsidR="00834259">
        <w:t>’</w:t>
      </w:r>
      <w:r w:rsidR="004270DA">
        <w:t>s argument is simply a red-herring.</w:t>
      </w:r>
    </w:p>
  </w:footnote>
  <w:footnote w:id="22">
    <w:p w:rsidR="00171D46" w:rsidRPr="007E3ED4" w:rsidP="00171D46" w14:paraId="63AE4740" w14:textId="77777777">
      <w:pPr>
        <w:pStyle w:val="FootnoteText"/>
        <w:spacing w:after="120"/>
      </w:pPr>
      <w:r>
        <w:rPr>
          <w:rStyle w:val="FootnoteReference"/>
        </w:rPr>
        <w:footnoteRef/>
      </w:r>
      <w:r>
        <w:t xml:space="preserve"> </w:t>
      </w:r>
      <w:r>
        <w:rPr>
          <w:i/>
          <w:iCs/>
        </w:rPr>
        <w:t xml:space="preserve">See, e.g., </w:t>
      </w:r>
      <w:r>
        <w:t>Application for Rehearing at 13-17.</w:t>
      </w:r>
    </w:p>
  </w:footnote>
  <w:footnote w:id="23">
    <w:p w:rsidR="00581356" w:rsidRPr="00581356" w:rsidP="00ED2957" w14:paraId="5A43EEE5" w14:textId="0935C616">
      <w:pPr>
        <w:pStyle w:val="FootnoteText"/>
        <w:spacing w:after="120"/>
      </w:pPr>
      <w:r>
        <w:rPr>
          <w:rStyle w:val="FootnoteReference"/>
        </w:rPr>
        <w:footnoteRef/>
      </w:r>
      <w:r>
        <w:t xml:space="preserve"> </w:t>
      </w:r>
      <w:r>
        <w:rPr>
          <w:i/>
          <w:iCs/>
        </w:rPr>
        <w:t xml:space="preserve">See </w:t>
      </w:r>
      <w:r>
        <w:t>Opinion and Order at ¶ 87</w:t>
      </w:r>
      <w:r w:rsidR="00185280">
        <w:t>-88</w:t>
      </w:r>
      <w:r>
        <w:t>.</w:t>
      </w:r>
    </w:p>
  </w:footnote>
  <w:footnote w:id="24">
    <w:p w:rsidR="00171D46" w:rsidP="00ED2957" w14:paraId="2FF03C9E" w14:textId="77777777">
      <w:pPr>
        <w:pStyle w:val="FootnoteText"/>
        <w:spacing w:after="120"/>
      </w:pPr>
      <w:r>
        <w:rPr>
          <w:rStyle w:val="FootnoteReference"/>
        </w:rPr>
        <w:footnoteRef/>
      </w:r>
      <w:r>
        <w:t xml:space="preserve"> Ohio Adm. Code 4901:1-13-14.</w:t>
      </w:r>
    </w:p>
  </w:footnote>
  <w:footnote w:id="25">
    <w:p w:rsidR="00171D46" w:rsidP="00ED2957" w14:paraId="2E523A96" w14:textId="77777777">
      <w:pPr>
        <w:pStyle w:val="FootnoteText"/>
        <w:spacing w:after="120"/>
      </w:pPr>
      <w:r>
        <w:rPr>
          <w:rStyle w:val="FootnoteReference"/>
        </w:rPr>
        <w:footnoteRef/>
      </w:r>
      <w:r>
        <w:t xml:space="preserve"> </w:t>
      </w:r>
      <w:r w:rsidRPr="00C755C2">
        <w:rPr>
          <w:i/>
          <w:iCs/>
        </w:rPr>
        <w:t>Id</w:t>
      </w:r>
      <w:r>
        <w:t xml:space="preserve">. </w:t>
      </w:r>
    </w:p>
  </w:footnote>
  <w:footnote w:id="26">
    <w:p w:rsidR="00F879C4" w:rsidRPr="00F879C4" w:rsidP="00ED2957" w14:paraId="1837A1DE" w14:textId="01EB2623">
      <w:pPr>
        <w:pStyle w:val="FootnoteText"/>
        <w:spacing w:after="120"/>
        <w:rPr>
          <w:i/>
          <w:iCs/>
        </w:rPr>
      </w:pPr>
      <w:r>
        <w:rPr>
          <w:rStyle w:val="FootnoteReference"/>
        </w:rPr>
        <w:footnoteRef/>
      </w:r>
      <w:r>
        <w:t xml:space="preserve"> </w:t>
      </w:r>
      <w:r>
        <w:rPr>
          <w:i/>
          <w:iCs/>
        </w:rPr>
        <w:t>Id.</w:t>
      </w:r>
    </w:p>
  </w:footnote>
  <w:footnote w:id="27">
    <w:p w:rsidR="00F879C4" w:rsidP="00ED2957" w14:paraId="73960FF9" w14:textId="45EFC14B">
      <w:pPr>
        <w:pStyle w:val="FootnoteText"/>
        <w:spacing w:after="120"/>
      </w:pPr>
      <w:r>
        <w:rPr>
          <w:rStyle w:val="FootnoteReference"/>
        </w:rPr>
        <w:footnoteRef/>
      </w:r>
      <w:r>
        <w:t xml:space="preserve"> Opinion and Order at ¶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7B8B" w14:paraId="765AD48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60057C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8F8751C"/>
    <w:lvl w:ilvl="0">
      <w:start w:val="1"/>
      <w:numFmt w:val="decimal"/>
      <w:lvlText w:val="%1."/>
      <w:lvlJc w:val="left"/>
      <w:pPr>
        <w:tabs>
          <w:tab w:val="num" w:pos="1800"/>
        </w:tabs>
        <w:ind w:left="1800" w:hanging="360"/>
      </w:pPr>
    </w:lvl>
  </w:abstractNum>
  <w:abstractNum w:abstractNumId="2">
    <w:nsid w:val="FFFFFF7D"/>
    <w:multiLevelType w:val="singleLevel"/>
    <w:tmpl w:val="F9CE148A"/>
    <w:lvl w:ilvl="0">
      <w:start w:val="1"/>
      <w:numFmt w:val="decimal"/>
      <w:lvlText w:val="%1."/>
      <w:lvlJc w:val="left"/>
      <w:pPr>
        <w:tabs>
          <w:tab w:val="num" w:pos="1440"/>
        </w:tabs>
        <w:ind w:left="1440" w:hanging="360"/>
      </w:pPr>
    </w:lvl>
  </w:abstractNum>
  <w:abstractNum w:abstractNumId="3">
    <w:nsid w:val="FFFFFF7E"/>
    <w:multiLevelType w:val="singleLevel"/>
    <w:tmpl w:val="555ACA20"/>
    <w:lvl w:ilvl="0">
      <w:start w:val="1"/>
      <w:numFmt w:val="decimal"/>
      <w:lvlText w:val="%1."/>
      <w:lvlJc w:val="left"/>
      <w:pPr>
        <w:tabs>
          <w:tab w:val="num" w:pos="1080"/>
        </w:tabs>
        <w:ind w:left="1080" w:hanging="360"/>
      </w:pPr>
    </w:lvl>
  </w:abstractNum>
  <w:abstractNum w:abstractNumId="4">
    <w:nsid w:val="FFFFFF7F"/>
    <w:multiLevelType w:val="singleLevel"/>
    <w:tmpl w:val="1C7E8D7C"/>
    <w:lvl w:ilvl="0">
      <w:start w:val="1"/>
      <w:numFmt w:val="decimal"/>
      <w:lvlText w:val="%1."/>
      <w:lvlJc w:val="left"/>
      <w:pPr>
        <w:tabs>
          <w:tab w:val="num" w:pos="720"/>
        </w:tabs>
        <w:ind w:left="720" w:hanging="360"/>
      </w:pPr>
    </w:lvl>
  </w:abstractNum>
  <w:abstractNum w:abstractNumId="5">
    <w:nsid w:val="FFFFFF80"/>
    <w:multiLevelType w:val="singleLevel"/>
    <w:tmpl w:val="EA402C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84C9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71AC2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74651B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134764E"/>
    <w:lvl w:ilvl="0">
      <w:start w:val="1"/>
      <w:numFmt w:val="decimal"/>
      <w:lvlText w:val="%1."/>
      <w:lvlJc w:val="left"/>
      <w:pPr>
        <w:tabs>
          <w:tab w:val="num" w:pos="360"/>
        </w:tabs>
        <w:ind w:left="360" w:hanging="360"/>
      </w:pPr>
    </w:lvl>
  </w:abstractNum>
  <w:abstractNum w:abstractNumId="10">
    <w:nsid w:val="FFFFFF89"/>
    <w:multiLevelType w:val="singleLevel"/>
    <w:tmpl w:val="9404F300"/>
    <w:lvl w:ilvl="0">
      <w:start w:val="1"/>
      <w:numFmt w:val="bullet"/>
      <w:lvlText w:val=""/>
      <w:lvlJc w:val="left"/>
      <w:pPr>
        <w:tabs>
          <w:tab w:val="num" w:pos="360"/>
        </w:tabs>
        <w:ind w:left="360" w:hanging="360"/>
      </w:pPr>
      <w:rPr>
        <w:rFonts w:ascii="Symbol" w:hAnsi="Symbol" w:hint="default"/>
      </w:rPr>
    </w:lvl>
  </w:abstractNum>
  <w:abstractNum w:abstractNumId="11">
    <w:nsid w:val="12C42282"/>
    <w:multiLevelType w:val="hybridMultilevel"/>
    <w:tmpl w:val="DA4291C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6AE1C41"/>
    <w:multiLevelType w:val="hybridMultilevel"/>
    <w:tmpl w:val="A5BCCA2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280183B"/>
    <w:multiLevelType w:val="hybridMultilevel"/>
    <w:tmpl w:val="3F343114"/>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37323DFA"/>
    <w:multiLevelType w:val="hybridMultilevel"/>
    <w:tmpl w:val="CB3672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3C2170D0"/>
    <w:multiLevelType w:val="hybridMultilevel"/>
    <w:tmpl w:val="34E8EF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47984573"/>
    <w:multiLevelType w:val="hybridMultilevel"/>
    <w:tmpl w:val="AB7099C2"/>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4FD561EF"/>
    <w:multiLevelType w:val="hybridMultilevel"/>
    <w:tmpl w:val="3870846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3BD4384"/>
    <w:multiLevelType w:val="hybridMultilevel"/>
    <w:tmpl w:val="D1508AA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57A5196A"/>
    <w:multiLevelType w:val="hybridMultilevel"/>
    <w:tmpl w:val="7E60C1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B0E7A55"/>
    <w:multiLevelType w:val="hybridMultilevel"/>
    <w:tmpl w:val="246EE74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6B112E73"/>
    <w:multiLevelType w:val="hybridMultilevel"/>
    <w:tmpl w:val="256C085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769D4646"/>
    <w:multiLevelType w:val="hybridMultilevel"/>
    <w:tmpl w:val="7B04E922"/>
    <w:lvl w:ilvl="0">
      <w:start w:val="1"/>
      <w:numFmt w:val="upperRoman"/>
      <w:lvlText w:val="%1."/>
      <w:lvlJc w:val="left"/>
      <w:pPr>
        <w:ind w:left="1080" w:hanging="720"/>
      </w:pPr>
      <w:rPr>
        <w:rFonts w:ascii="Times New Roman" w:eastAsia="Times New Roman" w:hAnsi="Times New Roman" w:cs="Times New Roman" w:hint="default"/>
        <w:color w:val="0000FF"/>
        <w:sz w:val="24"/>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6"/>
  </w:num>
  <w:num w:numId="3">
    <w:abstractNumId w:val="0"/>
  </w:num>
  <w:num w:numId="4">
    <w:abstractNumId w:val="21"/>
  </w:num>
  <w:num w:numId="5">
    <w:abstractNumId w:val="13"/>
  </w:num>
  <w:num w:numId="6">
    <w:abstractNumId w:val="19"/>
  </w:num>
  <w:num w:numId="7">
    <w:abstractNumId w:val="1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 w:numId="19">
    <w:abstractNumId w:val="22"/>
  </w:num>
  <w:num w:numId="20">
    <w:abstractNumId w:val="14"/>
  </w:num>
  <w:num w:numId="21">
    <w:abstractNumId w:val="12"/>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A7C"/>
    <w:rsid w:val="000454D8"/>
    <w:rsid w:val="0005066B"/>
    <w:rsid w:val="00077338"/>
    <w:rsid w:val="00085A8D"/>
    <w:rsid w:val="000C1535"/>
    <w:rsid w:val="000F6D95"/>
    <w:rsid w:val="0012062F"/>
    <w:rsid w:val="0012587D"/>
    <w:rsid w:val="00171D46"/>
    <w:rsid w:val="00185280"/>
    <w:rsid w:val="00186830"/>
    <w:rsid w:val="001915AB"/>
    <w:rsid w:val="00195A9A"/>
    <w:rsid w:val="001D74EF"/>
    <w:rsid w:val="00212149"/>
    <w:rsid w:val="002126E0"/>
    <w:rsid w:val="00231BED"/>
    <w:rsid w:val="00261E87"/>
    <w:rsid w:val="00262978"/>
    <w:rsid w:val="0029024A"/>
    <w:rsid w:val="00296FEE"/>
    <w:rsid w:val="002A1200"/>
    <w:rsid w:val="002A1C42"/>
    <w:rsid w:val="002A657D"/>
    <w:rsid w:val="002B16F0"/>
    <w:rsid w:val="002C56DF"/>
    <w:rsid w:val="002F1144"/>
    <w:rsid w:val="002F5434"/>
    <w:rsid w:val="0033271D"/>
    <w:rsid w:val="003533EB"/>
    <w:rsid w:val="003609FF"/>
    <w:rsid w:val="00404B23"/>
    <w:rsid w:val="00421F2C"/>
    <w:rsid w:val="00425ED6"/>
    <w:rsid w:val="004270DA"/>
    <w:rsid w:val="00440A17"/>
    <w:rsid w:val="0045285A"/>
    <w:rsid w:val="004574BB"/>
    <w:rsid w:val="00465484"/>
    <w:rsid w:val="004861A5"/>
    <w:rsid w:val="00492712"/>
    <w:rsid w:val="004A7F50"/>
    <w:rsid w:val="004B19FB"/>
    <w:rsid w:val="004B5190"/>
    <w:rsid w:val="004F525A"/>
    <w:rsid w:val="00546450"/>
    <w:rsid w:val="00581356"/>
    <w:rsid w:val="00595F51"/>
    <w:rsid w:val="00597DD7"/>
    <w:rsid w:val="005E5D3F"/>
    <w:rsid w:val="00615923"/>
    <w:rsid w:val="00641AF3"/>
    <w:rsid w:val="0065354F"/>
    <w:rsid w:val="00661CD3"/>
    <w:rsid w:val="00673B5F"/>
    <w:rsid w:val="006767E5"/>
    <w:rsid w:val="00693944"/>
    <w:rsid w:val="006D2A8B"/>
    <w:rsid w:val="006E28CF"/>
    <w:rsid w:val="0071052A"/>
    <w:rsid w:val="00732C1D"/>
    <w:rsid w:val="00735F97"/>
    <w:rsid w:val="007453F4"/>
    <w:rsid w:val="00755622"/>
    <w:rsid w:val="0076792B"/>
    <w:rsid w:val="0078652F"/>
    <w:rsid w:val="007938D2"/>
    <w:rsid w:val="007B376B"/>
    <w:rsid w:val="007E228C"/>
    <w:rsid w:val="007E3ED4"/>
    <w:rsid w:val="007F1689"/>
    <w:rsid w:val="007F3EEA"/>
    <w:rsid w:val="0082054B"/>
    <w:rsid w:val="00834259"/>
    <w:rsid w:val="00834D6E"/>
    <w:rsid w:val="00836B87"/>
    <w:rsid w:val="00845667"/>
    <w:rsid w:val="00875C93"/>
    <w:rsid w:val="00897F5E"/>
    <w:rsid w:val="008A2B55"/>
    <w:rsid w:val="008B1FB6"/>
    <w:rsid w:val="008B6B29"/>
    <w:rsid w:val="008B7B4F"/>
    <w:rsid w:val="008E07F1"/>
    <w:rsid w:val="00911F35"/>
    <w:rsid w:val="009312F3"/>
    <w:rsid w:val="00943EB1"/>
    <w:rsid w:val="00952A7C"/>
    <w:rsid w:val="009609C8"/>
    <w:rsid w:val="00971AB0"/>
    <w:rsid w:val="00984B50"/>
    <w:rsid w:val="00987A72"/>
    <w:rsid w:val="009D2D8D"/>
    <w:rsid w:val="009E2AC4"/>
    <w:rsid w:val="00A15022"/>
    <w:rsid w:val="00A329C2"/>
    <w:rsid w:val="00A46CDB"/>
    <w:rsid w:val="00A52D51"/>
    <w:rsid w:val="00A97E4E"/>
    <w:rsid w:val="00AA08F2"/>
    <w:rsid w:val="00AA7B8B"/>
    <w:rsid w:val="00AB237D"/>
    <w:rsid w:val="00AD1E0C"/>
    <w:rsid w:val="00AD52E4"/>
    <w:rsid w:val="00AE10BA"/>
    <w:rsid w:val="00AF081A"/>
    <w:rsid w:val="00AF4456"/>
    <w:rsid w:val="00B145CE"/>
    <w:rsid w:val="00B72A48"/>
    <w:rsid w:val="00B81C69"/>
    <w:rsid w:val="00BB1D2E"/>
    <w:rsid w:val="00BE261E"/>
    <w:rsid w:val="00C37836"/>
    <w:rsid w:val="00C47E5B"/>
    <w:rsid w:val="00C755C2"/>
    <w:rsid w:val="00CA65BA"/>
    <w:rsid w:val="00CC266C"/>
    <w:rsid w:val="00CC3B37"/>
    <w:rsid w:val="00CD4C8A"/>
    <w:rsid w:val="00D9018A"/>
    <w:rsid w:val="00D97550"/>
    <w:rsid w:val="00DC2B7B"/>
    <w:rsid w:val="00E1160D"/>
    <w:rsid w:val="00E30AC8"/>
    <w:rsid w:val="00E53620"/>
    <w:rsid w:val="00E64F04"/>
    <w:rsid w:val="00E666E3"/>
    <w:rsid w:val="00E7600C"/>
    <w:rsid w:val="00EA2E53"/>
    <w:rsid w:val="00EB2F75"/>
    <w:rsid w:val="00EB6CF9"/>
    <w:rsid w:val="00ED2957"/>
    <w:rsid w:val="00EF5ED9"/>
    <w:rsid w:val="00F27097"/>
    <w:rsid w:val="00F2718B"/>
    <w:rsid w:val="00F83643"/>
    <w:rsid w:val="00F879C4"/>
    <w:rsid w:val="00FD0B7F"/>
    <w:rsid w:val="00FD43E0"/>
    <w:rsid w:val="00FD78F7"/>
    <w:rsid w:val="00FF1D40"/>
    <w:rsid w:val="00FF4CC2"/>
  </w:rsids>
  <m:mathPr>
    <m:mathFont m:val="Cambria Math"/>
    <m:dispDef m:val="0"/>
    <m:wrapRight/>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AF3"/>
  </w:style>
  <w:style w:type="paragraph" w:styleId="Heading1">
    <w:name w:val="heading 1"/>
    <w:basedOn w:val="Normal"/>
    <w:next w:val="Normal"/>
    <w:link w:val="Heading1Char"/>
    <w:autoRedefine/>
    <w:qFormat/>
    <w:rsid w:val="00485EB5"/>
    <w:pPr>
      <w:keepNext/>
      <w:tabs>
        <w:tab w:val="decimal" w:leader="dot" w:pos="8640"/>
      </w:tabs>
      <w:spacing w:after="240"/>
      <w:ind w:left="720" w:hanging="720"/>
      <w:outlineLvl w:val="0"/>
    </w:pPr>
    <w:rPr>
      <w:b/>
      <w:bCs/>
      <w:caps/>
    </w:rPr>
  </w:style>
  <w:style w:type="paragraph" w:styleId="Heading2">
    <w:name w:val="heading 2"/>
    <w:basedOn w:val="Normal"/>
    <w:next w:val="Normal"/>
    <w:autoRedefine/>
    <w:qFormat/>
    <w:rsid w:val="008A2B55"/>
    <w:pPr>
      <w:keepNext/>
      <w:spacing w:after="240"/>
      <w:outlineLvl w:val="1"/>
    </w:pPr>
    <w:rPr>
      <w:b/>
    </w:rPr>
  </w:style>
  <w:style w:type="paragraph" w:styleId="Heading3">
    <w:name w:val="heading 3"/>
    <w:basedOn w:val="Normal"/>
    <w:next w:val="Normal"/>
    <w:autoRedefine/>
    <w:qFormat/>
    <w:rsid w:val="00F97A77"/>
    <w:pPr>
      <w:keepNext/>
      <w:numPr>
        <w:numId w:val="2"/>
      </w:numPr>
      <w:spacing w:after="240"/>
      <w:ind w:left="0" w:firstLine="0"/>
      <w:outlineLvl w:val="2"/>
    </w:pPr>
    <w:rPr>
      <w:rFonts w:cs="Arial"/>
      <w:b/>
      <w:bCs/>
    </w:rPr>
  </w:style>
  <w:style w:type="paragraph" w:styleId="Heading4">
    <w:name w:val="heading 4"/>
    <w:basedOn w:val="Normal"/>
    <w:next w:val="Normal"/>
    <w:autoRedefine/>
    <w:qFormat/>
    <w:rsid w:val="00276D5D"/>
    <w:pPr>
      <w:keepNext/>
      <w:tabs>
        <w:tab w:val="decimal" w:leader="dot" w:pos="7920"/>
      </w:tabs>
      <w:spacing w:after="240"/>
      <w:ind w:left="2880" w:hanging="720"/>
      <w:outlineLvl w:val="3"/>
    </w:pPr>
    <w:rPr>
      <w:rFonts w:ascii="Times New Roman Bold" w:hAnsi="Times New Roman Bold"/>
      <w:bCs/>
    </w:rPr>
  </w:style>
  <w:style w:type="paragraph" w:styleId="Heading5">
    <w:name w:val="heading 5"/>
    <w:basedOn w:val="Normal"/>
    <w:next w:val="Normal"/>
    <w:autoRedefine/>
    <w:qFormat/>
    <w:rsid w:val="00B642F9"/>
    <w:pPr>
      <w:spacing w:after="240"/>
      <w:ind w:left="3600" w:hanging="720"/>
      <w:outlineLvl w:val="4"/>
    </w:pPr>
    <w:rPr>
      <w:rFonts w:ascii="Times New Roman Bold" w:hAnsi="Times New Roman Bold"/>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64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aliases w:val=" Char1"/>
    <w:basedOn w:val="Normal"/>
    <w:link w:val="FooterChar"/>
    <w:uiPriority w:val="99"/>
    <w:rsid w:val="00B642F9"/>
    <w:pPr>
      <w:tabs>
        <w:tab w:val="center" w:pos="4320"/>
        <w:tab w:val="right" w:pos="8640"/>
      </w:tabs>
    </w:pPr>
    <w:rPr>
      <w:sz w:val="20"/>
    </w:rPr>
  </w:style>
  <w:style w:type="paragraph" w:styleId="FootnoteText">
    <w:name w:val="footnote text"/>
    <w:aliases w:val="ALTS FOOTNOTE,Car,Footnote Text Char,Footnote Text Char Char,Footnote Text Char Char Char Char,Footnote Text Char1,Footnote Text Char1 Char Char1,Footnote Text Char1 Char Char1 Char Char Char,Footnote Text Char2 Char Char Char Char1,fn"/>
    <w:basedOn w:val="Normal"/>
    <w:link w:val="FootnoteTextChar2"/>
    <w:uiPriority w:val="99"/>
    <w:qFormat/>
    <w:rsid w:val="00B642F9"/>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B642F9"/>
    <w:rPr>
      <w:vertAlign w:val="superscript"/>
    </w:rPr>
  </w:style>
  <w:style w:type="paragraph" w:styleId="BodyTextIndent">
    <w:name w:val="Body Text Indent"/>
    <w:basedOn w:val="Normal"/>
    <w:link w:val="BodyTextIndentChar"/>
    <w:rsid w:val="00B642F9"/>
    <w:pPr>
      <w:spacing w:line="480" w:lineRule="auto"/>
      <w:ind w:firstLine="720"/>
    </w:pPr>
  </w:style>
  <w:style w:type="paragraph" w:styleId="BodyTextIndent3">
    <w:name w:val="Body Text Indent 3"/>
    <w:basedOn w:val="Normal"/>
    <w:rsid w:val="00B642F9"/>
    <w:pPr>
      <w:spacing w:line="480" w:lineRule="atLeast"/>
      <w:ind w:firstLine="720"/>
    </w:pPr>
  </w:style>
  <w:style w:type="paragraph" w:styleId="BodyTextIndent2">
    <w:name w:val="Body Text Indent 2"/>
    <w:basedOn w:val="Normal"/>
    <w:rsid w:val="00B642F9"/>
    <w:pPr>
      <w:tabs>
        <w:tab w:val="left" w:pos="720"/>
      </w:tabs>
      <w:spacing w:before="240" w:after="240"/>
      <w:ind w:left="1464" w:hanging="744"/>
    </w:pPr>
  </w:style>
  <w:style w:type="character" w:styleId="PageNumber">
    <w:name w:val="page number"/>
    <w:basedOn w:val="DefaultParagraphFont"/>
    <w:rsid w:val="00B642F9"/>
  </w:style>
  <w:style w:type="paragraph" w:styleId="BodyText">
    <w:name w:val="Body Text"/>
    <w:basedOn w:val="Normal"/>
    <w:link w:val="BodyTextChar"/>
    <w:rsid w:val="00B642F9"/>
    <w:pPr>
      <w:jc w:val="both"/>
    </w:pPr>
  </w:style>
  <w:style w:type="paragraph" w:styleId="CommentText">
    <w:name w:val="annotation text"/>
    <w:basedOn w:val="Normal"/>
    <w:link w:val="CommentTextChar"/>
    <w:uiPriority w:val="99"/>
    <w:semiHidden/>
    <w:rsid w:val="00B642F9"/>
  </w:style>
  <w:style w:type="paragraph" w:styleId="CommentSubject">
    <w:name w:val="annotation subject"/>
    <w:basedOn w:val="CommentText"/>
    <w:next w:val="CommentText"/>
    <w:semiHidden/>
    <w:rsid w:val="00B642F9"/>
    <w:rPr>
      <w:szCs w:val="20"/>
    </w:rPr>
  </w:style>
  <w:style w:type="table" w:styleId="TableGrid">
    <w:name w:val="Table Grid"/>
    <w:basedOn w:val="TableNormal"/>
    <w:rsid w:val="00B64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B642F9"/>
    <w:pPr>
      <w:suppressAutoHyphens/>
      <w:spacing w:line="480" w:lineRule="atLeast"/>
      <w:ind w:firstLine="720"/>
    </w:pPr>
    <w:rPr>
      <w:lang w:eastAsia="ar-SA"/>
    </w:rPr>
  </w:style>
  <w:style w:type="paragraph" w:styleId="BalloonText">
    <w:name w:val="Balloon Text"/>
    <w:basedOn w:val="Normal"/>
    <w:semiHidden/>
    <w:rsid w:val="00B642F9"/>
    <w:rPr>
      <w:rFonts w:ascii="Tahoma" w:hAnsi="Tahoma" w:cs="Tahoma"/>
      <w:sz w:val="16"/>
      <w:szCs w:val="16"/>
    </w:rPr>
  </w:style>
  <w:style w:type="character" w:styleId="CommentReference">
    <w:name w:val="annotation reference"/>
    <w:uiPriority w:val="99"/>
    <w:semiHidden/>
    <w:rsid w:val="00B642F9"/>
    <w:rPr>
      <w:sz w:val="18"/>
    </w:rPr>
  </w:style>
  <w:style w:type="character" w:styleId="Hyperlink">
    <w:name w:val="Hyperlink"/>
    <w:uiPriority w:val="99"/>
    <w:rsid w:val="00B642F9"/>
    <w:rPr>
      <w:color w:val="0000FF"/>
      <w:u w:val="single"/>
    </w:rPr>
  </w:style>
  <w:style w:type="character" w:customStyle="1" w:styleId="FootnoteTextChar2">
    <w:name w:val="Footnote Text Char2"/>
    <w:aliases w:val="ALTS FOOTNOTE Char,Car Char,Footnote Text Char Char Char,Footnote Text Char Char Char Char Char,Footnote Text Char Char2,Footnote Text Char1 Char,Footnote Text Char1 Char Char1 Char,Footnote Text Char1 Char Char1 Char Char Char Char"/>
    <w:link w:val="FootnoteText"/>
    <w:uiPriority w:val="99"/>
    <w:locked/>
    <w:rsid w:val="00B642F9"/>
    <w:rPr>
      <w:lang w:val="en-US" w:eastAsia="en-US" w:bidi="ar-SA"/>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locked/>
    <w:rsid w:val="00B642F9"/>
    <w:rPr>
      <w:lang w:val="en-US" w:eastAsia="en-US" w:bidi="ar-SA"/>
    </w:rPr>
  </w:style>
  <w:style w:type="character" w:customStyle="1" w:styleId="Heading1Char">
    <w:name w:val="Heading 1 Char"/>
    <w:link w:val="Heading1"/>
    <w:rsid w:val="00485EB5"/>
    <w:rPr>
      <w:b/>
      <w:bCs/>
      <w:caps/>
    </w:rPr>
  </w:style>
  <w:style w:type="paragraph" w:styleId="Header">
    <w:name w:val="header"/>
    <w:basedOn w:val="Normal"/>
    <w:link w:val="HeaderChar"/>
    <w:uiPriority w:val="99"/>
    <w:rsid w:val="00B642F9"/>
    <w:pPr>
      <w:tabs>
        <w:tab w:val="center" w:pos="4320"/>
        <w:tab w:val="right" w:pos="8640"/>
      </w:tabs>
    </w:pPr>
  </w:style>
  <w:style w:type="paragraph" w:customStyle="1" w:styleId="Testimony">
    <w:name w:val="Testimony"/>
    <w:basedOn w:val="A"/>
    <w:rsid w:val="00B642F9"/>
    <w:pPr>
      <w:ind w:firstLine="547"/>
    </w:pPr>
  </w:style>
  <w:style w:type="paragraph" w:styleId="TOC1">
    <w:name w:val="toc 1"/>
    <w:basedOn w:val="Normal"/>
    <w:next w:val="Normal"/>
    <w:autoRedefine/>
    <w:uiPriority w:val="39"/>
    <w:qFormat/>
    <w:rsid w:val="00B031E2"/>
    <w:pPr>
      <w:framePr w:wrap="notBeside" w:vAnchor="text" w:hAnchor="text" w:y="1"/>
      <w:tabs>
        <w:tab w:val="decimal" w:leader="dot" w:pos="8640"/>
      </w:tabs>
      <w:spacing w:after="240"/>
      <w:ind w:left="720" w:hanging="720"/>
      <w:outlineLvl w:val="0"/>
    </w:pPr>
    <w:rPr>
      <w:bCs/>
      <w:caps/>
    </w:rPr>
  </w:style>
  <w:style w:type="paragraph" w:styleId="TOC2">
    <w:name w:val="toc 2"/>
    <w:basedOn w:val="Normal"/>
    <w:next w:val="Normal"/>
    <w:autoRedefine/>
    <w:uiPriority w:val="39"/>
    <w:qFormat/>
    <w:rsid w:val="00B031E2"/>
    <w:pPr>
      <w:tabs>
        <w:tab w:val="decimal" w:leader="dot" w:pos="8640"/>
      </w:tabs>
      <w:spacing w:after="240"/>
      <w:ind w:left="720"/>
      <w:outlineLvl w:val="1"/>
    </w:pPr>
    <w:rPr>
      <w:bCs/>
    </w:rPr>
  </w:style>
  <w:style w:type="paragraph" w:styleId="TOC3">
    <w:name w:val="toc 3"/>
    <w:basedOn w:val="Normal"/>
    <w:next w:val="Normal"/>
    <w:autoRedefine/>
    <w:uiPriority w:val="39"/>
    <w:qFormat/>
    <w:rsid w:val="00F97A77"/>
    <w:pPr>
      <w:tabs>
        <w:tab w:val="decimal" w:leader="dot" w:pos="8640"/>
      </w:tabs>
      <w:spacing w:after="240"/>
    </w:pPr>
  </w:style>
  <w:style w:type="paragraph" w:customStyle="1" w:styleId="A">
    <w:name w:val="A:"/>
    <w:basedOn w:val="Normal"/>
    <w:next w:val="Testimony"/>
    <w:link w:val="AChar"/>
    <w:rsid w:val="00B642F9"/>
    <w:pPr>
      <w:spacing w:line="480" w:lineRule="exact"/>
      <w:ind w:left="547" w:hanging="547"/>
      <w:jc w:val="both"/>
    </w:pPr>
    <w:rPr>
      <w:kern w:val="22"/>
      <w:sz w:val="26"/>
    </w:rPr>
  </w:style>
  <w:style w:type="character" w:customStyle="1" w:styleId="AChar">
    <w:name w:val="A: Char"/>
    <w:link w:val="A"/>
    <w:rsid w:val="00B642F9"/>
    <w:rPr>
      <w:kern w:val="22"/>
      <w:sz w:val="26"/>
      <w:lang w:val="en-US" w:eastAsia="en-US" w:bidi="ar-SA"/>
    </w:rPr>
  </w:style>
  <w:style w:type="paragraph" w:customStyle="1" w:styleId="Q">
    <w:name w:val="Q:"/>
    <w:basedOn w:val="A"/>
    <w:next w:val="A"/>
    <w:rsid w:val="00B642F9"/>
    <w:pPr>
      <w:spacing w:before="120"/>
    </w:pPr>
    <w:rPr>
      <w:b/>
    </w:rPr>
  </w:style>
  <w:style w:type="paragraph" w:styleId="BlockText">
    <w:name w:val="Block Text"/>
    <w:basedOn w:val="Normal"/>
    <w:rsid w:val="00B642F9"/>
    <w:pPr>
      <w:tabs>
        <w:tab w:val="left" w:pos="864"/>
        <w:tab w:val="left" w:pos="1584"/>
        <w:tab w:val="left" w:pos="6768"/>
      </w:tabs>
      <w:spacing w:line="480" w:lineRule="atLeast"/>
      <w:ind w:left="864" w:right="-720" w:hanging="864"/>
    </w:pPr>
    <w:rPr>
      <w:b/>
      <w:i/>
    </w:rPr>
  </w:style>
  <w:style w:type="paragraph" w:styleId="TOC4">
    <w:name w:val="toc 4"/>
    <w:basedOn w:val="Normal"/>
    <w:next w:val="Normal"/>
    <w:autoRedefine/>
    <w:uiPriority w:val="39"/>
    <w:rsid w:val="00B642F9"/>
    <w:pPr>
      <w:tabs>
        <w:tab w:val="left" w:pos="720"/>
        <w:tab w:val="left" w:pos="1440"/>
        <w:tab w:val="left" w:pos="2160"/>
        <w:tab w:val="decimal" w:leader="dot" w:pos="8640"/>
      </w:tabs>
      <w:spacing w:after="240"/>
      <w:ind w:left="2880" w:hanging="720"/>
    </w:pPr>
  </w:style>
  <w:style w:type="paragraph" w:customStyle="1" w:styleId="Document1">
    <w:name w:val="Document 1"/>
    <w:rsid w:val="00B642F9"/>
    <w:pPr>
      <w:keepNext/>
      <w:keepLines/>
      <w:widowControl w:val="0"/>
      <w:tabs>
        <w:tab w:val="left" w:pos="-720"/>
      </w:tabs>
      <w:suppressAutoHyphens/>
      <w:autoSpaceDE w:val="0"/>
      <w:autoSpaceDN w:val="0"/>
      <w:adjustRightInd w:val="0"/>
      <w:spacing w:line="240" w:lineRule="atLeast"/>
    </w:pPr>
    <w:rPr>
      <w:rFonts w:ascii="Courier" w:hAnsi="Courier"/>
    </w:rPr>
  </w:style>
  <w:style w:type="paragraph" w:styleId="PlainText">
    <w:name w:val="Plain Text"/>
    <w:basedOn w:val="Normal"/>
    <w:link w:val="PlainTextChar"/>
    <w:unhideWhenUsed/>
    <w:rsid w:val="00B642F9"/>
    <w:rPr>
      <w:rFonts w:ascii="Consolas" w:eastAsia="Calibri" w:hAnsi="Consolas"/>
      <w:sz w:val="21"/>
      <w:szCs w:val="21"/>
    </w:rPr>
  </w:style>
  <w:style w:type="character" w:customStyle="1" w:styleId="PlainTextChar">
    <w:name w:val="Plain Text Char"/>
    <w:link w:val="PlainText"/>
    <w:rsid w:val="00B642F9"/>
    <w:rPr>
      <w:rFonts w:ascii="Consolas" w:eastAsia="Calibri" w:hAnsi="Consolas"/>
      <w:sz w:val="21"/>
      <w:szCs w:val="21"/>
      <w:lang w:val="en-US" w:eastAsia="en-US" w:bidi="ar-SA"/>
    </w:rPr>
  </w:style>
  <w:style w:type="character" w:customStyle="1" w:styleId="FootnoteTextChar1Char1">
    <w:name w:val="Footnote Text Char1 Char1"/>
    <w:aliases w:val="ALTS FOOTNOTE Char1,Footnote Text Char Char Char Char Char1,Footnote Text Char Char Char1,Footnote Text Char1 Char Char1 Char Char Char Char1,Footnote Text Char1 Char Char1 Char1,Footnote Text Char2 Char Char Char Char1 Char1"/>
    <w:uiPriority w:val="99"/>
    <w:semiHidden/>
    <w:locked/>
    <w:rsid w:val="00B642F9"/>
    <w:rPr>
      <w:lang w:val="en-US" w:eastAsia="en-US"/>
    </w:rPr>
  </w:style>
  <w:style w:type="character" w:customStyle="1" w:styleId="FootnoteTextCharChar1">
    <w:name w:val="Footnote Text Char Char1"/>
    <w:aliases w:val="Footnote Text Char Char4 Char Char1,Footnote Text Char Char4 Char1 Char Char Char1,Footnote Text Char4 Char Char1,Footnote Text Char4 Char1 Char Char Char1,Footnote Text Char5 Char1 Char Char Char Char Char Char1"/>
    <w:uiPriority w:val="99"/>
    <w:locked/>
    <w:rsid w:val="00B642F9"/>
    <w:rPr>
      <w:lang w:val="en-US" w:eastAsia="en-US" w:bidi="ar-SA"/>
    </w:rPr>
  </w:style>
  <w:style w:type="paragraph" w:customStyle="1" w:styleId="Level2">
    <w:name w:val="Level 2"/>
    <w:basedOn w:val="Normal"/>
    <w:rsid w:val="00B642F9"/>
    <w:rPr>
      <w:rFonts w:eastAsia="SimSun"/>
      <w:lang w:eastAsia="zh-CN"/>
    </w:rPr>
  </w:style>
  <w:style w:type="character" w:customStyle="1" w:styleId="HTMLPreformattedChar">
    <w:name w:val="HTML Preformatted Char"/>
    <w:link w:val="HTMLPreformatted"/>
    <w:rsid w:val="00910F01"/>
    <w:rPr>
      <w:rFonts w:ascii="Courier New" w:eastAsia="Courier New" w:hAnsi="Courier New" w:cs="Courier New"/>
    </w:rPr>
  </w:style>
  <w:style w:type="paragraph" w:styleId="TOC5">
    <w:name w:val="toc 5"/>
    <w:basedOn w:val="Normal"/>
    <w:next w:val="Normal"/>
    <w:autoRedefine/>
    <w:semiHidden/>
    <w:rsid w:val="00B642F9"/>
    <w:pPr>
      <w:tabs>
        <w:tab w:val="left" w:pos="720"/>
        <w:tab w:val="left" w:pos="1440"/>
        <w:tab w:val="left" w:pos="2160"/>
        <w:tab w:val="left" w:pos="2880"/>
        <w:tab w:val="decimal" w:leader="dot" w:pos="8640"/>
      </w:tabs>
      <w:spacing w:after="240"/>
      <w:ind w:left="3600" w:hanging="720"/>
    </w:pPr>
  </w:style>
  <w:style w:type="paragraph" w:customStyle="1" w:styleId="LightGrid-Accent31">
    <w:name w:val="Light Grid - Accent 31"/>
    <w:basedOn w:val="Normal"/>
    <w:uiPriority w:val="34"/>
    <w:qFormat/>
    <w:rsid w:val="000B4EC8"/>
    <w:pPr>
      <w:spacing w:after="200" w:line="276" w:lineRule="auto"/>
      <w:ind w:left="720"/>
      <w:contextualSpacing/>
    </w:pPr>
    <w:rPr>
      <w:rFonts w:eastAsia="Calibri"/>
      <w:szCs w:val="22"/>
    </w:rPr>
  </w:style>
  <w:style w:type="character" w:customStyle="1" w:styleId="FooterChar">
    <w:name w:val="Footer Char"/>
    <w:aliases w:val=" Char1 Char"/>
    <w:link w:val="Footer"/>
    <w:uiPriority w:val="99"/>
    <w:locked/>
    <w:rsid w:val="00006821"/>
  </w:style>
  <w:style w:type="character" w:customStyle="1" w:styleId="pnote">
    <w:name w:val="pnote"/>
    <w:rsid w:val="003173C8"/>
  </w:style>
  <w:style w:type="character" w:customStyle="1" w:styleId="ssrfcpassagedeactivated">
    <w:name w:val="ss_rfcpassage_deactivated"/>
    <w:rsid w:val="003173C8"/>
  </w:style>
  <w:style w:type="character" w:customStyle="1" w:styleId="sh161715753">
    <w:name w:val="sh_161715753"/>
    <w:rsid w:val="003173C8"/>
  </w:style>
  <w:style w:type="character" w:customStyle="1" w:styleId="ssit2">
    <w:name w:val="ss_it2"/>
    <w:rsid w:val="003173C8"/>
    <w:rPr>
      <w:i/>
      <w:iCs/>
    </w:rPr>
  </w:style>
  <w:style w:type="character" w:customStyle="1" w:styleId="sspaghide1">
    <w:name w:val="ss_pag_hide1"/>
    <w:rsid w:val="003173C8"/>
    <w:rPr>
      <w:vanish/>
      <w:webHidden w:val="0"/>
      <w:specVanish w:val="0"/>
    </w:rPr>
  </w:style>
  <w:style w:type="character" w:customStyle="1" w:styleId="sspagshow4">
    <w:name w:val="ss_pag_show4"/>
    <w:rsid w:val="003173C8"/>
    <w:rPr>
      <w:b/>
      <w:bCs/>
    </w:rPr>
  </w:style>
  <w:style w:type="paragraph" w:customStyle="1" w:styleId="ColorfulList-Accent12">
    <w:name w:val="Colorful List - Accent 12"/>
    <w:basedOn w:val="Normal"/>
    <w:qFormat/>
    <w:rsid w:val="00915B45"/>
    <w:pPr>
      <w:ind w:left="720"/>
    </w:pPr>
  </w:style>
  <w:style w:type="character" w:customStyle="1" w:styleId="HeaderChar">
    <w:name w:val="Header Char"/>
    <w:link w:val="Header"/>
    <w:uiPriority w:val="99"/>
    <w:rsid w:val="00BA5627"/>
    <w:rPr>
      <w:sz w:val="24"/>
    </w:rPr>
  </w:style>
  <w:style w:type="character" w:customStyle="1" w:styleId="CommentTextChar">
    <w:name w:val="Comment Text Char"/>
    <w:link w:val="CommentText"/>
    <w:uiPriority w:val="99"/>
    <w:semiHidden/>
    <w:rsid w:val="00BA5627"/>
    <w:rPr>
      <w:sz w:val="24"/>
      <w:szCs w:val="24"/>
    </w:rPr>
  </w:style>
  <w:style w:type="paragraph" w:customStyle="1" w:styleId="DefaultParagraphFontParaCharCharCharCharCharCharChar">
    <w:name w:val="Default Paragraph Font Para Char Char Char Char Char Char Char"/>
    <w:basedOn w:val="Normal"/>
    <w:rsid w:val="003441B9"/>
    <w:pPr>
      <w:widowControl w:val="0"/>
      <w:spacing w:line="280" w:lineRule="atLeast"/>
    </w:pPr>
    <w:rPr>
      <w:rFonts w:eastAsia="MS Mincho"/>
      <w:sz w:val="22"/>
      <w:lang w:val="en-GB" w:eastAsia="en-GB"/>
    </w:rPr>
  </w:style>
  <w:style w:type="character" w:customStyle="1" w:styleId="BodyTextChar">
    <w:name w:val="Body Text Char"/>
    <w:link w:val="BodyText"/>
    <w:rsid w:val="003338AE"/>
    <w:rPr>
      <w:sz w:val="24"/>
    </w:rPr>
  </w:style>
  <w:style w:type="character" w:customStyle="1" w:styleId="BodyTextIndentChar">
    <w:name w:val="Body Text Indent Char"/>
    <w:link w:val="BodyTextIndent"/>
    <w:rsid w:val="003338AE"/>
    <w:rPr>
      <w:sz w:val="24"/>
    </w:rPr>
  </w:style>
  <w:style w:type="paragraph" w:styleId="BodyText2">
    <w:name w:val="Body Text 2"/>
    <w:basedOn w:val="Normal"/>
    <w:link w:val="BodyText2Char"/>
    <w:rsid w:val="000151A6"/>
    <w:pPr>
      <w:spacing w:after="120" w:line="480" w:lineRule="auto"/>
    </w:pPr>
  </w:style>
  <w:style w:type="character" w:customStyle="1" w:styleId="BodyText2Char">
    <w:name w:val="Body Text 2 Char"/>
    <w:link w:val="BodyText2"/>
    <w:rsid w:val="000151A6"/>
    <w:rPr>
      <w:sz w:val="24"/>
    </w:rPr>
  </w:style>
  <w:style w:type="paragraph" w:styleId="NormalWeb">
    <w:name w:val="Normal (Web)"/>
    <w:basedOn w:val="Normal"/>
    <w:rsid w:val="00AA5D23"/>
  </w:style>
  <w:style w:type="paragraph" w:customStyle="1" w:styleId="LightList-Accent31">
    <w:name w:val="Light List - Accent 31"/>
    <w:hidden/>
    <w:uiPriority w:val="99"/>
    <w:semiHidden/>
    <w:rsid w:val="008F3B3C"/>
  </w:style>
  <w:style w:type="character" w:styleId="Strong">
    <w:name w:val="Strong"/>
    <w:qFormat/>
    <w:rsid w:val="00F0492A"/>
    <w:rPr>
      <w:b/>
      <w:bCs/>
    </w:rPr>
  </w:style>
  <w:style w:type="paragraph" w:styleId="ListParagraph">
    <w:name w:val="List Paragraph"/>
    <w:basedOn w:val="Normal"/>
    <w:uiPriority w:val="34"/>
    <w:qFormat/>
    <w:rsid w:val="00BA0BEC"/>
    <w:pPr>
      <w:ind w:left="720"/>
      <w:contextualSpacing/>
    </w:pPr>
  </w:style>
  <w:style w:type="paragraph" w:styleId="EndnoteText">
    <w:name w:val="endnote text"/>
    <w:basedOn w:val="Normal"/>
    <w:link w:val="EndnoteTextChar"/>
    <w:semiHidden/>
    <w:unhideWhenUsed/>
    <w:rsid w:val="00A27434"/>
    <w:pPr>
      <w:widowControl w:val="0"/>
      <w:snapToGrid w:val="0"/>
    </w:pPr>
    <w:rPr>
      <w:rFonts w:ascii="Courier New" w:hAnsi="Courier New"/>
      <w:szCs w:val="20"/>
    </w:rPr>
  </w:style>
  <w:style w:type="character" w:customStyle="1" w:styleId="EndnoteTextChar">
    <w:name w:val="Endnote Text Char"/>
    <w:basedOn w:val="DefaultParagraphFont"/>
    <w:link w:val="EndnoteText"/>
    <w:semiHidden/>
    <w:rsid w:val="00A27434"/>
    <w:rPr>
      <w:rFonts w:ascii="Courier New" w:hAnsi="Courier New"/>
      <w:szCs w:val="20"/>
    </w:rPr>
  </w:style>
  <w:style w:type="paragraph" w:customStyle="1" w:styleId="ANSWER">
    <w:name w:val="ANSWER"/>
    <w:basedOn w:val="Normal"/>
    <w:rsid w:val="00A27434"/>
    <w:pPr>
      <w:spacing w:line="480" w:lineRule="auto"/>
      <w:ind w:left="1008" w:hanging="720"/>
    </w:pPr>
    <w:rPr>
      <w:szCs w:val="20"/>
    </w:rPr>
  </w:style>
  <w:style w:type="character" w:customStyle="1" w:styleId="UnresolvedMention1">
    <w:name w:val="Unresolved Mention1"/>
    <w:basedOn w:val="DefaultParagraphFont"/>
    <w:rsid w:val="00CB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werner.margard@ohioattorneygeneral.gov" TargetMode="External" /><Relationship Id="rId11" Type="http://schemas.openxmlformats.org/officeDocument/2006/relationships/hyperlink" Target="mailto:mjsettineri@vorys.com" TargetMode="External" /><Relationship Id="rId12" Type="http://schemas.openxmlformats.org/officeDocument/2006/relationships/hyperlink" Target="mailto:glpetrucci@vorys.com" TargetMode="External" /><Relationship Id="rId13" Type="http://schemas.openxmlformats.org/officeDocument/2006/relationships/hyperlink" Target="mailto:joliker@igsenergy.com" TargetMode="External" /><Relationship Id="rId14" Type="http://schemas.openxmlformats.org/officeDocument/2006/relationships/hyperlink" Target="mailto:mnugent@igsenergy.com" TargetMode="External" /><Relationship Id="rId15" Type="http://schemas.openxmlformats.org/officeDocument/2006/relationships/hyperlink" Target="mailto:slesser@calfee.com" TargetMode="External" /><Relationship Id="rId16" Type="http://schemas.openxmlformats.org/officeDocument/2006/relationships/hyperlink" Target="mailto:mkeaney@calfee.com" TargetMode="External" /><Relationship Id="rId17" Type="http://schemas.openxmlformats.org/officeDocument/2006/relationships/hyperlink" Target="mailto:talexander@calfee.com" TargetMode="External" /><Relationship Id="rId18" Type="http://schemas.openxmlformats.org/officeDocument/2006/relationships/hyperlink" Target="mailto:tony_long@hna.honda.com" TargetMode="External" /><Relationship Id="rId19" Type="http://schemas.openxmlformats.org/officeDocument/2006/relationships/hyperlink" Target="mailto:cmooney@ohiopartners.org" TargetMode="External" /><Relationship Id="rId2" Type="http://schemas.openxmlformats.org/officeDocument/2006/relationships/settings" Target="settings.xml" /><Relationship Id="rId20" Type="http://schemas.openxmlformats.org/officeDocument/2006/relationships/hyperlink" Target="mailto:Gregory.price@puc.state.oh.us" TargetMode="External" /><Relationship Id="rId21" Type="http://schemas.openxmlformats.org/officeDocument/2006/relationships/hyperlink" Target="mailto:patricia.schabo@puc.state.oh.us" TargetMode="External" /><Relationship Id="rId22" Type="http://schemas.openxmlformats.org/officeDocument/2006/relationships/hyperlink" Target="mailto:rust@whitt-sturtevant.com" TargetMode="External" /><Relationship Id="rId23" Type="http://schemas.openxmlformats.org/officeDocument/2006/relationships/hyperlink" Target="mailto:fdarr@mcneeslaw.com" TargetMode="External" /><Relationship Id="rId24" Type="http://schemas.openxmlformats.org/officeDocument/2006/relationships/hyperlink" Target="mailto:mpritchard@mcneeslaw.com" TargetMode="External" /><Relationship Id="rId25" Type="http://schemas.openxmlformats.org/officeDocument/2006/relationships/hyperlink" Target="mailto:jstephenson@vectren.com" TargetMode="External" /><Relationship Id="rId26" Type="http://schemas.openxmlformats.org/officeDocument/2006/relationships/hyperlink" Target="mailto:Thomas.jernigan.3@us.af.mil" TargetMode="External" /><Relationship Id="rId27" Type="http://schemas.openxmlformats.org/officeDocument/2006/relationships/hyperlink" Target="mailto:Andrew.unsicker@us.af.mil" TargetMode="External" /><Relationship Id="rId28" Type="http://schemas.openxmlformats.org/officeDocument/2006/relationships/hyperlink" Target="mailto:Darryl.Brown@us.af.mil" TargetMode="External" /><Relationship Id="rId29" Type="http://schemas.openxmlformats.org/officeDocument/2006/relationships/hyperlink" Target="mailto:Robert.friedman.5@us.af.mil" TargetMode="External" /><Relationship Id="rId3" Type="http://schemas.openxmlformats.org/officeDocument/2006/relationships/webSettings" Target="webSettings.xml" /><Relationship Id="rId30" Type="http://schemas.openxmlformats.org/officeDocument/2006/relationships/header" Target="header1.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william.michael@occ.ohio.gov" TargetMode="External" /><Relationship Id="rId8" Type="http://schemas.openxmlformats.org/officeDocument/2006/relationships/hyperlink" Target="mailto:Christopher.healey@occ.ohio.gov" TargetMode="Externa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D8770-CB4B-4D72-9C33-36CEF414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MC Resa AFR.docx</vt:lpstr>
    </vt:vector>
  </TitlesOfParts>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2019-10-07T20:36:30Z</dcterms:created>
  <dcterms:modified xsi:type="dcterms:W3CDTF">2019-10-07T20:36:30Z</dcterms:modified>
</cp:coreProperties>
</file>