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04" w:rsidRDefault="00D24804" w:rsidP="00D24804">
      <w:pPr>
        <w:spacing w:line="480" w:lineRule="auto"/>
        <w:jc w:val="right"/>
        <w:rPr>
          <w:sz w:val="24"/>
        </w:rPr>
      </w:pPr>
      <w:r>
        <w:rPr>
          <w:sz w:val="24"/>
        </w:rPr>
        <w:t xml:space="preserve">DYNEGY EXHIBIT NO. </w:t>
      </w:r>
      <w:r w:rsidRPr="00D24804">
        <w:rPr>
          <w:sz w:val="24"/>
          <w:u w:val="single"/>
        </w:rPr>
        <w:t>1</w:t>
      </w:r>
    </w:p>
    <w:p w:rsidR="00B7502C" w:rsidRDefault="00B7502C" w:rsidP="00AB6DA6">
      <w:pPr>
        <w:spacing w:line="480" w:lineRule="auto"/>
        <w:rPr>
          <w:sz w:val="24"/>
        </w:rPr>
      </w:pPr>
    </w:p>
    <w:p w:rsidR="00D24804" w:rsidRPr="00AB6DA6" w:rsidRDefault="00D24804" w:rsidP="00AB6DA6">
      <w:pPr>
        <w:spacing w:line="480" w:lineRule="auto"/>
        <w:rPr>
          <w:sz w:val="24"/>
        </w:rPr>
      </w:pPr>
    </w:p>
    <w:p w:rsidR="0099415D" w:rsidRPr="00E9488A" w:rsidRDefault="00D97E53" w:rsidP="00D24804">
      <w:pPr>
        <w:spacing w:line="480" w:lineRule="auto"/>
        <w:jc w:val="center"/>
        <w:rPr>
          <w:b/>
          <w:sz w:val="24"/>
        </w:rPr>
      </w:pPr>
      <w:r w:rsidRPr="00E9488A">
        <w:rPr>
          <w:b/>
          <w:sz w:val="24"/>
        </w:rPr>
        <w:t xml:space="preserve">BEFORE THE </w:t>
      </w:r>
      <w:r w:rsidR="00D8034F" w:rsidRPr="00E9488A">
        <w:rPr>
          <w:b/>
          <w:sz w:val="24"/>
        </w:rPr>
        <w:t>PUBLIC</w:t>
      </w:r>
      <w:r w:rsidRPr="00E9488A">
        <w:rPr>
          <w:b/>
          <w:sz w:val="24"/>
        </w:rPr>
        <w:t xml:space="preserve"> UTILITIES COMMISSION OF OHIO</w:t>
      </w:r>
    </w:p>
    <w:p w:rsidR="00D97E53" w:rsidRDefault="00D97E53" w:rsidP="00D24804">
      <w:pPr>
        <w:spacing w:line="480" w:lineRule="auto"/>
        <w:jc w:val="center"/>
        <w:rPr>
          <w:sz w:val="24"/>
        </w:rPr>
      </w:pPr>
    </w:p>
    <w:p w:rsidR="00D24804" w:rsidRDefault="00D24804" w:rsidP="00D24804">
      <w:pPr>
        <w:tabs>
          <w:tab w:val="center" w:pos="4680"/>
        </w:tabs>
        <w:rPr>
          <w:sz w:val="24"/>
        </w:rPr>
      </w:pPr>
      <w:r>
        <w:rPr>
          <w:sz w:val="24"/>
        </w:rPr>
        <w:t>In The Matter of the Application Seeking</w:t>
      </w:r>
      <w:r>
        <w:rPr>
          <w:sz w:val="24"/>
        </w:rPr>
        <w:tab/>
        <w:t>)</w:t>
      </w:r>
    </w:p>
    <w:p w:rsidR="00D24804" w:rsidRDefault="00D24804" w:rsidP="00D24804">
      <w:pPr>
        <w:tabs>
          <w:tab w:val="center" w:pos="4680"/>
        </w:tabs>
        <w:rPr>
          <w:sz w:val="24"/>
        </w:rPr>
      </w:pPr>
      <w:r>
        <w:rPr>
          <w:sz w:val="24"/>
        </w:rPr>
        <w:t>Approval of Ohio Power Company’s</w:t>
      </w:r>
      <w:r>
        <w:rPr>
          <w:sz w:val="24"/>
        </w:rPr>
        <w:tab/>
        <w:t>)</w:t>
      </w:r>
    </w:p>
    <w:p w:rsidR="00D24804" w:rsidRDefault="00D24804" w:rsidP="00D24804">
      <w:pPr>
        <w:tabs>
          <w:tab w:val="center" w:pos="4680"/>
        </w:tabs>
        <w:rPr>
          <w:sz w:val="24"/>
        </w:rPr>
      </w:pPr>
      <w:r>
        <w:rPr>
          <w:sz w:val="24"/>
        </w:rPr>
        <w:t>Proposal to Enter into an Affiliate</w:t>
      </w:r>
      <w:r>
        <w:rPr>
          <w:sz w:val="24"/>
        </w:rPr>
        <w:tab/>
        <w:t>)</w:t>
      </w:r>
      <w:r>
        <w:rPr>
          <w:sz w:val="24"/>
        </w:rPr>
        <w:tab/>
        <w:t>Case No. 14-1693-EL-RDR</w:t>
      </w:r>
    </w:p>
    <w:p w:rsidR="00D24804" w:rsidRDefault="00D24804" w:rsidP="00D24804">
      <w:pPr>
        <w:tabs>
          <w:tab w:val="center" w:pos="4680"/>
        </w:tabs>
        <w:rPr>
          <w:sz w:val="24"/>
        </w:rPr>
      </w:pPr>
      <w:r>
        <w:rPr>
          <w:sz w:val="24"/>
        </w:rPr>
        <w:t>Power Purchase Agreement</w:t>
      </w:r>
      <w:r>
        <w:rPr>
          <w:sz w:val="24"/>
        </w:rPr>
        <w:tab/>
        <w:t>)</w:t>
      </w:r>
    </w:p>
    <w:p w:rsidR="00D24804" w:rsidRDefault="00D24804" w:rsidP="00D24804">
      <w:pPr>
        <w:tabs>
          <w:tab w:val="center" w:pos="4680"/>
        </w:tabs>
        <w:rPr>
          <w:sz w:val="24"/>
        </w:rPr>
      </w:pPr>
      <w:r>
        <w:rPr>
          <w:sz w:val="24"/>
        </w:rPr>
        <w:t>For Inclusion in the Power Purchase</w:t>
      </w:r>
      <w:r>
        <w:rPr>
          <w:sz w:val="24"/>
        </w:rPr>
        <w:tab/>
        <w:t>)</w:t>
      </w:r>
    </w:p>
    <w:p w:rsidR="00D24804" w:rsidRDefault="00D24804" w:rsidP="00D24804">
      <w:pPr>
        <w:tabs>
          <w:tab w:val="center" w:pos="4680"/>
        </w:tabs>
        <w:rPr>
          <w:sz w:val="24"/>
        </w:rPr>
      </w:pPr>
      <w:r>
        <w:rPr>
          <w:sz w:val="24"/>
        </w:rPr>
        <w:t>Agreement Rider</w:t>
      </w:r>
      <w:r>
        <w:rPr>
          <w:sz w:val="24"/>
        </w:rPr>
        <w:tab/>
        <w:t>)</w:t>
      </w:r>
    </w:p>
    <w:p w:rsidR="00D24804" w:rsidRDefault="00D24804" w:rsidP="00D24804">
      <w:pPr>
        <w:spacing w:line="480" w:lineRule="auto"/>
        <w:jc w:val="center"/>
        <w:rPr>
          <w:sz w:val="24"/>
        </w:rPr>
      </w:pPr>
    </w:p>
    <w:p w:rsidR="00D24804" w:rsidRDefault="00D24804" w:rsidP="00D24804">
      <w:pPr>
        <w:tabs>
          <w:tab w:val="center" w:pos="4680"/>
        </w:tabs>
        <w:rPr>
          <w:sz w:val="24"/>
        </w:rPr>
      </w:pPr>
      <w:r>
        <w:rPr>
          <w:sz w:val="24"/>
        </w:rPr>
        <w:t>In The Matter of the Application of</w:t>
      </w:r>
      <w:r>
        <w:rPr>
          <w:sz w:val="24"/>
        </w:rPr>
        <w:tab/>
        <w:t>)</w:t>
      </w:r>
    </w:p>
    <w:p w:rsidR="00D24804" w:rsidRDefault="00D24804" w:rsidP="00D24804">
      <w:pPr>
        <w:tabs>
          <w:tab w:val="center" w:pos="4680"/>
        </w:tabs>
        <w:rPr>
          <w:sz w:val="24"/>
        </w:rPr>
      </w:pPr>
      <w:r>
        <w:rPr>
          <w:sz w:val="24"/>
        </w:rPr>
        <w:t>Ohio Power Company for Approval of</w:t>
      </w:r>
      <w:r>
        <w:rPr>
          <w:sz w:val="24"/>
        </w:rPr>
        <w:tab/>
        <w:t>)</w:t>
      </w:r>
      <w:r>
        <w:rPr>
          <w:sz w:val="24"/>
        </w:rPr>
        <w:tab/>
      </w:r>
      <w:r w:rsidR="00E9488A" w:rsidRPr="00AB6DA6">
        <w:rPr>
          <w:sz w:val="24"/>
        </w:rPr>
        <w:t>Case No. 14-1694-EL-AAM</w:t>
      </w:r>
    </w:p>
    <w:p w:rsidR="00D24804" w:rsidRDefault="00D24804" w:rsidP="00D24804">
      <w:pPr>
        <w:tabs>
          <w:tab w:val="center" w:pos="4680"/>
        </w:tabs>
        <w:rPr>
          <w:sz w:val="24"/>
        </w:rPr>
      </w:pPr>
      <w:r>
        <w:rPr>
          <w:sz w:val="24"/>
        </w:rPr>
        <w:t xml:space="preserve">Certain Accounting </w:t>
      </w:r>
      <w:r w:rsidR="00E9488A">
        <w:rPr>
          <w:sz w:val="24"/>
        </w:rPr>
        <w:t>Authority</w:t>
      </w:r>
      <w:r>
        <w:rPr>
          <w:sz w:val="24"/>
        </w:rPr>
        <w:tab/>
        <w:t>)</w:t>
      </w:r>
    </w:p>
    <w:p w:rsidR="00D24804" w:rsidRDefault="00D24804" w:rsidP="00D24804">
      <w:pPr>
        <w:spacing w:line="480" w:lineRule="auto"/>
        <w:jc w:val="center"/>
        <w:rPr>
          <w:sz w:val="24"/>
        </w:rPr>
      </w:pPr>
    </w:p>
    <w:p w:rsidR="00D24804" w:rsidRPr="00E9488A" w:rsidRDefault="00D24804" w:rsidP="00D24804">
      <w:pPr>
        <w:spacing w:line="480" w:lineRule="auto"/>
        <w:jc w:val="center"/>
        <w:rPr>
          <w:b/>
          <w:sz w:val="24"/>
        </w:rPr>
      </w:pPr>
    </w:p>
    <w:p w:rsidR="00E9488A" w:rsidRPr="00E9488A" w:rsidRDefault="00D97E53" w:rsidP="00D24804">
      <w:pPr>
        <w:spacing w:line="480" w:lineRule="auto"/>
        <w:jc w:val="center"/>
        <w:rPr>
          <w:b/>
          <w:sz w:val="24"/>
        </w:rPr>
      </w:pPr>
      <w:r w:rsidRPr="00E9488A">
        <w:rPr>
          <w:b/>
          <w:sz w:val="24"/>
        </w:rPr>
        <w:t>DIRECT TESTIMONY OF</w:t>
      </w:r>
    </w:p>
    <w:p w:rsidR="00E9488A" w:rsidRPr="00E9488A" w:rsidRDefault="00D97E53" w:rsidP="00D24804">
      <w:pPr>
        <w:spacing w:line="480" w:lineRule="auto"/>
        <w:jc w:val="center"/>
        <w:rPr>
          <w:b/>
          <w:sz w:val="24"/>
        </w:rPr>
      </w:pPr>
      <w:r w:rsidRPr="00E9488A">
        <w:rPr>
          <w:b/>
          <w:sz w:val="24"/>
        </w:rPr>
        <w:t>DEAN ELLIS</w:t>
      </w:r>
    </w:p>
    <w:p w:rsidR="00D97E53" w:rsidRPr="00E9488A" w:rsidRDefault="00D97E53" w:rsidP="00D24804">
      <w:pPr>
        <w:spacing w:line="480" w:lineRule="auto"/>
        <w:jc w:val="center"/>
        <w:rPr>
          <w:b/>
          <w:sz w:val="24"/>
        </w:rPr>
      </w:pPr>
      <w:r w:rsidRPr="00E9488A">
        <w:rPr>
          <w:b/>
          <w:sz w:val="24"/>
        </w:rPr>
        <w:t xml:space="preserve">IN OPPOSITION </w:t>
      </w:r>
      <w:r w:rsidR="00251F02">
        <w:rPr>
          <w:b/>
          <w:sz w:val="24"/>
        </w:rPr>
        <w:t>TO</w:t>
      </w:r>
      <w:r w:rsidR="00251F02" w:rsidRPr="00E9488A">
        <w:rPr>
          <w:b/>
          <w:sz w:val="24"/>
        </w:rPr>
        <w:t xml:space="preserve"> </w:t>
      </w:r>
      <w:r w:rsidRPr="00E9488A">
        <w:rPr>
          <w:b/>
          <w:sz w:val="24"/>
        </w:rPr>
        <w:t>AEP OHIO’S APPLICATION</w:t>
      </w:r>
    </w:p>
    <w:p w:rsidR="00D97E53" w:rsidRPr="00AB6DA6" w:rsidRDefault="00D97E53" w:rsidP="00D24804">
      <w:pPr>
        <w:spacing w:line="480" w:lineRule="auto"/>
        <w:jc w:val="center"/>
        <w:rPr>
          <w:sz w:val="24"/>
        </w:rPr>
      </w:pPr>
    </w:p>
    <w:p w:rsidR="00E9488A" w:rsidRDefault="00E9488A" w:rsidP="00E9488A">
      <w:pPr>
        <w:spacing w:line="480" w:lineRule="auto"/>
        <w:rPr>
          <w:sz w:val="24"/>
        </w:rPr>
      </w:pPr>
    </w:p>
    <w:p w:rsidR="00E9488A" w:rsidRDefault="00E9488A" w:rsidP="00E9488A">
      <w:pPr>
        <w:spacing w:line="480" w:lineRule="auto"/>
        <w:rPr>
          <w:sz w:val="24"/>
        </w:rPr>
      </w:pPr>
    </w:p>
    <w:p w:rsidR="00E9488A" w:rsidRDefault="00E9488A" w:rsidP="00E9488A">
      <w:pPr>
        <w:spacing w:line="480" w:lineRule="auto"/>
        <w:rPr>
          <w:sz w:val="24"/>
        </w:rPr>
      </w:pPr>
    </w:p>
    <w:p w:rsidR="00E9488A" w:rsidRDefault="00E9488A" w:rsidP="00E9488A">
      <w:pPr>
        <w:spacing w:line="480" w:lineRule="auto"/>
        <w:rPr>
          <w:sz w:val="24"/>
        </w:rPr>
      </w:pPr>
    </w:p>
    <w:p w:rsidR="00D97E53" w:rsidRPr="00AB6DA6" w:rsidRDefault="00D97E53" w:rsidP="00E9488A">
      <w:pPr>
        <w:spacing w:line="480" w:lineRule="auto"/>
        <w:rPr>
          <w:sz w:val="24"/>
        </w:rPr>
      </w:pPr>
      <w:r w:rsidRPr="00AB6DA6">
        <w:rPr>
          <w:sz w:val="24"/>
        </w:rPr>
        <w:t>Filed: September 11, 2015</w:t>
      </w:r>
    </w:p>
    <w:p w:rsidR="008B087B" w:rsidRDefault="008B087B">
      <w:pPr>
        <w:rPr>
          <w:sz w:val="24"/>
        </w:rPr>
      </w:pPr>
      <w:r>
        <w:rPr>
          <w:sz w:val="24"/>
        </w:rPr>
        <w:br w:type="page"/>
      </w:r>
    </w:p>
    <w:p w:rsidR="002705FB" w:rsidRDefault="004B1F79" w:rsidP="00177C1A">
      <w:pPr>
        <w:jc w:val="center"/>
        <w:rPr>
          <w:b/>
          <w:sz w:val="24"/>
        </w:rPr>
      </w:pPr>
      <w:r>
        <w:rPr>
          <w:b/>
          <w:sz w:val="24"/>
        </w:rPr>
        <w:lastRenderedPageBreak/>
        <w:t>CONTENTS OF</w:t>
      </w:r>
      <w:r w:rsidR="00177C1A">
        <w:rPr>
          <w:b/>
          <w:sz w:val="24"/>
        </w:rPr>
        <w:t xml:space="preserve"> DIRECT TESTIMONY OF</w:t>
      </w:r>
    </w:p>
    <w:p w:rsidR="00177C1A" w:rsidRPr="00D72D92" w:rsidRDefault="00177C1A" w:rsidP="00177C1A">
      <w:pPr>
        <w:jc w:val="center"/>
        <w:rPr>
          <w:b/>
          <w:sz w:val="24"/>
        </w:rPr>
      </w:pPr>
      <w:r>
        <w:rPr>
          <w:b/>
          <w:sz w:val="24"/>
        </w:rPr>
        <w:t>DEAN ELLIS</w:t>
      </w:r>
    </w:p>
    <w:p w:rsidR="00177C1A" w:rsidRDefault="00177C1A" w:rsidP="00177C1A">
      <w:pPr>
        <w:rPr>
          <w:sz w:val="24"/>
        </w:rPr>
      </w:pPr>
    </w:p>
    <w:p w:rsidR="00177C1A" w:rsidRDefault="00177C1A" w:rsidP="00177C1A">
      <w:pPr>
        <w:rPr>
          <w:sz w:val="24"/>
        </w:rPr>
      </w:pPr>
    </w:p>
    <w:p w:rsidR="002705FB" w:rsidRDefault="00C354D5" w:rsidP="00177C1A">
      <w:pPr>
        <w:rPr>
          <w:sz w:val="24"/>
        </w:rPr>
      </w:pPr>
      <w:r>
        <w:rPr>
          <w:sz w:val="24"/>
        </w:rPr>
        <w:t>INTRODUCTION</w:t>
      </w:r>
      <w:r w:rsidR="00451463">
        <w:rPr>
          <w:sz w:val="24"/>
        </w:rPr>
        <w:t>………………………………………………………………………………………………………………………….1</w:t>
      </w:r>
    </w:p>
    <w:p w:rsidR="00451463" w:rsidRDefault="00451463" w:rsidP="00177C1A">
      <w:pPr>
        <w:rPr>
          <w:sz w:val="24"/>
        </w:rPr>
      </w:pPr>
    </w:p>
    <w:p w:rsidR="002705FB" w:rsidRDefault="002705FB" w:rsidP="00177C1A">
      <w:pPr>
        <w:rPr>
          <w:sz w:val="24"/>
        </w:rPr>
      </w:pPr>
      <w:r>
        <w:rPr>
          <w:sz w:val="24"/>
        </w:rPr>
        <w:t>PURPOSE OF TESTIMONY</w:t>
      </w:r>
      <w:r w:rsidR="00451463">
        <w:rPr>
          <w:sz w:val="24"/>
        </w:rPr>
        <w:t>…………………………………………………………………………………………………………</w:t>
      </w:r>
      <w:r w:rsidR="0090242A">
        <w:rPr>
          <w:sz w:val="24"/>
        </w:rPr>
        <w:t>..1</w:t>
      </w:r>
    </w:p>
    <w:p w:rsidR="0090242A" w:rsidRDefault="0090242A" w:rsidP="00177C1A">
      <w:pPr>
        <w:rPr>
          <w:sz w:val="24"/>
        </w:rPr>
      </w:pPr>
    </w:p>
    <w:p w:rsidR="00177C1A" w:rsidRDefault="00177C1A" w:rsidP="00177C1A">
      <w:pPr>
        <w:rPr>
          <w:sz w:val="24"/>
        </w:rPr>
      </w:pPr>
      <w:r w:rsidRPr="00AB5865">
        <w:rPr>
          <w:sz w:val="24"/>
        </w:rPr>
        <w:t>THE REGIONAL TRANSMISSION OPERATOR (RTO)</w:t>
      </w:r>
      <w:r w:rsidR="001D7AA9">
        <w:rPr>
          <w:sz w:val="24"/>
        </w:rPr>
        <w:t>……………………………………………………………………..5</w:t>
      </w:r>
    </w:p>
    <w:p w:rsidR="001D7AA9" w:rsidRPr="00AB5865" w:rsidRDefault="001D7AA9" w:rsidP="00177C1A">
      <w:pPr>
        <w:rPr>
          <w:sz w:val="24"/>
        </w:rPr>
      </w:pPr>
    </w:p>
    <w:p w:rsidR="00177C1A" w:rsidRDefault="00177C1A" w:rsidP="00177C1A">
      <w:pPr>
        <w:rPr>
          <w:sz w:val="24"/>
        </w:rPr>
      </w:pPr>
      <w:r>
        <w:rPr>
          <w:sz w:val="24"/>
        </w:rPr>
        <w:t>AEP’S DECISION TO JOIN PJM</w:t>
      </w:r>
      <w:r w:rsidR="001D7AA9">
        <w:rPr>
          <w:sz w:val="24"/>
        </w:rPr>
        <w:t>…………………………………………………………………………………………………….6</w:t>
      </w:r>
    </w:p>
    <w:p w:rsidR="001D7AA9" w:rsidRDefault="001D7AA9" w:rsidP="00177C1A">
      <w:pPr>
        <w:rPr>
          <w:sz w:val="24"/>
        </w:rPr>
      </w:pPr>
    </w:p>
    <w:p w:rsidR="002705FB" w:rsidRDefault="002705FB" w:rsidP="00177C1A">
      <w:pPr>
        <w:rPr>
          <w:sz w:val="24"/>
        </w:rPr>
      </w:pPr>
      <w:r>
        <w:rPr>
          <w:sz w:val="24"/>
        </w:rPr>
        <w:t>GE</w:t>
      </w:r>
      <w:r w:rsidR="00F420C4">
        <w:rPr>
          <w:sz w:val="24"/>
        </w:rPr>
        <w:t>NE</w:t>
      </w:r>
      <w:r>
        <w:rPr>
          <w:sz w:val="24"/>
        </w:rPr>
        <w:t xml:space="preserve">RATING </w:t>
      </w:r>
      <w:r w:rsidR="00E12754">
        <w:rPr>
          <w:sz w:val="24"/>
        </w:rPr>
        <w:t xml:space="preserve">UNIT </w:t>
      </w:r>
      <w:r>
        <w:rPr>
          <w:sz w:val="24"/>
        </w:rPr>
        <w:t>RETIREMENTS</w:t>
      </w:r>
      <w:r w:rsidR="001D7AA9">
        <w:rPr>
          <w:sz w:val="24"/>
        </w:rPr>
        <w:t>………………………………………………………………………………………………9</w:t>
      </w:r>
    </w:p>
    <w:p w:rsidR="001D7AA9" w:rsidRDefault="001D7AA9" w:rsidP="00177C1A">
      <w:pPr>
        <w:rPr>
          <w:sz w:val="24"/>
        </w:rPr>
      </w:pPr>
    </w:p>
    <w:p w:rsidR="002705FB" w:rsidRDefault="002705FB" w:rsidP="00177C1A">
      <w:pPr>
        <w:rPr>
          <w:sz w:val="24"/>
        </w:rPr>
      </w:pPr>
      <w:r w:rsidRPr="00D72D92">
        <w:rPr>
          <w:sz w:val="24"/>
        </w:rPr>
        <w:t>IMPACT OF GENERATING PLANT RETIREMENTS ON THE TRANSMISSION SYSTEM</w:t>
      </w:r>
      <w:r w:rsidR="001D7AA9">
        <w:rPr>
          <w:sz w:val="24"/>
        </w:rPr>
        <w:t>……………………12</w:t>
      </w:r>
    </w:p>
    <w:p w:rsidR="001D7AA9" w:rsidRPr="00D72D92" w:rsidRDefault="001D7AA9" w:rsidP="00177C1A">
      <w:pPr>
        <w:rPr>
          <w:sz w:val="24"/>
        </w:rPr>
      </w:pPr>
    </w:p>
    <w:p w:rsidR="002705FB" w:rsidRDefault="002705FB" w:rsidP="00177C1A">
      <w:pPr>
        <w:rPr>
          <w:sz w:val="24"/>
        </w:rPr>
      </w:pPr>
      <w:r w:rsidRPr="00D72D92">
        <w:rPr>
          <w:sz w:val="24"/>
        </w:rPr>
        <w:t>RESOURCE ADEQUACY IN PJM</w:t>
      </w:r>
      <w:r w:rsidR="001D7AA9">
        <w:rPr>
          <w:sz w:val="24"/>
        </w:rPr>
        <w:t>…………….…………………………………………………………………………………..14</w:t>
      </w:r>
    </w:p>
    <w:p w:rsidR="001D7AA9" w:rsidRPr="00D72D92" w:rsidRDefault="001D7AA9" w:rsidP="00177C1A">
      <w:pPr>
        <w:rPr>
          <w:sz w:val="24"/>
        </w:rPr>
      </w:pPr>
    </w:p>
    <w:p w:rsidR="002705FB" w:rsidRDefault="002705FB" w:rsidP="00177C1A">
      <w:pPr>
        <w:rPr>
          <w:sz w:val="24"/>
        </w:rPr>
      </w:pPr>
      <w:r w:rsidRPr="00D72D92">
        <w:rPr>
          <w:sz w:val="24"/>
        </w:rPr>
        <w:t>MARKET VOLATILITY</w:t>
      </w:r>
      <w:r w:rsidR="001D7AA9">
        <w:rPr>
          <w:sz w:val="24"/>
        </w:rPr>
        <w:t>…….………………………………………………………………………………………………………….14</w:t>
      </w:r>
    </w:p>
    <w:p w:rsidR="001D7AA9" w:rsidRPr="00D72D92" w:rsidRDefault="001D7AA9" w:rsidP="00177C1A">
      <w:pPr>
        <w:rPr>
          <w:sz w:val="24"/>
        </w:rPr>
      </w:pPr>
    </w:p>
    <w:p w:rsidR="008B087B" w:rsidRDefault="008B087B" w:rsidP="00177C1A">
      <w:pPr>
        <w:rPr>
          <w:sz w:val="24"/>
        </w:rPr>
      </w:pPr>
      <w:r w:rsidRPr="00D72D92">
        <w:rPr>
          <w:sz w:val="24"/>
        </w:rPr>
        <w:t>RESULTS OF RECENTLY-COMPLETED PJM CAPACITY PERFORMANCE AUCTIONS</w:t>
      </w:r>
      <w:r w:rsidR="001D7AA9">
        <w:rPr>
          <w:sz w:val="24"/>
        </w:rPr>
        <w:t>………………………18</w:t>
      </w:r>
    </w:p>
    <w:p w:rsidR="001D7AA9" w:rsidRPr="00D72D92" w:rsidRDefault="001D7AA9" w:rsidP="00177C1A">
      <w:pPr>
        <w:rPr>
          <w:sz w:val="24"/>
        </w:rPr>
      </w:pPr>
    </w:p>
    <w:p w:rsidR="002705FB" w:rsidRDefault="008B087B" w:rsidP="00177C1A">
      <w:pPr>
        <w:rPr>
          <w:sz w:val="24"/>
        </w:rPr>
      </w:pPr>
      <w:r w:rsidRPr="00D72D92">
        <w:rPr>
          <w:sz w:val="24"/>
        </w:rPr>
        <w:t>NEW GENERATION</w:t>
      </w:r>
      <w:r w:rsidR="001D7AA9">
        <w:rPr>
          <w:sz w:val="24"/>
        </w:rPr>
        <w:t>………………….……………………………………………………………………………………………….19</w:t>
      </w:r>
    </w:p>
    <w:p w:rsidR="001D7AA9" w:rsidRPr="00D72D92" w:rsidRDefault="001D7AA9" w:rsidP="00177C1A">
      <w:pPr>
        <w:rPr>
          <w:sz w:val="24"/>
        </w:rPr>
      </w:pPr>
    </w:p>
    <w:p w:rsidR="008B087B" w:rsidRDefault="008B087B" w:rsidP="00177C1A">
      <w:pPr>
        <w:rPr>
          <w:sz w:val="24"/>
        </w:rPr>
      </w:pPr>
      <w:r w:rsidRPr="00D72D92">
        <w:rPr>
          <w:sz w:val="24"/>
        </w:rPr>
        <w:t xml:space="preserve">IMPACT </w:t>
      </w:r>
      <w:r w:rsidR="00177C1A">
        <w:rPr>
          <w:sz w:val="24"/>
        </w:rPr>
        <w:t xml:space="preserve">OF THE PPA RIDERS </w:t>
      </w:r>
      <w:r w:rsidRPr="00D72D92">
        <w:rPr>
          <w:sz w:val="24"/>
        </w:rPr>
        <w:t>ON COMPETITION</w:t>
      </w:r>
      <w:r w:rsidR="001D7AA9">
        <w:rPr>
          <w:sz w:val="24"/>
        </w:rPr>
        <w:t>…….…………………………………………………………………21</w:t>
      </w:r>
    </w:p>
    <w:p w:rsidR="001D7AA9" w:rsidRPr="00D72D92" w:rsidRDefault="001D7AA9" w:rsidP="00177C1A">
      <w:pPr>
        <w:rPr>
          <w:sz w:val="24"/>
        </w:rPr>
      </w:pPr>
    </w:p>
    <w:p w:rsidR="008B087B" w:rsidRDefault="008B087B" w:rsidP="00177C1A">
      <w:pPr>
        <w:rPr>
          <w:sz w:val="24"/>
        </w:rPr>
      </w:pPr>
      <w:r w:rsidRPr="00D72D92">
        <w:rPr>
          <w:sz w:val="24"/>
        </w:rPr>
        <w:t>IMPACT OF THE PPA RIDERS ON DYNEGY</w:t>
      </w:r>
      <w:r w:rsidR="001D7AA9">
        <w:rPr>
          <w:sz w:val="24"/>
        </w:rPr>
        <w:t>…………………………………………………………………………………23</w:t>
      </w:r>
    </w:p>
    <w:p w:rsidR="001D7AA9" w:rsidRPr="00D72D92" w:rsidRDefault="001D7AA9" w:rsidP="00177C1A">
      <w:pPr>
        <w:rPr>
          <w:sz w:val="24"/>
        </w:rPr>
      </w:pPr>
    </w:p>
    <w:p w:rsidR="008B087B" w:rsidRDefault="008B087B" w:rsidP="00177C1A">
      <w:pPr>
        <w:rPr>
          <w:sz w:val="24"/>
        </w:rPr>
      </w:pPr>
      <w:r w:rsidRPr="00D72D92">
        <w:rPr>
          <w:sz w:val="24"/>
        </w:rPr>
        <w:t>BENEFITS OF COMPETITION</w:t>
      </w:r>
      <w:r w:rsidR="001D7AA9">
        <w:rPr>
          <w:sz w:val="24"/>
        </w:rPr>
        <w:t>…………………………………………………………………………………………………….24</w:t>
      </w:r>
    </w:p>
    <w:p w:rsidR="001D7AA9" w:rsidRPr="00D72D92" w:rsidRDefault="001D7AA9" w:rsidP="00177C1A">
      <w:pPr>
        <w:rPr>
          <w:sz w:val="24"/>
        </w:rPr>
      </w:pPr>
    </w:p>
    <w:p w:rsidR="00D72D92" w:rsidRDefault="00AB5865" w:rsidP="00177C1A">
      <w:pPr>
        <w:rPr>
          <w:sz w:val="24"/>
        </w:rPr>
      </w:pPr>
      <w:r w:rsidRPr="00AB5865">
        <w:rPr>
          <w:sz w:val="24"/>
        </w:rPr>
        <w:t>THREATS TO “RE-REGU</w:t>
      </w:r>
      <w:r w:rsidR="00F420C4">
        <w:rPr>
          <w:sz w:val="24"/>
        </w:rPr>
        <w:t>LA</w:t>
      </w:r>
      <w:r w:rsidRPr="00AB5865">
        <w:rPr>
          <w:sz w:val="24"/>
        </w:rPr>
        <w:t>TE”</w:t>
      </w:r>
      <w:r w:rsidR="001D7AA9">
        <w:rPr>
          <w:sz w:val="24"/>
        </w:rPr>
        <w:t>………………………………………………………………………………………………....25</w:t>
      </w:r>
    </w:p>
    <w:p w:rsidR="001D7AA9" w:rsidRPr="00AB5865" w:rsidRDefault="001D7AA9" w:rsidP="00177C1A">
      <w:pPr>
        <w:rPr>
          <w:sz w:val="24"/>
        </w:rPr>
      </w:pPr>
    </w:p>
    <w:p w:rsidR="00D72D92" w:rsidRDefault="00F420C4" w:rsidP="00177C1A">
      <w:pPr>
        <w:rPr>
          <w:sz w:val="24"/>
        </w:rPr>
      </w:pPr>
      <w:r w:rsidRPr="00D72D92">
        <w:rPr>
          <w:sz w:val="24"/>
        </w:rPr>
        <w:t>TRANSFERABILITY</w:t>
      </w:r>
      <w:r w:rsidR="00D72D92" w:rsidRPr="00D72D92">
        <w:rPr>
          <w:sz w:val="24"/>
        </w:rPr>
        <w:t xml:space="preserve"> OF THE PPAs</w:t>
      </w:r>
      <w:r w:rsidR="001D7AA9">
        <w:rPr>
          <w:sz w:val="24"/>
        </w:rPr>
        <w:t>……………………………………………………………………………………………….26</w:t>
      </w:r>
    </w:p>
    <w:p w:rsidR="001D7AA9" w:rsidRPr="00D72D92" w:rsidRDefault="001D7AA9" w:rsidP="00177C1A">
      <w:pPr>
        <w:rPr>
          <w:sz w:val="24"/>
        </w:rPr>
      </w:pPr>
    </w:p>
    <w:p w:rsidR="008B087B" w:rsidRDefault="008B087B" w:rsidP="00177C1A">
      <w:pPr>
        <w:rPr>
          <w:sz w:val="24"/>
        </w:rPr>
      </w:pPr>
      <w:r w:rsidRPr="00D72D92">
        <w:rPr>
          <w:sz w:val="24"/>
        </w:rPr>
        <w:t>ALTERNATIVES TO THE PPA RIDERS</w:t>
      </w:r>
      <w:r w:rsidR="001D7AA9">
        <w:rPr>
          <w:sz w:val="24"/>
        </w:rPr>
        <w:t>…………………………………………………………………………………………27</w:t>
      </w:r>
    </w:p>
    <w:p w:rsidR="001D7AA9" w:rsidRPr="00D72D92" w:rsidRDefault="001D7AA9" w:rsidP="00177C1A">
      <w:pPr>
        <w:rPr>
          <w:sz w:val="24"/>
        </w:rPr>
      </w:pPr>
    </w:p>
    <w:p w:rsidR="00652883" w:rsidRDefault="00652883" w:rsidP="00177C1A">
      <w:pPr>
        <w:rPr>
          <w:sz w:val="24"/>
        </w:rPr>
      </w:pPr>
      <w:r>
        <w:rPr>
          <w:sz w:val="24"/>
        </w:rPr>
        <w:t>CONCLUSION</w:t>
      </w:r>
      <w:r w:rsidR="001D7AA9">
        <w:rPr>
          <w:sz w:val="24"/>
        </w:rPr>
        <w:t>…………………………………………………………………………………………………………………………..27</w:t>
      </w:r>
    </w:p>
    <w:p w:rsidR="00132B2D" w:rsidRDefault="00132B2D" w:rsidP="00177C1A">
      <w:pPr>
        <w:rPr>
          <w:sz w:val="24"/>
        </w:rPr>
      </w:pPr>
    </w:p>
    <w:p w:rsidR="00132B2D" w:rsidRDefault="00132B2D" w:rsidP="00177C1A">
      <w:pPr>
        <w:rPr>
          <w:sz w:val="24"/>
        </w:rPr>
        <w:sectPr w:rsidR="00132B2D">
          <w:footerReference w:type="default" r:id="rId9"/>
          <w:footerReference w:type="first" r:id="rId10"/>
          <w:pgSz w:w="12240" w:h="15840"/>
          <w:pgMar w:top="1440" w:right="1440" w:bottom="1440" w:left="1440" w:header="720" w:footer="720" w:gutter="0"/>
          <w:cols w:space="720"/>
          <w:docGrid w:linePitch="360"/>
        </w:sectPr>
      </w:pPr>
    </w:p>
    <w:p w:rsidR="00132B2D" w:rsidRPr="00AB6DA6" w:rsidRDefault="00132B2D" w:rsidP="00132B2D">
      <w:pPr>
        <w:spacing w:line="480" w:lineRule="auto"/>
        <w:rPr>
          <w:b/>
          <w:sz w:val="24"/>
        </w:rPr>
      </w:pPr>
      <w:r>
        <w:rPr>
          <w:b/>
          <w:sz w:val="24"/>
        </w:rPr>
        <w:lastRenderedPageBreak/>
        <w:t>INTRODUCTION</w:t>
      </w:r>
    </w:p>
    <w:p w:rsidR="00132B2D" w:rsidRPr="00AB6DA6" w:rsidRDefault="00132B2D" w:rsidP="00132B2D">
      <w:pPr>
        <w:spacing w:line="480" w:lineRule="auto"/>
        <w:rPr>
          <w:sz w:val="24"/>
        </w:rPr>
      </w:pPr>
      <w:r w:rsidRPr="00AB6DA6">
        <w:rPr>
          <w:sz w:val="24"/>
        </w:rPr>
        <w:t>Q. WHAT IS YOUR NAME AND BUSINESS ADDRESS?</w:t>
      </w:r>
    </w:p>
    <w:p w:rsidR="00132B2D" w:rsidRPr="00AB6DA6" w:rsidRDefault="00132B2D" w:rsidP="00132B2D">
      <w:pPr>
        <w:spacing w:line="480" w:lineRule="auto"/>
        <w:rPr>
          <w:sz w:val="24"/>
        </w:rPr>
      </w:pPr>
      <w:r w:rsidRPr="00AB6DA6">
        <w:rPr>
          <w:sz w:val="24"/>
        </w:rPr>
        <w:t xml:space="preserve">A. </w:t>
      </w:r>
      <w:r>
        <w:rPr>
          <w:sz w:val="24"/>
        </w:rPr>
        <w:tab/>
      </w:r>
      <w:r w:rsidRPr="00AB6DA6">
        <w:rPr>
          <w:sz w:val="24"/>
        </w:rPr>
        <w:t xml:space="preserve">My name is Dean Ellis and my business address is 601 Travis Street, </w:t>
      </w:r>
      <w:r>
        <w:rPr>
          <w:sz w:val="24"/>
        </w:rPr>
        <w:t xml:space="preserve">Suite 1400, </w:t>
      </w:r>
      <w:r w:rsidRPr="00AB6DA6">
        <w:rPr>
          <w:sz w:val="24"/>
        </w:rPr>
        <w:t>Houston, TX 77002.</w:t>
      </w:r>
    </w:p>
    <w:p w:rsidR="00132B2D" w:rsidRPr="00AB6DA6" w:rsidRDefault="00132B2D" w:rsidP="00132B2D">
      <w:pPr>
        <w:spacing w:line="480" w:lineRule="auto"/>
        <w:rPr>
          <w:sz w:val="24"/>
        </w:rPr>
      </w:pPr>
      <w:r w:rsidRPr="00AB6DA6">
        <w:rPr>
          <w:sz w:val="24"/>
        </w:rPr>
        <w:t>Q. BY WHOM ARE YOU EMPLOYED AND IN WHAT CAPACITY?</w:t>
      </w:r>
    </w:p>
    <w:p w:rsidR="00132B2D" w:rsidRPr="00AB6DA6" w:rsidRDefault="00132B2D" w:rsidP="00132B2D">
      <w:pPr>
        <w:spacing w:line="480" w:lineRule="auto"/>
        <w:rPr>
          <w:sz w:val="24"/>
        </w:rPr>
      </w:pPr>
      <w:r w:rsidRPr="00AB6DA6">
        <w:rPr>
          <w:sz w:val="24"/>
        </w:rPr>
        <w:t xml:space="preserve">A. </w:t>
      </w:r>
      <w:r>
        <w:rPr>
          <w:sz w:val="24"/>
        </w:rPr>
        <w:tab/>
      </w:r>
      <w:r w:rsidRPr="00AB6DA6">
        <w:rPr>
          <w:sz w:val="24"/>
        </w:rPr>
        <w:t>I am employed by Dynegy Inc. (“Dynegy”).  My title is Vice President</w:t>
      </w:r>
      <w:r>
        <w:rPr>
          <w:sz w:val="24"/>
        </w:rPr>
        <w:t>,</w:t>
      </w:r>
      <w:r w:rsidRPr="00AB6DA6">
        <w:rPr>
          <w:sz w:val="24"/>
        </w:rPr>
        <w:t xml:space="preserve"> Regulatory Affairs.</w:t>
      </w:r>
    </w:p>
    <w:p w:rsidR="00132B2D" w:rsidRPr="00AB6DA6" w:rsidRDefault="00132B2D" w:rsidP="00132B2D">
      <w:pPr>
        <w:spacing w:line="480" w:lineRule="auto"/>
        <w:rPr>
          <w:sz w:val="24"/>
        </w:rPr>
      </w:pPr>
      <w:r w:rsidRPr="00AB6DA6">
        <w:rPr>
          <w:sz w:val="24"/>
        </w:rPr>
        <w:t>Q. WHAT ARE YOUR RESPONSIBILITIES AS VICE PRESIDENT OF REGUL</w:t>
      </w:r>
      <w:r>
        <w:rPr>
          <w:sz w:val="24"/>
        </w:rPr>
        <w:t>A</w:t>
      </w:r>
      <w:r w:rsidRPr="00AB6DA6">
        <w:rPr>
          <w:sz w:val="24"/>
        </w:rPr>
        <w:t>TORY AFFAIRS?</w:t>
      </w:r>
    </w:p>
    <w:p w:rsidR="00132B2D" w:rsidRPr="00AB6DA6" w:rsidRDefault="00132B2D" w:rsidP="00132B2D">
      <w:pPr>
        <w:spacing w:line="480" w:lineRule="auto"/>
        <w:rPr>
          <w:sz w:val="24"/>
        </w:rPr>
      </w:pPr>
      <w:r w:rsidRPr="00AB6DA6">
        <w:rPr>
          <w:sz w:val="24"/>
        </w:rPr>
        <w:t>A.</w:t>
      </w:r>
      <w:r>
        <w:rPr>
          <w:sz w:val="24"/>
        </w:rPr>
        <w:tab/>
      </w:r>
      <w:r w:rsidRPr="00AB6DA6">
        <w:rPr>
          <w:sz w:val="24"/>
        </w:rPr>
        <w:t xml:space="preserve"> I am responsible for </w:t>
      </w:r>
      <w:r>
        <w:rPr>
          <w:sz w:val="24"/>
        </w:rPr>
        <w:t xml:space="preserve">overseeing the development and advancement of Dynegy’s </w:t>
      </w:r>
      <w:r w:rsidRPr="00AB6DA6">
        <w:rPr>
          <w:sz w:val="24"/>
        </w:rPr>
        <w:t>wholesale</w:t>
      </w:r>
      <w:r>
        <w:rPr>
          <w:sz w:val="24"/>
        </w:rPr>
        <w:t xml:space="preserve"> and</w:t>
      </w:r>
      <w:r w:rsidRPr="00AB6DA6">
        <w:rPr>
          <w:sz w:val="24"/>
        </w:rPr>
        <w:t xml:space="preserve"> retail </w:t>
      </w:r>
      <w:r>
        <w:rPr>
          <w:sz w:val="24"/>
        </w:rPr>
        <w:t xml:space="preserve">regulatory </w:t>
      </w:r>
      <w:r w:rsidRPr="00AB6DA6">
        <w:rPr>
          <w:sz w:val="24"/>
        </w:rPr>
        <w:t>and environmental policy</w:t>
      </w:r>
      <w:r>
        <w:rPr>
          <w:sz w:val="24"/>
        </w:rPr>
        <w:t xml:space="preserve">. </w:t>
      </w:r>
      <w:r w:rsidRPr="00AB6DA6">
        <w:rPr>
          <w:sz w:val="24"/>
        </w:rPr>
        <w:t xml:space="preserve"> </w:t>
      </w:r>
      <w:r>
        <w:rPr>
          <w:sz w:val="24"/>
        </w:rPr>
        <w:t xml:space="preserve">I also oversee Dynegy’s </w:t>
      </w:r>
      <w:r w:rsidRPr="00AB6DA6">
        <w:rPr>
          <w:sz w:val="24"/>
        </w:rPr>
        <w:t>governmental and legislative affairs</w:t>
      </w:r>
      <w:r>
        <w:rPr>
          <w:sz w:val="24"/>
        </w:rPr>
        <w:t xml:space="preserve"> activities.</w:t>
      </w:r>
    </w:p>
    <w:p w:rsidR="00132B2D" w:rsidRPr="00AB6DA6" w:rsidRDefault="00132B2D" w:rsidP="00132B2D">
      <w:pPr>
        <w:spacing w:line="480" w:lineRule="auto"/>
        <w:rPr>
          <w:sz w:val="24"/>
        </w:rPr>
      </w:pPr>
      <w:r w:rsidRPr="00AB6DA6">
        <w:rPr>
          <w:sz w:val="24"/>
        </w:rPr>
        <w:t>Q. WHAT IS YOUR EDUCATIONAL AND PROFESSIONAL BACKGROUND?</w:t>
      </w:r>
    </w:p>
    <w:p w:rsidR="00132B2D" w:rsidRPr="00AB6DA6" w:rsidRDefault="00132B2D" w:rsidP="00132B2D">
      <w:pPr>
        <w:spacing w:line="480" w:lineRule="auto"/>
        <w:rPr>
          <w:sz w:val="24"/>
        </w:rPr>
      </w:pPr>
      <w:r w:rsidRPr="00AB6DA6">
        <w:rPr>
          <w:sz w:val="24"/>
        </w:rPr>
        <w:t xml:space="preserve">A. </w:t>
      </w:r>
      <w:r>
        <w:rPr>
          <w:sz w:val="24"/>
        </w:rPr>
        <w:tab/>
      </w:r>
      <w:r w:rsidRPr="00AB6DA6">
        <w:rPr>
          <w:sz w:val="24"/>
        </w:rPr>
        <w:t>I have a Bachelor of Science Degree in Electric Power Engineering from Rensselaer Polytechnic Institute in Troy, N.Y.  Prior to working for Dynegy, I was Manager of Transmission Studies for the New York Independent System Operator (</w:t>
      </w:r>
      <w:r>
        <w:rPr>
          <w:sz w:val="24"/>
        </w:rPr>
        <w:t>“</w:t>
      </w:r>
      <w:r w:rsidRPr="00AB6DA6">
        <w:rPr>
          <w:sz w:val="24"/>
        </w:rPr>
        <w:t>NYISO</w:t>
      </w:r>
      <w:r>
        <w:rPr>
          <w:sz w:val="24"/>
        </w:rPr>
        <w:t>”</w:t>
      </w:r>
      <w:r w:rsidRPr="00AB6DA6">
        <w:rPr>
          <w:sz w:val="24"/>
        </w:rPr>
        <w:t>).  Prior to that, I held a variety of engineering and construction roles pertaining to electric transmission, power generation and critical facilities.  I am a licensed Professional Engineer in New York (i</w:t>
      </w:r>
      <w:r>
        <w:rPr>
          <w:sz w:val="24"/>
        </w:rPr>
        <w:t>nactive</w:t>
      </w:r>
      <w:r w:rsidRPr="00AB6DA6">
        <w:rPr>
          <w:sz w:val="24"/>
        </w:rPr>
        <w:t>).</w:t>
      </w:r>
    </w:p>
    <w:p w:rsidR="00132B2D" w:rsidRDefault="00132B2D" w:rsidP="00132B2D">
      <w:pPr>
        <w:spacing w:line="480" w:lineRule="auto"/>
        <w:rPr>
          <w:b/>
          <w:sz w:val="24"/>
        </w:rPr>
      </w:pPr>
    </w:p>
    <w:p w:rsidR="00132B2D" w:rsidRPr="00AB6DA6" w:rsidRDefault="00132B2D" w:rsidP="00132B2D">
      <w:pPr>
        <w:spacing w:line="480" w:lineRule="auto"/>
        <w:rPr>
          <w:b/>
          <w:sz w:val="24"/>
        </w:rPr>
      </w:pPr>
      <w:r w:rsidRPr="00AB6DA6">
        <w:rPr>
          <w:b/>
          <w:sz w:val="24"/>
        </w:rPr>
        <w:t>PURPOSE OF TESTIMONY</w:t>
      </w:r>
    </w:p>
    <w:p w:rsidR="00132B2D" w:rsidRPr="00AB6DA6" w:rsidRDefault="00132B2D" w:rsidP="00132B2D">
      <w:pPr>
        <w:spacing w:line="480" w:lineRule="auto"/>
        <w:rPr>
          <w:sz w:val="24"/>
        </w:rPr>
      </w:pPr>
      <w:r w:rsidRPr="00AB6DA6">
        <w:rPr>
          <w:sz w:val="24"/>
        </w:rPr>
        <w:t>Q. WHAT IS THE PURPOSE OF YOUR TESTIMONY?</w:t>
      </w:r>
    </w:p>
    <w:p w:rsidR="00132B2D" w:rsidRDefault="00132B2D" w:rsidP="00132B2D">
      <w:pPr>
        <w:spacing w:line="480" w:lineRule="auto"/>
        <w:rPr>
          <w:sz w:val="24"/>
        </w:rPr>
      </w:pPr>
      <w:r w:rsidRPr="00AB6DA6">
        <w:rPr>
          <w:sz w:val="24"/>
        </w:rPr>
        <w:t xml:space="preserve">A. </w:t>
      </w:r>
      <w:r>
        <w:rPr>
          <w:sz w:val="24"/>
        </w:rPr>
        <w:tab/>
        <w:t>This testimony is offered on behalf of Dynegy</w:t>
      </w:r>
      <w:r w:rsidRPr="00AB6DA6">
        <w:rPr>
          <w:sz w:val="24"/>
        </w:rPr>
        <w:t xml:space="preserve"> </w:t>
      </w:r>
      <w:r>
        <w:rPr>
          <w:sz w:val="24"/>
        </w:rPr>
        <w:t xml:space="preserve">in </w:t>
      </w:r>
      <w:r w:rsidRPr="00AB6DA6">
        <w:rPr>
          <w:sz w:val="24"/>
        </w:rPr>
        <w:t>oppos</w:t>
      </w:r>
      <w:r>
        <w:rPr>
          <w:sz w:val="24"/>
        </w:rPr>
        <w:t>ition to</w:t>
      </w:r>
      <w:r w:rsidRPr="00AB6DA6">
        <w:rPr>
          <w:sz w:val="24"/>
        </w:rPr>
        <w:t xml:space="preserve"> AEP Ohio’s proposal to enter into a power purchase agreement (</w:t>
      </w:r>
      <w:r>
        <w:rPr>
          <w:sz w:val="24"/>
        </w:rPr>
        <w:t>“</w:t>
      </w:r>
      <w:r w:rsidRPr="00AB6DA6">
        <w:rPr>
          <w:sz w:val="24"/>
        </w:rPr>
        <w:t>PPA</w:t>
      </w:r>
      <w:r>
        <w:rPr>
          <w:sz w:val="24"/>
        </w:rPr>
        <w:t>”</w:t>
      </w:r>
      <w:r w:rsidRPr="00AB6DA6">
        <w:rPr>
          <w:sz w:val="24"/>
        </w:rPr>
        <w:t>) with AEP Generation Resources (</w:t>
      </w:r>
      <w:r>
        <w:rPr>
          <w:sz w:val="24"/>
        </w:rPr>
        <w:t>“</w:t>
      </w:r>
      <w:r w:rsidRPr="00AB6DA6">
        <w:rPr>
          <w:sz w:val="24"/>
        </w:rPr>
        <w:t xml:space="preserve">AEPGR”) for the generation output of several of its generating units (“PPA units”) and to include </w:t>
      </w:r>
      <w:r>
        <w:rPr>
          <w:sz w:val="24"/>
        </w:rPr>
        <w:t>such PPA</w:t>
      </w:r>
      <w:r w:rsidRPr="00AB6DA6">
        <w:rPr>
          <w:sz w:val="24"/>
        </w:rPr>
        <w:t xml:space="preserve"> </w:t>
      </w:r>
      <w:r w:rsidRPr="00AB6DA6">
        <w:rPr>
          <w:sz w:val="24"/>
        </w:rPr>
        <w:lastRenderedPageBreak/>
        <w:t xml:space="preserve">contracts in AEP Ohio’s Electric Security Plan Case Nos. 13-2385-EL-SSO and 13-2386-EL-AAM (“ESP III”).  </w:t>
      </w:r>
      <w:r>
        <w:rPr>
          <w:sz w:val="24"/>
        </w:rPr>
        <w:t>Dynegy’s opposition also includes the AEP OVEC entitlement, for which AEP already has a direct contractual relationship through an existing agreement.</w:t>
      </w:r>
      <w:r>
        <w:rPr>
          <w:rStyle w:val="FootnoteReference"/>
          <w:sz w:val="24"/>
        </w:rPr>
        <w:footnoteReference w:id="1"/>
      </w:r>
      <w:r>
        <w:rPr>
          <w:sz w:val="24"/>
        </w:rPr>
        <w:t xml:space="preserve"> </w:t>
      </w:r>
    </w:p>
    <w:p w:rsidR="00132B2D" w:rsidRPr="009C78E7" w:rsidRDefault="00132B2D" w:rsidP="00132B2D">
      <w:pPr>
        <w:spacing w:line="480" w:lineRule="auto"/>
        <w:ind w:left="450" w:hanging="450"/>
        <w:rPr>
          <w:sz w:val="24"/>
        </w:rPr>
      </w:pPr>
      <w:r w:rsidRPr="009C78E7">
        <w:rPr>
          <w:sz w:val="24"/>
        </w:rPr>
        <w:t>Q.</w:t>
      </w:r>
      <w:r>
        <w:rPr>
          <w:sz w:val="24"/>
        </w:rPr>
        <w:t xml:space="preserve">   </w:t>
      </w:r>
      <w:r w:rsidRPr="009C78E7">
        <w:rPr>
          <w:sz w:val="24"/>
        </w:rPr>
        <w:t>WOULD YOU BRIEFLY SUMMARIZE THE BASIS FOR DY</w:t>
      </w:r>
      <w:r>
        <w:rPr>
          <w:sz w:val="24"/>
        </w:rPr>
        <w:t xml:space="preserve">NEGY’S OPPOSITION TO AEP OHIO’S </w:t>
      </w:r>
      <w:r w:rsidRPr="009C78E7">
        <w:rPr>
          <w:sz w:val="24"/>
        </w:rPr>
        <w:t>PROPOSAL?</w:t>
      </w:r>
    </w:p>
    <w:p w:rsidR="00132B2D" w:rsidRPr="009C78E7" w:rsidRDefault="00132B2D" w:rsidP="00132B2D">
      <w:pPr>
        <w:spacing w:line="480" w:lineRule="auto"/>
        <w:rPr>
          <w:sz w:val="24"/>
        </w:rPr>
      </w:pPr>
      <w:r>
        <w:rPr>
          <w:sz w:val="24"/>
        </w:rPr>
        <w:t xml:space="preserve">A. </w:t>
      </w:r>
      <w:r>
        <w:rPr>
          <w:sz w:val="24"/>
        </w:rPr>
        <w:tab/>
      </w:r>
      <w:r w:rsidRPr="009C78E7">
        <w:rPr>
          <w:sz w:val="24"/>
        </w:rPr>
        <w:t xml:space="preserve">Of course.  First and foremost, </w:t>
      </w:r>
      <w:r w:rsidRPr="009C78E7">
        <w:rPr>
          <w:color w:val="000000"/>
          <w:sz w:val="24"/>
        </w:rPr>
        <w:t xml:space="preserve">Dynegy </w:t>
      </w:r>
      <w:r w:rsidRPr="009C78E7">
        <w:rPr>
          <w:color w:val="000000"/>
          <w:sz w:val="24"/>
          <w:shd w:val="clear" w:color="auto" w:fill="FFFFFF"/>
        </w:rPr>
        <w:t>operates power generating facilities in eight states in the Midwest, the Northeast and the West Coast. The company's portfolio consists of nearly 26,000 megawatts of generating facilities that are capable of generating enough electricity to power about 21 million homes nationwide.  Dynegy</w:t>
      </w:r>
      <w:r w:rsidRPr="009C78E7">
        <w:rPr>
          <w:sz w:val="24"/>
        </w:rPr>
        <w:t xml:space="preserve"> believes in the efficient operation of markets, generally, and of markets for wholesale electric power and electric capacity, specifically. Dynegy opposes arrangements or constructs that are designed to distort the markets in a manner that assure benefits to one market participant and therefore inappropriately disadvantage other market participants.  </w:t>
      </w:r>
    </w:p>
    <w:p w:rsidR="00132B2D" w:rsidRPr="009C78E7" w:rsidRDefault="00132B2D" w:rsidP="00132B2D">
      <w:pPr>
        <w:spacing w:line="480" w:lineRule="auto"/>
        <w:ind w:firstLine="720"/>
        <w:rPr>
          <w:sz w:val="24"/>
        </w:rPr>
      </w:pPr>
      <w:r w:rsidRPr="009C78E7">
        <w:rPr>
          <w:sz w:val="24"/>
        </w:rPr>
        <w:t xml:space="preserve">AEP Ohio’s proposal is just such a construct.  AEP Ohio’s principal justification for its proposed PPAs and the related distribution charge it wishes to impose is its stated concern with system reliability in the event that generation units are retired in the future.  To a somewhat lesser extent, AEP Ohio purports to express concerns on behalf of the State of Ohio and of localities within Ohio regarding the potential loss of employment and tax revenues.  </w:t>
      </w:r>
    </w:p>
    <w:p w:rsidR="00132B2D" w:rsidRPr="009C78E7" w:rsidRDefault="00132B2D" w:rsidP="00132B2D">
      <w:pPr>
        <w:spacing w:line="480" w:lineRule="auto"/>
        <w:ind w:firstLine="720"/>
        <w:rPr>
          <w:sz w:val="24"/>
        </w:rPr>
      </w:pPr>
      <w:r w:rsidRPr="009C78E7">
        <w:rPr>
          <w:sz w:val="24"/>
        </w:rPr>
        <w:t xml:space="preserve">But AEP exaggerates the importance of a number of facts and minimizes the importance of others, all with the obvious purpose of </w:t>
      </w:r>
      <w:r>
        <w:rPr>
          <w:sz w:val="24"/>
        </w:rPr>
        <w:t xml:space="preserve">attempting to lend </w:t>
      </w:r>
      <w:r w:rsidRPr="009C78E7">
        <w:rPr>
          <w:sz w:val="24"/>
        </w:rPr>
        <w:t xml:space="preserve">credibility to its expressed concerns and thereby supporting its anti-market proposals.  For example, its concern with </w:t>
      </w:r>
      <w:r w:rsidRPr="009C78E7">
        <w:rPr>
          <w:sz w:val="24"/>
        </w:rPr>
        <w:lastRenderedPageBreak/>
        <w:t xml:space="preserve">system reliability largely overlooks the existing excess capacity within PJM, which well exceeds the PJM-required reserve margin for capacity.   At the same time, AEP Ohio ignores new generation that is under development, and even </w:t>
      </w:r>
      <w:r>
        <w:rPr>
          <w:sz w:val="24"/>
        </w:rPr>
        <w:t>approximately</w:t>
      </w:r>
      <w:r w:rsidRPr="009C78E7">
        <w:rPr>
          <w:sz w:val="24"/>
        </w:rPr>
        <w:t xml:space="preserve"> 2</w:t>
      </w:r>
      <w:r>
        <w:rPr>
          <w:sz w:val="24"/>
        </w:rPr>
        <w:t>,</w:t>
      </w:r>
      <w:r w:rsidRPr="009C78E7">
        <w:rPr>
          <w:sz w:val="24"/>
        </w:rPr>
        <w:t xml:space="preserve">800 MW of new generation that has been announced for development </w:t>
      </w:r>
      <w:r w:rsidRPr="009C78E7">
        <w:rPr>
          <w:sz w:val="24"/>
          <w:u w:val="single"/>
        </w:rPr>
        <w:t>within Ohio itself</w:t>
      </w:r>
      <w:r w:rsidRPr="009C78E7">
        <w:rPr>
          <w:sz w:val="24"/>
        </w:rPr>
        <w:t xml:space="preserve">.  </w:t>
      </w:r>
    </w:p>
    <w:p w:rsidR="00132B2D" w:rsidRPr="009C78E7" w:rsidRDefault="00132B2D" w:rsidP="00132B2D">
      <w:pPr>
        <w:spacing w:line="480" w:lineRule="auto"/>
        <w:ind w:firstLine="720"/>
        <w:rPr>
          <w:sz w:val="24"/>
        </w:rPr>
      </w:pPr>
      <w:r w:rsidRPr="009C78E7">
        <w:rPr>
          <w:sz w:val="24"/>
        </w:rPr>
        <w:t xml:space="preserve">A principal </w:t>
      </w:r>
      <w:r>
        <w:rPr>
          <w:sz w:val="24"/>
        </w:rPr>
        <w:t>threat to AEP’s</w:t>
      </w:r>
      <w:r w:rsidRPr="009C78E7">
        <w:rPr>
          <w:sz w:val="24"/>
        </w:rPr>
        <w:t xml:space="preserve"> stated concern </w:t>
      </w:r>
      <w:r>
        <w:rPr>
          <w:sz w:val="24"/>
        </w:rPr>
        <w:t xml:space="preserve">with maintaining system reliability comes from AEP itself.  AEP threatens that absent the PPA construct it may have </w:t>
      </w:r>
      <w:r w:rsidRPr="009C78E7">
        <w:rPr>
          <w:sz w:val="24"/>
        </w:rPr>
        <w:t xml:space="preserve">to shut down generation that it operates.  At best, this is an exaggerated threat.  AEP Ohio simply cannot unilaterally retire anywhere near the volume of generation capacity that it claims is at risk in its application. </w:t>
      </w:r>
    </w:p>
    <w:p w:rsidR="00132B2D" w:rsidRPr="009C78E7" w:rsidRDefault="00132B2D" w:rsidP="00132B2D">
      <w:pPr>
        <w:spacing w:line="480" w:lineRule="auto"/>
        <w:ind w:firstLine="720"/>
        <w:rPr>
          <w:sz w:val="24"/>
        </w:rPr>
      </w:pPr>
      <w:r w:rsidRPr="009C78E7">
        <w:rPr>
          <w:sz w:val="24"/>
        </w:rPr>
        <w:t xml:space="preserve">AEP Ohio then exaggerates concerns regarding the robustness of PJM’s transmission system and the ability of that system to ensure power and capacity to the residents of Ohio.  In doing so, it minimizes or overlooks PJM initiatives undertaken to ensure the robustness of that system – even though AEP itself has described PJM as the operator of the largest wholesale electricity market in the world, and as the best-established RTO in North America with a “proven performance record.”  </w:t>
      </w:r>
    </w:p>
    <w:p w:rsidR="00132B2D" w:rsidRPr="009C78E7" w:rsidRDefault="00132B2D" w:rsidP="00132B2D">
      <w:pPr>
        <w:spacing w:line="480" w:lineRule="auto"/>
        <w:ind w:firstLine="720"/>
        <w:rPr>
          <w:sz w:val="24"/>
        </w:rPr>
      </w:pPr>
      <w:r w:rsidRPr="009C78E7">
        <w:rPr>
          <w:sz w:val="24"/>
        </w:rPr>
        <w:t xml:space="preserve">Reliability issues do not necessarily mean system collapse, of course, and AEP Ohio is quick to </w:t>
      </w:r>
      <w:r>
        <w:rPr>
          <w:sz w:val="24"/>
        </w:rPr>
        <w:t xml:space="preserve">also </w:t>
      </w:r>
      <w:r w:rsidRPr="009C78E7">
        <w:rPr>
          <w:sz w:val="24"/>
        </w:rPr>
        <w:t>point to market volatility to justify its application.  Again, however, AEP Ohio grossly exaggerates claims of market volatility, which simply cannot be supported by the historic evidence.  In fact, its claims of volatility are based wholly upon 2 days in the same month over a period of the last ten years.</w:t>
      </w:r>
    </w:p>
    <w:p w:rsidR="00132B2D" w:rsidRPr="009C78E7" w:rsidRDefault="00132B2D" w:rsidP="00132B2D">
      <w:pPr>
        <w:spacing w:line="480" w:lineRule="auto"/>
        <w:ind w:firstLine="720"/>
        <w:rPr>
          <w:sz w:val="24"/>
        </w:rPr>
      </w:pPr>
      <w:r w:rsidRPr="009C78E7">
        <w:rPr>
          <w:sz w:val="24"/>
        </w:rPr>
        <w:t xml:space="preserve">Because AEP Ohio cannot unilaterally eliminate the capacity it claims is at risk, its expressions of concern over jobs and tax revenues are also overstated.  Even if this were not so, </w:t>
      </w:r>
      <w:r w:rsidRPr="009C78E7">
        <w:rPr>
          <w:sz w:val="24"/>
        </w:rPr>
        <w:lastRenderedPageBreak/>
        <w:t>however, AEP Ohio overlooks the simple inevitability that inefficient plants</w:t>
      </w:r>
      <w:r w:rsidRPr="009C78E7">
        <w:rPr>
          <w:i/>
          <w:sz w:val="24"/>
        </w:rPr>
        <w:t xml:space="preserve"> will </w:t>
      </w:r>
      <w:r w:rsidRPr="009C78E7">
        <w:rPr>
          <w:sz w:val="24"/>
        </w:rPr>
        <w:t xml:space="preserve">be replaced by more efficient plants.  This means that AEP Ohio’s customers must actually suffer </w:t>
      </w:r>
      <w:r w:rsidRPr="009C78E7">
        <w:rPr>
          <w:i/>
          <w:sz w:val="24"/>
        </w:rPr>
        <w:t>twice</w:t>
      </w:r>
      <w:r w:rsidRPr="009C78E7">
        <w:rPr>
          <w:sz w:val="24"/>
        </w:rPr>
        <w:t xml:space="preserve"> if its proposal is approved.  To the extent that AEP Ohio succeeds in forcing Ohio residents to subsidize the operation of its plants, it is also delays the jobs, taxes, and other economic benefits related to the construction and operation of more efficient plants.  </w:t>
      </w:r>
    </w:p>
    <w:p w:rsidR="00132B2D" w:rsidRDefault="00132B2D" w:rsidP="00132B2D">
      <w:pPr>
        <w:spacing w:line="480" w:lineRule="auto"/>
        <w:ind w:firstLine="720"/>
        <w:rPr>
          <w:sz w:val="24"/>
        </w:rPr>
      </w:pPr>
      <w:r w:rsidRPr="009C78E7">
        <w:rPr>
          <w:sz w:val="24"/>
        </w:rPr>
        <w:t xml:space="preserve">AEP Ohio dismisses the market disincentives that result from the subsidies it seeks.  </w:t>
      </w:r>
      <w:r>
        <w:rPr>
          <w:sz w:val="24"/>
        </w:rPr>
        <w:t>AEP’s</w:t>
      </w:r>
      <w:r w:rsidRPr="009C78E7">
        <w:rPr>
          <w:sz w:val="24"/>
        </w:rPr>
        <w:t xml:space="preserve"> proposal may artificially decrease the costs of energy and capacity in the PJM market, but it does so by forcing the citizens of Ohio to subsidize that decrease through distribution charges that benefit AEP alone, while at the same time delaying the citizens of Ohio from realizing both the economic and non-economic benefits market competition.  AEP’s proposal harms AEP Ohio’s rate payers.  AEP’s proposal harms the State of Ohio.  AEP’s proposal harms the efficiency of the markets, and harms those entities, such as Dynegy, who participate in that market.  Therefore, the proposal should be rejected.</w:t>
      </w:r>
    </w:p>
    <w:p w:rsidR="00132B2D" w:rsidRPr="00AB6DA6" w:rsidRDefault="00132B2D" w:rsidP="00132B2D">
      <w:pPr>
        <w:spacing w:line="480" w:lineRule="auto"/>
        <w:rPr>
          <w:sz w:val="24"/>
        </w:rPr>
      </w:pPr>
      <w:r w:rsidRPr="00AB6DA6">
        <w:rPr>
          <w:sz w:val="24"/>
        </w:rPr>
        <w:t>Q. CAN YOU STATE WHICH UNITS WOULD BE COVERED BY THE PPAs?</w:t>
      </w:r>
    </w:p>
    <w:p w:rsidR="00132B2D" w:rsidRDefault="00132B2D" w:rsidP="00132B2D">
      <w:pPr>
        <w:spacing w:line="480" w:lineRule="auto"/>
        <w:rPr>
          <w:sz w:val="24"/>
          <w:u w:val="single"/>
        </w:rPr>
      </w:pPr>
      <w:r w:rsidRPr="00AB6DA6">
        <w:rPr>
          <w:sz w:val="24"/>
        </w:rPr>
        <w:t xml:space="preserve">A. </w:t>
      </w:r>
      <w:r>
        <w:rPr>
          <w:sz w:val="24"/>
        </w:rPr>
        <w:tab/>
        <w:t>As I understand AEP’s proposal, t</w:t>
      </w:r>
      <w:r w:rsidRPr="00AB6DA6">
        <w:rPr>
          <w:sz w:val="24"/>
        </w:rPr>
        <w:t>he following units would be covered by the PPAs:</w:t>
      </w:r>
      <w:r>
        <w:rPr>
          <w:rStyle w:val="FootnoteReference"/>
          <w:sz w:val="24"/>
        </w:rPr>
        <w:footnoteReference w:id="2"/>
      </w:r>
      <w:r>
        <w:rPr>
          <w:sz w:val="24"/>
          <w:u w:val="single"/>
        </w:rPr>
        <w:br w:type="page"/>
      </w:r>
    </w:p>
    <w:p w:rsidR="00132B2D" w:rsidRPr="00FB106F" w:rsidRDefault="00132B2D" w:rsidP="00132B2D">
      <w:pPr>
        <w:spacing w:line="480" w:lineRule="auto"/>
        <w:jc w:val="center"/>
        <w:rPr>
          <w:sz w:val="24"/>
          <w:u w:val="single"/>
        </w:rPr>
      </w:pPr>
      <w:r w:rsidRPr="00FB106F">
        <w:rPr>
          <w:sz w:val="24"/>
          <w:u w:val="single"/>
        </w:rPr>
        <w:lastRenderedPageBreak/>
        <w:t>Table 1: List of PPA Generating Units</w:t>
      </w:r>
    </w:p>
    <w:tbl>
      <w:tblPr>
        <w:tblStyle w:val="TableGrid"/>
        <w:tblW w:w="0" w:type="auto"/>
        <w:jc w:val="center"/>
        <w:tblLook w:val="04A0" w:firstRow="1" w:lastRow="0" w:firstColumn="1" w:lastColumn="0" w:noHBand="0" w:noVBand="1"/>
      </w:tblPr>
      <w:tblGrid>
        <w:gridCol w:w="2448"/>
        <w:gridCol w:w="1980"/>
        <w:gridCol w:w="1980"/>
      </w:tblGrid>
      <w:tr w:rsidR="00132B2D" w:rsidTr="00866838">
        <w:trPr>
          <w:jc w:val="center"/>
        </w:trPr>
        <w:tc>
          <w:tcPr>
            <w:tcW w:w="2448" w:type="dxa"/>
            <w:shd w:val="clear" w:color="auto" w:fill="DDD9C3" w:themeFill="background2" w:themeFillShade="E6"/>
            <w:vAlign w:val="center"/>
          </w:tcPr>
          <w:p w:rsidR="00132B2D" w:rsidRPr="00BB143E" w:rsidRDefault="00132B2D" w:rsidP="00866838">
            <w:pPr>
              <w:spacing w:line="360" w:lineRule="auto"/>
              <w:jc w:val="center"/>
              <w:rPr>
                <w:b/>
                <w:sz w:val="24"/>
              </w:rPr>
            </w:pPr>
            <w:r w:rsidRPr="00BB143E">
              <w:rPr>
                <w:b/>
                <w:sz w:val="24"/>
              </w:rPr>
              <w:t>Generating Unit</w:t>
            </w:r>
          </w:p>
        </w:tc>
        <w:tc>
          <w:tcPr>
            <w:tcW w:w="1980" w:type="dxa"/>
            <w:shd w:val="clear" w:color="auto" w:fill="DDD9C3" w:themeFill="background2" w:themeFillShade="E6"/>
            <w:vAlign w:val="center"/>
          </w:tcPr>
          <w:p w:rsidR="00132B2D" w:rsidRPr="00BB143E" w:rsidRDefault="00132B2D" w:rsidP="00866838">
            <w:pPr>
              <w:spacing w:line="360" w:lineRule="auto"/>
              <w:jc w:val="center"/>
              <w:rPr>
                <w:b/>
                <w:sz w:val="24"/>
              </w:rPr>
            </w:pPr>
            <w:r w:rsidRPr="00BB143E">
              <w:rPr>
                <w:b/>
                <w:sz w:val="24"/>
              </w:rPr>
              <w:t>Total Size (MW)</w:t>
            </w:r>
          </w:p>
        </w:tc>
        <w:tc>
          <w:tcPr>
            <w:tcW w:w="1980" w:type="dxa"/>
            <w:shd w:val="clear" w:color="auto" w:fill="DDD9C3" w:themeFill="background2" w:themeFillShade="E6"/>
            <w:vAlign w:val="center"/>
          </w:tcPr>
          <w:p w:rsidR="00132B2D" w:rsidRPr="00BB143E" w:rsidRDefault="00132B2D" w:rsidP="00866838">
            <w:pPr>
              <w:spacing w:line="360" w:lineRule="auto"/>
              <w:jc w:val="center"/>
              <w:rPr>
                <w:b/>
                <w:sz w:val="24"/>
              </w:rPr>
            </w:pPr>
            <w:r w:rsidRPr="00BB143E">
              <w:rPr>
                <w:b/>
                <w:sz w:val="24"/>
              </w:rPr>
              <w:t>AEP Share (MW)</w:t>
            </w:r>
          </w:p>
        </w:tc>
      </w:tr>
      <w:tr w:rsidR="00132B2D" w:rsidTr="00866838">
        <w:trPr>
          <w:jc w:val="center"/>
        </w:trPr>
        <w:tc>
          <w:tcPr>
            <w:tcW w:w="2448" w:type="dxa"/>
            <w:vAlign w:val="center"/>
          </w:tcPr>
          <w:p w:rsidR="00132B2D" w:rsidRPr="00D025DA" w:rsidRDefault="00132B2D" w:rsidP="00866838">
            <w:pPr>
              <w:spacing w:line="360" w:lineRule="auto"/>
              <w:jc w:val="center"/>
              <w:rPr>
                <w:b/>
                <w:sz w:val="24"/>
              </w:rPr>
            </w:pPr>
            <w:r w:rsidRPr="00D025DA">
              <w:rPr>
                <w:b/>
                <w:sz w:val="24"/>
              </w:rPr>
              <w:t>Cardinal Unit 1</w:t>
            </w:r>
          </w:p>
        </w:tc>
        <w:tc>
          <w:tcPr>
            <w:tcW w:w="1980" w:type="dxa"/>
            <w:vAlign w:val="center"/>
          </w:tcPr>
          <w:p w:rsidR="00132B2D" w:rsidRPr="00D025DA" w:rsidRDefault="00132B2D" w:rsidP="00866838">
            <w:pPr>
              <w:spacing w:line="360" w:lineRule="auto"/>
              <w:jc w:val="center"/>
              <w:rPr>
                <w:sz w:val="24"/>
              </w:rPr>
            </w:pPr>
            <w:r w:rsidRPr="00D025DA">
              <w:rPr>
                <w:sz w:val="24"/>
              </w:rPr>
              <w:t>592 MW</w:t>
            </w:r>
          </w:p>
        </w:tc>
        <w:tc>
          <w:tcPr>
            <w:tcW w:w="1980" w:type="dxa"/>
            <w:vAlign w:val="center"/>
          </w:tcPr>
          <w:p w:rsidR="00132B2D" w:rsidRPr="00D025DA" w:rsidRDefault="00132B2D" w:rsidP="00866838">
            <w:pPr>
              <w:spacing w:line="360" w:lineRule="auto"/>
              <w:jc w:val="center"/>
              <w:rPr>
                <w:sz w:val="24"/>
              </w:rPr>
            </w:pPr>
            <w:r w:rsidRPr="00D025DA">
              <w:rPr>
                <w:sz w:val="24"/>
              </w:rPr>
              <w:t>592 MW</w:t>
            </w:r>
          </w:p>
        </w:tc>
      </w:tr>
      <w:tr w:rsidR="00132B2D" w:rsidTr="00866838">
        <w:trPr>
          <w:jc w:val="center"/>
        </w:trPr>
        <w:tc>
          <w:tcPr>
            <w:tcW w:w="2448" w:type="dxa"/>
            <w:vAlign w:val="center"/>
          </w:tcPr>
          <w:p w:rsidR="00132B2D" w:rsidRPr="00D025DA" w:rsidRDefault="00132B2D" w:rsidP="00866838">
            <w:pPr>
              <w:spacing w:line="360" w:lineRule="auto"/>
              <w:jc w:val="center"/>
              <w:rPr>
                <w:b/>
                <w:sz w:val="24"/>
              </w:rPr>
            </w:pPr>
            <w:r w:rsidRPr="00D025DA">
              <w:rPr>
                <w:b/>
                <w:sz w:val="24"/>
              </w:rPr>
              <w:t>Conesville Units 5-6</w:t>
            </w:r>
          </w:p>
        </w:tc>
        <w:tc>
          <w:tcPr>
            <w:tcW w:w="1980" w:type="dxa"/>
            <w:vAlign w:val="center"/>
          </w:tcPr>
          <w:p w:rsidR="00132B2D" w:rsidRPr="00D025DA" w:rsidRDefault="00132B2D" w:rsidP="00866838">
            <w:pPr>
              <w:spacing w:line="360" w:lineRule="auto"/>
              <w:jc w:val="center"/>
              <w:rPr>
                <w:sz w:val="24"/>
              </w:rPr>
            </w:pPr>
            <w:r w:rsidRPr="00D025DA">
              <w:rPr>
                <w:sz w:val="24"/>
              </w:rPr>
              <w:t>810 MW</w:t>
            </w:r>
          </w:p>
        </w:tc>
        <w:tc>
          <w:tcPr>
            <w:tcW w:w="1980" w:type="dxa"/>
            <w:vAlign w:val="center"/>
          </w:tcPr>
          <w:p w:rsidR="00132B2D" w:rsidRPr="00D025DA" w:rsidRDefault="00132B2D" w:rsidP="00866838">
            <w:pPr>
              <w:spacing w:line="360" w:lineRule="auto"/>
              <w:jc w:val="center"/>
              <w:rPr>
                <w:sz w:val="24"/>
              </w:rPr>
            </w:pPr>
            <w:r w:rsidRPr="00D025DA">
              <w:rPr>
                <w:sz w:val="24"/>
              </w:rPr>
              <w:t>810 MW</w:t>
            </w:r>
          </w:p>
        </w:tc>
      </w:tr>
      <w:tr w:rsidR="00132B2D" w:rsidTr="00866838">
        <w:trPr>
          <w:jc w:val="center"/>
        </w:trPr>
        <w:tc>
          <w:tcPr>
            <w:tcW w:w="2448" w:type="dxa"/>
            <w:vAlign w:val="center"/>
          </w:tcPr>
          <w:p w:rsidR="00132B2D" w:rsidRPr="00D025DA" w:rsidRDefault="00132B2D" w:rsidP="00866838">
            <w:pPr>
              <w:spacing w:line="360" w:lineRule="auto"/>
              <w:jc w:val="center"/>
              <w:rPr>
                <w:b/>
                <w:sz w:val="24"/>
              </w:rPr>
            </w:pPr>
            <w:r w:rsidRPr="00D025DA">
              <w:rPr>
                <w:b/>
                <w:sz w:val="24"/>
              </w:rPr>
              <w:t>Conesville Unit 4</w:t>
            </w:r>
          </w:p>
        </w:tc>
        <w:tc>
          <w:tcPr>
            <w:tcW w:w="1980" w:type="dxa"/>
            <w:vAlign w:val="center"/>
          </w:tcPr>
          <w:p w:rsidR="00132B2D" w:rsidRPr="00D025DA" w:rsidRDefault="00132B2D" w:rsidP="00866838">
            <w:pPr>
              <w:spacing w:line="360" w:lineRule="auto"/>
              <w:jc w:val="center"/>
              <w:rPr>
                <w:sz w:val="24"/>
              </w:rPr>
            </w:pPr>
            <w:r w:rsidRPr="00D025DA">
              <w:rPr>
                <w:sz w:val="24"/>
              </w:rPr>
              <w:t>779 MW</w:t>
            </w:r>
          </w:p>
        </w:tc>
        <w:tc>
          <w:tcPr>
            <w:tcW w:w="1980" w:type="dxa"/>
            <w:vAlign w:val="center"/>
          </w:tcPr>
          <w:p w:rsidR="00132B2D" w:rsidRPr="00D025DA" w:rsidRDefault="00132B2D" w:rsidP="00866838">
            <w:pPr>
              <w:spacing w:line="360" w:lineRule="auto"/>
              <w:jc w:val="center"/>
              <w:rPr>
                <w:sz w:val="24"/>
              </w:rPr>
            </w:pPr>
            <w:r w:rsidRPr="00D025DA">
              <w:rPr>
                <w:sz w:val="24"/>
              </w:rPr>
              <w:t>339 MW</w:t>
            </w:r>
          </w:p>
        </w:tc>
      </w:tr>
      <w:tr w:rsidR="00132B2D" w:rsidTr="00866838">
        <w:trPr>
          <w:jc w:val="center"/>
        </w:trPr>
        <w:tc>
          <w:tcPr>
            <w:tcW w:w="2448" w:type="dxa"/>
            <w:vAlign w:val="center"/>
          </w:tcPr>
          <w:p w:rsidR="00132B2D" w:rsidRPr="00D025DA" w:rsidRDefault="00132B2D" w:rsidP="00866838">
            <w:pPr>
              <w:spacing w:line="360" w:lineRule="auto"/>
              <w:jc w:val="center"/>
              <w:rPr>
                <w:b/>
                <w:sz w:val="24"/>
              </w:rPr>
            </w:pPr>
            <w:r w:rsidRPr="00D025DA">
              <w:rPr>
                <w:b/>
                <w:sz w:val="24"/>
              </w:rPr>
              <w:t>Stuart Units 1-4</w:t>
            </w:r>
          </w:p>
        </w:tc>
        <w:tc>
          <w:tcPr>
            <w:tcW w:w="1980" w:type="dxa"/>
            <w:vAlign w:val="center"/>
          </w:tcPr>
          <w:p w:rsidR="00132B2D" w:rsidRPr="00D025DA" w:rsidRDefault="00132B2D" w:rsidP="00866838">
            <w:pPr>
              <w:spacing w:line="360" w:lineRule="auto"/>
              <w:jc w:val="center"/>
              <w:rPr>
                <w:sz w:val="24"/>
              </w:rPr>
            </w:pPr>
            <w:r w:rsidRPr="00D025DA">
              <w:rPr>
                <w:sz w:val="24"/>
              </w:rPr>
              <w:t>2</w:t>
            </w:r>
            <w:r>
              <w:rPr>
                <w:sz w:val="24"/>
              </w:rPr>
              <w:t>,</w:t>
            </w:r>
            <w:r w:rsidRPr="00D025DA">
              <w:rPr>
                <w:sz w:val="24"/>
              </w:rPr>
              <w:t>308 MW</w:t>
            </w:r>
          </w:p>
        </w:tc>
        <w:tc>
          <w:tcPr>
            <w:tcW w:w="1980" w:type="dxa"/>
            <w:vAlign w:val="center"/>
          </w:tcPr>
          <w:p w:rsidR="00132B2D" w:rsidRPr="00D025DA" w:rsidRDefault="00132B2D" w:rsidP="00866838">
            <w:pPr>
              <w:spacing w:line="360" w:lineRule="auto"/>
              <w:jc w:val="center"/>
              <w:rPr>
                <w:sz w:val="24"/>
              </w:rPr>
            </w:pPr>
            <w:r w:rsidRPr="00D025DA">
              <w:rPr>
                <w:sz w:val="24"/>
              </w:rPr>
              <w:t>600 MW</w:t>
            </w:r>
          </w:p>
        </w:tc>
      </w:tr>
      <w:tr w:rsidR="00132B2D" w:rsidTr="00866838">
        <w:trPr>
          <w:jc w:val="center"/>
        </w:trPr>
        <w:tc>
          <w:tcPr>
            <w:tcW w:w="2448" w:type="dxa"/>
            <w:vAlign w:val="center"/>
          </w:tcPr>
          <w:p w:rsidR="00132B2D" w:rsidRPr="00D025DA" w:rsidRDefault="00132B2D" w:rsidP="00866838">
            <w:pPr>
              <w:spacing w:line="360" w:lineRule="auto"/>
              <w:jc w:val="center"/>
              <w:rPr>
                <w:b/>
                <w:sz w:val="24"/>
              </w:rPr>
            </w:pPr>
            <w:r w:rsidRPr="00D025DA">
              <w:rPr>
                <w:b/>
                <w:sz w:val="24"/>
              </w:rPr>
              <w:t>Zimmer Unit 1</w:t>
            </w:r>
          </w:p>
        </w:tc>
        <w:tc>
          <w:tcPr>
            <w:tcW w:w="1980" w:type="dxa"/>
            <w:vAlign w:val="center"/>
          </w:tcPr>
          <w:p w:rsidR="00132B2D" w:rsidRPr="00D025DA" w:rsidRDefault="00132B2D" w:rsidP="00866838">
            <w:pPr>
              <w:spacing w:line="360" w:lineRule="auto"/>
              <w:jc w:val="center"/>
              <w:rPr>
                <w:sz w:val="24"/>
              </w:rPr>
            </w:pPr>
            <w:r w:rsidRPr="00D025DA">
              <w:rPr>
                <w:sz w:val="24"/>
              </w:rPr>
              <w:t>1</w:t>
            </w:r>
            <w:r>
              <w:rPr>
                <w:sz w:val="24"/>
              </w:rPr>
              <w:t>,</w:t>
            </w:r>
            <w:r w:rsidRPr="00D025DA">
              <w:rPr>
                <w:sz w:val="24"/>
              </w:rPr>
              <w:t>300 MW</w:t>
            </w:r>
          </w:p>
        </w:tc>
        <w:tc>
          <w:tcPr>
            <w:tcW w:w="1980" w:type="dxa"/>
            <w:vAlign w:val="center"/>
          </w:tcPr>
          <w:p w:rsidR="00132B2D" w:rsidRPr="00D025DA" w:rsidRDefault="00132B2D" w:rsidP="00866838">
            <w:pPr>
              <w:spacing w:line="360" w:lineRule="auto"/>
              <w:jc w:val="center"/>
              <w:rPr>
                <w:sz w:val="24"/>
              </w:rPr>
            </w:pPr>
            <w:r w:rsidRPr="00D025DA">
              <w:rPr>
                <w:sz w:val="24"/>
              </w:rPr>
              <w:t>330 MW</w:t>
            </w:r>
          </w:p>
        </w:tc>
      </w:tr>
      <w:tr w:rsidR="00132B2D" w:rsidTr="00866838">
        <w:trPr>
          <w:jc w:val="center"/>
        </w:trPr>
        <w:tc>
          <w:tcPr>
            <w:tcW w:w="2448" w:type="dxa"/>
            <w:vAlign w:val="center"/>
          </w:tcPr>
          <w:p w:rsidR="00132B2D" w:rsidRPr="00D025DA" w:rsidRDefault="00132B2D" w:rsidP="00866838">
            <w:pPr>
              <w:spacing w:line="360" w:lineRule="auto"/>
              <w:jc w:val="center"/>
              <w:rPr>
                <w:b/>
                <w:sz w:val="24"/>
              </w:rPr>
            </w:pPr>
            <w:r>
              <w:rPr>
                <w:b/>
                <w:sz w:val="24"/>
              </w:rPr>
              <w:t>OVEC</w:t>
            </w:r>
            <w:r>
              <w:rPr>
                <w:rStyle w:val="FootnoteReference"/>
                <w:b/>
                <w:sz w:val="24"/>
              </w:rPr>
              <w:footnoteReference w:id="3"/>
            </w:r>
          </w:p>
        </w:tc>
        <w:tc>
          <w:tcPr>
            <w:tcW w:w="1980" w:type="dxa"/>
            <w:vAlign w:val="center"/>
          </w:tcPr>
          <w:p w:rsidR="00132B2D" w:rsidRPr="00D025DA" w:rsidRDefault="00132B2D" w:rsidP="00866838">
            <w:pPr>
              <w:spacing w:line="360" w:lineRule="auto"/>
              <w:jc w:val="center"/>
              <w:rPr>
                <w:sz w:val="24"/>
              </w:rPr>
            </w:pPr>
            <w:r>
              <w:rPr>
                <w:sz w:val="24"/>
              </w:rPr>
              <w:t>1,086 MW</w:t>
            </w:r>
          </w:p>
        </w:tc>
        <w:tc>
          <w:tcPr>
            <w:tcW w:w="1980" w:type="dxa"/>
            <w:vAlign w:val="center"/>
          </w:tcPr>
          <w:p w:rsidR="00132B2D" w:rsidRPr="00D025DA" w:rsidRDefault="00132B2D" w:rsidP="00866838">
            <w:pPr>
              <w:spacing w:line="360" w:lineRule="auto"/>
              <w:jc w:val="center"/>
              <w:rPr>
                <w:sz w:val="24"/>
              </w:rPr>
            </w:pPr>
            <w:r>
              <w:rPr>
                <w:sz w:val="24"/>
              </w:rPr>
              <w:t>423 MW</w:t>
            </w:r>
          </w:p>
        </w:tc>
      </w:tr>
      <w:tr w:rsidR="00132B2D" w:rsidTr="00866838">
        <w:trPr>
          <w:jc w:val="center"/>
        </w:trPr>
        <w:tc>
          <w:tcPr>
            <w:tcW w:w="2448" w:type="dxa"/>
            <w:shd w:val="clear" w:color="auto" w:fill="BFBFBF" w:themeFill="background1" w:themeFillShade="BF"/>
            <w:vAlign w:val="center"/>
          </w:tcPr>
          <w:p w:rsidR="00132B2D" w:rsidRPr="00BB143E" w:rsidRDefault="00132B2D" w:rsidP="00866838">
            <w:pPr>
              <w:spacing w:line="360" w:lineRule="auto"/>
              <w:jc w:val="center"/>
              <w:rPr>
                <w:b/>
                <w:sz w:val="24"/>
              </w:rPr>
            </w:pPr>
            <w:r w:rsidRPr="00BB143E">
              <w:rPr>
                <w:b/>
                <w:sz w:val="24"/>
              </w:rPr>
              <w:t>Total</w:t>
            </w:r>
          </w:p>
        </w:tc>
        <w:tc>
          <w:tcPr>
            <w:tcW w:w="1980" w:type="dxa"/>
            <w:shd w:val="clear" w:color="auto" w:fill="BFBFBF" w:themeFill="background1" w:themeFillShade="BF"/>
            <w:vAlign w:val="center"/>
          </w:tcPr>
          <w:p w:rsidR="00132B2D" w:rsidRPr="00BB143E" w:rsidRDefault="00132B2D" w:rsidP="00866838">
            <w:pPr>
              <w:spacing w:line="360" w:lineRule="auto"/>
              <w:jc w:val="center"/>
              <w:rPr>
                <w:b/>
                <w:sz w:val="24"/>
              </w:rPr>
            </w:pPr>
            <w:r>
              <w:rPr>
                <w:b/>
                <w:sz w:val="24"/>
              </w:rPr>
              <w:t>6,875</w:t>
            </w:r>
            <w:r w:rsidRPr="00BB143E">
              <w:rPr>
                <w:b/>
                <w:sz w:val="24"/>
              </w:rPr>
              <w:t xml:space="preserve"> MW</w:t>
            </w:r>
          </w:p>
        </w:tc>
        <w:tc>
          <w:tcPr>
            <w:tcW w:w="1980" w:type="dxa"/>
            <w:shd w:val="clear" w:color="auto" w:fill="BFBFBF" w:themeFill="background1" w:themeFillShade="BF"/>
            <w:vAlign w:val="center"/>
          </w:tcPr>
          <w:p w:rsidR="00132B2D" w:rsidRPr="00BB143E" w:rsidRDefault="00132B2D" w:rsidP="00866838">
            <w:pPr>
              <w:spacing w:line="360" w:lineRule="auto"/>
              <w:jc w:val="center"/>
              <w:rPr>
                <w:b/>
                <w:sz w:val="24"/>
              </w:rPr>
            </w:pPr>
            <w:r>
              <w:rPr>
                <w:b/>
                <w:sz w:val="24"/>
              </w:rPr>
              <w:t>3,094</w:t>
            </w:r>
            <w:r w:rsidRPr="00BB143E">
              <w:rPr>
                <w:b/>
                <w:sz w:val="24"/>
              </w:rPr>
              <w:t xml:space="preserve"> MW</w:t>
            </w:r>
          </w:p>
        </w:tc>
      </w:tr>
    </w:tbl>
    <w:p w:rsidR="00132B2D" w:rsidRDefault="00132B2D" w:rsidP="00132B2D">
      <w:pPr>
        <w:spacing w:line="480" w:lineRule="auto"/>
        <w:rPr>
          <w:sz w:val="24"/>
        </w:rPr>
      </w:pPr>
    </w:p>
    <w:p w:rsidR="00132B2D" w:rsidRPr="00AB6DA6" w:rsidRDefault="00132B2D" w:rsidP="00132B2D">
      <w:pPr>
        <w:spacing w:line="480" w:lineRule="auto"/>
        <w:rPr>
          <w:b/>
          <w:sz w:val="24"/>
        </w:rPr>
      </w:pPr>
      <w:r w:rsidRPr="00AB6DA6">
        <w:rPr>
          <w:b/>
          <w:sz w:val="24"/>
        </w:rPr>
        <w:t>THE REGIONAL TRANSMISSION OPERATOR (RTO)</w:t>
      </w:r>
    </w:p>
    <w:p w:rsidR="00132B2D" w:rsidRPr="00AB6DA6" w:rsidRDefault="00132B2D" w:rsidP="00132B2D">
      <w:pPr>
        <w:spacing w:line="480" w:lineRule="auto"/>
        <w:rPr>
          <w:sz w:val="24"/>
        </w:rPr>
      </w:pPr>
      <w:r w:rsidRPr="00AB6DA6">
        <w:rPr>
          <w:sz w:val="24"/>
        </w:rPr>
        <w:t xml:space="preserve">Q. </w:t>
      </w:r>
      <w:r>
        <w:rPr>
          <w:sz w:val="24"/>
        </w:rPr>
        <w:t>WHAT IS AN RTO AND TO WHICH RTO DOES AEP BELONG?</w:t>
      </w:r>
    </w:p>
    <w:p w:rsidR="00132B2D" w:rsidRDefault="00132B2D" w:rsidP="00132B2D">
      <w:pPr>
        <w:spacing w:line="480" w:lineRule="auto"/>
        <w:rPr>
          <w:sz w:val="24"/>
        </w:rPr>
      </w:pPr>
      <w:r w:rsidRPr="00AB6DA6">
        <w:rPr>
          <w:sz w:val="24"/>
        </w:rPr>
        <w:t xml:space="preserve">A. </w:t>
      </w:r>
      <w:r>
        <w:rPr>
          <w:sz w:val="24"/>
        </w:rPr>
        <w:tab/>
      </w:r>
      <w:r w:rsidRPr="00AB6DA6">
        <w:rPr>
          <w:sz w:val="24"/>
        </w:rPr>
        <w:t xml:space="preserve"> </w:t>
      </w:r>
      <w:r>
        <w:rPr>
          <w:sz w:val="24"/>
        </w:rPr>
        <w:t xml:space="preserve">AEP belongs to the PJM RTO.  </w:t>
      </w:r>
      <w:r w:rsidRPr="00AB6DA6">
        <w:rPr>
          <w:sz w:val="24"/>
        </w:rPr>
        <w:t>According to the PJM website</w:t>
      </w:r>
      <w:r>
        <w:rPr>
          <w:sz w:val="24"/>
        </w:rPr>
        <w:t>:</w:t>
      </w:r>
      <w:r w:rsidRPr="00AB6DA6">
        <w:rPr>
          <w:rStyle w:val="FootnoteReference"/>
          <w:sz w:val="24"/>
        </w:rPr>
        <w:footnoteReference w:id="4"/>
      </w:r>
    </w:p>
    <w:p w:rsidR="00132B2D" w:rsidRPr="00AB6DA6" w:rsidRDefault="00132B2D" w:rsidP="00132B2D">
      <w:pPr>
        <w:rPr>
          <w:sz w:val="24"/>
        </w:rPr>
      </w:pPr>
      <w:r w:rsidRPr="00AB6DA6">
        <w:rPr>
          <w:sz w:val="24"/>
        </w:rPr>
        <w:t>“PJM Interconnection is a regional transmission organization (RTO) that coordinates the movement of wholesale electricity in all or parts of Delaware, Illinois, Indiana, Kentucky, Maryland, Michigan, New Jersey, North Carolina, Ohio, Pennsylvania, Tennessee, Virginia, West Virginia and the District of Columbia.  Also,</w:t>
      </w:r>
    </w:p>
    <w:p w:rsidR="00132B2D" w:rsidRPr="00AB6DA6" w:rsidRDefault="00132B2D" w:rsidP="00132B2D">
      <w:pPr>
        <w:pStyle w:val="ListParagraph"/>
        <w:numPr>
          <w:ilvl w:val="0"/>
          <w:numId w:val="4"/>
        </w:numPr>
        <w:rPr>
          <w:sz w:val="24"/>
        </w:rPr>
      </w:pPr>
      <w:r w:rsidRPr="00AB6DA6">
        <w:rPr>
          <w:sz w:val="24"/>
        </w:rPr>
        <w:t xml:space="preserve">Acting as a neutral, independent party, PJM operates a competitive wholesale electricity market and manages the high-voltage electricity grid to ensure reliability for more than 61 million people. </w:t>
      </w:r>
    </w:p>
    <w:p w:rsidR="00132B2D" w:rsidRPr="00AB6DA6" w:rsidRDefault="00132B2D" w:rsidP="00132B2D">
      <w:pPr>
        <w:pStyle w:val="ListParagraph"/>
        <w:numPr>
          <w:ilvl w:val="0"/>
          <w:numId w:val="4"/>
        </w:numPr>
        <w:rPr>
          <w:sz w:val="24"/>
        </w:rPr>
      </w:pPr>
      <w:r w:rsidRPr="00AB6DA6">
        <w:rPr>
          <w:sz w:val="24"/>
        </w:rPr>
        <w:t xml:space="preserve">PJM’s long-term regional planning process provides a broad, interstate perspective that identifies the most effective and cost-efficient improvements to the grid to ensure reliability and economic benefits on a system wide basis. </w:t>
      </w:r>
    </w:p>
    <w:p w:rsidR="00132B2D" w:rsidRPr="00AB6DA6" w:rsidRDefault="00132B2D" w:rsidP="00132B2D">
      <w:pPr>
        <w:pStyle w:val="ListParagraph"/>
        <w:numPr>
          <w:ilvl w:val="0"/>
          <w:numId w:val="4"/>
        </w:numPr>
        <w:rPr>
          <w:sz w:val="24"/>
        </w:rPr>
      </w:pPr>
      <w:r w:rsidRPr="00AB6DA6">
        <w:rPr>
          <w:sz w:val="24"/>
        </w:rPr>
        <w:t xml:space="preserve">An independent </w:t>
      </w:r>
      <w:hyperlink r:id="rId11" w:history="1">
        <w:r w:rsidRPr="00AB6DA6">
          <w:rPr>
            <w:sz w:val="24"/>
          </w:rPr>
          <w:t>Board</w:t>
        </w:r>
      </w:hyperlink>
      <w:r w:rsidRPr="00AB6DA6">
        <w:rPr>
          <w:sz w:val="24"/>
        </w:rPr>
        <w:t xml:space="preserve"> oversees PJM’s activities. Effective governance and a collaborative stakeholder process help PJM achieve its vision: “To be the electric industry leader – today and tomorrow – in reliable operations, efficient wholesale markets, and infrastructure development.” </w:t>
      </w:r>
    </w:p>
    <w:p w:rsidR="00132B2D" w:rsidRDefault="00132B2D" w:rsidP="00132B2D">
      <w:pPr>
        <w:rPr>
          <w:sz w:val="24"/>
        </w:rPr>
      </w:pPr>
      <w:r w:rsidRPr="00AB6DA6">
        <w:rPr>
          <w:sz w:val="24"/>
        </w:rPr>
        <w:t>PJM History:</w:t>
      </w:r>
      <w:r>
        <w:rPr>
          <w:sz w:val="24"/>
        </w:rPr>
        <w:t xml:space="preserve">  P</w:t>
      </w:r>
      <w:r w:rsidRPr="00AB6DA6">
        <w:rPr>
          <w:sz w:val="24"/>
        </w:rPr>
        <w:t xml:space="preserve">JM began in 1927 when three utilities, realizing the benefits and efficiencies possible by interconnecting to share their generating resources, formed the world’s first </w:t>
      </w:r>
      <w:r w:rsidRPr="00AB6DA6">
        <w:rPr>
          <w:sz w:val="24"/>
        </w:rPr>
        <w:lastRenderedPageBreak/>
        <w:t>continuing power pool. Additional utilities joined in 1956, 1965 and 1981. Throughout this time, PJM was operated by a dep</w:t>
      </w:r>
      <w:r>
        <w:rPr>
          <w:sz w:val="24"/>
        </w:rPr>
        <w:t>artment of one member utility.</w:t>
      </w:r>
    </w:p>
    <w:p w:rsidR="00132B2D" w:rsidRDefault="00132B2D" w:rsidP="00132B2D">
      <w:pPr>
        <w:spacing w:line="480" w:lineRule="auto"/>
        <w:rPr>
          <w:b/>
          <w:sz w:val="24"/>
        </w:rPr>
      </w:pPr>
    </w:p>
    <w:p w:rsidR="00132B2D" w:rsidRPr="00AB6DA6" w:rsidRDefault="00132B2D" w:rsidP="00132B2D">
      <w:pPr>
        <w:spacing w:line="480" w:lineRule="auto"/>
        <w:rPr>
          <w:b/>
          <w:sz w:val="24"/>
        </w:rPr>
      </w:pPr>
      <w:r w:rsidRPr="00AB6DA6">
        <w:rPr>
          <w:b/>
          <w:sz w:val="24"/>
        </w:rPr>
        <w:t>AEP’</w:t>
      </w:r>
      <w:r>
        <w:rPr>
          <w:b/>
          <w:sz w:val="24"/>
        </w:rPr>
        <w:t>S</w:t>
      </w:r>
      <w:r w:rsidRPr="00AB6DA6">
        <w:rPr>
          <w:b/>
          <w:sz w:val="24"/>
        </w:rPr>
        <w:t xml:space="preserve"> DECISION TO JOIN PJM</w:t>
      </w:r>
    </w:p>
    <w:p w:rsidR="00132B2D" w:rsidRPr="00AB6DA6" w:rsidRDefault="00132B2D" w:rsidP="00132B2D">
      <w:pPr>
        <w:spacing w:line="480" w:lineRule="auto"/>
        <w:rPr>
          <w:sz w:val="24"/>
        </w:rPr>
      </w:pPr>
      <w:r w:rsidRPr="00AB6DA6">
        <w:rPr>
          <w:sz w:val="24"/>
        </w:rPr>
        <w:t>Q. WHEN AND WHY DID AEP JOIN PJM?</w:t>
      </w:r>
    </w:p>
    <w:p w:rsidR="00132B2D" w:rsidRPr="00AB6DA6" w:rsidRDefault="00132B2D" w:rsidP="00132B2D">
      <w:pPr>
        <w:spacing w:line="480" w:lineRule="auto"/>
        <w:rPr>
          <w:sz w:val="24"/>
        </w:rPr>
      </w:pPr>
      <w:r w:rsidRPr="00AB6DA6">
        <w:rPr>
          <w:sz w:val="24"/>
        </w:rPr>
        <w:t xml:space="preserve">A. </w:t>
      </w:r>
      <w:r>
        <w:rPr>
          <w:sz w:val="24"/>
        </w:rPr>
        <w:tab/>
      </w:r>
      <w:r w:rsidRPr="00AB6DA6">
        <w:rPr>
          <w:sz w:val="24"/>
        </w:rPr>
        <w:t xml:space="preserve">AEP Joined PJM in 2004.  According </w:t>
      </w:r>
      <w:r>
        <w:rPr>
          <w:sz w:val="24"/>
        </w:rPr>
        <w:t xml:space="preserve">to a Question and Answer document on AEP’s website </w:t>
      </w:r>
      <w:r w:rsidRPr="00AB6DA6">
        <w:rPr>
          <w:sz w:val="24"/>
        </w:rPr>
        <w:t>(emphasis added)</w:t>
      </w:r>
      <w:r w:rsidRPr="00AB6DA6">
        <w:rPr>
          <w:rStyle w:val="FootnoteReference"/>
          <w:sz w:val="24"/>
        </w:rPr>
        <w:footnoteReference w:id="5"/>
      </w:r>
      <w:r w:rsidRPr="00AB6DA6">
        <w:rPr>
          <w:sz w:val="24"/>
        </w:rPr>
        <w:t>:</w:t>
      </w:r>
    </w:p>
    <w:p w:rsidR="00132B2D" w:rsidRPr="00AB6DA6" w:rsidRDefault="00132B2D" w:rsidP="00132B2D">
      <w:pPr>
        <w:ind w:left="720"/>
        <w:rPr>
          <w:b/>
          <w:i/>
          <w:sz w:val="24"/>
        </w:rPr>
      </w:pPr>
      <w:r w:rsidRPr="00AB6DA6">
        <w:rPr>
          <w:b/>
          <w:i/>
          <w:sz w:val="24"/>
        </w:rPr>
        <w:t>Why did AEP decide to join PJM?</w:t>
      </w:r>
    </w:p>
    <w:p w:rsidR="00132B2D" w:rsidRPr="00AB6DA6" w:rsidRDefault="00132B2D" w:rsidP="00132B2D">
      <w:pPr>
        <w:ind w:left="720"/>
        <w:rPr>
          <w:rFonts w:eastAsia="Times New Roman" w:cs="Arial"/>
          <w:i/>
          <w:sz w:val="24"/>
          <w:szCs w:val="30"/>
        </w:rPr>
      </w:pPr>
      <w:r w:rsidRPr="00AB6DA6">
        <w:rPr>
          <w:i/>
          <w:sz w:val="24"/>
        </w:rPr>
        <w:t xml:space="preserve">AEP chose PJM over other RTOs </w:t>
      </w:r>
      <w:r w:rsidRPr="00AB6DA6">
        <w:rPr>
          <w:i/>
          <w:sz w:val="24"/>
          <w:u w:val="single"/>
        </w:rPr>
        <w:t>because it is the most</w:t>
      </w:r>
      <w:r w:rsidRPr="00AB6DA6">
        <w:rPr>
          <w:rFonts w:eastAsia="Times New Roman" w:cs="Arial"/>
          <w:i/>
          <w:sz w:val="24"/>
          <w:szCs w:val="30"/>
          <w:u w:val="single"/>
        </w:rPr>
        <w:t xml:space="preserve"> established and mature of the FERC-approved RTOs adjacent to AEP’s eastern service territory and has a proven performance record</w:t>
      </w:r>
      <w:r w:rsidRPr="00AB6DA6">
        <w:rPr>
          <w:rFonts w:eastAsia="Times New Roman" w:cs="Arial"/>
          <w:i/>
          <w:sz w:val="24"/>
          <w:szCs w:val="30"/>
        </w:rPr>
        <w:t xml:space="preserve">. </w:t>
      </w:r>
    </w:p>
    <w:p w:rsidR="00132B2D" w:rsidRDefault="00132B2D" w:rsidP="00132B2D">
      <w:pPr>
        <w:ind w:left="720"/>
        <w:rPr>
          <w:rFonts w:eastAsia="Times New Roman" w:cs="Arial"/>
          <w:sz w:val="24"/>
          <w:szCs w:val="30"/>
        </w:rPr>
      </w:pPr>
    </w:p>
    <w:p w:rsidR="00132B2D" w:rsidRDefault="00132B2D" w:rsidP="00132B2D">
      <w:pPr>
        <w:ind w:left="720"/>
        <w:rPr>
          <w:rFonts w:eastAsia="Times New Roman" w:cs="Arial"/>
          <w:sz w:val="24"/>
          <w:szCs w:val="30"/>
        </w:rPr>
      </w:pPr>
      <w:r w:rsidRPr="00AB6DA6">
        <w:rPr>
          <w:rFonts w:eastAsia="Times New Roman" w:cs="Arial"/>
          <w:sz w:val="24"/>
          <w:szCs w:val="30"/>
        </w:rPr>
        <w:t>And, also according to the same AEP reference document:</w:t>
      </w:r>
    </w:p>
    <w:p w:rsidR="00132B2D" w:rsidRPr="00AB6DA6" w:rsidRDefault="00132B2D" w:rsidP="00132B2D">
      <w:pPr>
        <w:ind w:left="720"/>
        <w:rPr>
          <w:rFonts w:eastAsia="Times New Roman" w:cs="Arial"/>
          <w:sz w:val="24"/>
          <w:szCs w:val="30"/>
        </w:rPr>
      </w:pPr>
    </w:p>
    <w:p w:rsidR="00132B2D" w:rsidRPr="00AB6DA6" w:rsidRDefault="00132B2D" w:rsidP="00132B2D">
      <w:pPr>
        <w:ind w:left="720"/>
        <w:rPr>
          <w:rFonts w:eastAsia="Times New Roman" w:cs="Arial"/>
          <w:b/>
          <w:i/>
          <w:sz w:val="24"/>
          <w:szCs w:val="30"/>
        </w:rPr>
      </w:pPr>
      <w:r w:rsidRPr="00AB6DA6">
        <w:rPr>
          <w:rFonts w:eastAsia="Times New Roman" w:cs="Arial"/>
          <w:b/>
          <w:i/>
          <w:sz w:val="24"/>
          <w:szCs w:val="30"/>
        </w:rPr>
        <w:t xml:space="preserve">How will AEP’s membership in PJM benefit consumers and the competitive electricity marketplace? </w:t>
      </w:r>
    </w:p>
    <w:p w:rsidR="00132B2D" w:rsidRPr="00AB6DA6" w:rsidRDefault="00132B2D" w:rsidP="00132B2D">
      <w:pPr>
        <w:ind w:left="720"/>
        <w:rPr>
          <w:rFonts w:eastAsia="Times New Roman" w:cs="Arial"/>
          <w:i/>
          <w:sz w:val="24"/>
          <w:szCs w:val="30"/>
        </w:rPr>
      </w:pPr>
      <w:r w:rsidRPr="00AB6DA6">
        <w:rPr>
          <w:rFonts w:eastAsia="Times New Roman" w:cs="Arial"/>
          <w:i/>
          <w:sz w:val="24"/>
          <w:szCs w:val="30"/>
          <w:u w:val="single"/>
        </w:rPr>
        <w:t>Retail customers will benefit from enhanced transmission service reliability</w:t>
      </w:r>
      <w:r w:rsidRPr="00AB6DA6">
        <w:rPr>
          <w:rFonts w:eastAsia="Times New Roman" w:cs="Arial"/>
          <w:i/>
          <w:sz w:val="24"/>
          <w:szCs w:val="30"/>
        </w:rPr>
        <w:t xml:space="preserve">. PJM also operates the largest competitive wholesale electricity market in the world. Membership in PJM will provide: </w:t>
      </w:r>
    </w:p>
    <w:p w:rsidR="00132B2D" w:rsidRPr="00AB6DA6" w:rsidRDefault="00132B2D" w:rsidP="00132B2D">
      <w:pPr>
        <w:pStyle w:val="ListParagraph"/>
        <w:numPr>
          <w:ilvl w:val="0"/>
          <w:numId w:val="3"/>
        </w:numPr>
        <w:ind w:left="1080"/>
        <w:rPr>
          <w:rFonts w:eastAsia="Times New Roman" w:cs="Arial"/>
          <w:i/>
          <w:sz w:val="24"/>
          <w:szCs w:val="30"/>
        </w:rPr>
      </w:pPr>
      <w:r w:rsidRPr="00AB6DA6">
        <w:rPr>
          <w:rFonts w:eastAsia="Times New Roman" w:cs="Arial"/>
          <w:i/>
          <w:sz w:val="24"/>
          <w:szCs w:val="30"/>
          <w:u w:val="single"/>
        </w:rPr>
        <w:t>Greater access to low-cost generation for transmission owners and other load-serving entities within the PJM footprint. The PJM region has nearly 135,000 megawatts of generation</w:t>
      </w:r>
      <w:r w:rsidRPr="00AB6DA6">
        <w:rPr>
          <w:rFonts w:eastAsia="Times New Roman" w:cs="Arial"/>
          <w:i/>
          <w:sz w:val="24"/>
          <w:szCs w:val="30"/>
        </w:rPr>
        <w:t xml:space="preserve">. </w:t>
      </w:r>
    </w:p>
    <w:p w:rsidR="00132B2D" w:rsidRPr="00AB6DA6" w:rsidRDefault="00132B2D" w:rsidP="00132B2D">
      <w:pPr>
        <w:pStyle w:val="ListParagraph"/>
        <w:numPr>
          <w:ilvl w:val="0"/>
          <w:numId w:val="3"/>
        </w:numPr>
        <w:ind w:left="1080"/>
        <w:rPr>
          <w:rFonts w:eastAsia="Times New Roman" w:cs="Arial"/>
          <w:i/>
          <w:sz w:val="24"/>
          <w:szCs w:val="30"/>
        </w:rPr>
      </w:pPr>
      <w:r w:rsidRPr="00AB6DA6">
        <w:rPr>
          <w:rFonts w:eastAsia="Times New Roman" w:cs="Arial"/>
          <w:i/>
          <w:sz w:val="24"/>
          <w:szCs w:val="30"/>
          <w:u w:val="single"/>
        </w:rPr>
        <w:t>Efficient energy, capacity and ancillary services markets where all market participants can buy and sell</w:t>
      </w:r>
      <w:r w:rsidRPr="00AB6DA6">
        <w:rPr>
          <w:rFonts w:eastAsia="Times New Roman" w:cs="Arial"/>
          <w:i/>
          <w:sz w:val="24"/>
          <w:szCs w:val="30"/>
        </w:rPr>
        <w:t xml:space="preserve">. </w:t>
      </w:r>
    </w:p>
    <w:p w:rsidR="00132B2D" w:rsidRPr="00AB6DA6" w:rsidRDefault="00132B2D" w:rsidP="00132B2D">
      <w:pPr>
        <w:pStyle w:val="ListParagraph"/>
        <w:numPr>
          <w:ilvl w:val="0"/>
          <w:numId w:val="3"/>
        </w:numPr>
        <w:ind w:left="1080"/>
        <w:rPr>
          <w:rFonts w:eastAsia="Times New Roman" w:cs="Arial"/>
          <w:i/>
          <w:sz w:val="24"/>
          <w:szCs w:val="30"/>
        </w:rPr>
      </w:pPr>
      <w:r w:rsidRPr="00AB6DA6">
        <w:rPr>
          <w:rFonts w:eastAsia="Times New Roman" w:cs="Arial"/>
          <w:i/>
          <w:sz w:val="24"/>
          <w:szCs w:val="30"/>
          <w:u w:val="single"/>
        </w:rPr>
        <w:t>Attractive customer options, such as real-time spot market trading and day-ahead pricing, among others</w:t>
      </w:r>
      <w:r w:rsidRPr="00AB6DA6">
        <w:rPr>
          <w:rFonts w:eastAsia="Times New Roman" w:cs="Arial"/>
          <w:i/>
          <w:sz w:val="24"/>
          <w:szCs w:val="30"/>
        </w:rPr>
        <w:t xml:space="preserve">. </w:t>
      </w:r>
    </w:p>
    <w:p w:rsidR="00132B2D" w:rsidRPr="00AB6DA6" w:rsidRDefault="00132B2D" w:rsidP="00132B2D">
      <w:pPr>
        <w:pStyle w:val="ListParagraph"/>
        <w:numPr>
          <w:ilvl w:val="0"/>
          <w:numId w:val="3"/>
        </w:numPr>
        <w:ind w:left="1080"/>
        <w:rPr>
          <w:rFonts w:eastAsia="Times New Roman" w:cs="Arial"/>
          <w:i/>
          <w:sz w:val="24"/>
          <w:szCs w:val="30"/>
        </w:rPr>
      </w:pPr>
      <w:r w:rsidRPr="00AB6DA6">
        <w:rPr>
          <w:rFonts w:eastAsia="Times New Roman" w:cs="Arial"/>
          <w:i/>
          <w:sz w:val="24"/>
          <w:szCs w:val="30"/>
        </w:rPr>
        <w:t xml:space="preserve">Market monitoring to ensure the rules are followed. </w:t>
      </w:r>
    </w:p>
    <w:p w:rsidR="00132B2D" w:rsidRPr="00AB6DA6" w:rsidRDefault="00132B2D" w:rsidP="00132B2D">
      <w:pPr>
        <w:pStyle w:val="ListParagraph"/>
        <w:numPr>
          <w:ilvl w:val="0"/>
          <w:numId w:val="3"/>
        </w:numPr>
        <w:ind w:left="1080"/>
        <w:rPr>
          <w:rFonts w:eastAsia="Times New Roman" w:cs="Arial"/>
          <w:i/>
          <w:sz w:val="24"/>
          <w:szCs w:val="30"/>
        </w:rPr>
      </w:pPr>
      <w:r w:rsidRPr="00AB6DA6">
        <w:rPr>
          <w:rFonts w:eastAsia="Times New Roman" w:cs="Arial"/>
          <w:i/>
          <w:sz w:val="24"/>
          <w:szCs w:val="30"/>
          <w:u w:val="single"/>
        </w:rPr>
        <w:t>The certainty of supply that comes from a liquid spot market for electricity</w:t>
      </w:r>
      <w:r w:rsidRPr="00AB6DA6">
        <w:rPr>
          <w:rFonts w:eastAsia="Times New Roman" w:cs="Arial"/>
          <w:i/>
          <w:sz w:val="24"/>
          <w:szCs w:val="30"/>
        </w:rPr>
        <w:t xml:space="preserve">. </w:t>
      </w:r>
    </w:p>
    <w:p w:rsidR="00132B2D" w:rsidRDefault="00132B2D" w:rsidP="00132B2D">
      <w:pPr>
        <w:pStyle w:val="ListParagraph"/>
        <w:numPr>
          <w:ilvl w:val="0"/>
          <w:numId w:val="3"/>
        </w:numPr>
        <w:ind w:left="1080"/>
        <w:rPr>
          <w:rFonts w:eastAsia="Times New Roman" w:cs="Arial"/>
          <w:i/>
          <w:sz w:val="24"/>
          <w:szCs w:val="30"/>
        </w:rPr>
      </w:pPr>
      <w:r w:rsidRPr="00AB6DA6">
        <w:rPr>
          <w:rFonts w:eastAsia="Times New Roman" w:cs="Arial"/>
          <w:i/>
          <w:sz w:val="24"/>
          <w:szCs w:val="30"/>
          <w:u w:val="single"/>
        </w:rPr>
        <w:t>Many market participants attracted by fair, visible pricing</w:t>
      </w:r>
      <w:r w:rsidRPr="00AB6DA6">
        <w:rPr>
          <w:rFonts w:eastAsia="Times New Roman" w:cs="Arial"/>
          <w:i/>
          <w:sz w:val="24"/>
          <w:szCs w:val="30"/>
        </w:rPr>
        <w:t>.</w:t>
      </w:r>
    </w:p>
    <w:p w:rsidR="00132B2D" w:rsidRDefault="00132B2D" w:rsidP="00132B2D">
      <w:pPr>
        <w:ind w:left="720"/>
        <w:rPr>
          <w:rFonts w:eastAsia="Times New Roman" w:cs="Arial"/>
          <w:b/>
          <w:i/>
          <w:sz w:val="24"/>
          <w:szCs w:val="30"/>
        </w:rPr>
      </w:pPr>
    </w:p>
    <w:p w:rsidR="00132B2D" w:rsidRDefault="00132B2D" w:rsidP="00132B2D">
      <w:pPr>
        <w:spacing w:line="480" w:lineRule="auto"/>
        <w:rPr>
          <w:sz w:val="24"/>
        </w:rPr>
      </w:pPr>
      <w:r w:rsidRPr="00AB6DA6">
        <w:rPr>
          <w:sz w:val="24"/>
        </w:rPr>
        <w:t xml:space="preserve">Q. </w:t>
      </w:r>
      <w:r>
        <w:rPr>
          <w:sz w:val="24"/>
        </w:rPr>
        <w:t>WHAT IS YOUR IMPRESSION OF AEP’S CURRENT VIEW OF PJM?</w:t>
      </w:r>
    </w:p>
    <w:p w:rsidR="00132B2D" w:rsidRDefault="00132B2D" w:rsidP="00132B2D">
      <w:pPr>
        <w:spacing w:line="480" w:lineRule="auto"/>
        <w:rPr>
          <w:sz w:val="24"/>
        </w:rPr>
      </w:pPr>
      <w:r w:rsidRPr="00AB6DA6">
        <w:rPr>
          <w:sz w:val="24"/>
        </w:rPr>
        <w:lastRenderedPageBreak/>
        <w:t>A.</w:t>
      </w:r>
      <w:r>
        <w:rPr>
          <w:sz w:val="24"/>
        </w:rPr>
        <w:t xml:space="preserve">  </w:t>
      </w:r>
      <w:r>
        <w:rPr>
          <w:sz w:val="24"/>
        </w:rPr>
        <w:tab/>
        <w:t>AEP is critical of PJM in its testimony.  AEP witness Vegas states “PJM is indifferent to whether a single MW of capacity is built in Ohio so long as the long-term reliability of the grid is protected.”</w:t>
      </w:r>
      <w:r>
        <w:rPr>
          <w:rStyle w:val="FootnoteReference"/>
          <w:sz w:val="24"/>
        </w:rPr>
        <w:footnoteReference w:id="6"/>
      </w:r>
      <w:r>
        <w:rPr>
          <w:sz w:val="24"/>
        </w:rPr>
        <w:t xml:space="preserve">  </w:t>
      </w:r>
    </w:p>
    <w:p w:rsidR="00132B2D" w:rsidRDefault="00132B2D" w:rsidP="00132B2D">
      <w:pPr>
        <w:spacing w:line="480" w:lineRule="auto"/>
        <w:ind w:firstLine="720"/>
        <w:rPr>
          <w:sz w:val="24"/>
        </w:rPr>
      </w:pPr>
      <w:r>
        <w:rPr>
          <w:sz w:val="24"/>
        </w:rPr>
        <w:t>AEP witness Vegas also states that “PJM is indifferent as to whether the costs of millions of dollars of transmission grid fixes are imposed on its members due to premature retirement of Ohio generating plants, completely disregarding the operational advantages of local generation…” along with “PJM also has no regard for the harmful economic impacts to Ohio that would result from these plant closures.”</w:t>
      </w:r>
      <w:r>
        <w:rPr>
          <w:rStyle w:val="FootnoteReference"/>
          <w:sz w:val="24"/>
        </w:rPr>
        <w:footnoteReference w:id="7"/>
      </w:r>
      <w:r>
        <w:rPr>
          <w:sz w:val="24"/>
        </w:rPr>
        <w:t xml:space="preserve">  AEP witness Vegas complains about the “flaws” in PJM’s capacity market.</w:t>
      </w:r>
      <w:r>
        <w:rPr>
          <w:rStyle w:val="FootnoteReference"/>
          <w:sz w:val="24"/>
        </w:rPr>
        <w:footnoteReference w:id="8"/>
      </w:r>
      <w:r>
        <w:rPr>
          <w:sz w:val="24"/>
        </w:rPr>
        <w:t xml:space="preserve">  </w:t>
      </w:r>
    </w:p>
    <w:p w:rsidR="00132B2D" w:rsidRPr="00AB6DA6" w:rsidRDefault="00132B2D" w:rsidP="00132B2D">
      <w:pPr>
        <w:spacing w:line="480" w:lineRule="auto"/>
        <w:rPr>
          <w:sz w:val="24"/>
        </w:rPr>
      </w:pPr>
      <w:r>
        <w:rPr>
          <w:sz w:val="24"/>
        </w:rPr>
        <w:t xml:space="preserve">Q. </w:t>
      </w:r>
      <w:r w:rsidRPr="00AB6DA6">
        <w:rPr>
          <w:sz w:val="24"/>
        </w:rPr>
        <w:t xml:space="preserve">HOW DO </w:t>
      </w:r>
      <w:r>
        <w:rPr>
          <w:sz w:val="24"/>
        </w:rPr>
        <w:t>THE AEP STATEMENTS</w:t>
      </w:r>
      <w:r w:rsidRPr="00AB6DA6">
        <w:rPr>
          <w:sz w:val="24"/>
        </w:rPr>
        <w:t xml:space="preserve"> </w:t>
      </w:r>
      <w:r>
        <w:rPr>
          <w:sz w:val="24"/>
        </w:rPr>
        <w:t xml:space="preserve">REGARDING AEP’S DECISION TO PJM </w:t>
      </w:r>
      <w:r w:rsidRPr="00AB6DA6">
        <w:rPr>
          <w:sz w:val="24"/>
        </w:rPr>
        <w:t>COMPORT WITH AEP’S TESTIMONY IN THIS PROCEEDING?</w:t>
      </w:r>
    </w:p>
    <w:p w:rsidR="00132B2D" w:rsidRDefault="00132B2D" w:rsidP="00132B2D">
      <w:pPr>
        <w:spacing w:line="480" w:lineRule="auto"/>
        <w:rPr>
          <w:sz w:val="24"/>
        </w:rPr>
      </w:pPr>
      <w:r>
        <w:rPr>
          <w:sz w:val="24"/>
        </w:rPr>
        <w:t xml:space="preserve">A: </w:t>
      </w:r>
      <w:r>
        <w:rPr>
          <w:sz w:val="24"/>
        </w:rPr>
        <w:tab/>
        <w:t xml:space="preserve">AEP’s testimony here is ironic considering that AEP originally chose to join PJM </w:t>
      </w:r>
      <w:r w:rsidRPr="009A77CA">
        <w:rPr>
          <w:i/>
          <w:sz w:val="24"/>
        </w:rPr>
        <w:t>because it is the most</w:t>
      </w:r>
      <w:r w:rsidRPr="009A77CA">
        <w:rPr>
          <w:rFonts w:eastAsia="Times New Roman" w:cs="Arial"/>
          <w:i/>
          <w:sz w:val="24"/>
          <w:szCs w:val="30"/>
        </w:rPr>
        <w:t xml:space="preserve"> established and mature of the FERC-approved RTOs adjacent to AEP’s eastern service territory and has a proven performance record</w:t>
      </w:r>
      <w:r w:rsidRPr="009A77CA">
        <w:rPr>
          <w:rFonts w:eastAsia="Times New Roman" w:cs="Arial"/>
          <w:sz w:val="24"/>
          <w:szCs w:val="30"/>
        </w:rPr>
        <w:t>, and</w:t>
      </w:r>
      <w:r w:rsidRPr="009A77CA">
        <w:rPr>
          <w:rFonts w:eastAsia="Times New Roman" w:cs="Arial"/>
          <w:i/>
          <w:sz w:val="24"/>
          <w:szCs w:val="30"/>
        </w:rPr>
        <w:t xml:space="preserve"> Retail customers will benefit from enhanced transmission service reliability</w:t>
      </w:r>
      <w:r w:rsidRPr="009A77CA">
        <w:rPr>
          <w:rFonts w:eastAsia="Times New Roman" w:cs="Arial"/>
          <w:sz w:val="24"/>
          <w:szCs w:val="30"/>
        </w:rPr>
        <w:t>, y</w:t>
      </w:r>
      <w:r w:rsidRPr="00A9416E">
        <w:rPr>
          <w:rFonts w:eastAsia="Times New Roman" w:cs="Arial"/>
          <w:sz w:val="24"/>
          <w:szCs w:val="30"/>
        </w:rPr>
        <w:t>et now, despite the evolution of the PJM markets, including new reliability products such as Capacity Performance, AEP now characterizes PJM as a sub-standard option</w:t>
      </w:r>
      <w:r w:rsidRPr="00A9416E">
        <w:rPr>
          <w:rFonts w:eastAsia="Times New Roman" w:cs="Arial"/>
          <w:i/>
          <w:sz w:val="24"/>
          <w:szCs w:val="30"/>
        </w:rPr>
        <w:t>.</w:t>
      </w:r>
    </w:p>
    <w:p w:rsidR="00132B2D" w:rsidRPr="00AB6DA6" w:rsidRDefault="00132B2D" w:rsidP="00132B2D">
      <w:pPr>
        <w:spacing w:line="480" w:lineRule="auto"/>
        <w:rPr>
          <w:sz w:val="24"/>
        </w:rPr>
      </w:pPr>
      <w:r>
        <w:rPr>
          <w:sz w:val="24"/>
        </w:rPr>
        <w:t>Q. ARE AEP’S CLAIMS NOW ABOUT PJM’S MARKET VALID</w:t>
      </w:r>
      <w:r w:rsidRPr="00AB6DA6">
        <w:rPr>
          <w:sz w:val="24"/>
        </w:rPr>
        <w:t>?</w:t>
      </w:r>
    </w:p>
    <w:p w:rsidR="00132B2D" w:rsidRDefault="00132B2D" w:rsidP="00132B2D">
      <w:pPr>
        <w:spacing w:line="480" w:lineRule="auto"/>
        <w:rPr>
          <w:sz w:val="24"/>
        </w:rPr>
      </w:pPr>
      <w:r>
        <w:rPr>
          <w:sz w:val="24"/>
        </w:rPr>
        <w:t xml:space="preserve">A: </w:t>
      </w:r>
      <w:r>
        <w:rPr>
          <w:sz w:val="24"/>
        </w:rPr>
        <w:tab/>
        <w:t xml:space="preserve">AEP’s assertions are simply not true – for example, PJM has created 27 Local Deliverability Areas (LDAs), 5 of which are located in Ohio (AEP, ATSI, ATSI-Cleveland, Dayton, </w:t>
      </w:r>
      <w:r>
        <w:rPr>
          <w:sz w:val="24"/>
        </w:rPr>
        <w:lastRenderedPageBreak/>
        <w:t>and DEOK).</w:t>
      </w:r>
      <w:r>
        <w:rPr>
          <w:rStyle w:val="FootnoteReference"/>
          <w:sz w:val="24"/>
        </w:rPr>
        <w:footnoteReference w:id="9"/>
      </w:r>
      <w:r>
        <w:rPr>
          <w:sz w:val="24"/>
        </w:rPr>
        <w:t xml:space="preserve">  The purpose of the LDAs is to respect reliability constraints across the system, and send the appropriate price signals to those areas to incent new investment when needed.  This ensures that local generation is built when and where needed, including Ohio.</w:t>
      </w:r>
    </w:p>
    <w:p w:rsidR="00132B2D" w:rsidRPr="00AB6DA6" w:rsidRDefault="00132B2D" w:rsidP="00132B2D">
      <w:pPr>
        <w:spacing w:line="480" w:lineRule="auto"/>
        <w:ind w:firstLine="720"/>
        <w:rPr>
          <w:sz w:val="24"/>
        </w:rPr>
      </w:pPr>
      <w:r>
        <w:rPr>
          <w:sz w:val="24"/>
        </w:rPr>
        <w:t>AEP witness Bradish cites the need for Ohio to be a net “exporter” of electricity,</w:t>
      </w:r>
      <w:r>
        <w:rPr>
          <w:rStyle w:val="FootnoteReference"/>
          <w:sz w:val="24"/>
        </w:rPr>
        <w:footnoteReference w:id="10"/>
      </w:r>
      <w:r>
        <w:rPr>
          <w:sz w:val="24"/>
        </w:rPr>
        <w:t xml:space="preserve"> suggesting that being or becoming a net “importer” is somehow a threat to Ohio.  Ohio is one of the 37 states that comprise one of the three major electrical interconnections in North America, the Eastern Interconnection.  The simple laws of physics dictate that not all 37 states can be “net exporters” of electricity – and this is the very fundamental advantage of being part of an interconnected grid and regional market: That is, each state can leverage supply with other states, and the most cost-effective supply can be chosen to reliably serve a state’s needs.  Even AEP acknowledged such in its press release from when it joined PJM:  </w:t>
      </w:r>
      <w:r w:rsidRPr="009A77CA">
        <w:rPr>
          <w:rFonts w:eastAsia="Times New Roman" w:cs="Arial"/>
          <w:i/>
          <w:sz w:val="24"/>
          <w:szCs w:val="30"/>
        </w:rPr>
        <w:t>Greater access to low-cost generation for transmission owners and other load-serving entities within the PJM footprint.</w:t>
      </w:r>
      <w:r>
        <w:rPr>
          <w:rStyle w:val="FootnoteReference"/>
          <w:rFonts w:eastAsia="Times New Roman" w:cs="Arial"/>
          <w:i/>
          <w:sz w:val="24"/>
          <w:szCs w:val="30"/>
        </w:rPr>
        <w:footnoteReference w:id="11"/>
      </w:r>
    </w:p>
    <w:p w:rsidR="00132B2D" w:rsidRDefault="00132B2D" w:rsidP="00132B2D">
      <w:pPr>
        <w:spacing w:line="480" w:lineRule="auto"/>
        <w:ind w:firstLine="720"/>
        <w:rPr>
          <w:sz w:val="24"/>
        </w:rPr>
      </w:pPr>
      <w:r>
        <w:rPr>
          <w:sz w:val="24"/>
        </w:rPr>
        <w:t>Lastly, at a macro level every state is an importer of energy in some form, be it coal, natural gas, uranium, fuel oil or gasoline.  No single state is completely energy independent, and the same logic and rationale applies to power – that is, as long as customer’s needs are being served safely, reliably and securely, it is more beneficial to provide energy via the most competitive and cost effective manner.</w:t>
      </w:r>
    </w:p>
    <w:p w:rsidR="00132B2D" w:rsidRDefault="00132B2D" w:rsidP="00132B2D">
      <w:pPr>
        <w:spacing w:line="480" w:lineRule="auto"/>
        <w:ind w:firstLine="720"/>
        <w:rPr>
          <w:b/>
          <w:sz w:val="24"/>
        </w:rPr>
      </w:pPr>
    </w:p>
    <w:p w:rsidR="00132B2D" w:rsidRDefault="00132B2D" w:rsidP="00132B2D">
      <w:pPr>
        <w:spacing w:line="480" w:lineRule="auto"/>
        <w:ind w:firstLine="720"/>
        <w:rPr>
          <w:b/>
          <w:sz w:val="24"/>
        </w:rPr>
      </w:pPr>
    </w:p>
    <w:p w:rsidR="00132B2D" w:rsidRPr="00AB6DA6" w:rsidRDefault="00132B2D" w:rsidP="00132B2D">
      <w:pPr>
        <w:spacing w:line="480" w:lineRule="auto"/>
        <w:rPr>
          <w:b/>
          <w:sz w:val="24"/>
        </w:rPr>
      </w:pPr>
      <w:r>
        <w:rPr>
          <w:b/>
          <w:sz w:val="24"/>
        </w:rPr>
        <w:lastRenderedPageBreak/>
        <w:t>GENERATING UNIT</w:t>
      </w:r>
      <w:r w:rsidRPr="00AB6DA6">
        <w:rPr>
          <w:b/>
          <w:sz w:val="24"/>
        </w:rPr>
        <w:t xml:space="preserve"> RETIREMENTS</w:t>
      </w:r>
    </w:p>
    <w:p w:rsidR="00132B2D" w:rsidRDefault="00132B2D" w:rsidP="00132B2D">
      <w:pPr>
        <w:spacing w:line="480" w:lineRule="auto"/>
        <w:rPr>
          <w:sz w:val="24"/>
        </w:rPr>
      </w:pPr>
      <w:r>
        <w:rPr>
          <w:sz w:val="24"/>
        </w:rPr>
        <w:t>Q:  WHO ARE THE OTHER OWNERS OF THE UNITS PARTIALLY OWNED BY AEP, OR THE JOINTLY OWNED UNITS?</w:t>
      </w:r>
    </w:p>
    <w:p w:rsidR="00132B2D" w:rsidRDefault="00132B2D" w:rsidP="00132B2D">
      <w:pPr>
        <w:spacing w:line="480" w:lineRule="auto"/>
        <w:rPr>
          <w:sz w:val="24"/>
        </w:rPr>
      </w:pPr>
      <w:r>
        <w:rPr>
          <w:sz w:val="24"/>
        </w:rPr>
        <w:t xml:space="preserve">A:  </w:t>
      </w:r>
      <w:r>
        <w:rPr>
          <w:sz w:val="24"/>
        </w:rPr>
        <w:tab/>
        <w:t>For the units only partially owned by AEP – Conesville unit 4, Stuart units 1-4, and Zimmer unit 1 – the other owners are Dynegy and Dayton Power &amp; Light (“DP&amp;L”).  OVEC is owned by numerous entities in addition to AEP, including DP&amp;L, FirstEnergy and Duke.  The PPA generating units partially owned by AEP are commonly referred to as Joint Owned Units (“JOUs”) and are covered by Joint Operating Agreements (“JOAs”).</w:t>
      </w:r>
    </w:p>
    <w:p w:rsidR="00132B2D" w:rsidRDefault="00132B2D" w:rsidP="00132B2D">
      <w:pPr>
        <w:spacing w:line="480" w:lineRule="auto"/>
        <w:rPr>
          <w:sz w:val="24"/>
        </w:rPr>
      </w:pPr>
      <w:r w:rsidRPr="00AB6DA6">
        <w:rPr>
          <w:sz w:val="24"/>
        </w:rPr>
        <w:t xml:space="preserve">Q. </w:t>
      </w:r>
      <w:r>
        <w:rPr>
          <w:sz w:val="24"/>
        </w:rPr>
        <w:t>WHAT ARE THE REQUIREMENTS IN THE JOINT OPERATING AGREEMENTS THAT ADDRESS RETIREMENT OF THE JOINTLY OWNED UNITS?</w:t>
      </w:r>
    </w:p>
    <w:p w:rsidR="00132B2D" w:rsidRDefault="00132B2D" w:rsidP="00132B2D">
      <w:pPr>
        <w:spacing w:line="480" w:lineRule="auto"/>
        <w:rPr>
          <w:sz w:val="24"/>
        </w:rPr>
      </w:pPr>
      <w:r>
        <w:rPr>
          <w:sz w:val="24"/>
        </w:rPr>
        <w:t xml:space="preserve">A:  </w:t>
      </w:r>
      <w:r>
        <w:rPr>
          <w:sz w:val="24"/>
        </w:rPr>
        <w:tab/>
      </w:r>
      <w:r w:rsidRPr="00AB6DA6">
        <w:rPr>
          <w:sz w:val="24"/>
        </w:rPr>
        <w:t>A</w:t>
      </w:r>
      <w:r>
        <w:rPr>
          <w:sz w:val="24"/>
        </w:rPr>
        <w:t xml:space="preserve">EP </w:t>
      </w:r>
      <w:r w:rsidRPr="00AB6DA6">
        <w:rPr>
          <w:sz w:val="24"/>
        </w:rPr>
        <w:t>witness Vegas correctly points out, “AEPGR would effectively have a veto over any proposed closure of the units…”</w:t>
      </w:r>
      <w:r>
        <w:rPr>
          <w:rStyle w:val="FootnoteReference"/>
          <w:sz w:val="24"/>
        </w:rPr>
        <w:footnoteReference w:id="12"/>
      </w:r>
      <w:r>
        <w:rPr>
          <w:sz w:val="24"/>
        </w:rPr>
        <w:t xml:space="preserve">  </w:t>
      </w:r>
      <w:r w:rsidRPr="00AB6DA6">
        <w:rPr>
          <w:sz w:val="24"/>
        </w:rPr>
        <w:t xml:space="preserve">However, this is true for </w:t>
      </w:r>
      <w:r>
        <w:rPr>
          <w:sz w:val="24"/>
        </w:rPr>
        <w:t>each</w:t>
      </w:r>
      <w:r w:rsidRPr="00AB6DA6">
        <w:rPr>
          <w:sz w:val="24"/>
        </w:rPr>
        <w:t xml:space="preserve"> the owners of the JOUs: </w:t>
      </w:r>
      <w:r>
        <w:rPr>
          <w:sz w:val="24"/>
        </w:rPr>
        <w:t xml:space="preserve"> </w:t>
      </w:r>
      <w:r w:rsidRPr="00AB6DA6">
        <w:rPr>
          <w:sz w:val="24"/>
        </w:rPr>
        <w:t xml:space="preserve">Dynegy, DP&amp;L and AEP cannot unilaterally retire any of the units without unanimous consent of all the joint owners. </w:t>
      </w:r>
      <w:r>
        <w:rPr>
          <w:sz w:val="24"/>
        </w:rPr>
        <w:t>Therefore, of the PPA generating units, only a small fraction is wholly-owned by AEP and under unilateral control of AEP.  Said differently, and as noted above and detailed below, only Cardinal Unit 1 and Conesville Units 5-6 are wholly owned by AEP.   All of the remaining generating units are only partially owned by AEP.</w:t>
      </w:r>
      <w:r>
        <w:rPr>
          <w:sz w:val="24"/>
        </w:rPr>
        <w:br w:type="page"/>
      </w:r>
    </w:p>
    <w:p w:rsidR="00132B2D" w:rsidRPr="00FB106F" w:rsidRDefault="00132B2D" w:rsidP="00132B2D">
      <w:pPr>
        <w:spacing w:line="480" w:lineRule="auto"/>
        <w:jc w:val="center"/>
        <w:rPr>
          <w:sz w:val="24"/>
          <w:u w:val="single"/>
        </w:rPr>
      </w:pPr>
      <w:r w:rsidRPr="00FB106F">
        <w:rPr>
          <w:sz w:val="24"/>
          <w:u w:val="single"/>
        </w:rPr>
        <w:lastRenderedPageBreak/>
        <w:t>Table 2: List of PPA Generating Units with AEP-Controlled Capacity</w:t>
      </w:r>
    </w:p>
    <w:tbl>
      <w:tblPr>
        <w:tblStyle w:val="TableGrid"/>
        <w:tblW w:w="0" w:type="auto"/>
        <w:jc w:val="center"/>
        <w:tblLook w:val="04A0" w:firstRow="1" w:lastRow="0" w:firstColumn="1" w:lastColumn="0" w:noHBand="0" w:noVBand="1"/>
      </w:tblPr>
      <w:tblGrid>
        <w:gridCol w:w="2448"/>
        <w:gridCol w:w="1980"/>
        <w:gridCol w:w="1980"/>
        <w:gridCol w:w="3060"/>
      </w:tblGrid>
      <w:tr w:rsidR="00132B2D" w:rsidTr="00866838">
        <w:trPr>
          <w:jc w:val="center"/>
        </w:trPr>
        <w:tc>
          <w:tcPr>
            <w:tcW w:w="2448" w:type="dxa"/>
            <w:vAlign w:val="center"/>
          </w:tcPr>
          <w:p w:rsidR="00132B2D" w:rsidRPr="00CD385E" w:rsidRDefault="00132B2D" w:rsidP="00866838">
            <w:pPr>
              <w:spacing w:line="360" w:lineRule="auto"/>
              <w:jc w:val="center"/>
              <w:rPr>
                <w:sz w:val="24"/>
              </w:rPr>
            </w:pPr>
            <w:r w:rsidRPr="00CD385E">
              <w:rPr>
                <w:sz w:val="24"/>
              </w:rPr>
              <w:t>Generating Unit</w:t>
            </w:r>
          </w:p>
        </w:tc>
        <w:tc>
          <w:tcPr>
            <w:tcW w:w="1980" w:type="dxa"/>
            <w:vAlign w:val="center"/>
          </w:tcPr>
          <w:p w:rsidR="00132B2D" w:rsidRPr="00CD385E" w:rsidRDefault="00132B2D" w:rsidP="00866838">
            <w:pPr>
              <w:spacing w:line="360" w:lineRule="auto"/>
              <w:jc w:val="center"/>
              <w:rPr>
                <w:sz w:val="24"/>
              </w:rPr>
            </w:pPr>
            <w:r w:rsidRPr="00CD385E">
              <w:rPr>
                <w:sz w:val="24"/>
              </w:rPr>
              <w:t>Total Size (MW)</w:t>
            </w:r>
          </w:p>
        </w:tc>
        <w:tc>
          <w:tcPr>
            <w:tcW w:w="1980" w:type="dxa"/>
            <w:vAlign w:val="center"/>
          </w:tcPr>
          <w:p w:rsidR="00132B2D" w:rsidRPr="00CD385E" w:rsidRDefault="00132B2D" w:rsidP="00866838">
            <w:pPr>
              <w:spacing w:line="360" w:lineRule="auto"/>
              <w:jc w:val="center"/>
              <w:rPr>
                <w:sz w:val="24"/>
              </w:rPr>
            </w:pPr>
            <w:r w:rsidRPr="00CD385E">
              <w:rPr>
                <w:sz w:val="24"/>
              </w:rPr>
              <w:t>AEP Share (MW)</w:t>
            </w:r>
          </w:p>
        </w:tc>
        <w:tc>
          <w:tcPr>
            <w:tcW w:w="3060" w:type="dxa"/>
            <w:shd w:val="clear" w:color="auto" w:fill="BFBFBF" w:themeFill="background1" w:themeFillShade="BF"/>
            <w:vAlign w:val="center"/>
          </w:tcPr>
          <w:p w:rsidR="00132B2D" w:rsidRPr="00C93EB4" w:rsidRDefault="00132B2D" w:rsidP="00866838">
            <w:pPr>
              <w:spacing w:line="360" w:lineRule="auto"/>
              <w:jc w:val="center"/>
              <w:rPr>
                <w:b/>
                <w:i/>
                <w:sz w:val="24"/>
              </w:rPr>
            </w:pPr>
            <w:r w:rsidRPr="00C93EB4">
              <w:rPr>
                <w:b/>
                <w:i/>
                <w:sz w:val="24"/>
              </w:rPr>
              <w:t>MW of Plants Wholly Owned by AEP</w:t>
            </w:r>
          </w:p>
        </w:tc>
      </w:tr>
      <w:tr w:rsidR="00132B2D" w:rsidTr="00866838">
        <w:trPr>
          <w:jc w:val="center"/>
        </w:trPr>
        <w:tc>
          <w:tcPr>
            <w:tcW w:w="2448" w:type="dxa"/>
            <w:vAlign w:val="center"/>
          </w:tcPr>
          <w:p w:rsidR="00132B2D" w:rsidRPr="00CD385E" w:rsidRDefault="00132B2D" w:rsidP="00866838">
            <w:pPr>
              <w:spacing w:line="360" w:lineRule="auto"/>
              <w:jc w:val="center"/>
              <w:rPr>
                <w:sz w:val="24"/>
              </w:rPr>
            </w:pPr>
            <w:r w:rsidRPr="00CD385E">
              <w:rPr>
                <w:sz w:val="24"/>
              </w:rPr>
              <w:t>Cardinal Unit 1</w:t>
            </w:r>
          </w:p>
        </w:tc>
        <w:tc>
          <w:tcPr>
            <w:tcW w:w="1980" w:type="dxa"/>
            <w:vAlign w:val="center"/>
          </w:tcPr>
          <w:p w:rsidR="00132B2D" w:rsidRPr="00CD385E" w:rsidRDefault="00132B2D" w:rsidP="00866838">
            <w:pPr>
              <w:spacing w:line="360" w:lineRule="auto"/>
              <w:jc w:val="center"/>
              <w:rPr>
                <w:sz w:val="24"/>
              </w:rPr>
            </w:pPr>
            <w:r w:rsidRPr="00CD385E">
              <w:rPr>
                <w:sz w:val="24"/>
              </w:rPr>
              <w:t>592 MW</w:t>
            </w:r>
          </w:p>
        </w:tc>
        <w:tc>
          <w:tcPr>
            <w:tcW w:w="1980" w:type="dxa"/>
            <w:vAlign w:val="center"/>
          </w:tcPr>
          <w:p w:rsidR="00132B2D" w:rsidRPr="00CD385E" w:rsidRDefault="00132B2D" w:rsidP="00866838">
            <w:pPr>
              <w:spacing w:line="360" w:lineRule="auto"/>
              <w:jc w:val="center"/>
              <w:rPr>
                <w:sz w:val="24"/>
              </w:rPr>
            </w:pPr>
            <w:r w:rsidRPr="00CD385E">
              <w:rPr>
                <w:sz w:val="24"/>
              </w:rPr>
              <w:t>592 MW</w:t>
            </w:r>
          </w:p>
        </w:tc>
        <w:tc>
          <w:tcPr>
            <w:tcW w:w="3060" w:type="dxa"/>
            <w:shd w:val="clear" w:color="auto" w:fill="BFBFBF" w:themeFill="background1" w:themeFillShade="BF"/>
            <w:vAlign w:val="center"/>
          </w:tcPr>
          <w:p w:rsidR="00132B2D" w:rsidRPr="00C93EB4" w:rsidRDefault="00132B2D" w:rsidP="00866838">
            <w:pPr>
              <w:spacing w:line="360" w:lineRule="auto"/>
              <w:jc w:val="center"/>
              <w:rPr>
                <w:b/>
                <w:i/>
                <w:sz w:val="24"/>
              </w:rPr>
            </w:pPr>
            <w:r w:rsidRPr="00C93EB4">
              <w:rPr>
                <w:b/>
                <w:i/>
                <w:sz w:val="24"/>
              </w:rPr>
              <w:t>592 MW</w:t>
            </w:r>
          </w:p>
        </w:tc>
      </w:tr>
      <w:tr w:rsidR="00132B2D" w:rsidTr="00866838">
        <w:trPr>
          <w:jc w:val="center"/>
        </w:trPr>
        <w:tc>
          <w:tcPr>
            <w:tcW w:w="2448" w:type="dxa"/>
            <w:vAlign w:val="center"/>
          </w:tcPr>
          <w:p w:rsidR="00132B2D" w:rsidRPr="00CD385E" w:rsidRDefault="00132B2D" w:rsidP="00866838">
            <w:pPr>
              <w:spacing w:line="360" w:lineRule="auto"/>
              <w:jc w:val="center"/>
              <w:rPr>
                <w:sz w:val="24"/>
              </w:rPr>
            </w:pPr>
            <w:r w:rsidRPr="00CD385E">
              <w:rPr>
                <w:sz w:val="24"/>
              </w:rPr>
              <w:t>Conesville Units 5-6</w:t>
            </w:r>
          </w:p>
        </w:tc>
        <w:tc>
          <w:tcPr>
            <w:tcW w:w="1980" w:type="dxa"/>
            <w:vAlign w:val="center"/>
          </w:tcPr>
          <w:p w:rsidR="00132B2D" w:rsidRPr="00CD385E" w:rsidRDefault="00132B2D" w:rsidP="00866838">
            <w:pPr>
              <w:spacing w:line="360" w:lineRule="auto"/>
              <w:jc w:val="center"/>
              <w:rPr>
                <w:sz w:val="24"/>
              </w:rPr>
            </w:pPr>
            <w:r w:rsidRPr="00CD385E">
              <w:rPr>
                <w:sz w:val="24"/>
              </w:rPr>
              <w:t>810 MW</w:t>
            </w:r>
          </w:p>
        </w:tc>
        <w:tc>
          <w:tcPr>
            <w:tcW w:w="1980" w:type="dxa"/>
            <w:vAlign w:val="center"/>
          </w:tcPr>
          <w:p w:rsidR="00132B2D" w:rsidRPr="00CD385E" w:rsidRDefault="00132B2D" w:rsidP="00866838">
            <w:pPr>
              <w:spacing w:line="360" w:lineRule="auto"/>
              <w:jc w:val="center"/>
              <w:rPr>
                <w:sz w:val="24"/>
              </w:rPr>
            </w:pPr>
            <w:r w:rsidRPr="00CD385E">
              <w:rPr>
                <w:sz w:val="24"/>
              </w:rPr>
              <w:t>810 MW</w:t>
            </w:r>
          </w:p>
        </w:tc>
        <w:tc>
          <w:tcPr>
            <w:tcW w:w="3060" w:type="dxa"/>
            <w:shd w:val="clear" w:color="auto" w:fill="BFBFBF" w:themeFill="background1" w:themeFillShade="BF"/>
            <w:vAlign w:val="center"/>
          </w:tcPr>
          <w:p w:rsidR="00132B2D" w:rsidRPr="00C93EB4" w:rsidRDefault="00132B2D" w:rsidP="00866838">
            <w:pPr>
              <w:spacing w:line="360" w:lineRule="auto"/>
              <w:jc w:val="center"/>
              <w:rPr>
                <w:b/>
                <w:i/>
                <w:sz w:val="24"/>
              </w:rPr>
            </w:pPr>
            <w:r w:rsidRPr="00C93EB4">
              <w:rPr>
                <w:b/>
                <w:i/>
                <w:sz w:val="24"/>
              </w:rPr>
              <w:t>810 MW</w:t>
            </w:r>
          </w:p>
        </w:tc>
      </w:tr>
      <w:tr w:rsidR="00132B2D" w:rsidTr="00866838">
        <w:trPr>
          <w:jc w:val="center"/>
        </w:trPr>
        <w:tc>
          <w:tcPr>
            <w:tcW w:w="2448" w:type="dxa"/>
            <w:vAlign w:val="center"/>
          </w:tcPr>
          <w:p w:rsidR="00132B2D" w:rsidRPr="00CD385E" w:rsidRDefault="00132B2D" w:rsidP="00866838">
            <w:pPr>
              <w:spacing w:line="360" w:lineRule="auto"/>
              <w:jc w:val="center"/>
              <w:rPr>
                <w:sz w:val="24"/>
              </w:rPr>
            </w:pPr>
            <w:r w:rsidRPr="00CD385E">
              <w:rPr>
                <w:sz w:val="24"/>
              </w:rPr>
              <w:t>Conesville Unit 4</w:t>
            </w:r>
          </w:p>
        </w:tc>
        <w:tc>
          <w:tcPr>
            <w:tcW w:w="1980" w:type="dxa"/>
            <w:vAlign w:val="center"/>
          </w:tcPr>
          <w:p w:rsidR="00132B2D" w:rsidRPr="00CD385E" w:rsidRDefault="00132B2D" w:rsidP="00866838">
            <w:pPr>
              <w:spacing w:line="360" w:lineRule="auto"/>
              <w:jc w:val="center"/>
              <w:rPr>
                <w:sz w:val="24"/>
              </w:rPr>
            </w:pPr>
            <w:r w:rsidRPr="00CD385E">
              <w:rPr>
                <w:sz w:val="24"/>
              </w:rPr>
              <w:t>779 MW</w:t>
            </w:r>
          </w:p>
        </w:tc>
        <w:tc>
          <w:tcPr>
            <w:tcW w:w="1980" w:type="dxa"/>
            <w:vAlign w:val="center"/>
          </w:tcPr>
          <w:p w:rsidR="00132B2D" w:rsidRPr="00CD385E" w:rsidRDefault="00132B2D" w:rsidP="00866838">
            <w:pPr>
              <w:spacing w:line="360" w:lineRule="auto"/>
              <w:jc w:val="center"/>
              <w:rPr>
                <w:sz w:val="24"/>
              </w:rPr>
            </w:pPr>
            <w:r w:rsidRPr="00CD385E">
              <w:rPr>
                <w:sz w:val="24"/>
              </w:rPr>
              <w:t>339 MW</w:t>
            </w:r>
          </w:p>
        </w:tc>
        <w:tc>
          <w:tcPr>
            <w:tcW w:w="3060" w:type="dxa"/>
            <w:shd w:val="clear" w:color="auto" w:fill="BFBFBF" w:themeFill="background1" w:themeFillShade="BF"/>
            <w:vAlign w:val="center"/>
          </w:tcPr>
          <w:p w:rsidR="00132B2D" w:rsidRPr="00C93EB4" w:rsidRDefault="00132B2D" w:rsidP="00866838">
            <w:pPr>
              <w:spacing w:line="360" w:lineRule="auto"/>
              <w:jc w:val="center"/>
              <w:rPr>
                <w:b/>
                <w:i/>
                <w:sz w:val="24"/>
              </w:rPr>
            </w:pPr>
            <w:r w:rsidRPr="00C93EB4">
              <w:rPr>
                <w:b/>
                <w:i/>
                <w:sz w:val="24"/>
              </w:rPr>
              <w:t>0 MW</w:t>
            </w:r>
          </w:p>
        </w:tc>
      </w:tr>
      <w:tr w:rsidR="00132B2D" w:rsidTr="00866838">
        <w:trPr>
          <w:jc w:val="center"/>
        </w:trPr>
        <w:tc>
          <w:tcPr>
            <w:tcW w:w="2448" w:type="dxa"/>
            <w:vAlign w:val="center"/>
          </w:tcPr>
          <w:p w:rsidR="00132B2D" w:rsidRPr="00CD385E" w:rsidRDefault="00132B2D" w:rsidP="00866838">
            <w:pPr>
              <w:spacing w:line="360" w:lineRule="auto"/>
              <w:jc w:val="center"/>
              <w:rPr>
                <w:sz w:val="24"/>
              </w:rPr>
            </w:pPr>
            <w:r w:rsidRPr="00CD385E">
              <w:rPr>
                <w:sz w:val="24"/>
              </w:rPr>
              <w:t>Stuart Units 1-4</w:t>
            </w:r>
          </w:p>
        </w:tc>
        <w:tc>
          <w:tcPr>
            <w:tcW w:w="1980" w:type="dxa"/>
            <w:vAlign w:val="center"/>
          </w:tcPr>
          <w:p w:rsidR="00132B2D" w:rsidRPr="00CD385E" w:rsidRDefault="00132B2D" w:rsidP="00866838">
            <w:pPr>
              <w:spacing w:line="360" w:lineRule="auto"/>
              <w:jc w:val="center"/>
              <w:rPr>
                <w:sz w:val="24"/>
              </w:rPr>
            </w:pPr>
            <w:r w:rsidRPr="00CD385E">
              <w:rPr>
                <w:sz w:val="24"/>
              </w:rPr>
              <w:t>2,308 MW</w:t>
            </w:r>
          </w:p>
        </w:tc>
        <w:tc>
          <w:tcPr>
            <w:tcW w:w="1980" w:type="dxa"/>
            <w:vAlign w:val="center"/>
          </w:tcPr>
          <w:p w:rsidR="00132B2D" w:rsidRPr="00CD385E" w:rsidRDefault="00132B2D" w:rsidP="00866838">
            <w:pPr>
              <w:spacing w:line="360" w:lineRule="auto"/>
              <w:jc w:val="center"/>
              <w:rPr>
                <w:sz w:val="24"/>
              </w:rPr>
            </w:pPr>
            <w:r w:rsidRPr="00CD385E">
              <w:rPr>
                <w:sz w:val="24"/>
              </w:rPr>
              <w:t>600 MW</w:t>
            </w:r>
          </w:p>
        </w:tc>
        <w:tc>
          <w:tcPr>
            <w:tcW w:w="3060" w:type="dxa"/>
            <w:shd w:val="clear" w:color="auto" w:fill="BFBFBF" w:themeFill="background1" w:themeFillShade="BF"/>
            <w:vAlign w:val="center"/>
          </w:tcPr>
          <w:p w:rsidR="00132B2D" w:rsidRPr="00C93EB4" w:rsidRDefault="00132B2D" w:rsidP="00866838">
            <w:pPr>
              <w:spacing w:line="360" w:lineRule="auto"/>
              <w:jc w:val="center"/>
              <w:rPr>
                <w:b/>
                <w:i/>
                <w:sz w:val="24"/>
              </w:rPr>
            </w:pPr>
            <w:r w:rsidRPr="00C93EB4">
              <w:rPr>
                <w:b/>
                <w:i/>
                <w:sz w:val="24"/>
              </w:rPr>
              <w:t>0 MW</w:t>
            </w:r>
          </w:p>
        </w:tc>
      </w:tr>
      <w:tr w:rsidR="00132B2D" w:rsidTr="00866838">
        <w:trPr>
          <w:jc w:val="center"/>
        </w:trPr>
        <w:tc>
          <w:tcPr>
            <w:tcW w:w="2448" w:type="dxa"/>
            <w:vAlign w:val="center"/>
          </w:tcPr>
          <w:p w:rsidR="00132B2D" w:rsidRPr="00CD385E" w:rsidRDefault="00132B2D" w:rsidP="00866838">
            <w:pPr>
              <w:spacing w:line="360" w:lineRule="auto"/>
              <w:jc w:val="center"/>
              <w:rPr>
                <w:sz w:val="24"/>
              </w:rPr>
            </w:pPr>
            <w:r w:rsidRPr="00CD385E">
              <w:rPr>
                <w:sz w:val="24"/>
              </w:rPr>
              <w:t>Zimmer Unit 1</w:t>
            </w:r>
          </w:p>
        </w:tc>
        <w:tc>
          <w:tcPr>
            <w:tcW w:w="1980" w:type="dxa"/>
            <w:vAlign w:val="center"/>
          </w:tcPr>
          <w:p w:rsidR="00132B2D" w:rsidRPr="00CD385E" w:rsidRDefault="00132B2D" w:rsidP="00866838">
            <w:pPr>
              <w:spacing w:line="360" w:lineRule="auto"/>
              <w:jc w:val="center"/>
              <w:rPr>
                <w:sz w:val="24"/>
              </w:rPr>
            </w:pPr>
            <w:r w:rsidRPr="00CD385E">
              <w:rPr>
                <w:sz w:val="24"/>
              </w:rPr>
              <w:t>1,300 MW</w:t>
            </w:r>
          </w:p>
        </w:tc>
        <w:tc>
          <w:tcPr>
            <w:tcW w:w="1980" w:type="dxa"/>
            <w:vAlign w:val="center"/>
          </w:tcPr>
          <w:p w:rsidR="00132B2D" w:rsidRPr="00CD385E" w:rsidRDefault="00132B2D" w:rsidP="00866838">
            <w:pPr>
              <w:spacing w:line="360" w:lineRule="auto"/>
              <w:jc w:val="center"/>
              <w:rPr>
                <w:sz w:val="24"/>
              </w:rPr>
            </w:pPr>
            <w:r w:rsidRPr="00CD385E">
              <w:rPr>
                <w:sz w:val="24"/>
              </w:rPr>
              <w:t>330 MW</w:t>
            </w:r>
          </w:p>
        </w:tc>
        <w:tc>
          <w:tcPr>
            <w:tcW w:w="3060" w:type="dxa"/>
            <w:shd w:val="clear" w:color="auto" w:fill="BFBFBF" w:themeFill="background1" w:themeFillShade="BF"/>
            <w:vAlign w:val="center"/>
          </w:tcPr>
          <w:p w:rsidR="00132B2D" w:rsidRPr="00C93EB4" w:rsidRDefault="00132B2D" w:rsidP="00866838">
            <w:pPr>
              <w:spacing w:line="360" w:lineRule="auto"/>
              <w:jc w:val="center"/>
              <w:rPr>
                <w:b/>
                <w:i/>
                <w:sz w:val="24"/>
              </w:rPr>
            </w:pPr>
            <w:r w:rsidRPr="00C93EB4">
              <w:rPr>
                <w:b/>
                <w:i/>
                <w:sz w:val="24"/>
              </w:rPr>
              <w:t>0 MW</w:t>
            </w:r>
          </w:p>
        </w:tc>
      </w:tr>
      <w:tr w:rsidR="00132B2D" w:rsidTr="00866838">
        <w:trPr>
          <w:jc w:val="center"/>
        </w:trPr>
        <w:tc>
          <w:tcPr>
            <w:tcW w:w="2448" w:type="dxa"/>
            <w:vAlign w:val="center"/>
          </w:tcPr>
          <w:p w:rsidR="00132B2D" w:rsidRPr="00CD385E" w:rsidRDefault="00132B2D" w:rsidP="00866838">
            <w:pPr>
              <w:spacing w:line="360" w:lineRule="auto"/>
              <w:jc w:val="center"/>
              <w:rPr>
                <w:sz w:val="24"/>
              </w:rPr>
            </w:pPr>
            <w:r w:rsidRPr="00CD385E">
              <w:rPr>
                <w:sz w:val="24"/>
              </w:rPr>
              <w:t>OVEC</w:t>
            </w:r>
            <w:r w:rsidRPr="00CD385E">
              <w:rPr>
                <w:rStyle w:val="FootnoteReference"/>
                <w:sz w:val="24"/>
              </w:rPr>
              <w:footnoteReference w:id="13"/>
            </w:r>
          </w:p>
        </w:tc>
        <w:tc>
          <w:tcPr>
            <w:tcW w:w="1980" w:type="dxa"/>
            <w:vAlign w:val="center"/>
          </w:tcPr>
          <w:p w:rsidR="00132B2D" w:rsidRPr="00CD385E" w:rsidRDefault="00132B2D" w:rsidP="00866838">
            <w:pPr>
              <w:spacing w:line="360" w:lineRule="auto"/>
              <w:jc w:val="center"/>
              <w:rPr>
                <w:sz w:val="24"/>
              </w:rPr>
            </w:pPr>
            <w:r w:rsidRPr="00CD385E">
              <w:rPr>
                <w:sz w:val="24"/>
              </w:rPr>
              <w:t>1,086 MW</w:t>
            </w:r>
          </w:p>
        </w:tc>
        <w:tc>
          <w:tcPr>
            <w:tcW w:w="1980" w:type="dxa"/>
            <w:vAlign w:val="center"/>
          </w:tcPr>
          <w:p w:rsidR="00132B2D" w:rsidRPr="00CD385E" w:rsidRDefault="00132B2D" w:rsidP="00866838">
            <w:pPr>
              <w:spacing w:line="360" w:lineRule="auto"/>
              <w:jc w:val="center"/>
              <w:rPr>
                <w:sz w:val="24"/>
              </w:rPr>
            </w:pPr>
            <w:r w:rsidRPr="00CD385E">
              <w:rPr>
                <w:sz w:val="24"/>
              </w:rPr>
              <w:t>423 MW</w:t>
            </w:r>
          </w:p>
        </w:tc>
        <w:tc>
          <w:tcPr>
            <w:tcW w:w="3060" w:type="dxa"/>
            <w:shd w:val="clear" w:color="auto" w:fill="BFBFBF" w:themeFill="background1" w:themeFillShade="BF"/>
            <w:vAlign w:val="center"/>
          </w:tcPr>
          <w:p w:rsidR="00132B2D" w:rsidRPr="00C93EB4" w:rsidRDefault="00132B2D" w:rsidP="00866838">
            <w:pPr>
              <w:spacing w:line="360" w:lineRule="auto"/>
              <w:jc w:val="center"/>
              <w:rPr>
                <w:b/>
                <w:i/>
                <w:sz w:val="24"/>
              </w:rPr>
            </w:pPr>
            <w:r w:rsidRPr="00C93EB4">
              <w:rPr>
                <w:b/>
                <w:i/>
                <w:sz w:val="24"/>
              </w:rPr>
              <w:t>0 MW</w:t>
            </w:r>
          </w:p>
        </w:tc>
      </w:tr>
      <w:tr w:rsidR="00132B2D" w:rsidTr="00866838">
        <w:trPr>
          <w:jc w:val="center"/>
        </w:trPr>
        <w:tc>
          <w:tcPr>
            <w:tcW w:w="2448" w:type="dxa"/>
            <w:shd w:val="clear" w:color="auto" w:fill="auto"/>
            <w:vAlign w:val="center"/>
          </w:tcPr>
          <w:p w:rsidR="00132B2D" w:rsidRPr="00E12754" w:rsidRDefault="00132B2D" w:rsidP="00866838">
            <w:pPr>
              <w:spacing w:line="360" w:lineRule="auto"/>
              <w:jc w:val="center"/>
              <w:rPr>
                <w:b/>
                <w:sz w:val="24"/>
              </w:rPr>
            </w:pPr>
            <w:r w:rsidRPr="00E12754">
              <w:rPr>
                <w:b/>
                <w:sz w:val="24"/>
              </w:rPr>
              <w:t>Total</w:t>
            </w:r>
          </w:p>
        </w:tc>
        <w:tc>
          <w:tcPr>
            <w:tcW w:w="1980" w:type="dxa"/>
            <w:shd w:val="clear" w:color="auto" w:fill="auto"/>
            <w:vAlign w:val="center"/>
          </w:tcPr>
          <w:p w:rsidR="00132B2D" w:rsidRPr="00CD385E" w:rsidRDefault="00132B2D" w:rsidP="00866838">
            <w:pPr>
              <w:spacing w:line="360" w:lineRule="auto"/>
              <w:jc w:val="center"/>
              <w:rPr>
                <w:sz w:val="24"/>
              </w:rPr>
            </w:pPr>
            <w:r w:rsidRPr="00CD385E">
              <w:rPr>
                <w:sz w:val="24"/>
              </w:rPr>
              <w:t>6,875 MW</w:t>
            </w:r>
          </w:p>
        </w:tc>
        <w:tc>
          <w:tcPr>
            <w:tcW w:w="1980" w:type="dxa"/>
            <w:shd w:val="clear" w:color="auto" w:fill="auto"/>
            <w:vAlign w:val="center"/>
          </w:tcPr>
          <w:p w:rsidR="00132B2D" w:rsidRPr="00CD385E" w:rsidRDefault="00132B2D" w:rsidP="00866838">
            <w:pPr>
              <w:spacing w:line="360" w:lineRule="auto"/>
              <w:jc w:val="center"/>
              <w:rPr>
                <w:sz w:val="24"/>
              </w:rPr>
            </w:pPr>
            <w:r w:rsidRPr="00CD385E">
              <w:rPr>
                <w:sz w:val="24"/>
              </w:rPr>
              <w:t>3,094 MW</w:t>
            </w:r>
          </w:p>
        </w:tc>
        <w:tc>
          <w:tcPr>
            <w:tcW w:w="3060" w:type="dxa"/>
            <w:shd w:val="clear" w:color="auto" w:fill="BFBFBF" w:themeFill="background1" w:themeFillShade="BF"/>
            <w:vAlign w:val="center"/>
          </w:tcPr>
          <w:p w:rsidR="00132B2D" w:rsidRPr="00CD385E" w:rsidRDefault="00132B2D" w:rsidP="00866838">
            <w:pPr>
              <w:spacing w:line="360" w:lineRule="auto"/>
              <w:jc w:val="center"/>
              <w:rPr>
                <w:b/>
                <w:i/>
                <w:sz w:val="24"/>
              </w:rPr>
            </w:pPr>
            <w:r w:rsidRPr="00CD385E">
              <w:rPr>
                <w:b/>
                <w:i/>
                <w:sz w:val="24"/>
              </w:rPr>
              <w:t>1,402 MW</w:t>
            </w:r>
          </w:p>
        </w:tc>
      </w:tr>
    </w:tbl>
    <w:p w:rsidR="00132B2D" w:rsidRDefault="00132B2D" w:rsidP="00132B2D">
      <w:pPr>
        <w:spacing w:line="480" w:lineRule="auto"/>
        <w:rPr>
          <w:sz w:val="24"/>
        </w:rPr>
      </w:pPr>
    </w:p>
    <w:p w:rsidR="00132B2D" w:rsidRDefault="00132B2D" w:rsidP="00132B2D">
      <w:pPr>
        <w:spacing w:line="480" w:lineRule="auto"/>
        <w:rPr>
          <w:sz w:val="24"/>
        </w:rPr>
      </w:pPr>
      <w:r w:rsidRPr="00AB6DA6">
        <w:rPr>
          <w:sz w:val="24"/>
        </w:rPr>
        <w:t xml:space="preserve">Q. </w:t>
      </w:r>
      <w:r>
        <w:rPr>
          <w:sz w:val="24"/>
        </w:rPr>
        <w:t>PLEASE RESPOND TO THE CLAIMS MADE BY AEP CONCERNING THE RETIREMENT OF 6,800 MW OF OHIO GENERATION?</w:t>
      </w:r>
    </w:p>
    <w:p w:rsidR="00132B2D" w:rsidRDefault="00132B2D" w:rsidP="00132B2D">
      <w:pPr>
        <w:spacing w:line="480" w:lineRule="auto"/>
        <w:rPr>
          <w:sz w:val="24"/>
        </w:rPr>
      </w:pPr>
      <w:r>
        <w:rPr>
          <w:sz w:val="24"/>
        </w:rPr>
        <w:t xml:space="preserve">A:  </w:t>
      </w:r>
      <w:r>
        <w:rPr>
          <w:sz w:val="24"/>
        </w:rPr>
        <w:tab/>
        <w:t>AEP w</w:t>
      </w:r>
      <w:r w:rsidRPr="00AB6DA6">
        <w:rPr>
          <w:sz w:val="24"/>
        </w:rPr>
        <w:t>itness Vegas refer</w:t>
      </w:r>
      <w:r>
        <w:rPr>
          <w:sz w:val="24"/>
        </w:rPr>
        <w:t>s</w:t>
      </w:r>
      <w:r w:rsidRPr="00AB6DA6">
        <w:rPr>
          <w:sz w:val="24"/>
        </w:rPr>
        <w:t xml:space="preserve"> to the </w:t>
      </w:r>
      <w:r>
        <w:rPr>
          <w:sz w:val="24"/>
        </w:rPr>
        <w:t xml:space="preserve">potential </w:t>
      </w:r>
      <w:r w:rsidRPr="00AB6DA6">
        <w:rPr>
          <w:sz w:val="24"/>
        </w:rPr>
        <w:t xml:space="preserve">retirement of “6,800 MW </w:t>
      </w:r>
      <w:r>
        <w:rPr>
          <w:sz w:val="24"/>
        </w:rPr>
        <w:t>(</w:t>
      </w:r>
      <w:r w:rsidRPr="00AB6DA6">
        <w:rPr>
          <w:sz w:val="24"/>
        </w:rPr>
        <w:t>of generation</w:t>
      </w:r>
      <w:r>
        <w:rPr>
          <w:sz w:val="24"/>
        </w:rPr>
        <w:t>)</w:t>
      </w:r>
      <w:r w:rsidRPr="00AB6DA6">
        <w:rPr>
          <w:sz w:val="24"/>
        </w:rPr>
        <w:t xml:space="preserve"> in Ohio”</w:t>
      </w:r>
      <w:r>
        <w:rPr>
          <w:rStyle w:val="FootnoteReference"/>
          <w:sz w:val="24"/>
        </w:rPr>
        <w:footnoteReference w:id="14"/>
      </w:r>
      <w:r>
        <w:rPr>
          <w:sz w:val="24"/>
        </w:rPr>
        <w:t xml:space="preserve"> should the PPAs not be granted.</w:t>
      </w:r>
    </w:p>
    <w:p w:rsidR="00132B2D" w:rsidRDefault="00132B2D" w:rsidP="00132B2D">
      <w:pPr>
        <w:spacing w:line="480" w:lineRule="auto"/>
        <w:ind w:firstLine="720"/>
        <w:rPr>
          <w:sz w:val="24"/>
        </w:rPr>
      </w:pPr>
      <w:r>
        <w:rPr>
          <w:sz w:val="24"/>
        </w:rPr>
        <w:t>AEP witness Bradish  states that the purpose of his testimony is “…to describe the results of a transmission planning impact study, which estimates the required transmission upgrades and related costs that would be necessary if certain generating units (PPA units) owned by AEP Generation Resources (AEPGR) are retired.”</w:t>
      </w:r>
      <w:r>
        <w:rPr>
          <w:rStyle w:val="FootnoteReference"/>
          <w:sz w:val="24"/>
        </w:rPr>
        <w:footnoteReference w:id="15"/>
      </w:r>
      <w:r>
        <w:rPr>
          <w:sz w:val="24"/>
        </w:rPr>
        <w:t xml:space="preserve">  Furthermore, AEP witness Bradish goes on to say that for the purpose of his study, “…he performed a preliminary analysis of the scenario in which Cardinal 1, Conesville 4, 5, and 6, Stuart 1, 2, 3, and 4, and Zimmer 1 </w:t>
      </w:r>
      <w:r>
        <w:rPr>
          <w:sz w:val="24"/>
        </w:rPr>
        <w:lastRenderedPageBreak/>
        <w:t>generating units are simultaneously retired.”</w:t>
      </w:r>
      <w:r>
        <w:rPr>
          <w:rStyle w:val="FootnoteReference"/>
          <w:sz w:val="24"/>
        </w:rPr>
        <w:footnoteReference w:id="16"/>
      </w:r>
      <w:r>
        <w:rPr>
          <w:sz w:val="24"/>
        </w:rPr>
        <w:t xml:space="preserve">  As shown above in Table 2, these units, along with AEP’s share of OVEC, represent approximately 6,800 MW of total generating capacity. </w:t>
      </w:r>
    </w:p>
    <w:p w:rsidR="00132B2D" w:rsidRDefault="00132B2D" w:rsidP="00132B2D">
      <w:pPr>
        <w:spacing w:line="480" w:lineRule="auto"/>
        <w:rPr>
          <w:sz w:val="24"/>
        </w:rPr>
      </w:pPr>
      <w:r w:rsidRPr="00AB6DA6">
        <w:rPr>
          <w:sz w:val="24"/>
        </w:rPr>
        <w:t xml:space="preserve">Q. </w:t>
      </w:r>
      <w:r>
        <w:rPr>
          <w:sz w:val="24"/>
        </w:rPr>
        <w:t>HOW LIKELY IS THE SIMULTANEOUS RETIREMENT OF 6,800 MW OF OHIO GENERATION?</w:t>
      </w:r>
    </w:p>
    <w:p w:rsidR="00132B2D" w:rsidRDefault="00132B2D" w:rsidP="00132B2D">
      <w:pPr>
        <w:spacing w:line="480" w:lineRule="auto"/>
        <w:rPr>
          <w:sz w:val="24"/>
        </w:rPr>
      </w:pPr>
      <w:r>
        <w:rPr>
          <w:sz w:val="24"/>
        </w:rPr>
        <w:t xml:space="preserve">A:  </w:t>
      </w:r>
      <w:r>
        <w:rPr>
          <w:sz w:val="24"/>
        </w:rPr>
        <w:tab/>
        <w:t xml:space="preserve">As shown in AEP witness testimony and above in Table 2, </w:t>
      </w:r>
      <w:r w:rsidRPr="00AB6DA6">
        <w:rPr>
          <w:sz w:val="24"/>
        </w:rPr>
        <w:t>the amount of capacity covered under the PPAs</w:t>
      </w:r>
      <w:r>
        <w:rPr>
          <w:sz w:val="24"/>
        </w:rPr>
        <w:t>, which represents plants that AEP wholly owns and those it co-owns with joint owners,</w:t>
      </w:r>
      <w:r w:rsidRPr="00AB6DA6">
        <w:rPr>
          <w:sz w:val="24"/>
        </w:rPr>
        <w:t xml:space="preserve"> is only 3,100 MW</w:t>
      </w:r>
      <w:r>
        <w:rPr>
          <w:rStyle w:val="FootnoteReference"/>
          <w:sz w:val="24"/>
        </w:rPr>
        <w:footnoteReference w:id="17"/>
      </w:r>
      <w:r>
        <w:rPr>
          <w:sz w:val="24"/>
        </w:rPr>
        <w:t xml:space="preserve"> of the 6,800 MW.</w:t>
      </w:r>
      <w:r w:rsidRPr="00AB6DA6">
        <w:rPr>
          <w:sz w:val="24"/>
        </w:rPr>
        <w:t xml:space="preserve"> </w:t>
      </w:r>
      <w:r>
        <w:rPr>
          <w:sz w:val="24"/>
        </w:rPr>
        <w:t xml:space="preserve"> Furthermore, g</w:t>
      </w:r>
      <w:r w:rsidRPr="00AB6DA6">
        <w:rPr>
          <w:sz w:val="24"/>
        </w:rPr>
        <w:t xml:space="preserve">iven </w:t>
      </w:r>
      <w:r>
        <w:rPr>
          <w:sz w:val="24"/>
        </w:rPr>
        <w:t>that the</w:t>
      </w:r>
      <w:r w:rsidRPr="00AB6DA6">
        <w:rPr>
          <w:sz w:val="24"/>
        </w:rPr>
        <w:t xml:space="preserve"> retirement of any JOU requires unanimous consent of all the owners, </w:t>
      </w:r>
      <w:r>
        <w:rPr>
          <w:sz w:val="24"/>
        </w:rPr>
        <w:t xml:space="preserve">and that the </w:t>
      </w:r>
      <w:r w:rsidRPr="00AB6DA6">
        <w:rPr>
          <w:sz w:val="24"/>
        </w:rPr>
        <w:t xml:space="preserve">total amount of capacity for which AEP is requesting a PPA and </w:t>
      </w:r>
      <w:r>
        <w:rPr>
          <w:sz w:val="24"/>
        </w:rPr>
        <w:t xml:space="preserve">over which AEP </w:t>
      </w:r>
      <w:r w:rsidRPr="00AB6DA6">
        <w:rPr>
          <w:sz w:val="24"/>
        </w:rPr>
        <w:t>has unilateral decision making</w:t>
      </w:r>
      <w:r>
        <w:rPr>
          <w:sz w:val="24"/>
        </w:rPr>
        <w:t xml:space="preserve"> authority</w:t>
      </w:r>
      <w:r w:rsidRPr="00AB6DA6">
        <w:rPr>
          <w:sz w:val="24"/>
        </w:rPr>
        <w:t xml:space="preserve"> is only </w:t>
      </w:r>
      <w:r>
        <w:rPr>
          <w:sz w:val="24"/>
        </w:rPr>
        <w:t>1,400 MW, it is very misleading to characterize or suggest that 6,800 MW of capacity is at simultaneous risk of retirement should the PPAs not be granted</w:t>
      </w:r>
      <w:r w:rsidRPr="00AB6DA6">
        <w:rPr>
          <w:sz w:val="24"/>
        </w:rPr>
        <w:t>.</w:t>
      </w:r>
    </w:p>
    <w:p w:rsidR="00132B2D" w:rsidRDefault="00132B2D" w:rsidP="00132B2D">
      <w:pPr>
        <w:spacing w:line="480" w:lineRule="auto"/>
        <w:rPr>
          <w:sz w:val="24"/>
        </w:rPr>
      </w:pPr>
      <w:r w:rsidRPr="00AB6DA6">
        <w:rPr>
          <w:sz w:val="24"/>
        </w:rPr>
        <w:t xml:space="preserve">Q. </w:t>
      </w:r>
      <w:r>
        <w:rPr>
          <w:sz w:val="24"/>
        </w:rPr>
        <w:t>IS THERE AN ALTERNATIVE TO AEP RETIRING THE UNITS?</w:t>
      </w:r>
    </w:p>
    <w:p w:rsidR="00132B2D" w:rsidRDefault="00132B2D" w:rsidP="00132B2D">
      <w:pPr>
        <w:spacing w:line="480" w:lineRule="auto"/>
        <w:rPr>
          <w:sz w:val="24"/>
        </w:rPr>
      </w:pPr>
      <w:r>
        <w:rPr>
          <w:sz w:val="24"/>
        </w:rPr>
        <w:t xml:space="preserve">A:  </w:t>
      </w:r>
      <w:r>
        <w:rPr>
          <w:sz w:val="24"/>
        </w:rPr>
        <w:tab/>
        <w:t>Yes, there are several alternatives available to AEP, including:</w:t>
      </w:r>
    </w:p>
    <w:p w:rsidR="00132B2D" w:rsidRPr="00661545" w:rsidRDefault="00132B2D" w:rsidP="00132B2D">
      <w:pPr>
        <w:pStyle w:val="ListParagraph"/>
        <w:numPr>
          <w:ilvl w:val="0"/>
          <w:numId w:val="8"/>
        </w:numPr>
        <w:spacing w:line="480" w:lineRule="auto"/>
        <w:rPr>
          <w:sz w:val="24"/>
        </w:rPr>
      </w:pPr>
      <w:r w:rsidRPr="00661545">
        <w:rPr>
          <w:sz w:val="24"/>
        </w:rPr>
        <w:t xml:space="preserve">AEP could sell the </w:t>
      </w:r>
      <w:r>
        <w:rPr>
          <w:sz w:val="24"/>
        </w:rPr>
        <w:t>units it owns outright</w:t>
      </w:r>
      <w:r w:rsidRPr="00661545">
        <w:rPr>
          <w:sz w:val="24"/>
        </w:rPr>
        <w:t xml:space="preserve"> and/or share</w:t>
      </w:r>
      <w:r>
        <w:rPr>
          <w:sz w:val="24"/>
        </w:rPr>
        <w:t>s</w:t>
      </w:r>
      <w:r w:rsidRPr="00661545">
        <w:rPr>
          <w:sz w:val="24"/>
        </w:rPr>
        <w:t xml:space="preserve"> of the </w:t>
      </w:r>
      <w:r>
        <w:rPr>
          <w:sz w:val="24"/>
        </w:rPr>
        <w:t>units</w:t>
      </w:r>
      <w:r w:rsidRPr="00661545">
        <w:rPr>
          <w:sz w:val="24"/>
        </w:rPr>
        <w:t xml:space="preserve"> it owns</w:t>
      </w:r>
      <w:r>
        <w:rPr>
          <w:sz w:val="24"/>
        </w:rPr>
        <w:t>;</w:t>
      </w:r>
    </w:p>
    <w:p w:rsidR="00132B2D" w:rsidRDefault="00132B2D" w:rsidP="00132B2D">
      <w:pPr>
        <w:pStyle w:val="ListParagraph"/>
        <w:numPr>
          <w:ilvl w:val="0"/>
          <w:numId w:val="8"/>
        </w:numPr>
        <w:spacing w:line="480" w:lineRule="auto"/>
        <w:rPr>
          <w:sz w:val="24"/>
        </w:rPr>
      </w:pPr>
      <w:r>
        <w:rPr>
          <w:sz w:val="24"/>
        </w:rPr>
        <w:t>E</w:t>
      </w:r>
      <w:r w:rsidRPr="00661545">
        <w:rPr>
          <w:sz w:val="24"/>
        </w:rPr>
        <w:t>nter into a Reliability-Must-Run (RMR) agreement</w:t>
      </w:r>
      <w:r>
        <w:rPr>
          <w:sz w:val="24"/>
        </w:rPr>
        <w:t>;</w:t>
      </w:r>
      <w:r w:rsidRPr="00661545">
        <w:rPr>
          <w:sz w:val="24"/>
        </w:rPr>
        <w:t xml:space="preserve"> or</w:t>
      </w:r>
    </w:p>
    <w:p w:rsidR="00132B2D" w:rsidRPr="00661545" w:rsidRDefault="00132B2D" w:rsidP="00132B2D">
      <w:pPr>
        <w:pStyle w:val="ListParagraph"/>
        <w:numPr>
          <w:ilvl w:val="0"/>
          <w:numId w:val="8"/>
        </w:numPr>
        <w:spacing w:line="480" w:lineRule="auto"/>
        <w:rPr>
          <w:sz w:val="24"/>
        </w:rPr>
      </w:pPr>
      <w:r w:rsidRPr="00661545">
        <w:rPr>
          <w:sz w:val="24"/>
        </w:rPr>
        <w:t xml:space="preserve">Continue to operate through the current market conditions, until the market improves consistent with AEP’s testimony. </w:t>
      </w:r>
    </w:p>
    <w:p w:rsidR="00132B2D" w:rsidRDefault="00132B2D" w:rsidP="00132B2D">
      <w:pPr>
        <w:spacing w:line="480" w:lineRule="auto"/>
        <w:rPr>
          <w:sz w:val="24"/>
        </w:rPr>
      </w:pPr>
      <w:r w:rsidRPr="00AB6DA6">
        <w:rPr>
          <w:sz w:val="24"/>
        </w:rPr>
        <w:t xml:space="preserve">Q. </w:t>
      </w:r>
      <w:r>
        <w:rPr>
          <w:sz w:val="24"/>
        </w:rPr>
        <w:t>DID DYNEGY PURCHASE ITS SHARE OF THE PPA GENERATING UNITS WITH THE INTENT TO RETIRE THEM?</w:t>
      </w:r>
    </w:p>
    <w:p w:rsidR="00132B2D" w:rsidRDefault="00132B2D" w:rsidP="00132B2D">
      <w:pPr>
        <w:spacing w:line="480" w:lineRule="auto"/>
        <w:rPr>
          <w:sz w:val="24"/>
        </w:rPr>
      </w:pPr>
      <w:r>
        <w:rPr>
          <w:sz w:val="24"/>
        </w:rPr>
        <w:t xml:space="preserve">A:  </w:t>
      </w:r>
      <w:r>
        <w:rPr>
          <w:sz w:val="24"/>
        </w:rPr>
        <w:tab/>
        <w:t>No.  Dynegy sees value in its share of the units it purchased, and did not make the investment with any intention to retire or otherwise shut down the plants.</w:t>
      </w:r>
    </w:p>
    <w:p w:rsidR="00132B2D" w:rsidRDefault="00132B2D" w:rsidP="00132B2D">
      <w:pPr>
        <w:spacing w:line="480" w:lineRule="auto"/>
        <w:rPr>
          <w:sz w:val="24"/>
        </w:rPr>
      </w:pPr>
      <w:r w:rsidRPr="00AB6DA6">
        <w:rPr>
          <w:sz w:val="24"/>
        </w:rPr>
        <w:t xml:space="preserve">Q. </w:t>
      </w:r>
      <w:r>
        <w:rPr>
          <w:sz w:val="24"/>
        </w:rPr>
        <w:t>DOES DYNEGY CURRENTLY HAVE ANY PLANS TO RETIRE THE PPA GENERATING UNITS?</w:t>
      </w:r>
    </w:p>
    <w:p w:rsidR="00132B2D" w:rsidRPr="005D4526" w:rsidRDefault="00132B2D" w:rsidP="00132B2D">
      <w:pPr>
        <w:spacing w:line="480" w:lineRule="auto"/>
        <w:rPr>
          <w:sz w:val="24"/>
        </w:rPr>
      </w:pPr>
      <w:r>
        <w:rPr>
          <w:sz w:val="24"/>
        </w:rPr>
        <w:lastRenderedPageBreak/>
        <w:t>A:  No.  Dynegy intends to continue to operate and invest in the plants.</w:t>
      </w:r>
    </w:p>
    <w:p w:rsidR="00132B2D" w:rsidRDefault="00132B2D" w:rsidP="00132B2D">
      <w:pPr>
        <w:spacing w:line="480" w:lineRule="auto"/>
        <w:rPr>
          <w:b/>
          <w:sz w:val="24"/>
        </w:rPr>
      </w:pPr>
    </w:p>
    <w:p w:rsidR="00132B2D" w:rsidRPr="00AB6DA6" w:rsidRDefault="00132B2D" w:rsidP="00132B2D">
      <w:pPr>
        <w:spacing w:line="480" w:lineRule="auto"/>
        <w:rPr>
          <w:b/>
          <w:sz w:val="24"/>
        </w:rPr>
      </w:pPr>
      <w:r w:rsidRPr="00AB6DA6">
        <w:rPr>
          <w:b/>
          <w:sz w:val="24"/>
        </w:rPr>
        <w:t xml:space="preserve">IMPACT OF </w:t>
      </w:r>
      <w:r>
        <w:rPr>
          <w:b/>
          <w:sz w:val="24"/>
        </w:rPr>
        <w:t xml:space="preserve">GENERATING PLANT </w:t>
      </w:r>
      <w:r w:rsidRPr="00AB6DA6">
        <w:rPr>
          <w:b/>
          <w:sz w:val="24"/>
        </w:rPr>
        <w:t>RETIREMENTS ON THE TRA</w:t>
      </w:r>
      <w:r>
        <w:rPr>
          <w:b/>
          <w:sz w:val="24"/>
        </w:rPr>
        <w:t>N</w:t>
      </w:r>
      <w:r w:rsidRPr="00AB6DA6">
        <w:rPr>
          <w:b/>
          <w:sz w:val="24"/>
        </w:rPr>
        <w:t>SMISSION SYSTEM</w:t>
      </w:r>
    </w:p>
    <w:p w:rsidR="00132B2D" w:rsidRPr="00AB6DA6" w:rsidRDefault="00132B2D" w:rsidP="00132B2D">
      <w:pPr>
        <w:spacing w:line="480" w:lineRule="auto"/>
        <w:rPr>
          <w:sz w:val="24"/>
        </w:rPr>
      </w:pPr>
      <w:r w:rsidRPr="00AB6DA6">
        <w:rPr>
          <w:sz w:val="24"/>
        </w:rPr>
        <w:t xml:space="preserve">Q. CAN YOU DISCUSS THE POTENTIAL </w:t>
      </w:r>
      <w:r>
        <w:rPr>
          <w:sz w:val="24"/>
        </w:rPr>
        <w:t xml:space="preserve">FINANCIAL OR OPERATIONAL </w:t>
      </w:r>
      <w:r w:rsidRPr="00AB6DA6">
        <w:rPr>
          <w:sz w:val="24"/>
        </w:rPr>
        <w:t>IMPACT OF THE RETIREMENTS?</w:t>
      </w:r>
    </w:p>
    <w:p w:rsidR="00132B2D" w:rsidRDefault="00132B2D" w:rsidP="00132B2D">
      <w:pPr>
        <w:spacing w:line="480" w:lineRule="auto"/>
        <w:rPr>
          <w:sz w:val="24"/>
        </w:rPr>
      </w:pPr>
      <w:r>
        <w:rPr>
          <w:sz w:val="24"/>
        </w:rPr>
        <w:t xml:space="preserve">A. </w:t>
      </w:r>
      <w:r>
        <w:rPr>
          <w:sz w:val="24"/>
        </w:rPr>
        <w:tab/>
        <w:t xml:space="preserve">AEP witnesses Vegas, </w:t>
      </w:r>
      <w:r w:rsidRPr="00AB6DA6">
        <w:rPr>
          <w:sz w:val="24"/>
        </w:rPr>
        <w:t xml:space="preserve">Bradash </w:t>
      </w:r>
      <w:r>
        <w:rPr>
          <w:sz w:val="24"/>
        </w:rPr>
        <w:t xml:space="preserve">and Fetter </w:t>
      </w:r>
      <w:r w:rsidRPr="00AB6DA6">
        <w:rPr>
          <w:sz w:val="24"/>
        </w:rPr>
        <w:t xml:space="preserve">refer to </w:t>
      </w:r>
      <w:r>
        <w:rPr>
          <w:sz w:val="24"/>
        </w:rPr>
        <w:t>an</w:t>
      </w:r>
      <w:r w:rsidRPr="00AB6DA6">
        <w:rPr>
          <w:sz w:val="24"/>
        </w:rPr>
        <w:t xml:space="preserve"> additional $1.6</w:t>
      </w:r>
      <w:r>
        <w:rPr>
          <w:sz w:val="24"/>
        </w:rPr>
        <w:t xml:space="preserve"> billion</w:t>
      </w:r>
      <w:r w:rsidRPr="00AB6DA6">
        <w:rPr>
          <w:sz w:val="24"/>
        </w:rPr>
        <w:t xml:space="preserve"> of new transmission facilities </w:t>
      </w:r>
      <w:r>
        <w:rPr>
          <w:sz w:val="24"/>
        </w:rPr>
        <w:t>as</w:t>
      </w:r>
      <w:r w:rsidRPr="00AB6DA6">
        <w:rPr>
          <w:sz w:val="24"/>
        </w:rPr>
        <w:t xml:space="preserve"> needed to support grid reliability </w:t>
      </w:r>
      <w:r>
        <w:rPr>
          <w:sz w:val="24"/>
        </w:rPr>
        <w:t>in the event of the</w:t>
      </w:r>
      <w:r w:rsidRPr="00AB6DA6">
        <w:rPr>
          <w:sz w:val="24"/>
        </w:rPr>
        <w:t xml:space="preserve"> retirement of </w:t>
      </w:r>
      <w:r>
        <w:rPr>
          <w:sz w:val="24"/>
        </w:rPr>
        <w:t>the PPA generating units representing 6,800 MW.</w:t>
      </w:r>
      <w:r>
        <w:rPr>
          <w:rStyle w:val="FootnoteReference"/>
          <w:sz w:val="24"/>
        </w:rPr>
        <w:footnoteReference w:id="18"/>
      </w:r>
      <w:r>
        <w:rPr>
          <w:sz w:val="24"/>
        </w:rPr>
        <w:t xml:space="preserve">  As demonstrated above, </w:t>
      </w:r>
      <w:r w:rsidRPr="00AB6DA6">
        <w:rPr>
          <w:sz w:val="24"/>
        </w:rPr>
        <w:t xml:space="preserve">AEP has </w:t>
      </w:r>
      <w:r>
        <w:rPr>
          <w:sz w:val="24"/>
        </w:rPr>
        <w:t>unilateral control</w:t>
      </w:r>
      <w:r w:rsidRPr="00AB6DA6">
        <w:rPr>
          <w:sz w:val="24"/>
        </w:rPr>
        <w:t xml:space="preserve"> </w:t>
      </w:r>
      <w:r>
        <w:rPr>
          <w:sz w:val="24"/>
        </w:rPr>
        <w:t>over</w:t>
      </w:r>
      <w:r w:rsidRPr="00AB6DA6">
        <w:rPr>
          <w:sz w:val="24"/>
        </w:rPr>
        <w:t xml:space="preserve"> only </w:t>
      </w:r>
      <w:r>
        <w:rPr>
          <w:sz w:val="24"/>
        </w:rPr>
        <w:t>1,400</w:t>
      </w:r>
      <w:r w:rsidRPr="00AB6DA6">
        <w:rPr>
          <w:sz w:val="24"/>
        </w:rPr>
        <w:t xml:space="preserve"> MW of these units</w:t>
      </w:r>
      <w:r>
        <w:rPr>
          <w:sz w:val="24"/>
        </w:rPr>
        <w:t xml:space="preserve">; therefore, </w:t>
      </w:r>
      <w:r w:rsidRPr="00AB6DA6">
        <w:rPr>
          <w:sz w:val="24"/>
        </w:rPr>
        <w:t xml:space="preserve">it is misleading to suggest that Public Utilities </w:t>
      </w:r>
      <w:r>
        <w:rPr>
          <w:sz w:val="24"/>
        </w:rPr>
        <w:t xml:space="preserve">Commission </w:t>
      </w:r>
      <w:r w:rsidRPr="00AB6DA6">
        <w:rPr>
          <w:sz w:val="24"/>
        </w:rPr>
        <w:t>of Ohio</w:t>
      </w:r>
      <w:r>
        <w:rPr>
          <w:sz w:val="24"/>
        </w:rPr>
        <w:t>’s</w:t>
      </w:r>
      <w:r w:rsidRPr="00AB6DA6">
        <w:rPr>
          <w:sz w:val="24"/>
        </w:rPr>
        <w:t xml:space="preserve"> </w:t>
      </w:r>
      <w:r>
        <w:rPr>
          <w:sz w:val="24"/>
        </w:rPr>
        <w:t xml:space="preserve">(PUCO’s) </w:t>
      </w:r>
      <w:r w:rsidRPr="00AB6DA6">
        <w:rPr>
          <w:sz w:val="24"/>
        </w:rPr>
        <w:t xml:space="preserve">failure to grant the PPAs will result in 6,800 MW of retirements, which in turn, will lead to </w:t>
      </w:r>
      <w:r>
        <w:rPr>
          <w:sz w:val="24"/>
        </w:rPr>
        <w:t xml:space="preserve">a required </w:t>
      </w:r>
      <w:r w:rsidRPr="00AB6DA6">
        <w:rPr>
          <w:sz w:val="24"/>
        </w:rPr>
        <w:t>$1.6</w:t>
      </w:r>
      <w:r>
        <w:rPr>
          <w:sz w:val="24"/>
        </w:rPr>
        <w:t xml:space="preserve"> billion</w:t>
      </w:r>
      <w:r w:rsidRPr="00AB6DA6">
        <w:rPr>
          <w:sz w:val="24"/>
        </w:rPr>
        <w:t xml:space="preserve"> of transmission investment.</w:t>
      </w:r>
    </w:p>
    <w:p w:rsidR="00132B2D" w:rsidRPr="00AB6DA6" w:rsidRDefault="00132B2D" w:rsidP="00132B2D">
      <w:pPr>
        <w:spacing w:line="480" w:lineRule="auto"/>
        <w:ind w:firstLine="720"/>
        <w:rPr>
          <w:sz w:val="24"/>
        </w:rPr>
      </w:pPr>
      <w:r>
        <w:rPr>
          <w:sz w:val="24"/>
        </w:rPr>
        <w:t>Furthermore, it is unclear from the testimony whether AEP’s analysis showing a need for $1.6 billion in transmission investment considered any one of the new generation projects that are in various stages of development and are described in more detail in testimony below.  These new projects total approximately 2,800 MW.</w:t>
      </w:r>
    </w:p>
    <w:p w:rsidR="00132B2D" w:rsidRDefault="00132B2D" w:rsidP="00132B2D">
      <w:pPr>
        <w:spacing w:line="480" w:lineRule="auto"/>
        <w:ind w:firstLine="720"/>
        <w:rPr>
          <w:sz w:val="24"/>
        </w:rPr>
      </w:pPr>
      <w:r w:rsidRPr="00AB6DA6">
        <w:rPr>
          <w:sz w:val="24"/>
        </w:rPr>
        <w:t>AEP witness Vegas threatens that reliance on</w:t>
      </w:r>
      <w:r>
        <w:rPr>
          <w:sz w:val="24"/>
        </w:rPr>
        <w:t xml:space="preserve"> </w:t>
      </w:r>
      <w:r w:rsidRPr="00AB6DA6">
        <w:rPr>
          <w:sz w:val="24"/>
        </w:rPr>
        <w:t>t</w:t>
      </w:r>
      <w:r>
        <w:rPr>
          <w:sz w:val="24"/>
        </w:rPr>
        <w:t>h</w:t>
      </w:r>
      <w:r w:rsidRPr="00AB6DA6">
        <w:rPr>
          <w:sz w:val="24"/>
        </w:rPr>
        <w:t xml:space="preserve">e transmission system can lead to power outages, and refers to the region-wide power outage </w:t>
      </w:r>
      <w:r>
        <w:rPr>
          <w:sz w:val="24"/>
        </w:rPr>
        <w:t>affecting parts of</w:t>
      </w:r>
      <w:r w:rsidRPr="00AB6DA6">
        <w:rPr>
          <w:sz w:val="24"/>
        </w:rPr>
        <w:t xml:space="preserve"> Washington D.C. on April 7, 2015</w:t>
      </w:r>
      <w:r>
        <w:rPr>
          <w:sz w:val="24"/>
        </w:rPr>
        <w:t>.</w:t>
      </w:r>
      <w:r>
        <w:rPr>
          <w:rStyle w:val="FootnoteReference"/>
          <w:sz w:val="24"/>
        </w:rPr>
        <w:footnoteReference w:id="19"/>
      </w:r>
      <w:r w:rsidRPr="00AB6DA6">
        <w:rPr>
          <w:sz w:val="24"/>
        </w:rPr>
        <w:t xml:space="preserve">  The fact is, power outages can be caused by a variety of factors, with by far the most expensive and wide-spread power outage in recent history being the Northeast Blackout of 2003, which </w:t>
      </w:r>
      <w:r>
        <w:rPr>
          <w:sz w:val="24"/>
        </w:rPr>
        <w:t xml:space="preserve">affected approximately 50 million people and </w:t>
      </w:r>
      <w:r w:rsidRPr="00AB6DA6">
        <w:rPr>
          <w:sz w:val="24"/>
        </w:rPr>
        <w:t>caused an estimated $</w:t>
      </w:r>
      <w:r>
        <w:rPr>
          <w:sz w:val="24"/>
        </w:rPr>
        <w:t>4-10 billion</w:t>
      </w:r>
      <w:r w:rsidRPr="00AB6DA6">
        <w:rPr>
          <w:sz w:val="24"/>
        </w:rPr>
        <w:t xml:space="preserve"> </w:t>
      </w:r>
      <w:r w:rsidRPr="00AB6DA6">
        <w:rPr>
          <w:sz w:val="24"/>
        </w:rPr>
        <w:lastRenderedPageBreak/>
        <w:t xml:space="preserve">of economic damage.  That blackout was </w:t>
      </w:r>
      <w:r>
        <w:rPr>
          <w:sz w:val="24"/>
        </w:rPr>
        <w:t xml:space="preserve">found to be </w:t>
      </w:r>
      <w:r w:rsidRPr="00AB6DA6">
        <w:rPr>
          <w:sz w:val="24"/>
        </w:rPr>
        <w:t>caused by First Energy</w:t>
      </w:r>
      <w:r>
        <w:rPr>
          <w:sz w:val="24"/>
        </w:rPr>
        <w:t xml:space="preserve"> in Ohio</w:t>
      </w:r>
      <w:r w:rsidRPr="00AB6DA6">
        <w:rPr>
          <w:sz w:val="24"/>
        </w:rPr>
        <w:t xml:space="preserve"> as a result of First Energy’s 1) lack of situational awareness, 2) failure to trim trees, and 3) poorly trained system operators.</w:t>
      </w:r>
      <w:r>
        <w:rPr>
          <w:rStyle w:val="FootnoteReference"/>
          <w:sz w:val="24"/>
        </w:rPr>
        <w:footnoteReference w:id="20"/>
      </w:r>
      <w:r>
        <w:rPr>
          <w:sz w:val="24"/>
        </w:rPr>
        <w:t xml:space="preserve">  The final 2003 blackout report found no overreliance on the transmission system as a proxy for generation.</w:t>
      </w:r>
    </w:p>
    <w:p w:rsidR="00132B2D" w:rsidRPr="00AB6DA6" w:rsidRDefault="00132B2D" w:rsidP="00132B2D">
      <w:pPr>
        <w:spacing w:line="480" w:lineRule="auto"/>
        <w:rPr>
          <w:sz w:val="24"/>
        </w:rPr>
      </w:pPr>
      <w:r w:rsidRPr="00AB6DA6">
        <w:rPr>
          <w:sz w:val="24"/>
        </w:rPr>
        <w:t xml:space="preserve">Q. </w:t>
      </w:r>
      <w:r>
        <w:rPr>
          <w:sz w:val="24"/>
        </w:rPr>
        <w:t>IS THERE A PROCESS TO MITIGATE THE IMPACT OF POTENTIAL GENERATOR</w:t>
      </w:r>
      <w:r w:rsidRPr="00AB6DA6">
        <w:rPr>
          <w:sz w:val="24"/>
        </w:rPr>
        <w:t xml:space="preserve"> RETIREMENTS?</w:t>
      </w:r>
    </w:p>
    <w:p w:rsidR="00132B2D" w:rsidRDefault="00132B2D" w:rsidP="00132B2D">
      <w:pPr>
        <w:spacing w:line="480" w:lineRule="auto"/>
        <w:rPr>
          <w:sz w:val="24"/>
        </w:rPr>
      </w:pPr>
      <w:r>
        <w:rPr>
          <w:sz w:val="24"/>
        </w:rPr>
        <w:t xml:space="preserve">A. </w:t>
      </w:r>
      <w:r>
        <w:rPr>
          <w:sz w:val="24"/>
        </w:rPr>
        <w:tab/>
        <w:t>AEP witness Bradish describes the process by which the regional transmission operator, PJM, evaluates generator retirements to prevent reliability issues.</w:t>
      </w:r>
      <w:r>
        <w:rPr>
          <w:rStyle w:val="FootnoteReference"/>
          <w:sz w:val="24"/>
        </w:rPr>
        <w:footnoteReference w:id="21"/>
      </w:r>
      <w:r>
        <w:rPr>
          <w:sz w:val="24"/>
        </w:rPr>
        <w:t xml:space="preserve">  If PJM determines that the retirement of a generator triggers a reliability need, the generator owner may enter into a cost-of-service Reliability Must Run (RMR) agreement, whereby a contract is issued to the retiring unit for a predetermined amount of time until the reliability need is resolved.  </w:t>
      </w:r>
      <w:r w:rsidRPr="0048061C">
        <w:rPr>
          <w:sz w:val="24"/>
        </w:rPr>
        <w:t>In this way, PJM</w:t>
      </w:r>
      <w:r>
        <w:rPr>
          <w:sz w:val="24"/>
        </w:rPr>
        <w:t>,</w:t>
      </w:r>
      <w:r w:rsidRPr="0048061C">
        <w:rPr>
          <w:sz w:val="24"/>
        </w:rPr>
        <w:t xml:space="preserve"> </w:t>
      </w:r>
      <w:r>
        <w:rPr>
          <w:sz w:val="24"/>
        </w:rPr>
        <w:t>as the operator of the grid</w:t>
      </w:r>
      <w:r w:rsidRPr="0048061C">
        <w:rPr>
          <w:sz w:val="24"/>
        </w:rPr>
        <w:t>, ensures that generation assets needed for reliability remain operational.</w:t>
      </w:r>
    </w:p>
    <w:p w:rsidR="00132B2D" w:rsidRPr="00AB6DA6" w:rsidRDefault="00132B2D" w:rsidP="00132B2D">
      <w:pPr>
        <w:spacing w:line="480" w:lineRule="auto"/>
        <w:rPr>
          <w:sz w:val="24"/>
        </w:rPr>
      </w:pPr>
      <w:r w:rsidRPr="00AB6DA6">
        <w:rPr>
          <w:sz w:val="24"/>
        </w:rPr>
        <w:t xml:space="preserve">Q. </w:t>
      </w:r>
      <w:r>
        <w:rPr>
          <w:sz w:val="24"/>
        </w:rPr>
        <w:t>IS ELECTRIC TRANSMISSION THE ONLY POTENTIAL RELIABILITY SOLUTION TO A GENERATOR</w:t>
      </w:r>
      <w:r w:rsidRPr="00AB6DA6">
        <w:rPr>
          <w:sz w:val="24"/>
        </w:rPr>
        <w:t xml:space="preserve"> RETIREMENT?</w:t>
      </w:r>
    </w:p>
    <w:p w:rsidR="00132B2D" w:rsidRPr="00AB6DA6" w:rsidRDefault="00132B2D" w:rsidP="00132B2D">
      <w:pPr>
        <w:spacing w:line="480" w:lineRule="auto"/>
        <w:rPr>
          <w:sz w:val="24"/>
        </w:rPr>
      </w:pPr>
      <w:r>
        <w:rPr>
          <w:sz w:val="24"/>
        </w:rPr>
        <w:t>A.</w:t>
      </w:r>
      <w:r>
        <w:rPr>
          <w:sz w:val="24"/>
        </w:rPr>
        <w:tab/>
        <w:t xml:space="preserve"> No.  AEP witness Bradish states that “…an RMR designation…only reinforces the need for the transmission upgrades.”</w:t>
      </w:r>
      <w:r>
        <w:rPr>
          <w:rStyle w:val="FootnoteReference"/>
          <w:sz w:val="24"/>
        </w:rPr>
        <w:footnoteReference w:id="22"/>
      </w:r>
      <w:r>
        <w:rPr>
          <w:sz w:val="24"/>
        </w:rPr>
        <w:t xml:space="preserve">  While transmission is generally the preferred option, there are a variety of potential solutions to a reliability need in lieu of transmission upgrades, including a host of non-transmission alternatives (“NTAs”), many of which are market-based and funded by private investors rather than ratepayers.  Alternatives include new generation developed by independent power producers (“IPPs”), demand response and energy efficiency. </w:t>
      </w:r>
    </w:p>
    <w:p w:rsidR="00132B2D" w:rsidRPr="00AB6DA6" w:rsidRDefault="00132B2D" w:rsidP="00132B2D">
      <w:pPr>
        <w:spacing w:line="480" w:lineRule="auto"/>
        <w:rPr>
          <w:b/>
          <w:sz w:val="24"/>
        </w:rPr>
      </w:pPr>
      <w:r w:rsidRPr="00AB6DA6">
        <w:rPr>
          <w:b/>
          <w:sz w:val="24"/>
        </w:rPr>
        <w:lastRenderedPageBreak/>
        <w:t>RESOURCE ADEQUACY IN PJM</w:t>
      </w:r>
    </w:p>
    <w:p w:rsidR="00132B2D" w:rsidRPr="00AB6DA6" w:rsidRDefault="00132B2D" w:rsidP="00132B2D">
      <w:pPr>
        <w:spacing w:line="480" w:lineRule="auto"/>
        <w:rPr>
          <w:sz w:val="24"/>
        </w:rPr>
      </w:pPr>
      <w:r w:rsidRPr="00AB6DA6">
        <w:rPr>
          <w:sz w:val="24"/>
        </w:rPr>
        <w:t xml:space="preserve">Q. CAN YOU </w:t>
      </w:r>
      <w:r>
        <w:rPr>
          <w:sz w:val="24"/>
        </w:rPr>
        <w:t xml:space="preserve">FURTHER </w:t>
      </w:r>
      <w:r w:rsidRPr="00AB6DA6">
        <w:rPr>
          <w:sz w:val="24"/>
        </w:rPr>
        <w:t xml:space="preserve">DISCUSS </w:t>
      </w:r>
      <w:r>
        <w:rPr>
          <w:sz w:val="24"/>
        </w:rPr>
        <w:t>ELECTRIC SYSTEM RELIABILITY, SPECIFICALLY RESOURCE ADEQUACY?</w:t>
      </w:r>
    </w:p>
    <w:p w:rsidR="00132B2D" w:rsidRDefault="00132B2D" w:rsidP="00132B2D">
      <w:pPr>
        <w:spacing w:line="480" w:lineRule="auto"/>
        <w:rPr>
          <w:sz w:val="24"/>
        </w:rPr>
      </w:pPr>
      <w:r w:rsidRPr="00AB6DA6">
        <w:rPr>
          <w:sz w:val="24"/>
        </w:rPr>
        <w:t xml:space="preserve">A. </w:t>
      </w:r>
      <w:r>
        <w:rPr>
          <w:sz w:val="24"/>
        </w:rPr>
        <w:tab/>
        <w:t xml:space="preserve">There are two primary metrics of electric system reliability – transmission security and resource adequacy.  Transmission security typically involves reliably dispatching generation to meet actual demand without overloading the transmission lines, providing adequate voltage support and preventing dynamic instability.  Resource adequacy is the measure of having enough supply resources to meet future demand. </w:t>
      </w:r>
    </w:p>
    <w:p w:rsidR="00132B2D" w:rsidRPr="00AB6DA6" w:rsidRDefault="00132B2D" w:rsidP="00132B2D">
      <w:pPr>
        <w:spacing w:line="480" w:lineRule="auto"/>
        <w:rPr>
          <w:sz w:val="24"/>
        </w:rPr>
      </w:pPr>
      <w:r w:rsidRPr="00AB6DA6">
        <w:rPr>
          <w:sz w:val="24"/>
        </w:rPr>
        <w:t xml:space="preserve">Q. </w:t>
      </w:r>
      <w:r>
        <w:rPr>
          <w:sz w:val="24"/>
        </w:rPr>
        <w:t>WHAT IS PJM’S ACTUAL AND FORECAST RESOURCE ADEQUACY?</w:t>
      </w:r>
    </w:p>
    <w:p w:rsidR="00132B2D" w:rsidRDefault="00132B2D" w:rsidP="00132B2D">
      <w:pPr>
        <w:spacing w:line="480" w:lineRule="auto"/>
        <w:rPr>
          <w:sz w:val="24"/>
        </w:rPr>
      </w:pPr>
      <w:r w:rsidRPr="00AB6DA6">
        <w:rPr>
          <w:sz w:val="24"/>
        </w:rPr>
        <w:t xml:space="preserve">A. </w:t>
      </w:r>
      <w:r>
        <w:rPr>
          <w:sz w:val="24"/>
        </w:rPr>
        <w:tab/>
        <w:t xml:space="preserve">For this past summer of 2015, PJM had a </w:t>
      </w:r>
      <w:r w:rsidRPr="003045D0">
        <w:rPr>
          <w:i/>
          <w:sz w:val="24"/>
        </w:rPr>
        <w:t>required</w:t>
      </w:r>
      <w:r>
        <w:rPr>
          <w:sz w:val="24"/>
        </w:rPr>
        <w:t xml:space="preserve"> reserve margin (actual supply in excess of demand) of 15.6%; however, the </w:t>
      </w:r>
      <w:r w:rsidRPr="003045D0">
        <w:rPr>
          <w:i/>
          <w:sz w:val="24"/>
        </w:rPr>
        <w:t>actual</w:t>
      </w:r>
      <w:r>
        <w:rPr>
          <w:sz w:val="24"/>
        </w:rPr>
        <w:t xml:space="preserve"> reserve margin in PJM was well in excess of the requirement, at 20.8%.</w:t>
      </w:r>
      <w:r>
        <w:rPr>
          <w:rStyle w:val="FootnoteReference"/>
          <w:sz w:val="24"/>
        </w:rPr>
        <w:footnoteReference w:id="23"/>
      </w:r>
    </w:p>
    <w:p w:rsidR="00132B2D" w:rsidRPr="005D4526" w:rsidRDefault="00132B2D" w:rsidP="00132B2D">
      <w:pPr>
        <w:spacing w:line="480" w:lineRule="auto"/>
        <w:ind w:firstLine="720"/>
        <w:rPr>
          <w:sz w:val="24"/>
        </w:rPr>
      </w:pPr>
      <w:r>
        <w:rPr>
          <w:sz w:val="24"/>
        </w:rPr>
        <w:t>For the summer of 2019, PJM is continuing to forecast an actual reserve margin in excess of the required reserve margin, not including the ability to import power from other regions.</w:t>
      </w:r>
      <w:r>
        <w:rPr>
          <w:rStyle w:val="FootnoteReference"/>
          <w:sz w:val="24"/>
        </w:rPr>
        <w:footnoteReference w:id="24"/>
      </w:r>
      <w:r>
        <w:rPr>
          <w:sz w:val="24"/>
        </w:rPr>
        <w:t xml:space="preserve"> </w:t>
      </w:r>
    </w:p>
    <w:p w:rsidR="00132B2D" w:rsidRDefault="00132B2D" w:rsidP="00132B2D">
      <w:pPr>
        <w:spacing w:line="480" w:lineRule="auto"/>
        <w:rPr>
          <w:b/>
          <w:sz w:val="24"/>
        </w:rPr>
      </w:pPr>
    </w:p>
    <w:p w:rsidR="00132B2D" w:rsidRPr="00AB6DA6" w:rsidRDefault="00132B2D" w:rsidP="00132B2D">
      <w:pPr>
        <w:spacing w:line="480" w:lineRule="auto"/>
        <w:rPr>
          <w:b/>
          <w:sz w:val="24"/>
        </w:rPr>
      </w:pPr>
      <w:r w:rsidRPr="00AB6DA6">
        <w:rPr>
          <w:b/>
          <w:sz w:val="24"/>
        </w:rPr>
        <w:t>MARKET VOLATILITY</w:t>
      </w:r>
    </w:p>
    <w:p w:rsidR="00132B2D" w:rsidRPr="00AB6DA6" w:rsidRDefault="00132B2D" w:rsidP="00132B2D">
      <w:pPr>
        <w:spacing w:line="480" w:lineRule="auto"/>
        <w:rPr>
          <w:sz w:val="24"/>
        </w:rPr>
      </w:pPr>
      <w:r w:rsidRPr="00AB6DA6">
        <w:rPr>
          <w:sz w:val="24"/>
        </w:rPr>
        <w:t>Q. CAN YOU DISCUSS AEP’</w:t>
      </w:r>
      <w:r>
        <w:rPr>
          <w:sz w:val="24"/>
        </w:rPr>
        <w:t>S</w:t>
      </w:r>
      <w:r w:rsidRPr="00AB6DA6">
        <w:rPr>
          <w:sz w:val="24"/>
        </w:rPr>
        <w:t xml:space="preserve"> CLAIMS OF WHOLESALE MARKET VOLATILITY?</w:t>
      </w:r>
    </w:p>
    <w:p w:rsidR="00132B2D" w:rsidRDefault="00132B2D" w:rsidP="00132B2D">
      <w:pPr>
        <w:spacing w:line="480" w:lineRule="auto"/>
        <w:rPr>
          <w:sz w:val="24"/>
        </w:rPr>
      </w:pPr>
      <w:r w:rsidRPr="00AB6DA6">
        <w:rPr>
          <w:sz w:val="24"/>
        </w:rPr>
        <w:t xml:space="preserve">A. </w:t>
      </w:r>
      <w:r>
        <w:rPr>
          <w:sz w:val="24"/>
        </w:rPr>
        <w:tab/>
      </w:r>
      <w:r w:rsidRPr="00AB6DA6">
        <w:rPr>
          <w:sz w:val="24"/>
        </w:rPr>
        <w:t xml:space="preserve">Looking at Vegas testimony Figure 1, PJM RTO Monthly Average Real Time LMP, when removing </w:t>
      </w:r>
      <w:r>
        <w:rPr>
          <w:sz w:val="24"/>
        </w:rPr>
        <w:t xml:space="preserve">from consideration </w:t>
      </w:r>
      <w:r w:rsidRPr="00AB6DA6">
        <w:rPr>
          <w:sz w:val="24"/>
        </w:rPr>
        <w:t xml:space="preserve">the monthly price spike associated with the Polar Vortex of 2014, </w:t>
      </w:r>
      <w:r w:rsidRPr="00AB6DA6">
        <w:rPr>
          <w:sz w:val="24"/>
        </w:rPr>
        <w:lastRenderedPageBreak/>
        <w:t>PJM Monthly Average LMPs have actually been quite stable over the other 119 months or 10 years, with relative</w:t>
      </w:r>
      <w:r>
        <w:rPr>
          <w:sz w:val="24"/>
        </w:rPr>
        <w:t>ly</w:t>
      </w:r>
      <w:r w:rsidRPr="00AB6DA6">
        <w:rPr>
          <w:sz w:val="24"/>
        </w:rPr>
        <w:t xml:space="preserve"> flat average pricing and a noticeable decline beginning in 2008.  </w:t>
      </w:r>
      <w:r>
        <w:rPr>
          <w:sz w:val="24"/>
        </w:rPr>
        <w:t>More specifically, since</w:t>
      </w:r>
      <w:r w:rsidRPr="00AB6DA6">
        <w:rPr>
          <w:sz w:val="24"/>
        </w:rPr>
        <w:t xml:space="preserve"> 2008, according to Vegas Figure 1, the Monthly Average LMP is remarkably stable and low, at around $40/MW</w:t>
      </w:r>
      <w:r>
        <w:rPr>
          <w:sz w:val="24"/>
        </w:rPr>
        <w:t>h</w:t>
      </w:r>
      <w:r w:rsidRPr="00AB6DA6">
        <w:rPr>
          <w:sz w:val="24"/>
        </w:rPr>
        <w:t>.</w:t>
      </w:r>
    </w:p>
    <w:p w:rsidR="00132B2D" w:rsidRPr="00FB106F" w:rsidRDefault="00132B2D" w:rsidP="00132B2D">
      <w:pPr>
        <w:spacing w:line="480" w:lineRule="auto"/>
        <w:jc w:val="center"/>
        <w:rPr>
          <w:sz w:val="24"/>
          <w:u w:val="single"/>
        </w:rPr>
      </w:pPr>
      <w:r>
        <w:rPr>
          <w:sz w:val="24"/>
          <w:u w:val="single"/>
        </w:rPr>
        <w:t>Figure</w:t>
      </w:r>
      <w:r w:rsidRPr="00FB106F">
        <w:rPr>
          <w:sz w:val="24"/>
          <w:u w:val="single"/>
        </w:rPr>
        <w:t xml:space="preserve"> 1: </w:t>
      </w:r>
      <w:r>
        <w:rPr>
          <w:sz w:val="24"/>
          <w:u w:val="single"/>
        </w:rPr>
        <w:t>Historic PJM Energy Prices</w:t>
      </w:r>
    </w:p>
    <w:p w:rsidR="00132B2D" w:rsidRDefault="00132B2D" w:rsidP="00132B2D">
      <w:pPr>
        <w:spacing w:line="480" w:lineRule="auto"/>
        <w:jc w:val="center"/>
        <w:rPr>
          <w:sz w:val="24"/>
        </w:rPr>
      </w:pPr>
      <w:r>
        <w:rPr>
          <w:noProof/>
        </w:rPr>
        <w:drawing>
          <wp:inline distT="0" distB="0" distL="0" distR="0" wp14:anchorId="65D3E360" wp14:editId="0CC6D702">
            <wp:extent cx="4904762" cy="3990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04762" cy="3990476"/>
                    </a:xfrm>
                    <a:prstGeom prst="rect">
                      <a:avLst/>
                    </a:prstGeom>
                  </pic:spPr>
                </pic:pic>
              </a:graphicData>
            </a:graphic>
          </wp:inline>
        </w:drawing>
      </w:r>
    </w:p>
    <w:p w:rsidR="00132B2D" w:rsidRDefault="00132B2D" w:rsidP="00132B2D">
      <w:pPr>
        <w:spacing w:line="480" w:lineRule="auto"/>
        <w:ind w:firstLine="720"/>
        <w:rPr>
          <w:sz w:val="24"/>
        </w:rPr>
      </w:pPr>
      <w:r w:rsidRPr="00AB6DA6">
        <w:rPr>
          <w:sz w:val="24"/>
        </w:rPr>
        <w:t>Similarly, when looking at Vegas Figure 2 – PJM RTO Daily Average Real Time LMP for the month of January 2014</w:t>
      </w:r>
      <w:r>
        <w:rPr>
          <w:sz w:val="24"/>
        </w:rPr>
        <w:t xml:space="preserve"> (</w:t>
      </w:r>
      <w:r w:rsidRPr="00AB6DA6">
        <w:rPr>
          <w:sz w:val="24"/>
        </w:rPr>
        <w:t>the month that the Polar Vortex of 2014 occurred</w:t>
      </w:r>
      <w:r>
        <w:rPr>
          <w:sz w:val="24"/>
        </w:rPr>
        <w:t>)</w:t>
      </w:r>
      <w:r w:rsidRPr="00AB6DA6">
        <w:rPr>
          <w:sz w:val="24"/>
        </w:rPr>
        <w:t>, the prices are again remarkabl</w:t>
      </w:r>
      <w:r>
        <w:rPr>
          <w:sz w:val="24"/>
        </w:rPr>
        <w:t>y</w:t>
      </w:r>
      <w:r w:rsidRPr="00AB6DA6">
        <w:rPr>
          <w:sz w:val="24"/>
        </w:rPr>
        <w:t xml:space="preserve"> stable</w:t>
      </w:r>
      <w:r>
        <w:rPr>
          <w:sz w:val="24"/>
        </w:rPr>
        <w:t xml:space="preserve"> for the majority of the month, particularly</w:t>
      </w:r>
      <w:r w:rsidRPr="00AB6DA6">
        <w:rPr>
          <w:sz w:val="24"/>
        </w:rPr>
        <w:t xml:space="preserve"> given the record cold weather across the region and balance of the United State</w:t>
      </w:r>
      <w:r>
        <w:rPr>
          <w:sz w:val="24"/>
        </w:rPr>
        <w:t>s at that time.</w:t>
      </w:r>
      <w:r>
        <w:rPr>
          <w:rStyle w:val="FootnoteReference"/>
          <w:sz w:val="24"/>
        </w:rPr>
        <w:footnoteReference w:id="25"/>
      </w:r>
      <w:r w:rsidRPr="00AB6DA6">
        <w:rPr>
          <w:sz w:val="24"/>
        </w:rPr>
        <w:t xml:space="preserve"> </w:t>
      </w:r>
      <w:r>
        <w:rPr>
          <w:sz w:val="24"/>
        </w:rPr>
        <w:t xml:space="preserve"> This weather included Maryland’s, Pennsylvania’s, and New Jersey’s 12</w:t>
      </w:r>
      <w:r w:rsidRPr="00D2121C">
        <w:rPr>
          <w:sz w:val="24"/>
          <w:vertAlign w:val="superscript"/>
        </w:rPr>
        <w:t>th</w:t>
      </w:r>
      <w:r>
        <w:rPr>
          <w:sz w:val="24"/>
        </w:rPr>
        <w:t>, 13</w:t>
      </w:r>
      <w:r w:rsidRPr="00D2121C">
        <w:rPr>
          <w:sz w:val="24"/>
          <w:vertAlign w:val="superscript"/>
        </w:rPr>
        <w:t>th</w:t>
      </w:r>
      <w:r>
        <w:rPr>
          <w:sz w:val="24"/>
        </w:rPr>
        <w:t xml:space="preserve"> and 19</w:t>
      </w:r>
      <w:r w:rsidRPr="00E6195B">
        <w:rPr>
          <w:sz w:val="24"/>
          <w:vertAlign w:val="superscript"/>
        </w:rPr>
        <w:t>th</w:t>
      </w:r>
      <w:r>
        <w:rPr>
          <w:sz w:val="24"/>
        </w:rPr>
        <w:t xml:space="preserve"> coldest January on </w:t>
      </w:r>
      <w:r>
        <w:rPr>
          <w:sz w:val="24"/>
        </w:rPr>
        <w:lastRenderedPageBreak/>
        <w:t>record, respectively.  Toledo set an all-time record for January snowfall, along with its 6</w:t>
      </w:r>
      <w:r w:rsidRPr="00D2121C">
        <w:rPr>
          <w:sz w:val="24"/>
          <w:vertAlign w:val="superscript"/>
        </w:rPr>
        <w:t>th</w:t>
      </w:r>
      <w:r>
        <w:rPr>
          <w:sz w:val="24"/>
        </w:rPr>
        <w:t xml:space="preserve"> coldest January on record with an average temperature of only 16.0 degrees.</w:t>
      </w:r>
      <w:r>
        <w:rPr>
          <w:rStyle w:val="FootnoteReference"/>
          <w:sz w:val="24"/>
        </w:rPr>
        <w:footnoteReference w:id="26"/>
      </w:r>
    </w:p>
    <w:p w:rsidR="00132B2D" w:rsidRPr="00FB106F" w:rsidRDefault="00132B2D" w:rsidP="00132B2D">
      <w:pPr>
        <w:spacing w:line="480" w:lineRule="auto"/>
        <w:jc w:val="center"/>
        <w:rPr>
          <w:sz w:val="24"/>
          <w:u w:val="single"/>
        </w:rPr>
      </w:pPr>
      <w:r>
        <w:rPr>
          <w:sz w:val="24"/>
          <w:u w:val="single"/>
        </w:rPr>
        <w:t>Figure</w:t>
      </w:r>
      <w:r w:rsidRPr="00FB106F">
        <w:rPr>
          <w:sz w:val="24"/>
          <w:u w:val="single"/>
        </w:rPr>
        <w:t xml:space="preserve"> </w:t>
      </w:r>
      <w:r>
        <w:rPr>
          <w:sz w:val="24"/>
          <w:u w:val="single"/>
        </w:rPr>
        <w:t>2</w:t>
      </w:r>
      <w:r w:rsidRPr="00FB106F">
        <w:rPr>
          <w:sz w:val="24"/>
          <w:u w:val="single"/>
        </w:rPr>
        <w:t xml:space="preserve">: </w:t>
      </w:r>
      <w:r>
        <w:rPr>
          <w:sz w:val="24"/>
          <w:u w:val="single"/>
        </w:rPr>
        <w:t>Historic PJM Energy Prices</w:t>
      </w:r>
    </w:p>
    <w:p w:rsidR="00132B2D" w:rsidRDefault="00132B2D" w:rsidP="00132B2D">
      <w:pPr>
        <w:spacing w:line="480" w:lineRule="auto"/>
        <w:ind w:firstLine="720"/>
        <w:jc w:val="center"/>
        <w:rPr>
          <w:sz w:val="24"/>
        </w:rPr>
      </w:pPr>
      <w:r>
        <w:rPr>
          <w:noProof/>
        </w:rPr>
        <w:drawing>
          <wp:inline distT="0" distB="0" distL="0" distR="0" wp14:anchorId="4333283D" wp14:editId="1C9B9510">
            <wp:extent cx="4761905" cy="2895238"/>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61905" cy="2895238"/>
                    </a:xfrm>
                    <a:prstGeom prst="rect">
                      <a:avLst/>
                    </a:prstGeom>
                  </pic:spPr>
                </pic:pic>
              </a:graphicData>
            </a:graphic>
          </wp:inline>
        </w:drawing>
      </w:r>
    </w:p>
    <w:p w:rsidR="00132B2D" w:rsidRDefault="00132B2D" w:rsidP="00132B2D">
      <w:pPr>
        <w:spacing w:line="480" w:lineRule="auto"/>
        <w:ind w:firstLine="720"/>
        <w:rPr>
          <w:sz w:val="24"/>
        </w:rPr>
      </w:pPr>
      <w:r>
        <w:rPr>
          <w:sz w:val="24"/>
        </w:rPr>
        <w:t>As AEP witness Pearce states, “No one will know what the weather will hold over the next ten years in Ohio and across PJM.”</w:t>
      </w:r>
      <w:r>
        <w:rPr>
          <w:rStyle w:val="FootnoteReference"/>
          <w:sz w:val="24"/>
        </w:rPr>
        <w:footnoteReference w:id="27"/>
      </w:r>
      <w:r>
        <w:rPr>
          <w:sz w:val="24"/>
        </w:rPr>
        <w:t xml:space="preserve">  While this statement is correct, the figure above demonstrates that the past ten years have shown wholesale prices to be relatively stable and even declining, despite relatively short periods in time when the region experienced record cold weather.</w:t>
      </w:r>
    </w:p>
    <w:p w:rsidR="00132B2D" w:rsidRPr="00AB6DA6" w:rsidRDefault="00132B2D" w:rsidP="00132B2D">
      <w:pPr>
        <w:spacing w:line="480" w:lineRule="auto"/>
        <w:rPr>
          <w:sz w:val="24"/>
        </w:rPr>
      </w:pPr>
      <w:r w:rsidRPr="00AB6DA6">
        <w:rPr>
          <w:sz w:val="24"/>
        </w:rPr>
        <w:t xml:space="preserve">Q. </w:t>
      </w:r>
      <w:r>
        <w:rPr>
          <w:sz w:val="24"/>
        </w:rPr>
        <w:t>HAVE ANY STEPS BEEN TAKEN THAT WILL ADDRESS THE RELIABILITY AND WHOLESALE PRICE VOLATILITY AS EXPERIENCED DURING THE POLAR VORTEX OF 2014</w:t>
      </w:r>
      <w:r w:rsidRPr="00AB6DA6">
        <w:rPr>
          <w:sz w:val="24"/>
        </w:rPr>
        <w:t>?</w:t>
      </w:r>
    </w:p>
    <w:p w:rsidR="00132B2D" w:rsidRDefault="00132B2D" w:rsidP="00132B2D">
      <w:pPr>
        <w:spacing w:line="480" w:lineRule="auto"/>
        <w:rPr>
          <w:sz w:val="24"/>
        </w:rPr>
      </w:pPr>
      <w:r w:rsidRPr="00AB6DA6">
        <w:rPr>
          <w:sz w:val="24"/>
        </w:rPr>
        <w:t xml:space="preserve">A. </w:t>
      </w:r>
      <w:r>
        <w:rPr>
          <w:sz w:val="24"/>
        </w:rPr>
        <w:tab/>
        <w:t>Yes.  PJM recently filed with FERC, and FERC accepted, a new capacity product called Capacity Performance (“CP”)</w:t>
      </w:r>
      <w:r w:rsidRPr="00AB6DA6">
        <w:rPr>
          <w:sz w:val="24"/>
        </w:rPr>
        <w:t>.</w:t>
      </w:r>
      <w:r>
        <w:rPr>
          <w:rStyle w:val="FootnoteReference"/>
          <w:sz w:val="24"/>
        </w:rPr>
        <w:footnoteReference w:id="28"/>
      </w:r>
      <w:r>
        <w:rPr>
          <w:sz w:val="24"/>
        </w:rPr>
        <w:t xml:space="preserve">  Capacity Performance was designed and implemented to </w:t>
      </w:r>
      <w:r>
        <w:rPr>
          <w:sz w:val="24"/>
        </w:rPr>
        <w:lastRenderedPageBreak/>
        <w:t>address conditions experienced during the Polar Vortex of 2014.  Elements of this product include high penalties for capacity suppliers that are unable to deliver energy during shortage events, which will provide a strong incentive for those suppliers to perform and in turn reduce wholesale price volatility.</w:t>
      </w:r>
    </w:p>
    <w:p w:rsidR="00132B2D" w:rsidRDefault="00132B2D" w:rsidP="00132B2D">
      <w:pPr>
        <w:spacing w:line="480" w:lineRule="auto"/>
        <w:ind w:firstLine="720"/>
        <w:rPr>
          <w:sz w:val="24"/>
        </w:rPr>
      </w:pPr>
      <w:r>
        <w:rPr>
          <w:sz w:val="24"/>
        </w:rPr>
        <w:t xml:space="preserve">Furthermore, </w:t>
      </w:r>
      <w:r w:rsidRPr="002F5CEC">
        <w:rPr>
          <w:sz w:val="24"/>
        </w:rPr>
        <w:t xml:space="preserve">energy prices </w:t>
      </w:r>
      <w:r>
        <w:rPr>
          <w:sz w:val="24"/>
        </w:rPr>
        <w:t xml:space="preserve">are predicted to fall by </w:t>
      </w:r>
      <w:r w:rsidRPr="002F5CEC">
        <w:rPr>
          <w:sz w:val="24"/>
        </w:rPr>
        <w:t xml:space="preserve">approximately </w:t>
      </w:r>
      <w:r>
        <w:rPr>
          <w:sz w:val="24"/>
        </w:rPr>
        <w:t>$2.2 billion annually across the system under the implementation of Capacity Performance.</w:t>
      </w:r>
      <w:r>
        <w:rPr>
          <w:rStyle w:val="FootnoteReference"/>
          <w:sz w:val="24"/>
        </w:rPr>
        <w:footnoteReference w:id="29"/>
      </w:r>
      <w:r>
        <w:rPr>
          <w:sz w:val="24"/>
        </w:rPr>
        <w:t xml:space="preserve">  This translates into approximately </w:t>
      </w:r>
      <w:r w:rsidRPr="002F5CEC">
        <w:rPr>
          <w:sz w:val="24"/>
        </w:rPr>
        <w:t xml:space="preserve">$3/MWh </w:t>
      </w:r>
      <w:r>
        <w:rPr>
          <w:sz w:val="24"/>
        </w:rPr>
        <w:t xml:space="preserve">when taking into account the energy market cost reduction cited above by PJM and dividing it by the total number of PJM MWh </w:t>
      </w:r>
      <w:r w:rsidRPr="002F5CEC">
        <w:rPr>
          <w:sz w:val="24"/>
        </w:rPr>
        <w:t>.</w:t>
      </w:r>
      <w:r>
        <w:rPr>
          <w:rStyle w:val="FootnoteReference"/>
          <w:sz w:val="24"/>
        </w:rPr>
        <w:footnoteReference w:id="30"/>
      </w:r>
    </w:p>
    <w:p w:rsidR="00132B2D" w:rsidRPr="00AB6DA6" w:rsidRDefault="00132B2D" w:rsidP="00132B2D">
      <w:pPr>
        <w:spacing w:line="480" w:lineRule="auto"/>
        <w:rPr>
          <w:sz w:val="24"/>
        </w:rPr>
      </w:pPr>
      <w:r w:rsidRPr="00AB6DA6">
        <w:rPr>
          <w:sz w:val="24"/>
        </w:rPr>
        <w:t xml:space="preserve">Q. </w:t>
      </w:r>
      <w:r>
        <w:rPr>
          <w:sz w:val="24"/>
        </w:rPr>
        <w:t>HAVE THERE BEEN ANY OTHER STEPS TAKEN THAT WILL ADDRESS THE WHOLESALE PRICE VOLATILITY AS EXPERIENCED DURING THE POLAR VORTEX OF 2014</w:t>
      </w:r>
      <w:r w:rsidRPr="00AB6DA6">
        <w:rPr>
          <w:sz w:val="24"/>
        </w:rPr>
        <w:t>?</w:t>
      </w:r>
    </w:p>
    <w:p w:rsidR="00132B2D" w:rsidRDefault="00132B2D" w:rsidP="00132B2D">
      <w:pPr>
        <w:spacing w:line="480" w:lineRule="auto"/>
        <w:rPr>
          <w:sz w:val="24"/>
        </w:rPr>
      </w:pPr>
      <w:r w:rsidRPr="00AB6DA6">
        <w:rPr>
          <w:sz w:val="24"/>
        </w:rPr>
        <w:t xml:space="preserve">A. </w:t>
      </w:r>
      <w:r>
        <w:rPr>
          <w:sz w:val="24"/>
        </w:rPr>
        <w:tab/>
        <w:t>Yes.  PJM is in the process of revising the timing of its day-ahead electric offer window to better align with the natural gas nomination cycles, along with moving the electric offer window to earlier in the day.</w:t>
      </w:r>
      <w:r>
        <w:rPr>
          <w:rStyle w:val="FootnoteReference"/>
          <w:sz w:val="24"/>
        </w:rPr>
        <w:footnoteReference w:id="31"/>
      </w:r>
      <w:r>
        <w:rPr>
          <w:sz w:val="24"/>
        </w:rPr>
        <w:t xml:space="preserve">  This change will allow natural-gas fired power plants the ability to purchase gas when there is more market liquidity, along with purchasing that gas with longer lead time before the start of the power day.</w:t>
      </w:r>
    </w:p>
    <w:p w:rsidR="00132B2D" w:rsidRPr="00AB6DA6" w:rsidRDefault="00132B2D" w:rsidP="00132B2D">
      <w:pPr>
        <w:spacing w:line="480" w:lineRule="auto"/>
        <w:rPr>
          <w:sz w:val="24"/>
        </w:rPr>
      </w:pPr>
      <w:r w:rsidRPr="00AB6DA6">
        <w:rPr>
          <w:sz w:val="24"/>
        </w:rPr>
        <w:t>Q.</w:t>
      </w:r>
      <w:r>
        <w:rPr>
          <w:sz w:val="24"/>
        </w:rPr>
        <w:t>, WHAT ARE YOUR CONCLUSIONS REGARDING</w:t>
      </w:r>
      <w:r w:rsidRPr="00AB6DA6">
        <w:rPr>
          <w:sz w:val="24"/>
        </w:rPr>
        <w:t xml:space="preserve"> </w:t>
      </w:r>
      <w:r>
        <w:rPr>
          <w:sz w:val="24"/>
        </w:rPr>
        <w:t>AEP’S TESTIMONY ON</w:t>
      </w:r>
      <w:r w:rsidRPr="00AB6DA6">
        <w:rPr>
          <w:sz w:val="24"/>
        </w:rPr>
        <w:t xml:space="preserve"> WHOLESALE MARKET VOLATILITY?</w:t>
      </w:r>
    </w:p>
    <w:p w:rsidR="00132B2D" w:rsidRPr="005D4526" w:rsidRDefault="00132B2D" w:rsidP="00132B2D">
      <w:pPr>
        <w:spacing w:line="480" w:lineRule="auto"/>
        <w:rPr>
          <w:sz w:val="24"/>
        </w:rPr>
      </w:pPr>
      <w:r w:rsidRPr="00AB6DA6">
        <w:rPr>
          <w:sz w:val="24"/>
        </w:rPr>
        <w:t xml:space="preserve">A. </w:t>
      </w:r>
      <w:r>
        <w:rPr>
          <w:sz w:val="24"/>
        </w:rPr>
        <w:tab/>
      </w:r>
      <w:r w:rsidRPr="00AB6DA6">
        <w:rPr>
          <w:sz w:val="24"/>
        </w:rPr>
        <w:t>AEP’s claims of market volatility are repeatedly overstated</w:t>
      </w:r>
      <w:r>
        <w:rPr>
          <w:sz w:val="24"/>
        </w:rPr>
        <w:t xml:space="preserve"> and misleading</w:t>
      </w:r>
      <w:r w:rsidRPr="00AB6DA6">
        <w:rPr>
          <w:sz w:val="24"/>
        </w:rPr>
        <w:t xml:space="preserve">, </w:t>
      </w:r>
      <w:r>
        <w:rPr>
          <w:sz w:val="24"/>
        </w:rPr>
        <w:t xml:space="preserve">as evidenced by the fact that </w:t>
      </w:r>
      <w:r w:rsidRPr="00AB6DA6">
        <w:rPr>
          <w:sz w:val="24"/>
        </w:rPr>
        <w:t>AEP is</w:t>
      </w:r>
      <w:r>
        <w:rPr>
          <w:sz w:val="24"/>
        </w:rPr>
        <w:t xml:space="preserve"> only</w:t>
      </w:r>
      <w:r w:rsidRPr="00AB6DA6">
        <w:rPr>
          <w:sz w:val="24"/>
        </w:rPr>
        <w:t xml:space="preserve"> able to point to only </w:t>
      </w:r>
      <w:r>
        <w:rPr>
          <w:sz w:val="24"/>
        </w:rPr>
        <w:t>two</w:t>
      </w:r>
      <w:r w:rsidRPr="00AB6DA6">
        <w:rPr>
          <w:sz w:val="24"/>
        </w:rPr>
        <w:t xml:space="preserve"> days during one month over the past </w:t>
      </w:r>
      <w:r>
        <w:rPr>
          <w:sz w:val="24"/>
        </w:rPr>
        <w:t>ten</w:t>
      </w:r>
      <w:r w:rsidRPr="00AB6DA6">
        <w:rPr>
          <w:sz w:val="24"/>
        </w:rPr>
        <w:t xml:space="preserve"> years </w:t>
      </w:r>
      <w:r>
        <w:rPr>
          <w:sz w:val="24"/>
        </w:rPr>
        <w:t>when</w:t>
      </w:r>
      <w:r w:rsidRPr="00AB6DA6">
        <w:rPr>
          <w:sz w:val="24"/>
        </w:rPr>
        <w:t xml:space="preserve"> prices could be called </w:t>
      </w:r>
      <w:r>
        <w:rPr>
          <w:sz w:val="24"/>
        </w:rPr>
        <w:t>“</w:t>
      </w:r>
      <w:r w:rsidRPr="00AB6DA6">
        <w:rPr>
          <w:sz w:val="24"/>
        </w:rPr>
        <w:t>volatile</w:t>
      </w:r>
      <w:r>
        <w:rPr>
          <w:sz w:val="24"/>
        </w:rPr>
        <w:t>”</w:t>
      </w:r>
      <w:r w:rsidRPr="00AB6DA6">
        <w:rPr>
          <w:sz w:val="24"/>
        </w:rPr>
        <w:t>.</w:t>
      </w:r>
      <w:r>
        <w:rPr>
          <w:sz w:val="24"/>
        </w:rPr>
        <w:t xml:space="preserve">  Furthermore, PJM has implemented or is in the </w:t>
      </w:r>
      <w:r>
        <w:rPr>
          <w:sz w:val="24"/>
        </w:rPr>
        <w:lastRenderedPageBreak/>
        <w:t>process of implementing a number of tariff revisions that will reduce volatility and further enhance reliability.</w:t>
      </w:r>
    </w:p>
    <w:p w:rsidR="00132B2D" w:rsidRDefault="00132B2D" w:rsidP="00132B2D">
      <w:pPr>
        <w:spacing w:line="480" w:lineRule="auto"/>
        <w:rPr>
          <w:b/>
          <w:sz w:val="24"/>
        </w:rPr>
      </w:pPr>
    </w:p>
    <w:p w:rsidR="00132B2D" w:rsidRPr="00AB6DA6" w:rsidRDefault="00132B2D" w:rsidP="00132B2D">
      <w:pPr>
        <w:spacing w:line="480" w:lineRule="auto"/>
        <w:rPr>
          <w:b/>
          <w:sz w:val="24"/>
        </w:rPr>
      </w:pPr>
      <w:r w:rsidRPr="00AB6DA6">
        <w:rPr>
          <w:b/>
          <w:sz w:val="24"/>
        </w:rPr>
        <w:t>RESULT</w:t>
      </w:r>
      <w:r>
        <w:rPr>
          <w:b/>
          <w:sz w:val="24"/>
        </w:rPr>
        <w:t>S</w:t>
      </w:r>
      <w:r w:rsidRPr="00AB6DA6">
        <w:rPr>
          <w:b/>
          <w:sz w:val="24"/>
        </w:rPr>
        <w:t xml:space="preserve"> OF RECENTLY-COMPLETED PJM CAPACITY PERFORMANCE AUCTIONS</w:t>
      </w:r>
    </w:p>
    <w:p w:rsidR="00132B2D" w:rsidRPr="00AB6DA6" w:rsidRDefault="00132B2D" w:rsidP="00132B2D">
      <w:pPr>
        <w:spacing w:line="480" w:lineRule="auto"/>
        <w:rPr>
          <w:sz w:val="24"/>
        </w:rPr>
      </w:pPr>
      <w:r w:rsidRPr="00AB6DA6">
        <w:rPr>
          <w:sz w:val="24"/>
        </w:rPr>
        <w:t xml:space="preserve">Q. </w:t>
      </w:r>
      <w:r>
        <w:rPr>
          <w:sz w:val="24"/>
        </w:rPr>
        <w:t xml:space="preserve">WHAT WERE THE RESULTS OF THE RECENTLY-COMPLETED PJM CAPACITY PERFORMANCE AUCTIONS FOR DELIVERY YEARS 2016-2017, 2017-2018 AND 2018-2019? </w:t>
      </w:r>
    </w:p>
    <w:p w:rsidR="00132B2D" w:rsidRPr="00AB6DA6" w:rsidRDefault="00132B2D" w:rsidP="00132B2D">
      <w:pPr>
        <w:spacing w:line="480" w:lineRule="auto"/>
        <w:rPr>
          <w:sz w:val="24"/>
        </w:rPr>
      </w:pPr>
      <w:r w:rsidRPr="00AB6DA6">
        <w:rPr>
          <w:sz w:val="24"/>
        </w:rPr>
        <w:t xml:space="preserve">A. </w:t>
      </w:r>
      <w:r>
        <w:rPr>
          <w:sz w:val="24"/>
        </w:rPr>
        <w:tab/>
        <w:t>For delivery year 2016-2017, the auction clearing price was $</w:t>
      </w:r>
      <w:r w:rsidRPr="005F022E">
        <w:rPr>
          <w:sz w:val="24"/>
        </w:rPr>
        <w:t>134</w:t>
      </w:r>
      <w:r>
        <w:rPr>
          <w:sz w:val="24"/>
        </w:rPr>
        <w:t>/MW-Day.</w:t>
      </w:r>
      <w:r>
        <w:rPr>
          <w:rStyle w:val="FootnoteReference"/>
          <w:sz w:val="24"/>
        </w:rPr>
        <w:footnoteReference w:id="32"/>
      </w:r>
      <w:r>
        <w:rPr>
          <w:sz w:val="24"/>
        </w:rPr>
        <w:t xml:space="preserve">  For delivery year 2017-2018, the auction clearing price was $151.50/MW-Day.</w:t>
      </w:r>
      <w:r>
        <w:rPr>
          <w:rStyle w:val="FootnoteReference"/>
          <w:sz w:val="24"/>
        </w:rPr>
        <w:footnoteReference w:id="33"/>
      </w:r>
      <w:r>
        <w:rPr>
          <w:sz w:val="24"/>
        </w:rPr>
        <w:t xml:space="preserve">  For delivery year 2018-2019, the auction clearing price (for units in AEP Ohio) was $164.77/MW-Day for Capacity Performance and $149.98/MW-Day for Base Capacity.</w:t>
      </w:r>
      <w:r>
        <w:rPr>
          <w:rStyle w:val="FootnoteReference"/>
          <w:sz w:val="24"/>
        </w:rPr>
        <w:footnoteReference w:id="34"/>
      </w:r>
    </w:p>
    <w:p w:rsidR="00132B2D" w:rsidRPr="00AB6DA6" w:rsidRDefault="00132B2D" w:rsidP="00132B2D">
      <w:pPr>
        <w:spacing w:line="480" w:lineRule="auto"/>
        <w:rPr>
          <w:sz w:val="24"/>
        </w:rPr>
      </w:pPr>
      <w:r w:rsidRPr="00AB6DA6">
        <w:rPr>
          <w:sz w:val="24"/>
        </w:rPr>
        <w:t xml:space="preserve">Q. </w:t>
      </w:r>
      <w:r>
        <w:rPr>
          <w:sz w:val="24"/>
        </w:rPr>
        <w:t>HOW DO THESE RESULTS COMPARE TO THE PREVIOUSLY-RUN CAPACITY AUCTIONS FOR THE SAME YEARS?</w:t>
      </w:r>
    </w:p>
    <w:p w:rsidR="00132B2D" w:rsidRDefault="00132B2D" w:rsidP="00132B2D">
      <w:pPr>
        <w:spacing w:line="480" w:lineRule="auto"/>
        <w:rPr>
          <w:sz w:val="24"/>
        </w:rPr>
      </w:pPr>
      <w:r w:rsidRPr="00AB6DA6">
        <w:rPr>
          <w:sz w:val="24"/>
        </w:rPr>
        <w:t xml:space="preserve">A. </w:t>
      </w:r>
      <w:r>
        <w:rPr>
          <w:sz w:val="24"/>
        </w:rPr>
        <w:tab/>
        <w:t>The previously-cleared Base Residual Auction (BRA) for delivery year 2016-2017 yielded $59.37/MW-Day for units in AEP Ohio.</w:t>
      </w:r>
      <w:r>
        <w:rPr>
          <w:rStyle w:val="FootnoteReference"/>
          <w:sz w:val="24"/>
        </w:rPr>
        <w:footnoteReference w:id="35"/>
      </w:r>
      <w:r>
        <w:rPr>
          <w:sz w:val="24"/>
        </w:rPr>
        <w:t xml:space="preserve">  The previously-cleared Base Residual Auction (BRA) for delivery year 2017-2018 yielded $</w:t>
      </w:r>
      <w:r w:rsidRPr="00A85152">
        <w:rPr>
          <w:sz w:val="24"/>
        </w:rPr>
        <w:t>120</w:t>
      </w:r>
      <w:r>
        <w:rPr>
          <w:sz w:val="24"/>
        </w:rPr>
        <w:t>/MW-Day for units in AEP Ohio.</w:t>
      </w:r>
      <w:r>
        <w:rPr>
          <w:rStyle w:val="FootnoteReference"/>
          <w:sz w:val="24"/>
        </w:rPr>
        <w:footnoteReference w:id="36"/>
      </w:r>
      <w:r>
        <w:rPr>
          <w:sz w:val="24"/>
        </w:rPr>
        <w:t xml:space="preserve">  For example, a plant with 1,000 MW of capacity that originally cleared the auction at $59.37/MW-Day earned $21.7 million for 2016-2017; if that same plant cleared the same amount of capacity in the transition auction, its capacity revenue would increase by $27.2 million to $48.9 million.</w:t>
      </w:r>
    </w:p>
    <w:p w:rsidR="00132B2D" w:rsidRDefault="00132B2D" w:rsidP="00132B2D">
      <w:pPr>
        <w:spacing w:line="480" w:lineRule="auto"/>
        <w:rPr>
          <w:sz w:val="24"/>
        </w:rPr>
      </w:pPr>
      <w:r w:rsidRPr="00AB6DA6">
        <w:rPr>
          <w:sz w:val="24"/>
        </w:rPr>
        <w:lastRenderedPageBreak/>
        <w:t xml:space="preserve">Q. </w:t>
      </w:r>
      <w:r>
        <w:rPr>
          <w:sz w:val="24"/>
        </w:rPr>
        <w:t>HOW MUCH REVENUE DID THE AEP PPA UNITS RECEIVE FROM THE ABOVE-MENTIONED AUCTIONS?</w:t>
      </w:r>
    </w:p>
    <w:p w:rsidR="00132B2D" w:rsidRPr="005D4526" w:rsidRDefault="00132B2D" w:rsidP="00132B2D">
      <w:pPr>
        <w:spacing w:line="480" w:lineRule="auto"/>
        <w:rPr>
          <w:sz w:val="24"/>
        </w:rPr>
      </w:pPr>
      <w:r w:rsidRPr="00AB6DA6">
        <w:rPr>
          <w:sz w:val="24"/>
        </w:rPr>
        <w:t xml:space="preserve">A. </w:t>
      </w:r>
      <w:r>
        <w:rPr>
          <w:sz w:val="24"/>
        </w:rPr>
        <w:tab/>
        <w:t xml:space="preserve">On September 10, 2015, AEP disclosed results for all of its AEP Generation Resources (AEPGR), stating that all of the capacity that was offered into the auction actually cleared the auction, representing approximately 7,000 MW.  Of that capacity, AEP’s share of the PPA units (excluding OVEC) represents approximately 2,700 MW.  </w:t>
      </w:r>
      <w:r w:rsidRPr="00AB6DA6">
        <w:rPr>
          <w:sz w:val="24"/>
        </w:rPr>
        <w:t xml:space="preserve">Given the clearing process mentioned above, AEP’s share of the PPA units </w:t>
      </w:r>
      <w:r>
        <w:rPr>
          <w:sz w:val="24"/>
        </w:rPr>
        <w:t xml:space="preserve">(excluding OVEC) </w:t>
      </w:r>
      <w:r w:rsidRPr="00AB6DA6">
        <w:rPr>
          <w:sz w:val="24"/>
        </w:rPr>
        <w:t xml:space="preserve">had the potential to earn </w:t>
      </w:r>
      <w:r>
        <w:rPr>
          <w:sz w:val="24"/>
        </w:rPr>
        <w:t xml:space="preserve">an additional </w:t>
      </w:r>
      <w:r w:rsidRPr="00AB6DA6">
        <w:rPr>
          <w:sz w:val="24"/>
        </w:rPr>
        <w:t>$</w:t>
      </w:r>
      <w:r>
        <w:rPr>
          <w:sz w:val="24"/>
        </w:rPr>
        <w:t>74 million</w:t>
      </w:r>
      <w:r w:rsidRPr="00AB6DA6">
        <w:rPr>
          <w:sz w:val="24"/>
        </w:rPr>
        <w:t xml:space="preserve"> for </w:t>
      </w:r>
      <w:r>
        <w:rPr>
          <w:sz w:val="24"/>
        </w:rPr>
        <w:t>the 12 months beginning June 1, 20</w:t>
      </w:r>
      <w:r w:rsidRPr="00AB6DA6">
        <w:rPr>
          <w:sz w:val="24"/>
        </w:rPr>
        <w:t>16</w:t>
      </w:r>
      <w:r>
        <w:rPr>
          <w:sz w:val="24"/>
        </w:rPr>
        <w:t>,</w:t>
      </w:r>
      <w:r>
        <w:rPr>
          <w:rStyle w:val="FootnoteReference"/>
          <w:sz w:val="24"/>
        </w:rPr>
        <w:footnoteReference w:id="37"/>
      </w:r>
      <w:r>
        <w:rPr>
          <w:sz w:val="24"/>
        </w:rPr>
        <w:t xml:space="preserve"> and an additional $31 million the 12 months beginning June 1, 20</w:t>
      </w:r>
      <w:r w:rsidRPr="00AB6DA6">
        <w:rPr>
          <w:sz w:val="24"/>
        </w:rPr>
        <w:t>1</w:t>
      </w:r>
      <w:r>
        <w:rPr>
          <w:sz w:val="24"/>
        </w:rPr>
        <w:t>7.</w:t>
      </w:r>
      <w:r>
        <w:rPr>
          <w:rStyle w:val="FootnoteReference"/>
          <w:sz w:val="24"/>
        </w:rPr>
        <w:footnoteReference w:id="38"/>
      </w:r>
      <w:r>
        <w:rPr>
          <w:sz w:val="24"/>
        </w:rPr>
        <w:t xml:space="preserve">  For the 12 months beginning June 1, 2018, the PPA units (excluding OVEC) had the potential to earn a total of $162 million in capacity revenue.</w:t>
      </w:r>
      <w:r>
        <w:rPr>
          <w:rStyle w:val="FootnoteReference"/>
          <w:sz w:val="24"/>
        </w:rPr>
        <w:footnoteReference w:id="39"/>
      </w:r>
    </w:p>
    <w:p w:rsidR="00132B2D" w:rsidRDefault="00132B2D" w:rsidP="00132B2D">
      <w:pPr>
        <w:spacing w:line="480" w:lineRule="auto"/>
        <w:rPr>
          <w:b/>
          <w:sz w:val="24"/>
        </w:rPr>
      </w:pPr>
    </w:p>
    <w:p w:rsidR="00132B2D" w:rsidRPr="00AB6DA6" w:rsidRDefault="00132B2D" w:rsidP="00132B2D">
      <w:pPr>
        <w:spacing w:line="480" w:lineRule="auto"/>
        <w:rPr>
          <w:b/>
          <w:sz w:val="24"/>
        </w:rPr>
      </w:pPr>
      <w:r w:rsidRPr="00AB6DA6">
        <w:rPr>
          <w:b/>
          <w:sz w:val="24"/>
        </w:rPr>
        <w:t xml:space="preserve">NEW </w:t>
      </w:r>
      <w:r>
        <w:rPr>
          <w:b/>
          <w:sz w:val="24"/>
        </w:rPr>
        <w:t>GENERATION</w:t>
      </w:r>
    </w:p>
    <w:p w:rsidR="00132B2D" w:rsidRPr="00AB6DA6" w:rsidRDefault="00132B2D" w:rsidP="00132B2D">
      <w:pPr>
        <w:spacing w:line="480" w:lineRule="auto"/>
        <w:rPr>
          <w:sz w:val="24"/>
        </w:rPr>
      </w:pPr>
      <w:r w:rsidRPr="00AB6DA6">
        <w:rPr>
          <w:sz w:val="24"/>
        </w:rPr>
        <w:t xml:space="preserve">Q. </w:t>
      </w:r>
      <w:r>
        <w:rPr>
          <w:sz w:val="24"/>
        </w:rPr>
        <w:t>WHAT IS THE STATUS OF NEW GENERATION IN OHIO?</w:t>
      </w:r>
    </w:p>
    <w:p w:rsidR="00132B2D" w:rsidRDefault="00132B2D" w:rsidP="00132B2D">
      <w:pPr>
        <w:spacing w:line="480" w:lineRule="auto"/>
        <w:rPr>
          <w:sz w:val="24"/>
          <w:u w:val="single"/>
        </w:rPr>
      </w:pPr>
      <w:r w:rsidRPr="00AB6DA6">
        <w:rPr>
          <w:sz w:val="24"/>
        </w:rPr>
        <w:t xml:space="preserve">A. </w:t>
      </w:r>
      <w:r w:rsidR="001D7AA9">
        <w:rPr>
          <w:sz w:val="24"/>
        </w:rPr>
        <w:tab/>
      </w:r>
      <w:r>
        <w:rPr>
          <w:sz w:val="24"/>
        </w:rPr>
        <w:t>A list of new generation projects under development in Ohio is shown below in Table 3.</w:t>
      </w:r>
      <w:r>
        <w:rPr>
          <w:sz w:val="24"/>
          <w:u w:val="single"/>
        </w:rPr>
        <w:br w:type="page"/>
      </w:r>
    </w:p>
    <w:p w:rsidR="00132B2D" w:rsidRPr="00FB106F" w:rsidRDefault="00132B2D" w:rsidP="00132B2D">
      <w:pPr>
        <w:spacing w:line="480" w:lineRule="auto"/>
        <w:jc w:val="center"/>
        <w:rPr>
          <w:sz w:val="24"/>
          <w:u w:val="single"/>
        </w:rPr>
      </w:pPr>
      <w:r w:rsidRPr="00FB106F">
        <w:rPr>
          <w:sz w:val="24"/>
          <w:u w:val="single"/>
        </w:rPr>
        <w:lastRenderedPageBreak/>
        <w:t xml:space="preserve">Table </w:t>
      </w:r>
      <w:r>
        <w:rPr>
          <w:sz w:val="24"/>
          <w:u w:val="single"/>
        </w:rPr>
        <w:t>3</w:t>
      </w:r>
      <w:r w:rsidRPr="00FB106F">
        <w:rPr>
          <w:sz w:val="24"/>
          <w:u w:val="single"/>
        </w:rPr>
        <w:t xml:space="preserve">: List of </w:t>
      </w:r>
      <w:r>
        <w:rPr>
          <w:sz w:val="24"/>
          <w:u w:val="single"/>
        </w:rPr>
        <w:t>New</w:t>
      </w:r>
      <w:r w:rsidRPr="00FB106F">
        <w:rPr>
          <w:sz w:val="24"/>
          <w:u w:val="single"/>
        </w:rPr>
        <w:t xml:space="preserve"> Generating Units </w:t>
      </w:r>
      <w:r>
        <w:rPr>
          <w:sz w:val="24"/>
          <w:u w:val="single"/>
        </w:rPr>
        <w:t>Planned for Ohio</w:t>
      </w:r>
      <w:r>
        <w:rPr>
          <w:rStyle w:val="FootnoteReference"/>
          <w:sz w:val="24"/>
          <w:u w:val="single"/>
        </w:rPr>
        <w:footnoteReference w:id="40"/>
      </w:r>
    </w:p>
    <w:tbl>
      <w:tblPr>
        <w:tblStyle w:val="TableGrid"/>
        <w:tblW w:w="0" w:type="auto"/>
        <w:jc w:val="center"/>
        <w:tblLook w:val="04A0" w:firstRow="1" w:lastRow="0" w:firstColumn="1" w:lastColumn="0" w:noHBand="0" w:noVBand="1"/>
      </w:tblPr>
      <w:tblGrid>
        <w:gridCol w:w="2988"/>
        <w:gridCol w:w="1890"/>
        <w:gridCol w:w="2088"/>
        <w:gridCol w:w="2106"/>
      </w:tblGrid>
      <w:tr w:rsidR="00132B2D" w:rsidTr="00866838">
        <w:trPr>
          <w:jc w:val="center"/>
        </w:trPr>
        <w:tc>
          <w:tcPr>
            <w:tcW w:w="2988" w:type="dxa"/>
          </w:tcPr>
          <w:p w:rsidR="00132B2D" w:rsidRPr="002940B3" w:rsidRDefault="00132B2D" w:rsidP="00866838">
            <w:pPr>
              <w:rPr>
                <w:sz w:val="24"/>
                <w:szCs w:val="24"/>
              </w:rPr>
            </w:pPr>
            <w:r w:rsidRPr="002940B3">
              <w:rPr>
                <w:sz w:val="24"/>
                <w:szCs w:val="24"/>
              </w:rPr>
              <w:t>New Project</w:t>
            </w:r>
          </w:p>
        </w:tc>
        <w:tc>
          <w:tcPr>
            <w:tcW w:w="1890" w:type="dxa"/>
          </w:tcPr>
          <w:p w:rsidR="00132B2D" w:rsidRPr="002940B3" w:rsidRDefault="00132B2D" w:rsidP="00866838">
            <w:pPr>
              <w:rPr>
                <w:sz w:val="24"/>
                <w:szCs w:val="24"/>
              </w:rPr>
            </w:pPr>
            <w:r w:rsidRPr="002940B3">
              <w:rPr>
                <w:sz w:val="24"/>
                <w:szCs w:val="24"/>
              </w:rPr>
              <w:t>Case No.</w:t>
            </w:r>
          </w:p>
        </w:tc>
        <w:tc>
          <w:tcPr>
            <w:tcW w:w="2088" w:type="dxa"/>
          </w:tcPr>
          <w:p w:rsidR="00132B2D" w:rsidRPr="002940B3" w:rsidRDefault="00132B2D" w:rsidP="00866838">
            <w:pPr>
              <w:rPr>
                <w:sz w:val="24"/>
                <w:szCs w:val="24"/>
              </w:rPr>
            </w:pPr>
            <w:r w:rsidRPr="002940B3">
              <w:rPr>
                <w:sz w:val="24"/>
                <w:szCs w:val="24"/>
              </w:rPr>
              <w:t>Size and Type</w:t>
            </w:r>
          </w:p>
        </w:tc>
        <w:tc>
          <w:tcPr>
            <w:tcW w:w="2106" w:type="dxa"/>
          </w:tcPr>
          <w:p w:rsidR="00132B2D" w:rsidRPr="002940B3" w:rsidRDefault="00132B2D" w:rsidP="00866838">
            <w:pPr>
              <w:rPr>
                <w:sz w:val="24"/>
                <w:szCs w:val="24"/>
              </w:rPr>
            </w:pPr>
            <w:r w:rsidRPr="002940B3">
              <w:rPr>
                <w:sz w:val="24"/>
                <w:szCs w:val="24"/>
              </w:rPr>
              <w:t>Status</w:t>
            </w:r>
          </w:p>
        </w:tc>
      </w:tr>
      <w:tr w:rsidR="00132B2D" w:rsidTr="00866838">
        <w:trPr>
          <w:jc w:val="center"/>
        </w:trPr>
        <w:tc>
          <w:tcPr>
            <w:tcW w:w="2988" w:type="dxa"/>
          </w:tcPr>
          <w:p w:rsidR="00132B2D" w:rsidRPr="002940B3" w:rsidRDefault="00132B2D" w:rsidP="00866838">
            <w:pPr>
              <w:rPr>
                <w:sz w:val="24"/>
                <w:szCs w:val="24"/>
              </w:rPr>
            </w:pPr>
            <w:r w:rsidRPr="002940B3">
              <w:rPr>
                <w:sz w:val="24"/>
                <w:szCs w:val="24"/>
              </w:rPr>
              <w:t>Oregon Clean Power</w:t>
            </w:r>
          </w:p>
        </w:tc>
        <w:tc>
          <w:tcPr>
            <w:tcW w:w="1890" w:type="dxa"/>
          </w:tcPr>
          <w:p w:rsidR="00132B2D" w:rsidRPr="002940B3" w:rsidRDefault="00132B2D" w:rsidP="00866838">
            <w:pPr>
              <w:rPr>
                <w:sz w:val="24"/>
                <w:szCs w:val="24"/>
              </w:rPr>
            </w:pPr>
            <w:r w:rsidRPr="002940B3">
              <w:rPr>
                <w:sz w:val="24"/>
                <w:szCs w:val="24"/>
              </w:rPr>
              <w:t>12-2959-EL-BGN</w:t>
            </w:r>
          </w:p>
        </w:tc>
        <w:tc>
          <w:tcPr>
            <w:tcW w:w="2088" w:type="dxa"/>
          </w:tcPr>
          <w:p w:rsidR="00132B2D" w:rsidRPr="002940B3" w:rsidRDefault="00132B2D" w:rsidP="00866838">
            <w:pPr>
              <w:rPr>
                <w:sz w:val="24"/>
                <w:szCs w:val="24"/>
              </w:rPr>
            </w:pPr>
            <w:r w:rsidRPr="002940B3">
              <w:rPr>
                <w:sz w:val="24"/>
                <w:szCs w:val="24"/>
              </w:rPr>
              <w:t>800 MW CCGT</w:t>
            </w:r>
          </w:p>
        </w:tc>
        <w:tc>
          <w:tcPr>
            <w:tcW w:w="2106" w:type="dxa"/>
          </w:tcPr>
          <w:p w:rsidR="00132B2D" w:rsidRPr="002940B3" w:rsidRDefault="00132B2D" w:rsidP="00866838">
            <w:pPr>
              <w:rPr>
                <w:sz w:val="24"/>
                <w:szCs w:val="24"/>
              </w:rPr>
            </w:pPr>
            <w:r w:rsidRPr="002940B3">
              <w:rPr>
                <w:sz w:val="24"/>
                <w:szCs w:val="24"/>
              </w:rPr>
              <w:t>Under Construction</w:t>
            </w:r>
          </w:p>
        </w:tc>
      </w:tr>
      <w:tr w:rsidR="00132B2D" w:rsidTr="00866838">
        <w:trPr>
          <w:jc w:val="center"/>
        </w:trPr>
        <w:tc>
          <w:tcPr>
            <w:tcW w:w="2988" w:type="dxa"/>
          </w:tcPr>
          <w:p w:rsidR="00132B2D" w:rsidRPr="002940B3" w:rsidRDefault="00132B2D" w:rsidP="00866838">
            <w:pPr>
              <w:rPr>
                <w:sz w:val="24"/>
                <w:szCs w:val="24"/>
              </w:rPr>
            </w:pPr>
            <w:r w:rsidRPr="002940B3">
              <w:rPr>
                <w:sz w:val="24"/>
                <w:szCs w:val="24"/>
              </w:rPr>
              <w:t>Carroll County Energy Gen</w:t>
            </w:r>
          </w:p>
        </w:tc>
        <w:tc>
          <w:tcPr>
            <w:tcW w:w="1890" w:type="dxa"/>
          </w:tcPr>
          <w:p w:rsidR="00132B2D" w:rsidRPr="002940B3" w:rsidRDefault="00132B2D" w:rsidP="00866838">
            <w:pPr>
              <w:rPr>
                <w:sz w:val="24"/>
                <w:szCs w:val="24"/>
              </w:rPr>
            </w:pPr>
            <w:r w:rsidRPr="002940B3">
              <w:rPr>
                <w:sz w:val="24"/>
                <w:szCs w:val="24"/>
              </w:rPr>
              <w:t>13-1752-EL-BGN</w:t>
            </w:r>
          </w:p>
        </w:tc>
        <w:tc>
          <w:tcPr>
            <w:tcW w:w="2088" w:type="dxa"/>
          </w:tcPr>
          <w:p w:rsidR="00132B2D" w:rsidRPr="002940B3" w:rsidRDefault="00132B2D" w:rsidP="00866838">
            <w:pPr>
              <w:rPr>
                <w:sz w:val="24"/>
                <w:szCs w:val="24"/>
              </w:rPr>
            </w:pPr>
            <w:r w:rsidRPr="002940B3">
              <w:rPr>
                <w:sz w:val="24"/>
                <w:szCs w:val="24"/>
              </w:rPr>
              <w:t>742 MW CCGT</w:t>
            </w:r>
          </w:p>
        </w:tc>
        <w:tc>
          <w:tcPr>
            <w:tcW w:w="2106" w:type="dxa"/>
          </w:tcPr>
          <w:p w:rsidR="00132B2D" w:rsidRPr="002940B3" w:rsidRDefault="00132B2D" w:rsidP="00866838">
            <w:pPr>
              <w:rPr>
                <w:sz w:val="24"/>
                <w:szCs w:val="24"/>
              </w:rPr>
            </w:pPr>
            <w:r w:rsidRPr="002940B3">
              <w:rPr>
                <w:sz w:val="24"/>
                <w:szCs w:val="24"/>
              </w:rPr>
              <w:t>Site preparation underway, construction commenced</w:t>
            </w:r>
          </w:p>
        </w:tc>
      </w:tr>
      <w:tr w:rsidR="00132B2D" w:rsidTr="00866838">
        <w:trPr>
          <w:jc w:val="center"/>
        </w:trPr>
        <w:tc>
          <w:tcPr>
            <w:tcW w:w="2988" w:type="dxa"/>
          </w:tcPr>
          <w:p w:rsidR="00132B2D" w:rsidRPr="002940B3" w:rsidRDefault="00132B2D" w:rsidP="00866838">
            <w:pPr>
              <w:rPr>
                <w:sz w:val="24"/>
                <w:szCs w:val="24"/>
              </w:rPr>
            </w:pPr>
            <w:r w:rsidRPr="002940B3">
              <w:rPr>
                <w:sz w:val="24"/>
                <w:szCs w:val="24"/>
              </w:rPr>
              <w:t>Rolling Hills Gen Station</w:t>
            </w:r>
          </w:p>
        </w:tc>
        <w:tc>
          <w:tcPr>
            <w:tcW w:w="1890" w:type="dxa"/>
          </w:tcPr>
          <w:p w:rsidR="00132B2D" w:rsidRPr="002940B3" w:rsidRDefault="00132B2D" w:rsidP="00866838">
            <w:pPr>
              <w:rPr>
                <w:sz w:val="24"/>
                <w:szCs w:val="24"/>
              </w:rPr>
            </w:pPr>
            <w:r w:rsidRPr="002940B3">
              <w:rPr>
                <w:sz w:val="24"/>
                <w:szCs w:val="24"/>
              </w:rPr>
              <w:t>12-1669-EL-BGA</w:t>
            </w:r>
          </w:p>
        </w:tc>
        <w:tc>
          <w:tcPr>
            <w:tcW w:w="2088" w:type="dxa"/>
          </w:tcPr>
          <w:p w:rsidR="00132B2D" w:rsidRPr="002940B3" w:rsidRDefault="00132B2D" w:rsidP="00866838">
            <w:pPr>
              <w:rPr>
                <w:sz w:val="24"/>
                <w:szCs w:val="24"/>
              </w:rPr>
            </w:pPr>
            <w:r w:rsidRPr="002940B3">
              <w:rPr>
                <w:sz w:val="24"/>
                <w:szCs w:val="24"/>
              </w:rPr>
              <w:t>554 MW CCGT upgrade</w:t>
            </w:r>
          </w:p>
        </w:tc>
        <w:tc>
          <w:tcPr>
            <w:tcW w:w="2106" w:type="dxa"/>
          </w:tcPr>
          <w:p w:rsidR="00132B2D" w:rsidRPr="002940B3" w:rsidRDefault="00132B2D" w:rsidP="00866838">
            <w:pPr>
              <w:rPr>
                <w:sz w:val="24"/>
                <w:szCs w:val="24"/>
              </w:rPr>
            </w:pPr>
            <w:r w:rsidRPr="002940B3">
              <w:rPr>
                <w:sz w:val="24"/>
                <w:szCs w:val="24"/>
              </w:rPr>
              <w:t>Approved May 2013; OEPA Air &amp; Water permits approved spring 2015</w:t>
            </w:r>
          </w:p>
        </w:tc>
      </w:tr>
      <w:tr w:rsidR="00132B2D" w:rsidTr="00866838">
        <w:trPr>
          <w:jc w:val="center"/>
        </w:trPr>
        <w:tc>
          <w:tcPr>
            <w:tcW w:w="2988" w:type="dxa"/>
          </w:tcPr>
          <w:p w:rsidR="00132B2D" w:rsidRPr="002940B3" w:rsidRDefault="00132B2D" w:rsidP="00866838">
            <w:pPr>
              <w:rPr>
                <w:sz w:val="24"/>
                <w:szCs w:val="24"/>
              </w:rPr>
            </w:pPr>
            <w:r w:rsidRPr="002940B3">
              <w:rPr>
                <w:sz w:val="24"/>
                <w:szCs w:val="24"/>
              </w:rPr>
              <w:t>Middletown Energy Center</w:t>
            </w:r>
          </w:p>
        </w:tc>
        <w:tc>
          <w:tcPr>
            <w:tcW w:w="1890" w:type="dxa"/>
          </w:tcPr>
          <w:p w:rsidR="00132B2D" w:rsidRPr="002940B3" w:rsidRDefault="00132B2D" w:rsidP="00866838">
            <w:pPr>
              <w:rPr>
                <w:sz w:val="24"/>
                <w:szCs w:val="24"/>
              </w:rPr>
            </w:pPr>
            <w:r w:rsidRPr="002940B3">
              <w:rPr>
                <w:sz w:val="24"/>
                <w:szCs w:val="24"/>
              </w:rPr>
              <w:t>14-0534-EL-BGA</w:t>
            </w:r>
          </w:p>
        </w:tc>
        <w:tc>
          <w:tcPr>
            <w:tcW w:w="2088" w:type="dxa"/>
          </w:tcPr>
          <w:p w:rsidR="00132B2D" w:rsidRPr="002940B3" w:rsidRDefault="00132B2D" w:rsidP="00866838">
            <w:pPr>
              <w:rPr>
                <w:sz w:val="24"/>
                <w:szCs w:val="24"/>
              </w:rPr>
            </w:pPr>
            <w:r w:rsidRPr="002940B3">
              <w:rPr>
                <w:sz w:val="24"/>
                <w:szCs w:val="24"/>
              </w:rPr>
              <w:t>510-525 MW CCGT</w:t>
            </w:r>
          </w:p>
        </w:tc>
        <w:tc>
          <w:tcPr>
            <w:tcW w:w="2106" w:type="dxa"/>
          </w:tcPr>
          <w:p w:rsidR="00132B2D" w:rsidRPr="002940B3" w:rsidRDefault="00132B2D" w:rsidP="00866838">
            <w:pPr>
              <w:rPr>
                <w:sz w:val="24"/>
                <w:szCs w:val="24"/>
              </w:rPr>
            </w:pPr>
            <w:r w:rsidRPr="002940B3">
              <w:rPr>
                <w:sz w:val="24"/>
                <w:szCs w:val="24"/>
              </w:rPr>
              <w:t>Conditions to construct satisfied effective 6/22/2015</w:t>
            </w:r>
            <w:r>
              <w:rPr>
                <w:sz w:val="24"/>
                <w:szCs w:val="24"/>
              </w:rPr>
              <w:t>; construction commenced 9/11/2015</w:t>
            </w:r>
          </w:p>
        </w:tc>
      </w:tr>
      <w:tr w:rsidR="00132B2D" w:rsidTr="00866838">
        <w:trPr>
          <w:jc w:val="center"/>
        </w:trPr>
        <w:tc>
          <w:tcPr>
            <w:tcW w:w="2988" w:type="dxa"/>
          </w:tcPr>
          <w:p w:rsidR="00132B2D" w:rsidRPr="002940B3" w:rsidRDefault="00132B2D" w:rsidP="00866838">
            <w:pPr>
              <w:rPr>
                <w:sz w:val="24"/>
                <w:szCs w:val="24"/>
              </w:rPr>
            </w:pPr>
            <w:r w:rsidRPr="002940B3">
              <w:rPr>
                <w:sz w:val="24"/>
                <w:szCs w:val="24"/>
              </w:rPr>
              <w:t>Lordstown – Clean Energy</w:t>
            </w:r>
          </w:p>
        </w:tc>
        <w:tc>
          <w:tcPr>
            <w:tcW w:w="1890" w:type="dxa"/>
          </w:tcPr>
          <w:p w:rsidR="00132B2D" w:rsidRPr="002940B3" w:rsidRDefault="00132B2D" w:rsidP="00866838">
            <w:pPr>
              <w:rPr>
                <w:sz w:val="24"/>
                <w:szCs w:val="24"/>
              </w:rPr>
            </w:pPr>
            <w:r w:rsidRPr="002940B3">
              <w:rPr>
                <w:sz w:val="24"/>
                <w:szCs w:val="24"/>
              </w:rPr>
              <w:t>14-2322-EL-BGA</w:t>
            </w:r>
          </w:p>
        </w:tc>
        <w:tc>
          <w:tcPr>
            <w:tcW w:w="2088" w:type="dxa"/>
          </w:tcPr>
          <w:p w:rsidR="00132B2D" w:rsidRPr="002940B3" w:rsidRDefault="00132B2D" w:rsidP="00866838">
            <w:pPr>
              <w:rPr>
                <w:sz w:val="24"/>
                <w:szCs w:val="24"/>
              </w:rPr>
            </w:pPr>
            <w:r w:rsidRPr="002940B3">
              <w:rPr>
                <w:sz w:val="24"/>
                <w:szCs w:val="24"/>
              </w:rPr>
              <w:t>800 MW CCGT</w:t>
            </w:r>
          </w:p>
        </w:tc>
        <w:tc>
          <w:tcPr>
            <w:tcW w:w="2106" w:type="dxa"/>
          </w:tcPr>
          <w:p w:rsidR="00132B2D" w:rsidRPr="002940B3" w:rsidRDefault="00132B2D" w:rsidP="00866838">
            <w:pPr>
              <w:rPr>
                <w:sz w:val="24"/>
                <w:szCs w:val="24"/>
              </w:rPr>
            </w:pPr>
            <w:r w:rsidRPr="002940B3">
              <w:rPr>
                <w:sz w:val="24"/>
                <w:szCs w:val="24"/>
              </w:rPr>
              <w:t>In application process, not yet approved</w:t>
            </w:r>
          </w:p>
        </w:tc>
      </w:tr>
      <w:tr w:rsidR="00132B2D" w:rsidTr="00866838">
        <w:trPr>
          <w:jc w:val="center"/>
        </w:trPr>
        <w:tc>
          <w:tcPr>
            <w:tcW w:w="2988" w:type="dxa"/>
          </w:tcPr>
          <w:p w:rsidR="00132B2D" w:rsidRPr="002940B3" w:rsidRDefault="00132B2D" w:rsidP="00866838">
            <w:pPr>
              <w:rPr>
                <w:sz w:val="24"/>
                <w:szCs w:val="24"/>
              </w:rPr>
            </w:pPr>
          </w:p>
        </w:tc>
        <w:tc>
          <w:tcPr>
            <w:tcW w:w="1890" w:type="dxa"/>
          </w:tcPr>
          <w:p w:rsidR="00132B2D" w:rsidRPr="002940B3" w:rsidRDefault="00132B2D" w:rsidP="00866838">
            <w:pPr>
              <w:rPr>
                <w:sz w:val="24"/>
                <w:szCs w:val="24"/>
              </w:rPr>
            </w:pPr>
            <w:r>
              <w:rPr>
                <w:sz w:val="24"/>
                <w:szCs w:val="24"/>
              </w:rPr>
              <w:t>Total</w:t>
            </w:r>
          </w:p>
        </w:tc>
        <w:tc>
          <w:tcPr>
            <w:tcW w:w="2088" w:type="dxa"/>
          </w:tcPr>
          <w:p w:rsidR="00132B2D" w:rsidRPr="002940B3" w:rsidRDefault="00132B2D" w:rsidP="00866838">
            <w:pPr>
              <w:rPr>
                <w:sz w:val="24"/>
                <w:szCs w:val="24"/>
              </w:rPr>
            </w:pPr>
            <w:r>
              <w:rPr>
                <w:sz w:val="24"/>
                <w:szCs w:val="24"/>
              </w:rPr>
              <w:t>Approx. 3,400 MW</w:t>
            </w:r>
          </w:p>
        </w:tc>
        <w:tc>
          <w:tcPr>
            <w:tcW w:w="2106" w:type="dxa"/>
          </w:tcPr>
          <w:p w:rsidR="00132B2D" w:rsidRPr="002940B3" w:rsidRDefault="00132B2D" w:rsidP="00866838">
            <w:pPr>
              <w:rPr>
                <w:sz w:val="24"/>
                <w:szCs w:val="24"/>
              </w:rPr>
            </w:pPr>
          </w:p>
        </w:tc>
      </w:tr>
    </w:tbl>
    <w:p w:rsidR="00132B2D" w:rsidRDefault="00132B2D" w:rsidP="00132B2D">
      <w:pPr>
        <w:spacing w:line="480" w:lineRule="auto"/>
        <w:rPr>
          <w:sz w:val="24"/>
        </w:rPr>
      </w:pPr>
    </w:p>
    <w:p w:rsidR="00132B2D" w:rsidRDefault="00132B2D" w:rsidP="00132B2D">
      <w:pPr>
        <w:spacing w:line="480" w:lineRule="auto"/>
        <w:rPr>
          <w:sz w:val="24"/>
        </w:rPr>
      </w:pPr>
      <w:r w:rsidRPr="00AB6DA6">
        <w:rPr>
          <w:sz w:val="24"/>
        </w:rPr>
        <w:t xml:space="preserve">Q. </w:t>
      </w:r>
      <w:r>
        <w:rPr>
          <w:sz w:val="24"/>
        </w:rPr>
        <w:t>WHAT IS AEP’S STATED VIEW OF NEW GENERATION IN OHIO?</w:t>
      </w:r>
    </w:p>
    <w:p w:rsidR="00132B2D" w:rsidRDefault="00132B2D" w:rsidP="00132B2D">
      <w:pPr>
        <w:spacing w:line="480" w:lineRule="auto"/>
        <w:rPr>
          <w:sz w:val="24"/>
        </w:rPr>
      </w:pPr>
      <w:r>
        <w:rPr>
          <w:sz w:val="24"/>
        </w:rPr>
        <w:t xml:space="preserve">A: </w:t>
      </w:r>
      <w:r>
        <w:rPr>
          <w:sz w:val="24"/>
        </w:rPr>
        <w:tab/>
      </w:r>
      <w:r w:rsidRPr="00AB6DA6">
        <w:rPr>
          <w:sz w:val="24"/>
        </w:rPr>
        <w:t>AEP Witness Vegas states that the PJM capacity market structure does not support the continued long</w:t>
      </w:r>
      <w:r>
        <w:rPr>
          <w:sz w:val="24"/>
        </w:rPr>
        <w:t>-</w:t>
      </w:r>
      <w:r w:rsidRPr="00AB6DA6">
        <w:rPr>
          <w:sz w:val="24"/>
        </w:rPr>
        <w:t>term investment in existing units and has spurred very few plans for significant generation in Ohio.</w:t>
      </w:r>
      <w:r>
        <w:rPr>
          <w:sz w:val="24"/>
        </w:rPr>
        <w:t xml:space="preserve"> Yet, new projects are in various stages of development across Ohio, such as those shown in Table 3.</w:t>
      </w:r>
    </w:p>
    <w:p w:rsidR="00132B2D" w:rsidRDefault="00132B2D" w:rsidP="00132B2D">
      <w:pPr>
        <w:spacing w:line="480" w:lineRule="auto"/>
        <w:ind w:firstLine="720"/>
        <w:rPr>
          <w:sz w:val="24"/>
        </w:rPr>
      </w:pPr>
      <w:r w:rsidRPr="00AB6DA6">
        <w:rPr>
          <w:sz w:val="24"/>
        </w:rPr>
        <w:t xml:space="preserve">AEP witness </w:t>
      </w:r>
      <w:r>
        <w:rPr>
          <w:sz w:val="24"/>
        </w:rPr>
        <w:t>Wittine</w:t>
      </w:r>
      <w:r w:rsidRPr="00AB6DA6">
        <w:rPr>
          <w:sz w:val="24"/>
        </w:rPr>
        <w:t xml:space="preserve"> </w:t>
      </w:r>
      <w:r>
        <w:rPr>
          <w:sz w:val="24"/>
        </w:rPr>
        <w:t>correctly describes construction activity at the Oregon and Carroll County sites, with an in-service date of 2017,</w:t>
      </w:r>
      <w:r>
        <w:rPr>
          <w:rStyle w:val="FootnoteReference"/>
          <w:sz w:val="24"/>
        </w:rPr>
        <w:footnoteReference w:id="41"/>
      </w:r>
      <w:r>
        <w:rPr>
          <w:sz w:val="24"/>
        </w:rPr>
        <w:t xml:space="preserve"> only approximately 1.5 years from now.  </w:t>
      </w:r>
      <w:r>
        <w:rPr>
          <w:sz w:val="24"/>
        </w:rPr>
        <w:lastRenderedPageBreak/>
        <w:t>However, according to the Ohio Power Siting Board, certain construction activities at Middletown have commenced.</w:t>
      </w:r>
    </w:p>
    <w:p w:rsidR="00132B2D" w:rsidRDefault="00132B2D" w:rsidP="00132B2D">
      <w:pPr>
        <w:spacing w:line="480" w:lineRule="auto"/>
        <w:rPr>
          <w:sz w:val="24"/>
        </w:rPr>
      </w:pPr>
      <w:r w:rsidRPr="00AB6DA6">
        <w:rPr>
          <w:sz w:val="24"/>
        </w:rPr>
        <w:t xml:space="preserve">Q. </w:t>
      </w:r>
      <w:r>
        <w:rPr>
          <w:sz w:val="24"/>
        </w:rPr>
        <w:t>WHAT IS THE OUTLOOK FOR ADDITIONAL NEW GENERATION IN OHIO?</w:t>
      </w:r>
    </w:p>
    <w:p w:rsidR="00132B2D" w:rsidRDefault="00132B2D" w:rsidP="00132B2D">
      <w:pPr>
        <w:spacing w:line="480" w:lineRule="auto"/>
        <w:rPr>
          <w:sz w:val="24"/>
        </w:rPr>
      </w:pPr>
      <w:r>
        <w:rPr>
          <w:sz w:val="24"/>
        </w:rPr>
        <w:t xml:space="preserve">A: </w:t>
      </w:r>
      <w:r>
        <w:rPr>
          <w:sz w:val="24"/>
        </w:rPr>
        <w:tab/>
        <w:t>Dynegy is currently investing in its coal-fired plants to make them more reliable during extreme-weather conditions, and is undertaking several uprate projects at its natural gas-fired plants.  With Ohio’s proximity to the Marcellus and Utica shale gas formations, it is reasonable to predict that there will be significant additional generation built in Ohio.</w:t>
      </w:r>
    </w:p>
    <w:p w:rsidR="00132B2D" w:rsidRPr="005D4526" w:rsidRDefault="00132B2D" w:rsidP="00132B2D">
      <w:pPr>
        <w:spacing w:line="480" w:lineRule="auto"/>
        <w:ind w:firstLine="720"/>
        <w:rPr>
          <w:sz w:val="24"/>
        </w:rPr>
      </w:pPr>
      <w:r>
        <w:rPr>
          <w:sz w:val="24"/>
        </w:rPr>
        <w:t xml:space="preserve">In short, the </w:t>
      </w:r>
      <w:r w:rsidRPr="00A936D6">
        <w:rPr>
          <w:sz w:val="24"/>
        </w:rPr>
        <w:t xml:space="preserve">PPAs will </w:t>
      </w:r>
      <w:r>
        <w:rPr>
          <w:sz w:val="24"/>
        </w:rPr>
        <w:t>give undue preference to</w:t>
      </w:r>
      <w:r w:rsidRPr="00A936D6">
        <w:rPr>
          <w:sz w:val="24"/>
        </w:rPr>
        <w:t xml:space="preserve"> existing utility generation</w:t>
      </w:r>
      <w:r>
        <w:rPr>
          <w:sz w:val="24"/>
        </w:rPr>
        <w:t>,</w:t>
      </w:r>
      <w:r w:rsidRPr="00A936D6">
        <w:rPr>
          <w:sz w:val="24"/>
        </w:rPr>
        <w:t xml:space="preserve"> hindering the </w:t>
      </w:r>
      <w:r>
        <w:rPr>
          <w:sz w:val="24"/>
        </w:rPr>
        <w:t>development of</w:t>
      </w:r>
      <w:r w:rsidRPr="00A936D6">
        <w:rPr>
          <w:sz w:val="24"/>
        </w:rPr>
        <w:t xml:space="preserve"> new gas generation and possibly making compliance with</w:t>
      </w:r>
      <w:r>
        <w:rPr>
          <w:sz w:val="24"/>
        </w:rPr>
        <w:t xml:space="preserve"> Section</w:t>
      </w:r>
      <w:r w:rsidRPr="00A936D6">
        <w:rPr>
          <w:sz w:val="24"/>
        </w:rPr>
        <w:t xml:space="preserve"> 111(d)</w:t>
      </w:r>
      <w:r>
        <w:rPr>
          <w:sz w:val="24"/>
        </w:rPr>
        <w:t xml:space="preserve"> of the Clean Air Act</w:t>
      </w:r>
      <w:r>
        <w:rPr>
          <w:rStyle w:val="FootnoteReference"/>
          <w:sz w:val="24"/>
        </w:rPr>
        <w:footnoteReference w:id="42"/>
      </w:r>
      <w:r>
        <w:rPr>
          <w:sz w:val="24"/>
        </w:rPr>
        <w:t xml:space="preserve"> </w:t>
      </w:r>
      <w:r w:rsidRPr="00A936D6">
        <w:rPr>
          <w:sz w:val="24"/>
        </w:rPr>
        <w:t>more costly</w:t>
      </w:r>
      <w:r>
        <w:rPr>
          <w:sz w:val="24"/>
        </w:rPr>
        <w:t xml:space="preserve"> for ratepayers</w:t>
      </w:r>
      <w:r w:rsidRPr="00A936D6">
        <w:rPr>
          <w:sz w:val="24"/>
        </w:rPr>
        <w:t xml:space="preserve">.  Said differently, </w:t>
      </w:r>
      <w:r>
        <w:rPr>
          <w:sz w:val="24"/>
        </w:rPr>
        <w:t>t</w:t>
      </w:r>
      <w:r w:rsidRPr="00AB6DA6">
        <w:rPr>
          <w:sz w:val="24"/>
        </w:rPr>
        <w:t>he PPAs are a self-fulfill</w:t>
      </w:r>
      <w:r>
        <w:rPr>
          <w:sz w:val="24"/>
        </w:rPr>
        <w:t>ing</w:t>
      </w:r>
      <w:r w:rsidRPr="00AB6DA6">
        <w:rPr>
          <w:sz w:val="24"/>
        </w:rPr>
        <w:t xml:space="preserve"> prophecy –</w:t>
      </w:r>
      <w:r>
        <w:rPr>
          <w:sz w:val="24"/>
        </w:rPr>
        <w:t xml:space="preserve"> </w:t>
      </w:r>
      <w:r w:rsidRPr="00AB6DA6">
        <w:rPr>
          <w:sz w:val="24"/>
        </w:rPr>
        <w:t xml:space="preserve">if granted they will </w:t>
      </w:r>
      <w:r>
        <w:rPr>
          <w:sz w:val="24"/>
        </w:rPr>
        <w:t>be a disincentive to</w:t>
      </w:r>
      <w:r w:rsidRPr="00AB6DA6">
        <w:rPr>
          <w:sz w:val="24"/>
        </w:rPr>
        <w:t xml:space="preserve"> new generation projects and no new generation will be built.</w:t>
      </w:r>
      <w:r>
        <w:rPr>
          <w:sz w:val="24"/>
        </w:rPr>
        <w:t xml:space="preserve">  </w:t>
      </w:r>
    </w:p>
    <w:p w:rsidR="00132B2D" w:rsidRDefault="00132B2D" w:rsidP="00132B2D">
      <w:pPr>
        <w:spacing w:line="480" w:lineRule="auto"/>
        <w:rPr>
          <w:b/>
          <w:sz w:val="24"/>
        </w:rPr>
      </w:pPr>
    </w:p>
    <w:p w:rsidR="00132B2D" w:rsidRPr="00AB6DA6" w:rsidRDefault="00132B2D" w:rsidP="00132B2D">
      <w:pPr>
        <w:spacing w:line="480" w:lineRule="auto"/>
        <w:rPr>
          <w:b/>
          <w:sz w:val="24"/>
        </w:rPr>
      </w:pPr>
      <w:r w:rsidRPr="00AB6DA6">
        <w:rPr>
          <w:b/>
          <w:sz w:val="24"/>
        </w:rPr>
        <w:t xml:space="preserve">IMPACT </w:t>
      </w:r>
      <w:r>
        <w:rPr>
          <w:b/>
          <w:sz w:val="24"/>
        </w:rPr>
        <w:t xml:space="preserve">OF THE PPA RIDERS </w:t>
      </w:r>
      <w:r w:rsidRPr="00AB6DA6">
        <w:rPr>
          <w:b/>
          <w:sz w:val="24"/>
        </w:rPr>
        <w:t>ON COMPETITION</w:t>
      </w:r>
    </w:p>
    <w:p w:rsidR="00132B2D" w:rsidRPr="00AB6DA6" w:rsidRDefault="00132B2D" w:rsidP="00132B2D">
      <w:pPr>
        <w:spacing w:line="480" w:lineRule="auto"/>
        <w:rPr>
          <w:sz w:val="24"/>
        </w:rPr>
      </w:pPr>
      <w:r w:rsidRPr="00AB6DA6">
        <w:rPr>
          <w:sz w:val="24"/>
        </w:rPr>
        <w:t>Q. CAN YOU BRIEFLY DESCRIBE THE EFFECTS OF THE PPAs ON COMPETITION AND THE MARKETS?</w:t>
      </w:r>
    </w:p>
    <w:p w:rsidR="00132B2D" w:rsidRPr="00AB6DA6" w:rsidRDefault="00132B2D" w:rsidP="00132B2D">
      <w:pPr>
        <w:spacing w:line="480" w:lineRule="auto"/>
        <w:rPr>
          <w:sz w:val="24"/>
        </w:rPr>
      </w:pPr>
      <w:r w:rsidRPr="00AB6DA6">
        <w:rPr>
          <w:sz w:val="24"/>
        </w:rPr>
        <w:t xml:space="preserve">A. </w:t>
      </w:r>
      <w:r>
        <w:rPr>
          <w:sz w:val="24"/>
        </w:rPr>
        <w:tab/>
        <w:t>G</w:t>
      </w:r>
      <w:r w:rsidRPr="00AB6DA6">
        <w:rPr>
          <w:sz w:val="24"/>
        </w:rPr>
        <w:t>eneration owners in Ohio</w:t>
      </w:r>
      <w:r>
        <w:rPr>
          <w:sz w:val="24"/>
        </w:rPr>
        <w:t xml:space="preserve">, including </w:t>
      </w:r>
      <w:r w:rsidRPr="00AB6DA6">
        <w:rPr>
          <w:sz w:val="24"/>
        </w:rPr>
        <w:t>First Energy, DP&amp;L, AEP and Dynegy</w:t>
      </w:r>
      <w:r>
        <w:rPr>
          <w:sz w:val="24"/>
        </w:rPr>
        <w:t xml:space="preserve">, </w:t>
      </w:r>
      <w:r w:rsidRPr="00AB6DA6">
        <w:rPr>
          <w:sz w:val="24"/>
        </w:rPr>
        <w:t>compete to offer their capacity and energy into the</w:t>
      </w:r>
      <w:r>
        <w:rPr>
          <w:sz w:val="24"/>
        </w:rPr>
        <w:t xml:space="preserve"> wholesale capacity and energy</w:t>
      </w:r>
      <w:r w:rsidRPr="00AB6DA6">
        <w:rPr>
          <w:sz w:val="24"/>
        </w:rPr>
        <w:t xml:space="preserve"> markets at the lowest possible cost.</w:t>
      </w:r>
    </w:p>
    <w:p w:rsidR="00132B2D" w:rsidRPr="00AB6DA6" w:rsidRDefault="00132B2D" w:rsidP="00132B2D">
      <w:pPr>
        <w:spacing w:line="480" w:lineRule="auto"/>
        <w:ind w:firstLine="720"/>
        <w:rPr>
          <w:sz w:val="24"/>
        </w:rPr>
      </w:pPr>
      <w:r>
        <w:rPr>
          <w:sz w:val="24"/>
        </w:rPr>
        <w:t>The PPA riders will have</w:t>
      </w:r>
      <w:r w:rsidRPr="00AB6DA6">
        <w:rPr>
          <w:sz w:val="24"/>
        </w:rPr>
        <w:t xml:space="preserve"> direct and indirect harmful impacts on competition</w:t>
      </w:r>
      <w:r>
        <w:rPr>
          <w:sz w:val="24"/>
        </w:rPr>
        <w:t xml:space="preserve"> in Ohio</w:t>
      </w:r>
      <w:r w:rsidRPr="00AB6DA6">
        <w:rPr>
          <w:sz w:val="24"/>
        </w:rPr>
        <w:t xml:space="preserve">.  </w:t>
      </w:r>
      <w:r>
        <w:rPr>
          <w:sz w:val="24"/>
        </w:rPr>
        <w:t>First, and most importantly, should</w:t>
      </w:r>
      <w:r w:rsidRPr="00AB6DA6">
        <w:rPr>
          <w:sz w:val="24"/>
        </w:rPr>
        <w:t xml:space="preserve"> any </w:t>
      </w:r>
      <w:r>
        <w:rPr>
          <w:sz w:val="24"/>
        </w:rPr>
        <w:t>generation owner</w:t>
      </w:r>
      <w:r w:rsidRPr="00AB6DA6">
        <w:rPr>
          <w:sz w:val="24"/>
        </w:rPr>
        <w:t xml:space="preserve"> receive a subsidy</w:t>
      </w:r>
      <w:r>
        <w:rPr>
          <w:sz w:val="24"/>
        </w:rPr>
        <w:t xml:space="preserve"> like </w:t>
      </w:r>
      <w:r w:rsidRPr="00AB6DA6">
        <w:rPr>
          <w:sz w:val="24"/>
        </w:rPr>
        <w:t xml:space="preserve">the </w:t>
      </w:r>
      <w:r>
        <w:rPr>
          <w:sz w:val="24"/>
        </w:rPr>
        <w:t>out-of-</w:t>
      </w:r>
      <w:r>
        <w:rPr>
          <w:sz w:val="24"/>
        </w:rPr>
        <w:lastRenderedPageBreak/>
        <w:t xml:space="preserve">market PPAs under consideration in this proceeding, </w:t>
      </w:r>
      <w:r w:rsidRPr="00AB6DA6">
        <w:rPr>
          <w:sz w:val="24"/>
        </w:rPr>
        <w:t xml:space="preserve"> that owner would become agnostic to the markets given that their revenue is not only coming from outside the </w:t>
      </w:r>
      <w:r>
        <w:rPr>
          <w:sz w:val="24"/>
        </w:rPr>
        <w:t xml:space="preserve">competitive </w:t>
      </w:r>
      <w:r w:rsidRPr="00AB6DA6">
        <w:rPr>
          <w:sz w:val="24"/>
        </w:rPr>
        <w:t>ma</w:t>
      </w:r>
      <w:r>
        <w:rPr>
          <w:sz w:val="24"/>
        </w:rPr>
        <w:t>rket but it is also guaranteed</w:t>
      </w:r>
      <w:r w:rsidRPr="00AB6DA6">
        <w:rPr>
          <w:sz w:val="24"/>
        </w:rPr>
        <w:t xml:space="preserve">.  This owner </w:t>
      </w:r>
      <w:r>
        <w:rPr>
          <w:sz w:val="24"/>
        </w:rPr>
        <w:t>c</w:t>
      </w:r>
      <w:r w:rsidRPr="00AB6DA6">
        <w:rPr>
          <w:sz w:val="24"/>
        </w:rPr>
        <w:t xml:space="preserve">ould then easily engage in market behavior that would distort prices, such as offering its capacity or energy </w:t>
      </w:r>
      <w:r>
        <w:rPr>
          <w:sz w:val="24"/>
        </w:rPr>
        <w:t xml:space="preserve">in the market </w:t>
      </w:r>
      <w:r w:rsidRPr="00AB6DA6">
        <w:rPr>
          <w:sz w:val="24"/>
        </w:rPr>
        <w:t>at prices that do</w:t>
      </w:r>
      <w:r>
        <w:rPr>
          <w:sz w:val="24"/>
        </w:rPr>
        <w:t xml:space="preserve"> not</w:t>
      </w:r>
      <w:r w:rsidRPr="00AB6DA6">
        <w:rPr>
          <w:sz w:val="24"/>
        </w:rPr>
        <w:t xml:space="preserve"> reflect </w:t>
      </w:r>
      <w:r>
        <w:rPr>
          <w:sz w:val="24"/>
        </w:rPr>
        <w:t xml:space="preserve">the owner’s actual </w:t>
      </w:r>
      <w:r w:rsidRPr="00AB6DA6">
        <w:rPr>
          <w:sz w:val="24"/>
        </w:rPr>
        <w:t>cost of operations, suppressing the market clearing price for the other owners</w:t>
      </w:r>
      <w:r>
        <w:rPr>
          <w:sz w:val="24"/>
        </w:rPr>
        <w:t xml:space="preserve"> of generating units</w:t>
      </w:r>
      <w:r w:rsidRPr="00AB6DA6">
        <w:rPr>
          <w:sz w:val="24"/>
        </w:rPr>
        <w:t>.</w:t>
      </w:r>
    </w:p>
    <w:p w:rsidR="00132B2D" w:rsidRPr="00AB6DA6" w:rsidRDefault="00132B2D" w:rsidP="00132B2D">
      <w:pPr>
        <w:spacing w:line="480" w:lineRule="auto"/>
        <w:ind w:firstLine="720"/>
        <w:rPr>
          <w:sz w:val="24"/>
        </w:rPr>
      </w:pPr>
      <w:r>
        <w:rPr>
          <w:sz w:val="24"/>
        </w:rPr>
        <w:t>O</w:t>
      </w:r>
      <w:r w:rsidRPr="00AB6DA6">
        <w:rPr>
          <w:sz w:val="24"/>
        </w:rPr>
        <w:t xml:space="preserve">ne of the desired outcomes from competition in any market is that the most cost-effective and efficient </w:t>
      </w:r>
      <w:r>
        <w:rPr>
          <w:sz w:val="24"/>
        </w:rPr>
        <w:t xml:space="preserve">suppliers </w:t>
      </w:r>
      <w:r w:rsidRPr="00AB6DA6">
        <w:rPr>
          <w:sz w:val="24"/>
        </w:rPr>
        <w:t>will prevail, and the oldest</w:t>
      </w:r>
      <w:r>
        <w:rPr>
          <w:sz w:val="24"/>
        </w:rPr>
        <w:t>, least efficient</w:t>
      </w:r>
      <w:r w:rsidRPr="00AB6DA6">
        <w:rPr>
          <w:sz w:val="24"/>
        </w:rPr>
        <w:t xml:space="preserve"> and most obsolete </w:t>
      </w:r>
      <w:r>
        <w:rPr>
          <w:sz w:val="24"/>
        </w:rPr>
        <w:t xml:space="preserve">suppliers </w:t>
      </w:r>
      <w:r w:rsidRPr="00AB6DA6">
        <w:rPr>
          <w:sz w:val="24"/>
        </w:rPr>
        <w:t>will exit</w:t>
      </w:r>
      <w:r>
        <w:rPr>
          <w:sz w:val="24"/>
        </w:rPr>
        <w:t xml:space="preserve"> the market</w:t>
      </w:r>
      <w:r w:rsidRPr="00AB6DA6">
        <w:rPr>
          <w:sz w:val="24"/>
        </w:rPr>
        <w:t xml:space="preserve">.  When the oldest, most expensive and least efficient </w:t>
      </w:r>
      <w:r>
        <w:rPr>
          <w:sz w:val="24"/>
        </w:rPr>
        <w:t>suppliers</w:t>
      </w:r>
      <w:r w:rsidRPr="00AB6DA6">
        <w:rPr>
          <w:sz w:val="24"/>
        </w:rPr>
        <w:t xml:space="preserve"> are </w:t>
      </w:r>
      <w:r>
        <w:rPr>
          <w:sz w:val="24"/>
        </w:rPr>
        <w:t xml:space="preserve">artificially </w:t>
      </w:r>
      <w:r w:rsidRPr="00AB6DA6">
        <w:rPr>
          <w:sz w:val="24"/>
        </w:rPr>
        <w:t xml:space="preserve">kept in the market, </w:t>
      </w:r>
      <w:r>
        <w:rPr>
          <w:sz w:val="24"/>
        </w:rPr>
        <w:t xml:space="preserve">market signals that would </w:t>
      </w:r>
      <w:r w:rsidRPr="00AB6DA6">
        <w:rPr>
          <w:sz w:val="24"/>
        </w:rPr>
        <w:t>incentiv</w:t>
      </w:r>
      <w:r>
        <w:rPr>
          <w:sz w:val="24"/>
        </w:rPr>
        <w:t xml:space="preserve">ize the development of </w:t>
      </w:r>
      <w:r w:rsidRPr="00AB6DA6">
        <w:rPr>
          <w:sz w:val="24"/>
        </w:rPr>
        <w:t xml:space="preserve">newer, cheaper, cleaner plants </w:t>
      </w:r>
      <w:r>
        <w:rPr>
          <w:sz w:val="24"/>
        </w:rPr>
        <w:t xml:space="preserve">are suppressed. </w:t>
      </w:r>
    </w:p>
    <w:p w:rsidR="00132B2D" w:rsidRPr="00AB6DA6" w:rsidRDefault="00132B2D" w:rsidP="00132B2D">
      <w:pPr>
        <w:spacing w:line="480" w:lineRule="auto"/>
        <w:ind w:firstLine="720"/>
        <w:rPr>
          <w:sz w:val="24"/>
        </w:rPr>
      </w:pPr>
      <w:r w:rsidRPr="00AB6DA6">
        <w:rPr>
          <w:sz w:val="24"/>
        </w:rPr>
        <w:t xml:space="preserve">Ironically, AEP witness Vegas </w:t>
      </w:r>
      <w:r>
        <w:rPr>
          <w:sz w:val="24"/>
        </w:rPr>
        <w:t xml:space="preserve">notes that </w:t>
      </w:r>
      <w:r w:rsidRPr="00AB6DA6">
        <w:rPr>
          <w:sz w:val="24"/>
        </w:rPr>
        <w:t>“artificially depressed market prices could force Ohio’s generators to close their doors prematurely due to improper price signals.”</w:t>
      </w:r>
      <w:r>
        <w:rPr>
          <w:rStyle w:val="FootnoteReference"/>
          <w:sz w:val="24"/>
        </w:rPr>
        <w:footnoteReference w:id="43"/>
      </w:r>
      <w:r w:rsidRPr="00AB6DA6">
        <w:rPr>
          <w:sz w:val="24"/>
        </w:rPr>
        <w:t xml:space="preserve">  Dynegy completely agrees with </w:t>
      </w:r>
      <w:r>
        <w:rPr>
          <w:sz w:val="24"/>
        </w:rPr>
        <w:t>w</w:t>
      </w:r>
      <w:r w:rsidRPr="00AB6DA6">
        <w:rPr>
          <w:sz w:val="24"/>
        </w:rPr>
        <w:t xml:space="preserve">itness Vegas – that is, artificially depressed prices will force premature retirements.  However, </w:t>
      </w:r>
      <w:r>
        <w:rPr>
          <w:sz w:val="24"/>
        </w:rPr>
        <w:t>approv</w:t>
      </w:r>
      <w:r w:rsidRPr="00AB6DA6">
        <w:rPr>
          <w:sz w:val="24"/>
        </w:rPr>
        <w:t>ing the PPAs to AEP will preserve some of the oldest</w:t>
      </w:r>
      <w:r>
        <w:rPr>
          <w:sz w:val="24"/>
        </w:rPr>
        <w:t xml:space="preserve"> and</w:t>
      </w:r>
      <w:r w:rsidRPr="00AB6DA6">
        <w:rPr>
          <w:sz w:val="24"/>
        </w:rPr>
        <w:t xml:space="preserve"> least efficient </w:t>
      </w:r>
      <w:r>
        <w:rPr>
          <w:sz w:val="24"/>
        </w:rPr>
        <w:t>units, suppress</w:t>
      </w:r>
      <w:r w:rsidRPr="00AB6DA6">
        <w:rPr>
          <w:sz w:val="24"/>
        </w:rPr>
        <w:t xml:space="preserve"> prices and </w:t>
      </w:r>
      <w:r>
        <w:rPr>
          <w:sz w:val="24"/>
        </w:rPr>
        <w:t>put</w:t>
      </w:r>
      <w:r w:rsidRPr="00AB6DA6">
        <w:rPr>
          <w:sz w:val="24"/>
        </w:rPr>
        <w:t xml:space="preserve"> more efficient generators </w:t>
      </w:r>
      <w:r>
        <w:rPr>
          <w:sz w:val="24"/>
        </w:rPr>
        <w:t>at risk of shutting down</w:t>
      </w:r>
      <w:r w:rsidRPr="00AB6DA6">
        <w:rPr>
          <w:sz w:val="24"/>
        </w:rPr>
        <w:t xml:space="preserve">.  </w:t>
      </w:r>
      <w:r>
        <w:rPr>
          <w:sz w:val="24"/>
        </w:rPr>
        <w:t xml:space="preserve">AEP’s PPA proposal effectively prioritizes </w:t>
      </w:r>
      <w:r w:rsidRPr="00AB6DA6">
        <w:rPr>
          <w:sz w:val="24"/>
        </w:rPr>
        <w:t xml:space="preserve">AEP’s plants, jobs and communities </w:t>
      </w:r>
      <w:r>
        <w:rPr>
          <w:sz w:val="24"/>
        </w:rPr>
        <w:t>over those of</w:t>
      </w:r>
      <w:r w:rsidRPr="00AB6DA6">
        <w:rPr>
          <w:sz w:val="24"/>
        </w:rPr>
        <w:t xml:space="preserve"> other </w:t>
      </w:r>
      <w:r>
        <w:rPr>
          <w:sz w:val="24"/>
        </w:rPr>
        <w:t>suppliers</w:t>
      </w:r>
      <w:r w:rsidRPr="00AB6DA6">
        <w:rPr>
          <w:sz w:val="24"/>
        </w:rPr>
        <w:t>.</w:t>
      </w:r>
    </w:p>
    <w:p w:rsidR="00132B2D" w:rsidRDefault="00132B2D" w:rsidP="00132B2D">
      <w:pPr>
        <w:spacing w:line="480" w:lineRule="auto"/>
        <w:ind w:firstLine="720"/>
        <w:rPr>
          <w:sz w:val="24"/>
        </w:rPr>
      </w:pPr>
      <w:r w:rsidRPr="00AB6DA6">
        <w:rPr>
          <w:sz w:val="24"/>
        </w:rPr>
        <w:t>AEP witness Vegas states that the PPA units are now on the economic bubble where low short</w:t>
      </w:r>
      <w:r>
        <w:rPr>
          <w:sz w:val="24"/>
        </w:rPr>
        <w:t>-</w:t>
      </w:r>
      <w:r w:rsidRPr="00AB6DA6">
        <w:rPr>
          <w:sz w:val="24"/>
        </w:rPr>
        <w:t>term capacity and energy prices have increased the risk of premature retirement.</w:t>
      </w:r>
      <w:r>
        <w:rPr>
          <w:rStyle w:val="FootnoteReference"/>
          <w:sz w:val="24"/>
        </w:rPr>
        <w:footnoteReference w:id="44"/>
      </w:r>
      <w:r>
        <w:rPr>
          <w:sz w:val="24"/>
        </w:rPr>
        <w:t xml:space="preserve"> </w:t>
      </w:r>
      <w:r w:rsidRPr="00AB6DA6">
        <w:rPr>
          <w:sz w:val="24"/>
        </w:rPr>
        <w:t xml:space="preserve"> Yet, plants that are on the bubble in a competitive market are not at risk for </w:t>
      </w:r>
      <w:r w:rsidRPr="00AB6DA6">
        <w:rPr>
          <w:i/>
          <w:sz w:val="24"/>
        </w:rPr>
        <w:t>premature</w:t>
      </w:r>
      <w:r w:rsidRPr="00AB6DA6">
        <w:rPr>
          <w:sz w:val="24"/>
        </w:rPr>
        <w:t xml:space="preserve"> retirement, </w:t>
      </w:r>
      <w:r w:rsidRPr="00AB6DA6">
        <w:rPr>
          <w:sz w:val="24"/>
        </w:rPr>
        <w:lastRenderedPageBreak/>
        <w:t xml:space="preserve">they are at risk for </w:t>
      </w:r>
      <w:r w:rsidRPr="00AB6DA6">
        <w:rPr>
          <w:i/>
          <w:sz w:val="24"/>
        </w:rPr>
        <w:t>appropriate and rationale</w:t>
      </w:r>
      <w:r w:rsidRPr="00AB6DA6">
        <w:rPr>
          <w:sz w:val="24"/>
        </w:rPr>
        <w:t xml:space="preserve"> retirement.  This is the very basic nature of competition.</w:t>
      </w:r>
    </w:p>
    <w:p w:rsidR="00132B2D" w:rsidRPr="00AB6DA6" w:rsidRDefault="00132B2D" w:rsidP="00132B2D">
      <w:pPr>
        <w:spacing w:line="480" w:lineRule="auto"/>
        <w:ind w:firstLine="720"/>
        <w:rPr>
          <w:sz w:val="24"/>
        </w:rPr>
      </w:pPr>
      <w:r>
        <w:rPr>
          <w:sz w:val="24"/>
        </w:rPr>
        <w:t xml:space="preserve">In sum, the long term effect of preserving the oldest, least efficient plants is that consumers will eventually pay more. </w:t>
      </w:r>
    </w:p>
    <w:p w:rsidR="00132B2D" w:rsidRPr="00AB6DA6" w:rsidRDefault="00132B2D" w:rsidP="00132B2D">
      <w:pPr>
        <w:spacing w:line="480" w:lineRule="auto"/>
        <w:rPr>
          <w:sz w:val="24"/>
        </w:rPr>
      </w:pPr>
      <w:r w:rsidRPr="00AB6DA6">
        <w:rPr>
          <w:sz w:val="24"/>
        </w:rPr>
        <w:t xml:space="preserve">Q. </w:t>
      </w:r>
      <w:r>
        <w:rPr>
          <w:sz w:val="24"/>
        </w:rPr>
        <w:t>WHAT IS THE EFFECT OF “NON-BYPASSABLE” RIDERS ON CUSTOMER BILLS</w:t>
      </w:r>
      <w:r w:rsidRPr="00AB6DA6">
        <w:rPr>
          <w:sz w:val="24"/>
        </w:rPr>
        <w:t>?</w:t>
      </w:r>
    </w:p>
    <w:p w:rsidR="00132B2D" w:rsidRDefault="00132B2D" w:rsidP="00132B2D">
      <w:pPr>
        <w:spacing w:line="480" w:lineRule="auto"/>
        <w:rPr>
          <w:sz w:val="24"/>
        </w:rPr>
      </w:pPr>
      <w:r>
        <w:rPr>
          <w:sz w:val="24"/>
        </w:rPr>
        <w:t>A.</w:t>
      </w:r>
      <w:r>
        <w:rPr>
          <w:sz w:val="24"/>
        </w:rPr>
        <w:tab/>
        <w:t xml:space="preserve">Non-bypassable riders take the cost of a service and embed those costs in consumers’ bills, and amount to effectively a tax or surcharge on those bills.  The outcome of these surcharges is that when they are used to subsidize inefficient and/or uneconomic generation, they can reduce the actual cost of electricity but raise the total costs to consumers.  </w:t>
      </w:r>
      <w:r w:rsidRPr="007D3C99">
        <w:rPr>
          <w:sz w:val="24"/>
        </w:rPr>
        <w:t>Fundamentally</w:t>
      </w:r>
      <w:r>
        <w:rPr>
          <w:sz w:val="24"/>
        </w:rPr>
        <w:t>,</w:t>
      </w:r>
      <w:r w:rsidRPr="007D3C99">
        <w:rPr>
          <w:sz w:val="24"/>
        </w:rPr>
        <w:t xml:space="preserve"> riders disguise the actual cost of service. </w:t>
      </w:r>
      <w:r>
        <w:rPr>
          <w:sz w:val="24"/>
        </w:rPr>
        <w:t xml:space="preserve"> </w:t>
      </w:r>
      <w:r w:rsidRPr="007D3C99">
        <w:rPr>
          <w:sz w:val="24"/>
        </w:rPr>
        <w:t xml:space="preserve">Sometimes riders are necessary (e.g. storm riders for recovery of significant, unexpected damage to the system). But the overreliance on riders to mask actual cost to customers (e.g. deferrals for fuel recovery) only delays the charge paid by customers. </w:t>
      </w:r>
      <w:r>
        <w:rPr>
          <w:sz w:val="24"/>
        </w:rPr>
        <w:t xml:space="preserve"> </w:t>
      </w:r>
      <w:r w:rsidRPr="007D3C99">
        <w:rPr>
          <w:sz w:val="24"/>
        </w:rPr>
        <w:t>A better approach would be to minimize riders and allow customers to make more fully informed decisions based on the actual costs associated with their energy consumption.</w:t>
      </w:r>
      <w:r>
        <w:rPr>
          <w:sz w:val="24"/>
        </w:rPr>
        <w:t xml:space="preserve">  </w:t>
      </w:r>
    </w:p>
    <w:p w:rsidR="00132B2D" w:rsidRPr="005D4526" w:rsidRDefault="00132B2D" w:rsidP="00132B2D">
      <w:pPr>
        <w:spacing w:line="480" w:lineRule="auto"/>
        <w:rPr>
          <w:sz w:val="24"/>
        </w:rPr>
      </w:pPr>
    </w:p>
    <w:p w:rsidR="00132B2D" w:rsidRPr="00AB6DA6" w:rsidRDefault="00132B2D" w:rsidP="00132B2D">
      <w:pPr>
        <w:spacing w:line="480" w:lineRule="auto"/>
        <w:rPr>
          <w:b/>
          <w:sz w:val="24"/>
        </w:rPr>
      </w:pPr>
      <w:r w:rsidRPr="00AB6DA6">
        <w:rPr>
          <w:b/>
          <w:sz w:val="24"/>
        </w:rPr>
        <w:t xml:space="preserve">IMPACT </w:t>
      </w:r>
      <w:r>
        <w:rPr>
          <w:b/>
          <w:sz w:val="24"/>
        </w:rPr>
        <w:t xml:space="preserve">OF THE PPA RIDERS </w:t>
      </w:r>
      <w:r w:rsidRPr="00AB6DA6">
        <w:rPr>
          <w:b/>
          <w:sz w:val="24"/>
        </w:rPr>
        <w:t>ON DYNEGY</w:t>
      </w:r>
    </w:p>
    <w:p w:rsidR="00132B2D" w:rsidRPr="00AB6DA6" w:rsidRDefault="00132B2D" w:rsidP="00132B2D">
      <w:pPr>
        <w:spacing w:line="480" w:lineRule="auto"/>
        <w:rPr>
          <w:sz w:val="24"/>
        </w:rPr>
      </w:pPr>
      <w:r w:rsidRPr="00AB6DA6">
        <w:rPr>
          <w:sz w:val="24"/>
        </w:rPr>
        <w:t>Q. HOW WOULD DYNEGY BENEFIT FROM THE RETIREMENT OF COMPETITORS</w:t>
      </w:r>
      <w:r>
        <w:rPr>
          <w:sz w:val="24"/>
        </w:rPr>
        <w:t>’</w:t>
      </w:r>
      <w:r w:rsidRPr="00AB6DA6">
        <w:rPr>
          <w:sz w:val="24"/>
        </w:rPr>
        <w:t xml:space="preserve"> PLANTS?</w:t>
      </w:r>
    </w:p>
    <w:p w:rsidR="00132B2D" w:rsidRDefault="00132B2D" w:rsidP="00132B2D">
      <w:pPr>
        <w:spacing w:line="480" w:lineRule="auto"/>
        <w:rPr>
          <w:sz w:val="24"/>
        </w:rPr>
      </w:pPr>
      <w:r w:rsidRPr="00AB6DA6">
        <w:rPr>
          <w:sz w:val="24"/>
        </w:rPr>
        <w:t xml:space="preserve">A. </w:t>
      </w:r>
      <w:r>
        <w:rPr>
          <w:sz w:val="24"/>
        </w:rPr>
        <w:tab/>
        <w:t xml:space="preserve">As described above, there are several negative impacts on wholesale competition should the PPAs be approved.  Dynegy, its plants and its communities would be harmed through the impact on the market.  As shown above, the actual reserve margin in PJM is in excess of the required reserve margin, along with several new generation projects in various </w:t>
      </w:r>
      <w:r>
        <w:rPr>
          <w:sz w:val="24"/>
        </w:rPr>
        <w:lastRenderedPageBreak/>
        <w:t xml:space="preserve">stages of development or construction; therefore, there is no need to artificially support uneconomic plants.  </w:t>
      </w:r>
    </w:p>
    <w:p w:rsidR="00132B2D" w:rsidRDefault="00132B2D" w:rsidP="00132B2D">
      <w:pPr>
        <w:spacing w:line="480" w:lineRule="auto"/>
        <w:ind w:firstLine="720"/>
        <w:rPr>
          <w:sz w:val="24"/>
        </w:rPr>
      </w:pPr>
      <w:r>
        <w:rPr>
          <w:sz w:val="24"/>
        </w:rPr>
        <w:t xml:space="preserve">Should AEP retire any of its plants – of which, as noted earlier in my testimony, AEP has only 1,400 MW under its direct decisional authority – theoretically, there could be some increase in prices in the capacity and energy markets, but at this time it is unclear what that effect might be, given the unknown operating characteristics of those plants (capacity factors, in-market availability, marginal hours, inframarginal hours, capex, opex, etc.), along with countervailing market forces such as new generation that could reduce the costs. </w:t>
      </w:r>
    </w:p>
    <w:p w:rsidR="00132B2D" w:rsidRDefault="00132B2D" w:rsidP="00132B2D">
      <w:pPr>
        <w:spacing w:line="480" w:lineRule="auto"/>
        <w:rPr>
          <w:b/>
          <w:sz w:val="24"/>
        </w:rPr>
      </w:pPr>
      <w:r w:rsidDel="000E344F">
        <w:rPr>
          <w:sz w:val="24"/>
        </w:rPr>
        <w:t xml:space="preserve"> </w:t>
      </w:r>
    </w:p>
    <w:p w:rsidR="00132B2D" w:rsidRPr="00AB6DA6" w:rsidRDefault="00132B2D" w:rsidP="00132B2D">
      <w:pPr>
        <w:spacing w:line="480" w:lineRule="auto"/>
        <w:rPr>
          <w:b/>
          <w:sz w:val="24"/>
        </w:rPr>
      </w:pPr>
      <w:r w:rsidRPr="00AB6DA6">
        <w:rPr>
          <w:b/>
          <w:sz w:val="24"/>
        </w:rPr>
        <w:t>BENEFITS OF COMPETITION</w:t>
      </w:r>
    </w:p>
    <w:p w:rsidR="00132B2D" w:rsidRDefault="00132B2D" w:rsidP="00132B2D">
      <w:pPr>
        <w:spacing w:line="480" w:lineRule="auto"/>
        <w:rPr>
          <w:sz w:val="24"/>
        </w:rPr>
      </w:pPr>
      <w:r>
        <w:rPr>
          <w:sz w:val="24"/>
        </w:rPr>
        <w:t xml:space="preserve">Q: HOW WOULD YOU CHARACTERIZE THE BENEFITS OF ELECTRIC COMPETITION? </w:t>
      </w:r>
    </w:p>
    <w:p w:rsidR="00132B2D" w:rsidRPr="00F03EAA" w:rsidRDefault="00132B2D" w:rsidP="00132B2D">
      <w:pPr>
        <w:spacing w:line="480" w:lineRule="auto"/>
        <w:rPr>
          <w:sz w:val="24"/>
          <w:szCs w:val="24"/>
        </w:rPr>
      </w:pPr>
      <w:r>
        <w:rPr>
          <w:sz w:val="24"/>
        </w:rPr>
        <w:t>A:</w:t>
      </w:r>
      <w:r>
        <w:rPr>
          <w:sz w:val="24"/>
        </w:rPr>
        <w:tab/>
        <w:t>Electric competition has provided a number of benefits to consumers and the respective states in which those consumers reside.  According to a recently-released analysis by the COMPETE coalition, All Sector electric rates have declined 1.3% over the period 1997-2014 in the restructured states, while rates have increased 9.8% in the non-restructured states.</w:t>
      </w:r>
      <w:r>
        <w:rPr>
          <w:rStyle w:val="FootnoteReference"/>
          <w:sz w:val="24"/>
        </w:rPr>
        <w:footnoteReference w:id="45"/>
      </w:r>
      <w:r>
        <w:rPr>
          <w:sz w:val="24"/>
        </w:rPr>
        <w:t xml:space="preserve">  Similarly, according to </w:t>
      </w:r>
      <w:r w:rsidRPr="00F03EAA">
        <w:rPr>
          <w:sz w:val="24"/>
          <w:szCs w:val="24"/>
        </w:rPr>
        <w:t>COMPETE rates have increased only 1.2% in RTO states, while they have increased 8.6% in the non-RTO states.</w:t>
      </w:r>
      <w:r w:rsidRPr="00F03EAA">
        <w:rPr>
          <w:rStyle w:val="FootnoteReference"/>
          <w:sz w:val="24"/>
          <w:szCs w:val="24"/>
        </w:rPr>
        <w:footnoteReference w:id="46"/>
      </w:r>
      <w:r w:rsidRPr="00F03EAA">
        <w:rPr>
          <w:sz w:val="24"/>
          <w:szCs w:val="24"/>
        </w:rPr>
        <w:t xml:space="preserve">     </w:t>
      </w:r>
    </w:p>
    <w:p w:rsidR="00132B2D" w:rsidRPr="00F03EAA" w:rsidRDefault="00132B2D" w:rsidP="00132B2D">
      <w:pPr>
        <w:spacing w:line="480" w:lineRule="auto"/>
        <w:ind w:firstLine="720"/>
        <w:rPr>
          <w:b/>
          <w:sz w:val="24"/>
          <w:szCs w:val="24"/>
        </w:rPr>
      </w:pPr>
      <w:r w:rsidRPr="00F03EAA">
        <w:rPr>
          <w:sz w:val="24"/>
          <w:szCs w:val="24"/>
        </w:rPr>
        <w:t>In addition to the cost savings, competition allows for a greater number of choices for consumers including the number of suppliers</w:t>
      </w:r>
      <w:r>
        <w:rPr>
          <w:sz w:val="24"/>
          <w:szCs w:val="24"/>
        </w:rPr>
        <w:t xml:space="preserve"> and </w:t>
      </w:r>
      <w:r w:rsidRPr="00F03EAA">
        <w:rPr>
          <w:sz w:val="24"/>
          <w:szCs w:val="24"/>
        </w:rPr>
        <w:t>product offerings</w:t>
      </w:r>
      <w:r>
        <w:rPr>
          <w:sz w:val="24"/>
          <w:szCs w:val="24"/>
        </w:rPr>
        <w:t>, along with more</w:t>
      </w:r>
      <w:r w:rsidRPr="00F03EAA">
        <w:rPr>
          <w:sz w:val="24"/>
          <w:szCs w:val="24"/>
        </w:rPr>
        <w:t xml:space="preserve"> transparent pricing.  </w:t>
      </w:r>
    </w:p>
    <w:p w:rsidR="00132B2D" w:rsidRPr="00F03EAA" w:rsidRDefault="00132B2D" w:rsidP="00132B2D">
      <w:pPr>
        <w:spacing w:line="480" w:lineRule="auto"/>
        <w:rPr>
          <w:b/>
          <w:sz w:val="24"/>
          <w:szCs w:val="24"/>
        </w:rPr>
      </w:pPr>
      <w:r w:rsidRPr="00F03EAA">
        <w:rPr>
          <w:b/>
          <w:sz w:val="24"/>
          <w:szCs w:val="24"/>
        </w:rPr>
        <w:lastRenderedPageBreak/>
        <w:t>THREATS TO “RE-REGULATE”</w:t>
      </w:r>
    </w:p>
    <w:p w:rsidR="00132B2D" w:rsidRPr="00F03EAA" w:rsidRDefault="00132B2D" w:rsidP="00132B2D">
      <w:pPr>
        <w:spacing w:line="480" w:lineRule="auto"/>
        <w:rPr>
          <w:sz w:val="24"/>
          <w:szCs w:val="24"/>
        </w:rPr>
      </w:pPr>
      <w:r w:rsidRPr="00F03EAA">
        <w:rPr>
          <w:sz w:val="24"/>
          <w:szCs w:val="24"/>
        </w:rPr>
        <w:t xml:space="preserve">Q: THERE HAVE BEEN STATEMENTS MADE THAT ELECTRIC RE-STRUCTURING HASN’T WORKED AND RE-REGULATION OF OHIO’S UTILITIES MIGHT BE A BETTER COURSE OF ACTION; HOW WOULD YOU RESPOND TO THAT? </w:t>
      </w:r>
    </w:p>
    <w:p w:rsidR="00132B2D" w:rsidRDefault="00132B2D" w:rsidP="00132B2D">
      <w:pPr>
        <w:spacing w:line="480" w:lineRule="auto"/>
        <w:rPr>
          <w:sz w:val="24"/>
        </w:rPr>
      </w:pPr>
      <w:r w:rsidRPr="00F03EAA">
        <w:rPr>
          <w:sz w:val="24"/>
          <w:szCs w:val="24"/>
        </w:rPr>
        <w:t xml:space="preserve">A: </w:t>
      </w:r>
      <w:r>
        <w:rPr>
          <w:sz w:val="24"/>
          <w:szCs w:val="24"/>
        </w:rPr>
        <w:tab/>
      </w:r>
      <w:r w:rsidRPr="00F03EAA">
        <w:rPr>
          <w:sz w:val="24"/>
          <w:szCs w:val="24"/>
        </w:rPr>
        <w:t>AEP witness Vegas alludes to the fact that “Ohio’s neighbors – Indiana, Michigan, Virginia, West Virginia, and Kentucky</w:t>
      </w:r>
      <w:r>
        <w:rPr>
          <w:sz w:val="24"/>
        </w:rPr>
        <w:t xml:space="preserve"> all provide regulated recovery of generation…”</w:t>
      </w:r>
      <w:r>
        <w:rPr>
          <w:rStyle w:val="FootnoteReference"/>
          <w:sz w:val="24"/>
        </w:rPr>
        <w:footnoteReference w:id="47"/>
      </w:r>
      <w:r>
        <w:rPr>
          <w:sz w:val="24"/>
        </w:rPr>
        <w:t xml:space="preserve">  AEP witness Fetter – a former Michigan regulator – also states that “It’s interesting to note that Ohio’s neighboring regulators in Indiana, West Virginia and Kentucky all continue to provide regulated recovery of generation investment,” along with referencing the current electrical restructuring environment in Michigan.</w:t>
      </w:r>
      <w:r>
        <w:rPr>
          <w:rStyle w:val="FootnoteReference"/>
          <w:sz w:val="24"/>
        </w:rPr>
        <w:footnoteReference w:id="48"/>
      </w:r>
    </w:p>
    <w:p w:rsidR="00132B2D" w:rsidRDefault="00132B2D" w:rsidP="00132B2D">
      <w:pPr>
        <w:spacing w:line="480" w:lineRule="auto"/>
        <w:ind w:firstLine="720"/>
        <w:rPr>
          <w:sz w:val="24"/>
        </w:rPr>
      </w:pPr>
      <w:r>
        <w:rPr>
          <w:sz w:val="24"/>
        </w:rPr>
        <w:t>Setting aside the fact that Michigan’s All-Sector electric rates were 6.2% higher than the U.S. national average according to EIA data YTD 2014, and Ohio’s All Sector rates were 7.2% below the U.S. average for the same period,</w:t>
      </w:r>
      <w:r>
        <w:rPr>
          <w:rStyle w:val="FootnoteReference"/>
          <w:sz w:val="24"/>
        </w:rPr>
        <w:footnoteReference w:id="49"/>
      </w:r>
      <w:r>
        <w:rPr>
          <w:sz w:val="24"/>
        </w:rPr>
        <w:t xml:space="preserve"> comparing Ohio to Indiana, West Virginia and Kentucky is apples-to-oranges.</w:t>
      </w:r>
    </w:p>
    <w:p w:rsidR="00132B2D" w:rsidRPr="004835AA" w:rsidRDefault="00132B2D" w:rsidP="00132B2D">
      <w:pPr>
        <w:spacing w:line="480" w:lineRule="auto"/>
        <w:ind w:firstLine="720"/>
        <w:rPr>
          <w:sz w:val="24"/>
          <w:szCs w:val="24"/>
        </w:rPr>
      </w:pPr>
      <w:r w:rsidRPr="004835AA">
        <w:rPr>
          <w:sz w:val="24"/>
          <w:szCs w:val="24"/>
        </w:rPr>
        <w:t>For example, the Real Gross Domestic Product (GDP) of each of these states in 2014 is shown belo</w:t>
      </w:r>
      <w:r>
        <w:rPr>
          <w:sz w:val="24"/>
          <w:szCs w:val="24"/>
        </w:rPr>
        <w:t>w:</w:t>
      </w:r>
      <w:r w:rsidRPr="004835AA">
        <w:rPr>
          <w:rStyle w:val="FootnoteReference"/>
          <w:sz w:val="24"/>
          <w:szCs w:val="24"/>
        </w:rPr>
        <w:footnoteReference w:id="50"/>
      </w:r>
    </w:p>
    <w:p w:rsidR="00132B2D" w:rsidRPr="004835AA" w:rsidRDefault="00132B2D" w:rsidP="00132B2D">
      <w:pPr>
        <w:spacing w:line="480" w:lineRule="auto"/>
        <w:ind w:left="720"/>
        <w:rPr>
          <w:sz w:val="24"/>
          <w:szCs w:val="24"/>
        </w:rPr>
      </w:pPr>
      <w:r w:rsidRPr="004835AA">
        <w:rPr>
          <w:sz w:val="24"/>
          <w:szCs w:val="24"/>
        </w:rPr>
        <w:t>Indiana:</w:t>
      </w:r>
      <w:r>
        <w:rPr>
          <w:sz w:val="24"/>
          <w:szCs w:val="24"/>
        </w:rPr>
        <w:tab/>
      </w:r>
      <w:r w:rsidRPr="004835AA">
        <w:rPr>
          <w:sz w:val="24"/>
          <w:szCs w:val="24"/>
        </w:rPr>
        <w:t>$</w:t>
      </w:r>
      <w:r>
        <w:rPr>
          <w:sz w:val="24"/>
          <w:szCs w:val="24"/>
        </w:rPr>
        <w:t>317,840</w:t>
      </w:r>
      <w:r w:rsidRPr="004835AA">
        <w:rPr>
          <w:sz w:val="24"/>
          <w:szCs w:val="24"/>
        </w:rPr>
        <w:t xml:space="preserve"> million</w:t>
      </w:r>
    </w:p>
    <w:p w:rsidR="00132B2D" w:rsidRPr="004835AA" w:rsidRDefault="00132B2D" w:rsidP="00132B2D">
      <w:pPr>
        <w:spacing w:line="480" w:lineRule="auto"/>
        <w:ind w:left="720"/>
        <w:rPr>
          <w:sz w:val="24"/>
          <w:szCs w:val="24"/>
        </w:rPr>
      </w:pPr>
      <w:r w:rsidRPr="004835AA">
        <w:rPr>
          <w:sz w:val="24"/>
          <w:szCs w:val="24"/>
        </w:rPr>
        <w:t>West Virginia:</w:t>
      </w:r>
      <w:r>
        <w:rPr>
          <w:sz w:val="24"/>
          <w:szCs w:val="24"/>
        </w:rPr>
        <w:tab/>
      </w:r>
      <w:r w:rsidRPr="004835AA">
        <w:rPr>
          <w:sz w:val="24"/>
          <w:szCs w:val="24"/>
        </w:rPr>
        <w:t>$</w:t>
      </w:r>
      <w:r>
        <w:rPr>
          <w:sz w:val="24"/>
          <w:szCs w:val="24"/>
        </w:rPr>
        <w:t>75,337</w:t>
      </w:r>
      <w:r w:rsidRPr="004835AA">
        <w:rPr>
          <w:sz w:val="24"/>
          <w:szCs w:val="24"/>
        </w:rPr>
        <w:t xml:space="preserve"> million</w:t>
      </w:r>
    </w:p>
    <w:p w:rsidR="00132B2D" w:rsidRPr="004835AA" w:rsidRDefault="00132B2D" w:rsidP="00132B2D">
      <w:pPr>
        <w:spacing w:line="480" w:lineRule="auto"/>
        <w:ind w:left="720"/>
        <w:rPr>
          <w:sz w:val="24"/>
          <w:szCs w:val="24"/>
        </w:rPr>
      </w:pPr>
      <w:r w:rsidRPr="004835AA">
        <w:rPr>
          <w:sz w:val="24"/>
          <w:szCs w:val="24"/>
        </w:rPr>
        <w:t>Kentucky:</w:t>
      </w:r>
      <w:r>
        <w:rPr>
          <w:sz w:val="24"/>
          <w:szCs w:val="24"/>
        </w:rPr>
        <w:tab/>
      </w:r>
      <w:r w:rsidRPr="004835AA">
        <w:rPr>
          <w:sz w:val="24"/>
          <w:szCs w:val="24"/>
        </w:rPr>
        <w:t>$</w:t>
      </w:r>
      <w:r>
        <w:rPr>
          <w:sz w:val="24"/>
          <w:szCs w:val="24"/>
        </w:rPr>
        <w:t>188,602</w:t>
      </w:r>
      <w:r w:rsidRPr="004835AA">
        <w:rPr>
          <w:sz w:val="24"/>
          <w:szCs w:val="24"/>
        </w:rPr>
        <w:t xml:space="preserve"> million</w:t>
      </w:r>
    </w:p>
    <w:p w:rsidR="00132B2D" w:rsidRPr="004835AA" w:rsidRDefault="00132B2D" w:rsidP="00132B2D">
      <w:pPr>
        <w:spacing w:line="480" w:lineRule="auto"/>
        <w:ind w:left="720"/>
        <w:rPr>
          <w:sz w:val="24"/>
          <w:szCs w:val="24"/>
        </w:rPr>
      </w:pPr>
      <w:r w:rsidRPr="004835AA">
        <w:rPr>
          <w:sz w:val="24"/>
          <w:szCs w:val="24"/>
        </w:rPr>
        <w:t>Ohio:</w:t>
      </w:r>
      <w:r>
        <w:rPr>
          <w:sz w:val="24"/>
          <w:szCs w:val="24"/>
        </w:rPr>
        <w:tab/>
      </w:r>
      <w:r>
        <w:rPr>
          <w:sz w:val="24"/>
          <w:szCs w:val="24"/>
        </w:rPr>
        <w:tab/>
      </w:r>
      <w:r w:rsidRPr="004835AA">
        <w:rPr>
          <w:sz w:val="24"/>
          <w:szCs w:val="24"/>
        </w:rPr>
        <w:t>$</w:t>
      </w:r>
      <w:r>
        <w:rPr>
          <w:sz w:val="24"/>
          <w:szCs w:val="24"/>
        </w:rPr>
        <w:t>583,261 million</w:t>
      </w:r>
    </w:p>
    <w:p w:rsidR="00132B2D" w:rsidRDefault="00132B2D" w:rsidP="00132B2D">
      <w:pPr>
        <w:spacing w:line="480" w:lineRule="auto"/>
        <w:ind w:firstLine="720"/>
        <w:rPr>
          <w:sz w:val="24"/>
        </w:rPr>
      </w:pPr>
      <w:r>
        <w:rPr>
          <w:sz w:val="24"/>
        </w:rPr>
        <w:lastRenderedPageBreak/>
        <w:t xml:space="preserve">As shown above, Ohio has the largest economy of any of these states, and in fact, Ohio’s economy is larger than Indiana’s, West Virginia’s and Kentucky’s </w:t>
      </w:r>
      <w:r w:rsidRPr="000A17D4">
        <w:rPr>
          <w:i/>
          <w:sz w:val="24"/>
        </w:rPr>
        <w:t>combined</w:t>
      </w:r>
      <w:r>
        <w:rPr>
          <w:sz w:val="24"/>
        </w:rPr>
        <w:t>.  This is important because GDP is one of the primary measures of both the relative size and strength of an economy.</w:t>
      </w:r>
    </w:p>
    <w:p w:rsidR="00132B2D" w:rsidRDefault="00132B2D" w:rsidP="00132B2D">
      <w:pPr>
        <w:spacing w:line="480" w:lineRule="auto"/>
        <w:ind w:firstLine="720"/>
        <w:rPr>
          <w:sz w:val="24"/>
        </w:rPr>
      </w:pPr>
      <w:r>
        <w:rPr>
          <w:sz w:val="24"/>
        </w:rPr>
        <w:t>As a matter of fact, all but one of the eight states with the largest and most advanced economies – California, Texas, New York, Illinois, Pennsylvania, Ohio and New Jersey – have all elected to embrace competitive electric markets.</w:t>
      </w:r>
      <w:r>
        <w:rPr>
          <w:rStyle w:val="FootnoteReference"/>
          <w:sz w:val="24"/>
        </w:rPr>
        <w:footnoteReference w:id="51"/>
      </w:r>
      <w:r>
        <w:rPr>
          <w:sz w:val="24"/>
        </w:rPr>
        <w:t xml:space="preserve">  Clearly there is a relationship between the relative size and maturity of the economies in these states and their decision to migrate to electric competition.</w:t>
      </w:r>
    </w:p>
    <w:p w:rsidR="00132B2D" w:rsidRDefault="00132B2D" w:rsidP="00132B2D">
      <w:pPr>
        <w:spacing w:line="480" w:lineRule="auto"/>
        <w:rPr>
          <w:b/>
          <w:sz w:val="24"/>
        </w:rPr>
      </w:pPr>
    </w:p>
    <w:p w:rsidR="00132B2D" w:rsidRPr="00AB6DA6" w:rsidRDefault="00132B2D" w:rsidP="00132B2D">
      <w:pPr>
        <w:spacing w:line="480" w:lineRule="auto"/>
        <w:rPr>
          <w:b/>
          <w:sz w:val="24"/>
        </w:rPr>
      </w:pPr>
      <w:r w:rsidRPr="00AB6DA6">
        <w:rPr>
          <w:b/>
          <w:sz w:val="24"/>
        </w:rPr>
        <w:t>TRANSFERABILITY OF THE PPAs</w:t>
      </w:r>
    </w:p>
    <w:p w:rsidR="00132B2D" w:rsidRPr="00AB6DA6" w:rsidRDefault="00132B2D" w:rsidP="00132B2D">
      <w:pPr>
        <w:spacing w:line="480" w:lineRule="auto"/>
        <w:rPr>
          <w:sz w:val="24"/>
        </w:rPr>
      </w:pPr>
      <w:r w:rsidRPr="00AB6DA6">
        <w:rPr>
          <w:sz w:val="24"/>
        </w:rPr>
        <w:t xml:space="preserve">Q. </w:t>
      </w:r>
      <w:r>
        <w:rPr>
          <w:sz w:val="24"/>
        </w:rPr>
        <w:t>DO YOU UNDERSTAND THE PPAS TO BE TRANSFERRABLE WITH THE PPA UNITS SHOULD AEP DECIDE TO SELL THOSE UNITS AFTER RECEIVING THE PPAS?</w:t>
      </w:r>
    </w:p>
    <w:p w:rsidR="00132B2D" w:rsidRDefault="00132B2D" w:rsidP="00132B2D">
      <w:pPr>
        <w:spacing w:line="480" w:lineRule="auto"/>
        <w:rPr>
          <w:sz w:val="24"/>
        </w:rPr>
      </w:pPr>
      <w:r w:rsidRPr="00AB6DA6">
        <w:rPr>
          <w:sz w:val="24"/>
        </w:rPr>
        <w:t xml:space="preserve">A. </w:t>
      </w:r>
      <w:r>
        <w:rPr>
          <w:sz w:val="24"/>
        </w:rPr>
        <w:tab/>
      </w:r>
      <w:r w:rsidRPr="00AB6DA6">
        <w:rPr>
          <w:sz w:val="24"/>
        </w:rPr>
        <w:t xml:space="preserve">While AEP has not </w:t>
      </w:r>
      <w:r>
        <w:rPr>
          <w:sz w:val="24"/>
        </w:rPr>
        <w:t xml:space="preserve">explicitly </w:t>
      </w:r>
      <w:r w:rsidRPr="00AB6DA6">
        <w:rPr>
          <w:sz w:val="24"/>
        </w:rPr>
        <w:t>stated in its testimony that it intends to enter into the PPAs and then sell the units, it appears to be an option</w:t>
      </w:r>
      <w:r w:rsidRPr="000E344F">
        <w:rPr>
          <w:sz w:val="24"/>
        </w:rPr>
        <w:t xml:space="preserve"> </w:t>
      </w:r>
      <w:r>
        <w:rPr>
          <w:sz w:val="24"/>
        </w:rPr>
        <w:t>available to AEP should they choose to do so</w:t>
      </w:r>
      <w:r w:rsidRPr="00AB6DA6">
        <w:rPr>
          <w:sz w:val="24"/>
        </w:rPr>
        <w:t>.  The value of AEP’s units would be dramatically increased by entering into the above market, long term PPAs.  This would make sale/liquidation of those assets a very easy calculus, with a return on investment to AEP’s shareholders</w:t>
      </w:r>
      <w:r>
        <w:rPr>
          <w:sz w:val="24"/>
        </w:rPr>
        <w:t xml:space="preserve"> at the detriment of Ohio’s consumers</w:t>
      </w:r>
      <w:r w:rsidRPr="00AB6DA6">
        <w:rPr>
          <w:sz w:val="24"/>
        </w:rPr>
        <w:t>.</w:t>
      </w:r>
    </w:p>
    <w:p w:rsidR="00132B2D" w:rsidRPr="00AB6DA6" w:rsidRDefault="00132B2D" w:rsidP="00132B2D">
      <w:pPr>
        <w:spacing w:line="480" w:lineRule="auto"/>
        <w:rPr>
          <w:sz w:val="24"/>
        </w:rPr>
      </w:pPr>
      <w:r w:rsidRPr="00AB6DA6">
        <w:rPr>
          <w:sz w:val="24"/>
        </w:rPr>
        <w:t xml:space="preserve">Q. </w:t>
      </w:r>
      <w:r>
        <w:rPr>
          <w:sz w:val="24"/>
        </w:rPr>
        <w:t>IS IT APPROPRIATE FOR THE PUCO TO ALLOW TRANSFER OF THE PPAS WITH A SALE OF THE GENERATING UNITS</w:t>
      </w:r>
      <w:r w:rsidRPr="00AB6DA6">
        <w:rPr>
          <w:sz w:val="24"/>
        </w:rPr>
        <w:t>?</w:t>
      </w:r>
    </w:p>
    <w:p w:rsidR="00132B2D" w:rsidRPr="00AB6DA6" w:rsidRDefault="00132B2D" w:rsidP="00132B2D">
      <w:pPr>
        <w:spacing w:line="480" w:lineRule="auto"/>
        <w:rPr>
          <w:sz w:val="24"/>
        </w:rPr>
      </w:pPr>
      <w:r w:rsidRPr="00AB6DA6">
        <w:rPr>
          <w:sz w:val="24"/>
        </w:rPr>
        <w:lastRenderedPageBreak/>
        <w:t xml:space="preserve">A. </w:t>
      </w:r>
      <w:r>
        <w:rPr>
          <w:sz w:val="24"/>
        </w:rPr>
        <w:tab/>
        <w:t xml:space="preserve">No.  If the PUCO grants AEP’s request for the PPA riders, it should also require that the riders are non-transferrable to new owners in order to protect consumers.  </w:t>
      </w:r>
    </w:p>
    <w:p w:rsidR="00132B2D" w:rsidRDefault="00132B2D" w:rsidP="00132B2D">
      <w:pPr>
        <w:spacing w:line="480" w:lineRule="auto"/>
        <w:rPr>
          <w:b/>
          <w:sz w:val="24"/>
        </w:rPr>
      </w:pPr>
    </w:p>
    <w:p w:rsidR="00132B2D" w:rsidRPr="00AB6DA6" w:rsidRDefault="00132B2D" w:rsidP="00132B2D">
      <w:pPr>
        <w:spacing w:line="480" w:lineRule="auto"/>
        <w:rPr>
          <w:b/>
          <w:sz w:val="24"/>
        </w:rPr>
      </w:pPr>
      <w:r w:rsidRPr="00AB6DA6">
        <w:rPr>
          <w:b/>
          <w:sz w:val="24"/>
        </w:rPr>
        <w:t>ALTERNATIVES TO THE PPA RIDERS</w:t>
      </w:r>
    </w:p>
    <w:p w:rsidR="00132B2D" w:rsidRPr="00AB6DA6" w:rsidRDefault="00132B2D" w:rsidP="00132B2D">
      <w:pPr>
        <w:spacing w:line="480" w:lineRule="auto"/>
        <w:rPr>
          <w:sz w:val="24"/>
        </w:rPr>
      </w:pPr>
      <w:r w:rsidRPr="00AB6DA6">
        <w:rPr>
          <w:sz w:val="24"/>
        </w:rPr>
        <w:t>Q. CAN YOU DISCUSS ANY POTENTIAL OPTIONS TO THE PPA RIDERS?</w:t>
      </w:r>
    </w:p>
    <w:p w:rsidR="00132B2D" w:rsidRDefault="00132B2D" w:rsidP="00132B2D">
      <w:pPr>
        <w:spacing w:line="480" w:lineRule="auto"/>
        <w:rPr>
          <w:sz w:val="24"/>
        </w:rPr>
      </w:pPr>
      <w:r>
        <w:rPr>
          <w:sz w:val="24"/>
        </w:rPr>
        <w:t xml:space="preserve">A. </w:t>
      </w:r>
      <w:r>
        <w:rPr>
          <w:sz w:val="24"/>
        </w:rPr>
        <w:tab/>
        <w:t xml:space="preserve">AEP Witness Vegas </w:t>
      </w:r>
      <w:r w:rsidRPr="00AB6DA6">
        <w:rPr>
          <w:sz w:val="24"/>
        </w:rPr>
        <w:t xml:space="preserve">stated that the PPAs are needed as a financial hedge to protect AEP’s consumers against </w:t>
      </w:r>
      <w:r>
        <w:rPr>
          <w:sz w:val="24"/>
        </w:rPr>
        <w:t xml:space="preserve">future </w:t>
      </w:r>
      <w:r w:rsidRPr="00AB6DA6">
        <w:rPr>
          <w:sz w:val="24"/>
        </w:rPr>
        <w:t>volatility in the market.</w:t>
      </w:r>
      <w:r>
        <w:rPr>
          <w:rStyle w:val="FootnoteReference"/>
          <w:sz w:val="24"/>
        </w:rPr>
        <w:footnoteReference w:id="52"/>
      </w:r>
      <w:r w:rsidRPr="00AB6DA6">
        <w:rPr>
          <w:sz w:val="24"/>
        </w:rPr>
        <w:t xml:space="preserve">  As described </w:t>
      </w:r>
      <w:r>
        <w:rPr>
          <w:sz w:val="24"/>
        </w:rPr>
        <w:t>above</w:t>
      </w:r>
      <w:r w:rsidRPr="00AB6DA6">
        <w:rPr>
          <w:sz w:val="24"/>
        </w:rPr>
        <w:t>, AEP has grossly overstated the volatility in the market, presumably to justify the above-market rates for the PPAs.</w:t>
      </w:r>
      <w:r>
        <w:rPr>
          <w:sz w:val="24"/>
        </w:rPr>
        <w:t xml:space="preserve">  If AEP were truly interested in providing a financial hedge to consumers, there are other effective and less costly ways to do so, including issuing an RFP for the capacity and energy over the period in question.</w:t>
      </w:r>
      <w:r w:rsidRPr="00AB6DA6">
        <w:rPr>
          <w:sz w:val="24"/>
        </w:rPr>
        <w:t xml:space="preserve">  </w:t>
      </w:r>
      <w:r>
        <w:rPr>
          <w:sz w:val="24"/>
        </w:rPr>
        <w:t>The RFP could take on a variety of forms, including a fixed-price option, a variable-priced option, or a combination of both.</w:t>
      </w:r>
    </w:p>
    <w:p w:rsidR="00132B2D" w:rsidRDefault="00132B2D" w:rsidP="00132B2D">
      <w:pPr>
        <w:spacing w:line="480" w:lineRule="auto"/>
        <w:rPr>
          <w:b/>
          <w:sz w:val="24"/>
        </w:rPr>
      </w:pPr>
    </w:p>
    <w:p w:rsidR="00132B2D" w:rsidRPr="00AB6DA6" w:rsidRDefault="00132B2D" w:rsidP="00132B2D">
      <w:pPr>
        <w:spacing w:line="480" w:lineRule="auto"/>
        <w:rPr>
          <w:b/>
          <w:sz w:val="24"/>
        </w:rPr>
      </w:pPr>
      <w:r w:rsidRPr="00AB6DA6">
        <w:rPr>
          <w:b/>
          <w:sz w:val="24"/>
        </w:rPr>
        <w:t>CONCLUSION</w:t>
      </w:r>
    </w:p>
    <w:p w:rsidR="00132B2D" w:rsidRPr="00AB6DA6" w:rsidRDefault="00132B2D" w:rsidP="00132B2D">
      <w:pPr>
        <w:spacing w:line="480" w:lineRule="auto"/>
        <w:rPr>
          <w:sz w:val="24"/>
        </w:rPr>
      </w:pPr>
      <w:r w:rsidRPr="00AB6DA6">
        <w:rPr>
          <w:sz w:val="24"/>
        </w:rPr>
        <w:t xml:space="preserve">Q. WHAT ELSE </w:t>
      </w:r>
      <w:r>
        <w:rPr>
          <w:sz w:val="24"/>
        </w:rPr>
        <w:t>SHOULD THE COMMISSION CONSIDER IN EVALUATING</w:t>
      </w:r>
      <w:r w:rsidRPr="00AB6DA6">
        <w:rPr>
          <w:sz w:val="24"/>
        </w:rPr>
        <w:t xml:space="preserve"> AEP OHIO’S REQUEST FOR PPAs?</w:t>
      </w:r>
    </w:p>
    <w:p w:rsidR="00132B2D" w:rsidRPr="00AB6DA6" w:rsidRDefault="00132B2D" w:rsidP="00132B2D">
      <w:pPr>
        <w:spacing w:line="480" w:lineRule="auto"/>
        <w:rPr>
          <w:sz w:val="24"/>
        </w:rPr>
      </w:pPr>
      <w:r w:rsidRPr="00AB6DA6">
        <w:rPr>
          <w:sz w:val="24"/>
        </w:rPr>
        <w:t xml:space="preserve">A.  </w:t>
      </w:r>
      <w:r>
        <w:rPr>
          <w:sz w:val="24"/>
        </w:rPr>
        <w:tab/>
        <w:t>AEP’s chairman, president and CEO Nick A</w:t>
      </w:r>
      <w:r w:rsidRPr="00AB6DA6">
        <w:rPr>
          <w:sz w:val="24"/>
        </w:rPr>
        <w:t xml:space="preserve">kins has stated publicly </w:t>
      </w:r>
      <w:r>
        <w:rPr>
          <w:sz w:val="24"/>
        </w:rPr>
        <w:t>in the context of the PPA request that “</w:t>
      </w:r>
      <w:r w:rsidRPr="00AB6DA6">
        <w:rPr>
          <w:sz w:val="24"/>
        </w:rPr>
        <w:t>A choice not to decide is not a choice</w:t>
      </w:r>
      <w:r>
        <w:rPr>
          <w:sz w:val="24"/>
        </w:rPr>
        <w:t>,</w:t>
      </w:r>
      <w:r w:rsidRPr="00AB6DA6">
        <w:rPr>
          <w:sz w:val="24"/>
        </w:rPr>
        <w:t>” referring to Rush’s 1980 song</w:t>
      </w:r>
      <w:r>
        <w:rPr>
          <w:sz w:val="24"/>
        </w:rPr>
        <w:t xml:space="preserve"> </w:t>
      </w:r>
      <w:r w:rsidRPr="00AB6DA6">
        <w:rPr>
          <w:i/>
          <w:sz w:val="24"/>
        </w:rPr>
        <w:t>Freewill</w:t>
      </w:r>
      <w:r>
        <w:rPr>
          <w:sz w:val="24"/>
        </w:rPr>
        <w:t>.</w:t>
      </w:r>
      <w:r>
        <w:rPr>
          <w:rStyle w:val="FootnoteReference"/>
          <w:sz w:val="24"/>
        </w:rPr>
        <w:footnoteReference w:id="53"/>
      </w:r>
      <w:r w:rsidRPr="00AB6DA6">
        <w:rPr>
          <w:sz w:val="24"/>
        </w:rPr>
        <w:t xml:space="preserve">  </w:t>
      </w:r>
    </w:p>
    <w:p w:rsidR="00132B2D" w:rsidRPr="00AB6DA6" w:rsidRDefault="00132B2D" w:rsidP="00132B2D">
      <w:pPr>
        <w:spacing w:line="480" w:lineRule="auto"/>
        <w:ind w:firstLine="720"/>
        <w:rPr>
          <w:sz w:val="24"/>
        </w:rPr>
      </w:pPr>
      <w:r w:rsidRPr="00AB6DA6">
        <w:rPr>
          <w:sz w:val="24"/>
        </w:rPr>
        <w:t xml:space="preserve">This </w:t>
      </w:r>
      <w:r>
        <w:rPr>
          <w:sz w:val="24"/>
        </w:rPr>
        <w:t xml:space="preserve">appears to be an </w:t>
      </w:r>
      <w:r w:rsidRPr="00AB6DA6">
        <w:rPr>
          <w:sz w:val="24"/>
        </w:rPr>
        <w:t xml:space="preserve">attempt by AEP’s </w:t>
      </w:r>
      <w:r>
        <w:rPr>
          <w:sz w:val="24"/>
        </w:rPr>
        <w:t xml:space="preserve">chairman, president and CEO </w:t>
      </w:r>
      <w:r w:rsidRPr="00AB6DA6">
        <w:rPr>
          <w:sz w:val="24"/>
        </w:rPr>
        <w:t xml:space="preserve">to pressure the </w:t>
      </w:r>
      <w:r>
        <w:rPr>
          <w:sz w:val="24"/>
        </w:rPr>
        <w:t xml:space="preserve">Commission </w:t>
      </w:r>
      <w:r w:rsidRPr="00AB6DA6">
        <w:rPr>
          <w:sz w:val="24"/>
        </w:rPr>
        <w:t>into approving the long-term, above</w:t>
      </w:r>
      <w:r>
        <w:rPr>
          <w:sz w:val="24"/>
        </w:rPr>
        <w:t>-</w:t>
      </w:r>
      <w:r w:rsidRPr="00AB6DA6">
        <w:rPr>
          <w:sz w:val="24"/>
        </w:rPr>
        <w:t xml:space="preserve">market contracts for an </w:t>
      </w:r>
      <w:r>
        <w:rPr>
          <w:sz w:val="24"/>
        </w:rPr>
        <w:t>extended</w:t>
      </w:r>
      <w:r w:rsidRPr="00AB6DA6">
        <w:rPr>
          <w:sz w:val="24"/>
        </w:rPr>
        <w:t xml:space="preserve"> amount of </w:t>
      </w:r>
      <w:r w:rsidRPr="00AB6DA6">
        <w:rPr>
          <w:sz w:val="24"/>
        </w:rPr>
        <w:lastRenderedPageBreak/>
        <w:t xml:space="preserve">time, without AEP, its shareholders, directors or executives accepting </w:t>
      </w:r>
      <w:r>
        <w:rPr>
          <w:sz w:val="24"/>
        </w:rPr>
        <w:t xml:space="preserve">or bearing </w:t>
      </w:r>
      <w:r w:rsidRPr="00AB6DA6">
        <w:rPr>
          <w:sz w:val="24"/>
        </w:rPr>
        <w:t xml:space="preserve">any </w:t>
      </w:r>
      <w:r>
        <w:rPr>
          <w:sz w:val="24"/>
        </w:rPr>
        <w:t xml:space="preserve">financial </w:t>
      </w:r>
      <w:r w:rsidRPr="00AB6DA6">
        <w:rPr>
          <w:sz w:val="24"/>
        </w:rPr>
        <w:t xml:space="preserve">responsibility for </w:t>
      </w:r>
      <w:r>
        <w:rPr>
          <w:sz w:val="24"/>
        </w:rPr>
        <w:t xml:space="preserve">the </w:t>
      </w:r>
      <w:r w:rsidRPr="00AB6DA6">
        <w:rPr>
          <w:sz w:val="24"/>
        </w:rPr>
        <w:t xml:space="preserve">business decisions AEP might have made in </w:t>
      </w:r>
      <w:r>
        <w:rPr>
          <w:sz w:val="24"/>
        </w:rPr>
        <w:t>the past, or the inability of these plants to compete in the market place</w:t>
      </w:r>
      <w:r w:rsidRPr="00AB6DA6">
        <w:rPr>
          <w:sz w:val="24"/>
        </w:rPr>
        <w:t xml:space="preserve">.  </w:t>
      </w:r>
      <w:r>
        <w:rPr>
          <w:sz w:val="24"/>
        </w:rPr>
        <w:t>AEP’s request in this proceeding</w:t>
      </w:r>
      <w:r w:rsidRPr="00AB6DA6">
        <w:rPr>
          <w:sz w:val="24"/>
        </w:rPr>
        <w:t xml:space="preserve"> </w:t>
      </w:r>
      <w:r>
        <w:rPr>
          <w:sz w:val="24"/>
        </w:rPr>
        <w:t xml:space="preserve">would shift the financial downside of running these plants </w:t>
      </w:r>
      <w:r w:rsidRPr="00AB6DA6">
        <w:rPr>
          <w:sz w:val="24"/>
        </w:rPr>
        <w:t xml:space="preserve">from </w:t>
      </w:r>
      <w:r>
        <w:rPr>
          <w:sz w:val="24"/>
        </w:rPr>
        <w:t>AEP</w:t>
      </w:r>
      <w:r w:rsidRPr="00AB6DA6">
        <w:rPr>
          <w:sz w:val="24"/>
        </w:rPr>
        <w:t xml:space="preserve"> investors </w:t>
      </w:r>
      <w:r>
        <w:rPr>
          <w:sz w:val="24"/>
        </w:rPr>
        <w:t>to the ratepayers of the state of Ohio</w:t>
      </w:r>
      <w:r w:rsidRPr="00AB6DA6">
        <w:rPr>
          <w:sz w:val="24"/>
        </w:rPr>
        <w:t>.</w:t>
      </w:r>
    </w:p>
    <w:p w:rsidR="00132B2D" w:rsidRPr="0045273C" w:rsidRDefault="00132B2D" w:rsidP="00132B2D">
      <w:pPr>
        <w:spacing w:line="480" w:lineRule="auto"/>
        <w:ind w:firstLine="720"/>
        <w:rPr>
          <w:sz w:val="24"/>
          <w:szCs w:val="24"/>
        </w:rPr>
      </w:pPr>
      <w:r w:rsidRPr="0045273C">
        <w:rPr>
          <w:sz w:val="24"/>
          <w:szCs w:val="24"/>
        </w:rPr>
        <w:t xml:space="preserve">Squarely placing the fate of these plants in the hands of the PUCO along against the backdrop of AEP’s threat to retire the plants is more akin to the Eagles’ </w:t>
      </w:r>
      <w:r w:rsidRPr="0045273C">
        <w:rPr>
          <w:i/>
          <w:sz w:val="24"/>
          <w:szCs w:val="24"/>
        </w:rPr>
        <w:t>Hotel California</w:t>
      </w:r>
      <w:r w:rsidRPr="0045273C">
        <w:rPr>
          <w:sz w:val="24"/>
          <w:szCs w:val="24"/>
        </w:rPr>
        <w:t xml:space="preserve">, where AEP is effectively giving consumers in the state of Ohio a false choice that amounts to “You can check-out any time you like, but you can never leave." </w:t>
      </w:r>
    </w:p>
    <w:p w:rsidR="00132B2D" w:rsidRPr="0045273C" w:rsidRDefault="00132B2D" w:rsidP="00132B2D">
      <w:pPr>
        <w:spacing w:line="480" w:lineRule="auto"/>
        <w:rPr>
          <w:sz w:val="24"/>
          <w:szCs w:val="24"/>
        </w:rPr>
      </w:pPr>
      <w:r w:rsidRPr="0045273C">
        <w:rPr>
          <w:sz w:val="24"/>
          <w:szCs w:val="24"/>
        </w:rPr>
        <w:t>Q. DOES THIS CONCLUDE YOUR TESTIMONY?</w:t>
      </w:r>
    </w:p>
    <w:p w:rsidR="00132B2D" w:rsidRDefault="00132B2D" w:rsidP="00132B2D">
      <w:pPr>
        <w:rPr>
          <w:sz w:val="24"/>
          <w:szCs w:val="24"/>
        </w:rPr>
        <w:sectPr w:rsidR="00132B2D" w:rsidSect="0090242A">
          <w:footerReference w:type="default" r:id="rId14"/>
          <w:pgSz w:w="12240" w:h="15840"/>
          <w:pgMar w:top="1440" w:right="1440" w:bottom="1440" w:left="1440" w:header="720" w:footer="720" w:gutter="0"/>
          <w:lnNumType w:countBy="1"/>
          <w:pgNumType w:start="1"/>
          <w:cols w:space="720"/>
          <w:docGrid w:linePitch="360"/>
        </w:sectPr>
      </w:pPr>
      <w:r w:rsidRPr="0045273C">
        <w:rPr>
          <w:sz w:val="24"/>
          <w:szCs w:val="24"/>
        </w:rPr>
        <w:t xml:space="preserve">A.  </w:t>
      </w:r>
      <w:r w:rsidRPr="0045273C">
        <w:rPr>
          <w:sz w:val="24"/>
          <w:szCs w:val="24"/>
        </w:rPr>
        <w:tab/>
      </w:r>
      <w:r w:rsidR="00087640">
        <w:rPr>
          <w:sz w:val="24"/>
          <w:szCs w:val="24"/>
        </w:rPr>
        <w:t>Yes.</w:t>
      </w:r>
      <w:bookmarkStart w:id="0" w:name="_GoBack"/>
      <w:bookmarkEnd w:id="0"/>
    </w:p>
    <w:p w:rsidR="00132B2D" w:rsidRDefault="00132B2D" w:rsidP="00132B2D">
      <w:pPr>
        <w:rPr>
          <w:sz w:val="24"/>
          <w:szCs w:val="24"/>
        </w:rPr>
      </w:pPr>
    </w:p>
    <w:p w:rsidR="00132B2D" w:rsidRDefault="00132B2D" w:rsidP="00132B2D">
      <w:pPr>
        <w:rPr>
          <w:sz w:val="24"/>
          <w:szCs w:val="24"/>
        </w:rPr>
      </w:pPr>
    </w:p>
    <w:p w:rsidR="00132B2D" w:rsidRDefault="00132B2D" w:rsidP="00132B2D">
      <w:pPr>
        <w:rPr>
          <w:sz w:val="24"/>
          <w:szCs w:val="24"/>
        </w:rPr>
      </w:pPr>
    </w:p>
    <w:p w:rsidR="00132B2D" w:rsidRDefault="00132B2D" w:rsidP="00132B2D">
      <w:pPr>
        <w:rPr>
          <w:sz w:val="24"/>
          <w:szCs w:val="24"/>
        </w:rPr>
      </w:pPr>
    </w:p>
    <w:p w:rsidR="00132B2D" w:rsidRDefault="00132B2D" w:rsidP="00132B2D">
      <w:pPr>
        <w:rPr>
          <w:sz w:val="24"/>
          <w:szCs w:val="24"/>
        </w:rPr>
      </w:pPr>
    </w:p>
    <w:p w:rsidR="0090242A" w:rsidRDefault="0090242A" w:rsidP="00132B2D">
      <w:pPr>
        <w:rPr>
          <w:sz w:val="24"/>
          <w:szCs w:val="24"/>
        </w:rPr>
      </w:pPr>
    </w:p>
    <w:p w:rsidR="0090242A" w:rsidRDefault="0090242A" w:rsidP="00132B2D">
      <w:pPr>
        <w:rPr>
          <w:sz w:val="24"/>
          <w:szCs w:val="24"/>
        </w:rPr>
      </w:pPr>
    </w:p>
    <w:p w:rsidR="0090242A" w:rsidRDefault="0090242A" w:rsidP="00132B2D">
      <w:pPr>
        <w:rPr>
          <w:sz w:val="24"/>
          <w:szCs w:val="24"/>
        </w:rPr>
      </w:pPr>
    </w:p>
    <w:p w:rsidR="0090242A" w:rsidRDefault="0090242A" w:rsidP="00132B2D">
      <w:pPr>
        <w:rPr>
          <w:sz w:val="24"/>
          <w:szCs w:val="24"/>
        </w:rPr>
      </w:pPr>
    </w:p>
    <w:p w:rsidR="0090242A" w:rsidRDefault="0090242A" w:rsidP="0090242A">
      <w:pPr>
        <w:spacing w:line="480" w:lineRule="auto"/>
        <w:jc w:val="center"/>
        <w:rPr>
          <w:b/>
          <w:sz w:val="24"/>
          <w:szCs w:val="24"/>
          <w:u w:val="single"/>
        </w:rPr>
      </w:pPr>
    </w:p>
    <w:p w:rsidR="0090242A" w:rsidRDefault="0090242A">
      <w:pPr>
        <w:rPr>
          <w:b/>
          <w:sz w:val="24"/>
          <w:szCs w:val="24"/>
          <w:u w:val="single"/>
        </w:rPr>
      </w:pPr>
      <w:r>
        <w:rPr>
          <w:b/>
          <w:sz w:val="24"/>
          <w:szCs w:val="24"/>
          <w:u w:val="single"/>
        </w:rPr>
        <w:br w:type="page"/>
      </w:r>
    </w:p>
    <w:p w:rsidR="0090242A" w:rsidRPr="0045273C" w:rsidRDefault="0090242A" w:rsidP="0090242A">
      <w:pPr>
        <w:spacing w:line="480" w:lineRule="auto"/>
        <w:jc w:val="center"/>
        <w:rPr>
          <w:b/>
          <w:sz w:val="24"/>
          <w:szCs w:val="24"/>
          <w:u w:val="single"/>
        </w:rPr>
      </w:pPr>
      <w:r w:rsidRPr="0045273C">
        <w:rPr>
          <w:b/>
          <w:sz w:val="24"/>
          <w:szCs w:val="24"/>
          <w:u w:val="single"/>
        </w:rPr>
        <w:lastRenderedPageBreak/>
        <w:t>CERTIFICATE OF SERVICE</w:t>
      </w:r>
    </w:p>
    <w:p w:rsidR="0090242A" w:rsidRPr="0045273C" w:rsidRDefault="0090242A" w:rsidP="0090242A">
      <w:pPr>
        <w:spacing w:line="480" w:lineRule="auto"/>
        <w:ind w:firstLine="720"/>
        <w:jc w:val="both"/>
        <w:rPr>
          <w:sz w:val="24"/>
          <w:szCs w:val="24"/>
        </w:rPr>
      </w:pPr>
      <w:r w:rsidRPr="0045273C">
        <w:rPr>
          <w:sz w:val="24"/>
          <w:szCs w:val="24"/>
        </w:rPr>
        <w:t>The Public Utilities Commission of Ohio’s e-filing system will electronically serve notice of the filing of this document on the parties referenced on the service list of the docket card who have electronically subscribed to the case (those individuals are marked with an asterisk below).  In addition, the undersigned certifies that a courtesy copy of the foregoing document is also being served (via electronic mail) on the 11</w:t>
      </w:r>
      <w:r w:rsidRPr="0045273C">
        <w:rPr>
          <w:sz w:val="24"/>
          <w:szCs w:val="24"/>
          <w:vertAlign w:val="superscript"/>
        </w:rPr>
        <w:t>th</w:t>
      </w:r>
      <w:r w:rsidRPr="0045273C">
        <w:rPr>
          <w:sz w:val="24"/>
          <w:szCs w:val="24"/>
        </w:rPr>
        <w:t xml:space="preserve"> day of September 2015 upon all persons/entities listed below:</w:t>
      </w:r>
    </w:p>
    <w:p w:rsidR="0090242A" w:rsidRPr="0045273C" w:rsidRDefault="0090242A" w:rsidP="0090242A">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s/ Michael D. Dortch</w:t>
      </w:r>
      <w:r w:rsidRPr="0045273C">
        <w:rPr>
          <w:sz w:val="24"/>
          <w:szCs w:val="24"/>
          <w:u w:val="single"/>
        </w:rPr>
        <w:tab/>
      </w:r>
      <w:r w:rsidRPr="0045273C">
        <w:rPr>
          <w:sz w:val="24"/>
          <w:szCs w:val="24"/>
          <w:u w:val="single"/>
        </w:rPr>
        <w:tab/>
      </w:r>
      <w:r w:rsidRPr="0045273C">
        <w:rPr>
          <w:sz w:val="24"/>
          <w:szCs w:val="24"/>
          <w:u w:val="single"/>
        </w:rPr>
        <w:tab/>
      </w:r>
      <w:r w:rsidRPr="0045273C">
        <w:rPr>
          <w:sz w:val="24"/>
          <w:szCs w:val="24"/>
          <w:u w:val="single"/>
        </w:rPr>
        <w:tab/>
      </w:r>
    </w:p>
    <w:p w:rsidR="0090242A" w:rsidRPr="0045273C" w:rsidRDefault="0090242A" w:rsidP="0090242A">
      <w:pPr>
        <w:rPr>
          <w:sz w:val="24"/>
          <w:szCs w:val="24"/>
        </w:rPr>
      </w:pPr>
      <w:r w:rsidRPr="0045273C">
        <w:rPr>
          <w:sz w:val="24"/>
          <w:szCs w:val="24"/>
        </w:rPr>
        <w:tab/>
      </w:r>
      <w:r w:rsidRPr="0045273C">
        <w:rPr>
          <w:sz w:val="24"/>
          <w:szCs w:val="24"/>
        </w:rPr>
        <w:tab/>
      </w:r>
      <w:r w:rsidRPr="0045273C">
        <w:rPr>
          <w:sz w:val="24"/>
          <w:szCs w:val="24"/>
        </w:rPr>
        <w:tab/>
      </w:r>
      <w:r w:rsidRPr="0045273C">
        <w:rPr>
          <w:sz w:val="24"/>
          <w:szCs w:val="24"/>
        </w:rPr>
        <w:tab/>
      </w:r>
      <w:r w:rsidRPr="0045273C">
        <w:rPr>
          <w:sz w:val="24"/>
          <w:szCs w:val="24"/>
        </w:rPr>
        <w:tab/>
      </w:r>
      <w:r w:rsidRPr="0045273C">
        <w:rPr>
          <w:sz w:val="24"/>
          <w:szCs w:val="24"/>
        </w:rPr>
        <w:tab/>
        <w:t>Michael D. Dortch</w:t>
      </w:r>
    </w:p>
    <w:p w:rsidR="0090242A" w:rsidRDefault="0090242A" w:rsidP="0090242A">
      <w:pPr>
        <w:rPr>
          <w:sz w:val="24"/>
          <w:szCs w:val="24"/>
        </w:rPr>
      </w:pPr>
    </w:p>
    <w:p w:rsidR="0090242A" w:rsidRDefault="0090242A" w:rsidP="0090242A">
      <w:pPr>
        <w:rPr>
          <w:sz w:val="24"/>
          <w:szCs w:val="24"/>
        </w:rPr>
      </w:pPr>
    </w:p>
    <w:p w:rsidR="0090242A" w:rsidRDefault="0090242A" w:rsidP="0090242A">
      <w:pPr>
        <w:rPr>
          <w:b/>
          <w:u w:val="single"/>
        </w:rPr>
      </w:pPr>
      <w:r>
        <w:rPr>
          <w:b/>
          <w:u w:val="single"/>
        </w:rPr>
        <w:t>Names and Addresses:</w:t>
      </w:r>
    </w:p>
    <w:tbl>
      <w:tblPr>
        <w:tblW w:w="0" w:type="auto"/>
        <w:tblLook w:val="04A0" w:firstRow="1" w:lastRow="0" w:firstColumn="1" w:lastColumn="0" w:noHBand="0" w:noVBand="1"/>
      </w:tblPr>
      <w:tblGrid>
        <w:gridCol w:w="4788"/>
        <w:gridCol w:w="4788"/>
      </w:tblGrid>
      <w:tr w:rsidR="0090242A" w:rsidTr="00866838">
        <w:tc>
          <w:tcPr>
            <w:tcW w:w="4788" w:type="dxa"/>
          </w:tcPr>
          <w:p w:rsidR="0090242A" w:rsidRDefault="0090242A" w:rsidP="00866838">
            <w:r>
              <w:t>Steven T. Nourse</w:t>
            </w:r>
          </w:p>
          <w:p w:rsidR="0090242A" w:rsidRDefault="0090242A" w:rsidP="00866838">
            <w:r>
              <w:t>Matthew J. Satterwhite</w:t>
            </w:r>
          </w:p>
          <w:p w:rsidR="0090242A" w:rsidRDefault="0090242A" w:rsidP="00866838">
            <w:r>
              <w:t>Matthew S. McKenzie</w:t>
            </w:r>
          </w:p>
          <w:p w:rsidR="0090242A" w:rsidRDefault="0090242A" w:rsidP="00866838">
            <w:r>
              <w:t xml:space="preserve">American Electric Power Service Corporation </w:t>
            </w:r>
          </w:p>
          <w:p w:rsidR="0090242A" w:rsidRDefault="0090242A" w:rsidP="00866838">
            <w:r>
              <w:t>1 Riverside Plaza, 29</w:t>
            </w:r>
            <w:r>
              <w:rPr>
                <w:vertAlign w:val="superscript"/>
              </w:rPr>
              <w:t>th</w:t>
            </w:r>
            <w:r>
              <w:t xml:space="preserve"> Floor</w:t>
            </w:r>
          </w:p>
          <w:p w:rsidR="0090242A" w:rsidRDefault="0090242A" w:rsidP="00866838">
            <w:r>
              <w:t>Columbus, OH  43215</w:t>
            </w:r>
          </w:p>
          <w:p w:rsidR="0090242A" w:rsidRDefault="00087640" w:rsidP="00866838">
            <w:hyperlink r:id="rId15" w:history="1">
              <w:r w:rsidR="0090242A">
                <w:rPr>
                  <w:rStyle w:val="Hyperlink"/>
                </w:rPr>
                <w:t>stnourse@aep.com</w:t>
              </w:r>
            </w:hyperlink>
          </w:p>
          <w:p w:rsidR="0090242A" w:rsidRDefault="00087640" w:rsidP="00866838">
            <w:hyperlink r:id="rId16" w:history="1">
              <w:r w:rsidR="0090242A">
                <w:rPr>
                  <w:rStyle w:val="Hyperlink"/>
                </w:rPr>
                <w:t>mjsatterwhite@aep.com</w:t>
              </w:r>
            </w:hyperlink>
          </w:p>
          <w:p w:rsidR="0090242A" w:rsidRDefault="00087640" w:rsidP="00866838">
            <w:hyperlink r:id="rId17" w:history="1">
              <w:r w:rsidR="0090242A">
                <w:rPr>
                  <w:rStyle w:val="Hyperlink"/>
                </w:rPr>
                <w:t>msmckenzie@aep.com</w:t>
              </w:r>
            </w:hyperlink>
          </w:p>
          <w:p w:rsidR="0090242A" w:rsidRDefault="0090242A" w:rsidP="00866838">
            <w:pPr>
              <w:ind w:right="-36"/>
              <w:rPr>
                <w:sz w:val="24"/>
                <w:szCs w:val="24"/>
              </w:rPr>
            </w:pPr>
          </w:p>
        </w:tc>
        <w:tc>
          <w:tcPr>
            <w:tcW w:w="4788" w:type="dxa"/>
          </w:tcPr>
          <w:p w:rsidR="0090242A" w:rsidRDefault="0090242A" w:rsidP="00866838">
            <w:pPr>
              <w:ind w:right="-36"/>
            </w:pPr>
            <w:r>
              <w:t>Tony G. Mendoza</w:t>
            </w:r>
          </w:p>
          <w:p w:rsidR="0090242A" w:rsidRDefault="0090242A" w:rsidP="00866838">
            <w:pPr>
              <w:ind w:right="-36"/>
            </w:pPr>
            <w:r>
              <w:t>Kristen A. Henry</w:t>
            </w:r>
          </w:p>
          <w:p w:rsidR="0090242A" w:rsidRDefault="0090242A" w:rsidP="00866838">
            <w:pPr>
              <w:ind w:right="-36"/>
            </w:pPr>
            <w:r>
              <w:t>Sierra Club</w:t>
            </w:r>
          </w:p>
          <w:p w:rsidR="0090242A" w:rsidRDefault="0090242A" w:rsidP="00866838">
            <w:pPr>
              <w:ind w:right="-36"/>
            </w:pPr>
            <w:r>
              <w:t>Environmental Law Program</w:t>
            </w:r>
          </w:p>
          <w:p w:rsidR="0090242A" w:rsidRDefault="0090242A" w:rsidP="00866838">
            <w:pPr>
              <w:ind w:right="-36"/>
            </w:pPr>
            <w:r>
              <w:t>85 Second Street, 2</w:t>
            </w:r>
            <w:r>
              <w:rPr>
                <w:vertAlign w:val="superscript"/>
              </w:rPr>
              <w:t>nd</w:t>
            </w:r>
            <w:r>
              <w:t xml:space="preserve"> Floor</w:t>
            </w:r>
          </w:p>
          <w:p w:rsidR="0090242A" w:rsidRDefault="0090242A" w:rsidP="00866838">
            <w:pPr>
              <w:ind w:right="-36"/>
            </w:pPr>
            <w:r>
              <w:t>San Francisco, CA  94105-3459</w:t>
            </w:r>
          </w:p>
          <w:p w:rsidR="0090242A" w:rsidRDefault="00087640" w:rsidP="00866838">
            <w:pPr>
              <w:ind w:right="-36"/>
            </w:pPr>
            <w:hyperlink r:id="rId18" w:history="1">
              <w:r w:rsidR="0090242A">
                <w:rPr>
                  <w:rStyle w:val="Hyperlink"/>
                </w:rPr>
                <w:t>Tony.mendoza@sierraclub.org</w:t>
              </w:r>
            </w:hyperlink>
          </w:p>
          <w:p w:rsidR="0090242A" w:rsidRDefault="00087640" w:rsidP="00866838">
            <w:pPr>
              <w:ind w:right="-36"/>
            </w:pPr>
            <w:hyperlink r:id="rId19" w:history="1">
              <w:r w:rsidR="0090242A">
                <w:rPr>
                  <w:rStyle w:val="Hyperlink"/>
                </w:rPr>
                <w:t>Kristin.henry@sierraclub.org</w:t>
              </w:r>
            </w:hyperlink>
          </w:p>
          <w:p w:rsidR="0090242A" w:rsidRDefault="0090242A" w:rsidP="00866838">
            <w:pPr>
              <w:ind w:right="-36"/>
              <w:rPr>
                <w:sz w:val="24"/>
                <w:szCs w:val="24"/>
              </w:rPr>
            </w:pPr>
          </w:p>
        </w:tc>
      </w:tr>
      <w:tr w:rsidR="0090242A" w:rsidTr="00866838">
        <w:tc>
          <w:tcPr>
            <w:tcW w:w="4788" w:type="dxa"/>
          </w:tcPr>
          <w:p w:rsidR="0090242A" w:rsidRDefault="0090242A" w:rsidP="00866838">
            <w:r>
              <w:t>Samuel C. Randazzo</w:t>
            </w:r>
          </w:p>
          <w:p w:rsidR="0090242A" w:rsidRDefault="0090242A" w:rsidP="00866838">
            <w:r>
              <w:t>Frank P. Darr</w:t>
            </w:r>
          </w:p>
          <w:p w:rsidR="0090242A" w:rsidRDefault="0090242A" w:rsidP="00866838">
            <w:r>
              <w:t>Matthew R. Pritchard</w:t>
            </w:r>
          </w:p>
          <w:p w:rsidR="0090242A" w:rsidRDefault="0090242A" w:rsidP="00866838">
            <w:r>
              <w:t>McNees Wallace &amp; Nurick LLC</w:t>
            </w:r>
          </w:p>
          <w:p w:rsidR="0090242A" w:rsidRDefault="0090242A" w:rsidP="00866838">
            <w:r>
              <w:t>21 E. State Street, 17</w:t>
            </w:r>
            <w:r>
              <w:rPr>
                <w:vertAlign w:val="superscript"/>
              </w:rPr>
              <w:t>th</w:t>
            </w:r>
            <w:r>
              <w:t xml:space="preserve"> Floor</w:t>
            </w:r>
          </w:p>
          <w:p w:rsidR="0090242A" w:rsidRDefault="0090242A" w:rsidP="00866838">
            <w:r>
              <w:t>Columbus, OH 43215</w:t>
            </w:r>
          </w:p>
          <w:p w:rsidR="0090242A" w:rsidRDefault="00087640" w:rsidP="00866838">
            <w:hyperlink r:id="rId20" w:history="1">
              <w:r w:rsidR="0090242A">
                <w:rPr>
                  <w:rStyle w:val="Hyperlink"/>
                </w:rPr>
                <w:t>sam@mwncmh.com</w:t>
              </w:r>
            </w:hyperlink>
          </w:p>
          <w:p w:rsidR="0090242A" w:rsidRDefault="00087640" w:rsidP="00866838">
            <w:hyperlink r:id="rId21" w:history="1">
              <w:r w:rsidR="0090242A">
                <w:rPr>
                  <w:rStyle w:val="Hyperlink"/>
                </w:rPr>
                <w:t>fdarr@mwncmh.com</w:t>
              </w:r>
            </w:hyperlink>
          </w:p>
          <w:p w:rsidR="0090242A" w:rsidRDefault="00087640" w:rsidP="00866838">
            <w:hyperlink r:id="rId22" w:history="1">
              <w:r w:rsidR="0090242A">
                <w:rPr>
                  <w:rStyle w:val="Hyperlink"/>
                </w:rPr>
                <w:t>mpritchard@mwncmh.com</w:t>
              </w:r>
            </w:hyperlink>
          </w:p>
          <w:p w:rsidR="0090242A" w:rsidRDefault="0090242A" w:rsidP="00866838">
            <w:pPr>
              <w:rPr>
                <w:sz w:val="24"/>
                <w:szCs w:val="24"/>
              </w:rPr>
            </w:pPr>
          </w:p>
        </w:tc>
        <w:tc>
          <w:tcPr>
            <w:tcW w:w="4788" w:type="dxa"/>
          </w:tcPr>
          <w:p w:rsidR="0090242A" w:rsidRDefault="0090242A" w:rsidP="00866838">
            <w:pPr>
              <w:autoSpaceDE w:val="0"/>
              <w:autoSpaceDN w:val="0"/>
              <w:adjustRightInd w:val="0"/>
            </w:pPr>
            <w:r>
              <w:t>Richard C. Sahli (Ohio Bar #0007360)</w:t>
            </w:r>
          </w:p>
          <w:p w:rsidR="0090242A" w:rsidRDefault="0090242A" w:rsidP="00866838">
            <w:pPr>
              <w:autoSpaceDE w:val="0"/>
              <w:autoSpaceDN w:val="0"/>
              <w:adjustRightInd w:val="0"/>
            </w:pPr>
            <w:r>
              <w:t>Richard Sahli Law Office, LLC</w:t>
            </w:r>
          </w:p>
          <w:p w:rsidR="0090242A" w:rsidRDefault="0090242A" w:rsidP="00866838">
            <w:pPr>
              <w:autoSpaceDE w:val="0"/>
              <w:autoSpaceDN w:val="0"/>
              <w:adjustRightInd w:val="0"/>
            </w:pPr>
            <w:r>
              <w:t>981 Pinewood Lane</w:t>
            </w:r>
          </w:p>
          <w:p w:rsidR="0090242A" w:rsidRDefault="0090242A" w:rsidP="00866838">
            <w:pPr>
              <w:ind w:right="-36"/>
            </w:pPr>
            <w:r>
              <w:t>Columbus, Ohio 43230-3662</w:t>
            </w:r>
          </w:p>
          <w:p w:rsidR="0090242A" w:rsidRDefault="00087640" w:rsidP="00866838">
            <w:pPr>
              <w:ind w:right="-36"/>
            </w:pPr>
            <w:hyperlink r:id="rId23" w:history="1">
              <w:r w:rsidR="0090242A">
                <w:rPr>
                  <w:rStyle w:val="Hyperlink"/>
                </w:rPr>
                <w:t>rsahli@columbus.rr.com</w:t>
              </w:r>
            </w:hyperlink>
            <w:r w:rsidR="0090242A">
              <w:t xml:space="preserve"> </w:t>
            </w:r>
          </w:p>
          <w:p w:rsidR="0090242A" w:rsidRDefault="0090242A" w:rsidP="00866838">
            <w:pPr>
              <w:ind w:right="-36"/>
              <w:rPr>
                <w:sz w:val="24"/>
                <w:szCs w:val="24"/>
              </w:rPr>
            </w:pPr>
          </w:p>
        </w:tc>
      </w:tr>
      <w:tr w:rsidR="0090242A" w:rsidTr="00866838">
        <w:tc>
          <w:tcPr>
            <w:tcW w:w="4788" w:type="dxa"/>
          </w:tcPr>
          <w:p w:rsidR="0090242A" w:rsidRDefault="0090242A" w:rsidP="00866838">
            <w:r>
              <w:t>Mark S. Yurick</w:t>
            </w:r>
          </w:p>
          <w:p w:rsidR="0090242A" w:rsidRDefault="0090242A" w:rsidP="00866838">
            <w:r>
              <w:t>Taft Stettinius &amp; Hollister LLP</w:t>
            </w:r>
          </w:p>
          <w:p w:rsidR="0090242A" w:rsidRDefault="0090242A" w:rsidP="00866838">
            <w:r>
              <w:t>65 E. State Street, Ste. 1000</w:t>
            </w:r>
          </w:p>
          <w:p w:rsidR="0090242A" w:rsidRDefault="0090242A" w:rsidP="00866838">
            <w:r>
              <w:t>Columbus, OH  43215</w:t>
            </w:r>
          </w:p>
          <w:p w:rsidR="0090242A" w:rsidRDefault="00087640" w:rsidP="00866838">
            <w:hyperlink r:id="rId24" w:history="1">
              <w:r w:rsidR="0090242A">
                <w:rPr>
                  <w:rStyle w:val="Hyperlink"/>
                </w:rPr>
                <w:t>myurick@taftlaw.com</w:t>
              </w:r>
            </w:hyperlink>
          </w:p>
          <w:p w:rsidR="0090242A" w:rsidRDefault="0090242A" w:rsidP="00866838">
            <w:pPr>
              <w:rPr>
                <w:sz w:val="24"/>
                <w:szCs w:val="24"/>
              </w:rPr>
            </w:pPr>
          </w:p>
        </w:tc>
        <w:tc>
          <w:tcPr>
            <w:tcW w:w="4788" w:type="dxa"/>
          </w:tcPr>
          <w:p w:rsidR="0090242A" w:rsidRDefault="0090242A" w:rsidP="00866838">
            <w:pPr>
              <w:ind w:right="-36"/>
            </w:pPr>
            <w:r>
              <w:t>Kevin R. Schmidt</w:t>
            </w:r>
          </w:p>
          <w:p w:rsidR="0090242A" w:rsidRDefault="0090242A" w:rsidP="00866838">
            <w:pPr>
              <w:ind w:right="-36"/>
            </w:pPr>
            <w:r>
              <w:t>88 E. Broad Street, Ste. 1770</w:t>
            </w:r>
          </w:p>
          <w:p w:rsidR="0090242A" w:rsidRDefault="0090242A" w:rsidP="00866838">
            <w:pPr>
              <w:ind w:right="-36"/>
            </w:pPr>
            <w:r>
              <w:t>Columbus, OH  43215</w:t>
            </w:r>
          </w:p>
          <w:p w:rsidR="0090242A" w:rsidRDefault="00087640" w:rsidP="00866838">
            <w:pPr>
              <w:ind w:right="-36"/>
            </w:pPr>
            <w:hyperlink r:id="rId25" w:history="1">
              <w:r w:rsidR="0090242A">
                <w:rPr>
                  <w:rStyle w:val="Hyperlink"/>
                </w:rPr>
                <w:t>Schmidt@sppgrp.com</w:t>
              </w:r>
            </w:hyperlink>
          </w:p>
          <w:p w:rsidR="0090242A" w:rsidRDefault="0090242A" w:rsidP="00866838">
            <w:pPr>
              <w:ind w:right="-36"/>
              <w:rPr>
                <w:sz w:val="24"/>
                <w:szCs w:val="24"/>
              </w:rPr>
            </w:pPr>
          </w:p>
          <w:p w:rsidR="0090242A" w:rsidRDefault="0090242A" w:rsidP="00866838">
            <w:pPr>
              <w:ind w:right="-36"/>
              <w:rPr>
                <w:sz w:val="24"/>
                <w:szCs w:val="24"/>
              </w:rPr>
            </w:pPr>
          </w:p>
          <w:p w:rsidR="0090242A" w:rsidRDefault="0090242A" w:rsidP="00866838">
            <w:pPr>
              <w:ind w:right="-36"/>
              <w:rPr>
                <w:sz w:val="24"/>
                <w:szCs w:val="24"/>
              </w:rPr>
            </w:pPr>
          </w:p>
        </w:tc>
      </w:tr>
      <w:tr w:rsidR="0090242A" w:rsidTr="00866838">
        <w:tc>
          <w:tcPr>
            <w:tcW w:w="4788" w:type="dxa"/>
          </w:tcPr>
          <w:p w:rsidR="0090242A" w:rsidRDefault="0090242A" w:rsidP="00866838"/>
          <w:p w:rsidR="0090242A" w:rsidRDefault="0090242A" w:rsidP="00866838">
            <w:r>
              <w:t>Michael L. Kurtz</w:t>
            </w:r>
          </w:p>
          <w:p w:rsidR="0090242A" w:rsidRDefault="0090242A" w:rsidP="00866838">
            <w:r>
              <w:t>David F. Boehm</w:t>
            </w:r>
          </w:p>
          <w:p w:rsidR="0090242A" w:rsidRDefault="0090242A" w:rsidP="00866838">
            <w:r>
              <w:t>Jody Kyler Cohn</w:t>
            </w:r>
          </w:p>
          <w:p w:rsidR="0090242A" w:rsidRDefault="0090242A" w:rsidP="00866838">
            <w:r>
              <w:t>Boehm, Kurtz &amp; Lowry</w:t>
            </w:r>
          </w:p>
          <w:p w:rsidR="0090242A" w:rsidRDefault="0090242A" w:rsidP="00866838">
            <w:r>
              <w:t>36 E. Seventh Street, Ste. 1510</w:t>
            </w:r>
          </w:p>
          <w:p w:rsidR="0090242A" w:rsidRDefault="0090242A" w:rsidP="00866838">
            <w:r>
              <w:t>Cincinnati, OH  45202</w:t>
            </w:r>
          </w:p>
          <w:p w:rsidR="0090242A" w:rsidRDefault="00087640" w:rsidP="00866838">
            <w:hyperlink r:id="rId26" w:history="1">
              <w:r w:rsidR="0090242A">
                <w:rPr>
                  <w:rStyle w:val="Hyperlink"/>
                </w:rPr>
                <w:t>mkurtz@BKLlawfirm.com</w:t>
              </w:r>
            </w:hyperlink>
          </w:p>
          <w:p w:rsidR="0090242A" w:rsidRDefault="00087640" w:rsidP="00866838">
            <w:hyperlink r:id="rId27" w:history="1">
              <w:r w:rsidR="0090242A">
                <w:rPr>
                  <w:rStyle w:val="Hyperlink"/>
                </w:rPr>
                <w:t>dboehm@BKLlawfirm.com</w:t>
              </w:r>
            </w:hyperlink>
          </w:p>
          <w:p w:rsidR="0090242A" w:rsidRDefault="00087640" w:rsidP="00866838">
            <w:hyperlink r:id="rId28" w:history="1">
              <w:r w:rsidR="0090242A">
                <w:rPr>
                  <w:rStyle w:val="Hyperlink"/>
                </w:rPr>
                <w:t>jkyler@BKLlawfirm.com</w:t>
              </w:r>
            </w:hyperlink>
            <w:r w:rsidR="0090242A">
              <w:t xml:space="preserve"> </w:t>
            </w:r>
          </w:p>
          <w:p w:rsidR="0090242A" w:rsidRDefault="0090242A" w:rsidP="00866838">
            <w:pPr>
              <w:rPr>
                <w:sz w:val="24"/>
                <w:szCs w:val="24"/>
              </w:rPr>
            </w:pPr>
          </w:p>
        </w:tc>
        <w:tc>
          <w:tcPr>
            <w:tcW w:w="4788" w:type="dxa"/>
          </w:tcPr>
          <w:p w:rsidR="0090242A" w:rsidRDefault="0090242A" w:rsidP="00866838">
            <w:pPr>
              <w:ind w:right="-36"/>
            </w:pPr>
            <w:r>
              <w:t>Trent Dougherty</w:t>
            </w:r>
          </w:p>
          <w:p w:rsidR="0090242A" w:rsidRDefault="0090242A" w:rsidP="00866838">
            <w:pPr>
              <w:ind w:right="-36"/>
            </w:pPr>
            <w:r>
              <w:t>1207 Grandview Avenue, Ste. 201</w:t>
            </w:r>
          </w:p>
          <w:p w:rsidR="0090242A" w:rsidRDefault="0090242A" w:rsidP="00866838">
            <w:pPr>
              <w:ind w:right="-36"/>
            </w:pPr>
            <w:r>
              <w:t>Columbus, OH  43212-3449</w:t>
            </w:r>
          </w:p>
          <w:p w:rsidR="0090242A" w:rsidRDefault="00087640" w:rsidP="00866838">
            <w:pPr>
              <w:ind w:right="-36"/>
            </w:pPr>
            <w:hyperlink r:id="rId29" w:history="1">
              <w:r w:rsidR="0090242A">
                <w:rPr>
                  <w:rStyle w:val="Hyperlink"/>
                </w:rPr>
                <w:t>tdougherty@theOEC.org</w:t>
              </w:r>
            </w:hyperlink>
          </w:p>
          <w:p w:rsidR="0090242A" w:rsidRDefault="0090242A" w:rsidP="00866838">
            <w:pPr>
              <w:ind w:right="-36"/>
              <w:rPr>
                <w:sz w:val="24"/>
                <w:szCs w:val="24"/>
              </w:rPr>
            </w:pPr>
          </w:p>
        </w:tc>
      </w:tr>
      <w:tr w:rsidR="0090242A" w:rsidTr="00866838">
        <w:tc>
          <w:tcPr>
            <w:tcW w:w="4788" w:type="dxa"/>
            <w:hideMark/>
          </w:tcPr>
          <w:p w:rsidR="0090242A" w:rsidRDefault="0090242A" w:rsidP="00866838">
            <w:r>
              <w:t>Mark A. Hayden</w:t>
            </w:r>
          </w:p>
          <w:p w:rsidR="0090242A" w:rsidRDefault="0090242A" w:rsidP="00866838">
            <w:r>
              <w:t>Jacob A. McDermott</w:t>
            </w:r>
          </w:p>
          <w:p w:rsidR="0090242A" w:rsidRDefault="0090242A" w:rsidP="00866838">
            <w:r>
              <w:t>Scott J. Casto</w:t>
            </w:r>
          </w:p>
          <w:p w:rsidR="0090242A" w:rsidRDefault="0090242A" w:rsidP="00866838">
            <w:r>
              <w:t>FirstEnergy Service Company</w:t>
            </w:r>
          </w:p>
          <w:p w:rsidR="0090242A" w:rsidRDefault="0090242A" w:rsidP="00866838">
            <w:r>
              <w:t>76 S. Main Street</w:t>
            </w:r>
          </w:p>
          <w:p w:rsidR="0090242A" w:rsidRDefault="0090242A" w:rsidP="00866838">
            <w:r>
              <w:t>Akron, OH  44308</w:t>
            </w:r>
          </w:p>
          <w:p w:rsidR="0090242A" w:rsidRDefault="00087640" w:rsidP="00866838">
            <w:hyperlink r:id="rId30" w:history="1">
              <w:r w:rsidR="0090242A">
                <w:rPr>
                  <w:rStyle w:val="Hyperlink"/>
                </w:rPr>
                <w:t>haydenm@firstenergycorp.com</w:t>
              </w:r>
            </w:hyperlink>
          </w:p>
          <w:p w:rsidR="0090242A" w:rsidRDefault="00087640" w:rsidP="00866838">
            <w:hyperlink r:id="rId31" w:history="1">
              <w:r w:rsidR="0090242A">
                <w:rPr>
                  <w:rStyle w:val="Hyperlink"/>
                </w:rPr>
                <w:t>jmcdermott@firstenergycorp.com</w:t>
              </w:r>
            </w:hyperlink>
          </w:p>
          <w:p w:rsidR="0090242A" w:rsidRDefault="00087640" w:rsidP="00866838">
            <w:pPr>
              <w:rPr>
                <w:sz w:val="24"/>
                <w:szCs w:val="24"/>
              </w:rPr>
            </w:pPr>
            <w:hyperlink r:id="rId32" w:history="1">
              <w:r w:rsidR="0090242A">
                <w:rPr>
                  <w:rStyle w:val="Hyperlink"/>
                </w:rPr>
                <w:t>scasto@firstenergycorp.com</w:t>
              </w:r>
            </w:hyperlink>
          </w:p>
        </w:tc>
        <w:tc>
          <w:tcPr>
            <w:tcW w:w="4788" w:type="dxa"/>
            <w:hideMark/>
          </w:tcPr>
          <w:p w:rsidR="0090242A" w:rsidRDefault="0090242A" w:rsidP="00866838">
            <w:pPr>
              <w:ind w:right="-36"/>
            </w:pPr>
            <w:r>
              <w:t>Thomas J. O’Brien</w:t>
            </w:r>
          </w:p>
          <w:p w:rsidR="0090242A" w:rsidRDefault="0090242A" w:rsidP="00866838">
            <w:pPr>
              <w:ind w:right="-36"/>
            </w:pPr>
            <w:r>
              <w:t>Bricker &amp; Eckler LLP</w:t>
            </w:r>
          </w:p>
          <w:p w:rsidR="0090242A" w:rsidRDefault="0090242A" w:rsidP="00866838">
            <w:pPr>
              <w:ind w:right="-36"/>
            </w:pPr>
            <w:r>
              <w:t>100 S. Third Street</w:t>
            </w:r>
          </w:p>
          <w:p w:rsidR="0090242A" w:rsidRDefault="0090242A" w:rsidP="00866838">
            <w:pPr>
              <w:ind w:right="-36"/>
            </w:pPr>
            <w:r>
              <w:t>Columbus, OH  43215-4291</w:t>
            </w:r>
          </w:p>
          <w:p w:rsidR="0090242A" w:rsidRDefault="00087640" w:rsidP="00866838">
            <w:pPr>
              <w:ind w:right="-36"/>
              <w:rPr>
                <w:sz w:val="24"/>
                <w:szCs w:val="24"/>
              </w:rPr>
            </w:pPr>
            <w:hyperlink r:id="rId33" w:history="1">
              <w:r w:rsidR="0090242A">
                <w:rPr>
                  <w:rStyle w:val="Hyperlink"/>
                </w:rPr>
                <w:t>tobrien@bricker.com</w:t>
              </w:r>
            </w:hyperlink>
          </w:p>
        </w:tc>
      </w:tr>
      <w:tr w:rsidR="0090242A" w:rsidTr="00866838">
        <w:tc>
          <w:tcPr>
            <w:tcW w:w="4788" w:type="dxa"/>
          </w:tcPr>
          <w:p w:rsidR="0090242A" w:rsidRDefault="0090242A" w:rsidP="00866838">
            <w:r>
              <w:t>James F. Lang</w:t>
            </w:r>
          </w:p>
          <w:p w:rsidR="0090242A" w:rsidRDefault="0090242A" w:rsidP="00866838">
            <w:r>
              <w:t>N. Trevor Alexander</w:t>
            </w:r>
          </w:p>
          <w:p w:rsidR="0090242A" w:rsidRDefault="0090242A" w:rsidP="00866838">
            <w:r>
              <w:t>Calfee, Halter &amp; Griswold LLP</w:t>
            </w:r>
          </w:p>
          <w:p w:rsidR="0090242A" w:rsidRDefault="0090242A" w:rsidP="00866838">
            <w:r>
              <w:t>The Calfee Building</w:t>
            </w:r>
          </w:p>
          <w:p w:rsidR="0090242A" w:rsidRDefault="0090242A" w:rsidP="00866838">
            <w:r>
              <w:t>1405 E. Sixth Street</w:t>
            </w:r>
          </w:p>
          <w:p w:rsidR="0090242A" w:rsidRDefault="0090242A" w:rsidP="00866838">
            <w:r>
              <w:t>Cleveland, OH  44114</w:t>
            </w:r>
          </w:p>
          <w:p w:rsidR="0090242A" w:rsidRDefault="00087640" w:rsidP="00866838">
            <w:hyperlink r:id="rId34" w:history="1">
              <w:r w:rsidR="0090242A">
                <w:rPr>
                  <w:rStyle w:val="Hyperlink"/>
                </w:rPr>
                <w:t>jlang@calfee.com</w:t>
              </w:r>
            </w:hyperlink>
          </w:p>
          <w:p w:rsidR="0090242A" w:rsidRDefault="00087640" w:rsidP="00866838">
            <w:hyperlink r:id="rId35" w:history="1">
              <w:r w:rsidR="0090242A">
                <w:rPr>
                  <w:rStyle w:val="Hyperlink"/>
                </w:rPr>
                <w:t>talexander@calfee.com</w:t>
              </w:r>
            </w:hyperlink>
          </w:p>
          <w:p w:rsidR="0090242A" w:rsidRDefault="0090242A" w:rsidP="00866838">
            <w:pPr>
              <w:rPr>
                <w:sz w:val="24"/>
                <w:szCs w:val="24"/>
              </w:rPr>
            </w:pPr>
          </w:p>
        </w:tc>
        <w:tc>
          <w:tcPr>
            <w:tcW w:w="4788" w:type="dxa"/>
          </w:tcPr>
          <w:p w:rsidR="0090242A" w:rsidRDefault="0090242A" w:rsidP="00866838">
            <w:pPr>
              <w:ind w:right="-36"/>
            </w:pPr>
            <w:r>
              <w:t>Jeffrey W. Mayes</w:t>
            </w:r>
          </w:p>
          <w:p w:rsidR="0090242A" w:rsidRDefault="0090242A" w:rsidP="00866838">
            <w:pPr>
              <w:ind w:right="-36"/>
            </w:pPr>
            <w:r>
              <w:t>Monitoring Analytics, LLC</w:t>
            </w:r>
          </w:p>
          <w:p w:rsidR="0090242A" w:rsidRDefault="0090242A" w:rsidP="00866838">
            <w:pPr>
              <w:ind w:right="-36"/>
            </w:pPr>
            <w:r>
              <w:t>2621 Van Buren Avenue, Ste. 160</w:t>
            </w:r>
          </w:p>
          <w:p w:rsidR="0090242A" w:rsidRDefault="0090242A" w:rsidP="00866838">
            <w:pPr>
              <w:ind w:right="-36"/>
            </w:pPr>
            <w:r>
              <w:t>Valley Forge Corporate Center</w:t>
            </w:r>
          </w:p>
          <w:p w:rsidR="0090242A" w:rsidRDefault="0090242A" w:rsidP="00866838">
            <w:pPr>
              <w:ind w:right="-36"/>
            </w:pPr>
            <w:r>
              <w:t>Eagleville, PA  19403</w:t>
            </w:r>
          </w:p>
          <w:p w:rsidR="0090242A" w:rsidRDefault="00087640" w:rsidP="00866838">
            <w:pPr>
              <w:ind w:right="-36"/>
            </w:pPr>
            <w:hyperlink r:id="rId36" w:history="1">
              <w:r w:rsidR="0090242A">
                <w:rPr>
                  <w:rStyle w:val="Hyperlink"/>
                </w:rPr>
                <w:t>Jeffrey.mayes@monitoringanalytics.com</w:t>
              </w:r>
            </w:hyperlink>
          </w:p>
          <w:p w:rsidR="0090242A" w:rsidRDefault="0090242A" w:rsidP="00866838">
            <w:pPr>
              <w:ind w:right="-36"/>
              <w:rPr>
                <w:sz w:val="24"/>
                <w:szCs w:val="24"/>
              </w:rPr>
            </w:pPr>
          </w:p>
        </w:tc>
      </w:tr>
      <w:tr w:rsidR="0090242A" w:rsidTr="00866838">
        <w:tc>
          <w:tcPr>
            <w:tcW w:w="4788" w:type="dxa"/>
          </w:tcPr>
          <w:p w:rsidR="0090242A" w:rsidRDefault="0090242A" w:rsidP="00866838">
            <w:r>
              <w:t>Terrence O’Donnell</w:t>
            </w:r>
          </w:p>
          <w:p w:rsidR="0090242A" w:rsidRDefault="0090242A" w:rsidP="00866838">
            <w:r>
              <w:t>Dickinson Wright PLLC</w:t>
            </w:r>
          </w:p>
          <w:p w:rsidR="0090242A" w:rsidRDefault="0090242A" w:rsidP="00866838">
            <w:r>
              <w:t>150 E. Gay Street, Ste. 2400</w:t>
            </w:r>
          </w:p>
          <w:p w:rsidR="0090242A" w:rsidRDefault="0090242A" w:rsidP="00866838">
            <w:r>
              <w:t>Columbus, OH  43215</w:t>
            </w:r>
          </w:p>
          <w:p w:rsidR="0090242A" w:rsidRDefault="00087640" w:rsidP="00866838">
            <w:hyperlink r:id="rId37" w:history="1">
              <w:r w:rsidR="0090242A">
                <w:rPr>
                  <w:rStyle w:val="Hyperlink"/>
                </w:rPr>
                <w:t>todonnell@dickinsonwright.com</w:t>
              </w:r>
            </w:hyperlink>
          </w:p>
          <w:p w:rsidR="0090242A" w:rsidRDefault="0090242A" w:rsidP="00866838">
            <w:pPr>
              <w:rPr>
                <w:sz w:val="24"/>
                <w:szCs w:val="24"/>
              </w:rPr>
            </w:pPr>
          </w:p>
        </w:tc>
        <w:tc>
          <w:tcPr>
            <w:tcW w:w="4788" w:type="dxa"/>
          </w:tcPr>
          <w:p w:rsidR="0090242A" w:rsidRDefault="0090242A" w:rsidP="00866838">
            <w:pPr>
              <w:ind w:right="-36"/>
            </w:pPr>
            <w:r>
              <w:t>Lisa Hawrot</w:t>
            </w:r>
          </w:p>
          <w:p w:rsidR="0090242A" w:rsidRDefault="0090242A" w:rsidP="00866838">
            <w:pPr>
              <w:ind w:right="-36"/>
            </w:pPr>
            <w:r>
              <w:t>Spilman Thomas &amp; Battle, PLLC</w:t>
            </w:r>
          </w:p>
          <w:p w:rsidR="0090242A" w:rsidRDefault="0090242A" w:rsidP="00866838">
            <w:pPr>
              <w:ind w:right="-36"/>
            </w:pPr>
            <w:r>
              <w:t>Century Centre Building</w:t>
            </w:r>
          </w:p>
          <w:p w:rsidR="0090242A" w:rsidRDefault="0090242A" w:rsidP="00866838">
            <w:pPr>
              <w:ind w:right="-36"/>
            </w:pPr>
            <w:r>
              <w:t>1233 Main Street, Ste. 4000</w:t>
            </w:r>
          </w:p>
          <w:p w:rsidR="0090242A" w:rsidRDefault="0090242A" w:rsidP="00866838">
            <w:pPr>
              <w:ind w:right="-36"/>
            </w:pPr>
            <w:r>
              <w:t>Wheeling, WV  26003</w:t>
            </w:r>
          </w:p>
          <w:p w:rsidR="0090242A" w:rsidRDefault="00087640" w:rsidP="00866838">
            <w:pPr>
              <w:ind w:right="-36"/>
            </w:pPr>
            <w:hyperlink r:id="rId38" w:history="1">
              <w:r w:rsidR="0090242A">
                <w:rPr>
                  <w:rStyle w:val="Hyperlink"/>
                </w:rPr>
                <w:t>lhawrot@spilmanlaw.com</w:t>
              </w:r>
            </w:hyperlink>
          </w:p>
          <w:p w:rsidR="0090242A" w:rsidRDefault="0090242A" w:rsidP="00866838">
            <w:pPr>
              <w:ind w:right="-36"/>
              <w:rPr>
                <w:sz w:val="24"/>
                <w:szCs w:val="24"/>
              </w:rPr>
            </w:pPr>
          </w:p>
        </w:tc>
      </w:tr>
      <w:tr w:rsidR="0090242A" w:rsidTr="00866838">
        <w:tc>
          <w:tcPr>
            <w:tcW w:w="4788" w:type="dxa"/>
          </w:tcPr>
          <w:p w:rsidR="0090242A" w:rsidRDefault="0090242A" w:rsidP="00866838">
            <w:r>
              <w:t>Kurt P. Helfrich</w:t>
            </w:r>
          </w:p>
          <w:p w:rsidR="0090242A" w:rsidRDefault="0090242A" w:rsidP="00866838">
            <w:r>
              <w:t>Scott Campbell</w:t>
            </w:r>
          </w:p>
          <w:p w:rsidR="0090242A" w:rsidRDefault="0090242A" w:rsidP="00866838">
            <w:r>
              <w:t>Stephanie M. Chmiel</w:t>
            </w:r>
          </w:p>
          <w:p w:rsidR="0090242A" w:rsidRDefault="0090242A" w:rsidP="00866838">
            <w:r>
              <w:t>Thompson Hine LLP</w:t>
            </w:r>
          </w:p>
          <w:p w:rsidR="0090242A" w:rsidRDefault="0090242A" w:rsidP="00866838">
            <w:r>
              <w:t>41 S. High Street, Ste. 1700</w:t>
            </w:r>
          </w:p>
          <w:p w:rsidR="0090242A" w:rsidRDefault="0090242A" w:rsidP="00866838">
            <w:r>
              <w:t>Columbus, OH  43215-6101</w:t>
            </w:r>
          </w:p>
          <w:p w:rsidR="0090242A" w:rsidRDefault="00087640" w:rsidP="00866838">
            <w:hyperlink r:id="rId39" w:history="1">
              <w:r w:rsidR="0090242A">
                <w:rPr>
                  <w:rStyle w:val="Hyperlink"/>
                </w:rPr>
                <w:t>Kurt.helfrich@ThompsonHine.com</w:t>
              </w:r>
            </w:hyperlink>
          </w:p>
          <w:p w:rsidR="0090242A" w:rsidRDefault="00087640" w:rsidP="00866838">
            <w:hyperlink r:id="rId40" w:history="1">
              <w:r w:rsidR="0090242A">
                <w:rPr>
                  <w:rStyle w:val="Hyperlink"/>
                </w:rPr>
                <w:t>Scott.campbell@ThompsonHine.com</w:t>
              </w:r>
            </w:hyperlink>
          </w:p>
          <w:p w:rsidR="0090242A" w:rsidRDefault="00087640" w:rsidP="00866838">
            <w:hyperlink r:id="rId41" w:history="1">
              <w:r w:rsidR="0090242A">
                <w:rPr>
                  <w:rStyle w:val="Hyperlink"/>
                </w:rPr>
                <w:t>Stephanie.Chmiel@ThompsonHine.com</w:t>
              </w:r>
            </w:hyperlink>
          </w:p>
          <w:p w:rsidR="0090242A" w:rsidRDefault="0090242A" w:rsidP="00866838"/>
          <w:p w:rsidR="0090242A" w:rsidRDefault="0090242A" w:rsidP="00866838">
            <w:pPr>
              <w:rPr>
                <w:sz w:val="24"/>
                <w:szCs w:val="24"/>
              </w:rPr>
            </w:pPr>
          </w:p>
        </w:tc>
        <w:tc>
          <w:tcPr>
            <w:tcW w:w="4788" w:type="dxa"/>
            <w:hideMark/>
          </w:tcPr>
          <w:p w:rsidR="0090242A" w:rsidRDefault="0090242A" w:rsidP="00866838">
            <w:pPr>
              <w:ind w:right="-36"/>
            </w:pPr>
            <w:r>
              <w:t>Derrick Price Williamson</w:t>
            </w:r>
          </w:p>
          <w:p w:rsidR="0090242A" w:rsidRDefault="0090242A" w:rsidP="00866838">
            <w:pPr>
              <w:ind w:right="-36"/>
            </w:pPr>
            <w:r>
              <w:t>Spilman Thomas &amp; Battle, PLLC</w:t>
            </w:r>
          </w:p>
          <w:p w:rsidR="0090242A" w:rsidRDefault="0090242A" w:rsidP="00866838">
            <w:pPr>
              <w:ind w:right="-36"/>
            </w:pPr>
            <w:r>
              <w:t>1100 Bent Creek Blvd., Ste. 101</w:t>
            </w:r>
          </w:p>
          <w:p w:rsidR="0090242A" w:rsidRDefault="0090242A" w:rsidP="00866838">
            <w:pPr>
              <w:ind w:right="-36"/>
            </w:pPr>
            <w:r>
              <w:t>Mechanicsburg, PA  17050</w:t>
            </w:r>
          </w:p>
          <w:p w:rsidR="0090242A" w:rsidRDefault="00087640" w:rsidP="00866838">
            <w:pPr>
              <w:ind w:right="-36"/>
              <w:rPr>
                <w:sz w:val="24"/>
                <w:szCs w:val="24"/>
              </w:rPr>
            </w:pPr>
            <w:hyperlink r:id="rId42" w:history="1">
              <w:r w:rsidR="0090242A">
                <w:rPr>
                  <w:rStyle w:val="Hyperlink"/>
                </w:rPr>
                <w:t>dwilliamson@spilmanlaw.com</w:t>
              </w:r>
            </w:hyperlink>
          </w:p>
        </w:tc>
      </w:tr>
      <w:tr w:rsidR="0090242A" w:rsidTr="00866838">
        <w:tc>
          <w:tcPr>
            <w:tcW w:w="4788" w:type="dxa"/>
          </w:tcPr>
          <w:p w:rsidR="0090242A" w:rsidRDefault="0090242A" w:rsidP="00866838">
            <w:r>
              <w:lastRenderedPageBreak/>
              <w:t>Richard L. Sites</w:t>
            </w:r>
          </w:p>
          <w:p w:rsidR="0090242A" w:rsidRDefault="0090242A" w:rsidP="00866838">
            <w:r>
              <w:t>Ohio Hospital Association</w:t>
            </w:r>
          </w:p>
          <w:p w:rsidR="0090242A" w:rsidRDefault="0090242A" w:rsidP="00866838">
            <w:r>
              <w:t>155 E. Broad Street, 3</w:t>
            </w:r>
            <w:r>
              <w:rPr>
                <w:vertAlign w:val="superscript"/>
              </w:rPr>
              <w:t>rd</w:t>
            </w:r>
            <w:r>
              <w:t xml:space="preserve"> Floor</w:t>
            </w:r>
          </w:p>
          <w:p w:rsidR="0090242A" w:rsidRDefault="0090242A" w:rsidP="00866838">
            <w:r>
              <w:t>Columbus, OH  43215-3620</w:t>
            </w:r>
          </w:p>
          <w:p w:rsidR="0090242A" w:rsidRDefault="00087640" w:rsidP="00866838">
            <w:hyperlink r:id="rId43" w:history="1">
              <w:r w:rsidR="0090242A">
                <w:rPr>
                  <w:rStyle w:val="Hyperlink"/>
                </w:rPr>
                <w:t>ricks@ohanet.org</w:t>
              </w:r>
            </w:hyperlink>
          </w:p>
          <w:p w:rsidR="0090242A" w:rsidRDefault="0090242A" w:rsidP="00866838">
            <w:pPr>
              <w:rPr>
                <w:sz w:val="24"/>
                <w:szCs w:val="24"/>
              </w:rPr>
            </w:pPr>
          </w:p>
        </w:tc>
        <w:tc>
          <w:tcPr>
            <w:tcW w:w="4788" w:type="dxa"/>
          </w:tcPr>
          <w:p w:rsidR="0090242A" w:rsidRDefault="0090242A" w:rsidP="00866838">
            <w:pPr>
              <w:ind w:right="-36"/>
            </w:pPr>
            <w:r>
              <w:t>Kimberly W. Bojko</w:t>
            </w:r>
          </w:p>
          <w:p w:rsidR="0090242A" w:rsidRDefault="0090242A" w:rsidP="00866838">
            <w:pPr>
              <w:ind w:right="-36"/>
            </w:pPr>
            <w:r>
              <w:t>Rebecca L. Hussey</w:t>
            </w:r>
          </w:p>
          <w:p w:rsidR="0090242A" w:rsidRDefault="0090242A" w:rsidP="00866838">
            <w:pPr>
              <w:ind w:right="-36"/>
            </w:pPr>
            <w:r>
              <w:t>Carpenter Lipps &amp; Leland LLP</w:t>
            </w:r>
          </w:p>
          <w:p w:rsidR="0090242A" w:rsidRDefault="0090242A" w:rsidP="00866838">
            <w:pPr>
              <w:ind w:right="-36"/>
            </w:pPr>
            <w:r>
              <w:t>280 Plaza, Ste. 1300</w:t>
            </w:r>
          </w:p>
          <w:p w:rsidR="0090242A" w:rsidRDefault="0090242A" w:rsidP="00866838">
            <w:pPr>
              <w:ind w:right="-36"/>
            </w:pPr>
            <w:r>
              <w:t>280 N. High Street</w:t>
            </w:r>
          </w:p>
          <w:p w:rsidR="0090242A" w:rsidRDefault="0090242A" w:rsidP="00866838">
            <w:pPr>
              <w:ind w:right="-36"/>
            </w:pPr>
            <w:r>
              <w:t>Columbus, OH  43215</w:t>
            </w:r>
          </w:p>
          <w:p w:rsidR="0090242A" w:rsidRDefault="00087640" w:rsidP="00866838">
            <w:pPr>
              <w:ind w:right="-36"/>
            </w:pPr>
            <w:hyperlink r:id="rId44" w:history="1">
              <w:r w:rsidR="0090242A">
                <w:rPr>
                  <w:rStyle w:val="Hyperlink"/>
                </w:rPr>
                <w:t>bojko@carpenterlipps.com</w:t>
              </w:r>
            </w:hyperlink>
          </w:p>
          <w:p w:rsidR="0090242A" w:rsidRDefault="00087640" w:rsidP="00866838">
            <w:pPr>
              <w:ind w:right="-36"/>
            </w:pPr>
            <w:hyperlink r:id="rId45" w:history="1">
              <w:r w:rsidR="0090242A">
                <w:rPr>
                  <w:rStyle w:val="Hyperlink"/>
                </w:rPr>
                <w:t>hussey@carpenterlipps.com</w:t>
              </w:r>
            </w:hyperlink>
            <w:r w:rsidR="0090242A">
              <w:t xml:space="preserve"> </w:t>
            </w:r>
          </w:p>
          <w:p w:rsidR="0090242A" w:rsidRDefault="0090242A" w:rsidP="00866838">
            <w:pPr>
              <w:ind w:right="-36"/>
              <w:rPr>
                <w:sz w:val="24"/>
                <w:szCs w:val="24"/>
              </w:rPr>
            </w:pPr>
          </w:p>
        </w:tc>
      </w:tr>
      <w:tr w:rsidR="0090242A" w:rsidTr="00866838">
        <w:tc>
          <w:tcPr>
            <w:tcW w:w="4788" w:type="dxa"/>
          </w:tcPr>
          <w:p w:rsidR="0090242A" w:rsidRDefault="0090242A" w:rsidP="00866838">
            <w:r>
              <w:t>William J. Michael</w:t>
            </w:r>
          </w:p>
          <w:p w:rsidR="0090242A" w:rsidRDefault="0090242A" w:rsidP="00866838">
            <w:r>
              <w:t>Jodi Bair</w:t>
            </w:r>
          </w:p>
          <w:p w:rsidR="0090242A" w:rsidRDefault="0090242A" w:rsidP="00866838">
            <w:r>
              <w:t>Kevin Moore</w:t>
            </w:r>
          </w:p>
          <w:p w:rsidR="0090242A" w:rsidRDefault="0090242A" w:rsidP="00866838">
            <w:r>
              <w:t>Office of the Ohio Consumers’ Counsel</w:t>
            </w:r>
          </w:p>
          <w:p w:rsidR="0090242A" w:rsidRDefault="0090242A" w:rsidP="00866838">
            <w:r>
              <w:t>10 West Broad Street, Suite 1800</w:t>
            </w:r>
          </w:p>
          <w:p w:rsidR="0090242A" w:rsidRDefault="0090242A" w:rsidP="00866838">
            <w:r>
              <w:t>Columbus, Ohio 43215-3485</w:t>
            </w:r>
          </w:p>
          <w:p w:rsidR="0090242A" w:rsidRDefault="00087640" w:rsidP="00866838">
            <w:hyperlink r:id="rId46" w:history="1">
              <w:r w:rsidR="0090242A">
                <w:rPr>
                  <w:rStyle w:val="Hyperlink"/>
                </w:rPr>
                <w:t>William.michael@occ.ohio.gov</w:t>
              </w:r>
            </w:hyperlink>
          </w:p>
          <w:p w:rsidR="0090242A" w:rsidRDefault="00087640" w:rsidP="00866838">
            <w:hyperlink r:id="rId47" w:history="1">
              <w:r w:rsidR="0090242A">
                <w:rPr>
                  <w:rStyle w:val="Hyperlink"/>
                </w:rPr>
                <w:t>Jodi.bair@occ.ohio.gov</w:t>
              </w:r>
            </w:hyperlink>
          </w:p>
          <w:p w:rsidR="0090242A" w:rsidRDefault="00087640" w:rsidP="00866838">
            <w:hyperlink r:id="rId48" w:history="1">
              <w:r w:rsidR="0090242A">
                <w:rPr>
                  <w:rStyle w:val="Hyperlink"/>
                </w:rPr>
                <w:t>Kevin.moore@occ.ohio.gov</w:t>
              </w:r>
            </w:hyperlink>
          </w:p>
          <w:p w:rsidR="0090242A" w:rsidRDefault="0090242A" w:rsidP="00866838"/>
          <w:p w:rsidR="0090242A" w:rsidRDefault="0090242A" w:rsidP="00866838">
            <w:pPr>
              <w:rPr>
                <w:sz w:val="24"/>
                <w:szCs w:val="24"/>
              </w:rPr>
            </w:pPr>
          </w:p>
        </w:tc>
        <w:tc>
          <w:tcPr>
            <w:tcW w:w="4788" w:type="dxa"/>
          </w:tcPr>
          <w:p w:rsidR="0090242A" w:rsidRDefault="0090242A" w:rsidP="00866838">
            <w:pPr>
              <w:kinsoku w:val="0"/>
              <w:overflowPunct w:val="0"/>
              <w:ind w:right="-29"/>
              <w:textAlignment w:val="baseline"/>
            </w:pPr>
            <w:r>
              <w:t>Jennifer Spinosi</w:t>
            </w:r>
            <w:r>
              <w:br/>
              <w:t>21 East State Street, 19th Floor</w:t>
            </w:r>
          </w:p>
          <w:p w:rsidR="0090242A" w:rsidRDefault="0090242A" w:rsidP="00866838">
            <w:pPr>
              <w:kinsoku w:val="0"/>
              <w:overflowPunct w:val="0"/>
              <w:ind w:right="-29"/>
              <w:textAlignment w:val="baseline"/>
            </w:pPr>
            <w:r>
              <w:t>Columbus, Ohio 43215</w:t>
            </w:r>
          </w:p>
          <w:p w:rsidR="0090242A" w:rsidRDefault="00087640" w:rsidP="00866838">
            <w:pPr>
              <w:kinsoku w:val="0"/>
              <w:overflowPunct w:val="0"/>
              <w:ind w:right="-29"/>
              <w:textAlignment w:val="baseline"/>
            </w:pPr>
            <w:hyperlink r:id="rId49" w:history="1">
              <w:r w:rsidR="0090242A">
                <w:rPr>
                  <w:rStyle w:val="Hyperlink"/>
                </w:rPr>
                <w:t>Jennifer.spinosi@directenergy.com</w:t>
              </w:r>
            </w:hyperlink>
          </w:p>
          <w:p w:rsidR="0090242A" w:rsidRDefault="0090242A" w:rsidP="00866838">
            <w:pPr>
              <w:kinsoku w:val="0"/>
              <w:overflowPunct w:val="0"/>
              <w:ind w:right="-29"/>
              <w:textAlignment w:val="baseline"/>
            </w:pPr>
          </w:p>
          <w:p w:rsidR="0090242A" w:rsidRDefault="0090242A" w:rsidP="00866838">
            <w:pPr>
              <w:kinsoku w:val="0"/>
              <w:overflowPunct w:val="0"/>
              <w:ind w:right="-29"/>
              <w:textAlignment w:val="baseline"/>
              <w:rPr>
                <w:sz w:val="24"/>
                <w:szCs w:val="24"/>
              </w:rPr>
            </w:pPr>
          </w:p>
        </w:tc>
      </w:tr>
      <w:tr w:rsidR="0090242A" w:rsidTr="00866838">
        <w:tc>
          <w:tcPr>
            <w:tcW w:w="4788" w:type="dxa"/>
          </w:tcPr>
          <w:p w:rsidR="0090242A" w:rsidRDefault="0090242A" w:rsidP="00866838">
            <w:pPr>
              <w:kinsoku w:val="0"/>
              <w:overflowPunct w:val="0"/>
              <w:ind w:right="-29"/>
              <w:textAlignment w:val="baseline"/>
            </w:pPr>
            <w:r>
              <w:t>Joseph Oliker</w:t>
            </w:r>
          </w:p>
          <w:p w:rsidR="0090242A" w:rsidRDefault="0090242A" w:rsidP="00866838">
            <w:pPr>
              <w:kinsoku w:val="0"/>
              <w:overflowPunct w:val="0"/>
              <w:ind w:right="-29"/>
              <w:textAlignment w:val="baseline"/>
            </w:pPr>
            <w:r>
              <w:t>6100 Emerald Parkway</w:t>
            </w:r>
          </w:p>
          <w:p w:rsidR="0090242A" w:rsidRDefault="0090242A" w:rsidP="00866838">
            <w:pPr>
              <w:kinsoku w:val="0"/>
              <w:overflowPunct w:val="0"/>
              <w:ind w:right="-29"/>
              <w:textAlignment w:val="baseline"/>
            </w:pPr>
            <w:r>
              <w:t>Dublin, Ohio 43016</w:t>
            </w:r>
          </w:p>
          <w:p w:rsidR="0090242A" w:rsidRDefault="00087640" w:rsidP="00866838">
            <w:pPr>
              <w:kinsoku w:val="0"/>
              <w:overflowPunct w:val="0"/>
              <w:ind w:right="-29"/>
              <w:textAlignment w:val="baseline"/>
            </w:pPr>
            <w:hyperlink r:id="rId50" w:history="1">
              <w:r w:rsidR="0090242A">
                <w:rPr>
                  <w:rStyle w:val="Hyperlink"/>
                </w:rPr>
                <w:t>joliker@igsenergy.com</w:t>
              </w:r>
            </w:hyperlink>
          </w:p>
          <w:p w:rsidR="0090242A" w:rsidRDefault="0090242A" w:rsidP="00866838">
            <w:pPr>
              <w:kinsoku w:val="0"/>
              <w:overflowPunct w:val="0"/>
              <w:ind w:right="-29"/>
              <w:textAlignment w:val="baseline"/>
              <w:rPr>
                <w:sz w:val="24"/>
                <w:szCs w:val="24"/>
              </w:rPr>
            </w:pPr>
          </w:p>
        </w:tc>
        <w:tc>
          <w:tcPr>
            <w:tcW w:w="4788" w:type="dxa"/>
          </w:tcPr>
          <w:p w:rsidR="0090242A" w:rsidRDefault="0090242A" w:rsidP="00866838">
            <w:pPr>
              <w:kinsoku w:val="0"/>
              <w:overflowPunct w:val="0"/>
              <w:ind w:right="-29"/>
              <w:textAlignment w:val="baseline"/>
            </w:pPr>
            <w:r>
              <w:t>Gerit F. Hull</w:t>
            </w:r>
          </w:p>
          <w:p w:rsidR="0090242A" w:rsidRDefault="0090242A" w:rsidP="00866838">
            <w:pPr>
              <w:kinsoku w:val="0"/>
              <w:overflowPunct w:val="0"/>
              <w:ind w:right="-29"/>
              <w:textAlignment w:val="baseline"/>
            </w:pPr>
            <w:r>
              <w:t>Eckert Seamans Cherin &amp; Mellott, LLC</w:t>
            </w:r>
          </w:p>
          <w:p w:rsidR="0090242A" w:rsidRDefault="0090242A" w:rsidP="00866838">
            <w:pPr>
              <w:kinsoku w:val="0"/>
              <w:overflowPunct w:val="0"/>
              <w:ind w:right="-29"/>
              <w:textAlignment w:val="baseline"/>
            </w:pPr>
            <w:r>
              <w:t>1717 Pennsylvania Ave., N.W., 12th Floor</w:t>
            </w:r>
          </w:p>
          <w:p w:rsidR="0090242A" w:rsidRDefault="0090242A" w:rsidP="00866838">
            <w:pPr>
              <w:kinsoku w:val="0"/>
              <w:overflowPunct w:val="0"/>
              <w:ind w:right="-29"/>
              <w:textAlignment w:val="baseline"/>
            </w:pPr>
            <w:r>
              <w:t>Washington, DC 20006</w:t>
            </w:r>
          </w:p>
          <w:p w:rsidR="0090242A" w:rsidRDefault="00087640" w:rsidP="00866838">
            <w:pPr>
              <w:kinsoku w:val="0"/>
              <w:overflowPunct w:val="0"/>
              <w:ind w:right="-29"/>
              <w:textAlignment w:val="baseline"/>
            </w:pPr>
            <w:hyperlink r:id="rId51" w:history="1">
              <w:r w:rsidR="0090242A">
                <w:rPr>
                  <w:rStyle w:val="Hyperlink"/>
                </w:rPr>
                <w:t>ghull@eckertseamans.com</w:t>
              </w:r>
            </w:hyperlink>
          </w:p>
          <w:p w:rsidR="0090242A" w:rsidRDefault="0090242A" w:rsidP="00866838">
            <w:pPr>
              <w:ind w:right="-36"/>
              <w:rPr>
                <w:sz w:val="24"/>
                <w:szCs w:val="24"/>
              </w:rPr>
            </w:pPr>
          </w:p>
        </w:tc>
      </w:tr>
      <w:tr w:rsidR="0090242A" w:rsidTr="00866838">
        <w:tc>
          <w:tcPr>
            <w:tcW w:w="4788" w:type="dxa"/>
            <w:hideMark/>
          </w:tcPr>
          <w:p w:rsidR="0090242A" w:rsidRDefault="0090242A" w:rsidP="00866838">
            <w:r>
              <w:t>Laura Chappelle</w:t>
            </w:r>
          </w:p>
          <w:p w:rsidR="0090242A" w:rsidRDefault="0090242A" w:rsidP="00866838">
            <w:r>
              <w:t>201 North Washington Sq., Suite 910</w:t>
            </w:r>
          </w:p>
          <w:p w:rsidR="0090242A" w:rsidRDefault="0090242A" w:rsidP="00866838">
            <w:r>
              <w:t>Lansing, MI 48933</w:t>
            </w:r>
          </w:p>
          <w:p w:rsidR="0090242A" w:rsidRDefault="00087640" w:rsidP="00866838">
            <w:pPr>
              <w:rPr>
                <w:sz w:val="24"/>
                <w:szCs w:val="24"/>
              </w:rPr>
            </w:pPr>
            <w:hyperlink r:id="rId52" w:history="1">
              <w:r w:rsidR="0090242A">
                <w:rPr>
                  <w:rStyle w:val="Hyperlink"/>
                </w:rPr>
                <w:t>laurac@chappelleconsulting.net</w:t>
              </w:r>
            </w:hyperlink>
          </w:p>
        </w:tc>
        <w:tc>
          <w:tcPr>
            <w:tcW w:w="4788" w:type="dxa"/>
          </w:tcPr>
          <w:p w:rsidR="0090242A" w:rsidRDefault="0090242A" w:rsidP="00866838">
            <w:r>
              <w:t>Sharon Theodore</w:t>
            </w:r>
          </w:p>
          <w:p w:rsidR="0090242A" w:rsidRDefault="0090242A" w:rsidP="00866838">
            <w:r>
              <w:t>Electric Power Supply Association</w:t>
            </w:r>
          </w:p>
          <w:p w:rsidR="0090242A" w:rsidRDefault="0090242A" w:rsidP="00866838">
            <w:r>
              <w:t>1401 New York Ave NW, 11</w:t>
            </w:r>
            <w:r>
              <w:rPr>
                <w:vertAlign w:val="superscript"/>
              </w:rPr>
              <w:t>th</w:t>
            </w:r>
            <w:r>
              <w:t xml:space="preserve"> Floor</w:t>
            </w:r>
          </w:p>
          <w:p w:rsidR="0090242A" w:rsidRDefault="0090242A" w:rsidP="00866838">
            <w:pPr>
              <w:ind w:right="-36"/>
            </w:pPr>
            <w:r>
              <w:t>Washington DC 20005</w:t>
            </w:r>
          </w:p>
          <w:p w:rsidR="0090242A" w:rsidRDefault="00087640" w:rsidP="00866838">
            <w:pPr>
              <w:ind w:right="-36"/>
            </w:pPr>
            <w:hyperlink r:id="rId53" w:history="1">
              <w:r w:rsidR="0090242A">
                <w:rPr>
                  <w:rStyle w:val="Hyperlink"/>
                </w:rPr>
                <w:t>stheodore@epsa.org</w:t>
              </w:r>
            </w:hyperlink>
          </w:p>
          <w:p w:rsidR="0090242A" w:rsidRDefault="0090242A" w:rsidP="00866838">
            <w:pPr>
              <w:ind w:right="-36"/>
              <w:rPr>
                <w:sz w:val="24"/>
                <w:szCs w:val="24"/>
              </w:rPr>
            </w:pPr>
          </w:p>
        </w:tc>
      </w:tr>
      <w:tr w:rsidR="0090242A" w:rsidTr="00866838">
        <w:trPr>
          <w:trHeight w:val="2727"/>
        </w:trPr>
        <w:tc>
          <w:tcPr>
            <w:tcW w:w="4788" w:type="dxa"/>
          </w:tcPr>
          <w:p w:rsidR="0090242A" w:rsidRDefault="0090242A" w:rsidP="00866838">
            <w:r>
              <w:t>Glen Thomas</w:t>
            </w:r>
          </w:p>
          <w:p w:rsidR="0090242A" w:rsidRDefault="0090242A" w:rsidP="00866838">
            <w:r>
              <w:t>1060 First Avenue, Suite 400</w:t>
            </w:r>
          </w:p>
          <w:p w:rsidR="0090242A" w:rsidRDefault="0090242A" w:rsidP="00866838">
            <w:r>
              <w:t>King of Prussia, PA 19406</w:t>
            </w:r>
          </w:p>
          <w:p w:rsidR="0090242A" w:rsidRDefault="00087640" w:rsidP="00866838">
            <w:hyperlink r:id="rId54" w:history="1">
              <w:r w:rsidR="0090242A">
                <w:rPr>
                  <w:rStyle w:val="Hyperlink"/>
                </w:rPr>
                <w:t>gthomas@gtpowergroup.com</w:t>
              </w:r>
            </w:hyperlink>
          </w:p>
          <w:p w:rsidR="0090242A" w:rsidRDefault="0090242A" w:rsidP="00866838">
            <w:pPr>
              <w:rPr>
                <w:sz w:val="24"/>
                <w:szCs w:val="24"/>
              </w:rPr>
            </w:pPr>
          </w:p>
        </w:tc>
        <w:tc>
          <w:tcPr>
            <w:tcW w:w="4788" w:type="dxa"/>
          </w:tcPr>
          <w:p w:rsidR="0090242A" w:rsidRDefault="0090242A" w:rsidP="00866838">
            <w:r>
              <w:t>M. Howard Petricoff</w:t>
            </w:r>
          </w:p>
          <w:p w:rsidR="0090242A" w:rsidRDefault="0090242A" w:rsidP="00866838">
            <w:r>
              <w:t>Michael J. Settineri</w:t>
            </w:r>
          </w:p>
          <w:p w:rsidR="0090242A" w:rsidRDefault="0090242A" w:rsidP="00866838">
            <w:r>
              <w:t>Gretchen L. Petrucci</w:t>
            </w:r>
          </w:p>
          <w:p w:rsidR="0090242A" w:rsidRDefault="0090242A" w:rsidP="00866838">
            <w:r>
              <w:t>Vorys, Sater, Seymour and Pease LLC</w:t>
            </w:r>
          </w:p>
          <w:p w:rsidR="0090242A" w:rsidRDefault="0090242A" w:rsidP="00866838">
            <w:r>
              <w:t>52 East Gay Street</w:t>
            </w:r>
          </w:p>
          <w:p w:rsidR="0090242A" w:rsidRDefault="0090242A" w:rsidP="00866838">
            <w:r>
              <w:t>Columbus, OH 43215</w:t>
            </w:r>
          </w:p>
          <w:p w:rsidR="0090242A" w:rsidRDefault="00087640" w:rsidP="00866838">
            <w:hyperlink r:id="rId55" w:history="1">
              <w:r w:rsidR="0090242A">
                <w:rPr>
                  <w:rStyle w:val="Hyperlink"/>
                </w:rPr>
                <w:t>mhpetricoff@vorys.com</w:t>
              </w:r>
            </w:hyperlink>
          </w:p>
          <w:p w:rsidR="0090242A" w:rsidRDefault="00087640" w:rsidP="00866838">
            <w:hyperlink r:id="rId56" w:history="1">
              <w:r w:rsidR="0090242A">
                <w:rPr>
                  <w:rStyle w:val="Hyperlink"/>
                </w:rPr>
                <w:t>mjsettineri@vorys.com</w:t>
              </w:r>
            </w:hyperlink>
          </w:p>
          <w:p w:rsidR="0090242A" w:rsidRDefault="00087640" w:rsidP="00866838">
            <w:hyperlink r:id="rId57" w:history="1">
              <w:r w:rsidR="0090242A">
                <w:rPr>
                  <w:rStyle w:val="Hyperlink"/>
                </w:rPr>
                <w:t>glpetrucci@vorys.com</w:t>
              </w:r>
            </w:hyperlink>
            <w:r w:rsidR="0090242A">
              <w:t xml:space="preserve"> </w:t>
            </w:r>
          </w:p>
          <w:p w:rsidR="0090242A" w:rsidRDefault="0090242A" w:rsidP="00866838">
            <w:pPr>
              <w:rPr>
                <w:sz w:val="24"/>
                <w:szCs w:val="24"/>
              </w:rPr>
            </w:pPr>
          </w:p>
        </w:tc>
      </w:tr>
      <w:tr w:rsidR="0090242A" w:rsidTr="00866838">
        <w:tc>
          <w:tcPr>
            <w:tcW w:w="4788" w:type="dxa"/>
          </w:tcPr>
          <w:p w:rsidR="0090242A" w:rsidRDefault="0090242A" w:rsidP="00866838">
            <w:r>
              <w:t>M. Howard Petricoff</w:t>
            </w:r>
          </w:p>
          <w:p w:rsidR="0090242A" w:rsidRDefault="0090242A" w:rsidP="00866838">
            <w:r>
              <w:t>Vorys Sater Seymour &amp; Pease</w:t>
            </w:r>
          </w:p>
          <w:p w:rsidR="0090242A" w:rsidRDefault="0090242A" w:rsidP="00866838">
            <w:r>
              <w:t>PO Box 1008</w:t>
            </w:r>
          </w:p>
          <w:p w:rsidR="0090242A" w:rsidRDefault="0090242A" w:rsidP="00866838">
            <w:r>
              <w:t>52 East Gay Street</w:t>
            </w:r>
          </w:p>
          <w:p w:rsidR="0090242A" w:rsidRDefault="0090242A" w:rsidP="00866838">
            <w:pPr>
              <w:rPr>
                <w:sz w:val="24"/>
                <w:szCs w:val="24"/>
              </w:rPr>
            </w:pPr>
            <w:r>
              <w:t>Columbus, OH 43216-1008</w:t>
            </w:r>
            <w:r>
              <w:rPr>
                <w:sz w:val="24"/>
                <w:szCs w:val="24"/>
              </w:rPr>
              <w:t xml:space="preserve"> </w:t>
            </w:r>
          </w:p>
        </w:tc>
        <w:tc>
          <w:tcPr>
            <w:tcW w:w="4788" w:type="dxa"/>
          </w:tcPr>
          <w:p w:rsidR="0090242A" w:rsidRDefault="0090242A" w:rsidP="00866838">
            <w:r>
              <w:t>Michael R. Smalz</w:t>
            </w:r>
          </w:p>
          <w:p w:rsidR="0090242A" w:rsidRDefault="0090242A" w:rsidP="00866838">
            <w:r>
              <w:t>Ohio Poverty Law Center</w:t>
            </w:r>
          </w:p>
          <w:p w:rsidR="0090242A" w:rsidRDefault="0090242A" w:rsidP="00866838">
            <w:r>
              <w:t>555 Buttles Avenue</w:t>
            </w:r>
          </w:p>
          <w:p w:rsidR="0090242A" w:rsidRDefault="0090242A" w:rsidP="00866838">
            <w:r>
              <w:t>Columbus, OH  43215-1137</w:t>
            </w:r>
          </w:p>
          <w:p w:rsidR="0090242A" w:rsidRDefault="00087640" w:rsidP="00866838">
            <w:hyperlink r:id="rId58" w:history="1">
              <w:r w:rsidR="0090242A">
                <w:rPr>
                  <w:rStyle w:val="Hyperlink"/>
                </w:rPr>
                <w:t>msmalz@ohiopovertylaw.org</w:t>
              </w:r>
            </w:hyperlink>
          </w:p>
          <w:p w:rsidR="0090242A" w:rsidRDefault="0090242A" w:rsidP="00866838">
            <w:pPr>
              <w:rPr>
                <w:sz w:val="24"/>
                <w:szCs w:val="24"/>
              </w:rPr>
            </w:pPr>
          </w:p>
        </w:tc>
      </w:tr>
      <w:tr w:rsidR="0090242A" w:rsidTr="00866838">
        <w:tc>
          <w:tcPr>
            <w:tcW w:w="4788" w:type="dxa"/>
          </w:tcPr>
          <w:p w:rsidR="0090242A" w:rsidRDefault="0090242A" w:rsidP="00866838">
            <w:r>
              <w:lastRenderedPageBreak/>
              <w:t>Madeline Fleisher</w:t>
            </w:r>
          </w:p>
          <w:p w:rsidR="0090242A" w:rsidRDefault="0090242A" w:rsidP="00866838">
            <w:r>
              <w:t>Environmental Law &amp; Policy Center</w:t>
            </w:r>
          </w:p>
          <w:p w:rsidR="0090242A" w:rsidRDefault="0090242A" w:rsidP="00866838">
            <w:r>
              <w:t>21 West Broad St., Suite 500</w:t>
            </w:r>
          </w:p>
          <w:p w:rsidR="0090242A" w:rsidRDefault="0090242A" w:rsidP="00866838">
            <w:r>
              <w:t>Columbus, OH  43215</w:t>
            </w:r>
          </w:p>
          <w:p w:rsidR="0090242A" w:rsidRDefault="00087640" w:rsidP="00866838">
            <w:hyperlink r:id="rId59" w:history="1">
              <w:r w:rsidR="0090242A">
                <w:rPr>
                  <w:rStyle w:val="Hyperlink"/>
                </w:rPr>
                <w:t>mfleisher@elpc.org</w:t>
              </w:r>
            </w:hyperlink>
            <w:r w:rsidR="0090242A">
              <w:t xml:space="preserve"> </w:t>
            </w:r>
          </w:p>
          <w:p w:rsidR="0090242A" w:rsidRDefault="0090242A" w:rsidP="00866838">
            <w:pPr>
              <w:rPr>
                <w:sz w:val="24"/>
                <w:szCs w:val="24"/>
              </w:rPr>
            </w:pPr>
          </w:p>
        </w:tc>
        <w:tc>
          <w:tcPr>
            <w:tcW w:w="4788" w:type="dxa"/>
            <w:hideMark/>
          </w:tcPr>
          <w:p w:rsidR="0090242A" w:rsidRDefault="0090242A" w:rsidP="00866838">
            <w:r>
              <w:t>Colleen L. Mooney</w:t>
            </w:r>
          </w:p>
          <w:p w:rsidR="0090242A" w:rsidRDefault="0090242A" w:rsidP="00866838">
            <w:r>
              <w:t>Ohio Partners for Affordable Energy</w:t>
            </w:r>
          </w:p>
          <w:p w:rsidR="0090242A" w:rsidRDefault="0090242A" w:rsidP="00866838">
            <w:r>
              <w:t>231 West Lima Street</w:t>
            </w:r>
          </w:p>
          <w:p w:rsidR="0090242A" w:rsidRDefault="0090242A" w:rsidP="00866838">
            <w:r>
              <w:t>Findlay, OH  45839-1793</w:t>
            </w:r>
          </w:p>
          <w:p w:rsidR="0090242A" w:rsidRDefault="00087640" w:rsidP="00866838">
            <w:pPr>
              <w:rPr>
                <w:sz w:val="24"/>
                <w:szCs w:val="24"/>
              </w:rPr>
            </w:pPr>
            <w:hyperlink r:id="rId60" w:history="1">
              <w:r w:rsidR="0090242A">
                <w:rPr>
                  <w:rStyle w:val="Hyperlink"/>
                </w:rPr>
                <w:t>cmooney@ohiopartners.org</w:t>
              </w:r>
            </w:hyperlink>
            <w:r w:rsidR="0090242A">
              <w:t xml:space="preserve"> </w:t>
            </w:r>
          </w:p>
        </w:tc>
      </w:tr>
      <w:tr w:rsidR="0090242A" w:rsidTr="00866838">
        <w:tc>
          <w:tcPr>
            <w:tcW w:w="4788" w:type="dxa"/>
          </w:tcPr>
          <w:p w:rsidR="0090242A" w:rsidRDefault="0090242A" w:rsidP="00866838">
            <w:r>
              <w:t>Werner L. Margard</w:t>
            </w:r>
          </w:p>
          <w:p w:rsidR="0090242A" w:rsidRDefault="0090242A" w:rsidP="00866838">
            <w:r>
              <w:t>Steven L. Beeler</w:t>
            </w:r>
          </w:p>
          <w:p w:rsidR="0090242A" w:rsidRDefault="0090242A" w:rsidP="00866838">
            <w:r>
              <w:t>Assistant Attorneys General</w:t>
            </w:r>
          </w:p>
          <w:p w:rsidR="0090242A" w:rsidRDefault="0090242A" w:rsidP="00866838">
            <w:r>
              <w:t>180 East Broad Street</w:t>
            </w:r>
          </w:p>
          <w:p w:rsidR="0090242A" w:rsidRDefault="0090242A" w:rsidP="00866838">
            <w:r>
              <w:t>Columbus, OH  43215</w:t>
            </w:r>
          </w:p>
          <w:p w:rsidR="0090242A" w:rsidRDefault="00087640" w:rsidP="00866838">
            <w:hyperlink r:id="rId61" w:history="1">
              <w:r w:rsidR="0090242A">
                <w:rPr>
                  <w:rStyle w:val="Hyperlink"/>
                </w:rPr>
                <w:t>werner.margard@puc.state.oh.us</w:t>
              </w:r>
            </w:hyperlink>
          </w:p>
          <w:p w:rsidR="0090242A" w:rsidRDefault="00087640" w:rsidP="00866838">
            <w:hyperlink r:id="rId62" w:history="1">
              <w:r w:rsidR="0090242A">
                <w:rPr>
                  <w:rStyle w:val="Hyperlink"/>
                </w:rPr>
                <w:t>steven.beeler@puc.state.oh.us</w:t>
              </w:r>
            </w:hyperlink>
          </w:p>
          <w:p w:rsidR="0090242A" w:rsidRDefault="0090242A" w:rsidP="00866838"/>
          <w:p w:rsidR="0090242A" w:rsidRDefault="0090242A" w:rsidP="00866838">
            <w:pPr>
              <w:rPr>
                <w:sz w:val="24"/>
                <w:szCs w:val="24"/>
              </w:rPr>
            </w:pPr>
          </w:p>
        </w:tc>
        <w:tc>
          <w:tcPr>
            <w:tcW w:w="4788" w:type="dxa"/>
            <w:hideMark/>
          </w:tcPr>
          <w:p w:rsidR="0090242A" w:rsidRDefault="0090242A" w:rsidP="00866838">
            <w:r>
              <w:t>Todd M. Williams</w:t>
            </w:r>
          </w:p>
          <w:p w:rsidR="0090242A" w:rsidRDefault="0090242A" w:rsidP="00866838">
            <w:r>
              <w:t>Shindler, Neff, Holmes, Worline &amp; Mohler, LLP</w:t>
            </w:r>
          </w:p>
          <w:p w:rsidR="0090242A" w:rsidRDefault="0090242A" w:rsidP="00866838">
            <w:r>
              <w:t>1200 Edison Plaza</w:t>
            </w:r>
          </w:p>
          <w:p w:rsidR="0090242A" w:rsidRDefault="0090242A" w:rsidP="00866838">
            <w:r>
              <w:t>300 Madison Avenue</w:t>
            </w:r>
          </w:p>
          <w:p w:rsidR="0090242A" w:rsidRDefault="0090242A" w:rsidP="00866838">
            <w:r>
              <w:t>Toledo, Ohio 43604</w:t>
            </w:r>
          </w:p>
          <w:p w:rsidR="0090242A" w:rsidRDefault="00087640" w:rsidP="00866838">
            <w:pPr>
              <w:rPr>
                <w:sz w:val="24"/>
                <w:szCs w:val="24"/>
              </w:rPr>
            </w:pPr>
            <w:hyperlink r:id="rId63" w:history="1">
              <w:r w:rsidR="0090242A">
                <w:rPr>
                  <w:rStyle w:val="Hyperlink"/>
                </w:rPr>
                <w:t>twilliams@snhslaw.com</w:t>
              </w:r>
            </w:hyperlink>
            <w:r w:rsidR="0090242A">
              <w:t xml:space="preserve"> </w:t>
            </w:r>
          </w:p>
        </w:tc>
      </w:tr>
      <w:tr w:rsidR="0090242A" w:rsidTr="00866838">
        <w:tc>
          <w:tcPr>
            <w:tcW w:w="4788" w:type="dxa"/>
          </w:tcPr>
          <w:p w:rsidR="0090242A" w:rsidRDefault="0090242A" w:rsidP="00866838">
            <w:r>
              <w:t>Dane Stinson</w:t>
            </w:r>
          </w:p>
          <w:p w:rsidR="0090242A" w:rsidRDefault="0090242A" w:rsidP="00866838">
            <w:r>
              <w:t>Bricker and Eckler LLP</w:t>
            </w:r>
          </w:p>
          <w:p w:rsidR="0090242A" w:rsidRDefault="0090242A" w:rsidP="00866838">
            <w:r>
              <w:t>100 South Third Street</w:t>
            </w:r>
          </w:p>
          <w:p w:rsidR="0090242A" w:rsidRDefault="0090242A" w:rsidP="00866838">
            <w:r>
              <w:t>Columbus, OH  43215</w:t>
            </w:r>
          </w:p>
          <w:p w:rsidR="0090242A" w:rsidRDefault="00087640" w:rsidP="00866838">
            <w:hyperlink r:id="rId64" w:history="1">
              <w:r w:rsidR="0090242A">
                <w:rPr>
                  <w:rStyle w:val="Hyperlink"/>
                </w:rPr>
                <w:t>DStinson@bricker.com</w:t>
              </w:r>
            </w:hyperlink>
          </w:p>
          <w:p w:rsidR="0090242A" w:rsidRDefault="0090242A" w:rsidP="00866838">
            <w:pPr>
              <w:rPr>
                <w:sz w:val="24"/>
                <w:szCs w:val="24"/>
              </w:rPr>
            </w:pPr>
          </w:p>
        </w:tc>
        <w:tc>
          <w:tcPr>
            <w:tcW w:w="4788" w:type="dxa"/>
          </w:tcPr>
          <w:p w:rsidR="0090242A" w:rsidRDefault="0090242A" w:rsidP="00866838">
            <w:pPr>
              <w:autoSpaceDE w:val="0"/>
              <w:autoSpaceDN w:val="0"/>
              <w:adjustRightInd w:val="0"/>
            </w:pPr>
            <w:r>
              <w:t>Carrie M. Harris</w:t>
            </w:r>
          </w:p>
          <w:p w:rsidR="0090242A" w:rsidRDefault="0090242A" w:rsidP="00866838">
            <w:pPr>
              <w:autoSpaceDE w:val="0"/>
              <w:autoSpaceDN w:val="0"/>
              <w:adjustRightInd w:val="0"/>
            </w:pPr>
            <w:r>
              <w:t>Spilman Thomas &amp; Battle, PLLC</w:t>
            </w:r>
          </w:p>
          <w:p w:rsidR="0090242A" w:rsidRDefault="0090242A" w:rsidP="00866838">
            <w:pPr>
              <w:autoSpaceDE w:val="0"/>
              <w:autoSpaceDN w:val="0"/>
              <w:adjustRightInd w:val="0"/>
            </w:pPr>
            <w:r>
              <w:t>310 First Street, Suite 1100</w:t>
            </w:r>
          </w:p>
          <w:p w:rsidR="0090242A" w:rsidRDefault="0090242A" w:rsidP="00866838">
            <w:pPr>
              <w:autoSpaceDE w:val="0"/>
              <w:autoSpaceDN w:val="0"/>
              <w:adjustRightInd w:val="0"/>
            </w:pPr>
            <w:r>
              <w:t>P.O. Box 90</w:t>
            </w:r>
          </w:p>
          <w:p w:rsidR="0090242A" w:rsidRDefault="0090242A" w:rsidP="00866838">
            <w:pPr>
              <w:autoSpaceDE w:val="0"/>
              <w:autoSpaceDN w:val="0"/>
              <w:adjustRightInd w:val="0"/>
            </w:pPr>
            <w:r>
              <w:t>Roanoke, VA 24002-0090</w:t>
            </w:r>
          </w:p>
          <w:p w:rsidR="0090242A" w:rsidRDefault="00087640" w:rsidP="00866838">
            <w:hyperlink r:id="rId65" w:history="1">
              <w:r w:rsidR="0090242A">
                <w:rPr>
                  <w:rStyle w:val="Hyperlink"/>
                </w:rPr>
                <w:t>charris@spilmanlaw.com</w:t>
              </w:r>
            </w:hyperlink>
            <w:r w:rsidR="0090242A">
              <w:t xml:space="preserve"> </w:t>
            </w:r>
          </w:p>
          <w:p w:rsidR="0090242A" w:rsidRDefault="0090242A" w:rsidP="00866838">
            <w:pPr>
              <w:rPr>
                <w:sz w:val="24"/>
                <w:szCs w:val="24"/>
              </w:rPr>
            </w:pPr>
          </w:p>
        </w:tc>
      </w:tr>
      <w:tr w:rsidR="0090242A" w:rsidTr="00866838">
        <w:tc>
          <w:tcPr>
            <w:tcW w:w="4788" w:type="dxa"/>
          </w:tcPr>
          <w:p w:rsidR="0090242A" w:rsidRDefault="0090242A" w:rsidP="00866838">
            <w:r>
              <w:t>Michael C. Soules</w:t>
            </w:r>
          </w:p>
          <w:p w:rsidR="0090242A" w:rsidRDefault="0090242A" w:rsidP="00866838">
            <w:r>
              <w:t>Earthjustice</w:t>
            </w:r>
          </w:p>
          <w:p w:rsidR="0090242A" w:rsidRDefault="0090242A" w:rsidP="00866838">
            <w:r>
              <w:t>1625 Massachusetts Ave. NW, Suite 702</w:t>
            </w:r>
          </w:p>
          <w:p w:rsidR="0090242A" w:rsidRDefault="0090242A" w:rsidP="00866838">
            <w:r>
              <w:t>Washington, DC  20036</w:t>
            </w:r>
          </w:p>
          <w:p w:rsidR="0090242A" w:rsidRDefault="00087640" w:rsidP="00866838">
            <w:hyperlink r:id="rId66" w:history="1">
              <w:r w:rsidR="0090242A">
                <w:rPr>
                  <w:rStyle w:val="Hyperlink"/>
                </w:rPr>
                <w:t>msoules@earthjustice.org</w:t>
              </w:r>
            </w:hyperlink>
          </w:p>
          <w:p w:rsidR="0090242A" w:rsidRDefault="0090242A" w:rsidP="00866838">
            <w:pPr>
              <w:rPr>
                <w:sz w:val="24"/>
                <w:szCs w:val="24"/>
              </w:rPr>
            </w:pPr>
          </w:p>
        </w:tc>
        <w:tc>
          <w:tcPr>
            <w:tcW w:w="4788" w:type="dxa"/>
          </w:tcPr>
          <w:p w:rsidR="0090242A" w:rsidRDefault="0090242A" w:rsidP="00866838">
            <w:pPr>
              <w:autoSpaceDE w:val="0"/>
              <w:autoSpaceDN w:val="0"/>
              <w:adjustRightInd w:val="0"/>
            </w:pPr>
            <w:r>
              <w:t>Shannon Fisk</w:t>
            </w:r>
          </w:p>
          <w:p w:rsidR="0090242A" w:rsidRDefault="0090242A" w:rsidP="00866838">
            <w:pPr>
              <w:autoSpaceDE w:val="0"/>
              <w:autoSpaceDN w:val="0"/>
              <w:adjustRightInd w:val="0"/>
            </w:pPr>
            <w:r>
              <w:t>Earthjustice</w:t>
            </w:r>
          </w:p>
          <w:p w:rsidR="0090242A" w:rsidRDefault="0090242A" w:rsidP="00866838">
            <w:pPr>
              <w:autoSpaceDE w:val="0"/>
              <w:autoSpaceDN w:val="0"/>
              <w:adjustRightInd w:val="0"/>
            </w:pPr>
            <w:r>
              <w:t>1617 John F. Kennedy Blvd., Suite 1675</w:t>
            </w:r>
          </w:p>
          <w:p w:rsidR="0090242A" w:rsidRDefault="0090242A" w:rsidP="00866838">
            <w:pPr>
              <w:autoSpaceDE w:val="0"/>
              <w:autoSpaceDN w:val="0"/>
              <w:adjustRightInd w:val="0"/>
            </w:pPr>
            <w:r>
              <w:t>Philadelphia, PA  19103</w:t>
            </w:r>
          </w:p>
          <w:p w:rsidR="0090242A" w:rsidRDefault="00087640" w:rsidP="00866838">
            <w:pPr>
              <w:autoSpaceDE w:val="0"/>
              <w:autoSpaceDN w:val="0"/>
              <w:adjustRightInd w:val="0"/>
            </w:pPr>
            <w:hyperlink r:id="rId67" w:history="1">
              <w:r w:rsidR="0090242A">
                <w:rPr>
                  <w:rStyle w:val="Hyperlink"/>
                </w:rPr>
                <w:t>sfisk@earthjustice.org</w:t>
              </w:r>
            </w:hyperlink>
            <w:r w:rsidR="0090242A">
              <w:t xml:space="preserve"> </w:t>
            </w:r>
          </w:p>
          <w:p w:rsidR="0090242A" w:rsidRDefault="0090242A" w:rsidP="00866838">
            <w:pPr>
              <w:autoSpaceDE w:val="0"/>
              <w:autoSpaceDN w:val="0"/>
              <w:adjustRightInd w:val="0"/>
              <w:rPr>
                <w:sz w:val="24"/>
                <w:szCs w:val="24"/>
              </w:rPr>
            </w:pPr>
          </w:p>
        </w:tc>
      </w:tr>
      <w:tr w:rsidR="0090242A" w:rsidTr="00866838">
        <w:tc>
          <w:tcPr>
            <w:tcW w:w="4788" w:type="dxa"/>
          </w:tcPr>
          <w:p w:rsidR="0090242A" w:rsidRDefault="0090242A" w:rsidP="00866838">
            <w:r>
              <w:t>Joel E. Sechler</w:t>
            </w:r>
          </w:p>
          <w:p w:rsidR="0090242A" w:rsidRDefault="0090242A" w:rsidP="00866838">
            <w:r>
              <w:t>Carpenter Lipps &amp; Leland</w:t>
            </w:r>
          </w:p>
          <w:p w:rsidR="0090242A" w:rsidRDefault="0090242A" w:rsidP="00866838">
            <w:r>
              <w:t>280 N. High St., Suite 1300</w:t>
            </w:r>
          </w:p>
          <w:p w:rsidR="0090242A" w:rsidRDefault="0090242A" w:rsidP="00866838">
            <w:r>
              <w:t>Columbus, OH  43215</w:t>
            </w:r>
          </w:p>
          <w:p w:rsidR="0090242A" w:rsidRDefault="00087640" w:rsidP="00866838">
            <w:hyperlink r:id="rId68" w:history="1">
              <w:r w:rsidR="0090242A">
                <w:rPr>
                  <w:rStyle w:val="Hyperlink"/>
                </w:rPr>
                <w:t>Sechler@carpenterlipps.com</w:t>
              </w:r>
            </w:hyperlink>
          </w:p>
          <w:p w:rsidR="0090242A" w:rsidRDefault="0090242A" w:rsidP="00866838">
            <w:pPr>
              <w:rPr>
                <w:sz w:val="24"/>
                <w:szCs w:val="24"/>
              </w:rPr>
            </w:pPr>
          </w:p>
        </w:tc>
        <w:tc>
          <w:tcPr>
            <w:tcW w:w="4788" w:type="dxa"/>
          </w:tcPr>
          <w:p w:rsidR="0090242A" w:rsidRDefault="0090242A" w:rsidP="00866838">
            <w:pPr>
              <w:autoSpaceDE w:val="0"/>
              <w:autoSpaceDN w:val="0"/>
              <w:adjustRightInd w:val="0"/>
            </w:pPr>
            <w:r>
              <w:t>Gregory J. Poulos</w:t>
            </w:r>
          </w:p>
          <w:p w:rsidR="0090242A" w:rsidRDefault="0090242A" w:rsidP="00866838">
            <w:pPr>
              <w:autoSpaceDE w:val="0"/>
              <w:autoSpaceDN w:val="0"/>
              <w:adjustRightInd w:val="0"/>
            </w:pPr>
            <w:r>
              <w:t>EnerNOC, Inc.</w:t>
            </w:r>
          </w:p>
          <w:p w:rsidR="0090242A" w:rsidRDefault="0090242A" w:rsidP="00866838">
            <w:pPr>
              <w:autoSpaceDE w:val="0"/>
              <w:autoSpaceDN w:val="0"/>
              <w:adjustRightInd w:val="0"/>
            </w:pPr>
            <w:r>
              <w:t>471 E. Broad St., Suite 1520</w:t>
            </w:r>
            <w:r>
              <w:br/>
              <w:t>Columbus, OH  43054</w:t>
            </w:r>
          </w:p>
          <w:p w:rsidR="0090242A" w:rsidRDefault="00087640" w:rsidP="00866838">
            <w:pPr>
              <w:autoSpaceDE w:val="0"/>
              <w:autoSpaceDN w:val="0"/>
              <w:adjustRightInd w:val="0"/>
            </w:pPr>
            <w:hyperlink r:id="rId69" w:history="1">
              <w:r w:rsidR="0090242A">
                <w:rPr>
                  <w:rStyle w:val="Hyperlink"/>
                </w:rPr>
                <w:t>gpoulos@enernoc.com</w:t>
              </w:r>
            </w:hyperlink>
            <w:r w:rsidR="0090242A">
              <w:t xml:space="preserve"> </w:t>
            </w:r>
          </w:p>
          <w:p w:rsidR="0090242A" w:rsidRDefault="0090242A" w:rsidP="00866838">
            <w:pPr>
              <w:autoSpaceDE w:val="0"/>
              <w:autoSpaceDN w:val="0"/>
              <w:adjustRightInd w:val="0"/>
              <w:rPr>
                <w:sz w:val="24"/>
                <w:szCs w:val="24"/>
              </w:rPr>
            </w:pPr>
          </w:p>
        </w:tc>
      </w:tr>
      <w:tr w:rsidR="0090242A" w:rsidTr="00866838">
        <w:tc>
          <w:tcPr>
            <w:tcW w:w="4788" w:type="dxa"/>
          </w:tcPr>
          <w:p w:rsidR="0090242A" w:rsidRDefault="0090242A" w:rsidP="00866838">
            <w:r>
              <w:t>Christopher M. Bzdok</w:t>
            </w:r>
          </w:p>
          <w:p w:rsidR="0090242A" w:rsidRDefault="0090242A" w:rsidP="00866838">
            <w:r>
              <w:t>Olson Bzdok &amp; Howard, P.C.</w:t>
            </w:r>
          </w:p>
          <w:p w:rsidR="0090242A" w:rsidRDefault="0090242A" w:rsidP="00866838">
            <w:r>
              <w:t>420 E. Front Street</w:t>
            </w:r>
          </w:p>
          <w:p w:rsidR="0090242A" w:rsidRDefault="0090242A" w:rsidP="00866838">
            <w:r>
              <w:t>Traverse City, MI  49686</w:t>
            </w:r>
          </w:p>
          <w:p w:rsidR="0090242A" w:rsidRDefault="00087640" w:rsidP="00866838">
            <w:hyperlink r:id="rId70" w:history="1">
              <w:r w:rsidR="0090242A">
                <w:rPr>
                  <w:rStyle w:val="Hyperlink"/>
                </w:rPr>
                <w:t>chris@envlaw.com</w:t>
              </w:r>
            </w:hyperlink>
          </w:p>
          <w:p w:rsidR="0090242A" w:rsidRDefault="0090242A" w:rsidP="00866838">
            <w:pPr>
              <w:rPr>
                <w:sz w:val="24"/>
                <w:szCs w:val="24"/>
              </w:rPr>
            </w:pPr>
          </w:p>
        </w:tc>
        <w:tc>
          <w:tcPr>
            <w:tcW w:w="4788" w:type="dxa"/>
          </w:tcPr>
          <w:p w:rsidR="0090242A" w:rsidRDefault="0090242A" w:rsidP="00866838">
            <w:pPr>
              <w:autoSpaceDE w:val="0"/>
              <w:autoSpaceDN w:val="0"/>
              <w:adjustRightInd w:val="0"/>
            </w:pPr>
            <w:r>
              <w:t>Susan L. Williams</w:t>
            </w:r>
          </w:p>
          <w:p w:rsidR="0090242A" w:rsidRDefault="0090242A" w:rsidP="00866838">
            <w:pPr>
              <w:autoSpaceDE w:val="0"/>
              <w:autoSpaceDN w:val="0"/>
              <w:adjustRightInd w:val="0"/>
            </w:pPr>
            <w:r>
              <w:t>Sierra Club</w:t>
            </w:r>
          </w:p>
          <w:p w:rsidR="0090242A" w:rsidRDefault="0090242A" w:rsidP="00866838">
            <w:pPr>
              <w:autoSpaceDE w:val="0"/>
              <w:autoSpaceDN w:val="0"/>
              <w:adjustRightInd w:val="0"/>
            </w:pPr>
            <w:r>
              <w:t>50 F Street, NW, 7</w:t>
            </w:r>
            <w:r>
              <w:rPr>
                <w:vertAlign w:val="superscript"/>
              </w:rPr>
              <w:t>th</w:t>
            </w:r>
            <w:r>
              <w:t xml:space="preserve"> Floor</w:t>
            </w:r>
          </w:p>
          <w:p w:rsidR="0090242A" w:rsidRDefault="0090242A" w:rsidP="00866838">
            <w:pPr>
              <w:autoSpaceDE w:val="0"/>
              <w:autoSpaceDN w:val="0"/>
              <w:adjustRightInd w:val="0"/>
            </w:pPr>
            <w:r>
              <w:t>Washington DC  20001</w:t>
            </w:r>
          </w:p>
          <w:p w:rsidR="0090242A" w:rsidRDefault="00087640" w:rsidP="00866838">
            <w:pPr>
              <w:autoSpaceDE w:val="0"/>
              <w:autoSpaceDN w:val="0"/>
              <w:adjustRightInd w:val="0"/>
            </w:pPr>
            <w:hyperlink r:id="rId71" w:history="1">
              <w:r w:rsidR="0090242A">
                <w:rPr>
                  <w:rStyle w:val="Hyperlink"/>
                </w:rPr>
                <w:t>Laurie.williams@sierraclub.org</w:t>
              </w:r>
            </w:hyperlink>
          </w:p>
          <w:p w:rsidR="0090242A" w:rsidRDefault="0090242A" w:rsidP="00866838">
            <w:pPr>
              <w:autoSpaceDE w:val="0"/>
              <w:autoSpaceDN w:val="0"/>
              <w:adjustRightInd w:val="0"/>
            </w:pPr>
          </w:p>
          <w:p w:rsidR="0090242A" w:rsidRDefault="0090242A" w:rsidP="00866838">
            <w:pPr>
              <w:autoSpaceDE w:val="0"/>
              <w:autoSpaceDN w:val="0"/>
              <w:adjustRightInd w:val="0"/>
            </w:pPr>
          </w:p>
          <w:p w:rsidR="0090242A" w:rsidRDefault="0090242A" w:rsidP="00866838">
            <w:pPr>
              <w:autoSpaceDE w:val="0"/>
              <w:autoSpaceDN w:val="0"/>
              <w:adjustRightInd w:val="0"/>
            </w:pPr>
          </w:p>
          <w:p w:rsidR="0090242A" w:rsidRDefault="0090242A" w:rsidP="00866838">
            <w:pPr>
              <w:autoSpaceDE w:val="0"/>
              <w:autoSpaceDN w:val="0"/>
              <w:adjustRightInd w:val="0"/>
              <w:rPr>
                <w:sz w:val="24"/>
                <w:szCs w:val="24"/>
              </w:rPr>
            </w:pPr>
          </w:p>
        </w:tc>
      </w:tr>
    </w:tbl>
    <w:p w:rsidR="0090242A" w:rsidRPr="0045273C" w:rsidRDefault="0090242A" w:rsidP="0090242A">
      <w:pPr>
        <w:rPr>
          <w:sz w:val="24"/>
        </w:rPr>
      </w:pPr>
    </w:p>
    <w:p w:rsidR="0090242A" w:rsidRPr="0045273C" w:rsidRDefault="0090242A" w:rsidP="00132B2D">
      <w:pPr>
        <w:rPr>
          <w:sz w:val="24"/>
          <w:szCs w:val="24"/>
        </w:rPr>
        <w:sectPr w:rsidR="0090242A" w:rsidRPr="0045273C" w:rsidSect="00132B2D">
          <w:footerReference w:type="default" r:id="rId72"/>
          <w:type w:val="continuous"/>
          <w:pgSz w:w="12240" w:h="15840"/>
          <w:pgMar w:top="1440" w:right="1440" w:bottom="1440" w:left="1440" w:header="720" w:footer="720" w:gutter="0"/>
          <w:pgNumType w:start="1"/>
          <w:cols w:space="720"/>
          <w:titlePg/>
          <w:docGrid w:linePitch="360"/>
        </w:sectPr>
      </w:pPr>
    </w:p>
    <w:p w:rsidR="0045273C" w:rsidRPr="0045273C" w:rsidRDefault="0045273C" w:rsidP="00132B2D">
      <w:pPr>
        <w:spacing w:line="480" w:lineRule="auto"/>
        <w:rPr>
          <w:sz w:val="24"/>
        </w:rPr>
      </w:pPr>
    </w:p>
    <w:sectPr w:rsidR="0045273C" w:rsidRPr="0045273C" w:rsidSect="00177C1A">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63" w:rsidRDefault="00451463" w:rsidP="00832B43">
      <w:r>
        <w:separator/>
      </w:r>
    </w:p>
  </w:endnote>
  <w:endnote w:type="continuationSeparator" w:id="0">
    <w:p w:rsidR="00451463" w:rsidRDefault="00451463" w:rsidP="008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2D" w:rsidRDefault="00132B2D">
    <w:pPr>
      <w:pStyle w:val="Footer"/>
      <w:jc w:val="center"/>
    </w:pPr>
  </w:p>
  <w:p w:rsidR="00451463" w:rsidRDefault="00451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5359"/>
      <w:docPartObj>
        <w:docPartGallery w:val="Page Numbers (Bottom of Page)"/>
        <w:docPartUnique/>
      </w:docPartObj>
    </w:sdtPr>
    <w:sdtEndPr/>
    <w:sdtContent>
      <w:sdt>
        <w:sdtPr>
          <w:id w:val="-1669238322"/>
          <w:docPartObj>
            <w:docPartGallery w:val="Page Numbers (Top of Page)"/>
            <w:docPartUnique/>
          </w:docPartObj>
        </w:sdtPr>
        <w:sdtEndPr/>
        <w:sdtContent>
          <w:p w:rsidR="0090242A" w:rsidRDefault="009024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sdtContent>
      </w:sdt>
    </w:sdtContent>
  </w:sdt>
  <w:p w:rsidR="00132B2D" w:rsidRDefault="00132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67437"/>
      <w:docPartObj>
        <w:docPartGallery w:val="Page Numbers (Bottom of Page)"/>
        <w:docPartUnique/>
      </w:docPartObj>
    </w:sdtPr>
    <w:sdtEndPr/>
    <w:sdtContent>
      <w:sdt>
        <w:sdtPr>
          <w:id w:val="1840193223"/>
          <w:docPartObj>
            <w:docPartGallery w:val="Page Numbers (Top of Page)"/>
            <w:docPartUnique/>
          </w:docPartObj>
        </w:sdtPr>
        <w:sdtEndPr/>
        <w:sdtContent>
          <w:p w:rsidR="0090242A" w:rsidRDefault="0090242A">
            <w:pPr>
              <w:pStyle w:val="Footer"/>
              <w:jc w:val="center"/>
            </w:pPr>
            <w:r w:rsidRPr="0090242A">
              <w:t xml:space="preserve">Page </w:t>
            </w:r>
            <w:r w:rsidRPr="0090242A">
              <w:rPr>
                <w:bCs/>
                <w:sz w:val="24"/>
                <w:szCs w:val="24"/>
              </w:rPr>
              <w:fldChar w:fldCharType="begin"/>
            </w:r>
            <w:r w:rsidRPr="0090242A">
              <w:rPr>
                <w:bCs/>
              </w:rPr>
              <w:instrText xml:space="preserve"> PAGE </w:instrText>
            </w:r>
            <w:r w:rsidRPr="0090242A">
              <w:rPr>
                <w:bCs/>
                <w:sz w:val="24"/>
                <w:szCs w:val="24"/>
              </w:rPr>
              <w:fldChar w:fldCharType="separate"/>
            </w:r>
            <w:r w:rsidR="00087640">
              <w:rPr>
                <w:bCs/>
                <w:noProof/>
              </w:rPr>
              <w:t>28</w:t>
            </w:r>
            <w:r w:rsidRPr="0090242A">
              <w:rPr>
                <w:bCs/>
                <w:sz w:val="24"/>
                <w:szCs w:val="24"/>
              </w:rPr>
              <w:fldChar w:fldCharType="end"/>
            </w:r>
            <w:r w:rsidRPr="0090242A">
              <w:t xml:space="preserve"> of </w:t>
            </w:r>
            <w:r w:rsidRPr="0090242A">
              <w:rPr>
                <w:bCs/>
                <w:sz w:val="24"/>
                <w:szCs w:val="24"/>
              </w:rPr>
              <w:fldChar w:fldCharType="begin"/>
            </w:r>
            <w:r w:rsidRPr="0090242A">
              <w:rPr>
                <w:bCs/>
              </w:rPr>
              <w:instrText xml:space="preserve"> NUMPAGES  </w:instrText>
            </w:r>
            <w:r w:rsidRPr="0090242A">
              <w:rPr>
                <w:bCs/>
                <w:sz w:val="24"/>
                <w:szCs w:val="24"/>
              </w:rPr>
              <w:fldChar w:fldCharType="separate"/>
            </w:r>
            <w:r w:rsidR="00087640">
              <w:rPr>
                <w:bCs/>
                <w:noProof/>
              </w:rPr>
              <w:t>35</w:t>
            </w:r>
            <w:r w:rsidRPr="0090242A">
              <w:rPr>
                <w:bCs/>
                <w:sz w:val="24"/>
                <w:szCs w:val="24"/>
              </w:rPr>
              <w:fldChar w:fldCharType="end"/>
            </w:r>
          </w:p>
        </w:sdtContent>
      </w:sdt>
    </w:sdtContent>
  </w:sdt>
  <w:p w:rsidR="0090242A" w:rsidRDefault="009024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2A" w:rsidRDefault="0090242A">
    <w:pPr>
      <w:pStyle w:val="Footer"/>
      <w:jc w:val="center"/>
    </w:pPr>
  </w:p>
  <w:p w:rsidR="0090242A" w:rsidRDefault="00902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63" w:rsidRDefault="00451463" w:rsidP="00832B43">
      <w:r>
        <w:separator/>
      </w:r>
    </w:p>
  </w:footnote>
  <w:footnote w:type="continuationSeparator" w:id="0">
    <w:p w:rsidR="00451463" w:rsidRDefault="00451463" w:rsidP="00832B43">
      <w:r>
        <w:continuationSeparator/>
      </w:r>
    </w:p>
  </w:footnote>
  <w:footnote w:id="1">
    <w:p w:rsidR="00132B2D" w:rsidRDefault="00132B2D" w:rsidP="00132B2D">
      <w:pPr>
        <w:pStyle w:val="FootnoteText"/>
      </w:pPr>
      <w:r>
        <w:rPr>
          <w:rStyle w:val="FootnoteReference"/>
        </w:rPr>
        <w:footnoteRef/>
      </w:r>
      <w:r>
        <w:t xml:space="preserve"> AEP witness Pearce, Page 10</w:t>
      </w:r>
    </w:p>
  </w:footnote>
  <w:footnote w:id="2">
    <w:p w:rsidR="00132B2D" w:rsidRDefault="00132B2D" w:rsidP="00132B2D">
      <w:pPr>
        <w:pStyle w:val="FootnoteText"/>
      </w:pPr>
      <w:r>
        <w:rPr>
          <w:rStyle w:val="FootnoteReference"/>
        </w:rPr>
        <w:footnoteRef/>
      </w:r>
      <w:r>
        <w:t xml:space="preserve"> AEP witness Pearce, Exhibit KDP-1, Page 7.</w:t>
      </w:r>
    </w:p>
  </w:footnote>
  <w:footnote w:id="3">
    <w:p w:rsidR="00132B2D" w:rsidRDefault="00132B2D" w:rsidP="00132B2D">
      <w:pPr>
        <w:pStyle w:val="FootnoteText"/>
      </w:pPr>
      <w:r>
        <w:rPr>
          <w:rStyle w:val="FootnoteReference"/>
        </w:rPr>
        <w:footnoteRef/>
      </w:r>
      <w:r>
        <w:t xml:space="preserve"> The Ohio Valley Electric Corporation (OVEC) is comprised of two plants – Clifty Creek in Jefferson County, Indiana, and Kyger Creek in Gallia County, Ohio.  The amount shown above represents the portion of OVEC located in Ohio (the Kyger Creek plant).</w:t>
      </w:r>
    </w:p>
  </w:footnote>
  <w:footnote w:id="4">
    <w:p w:rsidR="00132B2D" w:rsidRDefault="00132B2D" w:rsidP="00132B2D">
      <w:r>
        <w:rPr>
          <w:rStyle w:val="FootnoteReference"/>
        </w:rPr>
        <w:footnoteRef/>
      </w:r>
      <w:r>
        <w:t xml:space="preserve"> </w:t>
      </w:r>
      <w:hyperlink r:id="rId1" w:history="1">
        <w:r w:rsidRPr="005537BD">
          <w:rPr>
            <w:rStyle w:val="Hyperlink"/>
            <w:sz w:val="20"/>
          </w:rPr>
          <w:t>http://www.pjm.com/about-pjm/who-we-are.aspx</w:t>
        </w:r>
      </w:hyperlink>
    </w:p>
    <w:p w:rsidR="00132B2D" w:rsidRDefault="00132B2D" w:rsidP="00132B2D">
      <w:pPr>
        <w:pStyle w:val="FootnoteText"/>
      </w:pPr>
    </w:p>
  </w:footnote>
  <w:footnote w:id="5">
    <w:p w:rsidR="00132B2D" w:rsidRPr="005537BD" w:rsidRDefault="00132B2D" w:rsidP="00132B2D">
      <w:pPr>
        <w:rPr>
          <w:sz w:val="20"/>
        </w:rPr>
      </w:pPr>
      <w:r w:rsidRPr="005537BD">
        <w:rPr>
          <w:rStyle w:val="FootnoteReference"/>
          <w:sz w:val="20"/>
        </w:rPr>
        <w:footnoteRef/>
      </w:r>
      <w:r w:rsidRPr="005537BD">
        <w:rPr>
          <w:sz w:val="20"/>
        </w:rPr>
        <w:t xml:space="preserve"> </w:t>
      </w:r>
      <w:hyperlink r:id="rId2" w:history="1">
        <w:r w:rsidRPr="005537BD">
          <w:rPr>
            <w:rStyle w:val="Hyperlink"/>
            <w:sz w:val="20"/>
          </w:rPr>
          <w:t>http://www.aep.com/newsroom/resources/pjm/PJM_AEPintegrationQ&amp;A.pdf</w:t>
        </w:r>
      </w:hyperlink>
    </w:p>
    <w:p w:rsidR="00132B2D" w:rsidRDefault="00132B2D" w:rsidP="00132B2D">
      <w:pPr>
        <w:pStyle w:val="FootnoteText"/>
      </w:pPr>
    </w:p>
  </w:footnote>
  <w:footnote w:id="6">
    <w:p w:rsidR="00132B2D" w:rsidRDefault="00132B2D" w:rsidP="00132B2D">
      <w:pPr>
        <w:pStyle w:val="FootnoteText"/>
      </w:pPr>
      <w:r>
        <w:rPr>
          <w:rStyle w:val="FootnoteReference"/>
        </w:rPr>
        <w:footnoteRef/>
      </w:r>
      <w:r>
        <w:t xml:space="preserve"> AEP witness Vegas, page 25</w:t>
      </w:r>
    </w:p>
  </w:footnote>
  <w:footnote w:id="7">
    <w:p w:rsidR="00132B2D" w:rsidRDefault="00132B2D" w:rsidP="00132B2D">
      <w:pPr>
        <w:pStyle w:val="FootnoteText"/>
      </w:pPr>
      <w:r>
        <w:rPr>
          <w:rStyle w:val="FootnoteReference"/>
        </w:rPr>
        <w:footnoteRef/>
      </w:r>
      <w:r>
        <w:t xml:space="preserve"> AEP witness Vegas page 25</w:t>
      </w:r>
    </w:p>
  </w:footnote>
  <w:footnote w:id="8">
    <w:p w:rsidR="00132B2D" w:rsidRDefault="00132B2D" w:rsidP="00132B2D">
      <w:pPr>
        <w:pStyle w:val="FootnoteText"/>
      </w:pPr>
      <w:r>
        <w:rPr>
          <w:rStyle w:val="FootnoteReference"/>
        </w:rPr>
        <w:footnoteRef/>
      </w:r>
      <w:r>
        <w:t xml:space="preserve"> AEP witness Vegas, page 21</w:t>
      </w:r>
    </w:p>
  </w:footnote>
  <w:footnote w:id="9">
    <w:p w:rsidR="00132B2D" w:rsidRDefault="00132B2D" w:rsidP="00132B2D">
      <w:pPr>
        <w:pStyle w:val="FootnoteText"/>
      </w:pPr>
      <w:r>
        <w:rPr>
          <w:rStyle w:val="FootnoteReference"/>
        </w:rPr>
        <w:footnoteRef/>
      </w:r>
      <w:r>
        <w:t xml:space="preserve"> </w:t>
      </w:r>
      <w:hyperlink r:id="rId3" w:history="1">
        <w:r w:rsidRPr="00E0715E">
          <w:t>http://pjm.com/~/media/markets-ops/rpm/rpm-auction-info/2018-2019-bra-planning-parameters.ashx</w:t>
        </w:r>
      </w:hyperlink>
      <w:r>
        <w:rPr>
          <w:sz w:val="24"/>
        </w:rPr>
        <w:t xml:space="preserve"> </w:t>
      </w:r>
    </w:p>
  </w:footnote>
  <w:footnote w:id="10">
    <w:p w:rsidR="00132B2D" w:rsidRDefault="00132B2D" w:rsidP="00132B2D">
      <w:pPr>
        <w:pStyle w:val="FootnoteText"/>
      </w:pPr>
      <w:r>
        <w:rPr>
          <w:rStyle w:val="FootnoteReference"/>
        </w:rPr>
        <w:footnoteRef/>
      </w:r>
      <w:r>
        <w:t xml:space="preserve"> AEP witness Bradish, pages 3, 4</w:t>
      </w:r>
    </w:p>
  </w:footnote>
  <w:footnote w:id="11">
    <w:p w:rsidR="00132B2D" w:rsidRDefault="00132B2D" w:rsidP="00132B2D">
      <w:pPr>
        <w:pStyle w:val="FootnoteText"/>
      </w:pPr>
      <w:r>
        <w:rPr>
          <w:rStyle w:val="FootnoteReference"/>
        </w:rPr>
        <w:footnoteRef/>
      </w:r>
      <w:r>
        <w:t xml:space="preserve"> </w:t>
      </w:r>
      <w:hyperlink r:id="rId4" w:history="1">
        <w:r w:rsidRPr="00FD3BB3">
          <w:rPr>
            <w:rStyle w:val="Hyperlink"/>
          </w:rPr>
          <w:t>http://www.aep.com/newsroom/resources/pjm/PJM_AEPintegrationQ&amp;A.pdf</w:t>
        </w:r>
      </w:hyperlink>
      <w:r>
        <w:rPr>
          <w:rStyle w:val="Hyperlink"/>
        </w:rPr>
        <w:t xml:space="preserve"> </w:t>
      </w:r>
    </w:p>
  </w:footnote>
  <w:footnote w:id="12">
    <w:p w:rsidR="00132B2D" w:rsidRDefault="00132B2D" w:rsidP="00132B2D">
      <w:pPr>
        <w:pStyle w:val="FootnoteText"/>
      </w:pPr>
      <w:r>
        <w:rPr>
          <w:rStyle w:val="FootnoteReference"/>
        </w:rPr>
        <w:footnoteRef/>
      </w:r>
      <w:r>
        <w:t xml:space="preserve"> [Vegas, P. 11]</w:t>
      </w:r>
    </w:p>
  </w:footnote>
  <w:footnote w:id="13">
    <w:p w:rsidR="00132B2D" w:rsidRDefault="00132B2D" w:rsidP="00132B2D">
      <w:pPr>
        <w:pStyle w:val="FootnoteText"/>
      </w:pPr>
      <w:r>
        <w:rPr>
          <w:rStyle w:val="FootnoteReference"/>
        </w:rPr>
        <w:footnoteRef/>
      </w:r>
      <w:r>
        <w:t xml:space="preserve"> OVEC is comprised of two plants – Clifty Creek in Jefferson County, Indiana, and Kyger Creek in Gallia County, Ohio.  The amount shown above represents the portion of OVEC located in Ohio (the Kyger Creek plant). </w:t>
      </w:r>
    </w:p>
  </w:footnote>
  <w:footnote w:id="14">
    <w:p w:rsidR="00132B2D" w:rsidRDefault="00132B2D" w:rsidP="00132B2D">
      <w:pPr>
        <w:pStyle w:val="FootnoteText"/>
      </w:pPr>
      <w:r>
        <w:rPr>
          <w:rStyle w:val="FootnoteReference"/>
        </w:rPr>
        <w:footnoteRef/>
      </w:r>
      <w:r>
        <w:t xml:space="preserve"> AEP witness Vegas, page 13</w:t>
      </w:r>
    </w:p>
  </w:footnote>
  <w:footnote w:id="15">
    <w:p w:rsidR="00132B2D" w:rsidRDefault="00132B2D" w:rsidP="00132B2D">
      <w:pPr>
        <w:pStyle w:val="FootnoteText"/>
      </w:pPr>
      <w:r>
        <w:rPr>
          <w:rStyle w:val="FootnoteReference"/>
        </w:rPr>
        <w:footnoteRef/>
      </w:r>
      <w:r>
        <w:t xml:space="preserve"> AEP witness Bradish, pages 2-3</w:t>
      </w:r>
    </w:p>
  </w:footnote>
  <w:footnote w:id="16">
    <w:p w:rsidR="00132B2D" w:rsidRDefault="00132B2D" w:rsidP="00132B2D">
      <w:pPr>
        <w:pStyle w:val="FootnoteText"/>
      </w:pPr>
      <w:r>
        <w:rPr>
          <w:rStyle w:val="FootnoteReference"/>
        </w:rPr>
        <w:footnoteRef/>
      </w:r>
      <w:r>
        <w:t xml:space="preserve"> AEP witness Bradish, page 6</w:t>
      </w:r>
    </w:p>
  </w:footnote>
  <w:footnote w:id="17">
    <w:p w:rsidR="00132B2D" w:rsidRDefault="00132B2D" w:rsidP="00132B2D">
      <w:pPr>
        <w:pStyle w:val="FootnoteText"/>
      </w:pPr>
      <w:r>
        <w:rPr>
          <w:rStyle w:val="FootnoteReference"/>
        </w:rPr>
        <w:footnoteRef/>
      </w:r>
      <w:r>
        <w:t xml:space="preserve"> AEP witness Vegas, page 13</w:t>
      </w:r>
    </w:p>
  </w:footnote>
  <w:footnote w:id="18">
    <w:p w:rsidR="00132B2D" w:rsidRDefault="00132B2D" w:rsidP="00132B2D">
      <w:pPr>
        <w:pStyle w:val="FootnoteText"/>
      </w:pPr>
      <w:r>
        <w:rPr>
          <w:rStyle w:val="FootnoteReference"/>
        </w:rPr>
        <w:footnoteRef/>
      </w:r>
      <w:r>
        <w:t xml:space="preserve"> AEP witness Vegas (page 14), AEP witness Bradash (page 9), AEP witness Allen (page 12) and AEP witness Fetter (page 12)</w:t>
      </w:r>
    </w:p>
  </w:footnote>
  <w:footnote w:id="19">
    <w:p w:rsidR="00132B2D" w:rsidRDefault="00132B2D" w:rsidP="00132B2D">
      <w:pPr>
        <w:pStyle w:val="FootnoteText"/>
      </w:pPr>
      <w:r>
        <w:rPr>
          <w:rStyle w:val="FootnoteReference"/>
        </w:rPr>
        <w:footnoteRef/>
      </w:r>
      <w:r>
        <w:t xml:space="preserve"> AEP witness Vegas, pages 14-15</w:t>
      </w:r>
    </w:p>
  </w:footnote>
  <w:footnote w:id="20">
    <w:p w:rsidR="00132B2D" w:rsidRDefault="00132B2D" w:rsidP="00132B2D">
      <w:pPr>
        <w:pStyle w:val="FootnoteText"/>
      </w:pPr>
      <w:r>
        <w:rPr>
          <w:rStyle w:val="FootnoteReference"/>
        </w:rPr>
        <w:footnoteRef/>
      </w:r>
      <w:r>
        <w:t xml:space="preserve"> </w:t>
      </w:r>
      <w:hyperlink r:id="rId5" w:history="1">
        <w:r w:rsidRPr="004D4297">
          <w:rPr>
            <w:rStyle w:val="Hyperlink"/>
          </w:rPr>
          <w:t>http://energy.gov/sites/prod/files/oeprod/DocumentsandMedia/BlackoutFinal-Web.pdf</w:t>
        </w:r>
      </w:hyperlink>
      <w:r>
        <w:t xml:space="preserve"> </w:t>
      </w:r>
    </w:p>
  </w:footnote>
  <w:footnote w:id="21">
    <w:p w:rsidR="00132B2D" w:rsidRDefault="00132B2D" w:rsidP="00132B2D">
      <w:pPr>
        <w:pStyle w:val="FootnoteText"/>
      </w:pPr>
      <w:r>
        <w:rPr>
          <w:rStyle w:val="FootnoteReference"/>
        </w:rPr>
        <w:footnoteRef/>
      </w:r>
      <w:r>
        <w:t xml:space="preserve"> AEP witness Bradish, page 5</w:t>
      </w:r>
    </w:p>
  </w:footnote>
  <w:footnote w:id="22">
    <w:p w:rsidR="00132B2D" w:rsidRDefault="00132B2D" w:rsidP="00132B2D">
      <w:pPr>
        <w:pStyle w:val="FootnoteText"/>
      </w:pPr>
      <w:r>
        <w:rPr>
          <w:rStyle w:val="FootnoteReference"/>
        </w:rPr>
        <w:footnoteRef/>
      </w:r>
      <w:r>
        <w:t xml:space="preserve"> AEP witness Bradish, Page 5</w:t>
      </w:r>
    </w:p>
  </w:footnote>
  <w:footnote w:id="23">
    <w:p w:rsidR="00132B2D" w:rsidRDefault="00132B2D" w:rsidP="00132B2D">
      <w:pPr>
        <w:pStyle w:val="FootnoteText"/>
      </w:pPr>
      <w:r>
        <w:rPr>
          <w:rStyle w:val="FootnoteReference"/>
        </w:rPr>
        <w:footnoteRef/>
      </w:r>
      <w:r>
        <w:t xml:space="preserve"> </w:t>
      </w:r>
      <w:hyperlink r:id="rId6" w:history="1">
        <w:r w:rsidRPr="00A969AE">
          <w:rPr>
            <w:rStyle w:val="Hyperlink"/>
          </w:rPr>
          <w:t>http://www.pjm.com/sitecore%20modules/web/~/media/pjm-annualmeeting/postings/2015-summer-outlook.ashx</w:t>
        </w:r>
      </w:hyperlink>
      <w:r>
        <w:t xml:space="preserve"> </w:t>
      </w:r>
    </w:p>
  </w:footnote>
  <w:footnote w:id="24">
    <w:p w:rsidR="00132B2D" w:rsidRDefault="00132B2D" w:rsidP="00132B2D">
      <w:pPr>
        <w:pStyle w:val="FootnoteText"/>
      </w:pPr>
      <w:r>
        <w:rPr>
          <w:rStyle w:val="FootnoteReference"/>
        </w:rPr>
        <w:footnoteRef/>
      </w:r>
      <w:r>
        <w:t xml:space="preserve"> </w:t>
      </w:r>
      <w:hyperlink r:id="rId7" w:history="1">
        <w:r w:rsidRPr="00A969AE">
          <w:rPr>
            <w:rStyle w:val="Hyperlink"/>
          </w:rPr>
          <w:t>http://www.pjm.com/~/media/planning/res-adeq/20150609-forecasted-reserve-margin-graph.ashx</w:t>
        </w:r>
      </w:hyperlink>
      <w:r>
        <w:t xml:space="preserve"> </w:t>
      </w:r>
    </w:p>
  </w:footnote>
  <w:footnote w:id="25">
    <w:p w:rsidR="00132B2D" w:rsidRDefault="00132B2D" w:rsidP="00132B2D">
      <w:pPr>
        <w:pStyle w:val="FootnoteText"/>
      </w:pPr>
      <w:r>
        <w:rPr>
          <w:rStyle w:val="FootnoteReference"/>
        </w:rPr>
        <w:footnoteRef/>
      </w:r>
      <w:r>
        <w:t xml:space="preserve"> </w:t>
      </w:r>
      <w:hyperlink r:id="rId8" w:history="1">
        <w:r w:rsidRPr="004D4297">
          <w:rPr>
            <w:rStyle w:val="Hyperlink"/>
          </w:rPr>
          <w:t>https://www.ncdc.noaa.gov/sotc/national/201401</w:t>
        </w:r>
      </w:hyperlink>
      <w:r>
        <w:t xml:space="preserve"> </w:t>
      </w:r>
    </w:p>
  </w:footnote>
  <w:footnote w:id="26">
    <w:p w:rsidR="00132B2D" w:rsidRDefault="00132B2D" w:rsidP="00132B2D">
      <w:pPr>
        <w:pStyle w:val="FootnoteText"/>
      </w:pPr>
      <w:r>
        <w:rPr>
          <w:rStyle w:val="FootnoteReference"/>
        </w:rPr>
        <w:footnoteRef/>
      </w:r>
      <w:r>
        <w:t xml:space="preserve"> </w:t>
      </w:r>
      <w:r w:rsidRPr="00E6195B">
        <w:t>http://www.weather.gov/cle/climate_Jan2014</w:t>
      </w:r>
    </w:p>
  </w:footnote>
  <w:footnote w:id="27">
    <w:p w:rsidR="00132B2D" w:rsidRDefault="00132B2D" w:rsidP="00132B2D">
      <w:pPr>
        <w:pStyle w:val="FootnoteText"/>
      </w:pPr>
      <w:r>
        <w:rPr>
          <w:rStyle w:val="FootnoteReference"/>
        </w:rPr>
        <w:footnoteRef/>
      </w:r>
      <w:r>
        <w:t xml:space="preserve"> AEP witness Pearce, page 18</w:t>
      </w:r>
    </w:p>
  </w:footnote>
  <w:footnote w:id="28">
    <w:p w:rsidR="00132B2D" w:rsidRDefault="00132B2D" w:rsidP="00132B2D">
      <w:pPr>
        <w:pStyle w:val="FootnoteText"/>
      </w:pPr>
      <w:r>
        <w:rPr>
          <w:rStyle w:val="FootnoteReference"/>
        </w:rPr>
        <w:footnoteRef/>
      </w:r>
      <w:r>
        <w:t xml:space="preserve"> FERC Docket ER15-623</w:t>
      </w:r>
    </w:p>
  </w:footnote>
  <w:footnote w:id="29">
    <w:p w:rsidR="00132B2D" w:rsidRDefault="00132B2D" w:rsidP="00132B2D">
      <w:pPr>
        <w:pStyle w:val="FootnoteText"/>
      </w:pPr>
      <w:r>
        <w:rPr>
          <w:rStyle w:val="FootnoteReference"/>
        </w:rPr>
        <w:footnoteRef/>
      </w:r>
      <w:r>
        <w:t xml:space="preserve"> </w:t>
      </w:r>
      <w:hyperlink r:id="rId9" w:history="1">
        <w:r w:rsidRPr="004D4297">
          <w:rPr>
            <w:rStyle w:val="Hyperlink"/>
          </w:rPr>
          <w:t>http://pjm.com/~/media/committees-groups/committees/elc/postings/capacity-performance-cost-benefit-analysis.ashx</w:t>
        </w:r>
      </w:hyperlink>
      <w:r>
        <w:t xml:space="preserve"> </w:t>
      </w:r>
    </w:p>
  </w:footnote>
  <w:footnote w:id="30">
    <w:p w:rsidR="00132B2D" w:rsidRDefault="00132B2D" w:rsidP="00132B2D">
      <w:pPr>
        <w:pStyle w:val="FootnoteText"/>
      </w:pPr>
      <w:r>
        <w:rPr>
          <w:rStyle w:val="FootnoteReference"/>
        </w:rPr>
        <w:footnoteRef/>
      </w:r>
      <w:r>
        <w:t xml:space="preserve"> </w:t>
      </w:r>
      <w:hyperlink r:id="rId10" w:history="1">
        <w:r w:rsidRPr="004D4297">
          <w:rPr>
            <w:rStyle w:val="Hyperlink"/>
          </w:rPr>
          <w:t>http://www.pjm.com/~/media/about-pjm/newsroom/annual-reports/2014-annual-report.ashx</w:t>
        </w:r>
      </w:hyperlink>
      <w:r>
        <w:t xml:space="preserve">  </w:t>
      </w:r>
    </w:p>
  </w:footnote>
  <w:footnote w:id="31">
    <w:p w:rsidR="00132B2D" w:rsidRDefault="00132B2D" w:rsidP="00132B2D">
      <w:pPr>
        <w:pStyle w:val="FootnoteText"/>
      </w:pPr>
      <w:r>
        <w:rPr>
          <w:rStyle w:val="FootnoteReference"/>
        </w:rPr>
        <w:footnoteRef/>
      </w:r>
      <w:r>
        <w:t xml:space="preserve"> FERC Docket ER15-2260</w:t>
      </w:r>
    </w:p>
  </w:footnote>
  <w:footnote w:id="32">
    <w:p w:rsidR="00132B2D" w:rsidRDefault="00132B2D" w:rsidP="00132B2D">
      <w:pPr>
        <w:pStyle w:val="FootnoteText"/>
      </w:pPr>
      <w:r>
        <w:rPr>
          <w:rStyle w:val="FootnoteReference"/>
        </w:rPr>
        <w:footnoteRef/>
      </w:r>
      <w:r>
        <w:t xml:space="preserve"> </w:t>
      </w:r>
      <w:hyperlink r:id="rId11" w:history="1">
        <w:r w:rsidRPr="00B55C72">
          <w:rPr>
            <w:rStyle w:val="Hyperlink"/>
          </w:rPr>
          <w:t>http://www.pjm.com/~/media/markets-ops/rpm/rpm-auction-info/2016-2017-transition-incremental-auction-results.ashx</w:t>
        </w:r>
      </w:hyperlink>
      <w:r>
        <w:t xml:space="preserve"> </w:t>
      </w:r>
    </w:p>
  </w:footnote>
  <w:footnote w:id="33">
    <w:p w:rsidR="00132B2D" w:rsidRDefault="00132B2D" w:rsidP="00132B2D">
      <w:pPr>
        <w:pStyle w:val="FootnoteText"/>
      </w:pPr>
      <w:r>
        <w:rPr>
          <w:rStyle w:val="FootnoteReference"/>
        </w:rPr>
        <w:footnoteRef/>
      </w:r>
      <w:r>
        <w:t xml:space="preserve"> </w:t>
      </w:r>
      <w:r w:rsidRPr="00664733">
        <w:t>http://www.pjm.com/~/media/markets-ops/rpm/rpm-auction-info/2017-2018-cp-transition-auction-report.ashx</w:t>
      </w:r>
    </w:p>
  </w:footnote>
  <w:footnote w:id="34">
    <w:p w:rsidR="00132B2D" w:rsidRDefault="00132B2D" w:rsidP="00132B2D">
      <w:pPr>
        <w:pStyle w:val="FootnoteText"/>
      </w:pPr>
      <w:r>
        <w:rPr>
          <w:rStyle w:val="FootnoteReference"/>
        </w:rPr>
        <w:footnoteRef/>
      </w:r>
      <w:r>
        <w:t xml:space="preserve"> </w:t>
      </w:r>
      <w:hyperlink r:id="rId12" w:history="1">
        <w:r w:rsidRPr="00B55C72">
          <w:rPr>
            <w:rStyle w:val="Hyperlink"/>
          </w:rPr>
          <w:t>http://www.pjm.com/~/media/879A2FA2A1794C7887A98686A70336D2.ashx</w:t>
        </w:r>
      </w:hyperlink>
      <w:r>
        <w:t xml:space="preserve"> </w:t>
      </w:r>
    </w:p>
  </w:footnote>
  <w:footnote w:id="35">
    <w:p w:rsidR="00132B2D" w:rsidRDefault="00132B2D" w:rsidP="00132B2D">
      <w:pPr>
        <w:pStyle w:val="FootnoteText"/>
      </w:pPr>
      <w:r>
        <w:rPr>
          <w:rStyle w:val="FootnoteReference"/>
        </w:rPr>
        <w:footnoteRef/>
      </w:r>
      <w:r>
        <w:t xml:space="preserve"> </w:t>
      </w:r>
      <w:hyperlink r:id="rId13" w:history="1">
        <w:r w:rsidRPr="00B55C72">
          <w:rPr>
            <w:rStyle w:val="Hyperlink"/>
          </w:rPr>
          <w:t>https://www.pjm.com/~/media/markets-ops/rpm/rpm-auction-info/2016-2017-base-residual-auction-report.ashx</w:t>
        </w:r>
      </w:hyperlink>
      <w:r>
        <w:t xml:space="preserve"> </w:t>
      </w:r>
    </w:p>
  </w:footnote>
  <w:footnote w:id="36">
    <w:p w:rsidR="00132B2D" w:rsidRDefault="00132B2D" w:rsidP="00132B2D">
      <w:pPr>
        <w:pStyle w:val="FootnoteText"/>
      </w:pPr>
      <w:r>
        <w:rPr>
          <w:rStyle w:val="FootnoteReference"/>
        </w:rPr>
        <w:footnoteRef/>
      </w:r>
      <w:r>
        <w:t xml:space="preserve"> </w:t>
      </w:r>
      <w:hyperlink r:id="rId14" w:history="1">
        <w:r w:rsidRPr="00B55C72">
          <w:rPr>
            <w:rStyle w:val="Hyperlink"/>
          </w:rPr>
          <w:t>https://www.pjm.com/~/media/markets-ops/rpm/rpm-auction-info/2016-2017-base-residual-auction-report.ashx</w:t>
        </w:r>
      </w:hyperlink>
      <w:r>
        <w:t xml:space="preserve"> </w:t>
      </w:r>
    </w:p>
  </w:footnote>
  <w:footnote w:id="37">
    <w:p w:rsidR="00132B2D" w:rsidRDefault="00132B2D" w:rsidP="00132B2D">
      <w:pPr>
        <w:pStyle w:val="FootnoteText"/>
      </w:pPr>
      <w:r>
        <w:rPr>
          <w:rStyle w:val="FootnoteReference"/>
        </w:rPr>
        <w:footnoteRef/>
      </w:r>
      <w:r>
        <w:t xml:space="preserve"> 2,700 MW x ($134-59.37)MW/Day x 365 days</w:t>
      </w:r>
    </w:p>
  </w:footnote>
  <w:footnote w:id="38">
    <w:p w:rsidR="00132B2D" w:rsidRDefault="00132B2D" w:rsidP="00132B2D">
      <w:pPr>
        <w:pStyle w:val="FootnoteText"/>
      </w:pPr>
      <w:r>
        <w:rPr>
          <w:rStyle w:val="FootnoteReference"/>
        </w:rPr>
        <w:footnoteRef/>
      </w:r>
      <w:r>
        <w:t xml:space="preserve"> 2,700 MW x ($151.50-120)MW/Day x 365 days</w:t>
      </w:r>
    </w:p>
  </w:footnote>
  <w:footnote w:id="39">
    <w:p w:rsidR="00132B2D" w:rsidRDefault="00132B2D" w:rsidP="00132B2D">
      <w:pPr>
        <w:pStyle w:val="FootnoteText"/>
      </w:pPr>
      <w:r>
        <w:rPr>
          <w:rStyle w:val="FootnoteReference"/>
        </w:rPr>
        <w:footnoteRef/>
      </w:r>
      <w:r>
        <w:t xml:space="preserve"> 2,700 MW x $164.77/MW-Day x 365 days</w:t>
      </w:r>
    </w:p>
  </w:footnote>
  <w:footnote w:id="40">
    <w:p w:rsidR="00132B2D" w:rsidRDefault="00132B2D" w:rsidP="00132B2D">
      <w:pPr>
        <w:pStyle w:val="FootnoteText"/>
      </w:pPr>
      <w:r>
        <w:rPr>
          <w:rStyle w:val="FootnoteReference"/>
        </w:rPr>
        <w:footnoteRef/>
      </w:r>
      <w:r>
        <w:t xml:space="preserve"> Ohio Power Siting Board </w:t>
      </w:r>
      <w:hyperlink r:id="rId15" w:history="1">
        <w:r w:rsidRPr="005A50B3">
          <w:rPr>
            <w:rStyle w:val="Hyperlink"/>
          </w:rPr>
          <w:t>http://www.opsb.ohio.gov/opsb/</w:t>
        </w:r>
      </w:hyperlink>
      <w:r>
        <w:t xml:space="preserve"> </w:t>
      </w:r>
    </w:p>
  </w:footnote>
  <w:footnote w:id="41">
    <w:p w:rsidR="00132B2D" w:rsidRDefault="00132B2D" w:rsidP="00132B2D">
      <w:pPr>
        <w:pStyle w:val="FootnoteText"/>
      </w:pPr>
      <w:r>
        <w:rPr>
          <w:rStyle w:val="FootnoteReference"/>
        </w:rPr>
        <w:footnoteRef/>
      </w:r>
      <w:r>
        <w:t xml:space="preserve"> Wittine, page 8</w:t>
      </w:r>
    </w:p>
  </w:footnote>
  <w:footnote w:id="42">
    <w:p w:rsidR="00132B2D" w:rsidRPr="006441C7" w:rsidRDefault="00132B2D" w:rsidP="00132B2D">
      <w:pPr>
        <w:pStyle w:val="FootnoteText"/>
      </w:pPr>
      <w:r w:rsidRPr="006441C7">
        <w:rPr>
          <w:rStyle w:val="FootnoteReference"/>
        </w:rPr>
        <w:footnoteRef/>
      </w:r>
      <w:r w:rsidRPr="006441C7">
        <w:t xml:space="preserve"> 42 USC 4711</w:t>
      </w:r>
    </w:p>
  </w:footnote>
  <w:footnote w:id="43">
    <w:p w:rsidR="00132B2D" w:rsidRDefault="00132B2D" w:rsidP="00132B2D">
      <w:pPr>
        <w:pStyle w:val="FootnoteText"/>
      </w:pPr>
      <w:r>
        <w:rPr>
          <w:rStyle w:val="FootnoteReference"/>
        </w:rPr>
        <w:footnoteRef/>
      </w:r>
      <w:r>
        <w:t xml:space="preserve"> AEP witness Vegas, pages 13-14</w:t>
      </w:r>
    </w:p>
  </w:footnote>
  <w:footnote w:id="44">
    <w:p w:rsidR="00132B2D" w:rsidRDefault="00132B2D" w:rsidP="00132B2D">
      <w:pPr>
        <w:pStyle w:val="FootnoteText"/>
      </w:pPr>
      <w:r>
        <w:rPr>
          <w:rStyle w:val="FootnoteReference"/>
        </w:rPr>
        <w:footnoteRef/>
      </w:r>
      <w:r>
        <w:t xml:space="preserve"> AEP witness Vegas, page 16</w:t>
      </w:r>
    </w:p>
  </w:footnote>
  <w:footnote w:id="45">
    <w:p w:rsidR="00132B2D" w:rsidRDefault="00132B2D" w:rsidP="00132B2D">
      <w:pPr>
        <w:pStyle w:val="FootnoteText"/>
      </w:pPr>
      <w:r>
        <w:rPr>
          <w:rStyle w:val="FootnoteReference"/>
        </w:rPr>
        <w:footnoteRef/>
      </w:r>
      <w:r>
        <w:t xml:space="preserve"> </w:t>
      </w:r>
      <w:hyperlink r:id="rId16" w:history="1">
        <w:r w:rsidRPr="004D4297">
          <w:rPr>
            <w:rStyle w:val="Hyperlink"/>
          </w:rPr>
          <w:t>http://www.competecoalition.com/files/EIA%20restructured%20states%20data%20chart%20April%202015%20update.pdf</w:t>
        </w:r>
      </w:hyperlink>
      <w:r>
        <w:t xml:space="preserve"> </w:t>
      </w:r>
    </w:p>
  </w:footnote>
  <w:footnote w:id="46">
    <w:p w:rsidR="00132B2D" w:rsidRDefault="00132B2D" w:rsidP="00132B2D">
      <w:pPr>
        <w:pStyle w:val="FootnoteText"/>
      </w:pPr>
      <w:r>
        <w:rPr>
          <w:rStyle w:val="FootnoteReference"/>
        </w:rPr>
        <w:footnoteRef/>
      </w:r>
      <w:r>
        <w:t xml:space="preserve"> </w:t>
      </w:r>
      <w:hyperlink r:id="rId17" w:history="1">
        <w:r w:rsidRPr="004D4297">
          <w:rPr>
            <w:rStyle w:val="Hyperlink"/>
          </w:rPr>
          <w:t>http://www.competecoalition.com/files/EIA%20RTO%20data%20chart%20April%202015%20update.pdf</w:t>
        </w:r>
      </w:hyperlink>
      <w:r>
        <w:t xml:space="preserve"> </w:t>
      </w:r>
    </w:p>
  </w:footnote>
  <w:footnote w:id="47">
    <w:p w:rsidR="00132B2D" w:rsidRDefault="00132B2D" w:rsidP="00132B2D">
      <w:pPr>
        <w:pStyle w:val="FootnoteText"/>
      </w:pPr>
      <w:r>
        <w:rPr>
          <w:rStyle w:val="FootnoteReference"/>
        </w:rPr>
        <w:footnoteRef/>
      </w:r>
      <w:r>
        <w:t xml:space="preserve"> AEP witness Vegas, page 24</w:t>
      </w:r>
    </w:p>
  </w:footnote>
  <w:footnote w:id="48">
    <w:p w:rsidR="00132B2D" w:rsidRDefault="00132B2D" w:rsidP="00132B2D">
      <w:pPr>
        <w:pStyle w:val="FootnoteText"/>
      </w:pPr>
      <w:r>
        <w:rPr>
          <w:rStyle w:val="FootnoteReference"/>
        </w:rPr>
        <w:footnoteRef/>
      </w:r>
      <w:r>
        <w:t xml:space="preserve"> AEP witness Fetter, page 9</w:t>
      </w:r>
    </w:p>
  </w:footnote>
  <w:footnote w:id="49">
    <w:p w:rsidR="00132B2D" w:rsidRDefault="00132B2D" w:rsidP="00132B2D">
      <w:pPr>
        <w:pStyle w:val="FootnoteText"/>
      </w:pPr>
      <w:r>
        <w:rPr>
          <w:rStyle w:val="FootnoteReference"/>
        </w:rPr>
        <w:footnoteRef/>
      </w:r>
      <w:r>
        <w:t xml:space="preserve"> US Energy Information Administration, YTD 2014 All Sector rates: Ohio, US Average and Michigan All-sector rates 9.67, 10.45 and 11.10 cents per kWH, respectively. </w:t>
      </w:r>
    </w:p>
  </w:footnote>
  <w:footnote w:id="50">
    <w:p w:rsidR="00132B2D" w:rsidRDefault="00132B2D" w:rsidP="00132B2D">
      <w:pPr>
        <w:pStyle w:val="FootnoteText"/>
      </w:pPr>
      <w:r>
        <w:rPr>
          <w:rStyle w:val="FootnoteReference"/>
        </w:rPr>
        <w:footnoteRef/>
      </w:r>
      <w:r>
        <w:t xml:space="preserve"> </w:t>
      </w:r>
      <w:hyperlink r:id="rId18" w:history="1">
        <w:r w:rsidRPr="004D4297">
          <w:rPr>
            <w:rStyle w:val="Hyperlink"/>
          </w:rPr>
          <w:t>https://www.bea.gov/newsreleases/regional/gdp_state/2015/pdf/gsp0615.pdf</w:t>
        </w:r>
      </w:hyperlink>
      <w:r>
        <w:t xml:space="preserve"> </w:t>
      </w:r>
    </w:p>
  </w:footnote>
  <w:footnote w:id="51">
    <w:p w:rsidR="00132B2D" w:rsidRDefault="00132B2D" w:rsidP="00132B2D">
      <w:pPr>
        <w:pStyle w:val="FootnoteText"/>
      </w:pPr>
      <w:r>
        <w:rPr>
          <w:rStyle w:val="FootnoteReference"/>
        </w:rPr>
        <w:footnoteRef/>
      </w:r>
      <w:r>
        <w:t xml:space="preserve"> Of the eight states with the largest GDP, only Florida remains largely vertically-integrated. </w:t>
      </w:r>
    </w:p>
  </w:footnote>
  <w:footnote w:id="52">
    <w:p w:rsidR="00132B2D" w:rsidRDefault="00132B2D" w:rsidP="00132B2D">
      <w:pPr>
        <w:pStyle w:val="FootnoteText"/>
      </w:pPr>
      <w:r>
        <w:rPr>
          <w:rStyle w:val="FootnoteReference"/>
        </w:rPr>
        <w:footnoteRef/>
      </w:r>
      <w:r>
        <w:t xml:space="preserve"> AEP witness Vegas, page 3</w:t>
      </w:r>
    </w:p>
  </w:footnote>
  <w:footnote w:id="53">
    <w:p w:rsidR="00132B2D" w:rsidRDefault="00132B2D" w:rsidP="00132B2D">
      <w:pPr>
        <w:pStyle w:val="FootnoteText"/>
      </w:pPr>
      <w:r>
        <w:rPr>
          <w:rStyle w:val="FootnoteReference"/>
        </w:rPr>
        <w:footnoteRef/>
      </w:r>
      <w:r>
        <w:t xml:space="preserve"> </w:t>
      </w:r>
      <w:hyperlink r:id="rId19" w:history="1">
        <w:r w:rsidRPr="00F03EAA">
          <w:rPr>
            <w:rStyle w:val="Hyperlink"/>
          </w:rPr>
          <w:t>http://www.dispatch.com/content/stories/business/2015/04/23/0423-cold-winter-good-for-aep.html</w:t>
        </w:r>
      </w:hyperlink>
      <w:r w:rsidRPr="00F03EA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CE8"/>
    <w:multiLevelType w:val="hybridMultilevel"/>
    <w:tmpl w:val="3DDA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812C75"/>
    <w:multiLevelType w:val="hybridMultilevel"/>
    <w:tmpl w:val="7D0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5207F"/>
    <w:multiLevelType w:val="hybridMultilevel"/>
    <w:tmpl w:val="DD00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FD65CC"/>
    <w:multiLevelType w:val="hybridMultilevel"/>
    <w:tmpl w:val="76EA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72B2D"/>
    <w:multiLevelType w:val="hybridMultilevel"/>
    <w:tmpl w:val="19C6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F133F"/>
    <w:multiLevelType w:val="hybridMultilevel"/>
    <w:tmpl w:val="180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4631B"/>
    <w:multiLevelType w:val="multilevel"/>
    <w:tmpl w:val="97CE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6465A"/>
    <w:multiLevelType w:val="hybridMultilevel"/>
    <w:tmpl w:val="4508A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E8"/>
    <w:rsid w:val="0000623C"/>
    <w:rsid w:val="00013057"/>
    <w:rsid w:val="00021398"/>
    <w:rsid w:val="0003497D"/>
    <w:rsid w:val="000434F1"/>
    <w:rsid w:val="00045A01"/>
    <w:rsid w:val="00047A64"/>
    <w:rsid w:val="000662ED"/>
    <w:rsid w:val="00066C3C"/>
    <w:rsid w:val="00073485"/>
    <w:rsid w:val="00074966"/>
    <w:rsid w:val="00075804"/>
    <w:rsid w:val="00075827"/>
    <w:rsid w:val="00083F3D"/>
    <w:rsid w:val="000860FE"/>
    <w:rsid w:val="00087640"/>
    <w:rsid w:val="000A17D4"/>
    <w:rsid w:val="000B7FA3"/>
    <w:rsid w:val="000C1F1E"/>
    <w:rsid w:val="000C5773"/>
    <w:rsid w:val="000C6615"/>
    <w:rsid w:val="000D14A9"/>
    <w:rsid w:val="000D2397"/>
    <w:rsid w:val="000D2448"/>
    <w:rsid w:val="000E344F"/>
    <w:rsid w:val="000F02B4"/>
    <w:rsid w:val="000F65DE"/>
    <w:rsid w:val="0010527C"/>
    <w:rsid w:val="001052DB"/>
    <w:rsid w:val="00105A40"/>
    <w:rsid w:val="00122847"/>
    <w:rsid w:val="00132B2D"/>
    <w:rsid w:val="0014045B"/>
    <w:rsid w:val="00160CF6"/>
    <w:rsid w:val="0016116F"/>
    <w:rsid w:val="00161881"/>
    <w:rsid w:val="0016706C"/>
    <w:rsid w:val="0017197E"/>
    <w:rsid w:val="00177C1A"/>
    <w:rsid w:val="00180D3C"/>
    <w:rsid w:val="001A3209"/>
    <w:rsid w:val="001A7FAE"/>
    <w:rsid w:val="001B11A9"/>
    <w:rsid w:val="001B26EC"/>
    <w:rsid w:val="001B30B8"/>
    <w:rsid w:val="001B7921"/>
    <w:rsid w:val="001C1A8D"/>
    <w:rsid w:val="001C3A73"/>
    <w:rsid w:val="001D07A6"/>
    <w:rsid w:val="001D1894"/>
    <w:rsid w:val="001D4B96"/>
    <w:rsid w:val="001D7AA9"/>
    <w:rsid w:val="001E16B4"/>
    <w:rsid w:val="001E1E12"/>
    <w:rsid w:val="001F2127"/>
    <w:rsid w:val="001F263E"/>
    <w:rsid w:val="001F7A92"/>
    <w:rsid w:val="00200B9F"/>
    <w:rsid w:val="00204CE7"/>
    <w:rsid w:val="00205472"/>
    <w:rsid w:val="00212077"/>
    <w:rsid w:val="00230DEE"/>
    <w:rsid w:val="002415E1"/>
    <w:rsid w:val="00251F02"/>
    <w:rsid w:val="00252E39"/>
    <w:rsid w:val="002705FB"/>
    <w:rsid w:val="002765C2"/>
    <w:rsid w:val="00284704"/>
    <w:rsid w:val="002940B3"/>
    <w:rsid w:val="00294AFF"/>
    <w:rsid w:val="002951FF"/>
    <w:rsid w:val="002A36CB"/>
    <w:rsid w:val="002C5AB5"/>
    <w:rsid w:val="002C79EC"/>
    <w:rsid w:val="002F5CEC"/>
    <w:rsid w:val="003045D0"/>
    <w:rsid w:val="003171F1"/>
    <w:rsid w:val="00321E9B"/>
    <w:rsid w:val="00322A99"/>
    <w:rsid w:val="00324F2C"/>
    <w:rsid w:val="00326606"/>
    <w:rsid w:val="00334D18"/>
    <w:rsid w:val="00342BD2"/>
    <w:rsid w:val="003471BE"/>
    <w:rsid w:val="00352DD0"/>
    <w:rsid w:val="00383AA9"/>
    <w:rsid w:val="0038434B"/>
    <w:rsid w:val="003B6370"/>
    <w:rsid w:val="003B7063"/>
    <w:rsid w:val="003C1D30"/>
    <w:rsid w:val="003C7869"/>
    <w:rsid w:val="003D1641"/>
    <w:rsid w:val="003E2092"/>
    <w:rsid w:val="003E292F"/>
    <w:rsid w:val="003E56F7"/>
    <w:rsid w:val="003F22B3"/>
    <w:rsid w:val="003F491F"/>
    <w:rsid w:val="0040383F"/>
    <w:rsid w:val="00404450"/>
    <w:rsid w:val="0040652F"/>
    <w:rsid w:val="00406C01"/>
    <w:rsid w:val="00407349"/>
    <w:rsid w:val="00412F1D"/>
    <w:rsid w:val="00413A31"/>
    <w:rsid w:val="00421531"/>
    <w:rsid w:val="00432F8C"/>
    <w:rsid w:val="004334A2"/>
    <w:rsid w:val="004366FD"/>
    <w:rsid w:val="0044492E"/>
    <w:rsid w:val="004465B5"/>
    <w:rsid w:val="00451463"/>
    <w:rsid w:val="0045273C"/>
    <w:rsid w:val="00456C87"/>
    <w:rsid w:val="00460729"/>
    <w:rsid w:val="0047151B"/>
    <w:rsid w:val="0048061C"/>
    <w:rsid w:val="00481D3A"/>
    <w:rsid w:val="0048200F"/>
    <w:rsid w:val="004835AA"/>
    <w:rsid w:val="004958D3"/>
    <w:rsid w:val="004B1F79"/>
    <w:rsid w:val="004B4F62"/>
    <w:rsid w:val="004C75A0"/>
    <w:rsid w:val="004C7673"/>
    <w:rsid w:val="004D2A5E"/>
    <w:rsid w:val="004E2F5B"/>
    <w:rsid w:val="004E78AB"/>
    <w:rsid w:val="004F5430"/>
    <w:rsid w:val="00544A06"/>
    <w:rsid w:val="00552A78"/>
    <w:rsid w:val="005537BD"/>
    <w:rsid w:val="00553CC2"/>
    <w:rsid w:val="00564124"/>
    <w:rsid w:val="0058163B"/>
    <w:rsid w:val="00581E96"/>
    <w:rsid w:val="0058494D"/>
    <w:rsid w:val="005915C3"/>
    <w:rsid w:val="00594F00"/>
    <w:rsid w:val="005A1829"/>
    <w:rsid w:val="005B1736"/>
    <w:rsid w:val="005B19A5"/>
    <w:rsid w:val="005B30E0"/>
    <w:rsid w:val="005B672B"/>
    <w:rsid w:val="005B747B"/>
    <w:rsid w:val="005D4526"/>
    <w:rsid w:val="005D515A"/>
    <w:rsid w:val="005E0C31"/>
    <w:rsid w:val="005E385F"/>
    <w:rsid w:val="005F022E"/>
    <w:rsid w:val="005F48DC"/>
    <w:rsid w:val="005F54A2"/>
    <w:rsid w:val="00611AE6"/>
    <w:rsid w:val="00622653"/>
    <w:rsid w:val="0062654F"/>
    <w:rsid w:val="00630B74"/>
    <w:rsid w:val="00634203"/>
    <w:rsid w:val="00636177"/>
    <w:rsid w:val="006401FC"/>
    <w:rsid w:val="006441C7"/>
    <w:rsid w:val="00652883"/>
    <w:rsid w:val="00653C20"/>
    <w:rsid w:val="00655383"/>
    <w:rsid w:val="00655A97"/>
    <w:rsid w:val="00661545"/>
    <w:rsid w:val="00664733"/>
    <w:rsid w:val="00673AC5"/>
    <w:rsid w:val="006758A7"/>
    <w:rsid w:val="00677951"/>
    <w:rsid w:val="006A5664"/>
    <w:rsid w:val="006B0381"/>
    <w:rsid w:val="006B6AAB"/>
    <w:rsid w:val="006C1ECC"/>
    <w:rsid w:val="006C2676"/>
    <w:rsid w:val="006D2BBD"/>
    <w:rsid w:val="006D5A7F"/>
    <w:rsid w:val="006D5DC3"/>
    <w:rsid w:val="006E20DA"/>
    <w:rsid w:val="006E6833"/>
    <w:rsid w:val="007037C8"/>
    <w:rsid w:val="00704FCD"/>
    <w:rsid w:val="007107DE"/>
    <w:rsid w:val="00714CC3"/>
    <w:rsid w:val="00722371"/>
    <w:rsid w:val="00723DD4"/>
    <w:rsid w:val="00727C4B"/>
    <w:rsid w:val="0073157A"/>
    <w:rsid w:val="00742E37"/>
    <w:rsid w:val="00743DBF"/>
    <w:rsid w:val="007506EE"/>
    <w:rsid w:val="00750852"/>
    <w:rsid w:val="00771CB9"/>
    <w:rsid w:val="007740F3"/>
    <w:rsid w:val="007749FE"/>
    <w:rsid w:val="00774B35"/>
    <w:rsid w:val="00782662"/>
    <w:rsid w:val="00785D52"/>
    <w:rsid w:val="00794DBC"/>
    <w:rsid w:val="00797DDF"/>
    <w:rsid w:val="007A1FAC"/>
    <w:rsid w:val="007A2095"/>
    <w:rsid w:val="007A7CA3"/>
    <w:rsid w:val="007B4A7A"/>
    <w:rsid w:val="007C6D14"/>
    <w:rsid w:val="007D3C99"/>
    <w:rsid w:val="007E02B0"/>
    <w:rsid w:val="007E2D6D"/>
    <w:rsid w:val="007F0960"/>
    <w:rsid w:val="007F14F9"/>
    <w:rsid w:val="00802C4E"/>
    <w:rsid w:val="008066AD"/>
    <w:rsid w:val="00810F26"/>
    <w:rsid w:val="00820F04"/>
    <w:rsid w:val="00820F75"/>
    <w:rsid w:val="0082240E"/>
    <w:rsid w:val="00830382"/>
    <w:rsid w:val="00832B43"/>
    <w:rsid w:val="008410BF"/>
    <w:rsid w:val="0084251D"/>
    <w:rsid w:val="00845376"/>
    <w:rsid w:val="00845C66"/>
    <w:rsid w:val="0084613C"/>
    <w:rsid w:val="00857018"/>
    <w:rsid w:val="0086104A"/>
    <w:rsid w:val="00862249"/>
    <w:rsid w:val="00863F39"/>
    <w:rsid w:val="008666A9"/>
    <w:rsid w:val="0087529B"/>
    <w:rsid w:val="00890E2E"/>
    <w:rsid w:val="00891851"/>
    <w:rsid w:val="0089229F"/>
    <w:rsid w:val="00892FEC"/>
    <w:rsid w:val="008A6911"/>
    <w:rsid w:val="008B087B"/>
    <w:rsid w:val="008D0403"/>
    <w:rsid w:val="008D2E84"/>
    <w:rsid w:val="008D466F"/>
    <w:rsid w:val="008D7A67"/>
    <w:rsid w:val="009008D7"/>
    <w:rsid w:val="0090242A"/>
    <w:rsid w:val="00907836"/>
    <w:rsid w:val="0091037B"/>
    <w:rsid w:val="009162BF"/>
    <w:rsid w:val="00920D03"/>
    <w:rsid w:val="00920EE8"/>
    <w:rsid w:val="00936AE8"/>
    <w:rsid w:val="009438B7"/>
    <w:rsid w:val="00960F3E"/>
    <w:rsid w:val="00962EB8"/>
    <w:rsid w:val="00963642"/>
    <w:rsid w:val="00971BB8"/>
    <w:rsid w:val="009740FC"/>
    <w:rsid w:val="009754F3"/>
    <w:rsid w:val="00982DED"/>
    <w:rsid w:val="00990298"/>
    <w:rsid w:val="0099415D"/>
    <w:rsid w:val="00995A52"/>
    <w:rsid w:val="009A77CA"/>
    <w:rsid w:val="009B03B0"/>
    <w:rsid w:val="009B5F48"/>
    <w:rsid w:val="009B775A"/>
    <w:rsid w:val="009C78E7"/>
    <w:rsid w:val="009C7C3C"/>
    <w:rsid w:val="009D15B3"/>
    <w:rsid w:val="009D18A3"/>
    <w:rsid w:val="009D3B1F"/>
    <w:rsid w:val="009D4B38"/>
    <w:rsid w:val="009D5821"/>
    <w:rsid w:val="009D6F67"/>
    <w:rsid w:val="009F2F29"/>
    <w:rsid w:val="00A01269"/>
    <w:rsid w:val="00A074F8"/>
    <w:rsid w:val="00A21E3E"/>
    <w:rsid w:val="00A223C4"/>
    <w:rsid w:val="00A22FB3"/>
    <w:rsid w:val="00A23DA9"/>
    <w:rsid w:val="00A33FF3"/>
    <w:rsid w:val="00A4684E"/>
    <w:rsid w:val="00A51264"/>
    <w:rsid w:val="00A56F28"/>
    <w:rsid w:val="00A60E7E"/>
    <w:rsid w:val="00A652D6"/>
    <w:rsid w:val="00A71381"/>
    <w:rsid w:val="00A73ADD"/>
    <w:rsid w:val="00A75E86"/>
    <w:rsid w:val="00A76B45"/>
    <w:rsid w:val="00A85152"/>
    <w:rsid w:val="00A91006"/>
    <w:rsid w:val="00A936D6"/>
    <w:rsid w:val="00A93CBD"/>
    <w:rsid w:val="00A9416E"/>
    <w:rsid w:val="00AA034D"/>
    <w:rsid w:val="00AA08EB"/>
    <w:rsid w:val="00AB5865"/>
    <w:rsid w:val="00AB6DA6"/>
    <w:rsid w:val="00AD3F38"/>
    <w:rsid w:val="00AD48CE"/>
    <w:rsid w:val="00AE0621"/>
    <w:rsid w:val="00B114EB"/>
    <w:rsid w:val="00B1186E"/>
    <w:rsid w:val="00B13244"/>
    <w:rsid w:val="00B16E22"/>
    <w:rsid w:val="00B17C39"/>
    <w:rsid w:val="00B20856"/>
    <w:rsid w:val="00B218B2"/>
    <w:rsid w:val="00B22AE9"/>
    <w:rsid w:val="00B23544"/>
    <w:rsid w:val="00B30630"/>
    <w:rsid w:val="00B40D4A"/>
    <w:rsid w:val="00B421E0"/>
    <w:rsid w:val="00B456B6"/>
    <w:rsid w:val="00B518A9"/>
    <w:rsid w:val="00B53585"/>
    <w:rsid w:val="00B576F1"/>
    <w:rsid w:val="00B61C7B"/>
    <w:rsid w:val="00B66138"/>
    <w:rsid w:val="00B7502C"/>
    <w:rsid w:val="00BA22B9"/>
    <w:rsid w:val="00BA4917"/>
    <w:rsid w:val="00BB143E"/>
    <w:rsid w:val="00BC42F4"/>
    <w:rsid w:val="00BD2D16"/>
    <w:rsid w:val="00BD450B"/>
    <w:rsid w:val="00BD7BF0"/>
    <w:rsid w:val="00BE0A31"/>
    <w:rsid w:val="00BE0C33"/>
    <w:rsid w:val="00BE3209"/>
    <w:rsid w:val="00BF2C06"/>
    <w:rsid w:val="00BF5FA5"/>
    <w:rsid w:val="00C064FB"/>
    <w:rsid w:val="00C0662F"/>
    <w:rsid w:val="00C17FB7"/>
    <w:rsid w:val="00C221B1"/>
    <w:rsid w:val="00C23200"/>
    <w:rsid w:val="00C23339"/>
    <w:rsid w:val="00C26D1E"/>
    <w:rsid w:val="00C3532A"/>
    <w:rsid w:val="00C354D5"/>
    <w:rsid w:val="00C37071"/>
    <w:rsid w:val="00C472DA"/>
    <w:rsid w:val="00C47816"/>
    <w:rsid w:val="00C52331"/>
    <w:rsid w:val="00C52B25"/>
    <w:rsid w:val="00C57BAA"/>
    <w:rsid w:val="00C61F9A"/>
    <w:rsid w:val="00C62FA4"/>
    <w:rsid w:val="00C64003"/>
    <w:rsid w:val="00C6459B"/>
    <w:rsid w:val="00C74B9E"/>
    <w:rsid w:val="00C87204"/>
    <w:rsid w:val="00C93EB4"/>
    <w:rsid w:val="00C96CC1"/>
    <w:rsid w:val="00CA1267"/>
    <w:rsid w:val="00CB0F25"/>
    <w:rsid w:val="00CB36C4"/>
    <w:rsid w:val="00CB4CE7"/>
    <w:rsid w:val="00CB7314"/>
    <w:rsid w:val="00CD2069"/>
    <w:rsid w:val="00CD385E"/>
    <w:rsid w:val="00CD609E"/>
    <w:rsid w:val="00CE1514"/>
    <w:rsid w:val="00CE1894"/>
    <w:rsid w:val="00CE28C4"/>
    <w:rsid w:val="00CE70D1"/>
    <w:rsid w:val="00D025DA"/>
    <w:rsid w:val="00D12207"/>
    <w:rsid w:val="00D2121C"/>
    <w:rsid w:val="00D246B6"/>
    <w:rsid w:val="00D24804"/>
    <w:rsid w:val="00D272F0"/>
    <w:rsid w:val="00D37054"/>
    <w:rsid w:val="00D42DB6"/>
    <w:rsid w:val="00D4700C"/>
    <w:rsid w:val="00D6099F"/>
    <w:rsid w:val="00D64009"/>
    <w:rsid w:val="00D72D92"/>
    <w:rsid w:val="00D8034F"/>
    <w:rsid w:val="00D8664F"/>
    <w:rsid w:val="00D97E53"/>
    <w:rsid w:val="00DA36EE"/>
    <w:rsid w:val="00DB5367"/>
    <w:rsid w:val="00DC33F8"/>
    <w:rsid w:val="00DC7467"/>
    <w:rsid w:val="00DD087C"/>
    <w:rsid w:val="00DD127F"/>
    <w:rsid w:val="00DD4DCC"/>
    <w:rsid w:val="00DD7AD1"/>
    <w:rsid w:val="00DE3EBB"/>
    <w:rsid w:val="00DF474B"/>
    <w:rsid w:val="00DF5D27"/>
    <w:rsid w:val="00DF61A6"/>
    <w:rsid w:val="00E02E17"/>
    <w:rsid w:val="00E0715E"/>
    <w:rsid w:val="00E12754"/>
    <w:rsid w:val="00E2190D"/>
    <w:rsid w:val="00E21C14"/>
    <w:rsid w:val="00E2386E"/>
    <w:rsid w:val="00E41D48"/>
    <w:rsid w:val="00E43508"/>
    <w:rsid w:val="00E6195B"/>
    <w:rsid w:val="00E700BE"/>
    <w:rsid w:val="00E75788"/>
    <w:rsid w:val="00E9488A"/>
    <w:rsid w:val="00E94D9C"/>
    <w:rsid w:val="00E97757"/>
    <w:rsid w:val="00EA7B09"/>
    <w:rsid w:val="00EB5E76"/>
    <w:rsid w:val="00EB664A"/>
    <w:rsid w:val="00EB7666"/>
    <w:rsid w:val="00EC6DBF"/>
    <w:rsid w:val="00EE3C71"/>
    <w:rsid w:val="00EF4384"/>
    <w:rsid w:val="00EF4DB6"/>
    <w:rsid w:val="00F03EAA"/>
    <w:rsid w:val="00F054AB"/>
    <w:rsid w:val="00F07F93"/>
    <w:rsid w:val="00F14ED2"/>
    <w:rsid w:val="00F15E92"/>
    <w:rsid w:val="00F206C7"/>
    <w:rsid w:val="00F215B3"/>
    <w:rsid w:val="00F36A46"/>
    <w:rsid w:val="00F420C4"/>
    <w:rsid w:val="00F44C38"/>
    <w:rsid w:val="00F53859"/>
    <w:rsid w:val="00F6133B"/>
    <w:rsid w:val="00F7074A"/>
    <w:rsid w:val="00F71205"/>
    <w:rsid w:val="00F810DD"/>
    <w:rsid w:val="00F90A6E"/>
    <w:rsid w:val="00FA1A23"/>
    <w:rsid w:val="00FB0773"/>
    <w:rsid w:val="00FB106F"/>
    <w:rsid w:val="00FB19B7"/>
    <w:rsid w:val="00FB7C67"/>
    <w:rsid w:val="00FC1E6A"/>
    <w:rsid w:val="00FC365D"/>
    <w:rsid w:val="00FD1756"/>
    <w:rsid w:val="00FD617B"/>
    <w:rsid w:val="00FE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88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F38"/>
    <w:rPr>
      <w:color w:val="0000FF" w:themeColor="hyperlink"/>
      <w:u w:val="single"/>
    </w:rPr>
  </w:style>
  <w:style w:type="character" w:customStyle="1" w:styleId="Heading1Char">
    <w:name w:val="Heading 1 Char"/>
    <w:basedOn w:val="DefaultParagraphFont"/>
    <w:link w:val="Heading1"/>
    <w:uiPriority w:val="9"/>
    <w:rsid w:val="0016188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188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881"/>
    <w:rPr>
      <w:rFonts w:ascii="Tahoma" w:hAnsi="Tahoma" w:cs="Tahoma"/>
      <w:sz w:val="16"/>
      <w:szCs w:val="16"/>
    </w:rPr>
  </w:style>
  <w:style w:type="character" w:customStyle="1" w:styleId="BalloonTextChar">
    <w:name w:val="Balloon Text Char"/>
    <w:basedOn w:val="DefaultParagraphFont"/>
    <w:link w:val="BalloonText"/>
    <w:uiPriority w:val="99"/>
    <w:semiHidden/>
    <w:rsid w:val="00161881"/>
    <w:rPr>
      <w:rFonts w:ascii="Tahoma" w:hAnsi="Tahoma" w:cs="Tahoma"/>
      <w:sz w:val="16"/>
      <w:szCs w:val="16"/>
    </w:rPr>
  </w:style>
  <w:style w:type="paragraph" w:styleId="ListParagraph">
    <w:name w:val="List Paragraph"/>
    <w:basedOn w:val="Normal"/>
    <w:uiPriority w:val="34"/>
    <w:qFormat/>
    <w:rsid w:val="005B30E0"/>
    <w:pPr>
      <w:ind w:left="720"/>
      <w:contextualSpacing/>
    </w:pPr>
  </w:style>
  <w:style w:type="paragraph" w:styleId="Header">
    <w:name w:val="header"/>
    <w:basedOn w:val="Normal"/>
    <w:link w:val="HeaderChar"/>
    <w:uiPriority w:val="99"/>
    <w:unhideWhenUsed/>
    <w:rsid w:val="00832B43"/>
    <w:pPr>
      <w:tabs>
        <w:tab w:val="center" w:pos="4680"/>
        <w:tab w:val="right" w:pos="9360"/>
      </w:tabs>
    </w:pPr>
  </w:style>
  <w:style w:type="character" w:customStyle="1" w:styleId="HeaderChar">
    <w:name w:val="Header Char"/>
    <w:basedOn w:val="DefaultParagraphFont"/>
    <w:link w:val="Header"/>
    <w:uiPriority w:val="99"/>
    <w:rsid w:val="00832B43"/>
  </w:style>
  <w:style w:type="paragraph" w:styleId="Footer">
    <w:name w:val="footer"/>
    <w:basedOn w:val="Normal"/>
    <w:link w:val="FooterChar"/>
    <w:uiPriority w:val="99"/>
    <w:unhideWhenUsed/>
    <w:rsid w:val="00832B43"/>
    <w:pPr>
      <w:tabs>
        <w:tab w:val="center" w:pos="4680"/>
        <w:tab w:val="right" w:pos="9360"/>
      </w:tabs>
    </w:pPr>
  </w:style>
  <w:style w:type="character" w:customStyle="1" w:styleId="FooterChar">
    <w:name w:val="Footer Char"/>
    <w:basedOn w:val="DefaultParagraphFont"/>
    <w:link w:val="Footer"/>
    <w:uiPriority w:val="99"/>
    <w:rsid w:val="00832B43"/>
  </w:style>
  <w:style w:type="character" w:styleId="FollowedHyperlink">
    <w:name w:val="FollowedHyperlink"/>
    <w:basedOn w:val="DefaultParagraphFont"/>
    <w:uiPriority w:val="99"/>
    <w:semiHidden/>
    <w:unhideWhenUsed/>
    <w:rsid w:val="00DC7467"/>
    <w:rPr>
      <w:color w:val="800080" w:themeColor="followedHyperlink"/>
      <w:u w:val="single"/>
    </w:rPr>
  </w:style>
  <w:style w:type="paragraph" w:styleId="FootnoteText">
    <w:name w:val="footnote text"/>
    <w:basedOn w:val="Normal"/>
    <w:link w:val="FootnoteTextChar"/>
    <w:uiPriority w:val="99"/>
    <w:semiHidden/>
    <w:unhideWhenUsed/>
    <w:rsid w:val="00DC7467"/>
    <w:rPr>
      <w:sz w:val="20"/>
      <w:szCs w:val="20"/>
    </w:rPr>
  </w:style>
  <w:style w:type="character" w:customStyle="1" w:styleId="FootnoteTextChar">
    <w:name w:val="Footnote Text Char"/>
    <w:basedOn w:val="DefaultParagraphFont"/>
    <w:link w:val="FootnoteText"/>
    <w:uiPriority w:val="99"/>
    <w:semiHidden/>
    <w:rsid w:val="00DC7467"/>
    <w:rPr>
      <w:sz w:val="20"/>
      <w:szCs w:val="20"/>
    </w:rPr>
  </w:style>
  <w:style w:type="character" w:styleId="FootnoteReference">
    <w:name w:val="footnote reference"/>
    <w:basedOn w:val="DefaultParagraphFont"/>
    <w:uiPriority w:val="99"/>
    <w:semiHidden/>
    <w:unhideWhenUsed/>
    <w:rsid w:val="00DC7467"/>
    <w:rPr>
      <w:vertAlign w:val="superscript"/>
    </w:rPr>
  </w:style>
  <w:style w:type="table" w:styleId="TableGrid">
    <w:name w:val="Table Grid"/>
    <w:basedOn w:val="TableNormal"/>
    <w:uiPriority w:val="59"/>
    <w:rsid w:val="00723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069"/>
    <w:rPr>
      <w:sz w:val="16"/>
      <w:szCs w:val="16"/>
    </w:rPr>
  </w:style>
  <w:style w:type="paragraph" w:styleId="CommentText">
    <w:name w:val="annotation text"/>
    <w:basedOn w:val="Normal"/>
    <w:link w:val="CommentTextChar"/>
    <w:uiPriority w:val="99"/>
    <w:semiHidden/>
    <w:unhideWhenUsed/>
    <w:rsid w:val="00CD2069"/>
    <w:rPr>
      <w:sz w:val="20"/>
      <w:szCs w:val="20"/>
    </w:rPr>
  </w:style>
  <w:style w:type="character" w:customStyle="1" w:styleId="CommentTextChar">
    <w:name w:val="Comment Text Char"/>
    <w:basedOn w:val="DefaultParagraphFont"/>
    <w:link w:val="CommentText"/>
    <w:uiPriority w:val="99"/>
    <w:semiHidden/>
    <w:rsid w:val="00CD2069"/>
    <w:rPr>
      <w:sz w:val="20"/>
      <w:szCs w:val="20"/>
    </w:rPr>
  </w:style>
  <w:style w:type="paragraph" w:styleId="CommentSubject">
    <w:name w:val="annotation subject"/>
    <w:basedOn w:val="CommentText"/>
    <w:next w:val="CommentText"/>
    <w:link w:val="CommentSubjectChar"/>
    <w:uiPriority w:val="99"/>
    <w:semiHidden/>
    <w:unhideWhenUsed/>
    <w:rsid w:val="00CD2069"/>
    <w:rPr>
      <w:b/>
      <w:bCs/>
    </w:rPr>
  </w:style>
  <w:style w:type="character" w:customStyle="1" w:styleId="CommentSubjectChar">
    <w:name w:val="Comment Subject Char"/>
    <w:basedOn w:val="CommentTextChar"/>
    <w:link w:val="CommentSubject"/>
    <w:uiPriority w:val="99"/>
    <w:semiHidden/>
    <w:rsid w:val="00CD2069"/>
    <w:rPr>
      <w:b/>
      <w:bCs/>
      <w:sz w:val="20"/>
      <w:szCs w:val="20"/>
    </w:rPr>
  </w:style>
  <w:style w:type="character" w:styleId="LineNumber">
    <w:name w:val="line number"/>
    <w:basedOn w:val="DefaultParagraphFont"/>
    <w:uiPriority w:val="99"/>
    <w:semiHidden/>
    <w:unhideWhenUsed/>
    <w:rsid w:val="00177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88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F38"/>
    <w:rPr>
      <w:color w:val="0000FF" w:themeColor="hyperlink"/>
      <w:u w:val="single"/>
    </w:rPr>
  </w:style>
  <w:style w:type="character" w:customStyle="1" w:styleId="Heading1Char">
    <w:name w:val="Heading 1 Char"/>
    <w:basedOn w:val="DefaultParagraphFont"/>
    <w:link w:val="Heading1"/>
    <w:uiPriority w:val="9"/>
    <w:rsid w:val="0016188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188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881"/>
    <w:rPr>
      <w:rFonts w:ascii="Tahoma" w:hAnsi="Tahoma" w:cs="Tahoma"/>
      <w:sz w:val="16"/>
      <w:szCs w:val="16"/>
    </w:rPr>
  </w:style>
  <w:style w:type="character" w:customStyle="1" w:styleId="BalloonTextChar">
    <w:name w:val="Balloon Text Char"/>
    <w:basedOn w:val="DefaultParagraphFont"/>
    <w:link w:val="BalloonText"/>
    <w:uiPriority w:val="99"/>
    <w:semiHidden/>
    <w:rsid w:val="00161881"/>
    <w:rPr>
      <w:rFonts w:ascii="Tahoma" w:hAnsi="Tahoma" w:cs="Tahoma"/>
      <w:sz w:val="16"/>
      <w:szCs w:val="16"/>
    </w:rPr>
  </w:style>
  <w:style w:type="paragraph" w:styleId="ListParagraph">
    <w:name w:val="List Paragraph"/>
    <w:basedOn w:val="Normal"/>
    <w:uiPriority w:val="34"/>
    <w:qFormat/>
    <w:rsid w:val="005B30E0"/>
    <w:pPr>
      <w:ind w:left="720"/>
      <w:contextualSpacing/>
    </w:pPr>
  </w:style>
  <w:style w:type="paragraph" w:styleId="Header">
    <w:name w:val="header"/>
    <w:basedOn w:val="Normal"/>
    <w:link w:val="HeaderChar"/>
    <w:uiPriority w:val="99"/>
    <w:unhideWhenUsed/>
    <w:rsid w:val="00832B43"/>
    <w:pPr>
      <w:tabs>
        <w:tab w:val="center" w:pos="4680"/>
        <w:tab w:val="right" w:pos="9360"/>
      </w:tabs>
    </w:pPr>
  </w:style>
  <w:style w:type="character" w:customStyle="1" w:styleId="HeaderChar">
    <w:name w:val="Header Char"/>
    <w:basedOn w:val="DefaultParagraphFont"/>
    <w:link w:val="Header"/>
    <w:uiPriority w:val="99"/>
    <w:rsid w:val="00832B43"/>
  </w:style>
  <w:style w:type="paragraph" w:styleId="Footer">
    <w:name w:val="footer"/>
    <w:basedOn w:val="Normal"/>
    <w:link w:val="FooterChar"/>
    <w:uiPriority w:val="99"/>
    <w:unhideWhenUsed/>
    <w:rsid w:val="00832B43"/>
    <w:pPr>
      <w:tabs>
        <w:tab w:val="center" w:pos="4680"/>
        <w:tab w:val="right" w:pos="9360"/>
      </w:tabs>
    </w:pPr>
  </w:style>
  <w:style w:type="character" w:customStyle="1" w:styleId="FooterChar">
    <w:name w:val="Footer Char"/>
    <w:basedOn w:val="DefaultParagraphFont"/>
    <w:link w:val="Footer"/>
    <w:uiPriority w:val="99"/>
    <w:rsid w:val="00832B43"/>
  </w:style>
  <w:style w:type="character" w:styleId="FollowedHyperlink">
    <w:name w:val="FollowedHyperlink"/>
    <w:basedOn w:val="DefaultParagraphFont"/>
    <w:uiPriority w:val="99"/>
    <w:semiHidden/>
    <w:unhideWhenUsed/>
    <w:rsid w:val="00DC7467"/>
    <w:rPr>
      <w:color w:val="800080" w:themeColor="followedHyperlink"/>
      <w:u w:val="single"/>
    </w:rPr>
  </w:style>
  <w:style w:type="paragraph" w:styleId="FootnoteText">
    <w:name w:val="footnote text"/>
    <w:basedOn w:val="Normal"/>
    <w:link w:val="FootnoteTextChar"/>
    <w:uiPriority w:val="99"/>
    <w:semiHidden/>
    <w:unhideWhenUsed/>
    <w:rsid w:val="00DC7467"/>
    <w:rPr>
      <w:sz w:val="20"/>
      <w:szCs w:val="20"/>
    </w:rPr>
  </w:style>
  <w:style w:type="character" w:customStyle="1" w:styleId="FootnoteTextChar">
    <w:name w:val="Footnote Text Char"/>
    <w:basedOn w:val="DefaultParagraphFont"/>
    <w:link w:val="FootnoteText"/>
    <w:uiPriority w:val="99"/>
    <w:semiHidden/>
    <w:rsid w:val="00DC7467"/>
    <w:rPr>
      <w:sz w:val="20"/>
      <w:szCs w:val="20"/>
    </w:rPr>
  </w:style>
  <w:style w:type="character" w:styleId="FootnoteReference">
    <w:name w:val="footnote reference"/>
    <w:basedOn w:val="DefaultParagraphFont"/>
    <w:uiPriority w:val="99"/>
    <w:semiHidden/>
    <w:unhideWhenUsed/>
    <w:rsid w:val="00DC7467"/>
    <w:rPr>
      <w:vertAlign w:val="superscript"/>
    </w:rPr>
  </w:style>
  <w:style w:type="table" w:styleId="TableGrid">
    <w:name w:val="Table Grid"/>
    <w:basedOn w:val="TableNormal"/>
    <w:uiPriority w:val="59"/>
    <w:rsid w:val="00723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069"/>
    <w:rPr>
      <w:sz w:val="16"/>
      <w:szCs w:val="16"/>
    </w:rPr>
  </w:style>
  <w:style w:type="paragraph" w:styleId="CommentText">
    <w:name w:val="annotation text"/>
    <w:basedOn w:val="Normal"/>
    <w:link w:val="CommentTextChar"/>
    <w:uiPriority w:val="99"/>
    <w:semiHidden/>
    <w:unhideWhenUsed/>
    <w:rsid w:val="00CD2069"/>
    <w:rPr>
      <w:sz w:val="20"/>
      <w:szCs w:val="20"/>
    </w:rPr>
  </w:style>
  <w:style w:type="character" w:customStyle="1" w:styleId="CommentTextChar">
    <w:name w:val="Comment Text Char"/>
    <w:basedOn w:val="DefaultParagraphFont"/>
    <w:link w:val="CommentText"/>
    <w:uiPriority w:val="99"/>
    <w:semiHidden/>
    <w:rsid w:val="00CD2069"/>
    <w:rPr>
      <w:sz w:val="20"/>
      <w:szCs w:val="20"/>
    </w:rPr>
  </w:style>
  <w:style w:type="paragraph" w:styleId="CommentSubject">
    <w:name w:val="annotation subject"/>
    <w:basedOn w:val="CommentText"/>
    <w:next w:val="CommentText"/>
    <w:link w:val="CommentSubjectChar"/>
    <w:uiPriority w:val="99"/>
    <w:semiHidden/>
    <w:unhideWhenUsed/>
    <w:rsid w:val="00CD2069"/>
    <w:rPr>
      <w:b/>
      <w:bCs/>
    </w:rPr>
  </w:style>
  <w:style w:type="character" w:customStyle="1" w:styleId="CommentSubjectChar">
    <w:name w:val="Comment Subject Char"/>
    <w:basedOn w:val="CommentTextChar"/>
    <w:link w:val="CommentSubject"/>
    <w:uiPriority w:val="99"/>
    <w:semiHidden/>
    <w:rsid w:val="00CD2069"/>
    <w:rPr>
      <w:b/>
      <w:bCs/>
      <w:sz w:val="20"/>
      <w:szCs w:val="20"/>
    </w:rPr>
  </w:style>
  <w:style w:type="character" w:styleId="LineNumber">
    <w:name w:val="line number"/>
    <w:basedOn w:val="DefaultParagraphFont"/>
    <w:uiPriority w:val="99"/>
    <w:semiHidden/>
    <w:unhideWhenUsed/>
    <w:rsid w:val="0017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3635">
      <w:bodyDiv w:val="1"/>
      <w:marLeft w:val="0"/>
      <w:marRight w:val="0"/>
      <w:marTop w:val="0"/>
      <w:marBottom w:val="0"/>
      <w:divBdr>
        <w:top w:val="none" w:sz="0" w:space="0" w:color="auto"/>
        <w:left w:val="none" w:sz="0" w:space="0" w:color="auto"/>
        <w:bottom w:val="none" w:sz="0" w:space="0" w:color="auto"/>
        <w:right w:val="none" w:sz="0" w:space="0" w:color="auto"/>
      </w:divBdr>
    </w:div>
    <w:div w:id="427045738">
      <w:bodyDiv w:val="1"/>
      <w:marLeft w:val="0"/>
      <w:marRight w:val="0"/>
      <w:marTop w:val="0"/>
      <w:marBottom w:val="0"/>
      <w:divBdr>
        <w:top w:val="none" w:sz="0" w:space="0" w:color="auto"/>
        <w:left w:val="none" w:sz="0" w:space="0" w:color="auto"/>
        <w:bottom w:val="none" w:sz="0" w:space="0" w:color="auto"/>
        <w:right w:val="none" w:sz="0" w:space="0" w:color="auto"/>
      </w:divBdr>
      <w:divsChild>
        <w:div w:id="1659461601">
          <w:marLeft w:val="0"/>
          <w:marRight w:val="0"/>
          <w:marTop w:val="0"/>
          <w:marBottom w:val="0"/>
          <w:divBdr>
            <w:top w:val="none" w:sz="0" w:space="0" w:color="auto"/>
            <w:left w:val="none" w:sz="0" w:space="0" w:color="auto"/>
            <w:bottom w:val="none" w:sz="0" w:space="0" w:color="auto"/>
            <w:right w:val="none" w:sz="0" w:space="0" w:color="auto"/>
          </w:divBdr>
        </w:div>
        <w:div w:id="1590387118">
          <w:marLeft w:val="0"/>
          <w:marRight w:val="0"/>
          <w:marTop w:val="0"/>
          <w:marBottom w:val="0"/>
          <w:divBdr>
            <w:top w:val="none" w:sz="0" w:space="0" w:color="auto"/>
            <w:left w:val="none" w:sz="0" w:space="0" w:color="auto"/>
            <w:bottom w:val="none" w:sz="0" w:space="0" w:color="auto"/>
            <w:right w:val="none" w:sz="0" w:space="0" w:color="auto"/>
          </w:divBdr>
        </w:div>
        <w:div w:id="2082285828">
          <w:marLeft w:val="0"/>
          <w:marRight w:val="0"/>
          <w:marTop w:val="0"/>
          <w:marBottom w:val="0"/>
          <w:divBdr>
            <w:top w:val="none" w:sz="0" w:space="0" w:color="auto"/>
            <w:left w:val="none" w:sz="0" w:space="0" w:color="auto"/>
            <w:bottom w:val="none" w:sz="0" w:space="0" w:color="auto"/>
            <w:right w:val="none" w:sz="0" w:space="0" w:color="auto"/>
          </w:divBdr>
        </w:div>
        <w:div w:id="543758738">
          <w:marLeft w:val="0"/>
          <w:marRight w:val="0"/>
          <w:marTop w:val="0"/>
          <w:marBottom w:val="0"/>
          <w:divBdr>
            <w:top w:val="none" w:sz="0" w:space="0" w:color="auto"/>
            <w:left w:val="none" w:sz="0" w:space="0" w:color="auto"/>
            <w:bottom w:val="none" w:sz="0" w:space="0" w:color="auto"/>
            <w:right w:val="none" w:sz="0" w:space="0" w:color="auto"/>
          </w:divBdr>
        </w:div>
        <w:div w:id="2116630781">
          <w:marLeft w:val="0"/>
          <w:marRight w:val="0"/>
          <w:marTop w:val="0"/>
          <w:marBottom w:val="0"/>
          <w:divBdr>
            <w:top w:val="none" w:sz="0" w:space="0" w:color="auto"/>
            <w:left w:val="none" w:sz="0" w:space="0" w:color="auto"/>
            <w:bottom w:val="none" w:sz="0" w:space="0" w:color="auto"/>
            <w:right w:val="none" w:sz="0" w:space="0" w:color="auto"/>
          </w:divBdr>
        </w:div>
        <w:div w:id="1713842004">
          <w:marLeft w:val="0"/>
          <w:marRight w:val="0"/>
          <w:marTop w:val="0"/>
          <w:marBottom w:val="0"/>
          <w:divBdr>
            <w:top w:val="none" w:sz="0" w:space="0" w:color="auto"/>
            <w:left w:val="none" w:sz="0" w:space="0" w:color="auto"/>
            <w:bottom w:val="none" w:sz="0" w:space="0" w:color="auto"/>
            <w:right w:val="none" w:sz="0" w:space="0" w:color="auto"/>
          </w:divBdr>
        </w:div>
        <w:div w:id="1637418723">
          <w:marLeft w:val="0"/>
          <w:marRight w:val="0"/>
          <w:marTop w:val="0"/>
          <w:marBottom w:val="0"/>
          <w:divBdr>
            <w:top w:val="none" w:sz="0" w:space="0" w:color="auto"/>
            <w:left w:val="none" w:sz="0" w:space="0" w:color="auto"/>
            <w:bottom w:val="none" w:sz="0" w:space="0" w:color="auto"/>
            <w:right w:val="none" w:sz="0" w:space="0" w:color="auto"/>
          </w:divBdr>
        </w:div>
        <w:div w:id="1200778645">
          <w:marLeft w:val="0"/>
          <w:marRight w:val="0"/>
          <w:marTop w:val="0"/>
          <w:marBottom w:val="0"/>
          <w:divBdr>
            <w:top w:val="none" w:sz="0" w:space="0" w:color="auto"/>
            <w:left w:val="none" w:sz="0" w:space="0" w:color="auto"/>
            <w:bottom w:val="none" w:sz="0" w:space="0" w:color="auto"/>
            <w:right w:val="none" w:sz="0" w:space="0" w:color="auto"/>
          </w:divBdr>
        </w:div>
        <w:div w:id="681589924">
          <w:marLeft w:val="0"/>
          <w:marRight w:val="0"/>
          <w:marTop w:val="0"/>
          <w:marBottom w:val="0"/>
          <w:divBdr>
            <w:top w:val="none" w:sz="0" w:space="0" w:color="auto"/>
            <w:left w:val="none" w:sz="0" w:space="0" w:color="auto"/>
            <w:bottom w:val="none" w:sz="0" w:space="0" w:color="auto"/>
            <w:right w:val="none" w:sz="0" w:space="0" w:color="auto"/>
          </w:divBdr>
        </w:div>
        <w:div w:id="1948193990">
          <w:marLeft w:val="0"/>
          <w:marRight w:val="0"/>
          <w:marTop w:val="0"/>
          <w:marBottom w:val="0"/>
          <w:divBdr>
            <w:top w:val="none" w:sz="0" w:space="0" w:color="auto"/>
            <w:left w:val="none" w:sz="0" w:space="0" w:color="auto"/>
            <w:bottom w:val="none" w:sz="0" w:space="0" w:color="auto"/>
            <w:right w:val="none" w:sz="0" w:space="0" w:color="auto"/>
          </w:divBdr>
        </w:div>
        <w:div w:id="65686529">
          <w:marLeft w:val="0"/>
          <w:marRight w:val="0"/>
          <w:marTop w:val="0"/>
          <w:marBottom w:val="0"/>
          <w:divBdr>
            <w:top w:val="none" w:sz="0" w:space="0" w:color="auto"/>
            <w:left w:val="none" w:sz="0" w:space="0" w:color="auto"/>
            <w:bottom w:val="none" w:sz="0" w:space="0" w:color="auto"/>
            <w:right w:val="none" w:sz="0" w:space="0" w:color="auto"/>
          </w:divBdr>
        </w:div>
        <w:div w:id="1590309483">
          <w:marLeft w:val="0"/>
          <w:marRight w:val="0"/>
          <w:marTop w:val="0"/>
          <w:marBottom w:val="0"/>
          <w:divBdr>
            <w:top w:val="none" w:sz="0" w:space="0" w:color="auto"/>
            <w:left w:val="none" w:sz="0" w:space="0" w:color="auto"/>
            <w:bottom w:val="none" w:sz="0" w:space="0" w:color="auto"/>
            <w:right w:val="none" w:sz="0" w:space="0" w:color="auto"/>
          </w:divBdr>
        </w:div>
        <w:div w:id="1521969089">
          <w:marLeft w:val="0"/>
          <w:marRight w:val="0"/>
          <w:marTop w:val="0"/>
          <w:marBottom w:val="0"/>
          <w:divBdr>
            <w:top w:val="none" w:sz="0" w:space="0" w:color="auto"/>
            <w:left w:val="none" w:sz="0" w:space="0" w:color="auto"/>
            <w:bottom w:val="none" w:sz="0" w:space="0" w:color="auto"/>
            <w:right w:val="none" w:sz="0" w:space="0" w:color="auto"/>
          </w:divBdr>
        </w:div>
        <w:div w:id="1850026426">
          <w:marLeft w:val="0"/>
          <w:marRight w:val="0"/>
          <w:marTop w:val="0"/>
          <w:marBottom w:val="0"/>
          <w:divBdr>
            <w:top w:val="none" w:sz="0" w:space="0" w:color="auto"/>
            <w:left w:val="none" w:sz="0" w:space="0" w:color="auto"/>
            <w:bottom w:val="none" w:sz="0" w:space="0" w:color="auto"/>
            <w:right w:val="none" w:sz="0" w:space="0" w:color="auto"/>
          </w:divBdr>
        </w:div>
        <w:div w:id="1751124500">
          <w:marLeft w:val="0"/>
          <w:marRight w:val="0"/>
          <w:marTop w:val="0"/>
          <w:marBottom w:val="0"/>
          <w:divBdr>
            <w:top w:val="none" w:sz="0" w:space="0" w:color="auto"/>
            <w:left w:val="none" w:sz="0" w:space="0" w:color="auto"/>
            <w:bottom w:val="none" w:sz="0" w:space="0" w:color="auto"/>
            <w:right w:val="none" w:sz="0" w:space="0" w:color="auto"/>
          </w:divBdr>
        </w:div>
      </w:divsChild>
    </w:div>
    <w:div w:id="841700823">
      <w:bodyDiv w:val="1"/>
      <w:marLeft w:val="0"/>
      <w:marRight w:val="0"/>
      <w:marTop w:val="0"/>
      <w:marBottom w:val="0"/>
      <w:divBdr>
        <w:top w:val="none" w:sz="0" w:space="0" w:color="auto"/>
        <w:left w:val="none" w:sz="0" w:space="0" w:color="auto"/>
        <w:bottom w:val="none" w:sz="0" w:space="0" w:color="auto"/>
        <w:right w:val="none" w:sz="0" w:space="0" w:color="auto"/>
      </w:divBdr>
    </w:div>
    <w:div w:id="854340435">
      <w:bodyDiv w:val="1"/>
      <w:marLeft w:val="0"/>
      <w:marRight w:val="0"/>
      <w:marTop w:val="0"/>
      <w:marBottom w:val="0"/>
      <w:divBdr>
        <w:top w:val="none" w:sz="0" w:space="0" w:color="auto"/>
        <w:left w:val="none" w:sz="0" w:space="0" w:color="auto"/>
        <w:bottom w:val="none" w:sz="0" w:space="0" w:color="auto"/>
        <w:right w:val="none" w:sz="0" w:space="0" w:color="auto"/>
      </w:divBdr>
      <w:divsChild>
        <w:div w:id="2122265262">
          <w:marLeft w:val="0"/>
          <w:marRight w:val="0"/>
          <w:marTop w:val="0"/>
          <w:marBottom w:val="0"/>
          <w:divBdr>
            <w:top w:val="none" w:sz="0" w:space="0" w:color="auto"/>
            <w:left w:val="none" w:sz="0" w:space="0" w:color="auto"/>
            <w:bottom w:val="none" w:sz="0" w:space="0" w:color="auto"/>
            <w:right w:val="none" w:sz="0" w:space="0" w:color="auto"/>
          </w:divBdr>
        </w:div>
        <w:div w:id="1289312430">
          <w:marLeft w:val="0"/>
          <w:marRight w:val="0"/>
          <w:marTop w:val="0"/>
          <w:marBottom w:val="0"/>
          <w:divBdr>
            <w:top w:val="none" w:sz="0" w:space="0" w:color="auto"/>
            <w:left w:val="none" w:sz="0" w:space="0" w:color="auto"/>
            <w:bottom w:val="none" w:sz="0" w:space="0" w:color="auto"/>
            <w:right w:val="none" w:sz="0" w:space="0" w:color="auto"/>
          </w:divBdr>
        </w:div>
        <w:div w:id="1076632249">
          <w:marLeft w:val="0"/>
          <w:marRight w:val="0"/>
          <w:marTop w:val="0"/>
          <w:marBottom w:val="0"/>
          <w:divBdr>
            <w:top w:val="none" w:sz="0" w:space="0" w:color="auto"/>
            <w:left w:val="none" w:sz="0" w:space="0" w:color="auto"/>
            <w:bottom w:val="none" w:sz="0" w:space="0" w:color="auto"/>
            <w:right w:val="none" w:sz="0" w:space="0" w:color="auto"/>
          </w:divBdr>
        </w:div>
        <w:div w:id="1211110077">
          <w:marLeft w:val="0"/>
          <w:marRight w:val="0"/>
          <w:marTop w:val="0"/>
          <w:marBottom w:val="0"/>
          <w:divBdr>
            <w:top w:val="none" w:sz="0" w:space="0" w:color="auto"/>
            <w:left w:val="none" w:sz="0" w:space="0" w:color="auto"/>
            <w:bottom w:val="none" w:sz="0" w:space="0" w:color="auto"/>
            <w:right w:val="none" w:sz="0" w:space="0" w:color="auto"/>
          </w:divBdr>
        </w:div>
        <w:div w:id="2079281693">
          <w:marLeft w:val="0"/>
          <w:marRight w:val="0"/>
          <w:marTop w:val="0"/>
          <w:marBottom w:val="0"/>
          <w:divBdr>
            <w:top w:val="none" w:sz="0" w:space="0" w:color="auto"/>
            <w:left w:val="none" w:sz="0" w:space="0" w:color="auto"/>
            <w:bottom w:val="none" w:sz="0" w:space="0" w:color="auto"/>
            <w:right w:val="none" w:sz="0" w:space="0" w:color="auto"/>
          </w:divBdr>
        </w:div>
        <w:div w:id="1404332340">
          <w:marLeft w:val="0"/>
          <w:marRight w:val="0"/>
          <w:marTop w:val="0"/>
          <w:marBottom w:val="0"/>
          <w:divBdr>
            <w:top w:val="none" w:sz="0" w:space="0" w:color="auto"/>
            <w:left w:val="none" w:sz="0" w:space="0" w:color="auto"/>
            <w:bottom w:val="none" w:sz="0" w:space="0" w:color="auto"/>
            <w:right w:val="none" w:sz="0" w:space="0" w:color="auto"/>
          </w:divBdr>
        </w:div>
        <w:div w:id="163321398">
          <w:marLeft w:val="0"/>
          <w:marRight w:val="0"/>
          <w:marTop w:val="0"/>
          <w:marBottom w:val="0"/>
          <w:divBdr>
            <w:top w:val="none" w:sz="0" w:space="0" w:color="auto"/>
            <w:left w:val="none" w:sz="0" w:space="0" w:color="auto"/>
            <w:bottom w:val="none" w:sz="0" w:space="0" w:color="auto"/>
            <w:right w:val="none" w:sz="0" w:space="0" w:color="auto"/>
          </w:divBdr>
        </w:div>
        <w:div w:id="334891826">
          <w:marLeft w:val="0"/>
          <w:marRight w:val="0"/>
          <w:marTop w:val="0"/>
          <w:marBottom w:val="0"/>
          <w:divBdr>
            <w:top w:val="none" w:sz="0" w:space="0" w:color="auto"/>
            <w:left w:val="none" w:sz="0" w:space="0" w:color="auto"/>
            <w:bottom w:val="none" w:sz="0" w:space="0" w:color="auto"/>
            <w:right w:val="none" w:sz="0" w:space="0" w:color="auto"/>
          </w:divBdr>
        </w:div>
        <w:div w:id="73476010">
          <w:marLeft w:val="0"/>
          <w:marRight w:val="0"/>
          <w:marTop w:val="0"/>
          <w:marBottom w:val="0"/>
          <w:divBdr>
            <w:top w:val="none" w:sz="0" w:space="0" w:color="auto"/>
            <w:left w:val="none" w:sz="0" w:space="0" w:color="auto"/>
            <w:bottom w:val="none" w:sz="0" w:space="0" w:color="auto"/>
            <w:right w:val="none" w:sz="0" w:space="0" w:color="auto"/>
          </w:divBdr>
        </w:div>
        <w:div w:id="925924245">
          <w:marLeft w:val="0"/>
          <w:marRight w:val="0"/>
          <w:marTop w:val="0"/>
          <w:marBottom w:val="0"/>
          <w:divBdr>
            <w:top w:val="none" w:sz="0" w:space="0" w:color="auto"/>
            <w:left w:val="none" w:sz="0" w:space="0" w:color="auto"/>
            <w:bottom w:val="none" w:sz="0" w:space="0" w:color="auto"/>
            <w:right w:val="none" w:sz="0" w:space="0" w:color="auto"/>
          </w:divBdr>
        </w:div>
      </w:divsChild>
    </w:div>
    <w:div w:id="936406474">
      <w:bodyDiv w:val="1"/>
      <w:marLeft w:val="0"/>
      <w:marRight w:val="0"/>
      <w:marTop w:val="0"/>
      <w:marBottom w:val="0"/>
      <w:divBdr>
        <w:top w:val="none" w:sz="0" w:space="0" w:color="auto"/>
        <w:left w:val="none" w:sz="0" w:space="0" w:color="auto"/>
        <w:bottom w:val="none" w:sz="0" w:space="0" w:color="auto"/>
        <w:right w:val="none" w:sz="0" w:space="0" w:color="auto"/>
      </w:divBdr>
    </w:div>
    <w:div w:id="957639562">
      <w:bodyDiv w:val="1"/>
      <w:marLeft w:val="0"/>
      <w:marRight w:val="0"/>
      <w:marTop w:val="0"/>
      <w:marBottom w:val="0"/>
      <w:divBdr>
        <w:top w:val="none" w:sz="0" w:space="0" w:color="auto"/>
        <w:left w:val="none" w:sz="0" w:space="0" w:color="auto"/>
        <w:bottom w:val="none" w:sz="0" w:space="0" w:color="auto"/>
        <w:right w:val="none" w:sz="0" w:space="0" w:color="auto"/>
      </w:divBdr>
    </w:div>
    <w:div w:id="1014961890">
      <w:bodyDiv w:val="1"/>
      <w:marLeft w:val="0"/>
      <w:marRight w:val="0"/>
      <w:marTop w:val="0"/>
      <w:marBottom w:val="0"/>
      <w:divBdr>
        <w:top w:val="none" w:sz="0" w:space="0" w:color="auto"/>
        <w:left w:val="none" w:sz="0" w:space="0" w:color="auto"/>
        <w:bottom w:val="none" w:sz="0" w:space="0" w:color="auto"/>
        <w:right w:val="none" w:sz="0" w:space="0" w:color="auto"/>
      </w:divBdr>
    </w:div>
    <w:div w:id="1086878183">
      <w:bodyDiv w:val="1"/>
      <w:marLeft w:val="0"/>
      <w:marRight w:val="0"/>
      <w:marTop w:val="0"/>
      <w:marBottom w:val="0"/>
      <w:divBdr>
        <w:top w:val="none" w:sz="0" w:space="0" w:color="auto"/>
        <w:left w:val="none" w:sz="0" w:space="0" w:color="auto"/>
        <w:bottom w:val="none" w:sz="0" w:space="0" w:color="auto"/>
        <w:right w:val="none" w:sz="0" w:space="0" w:color="auto"/>
      </w:divBdr>
      <w:divsChild>
        <w:div w:id="234632169">
          <w:marLeft w:val="0"/>
          <w:marRight w:val="0"/>
          <w:marTop w:val="0"/>
          <w:marBottom w:val="0"/>
          <w:divBdr>
            <w:top w:val="none" w:sz="0" w:space="0" w:color="auto"/>
            <w:left w:val="none" w:sz="0" w:space="0" w:color="auto"/>
            <w:bottom w:val="none" w:sz="0" w:space="0" w:color="auto"/>
            <w:right w:val="none" w:sz="0" w:space="0" w:color="auto"/>
          </w:divBdr>
        </w:div>
        <w:div w:id="2133089044">
          <w:marLeft w:val="0"/>
          <w:marRight w:val="0"/>
          <w:marTop w:val="0"/>
          <w:marBottom w:val="0"/>
          <w:divBdr>
            <w:top w:val="none" w:sz="0" w:space="0" w:color="auto"/>
            <w:left w:val="none" w:sz="0" w:space="0" w:color="auto"/>
            <w:bottom w:val="none" w:sz="0" w:space="0" w:color="auto"/>
            <w:right w:val="none" w:sz="0" w:space="0" w:color="auto"/>
          </w:divBdr>
        </w:div>
        <w:div w:id="805393209">
          <w:marLeft w:val="0"/>
          <w:marRight w:val="0"/>
          <w:marTop w:val="0"/>
          <w:marBottom w:val="0"/>
          <w:divBdr>
            <w:top w:val="none" w:sz="0" w:space="0" w:color="auto"/>
            <w:left w:val="none" w:sz="0" w:space="0" w:color="auto"/>
            <w:bottom w:val="none" w:sz="0" w:space="0" w:color="auto"/>
            <w:right w:val="none" w:sz="0" w:space="0" w:color="auto"/>
          </w:divBdr>
        </w:div>
      </w:divsChild>
    </w:div>
    <w:div w:id="1181823248">
      <w:bodyDiv w:val="1"/>
      <w:marLeft w:val="0"/>
      <w:marRight w:val="0"/>
      <w:marTop w:val="0"/>
      <w:marBottom w:val="0"/>
      <w:divBdr>
        <w:top w:val="none" w:sz="0" w:space="0" w:color="auto"/>
        <w:left w:val="none" w:sz="0" w:space="0" w:color="auto"/>
        <w:bottom w:val="none" w:sz="0" w:space="0" w:color="auto"/>
        <w:right w:val="none" w:sz="0" w:space="0" w:color="auto"/>
      </w:divBdr>
    </w:div>
    <w:div w:id="1269311771">
      <w:bodyDiv w:val="1"/>
      <w:marLeft w:val="0"/>
      <w:marRight w:val="0"/>
      <w:marTop w:val="0"/>
      <w:marBottom w:val="0"/>
      <w:divBdr>
        <w:top w:val="none" w:sz="0" w:space="0" w:color="auto"/>
        <w:left w:val="none" w:sz="0" w:space="0" w:color="auto"/>
        <w:bottom w:val="none" w:sz="0" w:space="0" w:color="auto"/>
        <w:right w:val="none" w:sz="0" w:space="0" w:color="auto"/>
      </w:divBdr>
    </w:div>
    <w:div w:id="1288704780">
      <w:bodyDiv w:val="1"/>
      <w:marLeft w:val="0"/>
      <w:marRight w:val="0"/>
      <w:marTop w:val="0"/>
      <w:marBottom w:val="0"/>
      <w:divBdr>
        <w:top w:val="none" w:sz="0" w:space="0" w:color="auto"/>
        <w:left w:val="none" w:sz="0" w:space="0" w:color="auto"/>
        <w:bottom w:val="none" w:sz="0" w:space="0" w:color="auto"/>
        <w:right w:val="none" w:sz="0" w:space="0" w:color="auto"/>
      </w:divBdr>
    </w:div>
    <w:div w:id="1509562477">
      <w:bodyDiv w:val="1"/>
      <w:marLeft w:val="0"/>
      <w:marRight w:val="0"/>
      <w:marTop w:val="0"/>
      <w:marBottom w:val="0"/>
      <w:divBdr>
        <w:top w:val="none" w:sz="0" w:space="0" w:color="auto"/>
        <w:left w:val="none" w:sz="0" w:space="0" w:color="auto"/>
        <w:bottom w:val="none" w:sz="0" w:space="0" w:color="auto"/>
        <w:right w:val="none" w:sz="0" w:space="0" w:color="auto"/>
      </w:divBdr>
    </w:div>
    <w:div w:id="1605458664">
      <w:bodyDiv w:val="1"/>
      <w:marLeft w:val="0"/>
      <w:marRight w:val="0"/>
      <w:marTop w:val="0"/>
      <w:marBottom w:val="0"/>
      <w:divBdr>
        <w:top w:val="none" w:sz="0" w:space="0" w:color="auto"/>
        <w:left w:val="none" w:sz="0" w:space="0" w:color="auto"/>
        <w:bottom w:val="none" w:sz="0" w:space="0" w:color="auto"/>
        <w:right w:val="none" w:sz="0" w:space="0" w:color="auto"/>
      </w:divBdr>
    </w:div>
    <w:div w:id="1723480349">
      <w:bodyDiv w:val="1"/>
      <w:marLeft w:val="0"/>
      <w:marRight w:val="0"/>
      <w:marTop w:val="0"/>
      <w:marBottom w:val="0"/>
      <w:divBdr>
        <w:top w:val="none" w:sz="0" w:space="0" w:color="auto"/>
        <w:left w:val="none" w:sz="0" w:space="0" w:color="auto"/>
        <w:bottom w:val="none" w:sz="0" w:space="0" w:color="auto"/>
        <w:right w:val="none" w:sz="0" w:space="0" w:color="auto"/>
      </w:divBdr>
    </w:div>
    <w:div w:id="1763335849">
      <w:bodyDiv w:val="1"/>
      <w:marLeft w:val="0"/>
      <w:marRight w:val="0"/>
      <w:marTop w:val="0"/>
      <w:marBottom w:val="0"/>
      <w:divBdr>
        <w:top w:val="none" w:sz="0" w:space="0" w:color="auto"/>
        <w:left w:val="none" w:sz="0" w:space="0" w:color="auto"/>
        <w:bottom w:val="none" w:sz="0" w:space="0" w:color="auto"/>
        <w:right w:val="none" w:sz="0" w:space="0" w:color="auto"/>
      </w:divBdr>
    </w:div>
    <w:div w:id="1795247056">
      <w:bodyDiv w:val="1"/>
      <w:marLeft w:val="0"/>
      <w:marRight w:val="0"/>
      <w:marTop w:val="0"/>
      <w:marBottom w:val="0"/>
      <w:divBdr>
        <w:top w:val="none" w:sz="0" w:space="0" w:color="auto"/>
        <w:left w:val="none" w:sz="0" w:space="0" w:color="auto"/>
        <w:bottom w:val="none" w:sz="0" w:space="0" w:color="auto"/>
        <w:right w:val="none" w:sz="0" w:space="0" w:color="auto"/>
      </w:divBdr>
    </w:div>
    <w:div w:id="1836068586">
      <w:bodyDiv w:val="1"/>
      <w:marLeft w:val="0"/>
      <w:marRight w:val="0"/>
      <w:marTop w:val="0"/>
      <w:marBottom w:val="0"/>
      <w:divBdr>
        <w:top w:val="none" w:sz="0" w:space="0" w:color="auto"/>
        <w:left w:val="none" w:sz="0" w:space="0" w:color="auto"/>
        <w:bottom w:val="none" w:sz="0" w:space="0" w:color="auto"/>
        <w:right w:val="none" w:sz="0" w:space="0" w:color="auto"/>
      </w:divBdr>
    </w:div>
    <w:div w:id="1883403860">
      <w:bodyDiv w:val="1"/>
      <w:marLeft w:val="0"/>
      <w:marRight w:val="0"/>
      <w:marTop w:val="0"/>
      <w:marBottom w:val="0"/>
      <w:divBdr>
        <w:top w:val="none" w:sz="0" w:space="0" w:color="auto"/>
        <w:left w:val="none" w:sz="0" w:space="0" w:color="auto"/>
        <w:bottom w:val="none" w:sz="0" w:space="0" w:color="auto"/>
        <w:right w:val="none" w:sz="0" w:space="0" w:color="auto"/>
      </w:divBdr>
    </w:div>
    <w:div w:id="18982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Tony.mendoza@sierraclub.org" TargetMode="External"/><Relationship Id="rId26" Type="http://schemas.openxmlformats.org/officeDocument/2006/relationships/hyperlink" Target="mailto:mkurtz@BKLlawfirm.com" TargetMode="External"/><Relationship Id="rId39" Type="http://schemas.openxmlformats.org/officeDocument/2006/relationships/hyperlink" Target="mailto:Kurt.helfrich@ThompsonHine.com" TargetMode="External"/><Relationship Id="rId21" Type="http://schemas.openxmlformats.org/officeDocument/2006/relationships/hyperlink" Target="mailto:fdarr@mwncmh.com" TargetMode="External"/><Relationship Id="rId34" Type="http://schemas.openxmlformats.org/officeDocument/2006/relationships/hyperlink" Target="mailto:jlang@calfee.com" TargetMode="External"/><Relationship Id="rId42" Type="http://schemas.openxmlformats.org/officeDocument/2006/relationships/hyperlink" Target="mailto:dwilliamson@spilmanlaw.com" TargetMode="External"/><Relationship Id="rId47" Type="http://schemas.openxmlformats.org/officeDocument/2006/relationships/hyperlink" Target="mailto:Jodi.bair@occ.ohio.gov" TargetMode="External"/><Relationship Id="rId50" Type="http://schemas.openxmlformats.org/officeDocument/2006/relationships/hyperlink" Target="mailto:joliker@igsenergy.com" TargetMode="External"/><Relationship Id="rId55" Type="http://schemas.openxmlformats.org/officeDocument/2006/relationships/hyperlink" Target="mailto:mhpetricoff@vorys.com" TargetMode="External"/><Relationship Id="rId63" Type="http://schemas.openxmlformats.org/officeDocument/2006/relationships/hyperlink" Target="mailto:twilliams@snhslaw.com" TargetMode="External"/><Relationship Id="rId68" Type="http://schemas.openxmlformats.org/officeDocument/2006/relationships/hyperlink" Target="mailto:Sechler@carpenterlipps.com" TargetMode="External"/><Relationship Id="rId7" Type="http://schemas.openxmlformats.org/officeDocument/2006/relationships/footnotes" Target="footnotes.xml"/><Relationship Id="rId71" Type="http://schemas.openxmlformats.org/officeDocument/2006/relationships/hyperlink" Target="mailto:Laurie.williams@sierraclub.org" TargetMode="External"/><Relationship Id="rId2" Type="http://schemas.openxmlformats.org/officeDocument/2006/relationships/numbering" Target="numbering.xml"/><Relationship Id="rId16" Type="http://schemas.openxmlformats.org/officeDocument/2006/relationships/hyperlink" Target="mailto:mjsatterwhite@aep.com" TargetMode="External"/><Relationship Id="rId29" Type="http://schemas.openxmlformats.org/officeDocument/2006/relationships/hyperlink" Target="mailto:tdougherty@theOEC.org" TargetMode="External"/><Relationship Id="rId11" Type="http://schemas.openxmlformats.org/officeDocument/2006/relationships/hyperlink" Target="http://www.pjm.com/about-pjm/who-we-are/pjm-board.aspx" TargetMode="External"/><Relationship Id="rId24" Type="http://schemas.openxmlformats.org/officeDocument/2006/relationships/hyperlink" Target="mailto:myurick@taftlaw.com" TargetMode="External"/><Relationship Id="rId32" Type="http://schemas.openxmlformats.org/officeDocument/2006/relationships/hyperlink" Target="mailto:scasto@firstenergycorp.com" TargetMode="External"/><Relationship Id="rId37" Type="http://schemas.openxmlformats.org/officeDocument/2006/relationships/hyperlink" Target="mailto:todonnell@dickinsonwright.com" TargetMode="External"/><Relationship Id="rId40" Type="http://schemas.openxmlformats.org/officeDocument/2006/relationships/hyperlink" Target="mailto:Scott.campbell@ThompsonHine.com" TargetMode="External"/><Relationship Id="rId45" Type="http://schemas.openxmlformats.org/officeDocument/2006/relationships/hyperlink" Target="mailto:hussey@carpenterlipps.com" TargetMode="External"/><Relationship Id="rId53" Type="http://schemas.openxmlformats.org/officeDocument/2006/relationships/hyperlink" Target="mailto:stheodore@epsa.org" TargetMode="External"/><Relationship Id="rId58" Type="http://schemas.openxmlformats.org/officeDocument/2006/relationships/hyperlink" Target="mailto:msmalz@ohiopovertylaw.org" TargetMode="External"/><Relationship Id="rId66" Type="http://schemas.openxmlformats.org/officeDocument/2006/relationships/hyperlink" Target="mailto:msoules@earthjustice.org"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nourse@aep.com" TargetMode="External"/><Relationship Id="rId23" Type="http://schemas.openxmlformats.org/officeDocument/2006/relationships/hyperlink" Target="mailto:rsahli@columbus.rr.com" TargetMode="External"/><Relationship Id="rId28" Type="http://schemas.openxmlformats.org/officeDocument/2006/relationships/hyperlink" Target="mailto:jkyler@BKLlawfirm.com" TargetMode="External"/><Relationship Id="rId36" Type="http://schemas.openxmlformats.org/officeDocument/2006/relationships/hyperlink" Target="mailto:Jeffrey.mayes@monitoringanalytics.com" TargetMode="External"/><Relationship Id="rId49" Type="http://schemas.openxmlformats.org/officeDocument/2006/relationships/hyperlink" Target="mailto:Jennifer.spinosi@directenergy.com" TargetMode="External"/><Relationship Id="rId57" Type="http://schemas.openxmlformats.org/officeDocument/2006/relationships/hyperlink" Target="mailto:glpetrucci@vorys.com" TargetMode="External"/><Relationship Id="rId61" Type="http://schemas.openxmlformats.org/officeDocument/2006/relationships/hyperlink" Target="mailto:werner.margard@puc.state.oh.us" TargetMode="External"/><Relationship Id="rId10" Type="http://schemas.openxmlformats.org/officeDocument/2006/relationships/footer" Target="footer2.xml"/><Relationship Id="rId19" Type="http://schemas.openxmlformats.org/officeDocument/2006/relationships/hyperlink" Target="mailto:Kristin.henry@sierraclub.org" TargetMode="External"/><Relationship Id="rId31" Type="http://schemas.openxmlformats.org/officeDocument/2006/relationships/hyperlink" Target="mailto:jmcdermott@firstenergycorp.com" TargetMode="External"/><Relationship Id="rId44" Type="http://schemas.openxmlformats.org/officeDocument/2006/relationships/hyperlink" Target="mailto:bojko@carpenterlipps.com" TargetMode="External"/><Relationship Id="rId52" Type="http://schemas.openxmlformats.org/officeDocument/2006/relationships/hyperlink" Target="mailto:laurac@chappelleconsulting.net" TargetMode="External"/><Relationship Id="rId60" Type="http://schemas.openxmlformats.org/officeDocument/2006/relationships/hyperlink" Target="mailto:cmooney@ohiopartners.org" TargetMode="External"/><Relationship Id="rId65" Type="http://schemas.openxmlformats.org/officeDocument/2006/relationships/hyperlink" Target="mailto:charris@spilmanlaw.com"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mpritchard@mwncmh.com" TargetMode="External"/><Relationship Id="rId27" Type="http://schemas.openxmlformats.org/officeDocument/2006/relationships/hyperlink" Target="mailto:dboehm@BKLlawfirm.com" TargetMode="External"/><Relationship Id="rId30" Type="http://schemas.openxmlformats.org/officeDocument/2006/relationships/hyperlink" Target="mailto:haydenm@firstenergycorp.com" TargetMode="External"/><Relationship Id="rId35" Type="http://schemas.openxmlformats.org/officeDocument/2006/relationships/hyperlink" Target="mailto:talexander@calfee.com" TargetMode="External"/><Relationship Id="rId43" Type="http://schemas.openxmlformats.org/officeDocument/2006/relationships/hyperlink" Target="mailto:ricks@ohanet.org" TargetMode="External"/><Relationship Id="rId48" Type="http://schemas.openxmlformats.org/officeDocument/2006/relationships/hyperlink" Target="mailto:Kevin.moore@occ.ohio.gov" TargetMode="External"/><Relationship Id="rId56" Type="http://schemas.openxmlformats.org/officeDocument/2006/relationships/hyperlink" Target="mailto:mjsettineri@vorys.com" TargetMode="External"/><Relationship Id="rId64" Type="http://schemas.openxmlformats.org/officeDocument/2006/relationships/hyperlink" Target="mailto:DStinson@bricker.com" TargetMode="External"/><Relationship Id="rId69" Type="http://schemas.openxmlformats.org/officeDocument/2006/relationships/hyperlink" Target="mailto:gpoulos@enernoc.com" TargetMode="External"/><Relationship Id="rId8" Type="http://schemas.openxmlformats.org/officeDocument/2006/relationships/endnotes" Target="endnotes.xml"/><Relationship Id="rId51" Type="http://schemas.openxmlformats.org/officeDocument/2006/relationships/hyperlink" Target="mailto:ghull@eckertseamans.com"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smckenzie@aep.com" TargetMode="External"/><Relationship Id="rId25" Type="http://schemas.openxmlformats.org/officeDocument/2006/relationships/hyperlink" Target="mailto:Schmidt@sppgrp.com" TargetMode="External"/><Relationship Id="rId33" Type="http://schemas.openxmlformats.org/officeDocument/2006/relationships/hyperlink" Target="mailto:tobrien@bricker.com" TargetMode="External"/><Relationship Id="rId38" Type="http://schemas.openxmlformats.org/officeDocument/2006/relationships/hyperlink" Target="mailto:lhawrot@spilmanlaw.com" TargetMode="External"/><Relationship Id="rId46" Type="http://schemas.openxmlformats.org/officeDocument/2006/relationships/hyperlink" Target="mailto:William.michael@occ.ohio.gov" TargetMode="External"/><Relationship Id="rId59" Type="http://schemas.openxmlformats.org/officeDocument/2006/relationships/hyperlink" Target="mailto:mfleisher@elpc.org" TargetMode="External"/><Relationship Id="rId67" Type="http://schemas.openxmlformats.org/officeDocument/2006/relationships/hyperlink" Target="mailto:sfisk@earthjustice.org" TargetMode="External"/><Relationship Id="rId20" Type="http://schemas.openxmlformats.org/officeDocument/2006/relationships/hyperlink" Target="mailto:sam@mwncmh.com" TargetMode="External"/><Relationship Id="rId41" Type="http://schemas.openxmlformats.org/officeDocument/2006/relationships/hyperlink" Target="mailto:Stephanie.Chmiel@ThompsonHine.com" TargetMode="External"/><Relationship Id="rId54" Type="http://schemas.openxmlformats.org/officeDocument/2006/relationships/hyperlink" Target="mailto:gthomas@gtpowergroup.com" TargetMode="External"/><Relationship Id="rId62" Type="http://schemas.openxmlformats.org/officeDocument/2006/relationships/hyperlink" Target="mailto:Katie.johnson@puc.state.oh.us" TargetMode="External"/><Relationship Id="rId70" Type="http://schemas.openxmlformats.org/officeDocument/2006/relationships/hyperlink" Target="mailto:chris@envlaw.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ncdc.noaa.gov/sotc/national/201401" TargetMode="External"/><Relationship Id="rId13" Type="http://schemas.openxmlformats.org/officeDocument/2006/relationships/hyperlink" Target="https://www.pjm.com/~/media/markets-ops/rpm/rpm-auction-info/2016-2017-base-residual-auction-report.ashx" TargetMode="External"/><Relationship Id="rId18" Type="http://schemas.openxmlformats.org/officeDocument/2006/relationships/hyperlink" Target="https://www.bea.gov/newsreleases/regional/gdp_state/2015/pdf/gsp0615.pdf" TargetMode="External"/><Relationship Id="rId3" Type="http://schemas.openxmlformats.org/officeDocument/2006/relationships/hyperlink" Target="http://pjm.com/~/media/markets-ops/rpm/rpm-auction-info/2018-2019-bra-planning-parameters.ashx" TargetMode="External"/><Relationship Id="rId7" Type="http://schemas.openxmlformats.org/officeDocument/2006/relationships/hyperlink" Target="http://www.pjm.com/~/media/planning/res-adeq/20150609-forecasted-reserve-margin-graph.ashx" TargetMode="External"/><Relationship Id="rId12" Type="http://schemas.openxmlformats.org/officeDocument/2006/relationships/hyperlink" Target="http://www.pjm.com/~/media/879A2FA2A1794C7887A98686A70336D2.ashx" TargetMode="External"/><Relationship Id="rId17" Type="http://schemas.openxmlformats.org/officeDocument/2006/relationships/hyperlink" Target="http://www.competecoalition.com/files/EIA%20RTO%20data%20chart%20April%202015%20update.pdf" TargetMode="External"/><Relationship Id="rId2" Type="http://schemas.openxmlformats.org/officeDocument/2006/relationships/hyperlink" Target="http://www.aep.com/newsroom/resources/pjm/PJM_AEPintegrationQ&amp;A.pdf" TargetMode="External"/><Relationship Id="rId16" Type="http://schemas.openxmlformats.org/officeDocument/2006/relationships/hyperlink" Target="http://www.competecoalition.com/files/EIA%20restructured%20states%20data%20chart%20April%202015%20update.pdf" TargetMode="External"/><Relationship Id="rId1" Type="http://schemas.openxmlformats.org/officeDocument/2006/relationships/hyperlink" Target="http://www.pjm.com/about-pjm/who-we-are.aspx" TargetMode="External"/><Relationship Id="rId6" Type="http://schemas.openxmlformats.org/officeDocument/2006/relationships/hyperlink" Target="http://www.pjm.com/sitecore%20modules/web/~/media/pjm-annualmeeting/postings/2015-summer-outlook.ashx" TargetMode="External"/><Relationship Id="rId11" Type="http://schemas.openxmlformats.org/officeDocument/2006/relationships/hyperlink" Target="http://www.pjm.com/~/media/markets-ops/rpm/rpm-auction-info/2016-2017-transition-incremental-auction-results.ashx" TargetMode="External"/><Relationship Id="rId5" Type="http://schemas.openxmlformats.org/officeDocument/2006/relationships/hyperlink" Target="http://energy.gov/sites/prod/files/oeprod/DocumentsandMedia/BlackoutFinal-Web.pdf" TargetMode="External"/><Relationship Id="rId15" Type="http://schemas.openxmlformats.org/officeDocument/2006/relationships/hyperlink" Target="http://www.opsb.ohio.gov/opsb/" TargetMode="External"/><Relationship Id="rId10" Type="http://schemas.openxmlformats.org/officeDocument/2006/relationships/hyperlink" Target="http://www.pjm.com/~/media/about-pjm/newsroom/annual-reports/2014-annual-report.ashx" TargetMode="External"/><Relationship Id="rId19" Type="http://schemas.openxmlformats.org/officeDocument/2006/relationships/hyperlink" Target="http://www.dispatch.com/content/stories/business/2015/04/23/0423-cold-winter-good-for-aep.html" TargetMode="External"/><Relationship Id="rId4" Type="http://schemas.openxmlformats.org/officeDocument/2006/relationships/hyperlink" Target="http://www.aep.com/newsroom/resources/pjm/PJM_AEPintegrationQ&amp;A.pdf" TargetMode="External"/><Relationship Id="rId9" Type="http://schemas.openxmlformats.org/officeDocument/2006/relationships/hyperlink" Target="http://pjm.com/~/media/committees-groups/committees/elc/postings/capacity-performance-cost-benefit-analysis.ashx" TargetMode="External"/><Relationship Id="rId14" Type="http://schemas.openxmlformats.org/officeDocument/2006/relationships/hyperlink" Target="https://www.pjm.com/~/media/markets-ops/rpm/rpm-auction-info/2016-2017-base-residual-auction-report.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67F2-2558-4801-A1D1-954029C9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7561</Words>
  <Characters>41814</Characters>
  <Application>Microsoft Office Word</Application>
  <DocSecurity>0</DocSecurity>
  <Lines>1072</Lines>
  <Paragraphs>649</Paragraphs>
  <ScaleCrop>false</ScaleCrop>
  <HeadingPairs>
    <vt:vector size="2" baseType="variant">
      <vt:variant>
        <vt:lpstr>Title</vt:lpstr>
      </vt:variant>
      <vt:variant>
        <vt:i4>1</vt:i4>
      </vt:variant>
    </vt:vector>
  </HeadingPairs>
  <TitlesOfParts>
    <vt:vector size="1" baseType="lpstr">
      <vt:lpstr/>
    </vt:vector>
  </TitlesOfParts>
  <Company>Dynegy</Company>
  <LinksUpToDate>false</LinksUpToDate>
  <CharactersWithSpaces>48726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DefaultUser</cp:lastModifiedBy>
  <cp:revision>2</cp:revision>
  <cp:lastPrinted>2015-09-11T20:46:00Z</cp:lastPrinted>
  <dcterms:created xsi:type="dcterms:W3CDTF">2015-09-11T21:06:00Z</dcterms:created>
  <dcterms:modified xsi:type="dcterms:W3CDTF">2015-09-11T21:06:00Z</dcterms:modified>
</cp:coreProperties>
</file>