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6A" w:rsidRPr="005A076C" w:rsidRDefault="009D3C22" w:rsidP="00663D6A">
      <w:pPr>
        <w:jc w:val="center"/>
        <w:rPr>
          <w:b/>
          <w:sz w:val="26"/>
          <w:szCs w:val="26"/>
        </w:rPr>
      </w:pPr>
      <w:r w:rsidRPr="005A076C">
        <w:rPr>
          <w:b/>
          <w:sz w:val="26"/>
          <w:szCs w:val="26"/>
        </w:rPr>
        <w:t>BEFORE</w:t>
      </w:r>
    </w:p>
    <w:p w:rsidR="00663D6A" w:rsidRPr="005A076C" w:rsidRDefault="00663D6A" w:rsidP="00663D6A">
      <w:pPr>
        <w:jc w:val="center"/>
        <w:rPr>
          <w:b/>
          <w:sz w:val="26"/>
          <w:szCs w:val="26"/>
        </w:rPr>
      </w:pPr>
      <w:r w:rsidRPr="005A076C">
        <w:rPr>
          <w:b/>
          <w:sz w:val="26"/>
          <w:szCs w:val="26"/>
        </w:rPr>
        <w:t>THE PUBLIC UTILITIES COMMISSION OF OHIO</w:t>
      </w:r>
    </w:p>
    <w:p w:rsidR="00663D6A" w:rsidRPr="005A076C" w:rsidRDefault="00663D6A" w:rsidP="00663D6A">
      <w:pPr>
        <w:pStyle w:val="Title"/>
        <w:tabs>
          <w:tab w:val="left" w:pos="5130"/>
          <w:tab w:val="left" w:pos="5670"/>
        </w:tabs>
        <w:rPr>
          <w:rFonts w:ascii="Times New Roman" w:hAnsi="Times New Roman"/>
          <w:sz w:val="26"/>
          <w:szCs w:val="26"/>
        </w:rPr>
      </w:pPr>
    </w:p>
    <w:p w:rsidR="003B12DD" w:rsidRPr="005A076C" w:rsidRDefault="003B12DD" w:rsidP="00663D6A">
      <w:pPr>
        <w:pStyle w:val="Title"/>
        <w:tabs>
          <w:tab w:val="left" w:pos="5130"/>
          <w:tab w:val="left" w:pos="5670"/>
        </w:tabs>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289"/>
        <w:gridCol w:w="4418"/>
      </w:tblGrid>
      <w:tr w:rsidR="005A076C" w:rsidTr="005A076C">
        <w:tc>
          <w:tcPr>
            <w:tcW w:w="4878" w:type="dxa"/>
          </w:tcPr>
          <w:p w:rsidR="005A076C" w:rsidRDefault="005A076C" w:rsidP="005A076C">
            <w:pPr>
              <w:autoSpaceDE w:val="0"/>
              <w:autoSpaceDN w:val="0"/>
              <w:adjustRightInd w:val="0"/>
              <w:rPr>
                <w:sz w:val="26"/>
                <w:szCs w:val="26"/>
              </w:rPr>
            </w:pPr>
            <w:r w:rsidRPr="005A076C">
              <w:rPr>
                <w:sz w:val="26"/>
                <w:szCs w:val="26"/>
              </w:rPr>
              <w:t xml:space="preserve">In the Matter of the Application of </w:t>
            </w:r>
            <w:r w:rsidRPr="005A076C">
              <w:rPr>
                <w:b/>
                <w:sz w:val="26"/>
                <w:szCs w:val="26"/>
              </w:rPr>
              <w:t xml:space="preserve">Ohio Power Company </w:t>
            </w:r>
            <w:r w:rsidRPr="005A076C">
              <w:rPr>
                <w:sz w:val="26"/>
                <w:szCs w:val="26"/>
              </w:rPr>
              <w:t>for Authority to Issue</w:t>
            </w:r>
            <w:r>
              <w:rPr>
                <w:sz w:val="26"/>
                <w:szCs w:val="26"/>
              </w:rPr>
              <w:t xml:space="preserve"> P</w:t>
            </w:r>
            <w:r w:rsidRPr="005A076C">
              <w:rPr>
                <w:sz w:val="26"/>
                <w:szCs w:val="26"/>
              </w:rPr>
              <w:t>hase-in-Recovery Bonds and Impose,</w:t>
            </w:r>
            <w:r>
              <w:rPr>
                <w:sz w:val="26"/>
                <w:szCs w:val="26"/>
              </w:rPr>
              <w:t xml:space="preserve"> </w:t>
            </w:r>
            <w:r w:rsidRPr="005A076C">
              <w:rPr>
                <w:sz w:val="26"/>
                <w:szCs w:val="26"/>
              </w:rPr>
              <w:t>Charge and Collect Phase-in-Recovery</w:t>
            </w:r>
            <w:r>
              <w:rPr>
                <w:sz w:val="26"/>
                <w:szCs w:val="26"/>
              </w:rPr>
              <w:t xml:space="preserve"> </w:t>
            </w:r>
            <w:r w:rsidRPr="005A076C">
              <w:rPr>
                <w:sz w:val="26"/>
                <w:szCs w:val="26"/>
              </w:rPr>
              <w:t>Charges for Tariff and Bill Format Changes.</w:t>
            </w:r>
          </w:p>
        </w:tc>
        <w:tc>
          <w:tcPr>
            <w:tcW w:w="270" w:type="dxa"/>
          </w:tcPr>
          <w:p w:rsidR="005A076C" w:rsidRDefault="005A076C" w:rsidP="00663D6A">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5A076C" w:rsidRDefault="005A076C" w:rsidP="00663D6A">
            <w:pPr>
              <w:pStyle w:val="Title"/>
              <w:tabs>
                <w:tab w:val="left" w:pos="5130"/>
                <w:tab w:val="left" w:pos="5670"/>
              </w:tabs>
              <w:rPr>
                <w:rFonts w:ascii="Times New Roman" w:hAnsi="Times New Roman"/>
                <w:sz w:val="26"/>
                <w:szCs w:val="26"/>
              </w:rPr>
            </w:pPr>
            <w:r>
              <w:rPr>
                <w:rFonts w:ascii="Times New Roman" w:hAnsi="Times New Roman"/>
                <w:sz w:val="26"/>
                <w:szCs w:val="26"/>
              </w:rPr>
              <w:t>:</w:t>
            </w:r>
            <w:r>
              <w:rPr>
                <w:rFonts w:ascii="Times New Roman" w:hAnsi="Times New Roman"/>
                <w:sz w:val="26"/>
                <w:szCs w:val="26"/>
              </w:rPr>
              <w:br/>
              <w:t>:</w:t>
            </w:r>
          </w:p>
          <w:p w:rsidR="005A076C" w:rsidRDefault="005A076C" w:rsidP="00663D6A">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5A076C" w:rsidRDefault="005A076C" w:rsidP="00663D6A">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428" w:type="dxa"/>
          </w:tcPr>
          <w:p w:rsidR="005A076C" w:rsidRDefault="005A076C" w:rsidP="005A076C">
            <w:pPr>
              <w:pStyle w:val="Title"/>
              <w:tabs>
                <w:tab w:val="left" w:pos="5130"/>
                <w:tab w:val="left" w:pos="5670"/>
              </w:tabs>
              <w:jc w:val="left"/>
              <w:rPr>
                <w:rFonts w:ascii="Times New Roman" w:hAnsi="Times New Roman"/>
                <w:sz w:val="26"/>
                <w:szCs w:val="26"/>
              </w:rPr>
            </w:pPr>
          </w:p>
          <w:p w:rsidR="005A076C" w:rsidRDefault="005A076C" w:rsidP="005A076C">
            <w:pPr>
              <w:pStyle w:val="Title"/>
              <w:tabs>
                <w:tab w:val="left" w:pos="5130"/>
                <w:tab w:val="left" w:pos="5670"/>
              </w:tabs>
              <w:jc w:val="left"/>
              <w:rPr>
                <w:rFonts w:ascii="Times New Roman" w:hAnsi="Times New Roman"/>
                <w:sz w:val="26"/>
                <w:szCs w:val="26"/>
              </w:rPr>
            </w:pPr>
            <w:r w:rsidRPr="005A076C">
              <w:rPr>
                <w:rFonts w:ascii="Times New Roman" w:hAnsi="Times New Roman"/>
                <w:sz w:val="26"/>
                <w:szCs w:val="26"/>
              </w:rPr>
              <w:t>Case No.</w:t>
            </w:r>
            <w:r w:rsidRPr="005A076C">
              <w:rPr>
                <w:rFonts w:ascii="Times New Roman" w:hAnsi="Times New Roman"/>
                <w:b/>
                <w:sz w:val="26"/>
                <w:szCs w:val="26"/>
              </w:rPr>
              <w:t xml:space="preserve"> 12-1969-EL-ATS</w:t>
            </w:r>
          </w:p>
        </w:tc>
      </w:tr>
    </w:tbl>
    <w:p w:rsidR="003B12DD" w:rsidRPr="005A076C" w:rsidRDefault="003B12DD" w:rsidP="00663D6A">
      <w:pPr>
        <w:pStyle w:val="Title"/>
        <w:tabs>
          <w:tab w:val="left" w:pos="5130"/>
          <w:tab w:val="left" w:pos="5670"/>
        </w:tabs>
        <w:rPr>
          <w:rFonts w:ascii="Times New Roman" w:hAnsi="Times New Roman"/>
          <w:sz w:val="26"/>
          <w:szCs w:val="26"/>
        </w:rPr>
      </w:pPr>
    </w:p>
    <w:p w:rsidR="00663D6A" w:rsidRPr="005A076C" w:rsidRDefault="00663D6A" w:rsidP="00663D6A">
      <w:pPr>
        <w:pStyle w:val="Title"/>
        <w:tabs>
          <w:tab w:val="left" w:pos="5130"/>
          <w:tab w:val="left" w:pos="5670"/>
        </w:tabs>
        <w:jc w:val="left"/>
        <w:rPr>
          <w:rFonts w:ascii="Times New Roman" w:hAnsi="Times New Roman"/>
          <w:sz w:val="26"/>
          <w:szCs w:val="26"/>
        </w:rPr>
      </w:pPr>
    </w:p>
    <w:p w:rsidR="00EC4352" w:rsidRDefault="00EC4352" w:rsidP="00E10679">
      <w:pPr>
        <w:pStyle w:val="Title"/>
        <w:tabs>
          <w:tab w:val="left" w:pos="9360"/>
        </w:tabs>
        <w:spacing w:after="240"/>
        <w:jc w:val="left"/>
        <w:rPr>
          <w:rFonts w:ascii="Times New Roman" w:hAnsi="Times New Roman"/>
          <w:sz w:val="26"/>
          <w:szCs w:val="26"/>
          <w:u w:val="single"/>
        </w:rPr>
      </w:pPr>
    </w:p>
    <w:p w:rsidR="003B12DD" w:rsidRPr="005A076C" w:rsidRDefault="00E10679" w:rsidP="00E10679">
      <w:pPr>
        <w:pStyle w:val="Title"/>
        <w:tabs>
          <w:tab w:val="left" w:pos="9360"/>
        </w:tabs>
        <w:spacing w:after="240"/>
        <w:jc w:val="left"/>
        <w:rPr>
          <w:rFonts w:ascii="Times New Roman" w:hAnsi="Times New Roman"/>
          <w:sz w:val="26"/>
          <w:szCs w:val="26"/>
          <w:u w:val="single"/>
        </w:rPr>
      </w:pPr>
      <w:r w:rsidRPr="005A076C">
        <w:rPr>
          <w:rFonts w:ascii="Times New Roman" w:hAnsi="Times New Roman"/>
          <w:sz w:val="26"/>
          <w:szCs w:val="26"/>
          <w:u w:val="single"/>
        </w:rPr>
        <w:tab/>
      </w:r>
    </w:p>
    <w:p w:rsidR="00E10679" w:rsidRPr="005A076C" w:rsidRDefault="00FF5711" w:rsidP="00E10679">
      <w:pPr>
        <w:pStyle w:val="Title"/>
        <w:tabs>
          <w:tab w:val="left" w:pos="9360"/>
        </w:tabs>
        <w:rPr>
          <w:rFonts w:ascii="Times New Roman" w:hAnsi="Times New Roman"/>
          <w:b/>
          <w:sz w:val="26"/>
          <w:szCs w:val="26"/>
        </w:rPr>
      </w:pPr>
      <w:r w:rsidRPr="005A076C">
        <w:rPr>
          <w:rFonts w:ascii="Times New Roman" w:hAnsi="Times New Roman"/>
          <w:b/>
          <w:sz w:val="26"/>
          <w:szCs w:val="26"/>
        </w:rPr>
        <w:t>COMMENTS AND RECOMMENDATIONS</w:t>
      </w:r>
    </w:p>
    <w:p w:rsidR="00663D6A" w:rsidRPr="005A076C" w:rsidRDefault="00663D6A" w:rsidP="00FF5711">
      <w:pPr>
        <w:jc w:val="center"/>
        <w:rPr>
          <w:sz w:val="26"/>
          <w:szCs w:val="26"/>
        </w:rPr>
      </w:pPr>
      <w:bookmarkStart w:id="0" w:name="_Toc257632572"/>
      <w:bookmarkStart w:id="1" w:name="_Toc257632676"/>
      <w:bookmarkStart w:id="2" w:name="_Toc257637808"/>
      <w:bookmarkStart w:id="3" w:name="_Toc257798062"/>
      <w:bookmarkStart w:id="4" w:name="_Toc260124108"/>
      <w:bookmarkStart w:id="5" w:name="_Toc260125213"/>
      <w:bookmarkStart w:id="6" w:name="_Toc260212953"/>
      <w:r w:rsidRPr="005A076C">
        <w:rPr>
          <w:sz w:val="26"/>
          <w:szCs w:val="26"/>
        </w:rPr>
        <w:t>SUBMITTED ON BEHALF OF THE STAFF OF</w:t>
      </w:r>
      <w:bookmarkEnd w:id="0"/>
      <w:bookmarkEnd w:id="1"/>
      <w:bookmarkEnd w:id="2"/>
      <w:bookmarkEnd w:id="3"/>
      <w:bookmarkEnd w:id="4"/>
      <w:bookmarkEnd w:id="5"/>
      <w:bookmarkEnd w:id="6"/>
    </w:p>
    <w:p w:rsidR="00663D6A" w:rsidRPr="005A076C" w:rsidRDefault="00663D6A" w:rsidP="00FF5711">
      <w:pPr>
        <w:jc w:val="center"/>
        <w:rPr>
          <w:sz w:val="26"/>
          <w:szCs w:val="26"/>
        </w:rPr>
      </w:pPr>
      <w:bookmarkStart w:id="7" w:name="_Toc257632573"/>
      <w:bookmarkStart w:id="8" w:name="_Toc257632677"/>
      <w:bookmarkStart w:id="9" w:name="_Toc257637809"/>
      <w:bookmarkStart w:id="10" w:name="_Toc257798063"/>
      <w:bookmarkStart w:id="11" w:name="_Toc260124109"/>
      <w:bookmarkStart w:id="12" w:name="_Toc260125214"/>
      <w:bookmarkStart w:id="13" w:name="_Toc260212954"/>
      <w:r w:rsidRPr="005A076C">
        <w:rPr>
          <w:sz w:val="26"/>
          <w:szCs w:val="26"/>
        </w:rPr>
        <w:t>THE PUBLIC UTILITIES COMMISSION OF OHIO</w:t>
      </w:r>
      <w:bookmarkEnd w:id="7"/>
      <w:bookmarkEnd w:id="8"/>
      <w:bookmarkEnd w:id="9"/>
      <w:bookmarkEnd w:id="10"/>
      <w:bookmarkEnd w:id="11"/>
      <w:bookmarkEnd w:id="12"/>
      <w:bookmarkEnd w:id="13"/>
    </w:p>
    <w:p w:rsidR="00E10679" w:rsidRPr="005A076C" w:rsidRDefault="00E10679" w:rsidP="00E10679">
      <w:pPr>
        <w:pStyle w:val="Title"/>
        <w:tabs>
          <w:tab w:val="left" w:pos="9360"/>
        </w:tabs>
        <w:spacing w:after="240"/>
        <w:jc w:val="left"/>
        <w:rPr>
          <w:rFonts w:ascii="Times New Roman" w:hAnsi="Times New Roman"/>
          <w:sz w:val="26"/>
          <w:szCs w:val="26"/>
          <w:u w:val="single"/>
        </w:rPr>
      </w:pPr>
      <w:r w:rsidRPr="005A076C">
        <w:rPr>
          <w:rFonts w:ascii="Times New Roman" w:hAnsi="Times New Roman"/>
          <w:sz w:val="26"/>
          <w:szCs w:val="26"/>
          <w:u w:val="single"/>
        </w:rPr>
        <w:tab/>
      </w:r>
    </w:p>
    <w:p w:rsidR="00E10679" w:rsidRDefault="00E10679" w:rsidP="00663D6A">
      <w:pPr>
        <w:pStyle w:val="PlainText"/>
        <w:jc w:val="center"/>
        <w:outlineLvl w:val="0"/>
        <w:rPr>
          <w:rFonts w:ascii="Times New Roman" w:hAnsi="Times New Roman"/>
          <w:sz w:val="26"/>
          <w:szCs w:val="26"/>
        </w:rPr>
      </w:pPr>
    </w:p>
    <w:p w:rsidR="00EC4352" w:rsidRDefault="00EC4352" w:rsidP="00663D6A">
      <w:pPr>
        <w:pStyle w:val="PlainText"/>
        <w:jc w:val="center"/>
        <w:outlineLvl w:val="0"/>
        <w:rPr>
          <w:rFonts w:ascii="Times New Roman" w:hAnsi="Times New Roman"/>
          <w:sz w:val="26"/>
          <w:szCs w:val="26"/>
        </w:rPr>
      </w:pPr>
    </w:p>
    <w:p w:rsidR="00EC4352" w:rsidRPr="005A076C" w:rsidRDefault="00EC4352" w:rsidP="00663D6A">
      <w:pPr>
        <w:pStyle w:val="PlainText"/>
        <w:jc w:val="center"/>
        <w:outlineLvl w:val="0"/>
        <w:rPr>
          <w:rFonts w:ascii="Times New Roman" w:hAnsi="Times New Roman"/>
          <w:sz w:val="26"/>
          <w:szCs w:val="26"/>
        </w:rPr>
      </w:pPr>
    </w:p>
    <w:p w:rsidR="00663D6A" w:rsidRPr="005A076C" w:rsidRDefault="00E10679" w:rsidP="00E10679">
      <w:pPr>
        <w:pStyle w:val="Title"/>
        <w:tabs>
          <w:tab w:val="left" w:pos="4320"/>
        </w:tabs>
        <w:jc w:val="left"/>
        <w:rPr>
          <w:rFonts w:ascii="Times New Roman" w:hAnsi="Times New Roman"/>
          <w:b/>
          <w:sz w:val="26"/>
          <w:szCs w:val="26"/>
        </w:rPr>
      </w:pPr>
      <w:r w:rsidRPr="005A076C">
        <w:rPr>
          <w:rFonts w:ascii="Times New Roman" w:hAnsi="Times New Roman"/>
          <w:sz w:val="26"/>
          <w:szCs w:val="26"/>
        </w:rPr>
        <w:tab/>
      </w:r>
      <w:r w:rsidR="00FF5711" w:rsidRPr="005A076C">
        <w:rPr>
          <w:rFonts w:ascii="Times New Roman" w:hAnsi="Times New Roman"/>
          <w:b/>
          <w:sz w:val="26"/>
          <w:szCs w:val="26"/>
        </w:rPr>
        <w:t>Michael DeWine</w:t>
      </w:r>
    </w:p>
    <w:p w:rsidR="00E10679" w:rsidRPr="005A076C" w:rsidRDefault="00E10679" w:rsidP="00E10679">
      <w:pPr>
        <w:pStyle w:val="Title"/>
        <w:tabs>
          <w:tab w:val="left" w:pos="4320"/>
        </w:tabs>
        <w:jc w:val="left"/>
        <w:rPr>
          <w:rFonts w:ascii="Times New Roman" w:hAnsi="Times New Roman"/>
          <w:sz w:val="26"/>
          <w:szCs w:val="26"/>
        </w:rPr>
      </w:pPr>
      <w:r w:rsidRPr="005A076C">
        <w:rPr>
          <w:rFonts w:ascii="Times New Roman" w:hAnsi="Times New Roman"/>
          <w:sz w:val="26"/>
          <w:szCs w:val="26"/>
        </w:rPr>
        <w:tab/>
        <w:t xml:space="preserve">Ohio </w:t>
      </w:r>
      <w:r w:rsidR="00721F2D" w:rsidRPr="005A076C">
        <w:rPr>
          <w:rFonts w:ascii="Times New Roman" w:hAnsi="Times New Roman"/>
          <w:sz w:val="26"/>
          <w:szCs w:val="26"/>
        </w:rPr>
        <w:t>Attorney</w:t>
      </w:r>
      <w:r w:rsidRPr="005A076C">
        <w:rPr>
          <w:rFonts w:ascii="Times New Roman" w:hAnsi="Times New Roman"/>
          <w:sz w:val="26"/>
          <w:szCs w:val="26"/>
        </w:rPr>
        <w:t xml:space="preserve"> General</w:t>
      </w:r>
    </w:p>
    <w:p w:rsidR="00E10679" w:rsidRPr="005A076C" w:rsidRDefault="00E10679" w:rsidP="00E10679">
      <w:pPr>
        <w:pStyle w:val="Title"/>
        <w:tabs>
          <w:tab w:val="left" w:pos="4320"/>
        </w:tabs>
        <w:jc w:val="left"/>
        <w:rPr>
          <w:rFonts w:ascii="Times New Roman" w:hAnsi="Times New Roman"/>
          <w:sz w:val="26"/>
          <w:szCs w:val="26"/>
        </w:rPr>
      </w:pPr>
    </w:p>
    <w:p w:rsidR="00E10679" w:rsidRPr="005A076C" w:rsidRDefault="00E10679" w:rsidP="00E10679">
      <w:pPr>
        <w:pStyle w:val="Title"/>
        <w:tabs>
          <w:tab w:val="left" w:pos="4320"/>
        </w:tabs>
        <w:jc w:val="left"/>
        <w:rPr>
          <w:rFonts w:ascii="Times New Roman" w:hAnsi="Times New Roman"/>
          <w:sz w:val="26"/>
          <w:szCs w:val="26"/>
        </w:rPr>
      </w:pPr>
      <w:r w:rsidRPr="005A076C">
        <w:rPr>
          <w:rFonts w:ascii="Times New Roman" w:hAnsi="Times New Roman"/>
          <w:sz w:val="26"/>
          <w:szCs w:val="26"/>
        </w:rPr>
        <w:tab/>
      </w:r>
      <w:r w:rsidR="00BC5B75" w:rsidRPr="005A076C">
        <w:rPr>
          <w:rFonts w:ascii="Times New Roman" w:hAnsi="Times New Roman"/>
          <w:b/>
          <w:sz w:val="26"/>
          <w:szCs w:val="26"/>
        </w:rPr>
        <w:t>William L. Wright</w:t>
      </w:r>
    </w:p>
    <w:p w:rsidR="00E10679" w:rsidRPr="005A076C" w:rsidRDefault="00E10679" w:rsidP="00E10679">
      <w:pPr>
        <w:pStyle w:val="Title"/>
        <w:tabs>
          <w:tab w:val="left" w:pos="4320"/>
        </w:tabs>
        <w:jc w:val="left"/>
        <w:rPr>
          <w:rFonts w:ascii="Times New Roman" w:hAnsi="Times New Roman"/>
          <w:sz w:val="26"/>
          <w:szCs w:val="26"/>
        </w:rPr>
      </w:pPr>
      <w:r w:rsidRPr="005A076C">
        <w:rPr>
          <w:rFonts w:ascii="Times New Roman" w:hAnsi="Times New Roman"/>
          <w:sz w:val="26"/>
          <w:szCs w:val="26"/>
        </w:rPr>
        <w:tab/>
        <w:t>Section Chief</w:t>
      </w:r>
    </w:p>
    <w:p w:rsidR="00E10679" w:rsidRPr="005A076C" w:rsidRDefault="00E10679" w:rsidP="00E10679">
      <w:pPr>
        <w:pStyle w:val="Title"/>
        <w:tabs>
          <w:tab w:val="left" w:pos="4320"/>
        </w:tabs>
        <w:jc w:val="left"/>
        <w:rPr>
          <w:rFonts w:ascii="Times New Roman" w:hAnsi="Times New Roman"/>
          <w:sz w:val="26"/>
          <w:szCs w:val="26"/>
        </w:rPr>
      </w:pPr>
    </w:p>
    <w:p w:rsidR="00E10679" w:rsidRPr="005A076C" w:rsidRDefault="00E10679" w:rsidP="00FF5711">
      <w:pPr>
        <w:pStyle w:val="Title"/>
        <w:tabs>
          <w:tab w:val="left" w:pos="4320"/>
        </w:tabs>
        <w:jc w:val="left"/>
        <w:rPr>
          <w:rFonts w:ascii="Times New Roman" w:hAnsi="Times New Roman"/>
          <w:b/>
          <w:sz w:val="26"/>
          <w:szCs w:val="26"/>
        </w:rPr>
      </w:pPr>
      <w:r w:rsidRPr="005A076C">
        <w:rPr>
          <w:rFonts w:ascii="Times New Roman" w:hAnsi="Times New Roman"/>
          <w:sz w:val="26"/>
          <w:szCs w:val="26"/>
        </w:rPr>
        <w:tab/>
      </w:r>
      <w:r w:rsidR="00FF5711" w:rsidRPr="005A076C">
        <w:rPr>
          <w:rFonts w:ascii="Times New Roman" w:hAnsi="Times New Roman"/>
          <w:b/>
          <w:sz w:val="26"/>
          <w:szCs w:val="26"/>
        </w:rPr>
        <w:t>Thomas W. McNamee</w:t>
      </w:r>
    </w:p>
    <w:p w:rsidR="00E10679" w:rsidRPr="005A076C" w:rsidRDefault="00E10679" w:rsidP="00E10679">
      <w:pPr>
        <w:pStyle w:val="Title"/>
        <w:tabs>
          <w:tab w:val="left" w:pos="4320"/>
        </w:tabs>
        <w:jc w:val="left"/>
        <w:rPr>
          <w:rFonts w:ascii="Times New Roman" w:hAnsi="Times New Roman"/>
          <w:sz w:val="26"/>
          <w:szCs w:val="26"/>
        </w:rPr>
      </w:pPr>
      <w:r w:rsidRPr="005A076C">
        <w:rPr>
          <w:rFonts w:ascii="Times New Roman" w:hAnsi="Times New Roman"/>
          <w:sz w:val="26"/>
          <w:szCs w:val="26"/>
        </w:rPr>
        <w:tab/>
      </w:r>
      <w:r w:rsidR="00721F2D" w:rsidRPr="005A076C">
        <w:rPr>
          <w:rFonts w:ascii="Times New Roman" w:hAnsi="Times New Roman"/>
          <w:sz w:val="26"/>
          <w:szCs w:val="26"/>
        </w:rPr>
        <w:t>Assistant</w:t>
      </w:r>
      <w:r w:rsidR="00FF5711" w:rsidRPr="005A076C">
        <w:rPr>
          <w:rFonts w:ascii="Times New Roman" w:hAnsi="Times New Roman"/>
          <w:sz w:val="26"/>
          <w:szCs w:val="26"/>
        </w:rPr>
        <w:t xml:space="preserve"> Attorney</w:t>
      </w:r>
      <w:r w:rsidRPr="005A076C">
        <w:rPr>
          <w:rFonts w:ascii="Times New Roman" w:hAnsi="Times New Roman"/>
          <w:sz w:val="26"/>
          <w:szCs w:val="26"/>
        </w:rPr>
        <w:t xml:space="preserve"> General</w:t>
      </w:r>
    </w:p>
    <w:p w:rsidR="00E10679" w:rsidRPr="005A076C" w:rsidRDefault="00E10679" w:rsidP="00E10679">
      <w:pPr>
        <w:pStyle w:val="Title"/>
        <w:tabs>
          <w:tab w:val="left" w:pos="4320"/>
        </w:tabs>
        <w:jc w:val="left"/>
        <w:rPr>
          <w:rFonts w:ascii="Times New Roman" w:hAnsi="Times New Roman"/>
          <w:sz w:val="26"/>
          <w:szCs w:val="26"/>
        </w:rPr>
      </w:pPr>
      <w:r w:rsidRPr="005A076C">
        <w:rPr>
          <w:rFonts w:ascii="Times New Roman" w:hAnsi="Times New Roman"/>
          <w:sz w:val="26"/>
          <w:szCs w:val="26"/>
        </w:rPr>
        <w:tab/>
        <w:t xml:space="preserve">Public </w:t>
      </w:r>
      <w:r w:rsidR="00721F2D" w:rsidRPr="005A076C">
        <w:rPr>
          <w:rFonts w:ascii="Times New Roman" w:hAnsi="Times New Roman"/>
          <w:sz w:val="26"/>
          <w:szCs w:val="26"/>
        </w:rPr>
        <w:t>Utilities</w:t>
      </w:r>
      <w:r w:rsidRPr="005A076C">
        <w:rPr>
          <w:rFonts w:ascii="Times New Roman" w:hAnsi="Times New Roman"/>
          <w:sz w:val="26"/>
          <w:szCs w:val="26"/>
        </w:rPr>
        <w:t xml:space="preserve"> Section</w:t>
      </w:r>
    </w:p>
    <w:p w:rsidR="00E10679" w:rsidRPr="005A076C" w:rsidRDefault="00E10679" w:rsidP="00E10679">
      <w:pPr>
        <w:pStyle w:val="Title"/>
        <w:tabs>
          <w:tab w:val="left" w:pos="4320"/>
        </w:tabs>
        <w:jc w:val="left"/>
        <w:rPr>
          <w:rFonts w:ascii="Times New Roman" w:hAnsi="Times New Roman"/>
          <w:sz w:val="26"/>
          <w:szCs w:val="26"/>
        </w:rPr>
      </w:pPr>
      <w:r w:rsidRPr="005A076C">
        <w:rPr>
          <w:rFonts w:ascii="Times New Roman" w:hAnsi="Times New Roman"/>
          <w:sz w:val="26"/>
          <w:szCs w:val="26"/>
        </w:rPr>
        <w:tab/>
        <w:t>180 East Broad Street, 6</w:t>
      </w:r>
      <w:r w:rsidRPr="005A076C">
        <w:rPr>
          <w:rFonts w:ascii="Times New Roman" w:hAnsi="Times New Roman"/>
          <w:sz w:val="26"/>
          <w:szCs w:val="26"/>
          <w:vertAlign w:val="superscript"/>
        </w:rPr>
        <w:t>th</w:t>
      </w:r>
      <w:r w:rsidRPr="005A076C">
        <w:rPr>
          <w:rFonts w:ascii="Times New Roman" w:hAnsi="Times New Roman"/>
          <w:sz w:val="26"/>
          <w:szCs w:val="26"/>
        </w:rPr>
        <w:t xml:space="preserve"> Floor</w:t>
      </w:r>
    </w:p>
    <w:p w:rsidR="00E10679" w:rsidRPr="005A076C" w:rsidRDefault="00E10679" w:rsidP="00E10679">
      <w:pPr>
        <w:pStyle w:val="Title"/>
        <w:tabs>
          <w:tab w:val="left" w:pos="4320"/>
        </w:tabs>
        <w:jc w:val="left"/>
        <w:rPr>
          <w:rFonts w:ascii="Times New Roman" w:hAnsi="Times New Roman"/>
          <w:sz w:val="26"/>
          <w:szCs w:val="26"/>
        </w:rPr>
      </w:pPr>
      <w:r w:rsidRPr="005A076C">
        <w:rPr>
          <w:rFonts w:ascii="Times New Roman" w:hAnsi="Times New Roman"/>
          <w:sz w:val="26"/>
          <w:szCs w:val="26"/>
        </w:rPr>
        <w:tab/>
        <w:t>Columbus, OH  43215-3793</w:t>
      </w:r>
    </w:p>
    <w:p w:rsidR="00E10679" w:rsidRPr="005A076C" w:rsidRDefault="00E10679" w:rsidP="00E10679">
      <w:pPr>
        <w:pStyle w:val="Title"/>
        <w:tabs>
          <w:tab w:val="left" w:pos="4320"/>
        </w:tabs>
        <w:jc w:val="left"/>
        <w:rPr>
          <w:rFonts w:ascii="Times New Roman" w:hAnsi="Times New Roman"/>
          <w:sz w:val="26"/>
          <w:szCs w:val="26"/>
        </w:rPr>
      </w:pPr>
      <w:r w:rsidRPr="005A076C">
        <w:rPr>
          <w:rFonts w:ascii="Times New Roman" w:hAnsi="Times New Roman"/>
          <w:sz w:val="26"/>
          <w:szCs w:val="26"/>
        </w:rPr>
        <w:tab/>
        <w:t>614.466.4397 (telephone)</w:t>
      </w:r>
    </w:p>
    <w:p w:rsidR="00E10679" w:rsidRPr="005A076C" w:rsidRDefault="00E10679" w:rsidP="00E10679">
      <w:pPr>
        <w:pStyle w:val="Title"/>
        <w:tabs>
          <w:tab w:val="left" w:pos="4320"/>
        </w:tabs>
        <w:jc w:val="left"/>
        <w:rPr>
          <w:rFonts w:ascii="Times New Roman" w:hAnsi="Times New Roman"/>
          <w:sz w:val="26"/>
          <w:szCs w:val="26"/>
        </w:rPr>
      </w:pPr>
      <w:r w:rsidRPr="005A076C">
        <w:rPr>
          <w:rFonts w:ascii="Times New Roman" w:hAnsi="Times New Roman"/>
          <w:sz w:val="26"/>
          <w:szCs w:val="26"/>
        </w:rPr>
        <w:tab/>
        <w:t>614.644.8764 (fax)</w:t>
      </w:r>
    </w:p>
    <w:p w:rsidR="00E10679" w:rsidRPr="005A076C" w:rsidRDefault="00E10679" w:rsidP="00E10679">
      <w:pPr>
        <w:pStyle w:val="Title"/>
        <w:tabs>
          <w:tab w:val="left" w:pos="4320"/>
        </w:tabs>
        <w:jc w:val="left"/>
        <w:rPr>
          <w:rFonts w:ascii="Times New Roman" w:hAnsi="Times New Roman"/>
          <w:sz w:val="26"/>
          <w:szCs w:val="26"/>
        </w:rPr>
      </w:pPr>
      <w:r w:rsidRPr="005A076C">
        <w:rPr>
          <w:rFonts w:ascii="Times New Roman" w:hAnsi="Times New Roman"/>
          <w:sz w:val="26"/>
          <w:szCs w:val="26"/>
        </w:rPr>
        <w:tab/>
      </w:r>
      <w:hyperlink r:id="rId9" w:history="1">
        <w:r w:rsidR="00FF5711" w:rsidRPr="005A076C">
          <w:rPr>
            <w:rStyle w:val="Hyperlink"/>
            <w:rFonts w:ascii="Times New Roman" w:hAnsi="Times New Roman"/>
            <w:sz w:val="26"/>
            <w:szCs w:val="26"/>
          </w:rPr>
          <w:t>thomas.mcnamee@puc.state.oh.us</w:t>
        </w:r>
      </w:hyperlink>
    </w:p>
    <w:p w:rsidR="00E10679" w:rsidRPr="005A076C" w:rsidRDefault="00E10679" w:rsidP="00E10679">
      <w:pPr>
        <w:pStyle w:val="Title"/>
        <w:tabs>
          <w:tab w:val="left" w:pos="4320"/>
        </w:tabs>
        <w:jc w:val="left"/>
        <w:rPr>
          <w:rFonts w:ascii="Times New Roman" w:hAnsi="Times New Roman"/>
          <w:sz w:val="26"/>
          <w:szCs w:val="26"/>
        </w:rPr>
      </w:pPr>
    </w:p>
    <w:p w:rsidR="00663D6A" w:rsidRPr="005A076C" w:rsidRDefault="00663D6A" w:rsidP="00663D6A">
      <w:pPr>
        <w:pStyle w:val="Title"/>
        <w:tabs>
          <w:tab w:val="left" w:pos="5130"/>
          <w:tab w:val="left" w:pos="5670"/>
        </w:tabs>
        <w:jc w:val="left"/>
        <w:rPr>
          <w:rFonts w:ascii="Times New Roman" w:hAnsi="Times New Roman"/>
          <w:sz w:val="26"/>
          <w:szCs w:val="26"/>
        </w:rPr>
      </w:pPr>
    </w:p>
    <w:p w:rsidR="00663D6A" w:rsidRPr="005A076C" w:rsidRDefault="00663D6A" w:rsidP="00663D6A">
      <w:pPr>
        <w:pStyle w:val="Title"/>
        <w:tabs>
          <w:tab w:val="left" w:pos="5130"/>
          <w:tab w:val="left" w:pos="5670"/>
        </w:tabs>
        <w:jc w:val="left"/>
        <w:rPr>
          <w:rFonts w:ascii="Times New Roman" w:hAnsi="Times New Roman"/>
          <w:sz w:val="26"/>
          <w:szCs w:val="26"/>
        </w:rPr>
      </w:pPr>
    </w:p>
    <w:p w:rsidR="00FF5711" w:rsidRPr="005A076C" w:rsidRDefault="00FF5711" w:rsidP="00663D6A">
      <w:pPr>
        <w:pStyle w:val="Title"/>
        <w:tabs>
          <w:tab w:val="left" w:pos="5130"/>
          <w:tab w:val="left" w:pos="5670"/>
        </w:tabs>
        <w:jc w:val="left"/>
        <w:rPr>
          <w:rFonts w:ascii="Times New Roman" w:hAnsi="Times New Roman"/>
          <w:sz w:val="26"/>
          <w:szCs w:val="26"/>
        </w:rPr>
      </w:pPr>
    </w:p>
    <w:p w:rsidR="00FF5711" w:rsidRPr="005A076C" w:rsidRDefault="00FF5711" w:rsidP="00663D6A">
      <w:pPr>
        <w:pStyle w:val="Title"/>
        <w:tabs>
          <w:tab w:val="left" w:pos="5130"/>
          <w:tab w:val="left" w:pos="5670"/>
        </w:tabs>
        <w:jc w:val="left"/>
        <w:rPr>
          <w:rFonts w:ascii="Times New Roman" w:hAnsi="Times New Roman"/>
          <w:sz w:val="26"/>
          <w:szCs w:val="26"/>
        </w:rPr>
      </w:pPr>
    </w:p>
    <w:p w:rsidR="00663D6A" w:rsidRPr="005A076C" w:rsidRDefault="00FA191B" w:rsidP="004B6358">
      <w:pPr>
        <w:pStyle w:val="PlainText"/>
        <w:rPr>
          <w:rFonts w:ascii="Times New Roman" w:hAnsi="Times New Roman"/>
          <w:sz w:val="26"/>
          <w:szCs w:val="26"/>
        </w:rPr>
      </w:pPr>
      <w:r w:rsidRPr="005A076C">
        <w:rPr>
          <w:rFonts w:ascii="Times New Roman" w:hAnsi="Times New Roman"/>
          <w:sz w:val="26"/>
          <w:szCs w:val="26"/>
        </w:rPr>
        <w:t>September</w:t>
      </w:r>
      <w:r w:rsidR="00FF5711" w:rsidRPr="005A076C">
        <w:rPr>
          <w:rFonts w:ascii="Times New Roman" w:hAnsi="Times New Roman"/>
          <w:sz w:val="26"/>
          <w:szCs w:val="26"/>
        </w:rPr>
        <w:t xml:space="preserve"> </w:t>
      </w:r>
      <w:r w:rsidRPr="005A076C">
        <w:rPr>
          <w:rFonts w:ascii="Times New Roman" w:hAnsi="Times New Roman"/>
          <w:sz w:val="26"/>
          <w:szCs w:val="26"/>
        </w:rPr>
        <w:t>1</w:t>
      </w:r>
      <w:r w:rsidR="00FF5711" w:rsidRPr="005A076C">
        <w:rPr>
          <w:rFonts w:ascii="Times New Roman" w:hAnsi="Times New Roman"/>
          <w:sz w:val="26"/>
          <w:szCs w:val="26"/>
        </w:rPr>
        <w:t>5, 2012</w:t>
      </w:r>
    </w:p>
    <w:p w:rsidR="003B12DD" w:rsidRPr="005A076C" w:rsidRDefault="003B12DD" w:rsidP="00663D6A">
      <w:pPr>
        <w:jc w:val="center"/>
        <w:rPr>
          <w:b/>
          <w:sz w:val="26"/>
          <w:szCs w:val="26"/>
        </w:rPr>
        <w:sectPr w:rsidR="003B12DD" w:rsidRPr="005A076C" w:rsidSect="003B12DD">
          <w:headerReference w:type="default" r:id="rId10"/>
          <w:footerReference w:type="default" r:id="rId11"/>
          <w:headerReference w:type="first" r:id="rId12"/>
          <w:footnotePr>
            <w:numRestart w:val="eachSect"/>
          </w:footnotePr>
          <w:pgSz w:w="12240" w:h="15840" w:code="1"/>
          <w:pgMar w:top="1440" w:right="1440" w:bottom="1440" w:left="1440" w:header="720" w:footer="720" w:gutter="0"/>
          <w:pgNumType w:fmt="lowerRoman" w:start="1"/>
          <w:cols w:space="720"/>
          <w:titlePg/>
          <w:docGrid w:linePitch="360"/>
        </w:sectPr>
      </w:pPr>
    </w:p>
    <w:p w:rsidR="00177F90" w:rsidRDefault="00861BE6">
      <w:pPr>
        <w:pStyle w:val="TOC1"/>
        <w:rPr>
          <w:rFonts w:asciiTheme="minorHAnsi" w:eastAsiaTheme="minorEastAsia" w:hAnsiTheme="minorHAnsi" w:cstheme="minorBidi"/>
          <w:sz w:val="22"/>
          <w:szCs w:val="22"/>
        </w:rPr>
      </w:pPr>
      <w:r>
        <w:rPr>
          <w:b/>
          <w:sz w:val="24"/>
          <w:szCs w:val="24"/>
        </w:rPr>
        <w:lastRenderedPageBreak/>
        <w:fldChar w:fldCharType="begin"/>
      </w:r>
      <w:r>
        <w:rPr>
          <w:b/>
          <w:sz w:val="24"/>
          <w:szCs w:val="24"/>
        </w:rPr>
        <w:instrText xml:space="preserve"> TOC \o "1-5" \u </w:instrText>
      </w:r>
      <w:r>
        <w:rPr>
          <w:b/>
          <w:sz w:val="24"/>
          <w:szCs w:val="24"/>
        </w:rPr>
        <w:fldChar w:fldCharType="separate"/>
      </w:r>
      <w:r w:rsidR="00177F90">
        <w:t xml:space="preserve">I. </w:t>
      </w:r>
      <w:r w:rsidR="00177F90">
        <w:rPr>
          <w:rFonts w:asciiTheme="minorHAnsi" w:eastAsiaTheme="minorEastAsia" w:hAnsiTheme="minorHAnsi" w:cstheme="minorBidi"/>
          <w:sz w:val="22"/>
          <w:szCs w:val="22"/>
        </w:rPr>
        <w:tab/>
      </w:r>
      <w:r w:rsidR="00177F90">
        <w:t>INTRODUCTION</w:t>
      </w:r>
      <w:r w:rsidR="00177F90">
        <w:tab/>
      </w:r>
      <w:r w:rsidR="00177F90">
        <w:fldChar w:fldCharType="begin"/>
      </w:r>
      <w:r w:rsidR="00177F90">
        <w:instrText xml:space="preserve"> PAGEREF _Toc335401730 \h </w:instrText>
      </w:r>
      <w:r w:rsidR="00177F90">
        <w:fldChar w:fldCharType="separate"/>
      </w:r>
      <w:r w:rsidR="00FE03D5">
        <w:t>1</w:t>
      </w:r>
      <w:r w:rsidR="00177F90">
        <w:fldChar w:fldCharType="end"/>
      </w:r>
    </w:p>
    <w:p w:rsidR="00177F90" w:rsidRDefault="00177F90">
      <w:pPr>
        <w:pStyle w:val="TOC1"/>
        <w:rPr>
          <w:rFonts w:asciiTheme="minorHAnsi" w:eastAsiaTheme="minorEastAsia" w:hAnsiTheme="minorHAnsi" w:cstheme="minorBidi"/>
          <w:sz w:val="22"/>
          <w:szCs w:val="22"/>
        </w:rPr>
      </w:pPr>
      <w:r>
        <w:t xml:space="preserve">II. </w:t>
      </w:r>
      <w:r>
        <w:rPr>
          <w:rFonts w:asciiTheme="minorHAnsi" w:eastAsiaTheme="minorEastAsia" w:hAnsiTheme="minorHAnsi" w:cstheme="minorBidi"/>
          <w:sz w:val="22"/>
          <w:szCs w:val="22"/>
        </w:rPr>
        <w:tab/>
      </w:r>
      <w:r>
        <w:t>BACKGROUND</w:t>
      </w:r>
      <w:r>
        <w:tab/>
      </w:r>
      <w:r>
        <w:fldChar w:fldCharType="begin"/>
      </w:r>
      <w:r>
        <w:instrText xml:space="preserve"> PAGEREF _Toc335401731 \h </w:instrText>
      </w:r>
      <w:r>
        <w:fldChar w:fldCharType="separate"/>
      </w:r>
      <w:r w:rsidR="00FE03D5">
        <w:t>2</w:t>
      </w:r>
      <w: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Ohio Utility Securitization Law</w:t>
      </w:r>
      <w:r>
        <w:rPr>
          <w:noProof/>
        </w:rPr>
        <w:tab/>
      </w:r>
      <w:r>
        <w:rPr>
          <w:noProof/>
        </w:rPr>
        <w:fldChar w:fldCharType="begin"/>
      </w:r>
      <w:r>
        <w:rPr>
          <w:noProof/>
        </w:rPr>
        <w:instrText xml:space="preserve"> PAGEREF _Toc335401732 \h </w:instrText>
      </w:r>
      <w:r>
        <w:rPr>
          <w:noProof/>
        </w:rPr>
      </w:r>
      <w:r>
        <w:rPr>
          <w:noProof/>
        </w:rPr>
        <w:fldChar w:fldCharType="separate"/>
      </w:r>
      <w:r w:rsidR="00FE03D5">
        <w:rPr>
          <w:noProof/>
        </w:rPr>
        <w:t>2</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 xml:space="preserve">B. </w:t>
      </w:r>
      <w:r>
        <w:rPr>
          <w:rFonts w:asciiTheme="minorHAnsi" w:eastAsiaTheme="minorEastAsia" w:hAnsiTheme="minorHAnsi" w:cstheme="minorBidi"/>
          <w:noProof/>
          <w:sz w:val="22"/>
          <w:szCs w:val="22"/>
        </w:rPr>
        <w:tab/>
      </w:r>
      <w:r>
        <w:rPr>
          <w:noProof/>
        </w:rPr>
        <w:t>Description of Proposed Transaction</w:t>
      </w:r>
      <w:r>
        <w:rPr>
          <w:noProof/>
        </w:rPr>
        <w:tab/>
      </w:r>
      <w:r>
        <w:rPr>
          <w:noProof/>
        </w:rPr>
        <w:fldChar w:fldCharType="begin"/>
      </w:r>
      <w:r>
        <w:rPr>
          <w:noProof/>
        </w:rPr>
        <w:instrText xml:space="preserve"> PAGEREF _Toc335401733 \h </w:instrText>
      </w:r>
      <w:r>
        <w:rPr>
          <w:noProof/>
        </w:rPr>
      </w:r>
      <w:r>
        <w:rPr>
          <w:noProof/>
        </w:rPr>
        <w:fldChar w:fldCharType="separate"/>
      </w:r>
      <w:r w:rsidR="00FE03D5">
        <w:rPr>
          <w:noProof/>
        </w:rPr>
        <w:t>3</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Securitization Structure</w:t>
      </w:r>
      <w:r>
        <w:rPr>
          <w:noProof/>
        </w:rPr>
        <w:tab/>
      </w:r>
      <w:r>
        <w:rPr>
          <w:noProof/>
        </w:rPr>
        <w:fldChar w:fldCharType="begin"/>
      </w:r>
      <w:r>
        <w:rPr>
          <w:noProof/>
        </w:rPr>
        <w:instrText xml:space="preserve"> PAGEREF _Toc335401734 \h </w:instrText>
      </w:r>
      <w:r>
        <w:rPr>
          <w:noProof/>
        </w:rPr>
      </w:r>
      <w:r>
        <w:rPr>
          <w:noProof/>
        </w:rPr>
        <w:fldChar w:fldCharType="separate"/>
      </w:r>
      <w:r w:rsidR="00FE03D5">
        <w:rPr>
          <w:noProof/>
        </w:rPr>
        <w:t>9</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Up-front and Ongoing Financing Costs</w:t>
      </w:r>
      <w:r>
        <w:rPr>
          <w:noProof/>
        </w:rPr>
        <w:tab/>
      </w:r>
      <w:r>
        <w:rPr>
          <w:noProof/>
        </w:rPr>
        <w:fldChar w:fldCharType="begin"/>
      </w:r>
      <w:r>
        <w:rPr>
          <w:noProof/>
        </w:rPr>
        <w:instrText xml:space="preserve"> PAGEREF _Toc335401735 \h </w:instrText>
      </w:r>
      <w:r>
        <w:rPr>
          <w:noProof/>
        </w:rPr>
      </w:r>
      <w:r>
        <w:rPr>
          <w:noProof/>
        </w:rPr>
        <w:fldChar w:fldCharType="separate"/>
      </w:r>
      <w:r w:rsidR="00FE03D5">
        <w:rPr>
          <w:noProof/>
        </w:rPr>
        <w:t>14</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Anticipated Use of the PIR Bond Proceeds</w:t>
      </w:r>
      <w:r>
        <w:rPr>
          <w:noProof/>
        </w:rPr>
        <w:tab/>
      </w:r>
      <w:r>
        <w:rPr>
          <w:noProof/>
        </w:rPr>
        <w:fldChar w:fldCharType="begin"/>
      </w:r>
      <w:r>
        <w:rPr>
          <w:noProof/>
        </w:rPr>
        <w:instrText xml:space="preserve"> PAGEREF _Toc335401736 \h </w:instrText>
      </w:r>
      <w:r>
        <w:rPr>
          <w:noProof/>
        </w:rPr>
      </w:r>
      <w:r>
        <w:rPr>
          <w:noProof/>
        </w:rPr>
        <w:fldChar w:fldCharType="separate"/>
      </w:r>
      <w:r w:rsidR="00FE03D5">
        <w:rPr>
          <w:noProof/>
        </w:rPr>
        <w:t>16</w:t>
      </w:r>
      <w:r>
        <w:rPr>
          <w:noProof/>
        </w:rPr>
        <w:fldChar w:fldCharType="end"/>
      </w:r>
    </w:p>
    <w:p w:rsidR="00177F90" w:rsidRDefault="00177F90">
      <w:pPr>
        <w:pStyle w:val="TOC1"/>
        <w:rPr>
          <w:rFonts w:asciiTheme="minorHAnsi" w:eastAsiaTheme="minorEastAsia" w:hAnsiTheme="minorHAnsi" w:cstheme="minorBidi"/>
          <w:sz w:val="22"/>
          <w:szCs w:val="22"/>
        </w:rPr>
      </w:pPr>
      <w:r>
        <w:t>III.</w:t>
      </w:r>
      <w:r>
        <w:rPr>
          <w:rFonts w:asciiTheme="minorHAnsi" w:eastAsiaTheme="minorEastAsia" w:hAnsiTheme="minorHAnsi" w:cstheme="minorBidi"/>
          <w:sz w:val="22"/>
          <w:szCs w:val="22"/>
        </w:rPr>
        <w:tab/>
      </w:r>
      <w:r>
        <w:t>SECURITIZATION REVIEW</w:t>
      </w:r>
      <w:r>
        <w:tab/>
      </w:r>
      <w:r>
        <w:fldChar w:fldCharType="begin"/>
      </w:r>
      <w:r>
        <w:instrText xml:space="preserve"> PAGEREF _Toc335401737 \h </w:instrText>
      </w:r>
      <w:r>
        <w:fldChar w:fldCharType="separate"/>
      </w:r>
      <w:r w:rsidR="00FE03D5">
        <w:t>17</w:t>
      </w:r>
      <w: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Total Revenue Test</w:t>
      </w:r>
      <w:r>
        <w:rPr>
          <w:noProof/>
        </w:rPr>
        <w:tab/>
      </w:r>
      <w:r>
        <w:rPr>
          <w:noProof/>
        </w:rPr>
        <w:fldChar w:fldCharType="begin"/>
      </w:r>
      <w:r>
        <w:rPr>
          <w:noProof/>
        </w:rPr>
        <w:instrText xml:space="preserve"> PAGEREF _Toc335401738 \h </w:instrText>
      </w:r>
      <w:r>
        <w:rPr>
          <w:noProof/>
        </w:rPr>
      </w:r>
      <w:r>
        <w:rPr>
          <w:noProof/>
        </w:rPr>
        <w:fldChar w:fldCharType="separate"/>
      </w:r>
      <w:r w:rsidR="00FE03D5">
        <w:rPr>
          <w:noProof/>
        </w:rPr>
        <w:t>18</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 xml:space="preserve">B. </w:t>
      </w:r>
      <w:r>
        <w:rPr>
          <w:rFonts w:asciiTheme="minorHAnsi" w:eastAsiaTheme="minorEastAsia" w:hAnsiTheme="minorHAnsi" w:cstheme="minorBidi"/>
          <w:noProof/>
          <w:sz w:val="22"/>
          <w:szCs w:val="22"/>
        </w:rPr>
        <w:tab/>
      </w:r>
      <w:r>
        <w:rPr>
          <w:noProof/>
        </w:rPr>
        <w:t>Present Value Test</w:t>
      </w:r>
      <w:r>
        <w:rPr>
          <w:noProof/>
        </w:rPr>
        <w:tab/>
      </w:r>
      <w:r>
        <w:rPr>
          <w:noProof/>
        </w:rPr>
        <w:fldChar w:fldCharType="begin"/>
      </w:r>
      <w:r>
        <w:rPr>
          <w:noProof/>
        </w:rPr>
        <w:instrText xml:space="preserve"> PAGEREF _Toc335401739 \h </w:instrText>
      </w:r>
      <w:r>
        <w:rPr>
          <w:noProof/>
        </w:rPr>
      </w:r>
      <w:r>
        <w:rPr>
          <w:noProof/>
        </w:rPr>
        <w:fldChar w:fldCharType="separate"/>
      </w:r>
      <w:r w:rsidR="00FE03D5">
        <w:rPr>
          <w:noProof/>
        </w:rPr>
        <w:t>20</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 xml:space="preserve">C. </w:t>
      </w:r>
      <w:r>
        <w:rPr>
          <w:rFonts w:asciiTheme="minorHAnsi" w:eastAsiaTheme="minorEastAsia" w:hAnsiTheme="minorHAnsi" w:cstheme="minorBidi"/>
          <w:noProof/>
          <w:sz w:val="22"/>
          <w:szCs w:val="22"/>
        </w:rPr>
        <w:tab/>
      </w:r>
      <w:r>
        <w:rPr>
          <w:noProof/>
        </w:rPr>
        <w:t>Proceeds Test</w:t>
      </w:r>
      <w:r>
        <w:rPr>
          <w:noProof/>
        </w:rPr>
        <w:tab/>
      </w:r>
      <w:r>
        <w:rPr>
          <w:noProof/>
        </w:rPr>
        <w:fldChar w:fldCharType="begin"/>
      </w:r>
      <w:r>
        <w:rPr>
          <w:noProof/>
        </w:rPr>
        <w:instrText xml:space="preserve"> PAGEREF _Toc335401740 \h </w:instrText>
      </w:r>
      <w:r>
        <w:rPr>
          <w:noProof/>
        </w:rPr>
      </w:r>
      <w:r>
        <w:rPr>
          <w:noProof/>
        </w:rPr>
        <w:fldChar w:fldCharType="separate"/>
      </w:r>
      <w:r w:rsidR="00FE03D5">
        <w:rPr>
          <w:noProof/>
        </w:rPr>
        <w:t>21</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 xml:space="preserve">D. </w:t>
      </w:r>
      <w:r>
        <w:rPr>
          <w:rFonts w:asciiTheme="minorHAnsi" w:eastAsiaTheme="minorEastAsia" w:hAnsiTheme="minorHAnsi" w:cstheme="minorBidi"/>
          <w:noProof/>
          <w:sz w:val="22"/>
          <w:szCs w:val="22"/>
        </w:rPr>
        <w:tab/>
      </w:r>
      <w:r>
        <w:rPr>
          <w:noProof/>
        </w:rPr>
        <w:t>Bond Structuring and Pricing Review</w:t>
      </w:r>
      <w:r>
        <w:rPr>
          <w:noProof/>
        </w:rPr>
        <w:tab/>
      </w:r>
      <w:r>
        <w:rPr>
          <w:noProof/>
        </w:rPr>
        <w:fldChar w:fldCharType="begin"/>
      </w:r>
      <w:r>
        <w:rPr>
          <w:noProof/>
        </w:rPr>
        <w:instrText xml:space="preserve"> PAGEREF _Toc335401741 \h </w:instrText>
      </w:r>
      <w:r>
        <w:rPr>
          <w:noProof/>
        </w:rPr>
      </w:r>
      <w:r>
        <w:rPr>
          <w:noProof/>
        </w:rPr>
        <w:fldChar w:fldCharType="separate"/>
      </w:r>
      <w:r w:rsidR="00FE03D5">
        <w:rPr>
          <w:noProof/>
        </w:rPr>
        <w:t>21</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Issuance Advice Letter</w:t>
      </w:r>
      <w:r>
        <w:rPr>
          <w:noProof/>
        </w:rPr>
        <w:tab/>
      </w:r>
      <w:r>
        <w:rPr>
          <w:noProof/>
        </w:rPr>
        <w:fldChar w:fldCharType="begin"/>
      </w:r>
      <w:r>
        <w:rPr>
          <w:noProof/>
        </w:rPr>
        <w:instrText xml:space="preserve"> PAGEREF _Toc335401742 \h </w:instrText>
      </w:r>
      <w:r>
        <w:rPr>
          <w:noProof/>
        </w:rPr>
      </w:r>
      <w:r>
        <w:rPr>
          <w:noProof/>
        </w:rPr>
        <w:fldChar w:fldCharType="separate"/>
      </w:r>
      <w:r w:rsidR="00FE03D5">
        <w:rPr>
          <w:noProof/>
        </w:rPr>
        <w:t>23</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 xml:space="preserve">F. </w:t>
      </w:r>
      <w:r>
        <w:rPr>
          <w:rFonts w:asciiTheme="minorHAnsi" w:eastAsiaTheme="minorEastAsia" w:hAnsiTheme="minorHAnsi" w:cstheme="minorBidi"/>
          <w:noProof/>
          <w:sz w:val="22"/>
          <w:szCs w:val="22"/>
        </w:rPr>
        <w:tab/>
      </w:r>
      <w:r>
        <w:rPr>
          <w:noProof/>
        </w:rPr>
        <w:t>Recovery of the Remaining Upfront Financing Costs</w:t>
      </w:r>
      <w:r>
        <w:rPr>
          <w:noProof/>
        </w:rPr>
        <w:tab/>
      </w:r>
      <w:r>
        <w:rPr>
          <w:noProof/>
        </w:rPr>
        <w:fldChar w:fldCharType="begin"/>
      </w:r>
      <w:r>
        <w:rPr>
          <w:noProof/>
        </w:rPr>
        <w:instrText xml:space="preserve"> PAGEREF _Toc335401743 \h </w:instrText>
      </w:r>
      <w:r>
        <w:rPr>
          <w:noProof/>
        </w:rPr>
      </w:r>
      <w:r>
        <w:rPr>
          <w:noProof/>
        </w:rPr>
        <w:fldChar w:fldCharType="separate"/>
      </w:r>
      <w:r w:rsidR="00FE03D5">
        <w:rPr>
          <w:noProof/>
        </w:rPr>
        <w:t>25</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 xml:space="preserve">G. </w:t>
      </w:r>
      <w:r>
        <w:rPr>
          <w:rFonts w:asciiTheme="minorHAnsi" w:eastAsiaTheme="minorEastAsia" w:hAnsiTheme="minorHAnsi" w:cstheme="minorBidi"/>
          <w:noProof/>
          <w:sz w:val="22"/>
          <w:szCs w:val="22"/>
        </w:rPr>
        <w:tab/>
      </w:r>
      <w:r>
        <w:rPr>
          <w:noProof/>
        </w:rPr>
        <w:t>Use of Proceeds</w:t>
      </w:r>
      <w:r>
        <w:rPr>
          <w:noProof/>
        </w:rPr>
        <w:tab/>
      </w:r>
      <w:r>
        <w:rPr>
          <w:noProof/>
        </w:rPr>
        <w:fldChar w:fldCharType="begin"/>
      </w:r>
      <w:r>
        <w:rPr>
          <w:noProof/>
        </w:rPr>
        <w:instrText xml:space="preserve"> PAGEREF _Toc335401744 \h </w:instrText>
      </w:r>
      <w:r>
        <w:rPr>
          <w:noProof/>
        </w:rPr>
      </w:r>
      <w:r>
        <w:rPr>
          <w:noProof/>
        </w:rPr>
        <w:fldChar w:fldCharType="separate"/>
      </w:r>
      <w:r w:rsidR="00FE03D5">
        <w:rPr>
          <w:noProof/>
        </w:rPr>
        <w:t>25</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 xml:space="preserve">H. </w:t>
      </w:r>
      <w:r>
        <w:rPr>
          <w:rFonts w:asciiTheme="minorHAnsi" w:eastAsiaTheme="minorEastAsia" w:hAnsiTheme="minorHAnsi" w:cstheme="minorBidi"/>
          <w:noProof/>
          <w:sz w:val="22"/>
          <w:szCs w:val="22"/>
        </w:rPr>
        <w:tab/>
      </w:r>
      <w:r>
        <w:rPr>
          <w:noProof/>
        </w:rPr>
        <w:t>Third-party Billing/Collection</w:t>
      </w:r>
      <w:r>
        <w:rPr>
          <w:noProof/>
        </w:rPr>
        <w:tab/>
      </w:r>
      <w:r>
        <w:rPr>
          <w:noProof/>
        </w:rPr>
        <w:fldChar w:fldCharType="begin"/>
      </w:r>
      <w:r>
        <w:rPr>
          <w:noProof/>
        </w:rPr>
        <w:instrText xml:space="preserve"> PAGEREF _Toc335401745 \h </w:instrText>
      </w:r>
      <w:r>
        <w:rPr>
          <w:noProof/>
        </w:rPr>
      </w:r>
      <w:r>
        <w:rPr>
          <w:noProof/>
        </w:rPr>
        <w:fldChar w:fldCharType="separate"/>
      </w:r>
      <w:r w:rsidR="00FE03D5">
        <w:rPr>
          <w:noProof/>
        </w:rPr>
        <w:t>27</w:t>
      </w:r>
      <w:r>
        <w:rPr>
          <w:noProof/>
        </w:rPr>
        <w:fldChar w:fldCharType="end"/>
      </w:r>
    </w:p>
    <w:p w:rsidR="00177F90" w:rsidRDefault="00177F90">
      <w:pPr>
        <w:pStyle w:val="TOC1"/>
        <w:rPr>
          <w:rFonts w:asciiTheme="minorHAnsi" w:eastAsiaTheme="minorEastAsia" w:hAnsiTheme="minorHAnsi" w:cstheme="minorBidi"/>
          <w:sz w:val="22"/>
          <w:szCs w:val="22"/>
        </w:rPr>
      </w:pPr>
      <w:r>
        <w:t xml:space="preserve">IV. </w:t>
      </w:r>
      <w:r>
        <w:rPr>
          <w:rFonts w:asciiTheme="minorHAnsi" w:eastAsiaTheme="minorEastAsia" w:hAnsiTheme="minorHAnsi" w:cstheme="minorBidi"/>
          <w:sz w:val="22"/>
          <w:szCs w:val="22"/>
        </w:rPr>
        <w:tab/>
      </w:r>
      <w:r>
        <w:t>DARR REVIEW AND PHASE-IN RECOVERY CHARGE ANALYSIS</w:t>
      </w:r>
      <w:r>
        <w:tab/>
      </w:r>
      <w:r>
        <w:fldChar w:fldCharType="begin"/>
      </w:r>
      <w:r>
        <w:instrText xml:space="preserve"> PAGEREF _Toc335401746 \h </w:instrText>
      </w:r>
      <w:r>
        <w:fldChar w:fldCharType="separate"/>
      </w:r>
      <w:r w:rsidR="00FE03D5">
        <w:t>28</w:t>
      </w:r>
      <w: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Estimated Deferral Balances Subject To Securitization</w:t>
      </w:r>
      <w:r>
        <w:rPr>
          <w:noProof/>
        </w:rPr>
        <w:tab/>
      </w:r>
      <w:r>
        <w:rPr>
          <w:noProof/>
        </w:rPr>
        <w:fldChar w:fldCharType="begin"/>
      </w:r>
      <w:r>
        <w:rPr>
          <w:noProof/>
        </w:rPr>
        <w:instrText xml:space="preserve"> PAGEREF _Toc335401747 \h </w:instrText>
      </w:r>
      <w:r>
        <w:rPr>
          <w:noProof/>
        </w:rPr>
      </w:r>
      <w:r>
        <w:rPr>
          <w:noProof/>
        </w:rPr>
        <w:fldChar w:fldCharType="separate"/>
      </w:r>
      <w:r w:rsidR="00FE03D5">
        <w:rPr>
          <w:noProof/>
        </w:rPr>
        <w:t>28</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Estimated Comparison of Existing Rate Making and Securitization</w:t>
      </w:r>
      <w:r>
        <w:rPr>
          <w:noProof/>
        </w:rPr>
        <w:tab/>
      </w:r>
      <w:r>
        <w:rPr>
          <w:noProof/>
        </w:rPr>
        <w:fldChar w:fldCharType="begin"/>
      </w:r>
      <w:r>
        <w:rPr>
          <w:noProof/>
        </w:rPr>
        <w:instrText xml:space="preserve"> PAGEREF _Toc335401748 \h </w:instrText>
      </w:r>
      <w:r>
        <w:rPr>
          <w:noProof/>
        </w:rPr>
      </w:r>
      <w:r>
        <w:rPr>
          <w:noProof/>
        </w:rPr>
        <w:fldChar w:fldCharType="separate"/>
      </w:r>
      <w:r w:rsidR="00FE03D5">
        <w:rPr>
          <w:noProof/>
        </w:rPr>
        <w:t>28</w:t>
      </w:r>
      <w:r>
        <w:rPr>
          <w:noProof/>
        </w:rPr>
        <w:fldChar w:fldCharType="end"/>
      </w:r>
    </w:p>
    <w:p w:rsidR="00177F90" w:rsidRDefault="00177F90">
      <w:pPr>
        <w:pStyle w:val="TOC2"/>
        <w:tabs>
          <w:tab w:val="left" w:pos="144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True-Up of the Phase-In-Recovery Charges Rider</w:t>
      </w:r>
      <w:r>
        <w:rPr>
          <w:noProof/>
        </w:rPr>
        <w:tab/>
      </w:r>
      <w:r>
        <w:rPr>
          <w:noProof/>
        </w:rPr>
        <w:fldChar w:fldCharType="begin"/>
      </w:r>
      <w:r>
        <w:rPr>
          <w:noProof/>
        </w:rPr>
        <w:instrText xml:space="preserve"> PAGEREF _Toc335401749 \h </w:instrText>
      </w:r>
      <w:r>
        <w:rPr>
          <w:noProof/>
        </w:rPr>
      </w:r>
      <w:r>
        <w:rPr>
          <w:noProof/>
        </w:rPr>
        <w:fldChar w:fldCharType="separate"/>
      </w:r>
      <w:r w:rsidR="00FE03D5">
        <w:rPr>
          <w:noProof/>
        </w:rPr>
        <w:t>29</w:t>
      </w:r>
      <w:r>
        <w:rPr>
          <w:noProof/>
        </w:rPr>
        <w:fldChar w:fldCharType="end"/>
      </w:r>
    </w:p>
    <w:p w:rsidR="00177F90" w:rsidRDefault="00177F90">
      <w:pPr>
        <w:pStyle w:val="TOC1"/>
        <w:rPr>
          <w:rFonts w:asciiTheme="minorHAnsi" w:eastAsiaTheme="minorEastAsia" w:hAnsiTheme="minorHAnsi" w:cstheme="minorBidi"/>
          <w:sz w:val="22"/>
          <w:szCs w:val="22"/>
        </w:rPr>
      </w:pPr>
      <w:r>
        <w:t>V.</w:t>
      </w:r>
      <w:r>
        <w:rPr>
          <w:rFonts w:asciiTheme="minorHAnsi" w:eastAsiaTheme="minorEastAsia" w:hAnsiTheme="minorHAnsi" w:cstheme="minorBidi"/>
          <w:sz w:val="22"/>
          <w:szCs w:val="22"/>
        </w:rPr>
        <w:tab/>
      </w:r>
      <w:r>
        <w:t>RATES AND TARIFFS REVIEW</w:t>
      </w:r>
      <w:r>
        <w:tab/>
      </w:r>
      <w:r>
        <w:fldChar w:fldCharType="begin"/>
      </w:r>
      <w:r>
        <w:instrText xml:space="preserve"> PAGEREF _Toc335401750 \h </w:instrText>
      </w:r>
      <w:r>
        <w:fldChar w:fldCharType="separate"/>
      </w:r>
      <w:r w:rsidR="00FE03D5">
        <w:t>32</w:t>
      </w:r>
      <w:r>
        <w:fldChar w:fldCharType="end"/>
      </w:r>
    </w:p>
    <w:p w:rsidR="00177F90" w:rsidRDefault="00177F90">
      <w:pPr>
        <w:pStyle w:val="TOC1"/>
        <w:rPr>
          <w:rFonts w:asciiTheme="minorHAnsi" w:eastAsiaTheme="minorEastAsia" w:hAnsiTheme="minorHAnsi" w:cstheme="minorBidi"/>
          <w:sz w:val="22"/>
          <w:szCs w:val="22"/>
        </w:rPr>
      </w:pPr>
      <w:r>
        <w:t xml:space="preserve">VI. </w:t>
      </w:r>
      <w:r>
        <w:rPr>
          <w:rFonts w:asciiTheme="minorHAnsi" w:eastAsiaTheme="minorEastAsia" w:hAnsiTheme="minorHAnsi" w:cstheme="minorBidi"/>
          <w:sz w:val="22"/>
          <w:szCs w:val="22"/>
        </w:rPr>
        <w:tab/>
      </w:r>
      <w:r>
        <w:t>BILL FORMAT REVIEW</w:t>
      </w:r>
      <w:r>
        <w:tab/>
      </w:r>
      <w:r>
        <w:fldChar w:fldCharType="begin"/>
      </w:r>
      <w:r>
        <w:instrText xml:space="preserve"> PAGEREF _Toc335401751 \h </w:instrText>
      </w:r>
      <w:r>
        <w:fldChar w:fldCharType="separate"/>
      </w:r>
      <w:r w:rsidR="00FE03D5">
        <w:t>33</w:t>
      </w:r>
      <w:r>
        <w:fldChar w:fldCharType="end"/>
      </w:r>
    </w:p>
    <w:p w:rsidR="00177F90" w:rsidRDefault="00177F90">
      <w:pPr>
        <w:pStyle w:val="TOC1"/>
        <w:rPr>
          <w:rFonts w:asciiTheme="minorHAnsi" w:eastAsiaTheme="minorEastAsia" w:hAnsiTheme="minorHAnsi" w:cstheme="minorBidi"/>
          <w:sz w:val="22"/>
          <w:szCs w:val="22"/>
        </w:rPr>
      </w:pPr>
      <w:r>
        <w:lastRenderedPageBreak/>
        <w:t xml:space="preserve">VII. </w:t>
      </w:r>
      <w:r>
        <w:rPr>
          <w:rFonts w:asciiTheme="minorHAnsi" w:eastAsiaTheme="minorEastAsia" w:hAnsiTheme="minorHAnsi" w:cstheme="minorBidi"/>
          <w:sz w:val="22"/>
          <w:szCs w:val="22"/>
        </w:rPr>
        <w:tab/>
      </w:r>
      <w:r>
        <w:t>SUMMARY OF STAFF COMMENTS AND RECOMMENDATIONS</w:t>
      </w:r>
      <w:r>
        <w:tab/>
      </w:r>
      <w:r>
        <w:fldChar w:fldCharType="begin"/>
      </w:r>
      <w:r>
        <w:instrText xml:space="preserve"> PAGEREF _Toc335401752 \h </w:instrText>
      </w:r>
      <w:r>
        <w:fldChar w:fldCharType="separate"/>
      </w:r>
      <w:r w:rsidR="00FE03D5">
        <w:t>34</w:t>
      </w:r>
      <w:r>
        <w:fldChar w:fldCharType="end"/>
      </w:r>
    </w:p>
    <w:p w:rsidR="00177F90" w:rsidRDefault="00177F90">
      <w:pPr>
        <w:pStyle w:val="TOC1"/>
        <w:rPr>
          <w:rFonts w:asciiTheme="minorHAnsi" w:eastAsiaTheme="minorEastAsia" w:hAnsiTheme="minorHAnsi" w:cstheme="minorBidi"/>
          <w:sz w:val="22"/>
          <w:szCs w:val="22"/>
        </w:rPr>
      </w:pPr>
      <w:r>
        <w:t>VIII.</w:t>
      </w:r>
      <w:r>
        <w:rPr>
          <w:rFonts w:asciiTheme="minorHAnsi" w:eastAsiaTheme="minorEastAsia" w:hAnsiTheme="minorHAnsi" w:cstheme="minorBidi"/>
          <w:sz w:val="22"/>
          <w:szCs w:val="22"/>
        </w:rPr>
        <w:tab/>
      </w:r>
      <w:r>
        <w:t xml:space="preserve"> CONCLUSION</w:t>
      </w:r>
      <w:r>
        <w:tab/>
      </w:r>
      <w:r>
        <w:fldChar w:fldCharType="begin"/>
      </w:r>
      <w:r>
        <w:instrText xml:space="preserve"> PAGEREF _Toc335401753 \h </w:instrText>
      </w:r>
      <w:r>
        <w:fldChar w:fldCharType="separate"/>
      </w:r>
      <w:r w:rsidR="00FE03D5">
        <w:t>37</w:t>
      </w:r>
      <w:r>
        <w:fldChar w:fldCharType="end"/>
      </w:r>
    </w:p>
    <w:p w:rsidR="00177F90" w:rsidRDefault="00177F90">
      <w:pPr>
        <w:pStyle w:val="TOC1"/>
        <w:rPr>
          <w:rFonts w:asciiTheme="minorHAnsi" w:eastAsiaTheme="minorEastAsia" w:hAnsiTheme="minorHAnsi" w:cstheme="minorBidi"/>
          <w:sz w:val="22"/>
          <w:szCs w:val="22"/>
        </w:rPr>
      </w:pPr>
      <w:r>
        <w:t>IX.</w:t>
      </w:r>
      <w:r>
        <w:rPr>
          <w:rFonts w:asciiTheme="minorHAnsi" w:eastAsiaTheme="minorEastAsia" w:hAnsiTheme="minorHAnsi" w:cstheme="minorBidi"/>
          <w:sz w:val="22"/>
          <w:szCs w:val="22"/>
        </w:rPr>
        <w:tab/>
      </w:r>
      <w:r>
        <w:t>PROOF OF SERVICE</w:t>
      </w:r>
      <w:r>
        <w:tab/>
      </w:r>
      <w:r>
        <w:fldChar w:fldCharType="begin"/>
      </w:r>
      <w:r>
        <w:instrText xml:space="preserve"> PAGEREF _Toc335401754 \h </w:instrText>
      </w:r>
      <w:r>
        <w:fldChar w:fldCharType="separate"/>
      </w:r>
      <w:r w:rsidR="00FE03D5">
        <w:t>38</w:t>
      </w:r>
      <w:r>
        <w:fldChar w:fldCharType="end"/>
      </w:r>
    </w:p>
    <w:p w:rsidR="009511D6" w:rsidRPr="005A076C" w:rsidRDefault="00861BE6" w:rsidP="00861BE6">
      <w:pPr>
        <w:pStyle w:val="TOC1"/>
        <w:sectPr w:rsidR="009511D6" w:rsidRPr="005A076C" w:rsidSect="00B2573A">
          <w:headerReference w:type="default" r:id="rId13"/>
          <w:footerReference w:type="default" r:id="rId14"/>
          <w:headerReference w:type="first" r:id="rId15"/>
          <w:footerReference w:type="first" r:id="rId16"/>
          <w:footnotePr>
            <w:numRestart w:val="eachSect"/>
          </w:footnotePr>
          <w:pgSz w:w="12240" w:h="15840" w:code="1"/>
          <w:pgMar w:top="1440" w:right="1440" w:bottom="1080" w:left="1440" w:header="720" w:footer="720" w:gutter="0"/>
          <w:pgNumType w:fmt="lowerRoman" w:start="1"/>
          <w:cols w:space="720"/>
          <w:titlePg/>
          <w:docGrid w:linePitch="360"/>
        </w:sectPr>
      </w:pPr>
      <w:r>
        <w:fldChar w:fldCharType="end"/>
      </w:r>
    </w:p>
    <w:p w:rsidR="00CB5644" w:rsidRPr="005A076C" w:rsidRDefault="00CB5644" w:rsidP="00CB5644">
      <w:pPr>
        <w:jc w:val="center"/>
        <w:rPr>
          <w:b/>
          <w:sz w:val="28"/>
          <w:szCs w:val="24"/>
        </w:rPr>
      </w:pPr>
      <w:r w:rsidRPr="005A076C">
        <w:rPr>
          <w:b/>
          <w:sz w:val="28"/>
          <w:szCs w:val="24"/>
        </w:rPr>
        <w:lastRenderedPageBreak/>
        <w:t>BEFORE</w:t>
      </w:r>
    </w:p>
    <w:p w:rsidR="00CB5644" w:rsidRDefault="00CB5644" w:rsidP="00CB5644">
      <w:pPr>
        <w:jc w:val="center"/>
        <w:rPr>
          <w:b/>
          <w:sz w:val="28"/>
          <w:szCs w:val="24"/>
        </w:rPr>
      </w:pPr>
      <w:r w:rsidRPr="005A076C">
        <w:rPr>
          <w:b/>
          <w:sz w:val="28"/>
          <w:szCs w:val="24"/>
        </w:rPr>
        <w:t>THE PUBLIC UTILITIES COMMISSION OF OHIO</w:t>
      </w:r>
    </w:p>
    <w:p w:rsidR="005A076C" w:rsidRPr="005A076C" w:rsidRDefault="005A076C" w:rsidP="00CB5644">
      <w:pPr>
        <w:jc w:val="center"/>
        <w:rPr>
          <w:b/>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289"/>
        <w:gridCol w:w="4418"/>
      </w:tblGrid>
      <w:tr w:rsidR="005A076C" w:rsidTr="005A076C">
        <w:tc>
          <w:tcPr>
            <w:tcW w:w="4878" w:type="dxa"/>
          </w:tcPr>
          <w:p w:rsidR="005A076C" w:rsidRDefault="005A076C" w:rsidP="005A076C">
            <w:pPr>
              <w:autoSpaceDE w:val="0"/>
              <w:autoSpaceDN w:val="0"/>
              <w:adjustRightInd w:val="0"/>
              <w:rPr>
                <w:sz w:val="26"/>
                <w:szCs w:val="26"/>
              </w:rPr>
            </w:pPr>
            <w:r w:rsidRPr="005A076C">
              <w:rPr>
                <w:sz w:val="26"/>
                <w:szCs w:val="26"/>
              </w:rPr>
              <w:t xml:space="preserve">In the Matter of the Application of </w:t>
            </w:r>
            <w:r w:rsidRPr="005A076C">
              <w:rPr>
                <w:b/>
                <w:sz w:val="26"/>
                <w:szCs w:val="26"/>
              </w:rPr>
              <w:t xml:space="preserve">Ohio Power Company </w:t>
            </w:r>
            <w:r w:rsidRPr="005A076C">
              <w:rPr>
                <w:sz w:val="26"/>
                <w:szCs w:val="26"/>
              </w:rPr>
              <w:t>for Authority to Issue</w:t>
            </w:r>
            <w:r>
              <w:rPr>
                <w:sz w:val="26"/>
                <w:szCs w:val="26"/>
              </w:rPr>
              <w:t xml:space="preserve"> P</w:t>
            </w:r>
            <w:r w:rsidRPr="005A076C">
              <w:rPr>
                <w:sz w:val="26"/>
                <w:szCs w:val="26"/>
              </w:rPr>
              <w:t>hase-in-Recovery Bonds and Impose,</w:t>
            </w:r>
            <w:r>
              <w:rPr>
                <w:sz w:val="26"/>
                <w:szCs w:val="26"/>
              </w:rPr>
              <w:t xml:space="preserve"> </w:t>
            </w:r>
            <w:r w:rsidRPr="005A076C">
              <w:rPr>
                <w:sz w:val="26"/>
                <w:szCs w:val="26"/>
              </w:rPr>
              <w:t>Charge and Collect Phase-in-Recovery</w:t>
            </w:r>
            <w:r>
              <w:rPr>
                <w:sz w:val="26"/>
                <w:szCs w:val="26"/>
              </w:rPr>
              <w:t xml:space="preserve"> </w:t>
            </w:r>
            <w:r w:rsidRPr="005A076C">
              <w:rPr>
                <w:sz w:val="26"/>
                <w:szCs w:val="26"/>
              </w:rPr>
              <w:t>Charges for Tariff and Bill Format Changes.</w:t>
            </w:r>
          </w:p>
        </w:tc>
        <w:tc>
          <w:tcPr>
            <w:tcW w:w="270" w:type="dxa"/>
          </w:tcPr>
          <w:p w:rsidR="005A076C" w:rsidRDefault="005A076C" w:rsidP="005A076C">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5A076C" w:rsidRDefault="005A076C" w:rsidP="005A076C">
            <w:pPr>
              <w:pStyle w:val="Title"/>
              <w:tabs>
                <w:tab w:val="left" w:pos="5130"/>
                <w:tab w:val="left" w:pos="5670"/>
              </w:tabs>
              <w:rPr>
                <w:rFonts w:ascii="Times New Roman" w:hAnsi="Times New Roman"/>
                <w:sz w:val="26"/>
                <w:szCs w:val="26"/>
              </w:rPr>
            </w:pPr>
            <w:r>
              <w:rPr>
                <w:rFonts w:ascii="Times New Roman" w:hAnsi="Times New Roman"/>
                <w:sz w:val="26"/>
                <w:szCs w:val="26"/>
              </w:rPr>
              <w:t>:</w:t>
            </w:r>
            <w:r>
              <w:rPr>
                <w:rFonts w:ascii="Times New Roman" w:hAnsi="Times New Roman"/>
                <w:sz w:val="26"/>
                <w:szCs w:val="26"/>
              </w:rPr>
              <w:br/>
              <w:t>:</w:t>
            </w:r>
          </w:p>
          <w:p w:rsidR="005A076C" w:rsidRDefault="005A076C" w:rsidP="005A076C">
            <w:pPr>
              <w:pStyle w:val="Title"/>
              <w:tabs>
                <w:tab w:val="left" w:pos="5130"/>
                <w:tab w:val="left" w:pos="5670"/>
              </w:tabs>
              <w:rPr>
                <w:rFonts w:ascii="Times New Roman" w:hAnsi="Times New Roman"/>
                <w:sz w:val="26"/>
                <w:szCs w:val="26"/>
              </w:rPr>
            </w:pPr>
            <w:r>
              <w:rPr>
                <w:rFonts w:ascii="Times New Roman" w:hAnsi="Times New Roman"/>
                <w:sz w:val="26"/>
                <w:szCs w:val="26"/>
              </w:rPr>
              <w:t>:</w:t>
            </w:r>
          </w:p>
          <w:p w:rsidR="005A076C" w:rsidRDefault="005A076C" w:rsidP="005A076C">
            <w:pPr>
              <w:pStyle w:val="Title"/>
              <w:tabs>
                <w:tab w:val="left" w:pos="5130"/>
                <w:tab w:val="left" w:pos="5670"/>
              </w:tabs>
              <w:rPr>
                <w:rFonts w:ascii="Times New Roman" w:hAnsi="Times New Roman"/>
                <w:sz w:val="26"/>
                <w:szCs w:val="26"/>
              </w:rPr>
            </w:pPr>
            <w:r>
              <w:rPr>
                <w:rFonts w:ascii="Times New Roman" w:hAnsi="Times New Roman"/>
                <w:sz w:val="26"/>
                <w:szCs w:val="26"/>
              </w:rPr>
              <w:t>:</w:t>
            </w:r>
          </w:p>
        </w:tc>
        <w:tc>
          <w:tcPr>
            <w:tcW w:w="4428" w:type="dxa"/>
          </w:tcPr>
          <w:p w:rsidR="005A076C" w:rsidRDefault="005A076C" w:rsidP="005A076C">
            <w:pPr>
              <w:pStyle w:val="Title"/>
              <w:tabs>
                <w:tab w:val="left" w:pos="5130"/>
                <w:tab w:val="left" w:pos="5670"/>
              </w:tabs>
              <w:jc w:val="left"/>
              <w:rPr>
                <w:rFonts w:ascii="Times New Roman" w:hAnsi="Times New Roman"/>
                <w:sz w:val="26"/>
                <w:szCs w:val="26"/>
              </w:rPr>
            </w:pPr>
          </w:p>
          <w:p w:rsidR="005A076C" w:rsidRDefault="005A076C" w:rsidP="005A076C">
            <w:pPr>
              <w:pStyle w:val="Title"/>
              <w:tabs>
                <w:tab w:val="left" w:pos="5130"/>
                <w:tab w:val="left" w:pos="5670"/>
              </w:tabs>
              <w:jc w:val="left"/>
              <w:rPr>
                <w:rFonts w:ascii="Times New Roman" w:hAnsi="Times New Roman"/>
                <w:sz w:val="26"/>
                <w:szCs w:val="26"/>
              </w:rPr>
            </w:pPr>
            <w:r w:rsidRPr="005A076C">
              <w:rPr>
                <w:rFonts w:ascii="Times New Roman" w:hAnsi="Times New Roman"/>
                <w:sz w:val="26"/>
                <w:szCs w:val="26"/>
              </w:rPr>
              <w:t>Case No.</w:t>
            </w:r>
            <w:r w:rsidRPr="005A076C">
              <w:rPr>
                <w:rFonts w:ascii="Times New Roman" w:hAnsi="Times New Roman"/>
                <w:b/>
                <w:sz w:val="26"/>
                <w:szCs w:val="26"/>
              </w:rPr>
              <w:t xml:space="preserve"> 12-1969-EL-ATS</w:t>
            </w:r>
          </w:p>
        </w:tc>
      </w:tr>
    </w:tbl>
    <w:p w:rsidR="00E10679" w:rsidRDefault="00E10679" w:rsidP="00CB5644">
      <w:pPr>
        <w:jc w:val="center"/>
        <w:rPr>
          <w:b/>
          <w:sz w:val="28"/>
          <w:szCs w:val="24"/>
        </w:rPr>
      </w:pPr>
    </w:p>
    <w:p w:rsidR="00FF5711" w:rsidRPr="005A076C" w:rsidRDefault="00FF5711" w:rsidP="00FF5711">
      <w:pPr>
        <w:pStyle w:val="Title"/>
        <w:tabs>
          <w:tab w:val="left" w:pos="9360"/>
        </w:tabs>
        <w:spacing w:after="240"/>
        <w:jc w:val="left"/>
        <w:rPr>
          <w:rFonts w:ascii="Times New Roman" w:hAnsi="Times New Roman"/>
          <w:sz w:val="24"/>
          <w:szCs w:val="24"/>
          <w:u w:val="single"/>
        </w:rPr>
      </w:pPr>
      <w:r w:rsidRPr="005A076C">
        <w:rPr>
          <w:rFonts w:ascii="Times New Roman" w:hAnsi="Times New Roman"/>
          <w:sz w:val="24"/>
          <w:szCs w:val="24"/>
          <w:u w:val="single"/>
        </w:rPr>
        <w:tab/>
      </w:r>
    </w:p>
    <w:p w:rsidR="00FF5711" w:rsidRPr="005A076C" w:rsidRDefault="00FF5711" w:rsidP="00FF5711">
      <w:pPr>
        <w:pStyle w:val="Title"/>
        <w:tabs>
          <w:tab w:val="left" w:pos="9360"/>
        </w:tabs>
        <w:rPr>
          <w:rFonts w:ascii="Times New Roman" w:hAnsi="Times New Roman"/>
          <w:b/>
          <w:szCs w:val="24"/>
        </w:rPr>
      </w:pPr>
      <w:r w:rsidRPr="005A076C">
        <w:rPr>
          <w:rFonts w:ascii="Times New Roman" w:hAnsi="Times New Roman"/>
          <w:b/>
          <w:szCs w:val="24"/>
        </w:rPr>
        <w:t>COMMENTS AND RECOMMENDATIONS</w:t>
      </w:r>
    </w:p>
    <w:p w:rsidR="00FF5711" w:rsidRPr="005A076C" w:rsidRDefault="00FF5711" w:rsidP="00FF5711">
      <w:pPr>
        <w:jc w:val="center"/>
        <w:rPr>
          <w:sz w:val="24"/>
          <w:szCs w:val="24"/>
        </w:rPr>
      </w:pPr>
      <w:r w:rsidRPr="005A076C">
        <w:rPr>
          <w:sz w:val="24"/>
          <w:szCs w:val="24"/>
        </w:rPr>
        <w:t>SUBMITTED ON BEHALF OF THE STAFF OF</w:t>
      </w:r>
    </w:p>
    <w:p w:rsidR="00FF5711" w:rsidRPr="005A076C" w:rsidRDefault="00FF5711" w:rsidP="00FF5711">
      <w:pPr>
        <w:jc w:val="center"/>
        <w:rPr>
          <w:sz w:val="24"/>
          <w:szCs w:val="24"/>
        </w:rPr>
      </w:pPr>
      <w:r w:rsidRPr="005A076C">
        <w:rPr>
          <w:sz w:val="24"/>
          <w:szCs w:val="24"/>
        </w:rPr>
        <w:t>THE PUBLIC UTILITIES COMMISSION OF OHIO</w:t>
      </w:r>
    </w:p>
    <w:p w:rsidR="00FF5711" w:rsidRPr="005A076C" w:rsidRDefault="00FF5711" w:rsidP="00FF5711">
      <w:pPr>
        <w:pStyle w:val="Title"/>
        <w:tabs>
          <w:tab w:val="left" w:pos="9360"/>
        </w:tabs>
        <w:spacing w:after="240"/>
        <w:jc w:val="left"/>
        <w:rPr>
          <w:rFonts w:ascii="Times New Roman" w:hAnsi="Times New Roman"/>
          <w:sz w:val="24"/>
          <w:szCs w:val="24"/>
          <w:u w:val="single"/>
        </w:rPr>
      </w:pPr>
      <w:r w:rsidRPr="005A076C">
        <w:rPr>
          <w:rFonts w:ascii="Times New Roman" w:hAnsi="Times New Roman"/>
          <w:sz w:val="24"/>
          <w:szCs w:val="24"/>
          <w:u w:val="single"/>
        </w:rPr>
        <w:tab/>
      </w:r>
    </w:p>
    <w:p w:rsidR="00CB5644" w:rsidRPr="005A076C" w:rsidRDefault="00D94F75" w:rsidP="005A076C">
      <w:pPr>
        <w:pStyle w:val="Heading1"/>
      </w:pPr>
      <w:bookmarkStart w:id="14" w:name="_Toc328131628"/>
      <w:bookmarkStart w:id="15" w:name="_Toc328136690"/>
      <w:bookmarkStart w:id="16" w:name="_Toc335401730"/>
      <w:r w:rsidRPr="005A076C">
        <w:t xml:space="preserve">I. </w:t>
      </w:r>
      <w:r w:rsidR="00AC6153" w:rsidRPr="005A076C">
        <w:tab/>
      </w:r>
      <w:r w:rsidR="00CB5644" w:rsidRPr="005A076C">
        <w:t>INTRODUCTION</w:t>
      </w:r>
      <w:bookmarkEnd w:id="14"/>
      <w:bookmarkEnd w:id="15"/>
      <w:bookmarkEnd w:id="16"/>
    </w:p>
    <w:p w:rsidR="00FF5711" w:rsidRPr="005A076C" w:rsidRDefault="005A076C" w:rsidP="005A076C">
      <w:pPr>
        <w:pStyle w:val="textstyle0"/>
      </w:pPr>
      <w:r>
        <w:tab/>
      </w:r>
      <w:r w:rsidR="00FF5711" w:rsidRPr="005A076C">
        <w:t>The Staff’s role in this case is to provide the Commission and other interested par</w:t>
      </w:r>
      <w:r w:rsidR="00596570" w:rsidRPr="005A076C">
        <w:softHyphen/>
      </w:r>
      <w:r w:rsidR="00FF5711" w:rsidRPr="005A076C">
        <w:t>ties with pertinent information sufficient to permit an appropriate determination in this case.</w:t>
      </w:r>
    </w:p>
    <w:p w:rsidR="00FF5711" w:rsidRPr="005A076C" w:rsidRDefault="005A076C" w:rsidP="005A076C">
      <w:pPr>
        <w:pStyle w:val="textstyle0"/>
      </w:pPr>
      <w:r>
        <w:tab/>
      </w:r>
      <w:r w:rsidR="00FF5711" w:rsidRPr="005A076C">
        <w:t xml:space="preserve">In this report, the Staff summarizes the results of the review </w:t>
      </w:r>
      <w:r w:rsidR="0058526F">
        <w:t xml:space="preserve">that </w:t>
      </w:r>
      <w:r w:rsidR="00FF5711" w:rsidRPr="005A076C">
        <w:t xml:space="preserve">the following three Divisions have performed.  </w:t>
      </w:r>
    </w:p>
    <w:p w:rsidR="00FF5711" w:rsidRPr="005A076C" w:rsidRDefault="00FF5711" w:rsidP="00B961F6">
      <w:pPr>
        <w:pStyle w:val="ListParagraph"/>
        <w:numPr>
          <w:ilvl w:val="0"/>
          <w:numId w:val="5"/>
        </w:numPr>
        <w:tabs>
          <w:tab w:val="left" w:pos="720"/>
        </w:tabs>
        <w:autoSpaceDE w:val="0"/>
        <w:autoSpaceDN w:val="0"/>
        <w:adjustRightInd w:val="0"/>
        <w:spacing w:after="240"/>
        <w:contextualSpacing w:val="0"/>
        <w:jc w:val="both"/>
        <w:rPr>
          <w:rFonts w:ascii="Times New Roman" w:hAnsi="Times New Roman"/>
          <w:b/>
          <w:bCs/>
          <w:sz w:val="26"/>
          <w:szCs w:val="26"/>
        </w:rPr>
      </w:pPr>
      <w:r w:rsidRPr="005A076C">
        <w:rPr>
          <w:rFonts w:ascii="Times New Roman" w:hAnsi="Times New Roman"/>
          <w:bCs/>
          <w:sz w:val="26"/>
          <w:szCs w:val="26"/>
        </w:rPr>
        <w:t>The Capital Recovery and Financial Analysis (</w:t>
      </w:r>
      <w:proofErr w:type="spellStart"/>
      <w:r w:rsidRPr="005A076C">
        <w:rPr>
          <w:rFonts w:ascii="Times New Roman" w:hAnsi="Times New Roman"/>
          <w:bCs/>
          <w:sz w:val="26"/>
          <w:szCs w:val="26"/>
        </w:rPr>
        <w:t>CRFA</w:t>
      </w:r>
      <w:proofErr w:type="spellEnd"/>
      <w:r w:rsidRPr="005A076C">
        <w:rPr>
          <w:rFonts w:ascii="Times New Roman" w:hAnsi="Times New Roman"/>
          <w:bCs/>
          <w:sz w:val="26"/>
          <w:szCs w:val="26"/>
        </w:rPr>
        <w:t xml:space="preserve">) Division primarily reviewed the </w:t>
      </w:r>
      <w:r w:rsidRPr="005A076C">
        <w:rPr>
          <w:rFonts w:ascii="Times New Roman" w:hAnsi="Times New Roman"/>
          <w:sz w:val="26"/>
          <w:szCs w:val="26"/>
        </w:rPr>
        <w:t>Estimated Up-front and Ongoing Financing Costs, Expected Use of Proceeds and the Transaction Structure and Expected Principal Repayment Schedule.</w:t>
      </w:r>
    </w:p>
    <w:p w:rsidR="00FF5711" w:rsidRPr="005A076C" w:rsidRDefault="00FF5711" w:rsidP="00B961F6">
      <w:pPr>
        <w:pStyle w:val="ListParagraph"/>
        <w:numPr>
          <w:ilvl w:val="0"/>
          <w:numId w:val="5"/>
        </w:numPr>
        <w:tabs>
          <w:tab w:val="left" w:pos="720"/>
        </w:tabs>
        <w:autoSpaceDE w:val="0"/>
        <w:autoSpaceDN w:val="0"/>
        <w:adjustRightInd w:val="0"/>
        <w:spacing w:after="240"/>
        <w:contextualSpacing w:val="0"/>
        <w:jc w:val="both"/>
        <w:rPr>
          <w:rFonts w:ascii="Times New Roman" w:hAnsi="Times New Roman"/>
          <w:sz w:val="26"/>
          <w:szCs w:val="26"/>
        </w:rPr>
      </w:pPr>
      <w:r w:rsidRPr="005A076C">
        <w:rPr>
          <w:rFonts w:ascii="Times New Roman" w:hAnsi="Times New Roman"/>
          <w:bCs/>
          <w:sz w:val="26"/>
          <w:szCs w:val="26"/>
        </w:rPr>
        <w:t xml:space="preserve">The Accounting and Electricity (A&amp;E) Division primarily reviewed the </w:t>
      </w:r>
      <w:r w:rsidR="00201CC9" w:rsidRPr="005A076C">
        <w:rPr>
          <w:rFonts w:ascii="Times New Roman" w:hAnsi="Times New Roman"/>
          <w:sz w:val="26"/>
          <w:szCs w:val="26"/>
        </w:rPr>
        <w:t>Estimated Deferral Balances Subject to Securitization, Estimated Comparison of Existing Rate Making and Securitization</w:t>
      </w:r>
      <w:r w:rsidR="00201CC9" w:rsidRPr="005A076C">
        <w:rPr>
          <w:rFonts w:ascii="Times New Roman" w:hAnsi="Times New Roman"/>
          <w:bCs/>
          <w:sz w:val="26"/>
          <w:szCs w:val="26"/>
        </w:rPr>
        <w:t xml:space="preserve"> </w:t>
      </w:r>
      <w:r w:rsidRPr="005A076C">
        <w:rPr>
          <w:rFonts w:ascii="Times New Roman" w:hAnsi="Times New Roman"/>
          <w:bCs/>
          <w:sz w:val="26"/>
          <w:szCs w:val="26"/>
        </w:rPr>
        <w:t xml:space="preserve">and the </w:t>
      </w:r>
      <w:r w:rsidR="00201CC9" w:rsidRPr="005A076C">
        <w:rPr>
          <w:rFonts w:ascii="Times New Roman" w:hAnsi="Times New Roman"/>
          <w:sz w:val="26"/>
          <w:szCs w:val="26"/>
        </w:rPr>
        <w:t>True-Up of Phase-In-Recovery Charges Rider</w:t>
      </w:r>
      <w:r w:rsidRPr="005A076C">
        <w:rPr>
          <w:rFonts w:ascii="Times New Roman" w:hAnsi="Times New Roman"/>
          <w:sz w:val="26"/>
          <w:szCs w:val="26"/>
        </w:rPr>
        <w:t>.</w:t>
      </w:r>
    </w:p>
    <w:p w:rsidR="00D35962" w:rsidRPr="008652E4" w:rsidRDefault="00FF5711" w:rsidP="00B961F6">
      <w:pPr>
        <w:pStyle w:val="ListParagraph"/>
        <w:numPr>
          <w:ilvl w:val="0"/>
          <w:numId w:val="5"/>
        </w:numPr>
        <w:tabs>
          <w:tab w:val="left" w:pos="720"/>
        </w:tabs>
        <w:autoSpaceDE w:val="0"/>
        <w:autoSpaceDN w:val="0"/>
        <w:adjustRightInd w:val="0"/>
        <w:spacing w:after="240"/>
        <w:contextualSpacing w:val="0"/>
        <w:jc w:val="both"/>
        <w:rPr>
          <w:rFonts w:ascii="Times New Roman" w:hAnsi="Times New Roman"/>
          <w:b/>
          <w:bCs/>
          <w:sz w:val="26"/>
          <w:szCs w:val="26"/>
        </w:rPr>
      </w:pPr>
      <w:r w:rsidRPr="005A076C">
        <w:rPr>
          <w:rFonts w:ascii="Times New Roman" w:hAnsi="Times New Roman"/>
          <w:bCs/>
          <w:sz w:val="26"/>
          <w:szCs w:val="26"/>
        </w:rPr>
        <w:t xml:space="preserve">The Rates and Tariffs/Energy and Water (RT-EW) Division primarily reviewed the </w:t>
      </w:r>
      <w:r w:rsidRPr="005A076C">
        <w:rPr>
          <w:rFonts w:ascii="Times New Roman" w:hAnsi="Times New Roman"/>
          <w:sz w:val="26"/>
          <w:szCs w:val="26"/>
        </w:rPr>
        <w:t>Rider PIR Reconciliation Mechanism and Rate Design Process, the Estimated Monthly Typical Bill Impacts, Proposed Tariffs Sheets for Rider PIR - Phase-In Recovery Rider.</w:t>
      </w:r>
    </w:p>
    <w:p w:rsidR="00F805ED" w:rsidRPr="00F805ED" w:rsidRDefault="00F805ED" w:rsidP="00B961F6">
      <w:pPr>
        <w:pStyle w:val="ListParagraph"/>
        <w:numPr>
          <w:ilvl w:val="0"/>
          <w:numId w:val="5"/>
        </w:numPr>
        <w:tabs>
          <w:tab w:val="left" w:pos="720"/>
        </w:tabs>
        <w:autoSpaceDE w:val="0"/>
        <w:autoSpaceDN w:val="0"/>
        <w:adjustRightInd w:val="0"/>
        <w:spacing w:after="240"/>
        <w:contextualSpacing w:val="0"/>
        <w:jc w:val="both"/>
        <w:rPr>
          <w:rFonts w:ascii="Times New Roman" w:hAnsi="Times New Roman"/>
          <w:b/>
          <w:bCs/>
          <w:sz w:val="26"/>
          <w:szCs w:val="26"/>
        </w:rPr>
      </w:pPr>
      <w:r>
        <w:rPr>
          <w:rFonts w:ascii="Times New Roman" w:hAnsi="Times New Roman"/>
          <w:sz w:val="26"/>
          <w:szCs w:val="26"/>
        </w:rPr>
        <w:lastRenderedPageBreak/>
        <w:t>In addition, the Service Monitoring and Enforcement Department reviewed the Bill Format and Bill Message Content.</w:t>
      </w:r>
    </w:p>
    <w:p w:rsidR="00F805ED" w:rsidRPr="005A076C" w:rsidRDefault="00F805ED" w:rsidP="00F805ED">
      <w:pPr>
        <w:pStyle w:val="ListParagraph"/>
        <w:tabs>
          <w:tab w:val="left" w:pos="720"/>
        </w:tabs>
        <w:autoSpaceDE w:val="0"/>
        <w:autoSpaceDN w:val="0"/>
        <w:adjustRightInd w:val="0"/>
        <w:spacing w:after="240"/>
        <w:contextualSpacing w:val="0"/>
        <w:jc w:val="both"/>
        <w:rPr>
          <w:rFonts w:ascii="Times New Roman" w:hAnsi="Times New Roman"/>
          <w:b/>
          <w:bCs/>
          <w:sz w:val="26"/>
          <w:szCs w:val="26"/>
        </w:rPr>
      </w:pPr>
    </w:p>
    <w:p w:rsidR="00FF5711" w:rsidRPr="005A076C" w:rsidRDefault="00FF5711" w:rsidP="00B961F6">
      <w:pPr>
        <w:pStyle w:val="ListParagraph"/>
        <w:numPr>
          <w:ilvl w:val="0"/>
          <w:numId w:val="5"/>
        </w:numPr>
        <w:tabs>
          <w:tab w:val="left" w:pos="720"/>
        </w:tabs>
        <w:autoSpaceDE w:val="0"/>
        <w:autoSpaceDN w:val="0"/>
        <w:adjustRightInd w:val="0"/>
        <w:spacing w:after="240"/>
        <w:contextualSpacing w:val="0"/>
        <w:jc w:val="both"/>
        <w:rPr>
          <w:rFonts w:ascii="Times New Roman" w:hAnsi="Times New Roman"/>
          <w:b/>
          <w:bCs/>
          <w:sz w:val="26"/>
          <w:szCs w:val="26"/>
        </w:rPr>
      </w:pPr>
      <w:r w:rsidRPr="005A076C">
        <w:rPr>
          <w:rFonts w:ascii="Times New Roman" w:hAnsi="Times New Roman"/>
          <w:sz w:val="26"/>
          <w:szCs w:val="26"/>
        </w:rPr>
        <w:t>The assumptions and conclusions of this report should not be misconstrued as bind</w:t>
      </w:r>
      <w:r w:rsidR="00DB6C5E">
        <w:rPr>
          <w:rFonts w:ascii="Times New Roman" w:hAnsi="Times New Roman"/>
          <w:sz w:val="26"/>
          <w:szCs w:val="26"/>
        </w:rPr>
        <w:softHyphen/>
      </w:r>
      <w:r w:rsidRPr="005A076C">
        <w:rPr>
          <w:rFonts w:ascii="Times New Roman" w:hAnsi="Times New Roman"/>
          <w:sz w:val="26"/>
          <w:szCs w:val="26"/>
        </w:rPr>
        <w:t xml:space="preserve">ing upon or limiting the scope of Commission consideration. </w:t>
      </w:r>
    </w:p>
    <w:p w:rsidR="00FF5711" w:rsidRPr="005A076C" w:rsidRDefault="00D94F75" w:rsidP="00705216">
      <w:pPr>
        <w:pStyle w:val="Heading1"/>
      </w:pPr>
      <w:bookmarkStart w:id="17" w:name="_Toc328131629"/>
      <w:bookmarkStart w:id="18" w:name="_Toc328136691"/>
      <w:bookmarkStart w:id="19" w:name="_Toc335401731"/>
      <w:r w:rsidRPr="005A076C">
        <w:t xml:space="preserve">II. </w:t>
      </w:r>
      <w:r w:rsidR="00B961F6" w:rsidRPr="005A076C">
        <w:tab/>
      </w:r>
      <w:r w:rsidR="00FF5711" w:rsidRPr="005A076C">
        <w:t>BACKGROUND</w:t>
      </w:r>
      <w:bookmarkEnd w:id="17"/>
      <w:bookmarkEnd w:id="18"/>
      <w:bookmarkEnd w:id="19"/>
    </w:p>
    <w:p w:rsidR="00FF5711" w:rsidRPr="005A076C" w:rsidRDefault="00AA29B6" w:rsidP="005A076C">
      <w:pPr>
        <w:pStyle w:val="Heading2"/>
      </w:pPr>
      <w:bookmarkStart w:id="20" w:name="_Toc328131630"/>
      <w:bookmarkStart w:id="21" w:name="_Toc328136692"/>
      <w:bookmarkStart w:id="22" w:name="_Toc335401732"/>
      <w:r w:rsidRPr="005A076C">
        <w:t>A.</w:t>
      </w:r>
      <w:r w:rsidRPr="005A076C">
        <w:tab/>
      </w:r>
      <w:r w:rsidR="00FF5711" w:rsidRPr="005A076C">
        <w:t>Ohio Utility Securitization Law</w:t>
      </w:r>
      <w:bookmarkEnd w:id="20"/>
      <w:bookmarkEnd w:id="21"/>
      <w:bookmarkEnd w:id="22"/>
    </w:p>
    <w:p w:rsidR="00FF5711" w:rsidRPr="005A076C" w:rsidRDefault="005A076C" w:rsidP="005A076C">
      <w:pPr>
        <w:pStyle w:val="textstyle0"/>
      </w:pPr>
      <w:r>
        <w:tab/>
      </w:r>
      <w:r w:rsidR="00FF5711" w:rsidRPr="005A076C">
        <w:t>House Bill 364 (the Act), introduced in November 2011, was unanimously passed by the Ohio House of Representatives and the Ohio Senate in early December 2011</w:t>
      </w:r>
      <w:r w:rsidR="000C0842" w:rsidRPr="005A076C">
        <w:t xml:space="preserve">.  </w:t>
      </w:r>
      <w:r w:rsidR="00FF5711" w:rsidRPr="005A076C">
        <w:t>The bill became law in March 2012.</w:t>
      </w:r>
    </w:p>
    <w:p w:rsidR="00FF5711" w:rsidRPr="005A076C" w:rsidRDefault="005A076C" w:rsidP="005A076C">
      <w:pPr>
        <w:pStyle w:val="textstyle0"/>
      </w:pPr>
      <w:r>
        <w:tab/>
      </w:r>
      <w:r w:rsidR="00FF5711" w:rsidRPr="005A076C">
        <w:t>Under the Act, electric utilities may use bonds to securitize certain costs which have been previously approved by the Public Utilities Commission of Ohio (PUCO)</w:t>
      </w:r>
      <w:r w:rsidR="000C0842" w:rsidRPr="005A076C">
        <w:t xml:space="preserve">.  </w:t>
      </w:r>
      <w:r w:rsidR="00FF5711" w:rsidRPr="005A076C">
        <w:t>Utilities may securitize only certain types of costs called deferred assets. These assets include fuel costs, infrastructure costs, and environmental clean</w:t>
      </w:r>
      <w:r w:rsidR="00FF5711" w:rsidRPr="005A076C">
        <w:rPr>
          <w:rFonts w:ascii="Cambria Math" w:hAnsi="Cambria Math" w:cs="Cambria Math"/>
        </w:rPr>
        <w:t>‐</w:t>
      </w:r>
      <w:r w:rsidR="00FF5711" w:rsidRPr="005A076C">
        <w:t>up expenses that the PUCO has allowed a utility to defer and collect from customers at a later date.</w:t>
      </w:r>
    </w:p>
    <w:p w:rsidR="00FF5711" w:rsidRPr="005A076C" w:rsidRDefault="005A076C" w:rsidP="005A076C">
      <w:pPr>
        <w:pStyle w:val="textstyle0"/>
      </w:pPr>
      <w:r>
        <w:tab/>
      </w:r>
      <w:r w:rsidR="00FF5711" w:rsidRPr="005A076C">
        <w:t xml:space="preserve">Prior to proceeding with bond securitization, the utilities are required to apply before the PUCO for a financing order (Financing Order). </w:t>
      </w:r>
    </w:p>
    <w:p w:rsidR="00FF5711" w:rsidRPr="005A076C" w:rsidRDefault="005A076C" w:rsidP="005A076C">
      <w:pPr>
        <w:pStyle w:val="textstyle0"/>
      </w:pPr>
      <w:r>
        <w:tab/>
      </w:r>
      <w:r w:rsidR="00FF5711" w:rsidRPr="005A076C">
        <w:t xml:space="preserve">There is a defined, deliberate process where interested parties can weigh in order for a securitization application to move forward and be approved. </w:t>
      </w:r>
    </w:p>
    <w:p w:rsidR="00FF5711" w:rsidRPr="005A076C" w:rsidRDefault="005A076C" w:rsidP="005A076C">
      <w:pPr>
        <w:pStyle w:val="textstyle0"/>
      </w:pPr>
      <w:r>
        <w:tab/>
      </w:r>
      <w:r w:rsidR="00FF5711" w:rsidRPr="005A076C">
        <w:t>The PUCO has 135 days to approve, modify, suspend, or reject a utility’s applica</w:t>
      </w:r>
      <w:r w:rsidR="00596570" w:rsidRPr="005A076C">
        <w:softHyphen/>
      </w:r>
      <w:r w:rsidR="00FF5711" w:rsidRPr="005A076C">
        <w:t xml:space="preserve">tion. </w:t>
      </w:r>
    </w:p>
    <w:p w:rsidR="00FF5711" w:rsidRPr="005A076C" w:rsidRDefault="00D94F75" w:rsidP="005A076C">
      <w:pPr>
        <w:pStyle w:val="Heading2"/>
      </w:pPr>
      <w:bookmarkStart w:id="23" w:name="_Toc328131631"/>
      <w:bookmarkStart w:id="24" w:name="_Toc328136693"/>
      <w:bookmarkStart w:id="25" w:name="_Toc335401733"/>
      <w:r w:rsidRPr="005A076C">
        <w:lastRenderedPageBreak/>
        <w:t xml:space="preserve">B. </w:t>
      </w:r>
      <w:r w:rsidR="00AC6153" w:rsidRPr="005A076C">
        <w:tab/>
      </w:r>
      <w:r w:rsidR="00FF5711" w:rsidRPr="005A076C">
        <w:t>Description of Proposed Transaction</w:t>
      </w:r>
      <w:bookmarkEnd w:id="23"/>
      <w:bookmarkEnd w:id="24"/>
      <w:bookmarkEnd w:id="25"/>
      <w:r w:rsidR="00FF5711" w:rsidRPr="005A076C">
        <w:t xml:space="preserve"> </w:t>
      </w:r>
    </w:p>
    <w:p w:rsidR="00D94F75" w:rsidRPr="005A076C" w:rsidRDefault="005A076C" w:rsidP="005A076C">
      <w:pPr>
        <w:pStyle w:val="textstyle0"/>
      </w:pPr>
      <w:r>
        <w:tab/>
      </w:r>
      <w:r w:rsidR="0007739A" w:rsidRPr="005A076C">
        <w:t>By Commission Order</w:t>
      </w:r>
      <w:r w:rsidR="0058526F">
        <w:t xml:space="preserve"> dated December 14, 2011, OPCo </w:t>
      </w:r>
      <w:r w:rsidR="0007739A" w:rsidRPr="005A076C">
        <w:t>and Columbus Southe</w:t>
      </w:r>
      <w:r w:rsidR="00FF3069" w:rsidRPr="005A076C">
        <w:t>rn</w:t>
      </w:r>
      <w:r w:rsidR="00D94F75" w:rsidRPr="005A076C">
        <w:t xml:space="preserve"> </w:t>
      </w:r>
      <w:r w:rsidR="0007739A" w:rsidRPr="005A076C">
        <w:t>Power Company (</w:t>
      </w:r>
      <w:r w:rsidR="000C0842">
        <w:t>“</w:t>
      </w:r>
      <w:r w:rsidR="0007739A" w:rsidRPr="005A076C">
        <w:t>CSP</w:t>
      </w:r>
      <w:r w:rsidR="000C0842">
        <w:t>”</w:t>
      </w:r>
      <w:r w:rsidR="0007739A" w:rsidRPr="005A076C">
        <w:t>) prior to its merger with OPCo on December 31, 2011) was</w:t>
      </w:r>
      <w:r w:rsidR="00D94F75" w:rsidRPr="005A076C">
        <w:t xml:space="preserve"> </w:t>
      </w:r>
      <w:r w:rsidR="0007739A" w:rsidRPr="005A076C">
        <w:t>authorized to implement a new rider, the Deferred Asset Recovery Rider (</w:t>
      </w:r>
      <w:r w:rsidR="000C0842">
        <w:t>“</w:t>
      </w:r>
      <w:r w:rsidR="0007739A" w:rsidRPr="005A076C">
        <w:t>DARR</w:t>
      </w:r>
      <w:r w:rsidR="000C0842">
        <w:t>”</w:t>
      </w:r>
      <w:r w:rsidR="0007739A" w:rsidRPr="005A076C">
        <w:t>), to</w:t>
      </w:r>
      <w:r w:rsidR="00D94F75" w:rsidRPr="005A076C">
        <w:t xml:space="preserve"> </w:t>
      </w:r>
      <w:r w:rsidR="0007739A" w:rsidRPr="005A076C">
        <w:t>collect certain distribution costs deferred as regulatory assets pursuant to Commission</w:t>
      </w:r>
      <w:r w:rsidR="00D94F75" w:rsidRPr="005A076C">
        <w:t xml:space="preserve"> </w:t>
      </w:r>
      <w:r w:rsidR="0007739A" w:rsidRPr="005A076C">
        <w:t>authorization in various prior proceedings</w:t>
      </w:r>
      <w:r w:rsidR="000C0842" w:rsidRPr="005A076C">
        <w:t xml:space="preserve">.  </w:t>
      </w:r>
      <w:r w:rsidR="0007739A" w:rsidRPr="005A076C">
        <w:rPr>
          <w:i/>
        </w:rPr>
        <w:t>In the Matter of the Application of Columbus</w:t>
      </w:r>
      <w:r w:rsidR="00BA0CE1" w:rsidRPr="005A076C">
        <w:rPr>
          <w:i/>
        </w:rPr>
        <w:t xml:space="preserve"> </w:t>
      </w:r>
      <w:r w:rsidR="0007739A" w:rsidRPr="005A076C">
        <w:rPr>
          <w:i/>
        </w:rPr>
        <w:t>Southe</w:t>
      </w:r>
      <w:r w:rsidR="00C42837" w:rsidRPr="005A076C">
        <w:rPr>
          <w:i/>
        </w:rPr>
        <w:t>rn</w:t>
      </w:r>
      <w:r w:rsidR="0007739A" w:rsidRPr="005A076C">
        <w:rPr>
          <w:i/>
        </w:rPr>
        <w:t xml:space="preserve"> Power Company and Ohio Power Company, Individually and, if Their Proposed</w:t>
      </w:r>
      <w:r w:rsidR="004E2A4C" w:rsidRPr="005A076C">
        <w:rPr>
          <w:i/>
        </w:rPr>
        <w:t xml:space="preserve"> </w:t>
      </w:r>
      <w:r w:rsidR="0007739A" w:rsidRPr="005A076C">
        <w:rPr>
          <w:i/>
        </w:rPr>
        <w:t xml:space="preserve">Merger is Approved, as a Merged Company (collectively AEP Ohio for an Increase in </w:t>
      </w:r>
      <w:r w:rsidR="00F17F05" w:rsidRPr="005A076C">
        <w:rPr>
          <w:i/>
        </w:rPr>
        <w:t>Electric Distribution</w:t>
      </w:r>
      <w:r w:rsidR="0007739A" w:rsidRPr="005A076C">
        <w:rPr>
          <w:i/>
        </w:rPr>
        <w:t xml:space="preserve"> Rates, Case Nos. 11</w:t>
      </w:r>
      <w:r w:rsidR="00FF3069" w:rsidRPr="005A076C">
        <w:rPr>
          <w:i/>
        </w:rPr>
        <w:t>-</w:t>
      </w:r>
      <w:r w:rsidR="0007739A" w:rsidRPr="005A076C">
        <w:rPr>
          <w:i/>
        </w:rPr>
        <w:t>351-EL-AIR, 11-352-EL-AIR</w:t>
      </w:r>
      <w:r w:rsidR="0007739A" w:rsidRPr="005A076C">
        <w:t xml:space="preserve"> (the </w:t>
      </w:r>
      <w:r w:rsidR="000C0842">
        <w:t>“</w:t>
      </w:r>
      <w:r w:rsidR="0007739A" w:rsidRPr="005A076C">
        <w:t>Distribution Rate</w:t>
      </w:r>
      <w:r w:rsidR="00FF3069" w:rsidRPr="005A076C">
        <w:t xml:space="preserve"> </w:t>
      </w:r>
      <w:r w:rsidR="0007739A" w:rsidRPr="005A076C">
        <w:t>Case</w:t>
      </w:r>
      <w:r w:rsidR="000C0842">
        <w:t>”</w:t>
      </w:r>
      <w:r w:rsidR="0007739A" w:rsidRPr="005A076C">
        <w:t>)</w:t>
      </w:r>
      <w:r w:rsidR="000C0842" w:rsidRPr="005A076C">
        <w:t xml:space="preserve">.  </w:t>
      </w:r>
      <w:r w:rsidR="0007739A" w:rsidRPr="005A076C">
        <w:t>The Opinion and Order was issued in a proceeding com</w:t>
      </w:r>
      <w:r w:rsidR="00DB6C5E">
        <w:softHyphen/>
      </w:r>
      <w:r w:rsidR="0007739A" w:rsidRPr="005A076C">
        <w:t>menced under Section</w:t>
      </w:r>
      <w:r w:rsidR="001302B4" w:rsidRPr="005A076C">
        <w:t xml:space="preserve"> </w:t>
      </w:r>
      <w:r w:rsidR="0007739A" w:rsidRPr="005A076C">
        <w:t xml:space="preserve">4909.18, Revised Code. </w:t>
      </w:r>
    </w:p>
    <w:p w:rsidR="0007739A" w:rsidRPr="005A076C" w:rsidRDefault="005A076C" w:rsidP="005A076C">
      <w:pPr>
        <w:pStyle w:val="textstyle0"/>
      </w:pPr>
      <w:r>
        <w:tab/>
      </w:r>
      <w:r w:rsidR="0007739A" w:rsidRPr="005A076C">
        <w:t>The distribution regulatory assets being recovered through the DARR are</w:t>
      </w:r>
      <w:r w:rsidR="00A635D5" w:rsidRPr="005A076C">
        <w:t xml:space="preserve"> </w:t>
      </w:r>
      <w:r w:rsidR="00EB2574" w:rsidRPr="005A076C">
        <w:t>c</w:t>
      </w:r>
      <w:r w:rsidR="0007739A" w:rsidRPr="005A076C">
        <w:t xml:space="preserve">omprised of the following costs or charges (the </w:t>
      </w:r>
      <w:r w:rsidR="000C0842">
        <w:t>“</w:t>
      </w:r>
      <w:r w:rsidR="0007739A" w:rsidRPr="005A076C">
        <w:t>Phase-In Costs</w:t>
      </w:r>
      <w:r w:rsidR="000C0842">
        <w:t>”</w:t>
      </w:r>
      <w:r w:rsidR="0007739A" w:rsidRPr="005A076C">
        <w:t xml:space="preserve">): </w:t>
      </w:r>
    </w:p>
    <w:p w:rsidR="0007739A" w:rsidRPr="005A076C" w:rsidRDefault="0007739A" w:rsidP="005A076C">
      <w:pPr>
        <w:tabs>
          <w:tab w:val="left" w:pos="0"/>
        </w:tabs>
        <w:spacing w:line="276" w:lineRule="auto"/>
        <w:ind w:left="1440" w:hanging="720"/>
        <w:jc w:val="both"/>
        <w:rPr>
          <w:sz w:val="26"/>
          <w:szCs w:val="26"/>
        </w:rPr>
      </w:pPr>
      <w:r w:rsidRPr="005A076C">
        <w:rPr>
          <w:sz w:val="26"/>
          <w:szCs w:val="26"/>
        </w:rPr>
        <w:t xml:space="preserve">• </w:t>
      </w:r>
      <w:r w:rsidR="00FF3069" w:rsidRPr="005A076C">
        <w:rPr>
          <w:sz w:val="26"/>
          <w:szCs w:val="26"/>
        </w:rPr>
        <w:tab/>
      </w:r>
      <w:r w:rsidRPr="005A076C">
        <w:rPr>
          <w:sz w:val="26"/>
          <w:szCs w:val="26"/>
        </w:rPr>
        <w:t xml:space="preserve">Consumer education, customer choice implementation, and </w:t>
      </w:r>
      <w:r w:rsidR="00705216" w:rsidRPr="005A076C">
        <w:rPr>
          <w:sz w:val="26"/>
          <w:szCs w:val="26"/>
        </w:rPr>
        <w:t>transition p</w:t>
      </w:r>
      <w:r w:rsidRPr="005A076C">
        <w:rPr>
          <w:sz w:val="26"/>
          <w:szCs w:val="26"/>
        </w:rPr>
        <w:t>lan filing costs plus carrying charges, approved in Case</w:t>
      </w:r>
      <w:r w:rsidR="00D35962" w:rsidRPr="005A076C">
        <w:rPr>
          <w:sz w:val="26"/>
          <w:szCs w:val="26"/>
        </w:rPr>
        <w:t xml:space="preserve"> </w:t>
      </w:r>
      <w:r w:rsidRPr="005A076C">
        <w:rPr>
          <w:sz w:val="26"/>
          <w:szCs w:val="26"/>
        </w:rPr>
        <w:t>No</w:t>
      </w:r>
      <w:r w:rsidR="00FF3069" w:rsidRPr="005A076C">
        <w:rPr>
          <w:sz w:val="26"/>
          <w:szCs w:val="26"/>
        </w:rPr>
        <w:t>s. 99-1729-EL</w:t>
      </w:r>
      <w:r w:rsidR="004E2A4C" w:rsidRPr="005A076C">
        <w:rPr>
          <w:sz w:val="26"/>
          <w:szCs w:val="26"/>
        </w:rPr>
        <w:t>-</w:t>
      </w:r>
      <w:r w:rsidR="00FF3069" w:rsidRPr="005A076C">
        <w:rPr>
          <w:sz w:val="26"/>
          <w:szCs w:val="26"/>
        </w:rPr>
        <w:t>ETP and 99-1730-EL-</w:t>
      </w:r>
      <w:r w:rsidR="001302B4" w:rsidRPr="005A076C">
        <w:rPr>
          <w:sz w:val="26"/>
          <w:szCs w:val="26"/>
        </w:rPr>
        <w:t xml:space="preserve"> </w:t>
      </w:r>
      <w:r w:rsidRPr="005A076C">
        <w:rPr>
          <w:sz w:val="26"/>
          <w:szCs w:val="26"/>
        </w:rPr>
        <w:t xml:space="preserve">ETP; </w:t>
      </w:r>
    </w:p>
    <w:p w:rsidR="00FF3069" w:rsidRPr="005A076C" w:rsidRDefault="00FF3069" w:rsidP="005A076C">
      <w:pPr>
        <w:spacing w:line="276" w:lineRule="auto"/>
        <w:ind w:left="1440" w:hanging="720"/>
        <w:jc w:val="both"/>
        <w:rPr>
          <w:sz w:val="26"/>
          <w:szCs w:val="26"/>
        </w:rPr>
      </w:pPr>
    </w:p>
    <w:p w:rsidR="0007739A" w:rsidRPr="005A076C" w:rsidRDefault="0007739A" w:rsidP="005A076C">
      <w:pPr>
        <w:spacing w:line="276" w:lineRule="auto"/>
        <w:ind w:left="1440" w:hanging="720"/>
        <w:jc w:val="both"/>
        <w:rPr>
          <w:sz w:val="26"/>
          <w:szCs w:val="26"/>
        </w:rPr>
      </w:pPr>
      <w:r w:rsidRPr="005A076C">
        <w:rPr>
          <w:sz w:val="26"/>
          <w:szCs w:val="26"/>
        </w:rPr>
        <w:t xml:space="preserve">• </w:t>
      </w:r>
      <w:r w:rsidR="00FF3069" w:rsidRPr="005A076C">
        <w:rPr>
          <w:sz w:val="26"/>
          <w:szCs w:val="26"/>
        </w:rPr>
        <w:tab/>
      </w:r>
      <w:r w:rsidRPr="005A076C">
        <w:rPr>
          <w:sz w:val="26"/>
          <w:szCs w:val="26"/>
        </w:rPr>
        <w:t xml:space="preserve">Rate Stabilization Plan rate case expenses plus carrying charges, approved in Case No. 04-169-EL-UNC; </w:t>
      </w:r>
    </w:p>
    <w:p w:rsidR="00FF3069" w:rsidRPr="005A076C" w:rsidRDefault="00FF3069" w:rsidP="005A076C">
      <w:pPr>
        <w:spacing w:line="276" w:lineRule="auto"/>
        <w:ind w:left="1440" w:hanging="720"/>
        <w:jc w:val="both"/>
        <w:rPr>
          <w:sz w:val="26"/>
          <w:szCs w:val="26"/>
        </w:rPr>
      </w:pPr>
    </w:p>
    <w:p w:rsidR="0007739A" w:rsidRPr="005A076C" w:rsidRDefault="0007739A" w:rsidP="005A076C">
      <w:pPr>
        <w:tabs>
          <w:tab w:val="left" w:pos="360"/>
        </w:tabs>
        <w:spacing w:line="276" w:lineRule="auto"/>
        <w:ind w:left="1440" w:hanging="720"/>
        <w:jc w:val="both"/>
        <w:rPr>
          <w:sz w:val="26"/>
          <w:szCs w:val="26"/>
        </w:rPr>
      </w:pPr>
      <w:r w:rsidRPr="005A076C">
        <w:rPr>
          <w:sz w:val="26"/>
          <w:szCs w:val="26"/>
        </w:rPr>
        <w:t xml:space="preserve">• </w:t>
      </w:r>
      <w:r w:rsidR="00FF3069" w:rsidRPr="005A076C">
        <w:rPr>
          <w:sz w:val="26"/>
          <w:szCs w:val="26"/>
        </w:rPr>
        <w:tab/>
      </w:r>
      <w:r w:rsidRPr="005A076C">
        <w:rPr>
          <w:sz w:val="26"/>
          <w:szCs w:val="26"/>
        </w:rPr>
        <w:t>Carrying charges on distribution line extension charges, approved in Case No. 01-2708-EL-</w:t>
      </w:r>
      <w:r w:rsidR="000C0842">
        <w:rPr>
          <w:sz w:val="26"/>
          <w:szCs w:val="26"/>
        </w:rPr>
        <w:t>COI</w:t>
      </w:r>
      <w:r w:rsidRPr="005A076C">
        <w:rPr>
          <w:sz w:val="26"/>
          <w:szCs w:val="26"/>
        </w:rPr>
        <w:t xml:space="preserve">; </w:t>
      </w:r>
    </w:p>
    <w:p w:rsidR="00FF3069" w:rsidRPr="005A076C" w:rsidRDefault="00FF3069" w:rsidP="005A076C">
      <w:pPr>
        <w:spacing w:line="276" w:lineRule="auto"/>
        <w:ind w:left="1440" w:hanging="720"/>
        <w:jc w:val="both"/>
        <w:rPr>
          <w:color w:val="FF0000"/>
          <w:sz w:val="26"/>
          <w:szCs w:val="26"/>
        </w:rPr>
      </w:pPr>
    </w:p>
    <w:p w:rsidR="0007739A" w:rsidRPr="005A076C" w:rsidRDefault="0007739A" w:rsidP="005A076C">
      <w:pPr>
        <w:tabs>
          <w:tab w:val="left" w:pos="360"/>
        </w:tabs>
        <w:spacing w:line="276" w:lineRule="auto"/>
        <w:ind w:left="1440" w:hanging="720"/>
        <w:jc w:val="both"/>
        <w:rPr>
          <w:sz w:val="26"/>
          <w:szCs w:val="26"/>
        </w:rPr>
      </w:pPr>
      <w:r w:rsidRPr="005A076C">
        <w:rPr>
          <w:sz w:val="26"/>
          <w:szCs w:val="26"/>
        </w:rPr>
        <w:t xml:space="preserve">• </w:t>
      </w:r>
      <w:r w:rsidR="00FF3069" w:rsidRPr="005A076C">
        <w:rPr>
          <w:sz w:val="26"/>
          <w:szCs w:val="26"/>
        </w:rPr>
        <w:tab/>
      </w:r>
      <w:r w:rsidRPr="005A076C">
        <w:rPr>
          <w:sz w:val="26"/>
          <w:szCs w:val="26"/>
        </w:rPr>
        <w:t>Monongahela Power Company transfer integration costs plus carrying charges and acquired net regulatory assets, approved in Case No. 05-765</w:t>
      </w:r>
      <w:r w:rsidR="00C658DF" w:rsidRPr="005A076C">
        <w:rPr>
          <w:sz w:val="26"/>
          <w:szCs w:val="26"/>
        </w:rPr>
        <w:t>-</w:t>
      </w:r>
      <w:r w:rsidRPr="005A076C">
        <w:rPr>
          <w:sz w:val="26"/>
          <w:szCs w:val="26"/>
        </w:rPr>
        <w:t xml:space="preserve">EL-UNC; </w:t>
      </w:r>
    </w:p>
    <w:p w:rsidR="00FF3069" w:rsidRPr="005A076C" w:rsidRDefault="00FF3069" w:rsidP="005A076C">
      <w:pPr>
        <w:spacing w:line="276" w:lineRule="auto"/>
        <w:ind w:left="1440" w:hanging="720"/>
        <w:jc w:val="both"/>
        <w:rPr>
          <w:sz w:val="26"/>
          <w:szCs w:val="26"/>
        </w:rPr>
      </w:pPr>
    </w:p>
    <w:p w:rsidR="0007739A" w:rsidRPr="005A076C" w:rsidRDefault="0007739A" w:rsidP="005A076C">
      <w:pPr>
        <w:tabs>
          <w:tab w:val="left" w:pos="360"/>
        </w:tabs>
        <w:spacing w:line="276" w:lineRule="auto"/>
        <w:ind w:left="1440" w:hanging="720"/>
        <w:jc w:val="both"/>
        <w:rPr>
          <w:sz w:val="26"/>
          <w:szCs w:val="26"/>
        </w:rPr>
      </w:pPr>
      <w:r w:rsidRPr="005A076C">
        <w:rPr>
          <w:sz w:val="26"/>
          <w:szCs w:val="26"/>
        </w:rPr>
        <w:lastRenderedPageBreak/>
        <w:t xml:space="preserve">• </w:t>
      </w:r>
      <w:r w:rsidR="00FF3069" w:rsidRPr="005A076C">
        <w:rPr>
          <w:sz w:val="26"/>
          <w:szCs w:val="26"/>
        </w:rPr>
        <w:tab/>
      </w:r>
      <w:r w:rsidRPr="005A076C">
        <w:rPr>
          <w:sz w:val="26"/>
          <w:szCs w:val="26"/>
        </w:rPr>
        <w:t>AEP Ohio's voluntary Ohio Green Power Pricing Program costs plus carry</w:t>
      </w:r>
      <w:r w:rsidR="00DB6C5E">
        <w:rPr>
          <w:sz w:val="26"/>
          <w:szCs w:val="26"/>
        </w:rPr>
        <w:softHyphen/>
      </w:r>
      <w:r w:rsidRPr="005A076C">
        <w:rPr>
          <w:sz w:val="26"/>
          <w:szCs w:val="26"/>
        </w:rPr>
        <w:t xml:space="preserve">ing charges, approved in Case No. 06-1153-EL-UNC; and </w:t>
      </w:r>
    </w:p>
    <w:p w:rsidR="00FF3069" w:rsidRPr="005A076C" w:rsidRDefault="00FF3069" w:rsidP="005A076C">
      <w:pPr>
        <w:spacing w:line="276" w:lineRule="auto"/>
        <w:ind w:left="1440" w:hanging="720"/>
        <w:jc w:val="both"/>
        <w:rPr>
          <w:sz w:val="26"/>
          <w:szCs w:val="26"/>
        </w:rPr>
      </w:pPr>
    </w:p>
    <w:p w:rsidR="00A635D5" w:rsidRPr="005A076C" w:rsidRDefault="0007739A" w:rsidP="005A076C">
      <w:pPr>
        <w:tabs>
          <w:tab w:val="left" w:pos="360"/>
        </w:tabs>
        <w:spacing w:line="276" w:lineRule="auto"/>
        <w:ind w:left="1440" w:hanging="720"/>
        <w:jc w:val="both"/>
        <w:rPr>
          <w:sz w:val="26"/>
          <w:szCs w:val="26"/>
        </w:rPr>
      </w:pPr>
      <w:r w:rsidRPr="005A076C">
        <w:rPr>
          <w:sz w:val="26"/>
          <w:szCs w:val="26"/>
        </w:rPr>
        <w:t xml:space="preserve">• </w:t>
      </w:r>
      <w:r w:rsidR="00FF3069" w:rsidRPr="005A076C">
        <w:rPr>
          <w:sz w:val="26"/>
          <w:szCs w:val="26"/>
        </w:rPr>
        <w:tab/>
      </w:r>
      <w:r w:rsidRPr="005A076C">
        <w:rPr>
          <w:sz w:val="26"/>
          <w:szCs w:val="26"/>
        </w:rPr>
        <w:t>Storm costs related to the Hurricane Ike windstorm experienced in September 2008 plus debt carrying costs, approved in Case No. 08-1301</w:t>
      </w:r>
      <w:r w:rsidR="005E0493" w:rsidRPr="005A076C">
        <w:rPr>
          <w:sz w:val="26"/>
          <w:szCs w:val="26"/>
        </w:rPr>
        <w:t>-</w:t>
      </w:r>
      <w:r w:rsidRPr="005A076C">
        <w:rPr>
          <w:sz w:val="26"/>
          <w:szCs w:val="26"/>
        </w:rPr>
        <w:t xml:space="preserve">EL-AAM. </w:t>
      </w:r>
    </w:p>
    <w:p w:rsidR="00A635D5" w:rsidRPr="005A076C" w:rsidRDefault="00A635D5" w:rsidP="00705216">
      <w:pPr>
        <w:tabs>
          <w:tab w:val="left" w:pos="360"/>
        </w:tabs>
        <w:spacing w:line="276" w:lineRule="auto"/>
        <w:ind w:left="900" w:hanging="180"/>
        <w:jc w:val="both"/>
        <w:rPr>
          <w:sz w:val="24"/>
          <w:szCs w:val="24"/>
        </w:rPr>
      </w:pPr>
    </w:p>
    <w:p w:rsidR="00A635D5" w:rsidRPr="005A076C" w:rsidRDefault="005A076C" w:rsidP="005A076C">
      <w:pPr>
        <w:pStyle w:val="textstyle0"/>
      </w:pPr>
      <w:r>
        <w:tab/>
      </w:r>
      <w:r w:rsidR="00B35BAD" w:rsidRPr="005A076C">
        <w:t>On July 2, 2012, OPCo filed a Notice of Intent to file an application seeking a</w:t>
      </w:r>
      <w:r w:rsidR="00A635D5" w:rsidRPr="005A076C">
        <w:t xml:space="preserve"> </w:t>
      </w:r>
      <w:r w:rsidR="00B35BAD" w:rsidRPr="005A076C">
        <w:t>Financ</w:t>
      </w:r>
      <w:r w:rsidR="00DB6C5E">
        <w:softHyphen/>
      </w:r>
      <w:r w:rsidR="00B35BAD" w:rsidRPr="005A076C">
        <w:t>ing Order from the Commission to securitize OPCo’s existing DARR authorized by the Commission in the Distribution Rate Case.</w:t>
      </w:r>
    </w:p>
    <w:p w:rsidR="00A316D4" w:rsidRPr="005A076C" w:rsidRDefault="005A076C" w:rsidP="005A076C">
      <w:pPr>
        <w:pStyle w:val="textstyle0"/>
      </w:pPr>
      <w:r>
        <w:tab/>
      </w:r>
      <w:r w:rsidR="0007739A" w:rsidRPr="005A076C">
        <w:t>On July 31, 2012, Ohio Power Company (OPCo), pursuant to Section 4928.231, Revised Code, filed an application (Application) for authority to recover these</w:t>
      </w:r>
      <w:r w:rsidR="00FF3069" w:rsidRPr="005A076C">
        <w:t xml:space="preserve"> </w:t>
      </w:r>
      <w:r w:rsidR="0007739A" w:rsidRPr="005A076C">
        <w:t>certain specified</w:t>
      </w:r>
      <w:r w:rsidR="00E96F60" w:rsidRPr="005A076C">
        <w:t xml:space="preserve"> </w:t>
      </w:r>
      <w:r w:rsidR="0007739A" w:rsidRPr="005A076C">
        <w:t>phase-in and financing costs through the issuance of bonds up to an aggregate</w:t>
      </w:r>
      <w:r w:rsidR="00A635D5" w:rsidRPr="005A076C">
        <w:t xml:space="preserve"> </w:t>
      </w:r>
      <w:r w:rsidR="0007739A" w:rsidRPr="005A076C">
        <w:t>amount of $320 million payable from the collection of phase-in recovery</w:t>
      </w:r>
      <w:r w:rsidR="00FF3069" w:rsidRPr="005A076C">
        <w:t xml:space="preserve"> </w:t>
      </w:r>
      <w:r w:rsidR="0007739A" w:rsidRPr="005A076C">
        <w:t xml:space="preserve">charges </w:t>
      </w:r>
      <w:r w:rsidR="00085F56" w:rsidRPr="005A076C">
        <w:t>(PIR</w:t>
      </w:r>
      <w:r w:rsidR="00A635D5" w:rsidRPr="005A076C">
        <w:t xml:space="preserve"> </w:t>
      </w:r>
      <w:r w:rsidR="00085F56" w:rsidRPr="005A076C">
        <w:t xml:space="preserve">Charges), </w:t>
      </w:r>
      <w:r w:rsidR="0007739A" w:rsidRPr="005A076C">
        <w:t>and to</w:t>
      </w:r>
      <w:r w:rsidR="00085F56" w:rsidRPr="005A076C">
        <w:t xml:space="preserve"> </w:t>
      </w:r>
      <w:r w:rsidR="0007739A" w:rsidRPr="005A076C">
        <w:t>impose and collect such phase-in recovery charges</w:t>
      </w:r>
      <w:r w:rsidR="00085F56" w:rsidRPr="005A076C">
        <w:t xml:space="preserve"> </w:t>
      </w:r>
      <w:r w:rsidR="0007739A" w:rsidRPr="005A076C">
        <w:t>consistent with</w:t>
      </w:r>
      <w:r w:rsidR="00A635D5" w:rsidRPr="005A076C">
        <w:t xml:space="preserve"> </w:t>
      </w:r>
      <w:r w:rsidR="0007739A" w:rsidRPr="005A076C">
        <w:t>Sec</w:t>
      </w:r>
      <w:r w:rsidR="00DB6C5E">
        <w:softHyphen/>
      </w:r>
      <w:r w:rsidR="0007739A" w:rsidRPr="005A076C">
        <w:t>tions</w:t>
      </w:r>
      <w:r w:rsidR="00253148" w:rsidRPr="005A076C">
        <w:t xml:space="preserve"> </w:t>
      </w:r>
      <w:r w:rsidR="0007739A" w:rsidRPr="005A076C">
        <w:t>4928.23</w:t>
      </w:r>
      <w:r w:rsidR="00085F56" w:rsidRPr="005A076C">
        <w:t xml:space="preserve"> </w:t>
      </w:r>
      <w:r w:rsidR="0007739A" w:rsidRPr="005A076C">
        <w:t>through 4928.2318, Revised Code.</w:t>
      </w:r>
    </w:p>
    <w:p w:rsidR="006C1CB1" w:rsidRPr="005A076C" w:rsidRDefault="005A076C" w:rsidP="005A076C">
      <w:pPr>
        <w:pStyle w:val="textstyle0"/>
      </w:pPr>
      <w:r>
        <w:tab/>
      </w:r>
      <w:r w:rsidR="00FF5711" w:rsidRPr="005A076C">
        <w:t>Specifically, the Compan</w:t>
      </w:r>
      <w:r w:rsidR="00FF53D0" w:rsidRPr="005A076C">
        <w:t>y</w:t>
      </w:r>
      <w:r w:rsidR="00FF5711" w:rsidRPr="005A076C">
        <w:t xml:space="preserve"> note</w:t>
      </w:r>
      <w:r w:rsidR="00FF53D0" w:rsidRPr="005A076C">
        <w:t>s</w:t>
      </w:r>
      <w:r w:rsidR="00FF5711" w:rsidRPr="005A076C">
        <w:t xml:space="preserve"> that, in accordance with Section 4928.02, Revised Code, </w:t>
      </w:r>
      <w:r w:rsidR="00A316D4" w:rsidRPr="005A076C">
        <w:t xml:space="preserve">electric distribution utilities </w:t>
      </w:r>
      <w:r w:rsidR="00253148" w:rsidRPr="005A076C">
        <w:t>may</w:t>
      </w:r>
      <w:r w:rsidR="00A316D4" w:rsidRPr="005A076C">
        <w:t xml:space="preserve"> securitize certain costs previously authorized to be securitized or deferred as regulatory assets through the issuance of Phase-In-Recov</w:t>
      </w:r>
      <w:r w:rsidR="00DB6C5E">
        <w:softHyphen/>
      </w:r>
      <w:r w:rsidR="00A316D4" w:rsidRPr="005A076C">
        <w:t xml:space="preserve">ery Bonds </w:t>
      </w:r>
      <w:r w:rsidR="008E6799" w:rsidRPr="005A076C">
        <w:t xml:space="preserve">(PIR Bonds) </w:t>
      </w:r>
      <w:r w:rsidR="00A316D4" w:rsidRPr="005A076C">
        <w:t xml:space="preserve">pursuant to a Financing Order issued by the Commission.  </w:t>
      </w:r>
      <w:r w:rsidR="00253148" w:rsidRPr="005A076C">
        <w:t>S</w:t>
      </w:r>
      <w:r w:rsidR="00FF5711" w:rsidRPr="005A076C">
        <w:t>ecuriti</w:t>
      </w:r>
      <w:r w:rsidR="000B4EAE">
        <w:softHyphen/>
      </w:r>
      <w:r w:rsidR="00FF5711" w:rsidRPr="005A076C">
        <w:t>zation is authorized provided the Commission finds, consistent with market con</w:t>
      </w:r>
      <w:r w:rsidR="00DB6C5E">
        <w:softHyphen/>
      </w:r>
      <w:r w:rsidR="00FF5711" w:rsidRPr="005A076C">
        <w:t>ditions, that it measurably enhances cost savings to customers and miti</w:t>
      </w:r>
      <w:r w:rsidR="00596570" w:rsidRPr="005A076C">
        <w:softHyphen/>
      </w:r>
      <w:r w:rsidR="00FF5711" w:rsidRPr="005A076C">
        <w:t>gates</w:t>
      </w:r>
      <w:r w:rsidR="00AD151F" w:rsidRPr="005A076C">
        <w:t xml:space="preserve"> </w:t>
      </w:r>
      <w:r w:rsidR="00FF5711" w:rsidRPr="005A076C">
        <w:t>rate impacts to cus</w:t>
      </w:r>
      <w:r w:rsidR="000B4EAE">
        <w:softHyphen/>
      </w:r>
      <w:r w:rsidR="00FF5711" w:rsidRPr="005A076C">
        <w:t>tomers as compared with the Commission's previously-approved recovery methods.</w:t>
      </w:r>
      <w:r w:rsidR="006C1CB1" w:rsidRPr="005A076C">
        <w:t xml:space="preserve">  These benefits to customers are reflected in a reduction in the expected amount payable </w:t>
      </w:r>
      <w:r w:rsidR="006C1CB1" w:rsidRPr="005A076C">
        <w:lastRenderedPageBreak/>
        <w:t>by the customers on both a nominal and a net present value basis as compared with existing recovery mechanisms.</w:t>
      </w:r>
    </w:p>
    <w:p w:rsidR="00A316D4" w:rsidRPr="005A076C" w:rsidRDefault="005A076C" w:rsidP="005A076C">
      <w:pPr>
        <w:pStyle w:val="textstyle0"/>
      </w:pPr>
      <w:r>
        <w:tab/>
      </w:r>
      <w:r w:rsidR="00FF5711" w:rsidRPr="005A076C">
        <w:t>The Compan</w:t>
      </w:r>
      <w:r w:rsidR="00A316D4" w:rsidRPr="005A076C">
        <w:t>y</w:t>
      </w:r>
      <w:r w:rsidR="00FF5711" w:rsidRPr="005A076C">
        <w:t xml:space="preserve"> contend</w:t>
      </w:r>
      <w:r w:rsidR="00A316D4" w:rsidRPr="005A076C">
        <w:t>s</w:t>
      </w:r>
      <w:r w:rsidR="00FF5711" w:rsidRPr="005A076C">
        <w:t xml:space="preserve"> that the proposed securitization will benefit customers by providing both cost savings and rate mitigation through reducing the overall cost of these regulatory assets and the rates customers currently are paying toward their recovery.  The Compan</w:t>
      </w:r>
      <w:r w:rsidR="00A316D4" w:rsidRPr="005A076C">
        <w:t>y</w:t>
      </w:r>
      <w:r w:rsidR="00FF5711" w:rsidRPr="005A076C">
        <w:t xml:space="preserve"> also contend</w:t>
      </w:r>
      <w:r w:rsidR="00A316D4" w:rsidRPr="005A076C">
        <w:t>s</w:t>
      </w:r>
      <w:r w:rsidR="00FF5711" w:rsidRPr="005A076C">
        <w:t xml:space="preserve"> that the securitization transaction is expected to significantly reduce the carrying charges over the recovery period for the phase-in costs resulting in customer savings through the issuance of phase-in recovery bonds.  </w:t>
      </w:r>
    </w:p>
    <w:p w:rsidR="00A316D4" w:rsidRPr="005A076C" w:rsidRDefault="005A076C" w:rsidP="005A076C">
      <w:pPr>
        <w:pStyle w:val="textstyle0"/>
      </w:pPr>
      <w:r>
        <w:tab/>
      </w:r>
      <w:r w:rsidR="0042745F" w:rsidRPr="005A076C">
        <w:t>The P</w:t>
      </w:r>
      <w:r w:rsidR="002E5347" w:rsidRPr="005A076C">
        <w:t>IR</w:t>
      </w:r>
      <w:r w:rsidR="0042745F" w:rsidRPr="005A076C">
        <w:t xml:space="preserve"> Bonds will constitute </w:t>
      </w:r>
      <w:r w:rsidR="000C0842">
        <w:t>“</w:t>
      </w:r>
      <w:r w:rsidR="0042745F" w:rsidRPr="005A076C">
        <w:t>Bonds</w:t>
      </w:r>
      <w:r w:rsidR="000C0842">
        <w:t>”</w:t>
      </w:r>
      <w:r w:rsidR="0042745F" w:rsidRPr="005A076C">
        <w:t xml:space="preserve"> within the meaning of Section 4928.23(C), Revised Code</w:t>
      </w:r>
      <w:r w:rsidR="000C0842" w:rsidRPr="005A076C">
        <w:t xml:space="preserve">.  </w:t>
      </w:r>
      <w:r w:rsidR="0042745F" w:rsidRPr="005A076C">
        <w:t>The proposed issuance of P</w:t>
      </w:r>
      <w:r w:rsidR="002E5347" w:rsidRPr="005A076C">
        <w:t>IR</w:t>
      </w:r>
      <w:r w:rsidR="0042745F" w:rsidRPr="005A076C">
        <w:t xml:space="preserve"> Bonds will benefit customers by providing both cost savings and rate impact mitigation through reducing the overall cost of these regulatory assets and by reducing the rates customers currently are paying toward their recovery through the existing DARR.</w:t>
      </w:r>
    </w:p>
    <w:p w:rsidR="005E0493" w:rsidRPr="005A076C" w:rsidRDefault="005A076C" w:rsidP="005A076C">
      <w:pPr>
        <w:pStyle w:val="textstyle0"/>
      </w:pPr>
      <w:r>
        <w:tab/>
      </w:r>
      <w:r w:rsidR="00A316D4" w:rsidRPr="005A076C">
        <w:t>OPCo intends to use the proceeds from the issuance and sale of P</w:t>
      </w:r>
      <w:r w:rsidR="008E6799" w:rsidRPr="005A076C">
        <w:t>IR</w:t>
      </w:r>
      <w:r w:rsidR="00A316D4" w:rsidRPr="005A076C">
        <w:t xml:space="preserve"> Bonds to redeem, retire, repay or defease a portion of its existing </w:t>
      </w:r>
      <w:r w:rsidR="006C1CB1" w:rsidRPr="005A076C">
        <w:t xml:space="preserve">long-term </w:t>
      </w:r>
      <w:r w:rsidR="00A316D4" w:rsidRPr="005A076C">
        <w:t xml:space="preserve">debt. </w:t>
      </w:r>
    </w:p>
    <w:p w:rsidR="0007739A" w:rsidRPr="005A076C" w:rsidRDefault="005A076C" w:rsidP="005A076C">
      <w:pPr>
        <w:pStyle w:val="textstyle0"/>
      </w:pPr>
      <w:r>
        <w:tab/>
      </w:r>
      <w:r w:rsidR="007167CC" w:rsidRPr="005A076C">
        <w:t>For purposes of estimating the benefits from securitization, OPCo has estimated a</w:t>
      </w:r>
      <w:r w:rsidR="005E0493" w:rsidRPr="005A076C">
        <w:t xml:space="preserve"> </w:t>
      </w:r>
      <w:r w:rsidR="007167CC" w:rsidRPr="005A076C">
        <w:t>$291.5 million deferral balance of Phase-In Costs collectable through the DARR at the</w:t>
      </w:r>
      <w:r w:rsidR="005E0493" w:rsidRPr="005A076C">
        <w:t xml:space="preserve"> </w:t>
      </w:r>
      <w:r w:rsidR="007167CC" w:rsidRPr="005A076C">
        <w:t>assumed date of the issuance (January 15, 2013) and estimated $16 million of upfront</w:t>
      </w:r>
      <w:r w:rsidR="005E0493" w:rsidRPr="005A076C">
        <w:t xml:space="preserve"> </w:t>
      </w:r>
      <w:r w:rsidR="007167CC" w:rsidRPr="005A076C">
        <w:t>Financing Costs (Upfront Financing Costs), for an approximate issuance amount of $307.5 million</w:t>
      </w:r>
      <w:r w:rsidR="000C0842" w:rsidRPr="005A076C">
        <w:t xml:space="preserve">.  </w:t>
      </w:r>
      <w:r w:rsidR="008D0CD8" w:rsidRPr="005A076C">
        <w:t>Based upon the proposed recovery period of seven years, OPCo esti</w:t>
      </w:r>
      <w:r w:rsidR="00DB6C5E">
        <w:softHyphen/>
      </w:r>
      <w:r w:rsidR="008D0CD8" w:rsidRPr="005A076C">
        <w:t>mates that the costs savings</w:t>
      </w:r>
      <w:r w:rsidR="000B54A0" w:rsidRPr="005A076C">
        <w:t xml:space="preserve"> </w:t>
      </w:r>
      <w:r w:rsidR="008D0CD8" w:rsidRPr="005A076C">
        <w:t xml:space="preserve">to customers on a nominal basis and on net-present value </w:t>
      </w:r>
      <w:r w:rsidR="008D0CD8" w:rsidRPr="005A076C">
        <w:lastRenderedPageBreak/>
        <w:t>basis would be about $11.8 million and $20.4</w:t>
      </w:r>
      <w:r w:rsidR="000B54A0" w:rsidRPr="005A076C">
        <w:t xml:space="preserve"> </w:t>
      </w:r>
      <w:r w:rsidR="008D0CD8" w:rsidRPr="005A076C">
        <w:t xml:space="preserve">million, respectively, based on current interest rates and market conditions. </w:t>
      </w:r>
    </w:p>
    <w:p w:rsidR="008D0CD8" w:rsidRPr="005A076C" w:rsidRDefault="005A076C" w:rsidP="005A076C">
      <w:pPr>
        <w:pStyle w:val="textstyle0"/>
        <w:rPr>
          <w:color w:val="FF0000"/>
        </w:rPr>
      </w:pPr>
      <w:r>
        <w:tab/>
      </w:r>
      <w:r w:rsidR="001302B4" w:rsidRPr="005A076C">
        <w:t>T</w:t>
      </w:r>
      <w:r w:rsidR="008D0CD8" w:rsidRPr="005A076C">
        <w:t>he proposed securitization is expected to mitigate rate impacts to</w:t>
      </w:r>
      <w:r w:rsidR="00F377C5" w:rsidRPr="005A076C">
        <w:t xml:space="preserve"> </w:t>
      </w:r>
      <w:r w:rsidR="005E0493" w:rsidRPr="005A076C">
        <w:t>O</w:t>
      </w:r>
      <w:r w:rsidR="00085F56" w:rsidRPr="005A076C">
        <w:t>PCo’s</w:t>
      </w:r>
      <w:r w:rsidR="005E0493" w:rsidRPr="005A076C">
        <w:t xml:space="preserve"> </w:t>
      </w:r>
      <w:r w:rsidR="008D0CD8" w:rsidRPr="005A076C">
        <w:t>customers by flowing the cost savings through to customers in a manner that yields lower associated</w:t>
      </w:r>
      <w:r w:rsidR="000B54A0" w:rsidRPr="005A076C">
        <w:t xml:space="preserve"> </w:t>
      </w:r>
      <w:r w:rsidR="008D0CD8" w:rsidRPr="005A076C">
        <w:t>rates compared to the cost recovery method previously approved by the Commission, i.e., the DARR</w:t>
      </w:r>
      <w:r w:rsidR="000B54A0" w:rsidRPr="005A076C">
        <w:t xml:space="preserve"> </w:t>
      </w:r>
      <w:r w:rsidR="008D0CD8" w:rsidRPr="005A076C">
        <w:t>which provides for a carrying charge of</w:t>
      </w:r>
      <w:r w:rsidR="004D278F" w:rsidRPr="005A076C">
        <w:t xml:space="preserve"> </w:t>
      </w:r>
      <w:r w:rsidR="00F17F05" w:rsidRPr="005A076C">
        <w:t>5.34%</w:t>
      </w:r>
      <w:r w:rsidR="008D0CD8" w:rsidRPr="005A076C">
        <w:t xml:space="preserve"> and consumers will benefit on a net present value basis</w:t>
      </w:r>
      <w:r w:rsidR="000B54A0" w:rsidRPr="005A076C">
        <w:t xml:space="preserve"> </w:t>
      </w:r>
      <w:r w:rsidR="008D0CD8" w:rsidRPr="005A076C">
        <w:t xml:space="preserve">so long as the </w:t>
      </w:r>
      <w:r w:rsidR="004D278F" w:rsidRPr="005A076C">
        <w:t>expected w</w:t>
      </w:r>
      <w:r w:rsidR="008D0CD8" w:rsidRPr="005A076C">
        <w:t>eighted</w:t>
      </w:r>
      <w:r w:rsidR="004D278F" w:rsidRPr="005A076C">
        <w:t xml:space="preserve"> </w:t>
      </w:r>
      <w:r w:rsidR="008D0CD8" w:rsidRPr="005A076C">
        <w:t xml:space="preserve">average interest rate of the </w:t>
      </w:r>
      <w:r w:rsidR="00A63D2B" w:rsidRPr="005A076C">
        <w:t>PIR</w:t>
      </w:r>
      <w:r w:rsidR="008D0CD8" w:rsidRPr="005A076C">
        <w:t xml:space="preserve"> Bonds does not exceed </w:t>
      </w:r>
      <w:r w:rsidR="00896A7E">
        <w:t>3.23</w:t>
      </w:r>
      <w:r w:rsidR="008D0CD8" w:rsidRPr="005A076C">
        <w:t xml:space="preserve">%, </w:t>
      </w:r>
      <w:r w:rsidR="00896A7E">
        <w:t xml:space="preserve">and does not exceed 2.32%, on a nominal value basis </w:t>
      </w:r>
      <w:r w:rsidR="008D0CD8" w:rsidRPr="005A076C">
        <w:t xml:space="preserve">as shown </w:t>
      </w:r>
      <w:r w:rsidR="000B54A0" w:rsidRPr="005A076C">
        <w:t>in</w:t>
      </w:r>
      <w:r w:rsidR="008D0CD8" w:rsidRPr="005A076C">
        <w:t xml:space="preserve"> Exhibit </w:t>
      </w:r>
      <w:r w:rsidR="004D278F" w:rsidRPr="005A076C">
        <w:t>C</w:t>
      </w:r>
      <w:r w:rsidR="000B54A0" w:rsidRPr="005A076C">
        <w:t xml:space="preserve"> to</w:t>
      </w:r>
      <w:r w:rsidR="004D278F" w:rsidRPr="005A076C">
        <w:t xml:space="preserve"> </w:t>
      </w:r>
      <w:r w:rsidR="000B54A0" w:rsidRPr="005A076C">
        <w:t>the Application</w:t>
      </w:r>
      <w:r w:rsidR="008D0CD8" w:rsidRPr="005A076C">
        <w:rPr>
          <w:color w:val="FF0000"/>
        </w:rPr>
        <w:t xml:space="preserve">. </w:t>
      </w:r>
    </w:p>
    <w:p w:rsidR="00FF5711" w:rsidRPr="005A076C" w:rsidRDefault="005A076C" w:rsidP="005A076C">
      <w:pPr>
        <w:pStyle w:val="textstyle0"/>
      </w:pPr>
      <w:r>
        <w:tab/>
      </w:r>
      <w:r w:rsidR="00FF5711" w:rsidRPr="005A076C">
        <w:t>The Compan</w:t>
      </w:r>
      <w:r w:rsidR="00D0782F" w:rsidRPr="005A076C">
        <w:t>y</w:t>
      </w:r>
      <w:r w:rsidR="00FF5711" w:rsidRPr="005A076C">
        <w:t xml:space="preserve"> request</w:t>
      </w:r>
      <w:r w:rsidR="00D0782F" w:rsidRPr="005A076C">
        <w:t>s</w:t>
      </w:r>
      <w:r w:rsidR="00FF5711" w:rsidRPr="005A076C">
        <w:t xml:space="preserve"> that the Commission:</w:t>
      </w:r>
    </w:p>
    <w:p w:rsidR="003934F4" w:rsidRPr="005A076C" w:rsidRDefault="003934F4" w:rsidP="00EC7D46">
      <w:pPr>
        <w:pStyle w:val="NoSpacing"/>
        <w:numPr>
          <w:ilvl w:val="0"/>
          <w:numId w:val="7"/>
        </w:numPr>
        <w:tabs>
          <w:tab w:val="left" w:pos="1440"/>
        </w:tabs>
        <w:spacing w:line="276" w:lineRule="auto"/>
        <w:ind w:left="1440" w:hanging="720"/>
        <w:jc w:val="both"/>
        <w:rPr>
          <w:rFonts w:ascii="Times New Roman" w:hAnsi="Times New Roman"/>
          <w:color w:val="FF0000"/>
          <w:sz w:val="26"/>
          <w:szCs w:val="26"/>
        </w:rPr>
      </w:pPr>
      <w:r w:rsidRPr="005A076C">
        <w:rPr>
          <w:rFonts w:ascii="Times New Roman" w:hAnsi="Times New Roman"/>
          <w:sz w:val="26"/>
          <w:szCs w:val="26"/>
        </w:rPr>
        <w:t xml:space="preserve">Approve OPCo's proposed securitization and, </w:t>
      </w:r>
      <w:r w:rsidR="003C35C9" w:rsidRPr="005A076C">
        <w:rPr>
          <w:rFonts w:ascii="Times New Roman" w:hAnsi="Times New Roman"/>
          <w:sz w:val="26"/>
          <w:szCs w:val="26"/>
        </w:rPr>
        <w:t xml:space="preserve">pursuant to the Act </w:t>
      </w:r>
      <w:r w:rsidRPr="005A076C">
        <w:rPr>
          <w:rFonts w:ascii="Times New Roman" w:hAnsi="Times New Roman"/>
          <w:sz w:val="26"/>
          <w:szCs w:val="26"/>
        </w:rPr>
        <w:t xml:space="preserve">issue a </w:t>
      </w:r>
      <w:r w:rsidR="003C35C9" w:rsidRPr="005A076C">
        <w:rPr>
          <w:rFonts w:ascii="Times New Roman" w:hAnsi="Times New Roman"/>
          <w:sz w:val="26"/>
          <w:szCs w:val="26"/>
        </w:rPr>
        <w:t>F</w:t>
      </w:r>
      <w:r w:rsidRPr="005A076C">
        <w:rPr>
          <w:rFonts w:ascii="Times New Roman" w:hAnsi="Times New Roman"/>
          <w:sz w:val="26"/>
          <w:szCs w:val="26"/>
        </w:rPr>
        <w:t xml:space="preserve">inancing Order, granting any and all authorizations and approvals that may be required under the Act, for the consummation of the securitization </w:t>
      </w:r>
      <w:r w:rsidR="00D35962" w:rsidRPr="005A076C">
        <w:rPr>
          <w:rFonts w:ascii="Times New Roman" w:hAnsi="Times New Roman"/>
          <w:sz w:val="26"/>
          <w:szCs w:val="26"/>
        </w:rPr>
        <w:t xml:space="preserve"> </w:t>
      </w:r>
      <w:r w:rsidRPr="005A076C">
        <w:rPr>
          <w:rFonts w:ascii="Times New Roman" w:hAnsi="Times New Roman"/>
          <w:sz w:val="26"/>
          <w:szCs w:val="26"/>
        </w:rPr>
        <w:t>transaction and related matters (all as described in this Application),</w:t>
      </w:r>
      <w:r w:rsidR="003C35C9" w:rsidRPr="005A076C">
        <w:rPr>
          <w:rFonts w:ascii="Times New Roman" w:hAnsi="Times New Roman"/>
          <w:sz w:val="26"/>
          <w:szCs w:val="26"/>
        </w:rPr>
        <w:t xml:space="preserve"> including, without limitation</w:t>
      </w:r>
      <w:r w:rsidR="003C35C9" w:rsidRPr="005A076C">
        <w:rPr>
          <w:rFonts w:ascii="Times New Roman" w:hAnsi="Times New Roman"/>
          <w:color w:val="FF0000"/>
          <w:sz w:val="26"/>
          <w:szCs w:val="26"/>
        </w:rPr>
        <w:t>.</w:t>
      </w:r>
    </w:p>
    <w:p w:rsidR="00D35962" w:rsidRPr="005A076C" w:rsidRDefault="00D35962" w:rsidP="00D35962">
      <w:pPr>
        <w:pStyle w:val="NoSpacing"/>
        <w:spacing w:line="276" w:lineRule="auto"/>
        <w:ind w:left="1140"/>
        <w:jc w:val="both"/>
        <w:rPr>
          <w:rFonts w:ascii="Times New Roman" w:hAnsi="Times New Roman"/>
          <w:color w:val="FF0000"/>
          <w:sz w:val="26"/>
          <w:szCs w:val="26"/>
        </w:rPr>
      </w:pPr>
    </w:p>
    <w:p w:rsidR="003C35C9" w:rsidRPr="005A076C" w:rsidRDefault="003C35C9" w:rsidP="000C0842">
      <w:pPr>
        <w:pStyle w:val="NoSpacing"/>
        <w:numPr>
          <w:ilvl w:val="0"/>
          <w:numId w:val="8"/>
        </w:numPr>
        <w:spacing w:line="276" w:lineRule="auto"/>
        <w:ind w:left="2160" w:hanging="720"/>
        <w:jc w:val="both"/>
        <w:rPr>
          <w:rFonts w:ascii="Times New Roman" w:hAnsi="Times New Roman"/>
          <w:sz w:val="26"/>
          <w:szCs w:val="26"/>
        </w:rPr>
      </w:pPr>
      <w:r w:rsidRPr="005A076C">
        <w:rPr>
          <w:rFonts w:ascii="Times New Roman" w:hAnsi="Times New Roman"/>
          <w:sz w:val="26"/>
          <w:szCs w:val="26"/>
        </w:rPr>
        <w:t>the recovery of Phase-In Costs and upfront Financing Costs, through the issuance of up</w:t>
      </w:r>
      <w:r w:rsidR="00A63D2B" w:rsidRPr="005A076C">
        <w:rPr>
          <w:rFonts w:ascii="Times New Roman" w:hAnsi="Times New Roman"/>
          <w:sz w:val="26"/>
          <w:szCs w:val="26"/>
        </w:rPr>
        <w:t xml:space="preserve"> </w:t>
      </w:r>
      <w:r w:rsidRPr="005A076C">
        <w:rPr>
          <w:rFonts w:ascii="Times New Roman" w:hAnsi="Times New Roman"/>
          <w:sz w:val="26"/>
          <w:szCs w:val="26"/>
        </w:rPr>
        <w:t>to an aggregate amount of $320 million of P</w:t>
      </w:r>
      <w:r w:rsidR="00085F56" w:rsidRPr="005A076C">
        <w:rPr>
          <w:rFonts w:ascii="Times New Roman" w:hAnsi="Times New Roman"/>
          <w:sz w:val="26"/>
          <w:szCs w:val="26"/>
        </w:rPr>
        <w:t>IR</w:t>
      </w:r>
      <w:r w:rsidRPr="005A076C">
        <w:rPr>
          <w:rFonts w:ascii="Times New Roman" w:hAnsi="Times New Roman"/>
          <w:sz w:val="26"/>
          <w:szCs w:val="26"/>
        </w:rPr>
        <w:t xml:space="preserve"> Bonds payable from collections from P</w:t>
      </w:r>
      <w:r w:rsidR="00085F56" w:rsidRPr="005A076C">
        <w:rPr>
          <w:rFonts w:ascii="Times New Roman" w:hAnsi="Times New Roman"/>
          <w:sz w:val="26"/>
          <w:szCs w:val="26"/>
        </w:rPr>
        <w:t>IR</w:t>
      </w:r>
      <w:r w:rsidRPr="005A076C">
        <w:rPr>
          <w:rFonts w:ascii="Times New Roman" w:hAnsi="Times New Roman"/>
          <w:sz w:val="26"/>
          <w:szCs w:val="26"/>
        </w:rPr>
        <w:t xml:space="preserve"> Charges, and the execu</w:t>
      </w:r>
      <w:r w:rsidR="00DB6C5E">
        <w:rPr>
          <w:rFonts w:ascii="Times New Roman" w:hAnsi="Times New Roman"/>
          <w:sz w:val="26"/>
          <w:szCs w:val="26"/>
        </w:rPr>
        <w:softHyphen/>
      </w:r>
      <w:r w:rsidRPr="005A076C">
        <w:rPr>
          <w:rFonts w:ascii="Times New Roman" w:hAnsi="Times New Roman"/>
          <w:sz w:val="26"/>
          <w:szCs w:val="26"/>
        </w:rPr>
        <w:t>tion, delivery and</w:t>
      </w:r>
      <w:r w:rsidR="00A63D2B" w:rsidRPr="005A076C">
        <w:rPr>
          <w:rFonts w:ascii="Times New Roman" w:hAnsi="Times New Roman"/>
          <w:sz w:val="26"/>
          <w:szCs w:val="26"/>
        </w:rPr>
        <w:t xml:space="preserve"> </w:t>
      </w:r>
      <w:r w:rsidRPr="005A076C">
        <w:rPr>
          <w:rFonts w:ascii="Times New Roman" w:hAnsi="Times New Roman"/>
          <w:sz w:val="26"/>
          <w:szCs w:val="26"/>
        </w:rPr>
        <w:t xml:space="preserve">performance of all documentation necessary to consummate the securitization transaction, </w:t>
      </w:r>
    </w:p>
    <w:p w:rsidR="00E36D6D" w:rsidRPr="005A076C" w:rsidRDefault="00E36D6D" w:rsidP="000C0842">
      <w:pPr>
        <w:pStyle w:val="NoSpacing"/>
        <w:spacing w:line="276" w:lineRule="auto"/>
        <w:ind w:left="2160" w:hanging="720"/>
        <w:jc w:val="both"/>
        <w:rPr>
          <w:rFonts w:ascii="Times New Roman" w:hAnsi="Times New Roman"/>
          <w:sz w:val="26"/>
          <w:szCs w:val="26"/>
        </w:rPr>
      </w:pPr>
    </w:p>
    <w:p w:rsidR="003C35C9" w:rsidRPr="005A076C" w:rsidRDefault="003C35C9" w:rsidP="000C0842">
      <w:pPr>
        <w:pStyle w:val="NoSpacing"/>
        <w:numPr>
          <w:ilvl w:val="0"/>
          <w:numId w:val="8"/>
        </w:numPr>
        <w:spacing w:line="276" w:lineRule="auto"/>
        <w:ind w:left="2160" w:hanging="720"/>
        <w:jc w:val="both"/>
        <w:rPr>
          <w:rFonts w:ascii="Times New Roman" w:hAnsi="Times New Roman"/>
          <w:sz w:val="26"/>
          <w:szCs w:val="26"/>
        </w:rPr>
      </w:pPr>
      <w:r w:rsidRPr="005A076C">
        <w:rPr>
          <w:rFonts w:ascii="Times New Roman" w:hAnsi="Times New Roman"/>
          <w:sz w:val="26"/>
          <w:szCs w:val="26"/>
        </w:rPr>
        <w:t>the imposition, charging, and collection of P</w:t>
      </w:r>
      <w:r w:rsidR="00085F56" w:rsidRPr="005A076C">
        <w:rPr>
          <w:rFonts w:ascii="Times New Roman" w:hAnsi="Times New Roman"/>
          <w:sz w:val="26"/>
          <w:szCs w:val="26"/>
        </w:rPr>
        <w:t>IR</w:t>
      </w:r>
      <w:r w:rsidRPr="005A076C">
        <w:rPr>
          <w:rFonts w:ascii="Times New Roman" w:hAnsi="Times New Roman"/>
          <w:sz w:val="26"/>
          <w:szCs w:val="26"/>
        </w:rPr>
        <w:t xml:space="preserve"> Charges, </w:t>
      </w:r>
    </w:p>
    <w:p w:rsidR="00E36D6D" w:rsidRPr="005A076C" w:rsidRDefault="00E36D6D" w:rsidP="000C0842">
      <w:pPr>
        <w:pStyle w:val="NoSpacing"/>
        <w:spacing w:line="276" w:lineRule="auto"/>
        <w:ind w:left="2160" w:hanging="720"/>
        <w:jc w:val="both"/>
        <w:rPr>
          <w:rFonts w:ascii="Times New Roman" w:hAnsi="Times New Roman"/>
          <w:sz w:val="26"/>
          <w:szCs w:val="26"/>
        </w:rPr>
      </w:pPr>
    </w:p>
    <w:p w:rsidR="00E36D6D" w:rsidRPr="005A076C" w:rsidRDefault="003C35C9" w:rsidP="000C0842">
      <w:pPr>
        <w:pStyle w:val="NoSpacing"/>
        <w:numPr>
          <w:ilvl w:val="0"/>
          <w:numId w:val="8"/>
        </w:numPr>
        <w:spacing w:line="276" w:lineRule="auto"/>
        <w:ind w:left="2160" w:hanging="720"/>
        <w:jc w:val="both"/>
        <w:rPr>
          <w:rFonts w:ascii="Times New Roman" w:hAnsi="Times New Roman"/>
          <w:sz w:val="26"/>
          <w:szCs w:val="26"/>
        </w:rPr>
      </w:pPr>
      <w:r w:rsidRPr="005A076C">
        <w:rPr>
          <w:rFonts w:ascii="Times New Roman" w:hAnsi="Times New Roman"/>
          <w:sz w:val="26"/>
          <w:szCs w:val="26"/>
        </w:rPr>
        <w:t xml:space="preserve">the creation of the </w:t>
      </w:r>
      <w:r w:rsidR="00C1402C" w:rsidRPr="005A076C">
        <w:rPr>
          <w:rFonts w:ascii="Times New Roman" w:hAnsi="Times New Roman"/>
          <w:sz w:val="26"/>
          <w:szCs w:val="26"/>
        </w:rPr>
        <w:t xml:space="preserve">Phase-In-Recovery Property (PIR Property) </w:t>
      </w:r>
      <w:r w:rsidRPr="005A076C">
        <w:rPr>
          <w:rFonts w:ascii="Times New Roman" w:hAnsi="Times New Roman"/>
          <w:sz w:val="26"/>
          <w:szCs w:val="26"/>
        </w:rPr>
        <w:t xml:space="preserve">(such creation to be simultaneous with the sale of such </w:t>
      </w:r>
      <w:r w:rsidR="00C1402C" w:rsidRPr="005A076C">
        <w:rPr>
          <w:rFonts w:ascii="Times New Roman" w:hAnsi="Times New Roman"/>
          <w:sz w:val="26"/>
          <w:szCs w:val="26"/>
        </w:rPr>
        <w:t xml:space="preserve">PIR Property </w:t>
      </w:r>
      <w:r w:rsidRPr="005A076C">
        <w:rPr>
          <w:rFonts w:ascii="Times New Roman" w:hAnsi="Times New Roman"/>
          <w:sz w:val="26"/>
          <w:szCs w:val="26"/>
        </w:rPr>
        <w:t>to the SPE and the issuance of the P</w:t>
      </w:r>
      <w:r w:rsidR="00085F56" w:rsidRPr="005A076C">
        <w:rPr>
          <w:rFonts w:ascii="Times New Roman" w:hAnsi="Times New Roman"/>
          <w:sz w:val="26"/>
          <w:szCs w:val="26"/>
        </w:rPr>
        <w:t>IR</w:t>
      </w:r>
      <w:r w:rsidRPr="005A076C">
        <w:rPr>
          <w:rFonts w:ascii="Times New Roman" w:hAnsi="Times New Roman"/>
          <w:sz w:val="26"/>
          <w:szCs w:val="26"/>
        </w:rPr>
        <w:t xml:space="preserve"> Bonds), </w:t>
      </w:r>
    </w:p>
    <w:p w:rsidR="00E36D6D" w:rsidRPr="005A076C" w:rsidRDefault="00E36D6D" w:rsidP="000C0842">
      <w:pPr>
        <w:pStyle w:val="NoSpacing"/>
        <w:spacing w:line="276" w:lineRule="auto"/>
        <w:ind w:left="2160" w:hanging="720"/>
        <w:jc w:val="both"/>
        <w:rPr>
          <w:rFonts w:ascii="Times New Roman" w:hAnsi="Times New Roman"/>
          <w:sz w:val="26"/>
          <w:szCs w:val="26"/>
        </w:rPr>
      </w:pPr>
    </w:p>
    <w:p w:rsidR="00E36D6D" w:rsidRPr="005A076C" w:rsidRDefault="003C35C9" w:rsidP="000C0842">
      <w:pPr>
        <w:pStyle w:val="NoSpacing"/>
        <w:numPr>
          <w:ilvl w:val="0"/>
          <w:numId w:val="8"/>
        </w:numPr>
        <w:spacing w:line="276" w:lineRule="auto"/>
        <w:ind w:left="2160" w:hanging="720"/>
        <w:jc w:val="both"/>
        <w:rPr>
          <w:rFonts w:ascii="Times New Roman" w:hAnsi="Times New Roman"/>
          <w:sz w:val="26"/>
          <w:szCs w:val="26"/>
        </w:rPr>
      </w:pPr>
      <w:r w:rsidRPr="005A076C">
        <w:rPr>
          <w:rFonts w:ascii="Times New Roman" w:hAnsi="Times New Roman"/>
          <w:sz w:val="26"/>
          <w:szCs w:val="26"/>
        </w:rPr>
        <w:lastRenderedPageBreak/>
        <w:t>the establishment of an adjustment mechanism as described herein to be applied from time to time to adjust the P</w:t>
      </w:r>
      <w:r w:rsidR="00085F56" w:rsidRPr="005A076C">
        <w:rPr>
          <w:rFonts w:ascii="Times New Roman" w:hAnsi="Times New Roman"/>
          <w:sz w:val="26"/>
          <w:szCs w:val="26"/>
        </w:rPr>
        <w:t>IR</w:t>
      </w:r>
      <w:r w:rsidR="00734D97" w:rsidRPr="005A076C">
        <w:rPr>
          <w:rFonts w:ascii="Times New Roman" w:hAnsi="Times New Roman"/>
          <w:sz w:val="26"/>
          <w:szCs w:val="26"/>
        </w:rPr>
        <w:tab/>
      </w:r>
      <w:r w:rsidRPr="005A076C">
        <w:rPr>
          <w:rFonts w:ascii="Times New Roman" w:hAnsi="Times New Roman"/>
          <w:sz w:val="26"/>
          <w:szCs w:val="26"/>
        </w:rPr>
        <w:t>Charges to ensure the timely payment of P</w:t>
      </w:r>
      <w:r w:rsidR="00085F56" w:rsidRPr="005A076C">
        <w:rPr>
          <w:rFonts w:ascii="Times New Roman" w:hAnsi="Times New Roman"/>
          <w:sz w:val="26"/>
          <w:szCs w:val="26"/>
        </w:rPr>
        <w:t>IR</w:t>
      </w:r>
      <w:r w:rsidRPr="005A076C">
        <w:rPr>
          <w:rFonts w:ascii="Times New Roman" w:hAnsi="Times New Roman"/>
          <w:sz w:val="26"/>
          <w:szCs w:val="26"/>
        </w:rPr>
        <w:t xml:space="preserve"> Bonds and all ongoing Financing Costs, </w:t>
      </w:r>
    </w:p>
    <w:p w:rsidR="00E36D6D" w:rsidRPr="005A076C" w:rsidRDefault="00E36D6D" w:rsidP="000C0842">
      <w:pPr>
        <w:pStyle w:val="NoSpacing"/>
        <w:spacing w:line="276" w:lineRule="auto"/>
        <w:ind w:left="2160" w:hanging="720"/>
        <w:jc w:val="both"/>
        <w:rPr>
          <w:rFonts w:ascii="Times New Roman" w:hAnsi="Times New Roman"/>
          <w:sz w:val="26"/>
          <w:szCs w:val="26"/>
        </w:rPr>
      </w:pPr>
    </w:p>
    <w:p w:rsidR="00E36D6D" w:rsidRPr="005A076C" w:rsidRDefault="003C35C9" w:rsidP="000C0842">
      <w:pPr>
        <w:pStyle w:val="NoSpacing"/>
        <w:numPr>
          <w:ilvl w:val="0"/>
          <w:numId w:val="8"/>
        </w:numPr>
        <w:spacing w:line="276" w:lineRule="auto"/>
        <w:ind w:left="2160" w:hanging="720"/>
        <w:jc w:val="both"/>
        <w:rPr>
          <w:rFonts w:ascii="Times New Roman" w:hAnsi="Times New Roman"/>
          <w:sz w:val="26"/>
          <w:szCs w:val="26"/>
        </w:rPr>
      </w:pPr>
      <w:r w:rsidRPr="005A076C">
        <w:rPr>
          <w:rFonts w:ascii="Times New Roman" w:hAnsi="Times New Roman"/>
          <w:sz w:val="26"/>
          <w:szCs w:val="26"/>
        </w:rPr>
        <w:t>the calculation and allocation of</w:t>
      </w:r>
      <w:r w:rsidR="00E36D6D" w:rsidRPr="005A076C">
        <w:rPr>
          <w:rFonts w:ascii="Times New Roman" w:hAnsi="Times New Roman"/>
          <w:sz w:val="26"/>
          <w:szCs w:val="26"/>
        </w:rPr>
        <w:t xml:space="preserve"> </w:t>
      </w:r>
      <w:r w:rsidRPr="005A076C">
        <w:rPr>
          <w:rFonts w:ascii="Times New Roman" w:hAnsi="Times New Roman"/>
          <w:sz w:val="26"/>
          <w:szCs w:val="26"/>
        </w:rPr>
        <w:t>the P</w:t>
      </w:r>
      <w:r w:rsidR="00085F56" w:rsidRPr="005A076C">
        <w:rPr>
          <w:rFonts w:ascii="Times New Roman" w:hAnsi="Times New Roman"/>
          <w:sz w:val="26"/>
          <w:szCs w:val="26"/>
        </w:rPr>
        <w:t>IR</w:t>
      </w:r>
      <w:r w:rsidRPr="005A076C">
        <w:rPr>
          <w:rFonts w:ascii="Times New Roman" w:hAnsi="Times New Roman"/>
          <w:sz w:val="26"/>
          <w:szCs w:val="26"/>
        </w:rPr>
        <w:t xml:space="preserve"> Charges among customer classes,</w:t>
      </w:r>
    </w:p>
    <w:p w:rsidR="003C35C9" w:rsidRPr="005A076C" w:rsidRDefault="003C35C9" w:rsidP="000C0842">
      <w:pPr>
        <w:pStyle w:val="NoSpacing"/>
        <w:spacing w:line="276" w:lineRule="auto"/>
        <w:ind w:left="2160" w:hanging="720"/>
        <w:jc w:val="both"/>
        <w:rPr>
          <w:rFonts w:ascii="Times New Roman" w:hAnsi="Times New Roman"/>
          <w:sz w:val="26"/>
          <w:szCs w:val="26"/>
        </w:rPr>
      </w:pPr>
      <w:r w:rsidRPr="005A076C">
        <w:rPr>
          <w:rFonts w:ascii="Times New Roman" w:hAnsi="Times New Roman"/>
          <w:sz w:val="26"/>
          <w:szCs w:val="26"/>
        </w:rPr>
        <w:t xml:space="preserve"> </w:t>
      </w:r>
    </w:p>
    <w:p w:rsidR="003C35C9" w:rsidRPr="005A076C" w:rsidRDefault="003C35C9" w:rsidP="000C0842">
      <w:pPr>
        <w:pStyle w:val="NoSpacing"/>
        <w:numPr>
          <w:ilvl w:val="0"/>
          <w:numId w:val="8"/>
        </w:numPr>
        <w:spacing w:line="276" w:lineRule="auto"/>
        <w:ind w:left="2160" w:hanging="720"/>
        <w:jc w:val="both"/>
        <w:rPr>
          <w:rFonts w:ascii="Times New Roman" w:hAnsi="Times New Roman"/>
          <w:sz w:val="26"/>
          <w:szCs w:val="26"/>
        </w:rPr>
      </w:pPr>
      <w:r w:rsidRPr="005A076C">
        <w:rPr>
          <w:rFonts w:ascii="Times New Roman" w:hAnsi="Times New Roman"/>
          <w:sz w:val="26"/>
          <w:szCs w:val="26"/>
        </w:rPr>
        <w:t>the maximum term of</w:t>
      </w:r>
      <w:r w:rsidR="00E36D6D" w:rsidRPr="005A076C">
        <w:rPr>
          <w:rFonts w:ascii="Times New Roman" w:hAnsi="Times New Roman"/>
          <w:sz w:val="26"/>
          <w:szCs w:val="26"/>
        </w:rPr>
        <w:t xml:space="preserve"> </w:t>
      </w:r>
      <w:r w:rsidRPr="005A076C">
        <w:rPr>
          <w:rFonts w:ascii="Times New Roman" w:hAnsi="Times New Roman"/>
          <w:sz w:val="26"/>
          <w:szCs w:val="26"/>
        </w:rPr>
        <w:t>the P</w:t>
      </w:r>
      <w:r w:rsidR="00085F56" w:rsidRPr="005A076C">
        <w:rPr>
          <w:rFonts w:ascii="Times New Roman" w:hAnsi="Times New Roman"/>
          <w:sz w:val="26"/>
          <w:szCs w:val="26"/>
        </w:rPr>
        <w:t>IR</w:t>
      </w:r>
      <w:r w:rsidRPr="005A076C">
        <w:rPr>
          <w:rFonts w:ascii="Times New Roman" w:hAnsi="Times New Roman"/>
          <w:sz w:val="26"/>
          <w:szCs w:val="26"/>
        </w:rPr>
        <w:t xml:space="preserve"> Bonds, </w:t>
      </w:r>
    </w:p>
    <w:p w:rsidR="00E36D6D" w:rsidRPr="005A076C" w:rsidRDefault="00E36D6D" w:rsidP="000C0842">
      <w:pPr>
        <w:pStyle w:val="NoSpacing"/>
        <w:spacing w:line="276" w:lineRule="auto"/>
        <w:ind w:left="2160" w:hanging="720"/>
        <w:jc w:val="both"/>
        <w:rPr>
          <w:rFonts w:ascii="Times New Roman" w:hAnsi="Times New Roman"/>
          <w:sz w:val="26"/>
          <w:szCs w:val="26"/>
        </w:rPr>
      </w:pPr>
    </w:p>
    <w:p w:rsidR="00E36D6D" w:rsidRPr="005A076C" w:rsidRDefault="003C35C9" w:rsidP="000C0842">
      <w:pPr>
        <w:pStyle w:val="NoSpacing"/>
        <w:numPr>
          <w:ilvl w:val="0"/>
          <w:numId w:val="8"/>
        </w:numPr>
        <w:spacing w:line="276" w:lineRule="auto"/>
        <w:ind w:left="2160" w:hanging="720"/>
        <w:jc w:val="both"/>
        <w:rPr>
          <w:rFonts w:ascii="Times New Roman" w:hAnsi="Times New Roman"/>
          <w:sz w:val="26"/>
          <w:szCs w:val="26"/>
        </w:rPr>
      </w:pPr>
      <w:r w:rsidRPr="005A076C">
        <w:rPr>
          <w:rFonts w:ascii="Times New Roman" w:hAnsi="Times New Roman"/>
          <w:sz w:val="26"/>
          <w:szCs w:val="26"/>
        </w:rPr>
        <w:t>the organization and capitalization of</w:t>
      </w:r>
      <w:r w:rsidR="00E36D6D" w:rsidRPr="005A076C">
        <w:rPr>
          <w:rFonts w:ascii="Times New Roman" w:hAnsi="Times New Roman"/>
          <w:sz w:val="26"/>
          <w:szCs w:val="26"/>
        </w:rPr>
        <w:t xml:space="preserve"> </w:t>
      </w:r>
      <w:r w:rsidRPr="005A076C">
        <w:rPr>
          <w:rFonts w:ascii="Times New Roman" w:hAnsi="Times New Roman"/>
          <w:sz w:val="26"/>
          <w:szCs w:val="26"/>
        </w:rPr>
        <w:t>the SPE to which P</w:t>
      </w:r>
      <w:r w:rsidR="00085F56" w:rsidRPr="005A076C">
        <w:rPr>
          <w:rFonts w:ascii="Times New Roman" w:hAnsi="Times New Roman"/>
          <w:sz w:val="26"/>
          <w:szCs w:val="26"/>
        </w:rPr>
        <w:t>IR</w:t>
      </w:r>
      <w:r w:rsidRPr="005A076C">
        <w:rPr>
          <w:rFonts w:ascii="Times New Roman" w:hAnsi="Times New Roman"/>
          <w:sz w:val="26"/>
          <w:szCs w:val="26"/>
        </w:rPr>
        <w:t xml:space="preserve"> Property will be sold,</w:t>
      </w:r>
    </w:p>
    <w:p w:rsidR="00E36D6D" w:rsidRPr="005A076C" w:rsidRDefault="00E36D6D" w:rsidP="000C0842">
      <w:pPr>
        <w:pStyle w:val="NoSpacing"/>
        <w:spacing w:line="276" w:lineRule="auto"/>
        <w:ind w:left="2160" w:hanging="720"/>
        <w:jc w:val="both"/>
        <w:rPr>
          <w:rFonts w:ascii="Times New Roman" w:hAnsi="Times New Roman"/>
          <w:sz w:val="26"/>
          <w:szCs w:val="26"/>
        </w:rPr>
      </w:pPr>
    </w:p>
    <w:p w:rsidR="00E36D6D" w:rsidRPr="005A076C" w:rsidRDefault="003C35C9" w:rsidP="000C0842">
      <w:pPr>
        <w:pStyle w:val="NoSpacing"/>
        <w:numPr>
          <w:ilvl w:val="0"/>
          <w:numId w:val="8"/>
        </w:numPr>
        <w:tabs>
          <w:tab w:val="left" w:pos="2880"/>
        </w:tabs>
        <w:spacing w:line="276" w:lineRule="auto"/>
        <w:ind w:left="2160" w:hanging="720"/>
        <w:jc w:val="both"/>
        <w:rPr>
          <w:rFonts w:ascii="Times New Roman" w:hAnsi="Times New Roman"/>
          <w:sz w:val="26"/>
          <w:szCs w:val="26"/>
        </w:rPr>
      </w:pPr>
      <w:r w:rsidRPr="005A076C">
        <w:rPr>
          <w:rFonts w:ascii="Times New Roman" w:hAnsi="Times New Roman"/>
          <w:sz w:val="26"/>
          <w:szCs w:val="26"/>
        </w:rPr>
        <w:t>the servicing of P</w:t>
      </w:r>
      <w:r w:rsidR="00085F56" w:rsidRPr="005A076C">
        <w:rPr>
          <w:rFonts w:ascii="Times New Roman" w:hAnsi="Times New Roman"/>
          <w:sz w:val="26"/>
          <w:szCs w:val="26"/>
        </w:rPr>
        <w:t>IR</w:t>
      </w:r>
      <w:r w:rsidRPr="005A076C">
        <w:rPr>
          <w:rFonts w:ascii="Times New Roman" w:hAnsi="Times New Roman"/>
          <w:sz w:val="26"/>
          <w:szCs w:val="26"/>
        </w:rPr>
        <w:t xml:space="preserve"> Charges by OPCo as initial servicer or any succes</w:t>
      </w:r>
      <w:r w:rsidR="00DB6C5E">
        <w:rPr>
          <w:rFonts w:ascii="Times New Roman" w:hAnsi="Times New Roman"/>
          <w:sz w:val="26"/>
          <w:szCs w:val="26"/>
        </w:rPr>
        <w:softHyphen/>
      </w:r>
      <w:r w:rsidRPr="005A076C">
        <w:rPr>
          <w:rFonts w:ascii="Times New Roman" w:hAnsi="Times New Roman"/>
          <w:sz w:val="26"/>
          <w:szCs w:val="26"/>
        </w:rPr>
        <w:t xml:space="preserve">sor servicer under the servicing agreement, </w:t>
      </w:r>
    </w:p>
    <w:p w:rsidR="00E36D6D" w:rsidRPr="005A076C" w:rsidRDefault="00E36D6D" w:rsidP="000C0842">
      <w:pPr>
        <w:pStyle w:val="NoSpacing"/>
        <w:tabs>
          <w:tab w:val="left" w:pos="2880"/>
        </w:tabs>
        <w:spacing w:line="276" w:lineRule="auto"/>
        <w:ind w:left="2160" w:hanging="720"/>
        <w:jc w:val="both"/>
        <w:rPr>
          <w:rFonts w:ascii="Times New Roman" w:hAnsi="Times New Roman"/>
          <w:sz w:val="26"/>
          <w:szCs w:val="26"/>
        </w:rPr>
      </w:pPr>
    </w:p>
    <w:p w:rsidR="00E36D6D" w:rsidRPr="005A076C" w:rsidRDefault="003C35C9" w:rsidP="000C0842">
      <w:pPr>
        <w:pStyle w:val="NoSpacing"/>
        <w:numPr>
          <w:ilvl w:val="0"/>
          <w:numId w:val="8"/>
        </w:numPr>
        <w:tabs>
          <w:tab w:val="left" w:pos="2880"/>
        </w:tabs>
        <w:spacing w:line="276" w:lineRule="auto"/>
        <w:ind w:left="2160" w:hanging="720"/>
        <w:jc w:val="both"/>
        <w:rPr>
          <w:rFonts w:ascii="Times New Roman" w:hAnsi="Times New Roman"/>
          <w:sz w:val="26"/>
          <w:szCs w:val="26"/>
        </w:rPr>
      </w:pPr>
      <w:r w:rsidRPr="005A076C">
        <w:rPr>
          <w:rFonts w:ascii="Times New Roman" w:hAnsi="Times New Roman"/>
          <w:sz w:val="26"/>
          <w:szCs w:val="26"/>
        </w:rPr>
        <w:t>flexibility in establishing the terms and conditions for the P</w:t>
      </w:r>
      <w:r w:rsidR="00085F56" w:rsidRPr="005A076C">
        <w:rPr>
          <w:rFonts w:ascii="Times New Roman" w:hAnsi="Times New Roman"/>
          <w:sz w:val="26"/>
          <w:szCs w:val="26"/>
        </w:rPr>
        <w:t>IR</w:t>
      </w:r>
      <w:r w:rsidRPr="005A076C">
        <w:rPr>
          <w:rFonts w:ascii="Times New Roman" w:hAnsi="Times New Roman"/>
          <w:sz w:val="26"/>
          <w:szCs w:val="26"/>
        </w:rPr>
        <w:t xml:space="preserve"> Bonds to accommodate changes in market conditions, </w:t>
      </w:r>
    </w:p>
    <w:p w:rsidR="00E36D6D" w:rsidRPr="005A076C" w:rsidRDefault="00E36D6D" w:rsidP="000C0842">
      <w:pPr>
        <w:pStyle w:val="NoSpacing"/>
        <w:tabs>
          <w:tab w:val="left" w:pos="2880"/>
        </w:tabs>
        <w:spacing w:line="276" w:lineRule="auto"/>
        <w:ind w:left="2160" w:hanging="720"/>
        <w:jc w:val="both"/>
        <w:rPr>
          <w:rFonts w:ascii="Times New Roman" w:hAnsi="Times New Roman"/>
          <w:sz w:val="26"/>
          <w:szCs w:val="26"/>
        </w:rPr>
      </w:pPr>
    </w:p>
    <w:p w:rsidR="00E36D6D" w:rsidRPr="005A076C" w:rsidRDefault="003C35C9" w:rsidP="000C0842">
      <w:pPr>
        <w:pStyle w:val="NoSpacing"/>
        <w:numPr>
          <w:ilvl w:val="0"/>
          <w:numId w:val="8"/>
        </w:numPr>
        <w:tabs>
          <w:tab w:val="left" w:pos="2880"/>
        </w:tabs>
        <w:spacing w:line="276" w:lineRule="auto"/>
        <w:ind w:left="2160" w:hanging="720"/>
        <w:jc w:val="both"/>
        <w:rPr>
          <w:rFonts w:ascii="Times New Roman" w:hAnsi="Times New Roman"/>
          <w:sz w:val="26"/>
          <w:szCs w:val="26"/>
        </w:rPr>
      </w:pPr>
      <w:r w:rsidRPr="005A076C">
        <w:rPr>
          <w:rFonts w:ascii="Times New Roman" w:hAnsi="Times New Roman"/>
          <w:sz w:val="26"/>
          <w:szCs w:val="26"/>
        </w:rPr>
        <w:t>the ability to issue P</w:t>
      </w:r>
      <w:r w:rsidR="00085F56" w:rsidRPr="005A076C">
        <w:rPr>
          <w:rFonts w:ascii="Times New Roman" w:hAnsi="Times New Roman"/>
          <w:sz w:val="26"/>
          <w:szCs w:val="26"/>
        </w:rPr>
        <w:t>IR</w:t>
      </w:r>
      <w:r w:rsidRPr="005A076C">
        <w:rPr>
          <w:rFonts w:ascii="Times New Roman" w:hAnsi="Times New Roman"/>
          <w:sz w:val="26"/>
          <w:szCs w:val="26"/>
        </w:rPr>
        <w:t xml:space="preserve"> Bonds and to effect correlated assignments, sales, pledges, and other transfers of P</w:t>
      </w:r>
      <w:r w:rsidR="00085F56" w:rsidRPr="005A076C">
        <w:rPr>
          <w:rFonts w:ascii="Times New Roman" w:hAnsi="Times New Roman"/>
          <w:sz w:val="26"/>
          <w:szCs w:val="26"/>
        </w:rPr>
        <w:t>IR</w:t>
      </w:r>
      <w:r w:rsidRPr="005A076C">
        <w:rPr>
          <w:rFonts w:ascii="Times New Roman" w:hAnsi="Times New Roman"/>
          <w:sz w:val="26"/>
          <w:szCs w:val="26"/>
        </w:rPr>
        <w:t xml:space="preserve"> Property</w:t>
      </w:r>
      <w:r w:rsidR="00A63D2B" w:rsidRPr="005A076C">
        <w:rPr>
          <w:rFonts w:ascii="Times New Roman" w:hAnsi="Times New Roman"/>
          <w:sz w:val="26"/>
          <w:szCs w:val="26"/>
        </w:rPr>
        <w:t xml:space="preserve">; </w:t>
      </w:r>
    </w:p>
    <w:p w:rsidR="00E36D6D" w:rsidRPr="005A076C" w:rsidRDefault="00E36D6D" w:rsidP="000C0842">
      <w:pPr>
        <w:pStyle w:val="NoSpacing"/>
        <w:tabs>
          <w:tab w:val="left" w:pos="2880"/>
        </w:tabs>
        <w:spacing w:line="276" w:lineRule="auto"/>
        <w:ind w:left="2160" w:hanging="720"/>
        <w:jc w:val="both"/>
        <w:rPr>
          <w:rFonts w:ascii="Times New Roman" w:hAnsi="Times New Roman"/>
          <w:sz w:val="26"/>
          <w:szCs w:val="26"/>
        </w:rPr>
      </w:pPr>
    </w:p>
    <w:p w:rsidR="003C35C9" w:rsidRPr="005A076C" w:rsidRDefault="003C35C9" w:rsidP="000C0842">
      <w:pPr>
        <w:pStyle w:val="NoSpacing"/>
        <w:numPr>
          <w:ilvl w:val="0"/>
          <w:numId w:val="8"/>
        </w:numPr>
        <w:tabs>
          <w:tab w:val="left" w:pos="2880"/>
        </w:tabs>
        <w:spacing w:line="276" w:lineRule="auto"/>
        <w:ind w:left="2160" w:hanging="720"/>
        <w:jc w:val="both"/>
        <w:rPr>
          <w:rFonts w:ascii="Times New Roman" w:hAnsi="Times New Roman"/>
          <w:sz w:val="26"/>
          <w:szCs w:val="26"/>
        </w:rPr>
      </w:pPr>
      <w:r w:rsidRPr="005A076C">
        <w:rPr>
          <w:rFonts w:ascii="Times New Roman" w:hAnsi="Times New Roman"/>
          <w:sz w:val="26"/>
          <w:szCs w:val="26"/>
        </w:rPr>
        <w:t xml:space="preserve"> </w:t>
      </w:r>
      <w:r w:rsidR="00E36D6D" w:rsidRPr="005A076C">
        <w:rPr>
          <w:rFonts w:ascii="Times New Roman" w:hAnsi="Times New Roman"/>
          <w:sz w:val="26"/>
          <w:szCs w:val="26"/>
        </w:rPr>
        <w:t>a</w:t>
      </w:r>
      <w:r w:rsidRPr="005A076C">
        <w:rPr>
          <w:rFonts w:ascii="Times New Roman" w:hAnsi="Times New Roman"/>
          <w:sz w:val="26"/>
          <w:szCs w:val="26"/>
        </w:rPr>
        <w:t>pproval of the Final Tariff Sheet and associated adjustment mecha</w:t>
      </w:r>
      <w:r w:rsidR="00DB6C5E">
        <w:rPr>
          <w:rFonts w:ascii="Times New Roman" w:hAnsi="Times New Roman"/>
          <w:sz w:val="26"/>
          <w:szCs w:val="26"/>
        </w:rPr>
        <w:softHyphen/>
      </w:r>
      <w:r w:rsidRPr="005A076C">
        <w:rPr>
          <w:rFonts w:ascii="Times New Roman" w:hAnsi="Times New Roman"/>
          <w:sz w:val="26"/>
          <w:szCs w:val="26"/>
        </w:rPr>
        <w:t xml:space="preserve">nism, </w:t>
      </w:r>
    </w:p>
    <w:p w:rsidR="003C35C9" w:rsidRPr="005A076C" w:rsidRDefault="003C35C9" w:rsidP="000C0842">
      <w:pPr>
        <w:pStyle w:val="NoSpacing"/>
        <w:tabs>
          <w:tab w:val="left" w:pos="2880"/>
        </w:tabs>
        <w:spacing w:line="276" w:lineRule="auto"/>
        <w:ind w:left="2160" w:hanging="720"/>
        <w:jc w:val="both"/>
        <w:rPr>
          <w:rFonts w:ascii="Times New Roman" w:hAnsi="Times New Roman"/>
          <w:sz w:val="26"/>
          <w:szCs w:val="26"/>
        </w:rPr>
      </w:pPr>
    </w:p>
    <w:p w:rsidR="00A63D2B" w:rsidRPr="005A076C" w:rsidRDefault="003C35C9" w:rsidP="000C0842">
      <w:pPr>
        <w:pStyle w:val="NoSpacing"/>
        <w:tabs>
          <w:tab w:val="left" w:pos="2880"/>
        </w:tabs>
        <w:spacing w:line="276" w:lineRule="auto"/>
        <w:ind w:left="2160" w:hanging="720"/>
        <w:jc w:val="both"/>
        <w:rPr>
          <w:rFonts w:ascii="Times New Roman" w:hAnsi="Times New Roman"/>
          <w:sz w:val="26"/>
          <w:szCs w:val="26"/>
        </w:rPr>
      </w:pPr>
      <w:r w:rsidRPr="005A076C">
        <w:rPr>
          <w:rFonts w:ascii="Times New Roman" w:hAnsi="Times New Roman"/>
          <w:sz w:val="26"/>
          <w:szCs w:val="26"/>
        </w:rPr>
        <w:t>(</w:t>
      </w:r>
      <w:r w:rsidR="008B2100" w:rsidRPr="005A076C">
        <w:rPr>
          <w:rFonts w:ascii="Times New Roman" w:hAnsi="Times New Roman"/>
          <w:sz w:val="26"/>
          <w:szCs w:val="26"/>
        </w:rPr>
        <w:t>l</w:t>
      </w:r>
      <w:r w:rsidRPr="005A076C">
        <w:rPr>
          <w:rFonts w:ascii="Times New Roman" w:hAnsi="Times New Roman"/>
          <w:sz w:val="26"/>
          <w:szCs w:val="26"/>
        </w:rPr>
        <w:t xml:space="preserve">) </w:t>
      </w:r>
      <w:r w:rsidR="000C0842">
        <w:rPr>
          <w:rFonts w:ascii="Times New Roman" w:hAnsi="Times New Roman"/>
          <w:sz w:val="26"/>
          <w:szCs w:val="26"/>
        </w:rPr>
        <w:tab/>
      </w:r>
      <w:r w:rsidRPr="005A076C">
        <w:rPr>
          <w:rFonts w:ascii="Times New Roman" w:hAnsi="Times New Roman"/>
          <w:sz w:val="26"/>
          <w:szCs w:val="26"/>
        </w:rPr>
        <w:t xml:space="preserve">approval of the proposed bill message, and </w:t>
      </w:r>
    </w:p>
    <w:p w:rsidR="00A63D2B" w:rsidRPr="005A076C" w:rsidRDefault="00A63D2B" w:rsidP="000C0842">
      <w:pPr>
        <w:pStyle w:val="NoSpacing"/>
        <w:tabs>
          <w:tab w:val="left" w:pos="2880"/>
        </w:tabs>
        <w:spacing w:line="276" w:lineRule="auto"/>
        <w:ind w:left="2160" w:hanging="720"/>
        <w:jc w:val="both"/>
        <w:rPr>
          <w:rFonts w:ascii="Times New Roman" w:hAnsi="Times New Roman"/>
          <w:sz w:val="26"/>
          <w:szCs w:val="26"/>
        </w:rPr>
      </w:pPr>
    </w:p>
    <w:p w:rsidR="003C35C9" w:rsidRPr="005A076C" w:rsidRDefault="00E070A4" w:rsidP="000C0842">
      <w:pPr>
        <w:pStyle w:val="NoSpacing"/>
        <w:tabs>
          <w:tab w:val="left" w:pos="1800"/>
        </w:tabs>
        <w:spacing w:line="276" w:lineRule="auto"/>
        <w:ind w:left="2160" w:hanging="720"/>
        <w:jc w:val="both"/>
        <w:rPr>
          <w:rFonts w:ascii="Times New Roman" w:hAnsi="Times New Roman"/>
          <w:sz w:val="26"/>
          <w:szCs w:val="26"/>
        </w:rPr>
      </w:pPr>
      <w:r w:rsidRPr="005A076C">
        <w:rPr>
          <w:rFonts w:ascii="Times New Roman" w:hAnsi="Times New Roman"/>
          <w:sz w:val="26"/>
          <w:szCs w:val="26"/>
        </w:rPr>
        <w:t>(m)</w:t>
      </w:r>
      <w:r w:rsidR="00EB2574" w:rsidRPr="005A076C">
        <w:rPr>
          <w:rFonts w:ascii="Times New Roman" w:hAnsi="Times New Roman"/>
          <w:sz w:val="26"/>
          <w:szCs w:val="26"/>
        </w:rPr>
        <w:t xml:space="preserve"> </w:t>
      </w:r>
      <w:r w:rsidR="000C0842">
        <w:rPr>
          <w:rFonts w:ascii="Times New Roman" w:hAnsi="Times New Roman"/>
          <w:sz w:val="26"/>
          <w:szCs w:val="26"/>
        </w:rPr>
        <w:tab/>
      </w:r>
      <w:r w:rsidR="003C35C9" w:rsidRPr="005A076C">
        <w:rPr>
          <w:rFonts w:ascii="Times New Roman" w:hAnsi="Times New Roman"/>
          <w:sz w:val="26"/>
          <w:szCs w:val="26"/>
        </w:rPr>
        <w:t>all of the determinations and descriptions required by</w:t>
      </w:r>
      <w:r w:rsidR="0007354B" w:rsidRPr="005A076C">
        <w:rPr>
          <w:rFonts w:ascii="Times New Roman" w:hAnsi="Times New Roman"/>
          <w:sz w:val="26"/>
          <w:szCs w:val="26"/>
        </w:rPr>
        <w:t xml:space="preserve"> Section </w:t>
      </w:r>
      <w:r w:rsidR="008B2100" w:rsidRPr="005A076C">
        <w:rPr>
          <w:rFonts w:ascii="Times New Roman" w:hAnsi="Times New Roman"/>
          <w:sz w:val="26"/>
          <w:szCs w:val="26"/>
        </w:rPr>
        <w:t xml:space="preserve">  </w:t>
      </w:r>
      <w:r w:rsidR="0007354B" w:rsidRPr="005A076C">
        <w:rPr>
          <w:rFonts w:ascii="Times New Roman" w:hAnsi="Times New Roman"/>
          <w:sz w:val="26"/>
          <w:szCs w:val="26"/>
        </w:rPr>
        <w:t>928.232, Revised Code.</w:t>
      </w:r>
      <w:r w:rsidR="003C35C9" w:rsidRPr="005A076C">
        <w:rPr>
          <w:rFonts w:ascii="Times New Roman" w:hAnsi="Times New Roman"/>
          <w:sz w:val="26"/>
          <w:szCs w:val="26"/>
        </w:rPr>
        <w:t xml:space="preserve"> </w:t>
      </w:r>
    </w:p>
    <w:p w:rsidR="003C35C9" w:rsidRPr="005A076C" w:rsidRDefault="003C35C9" w:rsidP="00E070A4">
      <w:pPr>
        <w:pStyle w:val="NoSpacing"/>
        <w:spacing w:line="276" w:lineRule="auto"/>
        <w:ind w:hanging="360"/>
        <w:jc w:val="both"/>
        <w:rPr>
          <w:rFonts w:ascii="Times New Roman" w:hAnsi="Times New Roman"/>
          <w:sz w:val="26"/>
          <w:szCs w:val="26"/>
        </w:rPr>
      </w:pPr>
    </w:p>
    <w:p w:rsidR="003C35C9" w:rsidRPr="005A076C" w:rsidRDefault="003C35C9" w:rsidP="00EC7D46">
      <w:pPr>
        <w:pStyle w:val="NoSpacing"/>
        <w:numPr>
          <w:ilvl w:val="0"/>
          <w:numId w:val="7"/>
        </w:numPr>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Find that the proposed securitization, consistent with market conditions, measurably provides cost savings to customers and mitigates rate impacts to customers as compared to the existing cost recovery method for the Deferred Balance Amount; </w:t>
      </w:r>
    </w:p>
    <w:p w:rsidR="00D35962" w:rsidRPr="005A076C" w:rsidRDefault="00D35962" w:rsidP="00EC7D46">
      <w:pPr>
        <w:pStyle w:val="NoSpacing"/>
        <w:spacing w:line="276" w:lineRule="auto"/>
        <w:ind w:left="1440" w:hanging="720"/>
        <w:jc w:val="both"/>
        <w:rPr>
          <w:rFonts w:ascii="Times New Roman" w:hAnsi="Times New Roman"/>
          <w:sz w:val="26"/>
          <w:szCs w:val="26"/>
        </w:rPr>
      </w:pPr>
    </w:p>
    <w:p w:rsidR="003C35C9" w:rsidRPr="005A076C" w:rsidRDefault="003C35C9" w:rsidP="00EC7D46">
      <w:pPr>
        <w:pStyle w:val="NoSpacing"/>
        <w:numPr>
          <w:ilvl w:val="0"/>
          <w:numId w:val="7"/>
        </w:numPr>
        <w:spacing w:line="276" w:lineRule="auto"/>
        <w:ind w:left="1440" w:hanging="720"/>
        <w:jc w:val="both"/>
        <w:rPr>
          <w:rFonts w:ascii="Times New Roman" w:hAnsi="Times New Roman"/>
          <w:sz w:val="26"/>
          <w:szCs w:val="26"/>
        </w:rPr>
      </w:pPr>
      <w:r w:rsidRPr="005A076C">
        <w:rPr>
          <w:rFonts w:ascii="Times New Roman" w:hAnsi="Times New Roman"/>
          <w:sz w:val="26"/>
          <w:szCs w:val="26"/>
        </w:rPr>
        <w:t>Require that OPCo file with the Commission, no later than the end of the second business day after the pricing date for a series of P</w:t>
      </w:r>
      <w:r w:rsidR="00085F56" w:rsidRPr="005A076C">
        <w:rPr>
          <w:rFonts w:ascii="Times New Roman" w:hAnsi="Times New Roman"/>
          <w:sz w:val="26"/>
          <w:szCs w:val="26"/>
        </w:rPr>
        <w:t>IR</w:t>
      </w:r>
      <w:r w:rsidRPr="005A076C">
        <w:rPr>
          <w:rFonts w:ascii="Times New Roman" w:hAnsi="Times New Roman"/>
          <w:sz w:val="26"/>
          <w:szCs w:val="26"/>
        </w:rPr>
        <w:t xml:space="preserve"> Bonds, an</w:t>
      </w:r>
      <w:r w:rsidR="00734D97" w:rsidRPr="005A076C">
        <w:rPr>
          <w:rFonts w:ascii="Times New Roman" w:hAnsi="Times New Roman"/>
          <w:sz w:val="26"/>
          <w:szCs w:val="26"/>
        </w:rPr>
        <w:t xml:space="preserve"> </w:t>
      </w:r>
      <w:r w:rsidRPr="005A076C">
        <w:rPr>
          <w:rFonts w:ascii="Times New Roman" w:hAnsi="Times New Roman"/>
          <w:sz w:val="26"/>
          <w:szCs w:val="26"/>
        </w:rPr>
        <w:t>Issuance Advice Letter (in the form attached as Exhibit I</w:t>
      </w:r>
      <w:r w:rsidR="00085F56" w:rsidRPr="005A076C">
        <w:rPr>
          <w:rFonts w:ascii="Times New Roman" w:hAnsi="Times New Roman"/>
          <w:sz w:val="26"/>
          <w:szCs w:val="26"/>
        </w:rPr>
        <w:t xml:space="preserve"> to the Applica</w:t>
      </w:r>
      <w:r w:rsidR="00DB6C5E">
        <w:rPr>
          <w:rFonts w:ascii="Times New Roman" w:hAnsi="Times New Roman"/>
          <w:sz w:val="26"/>
          <w:szCs w:val="26"/>
        </w:rPr>
        <w:softHyphen/>
      </w:r>
      <w:r w:rsidR="00085F56" w:rsidRPr="005A076C">
        <w:rPr>
          <w:rFonts w:ascii="Times New Roman" w:hAnsi="Times New Roman"/>
          <w:sz w:val="26"/>
          <w:szCs w:val="26"/>
        </w:rPr>
        <w:lastRenderedPageBreak/>
        <w:t>tion</w:t>
      </w:r>
      <w:r w:rsidRPr="005A076C">
        <w:rPr>
          <w:rFonts w:ascii="Times New Roman" w:hAnsi="Times New Roman"/>
          <w:sz w:val="26"/>
          <w:szCs w:val="26"/>
        </w:rPr>
        <w:t>) that reports the actual dollar amount of the initial P</w:t>
      </w:r>
      <w:r w:rsidR="00085F56" w:rsidRPr="005A076C">
        <w:rPr>
          <w:rFonts w:ascii="Times New Roman" w:hAnsi="Times New Roman"/>
          <w:sz w:val="26"/>
          <w:szCs w:val="26"/>
        </w:rPr>
        <w:t>IR</w:t>
      </w:r>
      <w:r w:rsidRPr="005A076C">
        <w:rPr>
          <w:rFonts w:ascii="Times New Roman" w:hAnsi="Times New Roman"/>
          <w:sz w:val="26"/>
          <w:szCs w:val="26"/>
        </w:rPr>
        <w:t xml:space="preserve"> Charges and other information specific to the P</w:t>
      </w:r>
      <w:r w:rsidR="00085F56" w:rsidRPr="005A076C">
        <w:rPr>
          <w:rFonts w:ascii="Times New Roman" w:hAnsi="Times New Roman"/>
          <w:sz w:val="26"/>
          <w:szCs w:val="26"/>
        </w:rPr>
        <w:t>IR</w:t>
      </w:r>
      <w:r w:rsidRPr="005A076C">
        <w:rPr>
          <w:rFonts w:ascii="Times New Roman" w:hAnsi="Times New Roman"/>
          <w:sz w:val="26"/>
          <w:szCs w:val="26"/>
        </w:rPr>
        <w:t xml:space="preserve"> Bonds to be issued, including the Final Tariff </w:t>
      </w:r>
      <w:r w:rsidR="00136B13" w:rsidRPr="005A076C">
        <w:rPr>
          <w:rFonts w:ascii="Times New Roman" w:hAnsi="Times New Roman"/>
          <w:sz w:val="26"/>
          <w:szCs w:val="26"/>
        </w:rPr>
        <w:t>S</w:t>
      </w:r>
      <w:r w:rsidRPr="005A076C">
        <w:rPr>
          <w:rFonts w:ascii="Times New Roman" w:hAnsi="Times New Roman"/>
          <w:sz w:val="26"/>
          <w:szCs w:val="26"/>
        </w:rPr>
        <w:t xml:space="preserve">heet; </w:t>
      </w:r>
    </w:p>
    <w:p w:rsidR="003C35C9" w:rsidRPr="005A076C" w:rsidRDefault="003C35C9" w:rsidP="00E070A4">
      <w:pPr>
        <w:pStyle w:val="NoSpacing"/>
        <w:spacing w:line="276" w:lineRule="auto"/>
        <w:ind w:left="1440" w:hanging="360"/>
        <w:jc w:val="both"/>
        <w:rPr>
          <w:rFonts w:ascii="Times New Roman" w:hAnsi="Times New Roman"/>
          <w:sz w:val="26"/>
          <w:szCs w:val="26"/>
        </w:rPr>
      </w:pPr>
    </w:p>
    <w:p w:rsidR="003C35C9" w:rsidRPr="005A076C" w:rsidRDefault="003C35C9" w:rsidP="00EC7D46">
      <w:pPr>
        <w:pStyle w:val="NoSpacing"/>
        <w:numPr>
          <w:ilvl w:val="0"/>
          <w:numId w:val="7"/>
        </w:numPr>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Make such other findings and issue such other orders as requested by OPCo in this Application; and </w:t>
      </w:r>
    </w:p>
    <w:p w:rsidR="003C35C9" w:rsidRPr="005A076C" w:rsidRDefault="003C35C9" w:rsidP="00EC7D46">
      <w:pPr>
        <w:pStyle w:val="NoSpacing"/>
        <w:spacing w:line="276" w:lineRule="auto"/>
        <w:ind w:left="1440" w:hanging="720"/>
        <w:jc w:val="both"/>
        <w:rPr>
          <w:rFonts w:ascii="Times New Roman" w:hAnsi="Times New Roman"/>
          <w:sz w:val="26"/>
          <w:szCs w:val="26"/>
        </w:rPr>
      </w:pPr>
    </w:p>
    <w:p w:rsidR="003C35C9" w:rsidRPr="005A076C" w:rsidRDefault="003C35C9" w:rsidP="00EC7D46">
      <w:pPr>
        <w:pStyle w:val="NoSpacing"/>
        <w:numPr>
          <w:ilvl w:val="0"/>
          <w:numId w:val="7"/>
        </w:numPr>
        <w:spacing w:line="276" w:lineRule="auto"/>
        <w:ind w:left="1440" w:hanging="720"/>
        <w:jc w:val="both"/>
        <w:rPr>
          <w:rFonts w:ascii="Times New Roman" w:hAnsi="Times New Roman"/>
          <w:sz w:val="26"/>
          <w:szCs w:val="26"/>
        </w:rPr>
      </w:pPr>
      <w:r w:rsidRPr="005A076C">
        <w:rPr>
          <w:rFonts w:ascii="Times New Roman" w:hAnsi="Times New Roman"/>
          <w:sz w:val="26"/>
          <w:szCs w:val="26"/>
        </w:rPr>
        <w:t>Grant such other and further orders and approvals as it may deem necessary or proper under the circumstances</w:t>
      </w:r>
      <w:r w:rsidR="00896A7E">
        <w:rPr>
          <w:rFonts w:ascii="Times New Roman" w:hAnsi="Times New Roman"/>
          <w:sz w:val="26"/>
          <w:szCs w:val="26"/>
        </w:rPr>
        <w:t>.</w:t>
      </w:r>
    </w:p>
    <w:p w:rsidR="00734D97" w:rsidRPr="005A076C" w:rsidRDefault="00734D97" w:rsidP="00E070A4">
      <w:pPr>
        <w:spacing w:line="276" w:lineRule="auto"/>
        <w:ind w:left="1440" w:hanging="360"/>
        <w:jc w:val="both"/>
        <w:rPr>
          <w:sz w:val="24"/>
          <w:szCs w:val="24"/>
        </w:rPr>
      </w:pPr>
    </w:p>
    <w:p w:rsidR="00734D97" w:rsidRPr="005A076C" w:rsidRDefault="005A076C" w:rsidP="005A076C">
      <w:pPr>
        <w:pStyle w:val="textstyle0"/>
      </w:pPr>
      <w:r>
        <w:tab/>
      </w:r>
      <w:r w:rsidR="003934F4" w:rsidRPr="005A076C">
        <w:t>OPCo requests that the Commission consider and approve the securitization and all related matters requested in this Application on an expedited basis by October 1, 2012</w:t>
      </w:r>
      <w:r>
        <w:t>.</w:t>
      </w:r>
      <w:r>
        <w:tab/>
      </w:r>
      <w:r w:rsidR="00F17F05" w:rsidRPr="005A076C">
        <w:t>This is within the 135-day timeline set forth in Section 4928.232(C)(1), Revised Code</w:t>
      </w:r>
      <w:r w:rsidR="000C0842" w:rsidRPr="005A076C">
        <w:t xml:space="preserve">.  </w:t>
      </w:r>
      <w:r w:rsidR="003934F4" w:rsidRPr="005A076C">
        <w:t xml:space="preserve">OPCo states that such expedited treatment will permit the PIR Bonds to be issued in a timely fashion to take advantage of historically low interest rates and the currently functioning credit markets, and that the savings for customers expected to arise from the implementation of this Application may start being realized as soon as possible. </w:t>
      </w:r>
    </w:p>
    <w:p w:rsidR="00851A50" w:rsidRPr="005A076C" w:rsidRDefault="005A076C" w:rsidP="005A076C">
      <w:pPr>
        <w:pStyle w:val="textstyle0"/>
      </w:pPr>
      <w:r>
        <w:tab/>
      </w:r>
      <w:r w:rsidR="00851A50" w:rsidRPr="005A076C">
        <w:t xml:space="preserve">On August 1, 2012, </w:t>
      </w:r>
      <w:r w:rsidR="00053B61" w:rsidRPr="005A076C">
        <w:t>the Office of the Ohio Consumers’ Counsel filed a Motion to Inter</w:t>
      </w:r>
      <w:r w:rsidR="00053B61" w:rsidRPr="005A076C">
        <w:softHyphen/>
        <w:t>vene and Memorandum in support in this proceeding.</w:t>
      </w:r>
    </w:p>
    <w:p w:rsidR="00FF5711" w:rsidRPr="005A076C" w:rsidRDefault="005A076C" w:rsidP="005A076C">
      <w:pPr>
        <w:pStyle w:val="textstyle0"/>
      </w:pPr>
      <w:r>
        <w:tab/>
      </w:r>
      <w:r w:rsidR="00FF5711" w:rsidRPr="005A076C">
        <w:t xml:space="preserve">On </w:t>
      </w:r>
      <w:r w:rsidR="00053B61" w:rsidRPr="005A076C">
        <w:t xml:space="preserve">August 14, </w:t>
      </w:r>
      <w:r w:rsidR="00FF5711" w:rsidRPr="005A076C">
        <w:t xml:space="preserve">2012, the attorney examiner (AE) issued an Entry in this proceeding establishing a comment period to afford all interested persons the opportunity to provide comments on the Application filed by </w:t>
      </w:r>
      <w:r w:rsidR="00053B61" w:rsidRPr="005A076C">
        <w:t>OPCo.</w:t>
      </w:r>
      <w:r w:rsidR="00FF5711" w:rsidRPr="005A076C">
        <w:t xml:space="preserve">  The Entry</w:t>
      </w:r>
      <w:r w:rsidR="00053B61" w:rsidRPr="005A076C">
        <w:t>, among other things,</w:t>
      </w:r>
      <w:r w:rsidR="00FF5711" w:rsidRPr="005A076C">
        <w:t xml:space="preserve"> stated that all initial comments and </w:t>
      </w:r>
      <w:r w:rsidR="0058526F">
        <w:t>r</w:t>
      </w:r>
      <w:r w:rsidR="00FF5711" w:rsidRPr="005A076C">
        <w:t xml:space="preserve">eply comments should be filed with the Commission by no later than </w:t>
      </w:r>
      <w:r w:rsidR="00053B61" w:rsidRPr="005A076C">
        <w:t>September 14,</w:t>
      </w:r>
      <w:r w:rsidR="00FF5711" w:rsidRPr="005A076C">
        <w:t xml:space="preserve"> 2012, and </w:t>
      </w:r>
      <w:r w:rsidR="00053B61" w:rsidRPr="005A076C">
        <w:t>September 28</w:t>
      </w:r>
      <w:r w:rsidR="00FF5711" w:rsidRPr="005A076C">
        <w:t>, 2012, respectively.</w:t>
      </w:r>
      <w:r w:rsidR="00053B61" w:rsidRPr="005A076C">
        <w:t xml:space="preserve">  T</w:t>
      </w:r>
      <w:r w:rsidR="00FF5711" w:rsidRPr="005A076C">
        <w:t>he AE</w:t>
      </w:r>
      <w:r w:rsidR="00053B61" w:rsidRPr="005A076C">
        <w:t>’s</w:t>
      </w:r>
      <w:r w:rsidR="00FF5711" w:rsidRPr="005A076C">
        <w:t xml:space="preserve"> Entry </w:t>
      </w:r>
      <w:r w:rsidR="00053B61" w:rsidRPr="005A076C">
        <w:t xml:space="preserve">also </w:t>
      </w:r>
      <w:r w:rsidR="00FF5711" w:rsidRPr="005A076C">
        <w:t>suspend</w:t>
      </w:r>
      <w:r w:rsidR="00053B61" w:rsidRPr="005A076C">
        <w:t>ed</w:t>
      </w:r>
      <w:r w:rsidR="00FF5711" w:rsidRPr="005A076C">
        <w:t xml:space="preserve"> the automatic approval time frame regarding customer bill formats to allow for </w:t>
      </w:r>
      <w:r w:rsidR="00FF5711" w:rsidRPr="005A076C">
        <w:lastRenderedPageBreak/>
        <w:t>the Commission to fully review the Application in its totality and in order to fully con</w:t>
      </w:r>
      <w:r w:rsidR="00DB6C5E">
        <w:softHyphen/>
      </w:r>
      <w:r w:rsidR="00FF5711" w:rsidRPr="005A076C">
        <w:t>sider the entire record in this matter, including the forthcoming public comments.</w:t>
      </w:r>
    </w:p>
    <w:p w:rsidR="00AD151F" w:rsidRPr="005A076C" w:rsidRDefault="00734D97" w:rsidP="005A076C">
      <w:pPr>
        <w:pStyle w:val="Heading2"/>
      </w:pPr>
      <w:bookmarkStart w:id="26" w:name="_Toc335401734"/>
      <w:r w:rsidRPr="005A076C">
        <w:t>C.</w:t>
      </w:r>
      <w:r w:rsidRPr="005A076C">
        <w:tab/>
      </w:r>
      <w:r w:rsidR="00AD151F" w:rsidRPr="005A076C">
        <w:t>Securitization Structure</w:t>
      </w:r>
      <w:bookmarkEnd w:id="26"/>
      <w:r w:rsidR="00AD151F" w:rsidRPr="005A076C">
        <w:t xml:space="preserve">  </w:t>
      </w:r>
    </w:p>
    <w:p w:rsidR="00EB7EC9" w:rsidRPr="005A076C" w:rsidRDefault="005A076C" w:rsidP="005A076C">
      <w:pPr>
        <w:pStyle w:val="textstyle0"/>
      </w:pPr>
      <w:r>
        <w:tab/>
      </w:r>
      <w:r w:rsidR="00FF5711" w:rsidRPr="005A076C">
        <w:t xml:space="preserve">For the purposes of the securitization transaction, </w:t>
      </w:r>
      <w:r w:rsidR="00EB7EC9" w:rsidRPr="005A076C">
        <w:t>OPCo</w:t>
      </w:r>
      <w:r w:rsidR="00FF5711" w:rsidRPr="005A076C">
        <w:t xml:space="preserve"> will form a sepa</w:t>
      </w:r>
      <w:r w:rsidR="00596570" w:rsidRPr="005A076C">
        <w:softHyphen/>
      </w:r>
      <w:r w:rsidR="00FF5711" w:rsidRPr="005A076C">
        <w:t xml:space="preserve">rate, wholly-owned limited liability company, which is expected to be organized in Delaware, as a special purpose entity (SPE).  </w:t>
      </w:r>
      <w:r w:rsidR="00EB7EC9" w:rsidRPr="005A076C">
        <w:t>OPCo</w:t>
      </w:r>
      <w:r w:rsidR="00FF5711" w:rsidRPr="005A076C">
        <w:t xml:space="preserve"> will then transfer, sell or assign its P</w:t>
      </w:r>
      <w:r w:rsidR="00EB7EC9" w:rsidRPr="005A076C">
        <w:t>IR</w:t>
      </w:r>
      <w:r w:rsidR="00FF5711" w:rsidRPr="005A076C">
        <w:t xml:space="preserve"> Property to </w:t>
      </w:r>
      <w:r w:rsidR="00EB7EC9" w:rsidRPr="005A076C">
        <w:t>the</w:t>
      </w:r>
      <w:r w:rsidR="00FF5711" w:rsidRPr="005A076C">
        <w:t xml:space="preserve"> SPE.  A structure/transaction flow chart has been provided as Exhibit </w:t>
      </w:r>
      <w:r w:rsidR="00EB7EC9" w:rsidRPr="005A076C">
        <w:t>H</w:t>
      </w:r>
      <w:r w:rsidR="00FF5711" w:rsidRPr="005A076C">
        <w:t xml:space="preserve"> to the Application.  </w:t>
      </w:r>
      <w:r w:rsidR="00EB7EC9" w:rsidRPr="005A076C">
        <w:t xml:space="preserve">OPCo </w:t>
      </w:r>
      <w:r w:rsidR="00FF5711" w:rsidRPr="005A076C">
        <w:t>request</w:t>
      </w:r>
      <w:r w:rsidR="00EB7EC9" w:rsidRPr="005A076C">
        <w:t>s</w:t>
      </w:r>
      <w:r w:rsidR="00FF5711" w:rsidRPr="005A076C">
        <w:t xml:space="preserve"> that the </w:t>
      </w:r>
      <w:r w:rsidR="00EB7EC9" w:rsidRPr="005A076C">
        <w:t>F</w:t>
      </w:r>
      <w:r w:rsidR="00FF5711" w:rsidRPr="005A076C">
        <w:t xml:space="preserve">inancing Order confirm the formation of </w:t>
      </w:r>
      <w:r w:rsidR="00EB7EC9" w:rsidRPr="005A076C">
        <w:t>the</w:t>
      </w:r>
      <w:r w:rsidR="00FF5711" w:rsidRPr="005A076C">
        <w:t xml:space="preserve"> SPE, the sale of P</w:t>
      </w:r>
      <w:r w:rsidR="00EB7EC9" w:rsidRPr="005A076C">
        <w:t>IR</w:t>
      </w:r>
      <w:r w:rsidR="00FF5711" w:rsidRPr="005A076C">
        <w:t xml:space="preserve"> Property to </w:t>
      </w:r>
      <w:r w:rsidR="00EB7EC9" w:rsidRPr="005A076C">
        <w:t xml:space="preserve">the </w:t>
      </w:r>
      <w:r w:rsidR="00FF5711" w:rsidRPr="005A076C">
        <w:t xml:space="preserve">SPE, and the issuance by </w:t>
      </w:r>
      <w:r w:rsidR="00EB7EC9" w:rsidRPr="005A076C">
        <w:t>the</w:t>
      </w:r>
      <w:r w:rsidR="00FF5711" w:rsidRPr="005A076C">
        <w:t xml:space="preserve"> SPE of PIR Bonds secured by the P</w:t>
      </w:r>
      <w:r w:rsidR="00EB7EC9" w:rsidRPr="005A076C">
        <w:t>IR</w:t>
      </w:r>
      <w:r w:rsidR="00FF5711" w:rsidRPr="005A076C">
        <w:t xml:space="preserve"> Property</w:t>
      </w:r>
      <w:r w:rsidR="00EB7EC9" w:rsidRPr="005A076C">
        <w:t>, including PIR Charges and other a</w:t>
      </w:r>
      <w:r w:rsidR="00A21111" w:rsidRPr="005A076C">
        <w:t>s</w:t>
      </w:r>
      <w:r w:rsidR="00EB7EC9" w:rsidRPr="005A076C">
        <w:t xml:space="preserve">sets and property owned by the SPE.  </w:t>
      </w:r>
    </w:p>
    <w:p w:rsidR="00FF5711" w:rsidRPr="005A076C" w:rsidRDefault="005A076C" w:rsidP="005A076C">
      <w:pPr>
        <w:pStyle w:val="textstyle0"/>
      </w:pPr>
      <w:r>
        <w:tab/>
      </w:r>
      <w:r w:rsidR="00A21111" w:rsidRPr="005A076C">
        <w:t>The SPE will be a bankruptcy-remote, special purpose limited liability company, with its activities generally limited to certain functions as more fully described in the Application.</w:t>
      </w:r>
      <w:r w:rsidR="00FF5711" w:rsidRPr="005A076C">
        <w:t xml:space="preserve"> </w:t>
      </w:r>
    </w:p>
    <w:p w:rsidR="00903FDB" w:rsidRPr="005A076C" w:rsidRDefault="005A076C" w:rsidP="005A076C">
      <w:pPr>
        <w:pStyle w:val="textstyle0"/>
      </w:pPr>
      <w:r>
        <w:tab/>
      </w:r>
      <w:r w:rsidR="00A21111" w:rsidRPr="005A076C">
        <w:t xml:space="preserve">The SPE will establish one or more segregated trust accounts (collectively, the </w:t>
      </w:r>
      <w:r w:rsidR="000C0842">
        <w:t>“</w:t>
      </w:r>
      <w:r w:rsidR="00A21111" w:rsidRPr="005A076C">
        <w:t>Collec</w:t>
      </w:r>
      <w:r w:rsidR="00DB6C5E">
        <w:softHyphen/>
      </w:r>
      <w:r w:rsidR="00A21111" w:rsidRPr="005A076C">
        <w:t>tion Account</w:t>
      </w:r>
      <w:r w:rsidR="000C0842">
        <w:t>”</w:t>
      </w:r>
      <w:r w:rsidR="00A21111" w:rsidRPr="005A076C">
        <w:t>) into which all Phase-In-Recovery Charge remittances shall be deposited.</w:t>
      </w:r>
    </w:p>
    <w:p w:rsidR="008B2100" w:rsidRPr="005A076C" w:rsidRDefault="005A076C" w:rsidP="005A076C">
      <w:pPr>
        <w:pStyle w:val="textstyle0"/>
      </w:pPr>
      <w:r>
        <w:tab/>
      </w:r>
      <w:r w:rsidR="00903FDB" w:rsidRPr="005A076C">
        <w:t>OPCo will capitalize the SPE in an amount anticipated to be 0.50 percent of its initial principal balance of PIR Bonds, based upon guidance from the Internal Revenue Service.</w:t>
      </w:r>
      <w:r w:rsidR="00AD151F" w:rsidRPr="005A076C">
        <w:t xml:space="preserve">  </w:t>
      </w:r>
      <w:r w:rsidR="00903FDB" w:rsidRPr="005A076C">
        <w:t>The sale of PIR Property by OPCo to the SPE, as authorized under the Financing Order, will occur concurrently with the issuance of the PIR Bonds.</w:t>
      </w:r>
    </w:p>
    <w:p w:rsidR="00903FDB" w:rsidRPr="005A076C" w:rsidRDefault="005A076C" w:rsidP="005A076C">
      <w:pPr>
        <w:pStyle w:val="textstyle0"/>
      </w:pPr>
      <w:r>
        <w:lastRenderedPageBreak/>
        <w:tab/>
      </w:r>
      <w:r w:rsidR="00903FDB" w:rsidRPr="005A076C">
        <w:t>The SPE will acquire the PIR Property from OPCo using the net proceeds from the PIR Bonds</w:t>
      </w:r>
      <w:r w:rsidR="000C0842" w:rsidRPr="005A076C">
        <w:t xml:space="preserve">.  </w:t>
      </w:r>
      <w:r w:rsidR="00903FDB" w:rsidRPr="005A076C">
        <w:t>The repayment of the PIR Bonds by the SPE will be secured by, among other things, the PIR Property.</w:t>
      </w:r>
    </w:p>
    <w:p w:rsidR="0016087E" w:rsidRPr="005A076C" w:rsidRDefault="005A076C" w:rsidP="005A076C">
      <w:pPr>
        <w:pStyle w:val="textstyle0"/>
      </w:pPr>
      <w:r>
        <w:tab/>
      </w:r>
      <w:r w:rsidR="00903FDB" w:rsidRPr="005A076C">
        <w:t xml:space="preserve">OPCo states that the PIR Bonds contemplated by the transactions described in the Application will be </w:t>
      </w:r>
      <w:r w:rsidR="000C0842">
        <w:t>“</w:t>
      </w:r>
      <w:r w:rsidR="00903FDB" w:rsidRPr="005A076C">
        <w:t>asset-backed securities.</w:t>
      </w:r>
      <w:r w:rsidR="000C0842">
        <w:t>”</w:t>
      </w:r>
      <w:r w:rsidR="000C0842" w:rsidRPr="005A076C">
        <w:t xml:space="preserve">  </w:t>
      </w:r>
      <w:r w:rsidR="00903FDB" w:rsidRPr="005A076C">
        <w:t xml:space="preserve">A key feature of any asset-backed security is that the SPE owning the asset or group of assets underlying those securities be </w:t>
      </w:r>
      <w:r w:rsidR="000C0842">
        <w:t>“</w:t>
      </w:r>
      <w:r w:rsidR="00903FDB" w:rsidRPr="005A076C">
        <w:t>bank</w:t>
      </w:r>
      <w:r w:rsidR="00DB6C5E">
        <w:softHyphen/>
      </w:r>
      <w:r w:rsidR="00903FDB" w:rsidRPr="005A076C">
        <w:t>ruptcy remote</w:t>
      </w:r>
      <w:r w:rsidR="000C0842">
        <w:t>”</w:t>
      </w:r>
      <w:r w:rsidR="00903FDB" w:rsidRPr="005A076C">
        <w:t xml:space="preserve"> from the entity originating such asset or group of assets, which in this case will be OPCo</w:t>
      </w:r>
      <w:r w:rsidR="000C0842" w:rsidRPr="005A076C">
        <w:t xml:space="preserve">.  </w:t>
      </w:r>
      <w:r w:rsidR="0016087E" w:rsidRPr="005A076C">
        <w:t xml:space="preserve">These asset backed securities are insulated from the credit risks, including the possible bankruptcy, of the originating entity.  The PIR Bonds secured by the PIR Property are expected to receive a triple-A (or equivalent) credit rating from applicable rating agencies. </w:t>
      </w:r>
    </w:p>
    <w:p w:rsidR="00734D97" w:rsidRPr="005A076C" w:rsidRDefault="005A076C" w:rsidP="005A076C">
      <w:pPr>
        <w:pStyle w:val="textstyle0"/>
      </w:pPr>
      <w:r>
        <w:tab/>
      </w:r>
      <w:r w:rsidR="00C0190E" w:rsidRPr="005A076C">
        <w:t xml:space="preserve">In order to assure that the PIR Bonds receive the highest </w:t>
      </w:r>
      <w:r w:rsidR="00A42BD0" w:rsidRPr="005A076C">
        <w:t xml:space="preserve">credit </w:t>
      </w:r>
      <w:r w:rsidR="00C0190E" w:rsidRPr="005A076C">
        <w:t>ratings and to enhance their marketability, OPCo reiterates that there are a number of other structural elements and express regulatory authorizations and confirmations customarily included in a Financing Order</w:t>
      </w:r>
      <w:r w:rsidR="000C0842" w:rsidRPr="005A076C">
        <w:t xml:space="preserve">.  </w:t>
      </w:r>
      <w:r w:rsidR="00C0190E" w:rsidRPr="005A076C">
        <w:t>These structural elements, authorizations and confirmations are described in this Application and include, among others, those described in paragraphs (a) through (j) below</w:t>
      </w:r>
      <w:r w:rsidR="00442317" w:rsidRPr="005A076C">
        <w:t>:</w:t>
      </w:r>
    </w:p>
    <w:p w:rsidR="00C0190E" w:rsidRPr="005A076C" w:rsidRDefault="008B2100" w:rsidP="00EC7D46">
      <w:pPr>
        <w:pStyle w:val="NoSpacing"/>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(a) </w:t>
      </w:r>
      <w:r w:rsidR="00EC7D46">
        <w:rPr>
          <w:rFonts w:ascii="Times New Roman" w:hAnsi="Times New Roman"/>
          <w:sz w:val="26"/>
          <w:szCs w:val="26"/>
        </w:rPr>
        <w:tab/>
      </w:r>
      <w:r w:rsidR="00C0190E" w:rsidRPr="005A076C">
        <w:rPr>
          <w:rFonts w:ascii="Times New Roman" w:hAnsi="Times New Roman"/>
          <w:sz w:val="26"/>
          <w:szCs w:val="26"/>
        </w:rPr>
        <w:t xml:space="preserve">The irrevocability; </w:t>
      </w:r>
    </w:p>
    <w:p w:rsidR="00BB653C" w:rsidRPr="005A076C" w:rsidRDefault="00BB653C" w:rsidP="00EC7D46">
      <w:pPr>
        <w:pStyle w:val="NoSpacing"/>
        <w:spacing w:line="276" w:lineRule="auto"/>
        <w:ind w:left="1440" w:hanging="720"/>
        <w:jc w:val="both"/>
        <w:rPr>
          <w:rFonts w:ascii="Times New Roman" w:hAnsi="Times New Roman"/>
          <w:sz w:val="26"/>
          <w:szCs w:val="26"/>
        </w:rPr>
      </w:pPr>
    </w:p>
    <w:p w:rsidR="00C0190E" w:rsidRPr="005A076C" w:rsidRDefault="008B2100" w:rsidP="00EC7D46">
      <w:pPr>
        <w:pStyle w:val="NoSpacing"/>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(b) </w:t>
      </w:r>
      <w:r w:rsidR="00EC7D46">
        <w:rPr>
          <w:rFonts w:ascii="Times New Roman" w:hAnsi="Times New Roman"/>
          <w:sz w:val="26"/>
          <w:szCs w:val="26"/>
        </w:rPr>
        <w:tab/>
      </w:r>
      <w:r w:rsidR="00C0190E" w:rsidRPr="005A076C">
        <w:rPr>
          <w:rFonts w:ascii="Times New Roman" w:hAnsi="Times New Roman"/>
          <w:sz w:val="26"/>
          <w:szCs w:val="26"/>
        </w:rPr>
        <w:t xml:space="preserve">State pledge; </w:t>
      </w:r>
    </w:p>
    <w:p w:rsidR="00BB653C" w:rsidRPr="005A076C" w:rsidRDefault="00BB653C" w:rsidP="00EC7D46">
      <w:pPr>
        <w:pStyle w:val="NoSpacing"/>
        <w:spacing w:line="276" w:lineRule="auto"/>
        <w:ind w:left="1440" w:hanging="720"/>
        <w:jc w:val="both"/>
        <w:rPr>
          <w:rFonts w:ascii="Times New Roman" w:hAnsi="Times New Roman"/>
          <w:sz w:val="26"/>
          <w:szCs w:val="26"/>
        </w:rPr>
      </w:pPr>
    </w:p>
    <w:p w:rsidR="00C0190E" w:rsidRPr="005A076C" w:rsidRDefault="00C0190E" w:rsidP="00EC7D46">
      <w:pPr>
        <w:pStyle w:val="NoSpacing"/>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(c) </w:t>
      </w:r>
      <w:r w:rsidRPr="005A076C">
        <w:rPr>
          <w:rFonts w:ascii="Times New Roman" w:hAnsi="Times New Roman"/>
          <w:sz w:val="26"/>
          <w:szCs w:val="26"/>
        </w:rPr>
        <w:tab/>
        <w:t xml:space="preserve">True sale; </w:t>
      </w:r>
    </w:p>
    <w:p w:rsidR="00BB653C" w:rsidRPr="005A076C" w:rsidRDefault="00BB653C" w:rsidP="00EC7D46">
      <w:pPr>
        <w:pStyle w:val="NoSpacing"/>
        <w:spacing w:line="276" w:lineRule="auto"/>
        <w:ind w:left="1440" w:hanging="720"/>
        <w:jc w:val="both"/>
        <w:rPr>
          <w:rFonts w:ascii="Times New Roman" w:hAnsi="Times New Roman"/>
          <w:sz w:val="26"/>
          <w:szCs w:val="26"/>
        </w:rPr>
      </w:pPr>
    </w:p>
    <w:p w:rsidR="00C0190E" w:rsidRPr="005A076C" w:rsidRDefault="00C0190E" w:rsidP="00EC7D46">
      <w:pPr>
        <w:pStyle w:val="NoSpacing"/>
        <w:spacing w:line="276" w:lineRule="auto"/>
        <w:ind w:left="1440" w:hanging="720"/>
        <w:jc w:val="both"/>
        <w:rPr>
          <w:rFonts w:ascii="Times New Roman" w:hAnsi="Times New Roman"/>
          <w:sz w:val="26"/>
          <w:szCs w:val="26"/>
        </w:rPr>
      </w:pPr>
      <w:r w:rsidRPr="005A076C">
        <w:rPr>
          <w:rFonts w:ascii="Times New Roman" w:hAnsi="Times New Roman"/>
          <w:sz w:val="26"/>
          <w:szCs w:val="26"/>
        </w:rPr>
        <w:t>(d)</w:t>
      </w:r>
      <w:r w:rsidRPr="005A076C">
        <w:rPr>
          <w:rFonts w:ascii="Times New Roman" w:hAnsi="Times New Roman"/>
          <w:sz w:val="26"/>
          <w:szCs w:val="26"/>
        </w:rPr>
        <w:tab/>
        <w:t xml:space="preserve">Successor utility; </w:t>
      </w:r>
    </w:p>
    <w:p w:rsidR="00BB653C" w:rsidRPr="005A076C" w:rsidRDefault="00BB653C" w:rsidP="00EC7D46">
      <w:pPr>
        <w:pStyle w:val="NoSpacing"/>
        <w:spacing w:line="276" w:lineRule="auto"/>
        <w:ind w:left="1440" w:hanging="720"/>
        <w:jc w:val="both"/>
        <w:rPr>
          <w:rFonts w:ascii="Times New Roman" w:hAnsi="Times New Roman"/>
          <w:sz w:val="26"/>
          <w:szCs w:val="26"/>
        </w:rPr>
      </w:pPr>
    </w:p>
    <w:p w:rsidR="00C0190E" w:rsidRPr="005A076C" w:rsidRDefault="008B2100" w:rsidP="00EC7D46">
      <w:pPr>
        <w:pStyle w:val="NoSpacing"/>
        <w:spacing w:line="276" w:lineRule="auto"/>
        <w:ind w:left="1440" w:hanging="720"/>
        <w:jc w:val="both"/>
        <w:rPr>
          <w:rFonts w:ascii="Times New Roman" w:hAnsi="Times New Roman"/>
          <w:sz w:val="26"/>
          <w:szCs w:val="26"/>
        </w:rPr>
      </w:pPr>
      <w:r w:rsidRPr="005A076C">
        <w:rPr>
          <w:rFonts w:ascii="Times New Roman" w:hAnsi="Times New Roman"/>
          <w:sz w:val="26"/>
          <w:szCs w:val="26"/>
        </w:rPr>
        <w:lastRenderedPageBreak/>
        <w:t xml:space="preserve">(e) </w:t>
      </w:r>
      <w:r w:rsidR="00EC7D46">
        <w:rPr>
          <w:rFonts w:ascii="Times New Roman" w:hAnsi="Times New Roman"/>
          <w:sz w:val="26"/>
          <w:szCs w:val="26"/>
        </w:rPr>
        <w:tab/>
      </w:r>
      <w:r w:rsidR="00C0190E" w:rsidRPr="005A076C">
        <w:rPr>
          <w:rFonts w:ascii="Times New Roman" w:hAnsi="Times New Roman"/>
          <w:sz w:val="26"/>
          <w:szCs w:val="26"/>
        </w:rPr>
        <w:t xml:space="preserve">Security interest; </w:t>
      </w:r>
    </w:p>
    <w:p w:rsidR="00BB653C" w:rsidRPr="005A076C" w:rsidRDefault="00BB653C" w:rsidP="00EC7D46">
      <w:pPr>
        <w:pStyle w:val="NoSpacing"/>
        <w:spacing w:line="276" w:lineRule="auto"/>
        <w:ind w:left="1440" w:hanging="720"/>
        <w:jc w:val="both"/>
        <w:rPr>
          <w:rFonts w:ascii="Times New Roman" w:hAnsi="Times New Roman"/>
          <w:sz w:val="26"/>
          <w:szCs w:val="26"/>
        </w:rPr>
      </w:pPr>
    </w:p>
    <w:p w:rsidR="00C0190E" w:rsidRPr="005A076C" w:rsidRDefault="00C0190E" w:rsidP="00EC7D46">
      <w:pPr>
        <w:pStyle w:val="NoSpacing"/>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(f) </w:t>
      </w:r>
      <w:r w:rsidRPr="005A076C">
        <w:rPr>
          <w:rFonts w:ascii="Times New Roman" w:hAnsi="Times New Roman"/>
          <w:sz w:val="26"/>
          <w:szCs w:val="26"/>
        </w:rPr>
        <w:tab/>
        <w:t xml:space="preserve">Bankruptcy of the electric distribution utility; </w:t>
      </w:r>
    </w:p>
    <w:p w:rsidR="00BB653C" w:rsidRPr="005A076C" w:rsidRDefault="00BB653C" w:rsidP="00EC7D46">
      <w:pPr>
        <w:pStyle w:val="NoSpacing"/>
        <w:spacing w:line="276" w:lineRule="auto"/>
        <w:ind w:left="1440" w:hanging="720"/>
        <w:jc w:val="both"/>
        <w:rPr>
          <w:rFonts w:ascii="Times New Roman" w:hAnsi="Times New Roman"/>
          <w:sz w:val="26"/>
          <w:szCs w:val="26"/>
        </w:rPr>
      </w:pPr>
    </w:p>
    <w:p w:rsidR="00BB653C" w:rsidRPr="005A076C" w:rsidRDefault="008B2100" w:rsidP="00EC7D46">
      <w:pPr>
        <w:pStyle w:val="NoSpacing"/>
        <w:spacing w:line="276" w:lineRule="auto"/>
        <w:ind w:left="1440" w:hanging="720"/>
        <w:jc w:val="both"/>
        <w:rPr>
          <w:rFonts w:ascii="Times New Roman" w:hAnsi="Times New Roman"/>
          <w:sz w:val="26"/>
          <w:szCs w:val="26"/>
        </w:rPr>
      </w:pPr>
      <w:r w:rsidRPr="005A076C">
        <w:rPr>
          <w:rFonts w:ascii="Times New Roman" w:hAnsi="Times New Roman"/>
          <w:sz w:val="26"/>
          <w:szCs w:val="26"/>
        </w:rPr>
        <w:t>(g)</w:t>
      </w:r>
      <w:r w:rsidR="00EC7D46">
        <w:rPr>
          <w:rFonts w:ascii="Times New Roman" w:hAnsi="Times New Roman"/>
          <w:sz w:val="26"/>
          <w:szCs w:val="26"/>
        </w:rPr>
        <w:tab/>
      </w:r>
      <w:r w:rsidRPr="005A076C">
        <w:rPr>
          <w:rFonts w:ascii="Times New Roman" w:hAnsi="Times New Roman"/>
          <w:sz w:val="26"/>
          <w:szCs w:val="26"/>
        </w:rPr>
        <w:t xml:space="preserve"> </w:t>
      </w:r>
      <w:r w:rsidR="00C0190E" w:rsidRPr="005A076C">
        <w:rPr>
          <w:rFonts w:ascii="Times New Roman" w:hAnsi="Times New Roman"/>
          <w:sz w:val="26"/>
          <w:szCs w:val="26"/>
        </w:rPr>
        <w:t>Non-bypassability;</w:t>
      </w:r>
    </w:p>
    <w:p w:rsidR="00C0190E" w:rsidRPr="005A076C" w:rsidRDefault="00C0190E" w:rsidP="00EC7D46">
      <w:pPr>
        <w:pStyle w:val="NoSpacing"/>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 </w:t>
      </w:r>
    </w:p>
    <w:p w:rsidR="00C0190E" w:rsidRPr="005A076C" w:rsidRDefault="008B2100" w:rsidP="00EC7D46">
      <w:pPr>
        <w:pStyle w:val="NoSpacing"/>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(h) </w:t>
      </w:r>
      <w:r w:rsidR="00EC7D46">
        <w:rPr>
          <w:rFonts w:ascii="Times New Roman" w:hAnsi="Times New Roman"/>
          <w:sz w:val="26"/>
          <w:szCs w:val="26"/>
        </w:rPr>
        <w:tab/>
      </w:r>
      <w:r w:rsidR="00C0190E" w:rsidRPr="005A076C">
        <w:rPr>
          <w:rFonts w:ascii="Times New Roman" w:hAnsi="Times New Roman"/>
          <w:sz w:val="26"/>
          <w:szCs w:val="26"/>
        </w:rPr>
        <w:t xml:space="preserve">Third party billing agents; </w:t>
      </w:r>
    </w:p>
    <w:p w:rsidR="00BB653C" w:rsidRPr="005A076C" w:rsidRDefault="00BB653C" w:rsidP="00EC7D46">
      <w:pPr>
        <w:pStyle w:val="NoSpacing"/>
        <w:spacing w:line="276" w:lineRule="auto"/>
        <w:ind w:left="1440" w:hanging="720"/>
        <w:jc w:val="both"/>
        <w:rPr>
          <w:rFonts w:ascii="Times New Roman" w:hAnsi="Times New Roman"/>
          <w:sz w:val="26"/>
          <w:szCs w:val="26"/>
        </w:rPr>
      </w:pPr>
    </w:p>
    <w:p w:rsidR="00C0190E" w:rsidRPr="005A076C" w:rsidRDefault="00C0190E" w:rsidP="00EC7D46">
      <w:pPr>
        <w:pStyle w:val="NoSpacing"/>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(i) </w:t>
      </w:r>
      <w:r w:rsidRPr="005A076C">
        <w:rPr>
          <w:rFonts w:ascii="Times New Roman" w:hAnsi="Times New Roman"/>
          <w:sz w:val="26"/>
          <w:szCs w:val="26"/>
        </w:rPr>
        <w:tab/>
        <w:t>Validity of the Financing Order; and,</w:t>
      </w:r>
    </w:p>
    <w:p w:rsidR="00BB653C" w:rsidRPr="005A076C" w:rsidRDefault="00BB653C" w:rsidP="00EC7D46">
      <w:pPr>
        <w:pStyle w:val="NoSpacing"/>
        <w:spacing w:line="276" w:lineRule="auto"/>
        <w:ind w:left="1440" w:hanging="720"/>
        <w:jc w:val="both"/>
        <w:rPr>
          <w:rFonts w:ascii="Times New Roman" w:hAnsi="Times New Roman"/>
          <w:sz w:val="26"/>
          <w:szCs w:val="26"/>
        </w:rPr>
      </w:pPr>
    </w:p>
    <w:p w:rsidR="00BB653C" w:rsidRPr="005A076C" w:rsidRDefault="00C0190E" w:rsidP="00EC7D46">
      <w:pPr>
        <w:pStyle w:val="NoSpacing"/>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(j) </w:t>
      </w:r>
      <w:r w:rsidRPr="005A076C">
        <w:rPr>
          <w:rFonts w:ascii="Times New Roman" w:hAnsi="Times New Roman"/>
          <w:sz w:val="26"/>
          <w:szCs w:val="26"/>
        </w:rPr>
        <w:tab/>
        <w:t>Treatment of PIR Charges.</w:t>
      </w:r>
    </w:p>
    <w:p w:rsidR="00BB653C" w:rsidRPr="005A076C" w:rsidRDefault="00BB653C" w:rsidP="00BB653C">
      <w:pPr>
        <w:pStyle w:val="NoSpacing"/>
        <w:spacing w:line="276" w:lineRule="auto"/>
        <w:ind w:left="2880" w:hanging="720"/>
        <w:jc w:val="both"/>
        <w:rPr>
          <w:rFonts w:ascii="Times New Roman" w:hAnsi="Times New Roman"/>
          <w:sz w:val="24"/>
          <w:szCs w:val="24"/>
        </w:rPr>
      </w:pPr>
    </w:p>
    <w:p w:rsidR="00E240AA" w:rsidRPr="005A076C" w:rsidRDefault="00ED2F00" w:rsidP="005A076C">
      <w:pPr>
        <w:pStyle w:val="textstyle0"/>
      </w:pPr>
      <w:r w:rsidRPr="005A076C">
        <w:t>OPCo seeks approval to issue and sell the PIR Bo</w:t>
      </w:r>
      <w:r w:rsidR="00BB653C" w:rsidRPr="005A076C">
        <w:t>nds through a registered public</w:t>
      </w:r>
      <w:r w:rsidR="008B2100" w:rsidRPr="005A076C">
        <w:t xml:space="preserve"> </w:t>
      </w:r>
      <w:r w:rsidRPr="005A076C">
        <w:t>offering which it claims will provide access to the most l</w:t>
      </w:r>
      <w:r w:rsidR="00BB653C" w:rsidRPr="005A076C">
        <w:t xml:space="preserve">iquid market for the PIR Bonds, </w:t>
      </w:r>
      <w:r w:rsidRPr="005A076C">
        <w:t xml:space="preserve">and therefore the best method to achieve the savings for ratepayers. In </w:t>
      </w:r>
      <w:r w:rsidR="002D7928" w:rsidRPr="005A076C">
        <w:t xml:space="preserve"> connection</w:t>
      </w:r>
      <w:r w:rsidR="00C658DF" w:rsidRPr="005A076C">
        <w:t xml:space="preserve"> </w:t>
      </w:r>
      <w:r w:rsidR="002D7928" w:rsidRPr="005A076C">
        <w:t>with the public offering, OPCo and/or the SPE will enter into</w:t>
      </w:r>
      <w:r w:rsidR="00BB653C" w:rsidRPr="005A076C">
        <w:t xml:space="preserve"> </w:t>
      </w:r>
      <w:r w:rsidR="002D7928" w:rsidRPr="005A076C">
        <w:t>several agreements with respect to the securitization transaction</w:t>
      </w:r>
      <w:r w:rsidR="00E240AA" w:rsidRPr="005A076C">
        <w:t>, as listed below:</w:t>
      </w:r>
      <w:r w:rsidR="002D7928" w:rsidRPr="005A076C">
        <w:t xml:space="preserve"> </w:t>
      </w:r>
    </w:p>
    <w:p w:rsidR="00E240AA" w:rsidRPr="005A076C" w:rsidRDefault="002D7928" w:rsidP="008652E4">
      <w:pPr>
        <w:pStyle w:val="NoSpacing"/>
        <w:numPr>
          <w:ilvl w:val="0"/>
          <w:numId w:val="11"/>
        </w:numPr>
        <w:spacing w:line="276" w:lineRule="auto"/>
        <w:ind w:left="1440" w:hanging="720"/>
        <w:jc w:val="both"/>
        <w:rPr>
          <w:rFonts w:ascii="Times New Roman" w:hAnsi="Times New Roman"/>
          <w:sz w:val="26"/>
          <w:szCs w:val="26"/>
        </w:rPr>
      </w:pPr>
      <w:r w:rsidRPr="005A076C">
        <w:rPr>
          <w:rFonts w:ascii="Times New Roman" w:hAnsi="Times New Roman"/>
          <w:sz w:val="26"/>
          <w:szCs w:val="26"/>
        </w:rPr>
        <w:t>The SPE's LLC (Limited Liability Company) Agreement</w:t>
      </w:r>
      <w:r w:rsidR="00E240AA" w:rsidRPr="005A076C">
        <w:rPr>
          <w:rFonts w:ascii="Times New Roman" w:hAnsi="Times New Roman"/>
          <w:sz w:val="26"/>
          <w:szCs w:val="26"/>
        </w:rPr>
        <w:t xml:space="preserve"> containing cus</w:t>
      </w:r>
      <w:r w:rsidR="00DB6C5E">
        <w:rPr>
          <w:rFonts w:ascii="Times New Roman" w:hAnsi="Times New Roman"/>
          <w:sz w:val="26"/>
          <w:szCs w:val="26"/>
        </w:rPr>
        <w:softHyphen/>
      </w:r>
      <w:r w:rsidR="00E240AA" w:rsidRPr="005A076C">
        <w:rPr>
          <w:rFonts w:ascii="Times New Roman" w:hAnsi="Times New Roman"/>
          <w:sz w:val="26"/>
          <w:szCs w:val="26"/>
        </w:rPr>
        <w:t>tom</w:t>
      </w:r>
      <w:r w:rsidR="000B4EAE">
        <w:rPr>
          <w:rFonts w:ascii="Times New Roman" w:hAnsi="Times New Roman"/>
          <w:sz w:val="26"/>
          <w:szCs w:val="26"/>
        </w:rPr>
        <w:softHyphen/>
      </w:r>
      <w:r w:rsidR="00E240AA" w:rsidRPr="005A076C">
        <w:rPr>
          <w:rFonts w:ascii="Times New Roman" w:hAnsi="Times New Roman"/>
          <w:sz w:val="26"/>
          <w:szCs w:val="26"/>
        </w:rPr>
        <w:t>ary SPE provisions related to its restricted purposes</w:t>
      </w:r>
      <w:r w:rsidR="00702F77">
        <w:rPr>
          <w:rFonts w:ascii="Times New Roman" w:hAnsi="Times New Roman"/>
          <w:sz w:val="26"/>
          <w:szCs w:val="26"/>
        </w:rPr>
        <w:t>;</w:t>
      </w:r>
      <w:r w:rsidR="00E240AA" w:rsidRPr="005A076C">
        <w:rPr>
          <w:rFonts w:ascii="Times New Roman" w:hAnsi="Times New Roman"/>
          <w:sz w:val="26"/>
          <w:szCs w:val="26"/>
        </w:rPr>
        <w:t xml:space="preserve"> </w:t>
      </w:r>
    </w:p>
    <w:p w:rsidR="00E240AA" w:rsidRPr="005A076C" w:rsidRDefault="00E240AA" w:rsidP="008652E4">
      <w:pPr>
        <w:pStyle w:val="NoSpacing"/>
        <w:spacing w:line="276" w:lineRule="auto"/>
        <w:ind w:left="1440" w:hanging="720"/>
        <w:jc w:val="both"/>
        <w:rPr>
          <w:rFonts w:ascii="Times New Roman" w:hAnsi="Times New Roman"/>
          <w:sz w:val="26"/>
          <w:szCs w:val="26"/>
        </w:rPr>
      </w:pPr>
    </w:p>
    <w:p w:rsidR="00E240AA" w:rsidRPr="005A076C" w:rsidRDefault="002D7928" w:rsidP="008652E4">
      <w:pPr>
        <w:pStyle w:val="NoSpacing"/>
        <w:numPr>
          <w:ilvl w:val="0"/>
          <w:numId w:val="11"/>
        </w:numPr>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The Administration Agreement </w:t>
      </w:r>
      <w:r w:rsidR="00E240AA" w:rsidRPr="005A076C">
        <w:rPr>
          <w:rFonts w:ascii="Times New Roman" w:hAnsi="Times New Roman"/>
          <w:sz w:val="26"/>
          <w:szCs w:val="26"/>
        </w:rPr>
        <w:t>providing for the administrative func</w:t>
      </w:r>
      <w:r w:rsidR="00DB6C5E">
        <w:rPr>
          <w:rFonts w:ascii="Times New Roman" w:hAnsi="Times New Roman"/>
          <w:sz w:val="26"/>
          <w:szCs w:val="26"/>
        </w:rPr>
        <w:softHyphen/>
      </w:r>
      <w:r w:rsidR="00E240AA" w:rsidRPr="005A076C">
        <w:rPr>
          <w:rFonts w:ascii="Times New Roman" w:hAnsi="Times New Roman"/>
          <w:sz w:val="26"/>
          <w:szCs w:val="26"/>
        </w:rPr>
        <w:t>tions that OPCo will provide to its SPE subsidiary</w:t>
      </w:r>
      <w:r w:rsidR="00702F77">
        <w:rPr>
          <w:rFonts w:ascii="Times New Roman" w:hAnsi="Times New Roman"/>
          <w:sz w:val="26"/>
          <w:szCs w:val="26"/>
        </w:rPr>
        <w:t>;</w:t>
      </w:r>
    </w:p>
    <w:p w:rsidR="00E240AA" w:rsidRPr="005A076C" w:rsidRDefault="00E240AA" w:rsidP="008652E4">
      <w:pPr>
        <w:pStyle w:val="NoSpacing"/>
        <w:spacing w:line="276" w:lineRule="auto"/>
        <w:ind w:left="1440" w:hanging="720"/>
        <w:jc w:val="both"/>
        <w:rPr>
          <w:rFonts w:ascii="Times New Roman" w:hAnsi="Times New Roman"/>
          <w:sz w:val="26"/>
          <w:szCs w:val="26"/>
        </w:rPr>
      </w:pPr>
    </w:p>
    <w:p w:rsidR="00E240AA" w:rsidRPr="005A076C" w:rsidRDefault="002D7928" w:rsidP="008652E4">
      <w:pPr>
        <w:pStyle w:val="NoSpacing"/>
        <w:numPr>
          <w:ilvl w:val="0"/>
          <w:numId w:val="11"/>
        </w:numPr>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The Sale Agreement </w:t>
      </w:r>
      <w:r w:rsidR="00E240AA" w:rsidRPr="005A076C">
        <w:rPr>
          <w:rFonts w:ascii="Times New Roman" w:hAnsi="Times New Roman"/>
          <w:sz w:val="26"/>
          <w:szCs w:val="26"/>
        </w:rPr>
        <w:t>providing for the terms and conditions of the abso</w:t>
      </w:r>
      <w:r w:rsidR="00DB6C5E">
        <w:rPr>
          <w:rFonts w:ascii="Times New Roman" w:hAnsi="Times New Roman"/>
          <w:sz w:val="26"/>
          <w:szCs w:val="26"/>
        </w:rPr>
        <w:softHyphen/>
      </w:r>
      <w:r w:rsidR="00E240AA" w:rsidRPr="005A076C">
        <w:rPr>
          <w:rFonts w:ascii="Times New Roman" w:hAnsi="Times New Roman"/>
          <w:sz w:val="26"/>
          <w:szCs w:val="26"/>
        </w:rPr>
        <w:t>lute transfer and true sale of OPCo's right, title and interest in, to, and under the PIR Property to the SPE</w:t>
      </w:r>
      <w:r w:rsidR="00702F77">
        <w:rPr>
          <w:rFonts w:ascii="Times New Roman" w:hAnsi="Times New Roman"/>
          <w:sz w:val="26"/>
          <w:szCs w:val="26"/>
        </w:rPr>
        <w:t>;</w:t>
      </w:r>
    </w:p>
    <w:p w:rsidR="00E240AA" w:rsidRPr="005A076C" w:rsidRDefault="00E240AA" w:rsidP="008652E4">
      <w:pPr>
        <w:pStyle w:val="NoSpacing"/>
        <w:spacing w:line="276" w:lineRule="auto"/>
        <w:ind w:left="1440" w:hanging="720"/>
        <w:jc w:val="both"/>
        <w:rPr>
          <w:rFonts w:ascii="Times New Roman" w:hAnsi="Times New Roman"/>
          <w:sz w:val="26"/>
          <w:szCs w:val="26"/>
        </w:rPr>
      </w:pPr>
    </w:p>
    <w:p w:rsidR="00E240AA" w:rsidRPr="005A076C" w:rsidRDefault="002D7928" w:rsidP="008652E4">
      <w:pPr>
        <w:pStyle w:val="NoSpacing"/>
        <w:numPr>
          <w:ilvl w:val="0"/>
          <w:numId w:val="11"/>
        </w:numPr>
        <w:spacing w:line="276" w:lineRule="auto"/>
        <w:ind w:left="1440" w:hanging="720"/>
        <w:jc w:val="both"/>
        <w:rPr>
          <w:rFonts w:ascii="Times New Roman" w:hAnsi="Times New Roman"/>
          <w:sz w:val="26"/>
          <w:szCs w:val="26"/>
        </w:rPr>
      </w:pPr>
      <w:r w:rsidRPr="005A076C">
        <w:rPr>
          <w:rFonts w:ascii="Times New Roman" w:hAnsi="Times New Roman"/>
          <w:sz w:val="26"/>
          <w:szCs w:val="26"/>
        </w:rPr>
        <w:t xml:space="preserve">The Servicing Agreement </w:t>
      </w:r>
      <w:r w:rsidR="00E240AA" w:rsidRPr="005A076C">
        <w:rPr>
          <w:rFonts w:ascii="Times New Roman" w:hAnsi="Times New Roman"/>
          <w:sz w:val="26"/>
          <w:szCs w:val="26"/>
        </w:rPr>
        <w:t>describing the services that OPCo, as ser</w:t>
      </w:r>
      <w:r w:rsidR="00DB6C5E">
        <w:rPr>
          <w:rFonts w:ascii="Times New Roman" w:hAnsi="Times New Roman"/>
          <w:sz w:val="26"/>
          <w:szCs w:val="26"/>
        </w:rPr>
        <w:softHyphen/>
      </w:r>
      <w:r w:rsidR="00E240AA" w:rsidRPr="005A076C">
        <w:rPr>
          <w:rFonts w:ascii="Times New Roman" w:hAnsi="Times New Roman"/>
          <w:sz w:val="26"/>
          <w:szCs w:val="26"/>
        </w:rPr>
        <w:t>vicer, will provide to the SPE with respect to calculating, billing and collecting the Phase-In Recovery Charges</w:t>
      </w:r>
      <w:r w:rsidR="00702F77">
        <w:rPr>
          <w:rFonts w:ascii="Times New Roman" w:hAnsi="Times New Roman"/>
          <w:sz w:val="26"/>
          <w:szCs w:val="26"/>
        </w:rPr>
        <w:t>/</w:t>
      </w:r>
    </w:p>
    <w:p w:rsidR="00E240AA" w:rsidRPr="005A076C" w:rsidRDefault="00E240AA" w:rsidP="00D35962">
      <w:pPr>
        <w:pStyle w:val="NoSpacing"/>
        <w:spacing w:line="276" w:lineRule="auto"/>
        <w:ind w:firstLine="720"/>
        <w:jc w:val="both"/>
        <w:rPr>
          <w:rFonts w:ascii="Times New Roman" w:hAnsi="Times New Roman"/>
          <w:sz w:val="26"/>
          <w:szCs w:val="26"/>
        </w:rPr>
      </w:pPr>
    </w:p>
    <w:p w:rsidR="002D7928" w:rsidRPr="005A076C" w:rsidRDefault="00E240AA" w:rsidP="005A076C">
      <w:pPr>
        <w:pStyle w:val="textstyle0"/>
      </w:pPr>
      <w:r w:rsidRPr="005A076C">
        <w:t xml:space="preserve">These agreements </w:t>
      </w:r>
      <w:r w:rsidR="002D7928" w:rsidRPr="005A076C">
        <w:t>will be filed as exhibits to the registration statement filed with</w:t>
      </w:r>
      <w:r w:rsidR="00BB653C" w:rsidRPr="005A076C">
        <w:t xml:space="preserve"> </w:t>
      </w:r>
      <w:r w:rsidR="002D7928" w:rsidRPr="005A076C">
        <w:t xml:space="preserve"> the SEC</w:t>
      </w:r>
      <w:r w:rsidR="000C0842" w:rsidRPr="005A076C">
        <w:t xml:space="preserve">.  </w:t>
      </w:r>
      <w:r w:rsidR="002D7928" w:rsidRPr="005A076C">
        <w:t>In addition, the material terms of each agreement will also be summarized in the</w:t>
      </w:r>
      <w:r w:rsidR="00BB653C" w:rsidRPr="005A076C">
        <w:t xml:space="preserve"> </w:t>
      </w:r>
      <w:r w:rsidR="002D7928" w:rsidRPr="005A076C">
        <w:lastRenderedPageBreak/>
        <w:t>related prospectus included in the registration statement and used to offer and sell the</w:t>
      </w:r>
      <w:r w:rsidR="00BB653C" w:rsidRPr="005A076C">
        <w:t xml:space="preserve"> </w:t>
      </w:r>
      <w:r w:rsidR="002D7928" w:rsidRPr="005A076C">
        <w:t xml:space="preserve"> Phase-In-Recovery Bonds. </w:t>
      </w:r>
    </w:p>
    <w:p w:rsidR="00C0190E" w:rsidRPr="005A076C" w:rsidRDefault="005A076C" w:rsidP="005A076C">
      <w:pPr>
        <w:pStyle w:val="textstyle0"/>
      </w:pPr>
      <w:r>
        <w:tab/>
      </w:r>
      <w:r w:rsidR="00C0190E" w:rsidRPr="005A076C">
        <w:t>The P</w:t>
      </w:r>
      <w:r w:rsidR="00F90A9D" w:rsidRPr="005A076C">
        <w:t>IR</w:t>
      </w:r>
      <w:r w:rsidR="00C0190E" w:rsidRPr="005A076C">
        <w:t xml:space="preserve"> Bonds issued by the SPE will be issued pursuant to an Indenture between</w:t>
      </w:r>
      <w:r w:rsidR="00BB653C" w:rsidRPr="005A076C">
        <w:t xml:space="preserve"> </w:t>
      </w:r>
      <w:r w:rsidR="00C0190E" w:rsidRPr="005A076C">
        <w:t xml:space="preserve"> the SPE and a third party t</w:t>
      </w:r>
      <w:r w:rsidR="00F90A9D" w:rsidRPr="005A076C">
        <w:t>ru</w:t>
      </w:r>
      <w:r w:rsidR="00C0190E" w:rsidRPr="005A076C">
        <w:t>stee, which will describe the particular</w:t>
      </w:r>
      <w:r w:rsidR="00F90A9D" w:rsidRPr="005A076C">
        <w:t xml:space="preserve"> </w:t>
      </w:r>
      <w:r w:rsidR="00C0190E" w:rsidRPr="005A076C">
        <w:t>terms of the</w:t>
      </w:r>
      <w:r w:rsidR="00F90A9D" w:rsidRPr="005A076C">
        <w:t xml:space="preserve"> </w:t>
      </w:r>
      <w:r w:rsidR="00C0190E" w:rsidRPr="005A076C">
        <w:t>P</w:t>
      </w:r>
      <w:r w:rsidR="00F90A9D" w:rsidRPr="005A076C">
        <w:t>IR</w:t>
      </w:r>
      <w:r w:rsidR="00BB653C" w:rsidRPr="005A076C">
        <w:t xml:space="preserve"> </w:t>
      </w:r>
      <w:r w:rsidR="00C0190E" w:rsidRPr="005A076C">
        <w:t>Bonds, including the principal amount, interest rate,</w:t>
      </w:r>
      <w:r w:rsidR="00F90A9D" w:rsidRPr="005A076C">
        <w:t xml:space="preserve"> </w:t>
      </w:r>
      <w:r w:rsidR="00C0190E" w:rsidRPr="005A076C">
        <w:t>payment dates,</w:t>
      </w:r>
      <w:r w:rsidR="00F90A9D" w:rsidRPr="005A076C">
        <w:t xml:space="preserve"> </w:t>
      </w:r>
      <w:r w:rsidR="00C0190E" w:rsidRPr="005A076C">
        <w:t>issuance date,</w:t>
      </w:r>
      <w:r w:rsidR="00BB653C" w:rsidRPr="005A076C">
        <w:t xml:space="preserve"> </w:t>
      </w:r>
      <w:r w:rsidR="00F90A9D" w:rsidRPr="005A076C">
        <w:t>c</w:t>
      </w:r>
      <w:r w:rsidR="00C0190E" w:rsidRPr="005A076C">
        <w:t>ollat</w:t>
      </w:r>
      <w:r w:rsidR="00DB6C5E">
        <w:softHyphen/>
      </w:r>
      <w:r w:rsidR="00C0190E" w:rsidRPr="005A076C">
        <w:t>eral, authorized denominations, principal repayment</w:t>
      </w:r>
      <w:r w:rsidR="00F90A9D" w:rsidRPr="005A076C">
        <w:t xml:space="preserve"> </w:t>
      </w:r>
      <w:r w:rsidR="00C0190E" w:rsidRPr="005A076C">
        <w:t>schedule and</w:t>
      </w:r>
      <w:r w:rsidR="00F90A9D" w:rsidRPr="005A076C">
        <w:t xml:space="preserve"> </w:t>
      </w:r>
      <w:r w:rsidR="00C0190E" w:rsidRPr="005A076C">
        <w:t>other material</w:t>
      </w:r>
      <w:r w:rsidR="00F90A9D" w:rsidRPr="005A076C">
        <w:t xml:space="preserve"> </w:t>
      </w:r>
      <w:r w:rsidR="00C0190E" w:rsidRPr="005A076C">
        <w:t>terms of the P</w:t>
      </w:r>
      <w:r w:rsidR="00F90A9D" w:rsidRPr="005A076C">
        <w:t>IR</w:t>
      </w:r>
      <w:r w:rsidR="00C0190E" w:rsidRPr="005A076C">
        <w:t xml:space="preserve"> Bonds</w:t>
      </w:r>
      <w:r w:rsidR="000C0842" w:rsidRPr="005A076C">
        <w:t xml:space="preserve">.  </w:t>
      </w:r>
      <w:r w:rsidR="00C0190E" w:rsidRPr="005A076C">
        <w:t>The Indenture will</w:t>
      </w:r>
      <w:r w:rsidR="00F90A9D" w:rsidRPr="005A076C">
        <w:t xml:space="preserve"> </w:t>
      </w:r>
      <w:r w:rsidR="00C0190E" w:rsidRPr="005A076C">
        <w:t>provide for</w:t>
      </w:r>
      <w:r w:rsidR="00F90A9D" w:rsidRPr="005A076C">
        <w:t xml:space="preserve"> </w:t>
      </w:r>
      <w:r w:rsidR="00C0190E" w:rsidRPr="005A076C">
        <w:t>certain covenants</w:t>
      </w:r>
      <w:r w:rsidR="00F90A9D" w:rsidRPr="005A076C">
        <w:t xml:space="preserve"> </w:t>
      </w:r>
      <w:r w:rsidR="00C0190E" w:rsidRPr="005A076C">
        <w:t>on the part of the SPE, as more fully described in the</w:t>
      </w:r>
      <w:r w:rsidR="00F90A9D" w:rsidRPr="005A076C">
        <w:t xml:space="preserve"> </w:t>
      </w:r>
      <w:r w:rsidR="00C0190E" w:rsidRPr="005A076C">
        <w:t xml:space="preserve">Application. </w:t>
      </w:r>
    </w:p>
    <w:p w:rsidR="00C0190E" w:rsidRPr="005A076C" w:rsidRDefault="005A076C" w:rsidP="005A076C">
      <w:pPr>
        <w:pStyle w:val="textstyle0"/>
      </w:pPr>
      <w:r>
        <w:tab/>
      </w:r>
      <w:r w:rsidR="00735B7C" w:rsidRPr="005A076C">
        <w:t>The PIR Bonds will be issued with a fixed rate of interest</w:t>
      </w:r>
      <w:r w:rsidR="000C0842" w:rsidRPr="005A076C">
        <w:t xml:space="preserve">.  </w:t>
      </w:r>
      <w:r w:rsidR="00735B7C" w:rsidRPr="005A076C">
        <w:t>OPCo believes that any</w:t>
      </w:r>
      <w:r w:rsidR="00BB653C" w:rsidRPr="005A076C">
        <w:t xml:space="preserve"> </w:t>
      </w:r>
      <w:r w:rsidR="00735B7C" w:rsidRPr="005A076C">
        <w:t xml:space="preserve"> potential benefits of issuing the PIR Bonds at a floating interest rate would be outweighed by potential risks due to volatile market conditions.</w:t>
      </w:r>
    </w:p>
    <w:p w:rsidR="00665BDC" w:rsidRPr="005A076C" w:rsidRDefault="005A076C" w:rsidP="005A076C">
      <w:pPr>
        <w:pStyle w:val="textstyle0"/>
      </w:pPr>
      <w:r>
        <w:tab/>
      </w:r>
      <w:r w:rsidR="00665BDC" w:rsidRPr="005A076C">
        <w:t>OPCo proposes to issue the PIR Bonds in one or more series and one or more tranche</w:t>
      </w:r>
      <w:r w:rsidR="00151581" w:rsidRPr="005A076C">
        <w:t xml:space="preserve">s.  </w:t>
      </w:r>
      <w:r w:rsidR="00F90A9D" w:rsidRPr="005A076C">
        <w:t>The</w:t>
      </w:r>
      <w:r w:rsidR="00151581" w:rsidRPr="005A076C">
        <w:t xml:space="preserve"> </w:t>
      </w:r>
      <w:r w:rsidR="00F90A9D" w:rsidRPr="005A076C">
        <w:t>fixed interest rates and yields for each series or tranche will not be known</w:t>
      </w:r>
      <w:r w:rsidR="00BB653C" w:rsidRPr="005A076C">
        <w:t xml:space="preserve"> </w:t>
      </w:r>
      <w:r w:rsidR="00F90A9D" w:rsidRPr="005A076C">
        <w:t xml:space="preserve">until the </w:t>
      </w:r>
      <w:r w:rsidR="00151581" w:rsidRPr="005A076C">
        <w:t xml:space="preserve"> PI</w:t>
      </w:r>
      <w:r w:rsidR="00665BDC" w:rsidRPr="005A076C">
        <w:t xml:space="preserve">R </w:t>
      </w:r>
      <w:r w:rsidR="00F90A9D" w:rsidRPr="005A076C">
        <w:t>Bonds are priced.</w:t>
      </w:r>
    </w:p>
    <w:p w:rsidR="00ED2D8D" w:rsidRPr="005A076C" w:rsidRDefault="005A076C" w:rsidP="005A076C">
      <w:pPr>
        <w:pStyle w:val="textstyle0"/>
      </w:pPr>
      <w:r>
        <w:tab/>
      </w:r>
      <w:r w:rsidR="00F90A9D" w:rsidRPr="005A076C">
        <w:t xml:space="preserve">Based upon current market conditions, typical structural features, and </w:t>
      </w:r>
      <w:r w:rsidR="00665BDC" w:rsidRPr="005A076C">
        <w:t>other features</w:t>
      </w:r>
      <w:r w:rsidR="00F17F05" w:rsidRPr="005A076C">
        <w:t>, OPCo</w:t>
      </w:r>
      <w:r w:rsidR="00665BDC" w:rsidRPr="005A076C">
        <w:t xml:space="preserve"> estimates</w:t>
      </w:r>
      <w:r w:rsidR="00151581" w:rsidRPr="005A076C">
        <w:t xml:space="preserve"> </w:t>
      </w:r>
      <w:r w:rsidR="00665BDC" w:rsidRPr="005A076C">
        <w:t xml:space="preserve">that the </w:t>
      </w:r>
      <w:r w:rsidR="00F90A9D" w:rsidRPr="005A076C">
        <w:t>weighted average annual interest cost of the P</w:t>
      </w:r>
      <w:r w:rsidR="00665BDC" w:rsidRPr="005A076C">
        <w:t>IR</w:t>
      </w:r>
      <w:r w:rsidR="00F90A9D" w:rsidRPr="005A076C">
        <w:t xml:space="preserve"> Bonds to </w:t>
      </w:r>
      <w:r w:rsidR="00151581" w:rsidRPr="005A076C">
        <w:t>b</w:t>
      </w:r>
      <w:r w:rsidR="00F90A9D" w:rsidRPr="005A076C">
        <w:t>e</w:t>
      </w:r>
      <w:r w:rsidR="00151581" w:rsidRPr="005A076C">
        <w:t xml:space="preserve"> </w:t>
      </w:r>
      <w:r w:rsidR="00F90A9D" w:rsidRPr="005A076C">
        <w:t>less</w:t>
      </w:r>
      <w:r w:rsidR="00B11554" w:rsidRPr="005A076C">
        <w:t xml:space="preserve"> </w:t>
      </w:r>
      <w:r w:rsidR="00F90A9D" w:rsidRPr="005A076C">
        <w:t>than 1.</w:t>
      </w:r>
      <w:r w:rsidR="00752167" w:rsidRPr="005A076C">
        <w:t>28</w:t>
      </w:r>
      <w:r w:rsidR="00F90A9D" w:rsidRPr="005A076C">
        <w:t xml:space="preserve">%. </w:t>
      </w:r>
      <w:r w:rsidR="00ED2D8D" w:rsidRPr="005A076C">
        <w:t xml:space="preserve"> According to</w:t>
      </w:r>
      <w:r w:rsidR="00151581" w:rsidRPr="005A076C">
        <w:t xml:space="preserve"> </w:t>
      </w:r>
      <w:r w:rsidR="00ED2D8D" w:rsidRPr="005A076C">
        <w:t>OPCo, this would result in</w:t>
      </w:r>
      <w:r w:rsidR="00F90A9D" w:rsidRPr="005A076C">
        <w:t xml:space="preserve"> significant cost savings and</w:t>
      </w:r>
      <w:r w:rsidR="00151581" w:rsidRPr="005A076C">
        <w:t xml:space="preserve"> </w:t>
      </w:r>
      <w:r w:rsidR="00F90A9D" w:rsidRPr="005A076C">
        <w:t>mitigation of rate impacts through the</w:t>
      </w:r>
      <w:r w:rsidR="00B11554" w:rsidRPr="005A076C">
        <w:t xml:space="preserve"> </w:t>
      </w:r>
      <w:r w:rsidR="00F90A9D" w:rsidRPr="005A076C">
        <w:t>proposed P</w:t>
      </w:r>
      <w:r w:rsidR="00B11554" w:rsidRPr="005A076C">
        <w:t>IR</w:t>
      </w:r>
      <w:r w:rsidR="00ED2D8D" w:rsidRPr="005A076C">
        <w:t xml:space="preserve"> </w:t>
      </w:r>
      <w:r w:rsidR="00F90A9D" w:rsidRPr="005A076C">
        <w:t>Bond issuance</w:t>
      </w:r>
      <w:r w:rsidR="00F90A9D" w:rsidRPr="005A076C">
        <w:rPr>
          <w:rFonts w:cs="Times New Roman"/>
          <w:sz w:val="24"/>
        </w:rPr>
        <w:t xml:space="preserve">. </w:t>
      </w:r>
    </w:p>
    <w:p w:rsidR="00151581" w:rsidRPr="005A076C" w:rsidRDefault="005A076C" w:rsidP="005A076C">
      <w:pPr>
        <w:pStyle w:val="textstyle0"/>
      </w:pPr>
      <w:r>
        <w:tab/>
      </w:r>
      <w:r w:rsidR="00151581" w:rsidRPr="005A076C">
        <w:t>According to OPCo, b</w:t>
      </w:r>
      <w:r w:rsidR="00F90A9D" w:rsidRPr="005A076C">
        <w:t>ased on the P</w:t>
      </w:r>
      <w:r w:rsidR="00151581" w:rsidRPr="005A076C">
        <w:t>IR</w:t>
      </w:r>
      <w:r w:rsidR="00F90A9D" w:rsidRPr="005A076C">
        <w:t xml:space="preserve"> </w:t>
      </w:r>
      <w:r w:rsidR="00151581" w:rsidRPr="005A076C">
        <w:t xml:space="preserve">Bond </w:t>
      </w:r>
      <w:r w:rsidR="00F90A9D" w:rsidRPr="005A076C">
        <w:t>expected principal repayment</w:t>
      </w:r>
      <w:r w:rsidR="004640F1" w:rsidRPr="005A076C">
        <w:t xml:space="preserve"> </w:t>
      </w:r>
      <w:r w:rsidR="00F90A9D" w:rsidRPr="005A076C">
        <w:t xml:space="preserve">schedule reflected in Exhibit </w:t>
      </w:r>
      <w:r w:rsidR="00752167" w:rsidRPr="005A076C">
        <w:t>A</w:t>
      </w:r>
      <w:r w:rsidR="00151581" w:rsidRPr="005A076C">
        <w:t xml:space="preserve"> of the Application </w:t>
      </w:r>
      <w:r w:rsidR="00F90A9D" w:rsidRPr="005A076C">
        <w:t>(which is based upon level debt service), only a weighted</w:t>
      </w:r>
      <w:r w:rsidR="00ED2D8D" w:rsidRPr="005A076C">
        <w:t xml:space="preserve"> </w:t>
      </w:r>
      <w:r w:rsidR="00F90A9D" w:rsidRPr="005A076C">
        <w:t>average rate on the P</w:t>
      </w:r>
      <w:r w:rsidR="00151581" w:rsidRPr="005A076C">
        <w:t xml:space="preserve">IR </w:t>
      </w:r>
      <w:r w:rsidR="00F90A9D" w:rsidRPr="005A076C">
        <w:t>Bonds</w:t>
      </w:r>
      <w:r w:rsidR="00151581" w:rsidRPr="005A076C">
        <w:t xml:space="preserve"> </w:t>
      </w:r>
      <w:r w:rsidR="00752167" w:rsidRPr="005A076C">
        <w:t>at or above</w:t>
      </w:r>
      <w:r w:rsidR="00F90A9D" w:rsidRPr="005A076C">
        <w:t xml:space="preserve"> 3.32% would</w:t>
      </w:r>
      <w:r w:rsidR="00BB653C" w:rsidRPr="005A076C">
        <w:t xml:space="preserve"> </w:t>
      </w:r>
      <w:r w:rsidR="00F90A9D" w:rsidRPr="005A076C">
        <w:t>overcome on a net pre</w:t>
      </w:r>
      <w:r w:rsidR="00DB6C5E">
        <w:softHyphen/>
      </w:r>
      <w:r w:rsidR="00F90A9D" w:rsidRPr="005A076C">
        <w:lastRenderedPageBreak/>
        <w:t>sent value</w:t>
      </w:r>
      <w:r w:rsidR="001740D4" w:rsidRPr="005A076C">
        <w:t xml:space="preserve"> </w:t>
      </w:r>
      <w:r w:rsidR="00F90A9D" w:rsidRPr="005A076C">
        <w:t xml:space="preserve">basis the benefits associated with </w:t>
      </w:r>
      <w:r w:rsidR="00151581" w:rsidRPr="005A076C">
        <w:t>the Company</w:t>
      </w:r>
      <w:r w:rsidR="00F90A9D" w:rsidRPr="005A076C">
        <w:t>'s</w:t>
      </w:r>
      <w:r w:rsidR="004640F1" w:rsidRPr="005A076C">
        <w:t xml:space="preserve"> </w:t>
      </w:r>
      <w:r w:rsidR="00F90A9D" w:rsidRPr="005A076C">
        <w:t>proposal so as to deny cost savings to customers.</w:t>
      </w:r>
    </w:p>
    <w:p w:rsidR="00F90A9D" w:rsidRPr="005A076C" w:rsidRDefault="005A076C" w:rsidP="005A076C">
      <w:pPr>
        <w:pStyle w:val="textstyle0"/>
      </w:pPr>
      <w:r>
        <w:tab/>
      </w:r>
      <w:r w:rsidR="00F90A9D" w:rsidRPr="005A076C">
        <w:t>OPCo requests that the Commission, in the Financing Order, afford it the flexibility in establishing the</w:t>
      </w:r>
      <w:r w:rsidR="001740D4" w:rsidRPr="005A076C">
        <w:t xml:space="preserve"> </w:t>
      </w:r>
      <w:r w:rsidR="00151581" w:rsidRPr="005A076C">
        <w:t>t</w:t>
      </w:r>
      <w:r w:rsidR="00F90A9D" w:rsidRPr="005A076C">
        <w:t xml:space="preserve">erms and conditions for the </w:t>
      </w:r>
      <w:r w:rsidR="00770715" w:rsidRPr="005A076C">
        <w:t>PIR</w:t>
      </w:r>
      <w:r w:rsidR="00F90A9D" w:rsidRPr="005A076C">
        <w:t xml:space="preserve"> Bonds to accommodate</w:t>
      </w:r>
      <w:r w:rsidR="00F30D13" w:rsidRPr="005A076C">
        <w:t xml:space="preserve"> </w:t>
      </w:r>
      <w:r w:rsidR="00F90A9D" w:rsidRPr="005A076C">
        <w:t>changes in market conditions, including repayment schedules, the fixed</w:t>
      </w:r>
      <w:r w:rsidR="00BB653C" w:rsidRPr="005A076C">
        <w:t xml:space="preserve"> </w:t>
      </w:r>
      <w:r w:rsidR="00F90A9D" w:rsidRPr="005A076C">
        <w:t>interest rates</w:t>
      </w:r>
      <w:r w:rsidR="00151581" w:rsidRPr="005A076C">
        <w:t>,</w:t>
      </w:r>
      <w:r w:rsidR="00F90A9D" w:rsidRPr="005A076C">
        <w:t xml:space="preserve"> Financing Costs, collateral requirements, required debt service and other reserves</w:t>
      </w:r>
      <w:r w:rsidR="000C0842" w:rsidRPr="005A076C">
        <w:t xml:space="preserve">.  </w:t>
      </w:r>
      <w:r w:rsidR="00F90A9D" w:rsidRPr="005A076C">
        <w:t xml:space="preserve">OPCo </w:t>
      </w:r>
      <w:r w:rsidR="00151581" w:rsidRPr="005A076C">
        <w:t xml:space="preserve">states </w:t>
      </w:r>
      <w:r w:rsidR="00F90A9D" w:rsidRPr="005A076C">
        <w:t xml:space="preserve">that it will not proceed with the issuance of </w:t>
      </w:r>
      <w:r w:rsidR="00770715" w:rsidRPr="005A076C">
        <w:t xml:space="preserve">PIR </w:t>
      </w:r>
      <w:r w:rsidR="00F90A9D" w:rsidRPr="005A076C">
        <w:t>Bonds if it</w:t>
      </w:r>
      <w:r w:rsidR="00BB653C" w:rsidRPr="005A076C">
        <w:t xml:space="preserve"> </w:t>
      </w:r>
      <w:r w:rsidR="00F90A9D" w:rsidRPr="005A076C">
        <w:t>determines that market conditions are such that customers will not realize cost</w:t>
      </w:r>
      <w:r w:rsidR="00BB653C" w:rsidRPr="005A076C">
        <w:t xml:space="preserve"> </w:t>
      </w:r>
      <w:r w:rsidR="00F90A9D" w:rsidRPr="005A076C">
        <w:t xml:space="preserve">savings. </w:t>
      </w:r>
    </w:p>
    <w:p w:rsidR="0016087E" w:rsidRPr="005A076C" w:rsidRDefault="005A076C" w:rsidP="005A076C">
      <w:pPr>
        <w:pStyle w:val="textstyle0"/>
      </w:pPr>
      <w:r>
        <w:tab/>
      </w:r>
      <w:r w:rsidR="00F30D13" w:rsidRPr="005A076C">
        <w:t>OPCo intend</w:t>
      </w:r>
      <w:r w:rsidR="0064495D" w:rsidRPr="005A076C">
        <w:t>s</w:t>
      </w:r>
      <w:r w:rsidR="00F30D13" w:rsidRPr="005A076C">
        <w:t xml:space="preserve"> to sell the PIR Bonds pursuant to a negotiated sale to investors, coordi</w:t>
      </w:r>
      <w:r w:rsidR="00DB6C5E">
        <w:softHyphen/>
      </w:r>
      <w:r w:rsidR="00F30D13" w:rsidRPr="005A076C">
        <w:t>nated through one or more underwriters</w:t>
      </w:r>
      <w:r w:rsidR="000C0842" w:rsidRPr="005A076C">
        <w:t xml:space="preserve">.  </w:t>
      </w:r>
      <w:r w:rsidR="00F30D13" w:rsidRPr="005A076C">
        <w:t xml:space="preserve">OPCo has engaged Citigroup Global Markets, Inc., an investment banking firm frequently involved in the underwriting of this type of securities, to assist in the process of structuring the transaction. </w:t>
      </w:r>
    </w:p>
    <w:p w:rsidR="00F30D13" w:rsidRPr="005A076C" w:rsidRDefault="005A076C" w:rsidP="005A076C">
      <w:pPr>
        <w:pStyle w:val="textstyle0"/>
      </w:pPr>
      <w:r>
        <w:tab/>
      </w:r>
      <w:r w:rsidR="00F30D13" w:rsidRPr="005A076C">
        <w:t xml:space="preserve">OPCo requests that the Commission consider and approve the securitization and all related matters requested in this Application on an expedited basis by October 1, 2012, </w:t>
      </w:r>
      <w:r w:rsidR="00F17F05" w:rsidRPr="005A076C">
        <w:t>This is within the 135-day timeline set forth in Section 4928.232(C)(1), Revised Code</w:t>
      </w:r>
      <w:r w:rsidR="000C0842" w:rsidRPr="005A076C">
        <w:t xml:space="preserve">.  </w:t>
      </w:r>
      <w:r w:rsidR="00F30D13" w:rsidRPr="005A076C">
        <w:t>According to OPCo, such expedited treatment will permit the PIR Bonds to be issued in a</w:t>
      </w:r>
      <w:r w:rsidR="00003FC3" w:rsidRPr="005A076C">
        <w:t xml:space="preserve"> </w:t>
      </w:r>
      <w:r w:rsidR="00F30D13" w:rsidRPr="005A076C">
        <w:t>timely fashion to take advantage of historically low interest rates, and that the savings fo</w:t>
      </w:r>
      <w:r w:rsidR="00EB096D" w:rsidRPr="005A076C">
        <w:t>r</w:t>
      </w:r>
      <w:r w:rsidR="00003FC3" w:rsidRPr="005A076C">
        <w:t xml:space="preserve"> </w:t>
      </w:r>
      <w:r w:rsidR="00F30D13" w:rsidRPr="005A076C">
        <w:t xml:space="preserve">customers expected from the </w:t>
      </w:r>
      <w:r w:rsidR="00EB096D" w:rsidRPr="005A076C">
        <w:t>transaction</w:t>
      </w:r>
      <w:r w:rsidR="00F30D13" w:rsidRPr="005A076C">
        <w:t xml:space="preserve"> may </w:t>
      </w:r>
      <w:r w:rsidR="00EB096D" w:rsidRPr="005A076C">
        <w:t>be</w:t>
      </w:r>
      <w:r w:rsidR="00F30D13" w:rsidRPr="005A076C">
        <w:t xml:space="preserve"> realized as soon as possible. </w:t>
      </w:r>
    </w:p>
    <w:p w:rsidR="00FF5711" w:rsidRPr="005A076C" w:rsidRDefault="005A076C" w:rsidP="005A076C">
      <w:pPr>
        <w:pStyle w:val="textstyle0"/>
      </w:pPr>
      <w:r>
        <w:tab/>
      </w:r>
      <w:r w:rsidR="00FF5711" w:rsidRPr="005A076C">
        <w:t>The expected principal repayment schedule</w:t>
      </w:r>
      <w:r w:rsidR="00C40D1C" w:rsidRPr="005A076C">
        <w:t xml:space="preserve"> and </w:t>
      </w:r>
      <w:r w:rsidR="000A2BD1" w:rsidRPr="005A076C">
        <w:t>the transaction</w:t>
      </w:r>
      <w:r w:rsidR="00C40D1C" w:rsidRPr="005A076C">
        <w:t xml:space="preserve"> structure </w:t>
      </w:r>
      <w:r w:rsidR="00EB096D" w:rsidRPr="005A076C">
        <w:t>are</w:t>
      </w:r>
      <w:r w:rsidR="00FF5711" w:rsidRPr="005A076C">
        <w:t xml:space="preserve"> provided in Exhibit </w:t>
      </w:r>
      <w:r w:rsidR="00EB096D" w:rsidRPr="005A076C">
        <w:t>D</w:t>
      </w:r>
      <w:r w:rsidR="00FF5711" w:rsidRPr="005A076C">
        <w:t xml:space="preserve"> </w:t>
      </w:r>
      <w:r w:rsidR="00EB096D" w:rsidRPr="005A076C">
        <w:t>and H of</w:t>
      </w:r>
      <w:r w:rsidR="00FF5711" w:rsidRPr="005A076C">
        <w:t xml:space="preserve"> the Application.</w:t>
      </w:r>
    </w:p>
    <w:p w:rsidR="00FF5711" w:rsidRPr="005A076C" w:rsidRDefault="00003FC3" w:rsidP="005A076C">
      <w:pPr>
        <w:pStyle w:val="Heading2"/>
      </w:pPr>
      <w:bookmarkStart w:id="27" w:name="_Toc328131633"/>
      <w:bookmarkStart w:id="28" w:name="_Toc328136695"/>
      <w:bookmarkStart w:id="29" w:name="_Toc335401735"/>
      <w:r w:rsidRPr="005A076C">
        <w:lastRenderedPageBreak/>
        <w:t>D.</w:t>
      </w:r>
      <w:r w:rsidRPr="005A076C">
        <w:tab/>
      </w:r>
      <w:r w:rsidR="00FF5711" w:rsidRPr="005A076C">
        <w:t>Up-front and Ongoing Financing Costs</w:t>
      </w:r>
      <w:bookmarkEnd w:id="27"/>
      <w:bookmarkEnd w:id="28"/>
      <w:bookmarkEnd w:id="29"/>
    </w:p>
    <w:p w:rsidR="00FD583D" w:rsidRPr="005A076C" w:rsidRDefault="005A076C" w:rsidP="005A076C">
      <w:pPr>
        <w:pStyle w:val="textstyle0"/>
      </w:pPr>
      <w:r>
        <w:tab/>
      </w:r>
      <w:r w:rsidR="00EB096D" w:rsidRPr="005A076C">
        <w:t xml:space="preserve">OPCo will incur certain </w:t>
      </w:r>
      <w:r w:rsidR="00902843" w:rsidRPr="005A076C">
        <w:t>Upfront Financing Costs</w:t>
      </w:r>
      <w:r w:rsidR="00136B13" w:rsidRPr="005A076C">
        <w:t xml:space="preserve"> </w:t>
      </w:r>
      <w:r w:rsidR="00EB096D" w:rsidRPr="005A076C">
        <w:t>relating</w:t>
      </w:r>
      <w:r w:rsidR="007167CC" w:rsidRPr="005A076C">
        <w:t xml:space="preserve"> t</w:t>
      </w:r>
      <w:r w:rsidR="00EB096D" w:rsidRPr="005A076C">
        <w:t>o</w:t>
      </w:r>
      <w:r w:rsidR="007167CC" w:rsidRPr="005A076C">
        <w:t xml:space="preserve"> </w:t>
      </w:r>
      <w:r w:rsidR="00F30D13" w:rsidRPr="005A076C">
        <w:t>retiring, refunding or defeasing OPCo's existing long-term debt, counsel</w:t>
      </w:r>
      <w:r w:rsidR="00136B13" w:rsidRPr="005A076C">
        <w:t xml:space="preserve"> </w:t>
      </w:r>
      <w:r w:rsidR="00F30D13" w:rsidRPr="005A076C">
        <w:t>fees, structural</w:t>
      </w:r>
      <w:r w:rsidR="007167CC" w:rsidRPr="005A076C">
        <w:t xml:space="preserve"> </w:t>
      </w:r>
      <w:r w:rsidR="00F30D13" w:rsidRPr="005A076C">
        <w:t>advisory fees</w:t>
      </w:r>
      <w:r w:rsidR="00EA559C" w:rsidRPr="005A076C">
        <w:t xml:space="preserve">, </w:t>
      </w:r>
      <w:r w:rsidR="00F30D13" w:rsidRPr="005A076C">
        <w:t>under</w:t>
      </w:r>
      <w:r w:rsidR="000B4EAE">
        <w:softHyphen/>
      </w:r>
      <w:r w:rsidR="00F30D13" w:rsidRPr="005A076C">
        <w:t>writing fees, rating agency fees, independent auditor's</w:t>
      </w:r>
      <w:r w:rsidR="00136B13" w:rsidRPr="005A076C">
        <w:t xml:space="preserve"> </w:t>
      </w:r>
      <w:r w:rsidR="00F30D13" w:rsidRPr="005A076C">
        <w:t>fees,</w:t>
      </w:r>
      <w:r w:rsidR="007167CC" w:rsidRPr="005A076C">
        <w:t xml:space="preserve"> </w:t>
      </w:r>
      <w:r w:rsidR="00F30D13" w:rsidRPr="005A076C">
        <w:t>SEC</w:t>
      </w:r>
      <w:r w:rsidR="007167CC" w:rsidRPr="005A076C">
        <w:t xml:space="preserve"> </w:t>
      </w:r>
      <w:r w:rsidR="00F30D13" w:rsidRPr="005A076C">
        <w:t>registration fees, print</w:t>
      </w:r>
      <w:r w:rsidR="000B4EAE">
        <w:softHyphen/>
      </w:r>
      <w:r w:rsidR="00F30D13" w:rsidRPr="005A076C">
        <w:t>ing and marketing expenses and other fees and expenses</w:t>
      </w:r>
      <w:r w:rsidR="008A44A7" w:rsidRPr="005A076C">
        <w:t xml:space="preserve"> </w:t>
      </w:r>
      <w:r w:rsidR="00F30D13" w:rsidRPr="005A076C">
        <w:t>approved</w:t>
      </w:r>
      <w:r w:rsidR="007167CC" w:rsidRPr="005A076C">
        <w:t xml:space="preserve"> </w:t>
      </w:r>
      <w:r w:rsidR="00F30D13" w:rsidRPr="005A076C">
        <w:t>in the Financing</w:t>
      </w:r>
      <w:r w:rsidR="00003FC3" w:rsidRPr="005A076C">
        <w:t xml:space="preserve"> </w:t>
      </w:r>
      <w:r w:rsidR="00F30D13" w:rsidRPr="005A076C">
        <w:t xml:space="preserve">Order. </w:t>
      </w:r>
      <w:r w:rsidR="00136B13" w:rsidRPr="005A076C">
        <w:t xml:space="preserve"> </w:t>
      </w:r>
      <w:r w:rsidR="00FD583D" w:rsidRPr="005A076C">
        <w:t>OPCo's current estimate of such Upfront Financing</w:t>
      </w:r>
      <w:r w:rsidR="007167CC" w:rsidRPr="005A076C">
        <w:t xml:space="preserve"> </w:t>
      </w:r>
      <w:r w:rsidR="00FD583D" w:rsidRPr="005A076C">
        <w:t>Costs is about</w:t>
      </w:r>
      <w:r w:rsidR="007167CC" w:rsidRPr="005A076C">
        <w:t xml:space="preserve"> </w:t>
      </w:r>
      <w:r w:rsidR="00FD583D" w:rsidRPr="005A076C">
        <w:t>$16 million in</w:t>
      </w:r>
      <w:r w:rsidR="00003FC3" w:rsidRPr="005A076C">
        <w:t xml:space="preserve"> </w:t>
      </w:r>
      <w:r w:rsidR="00FD583D" w:rsidRPr="005A076C">
        <w:t>the aggregate, including debt retirement/defeasance costs</w:t>
      </w:r>
      <w:r w:rsidR="008A44A7" w:rsidRPr="005A076C">
        <w:t xml:space="preserve"> of about </w:t>
      </w:r>
      <w:r w:rsidR="00FD583D" w:rsidRPr="005A076C">
        <w:t>$11</w:t>
      </w:r>
      <w:r w:rsidR="007167CC" w:rsidRPr="005A076C">
        <w:t xml:space="preserve"> </w:t>
      </w:r>
      <w:r w:rsidR="00FD583D" w:rsidRPr="005A076C">
        <w:t xml:space="preserve">million, and </w:t>
      </w:r>
      <w:r w:rsidR="008A44A7" w:rsidRPr="005A076C">
        <w:t>about</w:t>
      </w:r>
      <w:r w:rsidR="00003FC3" w:rsidRPr="005A076C">
        <w:t xml:space="preserve"> </w:t>
      </w:r>
      <w:r w:rsidR="00FD583D" w:rsidRPr="005A076C">
        <w:t xml:space="preserve">$5 million of other Upfront Financing Costs described </w:t>
      </w:r>
      <w:r w:rsidR="008A44A7" w:rsidRPr="005A076C">
        <w:t>i</w:t>
      </w:r>
      <w:r w:rsidR="00FD583D" w:rsidRPr="005A076C">
        <w:t>n</w:t>
      </w:r>
      <w:r w:rsidR="007167CC" w:rsidRPr="005A076C">
        <w:t xml:space="preserve"> </w:t>
      </w:r>
      <w:r w:rsidR="00FD583D" w:rsidRPr="005A076C">
        <w:t>Exhibit B to</w:t>
      </w:r>
      <w:r w:rsidR="007167CC" w:rsidRPr="005A076C">
        <w:t xml:space="preserve"> </w:t>
      </w:r>
      <w:r w:rsidR="00FD583D" w:rsidRPr="005A076C">
        <w:t>the Application</w:t>
      </w:r>
      <w:r w:rsidR="008A44A7" w:rsidRPr="005A076C">
        <w:t>.</w:t>
      </w:r>
    </w:p>
    <w:p w:rsidR="00D5708C" w:rsidRPr="005A076C" w:rsidRDefault="005A076C" w:rsidP="005A076C">
      <w:pPr>
        <w:pStyle w:val="textstyle0"/>
      </w:pPr>
      <w:r>
        <w:tab/>
      </w:r>
      <w:r w:rsidR="00EB096D" w:rsidRPr="005A076C">
        <w:t>In addition, there will be o</w:t>
      </w:r>
      <w:r w:rsidR="00F30D13" w:rsidRPr="005A076C">
        <w:t xml:space="preserve">ther </w:t>
      </w:r>
      <w:r w:rsidR="00EB096D" w:rsidRPr="005A076C">
        <w:t xml:space="preserve">ongoing </w:t>
      </w:r>
      <w:r w:rsidR="008152B5" w:rsidRPr="005A076C">
        <w:t>f</w:t>
      </w:r>
      <w:r w:rsidR="00EB096D" w:rsidRPr="005A076C">
        <w:t xml:space="preserve">inancing </w:t>
      </w:r>
      <w:r w:rsidR="008152B5" w:rsidRPr="005A076C">
        <w:t>c</w:t>
      </w:r>
      <w:r w:rsidR="00EB096D" w:rsidRPr="005A076C">
        <w:t>osts</w:t>
      </w:r>
      <w:r w:rsidR="00902843" w:rsidRPr="005A076C">
        <w:t xml:space="preserve"> (Ongoing Financing</w:t>
      </w:r>
      <w:r w:rsidR="009D2C46" w:rsidRPr="005A076C">
        <w:t xml:space="preserve"> </w:t>
      </w:r>
      <w:r w:rsidR="00902843" w:rsidRPr="005A076C">
        <w:t xml:space="preserve">Costs) </w:t>
      </w:r>
      <w:r w:rsidR="00EB096D" w:rsidRPr="005A076C">
        <w:t xml:space="preserve">relating to the PIR Bonds </w:t>
      </w:r>
      <w:r w:rsidR="00902843" w:rsidRPr="005A076C">
        <w:t xml:space="preserve">such as </w:t>
      </w:r>
      <w:r w:rsidR="00F30D13" w:rsidRPr="005A076C">
        <w:t>principal and interest</w:t>
      </w:r>
      <w:r w:rsidR="00902843" w:rsidRPr="005A076C">
        <w:t xml:space="preserve"> </w:t>
      </w:r>
      <w:r w:rsidR="00F30D13" w:rsidRPr="005A076C">
        <w:t xml:space="preserve">on the </w:t>
      </w:r>
      <w:r w:rsidR="00902843" w:rsidRPr="005A076C">
        <w:t xml:space="preserve">PIR </w:t>
      </w:r>
      <w:r w:rsidR="00F30D13" w:rsidRPr="005A076C">
        <w:t>Bonds, servicer</w:t>
      </w:r>
      <w:r w:rsidR="00003FC3" w:rsidRPr="005A076C">
        <w:t xml:space="preserve"> </w:t>
      </w:r>
      <w:r w:rsidR="00F30D13" w:rsidRPr="005A076C">
        <w:t>fees and expenses, trustee fees and expenses, SPE administrative fees and expenses,</w:t>
      </w:r>
      <w:r w:rsidR="00003FC3" w:rsidRPr="005A076C">
        <w:t xml:space="preserve"> </w:t>
      </w:r>
      <w:r w:rsidR="00F30D13" w:rsidRPr="005A076C">
        <w:t xml:space="preserve"> </w:t>
      </w:r>
      <w:r w:rsidR="00F17F05" w:rsidRPr="005A076C">
        <w:t>Inde</w:t>
      </w:r>
      <w:r w:rsidR="00DB6C5E">
        <w:softHyphen/>
      </w:r>
      <w:r w:rsidR="00F17F05" w:rsidRPr="005A076C">
        <w:t>pendent</w:t>
      </w:r>
      <w:r w:rsidR="00F30D13" w:rsidRPr="005A076C">
        <w:t xml:space="preserve"> </w:t>
      </w:r>
      <w:r w:rsidR="00F17F05" w:rsidRPr="005A076C">
        <w:t>managers’</w:t>
      </w:r>
      <w:r w:rsidR="00F30D13" w:rsidRPr="005A076C">
        <w:t xml:space="preserve"> fees, rating agency surveillance fees, ongoing SEC compliance</w:t>
      </w:r>
      <w:r w:rsidR="00003FC3" w:rsidRPr="005A076C">
        <w:t xml:space="preserve"> </w:t>
      </w:r>
      <w:r w:rsidR="00F30D13" w:rsidRPr="005A076C">
        <w:t>costs, accounting fees, the cost of maintaining or replenishing overcollateralization or</w:t>
      </w:r>
      <w:r w:rsidR="00003FC3" w:rsidRPr="005A076C">
        <w:t xml:space="preserve"> </w:t>
      </w:r>
      <w:r w:rsidR="00F30D13" w:rsidRPr="005A076C">
        <w:t>other reserves or accounts (if any), any ancillary agreement or other financing document</w:t>
      </w:r>
      <w:r w:rsidR="00003FC3" w:rsidRPr="005A076C">
        <w:t xml:space="preserve"> </w:t>
      </w:r>
      <w:r w:rsidR="00F30D13" w:rsidRPr="005A076C">
        <w:t>relat</w:t>
      </w:r>
      <w:r w:rsidR="00DB6C5E">
        <w:softHyphen/>
      </w:r>
      <w:r w:rsidR="00F30D13" w:rsidRPr="005A076C">
        <w:t>ing to the P</w:t>
      </w:r>
      <w:r w:rsidR="00902843" w:rsidRPr="005A076C">
        <w:t>IR</w:t>
      </w:r>
      <w:r w:rsidR="00F30D13" w:rsidRPr="005A076C">
        <w:t xml:space="preserve"> Bonds, and any other Financing Costs approved under the Financing</w:t>
      </w:r>
      <w:r w:rsidR="00003FC3" w:rsidRPr="005A076C">
        <w:t xml:space="preserve"> </w:t>
      </w:r>
      <w:r w:rsidR="00F30D13" w:rsidRPr="005A076C">
        <w:t>Order.</w:t>
      </w:r>
      <w:r w:rsidR="00C37AB9" w:rsidRPr="005A076C">
        <w:t xml:space="preserve"> </w:t>
      </w:r>
      <w:r w:rsidR="00F30D13" w:rsidRPr="005A076C">
        <w:t xml:space="preserve"> </w:t>
      </w:r>
      <w:r w:rsidR="00C37AB9" w:rsidRPr="005A076C">
        <w:t>The Company estimates that it will incur Ongoing Financing Costs of $631,057, if OPCo functions as the servicer of the PIR Bonds.     The Company estimates</w:t>
      </w:r>
      <w:r w:rsidR="00003FC3" w:rsidRPr="005A076C">
        <w:t xml:space="preserve"> </w:t>
      </w:r>
      <w:r w:rsidR="00C37AB9" w:rsidRPr="005A076C">
        <w:t>that it will incur Ongoing Financing Costs of about $2.6 million, if a third party functions as the ser</w:t>
      </w:r>
      <w:r w:rsidR="00DB6C5E">
        <w:softHyphen/>
      </w:r>
      <w:r w:rsidR="00C37AB9" w:rsidRPr="005A076C">
        <w:t xml:space="preserve">vicer of the PIR Bonds.  </w:t>
      </w:r>
    </w:p>
    <w:p w:rsidR="00F30D13" w:rsidRPr="005A076C" w:rsidRDefault="005A076C" w:rsidP="005A076C">
      <w:pPr>
        <w:pStyle w:val="textstyle0"/>
      </w:pPr>
      <w:r>
        <w:tab/>
      </w:r>
      <w:r w:rsidR="00902843" w:rsidRPr="005A076C">
        <w:t>The O</w:t>
      </w:r>
      <w:r w:rsidR="00F30D13" w:rsidRPr="005A076C">
        <w:t>ngoing Financing Costs</w:t>
      </w:r>
      <w:r w:rsidR="00902843" w:rsidRPr="005A076C">
        <w:t>, while</w:t>
      </w:r>
      <w:r w:rsidR="00F30D13" w:rsidRPr="005A076C">
        <w:t xml:space="preserve"> expected to be relatively stable over time,</w:t>
      </w:r>
      <w:r w:rsidR="00003FC3" w:rsidRPr="005A076C">
        <w:t xml:space="preserve"> </w:t>
      </w:r>
      <w:r w:rsidR="00F30D13" w:rsidRPr="005A076C">
        <w:t xml:space="preserve">may </w:t>
      </w:r>
      <w:r w:rsidR="00902843" w:rsidRPr="005A076C">
        <w:t xml:space="preserve">vary </w:t>
      </w:r>
      <w:r w:rsidR="00F30D13" w:rsidRPr="005A076C">
        <w:t xml:space="preserve">based </w:t>
      </w:r>
      <w:r w:rsidR="00902843" w:rsidRPr="005A076C">
        <w:t>on the a</w:t>
      </w:r>
      <w:r w:rsidR="00F30D13" w:rsidRPr="005A076C">
        <w:t xml:space="preserve">ctual debt service payments, </w:t>
      </w:r>
      <w:r w:rsidR="00902843" w:rsidRPr="005A076C">
        <w:t>depending on the deviations that</w:t>
      </w:r>
      <w:r w:rsidR="00003FC3" w:rsidRPr="005A076C">
        <w:t xml:space="preserve"> </w:t>
      </w:r>
      <w:r w:rsidR="00902843" w:rsidRPr="005A076C">
        <w:t>occur in actual collections</w:t>
      </w:r>
      <w:r w:rsidR="000C0842" w:rsidRPr="005A076C">
        <w:t xml:space="preserve">.  </w:t>
      </w:r>
      <w:r w:rsidR="00F30D13" w:rsidRPr="005A076C">
        <w:t xml:space="preserve">Other </w:t>
      </w:r>
      <w:r w:rsidR="00F632A0" w:rsidRPr="005A076C">
        <w:t>O</w:t>
      </w:r>
      <w:r w:rsidR="00F30D13" w:rsidRPr="005A076C">
        <w:t xml:space="preserve">ngoing Financing Costs, such as rating agency surveillance </w:t>
      </w:r>
      <w:r w:rsidR="00F30D13" w:rsidRPr="005A076C">
        <w:lastRenderedPageBreak/>
        <w:t>fees, trustee fees, and legal and accounting costs</w:t>
      </w:r>
      <w:r w:rsidR="00AD4943" w:rsidRPr="005A076C">
        <w:t>, recovery of tax liabilities</w:t>
      </w:r>
      <w:r w:rsidR="00003FC3" w:rsidRPr="005A076C">
        <w:t xml:space="preserve"> </w:t>
      </w:r>
      <w:r w:rsidR="0064495D" w:rsidRPr="005A076C">
        <w:t>also arise</w:t>
      </w:r>
      <w:r w:rsidR="00AD4943" w:rsidRPr="005A076C">
        <w:t xml:space="preserve"> from securitization</w:t>
      </w:r>
      <w:r w:rsidR="00F30D13" w:rsidRPr="005A076C">
        <w:t xml:space="preserve">. All </w:t>
      </w:r>
      <w:r w:rsidR="00AD4943" w:rsidRPr="005A076C">
        <w:t>O</w:t>
      </w:r>
      <w:r w:rsidR="00F30D13" w:rsidRPr="005A076C">
        <w:t>ngoing Financing Costs must be recovered through the</w:t>
      </w:r>
      <w:r w:rsidR="00003FC3" w:rsidRPr="005A076C">
        <w:t xml:space="preserve"> </w:t>
      </w:r>
      <w:r w:rsidR="00F30D13" w:rsidRPr="005A076C">
        <w:t>imposi</w:t>
      </w:r>
      <w:r w:rsidR="00DB6C5E">
        <w:softHyphen/>
      </w:r>
      <w:r w:rsidR="00F30D13" w:rsidRPr="005A076C">
        <w:t>tion and collection and adjustment (or true up), from time to time, of the P</w:t>
      </w:r>
      <w:r w:rsidR="00AD4943" w:rsidRPr="005A076C">
        <w:t>IR</w:t>
      </w:r>
      <w:r w:rsidR="00003FC3" w:rsidRPr="005A076C">
        <w:t xml:space="preserve"> </w:t>
      </w:r>
      <w:r w:rsidR="00F30D13" w:rsidRPr="005A076C">
        <w:t xml:space="preserve">Charges. </w:t>
      </w:r>
    </w:p>
    <w:p w:rsidR="00A95059" w:rsidRPr="005A076C" w:rsidRDefault="005A076C" w:rsidP="005A076C">
      <w:pPr>
        <w:pStyle w:val="textstyle0"/>
      </w:pPr>
      <w:r>
        <w:tab/>
      </w:r>
      <w:r w:rsidR="00AD4943" w:rsidRPr="005A076C">
        <w:t xml:space="preserve">OPCo has a proposed </w:t>
      </w:r>
      <w:r w:rsidR="00A95059" w:rsidRPr="005A076C">
        <w:t xml:space="preserve">a </w:t>
      </w:r>
      <w:r w:rsidR="00AD4943" w:rsidRPr="005A076C">
        <w:t>mechanism for making expeditious periodic adjustments in the P</w:t>
      </w:r>
      <w:r w:rsidR="00A95059" w:rsidRPr="005A076C">
        <w:t>IR</w:t>
      </w:r>
      <w:r w:rsidR="00AD4943" w:rsidRPr="005A076C">
        <w:t xml:space="preserve"> Charges</w:t>
      </w:r>
      <w:r w:rsidR="000C0842" w:rsidRPr="005A076C">
        <w:t xml:space="preserve">.  </w:t>
      </w:r>
      <w:r w:rsidR="00AD4943" w:rsidRPr="005A076C">
        <w:t>Such adjustments, or true-up filings, must be made annually to correct</w:t>
      </w:r>
      <w:r w:rsidR="00003FC3" w:rsidRPr="005A076C">
        <w:t xml:space="preserve"> </w:t>
      </w:r>
      <w:r w:rsidR="00AD4943" w:rsidRPr="005A076C">
        <w:t>for</w:t>
      </w:r>
      <w:r w:rsidR="00AD151F" w:rsidRPr="005A076C">
        <w:t xml:space="preserve"> </w:t>
      </w:r>
      <w:r w:rsidR="00AD4943" w:rsidRPr="005A076C">
        <w:t>any under collections or over collections during the preceding period and to ensure</w:t>
      </w:r>
      <w:r w:rsidR="00003FC3" w:rsidRPr="005A076C">
        <w:t xml:space="preserve"> </w:t>
      </w:r>
      <w:r w:rsidR="00AD4943" w:rsidRPr="005A076C">
        <w:t>that</w:t>
      </w:r>
      <w:r w:rsidR="00AD151F" w:rsidRPr="005A076C">
        <w:t xml:space="preserve"> </w:t>
      </w:r>
      <w:r w:rsidR="00AD4943" w:rsidRPr="005A076C">
        <w:t>the P</w:t>
      </w:r>
      <w:r w:rsidR="00A95059" w:rsidRPr="005A076C">
        <w:t>IR</w:t>
      </w:r>
      <w:r w:rsidR="00AD4943" w:rsidRPr="005A076C">
        <w:t xml:space="preserve"> Charges continue to generate amounts sufficient to timely pay all scheduled</w:t>
      </w:r>
      <w:r w:rsidR="00003FC3" w:rsidRPr="005A076C">
        <w:t xml:space="preserve"> </w:t>
      </w:r>
      <w:r w:rsidR="00AD4943" w:rsidRPr="005A076C">
        <w:t>payments of principal and interest and any other amounts due in connection with the P</w:t>
      </w:r>
      <w:r w:rsidR="00A95059" w:rsidRPr="005A076C">
        <w:t>IR</w:t>
      </w:r>
      <w:r w:rsidR="00003FC3" w:rsidRPr="005A076C">
        <w:t xml:space="preserve"> </w:t>
      </w:r>
      <w:r w:rsidR="00AD4943" w:rsidRPr="005A076C">
        <w:t xml:space="preserve">Bonds for the twelve month period following the true-up adjustment. </w:t>
      </w:r>
    </w:p>
    <w:p w:rsidR="00A95059" w:rsidRPr="005A076C" w:rsidRDefault="005A076C" w:rsidP="005A076C">
      <w:pPr>
        <w:pStyle w:val="textstyle0"/>
      </w:pPr>
      <w:r>
        <w:tab/>
      </w:r>
      <w:r w:rsidR="00AD4943" w:rsidRPr="005A076C">
        <w:t xml:space="preserve">Further, the servicer </w:t>
      </w:r>
      <w:r w:rsidR="008472EA" w:rsidRPr="005A076C">
        <w:t>will</w:t>
      </w:r>
      <w:r w:rsidR="00AD4943" w:rsidRPr="005A076C">
        <w:t xml:space="preserve"> make a mandatory interim true-up filing semi-annually</w:t>
      </w:r>
      <w:r w:rsidR="00003FC3" w:rsidRPr="005A076C">
        <w:t xml:space="preserve"> </w:t>
      </w:r>
      <w:r w:rsidR="00AD4943" w:rsidRPr="005A076C">
        <w:t>(quar</w:t>
      </w:r>
      <w:r w:rsidR="00DB6C5E">
        <w:softHyphen/>
      </w:r>
      <w:r w:rsidR="00AD4943" w:rsidRPr="005A076C">
        <w:t>terly after the last scheduled maturity date of any P</w:t>
      </w:r>
      <w:r w:rsidR="00A95059" w:rsidRPr="005A076C">
        <w:t>IR</w:t>
      </w:r>
      <w:r w:rsidR="00AD4943" w:rsidRPr="005A076C">
        <w:t xml:space="preserve"> Bonds) to ensure that P</w:t>
      </w:r>
      <w:r w:rsidR="00A95059" w:rsidRPr="005A076C">
        <w:t>IR</w:t>
      </w:r>
      <w:r w:rsidR="00003FC3" w:rsidRPr="005A076C">
        <w:t xml:space="preserve"> </w:t>
      </w:r>
      <w:r w:rsidR="00AD4943" w:rsidRPr="005A076C">
        <w:t>Charges are sufficient to pay such P</w:t>
      </w:r>
      <w:r w:rsidR="00A95059" w:rsidRPr="005A076C">
        <w:t>IR</w:t>
      </w:r>
      <w:r w:rsidR="00AD4943" w:rsidRPr="005A076C">
        <w:t xml:space="preserve"> Bonds in full on the next succeeding payment</w:t>
      </w:r>
      <w:r w:rsidR="00003FC3" w:rsidRPr="005A076C">
        <w:t xml:space="preserve"> </w:t>
      </w:r>
      <w:r w:rsidR="00AD4943" w:rsidRPr="005A076C">
        <w:t xml:space="preserve">date. </w:t>
      </w:r>
    </w:p>
    <w:p w:rsidR="00A95059" w:rsidRPr="005A076C" w:rsidRDefault="005A076C" w:rsidP="005A076C">
      <w:pPr>
        <w:pStyle w:val="textstyle0"/>
      </w:pPr>
      <w:r>
        <w:tab/>
      </w:r>
      <w:r w:rsidR="00A95059" w:rsidRPr="005A076C">
        <w:t>T</w:t>
      </w:r>
      <w:r w:rsidR="00AD4943" w:rsidRPr="005A076C">
        <w:t>he Commission's review of any adjustment request would be limited to</w:t>
      </w:r>
      <w:r w:rsidR="008A44A7" w:rsidRPr="005A076C">
        <w:t xml:space="preserve"> </w:t>
      </w:r>
      <w:r w:rsidR="00C658DF" w:rsidRPr="005A076C">
        <w:t>d</w:t>
      </w:r>
      <w:r w:rsidR="00AD4943" w:rsidRPr="005A076C">
        <w:t>etermining</w:t>
      </w:r>
      <w:r w:rsidR="00C658DF" w:rsidRPr="005A076C">
        <w:t xml:space="preserve"> </w:t>
      </w:r>
      <w:r w:rsidR="00AD4943" w:rsidRPr="005A076C">
        <w:t>whether there is any mathematical error in the application of the adjustment mechanism</w:t>
      </w:r>
      <w:r w:rsidR="008A44A7" w:rsidRPr="005A076C">
        <w:t xml:space="preserve"> </w:t>
      </w:r>
      <w:r w:rsidR="00AD4943" w:rsidRPr="005A076C">
        <w:t xml:space="preserve">approved in the Financing Order. </w:t>
      </w:r>
    </w:p>
    <w:p w:rsidR="00AD4943" w:rsidRPr="005A076C" w:rsidRDefault="005A076C" w:rsidP="005A076C">
      <w:pPr>
        <w:pStyle w:val="textstyle0"/>
      </w:pPr>
      <w:r>
        <w:tab/>
      </w:r>
      <w:r w:rsidR="00AD4943" w:rsidRPr="005A076C">
        <w:t>Finally, the initial P</w:t>
      </w:r>
      <w:r w:rsidR="00A95059" w:rsidRPr="005A076C">
        <w:t>IR</w:t>
      </w:r>
      <w:r w:rsidR="00AD4943" w:rsidRPr="005A076C">
        <w:t xml:space="preserve"> Charges will be determined by OPCo prior to the issuance</w:t>
      </w:r>
      <w:r w:rsidR="00003FC3" w:rsidRPr="005A076C">
        <w:t xml:space="preserve"> </w:t>
      </w:r>
      <w:r w:rsidR="00AD4943" w:rsidRPr="005A076C">
        <w:t>of the</w:t>
      </w:r>
      <w:r w:rsidR="00AD151F" w:rsidRPr="005A076C">
        <w:t xml:space="preserve"> </w:t>
      </w:r>
      <w:r w:rsidR="00AD4943" w:rsidRPr="005A076C">
        <w:t>P</w:t>
      </w:r>
      <w:r w:rsidR="008472EA" w:rsidRPr="005A076C">
        <w:t>IR</w:t>
      </w:r>
      <w:r w:rsidR="00AD4943" w:rsidRPr="005A076C">
        <w:t xml:space="preserve"> Bonds and filed with the Commission in the Final Tariff Sheet as an </w:t>
      </w:r>
      <w:r w:rsidR="00AD151F" w:rsidRPr="005A076C">
        <w:t>a</w:t>
      </w:r>
      <w:r w:rsidR="00AD4943" w:rsidRPr="005A076C">
        <w:t>ttachment to</w:t>
      </w:r>
      <w:r w:rsidR="00AD151F" w:rsidRPr="005A076C">
        <w:t xml:space="preserve"> </w:t>
      </w:r>
      <w:r w:rsidR="00AD4943" w:rsidRPr="005A076C">
        <w:t>the Issuance Advice Letter</w:t>
      </w:r>
      <w:r w:rsidR="000C0842" w:rsidRPr="005A076C">
        <w:t xml:space="preserve">.  </w:t>
      </w:r>
      <w:r w:rsidR="00AD4943" w:rsidRPr="005A076C">
        <w:t xml:space="preserve">These charges </w:t>
      </w:r>
      <w:r w:rsidR="00A95059" w:rsidRPr="005A076C">
        <w:t>will</w:t>
      </w:r>
      <w:r w:rsidR="00AD4943" w:rsidRPr="005A076C">
        <w:t xml:space="preserve"> be final and effective upon</w:t>
      </w:r>
      <w:r w:rsidR="00003FC3" w:rsidRPr="005A076C">
        <w:t xml:space="preserve"> </w:t>
      </w:r>
      <w:r w:rsidR="00AD4943" w:rsidRPr="005A076C">
        <w:t>the issu</w:t>
      </w:r>
      <w:r w:rsidR="00DB6C5E">
        <w:softHyphen/>
      </w:r>
      <w:r w:rsidR="00AD4943" w:rsidRPr="005A076C">
        <w:t>ance of</w:t>
      </w:r>
      <w:r w:rsidR="00AD151F" w:rsidRPr="005A076C">
        <w:t xml:space="preserve"> </w:t>
      </w:r>
      <w:r w:rsidR="00AD4943" w:rsidRPr="005A076C">
        <w:t>the P</w:t>
      </w:r>
      <w:r w:rsidR="00A95059" w:rsidRPr="005A076C">
        <w:t>IR</w:t>
      </w:r>
      <w:r w:rsidR="00AD4943" w:rsidRPr="005A076C">
        <w:t xml:space="preserve"> Bonds, without further Commission action. </w:t>
      </w:r>
    </w:p>
    <w:p w:rsidR="008472EA" w:rsidRPr="005A076C" w:rsidRDefault="005A076C" w:rsidP="005A076C">
      <w:pPr>
        <w:pStyle w:val="textstyle0"/>
      </w:pPr>
      <w:r>
        <w:tab/>
      </w:r>
      <w:r w:rsidR="008472EA" w:rsidRPr="005A076C">
        <w:t>A more detailed description of the adjustment mechanism is provided in Exhibit E of the Application.</w:t>
      </w:r>
    </w:p>
    <w:p w:rsidR="00AD4943" w:rsidRPr="005A076C" w:rsidRDefault="0049489A" w:rsidP="005A076C">
      <w:pPr>
        <w:pStyle w:val="Heading2"/>
      </w:pPr>
      <w:bookmarkStart w:id="30" w:name="_Toc335401736"/>
      <w:r w:rsidRPr="005A076C">
        <w:lastRenderedPageBreak/>
        <w:t>E</w:t>
      </w:r>
      <w:r w:rsidR="00003FC3" w:rsidRPr="005A076C">
        <w:t>.</w:t>
      </w:r>
      <w:r w:rsidR="00003FC3" w:rsidRPr="005A076C">
        <w:tab/>
      </w:r>
      <w:r w:rsidR="006F27FD" w:rsidRPr="005A076C">
        <w:t xml:space="preserve">Anticipated Use of the PIR Bond </w:t>
      </w:r>
      <w:r w:rsidR="00702F77">
        <w:t>P</w:t>
      </w:r>
      <w:r w:rsidR="006F27FD" w:rsidRPr="005A076C">
        <w:t>roceeds</w:t>
      </w:r>
      <w:bookmarkEnd w:id="30"/>
    </w:p>
    <w:p w:rsidR="0008363A" w:rsidRPr="005A076C" w:rsidRDefault="005A076C" w:rsidP="005A076C">
      <w:pPr>
        <w:pStyle w:val="textstyle0"/>
      </w:pPr>
      <w:r>
        <w:tab/>
      </w:r>
      <w:r w:rsidR="006F023B" w:rsidRPr="005A076C">
        <w:t>OPCo intends to use the proceeds from the issuance and sale of PIR Bonds, net of upfront Financing Costs, to redeem, retire, repay or defease</w:t>
      </w:r>
      <w:r>
        <w:rPr>
          <w:rStyle w:val="FootnoteReference"/>
        </w:rPr>
        <w:footnoteReference w:id="1"/>
      </w:r>
      <w:r w:rsidR="006F023B" w:rsidRPr="005A076C">
        <w:t xml:space="preserve"> a portion of its existing debt. </w:t>
      </w:r>
      <w:r w:rsidR="007B7FC3" w:rsidRPr="005A076C">
        <w:t xml:space="preserve"> OPCo states that </w:t>
      </w:r>
      <w:r w:rsidR="006F023B" w:rsidRPr="005A076C">
        <w:t>debt defeasance costs may vary significantly in response to market con</w:t>
      </w:r>
      <w:r w:rsidR="00DB6C5E">
        <w:softHyphen/>
      </w:r>
      <w:r w:rsidR="006F023B" w:rsidRPr="005A076C">
        <w:t>ditions and as a result of the terms of the various debt securities to</w:t>
      </w:r>
      <w:r w:rsidR="007B7FC3" w:rsidRPr="005A076C">
        <w:t xml:space="preserve"> </w:t>
      </w:r>
      <w:r w:rsidR="006F023B" w:rsidRPr="005A076C">
        <w:t>be</w:t>
      </w:r>
      <w:r w:rsidR="00D339B1" w:rsidRPr="005A076C">
        <w:t xml:space="preserve"> </w:t>
      </w:r>
      <w:r w:rsidR="006F023B" w:rsidRPr="005A076C">
        <w:t xml:space="preserve">defeased (e.g. the cost of securities deposited to defease the debt securities). </w:t>
      </w:r>
    </w:p>
    <w:p w:rsidR="004640F1" w:rsidRPr="005A076C" w:rsidRDefault="005A076C" w:rsidP="005A076C">
      <w:pPr>
        <w:pStyle w:val="textstyle0"/>
      </w:pPr>
      <w:r>
        <w:tab/>
      </w:r>
      <w:r w:rsidR="004640F1" w:rsidRPr="005A076C">
        <w:t>In addition, the cost of debt retirement or tender is impacted by changes in interest rates.  The lower prevailing interest rates are at the time of retirement or tender, the higher the cost will be to effect such retirement or successful tender. However, OPCo also states that the impact of any increase in debt retirement costs caused by lowers</w:t>
      </w:r>
      <w:r w:rsidR="007244A1" w:rsidRPr="005A076C">
        <w:t xml:space="preserve"> </w:t>
      </w:r>
      <w:r w:rsidR="004640F1" w:rsidRPr="005A076C">
        <w:t>mar</w:t>
      </w:r>
      <w:r w:rsidR="00DB6C5E">
        <w:softHyphen/>
      </w:r>
      <w:r w:rsidR="004640F1" w:rsidRPr="005A076C">
        <w:t xml:space="preserve">ket interest rates should be somewhat offset by a lower cost of debt on the PIR  Bonds. </w:t>
      </w:r>
    </w:p>
    <w:p w:rsidR="004640F1" w:rsidRPr="005A076C" w:rsidRDefault="005A076C" w:rsidP="005A076C">
      <w:pPr>
        <w:pStyle w:val="textstyle0"/>
      </w:pPr>
      <w:r>
        <w:tab/>
      </w:r>
      <w:r w:rsidR="004640F1" w:rsidRPr="005A076C">
        <w:t>OPCo requests that the Commission authorize it to retire a portion of its debt with the proceeds from the PIR Bonds in any manner, consistent with market conditions, that does not impede the securitization transaction from achieving measurably enhanced cost sav</w:t>
      </w:r>
      <w:r w:rsidR="00DB6C5E">
        <w:softHyphen/>
      </w:r>
      <w:r w:rsidR="004640F1" w:rsidRPr="005A076C">
        <w:t xml:space="preserve">ings and mitigating rate impacts for customers. </w:t>
      </w:r>
    </w:p>
    <w:p w:rsidR="004640F1" w:rsidRPr="005A076C" w:rsidRDefault="005A076C" w:rsidP="005A076C">
      <w:pPr>
        <w:pStyle w:val="textstyle0"/>
      </w:pPr>
      <w:r>
        <w:tab/>
      </w:r>
      <w:r w:rsidR="004640F1" w:rsidRPr="005A076C">
        <w:t>OPCo's current estimate of the debt retirement/defeasance costs is about $11 million, as described on Exhibit B to the Application.</w:t>
      </w:r>
    </w:p>
    <w:p w:rsidR="0058526F" w:rsidRPr="0058526F" w:rsidRDefault="00EA559C" w:rsidP="0058526F">
      <w:pPr>
        <w:pStyle w:val="Heading1"/>
      </w:pPr>
      <w:bookmarkStart w:id="31" w:name="_Toc328131635"/>
      <w:bookmarkStart w:id="32" w:name="_Toc328136697"/>
      <w:bookmarkStart w:id="33" w:name="_Toc335401737"/>
      <w:r w:rsidRPr="005A076C">
        <w:lastRenderedPageBreak/>
        <w:t>III.</w:t>
      </w:r>
      <w:r w:rsidRPr="005A076C">
        <w:tab/>
      </w:r>
      <w:bookmarkEnd w:id="31"/>
      <w:bookmarkEnd w:id="32"/>
      <w:r w:rsidR="0058526F">
        <w:t>SECURITIZATION REVIEW</w:t>
      </w:r>
      <w:bookmarkEnd w:id="33"/>
    </w:p>
    <w:p w:rsidR="00FF5711" w:rsidRPr="005A076C" w:rsidRDefault="00F40DBB" w:rsidP="005A076C">
      <w:pPr>
        <w:pStyle w:val="textstyle0"/>
      </w:pPr>
      <w:r>
        <w:tab/>
      </w:r>
      <w:r w:rsidR="00DA1CFF" w:rsidRPr="005A076C">
        <w:t xml:space="preserve">In the </w:t>
      </w:r>
      <w:r w:rsidR="00FF5711" w:rsidRPr="005A076C">
        <w:t>Application, the Compan</w:t>
      </w:r>
      <w:r w:rsidR="00A17972" w:rsidRPr="005A076C">
        <w:t>y</w:t>
      </w:r>
      <w:r w:rsidR="00FF5711" w:rsidRPr="005A076C">
        <w:t xml:space="preserve"> state</w:t>
      </w:r>
      <w:r w:rsidR="00A17972" w:rsidRPr="005A076C">
        <w:t>s</w:t>
      </w:r>
      <w:r w:rsidR="00FF5711" w:rsidRPr="005A076C">
        <w:t xml:space="preserve"> that the securitization transaction is expected to significantly reduce the carrying charges over the recovery period for these Phase-In Costs through the issuance of the PIR Bonds resulting in estimated nominal costs savings to customers of approximately $</w:t>
      </w:r>
      <w:r w:rsidR="00DA1CFF" w:rsidRPr="005A076C">
        <w:t>11.8</w:t>
      </w:r>
      <w:r w:rsidR="00FF5711" w:rsidRPr="005A076C">
        <w:t xml:space="preserve"> million in the aggregate as shown on Exhibit </w:t>
      </w:r>
      <w:r w:rsidR="00DA1CFF" w:rsidRPr="005A076C">
        <w:t>A</w:t>
      </w:r>
      <w:r w:rsidR="00FF5711" w:rsidRPr="005A076C">
        <w:t xml:space="preserve"> to the Application.</w:t>
      </w:r>
    </w:p>
    <w:p w:rsidR="00FF5711" w:rsidRPr="005A076C" w:rsidRDefault="00F40DBB" w:rsidP="005A076C">
      <w:pPr>
        <w:pStyle w:val="textstyle0"/>
      </w:pPr>
      <w:r>
        <w:tab/>
      </w:r>
      <w:r w:rsidR="00FF5711" w:rsidRPr="005A076C">
        <w:t>The Staff applied the following tests and reviews to verify whether the proposed securitization transaction satisfied certain conditions:</w:t>
      </w:r>
    </w:p>
    <w:p w:rsidR="00EA559C" w:rsidRPr="00F40DBB" w:rsidRDefault="00FF5711" w:rsidP="004640F1">
      <w:pPr>
        <w:pStyle w:val="NoSpacing"/>
        <w:numPr>
          <w:ilvl w:val="0"/>
          <w:numId w:val="19"/>
        </w:numPr>
        <w:tabs>
          <w:tab w:val="left" w:pos="0"/>
        </w:tabs>
        <w:spacing w:line="276" w:lineRule="auto"/>
        <w:ind w:firstLine="0"/>
        <w:jc w:val="both"/>
        <w:rPr>
          <w:rFonts w:ascii="Times New Roman" w:hAnsi="Times New Roman"/>
          <w:sz w:val="26"/>
          <w:szCs w:val="26"/>
        </w:rPr>
      </w:pPr>
      <w:r w:rsidRPr="00F40DBB">
        <w:rPr>
          <w:rFonts w:ascii="Times New Roman" w:hAnsi="Times New Roman"/>
          <w:sz w:val="26"/>
          <w:szCs w:val="26"/>
        </w:rPr>
        <w:t>The total revenue test,</w:t>
      </w:r>
    </w:p>
    <w:p w:rsidR="00EA559C" w:rsidRPr="00F40DBB" w:rsidRDefault="00EA559C" w:rsidP="004640F1">
      <w:pPr>
        <w:pStyle w:val="NoSpacing"/>
        <w:tabs>
          <w:tab w:val="left" w:pos="360"/>
        </w:tabs>
        <w:spacing w:line="276" w:lineRule="auto"/>
        <w:ind w:left="720"/>
        <w:jc w:val="both"/>
        <w:rPr>
          <w:rFonts w:ascii="Times New Roman" w:hAnsi="Times New Roman"/>
          <w:sz w:val="26"/>
          <w:szCs w:val="26"/>
        </w:rPr>
      </w:pPr>
    </w:p>
    <w:p w:rsidR="00A97809" w:rsidRPr="00F40DBB" w:rsidRDefault="00FF5711" w:rsidP="004640F1">
      <w:pPr>
        <w:pStyle w:val="NoSpacing"/>
        <w:numPr>
          <w:ilvl w:val="0"/>
          <w:numId w:val="19"/>
        </w:numPr>
        <w:tabs>
          <w:tab w:val="left" w:pos="360"/>
        </w:tabs>
        <w:spacing w:line="276" w:lineRule="auto"/>
        <w:ind w:firstLine="0"/>
        <w:jc w:val="both"/>
        <w:rPr>
          <w:rFonts w:ascii="Times New Roman" w:hAnsi="Times New Roman"/>
          <w:sz w:val="26"/>
          <w:szCs w:val="26"/>
        </w:rPr>
      </w:pPr>
      <w:r w:rsidRPr="00F40DBB">
        <w:rPr>
          <w:rFonts w:ascii="Times New Roman" w:hAnsi="Times New Roman"/>
          <w:sz w:val="26"/>
          <w:szCs w:val="26"/>
        </w:rPr>
        <w:t>The present value test,</w:t>
      </w:r>
    </w:p>
    <w:p w:rsidR="00EA559C" w:rsidRPr="00F40DBB" w:rsidRDefault="00EA559C" w:rsidP="004640F1">
      <w:pPr>
        <w:pStyle w:val="NoSpacing"/>
        <w:tabs>
          <w:tab w:val="left" w:pos="360"/>
        </w:tabs>
        <w:spacing w:line="276" w:lineRule="auto"/>
        <w:ind w:left="720"/>
        <w:jc w:val="both"/>
        <w:rPr>
          <w:rFonts w:ascii="Times New Roman" w:hAnsi="Times New Roman"/>
          <w:sz w:val="26"/>
          <w:szCs w:val="26"/>
        </w:rPr>
      </w:pPr>
    </w:p>
    <w:p w:rsidR="00DB7D82" w:rsidRPr="00F40DBB" w:rsidRDefault="00FF5711" w:rsidP="004640F1">
      <w:pPr>
        <w:pStyle w:val="NoSpacing"/>
        <w:numPr>
          <w:ilvl w:val="0"/>
          <w:numId w:val="19"/>
        </w:numPr>
        <w:tabs>
          <w:tab w:val="left" w:pos="360"/>
        </w:tabs>
        <w:spacing w:line="276" w:lineRule="auto"/>
        <w:ind w:firstLine="0"/>
        <w:jc w:val="both"/>
        <w:rPr>
          <w:rFonts w:ascii="Times New Roman" w:hAnsi="Times New Roman"/>
          <w:sz w:val="26"/>
          <w:szCs w:val="26"/>
        </w:rPr>
      </w:pPr>
      <w:r w:rsidRPr="00F40DBB">
        <w:rPr>
          <w:rFonts w:ascii="Times New Roman" w:hAnsi="Times New Roman"/>
          <w:sz w:val="26"/>
          <w:szCs w:val="26"/>
        </w:rPr>
        <w:t>The proceeds test,</w:t>
      </w:r>
      <w:r w:rsidR="00BA6A67" w:rsidRPr="00F40DBB">
        <w:rPr>
          <w:rFonts w:ascii="Times New Roman" w:hAnsi="Times New Roman"/>
          <w:sz w:val="26"/>
          <w:szCs w:val="26"/>
        </w:rPr>
        <w:t xml:space="preserve"> and</w:t>
      </w:r>
    </w:p>
    <w:p w:rsidR="00DB7D82" w:rsidRPr="00F40DBB" w:rsidRDefault="00DB7D82" w:rsidP="004640F1">
      <w:pPr>
        <w:pStyle w:val="NoSpacing"/>
        <w:tabs>
          <w:tab w:val="left" w:pos="360"/>
        </w:tabs>
        <w:spacing w:line="276" w:lineRule="auto"/>
        <w:ind w:left="720"/>
        <w:jc w:val="both"/>
        <w:rPr>
          <w:rFonts w:ascii="Times New Roman" w:hAnsi="Times New Roman"/>
          <w:sz w:val="26"/>
          <w:szCs w:val="26"/>
        </w:rPr>
      </w:pPr>
    </w:p>
    <w:p w:rsidR="00FF5711" w:rsidRPr="00F40DBB" w:rsidRDefault="00FF5711" w:rsidP="004640F1">
      <w:pPr>
        <w:pStyle w:val="NoSpacing"/>
        <w:numPr>
          <w:ilvl w:val="0"/>
          <w:numId w:val="19"/>
        </w:numPr>
        <w:tabs>
          <w:tab w:val="left" w:pos="360"/>
        </w:tabs>
        <w:spacing w:line="276" w:lineRule="auto"/>
        <w:ind w:firstLine="0"/>
        <w:jc w:val="both"/>
        <w:rPr>
          <w:rFonts w:ascii="Times New Roman" w:hAnsi="Times New Roman"/>
          <w:sz w:val="26"/>
          <w:szCs w:val="26"/>
        </w:rPr>
      </w:pPr>
      <w:r w:rsidRPr="00F40DBB">
        <w:rPr>
          <w:rFonts w:ascii="Times New Roman" w:hAnsi="Times New Roman"/>
          <w:sz w:val="26"/>
          <w:szCs w:val="26"/>
        </w:rPr>
        <w:t>Bond Structuring and Pricing review.</w:t>
      </w:r>
    </w:p>
    <w:p w:rsidR="00A97809" w:rsidRPr="005A076C" w:rsidRDefault="00A97809" w:rsidP="004640F1">
      <w:pPr>
        <w:pStyle w:val="NoSpacing"/>
        <w:tabs>
          <w:tab w:val="left" w:pos="360"/>
        </w:tabs>
        <w:spacing w:line="276" w:lineRule="auto"/>
        <w:ind w:left="720"/>
        <w:jc w:val="both"/>
        <w:rPr>
          <w:rFonts w:ascii="Times New Roman" w:hAnsi="Times New Roman"/>
          <w:sz w:val="24"/>
          <w:szCs w:val="24"/>
        </w:rPr>
      </w:pPr>
    </w:p>
    <w:p w:rsidR="00FF5711" w:rsidRPr="005A076C" w:rsidRDefault="00FF5711" w:rsidP="005A076C">
      <w:pPr>
        <w:pStyle w:val="textstyle0"/>
      </w:pPr>
      <w:r w:rsidRPr="005A076C">
        <w:t>The cost/benefit analysis provided by the Compan</w:t>
      </w:r>
      <w:r w:rsidR="00DA1CFF" w:rsidRPr="005A076C">
        <w:t>y</w:t>
      </w:r>
      <w:r w:rsidRPr="005A076C">
        <w:t xml:space="preserve"> demonstrates that the securitization meets the total revenue test</w:t>
      </w:r>
      <w:r w:rsidR="00DA1CFF" w:rsidRPr="005A076C">
        <w:t xml:space="preserve"> and</w:t>
      </w:r>
      <w:r w:rsidRPr="005A076C">
        <w:t xml:space="preserve"> the present value test under </w:t>
      </w:r>
      <w:r w:rsidR="00DA1CFF" w:rsidRPr="005A076C">
        <w:t xml:space="preserve">the estimated </w:t>
      </w:r>
      <w:r w:rsidRPr="005A076C">
        <w:t xml:space="preserve">case </w:t>
      </w:r>
      <w:r w:rsidR="00DA1CFF" w:rsidRPr="005A076C">
        <w:t>scenario</w:t>
      </w:r>
      <w:r w:rsidRPr="005A076C">
        <w:t>.  The total revenues from the PIR Charges will be less than the total revenue requirements under conventional util</w:t>
      </w:r>
      <w:r w:rsidR="00596570" w:rsidRPr="005A076C">
        <w:softHyphen/>
      </w:r>
      <w:r w:rsidRPr="005A076C">
        <w:t xml:space="preserve">ity financing methods in the expected case scenarios.  In the </w:t>
      </w:r>
      <w:r w:rsidR="00DA1CFF" w:rsidRPr="005A076C">
        <w:t>esti</w:t>
      </w:r>
      <w:r w:rsidR="00DB6C5E">
        <w:softHyphen/>
      </w:r>
      <w:r w:rsidR="00DA1CFF" w:rsidRPr="005A076C">
        <w:t>mated</w:t>
      </w:r>
      <w:r w:rsidRPr="005A076C">
        <w:t xml:space="preserve"> case scenario, securitization will result in revenues of about $</w:t>
      </w:r>
      <w:r w:rsidR="00DA1CFF" w:rsidRPr="005A076C">
        <w:t>11.8 mill</w:t>
      </w:r>
      <w:r w:rsidRPr="005A076C">
        <w:t>ion less than the revenues under the Commission’s previously- approved recovery meth</w:t>
      </w:r>
      <w:r w:rsidR="00DB6C5E">
        <w:softHyphen/>
      </w:r>
      <w:r w:rsidRPr="005A076C">
        <w:t>ods/conventional financing meth</w:t>
      </w:r>
      <w:r w:rsidR="00596570" w:rsidRPr="005A076C">
        <w:softHyphen/>
      </w:r>
      <w:r w:rsidRPr="005A076C">
        <w:t xml:space="preserve">ods.  (Source: Exhibit </w:t>
      </w:r>
      <w:r w:rsidR="00DA1CFF" w:rsidRPr="005A076C">
        <w:t>A</w:t>
      </w:r>
      <w:r w:rsidRPr="005A076C">
        <w:t xml:space="preserve"> to the Application)</w:t>
      </w:r>
    </w:p>
    <w:p w:rsidR="00FF5711" w:rsidRPr="005A076C" w:rsidRDefault="00F40DBB" w:rsidP="005A076C">
      <w:pPr>
        <w:pStyle w:val="textstyle0"/>
      </w:pPr>
      <w:r>
        <w:tab/>
      </w:r>
      <w:r w:rsidR="00FF5711" w:rsidRPr="005A076C">
        <w:t>In the expected case scenario, the securitization will result in tangible and quantifia</w:t>
      </w:r>
      <w:r w:rsidR="00596570" w:rsidRPr="005A076C">
        <w:softHyphen/>
      </w:r>
      <w:r w:rsidR="00FF5711" w:rsidRPr="005A076C">
        <w:t>ble benefits to consumers using the present value test</w:t>
      </w:r>
      <w:r w:rsidR="000C0842" w:rsidRPr="005A076C">
        <w:t xml:space="preserve">.  </w:t>
      </w:r>
      <w:r w:rsidR="00DA1CFF" w:rsidRPr="005A076C">
        <w:t>OPCo’s r</w:t>
      </w:r>
      <w:r w:rsidR="00FF5711" w:rsidRPr="005A076C">
        <w:t xml:space="preserve">etail consumers will pay </w:t>
      </w:r>
      <w:r w:rsidR="00FF5711" w:rsidRPr="005A076C">
        <w:lastRenderedPageBreak/>
        <w:t>$2</w:t>
      </w:r>
      <w:r w:rsidR="00DA1CFF" w:rsidRPr="005A076C">
        <w:t>0.</w:t>
      </w:r>
      <w:r w:rsidR="001E350E" w:rsidRPr="005A076C">
        <w:t>4</w:t>
      </w:r>
      <w:r w:rsidR="00FF5711" w:rsidRPr="005A076C">
        <w:t xml:space="preserve"> million on a present value basis in the e</w:t>
      </w:r>
      <w:r w:rsidR="008352AB" w:rsidRPr="005A076C">
        <w:t xml:space="preserve">stimated </w:t>
      </w:r>
      <w:r w:rsidR="00FF5711" w:rsidRPr="005A076C">
        <w:t xml:space="preserve">scenario than they would pay if the same balance were recovered </w:t>
      </w:r>
      <w:r w:rsidR="00F17F05" w:rsidRPr="005A076C">
        <w:t>through previously</w:t>
      </w:r>
      <w:r w:rsidR="00FF5711" w:rsidRPr="005A076C">
        <w:t>- approved recovery meth</w:t>
      </w:r>
      <w:r w:rsidR="00596570" w:rsidRPr="005A076C">
        <w:softHyphen/>
      </w:r>
      <w:r w:rsidR="00FF5711" w:rsidRPr="005A076C">
        <w:t xml:space="preserve">ods/conventional financing methods.  </w:t>
      </w:r>
    </w:p>
    <w:p w:rsidR="00FF5711" w:rsidRPr="005A076C" w:rsidRDefault="00F40DBB" w:rsidP="005A076C">
      <w:pPr>
        <w:pStyle w:val="textstyle0"/>
      </w:pPr>
      <w:r>
        <w:tab/>
      </w:r>
      <w:r w:rsidR="00FF5711" w:rsidRPr="005A076C">
        <w:t xml:space="preserve">The proceeds test will be satisfied when the Companies primarily use the proceeds they receive from the issuance of PIR Bonds, in exchange for the sale of the PIR Property to </w:t>
      </w:r>
      <w:r w:rsidR="008352AB" w:rsidRPr="005A076C">
        <w:t xml:space="preserve">redeem, retire, </w:t>
      </w:r>
      <w:r w:rsidR="00F17F05" w:rsidRPr="005A076C">
        <w:t>and repay</w:t>
      </w:r>
      <w:r w:rsidR="008352AB" w:rsidRPr="005A076C">
        <w:t xml:space="preserve"> or defease a portion of its existing debt.  </w:t>
      </w:r>
    </w:p>
    <w:p w:rsidR="00FF5711" w:rsidRPr="005A076C" w:rsidRDefault="00F40DBB" w:rsidP="005A076C">
      <w:pPr>
        <w:pStyle w:val="textstyle0"/>
      </w:pPr>
      <w:r>
        <w:tab/>
      </w:r>
      <w:r w:rsidR="00FF5711" w:rsidRPr="005A076C">
        <w:t>In addition, the proposed securitization financing appears to have been designed and structured to ensure that the PIR Bonds receive the highest bond rating reasonably possi</w:t>
      </w:r>
      <w:r w:rsidR="00DB6C5E">
        <w:softHyphen/>
      </w:r>
      <w:r w:rsidR="00FF5711" w:rsidRPr="005A076C">
        <w:t>ble, consistent with the objective of obtaining the lowest overall cost of financing through securitized PIR Bonds.</w:t>
      </w:r>
    </w:p>
    <w:p w:rsidR="00FF5711" w:rsidRPr="005A076C" w:rsidRDefault="00165566" w:rsidP="005A076C">
      <w:pPr>
        <w:pStyle w:val="Heading2"/>
      </w:pPr>
      <w:bookmarkStart w:id="34" w:name="_Toc328131636"/>
      <w:bookmarkStart w:id="35" w:name="_Toc328136698"/>
      <w:bookmarkStart w:id="36" w:name="_Toc335401738"/>
      <w:r w:rsidRPr="005A076C">
        <w:t>A.</w:t>
      </w:r>
      <w:r w:rsidR="00AA29B6" w:rsidRPr="005A076C">
        <w:tab/>
      </w:r>
      <w:r w:rsidR="00FF5711" w:rsidRPr="005A076C">
        <w:t>Total Revenue Test</w:t>
      </w:r>
      <w:bookmarkEnd w:id="34"/>
      <w:bookmarkEnd w:id="35"/>
      <w:bookmarkEnd w:id="36"/>
    </w:p>
    <w:p w:rsidR="001A3BB3" w:rsidRPr="005A076C" w:rsidRDefault="00F40DBB" w:rsidP="005A076C">
      <w:pPr>
        <w:pStyle w:val="textstyle0"/>
      </w:pPr>
      <w:r>
        <w:tab/>
      </w:r>
      <w:r w:rsidR="00FF5711" w:rsidRPr="005A076C">
        <w:t xml:space="preserve">The total revenue test is intended to verify </w:t>
      </w:r>
      <w:r w:rsidR="00B739B6" w:rsidRPr="005A076C">
        <w:t>whether</w:t>
      </w:r>
      <w:r w:rsidR="00FF5711" w:rsidRPr="005A076C">
        <w:t xml:space="preserve"> the total amount</w:t>
      </w:r>
      <w:r w:rsidR="00B739B6" w:rsidRPr="005A076C">
        <w:t>s</w:t>
      </w:r>
      <w:r w:rsidR="00FF5711" w:rsidRPr="005A076C">
        <w:t xml:space="preserve"> of revenues to be collected under the Financing Order will be less than the revenue requirement that would be recovered using existing cost recovery/ratemaking methods. </w:t>
      </w:r>
    </w:p>
    <w:p w:rsidR="008652E4" w:rsidRDefault="00F40DBB" w:rsidP="005A076C">
      <w:pPr>
        <w:pStyle w:val="textstyle0"/>
      </w:pPr>
      <w:r>
        <w:tab/>
      </w:r>
      <w:r w:rsidR="00B739B6" w:rsidRPr="005A076C">
        <w:t>To the extent</w:t>
      </w:r>
      <w:r w:rsidR="00FF5711" w:rsidRPr="005A076C">
        <w:t xml:space="preserve"> the total </w:t>
      </w:r>
      <w:r w:rsidR="00B739B6" w:rsidRPr="005A076C">
        <w:t>amounts billed</w:t>
      </w:r>
      <w:r w:rsidR="00FF5711" w:rsidRPr="005A076C">
        <w:t xml:space="preserve"> </w:t>
      </w:r>
      <w:r w:rsidR="00B739B6" w:rsidRPr="005A076C">
        <w:t>under securitization is</w:t>
      </w:r>
      <w:r w:rsidR="00FF5711" w:rsidRPr="005A076C">
        <w:t xml:space="preserve"> less than </w:t>
      </w:r>
      <w:r w:rsidR="00B739B6" w:rsidRPr="005A076C">
        <w:t>the total amounts billed under DARR (See Table-1 below), it</w:t>
      </w:r>
      <w:r w:rsidR="00FF5711" w:rsidRPr="005A076C">
        <w:t xml:space="preserve"> demonstrate</w:t>
      </w:r>
      <w:r w:rsidR="00D9687C">
        <w:t>s</w:t>
      </w:r>
      <w:r w:rsidR="00FF5711" w:rsidRPr="005A076C">
        <w:t xml:space="preserve"> that the securitization meets the total revenue test. </w:t>
      </w:r>
      <w:r w:rsidR="00322F45" w:rsidRPr="005A076C">
        <w:t xml:space="preserve">  </w:t>
      </w:r>
      <w:r w:rsidR="008652E4">
        <w:br w:type="page"/>
      </w:r>
    </w:p>
    <w:p w:rsidR="009D2C46" w:rsidRPr="005A076C" w:rsidRDefault="009D2C46" w:rsidP="005A076C">
      <w:pPr>
        <w:pStyle w:val="textstyle0"/>
      </w:pPr>
    </w:p>
    <w:p w:rsidR="00FF5711" w:rsidRPr="005A076C" w:rsidRDefault="001A3BB3" w:rsidP="005A076C">
      <w:pPr>
        <w:pStyle w:val="textstyle0"/>
      </w:pPr>
      <w:r w:rsidRPr="005A076C">
        <w:tab/>
      </w:r>
      <w:r w:rsidRPr="005A076C">
        <w:tab/>
      </w:r>
      <w:r w:rsidRPr="005A076C">
        <w:tab/>
      </w:r>
      <w:r w:rsidRPr="005A076C">
        <w:tab/>
      </w:r>
      <w:r w:rsidR="00F40DBB">
        <w:t xml:space="preserve">                           </w:t>
      </w:r>
      <w:r w:rsidR="00FF5711" w:rsidRPr="005A076C">
        <w:t>TABLE-1</w:t>
      </w:r>
    </w:p>
    <w:tbl>
      <w:tblPr>
        <w:tblW w:w="6210" w:type="dxa"/>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2250"/>
      </w:tblGrid>
      <w:tr w:rsidR="00FF5711" w:rsidRPr="005A076C" w:rsidTr="00165566">
        <w:trPr>
          <w:trHeight w:val="576"/>
        </w:trPr>
        <w:tc>
          <w:tcPr>
            <w:tcW w:w="3960" w:type="dxa"/>
            <w:shd w:val="clear" w:color="auto" w:fill="auto"/>
            <w:vAlign w:val="center"/>
          </w:tcPr>
          <w:p w:rsidR="00FF5711" w:rsidRPr="005A076C" w:rsidRDefault="00B739B6" w:rsidP="001A3BB3">
            <w:pPr>
              <w:tabs>
                <w:tab w:val="left" w:pos="-18"/>
              </w:tabs>
              <w:autoSpaceDE w:val="0"/>
              <w:autoSpaceDN w:val="0"/>
              <w:adjustRightInd w:val="0"/>
              <w:spacing w:line="276" w:lineRule="auto"/>
              <w:ind w:left="-108"/>
              <w:rPr>
                <w:sz w:val="24"/>
                <w:szCs w:val="24"/>
              </w:rPr>
            </w:pPr>
            <w:r w:rsidRPr="005A076C">
              <w:rPr>
                <w:sz w:val="24"/>
                <w:szCs w:val="24"/>
              </w:rPr>
              <w:t>Total Amounts Billed under DARR</w:t>
            </w:r>
          </w:p>
        </w:tc>
        <w:tc>
          <w:tcPr>
            <w:tcW w:w="2250" w:type="dxa"/>
            <w:shd w:val="clear" w:color="auto" w:fill="auto"/>
            <w:vAlign w:val="center"/>
          </w:tcPr>
          <w:p w:rsidR="00FF5711" w:rsidRPr="005A076C" w:rsidRDefault="00FF5711" w:rsidP="001A3BB3">
            <w:pPr>
              <w:tabs>
                <w:tab w:val="left" w:pos="900"/>
              </w:tabs>
              <w:autoSpaceDE w:val="0"/>
              <w:autoSpaceDN w:val="0"/>
              <w:adjustRightInd w:val="0"/>
              <w:spacing w:line="276" w:lineRule="auto"/>
              <w:ind w:left="72"/>
              <w:rPr>
                <w:sz w:val="24"/>
                <w:szCs w:val="24"/>
              </w:rPr>
            </w:pPr>
            <w:r w:rsidRPr="005A076C">
              <w:rPr>
                <w:sz w:val="24"/>
                <w:szCs w:val="24"/>
              </w:rPr>
              <w:t xml:space="preserve">$ </w:t>
            </w:r>
            <w:r w:rsidR="008352AB" w:rsidRPr="005A076C">
              <w:rPr>
                <w:bCs/>
                <w:sz w:val="24"/>
                <w:szCs w:val="24"/>
              </w:rPr>
              <w:t>3</w:t>
            </w:r>
            <w:r w:rsidR="00D74C0E" w:rsidRPr="005A076C">
              <w:rPr>
                <w:bCs/>
                <w:sz w:val="24"/>
                <w:szCs w:val="24"/>
              </w:rPr>
              <w:t>41</w:t>
            </w:r>
            <w:r w:rsidR="008352AB" w:rsidRPr="005A076C">
              <w:rPr>
                <w:bCs/>
                <w:sz w:val="24"/>
                <w:szCs w:val="24"/>
              </w:rPr>
              <w:t>,</w:t>
            </w:r>
            <w:r w:rsidR="00D74C0E" w:rsidRPr="005A076C">
              <w:rPr>
                <w:bCs/>
                <w:sz w:val="24"/>
                <w:szCs w:val="24"/>
              </w:rPr>
              <w:t>289</w:t>
            </w:r>
            <w:r w:rsidR="008352AB" w:rsidRPr="005A076C">
              <w:rPr>
                <w:bCs/>
                <w:sz w:val="24"/>
                <w:szCs w:val="24"/>
              </w:rPr>
              <w:t>,</w:t>
            </w:r>
            <w:r w:rsidR="00D74C0E" w:rsidRPr="005A076C">
              <w:rPr>
                <w:bCs/>
                <w:sz w:val="24"/>
                <w:szCs w:val="24"/>
              </w:rPr>
              <w:t>933</w:t>
            </w:r>
          </w:p>
        </w:tc>
      </w:tr>
      <w:tr w:rsidR="00FF5711" w:rsidRPr="005A076C" w:rsidTr="00165566">
        <w:trPr>
          <w:trHeight w:val="576"/>
        </w:trPr>
        <w:tc>
          <w:tcPr>
            <w:tcW w:w="3960" w:type="dxa"/>
            <w:shd w:val="clear" w:color="auto" w:fill="auto"/>
            <w:vAlign w:val="center"/>
          </w:tcPr>
          <w:p w:rsidR="00FF5711" w:rsidRPr="005A076C" w:rsidRDefault="00B739B6" w:rsidP="001A3BB3">
            <w:pPr>
              <w:tabs>
                <w:tab w:val="left" w:pos="-18"/>
              </w:tabs>
              <w:autoSpaceDE w:val="0"/>
              <w:autoSpaceDN w:val="0"/>
              <w:adjustRightInd w:val="0"/>
              <w:spacing w:line="276" w:lineRule="auto"/>
              <w:ind w:left="-108"/>
              <w:rPr>
                <w:sz w:val="24"/>
                <w:szCs w:val="24"/>
              </w:rPr>
            </w:pPr>
            <w:r w:rsidRPr="005A076C">
              <w:rPr>
                <w:sz w:val="24"/>
                <w:szCs w:val="24"/>
              </w:rPr>
              <w:t>Total</w:t>
            </w:r>
            <w:r w:rsidR="00FF5711" w:rsidRPr="005A076C">
              <w:rPr>
                <w:sz w:val="24"/>
                <w:szCs w:val="24"/>
              </w:rPr>
              <w:t xml:space="preserve"> </w:t>
            </w:r>
            <w:r w:rsidRPr="005A076C">
              <w:rPr>
                <w:sz w:val="24"/>
                <w:szCs w:val="24"/>
              </w:rPr>
              <w:t>Amounts</w:t>
            </w:r>
            <w:r w:rsidR="00FF5711" w:rsidRPr="005A076C">
              <w:rPr>
                <w:sz w:val="24"/>
                <w:szCs w:val="24"/>
              </w:rPr>
              <w:t xml:space="preserve"> </w:t>
            </w:r>
            <w:r w:rsidRPr="005A076C">
              <w:rPr>
                <w:sz w:val="24"/>
                <w:szCs w:val="24"/>
              </w:rPr>
              <w:t>Billed under Securitization</w:t>
            </w:r>
          </w:p>
        </w:tc>
        <w:tc>
          <w:tcPr>
            <w:tcW w:w="2250" w:type="dxa"/>
            <w:shd w:val="clear" w:color="auto" w:fill="auto"/>
            <w:vAlign w:val="center"/>
          </w:tcPr>
          <w:p w:rsidR="00FF5711" w:rsidRPr="005A076C" w:rsidRDefault="00FF5711" w:rsidP="001A3BB3">
            <w:pPr>
              <w:tabs>
                <w:tab w:val="left" w:pos="900"/>
              </w:tabs>
              <w:autoSpaceDE w:val="0"/>
              <w:autoSpaceDN w:val="0"/>
              <w:adjustRightInd w:val="0"/>
              <w:spacing w:line="276" w:lineRule="auto"/>
              <w:ind w:left="72"/>
              <w:rPr>
                <w:sz w:val="24"/>
                <w:szCs w:val="24"/>
              </w:rPr>
            </w:pPr>
            <w:r w:rsidRPr="005A076C">
              <w:rPr>
                <w:sz w:val="24"/>
                <w:szCs w:val="24"/>
              </w:rPr>
              <w:t xml:space="preserve">$ </w:t>
            </w:r>
            <w:r w:rsidR="008352AB" w:rsidRPr="005A076C">
              <w:rPr>
                <w:sz w:val="24"/>
                <w:szCs w:val="24"/>
              </w:rPr>
              <w:t>329</w:t>
            </w:r>
            <w:r w:rsidRPr="005A076C">
              <w:rPr>
                <w:bCs/>
                <w:sz w:val="24"/>
                <w:szCs w:val="24"/>
              </w:rPr>
              <w:t>,</w:t>
            </w:r>
            <w:r w:rsidR="008352AB" w:rsidRPr="005A076C">
              <w:rPr>
                <w:bCs/>
                <w:sz w:val="24"/>
                <w:szCs w:val="24"/>
              </w:rPr>
              <w:t>498</w:t>
            </w:r>
            <w:r w:rsidRPr="005A076C">
              <w:rPr>
                <w:bCs/>
                <w:sz w:val="24"/>
                <w:szCs w:val="24"/>
              </w:rPr>
              <w:t>,</w:t>
            </w:r>
            <w:r w:rsidR="008352AB" w:rsidRPr="005A076C">
              <w:rPr>
                <w:bCs/>
                <w:sz w:val="24"/>
                <w:szCs w:val="24"/>
              </w:rPr>
              <w:t>052</w:t>
            </w:r>
          </w:p>
        </w:tc>
      </w:tr>
      <w:tr w:rsidR="00FF5711" w:rsidRPr="005A076C" w:rsidTr="00165566">
        <w:trPr>
          <w:trHeight w:val="576"/>
        </w:trPr>
        <w:tc>
          <w:tcPr>
            <w:tcW w:w="3960" w:type="dxa"/>
            <w:shd w:val="clear" w:color="auto" w:fill="auto"/>
            <w:vAlign w:val="center"/>
          </w:tcPr>
          <w:p w:rsidR="00FF5711" w:rsidRPr="005A076C" w:rsidRDefault="00FF5711" w:rsidP="001A3BB3">
            <w:pPr>
              <w:tabs>
                <w:tab w:val="left" w:pos="-18"/>
              </w:tabs>
              <w:autoSpaceDE w:val="0"/>
              <w:autoSpaceDN w:val="0"/>
              <w:adjustRightInd w:val="0"/>
              <w:spacing w:line="276" w:lineRule="auto"/>
              <w:ind w:left="-108"/>
              <w:rPr>
                <w:sz w:val="24"/>
                <w:szCs w:val="24"/>
              </w:rPr>
            </w:pPr>
            <w:r w:rsidRPr="005A076C">
              <w:rPr>
                <w:sz w:val="24"/>
                <w:szCs w:val="24"/>
              </w:rPr>
              <w:t>Savings From Securitization</w:t>
            </w:r>
          </w:p>
        </w:tc>
        <w:tc>
          <w:tcPr>
            <w:tcW w:w="2250" w:type="dxa"/>
            <w:shd w:val="clear" w:color="auto" w:fill="auto"/>
            <w:vAlign w:val="center"/>
          </w:tcPr>
          <w:p w:rsidR="00FF5711" w:rsidRPr="005A076C" w:rsidRDefault="00FF5711" w:rsidP="001A3BB3">
            <w:pPr>
              <w:tabs>
                <w:tab w:val="left" w:pos="900"/>
              </w:tabs>
              <w:autoSpaceDE w:val="0"/>
              <w:autoSpaceDN w:val="0"/>
              <w:adjustRightInd w:val="0"/>
              <w:spacing w:line="276" w:lineRule="auto"/>
              <w:ind w:left="72"/>
              <w:rPr>
                <w:sz w:val="24"/>
                <w:szCs w:val="24"/>
              </w:rPr>
            </w:pPr>
            <w:r w:rsidRPr="005A076C">
              <w:rPr>
                <w:sz w:val="24"/>
                <w:szCs w:val="24"/>
              </w:rPr>
              <w:t xml:space="preserve">$ </w:t>
            </w:r>
            <w:r w:rsidR="008352AB" w:rsidRPr="005A076C">
              <w:rPr>
                <w:sz w:val="24"/>
                <w:szCs w:val="24"/>
              </w:rPr>
              <w:t xml:space="preserve">  </w:t>
            </w:r>
            <w:r w:rsidR="008352AB" w:rsidRPr="005A076C">
              <w:rPr>
                <w:bCs/>
                <w:sz w:val="24"/>
                <w:szCs w:val="24"/>
              </w:rPr>
              <w:t>11,791,881</w:t>
            </w:r>
          </w:p>
        </w:tc>
      </w:tr>
    </w:tbl>
    <w:p w:rsidR="00EC4352" w:rsidRDefault="00DB7D82" w:rsidP="005A076C">
      <w:pPr>
        <w:pStyle w:val="textstyle0"/>
      </w:pPr>
      <w:r w:rsidRPr="005A076C">
        <w:tab/>
      </w:r>
      <w:r w:rsidR="009D2C46" w:rsidRPr="005A076C">
        <w:tab/>
      </w:r>
      <w:r w:rsidR="00F91A7F" w:rsidRPr="005A076C">
        <w:t xml:space="preserve">          </w:t>
      </w:r>
      <w:r w:rsidR="00B54337" w:rsidRPr="005A076C">
        <w:t xml:space="preserve"> </w:t>
      </w:r>
      <w:r w:rsidR="00FF5711" w:rsidRPr="005A076C">
        <w:t xml:space="preserve">* Source: Exhibit </w:t>
      </w:r>
      <w:r w:rsidR="008352AB" w:rsidRPr="005A076C">
        <w:t>A</w:t>
      </w:r>
      <w:r w:rsidR="00FF5711" w:rsidRPr="005A076C">
        <w:t xml:space="preserve"> to the Joint Application.</w:t>
      </w:r>
    </w:p>
    <w:p w:rsidR="00EC4352" w:rsidRPr="005A076C" w:rsidRDefault="00EC4352" w:rsidP="005A076C">
      <w:pPr>
        <w:pStyle w:val="textstyle0"/>
      </w:pPr>
    </w:p>
    <w:p w:rsidR="00FF5711" w:rsidRPr="005A076C" w:rsidRDefault="00FF5711" w:rsidP="005A076C">
      <w:pPr>
        <w:pStyle w:val="textstyle0"/>
      </w:pPr>
      <w:r w:rsidRPr="005A076C">
        <w:t xml:space="preserve">The total </w:t>
      </w:r>
      <w:r w:rsidR="00DB4D32" w:rsidRPr="005A076C">
        <w:t>amounts billed</w:t>
      </w:r>
      <w:r w:rsidRPr="005A076C">
        <w:t xml:space="preserve"> </w:t>
      </w:r>
      <w:r w:rsidR="00DB4D32" w:rsidRPr="005A076C">
        <w:t>under securitization</w:t>
      </w:r>
      <w:r w:rsidRPr="005A076C">
        <w:t xml:space="preserve"> include the principal and </w:t>
      </w:r>
      <w:r w:rsidR="001A3BB3" w:rsidRPr="005A076C">
        <w:t>i</w:t>
      </w:r>
      <w:r w:rsidRPr="005A076C">
        <w:t xml:space="preserve">nterest payments to be made over the expected life of the PIR Bonds as shown in Exhibit </w:t>
      </w:r>
      <w:r w:rsidR="008352AB" w:rsidRPr="005A076C">
        <w:t>A</w:t>
      </w:r>
      <w:r w:rsidRPr="005A076C">
        <w:t xml:space="preserve"> to the Appli</w:t>
      </w:r>
      <w:r w:rsidR="00DB6C5E">
        <w:softHyphen/>
      </w:r>
      <w:r w:rsidRPr="005A076C">
        <w:t xml:space="preserve">cation.  The PIR Charge also </w:t>
      </w:r>
      <w:r w:rsidR="00F17F05" w:rsidRPr="005A076C">
        <w:t>includes</w:t>
      </w:r>
      <w:r w:rsidRPr="005A076C">
        <w:t xml:space="preserve"> the estimated annual, ongoing Financing Costs as shown in Exhibit </w:t>
      </w:r>
      <w:r w:rsidR="008352AB" w:rsidRPr="005A076C">
        <w:t>A</w:t>
      </w:r>
      <w:r w:rsidRPr="005A076C">
        <w:t xml:space="preserve"> to the Application, which are not included in the existing </w:t>
      </w:r>
      <w:r w:rsidR="00DB4D32" w:rsidRPr="005A076C">
        <w:t>DARR</w:t>
      </w:r>
      <w:r w:rsidRPr="005A076C">
        <w:t xml:space="preserve">. </w:t>
      </w:r>
    </w:p>
    <w:p w:rsidR="0005197D" w:rsidRPr="005A076C" w:rsidRDefault="00F40DBB" w:rsidP="005A076C">
      <w:pPr>
        <w:pStyle w:val="textstyle0"/>
      </w:pPr>
      <w:r>
        <w:tab/>
      </w:r>
      <w:r w:rsidR="00FF5711" w:rsidRPr="005A076C">
        <w:t xml:space="preserve">The </w:t>
      </w:r>
      <w:r w:rsidR="00DB4D32" w:rsidRPr="005A076C">
        <w:t xml:space="preserve">total amounts billed </w:t>
      </w:r>
      <w:r w:rsidR="00FF5711" w:rsidRPr="005A076C">
        <w:t xml:space="preserve">under </w:t>
      </w:r>
      <w:r w:rsidR="00DB4D32" w:rsidRPr="005A076C">
        <w:t>DARR</w:t>
      </w:r>
      <w:r w:rsidR="00FF5711" w:rsidRPr="005A076C">
        <w:t xml:space="preserve"> w</w:t>
      </w:r>
      <w:r w:rsidR="00D9687C">
        <w:t>ere</w:t>
      </w:r>
      <w:r w:rsidR="00FF5711" w:rsidRPr="005A076C">
        <w:t xml:space="preserve"> determined using the same amount of recov</w:t>
      </w:r>
      <w:r w:rsidR="00DB6C5E">
        <w:softHyphen/>
      </w:r>
      <w:r w:rsidR="00FF5711" w:rsidRPr="005A076C">
        <w:t>erable balance as was used to compute the present value benefit from securitization, but recognizing certain differences between the two recovery meth</w:t>
      </w:r>
      <w:r w:rsidR="00596570" w:rsidRPr="005A076C">
        <w:softHyphen/>
      </w:r>
      <w:r w:rsidR="00FF5711" w:rsidRPr="005A076C">
        <w:t xml:space="preserve">ods.  Specifically, the costs that relate solely to a securitization transaction, </w:t>
      </w:r>
      <w:r w:rsidR="00FF5711" w:rsidRPr="005A076C">
        <w:rPr>
          <w:i/>
        </w:rPr>
        <w:t xml:space="preserve">e.g., </w:t>
      </w:r>
      <w:r w:rsidR="00FF5711" w:rsidRPr="005A076C">
        <w:t>the up-front Financing Costs of issuance and ongoing Financing Costs of supporting and ser</w:t>
      </w:r>
      <w:r w:rsidR="00596570" w:rsidRPr="005A076C">
        <w:softHyphen/>
      </w:r>
      <w:r w:rsidR="00FF5711" w:rsidRPr="005A076C">
        <w:t xml:space="preserve">vicing the PIR Bonds, are not included in the computation of costs under </w:t>
      </w:r>
      <w:r w:rsidR="00DB4D32" w:rsidRPr="005A076C">
        <w:t>DARR</w:t>
      </w:r>
      <w:r w:rsidR="00FF5711" w:rsidRPr="005A076C">
        <w:t xml:space="preserve">.  Costs recovered under </w:t>
      </w:r>
      <w:r w:rsidR="00DB4D32" w:rsidRPr="005A076C">
        <w:t>DARR</w:t>
      </w:r>
      <w:r w:rsidR="00FF5711" w:rsidRPr="005A076C">
        <w:t xml:space="preserve"> assume recovery through </w:t>
      </w:r>
      <w:r w:rsidR="008352AB" w:rsidRPr="005A076C">
        <w:t>201</w:t>
      </w:r>
      <w:r w:rsidR="00DB4D32" w:rsidRPr="005A076C">
        <w:t>8</w:t>
      </w:r>
      <w:r w:rsidR="00FF5711" w:rsidRPr="005A076C">
        <w:t xml:space="preserve">, using the return on assets of </w:t>
      </w:r>
      <w:r w:rsidR="008352AB" w:rsidRPr="005A076C">
        <w:t>5.34</w:t>
      </w:r>
      <w:r w:rsidR="00FF5711" w:rsidRPr="005A076C">
        <w:t xml:space="preserve">%, as shown in Exhibit </w:t>
      </w:r>
      <w:r w:rsidR="008352AB" w:rsidRPr="005A076C">
        <w:t>A</w:t>
      </w:r>
      <w:r w:rsidR="00FF5711" w:rsidRPr="005A076C">
        <w:t xml:space="preserve"> to the Application.</w:t>
      </w:r>
      <w:bookmarkStart w:id="37" w:name="_Toc328131637"/>
      <w:bookmarkStart w:id="38" w:name="_Toc328136699"/>
    </w:p>
    <w:p w:rsidR="00FF5711" w:rsidRPr="005A076C" w:rsidRDefault="00165566" w:rsidP="005A076C">
      <w:pPr>
        <w:pStyle w:val="Heading2"/>
      </w:pPr>
      <w:bookmarkStart w:id="39" w:name="_Toc335401739"/>
      <w:r w:rsidRPr="005A076C">
        <w:lastRenderedPageBreak/>
        <w:t xml:space="preserve">B. </w:t>
      </w:r>
      <w:r w:rsidR="00F40DBB">
        <w:tab/>
      </w:r>
      <w:r w:rsidR="00FF5711" w:rsidRPr="005A076C">
        <w:t>Present Value Test</w:t>
      </w:r>
      <w:bookmarkEnd w:id="37"/>
      <w:bookmarkEnd w:id="38"/>
      <w:bookmarkEnd w:id="39"/>
    </w:p>
    <w:p w:rsidR="00FF5711" w:rsidRPr="005A076C" w:rsidRDefault="00F40DBB" w:rsidP="005A076C">
      <w:pPr>
        <w:pStyle w:val="textstyle0"/>
      </w:pPr>
      <w:r>
        <w:tab/>
      </w:r>
      <w:r w:rsidR="00FF5711" w:rsidRPr="005A076C">
        <w:t xml:space="preserve">The present value test is intended to ensure that the </w:t>
      </w:r>
      <w:r w:rsidR="005F2564" w:rsidRPr="005A076C">
        <w:t>net present value</w:t>
      </w:r>
      <w:r w:rsidR="0006619D" w:rsidRPr="005A076C">
        <w:t xml:space="preserve"> </w:t>
      </w:r>
      <w:r w:rsidR="005F2564" w:rsidRPr="005A076C">
        <w:t xml:space="preserve">of the </w:t>
      </w:r>
      <w:r w:rsidR="00FF5711" w:rsidRPr="005A076C">
        <w:t>amount</w:t>
      </w:r>
      <w:r w:rsidR="005F2564" w:rsidRPr="005A076C">
        <w:t>s</w:t>
      </w:r>
      <w:r w:rsidR="00FF5711" w:rsidRPr="005A076C">
        <w:t xml:space="preserve"> </w:t>
      </w:r>
      <w:r w:rsidR="005F2564" w:rsidRPr="005A076C">
        <w:t>billed under securitization does not exceed</w:t>
      </w:r>
      <w:r w:rsidR="00FF5711" w:rsidRPr="005A076C">
        <w:t xml:space="preserve"> the present value of </w:t>
      </w:r>
      <w:r w:rsidR="005F2564" w:rsidRPr="005A076C">
        <w:t xml:space="preserve">total amounts billed under DARR </w:t>
      </w:r>
      <w:r w:rsidR="00FF5711" w:rsidRPr="005A076C">
        <w:t xml:space="preserve">over the PIR Bond life discounted using the proposed interest rate on the PIR Bonds.  </w:t>
      </w:r>
    </w:p>
    <w:p w:rsidR="00FF5711" w:rsidRDefault="00F40DBB" w:rsidP="005A076C">
      <w:pPr>
        <w:pStyle w:val="textstyle0"/>
      </w:pPr>
      <w:r>
        <w:tab/>
      </w:r>
      <w:r w:rsidR="005F2564" w:rsidRPr="005A076C">
        <w:t>To the extent t</w:t>
      </w:r>
      <w:r w:rsidR="00FF5711" w:rsidRPr="005A076C">
        <w:t xml:space="preserve">he </w:t>
      </w:r>
      <w:r w:rsidR="005F2564" w:rsidRPr="005A076C">
        <w:t xml:space="preserve">estimated </w:t>
      </w:r>
      <w:r w:rsidR="00FF5711" w:rsidRPr="005A076C">
        <w:t xml:space="preserve">present value of the </w:t>
      </w:r>
      <w:r w:rsidR="005F2564" w:rsidRPr="005A076C">
        <w:t>total amounts billed under</w:t>
      </w:r>
      <w:r w:rsidR="00FF5711" w:rsidRPr="005A076C">
        <w:t xml:space="preserve"> securitiza</w:t>
      </w:r>
      <w:r w:rsidR="00DB6C5E">
        <w:softHyphen/>
      </w:r>
      <w:r w:rsidR="00FF5711" w:rsidRPr="005A076C">
        <w:t xml:space="preserve">tion does not exceed the </w:t>
      </w:r>
      <w:r w:rsidR="005F2564" w:rsidRPr="005A076C">
        <w:t>estimated net present value of total amounts billed under DARR</w:t>
      </w:r>
      <w:r w:rsidR="005F2564" w:rsidRPr="005A076C">
        <w:rPr>
          <w:bCs/>
        </w:rPr>
        <w:t>,</w:t>
      </w:r>
      <w:r w:rsidR="005F2564" w:rsidRPr="005A076C">
        <w:t xml:space="preserve"> </w:t>
      </w:r>
      <w:r w:rsidR="00FF5711" w:rsidRPr="005A076C">
        <w:t xml:space="preserve"> </w:t>
      </w:r>
      <w:r w:rsidR="005F2564" w:rsidRPr="005A076C">
        <w:t>it demonstrate</w:t>
      </w:r>
      <w:r w:rsidR="00180898" w:rsidRPr="005A076C">
        <w:t>s</w:t>
      </w:r>
      <w:r w:rsidR="005F2564" w:rsidRPr="005A076C">
        <w:t xml:space="preserve"> that the securitization meets the net present value test, </w:t>
      </w:r>
      <w:r w:rsidR="00FF5711" w:rsidRPr="005A076C">
        <w:t>as illustrated in Table-2 below.</w:t>
      </w:r>
    </w:p>
    <w:tbl>
      <w:tblPr>
        <w:tblpPr w:leftFromText="180" w:rightFromText="180" w:vertAnchor="text" w:horzAnchor="page" w:tblpX="3627" w:tblpY="515"/>
        <w:tblW w:w="6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070"/>
      </w:tblGrid>
      <w:tr w:rsidR="00274224" w:rsidRPr="00EC4352" w:rsidTr="00274224">
        <w:trPr>
          <w:trHeight w:val="576"/>
        </w:trPr>
        <w:tc>
          <w:tcPr>
            <w:tcW w:w="4140" w:type="dxa"/>
            <w:shd w:val="clear" w:color="auto" w:fill="auto"/>
            <w:vAlign w:val="center"/>
          </w:tcPr>
          <w:p w:rsidR="00274224" w:rsidRPr="00EC4352" w:rsidRDefault="00274224" w:rsidP="00274224">
            <w:pPr>
              <w:tabs>
                <w:tab w:val="left" w:pos="900"/>
              </w:tabs>
              <w:autoSpaceDE w:val="0"/>
              <w:autoSpaceDN w:val="0"/>
              <w:adjustRightInd w:val="0"/>
              <w:spacing w:line="276" w:lineRule="auto"/>
              <w:jc w:val="both"/>
              <w:rPr>
                <w:sz w:val="26"/>
                <w:szCs w:val="26"/>
              </w:rPr>
            </w:pPr>
            <w:r w:rsidRPr="00EC4352">
              <w:rPr>
                <w:sz w:val="26"/>
                <w:szCs w:val="26"/>
              </w:rPr>
              <w:t>Present Value</w:t>
            </w:r>
          </w:p>
        </w:tc>
        <w:tc>
          <w:tcPr>
            <w:tcW w:w="2070" w:type="dxa"/>
            <w:shd w:val="clear" w:color="auto" w:fill="auto"/>
            <w:vAlign w:val="center"/>
          </w:tcPr>
          <w:p w:rsidR="00274224" w:rsidRPr="00EC4352" w:rsidRDefault="00274224" w:rsidP="00274224">
            <w:pPr>
              <w:tabs>
                <w:tab w:val="left" w:pos="900"/>
              </w:tabs>
              <w:autoSpaceDE w:val="0"/>
              <w:autoSpaceDN w:val="0"/>
              <w:adjustRightInd w:val="0"/>
              <w:spacing w:line="276" w:lineRule="auto"/>
              <w:jc w:val="both"/>
              <w:rPr>
                <w:sz w:val="26"/>
                <w:szCs w:val="26"/>
              </w:rPr>
            </w:pPr>
            <w:r w:rsidRPr="00EC4352">
              <w:rPr>
                <w:sz w:val="26"/>
                <w:szCs w:val="26"/>
              </w:rPr>
              <w:t>Estimated Comparison*</w:t>
            </w:r>
          </w:p>
          <w:p w:rsidR="00274224" w:rsidRPr="00EC4352" w:rsidRDefault="00274224" w:rsidP="00274224">
            <w:pPr>
              <w:tabs>
                <w:tab w:val="left" w:pos="900"/>
              </w:tabs>
              <w:autoSpaceDE w:val="0"/>
              <w:autoSpaceDN w:val="0"/>
              <w:adjustRightInd w:val="0"/>
              <w:spacing w:line="276" w:lineRule="auto"/>
              <w:jc w:val="both"/>
              <w:rPr>
                <w:sz w:val="26"/>
                <w:szCs w:val="26"/>
              </w:rPr>
            </w:pPr>
            <w:r w:rsidRPr="00EC4352">
              <w:rPr>
                <w:sz w:val="26"/>
                <w:szCs w:val="26"/>
              </w:rPr>
              <w:t>(in millions)</w:t>
            </w:r>
          </w:p>
        </w:tc>
      </w:tr>
      <w:tr w:rsidR="00274224" w:rsidRPr="00EC4352" w:rsidTr="00274224">
        <w:trPr>
          <w:trHeight w:val="576"/>
        </w:trPr>
        <w:tc>
          <w:tcPr>
            <w:tcW w:w="4140" w:type="dxa"/>
            <w:shd w:val="clear" w:color="auto" w:fill="auto"/>
            <w:vAlign w:val="center"/>
          </w:tcPr>
          <w:p w:rsidR="00274224" w:rsidRPr="00EC4352" w:rsidRDefault="00274224" w:rsidP="00274224">
            <w:pPr>
              <w:tabs>
                <w:tab w:val="left" w:pos="900"/>
              </w:tabs>
              <w:autoSpaceDE w:val="0"/>
              <w:autoSpaceDN w:val="0"/>
              <w:adjustRightInd w:val="0"/>
              <w:spacing w:line="276" w:lineRule="auto"/>
              <w:jc w:val="both"/>
              <w:rPr>
                <w:sz w:val="26"/>
                <w:szCs w:val="26"/>
              </w:rPr>
            </w:pPr>
            <w:r w:rsidRPr="00EC4352">
              <w:rPr>
                <w:sz w:val="26"/>
                <w:szCs w:val="26"/>
              </w:rPr>
              <w:t>Phase-In Recovery Charges</w:t>
            </w:r>
          </w:p>
        </w:tc>
        <w:tc>
          <w:tcPr>
            <w:tcW w:w="2070" w:type="dxa"/>
            <w:shd w:val="clear" w:color="auto" w:fill="auto"/>
            <w:vAlign w:val="center"/>
          </w:tcPr>
          <w:p w:rsidR="00274224" w:rsidRPr="00EC4352" w:rsidRDefault="00274224" w:rsidP="00274224">
            <w:pPr>
              <w:tabs>
                <w:tab w:val="left" w:pos="900"/>
              </w:tabs>
              <w:autoSpaceDE w:val="0"/>
              <w:autoSpaceDN w:val="0"/>
              <w:adjustRightInd w:val="0"/>
              <w:spacing w:line="276" w:lineRule="auto"/>
              <w:jc w:val="both"/>
              <w:rPr>
                <w:sz w:val="26"/>
                <w:szCs w:val="26"/>
              </w:rPr>
            </w:pPr>
            <w:r w:rsidRPr="00EC4352">
              <w:rPr>
                <w:sz w:val="26"/>
                <w:szCs w:val="26"/>
              </w:rPr>
              <w:t>$ 294</w:t>
            </w:r>
            <w:r w:rsidRPr="00EC4352">
              <w:rPr>
                <w:bCs/>
                <w:sz w:val="26"/>
                <w:szCs w:val="26"/>
              </w:rPr>
              <w:t>,060,850</w:t>
            </w:r>
          </w:p>
        </w:tc>
      </w:tr>
      <w:tr w:rsidR="00274224" w:rsidRPr="00EC4352" w:rsidTr="00274224">
        <w:trPr>
          <w:trHeight w:val="576"/>
        </w:trPr>
        <w:tc>
          <w:tcPr>
            <w:tcW w:w="4140" w:type="dxa"/>
            <w:shd w:val="clear" w:color="auto" w:fill="auto"/>
            <w:vAlign w:val="center"/>
          </w:tcPr>
          <w:p w:rsidR="00274224" w:rsidRPr="00EC4352" w:rsidRDefault="00274224" w:rsidP="00274224">
            <w:pPr>
              <w:tabs>
                <w:tab w:val="left" w:pos="900"/>
              </w:tabs>
              <w:autoSpaceDE w:val="0"/>
              <w:autoSpaceDN w:val="0"/>
              <w:adjustRightInd w:val="0"/>
              <w:spacing w:line="276" w:lineRule="auto"/>
              <w:jc w:val="both"/>
              <w:rPr>
                <w:sz w:val="26"/>
                <w:szCs w:val="26"/>
              </w:rPr>
            </w:pPr>
            <w:r w:rsidRPr="00EC4352">
              <w:rPr>
                <w:sz w:val="26"/>
                <w:szCs w:val="26"/>
              </w:rPr>
              <w:t>Existing Cost Recovery/Ratemaking</w:t>
            </w:r>
          </w:p>
        </w:tc>
        <w:tc>
          <w:tcPr>
            <w:tcW w:w="2070" w:type="dxa"/>
            <w:shd w:val="clear" w:color="auto" w:fill="auto"/>
            <w:vAlign w:val="center"/>
          </w:tcPr>
          <w:p w:rsidR="00274224" w:rsidRPr="00EC4352" w:rsidRDefault="00274224" w:rsidP="00274224">
            <w:pPr>
              <w:tabs>
                <w:tab w:val="left" w:pos="900"/>
              </w:tabs>
              <w:autoSpaceDE w:val="0"/>
              <w:autoSpaceDN w:val="0"/>
              <w:adjustRightInd w:val="0"/>
              <w:spacing w:line="276" w:lineRule="auto"/>
              <w:jc w:val="both"/>
              <w:rPr>
                <w:sz w:val="26"/>
                <w:szCs w:val="26"/>
              </w:rPr>
            </w:pPr>
            <w:r w:rsidRPr="00EC4352">
              <w:rPr>
                <w:sz w:val="26"/>
                <w:szCs w:val="26"/>
              </w:rPr>
              <w:t>$ 273,703,607</w:t>
            </w:r>
          </w:p>
        </w:tc>
      </w:tr>
      <w:tr w:rsidR="00274224" w:rsidRPr="00EC4352" w:rsidTr="00274224">
        <w:trPr>
          <w:trHeight w:val="576"/>
        </w:trPr>
        <w:tc>
          <w:tcPr>
            <w:tcW w:w="4140" w:type="dxa"/>
            <w:shd w:val="clear" w:color="auto" w:fill="auto"/>
            <w:vAlign w:val="center"/>
          </w:tcPr>
          <w:p w:rsidR="00274224" w:rsidRPr="00EC4352" w:rsidRDefault="00274224" w:rsidP="00274224">
            <w:pPr>
              <w:tabs>
                <w:tab w:val="left" w:pos="900"/>
              </w:tabs>
              <w:autoSpaceDE w:val="0"/>
              <w:autoSpaceDN w:val="0"/>
              <w:adjustRightInd w:val="0"/>
              <w:spacing w:line="276" w:lineRule="auto"/>
              <w:jc w:val="both"/>
              <w:rPr>
                <w:sz w:val="26"/>
                <w:szCs w:val="26"/>
              </w:rPr>
            </w:pPr>
            <w:r w:rsidRPr="00EC4352">
              <w:rPr>
                <w:sz w:val="26"/>
                <w:szCs w:val="26"/>
              </w:rPr>
              <w:t>Savings From Securitization</w:t>
            </w:r>
          </w:p>
        </w:tc>
        <w:tc>
          <w:tcPr>
            <w:tcW w:w="2070" w:type="dxa"/>
            <w:shd w:val="clear" w:color="auto" w:fill="auto"/>
            <w:vAlign w:val="center"/>
          </w:tcPr>
          <w:p w:rsidR="00274224" w:rsidRPr="00EC4352" w:rsidRDefault="00274224" w:rsidP="00274224">
            <w:pPr>
              <w:tabs>
                <w:tab w:val="left" w:pos="900"/>
              </w:tabs>
              <w:autoSpaceDE w:val="0"/>
              <w:autoSpaceDN w:val="0"/>
              <w:adjustRightInd w:val="0"/>
              <w:spacing w:line="276" w:lineRule="auto"/>
              <w:jc w:val="both"/>
              <w:rPr>
                <w:sz w:val="26"/>
                <w:szCs w:val="26"/>
              </w:rPr>
            </w:pPr>
            <w:r w:rsidRPr="00EC4352">
              <w:rPr>
                <w:sz w:val="26"/>
                <w:szCs w:val="26"/>
              </w:rPr>
              <w:t xml:space="preserve">$   </w:t>
            </w:r>
            <w:r w:rsidRPr="00EC4352">
              <w:rPr>
                <w:bCs/>
                <w:sz w:val="26"/>
                <w:szCs w:val="26"/>
              </w:rPr>
              <w:t>20,357,243</w:t>
            </w:r>
          </w:p>
        </w:tc>
      </w:tr>
    </w:tbl>
    <w:p w:rsidR="00C21F2E" w:rsidRPr="00EC4352" w:rsidRDefault="00274224" w:rsidP="00BA0CE1">
      <w:pPr>
        <w:jc w:val="both"/>
        <w:rPr>
          <w:sz w:val="26"/>
          <w:szCs w:val="26"/>
        </w:rPr>
      </w:pPr>
      <w:r w:rsidRPr="00EC4352">
        <w:rPr>
          <w:b/>
          <w:sz w:val="26"/>
          <w:szCs w:val="26"/>
        </w:rPr>
        <w:t xml:space="preserve">               </w:t>
      </w:r>
      <w:r w:rsidR="00F40DBB" w:rsidRPr="00EC4352">
        <w:rPr>
          <w:b/>
          <w:sz w:val="26"/>
          <w:szCs w:val="26"/>
        </w:rPr>
        <w:t xml:space="preserve">                 </w:t>
      </w:r>
      <w:r w:rsidRPr="00EC4352">
        <w:rPr>
          <w:b/>
          <w:sz w:val="26"/>
          <w:szCs w:val="26"/>
        </w:rPr>
        <w:t xml:space="preserve">    </w:t>
      </w:r>
      <w:r w:rsidR="00EC4352" w:rsidRPr="00EC4352">
        <w:rPr>
          <w:b/>
          <w:sz w:val="26"/>
          <w:szCs w:val="26"/>
        </w:rPr>
        <w:t xml:space="preserve">                      </w:t>
      </w:r>
      <w:r w:rsidR="00EC4352">
        <w:rPr>
          <w:b/>
          <w:sz w:val="26"/>
          <w:szCs w:val="26"/>
        </w:rPr>
        <w:t xml:space="preserve">   </w:t>
      </w:r>
      <w:r w:rsidRPr="00EC4352">
        <w:rPr>
          <w:b/>
          <w:sz w:val="26"/>
          <w:szCs w:val="26"/>
        </w:rPr>
        <w:t xml:space="preserve">   </w:t>
      </w:r>
      <w:r w:rsidRPr="00EC4352">
        <w:rPr>
          <w:sz w:val="26"/>
          <w:szCs w:val="26"/>
        </w:rPr>
        <w:t>TABLE-2</w:t>
      </w:r>
    </w:p>
    <w:p w:rsidR="00C21F2E" w:rsidRPr="00EC4352" w:rsidRDefault="00C21F2E" w:rsidP="00BA0CE1">
      <w:pPr>
        <w:jc w:val="both"/>
        <w:rPr>
          <w:sz w:val="26"/>
          <w:szCs w:val="26"/>
        </w:rPr>
      </w:pPr>
    </w:p>
    <w:p w:rsidR="00C21F2E" w:rsidRPr="00EC4352" w:rsidRDefault="00C21F2E" w:rsidP="00BA0CE1">
      <w:pPr>
        <w:jc w:val="both"/>
        <w:rPr>
          <w:sz w:val="26"/>
          <w:szCs w:val="26"/>
        </w:rPr>
      </w:pPr>
    </w:p>
    <w:p w:rsidR="00C21F2E" w:rsidRPr="00EC4352" w:rsidRDefault="00C21F2E" w:rsidP="00BA0CE1">
      <w:pPr>
        <w:jc w:val="both"/>
        <w:rPr>
          <w:sz w:val="26"/>
          <w:szCs w:val="26"/>
        </w:rPr>
      </w:pPr>
    </w:p>
    <w:p w:rsidR="00C21F2E" w:rsidRPr="00EC4352" w:rsidRDefault="00C21F2E" w:rsidP="00BA0CE1">
      <w:pPr>
        <w:jc w:val="both"/>
        <w:rPr>
          <w:sz w:val="26"/>
          <w:szCs w:val="26"/>
        </w:rPr>
      </w:pPr>
    </w:p>
    <w:p w:rsidR="00C21F2E" w:rsidRPr="00EC4352" w:rsidRDefault="00C21F2E" w:rsidP="00BA0CE1">
      <w:pPr>
        <w:jc w:val="both"/>
        <w:rPr>
          <w:sz w:val="26"/>
          <w:szCs w:val="26"/>
        </w:rPr>
      </w:pPr>
    </w:p>
    <w:p w:rsidR="00C21F2E" w:rsidRPr="00EC4352" w:rsidRDefault="00C21F2E" w:rsidP="00BA0CE1">
      <w:pPr>
        <w:jc w:val="both"/>
        <w:rPr>
          <w:sz w:val="26"/>
          <w:szCs w:val="26"/>
        </w:rPr>
      </w:pPr>
    </w:p>
    <w:p w:rsidR="00C21F2E" w:rsidRPr="00EC4352" w:rsidRDefault="00C21F2E" w:rsidP="00BA0CE1">
      <w:pPr>
        <w:jc w:val="both"/>
        <w:rPr>
          <w:sz w:val="26"/>
          <w:szCs w:val="26"/>
        </w:rPr>
      </w:pPr>
    </w:p>
    <w:p w:rsidR="00C21F2E" w:rsidRPr="00EC4352" w:rsidRDefault="00C21F2E" w:rsidP="00BA0CE1">
      <w:pPr>
        <w:jc w:val="both"/>
        <w:rPr>
          <w:sz w:val="26"/>
          <w:szCs w:val="26"/>
        </w:rPr>
      </w:pPr>
    </w:p>
    <w:p w:rsidR="00C21F2E" w:rsidRPr="00EC4352" w:rsidRDefault="00C21F2E" w:rsidP="00BA0CE1">
      <w:pPr>
        <w:jc w:val="both"/>
        <w:rPr>
          <w:sz w:val="26"/>
          <w:szCs w:val="26"/>
        </w:rPr>
      </w:pPr>
    </w:p>
    <w:p w:rsidR="00C21F2E" w:rsidRPr="00EC4352" w:rsidRDefault="00C21F2E" w:rsidP="00BA0CE1">
      <w:pPr>
        <w:jc w:val="both"/>
        <w:rPr>
          <w:sz w:val="26"/>
          <w:szCs w:val="26"/>
        </w:rPr>
      </w:pPr>
    </w:p>
    <w:p w:rsidR="00C21F2E" w:rsidRPr="00EC4352" w:rsidRDefault="00C21F2E" w:rsidP="00BA0CE1">
      <w:pPr>
        <w:jc w:val="both"/>
        <w:rPr>
          <w:sz w:val="26"/>
          <w:szCs w:val="26"/>
        </w:rPr>
      </w:pPr>
    </w:p>
    <w:p w:rsidR="00FF5711" w:rsidRPr="00EC4352" w:rsidRDefault="00C21F2E" w:rsidP="00BA0CE1">
      <w:pPr>
        <w:jc w:val="both"/>
        <w:rPr>
          <w:sz w:val="26"/>
          <w:szCs w:val="26"/>
        </w:rPr>
      </w:pPr>
      <w:r w:rsidRPr="00EC4352">
        <w:rPr>
          <w:sz w:val="26"/>
          <w:szCs w:val="26"/>
        </w:rPr>
        <w:tab/>
      </w:r>
      <w:r w:rsidRPr="00EC4352">
        <w:rPr>
          <w:sz w:val="26"/>
          <w:szCs w:val="26"/>
        </w:rPr>
        <w:tab/>
      </w:r>
      <w:r w:rsidRPr="00EC4352">
        <w:rPr>
          <w:sz w:val="26"/>
          <w:szCs w:val="26"/>
        </w:rPr>
        <w:tab/>
        <w:t>* Source: Exhibit A to the Joint Application.</w:t>
      </w:r>
    </w:p>
    <w:p w:rsidR="00B60EA6" w:rsidRPr="00EC4352" w:rsidRDefault="00DB7D82" w:rsidP="005A076C">
      <w:pPr>
        <w:pStyle w:val="textstyle0"/>
        <w:rPr>
          <w:szCs w:val="26"/>
        </w:rPr>
      </w:pPr>
      <w:r w:rsidRPr="00EC4352">
        <w:rPr>
          <w:szCs w:val="26"/>
        </w:rPr>
        <w:tab/>
      </w:r>
      <w:bookmarkStart w:id="40" w:name="_Toc328131638"/>
      <w:bookmarkStart w:id="41" w:name="_Toc328136700"/>
    </w:p>
    <w:p w:rsidR="00F91A7F" w:rsidRPr="005A076C" w:rsidRDefault="00F91A7F" w:rsidP="00F40DBB">
      <w:pPr>
        <w:pStyle w:val="textstyle0"/>
      </w:pPr>
      <w:r w:rsidRPr="005A076C">
        <w:t xml:space="preserve">If it is assumed that the PIR Bonds are issued with a weighted average annual interest rate on the PIR Bonds of 1.28%, OPCo has estimated that it will result in nominal savings to its customers of about $11.8 million and a net present value savings of about $20.4 million when compared to the cost recovery mechanism previously approved by the Commission through the DARR.  If the weighted average annual interest rate of the PIR </w:t>
      </w:r>
      <w:r w:rsidRPr="005A076C">
        <w:lastRenderedPageBreak/>
        <w:t>Bonds reach at or above 3.32%, on a net present value basis, and at or above 2.32%, on a nominal value basis, OPCo’s customers will not realize any savings from the securitiza</w:t>
      </w:r>
      <w:r w:rsidR="00DB6C5E">
        <w:softHyphen/>
      </w:r>
      <w:r w:rsidRPr="005A076C">
        <w:t>tion.  (Exhibit A to the Application)</w:t>
      </w:r>
    </w:p>
    <w:p w:rsidR="00FF5711" w:rsidRPr="005A076C" w:rsidRDefault="00165566" w:rsidP="005A076C">
      <w:pPr>
        <w:pStyle w:val="Heading2"/>
      </w:pPr>
      <w:bookmarkStart w:id="42" w:name="_Toc335401740"/>
      <w:r w:rsidRPr="005A076C">
        <w:t xml:space="preserve">C. </w:t>
      </w:r>
      <w:r w:rsidR="00F40DBB">
        <w:tab/>
      </w:r>
      <w:r w:rsidR="00FF5711" w:rsidRPr="005A076C">
        <w:t>Proceeds Test</w:t>
      </w:r>
      <w:bookmarkEnd w:id="40"/>
      <w:bookmarkEnd w:id="41"/>
      <w:bookmarkEnd w:id="42"/>
    </w:p>
    <w:p w:rsidR="00FF5711" w:rsidRPr="005A076C" w:rsidRDefault="00F40DBB" w:rsidP="005A076C">
      <w:pPr>
        <w:pStyle w:val="textstyle0"/>
      </w:pPr>
      <w:r>
        <w:tab/>
      </w:r>
      <w:r w:rsidR="00FF5711" w:rsidRPr="005A076C">
        <w:t>The proceeds test is intended to ensure that the proceeds from the PIR Bonds are pri</w:t>
      </w:r>
      <w:r w:rsidR="00DB6C5E">
        <w:softHyphen/>
      </w:r>
      <w:r w:rsidR="00FF5711" w:rsidRPr="005A076C">
        <w:t>marily used for the purposes of the repayment of the existing long-term debt of the Com</w:t>
      </w:r>
      <w:r w:rsidR="00DB6C5E">
        <w:softHyphen/>
      </w:r>
      <w:r w:rsidR="00FF5711" w:rsidRPr="005A076C">
        <w:t>pan</w:t>
      </w:r>
      <w:r w:rsidR="005469D1" w:rsidRPr="005A076C">
        <w:t>y</w:t>
      </w:r>
      <w:r w:rsidR="00FF5711" w:rsidRPr="005A076C">
        <w:t>.</w:t>
      </w:r>
    </w:p>
    <w:p w:rsidR="001A3BB3" w:rsidRPr="005A076C" w:rsidRDefault="00F40DBB" w:rsidP="005A076C">
      <w:pPr>
        <w:pStyle w:val="textstyle0"/>
      </w:pPr>
      <w:r>
        <w:tab/>
      </w:r>
      <w:r w:rsidR="00FF5711" w:rsidRPr="005A076C">
        <w:t xml:space="preserve">As mentioned previously, </w:t>
      </w:r>
      <w:r w:rsidR="005469D1" w:rsidRPr="005A076C">
        <w:t>OPCo</w:t>
      </w:r>
      <w:r w:rsidR="00FF5711" w:rsidRPr="005A076C">
        <w:t xml:space="preserve"> propose</w:t>
      </w:r>
      <w:r w:rsidR="005469D1" w:rsidRPr="005A076C">
        <w:t>s</w:t>
      </w:r>
      <w:r w:rsidR="00FF5711" w:rsidRPr="005A076C">
        <w:t xml:space="preserve"> to use the proceeds </w:t>
      </w:r>
      <w:r w:rsidR="005469D1" w:rsidRPr="005A076C">
        <w:t xml:space="preserve">from the issuance of the PIR Bonds, net of </w:t>
      </w:r>
      <w:r w:rsidR="0052129F" w:rsidRPr="005A076C">
        <w:t>U</w:t>
      </w:r>
      <w:r w:rsidR="005469D1" w:rsidRPr="005A076C">
        <w:t>pfront Financing Costs, to redeem, retire, repay or defease a por</w:t>
      </w:r>
      <w:r w:rsidR="00DB6C5E">
        <w:softHyphen/>
      </w:r>
      <w:r w:rsidR="005469D1" w:rsidRPr="005A076C">
        <w:t>tion of its existing debt.</w:t>
      </w:r>
      <w:r w:rsidR="00FF5711" w:rsidRPr="005A076C">
        <w:tab/>
      </w:r>
    </w:p>
    <w:p w:rsidR="009175D6" w:rsidRPr="005A076C" w:rsidRDefault="005469D1" w:rsidP="005A076C">
      <w:pPr>
        <w:pStyle w:val="textstyle0"/>
      </w:pPr>
      <w:r w:rsidRPr="005A076C">
        <w:t xml:space="preserve"> </w:t>
      </w:r>
      <w:r w:rsidR="00F40DBB">
        <w:tab/>
      </w:r>
      <w:r w:rsidR="00220A9B" w:rsidRPr="005A076C">
        <w:t>Except for the $11 million cost to defease a portion of its existing long-term debt, OPCo intend to use all of the proceeds</w:t>
      </w:r>
      <w:r w:rsidRPr="005A076C">
        <w:t xml:space="preserve"> to redeem, retire or repay its existing long-term debt. </w:t>
      </w:r>
      <w:bookmarkStart w:id="43" w:name="_Toc328136701"/>
      <w:r w:rsidR="00220A9B" w:rsidRPr="005A076C">
        <w:t xml:space="preserve">  </w:t>
      </w:r>
    </w:p>
    <w:p w:rsidR="00FF5711" w:rsidRPr="005A076C" w:rsidRDefault="008956F3" w:rsidP="005A076C">
      <w:pPr>
        <w:pStyle w:val="Heading2"/>
      </w:pPr>
      <w:bookmarkStart w:id="44" w:name="_Toc328136702"/>
      <w:bookmarkStart w:id="45" w:name="_Toc335401741"/>
      <w:bookmarkEnd w:id="43"/>
      <w:r w:rsidRPr="005A076C">
        <w:t xml:space="preserve">D. </w:t>
      </w:r>
      <w:r w:rsidR="00F40DBB">
        <w:tab/>
      </w:r>
      <w:r w:rsidR="00C21F2E" w:rsidRPr="005A076C">
        <w:t>Bond Structuring and Pricing Review</w:t>
      </w:r>
      <w:bookmarkEnd w:id="44"/>
      <w:bookmarkEnd w:id="45"/>
    </w:p>
    <w:p w:rsidR="00FF5711" w:rsidRPr="005A076C" w:rsidRDefault="00F40DBB" w:rsidP="005A076C">
      <w:pPr>
        <w:pStyle w:val="textstyle0"/>
      </w:pPr>
      <w:r>
        <w:tab/>
      </w:r>
      <w:r w:rsidR="00FF5711" w:rsidRPr="005A076C">
        <w:t xml:space="preserve">The structuring and pricing </w:t>
      </w:r>
      <w:r w:rsidR="009175D6" w:rsidRPr="005A076C">
        <w:t>review</w:t>
      </w:r>
      <w:r w:rsidR="00FF5711" w:rsidRPr="005A076C">
        <w:t xml:space="preserve"> is intended to ensure that the structuring and pric</w:t>
      </w:r>
      <w:r w:rsidR="00596570" w:rsidRPr="005A076C">
        <w:softHyphen/>
      </w:r>
      <w:r w:rsidR="00FF5711" w:rsidRPr="005A076C">
        <w:t>ing of the PIR Bonds result in the lowest PIR charges consistent with market conditions and the terms of the Financing Order.</w:t>
      </w:r>
    </w:p>
    <w:p w:rsidR="00405C9C" w:rsidRPr="005A076C" w:rsidRDefault="00F40DBB" w:rsidP="005A076C">
      <w:pPr>
        <w:pStyle w:val="textstyle0"/>
      </w:pPr>
      <w:r>
        <w:tab/>
      </w:r>
      <w:r w:rsidR="00405C9C" w:rsidRPr="005A076C">
        <w:t>OPCo designed and structured the proposed securitization financ</w:t>
      </w:r>
      <w:r w:rsidR="00405C9C" w:rsidRPr="005A076C">
        <w:softHyphen/>
        <w:t>ing to ensure that the PIR Bonds receive the highest bond rating reasonably possible, and accomplish both measurably enhanced cost savings to customers and mitigate rate impacts to customers through securitized PIR Bonds</w:t>
      </w:r>
    </w:p>
    <w:p w:rsidR="00FF5711" w:rsidRDefault="00D9687C" w:rsidP="005A076C">
      <w:pPr>
        <w:pStyle w:val="textstyle0"/>
      </w:pPr>
      <w:r>
        <w:lastRenderedPageBreak/>
        <w:tab/>
      </w:r>
      <w:r w:rsidR="00623E5C" w:rsidRPr="005A076C">
        <w:t>OPCo</w:t>
      </w:r>
      <w:r w:rsidR="00FF5711" w:rsidRPr="005A076C">
        <w:t xml:space="preserve"> state</w:t>
      </w:r>
      <w:r w:rsidR="009175D6" w:rsidRPr="005A076C">
        <w:t>s</w:t>
      </w:r>
      <w:r w:rsidR="00FF5711" w:rsidRPr="005A076C">
        <w:t xml:space="preserve"> that at the time of issuance of the PIR Bonds, certain  Upfront and Ongo</w:t>
      </w:r>
      <w:r w:rsidR="000B4EAE">
        <w:softHyphen/>
      </w:r>
      <w:r w:rsidR="00FF5711" w:rsidRPr="005A076C">
        <w:t>ing Financing Costs are likely to vary from such estimate as a result of changes in market conditions and other factors (e.g., the actual costs of redeeming or oth</w:t>
      </w:r>
      <w:r w:rsidR="00596570" w:rsidRPr="005A076C">
        <w:softHyphen/>
      </w:r>
      <w:r w:rsidR="00FF5711" w:rsidRPr="005A076C">
        <w:t xml:space="preserve">erwise retiring existing long-term debt), none of which can be determined at this time. </w:t>
      </w:r>
    </w:p>
    <w:p w:rsidR="007555DB" w:rsidRPr="005A076C" w:rsidRDefault="00F40DBB" w:rsidP="005A076C">
      <w:pPr>
        <w:pStyle w:val="textstyle0"/>
      </w:pPr>
      <w:r>
        <w:tab/>
      </w:r>
      <w:r w:rsidR="00FF5711" w:rsidRPr="005A076C">
        <w:t>The actual investor market-clearing interest rates for the PIR Bonds will be deter</w:t>
      </w:r>
      <w:r w:rsidR="00596570" w:rsidRPr="005A076C">
        <w:softHyphen/>
      </w:r>
      <w:r w:rsidR="00FF5711" w:rsidRPr="005A076C">
        <w:t xml:space="preserve">mined through the marketing and price discovery process.  </w:t>
      </w:r>
    </w:p>
    <w:p w:rsidR="007555DB" w:rsidRPr="005A076C" w:rsidRDefault="00F40DBB" w:rsidP="005A076C">
      <w:pPr>
        <w:pStyle w:val="textstyle0"/>
      </w:pPr>
      <w:r>
        <w:tab/>
      </w:r>
      <w:r w:rsidR="007555DB" w:rsidRPr="005A076C">
        <w:t>The Company proposes to file an Issuance Advisory Letter, no later than the close of business on the second business day after pricing of the PIR Bonds.  The I</w:t>
      </w:r>
      <w:r w:rsidR="00FF5711" w:rsidRPr="005A076C">
        <w:t xml:space="preserve">ssuance </w:t>
      </w:r>
      <w:r w:rsidR="007555DB" w:rsidRPr="005A076C">
        <w:t>A</w:t>
      </w:r>
      <w:r w:rsidR="00FF5711" w:rsidRPr="005A076C">
        <w:t xml:space="preserve">dvice </w:t>
      </w:r>
      <w:r w:rsidR="00623E5C" w:rsidRPr="005A076C">
        <w:t>L</w:t>
      </w:r>
      <w:r w:rsidR="00FF5711" w:rsidRPr="005A076C">
        <w:t>etter</w:t>
      </w:r>
      <w:r w:rsidR="00623E5C" w:rsidRPr="005A076C">
        <w:t xml:space="preserve"> is</w:t>
      </w:r>
      <w:r w:rsidR="00FF5711" w:rsidRPr="005A076C">
        <w:t xml:space="preserve"> </w:t>
      </w:r>
      <w:r w:rsidR="009175D6" w:rsidRPr="005A076C">
        <w:t>intend</w:t>
      </w:r>
      <w:r w:rsidR="00623E5C" w:rsidRPr="005A076C">
        <w:t>ed</w:t>
      </w:r>
      <w:r w:rsidR="009175D6" w:rsidRPr="005A076C">
        <w:t xml:space="preserve"> to </w:t>
      </w:r>
      <w:r w:rsidR="007555DB" w:rsidRPr="005A076C">
        <w:t>describe the final structure and the terms of the PIR Bonds (includ</w:t>
      </w:r>
      <w:r w:rsidR="00DB6C5E">
        <w:softHyphen/>
      </w:r>
      <w:r w:rsidR="007555DB" w:rsidRPr="005A076C">
        <w:t xml:space="preserve">ing the interest rates), </w:t>
      </w:r>
      <w:r w:rsidR="00623E5C" w:rsidRPr="005A076C">
        <w:t xml:space="preserve">and will include </w:t>
      </w:r>
      <w:r w:rsidR="007555DB" w:rsidRPr="005A076C">
        <w:t>the Final Tariff Sheet with the initial PIR Charges</w:t>
      </w:r>
      <w:r w:rsidR="00623E5C" w:rsidRPr="005A076C">
        <w:t>.</w:t>
      </w:r>
    </w:p>
    <w:p w:rsidR="002F35E7" w:rsidRPr="005A076C" w:rsidRDefault="00F40DBB" w:rsidP="005A076C">
      <w:pPr>
        <w:pStyle w:val="textstyle0"/>
      </w:pPr>
      <w:r>
        <w:tab/>
      </w:r>
      <w:r w:rsidR="00623E5C" w:rsidRPr="005A076C">
        <w:t xml:space="preserve">OPCo states that the PIR Charges set forth in the Issuance Advice Letter will become effective (without any further Commission action) </w:t>
      </w:r>
      <w:r w:rsidR="002F35E7" w:rsidRPr="005A076C">
        <w:t>unless the Commission issues an Order finding that the proposed issuance of the PIR Bonds does not comply with the requirements of the Financing Order, prior to noon on the fourth business day after pric</w:t>
      </w:r>
      <w:r w:rsidR="00DB6C5E">
        <w:softHyphen/>
      </w:r>
      <w:r w:rsidR="002F35E7" w:rsidRPr="005A076C">
        <w:t>ing on the date of pricing.  Absent such an Order, the PIR Charges will be deemed final and effective upon the issuance of the PIR Bonds, without further Commission action.</w:t>
      </w:r>
    </w:p>
    <w:p w:rsidR="00B23A63" w:rsidRPr="005A076C" w:rsidRDefault="00F40DBB" w:rsidP="005A076C">
      <w:pPr>
        <w:pStyle w:val="textstyle0"/>
      </w:pPr>
      <w:r>
        <w:tab/>
      </w:r>
      <w:r w:rsidR="002F35E7" w:rsidRPr="005A076C">
        <w:t>OPCo, in</w:t>
      </w:r>
      <w:r w:rsidR="00B23A63" w:rsidRPr="005A076C">
        <w:t xml:space="preserve"> </w:t>
      </w:r>
      <w:r w:rsidR="002F35E7" w:rsidRPr="005A076C">
        <w:t xml:space="preserve">its sole discretion, may delay imposition of such charges to the first day of the billing cycle of the revenue month </w:t>
      </w:r>
      <w:r w:rsidR="00B23A63" w:rsidRPr="005A076C">
        <w:t>next following the issuance date of the PIR Bonds or such other date not more than 30 days following the date of issuance as mentioned in the Issuance Advice Letter.</w:t>
      </w:r>
    </w:p>
    <w:p w:rsidR="00FF5711" w:rsidRPr="005A076C" w:rsidRDefault="00F40DBB" w:rsidP="005A076C">
      <w:pPr>
        <w:pStyle w:val="textstyle0"/>
      </w:pPr>
      <w:r>
        <w:tab/>
      </w:r>
      <w:r w:rsidR="00FF5711" w:rsidRPr="005A076C">
        <w:t>The Staff reviewed the Compan</w:t>
      </w:r>
      <w:r w:rsidR="00B23A63" w:rsidRPr="005A076C">
        <w:t>y’s</w:t>
      </w:r>
      <w:r w:rsidR="00FF5711" w:rsidRPr="005A076C">
        <w:t xml:space="preserve"> securitization application and concurs that the financing terms and costs projected by </w:t>
      </w:r>
      <w:r w:rsidR="00B23A63" w:rsidRPr="005A076C">
        <w:t>OPCo</w:t>
      </w:r>
      <w:r w:rsidR="00FF5711" w:rsidRPr="005A076C">
        <w:t xml:space="preserve"> appear to be in conformance with general </w:t>
      </w:r>
      <w:r w:rsidR="00FF5711" w:rsidRPr="005A076C">
        <w:lastRenderedPageBreak/>
        <w:t>mar</w:t>
      </w:r>
      <w:r w:rsidR="00596570" w:rsidRPr="005A076C">
        <w:softHyphen/>
      </w:r>
      <w:r w:rsidR="00FF5711" w:rsidRPr="005A076C">
        <w:t>ket conditions and are therefore reasonable.  In order to ensure that the actual financ</w:t>
      </w:r>
      <w:r w:rsidR="00DB6C5E">
        <w:softHyphen/>
      </w:r>
      <w:r w:rsidR="00FF5711" w:rsidRPr="005A076C">
        <w:t>ing terms and costs incurred by the Compan</w:t>
      </w:r>
      <w:r w:rsidR="00B23A63" w:rsidRPr="005A076C">
        <w:t>y</w:t>
      </w:r>
      <w:r w:rsidR="00FF5711" w:rsidRPr="005A076C">
        <w:t xml:space="preserve"> reflect</w:t>
      </w:r>
      <w:r w:rsidR="00B23A63" w:rsidRPr="005A076C">
        <w:t>s</w:t>
      </w:r>
      <w:r w:rsidR="00FF5711" w:rsidRPr="005A076C">
        <w:t xml:space="preserve"> the projected financing terms and costs, the Staff recommends that the Commission condition its approval of </w:t>
      </w:r>
      <w:r w:rsidR="00B23A63" w:rsidRPr="005A076C">
        <w:t>OPCo</w:t>
      </w:r>
      <w:r w:rsidR="00FF5711" w:rsidRPr="005A076C">
        <w:t>’s securiti</w:t>
      </w:r>
      <w:r w:rsidR="00596570" w:rsidRPr="005A076C">
        <w:softHyphen/>
      </w:r>
      <w:r w:rsidR="00FF5711" w:rsidRPr="005A076C">
        <w:t xml:space="preserve">zation financing costs of the PIR Bonds at an amount not exceed </w:t>
      </w:r>
      <w:r w:rsidR="00B23A63" w:rsidRPr="005A076C">
        <w:t>5</w:t>
      </w:r>
      <w:r w:rsidR="00FF5711" w:rsidRPr="005A076C">
        <w:t>% of the pro</w:t>
      </w:r>
      <w:r w:rsidR="00DB6C5E">
        <w:softHyphen/>
      </w:r>
      <w:r w:rsidR="00FF5711" w:rsidRPr="005A076C">
        <w:t xml:space="preserve">jections provided for in </w:t>
      </w:r>
      <w:r w:rsidR="006B1AAD" w:rsidRPr="005A076C">
        <w:t>OPCo</w:t>
      </w:r>
      <w:r w:rsidR="00FF5711" w:rsidRPr="005A076C">
        <w:t>’s application.</w:t>
      </w:r>
    </w:p>
    <w:p w:rsidR="00FF5711" w:rsidRPr="005A076C" w:rsidRDefault="00F40DBB" w:rsidP="005A076C">
      <w:pPr>
        <w:pStyle w:val="textstyle0"/>
      </w:pPr>
      <w:r>
        <w:tab/>
      </w:r>
      <w:r w:rsidR="00FF5711" w:rsidRPr="005A076C">
        <w:t>In order to ensure the above, the Staff recommends that the Commission should require the Companies to confirm that the actual terms of the PIR Bonds will result in compliance with the above mentioned issuance standards in the following manner:</w:t>
      </w:r>
    </w:p>
    <w:p w:rsidR="00DB7D82" w:rsidRPr="005A076C" w:rsidRDefault="00180898" w:rsidP="00F40DBB">
      <w:pPr>
        <w:pStyle w:val="Heading2"/>
      </w:pPr>
      <w:bookmarkStart w:id="46" w:name="_Toc335401742"/>
      <w:r w:rsidRPr="005A076C">
        <w:t>E.</w:t>
      </w:r>
      <w:r w:rsidR="00DB6570" w:rsidRPr="005A076C">
        <w:tab/>
      </w:r>
      <w:r w:rsidR="0058526F">
        <w:t>Issuance Advice Letter</w:t>
      </w:r>
      <w:bookmarkEnd w:id="46"/>
    </w:p>
    <w:p w:rsidR="00E2655A" w:rsidRPr="005A076C" w:rsidRDefault="00DB7D82" w:rsidP="00F40DBB">
      <w:pPr>
        <w:pStyle w:val="textstyle0"/>
      </w:pPr>
      <w:r w:rsidRPr="005A076C">
        <w:rPr>
          <w:b/>
        </w:rPr>
        <w:tab/>
      </w:r>
      <w:r w:rsidR="00FF5711" w:rsidRPr="005A076C">
        <w:t>Because the actual structure and pricing of the PIR</w:t>
      </w:r>
      <w:r w:rsidRPr="005A076C">
        <w:t xml:space="preserve"> </w:t>
      </w:r>
      <w:r w:rsidR="00FF5711" w:rsidRPr="005A076C">
        <w:t xml:space="preserve">Bonds will not be known at the time the Financing Order is issued, the </w:t>
      </w:r>
      <w:r w:rsidR="00B23A63" w:rsidRPr="005A076C">
        <w:t>Company has provided a draft format of the Issu</w:t>
      </w:r>
      <w:r w:rsidR="00DB6C5E">
        <w:softHyphen/>
      </w:r>
      <w:r w:rsidR="00B23A63" w:rsidRPr="005A076C">
        <w:t>ance Advice Letter</w:t>
      </w:r>
      <w:r w:rsidR="000C0842" w:rsidRPr="005A076C">
        <w:t xml:space="preserve">.  </w:t>
      </w:r>
      <w:r w:rsidR="004A0DB1" w:rsidRPr="005A076C">
        <w:t xml:space="preserve">(See Exhibit I to the Application) to </w:t>
      </w:r>
      <w:r w:rsidR="00C165B4" w:rsidRPr="005A076C">
        <w:t>inform</w:t>
      </w:r>
      <w:r w:rsidR="004A0DB1" w:rsidRPr="005A076C">
        <w:t xml:space="preserve"> the Commission fol</w:t>
      </w:r>
      <w:r w:rsidR="00DB6C5E">
        <w:softHyphen/>
      </w:r>
      <w:r w:rsidR="004A0DB1" w:rsidRPr="005A076C">
        <w:t>lowing the determi</w:t>
      </w:r>
      <w:r w:rsidR="004A0DB1" w:rsidRPr="005A076C">
        <w:softHyphen/>
        <w:t xml:space="preserve">nation of the final terms of the PIR Bonds and prior to the issuance of the PIR Bonds.  </w:t>
      </w:r>
      <w:r w:rsidR="00B23A63" w:rsidRPr="005A076C">
        <w:t xml:space="preserve"> </w:t>
      </w:r>
    </w:p>
    <w:p w:rsidR="007608DC" w:rsidRPr="00F40DBB" w:rsidRDefault="007608DC" w:rsidP="00EC4352">
      <w:pPr>
        <w:pStyle w:val="ListParagraph"/>
        <w:numPr>
          <w:ilvl w:val="0"/>
          <w:numId w:val="20"/>
        </w:numPr>
        <w:spacing w:after="240"/>
        <w:ind w:left="1440" w:right="720" w:hanging="720"/>
        <w:jc w:val="both"/>
        <w:rPr>
          <w:rFonts w:ascii="Times New Roman" w:hAnsi="Times New Roman"/>
          <w:sz w:val="26"/>
          <w:szCs w:val="26"/>
        </w:rPr>
      </w:pPr>
      <w:r w:rsidRPr="00F40DBB">
        <w:rPr>
          <w:rFonts w:ascii="Times New Roman" w:hAnsi="Times New Roman"/>
          <w:sz w:val="26"/>
          <w:szCs w:val="26"/>
        </w:rPr>
        <w:t>The Staff proposes its draft format of the Issuance Advice Letter to facilitate the Company to inform the Commission with respect to each series of PIR Bonds following the determi</w:t>
      </w:r>
      <w:r w:rsidRPr="00F40DBB">
        <w:rPr>
          <w:rFonts w:ascii="Times New Roman" w:hAnsi="Times New Roman"/>
          <w:sz w:val="26"/>
          <w:szCs w:val="26"/>
        </w:rPr>
        <w:softHyphen/>
        <w:t>nation of the final terms of the PIR Bonds and prior to the issuance of the PIR Bonds.  The Staff proposed Issuance Advice letter, among other things, include a certifi</w:t>
      </w:r>
      <w:r w:rsidR="00DB6C5E">
        <w:rPr>
          <w:rFonts w:ascii="Times New Roman" w:hAnsi="Times New Roman"/>
          <w:sz w:val="26"/>
          <w:szCs w:val="26"/>
        </w:rPr>
        <w:softHyphen/>
      </w:r>
      <w:r w:rsidRPr="00F40DBB">
        <w:rPr>
          <w:rFonts w:ascii="Times New Roman" w:hAnsi="Times New Roman"/>
          <w:sz w:val="26"/>
          <w:szCs w:val="26"/>
        </w:rPr>
        <w:t>cation by the Company that the structuring and pricing of the PIR Bonds, as described in the issuance advice letter, will result in both measurably enhanced cost savings to cus</w:t>
      </w:r>
      <w:r w:rsidR="000B4EAE">
        <w:rPr>
          <w:rFonts w:ascii="Times New Roman" w:hAnsi="Times New Roman"/>
          <w:sz w:val="26"/>
          <w:szCs w:val="26"/>
        </w:rPr>
        <w:softHyphen/>
      </w:r>
      <w:r w:rsidRPr="00F40DBB">
        <w:rPr>
          <w:rFonts w:ascii="Times New Roman" w:hAnsi="Times New Roman"/>
          <w:sz w:val="26"/>
          <w:szCs w:val="26"/>
        </w:rPr>
        <w:t>tomers and mitigate rate impacts to customers as compared with tra</w:t>
      </w:r>
      <w:r w:rsidR="000B4EAE">
        <w:rPr>
          <w:rFonts w:ascii="Times New Roman" w:hAnsi="Times New Roman"/>
          <w:sz w:val="26"/>
          <w:szCs w:val="26"/>
        </w:rPr>
        <w:softHyphen/>
      </w:r>
      <w:r w:rsidRPr="00F40DBB">
        <w:rPr>
          <w:rFonts w:ascii="Times New Roman" w:hAnsi="Times New Roman"/>
          <w:sz w:val="26"/>
          <w:szCs w:val="26"/>
        </w:rPr>
        <w:t>ditional cost recovery methods available to the Company.  The Staff is of the opinion that the Issuance Advice Letter, in the format pro</w:t>
      </w:r>
      <w:r w:rsidR="000B4EAE">
        <w:rPr>
          <w:rFonts w:ascii="Times New Roman" w:hAnsi="Times New Roman"/>
          <w:sz w:val="26"/>
          <w:szCs w:val="26"/>
        </w:rPr>
        <w:softHyphen/>
      </w:r>
      <w:r w:rsidRPr="00F40DBB">
        <w:rPr>
          <w:rFonts w:ascii="Times New Roman" w:hAnsi="Times New Roman"/>
          <w:sz w:val="26"/>
          <w:szCs w:val="26"/>
        </w:rPr>
        <w:t xml:space="preserve">posed by the Staff would ensure that the issuance of the PIR Bonds </w:t>
      </w:r>
      <w:r w:rsidRPr="00F40DBB">
        <w:rPr>
          <w:rFonts w:ascii="Times New Roman" w:hAnsi="Times New Roman"/>
          <w:sz w:val="26"/>
          <w:szCs w:val="26"/>
        </w:rPr>
        <w:lastRenderedPageBreak/>
        <w:t>meet the statutory require</w:t>
      </w:r>
      <w:r w:rsidR="00DB6C5E">
        <w:rPr>
          <w:rFonts w:ascii="Times New Roman" w:hAnsi="Times New Roman"/>
          <w:sz w:val="26"/>
          <w:szCs w:val="26"/>
        </w:rPr>
        <w:softHyphen/>
      </w:r>
      <w:r w:rsidRPr="00F40DBB">
        <w:rPr>
          <w:rFonts w:ascii="Times New Roman" w:hAnsi="Times New Roman"/>
          <w:sz w:val="26"/>
          <w:szCs w:val="26"/>
        </w:rPr>
        <w:t>ments.  The Staff recommends that the Commission should require the Company to file the Issuance Advice Letter, in the format proposed by the Staff.  The Staff proposed for</w:t>
      </w:r>
      <w:r w:rsidR="000B4EAE">
        <w:rPr>
          <w:rFonts w:ascii="Times New Roman" w:hAnsi="Times New Roman"/>
          <w:sz w:val="26"/>
          <w:szCs w:val="26"/>
        </w:rPr>
        <w:softHyphen/>
      </w:r>
      <w:r w:rsidRPr="00F40DBB">
        <w:rPr>
          <w:rFonts w:ascii="Times New Roman" w:hAnsi="Times New Roman"/>
          <w:sz w:val="26"/>
          <w:szCs w:val="26"/>
        </w:rPr>
        <w:t xml:space="preserve">mat of the Issuance Advice Letter is provided for the Commission’s consideration in Staff Exhibit A. </w:t>
      </w:r>
    </w:p>
    <w:p w:rsidR="007608DC" w:rsidRPr="00F40DBB" w:rsidRDefault="007608DC" w:rsidP="00EC4352">
      <w:pPr>
        <w:pStyle w:val="ListParagraph"/>
        <w:spacing w:after="240"/>
        <w:ind w:left="1440" w:right="720" w:hanging="720"/>
        <w:jc w:val="both"/>
        <w:rPr>
          <w:rFonts w:ascii="Times New Roman" w:hAnsi="Times New Roman"/>
          <w:sz w:val="26"/>
          <w:szCs w:val="26"/>
        </w:rPr>
      </w:pPr>
    </w:p>
    <w:p w:rsidR="00DE1C30" w:rsidRPr="00F40DBB" w:rsidRDefault="00DE1C30" w:rsidP="00EC4352">
      <w:pPr>
        <w:pStyle w:val="ListParagraph"/>
        <w:numPr>
          <w:ilvl w:val="0"/>
          <w:numId w:val="16"/>
        </w:numPr>
        <w:spacing w:after="240"/>
        <w:ind w:left="1440" w:right="720" w:hanging="720"/>
        <w:jc w:val="both"/>
        <w:rPr>
          <w:rFonts w:ascii="Times New Roman" w:hAnsi="Times New Roman"/>
          <w:sz w:val="26"/>
          <w:szCs w:val="26"/>
        </w:rPr>
      </w:pPr>
      <w:r w:rsidRPr="00F40DBB">
        <w:rPr>
          <w:rFonts w:ascii="Times New Roman" w:hAnsi="Times New Roman"/>
          <w:sz w:val="26"/>
          <w:szCs w:val="26"/>
        </w:rPr>
        <w:t xml:space="preserve">The Company has proposed to file the Issuance Advice Letter with the Commission no later than the close of business on the second business day after pricing of the PIR Bonds.  OPCo also proposes that the initial PIR Charges set forth in the Issuance Advice Letter will become effective (without further action from the Commission action) on the date of issuance of the PIR Bonds unless prior to noon on the fourth business day after pricing, the Commission issues an Order finding that the proposed issuance of the PIR Bonds does not comply with the requirements </w:t>
      </w:r>
      <w:r w:rsidR="00D84061" w:rsidRPr="00F40DBB">
        <w:rPr>
          <w:rFonts w:ascii="Times New Roman" w:hAnsi="Times New Roman"/>
          <w:sz w:val="26"/>
          <w:szCs w:val="26"/>
        </w:rPr>
        <w:t>o</w:t>
      </w:r>
      <w:r w:rsidRPr="00F40DBB">
        <w:rPr>
          <w:rFonts w:ascii="Times New Roman" w:hAnsi="Times New Roman"/>
          <w:sz w:val="26"/>
          <w:szCs w:val="26"/>
        </w:rPr>
        <w:t>f the Financing Order.</w:t>
      </w:r>
    </w:p>
    <w:p w:rsidR="00DE1C30" w:rsidRPr="00F40DBB" w:rsidRDefault="00DE1C30" w:rsidP="00C21F2E">
      <w:pPr>
        <w:pStyle w:val="ListParagraph"/>
        <w:ind w:left="1440" w:right="720" w:hanging="540"/>
        <w:jc w:val="both"/>
        <w:rPr>
          <w:rFonts w:ascii="Times New Roman" w:hAnsi="Times New Roman"/>
          <w:sz w:val="26"/>
          <w:szCs w:val="26"/>
        </w:rPr>
      </w:pPr>
    </w:p>
    <w:p w:rsidR="00DE1C30" w:rsidRPr="00F40DBB" w:rsidRDefault="00EC4352" w:rsidP="00EC4352">
      <w:pPr>
        <w:pStyle w:val="textstyle0"/>
      </w:pPr>
      <w:r>
        <w:tab/>
      </w:r>
      <w:r w:rsidR="00DE1C30" w:rsidRPr="00F40DBB">
        <w:t xml:space="preserve">This effectively provides for a two day window within which the Staff is expected to review the final terms of the PIR Bonds and advise the Commission whether the terms put forth in the Issuance Advice Letter </w:t>
      </w:r>
      <w:r w:rsidR="00D84061" w:rsidRPr="00F40DBB">
        <w:t>appears reasonable or whether the Commission should issue an Order finding that the proposed issuance of the PIR Bonds does not com</w:t>
      </w:r>
      <w:r w:rsidR="000B4EAE">
        <w:softHyphen/>
      </w:r>
      <w:r w:rsidR="00D84061" w:rsidRPr="00F40DBB">
        <w:t xml:space="preserve">ply with the requirements of the Financing Order.  </w:t>
      </w:r>
      <w:r w:rsidR="00DE1C30" w:rsidRPr="00F40DBB">
        <w:t xml:space="preserve"> </w:t>
      </w:r>
    </w:p>
    <w:p w:rsidR="00E2655A" w:rsidRPr="00F40DBB" w:rsidRDefault="00EC4352" w:rsidP="00EC4352">
      <w:pPr>
        <w:pStyle w:val="textstyle0"/>
      </w:pPr>
      <w:r>
        <w:tab/>
      </w:r>
      <w:r w:rsidR="00FF5711" w:rsidRPr="00F40DBB">
        <w:t xml:space="preserve">The </w:t>
      </w:r>
      <w:r w:rsidR="004A0DB1" w:rsidRPr="00F40DBB">
        <w:t xml:space="preserve">Staff recommends that </w:t>
      </w:r>
      <w:r w:rsidR="00D84061" w:rsidRPr="00F40DBB">
        <w:t xml:space="preserve">the initial PIR Charges set forth in the Issuance Advice Letter </w:t>
      </w:r>
      <w:r w:rsidR="00242162" w:rsidRPr="00F40DBB">
        <w:t>should</w:t>
      </w:r>
      <w:r w:rsidR="00D84061" w:rsidRPr="00F40DBB">
        <w:t xml:space="preserve"> become effective (without further action from the Commission action) on the date of issuance of the PIR Bonds unless prior to noon on the fifth business day after pric</w:t>
      </w:r>
      <w:r w:rsidR="00DB6C5E">
        <w:softHyphen/>
      </w:r>
      <w:r w:rsidR="00D84061" w:rsidRPr="00F40DBB">
        <w:t>ing, the Commission issues an Order finding that the proposed issu</w:t>
      </w:r>
      <w:r w:rsidR="00DB6C5E">
        <w:softHyphen/>
      </w:r>
      <w:r w:rsidR="00D84061" w:rsidRPr="00F40DBB">
        <w:t>ance of the PIR Bonds does not comply with the requirements of the Financing Order.  The Staff pro</w:t>
      </w:r>
      <w:r w:rsidR="000B4EAE">
        <w:softHyphen/>
      </w:r>
      <w:r w:rsidR="00D84061" w:rsidRPr="00F40DBB">
        <w:t>posed timeframe will provide a three day window within which it will have an oppor</w:t>
      </w:r>
      <w:r w:rsidR="000B4EAE">
        <w:softHyphen/>
      </w:r>
      <w:r w:rsidR="00D84061" w:rsidRPr="00F40DBB">
        <w:lastRenderedPageBreak/>
        <w:t xml:space="preserve">tunity to review the final terms of the PIR Bonds and advise the Commission regarding the reasonableness of the Issuance Advice Letter. </w:t>
      </w:r>
    </w:p>
    <w:p w:rsidR="001E5FD5" w:rsidRPr="005A076C" w:rsidRDefault="00180898" w:rsidP="005A076C">
      <w:pPr>
        <w:pStyle w:val="Heading2"/>
      </w:pPr>
      <w:bookmarkStart w:id="47" w:name="_Toc335401743"/>
      <w:r w:rsidRPr="005A076C">
        <w:t>F.</w:t>
      </w:r>
      <w:r w:rsidR="00C21F2E" w:rsidRPr="005A076C">
        <w:t xml:space="preserve"> </w:t>
      </w:r>
      <w:r w:rsidR="00F40DBB">
        <w:tab/>
      </w:r>
      <w:r w:rsidR="001E5FD5" w:rsidRPr="005A076C">
        <w:t>Rec</w:t>
      </w:r>
      <w:r w:rsidR="008956F3" w:rsidRPr="005A076C">
        <w:t>overy of the Remaining Upfront F</w:t>
      </w:r>
      <w:r w:rsidR="001E5FD5" w:rsidRPr="005A076C">
        <w:t>inancing Costs</w:t>
      </w:r>
      <w:bookmarkEnd w:id="47"/>
    </w:p>
    <w:p w:rsidR="001E5FD5" w:rsidRPr="005A076C" w:rsidRDefault="00C21F2E" w:rsidP="00F40DBB">
      <w:pPr>
        <w:pStyle w:val="textstyle0"/>
      </w:pPr>
      <w:r w:rsidRPr="005A076C">
        <w:tab/>
      </w:r>
      <w:r w:rsidR="001E5FD5" w:rsidRPr="005A076C">
        <w:t xml:space="preserve">OPCo, on </w:t>
      </w:r>
      <w:r w:rsidR="0058526F">
        <w:t>p</w:t>
      </w:r>
      <w:r w:rsidR="001E5FD5" w:rsidRPr="005A076C">
        <w:t>age 9 of the Application, states that if the actual issuance costs are more than the estimated upfront Financing Costs set forth in the Issuance advice Letter, OPCo may request recovery of the remaining Upfront Financing Costs through traditional rate</w:t>
      </w:r>
      <w:r w:rsidR="00DB6C5E">
        <w:softHyphen/>
      </w:r>
      <w:r w:rsidR="001E5FD5" w:rsidRPr="005A076C">
        <w:t>making mechanisms.</w:t>
      </w:r>
    </w:p>
    <w:p w:rsidR="00413C8F" w:rsidRPr="005A076C" w:rsidRDefault="00C21F2E" w:rsidP="00F40DBB">
      <w:pPr>
        <w:pStyle w:val="textstyle0"/>
      </w:pPr>
      <w:r w:rsidRPr="005A076C">
        <w:tab/>
      </w:r>
      <w:r w:rsidR="00180898" w:rsidRPr="005A076C">
        <w:t>The</w:t>
      </w:r>
      <w:r w:rsidR="001E5FD5" w:rsidRPr="005A076C">
        <w:t xml:space="preserve"> Staff proposed cap of 5% over the estimated Upfront Financing Costs is intended to allow the Company to recover all of the actual Upfront Financing Costs within the limit set forth as part of the PIR Charges</w:t>
      </w:r>
      <w:r w:rsidR="0058526F">
        <w:t>.  T</w:t>
      </w:r>
      <w:r w:rsidR="001E5FD5" w:rsidRPr="005A076C">
        <w:t>he Staff is of the opinion that the Commission should not al</w:t>
      </w:r>
      <w:r w:rsidR="0037435D" w:rsidRPr="005A076C">
        <w:t>l</w:t>
      </w:r>
      <w:r w:rsidR="001E5FD5" w:rsidRPr="005A076C">
        <w:t>ow</w:t>
      </w:r>
      <w:r w:rsidR="0037435D" w:rsidRPr="005A076C">
        <w:t xml:space="preserve"> OPCo’s request in this regard.</w:t>
      </w:r>
    </w:p>
    <w:p w:rsidR="00FF5711" w:rsidRPr="005A076C" w:rsidRDefault="00180898" w:rsidP="005A076C">
      <w:pPr>
        <w:pStyle w:val="Heading2"/>
      </w:pPr>
      <w:bookmarkStart w:id="48" w:name="_Toc335401744"/>
      <w:r w:rsidRPr="005A076C">
        <w:t>G.</w:t>
      </w:r>
      <w:r w:rsidR="00C21F2E" w:rsidRPr="005A076C">
        <w:t xml:space="preserve"> </w:t>
      </w:r>
      <w:r w:rsidR="00F40DBB">
        <w:tab/>
      </w:r>
      <w:r w:rsidR="00FF5711" w:rsidRPr="005A076C">
        <w:t>Use of Proceeds</w:t>
      </w:r>
      <w:bookmarkEnd w:id="48"/>
    </w:p>
    <w:p w:rsidR="003F449D" w:rsidRPr="005A076C" w:rsidRDefault="00F40DBB" w:rsidP="005A076C">
      <w:pPr>
        <w:pStyle w:val="textstyle0"/>
      </w:pPr>
      <w:r>
        <w:tab/>
      </w:r>
      <w:r w:rsidR="00FF5711" w:rsidRPr="005A076C">
        <w:t>The Compan</w:t>
      </w:r>
      <w:r w:rsidR="003F449D" w:rsidRPr="005A076C">
        <w:t>y</w:t>
      </w:r>
      <w:r w:rsidR="00180898" w:rsidRPr="005A076C">
        <w:t xml:space="preserve"> intends</w:t>
      </w:r>
      <w:r w:rsidR="00FF5711" w:rsidRPr="005A076C">
        <w:t xml:space="preserve"> </w:t>
      </w:r>
      <w:r w:rsidR="003F449D" w:rsidRPr="005A076C">
        <w:t xml:space="preserve">to use the proceeds from the issuance and sale of PIR Bonds, net of upfront Financing Costs, to redeem, retire, repay or defease a portion of its existing debt.  OPCo states that debt defeasance costs may vary significantly in response </w:t>
      </w:r>
      <w:r w:rsidR="00F17F05" w:rsidRPr="005A076C">
        <w:t>to mar</w:t>
      </w:r>
      <w:r w:rsidR="00DB6C5E">
        <w:softHyphen/>
      </w:r>
      <w:r w:rsidR="00F17F05" w:rsidRPr="005A076C">
        <w:t>ket</w:t>
      </w:r>
      <w:r w:rsidR="003F449D" w:rsidRPr="005A076C">
        <w:t xml:space="preserve"> conditions and as a result of the terms of the various debt securities to be defeased (e.g. the cost of securities deposited to defease the debt securities). </w:t>
      </w:r>
    </w:p>
    <w:p w:rsidR="003F449D" w:rsidRPr="005A076C" w:rsidRDefault="00C21F2E" w:rsidP="00F40DBB">
      <w:pPr>
        <w:pStyle w:val="textstyle0"/>
      </w:pPr>
      <w:r w:rsidRPr="005A076C">
        <w:tab/>
      </w:r>
      <w:r w:rsidR="003F449D" w:rsidRPr="005A076C">
        <w:t xml:space="preserve">The Commission Opinion and Order dated August 8, 2012, in Case Nos. 11-346-EL-SSO, et al. (SSO Order), among other things, stated </w:t>
      </w:r>
      <w:r w:rsidR="009C14BD" w:rsidRPr="005A076C">
        <w:t xml:space="preserve">on Page 59, </w:t>
      </w:r>
      <w:r w:rsidR="003F449D" w:rsidRPr="005A076C">
        <w:t xml:space="preserve">as follows:   </w:t>
      </w:r>
    </w:p>
    <w:p w:rsidR="00EC7D46" w:rsidRDefault="00EC7D46" w:rsidP="008652E4">
      <w:pPr>
        <w:pStyle w:val="textstyle0"/>
        <w:spacing w:line="240" w:lineRule="auto"/>
        <w:ind w:left="1350" w:right="1170"/>
      </w:pPr>
      <w:r>
        <w:br w:type="page"/>
      </w:r>
    </w:p>
    <w:p w:rsidR="003F449D" w:rsidRDefault="003F449D" w:rsidP="008652E4">
      <w:pPr>
        <w:pStyle w:val="textstyle0"/>
        <w:spacing w:line="240" w:lineRule="auto"/>
        <w:ind w:left="1350" w:right="1170"/>
      </w:pPr>
      <w:r w:rsidRPr="005A076C">
        <w:lastRenderedPageBreak/>
        <w:t>Staff raises some concern with the implementation of corporate separation</w:t>
      </w:r>
      <w:r w:rsidR="00924C6A" w:rsidRPr="005A076C">
        <w:t xml:space="preserve"> </w:t>
      </w:r>
      <w:r w:rsidRPr="005A076C">
        <w:t>and the lack of the Company's transfer of all debt and/or intercompany notes to GenResources</w:t>
      </w:r>
      <w:r w:rsidR="000C0842" w:rsidRPr="005A076C">
        <w:t xml:space="preserve">.  </w:t>
      </w:r>
      <w:r w:rsidRPr="005A076C">
        <w:t>Despite the Staff's recommendation, the Commission approves AEP-Ohio's requests to retain the pollution control bonds contingent upon a filing with the Commission demon</w:t>
      </w:r>
      <w:r w:rsidR="00DB6C5E">
        <w:softHyphen/>
      </w:r>
      <w:r w:rsidRPr="005A076C">
        <w:t>strating that AEP-Ohio ratepayers have not and will not incur any costs associated with the cost of ser</w:t>
      </w:r>
      <w:r w:rsidR="000B4EAE">
        <w:softHyphen/>
      </w:r>
      <w:r w:rsidRPr="005A076C">
        <w:t>vicing the associated debt</w:t>
      </w:r>
      <w:proofErr w:type="gramStart"/>
      <w:r w:rsidRPr="005A076C">
        <w:t xml:space="preserve">. </w:t>
      </w:r>
      <w:proofErr w:type="gramEnd"/>
      <w:r w:rsidRPr="005A076C">
        <w:t>More specifically, AEP-Ohio ratepay</w:t>
      </w:r>
      <w:r w:rsidR="000B4EAE">
        <w:softHyphen/>
      </w:r>
      <w:r w:rsidRPr="005A076C">
        <w:t>ers shall be held harmless for the cost of the pollution control bonds, as well as any other generation or generation related debt or inter-company notes retained by AEP-Ohio</w:t>
      </w:r>
      <w:proofErr w:type="gramStart"/>
      <w:r w:rsidRPr="005A076C">
        <w:t xml:space="preserve">. </w:t>
      </w:r>
      <w:proofErr w:type="gramEnd"/>
      <w:r w:rsidRPr="005A076C">
        <w:t>AEP-Ohio shall file such information with the Commission, in this docket no later than 90 days after the issuance of this Order. Accordingly, the Commission finds that, subject to our approval of the corp</w:t>
      </w:r>
      <w:r w:rsidR="000B4EAE">
        <w:softHyphen/>
      </w:r>
      <w:r w:rsidRPr="005A076C">
        <w:t>orate separation plan, the electric distribution utility should divest its genera</w:t>
      </w:r>
      <w:r w:rsidR="00DB6C5E">
        <w:softHyphen/>
      </w:r>
      <w:r w:rsidRPr="005A076C">
        <w:t>tion assets from its noncompetitive electric distribution utility assets by transfer to its separate competitive retail genera</w:t>
      </w:r>
      <w:r w:rsidR="000B4EAE">
        <w:softHyphen/>
      </w:r>
      <w:r w:rsidRPr="005A076C">
        <w:t>tion subsidiary, GenResources, as represented in this modified ESP</w:t>
      </w:r>
      <w:r w:rsidR="00180898" w:rsidRPr="005A076C">
        <w:t>.</w:t>
      </w:r>
      <w:r w:rsidRPr="005A076C">
        <w:t xml:space="preserve"> </w:t>
      </w:r>
    </w:p>
    <w:p w:rsidR="003A6785" w:rsidRPr="005A076C" w:rsidRDefault="003A6785" w:rsidP="008652E4">
      <w:pPr>
        <w:pStyle w:val="textstyle0"/>
        <w:spacing w:line="240" w:lineRule="auto"/>
        <w:ind w:left="1350" w:right="1170"/>
      </w:pPr>
    </w:p>
    <w:p w:rsidR="003F449D" w:rsidRPr="005A076C" w:rsidRDefault="00F40DBB" w:rsidP="00F40DBB">
      <w:pPr>
        <w:pStyle w:val="textstyle0"/>
      </w:pPr>
      <w:r>
        <w:tab/>
      </w:r>
      <w:r w:rsidR="003F449D" w:rsidRPr="005A076C">
        <w:t>OPCo, in the current securitization case, Case No. 12-1969-EL-ATS (ATS Case),</w:t>
      </w:r>
      <w:r w:rsidR="007E75E9" w:rsidRPr="005A076C">
        <w:t xml:space="preserve"> </w:t>
      </w:r>
      <w:r w:rsidR="003F449D" w:rsidRPr="005A076C">
        <w:t>has indicated that it intends to use a portion of the PIR Bond proceeds, among</w:t>
      </w:r>
      <w:r w:rsidR="00DB7D82" w:rsidRPr="005A076C">
        <w:t xml:space="preserve"> </w:t>
      </w:r>
      <w:r w:rsidR="003F449D" w:rsidRPr="005A076C">
        <w:t xml:space="preserve">other things, to defease a portion of its existing </w:t>
      </w:r>
      <w:r w:rsidR="005A6413" w:rsidRPr="005A076C">
        <w:t xml:space="preserve">long-term </w:t>
      </w:r>
      <w:r w:rsidR="003F449D" w:rsidRPr="005A076C">
        <w:t xml:space="preserve">debt.  </w:t>
      </w:r>
    </w:p>
    <w:p w:rsidR="003F449D" w:rsidRPr="005A076C" w:rsidRDefault="00F40DBB" w:rsidP="00F40DBB">
      <w:pPr>
        <w:pStyle w:val="textstyle0"/>
      </w:pPr>
      <w:r>
        <w:tab/>
      </w:r>
      <w:r w:rsidR="003F449D" w:rsidRPr="005A076C">
        <w:t>To</w:t>
      </w:r>
      <w:r w:rsidR="00180898" w:rsidRPr="005A076C">
        <w:t xml:space="preserve"> the extent the Company intend</w:t>
      </w:r>
      <w:r w:rsidR="007023A2">
        <w:t>s</w:t>
      </w:r>
      <w:r w:rsidR="003F449D" w:rsidRPr="005A076C">
        <w:t xml:space="preserve"> to defease </w:t>
      </w:r>
      <w:r w:rsidR="005A6413" w:rsidRPr="005A076C">
        <w:t>a por</w:t>
      </w:r>
      <w:r w:rsidR="00DB6C5E">
        <w:softHyphen/>
      </w:r>
      <w:r w:rsidR="005A6413" w:rsidRPr="005A076C">
        <w:t xml:space="preserve">tion of its </w:t>
      </w:r>
      <w:r w:rsidR="003F449D" w:rsidRPr="005A076C">
        <w:t>pollution</w:t>
      </w:r>
      <w:r w:rsidR="00FE5186" w:rsidRPr="005A076C">
        <w:t xml:space="preserve"> </w:t>
      </w:r>
      <w:r w:rsidR="003F449D" w:rsidRPr="005A076C">
        <w:t>control bonds and that AEP-Ohio has not yet filed information regarding the hold</w:t>
      </w:r>
      <w:r w:rsidR="00FE5186" w:rsidRPr="005A076C">
        <w:t xml:space="preserve"> </w:t>
      </w:r>
      <w:r w:rsidR="003F449D" w:rsidRPr="005A076C">
        <w:t>harmless feature for the cost of the pollution control bonds as required by th</w:t>
      </w:r>
      <w:r w:rsidR="00FE5186" w:rsidRPr="005A076C">
        <w:t xml:space="preserve">e </w:t>
      </w:r>
      <w:r w:rsidR="003F449D" w:rsidRPr="005A076C">
        <w:t xml:space="preserve">Commission in the SSO Order, the </w:t>
      </w:r>
      <w:r w:rsidR="00FE5186" w:rsidRPr="005A076C">
        <w:t xml:space="preserve">Staff is of the opinion that the </w:t>
      </w:r>
      <w:r w:rsidR="003F449D" w:rsidRPr="005A076C">
        <w:t>Commission Order in this securitization case</w:t>
      </w:r>
      <w:r w:rsidR="00FE5186" w:rsidRPr="005A076C">
        <w:t xml:space="preserve"> </w:t>
      </w:r>
      <w:r w:rsidR="003F449D" w:rsidRPr="005A076C">
        <w:t xml:space="preserve">should </w:t>
      </w:r>
      <w:r w:rsidR="00180898" w:rsidRPr="005A076C">
        <w:t>authorize</w:t>
      </w:r>
      <w:r w:rsidR="00FE5186" w:rsidRPr="005A076C">
        <w:t xml:space="preserve"> the Company’s intent to defease only if it is consistent with the Commission conclusions in </w:t>
      </w:r>
      <w:r w:rsidR="003F449D" w:rsidRPr="005A076C">
        <w:t>the Company’s</w:t>
      </w:r>
      <w:r w:rsidR="00FE5186" w:rsidRPr="005A076C">
        <w:t xml:space="preserve"> </w:t>
      </w:r>
      <w:r w:rsidR="003F449D" w:rsidRPr="005A076C">
        <w:t xml:space="preserve">Corporate Separation Case.       </w:t>
      </w:r>
    </w:p>
    <w:p w:rsidR="007735BF" w:rsidRPr="005A076C" w:rsidRDefault="00737104" w:rsidP="005A076C">
      <w:pPr>
        <w:pStyle w:val="Heading2"/>
      </w:pPr>
      <w:bookmarkStart w:id="49" w:name="_Toc335401745"/>
      <w:r w:rsidRPr="005A076C">
        <w:lastRenderedPageBreak/>
        <w:t>H.</w:t>
      </w:r>
      <w:r w:rsidR="00E94ADF" w:rsidRPr="005A076C">
        <w:t xml:space="preserve"> </w:t>
      </w:r>
      <w:r w:rsidR="00E94ADF" w:rsidRPr="005A076C">
        <w:tab/>
      </w:r>
      <w:r w:rsidR="005E6F12" w:rsidRPr="005A076C">
        <w:t>Third-party Billing/C</w:t>
      </w:r>
      <w:r w:rsidR="0058526F">
        <w:t>ollection</w:t>
      </w:r>
      <w:bookmarkEnd w:id="49"/>
    </w:p>
    <w:p w:rsidR="00E94ADF" w:rsidRPr="005A076C" w:rsidRDefault="00F40DBB" w:rsidP="00F40DBB">
      <w:pPr>
        <w:pStyle w:val="textstyle0"/>
      </w:pPr>
      <w:r>
        <w:tab/>
      </w:r>
      <w:r w:rsidR="00E94ADF" w:rsidRPr="005A076C">
        <w:t xml:space="preserve">OPCo is proposing </w:t>
      </w:r>
      <w:r w:rsidR="00DE5C01" w:rsidRPr="005A076C">
        <w:t xml:space="preserve">that the Financing Order should further provide that (i) regardless of who is responsible </w:t>
      </w:r>
      <w:r w:rsidR="00CE3BB1" w:rsidRPr="005A076C">
        <w:t>for billing, the customers of that electric distribution utility (EDU) shall continue to be responsible for PIR Charges, (ii) if a third party meters and bills for the PIR Charges, the EDU (as servicer) must have access to information on billing and usage by customers to provide for proper reporting to</w:t>
      </w:r>
      <w:r w:rsidR="0058526F">
        <w:t xml:space="preserve"> the</w:t>
      </w:r>
      <w:r w:rsidR="00CE3BB1" w:rsidRPr="005A076C">
        <w:t xml:space="preserve"> SPE and to perform its obliga</w:t>
      </w:r>
      <w:r w:rsidR="00DB6C5E">
        <w:softHyphen/>
      </w:r>
      <w:r w:rsidR="00CE3BB1" w:rsidRPr="005A076C">
        <w:t>tions a servicer, (iii) in the case of a third party default, billing responsibilities must be promptly transferred to another</w:t>
      </w:r>
      <w:r w:rsidR="008C05CE" w:rsidRPr="005A076C">
        <w:t xml:space="preserve"> </w:t>
      </w:r>
      <w:r w:rsidR="00CE3BB1" w:rsidRPr="005A076C">
        <w:t>party to minimize potential losses; and (iv) the failure of customers to pay PIR Charges shall allow service termination by the EDU on behalf of the SPE of the</w:t>
      </w:r>
      <w:r w:rsidR="008C05CE" w:rsidRPr="005A076C">
        <w:t xml:space="preserve"> </w:t>
      </w:r>
      <w:r w:rsidR="00CE3BB1" w:rsidRPr="005A076C">
        <w:t>customers failing to pay PIR Charges in accordance with Commission approved service termination rules and orders.</w:t>
      </w:r>
    </w:p>
    <w:p w:rsidR="00924C6A" w:rsidRPr="005A076C" w:rsidRDefault="00F40DBB" w:rsidP="00F40DBB">
      <w:pPr>
        <w:pStyle w:val="textstyle0"/>
      </w:pPr>
      <w:r>
        <w:tab/>
      </w:r>
      <w:r w:rsidR="00CE3BB1" w:rsidRPr="005A076C">
        <w:t xml:space="preserve">The Staff </w:t>
      </w:r>
      <w:r w:rsidR="0058526F">
        <w:t>believes</w:t>
      </w:r>
      <w:r w:rsidR="00067A71" w:rsidRPr="005A076C">
        <w:t xml:space="preserve"> that competitive third-party billing/collection is not currently per</w:t>
      </w:r>
      <w:r w:rsidR="00DB6C5E">
        <w:softHyphen/>
      </w:r>
      <w:r w:rsidR="00067A71" w:rsidRPr="005A076C">
        <w:t>mi</w:t>
      </w:r>
      <w:r w:rsidR="0058526F">
        <w:t xml:space="preserve">tted by the Commission rules.  </w:t>
      </w:r>
      <w:r w:rsidR="00067A71" w:rsidRPr="005A076C">
        <w:t>Therefore, the Staff recommends that if the Commis</w:t>
      </w:r>
      <w:r w:rsidR="00DB6C5E">
        <w:softHyphen/>
      </w:r>
      <w:r w:rsidR="00067A71" w:rsidRPr="005A076C">
        <w:t>sion, in the future, establishes rules relating</w:t>
      </w:r>
      <w:r w:rsidR="00296F47" w:rsidRPr="005A076C">
        <w:t xml:space="preserve"> t</w:t>
      </w:r>
      <w:r w:rsidR="00067A71" w:rsidRPr="005A076C">
        <w:t>o competitive third-party billing/collection, OPCo should be allowed to implement such features as long as such billing/collection does not result in additional burden on OPCo’s customers on a going forward basis.  In other words,</w:t>
      </w:r>
      <w:r w:rsidR="00296F47" w:rsidRPr="005A076C">
        <w:t xml:space="preserve"> </w:t>
      </w:r>
      <w:r w:rsidR="00067A71" w:rsidRPr="005A076C">
        <w:t>such third-party billing/collection costs should no</w:t>
      </w:r>
      <w:r w:rsidR="00DE6812" w:rsidRPr="005A076C">
        <w:t>t</w:t>
      </w:r>
      <w:r w:rsidR="00067A71" w:rsidRPr="005A076C">
        <w:t xml:space="preserve"> be included as part of the recoverable, ongoing costs as contemplated by the Application and the Act, or as part of any other rates and charges.</w:t>
      </w:r>
    </w:p>
    <w:p w:rsidR="007735BF" w:rsidRPr="005A076C" w:rsidRDefault="00737104" w:rsidP="00F40DBB">
      <w:pPr>
        <w:pStyle w:val="Heading1"/>
      </w:pPr>
      <w:bookmarkStart w:id="50" w:name="_Toc335401746"/>
      <w:r w:rsidRPr="005A076C">
        <w:lastRenderedPageBreak/>
        <w:t>I</w:t>
      </w:r>
      <w:r w:rsidR="008C05CE" w:rsidRPr="005A076C">
        <w:t>V.</w:t>
      </w:r>
      <w:r w:rsidR="007E75E9" w:rsidRPr="005A076C">
        <w:t xml:space="preserve"> </w:t>
      </w:r>
      <w:r w:rsidR="00F40DBB">
        <w:tab/>
      </w:r>
      <w:r w:rsidR="008C05CE" w:rsidRPr="005A076C">
        <w:t>DARR REVIEW AND PHASE-IN RECOVERY CHARGE ANALYSIS</w:t>
      </w:r>
      <w:bookmarkEnd w:id="50"/>
    </w:p>
    <w:p w:rsidR="00567FCB" w:rsidRPr="005A076C" w:rsidRDefault="008C05CE" w:rsidP="005A076C">
      <w:pPr>
        <w:pStyle w:val="Heading2"/>
      </w:pPr>
      <w:bookmarkStart w:id="51" w:name="_Toc335401747"/>
      <w:r w:rsidRPr="005A076C">
        <w:t>A.</w:t>
      </w:r>
      <w:r w:rsidRPr="005A076C">
        <w:tab/>
      </w:r>
      <w:r w:rsidR="007735BF" w:rsidRPr="005A076C">
        <w:t>Estimated Deferral Balances Subject To Securitization</w:t>
      </w:r>
      <w:bookmarkEnd w:id="51"/>
    </w:p>
    <w:p w:rsidR="00567FCB" w:rsidRPr="005A076C" w:rsidRDefault="00F40DBB" w:rsidP="00F40DBB">
      <w:pPr>
        <w:pStyle w:val="textstyle0"/>
      </w:pPr>
      <w:r>
        <w:tab/>
      </w:r>
      <w:r w:rsidR="00567FCB" w:rsidRPr="005A076C">
        <w:t>Staff reviewed and verified the deferred balances as of July 31, 2012, including carry</w:t>
      </w:r>
      <w:r w:rsidR="00DB6C5E">
        <w:softHyphen/>
      </w:r>
      <w:r w:rsidR="00567FCB" w:rsidRPr="005A076C">
        <w:t>ing charges, associated with the Deferred Asset Recovery Rider (DARR).  Addi</w:t>
      </w:r>
      <w:r w:rsidR="00DB6C5E">
        <w:softHyphen/>
      </w:r>
      <w:r w:rsidR="00567FCB" w:rsidRPr="005A076C">
        <w:t xml:space="preserve">tionally, </w:t>
      </w:r>
      <w:r w:rsidR="000E1763" w:rsidRPr="005A076C">
        <w:t>S</w:t>
      </w:r>
      <w:r w:rsidR="00567FCB" w:rsidRPr="005A076C">
        <w:t>taff verified the beginning principal balances and monthly activity to date through July 31, 2012 associated with the DARR.</w:t>
      </w:r>
    </w:p>
    <w:p w:rsidR="00567FCB" w:rsidRPr="005A076C" w:rsidRDefault="008C05CE" w:rsidP="005A076C">
      <w:pPr>
        <w:pStyle w:val="Heading2"/>
      </w:pPr>
      <w:bookmarkStart w:id="52" w:name="_Toc328131644"/>
      <w:bookmarkStart w:id="53" w:name="_Toc328136706"/>
      <w:bookmarkStart w:id="54" w:name="_Toc335401748"/>
      <w:r w:rsidRPr="005A076C">
        <w:t>B.</w:t>
      </w:r>
      <w:r w:rsidRPr="005A076C">
        <w:tab/>
      </w:r>
      <w:r w:rsidR="00567FCB" w:rsidRPr="005A076C">
        <w:t>Estimated Comparison of Existing Rate Making and Securitization</w:t>
      </w:r>
      <w:bookmarkEnd w:id="54"/>
    </w:p>
    <w:p w:rsidR="00567FCB" w:rsidRPr="005A076C" w:rsidRDefault="00F40DBB" w:rsidP="00F40DBB">
      <w:pPr>
        <w:pStyle w:val="textstyle0"/>
      </w:pPr>
      <w:r>
        <w:tab/>
      </w:r>
      <w:r w:rsidR="00567FCB" w:rsidRPr="005A076C">
        <w:t>The securitization structure as illustrated on Exhibit A of the application demon</w:t>
      </w:r>
      <w:r w:rsidR="00DB6C5E">
        <w:softHyphen/>
      </w:r>
      <w:r w:rsidR="00567FCB" w:rsidRPr="005A076C">
        <w:t>strates that the securitization will produce nominal and net present value savings for cus</w:t>
      </w:r>
      <w:r w:rsidR="00DB6C5E">
        <w:softHyphen/>
      </w:r>
      <w:r w:rsidR="00567FCB" w:rsidRPr="005A076C">
        <w:t>tomers as compared to the DARR and to OPCo's weighted average cost of capital</w:t>
      </w:r>
      <w:r w:rsidR="000C0842" w:rsidRPr="005A076C">
        <w:t xml:space="preserve">.  </w:t>
      </w:r>
      <w:r w:rsidR="00567FCB" w:rsidRPr="005A076C">
        <w:t xml:space="preserve">The proposal is expected to significantly reduce the carrying charges over the recovery period for the DARR resulting in customer savings through the issuance of the PIR Bonds (even after including applicable Financing Costs).  </w:t>
      </w:r>
    </w:p>
    <w:p w:rsidR="00567FCB" w:rsidRPr="005A076C" w:rsidRDefault="00F40DBB" w:rsidP="00F40DBB">
      <w:pPr>
        <w:pStyle w:val="textstyle0"/>
      </w:pPr>
      <w:r>
        <w:tab/>
      </w:r>
      <w:r w:rsidR="0058526F">
        <w:t>OPCo</w:t>
      </w:r>
      <w:r w:rsidR="00EF1FA3" w:rsidRPr="005A076C">
        <w:t xml:space="preserve"> has presented evidence through Exhibit A of the Application that the </w:t>
      </w:r>
      <w:r w:rsidR="008F1CD4" w:rsidRPr="005A076C">
        <w:t xml:space="preserve">issuance of PIR Bonds will, assuming a weighted average annual interest rate on the PIR Bonds of 1.28%, result in nominal value savings to OPCo’s customers of approximately $11.8 million when compared to the cost recovery mechanism previously approved by the Commission through the DARR.  The issuance will also result in a net present value savings of approximately $20.4 million when compared to the DARR.  </w:t>
      </w:r>
      <w:r w:rsidR="0058526F">
        <w:t>OPCo</w:t>
      </w:r>
      <w:r w:rsidR="008F1CD4" w:rsidRPr="005A076C">
        <w:t xml:space="preserve"> has further presented evidence through Exhibit A of the Application that customers will continue to r</w:t>
      </w:r>
      <w:r>
        <w:t xml:space="preserve">ealize savings on a net present </w:t>
      </w:r>
      <w:r w:rsidR="00567FCB" w:rsidRPr="005A076C">
        <w:t>value basis so long as the weighted average annual inter</w:t>
      </w:r>
      <w:r w:rsidR="00DB6C5E">
        <w:softHyphen/>
      </w:r>
      <w:r w:rsidR="00567FCB" w:rsidRPr="005A076C">
        <w:lastRenderedPageBreak/>
        <w:t xml:space="preserve">est rate on the </w:t>
      </w:r>
      <w:r w:rsidR="00742ECA" w:rsidRPr="005A076C">
        <w:t xml:space="preserve">PIR </w:t>
      </w:r>
      <w:r w:rsidR="00A02632" w:rsidRPr="005A076C">
        <w:t>Bonds does not exceed 3.32% and savings on a nominal basis so long as the weighted average annual interest rate does not exceed 2.32%</w:t>
      </w:r>
      <w:r w:rsidR="0058526F">
        <w:t>.</w:t>
      </w:r>
    </w:p>
    <w:p w:rsidR="00567FCB" w:rsidRPr="005A076C" w:rsidRDefault="00F40DBB" w:rsidP="00F40DBB">
      <w:pPr>
        <w:pStyle w:val="textstyle0"/>
      </w:pPr>
      <w:r>
        <w:tab/>
      </w:r>
      <w:r w:rsidR="00567FCB" w:rsidRPr="005A076C">
        <w:t>The Staff has reviewed Exhibit A of the Application, which compares the existing rate making structure with the securitization structure, and believes the rate development methodology is reasonable as long as the financing structure results in a reduction of amount payable by customers on both a nominal and a net present value basis as com</w:t>
      </w:r>
      <w:r w:rsidR="00DB6C5E">
        <w:softHyphen/>
      </w:r>
      <w:r w:rsidR="00567FCB" w:rsidRPr="005A076C">
        <w:t xml:space="preserve">pared with existing recovery mechanisms.  Due to the fact that the financing order must be reasonably expected to result in cost savings to customers and reasonably expected to mitigate rate impacts as compared with traditional financing or recovery methods, the Staff recommends </w:t>
      </w:r>
      <w:r w:rsidR="009671CE" w:rsidRPr="005A076C">
        <w:t xml:space="preserve">that OPCo should </w:t>
      </w:r>
      <w:r w:rsidR="00567FCB" w:rsidRPr="005A076C">
        <w:t>seek Commission approval after pricing of the bonds occurs should the up-front financing cost and/or the ongoing financing cost exceed the estimated cost as illustrated in Exhibit C of the Application by 5%</w:t>
      </w:r>
      <w:r w:rsidR="000C0842" w:rsidRPr="005A076C">
        <w:t xml:space="preserve">.  </w:t>
      </w:r>
      <w:r w:rsidR="00567FCB" w:rsidRPr="005A076C">
        <w:t>This recom</w:t>
      </w:r>
      <w:r w:rsidR="000B4EAE">
        <w:softHyphen/>
      </w:r>
      <w:r w:rsidR="00567FCB" w:rsidRPr="005A076C">
        <w:t>mendation is due to the fact that the financing costs could substantially impact the sav</w:t>
      </w:r>
      <w:r w:rsidR="00DB6C5E">
        <w:softHyphen/>
      </w:r>
      <w:r w:rsidR="00567FCB" w:rsidRPr="005A076C">
        <w:t>ings to customers should the actual cost vary significantly from the estimated cost.</w:t>
      </w:r>
    </w:p>
    <w:p w:rsidR="00567FCB" w:rsidRPr="005A076C" w:rsidRDefault="007735BF" w:rsidP="005A076C">
      <w:pPr>
        <w:pStyle w:val="Heading2"/>
      </w:pPr>
      <w:bookmarkStart w:id="55" w:name="_Toc335401749"/>
      <w:r w:rsidRPr="005A076C">
        <w:t>C.</w:t>
      </w:r>
      <w:r w:rsidRPr="005A076C">
        <w:tab/>
      </w:r>
      <w:r w:rsidR="00567FCB" w:rsidRPr="005A076C">
        <w:t xml:space="preserve">True-Up of </w:t>
      </w:r>
      <w:r w:rsidR="002C37C3">
        <w:t xml:space="preserve">the </w:t>
      </w:r>
      <w:r w:rsidR="00567FCB" w:rsidRPr="005A076C">
        <w:t>Phase-In-Recovery Charges Rider</w:t>
      </w:r>
      <w:bookmarkEnd w:id="55"/>
      <w:r w:rsidR="00567FCB" w:rsidRPr="005A076C">
        <w:t xml:space="preserve"> </w:t>
      </w:r>
    </w:p>
    <w:p w:rsidR="00567FCB" w:rsidRPr="005A076C" w:rsidRDefault="00F40DBB" w:rsidP="00F40DBB">
      <w:pPr>
        <w:pStyle w:val="textstyle0"/>
      </w:pPr>
      <w:r>
        <w:tab/>
      </w:r>
      <w:r w:rsidR="00117279" w:rsidRPr="005A076C">
        <w:t>OPCo</w:t>
      </w:r>
      <w:r w:rsidR="00567FCB" w:rsidRPr="005A076C">
        <w:t xml:space="preserve"> has proposed a formula-based mechanism for making expeditious periodic adjustments in the </w:t>
      </w:r>
      <w:r w:rsidR="00742ECA" w:rsidRPr="005A076C">
        <w:t xml:space="preserve">PIR </w:t>
      </w:r>
      <w:r w:rsidR="00567FCB" w:rsidRPr="005A076C">
        <w:t xml:space="preserve">Charges that customers would be required to pay under the Financing Order, as illustrated in Exhibit J. </w:t>
      </w:r>
    </w:p>
    <w:p w:rsidR="00567FCB" w:rsidRPr="005A076C" w:rsidRDefault="00F40DBB" w:rsidP="00F40DBB">
      <w:pPr>
        <w:pStyle w:val="textstyle0"/>
      </w:pPr>
      <w:r>
        <w:tab/>
      </w:r>
      <w:r w:rsidR="00567FCB" w:rsidRPr="005A076C">
        <w:t>Specifically</w:t>
      </w:r>
      <w:r w:rsidR="00117279" w:rsidRPr="005A076C">
        <w:t>,</w:t>
      </w:r>
      <w:r w:rsidR="00567FCB" w:rsidRPr="005A076C">
        <w:t xml:space="preserve"> </w:t>
      </w:r>
      <w:r w:rsidR="00117279" w:rsidRPr="005A076C">
        <w:t xml:space="preserve">OPCo </w:t>
      </w:r>
      <w:r w:rsidR="00567FCB" w:rsidRPr="005A076C">
        <w:t xml:space="preserve">has proposed that such adjustments, or true-up filings, must be made annually to correct for any undercollections or overcollections during the preceding period and to ensure that the </w:t>
      </w:r>
      <w:r w:rsidR="00742ECA" w:rsidRPr="005A076C">
        <w:t xml:space="preserve">PIR </w:t>
      </w:r>
      <w:r w:rsidR="00567FCB" w:rsidRPr="005A076C">
        <w:t xml:space="preserve">Charges continue to generate amounts sufficient to </w:t>
      </w:r>
      <w:r w:rsidR="00567FCB" w:rsidRPr="005A076C">
        <w:lastRenderedPageBreak/>
        <w:t xml:space="preserve">timely pay all scheduled payments of principal and interest and any other amounts due in connection with the </w:t>
      </w:r>
      <w:r w:rsidR="00742ECA" w:rsidRPr="005A076C">
        <w:t xml:space="preserve">PIR </w:t>
      </w:r>
      <w:r w:rsidR="00567FCB" w:rsidRPr="005A076C">
        <w:t xml:space="preserve">Bonds for the twelve-month period following the true-up adjustment, with the first such adjustment to be made within forty-five days of the first anniversary of the issuance date for the bonds. </w:t>
      </w:r>
    </w:p>
    <w:p w:rsidR="00567FCB" w:rsidRPr="005A076C" w:rsidRDefault="00F40DBB" w:rsidP="00F40DBB">
      <w:pPr>
        <w:pStyle w:val="textstyle0"/>
      </w:pPr>
      <w:r>
        <w:tab/>
      </w:r>
      <w:r w:rsidR="00567FCB" w:rsidRPr="005A076C">
        <w:t xml:space="preserve">Additionally, </w:t>
      </w:r>
      <w:r w:rsidR="00117279" w:rsidRPr="005A076C">
        <w:t xml:space="preserve">OPCo </w:t>
      </w:r>
      <w:r w:rsidR="00567FCB" w:rsidRPr="005A076C">
        <w:t xml:space="preserve">has proposed that the servicer (which will likely be OPCo) shall make a mandatory interim true-up filing semi-annually (quarterly after the last scheduled maturity date of any </w:t>
      </w:r>
      <w:r w:rsidR="00742ECA" w:rsidRPr="005A076C">
        <w:t xml:space="preserve">PIR </w:t>
      </w:r>
      <w:r w:rsidR="00567FCB" w:rsidRPr="005A076C">
        <w:t xml:space="preserve">Bonds) if (a) the servicer forecasts that the </w:t>
      </w:r>
      <w:r w:rsidR="00742ECA" w:rsidRPr="005A076C">
        <w:t xml:space="preserve">PIR </w:t>
      </w:r>
      <w:r w:rsidR="00567FCB" w:rsidRPr="005A076C">
        <w:t xml:space="preserve">Revenues will be insufficient to make all scheduled payments of principal, interest, and other ongoing Financing Costs bonds on a timely basis during the current or next succeeding payment period; provided, that in the case of any quarterly true-up adjustment following the last scheduled maturity date of any </w:t>
      </w:r>
      <w:r w:rsidR="000119C2" w:rsidRPr="005A076C">
        <w:t xml:space="preserve">PIR </w:t>
      </w:r>
      <w:r w:rsidR="00567FCB" w:rsidRPr="005A076C">
        <w:t xml:space="preserve">Bonds, the true-up adjustment will be calculated to ensure that </w:t>
      </w:r>
      <w:r w:rsidR="000119C2" w:rsidRPr="005A076C">
        <w:t xml:space="preserve">PIR </w:t>
      </w:r>
      <w:r w:rsidR="00567FCB" w:rsidRPr="005A076C">
        <w:t xml:space="preserve">Charges are sufficient to pay such </w:t>
      </w:r>
      <w:r w:rsidR="000119C2" w:rsidRPr="005A076C">
        <w:t xml:space="preserve">PIR </w:t>
      </w:r>
      <w:r w:rsidR="00567FCB" w:rsidRPr="005A076C">
        <w:t>Bonds in full on the next suc</w:t>
      </w:r>
      <w:r w:rsidR="00DB6C5E">
        <w:softHyphen/>
      </w:r>
      <w:r w:rsidR="00567FCB" w:rsidRPr="005A076C">
        <w:t>ceeding payment date; and/or (b) such adjustments are needed to replenish any draws upon the capital subaccount. In no event will mandatory interim true-up adjustments occur more frequently than every six months if semi-annual phase-in-recovery bond payments are required or every three months if quarterly phase-in recovery bond pay</w:t>
      </w:r>
      <w:r w:rsidR="00DB6C5E">
        <w:softHyphen/>
      </w:r>
      <w:r w:rsidR="00567FCB" w:rsidRPr="005A076C">
        <w:t>ments are required</w:t>
      </w:r>
      <w:r w:rsidR="000C0842" w:rsidRPr="005A076C">
        <w:t xml:space="preserve">.  </w:t>
      </w:r>
      <w:r w:rsidR="00567FCB" w:rsidRPr="005A076C">
        <w:t>In addition to mandatory annual and semi-annual (and quarterly after the last scheduled maturity date of the phase-in recovery bonds) true up filings, the Servicer will be permitted to submit a true-up filing more frequently if the servicer determines that such true-up filing is necessary to ensure the expected recovery of amounts sufficient to pay scheduled principal and interest on the Phase-In Recovery Bonds and other ongoing financing costs on a timely basis.</w:t>
      </w:r>
    </w:p>
    <w:p w:rsidR="00567FCB" w:rsidRPr="005A076C" w:rsidRDefault="00F40DBB" w:rsidP="00F40DBB">
      <w:pPr>
        <w:pStyle w:val="textstyle0"/>
      </w:pPr>
      <w:r>
        <w:lastRenderedPageBreak/>
        <w:tab/>
      </w:r>
      <w:r w:rsidR="00591093" w:rsidRPr="005A076C">
        <w:t>OPCo</w:t>
      </w:r>
      <w:r w:rsidR="00567FCB" w:rsidRPr="005A076C">
        <w:t>’s proposed true-up adjustment will take into account and be designed to elimi</w:t>
      </w:r>
      <w:r w:rsidR="00DB6C5E">
        <w:softHyphen/>
      </w:r>
      <w:r w:rsidR="00567FCB" w:rsidRPr="005A076C">
        <w:t xml:space="preserve">nate cumulative historical, and any projected, differences between the scheduled periodic payment for the given period and the amount of </w:t>
      </w:r>
      <w:r w:rsidR="000119C2" w:rsidRPr="005A076C">
        <w:t xml:space="preserve">PIR </w:t>
      </w:r>
      <w:r w:rsidR="00567FCB" w:rsidRPr="005A076C">
        <w:t>Charges remitted to the Indenture Trustee</w:t>
      </w:r>
      <w:r w:rsidR="000C0842" w:rsidRPr="005A076C">
        <w:t xml:space="preserve">.  </w:t>
      </w:r>
      <w:r w:rsidR="00567FCB" w:rsidRPr="005A076C">
        <w:t xml:space="preserve">The </w:t>
      </w:r>
      <w:r w:rsidR="000119C2" w:rsidRPr="005A076C">
        <w:t xml:space="preserve">PIR </w:t>
      </w:r>
      <w:r w:rsidR="00567FCB" w:rsidRPr="005A076C">
        <w:t>Charge will be expressed as a percentage of base distribution charges, and will be calculated based upon OPCo's most recent forecast of base distribution charge revenues for all customers, as well as OPCo's most recent estimates of ongoing financing costs.</w:t>
      </w:r>
    </w:p>
    <w:p w:rsidR="00567FCB" w:rsidRPr="005A076C" w:rsidRDefault="00F40DBB" w:rsidP="00F40DBB">
      <w:pPr>
        <w:pStyle w:val="textstyle0"/>
      </w:pPr>
      <w:r>
        <w:tab/>
      </w:r>
      <w:r w:rsidR="00567FCB" w:rsidRPr="005A076C">
        <w:t xml:space="preserve">Furthermore, </w:t>
      </w:r>
      <w:r w:rsidR="00D25E9E" w:rsidRPr="005A076C">
        <w:t xml:space="preserve">OPCo </w:t>
      </w:r>
      <w:r w:rsidR="00567FCB" w:rsidRPr="005A076C">
        <w:t xml:space="preserve">proposed that each true-up adjustment filing request will set forth the servicer's calculation of the true-up adjustment to the </w:t>
      </w:r>
      <w:r w:rsidR="000119C2" w:rsidRPr="005A076C">
        <w:t xml:space="preserve">PIR </w:t>
      </w:r>
      <w:r w:rsidR="00567FCB" w:rsidRPr="005A076C">
        <w:t>Charges</w:t>
      </w:r>
      <w:r w:rsidR="000C0842" w:rsidRPr="005A076C">
        <w:t xml:space="preserve">.  </w:t>
      </w:r>
      <w:r w:rsidR="00567FCB" w:rsidRPr="005A076C">
        <w:t>The Com</w:t>
      </w:r>
      <w:r w:rsidR="00DB6C5E">
        <w:softHyphen/>
      </w:r>
      <w:r w:rsidR="00567FCB" w:rsidRPr="005A076C">
        <w:t>mission will have fifteen (15) days after the date of a true-up adjustment request filing in which to confirm the mathematical accuracy of the servicer's adjustment</w:t>
      </w:r>
      <w:r w:rsidR="000C0842" w:rsidRPr="005A076C">
        <w:t xml:space="preserve">.  </w:t>
      </w:r>
      <w:r w:rsidR="00567FCB" w:rsidRPr="005A076C">
        <w:t>Any necessary corrections to the true-up adjustment, because of mathematical errors in the calculation of such adjustment, will be made in a future true-up adjustment filing.</w:t>
      </w:r>
    </w:p>
    <w:p w:rsidR="00567FCB" w:rsidRPr="005A076C" w:rsidRDefault="00F40DBB" w:rsidP="00F40DBB">
      <w:pPr>
        <w:pStyle w:val="textstyle0"/>
      </w:pPr>
      <w:r>
        <w:tab/>
      </w:r>
      <w:r w:rsidR="00567FCB" w:rsidRPr="005A076C">
        <w:t xml:space="preserve">The Staff believes the true-up mechanism methodology for the </w:t>
      </w:r>
      <w:r w:rsidR="000119C2" w:rsidRPr="005A076C">
        <w:t xml:space="preserve">PIR </w:t>
      </w:r>
      <w:r w:rsidR="00567FCB" w:rsidRPr="005A076C">
        <w:t>Charges Rider, as illustrated in Exhibit J, of the Application is reasonable.  However, the Staff does not support the proposal that would require the Commission to review and approve the true-up adjustment within a fifteen (15) day period.  The Staff proposes that the Commission would set a procedural schedule for each true-up adjustment in order for new rates to become effective.</w:t>
      </w:r>
    </w:p>
    <w:p w:rsidR="00FF5711" w:rsidRPr="005A076C" w:rsidRDefault="008C05CE" w:rsidP="00705216">
      <w:pPr>
        <w:pStyle w:val="Heading1"/>
      </w:pPr>
      <w:bookmarkStart w:id="56" w:name="_Toc328136710"/>
      <w:bookmarkStart w:id="57" w:name="_Toc335401750"/>
      <w:bookmarkEnd w:id="52"/>
      <w:bookmarkEnd w:id="53"/>
      <w:r w:rsidRPr="005A076C">
        <w:lastRenderedPageBreak/>
        <w:t>V.</w:t>
      </w:r>
      <w:r w:rsidRPr="005A076C">
        <w:tab/>
      </w:r>
      <w:r w:rsidR="00322F45" w:rsidRPr="005A076C">
        <w:t>RATES AND TARIFFS REVIEW</w:t>
      </w:r>
      <w:bookmarkEnd w:id="56"/>
      <w:bookmarkEnd w:id="57"/>
    </w:p>
    <w:p w:rsidR="00772174" w:rsidRPr="005A076C" w:rsidRDefault="00F40DBB" w:rsidP="00F40DBB">
      <w:pPr>
        <w:pStyle w:val="textstyle0"/>
      </w:pPr>
      <w:r>
        <w:tab/>
      </w:r>
      <w:r w:rsidR="00AC489D" w:rsidRPr="005A076C">
        <w:t>OPCo</w:t>
      </w:r>
      <w:r w:rsidR="00772174" w:rsidRPr="005A076C">
        <w:t xml:space="preserve"> proposes to establish a new rider, Deferred Asset Phase-In Rider, to recover</w:t>
      </w:r>
      <w:r w:rsidR="00447406" w:rsidRPr="005A076C">
        <w:t xml:space="preserve"> </w:t>
      </w:r>
      <w:r w:rsidR="00772174" w:rsidRPr="005A076C">
        <w:t>securitized costs associated with the current Deferred Asset Recovery Rider (DARR)</w:t>
      </w:r>
      <w:r w:rsidR="000C0842" w:rsidRPr="005A076C">
        <w:t xml:space="preserve">.  </w:t>
      </w:r>
      <w:r w:rsidR="00772174" w:rsidRPr="005A076C">
        <w:t xml:space="preserve">The DARR was authorized in the </w:t>
      </w:r>
      <w:r w:rsidR="00AC489D" w:rsidRPr="005A076C">
        <w:t>OPCo</w:t>
      </w:r>
      <w:r w:rsidR="00772174" w:rsidRPr="005A076C">
        <w:t xml:space="preserve">’s most recent distribution rate case, and the DARR rates for the Ohio Power and Columbus Southern Power Rate Zones are identical at 8.5012% of base distribution charges.  </w:t>
      </w:r>
      <w:r w:rsidR="00AC489D" w:rsidRPr="005A076C">
        <w:t xml:space="preserve">OPCo </w:t>
      </w:r>
      <w:r w:rsidR="00772174" w:rsidRPr="005A076C">
        <w:t>proposes to maintain the current rate design by establishing a rate, set as a percentage of base distribution charges.  Once the Deferred Asset Phase-In Rider is approved and effective, the DARR would be with</w:t>
      </w:r>
      <w:r w:rsidR="00DB6C5E">
        <w:softHyphen/>
      </w:r>
      <w:r w:rsidR="00772174" w:rsidRPr="005A076C">
        <w:t>drawn.</w:t>
      </w:r>
    </w:p>
    <w:p w:rsidR="00772174" w:rsidRPr="005A076C" w:rsidRDefault="00F40DBB" w:rsidP="00F40DBB">
      <w:pPr>
        <w:pStyle w:val="textstyle0"/>
      </w:pPr>
      <w:r>
        <w:tab/>
      </w:r>
      <w:r w:rsidR="00AC489D" w:rsidRPr="005A076C">
        <w:t xml:space="preserve">OPCo </w:t>
      </w:r>
      <w:r w:rsidR="00772174" w:rsidRPr="005A076C">
        <w:t xml:space="preserve">proposes to develop a revenue requirement for its Deferred Asset Phase-In Rider based on the on-going securitization costs of its unregulated subsidiary Special Purpose Entity.  The Deferred Asset Phase-In Rider would then be arrived at by dividing the securitization revenue requirement by </w:t>
      </w:r>
      <w:r w:rsidR="00572F7E" w:rsidRPr="005A076C">
        <w:t>OPCo</w:t>
      </w:r>
      <w:r w:rsidR="00772174" w:rsidRPr="005A076C">
        <w:t>’s most recent forecast of base distribu</w:t>
      </w:r>
      <w:r w:rsidR="00DB6C5E">
        <w:softHyphen/>
      </w:r>
      <w:r w:rsidR="00772174" w:rsidRPr="005A076C">
        <w:t>tion charge revenues for all customers</w:t>
      </w:r>
      <w:r w:rsidR="000C0842" w:rsidRPr="005A076C">
        <w:t xml:space="preserve">.  </w:t>
      </w:r>
      <w:r w:rsidR="00772174" w:rsidRPr="005A076C">
        <w:t>The resulting percentage would be applied uni</w:t>
      </w:r>
      <w:r w:rsidR="00DB6C5E">
        <w:softHyphen/>
      </w:r>
      <w:r w:rsidR="00772174" w:rsidRPr="005A076C">
        <w:t xml:space="preserve">formly across all rate schedules.  Once approved, these rates would appear in the tariff of the regulated utility.  These rates would be in effect until the next annual update unless it appears revenues will be insufficient to service the phase-in recovery bonds, in which case more frequent updates would be permitted.  When preparing updates, </w:t>
      </w:r>
      <w:r w:rsidR="00572F7E" w:rsidRPr="005A076C">
        <w:t>OPCo</w:t>
      </w:r>
      <w:r w:rsidR="00447406" w:rsidRPr="005A076C">
        <w:t xml:space="preserve"> </w:t>
      </w:r>
      <w:r w:rsidR="00772174" w:rsidRPr="005A076C">
        <w:t>pro</w:t>
      </w:r>
      <w:r w:rsidR="00DB6C5E">
        <w:softHyphen/>
      </w:r>
      <w:r w:rsidR="00772174" w:rsidRPr="005A076C">
        <w:t>poses to calculate rates for both the subsequent six-month and twelve-month periods, and use the higher of the two calculated rates for determining its tariffed rate.  Staff believes the Deferred Asset Phase-In Rider rate, for which annual updates are planned, should be based on data covering twelve months.  Using the higher of the six and twelve month cal</w:t>
      </w:r>
      <w:r w:rsidR="00DB6C5E">
        <w:softHyphen/>
      </w:r>
      <w:r w:rsidR="00772174" w:rsidRPr="005A076C">
        <w:lastRenderedPageBreak/>
        <w:t>culations would likely yield an excess collection.  If a shortfall in collections ensues using the twelve-month based rate, the applicant would be able to file an interim adjust</w:t>
      </w:r>
      <w:r w:rsidR="00DB6C5E">
        <w:softHyphen/>
      </w:r>
      <w:r w:rsidR="00772174" w:rsidRPr="005A076C">
        <w:t>ment.</w:t>
      </w:r>
    </w:p>
    <w:p w:rsidR="00772174" w:rsidRPr="005A076C" w:rsidRDefault="00F40DBB" w:rsidP="00F40DBB">
      <w:pPr>
        <w:pStyle w:val="textstyle0"/>
      </w:pPr>
      <w:r>
        <w:tab/>
      </w:r>
      <w:r w:rsidR="00772174" w:rsidRPr="005A076C">
        <w:t>With the exception of recommendation regarding the adjustment mechanism men</w:t>
      </w:r>
      <w:r w:rsidR="00DB6C5E">
        <w:softHyphen/>
      </w:r>
      <w:r w:rsidR="008652E4">
        <w:t xml:space="preserve">tioned above, </w:t>
      </w:r>
      <w:r w:rsidR="00772174" w:rsidRPr="005A076C">
        <w:t>Staff believes the Deferred Asset Phase-In Rider rate development meth</w:t>
      </w:r>
      <w:r w:rsidR="00DB6C5E">
        <w:softHyphen/>
      </w:r>
      <w:r w:rsidR="00772174" w:rsidRPr="005A076C">
        <w:t>odology, as illustrated in Exhibit E, is reasonable</w:t>
      </w:r>
      <w:r w:rsidR="000C0842" w:rsidRPr="005A076C">
        <w:t xml:space="preserve">.  </w:t>
      </w:r>
      <w:r w:rsidR="00772174" w:rsidRPr="005A076C">
        <w:t>It maintains the current authorized rate design, with no shifts in revenue responsibility, while capturing the savings attributable to the securitization process.</w:t>
      </w:r>
    </w:p>
    <w:p w:rsidR="00F91A7F" w:rsidRPr="005A076C" w:rsidRDefault="00F91A7F" w:rsidP="00F91A7F">
      <w:pPr>
        <w:pStyle w:val="Heading1"/>
      </w:pPr>
      <w:bookmarkStart w:id="58" w:name="_Toc335401751"/>
      <w:r w:rsidRPr="005A076C">
        <w:t xml:space="preserve">VI. </w:t>
      </w:r>
      <w:r w:rsidR="0058526F">
        <w:tab/>
        <w:t>BILL FORMAT REVIEW</w:t>
      </w:r>
      <w:bookmarkEnd w:id="58"/>
    </w:p>
    <w:p w:rsidR="00F91A7F" w:rsidRPr="005A076C" w:rsidRDefault="00F40DBB" w:rsidP="00F40DBB">
      <w:pPr>
        <w:pStyle w:val="textstyle0"/>
      </w:pPr>
      <w:r>
        <w:tab/>
      </w:r>
      <w:r w:rsidR="00F91A7F" w:rsidRPr="005A076C">
        <w:t xml:space="preserve">OPCo seeks approval of a bill message that states, </w:t>
      </w:r>
    </w:p>
    <w:p w:rsidR="00F91A7F" w:rsidRPr="005A076C" w:rsidRDefault="00F91A7F" w:rsidP="00F91A7F">
      <w:pPr>
        <w:ind w:left="360"/>
        <w:rPr>
          <w:sz w:val="24"/>
        </w:rPr>
      </w:pPr>
    </w:p>
    <w:p w:rsidR="00F91A7F" w:rsidRPr="005A076C" w:rsidRDefault="00F91A7F" w:rsidP="00F40DBB">
      <w:pPr>
        <w:pStyle w:val="Blockquote"/>
      </w:pPr>
      <w:r w:rsidRPr="005A076C">
        <w:t>In Case No. 12-1969-EL-ATS the Commission approved recovery of previously incurred cost, including PUCO-approved Phase-In-Recovery Charges, Ohio Power Company collects from all customers on behalf of its subsidiary, Ohio Power Phase-In recovery Bonds I, which owns the right to i</w:t>
      </w:r>
      <w:r w:rsidR="00F40DBB">
        <w:t>mpose and collect such charges.</w:t>
      </w:r>
      <w:r w:rsidRPr="005A076C">
        <w:t xml:space="preserve">  </w:t>
      </w:r>
    </w:p>
    <w:p w:rsidR="00F91A7F" w:rsidRPr="005A076C" w:rsidRDefault="00F91A7F" w:rsidP="00F40DBB">
      <w:pPr>
        <w:pStyle w:val="textstyle0"/>
      </w:pPr>
      <w:r w:rsidRPr="005A076C">
        <w:t xml:space="preserve">OPCo states in its application that such notation is important to preserve the </w:t>
      </w:r>
      <w:r w:rsidR="000C0842">
        <w:t>“</w:t>
      </w:r>
      <w:r w:rsidRPr="005A076C">
        <w:t>bankruptcy remote</w:t>
      </w:r>
      <w:r w:rsidR="000C0842">
        <w:t>”</w:t>
      </w:r>
      <w:r w:rsidRPr="005A076C">
        <w:t xml:space="preserve"> nature of the securitization by respecting the legal ownership of the Phase-In-Recovery Property (Application at 14).Ohio </w:t>
      </w:r>
      <w:r w:rsidR="0058526F">
        <w:t>Revised Code Section</w:t>
      </w:r>
      <w:r w:rsidRPr="005A076C">
        <w:t xml:space="preserve"> 4928.239</w:t>
      </w:r>
      <w:r w:rsidR="0058526F">
        <w:t>(C)</w:t>
      </w:r>
      <w:r w:rsidRPr="005A076C">
        <w:t xml:space="preserve"> states the following: </w:t>
      </w:r>
    </w:p>
    <w:p w:rsidR="00F91A7F" w:rsidRPr="005A076C" w:rsidRDefault="00F91A7F" w:rsidP="00F40DBB">
      <w:pPr>
        <w:pStyle w:val="Blockquote"/>
      </w:pPr>
      <w:r w:rsidRPr="005A076C">
        <w:t>The phase-in-recovery charges shall be collected by the elec</w:t>
      </w:r>
      <w:r w:rsidR="00DB6C5E">
        <w:softHyphen/>
      </w:r>
      <w:r w:rsidRPr="005A076C">
        <w:t>tric distribution utility or the electric distribution utility’s suc</w:t>
      </w:r>
      <w:r w:rsidR="00DB6C5E">
        <w:softHyphen/>
      </w:r>
      <w:r w:rsidRPr="005A076C">
        <w:t>cessors or assignees, or a collection agent, in full through a charge that is separate and apart from the electric dis</w:t>
      </w:r>
      <w:r w:rsidR="00F40DBB">
        <w:t>tribution utility’s base rates.</w:t>
      </w:r>
    </w:p>
    <w:p w:rsidR="00F91A7F" w:rsidRPr="005A076C" w:rsidRDefault="00F40DBB" w:rsidP="00F40DBB">
      <w:pPr>
        <w:pStyle w:val="textstyle0"/>
      </w:pPr>
      <w:r>
        <w:lastRenderedPageBreak/>
        <w:tab/>
      </w:r>
      <w:r w:rsidR="00F91A7F" w:rsidRPr="005A076C">
        <w:t xml:space="preserve">Staff recommends that the Commission require that OPCo include a separate line item to </w:t>
      </w:r>
      <w:r w:rsidR="000C0842" w:rsidRPr="005A076C">
        <w:t>identify</w:t>
      </w:r>
      <w:r w:rsidR="00F91A7F" w:rsidRPr="005A076C">
        <w:t xml:space="preserve"> the Deferred Asset Phase-In Rider on the bill</w:t>
      </w:r>
      <w:r w:rsidR="000C0842" w:rsidRPr="005A076C">
        <w:t xml:space="preserve">.  </w:t>
      </w:r>
      <w:r w:rsidR="00F91A7F" w:rsidRPr="005A076C">
        <w:t>Although the proposed Phase-in-recovery charge is a separate tariff charge from the base rates, Staff believes that it should also be identified separately from the utility’s base rates on the bill.</w:t>
      </w:r>
    </w:p>
    <w:p w:rsidR="00F40DBB" w:rsidRDefault="00F40DBB" w:rsidP="00F40DBB">
      <w:pPr>
        <w:pStyle w:val="textstyle0"/>
      </w:pPr>
      <w:r>
        <w:tab/>
      </w:r>
      <w:r w:rsidR="00F91A7F" w:rsidRPr="005A076C">
        <w:t>Staff also recommends that the Commission require the proposed bill message be incor</w:t>
      </w:r>
      <w:r w:rsidR="00DB6C5E">
        <w:softHyphen/>
      </w:r>
      <w:r w:rsidR="00F91A7F" w:rsidRPr="005A076C">
        <w:t>porated into the definition section of the bill and revise its language to read as fol</w:t>
      </w:r>
      <w:r w:rsidR="00DB6C5E">
        <w:softHyphen/>
      </w:r>
      <w:r w:rsidR="00F91A7F" w:rsidRPr="005A076C">
        <w:t xml:space="preserve">lows: </w:t>
      </w:r>
    </w:p>
    <w:p w:rsidR="00F91A7F" w:rsidRPr="005A076C" w:rsidRDefault="00F91A7F" w:rsidP="00F40DBB">
      <w:pPr>
        <w:pStyle w:val="Blockquote"/>
      </w:pPr>
      <w:r w:rsidRPr="005A076C">
        <w:t>The Deferred Asset Phase-in Rider collects previously incurred cost from all customers of Ohio Power on behalf of its subsidiary, Ohio Power Phase-In Recovery Bond I, which owns the right to impose and collect such charges.</w:t>
      </w:r>
    </w:p>
    <w:p w:rsidR="00FF5711" w:rsidRPr="005A076C" w:rsidRDefault="00F40DBB" w:rsidP="00705216">
      <w:pPr>
        <w:pStyle w:val="Heading1"/>
      </w:pPr>
      <w:bookmarkStart w:id="59" w:name="_Toc328136711"/>
      <w:bookmarkStart w:id="60" w:name="_Toc335401752"/>
      <w:r>
        <w:t>VII</w:t>
      </w:r>
      <w:r w:rsidR="00447406" w:rsidRPr="005A076C">
        <w:t>.</w:t>
      </w:r>
      <w:r w:rsidR="00F30925" w:rsidRPr="005A076C">
        <w:t xml:space="preserve"> </w:t>
      </w:r>
      <w:r>
        <w:tab/>
      </w:r>
      <w:r w:rsidR="00AA29B6" w:rsidRPr="005A076C">
        <w:t>SUMMARY OF STAFF COMMENTS AND RECOMMENDATIONS</w:t>
      </w:r>
      <w:bookmarkEnd w:id="59"/>
      <w:bookmarkEnd w:id="60"/>
    </w:p>
    <w:p w:rsidR="00FF5711" w:rsidRPr="005A076C" w:rsidRDefault="00F40DBB" w:rsidP="005A076C">
      <w:pPr>
        <w:pStyle w:val="textstyle0"/>
      </w:pPr>
      <w:r>
        <w:tab/>
      </w:r>
      <w:r w:rsidR="00FF5711" w:rsidRPr="005A076C">
        <w:t>The Compan</w:t>
      </w:r>
      <w:r w:rsidR="00516D98" w:rsidRPr="005A076C">
        <w:t>y</w:t>
      </w:r>
      <w:r w:rsidR="00FF5711" w:rsidRPr="005A076C">
        <w:t xml:space="preserve"> ha</w:t>
      </w:r>
      <w:r w:rsidR="00516D98" w:rsidRPr="005A076C">
        <w:t>s</w:t>
      </w:r>
      <w:r w:rsidR="00FF5711" w:rsidRPr="005A076C">
        <w:t xml:space="preserve"> demonstrated that the proposed securitization will benefit custom</w:t>
      </w:r>
      <w:r w:rsidR="00DB6C5E">
        <w:softHyphen/>
      </w:r>
      <w:r w:rsidR="00FF5711" w:rsidRPr="005A076C">
        <w:t>ers by providing cost savings and rate mitigation.  The Staff recommends that the Com</w:t>
      </w:r>
      <w:r w:rsidR="00DB6C5E">
        <w:softHyphen/>
      </w:r>
      <w:r w:rsidR="00FF5711" w:rsidRPr="005A076C">
        <w:t>mission approve the Compan</w:t>
      </w:r>
      <w:r w:rsidR="007649CA" w:rsidRPr="005A076C">
        <w:t>y’</w:t>
      </w:r>
      <w:r w:rsidR="00FF5711" w:rsidRPr="005A076C">
        <w:t>s proposed securitization, incorporating the Staff recom</w:t>
      </w:r>
      <w:r w:rsidR="00DB6C5E">
        <w:softHyphen/>
      </w:r>
      <w:r w:rsidR="00FF5711" w:rsidRPr="005A076C">
        <w:t>mendations listed herein, and issue a Financing Order for the following:</w:t>
      </w:r>
    </w:p>
    <w:p w:rsidR="00FF5711" w:rsidRPr="00F40DBB" w:rsidRDefault="00CA4C94" w:rsidP="00F40DBB">
      <w:pPr>
        <w:pStyle w:val="ListParagraph"/>
        <w:numPr>
          <w:ilvl w:val="0"/>
          <w:numId w:val="4"/>
        </w:numPr>
        <w:tabs>
          <w:tab w:val="left" w:pos="1530"/>
        </w:tabs>
        <w:autoSpaceDE w:val="0"/>
        <w:autoSpaceDN w:val="0"/>
        <w:adjustRightInd w:val="0"/>
        <w:spacing w:after="240"/>
        <w:ind w:left="1440" w:hanging="720"/>
        <w:contextualSpacing w:val="0"/>
        <w:jc w:val="both"/>
        <w:rPr>
          <w:rFonts w:ascii="Times New Roman" w:hAnsi="Times New Roman"/>
          <w:sz w:val="26"/>
          <w:szCs w:val="26"/>
        </w:rPr>
      </w:pPr>
      <w:r>
        <w:rPr>
          <w:rFonts w:ascii="Times New Roman" w:hAnsi="Times New Roman"/>
          <w:sz w:val="26"/>
          <w:szCs w:val="26"/>
        </w:rPr>
        <w:t>c</w:t>
      </w:r>
      <w:r w:rsidR="00FF5711" w:rsidRPr="00F40DBB">
        <w:rPr>
          <w:rFonts w:ascii="Times New Roman" w:hAnsi="Times New Roman"/>
          <w:sz w:val="26"/>
          <w:szCs w:val="26"/>
        </w:rPr>
        <w:t>onsummation of the transactions contemplated by the issuance of PIR Bonds, the securitization transaction providing for the recovery of PIR Costs and Financing Costs, through the issuance of up to an aggregate amount of $</w:t>
      </w:r>
      <w:r w:rsidR="00516D98" w:rsidRPr="00F40DBB">
        <w:rPr>
          <w:rFonts w:ascii="Times New Roman" w:hAnsi="Times New Roman"/>
          <w:sz w:val="26"/>
          <w:szCs w:val="26"/>
        </w:rPr>
        <w:t>320</w:t>
      </w:r>
      <w:r w:rsidR="00FF5711" w:rsidRPr="00F40DBB">
        <w:rPr>
          <w:rFonts w:ascii="Times New Roman" w:hAnsi="Times New Roman"/>
          <w:sz w:val="26"/>
          <w:szCs w:val="26"/>
        </w:rPr>
        <w:t xml:space="preserve"> million of PIR Bonds payable from collections from PIR Charges; </w:t>
      </w:r>
    </w:p>
    <w:p w:rsidR="009D676D" w:rsidRPr="00F40DBB" w:rsidRDefault="00CA4C94" w:rsidP="00F40DBB">
      <w:pPr>
        <w:pStyle w:val="NoSpacing"/>
        <w:numPr>
          <w:ilvl w:val="0"/>
          <w:numId w:val="4"/>
        </w:numPr>
        <w:tabs>
          <w:tab w:val="left" w:pos="1530"/>
        </w:tabs>
        <w:spacing w:line="276" w:lineRule="auto"/>
        <w:ind w:left="1440" w:hanging="720"/>
        <w:jc w:val="both"/>
        <w:rPr>
          <w:rFonts w:ascii="Times New Roman" w:hAnsi="Times New Roman"/>
          <w:sz w:val="26"/>
          <w:szCs w:val="26"/>
        </w:rPr>
      </w:pPr>
      <w:r>
        <w:rPr>
          <w:rFonts w:ascii="Times New Roman" w:hAnsi="Times New Roman"/>
          <w:sz w:val="26"/>
          <w:szCs w:val="26"/>
        </w:rPr>
        <w:t>a</w:t>
      </w:r>
      <w:r w:rsidR="009D676D" w:rsidRPr="00F40DBB">
        <w:rPr>
          <w:rFonts w:ascii="Times New Roman" w:hAnsi="Times New Roman"/>
          <w:sz w:val="26"/>
          <w:szCs w:val="26"/>
        </w:rPr>
        <w:t>pprove OPCo's proposed sec</w:t>
      </w:r>
      <w:r w:rsidR="00285560" w:rsidRPr="00F40DBB">
        <w:rPr>
          <w:rFonts w:ascii="Times New Roman" w:hAnsi="Times New Roman"/>
          <w:sz w:val="26"/>
          <w:szCs w:val="26"/>
        </w:rPr>
        <w:t>uritization and related matters.</w:t>
      </w:r>
    </w:p>
    <w:p w:rsidR="009D676D" w:rsidRPr="00F40DBB" w:rsidRDefault="009D676D" w:rsidP="00F40DBB">
      <w:pPr>
        <w:pStyle w:val="NoSpacing"/>
        <w:tabs>
          <w:tab w:val="left" w:pos="1530"/>
        </w:tabs>
        <w:spacing w:line="276" w:lineRule="auto"/>
        <w:ind w:left="1440" w:hanging="720"/>
        <w:jc w:val="both"/>
        <w:rPr>
          <w:rFonts w:ascii="Times New Roman" w:hAnsi="Times New Roman"/>
          <w:color w:val="FF0000"/>
          <w:sz w:val="26"/>
          <w:szCs w:val="26"/>
        </w:rPr>
      </w:pPr>
    </w:p>
    <w:p w:rsidR="009D676D" w:rsidRPr="00F40DBB" w:rsidRDefault="009D676D" w:rsidP="00F40DBB">
      <w:pPr>
        <w:pStyle w:val="NoSpacing"/>
        <w:numPr>
          <w:ilvl w:val="0"/>
          <w:numId w:val="16"/>
        </w:numPr>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t xml:space="preserve">the recovery of Phase-In Costs and </w:t>
      </w:r>
      <w:r w:rsidR="00CA4C94">
        <w:rPr>
          <w:rFonts w:ascii="Times New Roman" w:hAnsi="Times New Roman"/>
          <w:sz w:val="26"/>
          <w:szCs w:val="26"/>
        </w:rPr>
        <w:t>U</w:t>
      </w:r>
      <w:r w:rsidRPr="00F40DBB">
        <w:rPr>
          <w:rFonts w:ascii="Times New Roman" w:hAnsi="Times New Roman"/>
          <w:sz w:val="26"/>
          <w:szCs w:val="26"/>
        </w:rPr>
        <w:t>pfront Financing Costs, through the issu</w:t>
      </w:r>
      <w:r w:rsidR="00DB6C5E">
        <w:rPr>
          <w:rFonts w:ascii="Times New Roman" w:hAnsi="Times New Roman"/>
          <w:sz w:val="26"/>
          <w:szCs w:val="26"/>
        </w:rPr>
        <w:softHyphen/>
      </w:r>
      <w:r w:rsidRPr="00F40DBB">
        <w:rPr>
          <w:rFonts w:ascii="Times New Roman" w:hAnsi="Times New Roman"/>
          <w:sz w:val="26"/>
          <w:szCs w:val="26"/>
        </w:rPr>
        <w:t>ance of up to an aggregate amount of $320 million of PIR Bonds paya</w:t>
      </w:r>
      <w:r w:rsidR="00DB6C5E">
        <w:rPr>
          <w:rFonts w:ascii="Times New Roman" w:hAnsi="Times New Roman"/>
          <w:sz w:val="26"/>
          <w:szCs w:val="26"/>
        </w:rPr>
        <w:softHyphen/>
      </w:r>
      <w:r w:rsidRPr="00F40DBB">
        <w:rPr>
          <w:rFonts w:ascii="Times New Roman" w:hAnsi="Times New Roman"/>
          <w:sz w:val="26"/>
          <w:szCs w:val="26"/>
        </w:rPr>
        <w:t>ble from collections from PIR Charges, and the execution, delivery and per</w:t>
      </w:r>
      <w:r w:rsidR="00DB6C5E">
        <w:rPr>
          <w:rFonts w:ascii="Times New Roman" w:hAnsi="Times New Roman"/>
          <w:sz w:val="26"/>
          <w:szCs w:val="26"/>
        </w:rPr>
        <w:softHyphen/>
      </w:r>
      <w:r w:rsidRPr="00F40DBB">
        <w:rPr>
          <w:rFonts w:ascii="Times New Roman" w:hAnsi="Times New Roman"/>
          <w:sz w:val="26"/>
          <w:szCs w:val="26"/>
        </w:rPr>
        <w:lastRenderedPageBreak/>
        <w:t xml:space="preserve">formance of all documentation necessary to consummate the securitization transaction, </w:t>
      </w:r>
    </w:p>
    <w:p w:rsidR="009D676D" w:rsidRPr="00F40DBB" w:rsidRDefault="009D676D" w:rsidP="00F40DBB">
      <w:pPr>
        <w:pStyle w:val="NoSpacing"/>
        <w:tabs>
          <w:tab w:val="left" w:pos="1530"/>
        </w:tabs>
        <w:spacing w:line="276" w:lineRule="auto"/>
        <w:ind w:left="1440" w:hanging="720"/>
        <w:jc w:val="both"/>
        <w:rPr>
          <w:rFonts w:ascii="Times New Roman" w:hAnsi="Times New Roman"/>
          <w:sz w:val="26"/>
          <w:szCs w:val="26"/>
        </w:rPr>
      </w:pPr>
    </w:p>
    <w:p w:rsidR="009D676D" w:rsidRPr="00F40DBB" w:rsidRDefault="009D676D" w:rsidP="00F40DBB">
      <w:pPr>
        <w:pStyle w:val="NoSpacing"/>
        <w:numPr>
          <w:ilvl w:val="0"/>
          <w:numId w:val="16"/>
        </w:numPr>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t xml:space="preserve">the imposition, charging, and collection of PIR Charges, </w:t>
      </w:r>
    </w:p>
    <w:p w:rsidR="00737104" w:rsidRPr="00F40DBB" w:rsidRDefault="00737104" w:rsidP="00F40DBB">
      <w:pPr>
        <w:pStyle w:val="NoSpacing"/>
        <w:tabs>
          <w:tab w:val="left" w:pos="1530"/>
        </w:tabs>
        <w:spacing w:line="276" w:lineRule="auto"/>
        <w:ind w:left="1440" w:hanging="720"/>
        <w:jc w:val="both"/>
        <w:rPr>
          <w:rFonts w:ascii="Times New Roman" w:hAnsi="Times New Roman"/>
          <w:sz w:val="26"/>
          <w:szCs w:val="26"/>
        </w:rPr>
      </w:pPr>
    </w:p>
    <w:p w:rsidR="009D676D" w:rsidRPr="00F40DBB" w:rsidRDefault="009D676D" w:rsidP="00F40DBB">
      <w:pPr>
        <w:pStyle w:val="NoSpacing"/>
        <w:numPr>
          <w:ilvl w:val="0"/>
          <w:numId w:val="16"/>
        </w:numPr>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t xml:space="preserve">the creation of the PIR Property (such creation to be simultaneous with the sale of such Phase-In-Recovery Property (PIR Property) to the SPE and the issuance of the PIR Bonds), </w:t>
      </w:r>
    </w:p>
    <w:p w:rsidR="009D676D" w:rsidRPr="00F40DBB" w:rsidRDefault="009D676D" w:rsidP="00F40DBB">
      <w:pPr>
        <w:pStyle w:val="NoSpacing"/>
        <w:tabs>
          <w:tab w:val="left" w:pos="1530"/>
        </w:tabs>
        <w:spacing w:line="276" w:lineRule="auto"/>
        <w:ind w:left="1440" w:hanging="720"/>
        <w:jc w:val="both"/>
        <w:rPr>
          <w:rFonts w:ascii="Times New Roman" w:hAnsi="Times New Roman"/>
          <w:sz w:val="26"/>
          <w:szCs w:val="26"/>
        </w:rPr>
      </w:pPr>
    </w:p>
    <w:p w:rsidR="009D676D" w:rsidRPr="00F40DBB" w:rsidRDefault="009D676D" w:rsidP="00F40DBB">
      <w:pPr>
        <w:pStyle w:val="NoSpacing"/>
        <w:numPr>
          <w:ilvl w:val="0"/>
          <w:numId w:val="16"/>
        </w:numPr>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t xml:space="preserve">the establishment of an adjustment mechanism as described herein to be applied from time to time to adjust the PIR Charges to ensure the timely payment of PIR Bonds and all ongoing Financing Costs, </w:t>
      </w:r>
    </w:p>
    <w:p w:rsidR="009D676D" w:rsidRPr="00F40DBB" w:rsidRDefault="009D676D" w:rsidP="00F40DBB">
      <w:pPr>
        <w:pStyle w:val="NoSpacing"/>
        <w:tabs>
          <w:tab w:val="left" w:pos="1530"/>
        </w:tabs>
        <w:spacing w:line="276" w:lineRule="auto"/>
        <w:ind w:left="1440" w:hanging="720"/>
        <w:jc w:val="both"/>
        <w:rPr>
          <w:rFonts w:ascii="Times New Roman" w:hAnsi="Times New Roman"/>
          <w:sz w:val="26"/>
          <w:szCs w:val="26"/>
        </w:rPr>
      </w:pPr>
    </w:p>
    <w:p w:rsidR="009D676D" w:rsidRPr="00F40DBB" w:rsidRDefault="009D676D" w:rsidP="00F40DBB">
      <w:pPr>
        <w:pStyle w:val="NoSpacing"/>
        <w:numPr>
          <w:ilvl w:val="0"/>
          <w:numId w:val="16"/>
        </w:numPr>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t>the calculation and allocation of the PIR Charges among customer classes,</w:t>
      </w:r>
    </w:p>
    <w:p w:rsidR="009D676D" w:rsidRPr="00F40DBB" w:rsidRDefault="009D676D" w:rsidP="00F40DBB">
      <w:pPr>
        <w:pStyle w:val="NoSpacing"/>
        <w:numPr>
          <w:ilvl w:val="0"/>
          <w:numId w:val="16"/>
        </w:numPr>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t xml:space="preserve">the maximum term of the PIR Bonds, </w:t>
      </w:r>
    </w:p>
    <w:p w:rsidR="009D676D" w:rsidRPr="00F40DBB" w:rsidRDefault="009D676D" w:rsidP="00F40DBB">
      <w:pPr>
        <w:pStyle w:val="NoSpacing"/>
        <w:tabs>
          <w:tab w:val="left" w:pos="1530"/>
        </w:tabs>
        <w:spacing w:line="276" w:lineRule="auto"/>
        <w:ind w:left="1440" w:hanging="720"/>
        <w:jc w:val="both"/>
        <w:rPr>
          <w:rFonts w:ascii="Times New Roman" w:hAnsi="Times New Roman"/>
          <w:sz w:val="26"/>
          <w:szCs w:val="26"/>
        </w:rPr>
      </w:pPr>
    </w:p>
    <w:p w:rsidR="009D676D" w:rsidRPr="00F40DBB" w:rsidRDefault="009D676D" w:rsidP="00F40DBB">
      <w:pPr>
        <w:pStyle w:val="NoSpacing"/>
        <w:numPr>
          <w:ilvl w:val="0"/>
          <w:numId w:val="16"/>
        </w:numPr>
        <w:spacing w:line="276" w:lineRule="auto"/>
        <w:ind w:left="1440" w:hanging="720"/>
        <w:jc w:val="both"/>
        <w:rPr>
          <w:rFonts w:ascii="Times New Roman" w:hAnsi="Times New Roman"/>
          <w:sz w:val="26"/>
          <w:szCs w:val="26"/>
        </w:rPr>
      </w:pPr>
      <w:r w:rsidRPr="00F40DBB">
        <w:rPr>
          <w:rFonts w:ascii="Times New Roman" w:hAnsi="Times New Roman"/>
          <w:sz w:val="26"/>
          <w:szCs w:val="26"/>
        </w:rPr>
        <w:t>the organization and capitalization of the SPE to which PIR Property will be sold,</w:t>
      </w:r>
    </w:p>
    <w:p w:rsidR="009D676D" w:rsidRPr="00F40DBB" w:rsidRDefault="009D676D" w:rsidP="00F40DBB">
      <w:pPr>
        <w:pStyle w:val="NoSpacing"/>
        <w:tabs>
          <w:tab w:val="left" w:pos="1530"/>
        </w:tabs>
        <w:spacing w:line="276" w:lineRule="auto"/>
        <w:ind w:left="1440" w:hanging="720"/>
        <w:jc w:val="both"/>
        <w:rPr>
          <w:rFonts w:ascii="Times New Roman" w:hAnsi="Times New Roman"/>
          <w:sz w:val="26"/>
          <w:szCs w:val="26"/>
        </w:rPr>
      </w:pPr>
    </w:p>
    <w:p w:rsidR="009D676D" w:rsidRPr="00F40DBB" w:rsidRDefault="009D676D" w:rsidP="00F40DBB">
      <w:pPr>
        <w:pStyle w:val="NoSpacing"/>
        <w:numPr>
          <w:ilvl w:val="0"/>
          <w:numId w:val="16"/>
        </w:numPr>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t>the servicing of PIR Charges by OPCo as initial servicer or any successor ser</w:t>
      </w:r>
      <w:r w:rsidR="00DB6C5E">
        <w:rPr>
          <w:rFonts w:ascii="Times New Roman" w:hAnsi="Times New Roman"/>
          <w:sz w:val="26"/>
          <w:szCs w:val="26"/>
        </w:rPr>
        <w:softHyphen/>
      </w:r>
      <w:r w:rsidRPr="00F40DBB">
        <w:rPr>
          <w:rFonts w:ascii="Times New Roman" w:hAnsi="Times New Roman"/>
          <w:sz w:val="26"/>
          <w:szCs w:val="26"/>
        </w:rPr>
        <w:t xml:space="preserve">vicer under the servicing agreement, </w:t>
      </w:r>
    </w:p>
    <w:p w:rsidR="009D676D" w:rsidRPr="00F40DBB" w:rsidRDefault="009D676D" w:rsidP="00F40DBB">
      <w:pPr>
        <w:pStyle w:val="NoSpacing"/>
        <w:tabs>
          <w:tab w:val="left" w:pos="1530"/>
        </w:tabs>
        <w:spacing w:line="276" w:lineRule="auto"/>
        <w:ind w:left="1440" w:hanging="720"/>
        <w:jc w:val="both"/>
        <w:rPr>
          <w:rFonts w:ascii="Times New Roman" w:hAnsi="Times New Roman"/>
          <w:sz w:val="26"/>
          <w:szCs w:val="26"/>
        </w:rPr>
      </w:pPr>
    </w:p>
    <w:p w:rsidR="009D676D" w:rsidRPr="00F40DBB" w:rsidRDefault="009D676D" w:rsidP="00F40DBB">
      <w:pPr>
        <w:pStyle w:val="NoSpacing"/>
        <w:numPr>
          <w:ilvl w:val="0"/>
          <w:numId w:val="16"/>
        </w:numPr>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t xml:space="preserve">flexibility in establishing the terms and conditions for the PIR Bonds to accommodate changes in market conditions, </w:t>
      </w:r>
    </w:p>
    <w:p w:rsidR="009D676D" w:rsidRPr="00F40DBB" w:rsidRDefault="009D676D" w:rsidP="00F40DBB">
      <w:pPr>
        <w:pStyle w:val="NoSpacing"/>
        <w:tabs>
          <w:tab w:val="left" w:pos="1530"/>
        </w:tabs>
        <w:spacing w:line="276" w:lineRule="auto"/>
        <w:ind w:left="1440" w:hanging="720"/>
        <w:jc w:val="both"/>
        <w:rPr>
          <w:rFonts w:ascii="Times New Roman" w:hAnsi="Times New Roman"/>
          <w:sz w:val="26"/>
          <w:szCs w:val="26"/>
        </w:rPr>
      </w:pPr>
    </w:p>
    <w:p w:rsidR="009D676D" w:rsidRPr="00F40DBB" w:rsidRDefault="009D676D" w:rsidP="00F40DBB">
      <w:pPr>
        <w:pStyle w:val="NoSpacing"/>
        <w:numPr>
          <w:ilvl w:val="0"/>
          <w:numId w:val="16"/>
        </w:numPr>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t xml:space="preserve">the ability to issue PIR Bonds and to effect correlated assignments, sales, pledges, and other transfers of PIR Property; </w:t>
      </w:r>
    </w:p>
    <w:p w:rsidR="009D676D" w:rsidRPr="00F40DBB" w:rsidRDefault="009D676D" w:rsidP="00F40DBB">
      <w:pPr>
        <w:pStyle w:val="NoSpacing"/>
        <w:tabs>
          <w:tab w:val="left" w:pos="1530"/>
        </w:tabs>
        <w:spacing w:line="276" w:lineRule="auto"/>
        <w:ind w:left="1440" w:hanging="720"/>
        <w:jc w:val="both"/>
        <w:rPr>
          <w:rFonts w:ascii="Times New Roman" w:hAnsi="Times New Roman"/>
          <w:sz w:val="26"/>
          <w:szCs w:val="26"/>
        </w:rPr>
      </w:pPr>
    </w:p>
    <w:p w:rsidR="009D676D" w:rsidRPr="00F40DBB" w:rsidRDefault="009D676D" w:rsidP="00F40DBB">
      <w:pPr>
        <w:pStyle w:val="NoSpacing"/>
        <w:numPr>
          <w:ilvl w:val="0"/>
          <w:numId w:val="16"/>
        </w:numPr>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t xml:space="preserve"> approval of the Final Tariff Sheet and associated adjustment mechanism, </w:t>
      </w:r>
    </w:p>
    <w:p w:rsidR="009D676D" w:rsidRPr="00F40DBB" w:rsidRDefault="009D676D" w:rsidP="00F40DBB">
      <w:pPr>
        <w:pStyle w:val="NoSpacing"/>
        <w:tabs>
          <w:tab w:val="left" w:pos="1530"/>
        </w:tabs>
        <w:spacing w:line="276" w:lineRule="auto"/>
        <w:ind w:left="1440" w:hanging="720"/>
        <w:jc w:val="both"/>
        <w:rPr>
          <w:rFonts w:ascii="Times New Roman" w:hAnsi="Times New Roman"/>
          <w:sz w:val="26"/>
          <w:szCs w:val="26"/>
        </w:rPr>
      </w:pPr>
    </w:p>
    <w:p w:rsidR="00FF5711" w:rsidRPr="00F40DBB" w:rsidRDefault="00924C6A" w:rsidP="00F40DBB">
      <w:pPr>
        <w:pStyle w:val="NoSpacing"/>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t>(</w:t>
      </w:r>
      <w:r w:rsidR="0058526F">
        <w:rPr>
          <w:rFonts w:ascii="Times New Roman" w:hAnsi="Times New Roman"/>
          <w:sz w:val="26"/>
          <w:szCs w:val="26"/>
        </w:rPr>
        <w:t>n</w:t>
      </w:r>
      <w:r w:rsidRPr="00F40DBB">
        <w:rPr>
          <w:rFonts w:ascii="Times New Roman" w:hAnsi="Times New Roman"/>
          <w:sz w:val="26"/>
          <w:szCs w:val="26"/>
        </w:rPr>
        <w:t>)</w:t>
      </w:r>
      <w:r w:rsidR="00F40DBB">
        <w:rPr>
          <w:rFonts w:ascii="Times New Roman" w:hAnsi="Times New Roman"/>
          <w:sz w:val="26"/>
          <w:szCs w:val="26"/>
        </w:rPr>
        <w:tab/>
      </w:r>
      <w:proofErr w:type="gramStart"/>
      <w:r w:rsidR="00CA4C94">
        <w:rPr>
          <w:rFonts w:ascii="Times New Roman" w:hAnsi="Times New Roman"/>
          <w:sz w:val="26"/>
          <w:szCs w:val="26"/>
        </w:rPr>
        <w:t>f</w:t>
      </w:r>
      <w:r w:rsidR="00FF5711" w:rsidRPr="00F40DBB">
        <w:rPr>
          <w:rFonts w:ascii="Times New Roman" w:hAnsi="Times New Roman"/>
          <w:sz w:val="26"/>
          <w:szCs w:val="26"/>
        </w:rPr>
        <w:t>ind</w:t>
      </w:r>
      <w:proofErr w:type="gramEnd"/>
      <w:r w:rsidR="00FF5711" w:rsidRPr="00F40DBB">
        <w:rPr>
          <w:rFonts w:ascii="Times New Roman" w:hAnsi="Times New Roman"/>
          <w:sz w:val="26"/>
          <w:szCs w:val="26"/>
        </w:rPr>
        <w:t xml:space="preserve"> that the proposed securitization, consistent with market conditions, meas</w:t>
      </w:r>
      <w:r w:rsidR="000B4EAE">
        <w:rPr>
          <w:rFonts w:ascii="Times New Roman" w:hAnsi="Times New Roman"/>
          <w:sz w:val="26"/>
          <w:szCs w:val="26"/>
        </w:rPr>
        <w:softHyphen/>
      </w:r>
      <w:r w:rsidR="00FF5711" w:rsidRPr="00F40DBB">
        <w:rPr>
          <w:rFonts w:ascii="Times New Roman" w:hAnsi="Times New Roman"/>
          <w:sz w:val="26"/>
          <w:szCs w:val="26"/>
        </w:rPr>
        <w:t>urably enhances cost savings to customers and mitigates rate impacts to customers as compared to the existing cost recovery m</w:t>
      </w:r>
      <w:r w:rsidR="00737104" w:rsidRPr="00F40DBB">
        <w:rPr>
          <w:rFonts w:ascii="Times New Roman" w:hAnsi="Times New Roman"/>
          <w:sz w:val="26"/>
          <w:szCs w:val="26"/>
        </w:rPr>
        <w:t>ethods of the Compan</w:t>
      </w:r>
      <w:r w:rsidR="00285560" w:rsidRPr="00F40DBB">
        <w:rPr>
          <w:rFonts w:ascii="Times New Roman" w:hAnsi="Times New Roman"/>
          <w:sz w:val="26"/>
          <w:szCs w:val="26"/>
        </w:rPr>
        <w:t>y</w:t>
      </w:r>
      <w:r w:rsidR="000C0842" w:rsidRPr="00F40DBB">
        <w:rPr>
          <w:rFonts w:ascii="Times New Roman" w:hAnsi="Times New Roman"/>
          <w:sz w:val="26"/>
          <w:szCs w:val="26"/>
        </w:rPr>
        <w:t xml:space="preserve">.  </w:t>
      </w:r>
      <w:r w:rsidR="00737104" w:rsidRPr="00F40DBB">
        <w:rPr>
          <w:rFonts w:ascii="Times New Roman" w:hAnsi="Times New Roman"/>
          <w:sz w:val="26"/>
          <w:szCs w:val="26"/>
        </w:rPr>
        <w:t>However, the Commission should condition its approval upon AEP achieving a weighted average annual interest rate below 2.32% in order that AEP may satisfy the nominal test.</w:t>
      </w:r>
    </w:p>
    <w:p w:rsidR="007E75E9" w:rsidRPr="00F40DBB" w:rsidRDefault="007E75E9" w:rsidP="00F40DBB">
      <w:pPr>
        <w:pStyle w:val="NoSpacing"/>
        <w:tabs>
          <w:tab w:val="left" w:pos="1530"/>
        </w:tabs>
        <w:spacing w:line="276" w:lineRule="auto"/>
        <w:ind w:left="1440" w:hanging="720"/>
        <w:jc w:val="both"/>
        <w:rPr>
          <w:rFonts w:ascii="Times New Roman" w:hAnsi="Times New Roman"/>
          <w:sz w:val="26"/>
          <w:szCs w:val="26"/>
        </w:rPr>
      </w:pPr>
    </w:p>
    <w:p w:rsidR="00536C13" w:rsidRPr="00F40DBB" w:rsidRDefault="007E75E9" w:rsidP="00F40DBB">
      <w:pPr>
        <w:pStyle w:val="NoSpacing"/>
        <w:tabs>
          <w:tab w:val="left" w:pos="1530"/>
        </w:tabs>
        <w:spacing w:line="276" w:lineRule="auto"/>
        <w:ind w:left="1440" w:hanging="720"/>
        <w:jc w:val="both"/>
        <w:rPr>
          <w:rFonts w:ascii="Times New Roman" w:hAnsi="Times New Roman"/>
          <w:sz w:val="26"/>
          <w:szCs w:val="26"/>
        </w:rPr>
      </w:pPr>
      <w:r w:rsidRPr="00F40DBB">
        <w:rPr>
          <w:rFonts w:ascii="Times New Roman" w:hAnsi="Times New Roman"/>
          <w:sz w:val="26"/>
          <w:szCs w:val="26"/>
        </w:rPr>
        <w:lastRenderedPageBreak/>
        <w:t>(</w:t>
      </w:r>
      <w:r w:rsidR="0058526F">
        <w:rPr>
          <w:rFonts w:ascii="Times New Roman" w:hAnsi="Times New Roman"/>
          <w:sz w:val="26"/>
          <w:szCs w:val="26"/>
        </w:rPr>
        <w:t>o</w:t>
      </w:r>
      <w:r w:rsidRPr="00F40DBB">
        <w:rPr>
          <w:rFonts w:ascii="Times New Roman" w:hAnsi="Times New Roman"/>
          <w:sz w:val="26"/>
          <w:szCs w:val="26"/>
        </w:rPr>
        <w:t>)</w:t>
      </w:r>
      <w:r w:rsidR="00F40DBB">
        <w:rPr>
          <w:rFonts w:ascii="Times New Roman" w:hAnsi="Times New Roman"/>
          <w:sz w:val="26"/>
          <w:szCs w:val="26"/>
        </w:rPr>
        <w:tab/>
      </w:r>
      <w:r w:rsidR="00CA4C94">
        <w:rPr>
          <w:rFonts w:ascii="Times New Roman" w:hAnsi="Times New Roman"/>
          <w:sz w:val="26"/>
          <w:szCs w:val="26"/>
        </w:rPr>
        <w:t>a</w:t>
      </w:r>
      <w:r w:rsidR="00516D98" w:rsidRPr="00F40DBB">
        <w:rPr>
          <w:rFonts w:ascii="Times New Roman" w:hAnsi="Times New Roman"/>
          <w:sz w:val="26"/>
          <w:szCs w:val="26"/>
        </w:rPr>
        <w:t>fter pricing of the PIR Bonds occurs, the Company should seek Commis</w:t>
      </w:r>
      <w:r w:rsidR="00DB6C5E">
        <w:rPr>
          <w:rFonts w:ascii="Times New Roman" w:hAnsi="Times New Roman"/>
          <w:sz w:val="26"/>
          <w:szCs w:val="26"/>
        </w:rPr>
        <w:softHyphen/>
      </w:r>
      <w:r w:rsidR="00516D98" w:rsidRPr="00F40DBB">
        <w:rPr>
          <w:rFonts w:ascii="Times New Roman" w:hAnsi="Times New Roman"/>
          <w:sz w:val="26"/>
          <w:szCs w:val="26"/>
        </w:rPr>
        <w:t>sion approval if the Upfront Financing Costs and/or the on-going Financing Costs exceed the estimated costs by 5%, as illustrated in Exhibit B of the Application.</w:t>
      </w:r>
    </w:p>
    <w:p w:rsidR="007E75E9" w:rsidRPr="00F40DBB" w:rsidRDefault="007E75E9" w:rsidP="00F40DBB">
      <w:pPr>
        <w:pStyle w:val="NoSpacing"/>
        <w:tabs>
          <w:tab w:val="left" w:pos="1530"/>
        </w:tabs>
        <w:spacing w:line="276" w:lineRule="auto"/>
        <w:ind w:left="1440" w:hanging="720"/>
        <w:jc w:val="both"/>
        <w:rPr>
          <w:rFonts w:ascii="Times New Roman" w:hAnsi="Times New Roman"/>
          <w:sz w:val="26"/>
          <w:szCs w:val="26"/>
        </w:rPr>
      </w:pPr>
    </w:p>
    <w:p w:rsidR="003E1E49" w:rsidRPr="00F40DBB" w:rsidRDefault="00285560" w:rsidP="00F40DBB">
      <w:pPr>
        <w:tabs>
          <w:tab w:val="left" w:pos="1530"/>
          <w:tab w:val="left" w:pos="9270"/>
        </w:tabs>
        <w:spacing w:after="240"/>
        <w:ind w:left="1440" w:right="90" w:hanging="720"/>
        <w:jc w:val="both"/>
        <w:rPr>
          <w:sz w:val="26"/>
          <w:szCs w:val="26"/>
        </w:rPr>
      </w:pPr>
      <w:r w:rsidRPr="00F40DBB">
        <w:rPr>
          <w:sz w:val="26"/>
          <w:szCs w:val="26"/>
        </w:rPr>
        <w:t>(</w:t>
      </w:r>
      <w:r w:rsidR="0058526F">
        <w:rPr>
          <w:sz w:val="26"/>
          <w:szCs w:val="26"/>
        </w:rPr>
        <w:t>p</w:t>
      </w:r>
      <w:r w:rsidR="007E75E9" w:rsidRPr="00F40DBB">
        <w:rPr>
          <w:sz w:val="26"/>
          <w:szCs w:val="26"/>
        </w:rPr>
        <w:t xml:space="preserve">) </w:t>
      </w:r>
      <w:r w:rsidR="00F40DBB">
        <w:rPr>
          <w:sz w:val="26"/>
          <w:szCs w:val="26"/>
        </w:rPr>
        <w:tab/>
      </w:r>
      <w:r w:rsidR="00CA4C94">
        <w:rPr>
          <w:sz w:val="26"/>
          <w:szCs w:val="26"/>
        </w:rPr>
        <w:t>t</w:t>
      </w:r>
      <w:r w:rsidR="003E1E49" w:rsidRPr="00F40DBB">
        <w:rPr>
          <w:sz w:val="26"/>
          <w:szCs w:val="26"/>
        </w:rPr>
        <w:t xml:space="preserve">he Company should file the Issuance Advice Letter, in the Staff proposed format as provided in Staff Exhibit A. </w:t>
      </w:r>
    </w:p>
    <w:p w:rsidR="003E1E49" w:rsidRPr="00F40DBB" w:rsidRDefault="00F40DBB" w:rsidP="00F40DBB">
      <w:pPr>
        <w:pStyle w:val="ListParagraph"/>
        <w:tabs>
          <w:tab w:val="left" w:pos="9270"/>
        </w:tabs>
        <w:spacing w:after="240"/>
        <w:ind w:left="1440" w:right="90" w:hanging="720"/>
        <w:jc w:val="both"/>
        <w:rPr>
          <w:rFonts w:ascii="Times New Roman" w:hAnsi="Times New Roman"/>
          <w:sz w:val="26"/>
          <w:szCs w:val="26"/>
        </w:rPr>
      </w:pPr>
      <w:r>
        <w:rPr>
          <w:rFonts w:ascii="Times New Roman" w:hAnsi="Times New Roman"/>
          <w:sz w:val="26"/>
          <w:szCs w:val="26"/>
        </w:rPr>
        <w:tab/>
      </w:r>
      <w:r w:rsidR="003E1E49" w:rsidRPr="00F40DBB">
        <w:rPr>
          <w:rFonts w:ascii="Times New Roman" w:hAnsi="Times New Roman"/>
          <w:sz w:val="26"/>
          <w:szCs w:val="26"/>
        </w:rPr>
        <w:t>The initial PIR Charges set forth in the Issuance Advice Letter should become effective (without further action from the Commission action) on the date of issuance of the PIR Bonds unless prior to noon on the fifth business day after pricing, the Commission issues an Order finding that the proposed issuance of the PIR Bonds does not comply with the require</w:t>
      </w:r>
      <w:r w:rsidR="00DB6C5E">
        <w:rPr>
          <w:rFonts w:ascii="Times New Roman" w:hAnsi="Times New Roman"/>
          <w:sz w:val="26"/>
          <w:szCs w:val="26"/>
        </w:rPr>
        <w:softHyphen/>
      </w:r>
      <w:r w:rsidR="003E1E49" w:rsidRPr="00F40DBB">
        <w:rPr>
          <w:rFonts w:ascii="Times New Roman" w:hAnsi="Times New Roman"/>
          <w:sz w:val="26"/>
          <w:szCs w:val="26"/>
        </w:rPr>
        <w:t>ments of the Financing Order.</w:t>
      </w:r>
    </w:p>
    <w:p w:rsidR="00FE5186" w:rsidRPr="00F40DBB" w:rsidRDefault="00FE5186" w:rsidP="00F40DBB">
      <w:pPr>
        <w:pStyle w:val="ListParagraph"/>
        <w:tabs>
          <w:tab w:val="left" w:pos="9270"/>
        </w:tabs>
        <w:ind w:left="1440" w:right="90" w:hanging="720"/>
        <w:jc w:val="both"/>
        <w:rPr>
          <w:rFonts w:ascii="Times New Roman" w:hAnsi="Times New Roman"/>
          <w:sz w:val="26"/>
          <w:szCs w:val="26"/>
        </w:rPr>
      </w:pPr>
    </w:p>
    <w:p w:rsidR="00937CE1" w:rsidRPr="00F40DBB" w:rsidRDefault="00285560" w:rsidP="00F40DBB">
      <w:pPr>
        <w:pStyle w:val="ListParagraph"/>
        <w:tabs>
          <w:tab w:val="left" w:pos="9270"/>
        </w:tabs>
        <w:autoSpaceDE w:val="0"/>
        <w:autoSpaceDN w:val="0"/>
        <w:adjustRightInd w:val="0"/>
        <w:ind w:left="1440" w:right="90" w:hanging="720"/>
        <w:jc w:val="both"/>
        <w:rPr>
          <w:rFonts w:ascii="Times New Roman" w:hAnsi="Times New Roman"/>
          <w:sz w:val="26"/>
          <w:szCs w:val="26"/>
        </w:rPr>
      </w:pPr>
      <w:r w:rsidRPr="00F40DBB">
        <w:rPr>
          <w:rFonts w:ascii="Times New Roman" w:hAnsi="Times New Roman"/>
          <w:sz w:val="26"/>
          <w:szCs w:val="26"/>
        </w:rPr>
        <w:t>(</w:t>
      </w:r>
      <w:r w:rsidR="0058526F">
        <w:rPr>
          <w:rFonts w:ascii="Times New Roman" w:hAnsi="Times New Roman"/>
          <w:sz w:val="26"/>
          <w:szCs w:val="26"/>
        </w:rPr>
        <w:t>q</w:t>
      </w:r>
      <w:r w:rsidRPr="00F40DBB">
        <w:rPr>
          <w:rFonts w:ascii="Times New Roman" w:hAnsi="Times New Roman"/>
          <w:sz w:val="26"/>
          <w:szCs w:val="26"/>
        </w:rPr>
        <w:t xml:space="preserve">) </w:t>
      </w:r>
      <w:r w:rsidR="008652E4">
        <w:rPr>
          <w:rFonts w:ascii="Times New Roman" w:hAnsi="Times New Roman"/>
          <w:sz w:val="26"/>
          <w:szCs w:val="26"/>
        </w:rPr>
        <w:tab/>
      </w:r>
      <w:r w:rsidR="00737104" w:rsidRPr="00F40DBB">
        <w:rPr>
          <w:rFonts w:ascii="Times New Roman" w:hAnsi="Times New Roman"/>
          <w:sz w:val="26"/>
          <w:szCs w:val="26"/>
        </w:rPr>
        <w:t>authorize</w:t>
      </w:r>
      <w:r w:rsidR="00FE5186" w:rsidRPr="00F40DBB">
        <w:rPr>
          <w:rFonts w:ascii="Times New Roman" w:hAnsi="Times New Roman"/>
          <w:sz w:val="26"/>
          <w:szCs w:val="26"/>
        </w:rPr>
        <w:t xml:space="preserve"> the Com</w:t>
      </w:r>
      <w:r w:rsidR="00DB6C5E">
        <w:rPr>
          <w:rFonts w:ascii="Times New Roman" w:hAnsi="Times New Roman"/>
          <w:sz w:val="26"/>
          <w:szCs w:val="26"/>
        </w:rPr>
        <w:softHyphen/>
      </w:r>
      <w:r w:rsidR="00FE5186" w:rsidRPr="00F40DBB">
        <w:rPr>
          <w:rFonts w:ascii="Times New Roman" w:hAnsi="Times New Roman"/>
          <w:sz w:val="26"/>
          <w:szCs w:val="26"/>
        </w:rPr>
        <w:t>pany’s intent to defease</w:t>
      </w:r>
      <w:r w:rsidR="00737104" w:rsidRPr="00F40DBB">
        <w:rPr>
          <w:rFonts w:ascii="Times New Roman" w:hAnsi="Times New Roman"/>
          <w:sz w:val="26"/>
          <w:szCs w:val="26"/>
        </w:rPr>
        <w:t xml:space="preserve"> the Pollution Control Bonds</w:t>
      </w:r>
      <w:r w:rsidR="00FE5186" w:rsidRPr="00F40DBB">
        <w:rPr>
          <w:rFonts w:ascii="Times New Roman" w:hAnsi="Times New Roman"/>
          <w:sz w:val="26"/>
          <w:szCs w:val="26"/>
        </w:rPr>
        <w:t xml:space="preserve"> only if it is consistent with the Commission conclusions in the Company’s Corporate Separation Case.</w:t>
      </w:r>
    </w:p>
    <w:p w:rsidR="00A85B10" w:rsidRPr="00F40DBB" w:rsidRDefault="00937CE1" w:rsidP="00F40DBB">
      <w:pPr>
        <w:pStyle w:val="NoSpacing"/>
        <w:spacing w:line="276" w:lineRule="auto"/>
        <w:ind w:left="1440" w:hanging="720"/>
        <w:jc w:val="both"/>
        <w:rPr>
          <w:rFonts w:ascii="Times New Roman" w:hAnsi="Times New Roman"/>
          <w:sz w:val="26"/>
          <w:szCs w:val="26"/>
        </w:rPr>
      </w:pPr>
      <w:r w:rsidRPr="00F40DBB">
        <w:rPr>
          <w:rFonts w:ascii="Times New Roman" w:hAnsi="Times New Roman"/>
          <w:sz w:val="26"/>
          <w:szCs w:val="26"/>
        </w:rPr>
        <w:t>(</w:t>
      </w:r>
      <w:r w:rsidR="0058526F">
        <w:rPr>
          <w:rFonts w:ascii="Times New Roman" w:hAnsi="Times New Roman"/>
          <w:sz w:val="26"/>
          <w:szCs w:val="26"/>
        </w:rPr>
        <w:t>r</w:t>
      </w:r>
      <w:r w:rsidRPr="00F40DBB">
        <w:rPr>
          <w:rFonts w:ascii="Times New Roman" w:hAnsi="Times New Roman"/>
          <w:sz w:val="26"/>
          <w:szCs w:val="26"/>
        </w:rPr>
        <w:t>)</w:t>
      </w:r>
      <w:r w:rsidR="00FE5186" w:rsidRPr="00F40DBB">
        <w:rPr>
          <w:rFonts w:ascii="Times New Roman" w:hAnsi="Times New Roman"/>
          <w:sz w:val="26"/>
          <w:szCs w:val="26"/>
        </w:rPr>
        <w:t xml:space="preserve"> </w:t>
      </w:r>
      <w:r w:rsidR="00F40DBB">
        <w:rPr>
          <w:rFonts w:ascii="Times New Roman" w:hAnsi="Times New Roman"/>
          <w:sz w:val="26"/>
          <w:szCs w:val="26"/>
        </w:rPr>
        <w:tab/>
      </w:r>
      <w:r w:rsidR="00CA4C94">
        <w:rPr>
          <w:rFonts w:ascii="Times New Roman" w:hAnsi="Times New Roman"/>
          <w:sz w:val="26"/>
          <w:szCs w:val="26"/>
        </w:rPr>
        <w:t>i</w:t>
      </w:r>
      <w:r w:rsidR="00A85B10" w:rsidRPr="00F40DBB">
        <w:rPr>
          <w:rFonts w:ascii="Times New Roman" w:hAnsi="Times New Roman"/>
          <w:sz w:val="26"/>
          <w:szCs w:val="26"/>
        </w:rPr>
        <w:t xml:space="preserve">f the Commission, in the future, establishes rules relating to competitive third-party billing/collection, </w:t>
      </w:r>
      <w:r w:rsidR="00CA4C94">
        <w:rPr>
          <w:rFonts w:ascii="Times New Roman" w:hAnsi="Times New Roman"/>
          <w:sz w:val="26"/>
          <w:szCs w:val="26"/>
        </w:rPr>
        <w:t xml:space="preserve">permit </w:t>
      </w:r>
      <w:r w:rsidR="00A85B10" w:rsidRPr="00F40DBB">
        <w:rPr>
          <w:rFonts w:ascii="Times New Roman" w:hAnsi="Times New Roman"/>
          <w:sz w:val="26"/>
          <w:szCs w:val="26"/>
        </w:rPr>
        <w:t>OPCo to implement such features as long as such billing/collection does not result in additional bur</w:t>
      </w:r>
      <w:r w:rsidR="00DB6C5E">
        <w:rPr>
          <w:rFonts w:ascii="Times New Roman" w:hAnsi="Times New Roman"/>
          <w:sz w:val="26"/>
          <w:szCs w:val="26"/>
        </w:rPr>
        <w:softHyphen/>
      </w:r>
      <w:r w:rsidR="00A85B10" w:rsidRPr="00F40DBB">
        <w:rPr>
          <w:rFonts w:ascii="Times New Roman" w:hAnsi="Times New Roman"/>
          <w:sz w:val="26"/>
          <w:szCs w:val="26"/>
        </w:rPr>
        <w:t xml:space="preserve">den on OPCo’s customers on a going forward basis.  </w:t>
      </w:r>
      <w:r w:rsidR="00CA4C94">
        <w:rPr>
          <w:rFonts w:ascii="Times New Roman" w:hAnsi="Times New Roman"/>
          <w:sz w:val="26"/>
          <w:szCs w:val="26"/>
        </w:rPr>
        <w:t>S</w:t>
      </w:r>
      <w:r w:rsidR="00A85B10" w:rsidRPr="00F40DBB">
        <w:rPr>
          <w:rFonts w:ascii="Times New Roman" w:hAnsi="Times New Roman"/>
          <w:sz w:val="26"/>
          <w:szCs w:val="26"/>
        </w:rPr>
        <w:t>uch third-party bill</w:t>
      </w:r>
      <w:r w:rsidR="000B4EAE">
        <w:rPr>
          <w:rFonts w:ascii="Times New Roman" w:hAnsi="Times New Roman"/>
          <w:sz w:val="26"/>
          <w:szCs w:val="26"/>
        </w:rPr>
        <w:softHyphen/>
      </w:r>
      <w:r w:rsidR="00A85B10" w:rsidRPr="00F40DBB">
        <w:rPr>
          <w:rFonts w:ascii="Times New Roman" w:hAnsi="Times New Roman"/>
          <w:sz w:val="26"/>
          <w:szCs w:val="26"/>
        </w:rPr>
        <w:t>ing/collection costs should no</w:t>
      </w:r>
      <w:r w:rsidR="00C42458" w:rsidRPr="00F40DBB">
        <w:rPr>
          <w:rFonts w:ascii="Times New Roman" w:hAnsi="Times New Roman"/>
          <w:sz w:val="26"/>
          <w:szCs w:val="26"/>
        </w:rPr>
        <w:t>t</w:t>
      </w:r>
      <w:r w:rsidR="00A85B10" w:rsidRPr="00F40DBB">
        <w:rPr>
          <w:rFonts w:ascii="Times New Roman" w:hAnsi="Times New Roman"/>
          <w:sz w:val="26"/>
          <w:szCs w:val="26"/>
        </w:rPr>
        <w:t xml:space="preserve"> be included as part of the recovera</w:t>
      </w:r>
      <w:r w:rsidR="00DB6C5E">
        <w:rPr>
          <w:rFonts w:ascii="Times New Roman" w:hAnsi="Times New Roman"/>
          <w:sz w:val="26"/>
          <w:szCs w:val="26"/>
        </w:rPr>
        <w:softHyphen/>
      </w:r>
      <w:r w:rsidR="00A85B10" w:rsidRPr="00F40DBB">
        <w:rPr>
          <w:rFonts w:ascii="Times New Roman" w:hAnsi="Times New Roman"/>
          <w:sz w:val="26"/>
          <w:szCs w:val="26"/>
        </w:rPr>
        <w:t>ble, ongoing costs as contemplated by the Application and the Act, or as part of any other rates and charges.</w:t>
      </w:r>
    </w:p>
    <w:p w:rsidR="00F91A7F" w:rsidRPr="00F40DBB" w:rsidRDefault="00F91A7F" w:rsidP="00F40DBB">
      <w:pPr>
        <w:pStyle w:val="NoSpacing"/>
        <w:spacing w:line="276" w:lineRule="auto"/>
        <w:ind w:left="1440" w:hanging="720"/>
        <w:jc w:val="both"/>
        <w:rPr>
          <w:rFonts w:ascii="Times New Roman" w:hAnsi="Times New Roman"/>
          <w:sz w:val="26"/>
          <w:szCs w:val="26"/>
        </w:rPr>
      </w:pPr>
    </w:p>
    <w:p w:rsidR="00EB0100" w:rsidRPr="00F40DBB" w:rsidRDefault="00EB0100" w:rsidP="00F40DBB">
      <w:pPr>
        <w:tabs>
          <w:tab w:val="left" w:pos="-360"/>
        </w:tabs>
        <w:ind w:left="1440" w:right="90" w:hanging="720"/>
        <w:jc w:val="both"/>
        <w:rPr>
          <w:sz w:val="26"/>
          <w:szCs w:val="26"/>
        </w:rPr>
      </w:pPr>
      <w:bookmarkStart w:id="61" w:name="_Toc328131650"/>
      <w:bookmarkStart w:id="62" w:name="_Toc328136712"/>
      <w:r w:rsidRPr="00F40DBB">
        <w:rPr>
          <w:sz w:val="26"/>
          <w:szCs w:val="26"/>
        </w:rPr>
        <w:t>(</w:t>
      </w:r>
      <w:r w:rsidR="0058526F">
        <w:rPr>
          <w:sz w:val="26"/>
          <w:szCs w:val="26"/>
        </w:rPr>
        <w:t>s</w:t>
      </w:r>
      <w:r w:rsidRPr="00F40DBB">
        <w:rPr>
          <w:sz w:val="26"/>
          <w:szCs w:val="26"/>
        </w:rPr>
        <w:t xml:space="preserve">) </w:t>
      </w:r>
      <w:r w:rsidR="00F40DBB">
        <w:rPr>
          <w:sz w:val="26"/>
          <w:szCs w:val="26"/>
        </w:rPr>
        <w:tab/>
      </w:r>
      <w:proofErr w:type="gramStart"/>
      <w:r w:rsidR="00CA4C94">
        <w:rPr>
          <w:sz w:val="26"/>
          <w:szCs w:val="26"/>
        </w:rPr>
        <w:t>r</w:t>
      </w:r>
      <w:r w:rsidRPr="00F40DBB">
        <w:rPr>
          <w:sz w:val="26"/>
          <w:szCs w:val="26"/>
        </w:rPr>
        <w:t>equire</w:t>
      </w:r>
      <w:proofErr w:type="gramEnd"/>
      <w:r w:rsidRPr="00F40DBB">
        <w:rPr>
          <w:sz w:val="26"/>
          <w:szCs w:val="26"/>
        </w:rPr>
        <w:t xml:space="preserve"> OPCo to include a separate line item to identify the Deferred Asset Phase-In Rider on the bill and the PIR Charge should be identified sepa</w:t>
      </w:r>
      <w:r w:rsidR="000B4EAE">
        <w:rPr>
          <w:sz w:val="26"/>
          <w:szCs w:val="26"/>
        </w:rPr>
        <w:softHyphen/>
      </w:r>
      <w:r w:rsidRPr="00F40DBB">
        <w:rPr>
          <w:sz w:val="26"/>
          <w:szCs w:val="26"/>
        </w:rPr>
        <w:t>rately from the utility’s base rates on the bill.</w:t>
      </w:r>
    </w:p>
    <w:p w:rsidR="00EB0100" w:rsidRPr="00F40DBB" w:rsidRDefault="00EB0100" w:rsidP="00F40DBB">
      <w:pPr>
        <w:tabs>
          <w:tab w:val="left" w:pos="450"/>
        </w:tabs>
        <w:ind w:left="1440" w:right="90" w:hanging="720"/>
        <w:jc w:val="both"/>
        <w:rPr>
          <w:sz w:val="26"/>
          <w:szCs w:val="26"/>
        </w:rPr>
      </w:pPr>
    </w:p>
    <w:p w:rsidR="00737104" w:rsidRPr="00F40DBB" w:rsidRDefault="00EB0100" w:rsidP="00F40DBB">
      <w:pPr>
        <w:tabs>
          <w:tab w:val="left" w:pos="450"/>
        </w:tabs>
        <w:ind w:left="1440" w:right="90" w:hanging="720"/>
        <w:jc w:val="both"/>
        <w:rPr>
          <w:sz w:val="26"/>
          <w:szCs w:val="26"/>
        </w:rPr>
      </w:pPr>
      <w:r w:rsidRPr="00F40DBB">
        <w:rPr>
          <w:sz w:val="26"/>
          <w:szCs w:val="26"/>
        </w:rPr>
        <w:t>(</w:t>
      </w:r>
      <w:r w:rsidR="0058526F">
        <w:rPr>
          <w:sz w:val="26"/>
          <w:szCs w:val="26"/>
        </w:rPr>
        <w:t>t</w:t>
      </w:r>
      <w:r w:rsidRPr="00F40DBB">
        <w:rPr>
          <w:sz w:val="26"/>
          <w:szCs w:val="26"/>
        </w:rPr>
        <w:t>)</w:t>
      </w:r>
      <w:r w:rsidR="00F40DBB">
        <w:rPr>
          <w:sz w:val="26"/>
          <w:szCs w:val="26"/>
        </w:rPr>
        <w:tab/>
      </w:r>
      <w:r w:rsidRPr="00F40DBB">
        <w:rPr>
          <w:sz w:val="26"/>
          <w:szCs w:val="26"/>
        </w:rPr>
        <w:t xml:space="preserve"> require OPCo’s proposed bill message be incorp</w:t>
      </w:r>
      <w:r w:rsidR="00DB6C5E">
        <w:rPr>
          <w:sz w:val="26"/>
          <w:szCs w:val="26"/>
        </w:rPr>
        <w:softHyphen/>
      </w:r>
      <w:r w:rsidRPr="00F40DBB">
        <w:rPr>
          <w:sz w:val="26"/>
          <w:szCs w:val="26"/>
        </w:rPr>
        <w:t xml:space="preserve">orated into the definition section of the bill and revise its language to read as follows: </w:t>
      </w:r>
      <w:r w:rsidR="000C0842">
        <w:rPr>
          <w:sz w:val="26"/>
          <w:szCs w:val="26"/>
        </w:rPr>
        <w:t>“</w:t>
      </w:r>
      <w:r w:rsidRPr="00F40DBB">
        <w:rPr>
          <w:sz w:val="26"/>
          <w:szCs w:val="26"/>
        </w:rPr>
        <w:t>The Deferred Asset Phase-in Rider collects previously incurred cost from all customers of Ohio Power on behalf of its subsidiary, Ohio Power Phase-In Recovery Bond I, which owns the right to impose and collect such charges.</w:t>
      </w:r>
      <w:r w:rsidR="000C0842">
        <w:rPr>
          <w:sz w:val="26"/>
          <w:szCs w:val="26"/>
        </w:rPr>
        <w:t>”</w:t>
      </w:r>
    </w:p>
    <w:p w:rsidR="00EB0100" w:rsidRPr="005A076C" w:rsidRDefault="00EB0100" w:rsidP="00EB0100">
      <w:pPr>
        <w:tabs>
          <w:tab w:val="left" w:pos="450"/>
        </w:tabs>
        <w:ind w:left="720" w:right="90" w:hanging="360"/>
        <w:jc w:val="both"/>
        <w:rPr>
          <w:sz w:val="24"/>
        </w:rPr>
      </w:pPr>
    </w:p>
    <w:p w:rsidR="00EC4352" w:rsidRDefault="00EC4352" w:rsidP="00705216">
      <w:pPr>
        <w:pStyle w:val="Heading1"/>
      </w:pPr>
      <w:r>
        <w:br w:type="page"/>
      </w:r>
    </w:p>
    <w:p w:rsidR="001A5C2F" w:rsidRPr="005A076C" w:rsidRDefault="00F40DBB" w:rsidP="00705216">
      <w:pPr>
        <w:pStyle w:val="Heading1"/>
      </w:pPr>
      <w:bookmarkStart w:id="63" w:name="_Toc335401753"/>
      <w:r>
        <w:lastRenderedPageBreak/>
        <w:t>VIII</w:t>
      </w:r>
      <w:r w:rsidR="00F30925" w:rsidRPr="005A076C">
        <w:t>.</w:t>
      </w:r>
      <w:r w:rsidR="00EB0100" w:rsidRPr="005A076C">
        <w:tab/>
      </w:r>
      <w:r w:rsidR="00F30925" w:rsidRPr="005A076C">
        <w:t xml:space="preserve"> </w:t>
      </w:r>
      <w:r w:rsidR="001A5C2F" w:rsidRPr="005A076C">
        <w:t>CONCLUSION</w:t>
      </w:r>
      <w:bookmarkEnd w:id="61"/>
      <w:bookmarkEnd w:id="62"/>
      <w:bookmarkEnd w:id="63"/>
    </w:p>
    <w:p w:rsidR="00E10679" w:rsidRPr="005A076C" w:rsidRDefault="00F40DBB" w:rsidP="005A076C">
      <w:pPr>
        <w:pStyle w:val="textstyle0"/>
      </w:pPr>
      <w:r>
        <w:tab/>
      </w:r>
      <w:r w:rsidR="00672917" w:rsidRPr="005A076C">
        <w:t>The Staff respectfully requests that the Commission make the above-referred changes/adjustments in its Financing Order in this case.</w:t>
      </w:r>
    </w:p>
    <w:p w:rsidR="00200A0A" w:rsidRPr="005A076C" w:rsidRDefault="00200A0A" w:rsidP="00F40DBB">
      <w:pPr>
        <w:tabs>
          <w:tab w:val="left" w:pos="9348"/>
        </w:tabs>
        <w:spacing w:line="276" w:lineRule="auto"/>
        <w:ind w:left="4320"/>
        <w:jc w:val="both"/>
        <w:rPr>
          <w:sz w:val="24"/>
          <w:szCs w:val="24"/>
        </w:rPr>
      </w:pPr>
      <w:r w:rsidRPr="005A076C">
        <w:rPr>
          <w:sz w:val="24"/>
          <w:szCs w:val="24"/>
        </w:rPr>
        <w:t>Respectfully submitted,</w:t>
      </w:r>
    </w:p>
    <w:p w:rsidR="00F40DBB" w:rsidRPr="005A076C" w:rsidRDefault="00F40DBB" w:rsidP="00F40DBB">
      <w:pPr>
        <w:pStyle w:val="Title"/>
        <w:tabs>
          <w:tab w:val="left" w:pos="4320"/>
        </w:tabs>
        <w:ind w:left="4320"/>
        <w:jc w:val="left"/>
        <w:rPr>
          <w:rFonts w:ascii="Times New Roman" w:hAnsi="Times New Roman"/>
          <w:b/>
          <w:sz w:val="26"/>
          <w:szCs w:val="26"/>
        </w:rPr>
      </w:pPr>
      <w:bookmarkStart w:id="64" w:name="_Toc328136713"/>
      <w:r w:rsidRPr="005A076C">
        <w:rPr>
          <w:rFonts w:ascii="Times New Roman" w:hAnsi="Times New Roman"/>
          <w:b/>
          <w:sz w:val="26"/>
          <w:szCs w:val="26"/>
        </w:rPr>
        <w:t>Michael DeWine</w:t>
      </w:r>
    </w:p>
    <w:p w:rsidR="00F40DBB" w:rsidRPr="005A076C" w:rsidRDefault="00F40DBB" w:rsidP="00F40DBB">
      <w:pPr>
        <w:pStyle w:val="Title"/>
        <w:tabs>
          <w:tab w:val="left" w:pos="4320"/>
        </w:tabs>
        <w:ind w:left="4320"/>
        <w:jc w:val="left"/>
        <w:rPr>
          <w:rFonts w:ascii="Times New Roman" w:hAnsi="Times New Roman"/>
          <w:sz w:val="26"/>
          <w:szCs w:val="26"/>
        </w:rPr>
      </w:pPr>
      <w:r w:rsidRPr="005A076C">
        <w:rPr>
          <w:rFonts w:ascii="Times New Roman" w:hAnsi="Times New Roman"/>
          <w:sz w:val="26"/>
          <w:szCs w:val="26"/>
        </w:rPr>
        <w:t>Ohio Attorney General</w:t>
      </w:r>
    </w:p>
    <w:p w:rsidR="00F40DBB" w:rsidRPr="005A076C" w:rsidRDefault="00F40DBB" w:rsidP="00F40DBB">
      <w:pPr>
        <w:pStyle w:val="Title"/>
        <w:tabs>
          <w:tab w:val="left" w:pos="4320"/>
        </w:tabs>
        <w:ind w:left="4320"/>
        <w:jc w:val="left"/>
        <w:rPr>
          <w:rFonts w:ascii="Times New Roman" w:hAnsi="Times New Roman"/>
          <w:sz w:val="26"/>
          <w:szCs w:val="26"/>
        </w:rPr>
      </w:pPr>
    </w:p>
    <w:p w:rsidR="00F40DBB" w:rsidRPr="005A076C" w:rsidRDefault="00F40DBB" w:rsidP="00F40DBB">
      <w:pPr>
        <w:pStyle w:val="Title"/>
        <w:tabs>
          <w:tab w:val="left" w:pos="4320"/>
        </w:tabs>
        <w:ind w:left="4320"/>
        <w:jc w:val="left"/>
        <w:rPr>
          <w:rFonts w:ascii="Times New Roman" w:hAnsi="Times New Roman"/>
          <w:sz w:val="26"/>
          <w:szCs w:val="26"/>
        </w:rPr>
      </w:pPr>
      <w:r w:rsidRPr="005A076C">
        <w:rPr>
          <w:rFonts w:ascii="Times New Roman" w:hAnsi="Times New Roman"/>
          <w:b/>
          <w:sz w:val="26"/>
          <w:szCs w:val="26"/>
        </w:rPr>
        <w:t>William L. Wright</w:t>
      </w:r>
    </w:p>
    <w:p w:rsidR="00F40DBB" w:rsidRPr="005A076C" w:rsidRDefault="00F40DBB" w:rsidP="00F40DBB">
      <w:pPr>
        <w:pStyle w:val="Title"/>
        <w:tabs>
          <w:tab w:val="left" w:pos="4320"/>
        </w:tabs>
        <w:ind w:left="4320"/>
        <w:jc w:val="left"/>
        <w:rPr>
          <w:rFonts w:ascii="Times New Roman" w:hAnsi="Times New Roman"/>
          <w:sz w:val="26"/>
          <w:szCs w:val="26"/>
        </w:rPr>
      </w:pPr>
      <w:r w:rsidRPr="005A076C">
        <w:rPr>
          <w:rFonts w:ascii="Times New Roman" w:hAnsi="Times New Roman"/>
          <w:sz w:val="26"/>
          <w:szCs w:val="26"/>
        </w:rPr>
        <w:t>Section Chief</w:t>
      </w:r>
    </w:p>
    <w:p w:rsidR="00F40DBB" w:rsidRDefault="00F40DBB" w:rsidP="00F40DBB">
      <w:pPr>
        <w:pStyle w:val="Title"/>
        <w:tabs>
          <w:tab w:val="left" w:pos="4320"/>
        </w:tabs>
        <w:ind w:left="4320"/>
        <w:jc w:val="left"/>
        <w:rPr>
          <w:rFonts w:ascii="Times New Roman" w:hAnsi="Times New Roman"/>
          <w:sz w:val="26"/>
          <w:szCs w:val="26"/>
        </w:rPr>
      </w:pPr>
    </w:p>
    <w:p w:rsidR="00F40DBB" w:rsidRPr="00F40DBB" w:rsidRDefault="00F40DBB" w:rsidP="00F40DBB">
      <w:pPr>
        <w:pStyle w:val="Title"/>
        <w:tabs>
          <w:tab w:val="left" w:pos="4320"/>
        </w:tabs>
        <w:ind w:left="4320"/>
        <w:jc w:val="left"/>
        <w:rPr>
          <w:rFonts w:ascii="Viner Hand ITC" w:hAnsi="Viner Hand ITC"/>
          <w:i/>
          <w:sz w:val="32"/>
          <w:szCs w:val="32"/>
        </w:rPr>
      </w:pPr>
    </w:p>
    <w:p w:rsidR="00F40DBB" w:rsidRPr="00F40DBB" w:rsidRDefault="00F40DBB" w:rsidP="00F40DBB">
      <w:pPr>
        <w:pStyle w:val="Title"/>
        <w:tabs>
          <w:tab w:val="left" w:pos="4320"/>
          <w:tab w:val="left" w:pos="9360"/>
        </w:tabs>
        <w:ind w:left="4320"/>
        <w:jc w:val="left"/>
        <w:rPr>
          <w:rFonts w:ascii="Times New Roman" w:hAnsi="Times New Roman"/>
          <w:sz w:val="26"/>
          <w:szCs w:val="26"/>
          <w:u w:val="single"/>
        </w:rPr>
      </w:pPr>
      <w:r w:rsidRPr="00F40DBB">
        <w:rPr>
          <w:rFonts w:ascii="Viner Hand ITC" w:hAnsi="Viner Hand ITC"/>
          <w:i/>
          <w:sz w:val="32"/>
          <w:szCs w:val="32"/>
          <w:u w:val="single"/>
        </w:rPr>
        <w:t>/s/ Thomas W. McNamee</w:t>
      </w:r>
      <w:r>
        <w:rPr>
          <w:rFonts w:ascii="Times New Roman" w:hAnsi="Times New Roman"/>
          <w:sz w:val="26"/>
          <w:szCs w:val="26"/>
          <w:u w:val="single"/>
        </w:rPr>
        <w:tab/>
      </w:r>
    </w:p>
    <w:p w:rsidR="00F40DBB" w:rsidRPr="005A076C" w:rsidRDefault="00F40DBB" w:rsidP="00F40DBB">
      <w:pPr>
        <w:pStyle w:val="Title"/>
        <w:tabs>
          <w:tab w:val="left" w:pos="4320"/>
        </w:tabs>
        <w:ind w:left="4320"/>
        <w:jc w:val="left"/>
        <w:rPr>
          <w:rFonts w:ascii="Times New Roman" w:hAnsi="Times New Roman"/>
          <w:b/>
          <w:sz w:val="26"/>
          <w:szCs w:val="26"/>
        </w:rPr>
      </w:pPr>
      <w:r w:rsidRPr="005A076C">
        <w:rPr>
          <w:rFonts w:ascii="Times New Roman" w:hAnsi="Times New Roman"/>
          <w:b/>
          <w:sz w:val="26"/>
          <w:szCs w:val="26"/>
        </w:rPr>
        <w:t>Thomas W. McNamee</w:t>
      </w:r>
    </w:p>
    <w:p w:rsidR="00F40DBB" w:rsidRPr="005A076C" w:rsidRDefault="00F40DBB" w:rsidP="00F40DBB">
      <w:pPr>
        <w:pStyle w:val="Title"/>
        <w:tabs>
          <w:tab w:val="left" w:pos="4320"/>
        </w:tabs>
        <w:ind w:left="4320"/>
        <w:jc w:val="left"/>
        <w:rPr>
          <w:rFonts w:ascii="Times New Roman" w:hAnsi="Times New Roman"/>
          <w:sz w:val="26"/>
          <w:szCs w:val="26"/>
        </w:rPr>
      </w:pPr>
      <w:r w:rsidRPr="005A076C">
        <w:rPr>
          <w:rFonts w:ascii="Times New Roman" w:hAnsi="Times New Roman"/>
          <w:sz w:val="26"/>
          <w:szCs w:val="26"/>
        </w:rPr>
        <w:t>Assistant Attorney General</w:t>
      </w:r>
    </w:p>
    <w:p w:rsidR="00F40DBB" w:rsidRPr="005A076C" w:rsidRDefault="00F40DBB" w:rsidP="00F40DBB">
      <w:pPr>
        <w:pStyle w:val="Title"/>
        <w:tabs>
          <w:tab w:val="left" w:pos="4320"/>
        </w:tabs>
        <w:ind w:left="4320"/>
        <w:jc w:val="left"/>
        <w:rPr>
          <w:rFonts w:ascii="Times New Roman" w:hAnsi="Times New Roman"/>
          <w:sz w:val="26"/>
          <w:szCs w:val="26"/>
        </w:rPr>
      </w:pPr>
      <w:r w:rsidRPr="005A076C">
        <w:rPr>
          <w:rFonts w:ascii="Times New Roman" w:hAnsi="Times New Roman"/>
          <w:sz w:val="26"/>
          <w:szCs w:val="26"/>
        </w:rPr>
        <w:t>Public Utilities Section</w:t>
      </w:r>
    </w:p>
    <w:p w:rsidR="00F40DBB" w:rsidRPr="005A076C" w:rsidRDefault="00F40DBB" w:rsidP="00F40DBB">
      <w:pPr>
        <w:pStyle w:val="Title"/>
        <w:tabs>
          <w:tab w:val="left" w:pos="4320"/>
        </w:tabs>
        <w:ind w:left="4320"/>
        <w:jc w:val="left"/>
        <w:rPr>
          <w:rFonts w:ascii="Times New Roman" w:hAnsi="Times New Roman"/>
          <w:sz w:val="26"/>
          <w:szCs w:val="26"/>
        </w:rPr>
      </w:pPr>
      <w:r w:rsidRPr="005A076C">
        <w:rPr>
          <w:rFonts w:ascii="Times New Roman" w:hAnsi="Times New Roman"/>
          <w:sz w:val="26"/>
          <w:szCs w:val="26"/>
        </w:rPr>
        <w:t>180 East Broad Street, 6</w:t>
      </w:r>
      <w:r w:rsidRPr="005A076C">
        <w:rPr>
          <w:rFonts w:ascii="Times New Roman" w:hAnsi="Times New Roman"/>
          <w:sz w:val="26"/>
          <w:szCs w:val="26"/>
          <w:vertAlign w:val="superscript"/>
        </w:rPr>
        <w:t>th</w:t>
      </w:r>
      <w:r w:rsidRPr="005A076C">
        <w:rPr>
          <w:rFonts w:ascii="Times New Roman" w:hAnsi="Times New Roman"/>
          <w:sz w:val="26"/>
          <w:szCs w:val="26"/>
        </w:rPr>
        <w:t xml:space="preserve"> Floor</w:t>
      </w:r>
    </w:p>
    <w:p w:rsidR="00F40DBB" w:rsidRPr="005A076C" w:rsidRDefault="00F40DBB" w:rsidP="00F40DBB">
      <w:pPr>
        <w:pStyle w:val="Title"/>
        <w:tabs>
          <w:tab w:val="left" w:pos="4320"/>
        </w:tabs>
        <w:ind w:left="4320"/>
        <w:jc w:val="left"/>
        <w:rPr>
          <w:rFonts w:ascii="Times New Roman" w:hAnsi="Times New Roman"/>
          <w:sz w:val="26"/>
          <w:szCs w:val="26"/>
        </w:rPr>
      </w:pPr>
      <w:r w:rsidRPr="005A076C">
        <w:rPr>
          <w:rFonts w:ascii="Times New Roman" w:hAnsi="Times New Roman"/>
          <w:sz w:val="26"/>
          <w:szCs w:val="26"/>
        </w:rPr>
        <w:t>Columbus, OH  43215-3793</w:t>
      </w:r>
    </w:p>
    <w:p w:rsidR="00F40DBB" w:rsidRPr="005A076C" w:rsidRDefault="00F40DBB" w:rsidP="00F40DBB">
      <w:pPr>
        <w:pStyle w:val="Title"/>
        <w:tabs>
          <w:tab w:val="left" w:pos="4320"/>
        </w:tabs>
        <w:ind w:left="4320"/>
        <w:jc w:val="left"/>
        <w:rPr>
          <w:rFonts w:ascii="Times New Roman" w:hAnsi="Times New Roman"/>
          <w:sz w:val="26"/>
          <w:szCs w:val="26"/>
        </w:rPr>
      </w:pPr>
      <w:r w:rsidRPr="005A076C">
        <w:rPr>
          <w:rFonts w:ascii="Times New Roman" w:hAnsi="Times New Roman"/>
          <w:sz w:val="26"/>
          <w:szCs w:val="26"/>
        </w:rPr>
        <w:t>614.466.4397 (telephone)</w:t>
      </w:r>
    </w:p>
    <w:p w:rsidR="00F40DBB" w:rsidRPr="005A076C" w:rsidRDefault="00F40DBB" w:rsidP="00F40DBB">
      <w:pPr>
        <w:pStyle w:val="Title"/>
        <w:tabs>
          <w:tab w:val="left" w:pos="4320"/>
        </w:tabs>
        <w:ind w:left="4320"/>
        <w:jc w:val="left"/>
        <w:rPr>
          <w:rFonts w:ascii="Times New Roman" w:hAnsi="Times New Roman"/>
          <w:sz w:val="26"/>
          <w:szCs w:val="26"/>
        </w:rPr>
      </w:pPr>
      <w:r w:rsidRPr="005A076C">
        <w:rPr>
          <w:rFonts w:ascii="Times New Roman" w:hAnsi="Times New Roman"/>
          <w:sz w:val="26"/>
          <w:szCs w:val="26"/>
        </w:rPr>
        <w:t>614.644.8764 (fax)</w:t>
      </w:r>
    </w:p>
    <w:p w:rsidR="00F40DBB" w:rsidRPr="005A076C" w:rsidRDefault="00FE03D5" w:rsidP="00F40DBB">
      <w:pPr>
        <w:pStyle w:val="Title"/>
        <w:tabs>
          <w:tab w:val="left" w:pos="4320"/>
        </w:tabs>
        <w:ind w:left="4320"/>
        <w:jc w:val="left"/>
        <w:rPr>
          <w:rFonts w:ascii="Times New Roman" w:hAnsi="Times New Roman"/>
          <w:sz w:val="26"/>
          <w:szCs w:val="26"/>
        </w:rPr>
      </w:pPr>
      <w:hyperlink r:id="rId17" w:history="1">
        <w:r w:rsidR="00F40DBB" w:rsidRPr="005A076C">
          <w:rPr>
            <w:rStyle w:val="Hyperlink"/>
            <w:rFonts w:ascii="Times New Roman" w:hAnsi="Times New Roman"/>
            <w:sz w:val="26"/>
            <w:szCs w:val="26"/>
          </w:rPr>
          <w:t>thomas.mcnamee@puc.state.oh.us</w:t>
        </w:r>
      </w:hyperlink>
    </w:p>
    <w:p w:rsidR="00D631B5" w:rsidRPr="005A076C" w:rsidRDefault="00D631B5" w:rsidP="00D631B5">
      <w:pPr>
        <w:pStyle w:val="ListParagraph"/>
        <w:spacing w:after="240"/>
        <w:ind w:left="1260" w:right="720"/>
        <w:jc w:val="both"/>
        <w:rPr>
          <w:rFonts w:ascii="Times New Roman" w:eastAsia="Times New Roman" w:hAnsi="Times New Roman"/>
          <w:b/>
          <w:sz w:val="24"/>
          <w:szCs w:val="24"/>
        </w:rPr>
      </w:pPr>
    </w:p>
    <w:p w:rsidR="00D631B5" w:rsidRPr="005A076C" w:rsidRDefault="00D631B5">
      <w:pPr>
        <w:rPr>
          <w:b/>
          <w:sz w:val="24"/>
          <w:szCs w:val="24"/>
        </w:rPr>
      </w:pPr>
      <w:r w:rsidRPr="005A076C">
        <w:rPr>
          <w:b/>
          <w:sz w:val="24"/>
          <w:szCs w:val="24"/>
        </w:rPr>
        <w:br w:type="page"/>
      </w:r>
    </w:p>
    <w:p w:rsidR="00200A0A" w:rsidRPr="005A076C" w:rsidRDefault="00737104" w:rsidP="00F40DBB">
      <w:pPr>
        <w:pStyle w:val="Heading1"/>
      </w:pPr>
      <w:bookmarkStart w:id="65" w:name="_Toc335401754"/>
      <w:r w:rsidRPr="005A076C">
        <w:lastRenderedPageBreak/>
        <w:t>I</w:t>
      </w:r>
      <w:r w:rsidR="00F30925" w:rsidRPr="005A076C">
        <w:t>X.</w:t>
      </w:r>
      <w:r w:rsidR="00F30925" w:rsidRPr="005A076C">
        <w:tab/>
      </w:r>
      <w:r w:rsidR="00322F45" w:rsidRPr="005A076C">
        <w:t>PROOF OF SERVICE</w:t>
      </w:r>
      <w:bookmarkEnd w:id="64"/>
      <w:bookmarkEnd w:id="65"/>
    </w:p>
    <w:p w:rsidR="00200A0A" w:rsidRPr="005A076C" w:rsidRDefault="00F40DBB" w:rsidP="005A076C">
      <w:pPr>
        <w:pStyle w:val="textstyle0"/>
      </w:pPr>
      <w:r>
        <w:tab/>
      </w:r>
      <w:r w:rsidR="00200A0A" w:rsidRPr="005A076C">
        <w:t xml:space="preserve">I hereby certify that a true copy of the foregoing </w:t>
      </w:r>
      <w:r>
        <w:rPr>
          <w:b/>
        </w:rPr>
        <w:t>Comments and Recommendations</w:t>
      </w:r>
      <w:r w:rsidR="0064436A" w:rsidRPr="005A076C">
        <w:rPr>
          <w:b/>
        </w:rPr>
        <w:t xml:space="preserve"> </w:t>
      </w:r>
      <w:r w:rsidR="00200A0A" w:rsidRPr="005A076C">
        <w:t>submitted on behalf of the Staff of the Public Utilities Commis</w:t>
      </w:r>
      <w:r w:rsidR="00200A0A" w:rsidRPr="005A076C">
        <w:softHyphen/>
        <w:t>sion of Ohio,</w:t>
      </w:r>
      <w:r w:rsidR="00200A0A" w:rsidRPr="005A076C">
        <w:rPr>
          <w:b/>
        </w:rPr>
        <w:t xml:space="preserve"> </w:t>
      </w:r>
      <w:r w:rsidR="00200A0A" w:rsidRPr="005A076C">
        <w:t>was served by regular U.S. mail, postage pre</w:t>
      </w:r>
      <w:r w:rsidR="00200A0A" w:rsidRPr="005A076C">
        <w:softHyphen/>
        <w:t xml:space="preserve">paid, or hand-delivered, upon </w:t>
      </w:r>
      <w:r w:rsidR="00977F01" w:rsidRPr="005A076C">
        <w:t>the following Parties of Record</w:t>
      </w:r>
      <w:r w:rsidR="00721F2D" w:rsidRPr="005A076C">
        <w:t xml:space="preserve">, </w:t>
      </w:r>
      <w:r w:rsidR="00200A0A" w:rsidRPr="005A076C">
        <w:t xml:space="preserve">this </w:t>
      </w:r>
      <w:r w:rsidR="00721F2D" w:rsidRPr="005A076C">
        <w:t>1</w:t>
      </w:r>
      <w:r>
        <w:t>4</w:t>
      </w:r>
      <w:r w:rsidR="001A5C2F" w:rsidRPr="005A076C">
        <w:rPr>
          <w:vertAlign w:val="superscript"/>
        </w:rPr>
        <w:t>th</w:t>
      </w:r>
      <w:r w:rsidR="001A5C2F" w:rsidRPr="005A076C">
        <w:t xml:space="preserve"> </w:t>
      </w:r>
      <w:r w:rsidR="004B6358" w:rsidRPr="005A076C">
        <w:t>d</w:t>
      </w:r>
      <w:r w:rsidR="00200A0A" w:rsidRPr="005A076C">
        <w:t xml:space="preserve">ay of </w:t>
      </w:r>
      <w:r w:rsidR="002126AA" w:rsidRPr="005A076C">
        <w:t>September</w:t>
      </w:r>
      <w:r w:rsidR="00200A0A" w:rsidRPr="005A076C">
        <w:t>, 20</w:t>
      </w:r>
      <w:r w:rsidR="00B86CBC" w:rsidRPr="005A076C">
        <w:t>1</w:t>
      </w:r>
      <w:r w:rsidR="002126AA" w:rsidRPr="005A076C">
        <w:t>2</w:t>
      </w:r>
      <w:r w:rsidR="00200A0A" w:rsidRPr="005A076C">
        <w:t>.</w:t>
      </w:r>
    </w:p>
    <w:p w:rsidR="00200A0A" w:rsidRPr="005A076C" w:rsidRDefault="00200A0A" w:rsidP="00D35962">
      <w:pPr>
        <w:spacing w:line="276" w:lineRule="auto"/>
        <w:jc w:val="both"/>
        <w:rPr>
          <w:sz w:val="24"/>
          <w:szCs w:val="24"/>
        </w:rPr>
      </w:pPr>
    </w:p>
    <w:p w:rsidR="00177F90" w:rsidRPr="00F40DBB" w:rsidRDefault="00177F90" w:rsidP="00177F90">
      <w:pPr>
        <w:pStyle w:val="Title"/>
        <w:tabs>
          <w:tab w:val="left" w:pos="4320"/>
          <w:tab w:val="left" w:pos="9360"/>
        </w:tabs>
        <w:ind w:left="4320"/>
        <w:jc w:val="left"/>
        <w:rPr>
          <w:rFonts w:ascii="Times New Roman" w:hAnsi="Times New Roman"/>
          <w:sz w:val="26"/>
          <w:szCs w:val="26"/>
          <w:u w:val="single"/>
        </w:rPr>
      </w:pPr>
      <w:r w:rsidRPr="00F40DBB">
        <w:rPr>
          <w:rFonts w:ascii="Viner Hand ITC" w:hAnsi="Viner Hand ITC"/>
          <w:i/>
          <w:sz w:val="32"/>
          <w:szCs w:val="32"/>
          <w:u w:val="single"/>
        </w:rPr>
        <w:t xml:space="preserve">/s/ </w:t>
      </w:r>
      <w:bookmarkStart w:id="66" w:name="_GoBack"/>
      <w:bookmarkEnd w:id="66"/>
      <w:r w:rsidRPr="00F40DBB">
        <w:rPr>
          <w:rFonts w:ascii="Viner Hand ITC" w:hAnsi="Viner Hand ITC"/>
          <w:i/>
          <w:sz w:val="32"/>
          <w:szCs w:val="32"/>
          <w:u w:val="single"/>
        </w:rPr>
        <w:t>Thomas W. McNamee</w:t>
      </w:r>
      <w:r>
        <w:rPr>
          <w:rFonts w:ascii="Times New Roman" w:hAnsi="Times New Roman"/>
          <w:sz w:val="26"/>
          <w:szCs w:val="26"/>
          <w:u w:val="single"/>
        </w:rPr>
        <w:tab/>
      </w:r>
    </w:p>
    <w:p w:rsidR="00200A0A" w:rsidRPr="00F40DBB" w:rsidRDefault="00F40DBB" w:rsidP="00D35962">
      <w:pPr>
        <w:spacing w:line="276" w:lineRule="auto"/>
        <w:ind w:left="4332"/>
        <w:jc w:val="both"/>
        <w:rPr>
          <w:b/>
          <w:sz w:val="26"/>
          <w:szCs w:val="26"/>
        </w:rPr>
      </w:pPr>
      <w:r w:rsidRPr="00F40DBB">
        <w:rPr>
          <w:b/>
          <w:sz w:val="26"/>
          <w:szCs w:val="26"/>
        </w:rPr>
        <w:t>Thomas W. McNamee</w:t>
      </w:r>
    </w:p>
    <w:p w:rsidR="00200A0A" w:rsidRPr="00F40DBB" w:rsidRDefault="00200A0A" w:rsidP="00D35962">
      <w:pPr>
        <w:spacing w:line="276" w:lineRule="auto"/>
        <w:ind w:left="4332"/>
        <w:jc w:val="both"/>
        <w:rPr>
          <w:sz w:val="26"/>
          <w:szCs w:val="26"/>
        </w:rPr>
      </w:pPr>
      <w:r w:rsidRPr="00F40DBB">
        <w:rPr>
          <w:sz w:val="26"/>
          <w:szCs w:val="26"/>
        </w:rPr>
        <w:t>Assistant Attorney General</w:t>
      </w:r>
    </w:p>
    <w:p w:rsidR="00977F01" w:rsidRPr="00F40DBB" w:rsidRDefault="00977F01" w:rsidP="00D35962">
      <w:pPr>
        <w:spacing w:line="276" w:lineRule="auto"/>
        <w:ind w:left="4332"/>
        <w:jc w:val="both"/>
        <w:rPr>
          <w:sz w:val="26"/>
          <w:szCs w:val="26"/>
        </w:rPr>
      </w:pPr>
    </w:p>
    <w:p w:rsidR="00977F01" w:rsidRPr="00EC4352" w:rsidRDefault="00977F01" w:rsidP="00D35962">
      <w:pPr>
        <w:spacing w:line="276" w:lineRule="auto"/>
        <w:jc w:val="both"/>
        <w:rPr>
          <w:b/>
          <w:sz w:val="26"/>
          <w:szCs w:val="26"/>
        </w:rPr>
      </w:pPr>
      <w:r w:rsidRPr="00EC4352">
        <w:rPr>
          <w:b/>
          <w:sz w:val="26"/>
          <w:szCs w:val="26"/>
        </w:rPr>
        <w:t>Parties of Record:</w:t>
      </w:r>
    </w:p>
    <w:p w:rsidR="00977F01" w:rsidRPr="00EC4352" w:rsidRDefault="00977F01" w:rsidP="00D35962">
      <w:pPr>
        <w:spacing w:line="276" w:lineRule="auto"/>
        <w:jc w:val="both"/>
        <w:rPr>
          <w:b/>
          <w:sz w:val="26"/>
          <w:szCs w:val="26"/>
        </w:rPr>
      </w:pPr>
    </w:p>
    <w:tbl>
      <w:tblPr>
        <w:tblW w:w="0" w:type="auto"/>
        <w:tblLook w:val="01E0" w:firstRow="1" w:lastRow="1" w:firstColumn="1" w:lastColumn="1" w:noHBand="0" w:noVBand="0"/>
      </w:tblPr>
      <w:tblGrid>
        <w:gridCol w:w="4788"/>
        <w:gridCol w:w="4788"/>
      </w:tblGrid>
      <w:tr w:rsidR="00977F01" w:rsidRPr="00EC4352" w:rsidTr="00FF5711">
        <w:tc>
          <w:tcPr>
            <w:tcW w:w="4788" w:type="dxa"/>
          </w:tcPr>
          <w:p w:rsidR="00977F01" w:rsidRPr="00EC4352" w:rsidRDefault="00977F01" w:rsidP="00D35962">
            <w:pPr>
              <w:spacing w:line="276" w:lineRule="auto"/>
              <w:jc w:val="both"/>
              <w:rPr>
                <w:sz w:val="26"/>
                <w:szCs w:val="26"/>
              </w:rPr>
            </w:pPr>
            <w:r w:rsidRPr="00EC4352">
              <w:rPr>
                <w:sz w:val="26"/>
                <w:szCs w:val="26"/>
              </w:rPr>
              <w:t>Steve T. Nourse</w:t>
            </w:r>
          </w:p>
          <w:p w:rsidR="00787741" w:rsidRPr="00EC4352" w:rsidRDefault="00787741" w:rsidP="00D35962">
            <w:pPr>
              <w:spacing w:line="276" w:lineRule="auto"/>
              <w:jc w:val="both"/>
              <w:rPr>
                <w:sz w:val="26"/>
                <w:szCs w:val="26"/>
              </w:rPr>
            </w:pPr>
            <w:r w:rsidRPr="00EC4352">
              <w:rPr>
                <w:sz w:val="26"/>
                <w:szCs w:val="26"/>
              </w:rPr>
              <w:t>David C. House</w:t>
            </w:r>
          </w:p>
          <w:p w:rsidR="00977F01" w:rsidRPr="00EC4352" w:rsidRDefault="00977F01" w:rsidP="00D35962">
            <w:pPr>
              <w:spacing w:line="276" w:lineRule="auto"/>
              <w:jc w:val="both"/>
              <w:rPr>
                <w:sz w:val="26"/>
                <w:szCs w:val="26"/>
              </w:rPr>
            </w:pPr>
            <w:r w:rsidRPr="00EC4352">
              <w:rPr>
                <w:sz w:val="26"/>
                <w:szCs w:val="26"/>
              </w:rPr>
              <w:t>American Electric Power Service Corp.</w:t>
            </w:r>
          </w:p>
          <w:p w:rsidR="00977F01" w:rsidRPr="00EC4352" w:rsidRDefault="00977F01" w:rsidP="00D35962">
            <w:pPr>
              <w:spacing w:line="276" w:lineRule="auto"/>
              <w:jc w:val="both"/>
              <w:rPr>
                <w:sz w:val="26"/>
                <w:szCs w:val="26"/>
              </w:rPr>
            </w:pPr>
            <w:r w:rsidRPr="00EC4352">
              <w:rPr>
                <w:sz w:val="26"/>
                <w:szCs w:val="26"/>
              </w:rPr>
              <w:t>1 Riverside Plaza, 29</w:t>
            </w:r>
            <w:r w:rsidRPr="00EC4352">
              <w:rPr>
                <w:sz w:val="26"/>
                <w:szCs w:val="26"/>
                <w:vertAlign w:val="superscript"/>
              </w:rPr>
              <w:t>th</w:t>
            </w:r>
            <w:r w:rsidRPr="00EC4352">
              <w:rPr>
                <w:sz w:val="26"/>
                <w:szCs w:val="26"/>
              </w:rPr>
              <w:t xml:space="preserve"> Floor</w:t>
            </w:r>
          </w:p>
          <w:p w:rsidR="00977F01" w:rsidRPr="00EC4352" w:rsidRDefault="00977F01" w:rsidP="00D35962">
            <w:pPr>
              <w:spacing w:line="276" w:lineRule="auto"/>
              <w:jc w:val="both"/>
              <w:rPr>
                <w:sz w:val="26"/>
                <w:szCs w:val="26"/>
              </w:rPr>
            </w:pPr>
            <w:r w:rsidRPr="00EC4352">
              <w:rPr>
                <w:sz w:val="26"/>
                <w:szCs w:val="26"/>
              </w:rPr>
              <w:t>Columbus, OH  43215</w:t>
            </w:r>
          </w:p>
          <w:p w:rsidR="00977F01" w:rsidRPr="00EC4352" w:rsidRDefault="00977F01" w:rsidP="00D35962">
            <w:pPr>
              <w:spacing w:line="276" w:lineRule="auto"/>
              <w:jc w:val="both"/>
              <w:rPr>
                <w:sz w:val="26"/>
                <w:szCs w:val="26"/>
              </w:rPr>
            </w:pPr>
            <w:r w:rsidRPr="00EC4352">
              <w:rPr>
                <w:sz w:val="26"/>
                <w:szCs w:val="26"/>
              </w:rPr>
              <w:t>614.716.1606 (telephone)</w:t>
            </w:r>
          </w:p>
          <w:p w:rsidR="00977F01" w:rsidRPr="00EC4352" w:rsidRDefault="00977F01" w:rsidP="00D35962">
            <w:pPr>
              <w:spacing w:line="276" w:lineRule="auto"/>
              <w:jc w:val="both"/>
              <w:rPr>
                <w:sz w:val="26"/>
                <w:szCs w:val="26"/>
              </w:rPr>
            </w:pPr>
            <w:r w:rsidRPr="00EC4352">
              <w:rPr>
                <w:sz w:val="26"/>
                <w:szCs w:val="26"/>
              </w:rPr>
              <w:t>614.716.2950 (fax)</w:t>
            </w:r>
          </w:p>
          <w:p w:rsidR="00977F01" w:rsidRPr="00EC4352" w:rsidRDefault="00FE03D5" w:rsidP="00D35962">
            <w:pPr>
              <w:spacing w:line="276" w:lineRule="auto"/>
              <w:jc w:val="both"/>
              <w:rPr>
                <w:rStyle w:val="Hyperlink"/>
                <w:sz w:val="26"/>
                <w:szCs w:val="26"/>
              </w:rPr>
            </w:pPr>
            <w:hyperlink r:id="rId18" w:history="1">
              <w:r w:rsidR="00977F01" w:rsidRPr="00EC4352">
                <w:rPr>
                  <w:rStyle w:val="Hyperlink"/>
                  <w:sz w:val="26"/>
                  <w:szCs w:val="26"/>
                </w:rPr>
                <w:t>stnourse@aep.com</w:t>
              </w:r>
            </w:hyperlink>
          </w:p>
          <w:p w:rsidR="00787741" w:rsidRPr="00EC4352" w:rsidRDefault="00787741" w:rsidP="00D35962">
            <w:pPr>
              <w:spacing w:line="276" w:lineRule="auto"/>
              <w:jc w:val="both"/>
              <w:rPr>
                <w:sz w:val="26"/>
                <w:szCs w:val="26"/>
              </w:rPr>
            </w:pPr>
            <w:r w:rsidRPr="00EC4352">
              <w:rPr>
                <w:rStyle w:val="Hyperlink"/>
                <w:sz w:val="26"/>
                <w:szCs w:val="26"/>
              </w:rPr>
              <w:t>dchouse@aep.com</w:t>
            </w:r>
          </w:p>
          <w:p w:rsidR="00977F01" w:rsidRPr="00EC4352" w:rsidRDefault="00977F01" w:rsidP="00D35962">
            <w:pPr>
              <w:spacing w:line="276" w:lineRule="auto"/>
              <w:jc w:val="both"/>
              <w:rPr>
                <w:sz w:val="26"/>
                <w:szCs w:val="26"/>
              </w:rPr>
            </w:pPr>
          </w:p>
          <w:p w:rsidR="00977F01" w:rsidRPr="00EC4352" w:rsidRDefault="00A413E1" w:rsidP="00D35962">
            <w:pPr>
              <w:spacing w:line="276" w:lineRule="auto"/>
              <w:jc w:val="both"/>
              <w:rPr>
                <w:sz w:val="26"/>
                <w:szCs w:val="26"/>
              </w:rPr>
            </w:pPr>
            <w:r w:rsidRPr="00EC4352">
              <w:rPr>
                <w:sz w:val="26"/>
                <w:szCs w:val="26"/>
              </w:rPr>
              <w:t>Kyle I. Kern</w:t>
            </w:r>
          </w:p>
          <w:p w:rsidR="00977F01" w:rsidRPr="00EC4352" w:rsidRDefault="00977F01" w:rsidP="00D35962">
            <w:pPr>
              <w:spacing w:line="276" w:lineRule="auto"/>
              <w:jc w:val="both"/>
              <w:rPr>
                <w:sz w:val="26"/>
                <w:szCs w:val="26"/>
              </w:rPr>
            </w:pPr>
            <w:r w:rsidRPr="00EC4352">
              <w:rPr>
                <w:sz w:val="26"/>
                <w:szCs w:val="26"/>
              </w:rPr>
              <w:t>Assistant Consumers’ Counsel</w:t>
            </w:r>
          </w:p>
          <w:p w:rsidR="00977F01" w:rsidRPr="00EC4352" w:rsidRDefault="00977F01" w:rsidP="00D35962">
            <w:pPr>
              <w:spacing w:line="276" w:lineRule="auto"/>
              <w:jc w:val="both"/>
              <w:rPr>
                <w:sz w:val="26"/>
                <w:szCs w:val="26"/>
              </w:rPr>
            </w:pPr>
            <w:r w:rsidRPr="00EC4352">
              <w:rPr>
                <w:sz w:val="26"/>
                <w:szCs w:val="26"/>
              </w:rPr>
              <w:t>Office of the Ohio Consumers’ Counsel</w:t>
            </w:r>
          </w:p>
          <w:p w:rsidR="00977F01" w:rsidRPr="00EC4352" w:rsidRDefault="00977F01" w:rsidP="00D35962">
            <w:pPr>
              <w:spacing w:line="276" w:lineRule="auto"/>
              <w:jc w:val="both"/>
              <w:rPr>
                <w:sz w:val="26"/>
                <w:szCs w:val="26"/>
              </w:rPr>
            </w:pPr>
            <w:r w:rsidRPr="00EC4352">
              <w:rPr>
                <w:sz w:val="26"/>
                <w:szCs w:val="26"/>
              </w:rPr>
              <w:t>10 West Broad Street</w:t>
            </w:r>
          </w:p>
          <w:p w:rsidR="00977F01" w:rsidRPr="00EC4352" w:rsidRDefault="00977F01" w:rsidP="00D35962">
            <w:pPr>
              <w:spacing w:line="276" w:lineRule="auto"/>
              <w:jc w:val="both"/>
              <w:rPr>
                <w:sz w:val="26"/>
                <w:szCs w:val="26"/>
              </w:rPr>
            </w:pPr>
            <w:r w:rsidRPr="00EC4352">
              <w:rPr>
                <w:sz w:val="26"/>
                <w:szCs w:val="26"/>
              </w:rPr>
              <w:t>Suite 1800</w:t>
            </w:r>
          </w:p>
          <w:p w:rsidR="00977F01" w:rsidRPr="00EC4352" w:rsidRDefault="00977F01" w:rsidP="00D35962">
            <w:pPr>
              <w:spacing w:line="276" w:lineRule="auto"/>
              <w:jc w:val="both"/>
              <w:rPr>
                <w:sz w:val="26"/>
                <w:szCs w:val="26"/>
              </w:rPr>
            </w:pPr>
            <w:r w:rsidRPr="00EC4352">
              <w:rPr>
                <w:sz w:val="26"/>
                <w:szCs w:val="26"/>
              </w:rPr>
              <w:t>Columbus, OH  43215</w:t>
            </w:r>
          </w:p>
          <w:p w:rsidR="00977F01" w:rsidRPr="00EC4352" w:rsidRDefault="00977F01" w:rsidP="00D35962">
            <w:pPr>
              <w:spacing w:line="276" w:lineRule="auto"/>
              <w:jc w:val="both"/>
              <w:rPr>
                <w:sz w:val="26"/>
                <w:szCs w:val="26"/>
              </w:rPr>
            </w:pPr>
            <w:r w:rsidRPr="00EC4352">
              <w:rPr>
                <w:sz w:val="26"/>
                <w:szCs w:val="26"/>
              </w:rPr>
              <w:t>614.466.8574 (telephone)</w:t>
            </w:r>
          </w:p>
          <w:p w:rsidR="00977F01" w:rsidRPr="00EC4352" w:rsidRDefault="00977F01" w:rsidP="00D35962">
            <w:pPr>
              <w:spacing w:line="276" w:lineRule="auto"/>
              <w:jc w:val="both"/>
              <w:rPr>
                <w:sz w:val="26"/>
                <w:szCs w:val="26"/>
              </w:rPr>
            </w:pPr>
            <w:r w:rsidRPr="00EC4352">
              <w:rPr>
                <w:sz w:val="26"/>
                <w:szCs w:val="26"/>
              </w:rPr>
              <w:t>614.466.9475 (fax)</w:t>
            </w:r>
          </w:p>
          <w:p w:rsidR="00977F01" w:rsidRPr="00EC4352" w:rsidRDefault="00FE03D5" w:rsidP="00D35962">
            <w:pPr>
              <w:spacing w:line="276" w:lineRule="auto"/>
              <w:jc w:val="both"/>
              <w:rPr>
                <w:sz w:val="26"/>
                <w:szCs w:val="26"/>
              </w:rPr>
            </w:pPr>
            <w:hyperlink r:id="rId19" w:history="1">
              <w:r w:rsidR="00A413E1" w:rsidRPr="00EC4352">
                <w:rPr>
                  <w:rStyle w:val="Hyperlink"/>
                  <w:sz w:val="26"/>
                  <w:szCs w:val="26"/>
                </w:rPr>
                <w:t>kern@occ.state.oh.us</w:t>
              </w:r>
            </w:hyperlink>
          </w:p>
          <w:p w:rsidR="00977F01" w:rsidRPr="00EC4352" w:rsidRDefault="00977F01" w:rsidP="00D35962">
            <w:pPr>
              <w:spacing w:line="276" w:lineRule="auto"/>
              <w:jc w:val="both"/>
              <w:rPr>
                <w:sz w:val="26"/>
                <w:szCs w:val="26"/>
              </w:rPr>
            </w:pPr>
          </w:p>
        </w:tc>
        <w:tc>
          <w:tcPr>
            <w:tcW w:w="4788" w:type="dxa"/>
          </w:tcPr>
          <w:p w:rsidR="00A413E1" w:rsidRPr="00EC4352" w:rsidRDefault="00A413E1" w:rsidP="00D35962">
            <w:pPr>
              <w:spacing w:line="276" w:lineRule="auto"/>
              <w:jc w:val="both"/>
              <w:rPr>
                <w:sz w:val="26"/>
                <w:szCs w:val="26"/>
              </w:rPr>
            </w:pPr>
            <w:r w:rsidRPr="00EC4352">
              <w:rPr>
                <w:sz w:val="26"/>
                <w:szCs w:val="26"/>
              </w:rPr>
              <w:t>Daniel R. Conway</w:t>
            </w:r>
          </w:p>
          <w:p w:rsidR="00977F01" w:rsidRPr="00EC4352" w:rsidRDefault="00A413E1" w:rsidP="00D35962">
            <w:pPr>
              <w:spacing w:line="276" w:lineRule="auto"/>
              <w:jc w:val="both"/>
              <w:rPr>
                <w:sz w:val="26"/>
                <w:szCs w:val="26"/>
              </w:rPr>
            </w:pPr>
            <w:r w:rsidRPr="00EC4352">
              <w:rPr>
                <w:sz w:val="26"/>
                <w:szCs w:val="26"/>
              </w:rPr>
              <w:t>Kathleen M. Trafford</w:t>
            </w:r>
          </w:p>
          <w:p w:rsidR="00A413E1" w:rsidRPr="00EC4352" w:rsidRDefault="00EC4352" w:rsidP="00D35962">
            <w:pPr>
              <w:spacing w:line="276" w:lineRule="auto"/>
              <w:jc w:val="both"/>
              <w:rPr>
                <w:sz w:val="26"/>
                <w:szCs w:val="26"/>
              </w:rPr>
            </w:pPr>
            <w:r w:rsidRPr="00EC4352">
              <w:rPr>
                <w:sz w:val="26"/>
                <w:szCs w:val="26"/>
              </w:rPr>
              <w:t xml:space="preserve">Porter Wright Morris &amp; Arthur </w:t>
            </w:r>
          </w:p>
          <w:p w:rsidR="00A413E1" w:rsidRPr="00EC4352" w:rsidRDefault="00A413E1" w:rsidP="00D35962">
            <w:pPr>
              <w:spacing w:line="276" w:lineRule="auto"/>
              <w:jc w:val="both"/>
              <w:rPr>
                <w:sz w:val="26"/>
                <w:szCs w:val="26"/>
              </w:rPr>
            </w:pPr>
            <w:r w:rsidRPr="00EC4352">
              <w:rPr>
                <w:sz w:val="26"/>
                <w:szCs w:val="26"/>
              </w:rPr>
              <w:t>Huntington Center</w:t>
            </w:r>
          </w:p>
          <w:p w:rsidR="00A413E1" w:rsidRPr="00EC4352" w:rsidRDefault="00A413E1" w:rsidP="00D35962">
            <w:pPr>
              <w:spacing w:line="276" w:lineRule="auto"/>
              <w:jc w:val="both"/>
              <w:rPr>
                <w:sz w:val="26"/>
                <w:szCs w:val="26"/>
              </w:rPr>
            </w:pPr>
            <w:r w:rsidRPr="00EC4352">
              <w:rPr>
                <w:sz w:val="26"/>
                <w:szCs w:val="26"/>
              </w:rPr>
              <w:t>41, S. High Street</w:t>
            </w:r>
          </w:p>
          <w:p w:rsidR="00A413E1" w:rsidRPr="00EC4352" w:rsidRDefault="00A413E1" w:rsidP="00D35962">
            <w:pPr>
              <w:spacing w:line="276" w:lineRule="auto"/>
              <w:jc w:val="both"/>
              <w:rPr>
                <w:sz w:val="26"/>
                <w:szCs w:val="26"/>
              </w:rPr>
            </w:pPr>
            <w:r w:rsidRPr="00EC4352">
              <w:rPr>
                <w:sz w:val="26"/>
                <w:szCs w:val="26"/>
              </w:rPr>
              <w:t>Columbus, Ohio 43215</w:t>
            </w:r>
          </w:p>
          <w:p w:rsidR="00A413E1" w:rsidRPr="00EC4352" w:rsidRDefault="00A413E1" w:rsidP="00D35962">
            <w:pPr>
              <w:spacing w:line="276" w:lineRule="auto"/>
              <w:jc w:val="both"/>
              <w:rPr>
                <w:sz w:val="26"/>
                <w:szCs w:val="26"/>
              </w:rPr>
            </w:pPr>
            <w:r w:rsidRPr="00EC4352">
              <w:rPr>
                <w:sz w:val="26"/>
                <w:szCs w:val="26"/>
              </w:rPr>
              <w:t>Telephone: (614) 227-2770</w:t>
            </w:r>
          </w:p>
          <w:p w:rsidR="00A413E1" w:rsidRPr="00EC4352" w:rsidRDefault="00A413E1" w:rsidP="00D35962">
            <w:pPr>
              <w:spacing w:line="276" w:lineRule="auto"/>
              <w:jc w:val="both"/>
              <w:rPr>
                <w:sz w:val="26"/>
                <w:szCs w:val="26"/>
              </w:rPr>
            </w:pPr>
            <w:r w:rsidRPr="00EC4352">
              <w:rPr>
                <w:sz w:val="26"/>
                <w:szCs w:val="26"/>
              </w:rPr>
              <w:t>Fax: (614) 227-2100</w:t>
            </w:r>
          </w:p>
          <w:p w:rsidR="00A413E1" w:rsidRPr="00EC4352" w:rsidRDefault="00FE03D5" w:rsidP="00D35962">
            <w:pPr>
              <w:spacing w:line="276" w:lineRule="auto"/>
              <w:jc w:val="both"/>
              <w:rPr>
                <w:sz w:val="26"/>
                <w:szCs w:val="26"/>
              </w:rPr>
            </w:pPr>
            <w:hyperlink r:id="rId20" w:history="1">
              <w:r w:rsidR="00A413E1" w:rsidRPr="00EC4352">
                <w:rPr>
                  <w:rStyle w:val="Hyperlink"/>
                  <w:sz w:val="26"/>
                  <w:szCs w:val="26"/>
                </w:rPr>
                <w:t>dconway@porterwright.com</w:t>
              </w:r>
            </w:hyperlink>
          </w:p>
          <w:p w:rsidR="00A413E1" w:rsidRPr="00EC4352" w:rsidRDefault="00FE03D5" w:rsidP="00D35962">
            <w:pPr>
              <w:spacing w:line="276" w:lineRule="auto"/>
              <w:jc w:val="both"/>
              <w:rPr>
                <w:sz w:val="26"/>
                <w:szCs w:val="26"/>
              </w:rPr>
            </w:pPr>
            <w:hyperlink r:id="rId21" w:history="1">
              <w:r w:rsidR="00A413E1" w:rsidRPr="00EC4352">
                <w:rPr>
                  <w:rStyle w:val="Hyperlink"/>
                  <w:sz w:val="26"/>
                  <w:szCs w:val="26"/>
                </w:rPr>
                <w:t>ktrafford@porterwright.com</w:t>
              </w:r>
            </w:hyperlink>
          </w:p>
          <w:p w:rsidR="00977F01" w:rsidRPr="00EC4352" w:rsidRDefault="00A413E1" w:rsidP="00D35962">
            <w:pPr>
              <w:spacing w:line="276" w:lineRule="auto"/>
              <w:jc w:val="both"/>
              <w:rPr>
                <w:sz w:val="26"/>
                <w:szCs w:val="26"/>
              </w:rPr>
            </w:pPr>
            <w:r w:rsidRPr="00EC4352">
              <w:rPr>
                <w:sz w:val="26"/>
                <w:szCs w:val="26"/>
              </w:rPr>
              <w:t xml:space="preserve"> </w:t>
            </w:r>
          </w:p>
          <w:p w:rsidR="00977F01" w:rsidRPr="00EC4352" w:rsidRDefault="00977F01" w:rsidP="00D35962">
            <w:pPr>
              <w:spacing w:line="276" w:lineRule="auto"/>
              <w:ind w:left="720" w:hanging="720"/>
              <w:jc w:val="both"/>
              <w:rPr>
                <w:sz w:val="26"/>
                <w:szCs w:val="26"/>
              </w:rPr>
            </w:pPr>
          </w:p>
        </w:tc>
      </w:tr>
    </w:tbl>
    <w:p w:rsidR="00322F45" w:rsidRPr="005A076C" w:rsidRDefault="00322F45" w:rsidP="00D35962">
      <w:pPr>
        <w:spacing w:line="276" w:lineRule="auto"/>
        <w:ind w:left="4332"/>
        <w:jc w:val="both"/>
        <w:rPr>
          <w:sz w:val="24"/>
          <w:szCs w:val="24"/>
        </w:rPr>
        <w:sectPr w:rsidR="00322F45" w:rsidRPr="005A076C" w:rsidSect="005A076C">
          <w:headerReference w:type="default" r:id="rId22"/>
          <w:footerReference w:type="default" r:id="rId23"/>
          <w:headerReference w:type="first" r:id="rId24"/>
          <w:footerReference w:type="first" r:id="rId25"/>
          <w:footnotePr>
            <w:numRestart w:val="eachSect"/>
          </w:footnotePr>
          <w:pgSz w:w="12240" w:h="15840" w:code="1"/>
          <w:pgMar w:top="1440" w:right="1440" w:bottom="1440" w:left="1440" w:header="720" w:footer="720" w:gutter="0"/>
          <w:pgNumType w:start="1"/>
          <w:cols w:space="720"/>
          <w:docGrid w:linePitch="360"/>
        </w:sectPr>
      </w:pPr>
    </w:p>
    <w:p w:rsidR="009B60E6" w:rsidRPr="005A076C" w:rsidRDefault="009B60E6" w:rsidP="007F47B9">
      <w:pPr>
        <w:pStyle w:val="NoSpacing"/>
        <w:suppressLineNumbers/>
        <w:spacing w:line="276" w:lineRule="auto"/>
        <w:jc w:val="right"/>
        <w:rPr>
          <w:rFonts w:ascii="Times New Roman" w:hAnsi="Times New Roman"/>
          <w:b/>
          <w:szCs w:val="24"/>
        </w:rPr>
      </w:pPr>
      <w:r w:rsidRPr="005A076C">
        <w:rPr>
          <w:rFonts w:ascii="Times New Roman" w:hAnsi="Times New Roman"/>
          <w:b/>
          <w:szCs w:val="24"/>
        </w:rPr>
        <w:lastRenderedPageBreak/>
        <w:t xml:space="preserve">Case No. </w:t>
      </w:r>
      <w:r w:rsidRPr="005A076C">
        <w:rPr>
          <w:rFonts w:ascii="Times New Roman" w:hAnsi="Times New Roman"/>
          <w:b/>
          <w:snapToGrid w:val="0"/>
          <w:szCs w:val="24"/>
        </w:rPr>
        <w:t>12</w:t>
      </w:r>
      <w:r w:rsidRPr="005A076C">
        <w:rPr>
          <w:rFonts w:ascii="Times New Roman" w:hAnsi="Times New Roman"/>
          <w:b/>
          <w:szCs w:val="24"/>
        </w:rPr>
        <w:t>-</w:t>
      </w:r>
      <w:r w:rsidR="00A00640">
        <w:rPr>
          <w:rFonts w:ascii="Times New Roman" w:hAnsi="Times New Roman"/>
          <w:b/>
          <w:szCs w:val="24"/>
        </w:rPr>
        <w:t>1969</w:t>
      </w:r>
      <w:r w:rsidRPr="005A076C">
        <w:rPr>
          <w:rFonts w:ascii="Times New Roman" w:hAnsi="Times New Roman"/>
          <w:b/>
          <w:szCs w:val="24"/>
        </w:rPr>
        <w:t>-EL-ATS</w:t>
      </w:r>
    </w:p>
    <w:p w:rsidR="009B60E6" w:rsidRPr="005A076C" w:rsidRDefault="009B60E6" w:rsidP="007F47B9">
      <w:pPr>
        <w:pStyle w:val="NoSpacing"/>
        <w:suppressLineNumbers/>
        <w:spacing w:line="276" w:lineRule="auto"/>
        <w:jc w:val="right"/>
        <w:rPr>
          <w:rFonts w:ascii="Times New Roman" w:hAnsi="Times New Roman"/>
          <w:b/>
          <w:szCs w:val="24"/>
        </w:rPr>
      </w:pPr>
      <w:r w:rsidRPr="005A076C">
        <w:rPr>
          <w:rFonts w:ascii="Times New Roman" w:hAnsi="Times New Roman"/>
          <w:b/>
          <w:szCs w:val="24"/>
        </w:rPr>
        <w:t>Staff Exhibit</w:t>
      </w:r>
    </w:p>
    <w:p w:rsidR="009B60E6" w:rsidRPr="005A076C" w:rsidRDefault="009B60E6" w:rsidP="007F47B9">
      <w:pPr>
        <w:pStyle w:val="NoSpacing"/>
        <w:suppressLineNumbers/>
        <w:jc w:val="right"/>
        <w:rPr>
          <w:rFonts w:ascii="Times New Roman" w:hAnsi="Times New Roman"/>
          <w:b/>
          <w:sz w:val="24"/>
          <w:szCs w:val="24"/>
        </w:rPr>
      </w:pPr>
      <w:r w:rsidRPr="005A076C">
        <w:rPr>
          <w:rFonts w:ascii="Times New Roman" w:hAnsi="Times New Roman"/>
          <w:b/>
          <w:szCs w:val="24"/>
        </w:rPr>
        <w:t>Page 1 of 12</w:t>
      </w:r>
    </w:p>
    <w:p w:rsidR="00390AB3" w:rsidRPr="005A076C" w:rsidRDefault="00390AB3" w:rsidP="00322F45">
      <w:pPr>
        <w:pStyle w:val="NoSpacing"/>
        <w:suppressLineNumbers/>
        <w:spacing w:after="240"/>
        <w:jc w:val="center"/>
        <w:rPr>
          <w:rFonts w:ascii="Times New Roman" w:hAnsi="Times New Roman"/>
          <w:b/>
          <w:sz w:val="26"/>
          <w:szCs w:val="26"/>
          <w:u w:val="single"/>
        </w:rPr>
      </w:pPr>
    </w:p>
    <w:p w:rsidR="00390AB3" w:rsidRPr="005A076C" w:rsidRDefault="00390AB3" w:rsidP="00390AB3">
      <w:pPr>
        <w:pStyle w:val="Header"/>
        <w:jc w:val="center"/>
        <w:rPr>
          <w:b/>
          <w:sz w:val="28"/>
          <w:szCs w:val="28"/>
          <w:u w:val="single"/>
        </w:rPr>
      </w:pPr>
      <w:r w:rsidRPr="005A076C">
        <w:rPr>
          <w:b/>
          <w:sz w:val="28"/>
          <w:szCs w:val="28"/>
          <w:u w:val="single"/>
        </w:rPr>
        <w:t>ATTACHMENT 1</w:t>
      </w:r>
    </w:p>
    <w:p w:rsidR="00322F45" w:rsidRPr="005A076C" w:rsidRDefault="00322F45" w:rsidP="00322F45">
      <w:pPr>
        <w:pStyle w:val="NoSpacing"/>
        <w:suppressLineNumbers/>
        <w:spacing w:after="240"/>
        <w:jc w:val="center"/>
        <w:rPr>
          <w:rFonts w:ascii="Times New Roman" w:hAnsi="Times New Roman"/>
          <w:b/>
          <w:sz w:val="26"/>
          <w:szCs w:val="26"/>
          <w:u w:val="single"/>
        </w:rPr>
      </w:pPr>
      <w:r w:rsidRPr="005A076C">
        <w:rPr>
          <w:rFonts w:ascii="Times New Roman" w:hAnsi="Times New Roman"/>
          <w:b/>
          <w:sz w:val="26"/>
          <w:szCs w:val="26"/>
          <w:u w:val="single"/>
        </w:rPr>
        <w:t>FORM OF ISSUANCE ADVICE LETTER</w:t>
      </w:r>
    </w:p>
    <w:p w:rsidR="00322F45" w:rsidRPr="005A076C" w:rsidRDefault="00322F45" w:rsidP="00410B2F">
      <w:pPr>
        <w:suppressLineNumbers/>
        <w:spacing w:after="240"/>
        <w:jc w:val="center"/>
        <w:rPr>
          <w:b/>
          <w:sz w:val="26"/>
          <w:szCs w:val="26"/>
        </w:rPr>
      </w:pPr>
      <w:r w:rsidRPr="005A076C">
        <w:rPr>
          <w:b/>
          <w:sz w:val="26"/>
          <w:szCs w:val="26"/>
        </w:rPr>
        <w:t>________day ______ __, 201</w:t>
      </w:r>
      <w:r w:rsidR="00951323" w:rsidRPr="005A076C">
        <w:rPr>
          <w:b/>
          <w:sz w:val="26"/>
          <w:szCs w:val="26"/>
        </w:rPr>
        <w:t>_</w:t>
      </w:r>
    </w:p>
    <w:p w:rsidR="00322F45" w:rsidRPr="005A076C" w:rsidRDefault="00322F45" w:rsidP="00410B2F">
      <w:pPr>
        <w:suppressLineNumbers/>
        <w:spacing w:after="240"/>
        <w:jc w:val="center"/>
        <w:rPr>
          <w:b/>
          <w:sz w:val="26"/>
          <w:szCs w:val="26"/>
        </w:rPr>
      </w:pPr>
      <w:r w:rsidRPr="005A076C">
        <w:rPr>
          <w:b/>
          <w:sz w:val="26"/>
          <w:szCs w:val="26"/>
        </w:rPr>
        <w:t>Case No. 12-1</w:t>
      </w:r>
      <w:r w:rsidR="003B789C" w:rsidRPr="005A076C">
        <w:rPr>
          <w:b/>
          <w:sz w:val="26"/>
          <w:szCs w:val="26"/>
        </w:rPr>
        <w:t>969</w:t>
      </w:r>
      <w:r w:rsidRPr="005A076C">
        <w:rPr>
          <w:b/>
          <w:sz w:val="26"/>
          <w:szCs w:val="26"/>
        </w:rPr>
        <w:t>-EL-ATS</w:t>
      </w:r>
    </w:p>
    <w:p w:rsidR="00322F45" w:rsidRPr="005A076C" w:rsidRDefault="00322F45" w:rsidP="00410B2F">
      <w:pPr>
        <w:suppressLineNumbers/>
        <w:spacing w:after="240"/>
        <w:jc w:val="center"/>
        <w:rPr>
          <w:b/>
          <w:sz w:val="26"/>
          <w:szCs w:val="26"/>
        </w:rPr>
      </w:pPr>
      <w:r w:rsidRPr="005A076C">
        <w:rPr>
          <w:b/>
          <w:sz w:val="26"/>
          <w:szCs w:val="26"/>
        </w:rPr>
        <w:t>The Public Utilities Commission of Ohio</w:t>
      </w:r>
    </w:p>
    <w:p w:rsidR="00322F45" w:rsidRPr="005A076C" w:rsidRDefault="00322F45" w:rsidP="00322F45">
      <w:pPr>
        <w:suppressLineNumbers/>
        <w:spacing w:after="240"/>
        <w:rPr>
          <w:b/>
          <w:sz w:val="26"/>
          <w:szCs w:val="26"/>
          <w:u w:val="single"/>
        </w:rPr>
      </w:pPr>
      <w:r w:rsidRPr="005A076C">
        <w:rPr>
          <w:b/>
          <w:sz w:val="26"/>
          <w:szCs w:val="26"/>
          <w:u w:val="single"/>
        </w:rPr>
        <w:t>SUBJECT:</w:t>
      </w:r>
      <w:r w:rsidRPr="005A076C">
        <w:rPr>
          <w:b/>
          <w:sz w:val="26"/>
          <w:szCs w:val="26"/>
          <w:u w:val="single"/>
        </w:rPr>
        <w:tab/>
        <w:t>ISSUANCE ADVICE LETTER FOR PHASE-IN RECOVERY BONDS</w:t>
      </w:r>
    </w:p>
    <w:p w:rsidR="00322F45" w:rsidRPr="005A076C" w:rsidRDefault="00322F45" w:rsidP="00447406">
      <w:pPr>
        <w:autoSpaceDE w:val="0"/>
        <w:autoSpaceDN w:val="0"/>
        <w:adjustRightInd w:val="0"/>
        <w:jc w:val="both"/>
        <w:rPr>
          <w:sz w:val="24"/>
          <w:szCs w:val="24"/>
        </w:rPr>
      </w:pPr>
      <w:r w:rsidRPr="005A076C">
        <w:rPr>
          <w:sz w:val="24"/>
          <w:szCs w:val="24"/>
        </w:rPr>
        <w:t xml:space="preserve">Pursuant to the Financing Order issued </w:t>
      </w:r>
      <w:r w:rsidR="003B789C" w:rsidRPr="005A076C">
        <w:rPr>
          <w:i/>
          <w:sz w:val="24"/>
          <w:szCs w:val="24"/>
        </w:rPr>
        <w:t xml:space="preserve">In the Matter of the Application of </w:t>
      </w:r>
      <w:r w:rsidR="000C0842" w:rsidRPr="005A076C">
        <w:rPr>
          <w:i/>
          <w:sz w:val="24"/>
          <w:szCs w:val="24"/>
        </w:rPr>
        <w:t>Ohio Power</w:t>
      </w:r>
      <w:r w:rsidR="003B789C" w:rsidRPr="005A076C">
        <w:rPr>
          <w:i/>
          <w:sz w:val="24"/>
          <w:szCs w:val="24"/>
        </w:rPr>
        <w:t xml:space="preserve"> Company for Authority to Issue Phase-in-Recovery Bonds and Impose,</w:t>
      </w:r>
      <w:r w:rsidR="00951323" w:rsidRPr="005A076C">
        <w:rPr>
          <w:i/>
          <w:sz w:val="24"/>
          <w:szCs w:val="24"/>
        </w:rPr>
        <w:t xml:space="preserve"> </w:t>
      </w:r>
      <w:r w:rsidR="003B789C" w:rsidRPr="005A076C">
        <w:rPr>
          <w:i/>
          <w:sz w:val="24"/>
          <w:szCs w:val="24"/>
        </w:rPr>
        <w:t xml:space="preserve">Charge and Collect Phase-in-Recovery Charges for Tariff and Bill Format Changes </w:t>
      </w:r>
      <w:r w:rsidRPr="005A076C">
        <w:rPr>
          <w:i/>
          <w:sz w:val="24"/>
          <w:szCs w:val="24"/>
        </w:rPr>
        <w:t>in Case No.</w:t>
      </w:r>
      <w:r w:rsidRPr="005A076C">
        <w:rPr>
          <w:b/>
          <w:snapToGrid w:val="0"/>
          <w:sz w:val="24"/>
          <w:szCs w:val="24"/>
        </w:rPr>
        <w:t xml:space="preserve"> </w:t>
      </w:r>
      <w:r w:rsidRPr="005A076C">
        <w:rPr>
          <w:i/>
          <w:snapToGrid w:val="0"/>
          <w:sz w:val="24"/>
          <w:szCs w:val="24"/>
        </w:rPr>
        <w:t>12</w:t>
      </w:r>
      <w:r w:rsidRPr="005A076C">
        <w:rPr>
          <w:i/>
          <w:sz w:val="24"/>
          <w:szCs w:val="24"/>
        </w:rPr>
        <w:t>-1</w:t>
      </w:r>
      <w:r w:rsidR="003B789C" w:rsidRPr="005A076C">
        <w:rPr>
          <w:i/>
          <w:sz w:val="24"/>
          <w:szCs w:val="24"/>
        </w:rPr>
        <w:t>969</w:t>
      </w:r>
      <w:r w:rsidRPr="005A076C">
        <w:rPr>
          <w:i/>
          <w:sz w:val="24"/>
          <w:szCs w:val="24"/>
        </w:rPr>
        <w:t>-EL-</w:t>
      </w:r>
      <w:proofErr w:type="spellStart"/>
      <w:r w:rsidRPr="005A076C">
        <w:rPr>
          <w:i/>
          <w:sz w:val="24"/>
          <w:szCs w:val="24"/>
        </w:rPr>
        <w:t>ATS</w:t>
      </w:r>
      <w:proofErr w:type="spellEnd"/>
      <w:r w:rsidRPr="005A076C">
        <w:rPr>
          <w:i/>
          <w:sz w:val="24"/>
          <w:szCs w:val="24"/>
        </w:rPr>
        <w:t xml:space="preserve"> (the Financing Order), </w:t>
      </w:r>
      <w:r w:rsidRPr="005A076C">
        <w:rPr>
          <w:sz w:val="24"/>
          <w:szCs w:val="24"/>
        </w:rPr>
        <w:t xml:space="preserve">Applicant hereby submits, no later than </w:t>
      </w:r>
      <w:r w:rsidR="003B789C" w:rsidRPr="005A076C">
        <w:rPr>
          <w:sz w:val="24"/>
          <w:szCs w:val="24"/>
        </w:rPr>
        <w:t>noon on</w:t>
      </w:r>
      <w:r w:rsidRPr="005A076C">
        <w:rPr>
          <w:sz w:val="24"/>
          <w:szCs w:val="24"/>
        </w:rPr>
        <w:t xml:space="preserve"> the </w:t>
      </w:r>
      <w:r w:rsidR="003B789C" w:rsidRPr="005A076C">
        <w:rPr>
          <w:sz w:val="24"/>
          <w:szCs w:val="24"/>
        </w:rPr>
        <w:t>second</w:t>
      </w:r>
      <w:r w:rsidRPr="005A076C">
        <w:rPr>
          <w:sz w:val="24"/>
          <w:szCs w:val="24"/>
        </w:rPr>
        <w:t xml:space="preserve"> business day after the pricing of this series of PIR Bonds, the information referenced below.  The issuance Advice Letter is for the PIR Bonds series____, tranches________.  Any capitalized terms not defined in this letter shall have the meanings ascribed to them in the Financing Order.  </w:t>
      </w:r>
    </w:p>
    <w:p w:rsidR="00322F45" w:rsidRPr="005A076C" w:rsidRDefault="00322F45" w:rsidP="00322F45">
      <w:pPr>
        <w:suppressLineNumbers/>
        <w:jc w:val="both"/>
        <w:rPr>
          <w:b/>
          <w:sz w:val="26"/>
          <w:szCs w:val="26"/>
        </w:rPr>
      </w:pPr>
    </w:p>
    <w:p w:rsidR="00322F45" w:rsidRPr="005A076C" w:rsidRDefault="00322F45" w:rsidP="00322F45">
      <w:pPr>
        <w:suppressLineNumbers/>
        <w:spacing w:after="240"/>
        <w:rPr>
          <w:b/>
          <w:sz w:val="26"/>
          <w:szCs w:val="26"/>
          <w:u w:val="single"/>
        </w:rPr>
      </w:pPr>
      <w:r w:rsidRPr="005A076C">
        <w:rPr>
          <w:b/>
          <w:sz w:val="26"/>
          <w:szCs w:val="26"/>
          <w:u w:val="single"/>
        </w:rPr>
        <w:t>PURPOSE:</w:t>
      </w:r>
    </w:p>
    <w:p w:rsidR="00322F45" w:rsidRPr="005A076C" w:rsidRDefault="00322F45" w:rsidP="00322F45">
      <w:pPr>
        <w:suppressLineNumbers/>
        <w:tabs>
          <w:tab w:val="left" w:pos="4410"/>
        </w:tabs>
        <w:autoSpaceDE w:val="0"/>
        <w:autoSpaceDN w:val="0"/>
        <w:adjustRightInd w:val="0"/>
        <w:spacing w:after="240"/>
        <w:jc w:val="both"/>
        <w:rPr>
          <w:sz w:val="24"/>
          <w:szCs w:val="24"/>
        </w:rPr>
      </w:pPr>
      <w:r w:rsidRPr="005A076C">
        <w:rPr>
          <w:sz w:val="24"/>
          <w:szCs w:val="24"/>
        </w:rPr>
        <w:t>This filing establishes the following:</w:t>
      </w:r>
    </w:p>
    <w:p w:rsidR="00322F45" w:rsidRPr="005A076C" w:rsidRDefault="00322F45" w:rsidP="00E240AA">
      <w:pPr>
        <w:pStyle w:val="ListParagraph"/>
        <w:numPr>
          <w:ilvl w:val="0"/>
          <w:numId w:val="2"/>
        </w:numPr>
        <w:suppressLineNumbers/>
        <w:spacing w:after="240" w:line="240" w:lineRule="auto"/>
        <w:ind w:left="1440" w:hanging="720"/>
        <w:contextualSpacing w:val="0"/>
        <w:jc w:val="both"/>
        <w:rPr>
          <w:rFonts w:ascii="Times New Roman" w:hAnsi="Times New Roman"/>
          <w:sz w:val="24"/>
          <w:szCs w:val="24"/>
          <w:u w:val="single"/>
        </w:rPr>
      </w:pPr>
      <w:r w:rsidRPr="005A076C">
        <w:rPr>
          <w:rFonts w:ascii="Times New Roman" w:hAnsi="Times New Roman"/>
          <w:sz w:val="24"/>
          <w:szCs w:val="24"/>
        </w:rPr>
        <w:t>The total amount of Phase-In Recovery Charges being securitized;</w:t>
      </w:r>
    </w:p>
    <w:p w:rsidR="00322F45" w:rsidRPr="005A076C" w:rsidRDefault="00322F45" w:rsidP="00E240AA">
      <w:pPr>
        <w:pStyle w:val="ListParagraph"/>
        <w:numPr>
          <w:ilvl w:val="0"/>
          <w:numId w:val="2"/>
        </w:numPr>
        <w:suppressLineNumbers/>
        <w:spacing w:after="240" w:line="240" w:lineRule="auto"/>
        <w:ind w:left="1440" w:hanging="720"/>
        <w:contextualSpacing w:val="0"/>
        <w:jc w:val="both"/>
        <w:rPr>
          <w:rFonts w:ascii="Times New Roman" w:hAnsi="Times New Roman"/>
          <w:sz w:val="24"/>
          <w:szCs w:val="24"/>
          <w:u w:val="single"/>
        </w:rPr>
      </w:pPr>
      <w:r w:rsidRPr="005A076C">
        <w:rPr>
          <w:rFonts w:ascii="Times New Roman" w:hAnsi="Times New Roman"/>
          <w:sz w:val="24"/>
          <w:szCs w:val="24"/>
        </w:rPr>
        <w:t>Confirmation of compliance with issuance standards;</w:t>
      </w:r>
    </w:p>
    <w:p w:rsidR="00322F45" w:rsidRPr="005A076C" w:rsidRDefault="00322F45" w:rsidP="00E240AA">
      <w:pPr>
        <w:pStyle w:val="ListParagraph"/>
        <w:numPr>
          <w:ilvl w:val="0"/>
          <w:numId w:val="2"/>
        </w:numPr>
        <w:suppressLineNumbers/>
        <w:spacing w:after="240" w:line="240" w:lineRule="auto"/>
        <w:ind w:left="1440" w:hanging="720"/>
        <w:contextualSpacing w:val="0"/>
        <w:jc w:val="both"/>
        <w:rPr>
          <w:rFonts w:ascii="Times New Roman" w:hAnsi="Times New Roman"/>
          <w:sz w:val="24"/>
          <w:szCs w:val="24"/>
          <w:u w:val="single"/>
        </w:rPr>
      </w:pPr>
      <w:r w:rsidRPr="005A076C">
        <w:rPr>
          <w:rFonts w:ascii="Times New Roman" w:hAnsi="Times New Roman"/>
          <w:sz w:val="24"/>
          <w:szCs w:val="24"/>
        </w:rPr>
        <w:t>The actual terms and structure of the PIR Bonds being issued;</w:t>
      </w:r>
    </w:p>
    <w:p w:rsidR="00322F45" w:rsidRPr="005A076C" w:rsidRDefault="00322F45" w:rsidP="00E240AA">
      <w:pPr>
        <w:pStyle w:val="ListParagraph"/>
        <w:numPr>
          <w:ilvl w:val="0"/>
          <w:numId w:val="2"/>
        </w:numPr>
        <w:suppressLineNumbers/>
        <w:spacing w:after="240" w:line="240" w:lineRule="auto"/>
        <w:ind w:left="1440" w:hanging="720"/>
        <w:contextualSpacing w:val="0"/>
        <w:jc w:val="both"/>
        <w:rPr>
          <w:rFonts w:ascii="Times New Roman" w:hAnsi="Times New Roman"/>
          <w:sz w:val="24"/>
          <w:szCs w:val="24"/>
          <w:u w:val="single"/>
        </w:rPr>
      </w:pPr>
      <w:r w:rsidRPr="005A076C">
        <w:rPr>
          <w:rFonts w:ascii="Times New Roman" w:hAnsi="Times New Roman"/>
          <w:sz w:val="24"/>
          <w:szCs w:val="24"/>
        </w:rPr>
        <w:t xml:space="preserve">The initial Phase-In-Recovery Charges for retail users; and </w:t>
      </w:r>
    </w:p>
    <w:p w:rsidR="00322F45" w:rsidRPr="005A076C" w:rsidRDefault="00322F45" w:rsidP="00E240AA">
      <w:pPr>
        <w:pStyle w:val="ListParagraph"/>
        <w:numPr>
          <w:ilvl w:val="0"/>
          <w:numId w:val="2"/>
        </w:numPr>
        <w:suppressLineNumbers/>
        <w:spacing w:after="240" w:line="240" w:lineRule="auto"/>
        <w:ind w:left="1440" w:hanging="720"/>
        <w:contextualSpacing w:val="0"/>
        <w:jc w:val="both"/>
        <w:rPr>
          <w:rFonts w:ascii="Times New Roman" w:hAnsi="Times New Roman"/>
          <w:sz w:val="24"/>
          <w:szCs w:val="24"/>
          <w:u w:val="single"/>
        </w:rPr>
      </w:pPr>
      <w:r w:rsidRPr="005A076C">
        <w:rPr>
          <w:rFonts w:ascii="Times New Roman" w:hAnsi="Times New Roman"/>
          <w:sz w:val="24"/>
          <w:szCs w:val="24"/>
        </w:rPr>
        <w:t>The identification of the SPE</w:t>
      </w:r>
    </w:p>
    <w:p w:rsidR="00447406" w:rsidRPr="005A076C" w:rsidRDefault="00447406">
      <w:pPr>
        <w:rPr>
          <w:rFonts w:eastAsia="Calibri"/>
          <w:sz w:val="24"/>
          <w:szCs w:val="24"/>
          <w:u w:val="single"/>
        </w:rPr>
      </w:pPr>
      <w:r w:rsidRPr="005A076C">
        <w:rPr>
          <w:sz w:val="24"/>
          <w:szCs w:val="24"/>
          <w:u w:val="single"/>
        </w:rPr>
        <w:br w:type="page"/>
      </w:r>
    </w:p>
    <w:p w:rsidR="007F47B9" w:rsidRPr="005A076C" w:rsidRDefault="007F47B9" w:rsidP="007F47B9">
      <w:pPr>
        <w:pStyle w:val="NoSpacing"/>
        <w:suppressLineNumbers/>
        <w:jc w:val="right"/>
        <w:rPr>
          <w:rFonts w:ascii="Times New Roman" w:hAnsi="Times New Roman"/>
          <w:b/>
          <w:sz w:val="24"/>
          <w:szCs w:val="24"/>
        </w:rPr>
      </w:pPr>
    </w:p>
    <w:p w:rsidR="007F47B9" w:rsidRPr="005A076C" w:rsidRDefault="007F47B9" w:rsidP="007F47B9">
      <w:pPr>
        <w:pStyle w:val="NoSpacing"/>
        <w:suppressLineNumbers/>
        <w:jc w:val="right"/>
        <w:rPr>
          <w:rFonts w:ascii="Times New Roman" w:hAnsi="Times New Roman"/>
          <w:b/>
          <w:szCs w:val="24"/>
        </w:rPr>
      </w:pPr>
      <w:r w:rsidRPr="005A076C">
        <w:rPr>
          <w:rFonts w:ascii="Times New Roman" w:hAnsi="Times New Roman"/>
          <w:b/>
          <w:szCs w:val="24"/>
        </w:rPr>
        <w:t xml:space="preserve">Case No. </w:t>
      </w:r>
      <w:r w:rsidRPr="005A076C">
        <w:rPr>
          <w:rFonts w:ascii="Times New Roman" w:hAnsi="Times New Roman"/>
          <w:b/>
          <w:snapToGrid w:val="0"/>
          <w:szCs w:val="24"/>
        </w:rPr>
        <w:t>12</w:t>
      </w:r>
      <w:r w:rsidRPr="005A076C">
        <w:rPr>
          <w:rFonts w:ascii="Times New Roman" w:hAnsi="Times New Roman"/>
          <w:b/>
          <w:szCs w:val="24"/>
        </w:rPr>
        <w:t>-</w:t>
      </w:r>
      <w:r w:rsidR="00A00640">
        <w:rPr>
          <w:rFonts w:ascii="Times New Roman" w:hAnsi="Times New Roman"/>
          <w:b/>
          <w:szCs w:val="24"/>
        </w:rPr>
        <w:t>1969</w:t>
      </w:r>
      <w:r w:rsidRPr="005A076C">
        <w:rPr>
          <w:rFonts w:ascii="Times New Roman" w:hAnsi="Times New Roman"/>
          <w:b/>
          <w:szCs w:val="24"/>
        </w:rPr>
        <w:t>-EL-ATS</w:t>
      </w:r>
    </w:p>
    <w:p w:rsidR="007F47B9" w:rsidRPr="005A076C" w:rsidRDefault="007F47B9" w:rsidP="007F47B9">
      <w:pPr>
        <w:pStyle w:val="NoSpacing"/>
        <w:suppressLineNumbers/>
        <w:jc w:val="right"/>
        <w:rPr>
          <w:rFonts w:ascii="Times New Roman" w:hAnsi="Times New Roman"/>
          <w:b/>
          <w:szCs w:val="24"/>
        </w:rPr>
      </w:pPr>
      <w:r w:rsidRPr="005A076C">
        <w:rPr>
          <w:rFonts w:ascii="Times New Roman" w:hAnsi="Times New Roman"/>
          <w:b/>
          <w:szCs w:val="24"/>
        </w:rPr>
        <w:t xml:space="preserve">Staff Exhibit </w:t>
      </w:r>
    </w:p>
    <w:p w:rsidR="007F47B9" w:rsidRPr="005A076C" w:rsidRDefault="007F47B9" w:rsidP="007F47B9">
      <w:pPr>
        <w:pStyle w:val="NoSpacing"/>
        <w:suppressLineNumbers/>
        <w:jc w:val="right"/>
        <w:rPr>
          <w:rFonts w:ascii="Times New Roman" w:hAnsi="Times New Roman"/>
          <w:b/>
          <w:szCs w:val="24"/>
        </w:rPr>
      </w:pPr>
      <w:r w:rsidRPr="005A076C">
        <w:rPr>
          <w:rFonts w:ascii="Times New Roman" w:hAnsi="Times New Roman"/>
          <w:b/>
          <w:szCs w:val="24"/>
        </w:rPr>
        <w:t>Page 2 of 12</w:t>
      </w:r>
    </w:p>
    <w:p w:rsidR="007F47B9" w:rsidRPr="005A076C" w:rsidRDefault="007F47B9" w:rsidP="00410B2F">
      <w:pPr>
        <w:suppressLineNumbers/>
        <w:spacing w:after="240"/>
        <w:rPr>
          <w:b/>
          <w:sz w:val="28"/>
          <w:szCs w:val="26"/>
          <w:u w:val="single"/>
        </w:rPr>
      </w:pPr>
    </w:p>
    <w:p w:rsidR="007F47B9" w:rsidRPr="005A076C" w:rsidRDefault="007F47B9" w:rsidP="00410B2F">
      <w:pPr>
        <w:suppressLineNumbers/>
        <w:spacing w:after="240"/>
        <w:rPr>
          <w:b/>
          <w:sz w:val="28"/>
          <w:szCs w:val="26"/>
          <w:u w:val="single"/>
        </w:rPr>
      </w:pPr>
    </w:p>
    <w:p w:rsidR="00410B2F" w:rsidRPr="005A076C" w:rsidRDefault="00410B2F" w:rsidP="00410B2F">
      <w:pPr>
        <w:suppressLineNumbers/>
        <w:spacing w:after="240"/>
        <w:rPr>
          <w:b/>
          <w:sz w:val="28"/>
          <w:szCs w:val="26"/>
          <w:u w:val="single"/>
        </w:rPr>
      </w:pPr>
      <w:r w:rsidRPr="005A076C">
        <w:rPr>
          <w:b/>
          <w:sz w:val="28"/>
          <w:szCs w:val="26"/>
          <w:u w:val="single"/>
        </w:rPr>
        <w:t>PHASE-IN RECOVERY CHARGES BEING SECURITIZED:</w:t>
      </w:r>
    </w:p>
    <w:p w:rsidR="00410B2F" w:rsidRPr="005A076C" w:rsidRDefault="00410B2F" w:rsidP="00410B2F">
      <w:pPr>
        <w:suppressLineNumbers/>
        <w:spacing w:after="240"/>
        <w:jc w:val="both"/>
        <w:rPr>
          <w:sz w:val="24"/>
          <w:szCs w:val="24"/>
        </w:rPr>
      </w:pPr>
      <w:r w:rsidRPr="005A076C">
        <w:rPr>
          <w:sz w:val="24"/>
          <w:szCs w:val="24"/>
        </w:rPr>
        <w:t>The total amount of Phase-In Recovery Charges being securitized (the Securitized Phase-In Recovery Charges) is presented in Attachment-1.</w:t>
      </w:r>
    </w:p>
    <w:p w:rsidR="00322F45" w:rsidRPr="005A076C" w:rsidRDefault="00322F45" w:rsidP="00322F45">
      <w:pPr>
        <w:suppressLineNumbers/>
        <w:spacing w:after="240"/>
        <w:rPr>
          <w:b/>
          <w:sz w:val="28"/>
          <w:szCs w:val="26"/>
          <w:u w:val="single"/>
        </w:rPr>
      </w:pPr>
      <w:r w:rsidRPr="005A076C">
        <w:rPr>
          <w:b/>
          <w:sz w:val="28"/>
          <w:szCs w:val="26"/>
          <w:u w:val="single"/>
        </w:rPr>
        <w:t>COMPLIANCE WITH ISSUANCE STANDARDS</w:t>
      </w:r>
    </w:p>
    <w:p w:rsidR="00322F45" w:rsidRPr="005A076C" w:rsidRDefault="00322F45" w:rsidP="00322F45">
      <w:pPr>
        <w:suppressLineNumbers/>
        <w:spacing w:after="240"/>
        <w:jc w:val="both"/>
        <w:rPr>
          <w:sz w:val="24"/>
          <w:szCs w:val="26"/>
        </w:rPr>
      </w:pPr>
      <w:r w:rsidRPr="005A076C">
        <w:rPr>
          <w:sz w:val="24"/>
          <w:szCs w:val="26"/>
        </w:rPr>
        <w:t>The Financing Order requires Applicant to confirm, using the methodology approved therein, that the actual terms of the Phase-In Recovery (PIR) Bonds result in compliance with the standards set forth in the Financing Order.  These standards are:</w:t>
      </w:r>
    </w:p>
    <w:p w:rsidR="00322F45" w:rsidRPr="005A076C" w:rsidRDefault="00322F45" w:rsidP="00E240AA">
      <w:pPr>
        <w:pStyle w:val="ListParagraph"/>
        <w:numPr>
          <w:ilvl w:val="0"/>
          <w:numId w:val="3"/>
        </w:numPr>
        <w:suppressLineNumbers/>
        <w:spacing w:after="240"/>
        <w:ind w:left="1440" w:hanging="720"/>
        <w:contextualSpacing w:val="0"/>
        <w:jc w:val="both"/>
        <w:rPr>
          <w:rFonts w:ascii="Times New Roman" w:hAnsi="Times New Roman"/>
          <w:sz w:val="24"/>
          <w:szCs w:val="26"/>
        </w:rPr>
      </w:pPr>
      <w:r w:rsidRPr="005A076C">
        <w:rPr>
          <w:rFonts w:ascii="Times New Roman" w:hAnsi="Times New Roman"/>
          <w:sz w:val="24"/>
          <w:szCs w:val="26"/>
        </w:rPr>
        <w:t>The total amount of revenues to be collected under the Financing Order is less than the revenue requirement that would be recovered using traditional cost recovery mechanisms (See Exhibit-A, Attachment 2, Schedule C and D);</w:t>
      </w:r>
    </w:p>
    <w:p w:rsidR="00322F45" w:rsidRPr="005A076C" w:rsidRDefault="00322F45" w:rsidP="00322F45">
      <w:pPr>
        <w:suppressLineNumbers/>
        <w:spacing w:after="240"/>
        <w:ind w:left="1440" w:hanging="720"/>
        <w:jc w:val="both"/>
        <w:rPr>
          <w:sz w:val="24"/>
          <w:szCs w:val="26"/>
        </w:rPr>
      </w:pPr>
      <w:r w:rsidRPr="005A076C">
        <w:rPr>
          <w:sz w:val="24"/>
          <w:szCs w:val="26"/>
        </w:rPr>
        <w:t>2.</w:t>
      </w:r>
      <w:r w:rsidRPr="005A076C">
        <w:rPr>
          <w:sz w:val="24"/>
          <w:szCs w:val="26"/>
        </w:rPr>
        <w:tab/>
        <w:t>The amount securitized will not exceed the present value of traditional cost recovery mechanisms revenue requirement over the life of the proposed PIR Bonds associated with the Securitized PIR; (See Exhibit-A, Attach</w:t>
      </w:r>
      <w:r w:rsidRPr="005A076C">
        <w:rPr>
          <w:sz w:val="24"/>
          <w:szCs w:val="26"/>
        </w:rPr>
        <w:softHyphen/>
        <w:t>ment 2, Schedule D);</w:t>
      </w:r>
    </w:p>
    <w:p w:rsidR="00D9276F" w:rsidRPr="005A076C" w:rsidRDefault="00322F45" w:rsidP="00322F45">
      <w:pPr>
        <w:suppressLineNumbers/>
        <w:spacing w:after="240"/>
        <w:ind w:left="1440" w:hanging="720"/>
        <w:jc w:val="both"/>
        <w:rPr>
          <w:sz w:val="24"/>
          <w:szCs w:val="26"/>
        </w:rPr>
      </w:pPr>
      <w:r w:rsidRPr="005A076C">
        <w:rPr>
          <w:sz w:val="24"/>
          <w:szCs w:val="26"/>
        </w:rPr>
        <w:t>3.</w:t>
      </w:r>
      <w:r w:rsidRPr="005A076C">
        <w:rPr>
          <w:sz w:val="24"/>
          <w:szCs w:val="26"/>
        </w:rPr>
        <w:tab/>
        <w:t xml:space="preserve">The PIR Bonds will be issued in one or more series comprised of one or more tranches having final maturities of ___years and legal final maturities not exceeding ___ years from the date of issuance of such series (See Exhibit-A, Attachment 2, Schedule A).  </w:t>
      </w:r>
    </w:p>
    <w:p w:rsidR="00B837DD" w:rsidRPr="005A076C" w:rsidRDefault="00B837DD" w:rsidP="008A7AC6">
      <w:pPr>
        <w:ind w:left="1440"/>
        <w:jc w:val="both"/>
        <w:rPr>
          <w:sz w:val="24"/>
          <w:szCs w:val="24"/>
        </w:rPr>
      </w:pPr>
      <w:r w:rsidRPr="005A076C">
        <w:rPr>
          <w:sz w:val="24"/>
          <w:szCs w:val="24"/>
        </w:rPr>
        <w:t>The structuring and pricing of the PIR Bond</w:t>
      </w:r>
      <w:r w:rsidR="008A7AC6" w:rsidRPr="005A076C">
        <w:rPr>
          <w:sz w:val="24"/>
          <w:szCs w:val="24"/>
        </w:rPr>
        <w:t>s is certified by the Applicant</w:t>
      </w:r>
      <w:r w:rsidRPr="005A076C">
        <w:rPr>
          <w:sz w:val="24"/>
          <w:szCs w:val="24"/>
        </w:rPr>
        <w:t xml:space="preserve"> to result in the PIR Bond charges as of the date of issuance consistent with market conditions and the terms set out in this Financing Order (See Exhibit-A, Attachment 3) that demonstrates both measurably enhanced cost savings to customers and mitigates rate impacts to customers as compared with traditional cost recovery met</w:t>
      </w:r>
      <w:r w:rsidR="008A7AC6" w:rsidRPr="005A076C">
        <w:rPr>
          <w:sz w:val="24"/>
          <w:szCs w:val="24"/>
        </w:rPr>
        <w:t>hods available to the Applicant.</w:t>
      </w:r>
      <w:r w:rsidRPr="005A076C">
        <w:rPr>
          <w:sz w:val="24"/>
          <w:szCs w:val="24"/>
        </w:rPr>
        <w:t xml:space="preserve"> </w:t>
      </w:r>
    </w:p>
    <w:p w:rsidR="00B837DD" w:rsidRPr="005A076C" w:rsidRDefault="00B837DD" w:rsidP="00B837DD">
      <w:pPr>
        <w:ind w:left="1440"/>
        <w:rPr>
          <w:sz w:val="24"/>
          <w:szCs w:val="24"/>
        </w:rPr>
      </w:pPr>
    </w:p>
    <w:p w:rsidR="00410B2F" w:rsidRPr="005A076C" w:rsidRDefault="00410B2F" w:rsidP="00322F45">
      <w:pPr>
        <w:suppressLineNumbers/>
        <w:spacing w:after="240"/>
        <w:rPr>
          <w:b/>
          <w:sz w:val="24"/>
          <w:szCs w:val="26"/>
          <w:u w:val="single"/>
        </w:rPr>
      </w:pPr>
    </w:p>
    <w:p w:rsidR="00410B2F" w:rsidRPr="005A076C" w:rsidRDefault="00410B2F" w:rsidP="00322F45">
      <w:pPr>
        <w:suppressLineNumbers/>
        <w:spacing w:after="240"/>
        <w:rPr>
          <w:b/>
          <w:sz w:val="26"/>
          <w:szCs w:val="26"/>
          <w:u w:val="single"/>
        </w:rPr>
      </w:pPr>
    </w:p>
    <w:p w:rsidR="007F47B9" w:rsidRPr="005A076C" w:rsidRDefault="007F47B9" w:rsidP="009B60E6">
      <w:pPr>
        <w:pStyle w:val="NoSpacing"/>
        <w:suppressLineNumbers/>
        <w:jc w:val="right"/>
        <w:rPr>
          <w:rFonts w:ascii="Times New Roman" w:hAnsi="Times New Roman"/>
          <w:b/>
          <w:sz w:val="24"/>
          <w:szCs w:val="24"/>
        </w:rPr>
      </w:pP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 xml:space="preserve">Case No. </w:t>
      </w:r>
      <w:r w:rsidRPr="005A076C">
        <w:rPr>
          <w:rFonts w:ascii="Times New Roman" w:hAnsi="Times New Roman"/>
          <w:b/>
          <w:snapToGrid w:val="0"/>
          <w:szCs w:val="24"/>
        </w:rPr>
        <w:t>12</w:t>
      </w:r>
      <w:r w:rsidRPr="005A076C">
        <w:rPr>
          <w:rFonts w:ascii="Times New Roman" w:hAnsi="Times New Roman"/>
          <w:b/>
          <w:szCs w:val="24"/>
        </w:rPr>
        <w:t>-</w:t>
      </w:r>
      <w:r w:rsidR="00A00640">
        <w:rPr>
          <w:rFonts w:ascii="Times New Roman" w:hAnsi="Times New Roman"/>
          <w:b/>
          <w:szCs w:val="24"/>
        </w:rPr>
        <w:t>1969</w:t>
      </w:r>
      <w:r w:rsidRPr="005A076C">
        <w:rPr>
          <w:rFonts w:ascii="Times New Roman" w:hAnsi="Times New Roman"/>
          <w:b/>
          <w:szCs w:val="24"/>
        </w:rPr>
        <w:t>-EL-ATS</w:t>
      </w: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 xml:space="preserve">Staff Exhibit </w:t>
      </w: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Page 3 of 12</w:t>
      </w:r>
    </w:p>
    <w:p w:rsidR="00322F45" w:rsidRPr="005A076C" w:rsidRDefault="00322F45" w:rsidP="00322F45">
      <w:pPr>
        <w:suppressLineNumbers/>
        <w:spacing w:after="240"/>
        <w:rPr>
          <w:b/>
          <w:sz w:val="28"/>
          <w:szCs w:val="24"/>
          <w:u w:val="single"/>
        </w:rPr>
      </w:pPr>
      <w:r w:rsidRPr="005A076C">
        <w:rPr>
          <w:b/>
          <w:sz w:val="28"/>
          <w:szCs w:val="24"/>
          <w:u w:val="single"/>
        </w:rPr>
        <w:lastRenderedPageBreak/>
        <w:t>ACTUAL TERMS OF ISSUANCE</w:t>
      </w: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PIR Bond Series: ___________</w:t>
      </w:r>
    </w:p>
    <w:p w:rsidR="00322F45" w:rsidRPr="005A076C" w:rsidRDefault="00322F45" w:rsidP="00322F45">
      <w:pPr>
        <w:pStyle w:val="NoSpacing"/>
        <w:suppressLineNumbers/>
        <w:spacing w:after="240"/>
        <w:jc w:val="both"/>
        <w:rPr>
          <w:rFonts w:ascii="Times New Roman" w:hAnsi="Times New Roman"/>
          <w:sz w:val="24"/>
          <w:szCs w:val="24"/>
        </w:rPr>
      </w:pPr>
      <w:r w:rsidRPr="005A076C">
        <w:rPr>
          <w:rFonts w:ascii="Times New Roman" w:hAnsi="Times New Roman"/>
          <w:sz w:val="24"/>
          <w:szCs w:val="24"/>
        </w:rPr>
        <w:t>PIR Bond Issuer:  [SPE}</w:t>
      </w:r>
    </w:p>
    <w:p w:rsidR="00322F45" w:rsidRPr="005A076C" w:rsidRDefault="00322F45" w:rsidP="00322F45">
      <w:pPr>
        <w:pStyle w:val="NoSpacing"/>
        <w:suppressLineNumbers/>
        <w:spacing w:after="240"/>
        <w:jc w:val="both"/>
        <w:rPr>
          <w:rFonts w:ascii="Times New Roman" w:hAnsi="Times New Roman"/>
          <w:sz w:val="24"/>
          <w:szCs w:val="24"/>
        </w:rPr>
      </w:pPr>
      <w:r w:rsidRPr="005A076C">
        <w:rPr>
          <w:rFonts w:ascii="Times New Roman" w:hAnsi="Times New Roman"/>
          <w:sz w:val="24"/>
          <w:szCs w:val="24"/>
        </w:rPr>
        <w:t>Trustee:</w:t>
      </w:r>
    </w:p>
    <w:p w:rsidR="00322F45" w:rsidRPr="005A076C" w:rsidRDefault="00322F45" w:rsidP="00322F45">
      <w:pPr>
        <w:pStyle w:val="NoSpacing"/>
        <w:suppressLineNumbers/>
        <w:spacing w:after="240"/>
        <w:jc w:val="both"/>
        <w:rPr>
          <w:rFonts w:ascii="Times New Roman" w:hAnsi="Times New Roman"/>
          <w:sz w:val="24"/>
          <w:szCs w:val="24"/>
        </w:rPr>
      </w:pPr>
      <w:r w:rsidRPr="005A076C">
        <w:rPr>
          <w:rFonts w:ascii="Times New Roman" w:hAnsi="Times New Roman"/>
          <w:sz w:val="24"/>
          <w:szCs w:val="24"/>
        </w:rPr>
        <w:t>Closing date: _______, 201</w:t>
      </w:r>
      <w:r w:rsidR="00951323" w:rsidRPr="005A076C">
        <w:rPr>
          <w:rFonts w:ascii="Times New Roman" w:hAnsi="Times New Roman"/>
          <w:sz w:val="24"/>
          <w:szCs w:val="24"/>
        </w:rPr>
        <w:t>_</w:t>
      </w:r>
    </w:p>
    <w:p w:rsidR="00322F45" w:rsidRPr="005A076C" w:rsidRDefault="00322F45" w:rsidP="00322F45">
      <w:pPr>
        <w:pStyle w:val="NoSpacing"/>
        <w:suppressLineNumbers/>
        <w:spacing w:after="240"/>
        <w:jc w:val="both"/>
        <w:rPr>
          <w:rFonts w:ascii="Times New Roman" w:hAnsi="Times New Roman"/>
          <w:sz w:val="24"/>
          <w:szCs w:val="24"/>
        </w:rPr>
      </w:pPr>
      <w:r w:rsidRPr="005A076C">
        <w:rPr>
          <w:rFonts w:ascii="Times New Roman" w:hAnsi="Times New Roman"/>
          <w:sz w:val="24"/>
          <w:szCs w:val="24"/>
        </w:rPr>
        <w:t>Bond ratings:  S&amp;P AAA, Fitch AAA, Moody’s Aaa</w:t>
      </w:r>
    </w:p>
    <w:p w:rsidR="00322F45" w:rsidRPr="005A076C" w:rsidRDefault="00322F45" w:rsidP="00322F45">
      <w:pPr>
        <w:pStyle w:val="NoSpacing"/>
        <w:suppressLineNumbers/>
        <w:spacing w:after="240"/>
        <w:jc w:val="both"/>
        <w:rPr>
          <w:rFonts w:ascii="Times New Roman" w:hAnsi="Times New Roman"/>
          <w:sz w:val="24"/>
          <w:szCs w:val="24"/>
        </w:rPr>
      </w:pPr>
      <w:r w:rsidRPr="005A076C">
        <w:rPr>
          <w:rFonts w:ascii="Times New Roman" w:hAnsi="Times New Roman"/>
          <w:sz w:val="24"/>
          <w:szCs w:val="24"/>
        </w:rPr>
        <w:t>Amount Issued: $ ___________</w:t>
      </w:r>
    </w:p>
    <w:p w:rsidR="00322F45" w:rsidRPr="005A076C" w:rsidRDefault="00322F45" w:rsidP="00322F45">
      <w:pPr>
        <w:pStyle w:val="NoSpacing"/>
        <w:suppressLineNumbers/>
        <w:spacing w:after="240"/>
        <w:jc w:val="both"/>
        <w:rPr>
          <w:rFonts w:ascii="Times New Roman" w:hAnsi="Times New Roman"/>
          <w:sz w:val="24"/>
          <w:szCs w:val="24"/>
        </w:rPr>
      </w:pPr>
      <w:r w:rsidRPr="005A076C">
        <w:rPr>
          <w:rFonts w:ascii="Times New Roman" w:hAnsi="Times New Roman"/>
          <w:sz w:val="24"/>
          <w:szCs w:val="24"/>
        </w:rPr>
        <w:t>PIR Bond Issuance Costs:  See Attachment________ Schedule___</w:t>
      </w:r>
    </w:p>
    <w:p w:rsidR="00322F45" w:rsidRPr="005A076C" w:rsidRDefault="00322F45" w:rsidP="00322F45">
      <w:pPr>
        <w:pStyle w:val="NoSpacing"/>
        <w:suppressLineNumbers/>
        <w:spacing w:after="240"/>
        <w:jc w:val="both"/>
        <w:rPr>
          <w:rFonts w:ascii="Times New Roman" w:hAnsi="Times New Roman"/>
          <w:sz w:val="24"/>
          <w:szCs w:val="24"/>
        </w:rPr>
      </w:pPr>
      <w:r w:rsidRPr="005A076C">
        <w:rPr>
          <w:rFonts w:ascii="Times New Roman" w:hAnsi="Times New Roman"/>
          <w:sz w:val="24"/>
          <w:szCs w:val="24"/>
        </w:rPr>
        <w:t>PIR Bond Support and Serving:  See Attachment ______ Schedule 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00"/>
        <w:gridCol w:w="2970"/>
        <w:gridCol w:w="2970"/>
      </w:tblGrid>
      <w:tr w:rsidR="00322F45" w:rsidRPr="005A076C" w:rsidTr="009B60E6">
        <w:trPr>
          <w:trHeight w:val="720"/>
        </w:trPr>
        <w:tc>
          <w:tcPr>
            <w:tcW w:w="1818" w:type="dxa"/>
            <w:shd w:val="clear" w:color="auto" w:fill="auto"/>
            <w:vAlign w:val="center"/>
          </w:tcPr>
          <w:p w:rsidR="00322F45" w:rsidRPr="005A076C" w:rsidRDefault="00322F45" w:rsidP="00322F45">
            <w:pPr>
              <w:pStyle w:val="NoSpacing"/>
              <w:suppressLineNumbers/>
              <w:jc w:val="center"/>
              <w:rPr>
                <w:rFonts w:ascii="Times New Roman" w:hAnsi="Times New Roman"/>
                <w:sz w:val="24"/>
                <w:szCs w:val="24"/>
              </w:rPr>
            </w:pPr>
            <w:r w:rsidRPr="005A076C">
              <w:rPr>
                <w:rFonts w:ascii="Times New Roman" w:hAnsi="Times New Roman"/>
                <w:sz w:val="24"/>
                <w:szCs w:val="24"/>
              </w:rPr>
              <w:t>Tranche</w:t>
            </w:r>
          </w:p>
        </w:tc>
        <w:tc>
          <w:tcPr>
            <w:tcW w:w="1800" w:type="dxa"/>
            <w:shd w:val="clear" w:color="auto" w:fill="auto"/>
            <w:vAlign w:val="center"/>
          </w:tcPr>
          <w:p w:rsidR="00322F45" w:rsidRPr="005A076C" w:rsidRDefault="00322F45" w:rsidP="00322F45">
            <w:pPr>
              <w:pStyle w:val="NoSpacing"/>
              <w:suppressLineNumbers/>
              <w:jc w:val="center"/>
              <w:rPr>
                <w:rFonts w:ascii="Times New Roman" w:hAnsi="Times New Roman"/>
                <w:sz w:val="24"/>
                <w:szCs w:val="24"/>
              </w:rPr>
            </w:pPr>
            <w:r w:rsidRPr="005A076C">
              <w:rPr>
                <w:rFonts w:ascii="Times New Roman" w:hAnsi="Times New Roman"/>
                <w:sz w:val="24"/>
                <w:szCs w:val="24"/>
              </w:rPr>
              <w:t>Coupon Rate</w:t>
            </w:r>
          </w:p>
        </w:tc>
        <w:tc>
          <w:tcPr>
            <w:tcW w:w="2970" w:type="dxa"/>
            <w:shd w:val="clear" w:color="auto" w:fill="auto"/>
            <w:vAlign w:val="center"/>
          </w:tcPr>
          <w:p w:rsidR="00322F45" w:rsidRPr="005A076C" w:rsidRDefault="00322F45" w:rsidP="009B60E6">
            <w:pPr>
              <w:pStyle w:val="NoSpacing"/>
              <w:suppressLineNumbers/>
              <w:rPr>
                <w:rFonts w:ascii="Times New Roman" w:hAnsi="Times New Roman"/>
                <w:sz w:val="24"/>
                <w:szCs w:val="24"/>
              </w:rPr>
            </w:pPr>
            <w:r w:rsidRPr="005A076C">
              <w:rPr>
                <w:rFonts w:ascii="Times New Roman" w:hAnsi="Times New Roman"/>
                <w:sz w:val="24"/>
                <w:szCs w:val="24"/>
              </w:rPr>
              <w:t>Expected Final</w:t>
            </w:r>
            <w:r w:rsidR="009B60E6" w:rsidRPr="005A076C">
              <w:rPr>
                <w:rFonts w:ascii="Times New Roman" w:hAnsi="Times New Roman"/>
                <w:sz w:val="24"/>
                <w:szCs w:val="24"/>
              </w:rPr>
              <w:t xml:space="preserve"> </w:t>
            </w:r>
            <w:r w:rsidRPr="005A076C">
              <w:rPr>
                <w:rFonts w:ascii="Times New Roman" w:hAnsi="Times New Roman"/>
                <w:sz w:val="24"/>
                <w:szCs w:val="24"/>
              </w:rPr>
              <w:t>Maturity</w:t>
            </w:r>
          </w:p>
        </w:tc>
        <w:tc>
          <w:tcPr>
            <w:tcW w:w="2970" w:type="dxa"/>
            <w:shd w:val="clear" w:color="auto" w:fill="auto"/>
            <w:vAlign w:val="center"/>
          </w:tcPr>
          <w:p w:rsidR="00322F45" w:rsidRPr="005A076C" w:rsidRDefault="00322F45" w:rsidP="009B60E6">
            <w:pPr>
              <w:pStyle w:val="NoSpacing"/>
              <w:suppressLineNumbers/>
              <w:jc w:val="center"/>
              <w:rPr>
                <w:rFonts w:ascii="Times New Roman" w:hAnsi="Times New Roman"/>
                <w:sz w:val="24"/>
                <w:szCs w:val="24"/>
              </w:rPr>
            </w:pPr>
            <w:r w:rsidRPr="005A076C">
              <w:rPr>
                <w:rFonts w:ascii="Times New Roman" w:hAnsi="Times New Roman"/>
                <w:sz w:val="24"/>
                <w:szCs w:val="24"/>
              </w:rPr>
              <w:t>Legal Final</w:t>
            </w:r>
            <w:r w:rsidR="009B60E6" w:rsidRPr="005A076C">
              <w:rPr>
                <w:rFonts w:ascii="Times New Roman" w:hAnsi="Times New Roman"/>
                <w:sz w:val="24"/>
                <w:szCs w:val="24"/>
              </w:rPr>
              <w:t xml:space="preserve"> </w:t>
            </w:r>
            <w:r w:rsidRPr="005A076C">
              <w:rPr>
                <w:rFonts w:ascii="Times New Roman" w:hAnsi="Times New Roman"/>
                <w:sz w:val="24"/>
                <w:szCs w:val="24"/>
              </w:rPr>
              <w:t>Maturity</w:t>
            </w:r>
          </w:p>
        </w:tc>
      </w:tr>
      <w:tr w:rsidR="00322F45" w:rsidRPr="005A076C" w:rsidTr="009B60E6">
        <w:trPr>
          <w:trHeight w:val="530"/>
        </w:trPr>
        <w:tc>
          <w:tcPr>
            <w:tcW w:w="1818"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A-1</w:t>
            </w:r>
          </w:p>
        </w:tc>
        <w:tc>
          <w:tcPr>
            <w:tcW w:w="180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p>
        </w:tc>
        <w:tc>
          <w:tcPr>
            <w:tcW w:w="297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__/__ /____</w:t>
            </w:r>
          </w:p>
        </w:tc>
        <w:tc>
          <w:tcPr>
            <w:tcW w:w="297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__/__ /____</w:t>
            </w:r>
          </w:p>
        </w:tc>
      </w:tr>
      <w:tr w:rsidR="00322F45" w:rsidRPr="005A076C" w:rsidTr="009B60E6">
        <w:trPr>
          <w:trHeight w:val="359"/>
        </w:trPr>
        <w:tc>
          <w:tcPr>
            <w:tcW w:w="1818"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A-2</w:t>
            </w:r>
          </w:p>
        </w:tc>
        <w:tc>
          <w:tcPr>
            <w:tcW w:w="180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p>
        </w:tc>
        <w:tc>
          <w:tcPr>
            <w:tcW w:w="297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__/__ /____</w:t>
            </w:r>
          </w:p>
        </w:tc>
        <w:tc>
          <w:tcPr>
            <w:tcW w:w="297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__/__ /____</w:t>
            </w:r>
          </w:p>
        </w:tc>
      </w:tr>
    </w:tbl>
    <w:p w:rsidR="00322F45" w:rsidRPr="005A076C" w:rsidRDefault="00322F45" w:rsidP="00322F45">
      <w:pPr>
        <w:pStyle w:val="NoSpacing"/>
        <w:suppressLineNumbers/>
        <w:jc w:val="both"/>
        <w:rPr>
          <w:rFonts w:ascii="Times New Roman" w:hAnsi="Times New Roman"/>
          <w:sz w:val="24"/>
          <w:szCs w:val="24"/>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3780"/>
      </w:tblGrid>
      <w:tr w:rsidR="00322F45" w:rsidRPr="005A076C" w:rsidTr="009B60E6">
        <w:trPr>
          <w:trHeight w:val="737"/>
        </w:trPr>
        <w:tc>
          <w:tcPr>
            <w:tcW w:w="5058"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Effective Annual Weighted Average Interest Rate of the PIR Bonds</w:t>
            </w:r>
          </w:p>
        </w:tc>
        <w:tc>
          <w:tcPr>
            <w:tcW w:w="378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p>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___%</w:t>
            </w:r>
          </w:p>
        </w:tc>
      </w:tr>
      <w:tr w:rsidR="00322F45" w:rsidRPr="005A076C" w:rsidTr="009B60E6">
        <w:trPr>
          <w:trHeight w:val="404"/>
        </w:trPr>
        <w:tc>
          <w:tcPr>
            <w:tcW w:w="5058"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Life of Series:</w:t>
            </w:r>
          </w:p>
        </w:tc>
        <w:tc>
          <w:tcPr>
            <w:tcW w:w="378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___years</w:t>
            </w:r>
          </w:p>
        </w:tc>
      </w:tr>
      <w:tr w:rsidR="00322F45" w:rsidRPr="005A076C" w:rsidTr="009B60E6">
        <w:trPr>
          <w:trHeight w:val="530"/>
        </w:trPr>
        <w:tc>
          <w:tcPr>
            <w:tcW w:w="5058"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Weighted Average Life of Series:</w:t>
            </w:r>
          </w:p>
        </w:tc>
        <w:tc>
          <w:tcPr>
            <w:tcW w:w="378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___years</w:t>
            </w:r>
          </w:p>
        </w:tc>
      </w:tr>
      <w:tr w:rsidR="00322F45" w:rsidRPr="005A076C" w:rsidTr="009B60E6">
        <w:trPr>
          <w:trHeight w:val="530"/>
        </w:trPr>
        <w:tc>
          <w:tcPr>
            <w:tcW w:w="5058"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Call Provisions (including premium, if any):</w:t>
            </w:r>
          </w:p>
        </w:tc>
        <w:tc>
          <w:tcPr>
            <w:tcW w:w="378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p>
        </w:tc>
      </w:tr>
      <w:tr w:rsidR="00322F45" w:rsidRPr="005A076C" w:rsidTr="009B60E6">
        <w:trPr>
          <w:trHeight w:val="359"/>
        </w:trPr>
        <w:tc>
          <w:tcPr>
            <w:tcW w:w="5058"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 xml:space="preserve">Target Amortization Schedule: </w:t>
            </w:r>
          </w:p>
        </w:tc>
        <w:tc>
          <w:tcPr>
            <w:tcW w:w="378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p>
        </w:tc>
      </w:tr>
      <w:tr w:rsidR="00322F45" w:rsidRPr="005A076C" w:rsidTr="009B60E6">
        <w:trPr>
          <w:trHeight w:val="350"/>
        </w:trPr>
        <w:tc>
          <w:tcPr>
            <w:tcW w:w="5058"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Target Final Maturity Dates:</w:t>
            </w:r>
          </w:p>
        </w:tc>
        <w:tc>
          <w:tcPr>
            <w:tcW w:w="378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p>
        </w:tc>
      </w:tr>
      <w:tr w:rsidR="00322F45" w:rsidRPr="005A076C" w:rsidTr="009B60E6">
        <w:trPr>
          <w:trHeight w:val="341"/>
        </w:trPr>
        <w:tc>
          <w:tcPr>
            <w:tcW w:w="5058"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Legal final Maturity Dates:</w:t>
            </w:r>
          </w:p>
        </w:tc>
        <w:tc>
          <w:tcPr>
            <w:tcW w:w="378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p>
        </w:tc>
      </w:tr>
      <w:tr w:rsidR="00322F45" w:rsidRPr="005A076C" w:rsidTr="009B60E6">
        <w:trPr>
          <w:trHeight w:val="350"/>
        </w:trPr>
        <w:tc>
          <w:tcPr>
            <w:tcW w:w="5058"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Payments to Investors:</w:t>
            </w:r>
          </w:p>
        </w:tc>
        <w:tc>
          <w:tcPr>
            <w:tcW w:w="378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Semiannually</w:t>
            </w:r>
          </w:p>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Beginning ________ __, 2013</w:t>
            </w:r>
          </w:p>
        </w:tc>
      </w:tr>
      <w:tr w:rsidR="00322F45" w:rsidRPr="005A076C" w:rsidTr="00322F45">
        <w:trPr>
          <w:trHeight w:val="864"/>
        </w:trPr>
        <w:tc>
          <w:tcPr>
            <w:tcW w:w="5058"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Initial annual Servicing Fee as a percent of original PIR Bond principal balance:</w:t>
            </w:r>
          </w:p>
        </w:tc>
        <w:tc>
          <w:tcPr>
            <w:tcW w:w="3780" w:type="dxa"/>
            <w:shd w:val="clear" w:color="auto" w:fill="auto"/>
            <w:vAlign w:val="center"/>
          </w:tcPr>
          <w:p w:rsidR="00322F45" w:rsidRPr="005A076C" w:rsidRDefault="00322F45" w:rsidP="00322F45">
            <w:pPr>
              <w:pStyle w:val="NoSpacing"/>
              <w:suppressLineNumbers/>
              <w:rPr>
                <w:rFonts w:ascii="Times New Roman" w:hAnsi="Times New Roman"/>
                <w:sz w:val="24"/>
                <w:szCs w:val="24"/>
              </w:rPr>
            </w:pPr>
          </w:p>
          <w:p w:rsidR="00322F45" w:rsidRPr="005A076C" w:rsidRDefault="00322F45" w:rsidP="00322F45">
            <w:pPr>
              <w:pStyle w:val="NoSpacing"/>
              <w:suppressLineNumbers/>
              <w:rPr>
                <w:rFonts w:ascii="Times New Roman" w:hAnsi="Times New Roman"/>
                <w:sz w:val="24"/>
                <w:szCs w:val="24"/>
              </w:rPr>
            </w:pPr>
            <w:r w:rsidRPr="005A076C">
              <w:rPr>
                <w:rFonts w:ascii="Times New Roman" w:hAnsi="Times New Roman"/>
                <w:sz w:val="24"/>
                <w:szCs w:val="24"/>
              </w:rPr>
              <w:t>____%</w:t>
            </w:r>
          </w:p>
        </w:tc>
      </w:tr>
    </w:tbl>
    <w:p w:rsidR="002C7419" w:rsidRPr="005A076C" w:rsidRDefault="002C7419" w:rsidP="009B60E6">
      <w:pPr>
        <w:pStyle w:val="NoSpacing"/>
        <w:suppressLineNumbers/>
        <w:jc w:val="right"/>
        <w:rPr>
          <w:rFonts w:ascii="Times New Roman" w:hAnsi="Times New Roman"/>
          <w:b/>
          <w:sz w:val="24"/>
          <w:szCs w:val="24"/>
        </w:rPr>
      </w:pPr>
    </w:p>
    <w:p w:rsidR="002C7419" w:rsidRPr="005A076C" w:rsidRDefault="002C7419" w:rsidP="009B60E6">
      <w:pPr>
        <w:pStyle w:val="NoSpacing"/>
        <w:suppressLineNumbers/>
        <w:jc w:val="right"/>
        <w:rPr>
          <w:rFonts w:ascii="Times New Roman" w:hAnsi="Times New Roman"/>
          <w:b/>
          <w:sz w:val="24"/>
          <w:szCs w:val="24"/>
        </w:rPr>
      </w:pPr>
    </w:p>
    <w:p w:rsidR="002C7419" w:rsidRPr="005A076C" w:rsidRDefault="002C7419" w:rsidP="009B60E6">
      <w:pPr>
        <w:pStyle w:val="NoSpacing"/>
        <w:suppressLineNumbers/>
        <w:jc w:val="right"/>
        <w:rPr>
          <w:rFonts w:ascii="Times New Roman" w:hAnsi="Times New Roman"/>
          <w:b/>
          <w:sz w:val="24"/>
          <w:szCs w:val="24"/>
        </w:rPr>
      </w:pPr>
    </w:p>
    <w:p w:rsidR="00447406" w:rsidRPr="005A076C" w:rsidRDefault="00447406" w:rsidP="009B60E6">
      <w:pPr>
        <w:pStyle w:val="NoSpacing"/>
        <w:suppressLineNumbers/>
        <w:jc w:val="right"/>
        <w:rPr>
          <w:rFonts w:ascii="Times New Roman" w:hAnsi="Times New Roman"/>
          <w:b/>
          <w:sz w:val="24"/>
          <w:szCs w:val="24"/>
        </w:rPr>
      </w:pP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 xml:space="preserve">Case No. </w:t>
      </w:r>
      <w:r w:rsidRPr="005A076C">
        <w:rPr>
          <w:rFonts w:ascii="Times New Roman" w:hAnsi="Times New Roman"/>
          <w:b/>
          <w:snapToGrid w:val="0"/>
          <w:szCs w:val="24"/>
        </w:rPr>
        <w:t>12</w:t>
      </w:r>
      <w:r w:rsidRPr="005A076C">
        <w:rPr>
          <w:rFonts w:ascii="Times New Roman" w:hAnsi="Times New Roman"/>
          <w:b/>
          <w:szCs w:val="24"/>
        </w:rPr>
        <w:t>-</w:t>
      </w:r>
      <w:r w:rsidR="00A00640">
        <w:rPr>
          <w:rFonts w:ascii="Times New Roman" w:hAnsi="Times New Roman"/>
          <w:b/>
          <w:szCs w:val="24"/>
        </w:rPr>
        <w:t>1969</w:t>
      </w:r>
      <w:r w:rsidRPr="005A076C">
        <w:rPr>
          <w:rFonts w:ascii="Times New Roman" w:hAnsi="Times New Roman"/>
          <w:b/>
          <w:szCs w:val="24"/>
        </w:rPr>
        <w:t>-EL-ATS</w:t>
      </w: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 xml:space="preserve">Staff Exhibit </w:t>
      </w: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Page 4 of 12</w:t>
      </w:r>
    </w:p>
    <w:p w:rsidR="009B60E6" w:rsidRPr="005A076C" w:rsidRDefault="009B60E6" w:rsidP="009B60E6">
      <w:pPr>
        <w:pStyle w:val="NoSpacing"/>
        <w:suppressLineNumbers/>
        <w:jc w:val="both"/>
        <w:rPr>
          <w:rFonts w:ascii="Times New Roman" w:hAnsi="Times New Roman"/>
          <w:sz w:val="24"/>
          <w:szCs w:val="24"/>
        </w:rPr>
      </w:pPr>
    </w:p>
    <w:p w:rsidR="003B789C" w:rsidRPr="005A076C" w:rsidRDefault="003B789C" w:rsidP="00322F45">
      <w:pPr>
        <w:suppressLineNumbers/>
        <w:spacing w:after="240"/>
        <w:rPr>
          <w:b/>
          <w:sz w:val="26"/>
          <w:szCs w:val="26"/>
          <w:u w:val="single"/>
        </w:rPr>
      </w:pPr>
    </w:p>
    <w:p w:rsidR="00322F45" w:rsidRPr="005A076C" w:rsidRDefault="00322F45" w:rsidP="00322F45">
      <w:pPr>
        <w:suppressLineNumbers/>
        <w:spacing w:after="240"/>
        <w:rPr>
          <w:b/>
          <w:sz w:val="28"/>
          <w:szCs w:val="26"/>
          <w:u w:val="single"/>
        </w:rPr>
      </w:pPr>
      <w:r w:rsidRPr="005A076C">
        <w:rPr>
          <w:b/>
          <w:sz w:val="28"/>
          <w:szCs w:val="26"/>
          <w:u w:val="single"/>
        </w:rPr>
        <w:t>INITIAL PHASE-IN RECOVERY CHARGES</w:t>
      </w:r>
    </w:p>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Table I below shows the current assumptions for each of the variables used in the calcu</w:t>
      </w:r>
      <w:r w:rsidRPr="005A076C">
        <w:rPr>
          <w:rFonts w:ascii="Times New Roman" w:hAnsi="Times New Roman"/>
          <w:sz w:val="24"/>
          <w:szCs w:val="26"/>
        </w:rPr>
        <w:softHyphen/>
        <w:t>lation of the initial Phase-In Recovery Charges</w:t>
      </w:r>
    </w:p>
    <w:p w:rsidR="00322F45" w:rsidRPr="005A076C" w:rsidRDefault="00322F45" w:rsidP="00322F45">
      <w:pPr>
        <w:pStyle w:val="NoSpacing"/>
        <w:suppressLineNumbers/>
        <w:jc w:val="both"/>
        <w:rPr>
          <w:rFonts w:ascii="Times New Roman" w:hAnsi="Times New Roman"/>
          <w:sz w:val="24"/>
          <w:szCs w:val="26"/>
        </w:rPr>
      </w:pPr>
    </w:p>
    <w:p w:rsidR="00322F45" w:rsidRPr="005A076C" w:rsidRDefault="00322F45" w:rsidP="00322F45">
      <w:pPr>
        <w:pStyle w:val="NoSpacing"/>
        <w:suppressLineNumbers/>
        <w:jc w:val="both"/>
        <w:rPr>
          <w:rFonts w:ascii="Times New Roman" w:hAnsi="Times New Roman"/>
          <w:sz w:val="24"/>
          <w:szCs w:val="26"/>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2250"/>
      </w:tblGrid>
      <w:tr w:rsidR="00322F45" w:rsidRPr="005A076C" w:rsidTr="00322F45">
        <w:tc>
          <w:tcPr>
            <w:tcW w:w="8748" w:type="dxa"/>
            <w:gridSpan w:val="2"/>
            <w:shd w:val="clear" w:color="auto" w:fill="auto"/>
          </w:tcPr>
          <w:p w:rsidR="00322F45" w:rsidRPr="005A076C" w:rsidRDefault="00322F45" w:rsidP="00322F45">
            <w:pPr>
              <w:pStyle w:val="NoSpacing"/>
              <w:suppressLineNumbers/>
              <w:jc w:val="both"/>
              <w:rPr>
                <w:rFonts w:ascii="Times New Roman" w:hAnsi="Times New Roman"/>
                <w:b/>
                <w:sz w:val="24"/>
                <w:szCs w:val="26"/>
              </w:rPr>
            </w:pPr>
            <w:r w:rsidRPr="005A076C">
              <w:rPr>
                <w:rFonts w:ascii="Times New Roman" w:hAnsi="Times New Roman"/>
                <w:b/>
                <w:sz w:val="24"/>
                <w:szCs w:val="26"/>
              </w:rPr>
              <w:t>TABLE I</w:t>
            </w:r>
          </w:p>
        </w:tc>
      </w:tr>
      <w:tr w:rsidR="00322F45" w:rsidRPr="005A076C" w:rsidTr="00322F45">
        <w:trPr>
          <w:trHeight w:val="576"/>
        </w:trPr>
        <w:tc>
          <w:tcPr>
            <w:tcW w:w="8748" w:type="dxa"/>
            <w:gridSpan w:val="2"/>
            <w:shd w:val="clear" w:color="auto" w:fill="auto"/>
            <w:vAlign w:val="center"/>
          </w:tcPr>
          <w:p w:rsidR="00322F45" w:rsidRPr="005A076C" w:rsidRDefault="00322F45" w:rsidP="00322F45">
            <w:pPr>
              <w:pStyle w:val="NoSpacing"/>
              <w:suppressLineNumbers/>
              <w:rPr>
                <w:rFonts w:ascii="Times New Roman" w:hAnsi="Times New Roman"/>
                <w:b/>
                <w:sz w:val="24"/>
                <w:szCs w:val="26"/>
              </w:rPr>
            </w:pPr>
            <w:r w:rsidRPr="005A076C">
              <w:rPr>
                <w:rFonts w:ascii="Times New Roman" w:hAnsi="Times New Roman"/>
                <w:b/>
                <w:sz w:val="24"/>
                <w:szCs w:val="26"/>
              </w:rPr>
              <w:t>Input Values For Initial Phase-In Recovery Charges</w:t>
            </w:r>
          </w:p>
        </w:tc>
      </w:tr>
      <w:tr w:rsidR="00322F45" w:rsidRPr="005A076C" w:rsidTr="00322F45">
        <w:trPr>
          <w:trHeight w:val="576"/>
        </w:trPr>
        <w:tc>
          <w:tcPr>
            <w:tcW w:w="8748" w:type="dxa"/>
            <w:gridSpan w:val="2"/>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Applicable period:  from______, ______ to _________, _____</w:t>
            </w:r>
          </w:p>
        </w:tc>
      </w:tr>
      <w:tr w:rsidR="00322F45" w:rsidRPr="005A076C" w:rsidTr="00322F45">
        <w:trPr>
          <w:trHeight w:val="576"/>
        </w:trPr>
        <w:tc>
          <w:tcPr>
            <w:tcW w:w="6498"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Forecasted retail kWh/kW sales for the applicable period:</w:t>
            </w:r>
          </w:p>
        </w:tc>
        <w:tc>
          <w:tcPr>
            <w:tcW w:w="2250"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________</w:t>
            </w:r>
          </w:p>
        </w:tc>
      </w:tr>
      <w:tr w:rsidR="00322F45" w:rsidRPr="005A076C" w:rsidTr="00322F45">
        <w:trPr>
          <w:trHeight w:val="576"/>
        </w:trPr>
        <w:tc>
          <w:tcPr>
            <w:tcW w:w="6498"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PIR Bond debt service for the applicable period:</w:t>
            </w:r>
          </w:p>
        </w:tc>
        <w:tc>
          <w:tcPr>
            <w:tcW w:w="2250"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$________</w:t>
            </w:r>
          </w:p>
        </w:tc>
      </w:tr>
      <w:tr w:rsidR="00322F45" w:rsidRPr="005A076C" w:rsidTr="00322F45">
        <w:trPr>
          <w:trHeight w:val="576"/>
        </w:trPr>
        <w:tc>
          <w:tcPr>
            <w:tcW w:w="6498"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Percent of billed amounts expected to be charged-off</w:t>
            </w:r>
          </w:p>
        </w:tc>
        <w:tc>
          <w:tcPr>
            <w:tcW w:w="2250"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w:t>
            </w:r>
          </w:p>
        </w:tc>
      </w:tr>
      <w:tr w:rsidR="00322F45" w:rsidRPr="005A076C" w:rsidTr="00322F45">
        <w:trPr>
          <w:trHeight w:val="576"/>
        </w:trPr>
        <w:tc>
          <w:tcPr>
            <w:tcW w:w="6498"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Forecasted % of Billing Paid in the Applicable Period:</w:t>
            </w:r>
          </w:p>
        </w:tc>
        <w:tc>
          <w:tcPr>
            <w:tcW w:w="2250"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w:t>
            </w:r>
          </w:p>
        </w:tc>
      </w:tr>
      <w:tr w:rsidR="00322F45" w:rsidRPr="005A076C" w:rsidTr="00322F45">
        <w:trPr>
          <w:trHeight w:val="576"/>
        </w:trPr>
        <w:tc>
          <w:tcPr>
            <w:tcW w:w="6498"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Forecasted retail kWh/Kw sales billed and collected for the applicable period:</w:t>
            </w:r>
          </w:p>
        </w:tc>
        <w:tc>
          <w:tcPr>
            <w:tcW w:w="2250"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p>
        </w:tc>
      </w:tr>
      <w:tr w:rsidR="00322F45" w:rsidRPr="005A076C" w:rsidTr="00322F45">
        <w:trPr>
          <w:trHeight w:val="576"/>
        </w:trPr>
        <w:tc>
          <w:tcPr>
            <w:tcW w:w="6498"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Current PIR Bond outstanding balance:</w:t>
            </w:r>
          </w:p>
        </w:tc>
        <w:tc>
          <w:tcPr>
            <w:tcW w:w="2250"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$______. __</w:t>
            </w:r>
          </w:p>
        </w:tc>
      </w:tr>
      <w:tr w:rsidR="00322F45" w:rsidRPr="005A076C" w:rsidTr="00322F45">
        <w:trPr>
          <w:trHeight w:val="576"/>
        </w:trPr>
        <w:tc>
          <w:tcPr>
            <w:tcW w:w="6498"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Target PIR Bond outstanding balance as of __/__/_____</w:t>
            </w:r>
          </w:p>
        </w:tc>
        <w:tc>
          <w:tcPr>
            <w:tcW w:w="2250"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$_________</w:t>
            </w:r>
          </w:p>
        </w:tc>
      </w:tr>
      <w:tr w:rsidR="00322F45" w:rsidRPr="005A076C" w:rsidTr="00322F45">
        <w:trPr>
          <w:trHeight w:val="576"/>
        </w:trPr>
        <w:tc>
          <w:tcPr>
            <w:tcW w:w="6498"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Total Periodic Billing Requirement for applicable period:</w:t>
            </w:r>
          </w:p>
        </w:tc>
        <w:tc>
          <w:tcPr>
            <w:tcW w:w="2250" w:type="dxa"/>
            <w:shd w:val="clear" w:color="auto" w:fill="auto"/>
            <w:vAlign w:val="center"/>
          </w:tcPr>
          <w:p w:rsidR="00322F45" w:rsidRPr="005A076C" w:rsidRDefault="00322F45" w:rsidP="00322F45">
            <w:pPr>
              <w:pStyle w:val="NoSpacing"/>
              <w:suppressLineNumbers/>
              <w:rPr>
                <w:rFonts w:ascii="Times New Roman" w:hAnsi="Times New Roman"/>
                <w:sz w:val="24"/>
                <w:szCs w:val="26"/>
              </w:rPr>
            </w:pPr>
            <w:r w:rsidRPr="005A076C">
              <w:rPr>
                <w:rFonts w:ascii="Times New Roman" w:hAnsi="Times New Roman"/>
                <w:sz w:val="24"/>
                <w:szCs w:val="26"/>
              </w:rPr>
              <w:t>$_________</w:t>
            </w:r>
          </w:p>
        </w:tc>
      </w:tr>
    </w:tbl>
    <w:p w:rsidR="00322F45" w:rsidRPr="005A076C" w:rsidRDefault="00322F45" w:rsidP="00322F45">
      <w:pPr>
        <w:pStyle w:val="NoSpacing"/>
        <w:suppressLineNumbers/>
        <w:jc w:val="both"/>
        <w:rPr>
          <w:rFonts w:ascii="Times New Roman" w:hAnsi="Times New Roman"/>
          <w:sz w:val="26"/>
          <w:szCs w:val="26"/>
        </w:rPr>
        <w:sectPr w:rsidR="00322F45" w:rsidRPr="005A076C" w:rsidSect="002C7419">
          <w:headerReference w:type="default" r:id="rId26"/>
          <w:footerReference w:type="default" r:id="rId27"/>
          <w:headerReference w:type="first" r:id="rId28"/>
          <w:footerReference w:type="first" r:id="rId29"/>
          <w:footnotePr>
            <w:numRestart w:val="eachSect"/>
          </w:footnotePr>
          <w:pgSz w:w="12240" w:h="15840" w:code="1"/>
          <w:pgMar w:top="1260" w:right="1440" w:bottom="1440" w:left="1440" w:header="720" w:footer="720" w:gutter="0"/>
          <w:pgNumType w:start="1"/>
          <w:cols w:space="720"/>
          <w:titlePg/>
          <w:docGrid w:linePitch="360"/>
        </w:sectPr>
      </w:pP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lastRenderedPageBreak/>
        <w:t xml:space="preserve">Case No. </w:t>
      </w:r>
      <w:r w:rsidRPr="005A076C">
        <w:rPr>
          <w:rFonts w:ascii="Times New Roman" w:hAnsi="Times New Roman"/>
          <w:b/>
          <w:snapToGrid w:val="0"/>
          <w:szCs w:val="24"/>
        </w:rPr>
        <w:t>12</w:t>
      </w:r>
      <w:r w:rsidRPr="005A076C">
        <w:rPr>
          <w:rFonts w:ascii="Times New Roman" w:hAnsi="Times New Roman"/>
          <w:b/>
          <w:szCs w:val="24"/>
        </w:rPr>
        <w:t>-</w:t>
      </w:r>
      <w:r w:rsidR="00A00640">
        <w:rPr>
          <w:rFonts w:ascii="Times New Roman" w:hAnsi="Times New Roman"/>
          <w:b/>
          <w:szCs w:val="24"/>
        </w:rPr>
        <w:t>1969</w:t>
      </w:r>
      <w:r w:rsidRPr="005A076C">
        <w:rPr>
          <w:rFonts w:ascii="Times New Roman" w:hAnsi="Times New Roman"/>
          <w:b/>
          <w:szCs w:val="24"/>
        </w:rPr>
        <w:t>-EL-ATS</w:t>
      </w: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 xml:space="preserve">Staff Exhibit </w:t>
      </w: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Page 5 of 12</w:t>
      </w:r>
    </w:p>
    <w:p w:rsidR="007F47B9" w:rsidRPr="005A076C" w:rsidRDefault="007F47B9" w:rsidP="002C7419">
      <w:pPr>
        <w:pStyle w:val="NoSpacing"/>
        <w:jc w:val="center"/>
        <w:rPr>
          <w:rFonts w:ascii="Times New Roman" w:hAnsi="Times New Roman"/>
          <w:b/>
          <w:sz w:val="24"/>
          <w:szCs w:val="26"/>
          <w:u w:val="single"/>
        </w:rPr>
      </w:pPr>
    </w:p>
    <w:p w:rsidR="007F47B9" w:rsidRPr="005A076C" w:rsidRDefault="007F47B9" w:rsidP="002C7419">
      <w:pPr>
        <w:pStyle w:val="NoSpacing"/>
        <w:jc w:val="center"/>
        <w:rPr>
          <w:rFonts w:ascii="Times New Roman" w:hAnsi="Times New Roman"/>
          <w:b/>
          <w:sz w:val="28"/>
          <w:szCs w:val="26"/>
          <w:u w:val="single"/>
        </w:rPr>
      </w:pPr>
    </w:p>
    <w:p w:rsidR="007F47B9" w:rsidRPr="005A076C" w:rsidRDefault="007F47B9" w:rsidP="002C7419">
      <w:pPr>
        <w:pStyle w:val="NoSpacing"/>
        <w:jc w:val="center"/>
        <w:rPr>
          <w:rFonts w:ascii="Times New Roman" w:hAnsi="Times New Roman"/>
          <w:b/>
          <w:sz w:val="28"/>
          <w:szCs w:val="26"/>
          <w:u w:val="single"/>
        </w:rPr>
      </w:pPr>
    </w:p>
    <w:p w:rsidR="007F47B9" w:rsidRPr="005A076C" w:rsidRDefault="007F47B9" w:rsidP="002C7419">
      <w:pPr>
        <w:pStyle w:val="NoSpacing"/>
        <w:jc w:val="center"/>
        <w:rPr>
          <w:rFonts w:ascii="Times New Roman" w:hAnsi="Times New Roman"/>
          <w:b/>
          <w:sz w:val="28"/>
          <w:szCs w:val="26"/>
          <w:u w:val="single"/>
        </w:rPr>
      </w:pPr>
    </w:p>
    <w:p w:rsidR="002C7419" w:rsidRPr="005A076C" w:rsidRDefault="002C7419" w:rsidP="002C7419">
      <w:pPr>
        <w:pStyle w:val="NoSpacing"/>
        <w:jc w:val="center"/>
        <w:rPr>
          <w:rFonts w:ascii="Times New Roman" w:hAnsi="Times New Roman"/>
          <w:b/>
          <w:sz w:val="28"/>
          <w:szCs w:val="26"/>
          <w:u w:val="single"/>
        </w:rPr>
      </w:pPr>
      <w:r w:rsidRPr="005A076C">
        <w:rPr>
          <w:rFonts w:ascii="Times New Roman" w:hAnsi="Times New Roman"/>
          <w:b/>
          <w:sz w:val="28"/>
          <w:szCs w:val="26"/>
          <w:u w:val="single"/>
        </w:rPr>
        <w:t>ATTACHMENT-1</w:t>
      </w:r>
    </w:p>
    <w:p w:rsidR="002C7419" w:rsidRPr="005A076C" w:rsidRDefault="002C7419" w:rsidP="002C7419">
      <w:pPr>
        <w:pStyle w:val="NoSpacing"/>
        <w:jc w:val="center"/>
        <w:rPr>
          <w:rFonts w:ascii="Times New Roman" w:hAnsi="Times New Roman"/>
          <w:b/>
          <w:sz w:val="28"/>
          <w:szCs w:val="26"/>
          <w:u w:val="single"/>
        </w:rPr>
      </w:pPr>
      <w:r w:rsidRPr="005A076C">
        <w:rPr>
          <w:rFonts w:ascii="Times New Roman" w:hAnsi="Times New Roman"/>
          <w:b/>
          <w:sz w:val="28"/>
          <w:szCs w:val="26"/>
          <w:u w:val="single"/>
        </w:rPr>
        <w:t>SCHEDULE-A</w:t>
      </w:r>
    </w:p>
    <w:p w:rsidR="00322F45" w:rsidRPr="005A076C" w:rsidRDefault="00322F45" w:rsidP="00322F45">
      <w:pPr>
        <w:pStyle w:val="NoSpacing"/>
        <w:suppressLineNumbers/>
        <w:spacing w:after="240"/>
        <w:jc w:val="center"/>
        <w:rPr>
          <w:rFonts w:ascii="Times New Roman" w:hAnsi="Times New Roman"/>
          <w:b/>
          <w:sz w:val="28"/>
          <w:szCs w:val="26"/>
          <w:u w:val="single"/>
        </w:rPr>
      </w:pPr>
    </w:p>
    <w:p w:rsidR="002C7419" w:rsidRPr="005A076C" w:rsidRDefault="002C7419" w:rsidP="00322F45">
      <w:pPr>
        <w:suppressLineNumbers/>
        <w:spacing w:after="240"/>
        <w:jc w:val="both"/>
        <w:rPr>
          <w:b/>
          <w:sz w:val="26"/>
          <w:szCs w:val="26"/>
          <w:u w:val="single"/>
        </w:rPr>
      </w:pPr>
    </w:p>
    <w:p w:rsidR="00322F45" w:rsidRPr="005A076C" w:rsidRDefault="00322F45" w:rsidP="00322F45">
      <w:pPr>
        <w:suppressLineNumbers/>
        <w:spacing w:after="240"/>
        <w:jc w:val="both"/>
        <w:rPr>
          <w:b/>
          <w:sz w:val="26"/>
          <w:szCs w:val="26"/>
          <w:u w:val="single"/>
        </w:rPr>
      </w:pPr>
      <w:r w:rsidRPr="005A076C">
        <w:rPr>
          <w:b/>
          <w:sz w:val="26"/>
          <w:szCs w:val="26"/>
          <w:u w:val="single"/>
        </w:rPr>
        <w:t>CALCULATION OF SECURITIZED PHASE-IN RECOVERY CHARGES</w:t>
      </w:r>
    </w:p>
    <w:p w:rsidR="00322F45" w:rsidRPr="005A076C" w:rsidRDefault="00322F45" w:rsidP="00322F45">
      <w:pPr>
        <w:suppressLineNumbers/>
        <w:jc w:val="both"/>
        <w:rPr>
          <w:b/>
          <w:sz w:val="26"/>
          <w:szCs w:val="26"/>
          <w:u w:val="single"/>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459"/>
      </w:tblGrid>
      <w:tr w:rsidR="003B789C" w:rsidRPr="005A076C" w:rsidTr="00390AB3">
        <w:trPr>
          <w:trHeight w:val="576"/>
        </w:trPr>
        <w:tc>
          <w:tcPr>
            <w:tcW w:w="7848" w:type="dxa"/>
            <w:shd w:val="clear" w:color="auto" w:fill="auto"/>
            <w:vAlign w:val="center"/>
          </w:tcPr>
          <w:p w:rsidR="003B789C" w:rsidRPr="005A076C" w:rsidRDefault="003B789C" w:rsidP="00322F45">
            <w:pPr>
              <w:suppressLineNumbers/>
              <w:rPr>
                <w:b/>
                <w:sz w:val="26"/>
                <w:szCs w:val="26"/>
                <w:u w:val="single"/>
              </w:rPr>
            </w:pPr>
          </w:p>
        </w:tc>
        <w:tc>
          <w:tcPr>
            <w:tcW w:w="1459" w:type="dxa"/>
            <w:shd w:val="clear" w:color="auto" w:fill="auto"/>
            <w:vAlign w:val="center"/>
          </w:tcPr>
          <w:p w:rsidR="003B789C" w:rsidRPr="005A076C" w:rsidRDefault="003B789C" w:rsidP="00322F45">
            <w:pPr>
              <w:suppressLineNumbers/>
              <w:rPr>
                <w:sz w:val="26"/>
                <w:szCs w:val="26"/>
              </w:rPr>
            </w:pPr>
            <w:r w:rsidRPr="005A076C">
              <w:rPr>
                <w:sz w:val="26"/>
                <w:szCs w:val="26"/>
              </w:rPr>
              <w:t>Total</w:t>
            </w:r>
          </w:p>
        </w:tc>
      </w:tr>
      <w:tr w:rsidR="003B789C" w:rsidRPr="005A076C" w:rsidTr="00390AB3">
        <w:trPr>
          <w:trHeight w:val="576"/>
        </w:trPr>
        <w:tc>
          <w:tcPr>
            <w:tcW w:w="7848" w:type="dxa"/>
            <w:shd w:val="clear" w:color="auto" w:fill="auto"/>
            <w:vAlign w:val="center"/>
          </w:tcPr>
          <w:p w:rsidR="003B789C" w:rsidRPr="005A076C" w:rsidRDefault="003B789C" w:rsidP="00322F45">
            <w:pPr>
              <w:suppressLineNumbers/>
              <w:rPr>
                <w:sz w:val="26"/>
                <w:szCs w:val="26"/>
              </w:rPr>
            </w:pPr>
            <w:r w:rsidRPr="005A076C">
              <w:rPr>
                <w:sz w:val="26"/>
                <w:szCs w:val="26"/>
              </w:rPr>
              <w:t>Amount permitted to be securitized by Financing Order</w:t>
            </w:r>
          </w:p>
          <w:p w:rsidR="003B789C" w:rsidRPr="005A076C" w:rsidRDefault="003B789C" w:rsidP="00322F45">
            <w:pPr>
              <w:suppressLineNumbers/>
              <w:rPr>
                <w:b/>
                <w:sz w:val="26"/>
                <w:szCs w:val="26"/>
                <w:u w:val="single"/>
              </w:rPr>
            </w:pPr>
          </w:p>
        </w:tc>
        <w:tc>
          <w:tcPr>
            <w:tcW w:w="1459" w:type="dxa"/>
            <w:shd w:val="clear" w:color="auto" w:fill="auto"/>
            <w:vAlign w:val="center"/>
          </w:tcPr>
          <w:p w:rsidR="003B789C" w:rsidRPr="005A076C" w:rsidRDefault="003B789C" w:rsidP="00322F45">
            <w:pPr>
              <w:suppressLineNumbers/>
              <w:rPr>
                <w:b/>
                <w:sz w:val="26"/>
                <w:szCs w:val="26"/>
                <w:u w:val="single"/>
              </w:rPr>
            </w:pPr>
            <w:r w:rsidRPr="005A076C">
              <w:rPr>
                <w:b/>
                <w:sz w:val="26"/>
                <w:szCs w:val="26"/>
              </w:rPr>
              <w:t>$</w:t>
            </w:r>
          </w:p>
        </w:tc>
      </w:tr>
      <w:tr w:rsidR="003B789C" w:rsidRPr="005A076C" w:rsidTr="00390AB3">
        <w:trPr>
          <w:trHeight w:val="576"/>
        </w:trPr>
        <w:tc>
          <w:tcPr>
            <w:tcW w:w="7848" w:type="dxa"/>
            <w:shd w:val="clear" w:color="auto" w:fill="auto"/>
            <w:vAlign w:val="center"/>
          </w:tcPr>
          <w:p w:rsidR="003B789C" w:rsidRPr="005A076C" w:rsidRDefault="003B789C" w:rsidP="00322F45">
            <w:pPr>
              <w:suppressLineNumbers/>
              <w:rPr>
                <w:b/>
                <w:sz w:val="26"/>
                <w:szCs w:val="26"/>
              </w:rPr>
            </w:pPr>
            <w:r w:rsidRPr="005A076C">
              <w:rPr>
                <w:b/>
                <w:sz w:val="26"/>
                <w:szCs w:val="26"/>
              </w:rPr>
              <w:t>TOTAL SECURIT</w:t>
            </w:r>
            <w:r w:rsidRPr="005A076C">
              <w:rPr>
                <w:b/>
                <w:sz w:val="26"/>
                <w:szCs w:val="26"/>
              </w:rPr>
              <w:softHyphen/>
              <w:t>IZED PHASE-IN RECOVERY CHARGES</w:t>
            </w:r>
          </w:p>
          <w:p w:rsidR="003B789C" w:rsidRPr="005A076C" w:rsidRDefault="003B789C" w:rsidP="00322F45">
            <w:pPr>
              <w:suppressLineNumbers/>
              <w:rPr>
                <w:b/>
                <w:sz w:val="26"/>
                <w:szCs w:val="26"/>
                <w:u w:val="single"/>
              </w:rPr>
            </w:pPr>
          </w:p>
        </w:tc>
        <w:tc>
          <w:tcPr>
            <w:tcW w:w="1459" w:type="dxa"/>
            <w:shd w:val="clear" w:color="auto" w:fill="auto"/>
            <w:vAlign w:val="center"/>
          </w:tcPr>
          <w:p w:rsidR="003B789C" w:rsidRPr="005A076C" w:rsidRDefault="003B789C" w:rsidP="00322F45">
            <w:pPr>
              <w:suppressLineNumbers/>
              <w:rPr>
                <w:b/>
                <w:sz w:val="26"/>
                <w:szCs w:val="26"/>
                <w:u w:val="single"/>
              </w:rPr>
            </w:pPr>
            <w:r w:rsidRPr="005A076C">
              <w:rPr>
                <w:b/>
                <w:sz w:val="26"/>
                <w:szCs w:val="26"/>
              </w:rPr>
              <w:t>$</w:t>
            </w:r>
          </w:p>
        </w:tc>
      </w:tr>
    </w:tbl>
    <w:p w:rsidR="00322F45" w:rsidRPr="005A076C" w:rsidRDefault="00322F45" w:rsidP="00322F45">
      <w:pPr>
        <w:suppressLineNumbers/>
        <w:jc w:val="both"/>
        <w:rPr>
          <w:b/>
          <w:sz w:val="26"/>
          <w:szCs w:val="26"/>
          <w:u w:val="single"/>
        </w:rPr>
      </w:pPr>
    </w:p>
    <w:p w:rsidR="00322F45" w:rsidRPr="005A076C" w:rsidRDefault="00322F45" w:rsidP="00322F45">
      <w:pPr>
        <w:pStyle w:val="NoSpacing"/>
        <w:suppressLineNumbers/>
        <w:spacing w:after="240"/>
        <w:jc w:val="center"/>
        <w:rPr>
          <w:rFonts w:ascii="Times New Roman" w:hAnsi="Times New Roman"/>
          <w:b/>
          <w:sz w:val="26"/>
          <w:szCs w:val="26"/>
          <w:u w:val="single"/>
        </w:rPr>
        <w:sectPr w:rsidR="00322F45" w:rsidRPr="005A076C" w:rsidSect="003B12DD">
          <w:headerReference w:type="first" r:id="rId30"/>
          <w:footerReference w:type="first" r:id="rId31"/>
          <w:footnotePr>
            <w:numRestart w:val="eachSect"/>
          </w:footnotePr>
          <w:pgSz w:w="12240" w:h="15840" w:code="1"/>
          <w:pgMar w:top="1440" w:right="1440" w:bottom="1440" w:left="1440" w:header="720" w:footer="720" w:gutter="0"/>
          <w:pgNumType w:start="1"/>
          <w:cols w:space="720"/>
          <w:titlePg/>
          <w:docGrid w:linePitch="360"/>
        </w:sectPr>
      </w:pP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lastRenderedPageBreak/>
        <w:t xml:space="preserve">Case No. </w:t>
      </w:r>
      <w:r w:rsidRPr="005A076C">
        <w:rPr>
          <w:rFonts w:ascii="Times New Roman" w:hAnsi="Times New Roman"/>
          <w:b/>
          <w:snapToGrid w:val="0"/>
          <w:szCs w:val="24"/>
        </w:rPr>
        <w:t>12</w:t>
      </w:r>
      <w:r w:rsidRPr="005A076C">
        <w:rPr>
          <w:rFonts w:ascii="Times New Roman" w:hAnsi="Times New Roman"/>
          <w:b/>
          <w:szCs w:val="24"/>
        </w:rPr>
        <w:t>-</w:t>
      </w:r>
      <w:r w:rsidR="00A00640">
        <w:rPr>
          <w:rFonts w:ascii="Times New Roman" w:hAnsi="Times New Roman"/>
          <w:b/>
          <w:szCs w:val="24"/>
        </w:rPr>
        <w:t>1969</w:t>
      </w:r>
      <w:r w:rsidRPr="005A076C">
        <w:rPr>
          <w:rFonts w:ascii="Times New Roman" w:hAnsi="Times New Roman"/>
          <w:b/>
          <w:szCs w:val="24"/>
        </w:rPr>
        <w:t>-EL-ATS</w:t>
      </w: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 xml:space="preserve">Staff Exhibit </w:t>
      </w: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Page 6 of 12</w:t>
      </w:r>
    </w:p>
    <w:p w:rsidR="007F47B9" w:rsidRPr="005A076C" w:rsidRDefault="007F47B9" w:rsidP="009B60E6">
      <w:pPr>
        <w:pStyle w:val="NoSpacing"/>
        <w:suppressLineNumbers/>
        <w:jc w:val="right"/>
        <w:rPr>
          <w:rFonts w:ascii="Times New Roman" w:hAnsi="Times New Roman"/>
          <w:b/>
          <w:sz w:val="24"/>
          <w:szCs w:val="24"/>
        </w:rPr>
      </w:pPr>
    </w:p>
    <w:p w:rsidR="007F47B9" w:rsidRPr="005A076C" w:rsidRDefault="007F47B9" w:rsidP="009B60E6">
      <w:pPr>
        <w:pStyle w:val="NoSpacing"/>
        <w:suppressLineNumbers/>
        <w:jc w:val="right"/>
        <w:rPr>
          <w:rFonts w:ascii="Times New Roman" w:hAnsi="Times New Roman"/>
          <w:b/>
          <w:sz w:val="24"/>
          <w:szCs w:val="24"/>
        </w:rPr>
      </w:pPr>
    </w:p>
    <w:p w:rsidR="007F47B9" w:rsidRPr="005A076C" w:rsidRDefault="007F47B9" w:rsidP="009B60E6">
      <w:pPr>
        <w:pStyle w:val="NoSpacing"/>
        <w:suppressLineNumbers/>
        <w:jc w:val="right"/>
        <w:rPr>
          <w:rFonts w:ascii="Times New Roman" w:hAnsi="Times New Roman"/>
          <w:b/>
          <w:sz w:val="24"/>
          <w:szCs w:val="24"/>
        </w:rPr>
      </w:pPr>
    </w:p>
    <w:p w:rsidR="002C7419" w:rsidRPr="005A076C" w:rsidRDefault="002C7419" w:rsidP="002C7419">
      <w:pPr>
        <w:pStyle w:val="NoSpacing"/>
        <w:jc w:val="center"/>
        <w:rPr>
          <w:rFonts w:ascii="Times New Roman" w:hAnsi="Times New Roman"/>
          <w:b/>
          <w:sz w:val="28"/>
          <w:szCs w:val="24"/>
          <w:u w:val="single"/>
        </w:rPr>
      </w:pPr>
      <w:r w:rsidRPr="005A076C">
        <w:rPr>
          <w:rFonts w:ascii="Times New Roman" w:hAnsi="Times New Roman"/>
          <w:b/>
          <w:sz w:val="28"/>
          <w:szCs w:val="24"/>
          <w:u w:val="single"/>
        </w:rPr>
        <w:t>ATTACHMENT-1</w:t>
      </w:r>
    </w:p>
    <w:p w:rsidR="002C7419" w:rsidRPr="005A076C" w:rsidRDefault="002C7419" w:rsidP="002C7419">
      <w:pPr>
        <w:pStyle w:val="NoSpacing"/>
        <w:jc w:val="center"/>
        <w:rPr>
          <w:rFonts w:ascii="Times New Roman" w:hAnsi="Times New Roman"/>
          <w:b/>
          <w:sz w:val="28"/>
          <w:szCs w:val="24"/>
          <w:u w:val="single"/>
        </w:rPr>
      </w:pPr>
      <w:r w:rsidRPr="005A076C">
        <w:rPr>
          <w:rFonts w:ascii="Times New Roman" w:hAnsi="Times New Roman"/>
          <w:b/>
          <w:sz w:val="28"/>
          <w:szCs w:val="24"/>
          <w:u w:val="single"/>
        </w:rPr>
        <w:t>SCHEDULE-B</w:t>
      </w:r>
    </w:p>
    <w:p w:rsidR="00322F45" w:rsidRPr="005A076C" w:rsidRDefault="00322F45" w:rsidP="002C7419">
      <w:pPr>
        <w:suppressLineNumbers/>
        <w:spacing w:after="240"/>
        <w:jc w:val="center"/>
        <w:rPr>
          <w:b/>
          <w:sz w:val="24"/>
          <w:szCs w:val="24"/>
          <w:u w:val="single"/>
        </w:rPr>
      </w:pPr>
      <w:r w:rsidRPr="005A076C">
        <w:rPr>
          <w:b/>
          <w:sz w:val="28"/>
          <w:szCs w:val="24"/>
          <w:u w:val="single"/>
        </w:rPr>
        <w:t xml:space="preserve">ESTIMATED UP-FRONT FINANCING </w:t>
      </w:r>
      <w:r w:rsidR="000A2BD1" w:rsidRPr="005A076C">
        <w:rPr>
          <w:b/>
          <w:sz w:val="28"/>
          <w:szCs w:val="24"/>
          <w:u w:val="single"/>
        </w:rPr>
        <w:t>COSTS</w:t>
      </w:r>
      <w:r w:rsidR="000A2BD1" w:rsidRPr="005A076C">
        <w:rPr>
          <w:b/>
          <w:sz w:val="28"/>
          <w:szCs w:val="24"/>
          <w:u w:val="single"/>
          <w:vertAlign w:val="superscript"/>
        </w:rPr>
        <w:t xml:space="preserve"> (</w:t>
      </w:r>
      <w:r w:rsidR="00E47D19" w:rsidRPr="005A076C">
        <w:rPr>
          <w:b/>
          <w:sz w:val="28"/>
          <w:szCs w:val="24"/>
          <w:u w:val="single"/>
          <w:vertAlign w:val="superscript"/>
        </w:rPr>
        <w:t>1</w:t>
      </w:r>
      <w:r w:rsidR="00E47D19" w:rsidRPr="005A076C">
        <w:rPr>
          <w:b/>
          <w:sz w:val="24"/>
          <w:szCs w:val="24"/>
          <w:u w:val="single"/>
          <w:vertAlign w:val="superscript"/>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020"/>
        <w:gridCol w:w="1710"/>
      </w:tblGrid>
      <w:tr w:rsidR="00322F45" w:rsidRPr="005A076C" w:rsidTr="00390AB3">
        <w:trPr>
          <w:trHeight w:val="432"/>
        </w:trPr>
        <w:tc>
          <w:tcPr>
            <w:tcW w:w="648" w:type="dxa"/>
            <w:shd w:val="clear" w:color="auto" w:fill="auto"/>
            <w:vAlign w:val="center"/>
          </w:tcPr>
          <w:p w:rsidR="00322F45" w:rsidRPr="005A076C" w:rsidRDefault="00322F45" w:rsidP="00322F45">
            <w:pPr>
              <w:suppressLineNumbers/>
              <w:jc w:val="center"/>
              <w:rPr>
                <w:b/>
                <w:sz w:val="24"/>
                <w:szCs w:val="24"/>
                <w:u w:val="single"/>
              </w:rPr>
            </w:pPr>
          </w:p>
        </w:tc>
        <w:tc>
          <w:tcPr>
            <w:tcW w:w="7020" w:type="dxa"/>
            <w:shd w:val="clear" w:color="auto" w:fill="auto"/>
            <w:vAlign w:val="center"/>
          </w:tcPr>
          <w:p w:rsidR="00322F45" w:rsidRPr="005A076C" w:rsidRDefault="00322F45" w:rsidP="00322F45">
            <w:pPr>
              <w:suppressLineNumbers/>
              <w:rPr>
                <w:b/>
                <w:sz w:val="24"/>
                <w:szCs w:val="24"/>
                <w:u w:val="single"/>
              </w:rPr>
            </w:pPr>
          </w:p>
        </w:tc>
        <w:tc>
          <w:tcPr>
            <w:tcW w:w="1710" w:type="dxa"/>
            <w:shd w:val="clear" w:color="auto" w:fill="auto"/>
            <w:vAlign w:val="center"/>
          </w:tcPr>
          <w:p w:rsidR="00322F45" w:rsidRPr="005A076C" w:rsidRDefault="00322F45" w:rsidP="00E47D19">
            <w:pPr>
              <w:suppressLineNumbers/>
              <w:ind w:left="-18"/>
              <w:rPr>
                <w:b/>
                <w:sz w:val="24"/>
                <w:szCs w:val="24"/>
                <w:u w:val="single"/>
              </w:rPr>
            </w:pPr>
            <w:r w:rsidRPr="005A076C">
              <w:rPr>
                <w:b/>
                <w:sz w:val="24"/>
                <w:szCs w:val="24"/>
                <w:u w:val="single"/>
              </w:rPr>
              <w:t>AMOUNT</w:t>
            </w:r>
          </w:p>
        </w:tc>
      </w:tr>
      <w:tr w:rsidR="00322F45" w:rsidRPr="005A076C" w:rsidTr="00390AB3">
        <w:trPr>
          <w:trHeight w:val="432"/>
        </w:trPr>
        <w:tc>
          <w:tcPr>
            <w:tcW w:w="648" w:type="dxa"/>
            <w:shd w:val="clear" w:color="auto" w:fill="auto"/>
            <w:vAlign w:val="center"/>
          </w:tcPr>
          <w:p w:rsidR="00322F45" w:rsidRPr="005A076C" w:rsidRDefault="00322F45" w:rsidP="00322F45">
            <w:pPr>
              <w:suppressLineNumbers/>
              <w:jc w:val="center"/>
              <w:rPr>
                <w:sz w:val="24"/>
                <w:szCs w:val="24"/>
              </w:rPr>
            </w:pPr>
            <w:r w:rsidRPr="005A076C">
              <w:rPr>
                <w:sz w:val="24"/>
                <w:szCs w:val="24"/>
              </w:rPr>
              <w:t>1</w:t>
            </w:r>
          </w:p>
        </w:tc>
        <w:tc>
          <w:tcPr>
            <w:tcW w:w="7020" w:type="dxa"/>
            <w:shd w:val="clear" w:color="auto" w:fill="auto"/>
            <w:vAlign w:val="center"/>
          </w:tcPr>
          <w:p w:rsidR="00322F45" w:rsidRPr="005A076C" w:rsidRDefault="00E47D19" w:rsidP="00322F45">
            <w:pPr>
              <w:suppressLineNumbers/>
              <w:rPr>
                <w:sz w:val="24"/>
                <w:szCs w:val="24"/>
              </w:rPr>
            </w:pPr>
            <w:r w:rsidRPr="005A076C">
              <w:rPr>
                <w:sz w:val="24"/>
                <w:szCs w:val="24"/>
              </w:rPr>
              <w:t>Underwriters’</w:t>
            </w:r>
            <w:r w:rsidR="00322F45" w:rsidRPr="005A076C">
              <w:rPr>
                <w:sz w:val="24"/>
                <w:szCs w:val="24"/>
              </w:rPr>
              <w:t xml:space="preserve"> Fees</w:t>
            </w:r>
          </w:p>
        </w:tc>
        <w:tc>
          <w:tcPr>
            <w:tcW w:w="1710" w:type="dxa"/>
            <w:shd w:val="clear" w:color="auto" w:fill="auto"/>
            <w:vAlign w:val="center"/>
          </w:tcPr>
          <w:p w:rsidR="00322F45" w:rsidRPr="005A076C" w:rsidRDefault="00322F45" w:rsidP="00322F45">
            <w:pPr>
              <w:suppressLineNumbers/>
              <w:rPr>
                <w:sz w:val="24"/>
                <w:szCs w:val="24"/>
              </w:rPr>
            </w:pPr>
          </w:p>
        </w:tc>
      </w:tr>
      <w:tr w:rsidR="00322F45" w:rsidRPr="005A076C" w:rsidTr="00390AB3">
        <w:trPr>
          <w:trHeight w:val="432"/>
        </w:trPr>
        <w:tc>
          <w:tcPr>
            <w:tcW w:w="648" w:type="dxa"/>
            <w:shd w:val="clear" w:color="auto" w:fill="auto"/>
            <w:vAlign w:val="center"/>
          </w:tcPr>
          <w:p w:rsidR="00322F45" w:rsidRPr="005A076C" w:rsidRDefault="00322F45" w:rsidP="00322F45">
            <w:pPr>
              <w:suppressLineNumbers/>
              <w:jc w:val="center"/>
              <w:rPr>
                <w:sz w:val="24"/>
                <w:szCs w:val="24"/>
              </w:rPr>
            </w:pPr>
            <w:r w:rsidRPr="005A076C">
              <w:rPr>
                <w:sz w:val="24"/>
                <w:szCs w:val="24"/>
              </w:rPr>
              <w:t>2</w:t>
            </w:r>
          </w:p>
        </w:tc>
        <w:tc>
          <w:tcPr>
            <w:tcW w:w="7020" w:type="dxa"/>
            <w:shd w:val="clear" w:color="auto" w:fill="auto"/>
            <w:vAlign w:val="center"/>
          </w:tcPr>
          <w:p w:rsidR="00322F45" w:rsidRPr="005A076C" w:rsidRDefault="00E47D19" w:rsidP="00E47D19">
            <w:pPr>
              <w:suppressLineNumbers/>
              <w:rPr>
                <w:sz w:val="24"/>
                <w:szCs w:val="24"/>
              </w:rPr>
            </w:pPr>
            <w:r w:rsidRPr="005A076C">
              <w:rPr>
                <w:sz w:val="24"/>
                <w:szCs w:val="24"/>
              </w:rPr>
              <w:t xml:space="preserve">Legal </w:t>
            </w:r>
            <w:r w:rsidR="00322F45" w:rsidRPr="005A076C">
              <w:rPr>
                <w:sz w:val="24"/>
                <w:szCs w:val="24"/>
              </w:rPr>
              <w:t>Fee</w:t>
            </w:r>
            <w:r w:rsidRPr="005A076C">
              <w:rPr>
                <w:sz w:val="24"/>
                <w:szCs w:val="24"/>
              </w:rPr>
              <w:t>s</w:t>
            </w:r>
          </w:p>
        </w:tc>
        <w:tc>
          <w:tcPr>
            <w:tcW w:w="1710" w:type="dxa"/>
            <w:shd w:val="clear" w:color="auto" w:fill="auto"/>
            <w:vAlign w:val="center"/>
          </w:tcPr>
          <w:p w:rsidR="00322F45" w:rsidRPr="005A076C" w:rsidRDefault="00322F45" w:rsidP="00322F45">
            <w:pPr>
              <w:suppressLineNumbers/>
              <w:rPr>
                <w:sz w:val="24"/>
                <w:szCs w:val="24"/>
              </w:rPr>
            </w:pPr>
          </w:p>
        </w:tc>
      </w:tr>
      <w:tr w:rsidR="00322F45" w:rsidRPr="005A076C" w:rsidTr="00390AB3">
        <w:trPr>
          <w:trHeight w:val="432"/>
        </w:trPr>
        <w:tc>
          <w:tcPr>
            <w:tcW w:w="648" w:type="dxa"/>
            <w:shd w:val="clear" w:color="auto" w:fill="auto"/>
            <w:vAlign w:val="center"/>
          </w:tcPr>
          <w:p w:rsidR="00322F45" w:rsidRPr="005A076C" w:rsidRDefault="00322F45" w:rsidP="00322F45">
            <w:pPr>
              <w:suppressLineNumbers/>
              <w:jc w:val="center"/>
              <w:rPr>
                <w:sz w:val="24"/>
                <w:szCs w:val="24"/>
              </w:rPr>
            </w:pPr>
            <w:r w:rsidRPr="005A076C">
              <w:rPr>
                <w:sz w:val="24"/>
                <w:szCs w:val="24"/>
              </w:rPr>
              <w:t>3</w:t>
            </w:r>
          </w:p>
        </w:tc>
        <w:tc>
          <w:tcPr>
            <w:tcW w:w="7020" w:type="dxa"/>
            <w:shd w:val="clear" w:color="auto" w:fill="auto"/>
            <w:vAlign w:val="center"/>
          </w:tcPr>
          <w:p w:rsidR="00322F45" w:rsidRPr="005A076C" w:rsidRDefault="00E47D19" w:rsidP="00322F45">
            <w:pPr>
              <w:suppressLineNumbers/>
              <w:rPr>
                <w:sz w:val="24"/>
                <w:szCs w:val="24"/>
              </w:rPr>
            </w:pPr>
            <w:r w:rsidRPr="005A076C">
              <w:rPr>
                <w:sz w:val="24"/>
                <w:szCs w:val="24"/>
              </w:rPr>
              <w:t>Rating Agency Fees</w:t>
            </w:r>
            <w:r w:rsidRPr="005A076C">
              <w:rPr>
                <w:sz w:val="24"/>
                <w:szCs w:val="24"/>
                <w:vertAlign w:val="superscript"/>
              </w:rPr>
              <w:t>(2)</w:t>
            </w:r>
          </w:p>
        </w:tc>
        <w:tc>
          <w:tcPr>
            <w:tcW w:w="1710" w:type="dxa"/>
            <w:shd w:val="clear" w:color="auto" w:fill="auto"/>
            <w:vAlign w:val="center"/>
          </w:tcPr>
          <w:p w:rsidR="00322F45" w:rsidRPr="005A076C" w:rsidRDefault="00322F45" w:rsidP="00322F45">
            <w:pPr>
              <w:suppressLineNumbers/>
              <w:rPr>
                <w:sz w:val="24"/>
                <w:szCs w:val="24"/>
              </w:rPr>
            </w:pPr>
          </w:p>
        </w:tc>
      </w:tr>
      <w:tr w:rsidR="00322F45" w:rsidRPr="005A076C" w:rsidTr="00390AB3">
        <w:trPr>
          <w:trHeight w:val="432"/>
        </w:trPr>
        <w:tc>
          <w:tcPr>
            <w:tcW w:w="648" w:type="dxa"/>
            <w:shd w:val="clear" w:color="auto" w:fill="auto"/>
            <w:vAlign w:val="center"/>
          </w:tcPr>
          <w:p w:rsidR="00322F45" w:rsidRPr="005A076C" w:rsidRDefault="00322F45" w:rsidP="00322F45">
            <w:pPr>
              <w:suppressLineNumbers/>
              <w:jc w:val="center"/>
              <w:rPr>
                <w:sz w:val="24"/>
                <w:szCs w:val="24"/>
              </w:rPr>
            </w:pPr>
            <w:r w:rsidRPr="005A076C">
              <w:rPr>
                <w:sz w:val="24"/>
                <w:szCs w:val="24"/>
              </w:rPr>
              <w:t>4</w:t>
            </w:r>
          </w:p>
        </w:tc>
        <w:tc>
          <w:tcPr>
            <w:tcW w:w="7020" w:type="dxa"/>
            <w:shd w:val="clear" w:color="auto" w:fill="auto"/>
            <w:vAlign w:val="center"/>
          </w:tcPr>
          <w:p w:rsidR="00322F45" w:rsidRPr="005A076C" w:rsidRDefault="00E47D19" w:rsidP="00322F45">
            <w:pPr>
              <w:suppressLineNumbers/>
              <w:rPr>
                <w:sz w:val="24"/>
                <w:szCs w:val="24"/>
              </w:rPr>
            </w:pPr>
            <w:r w:rsidRPr="005A076C">
              <w:rPr>
                <w:sz w:val="24"/>
                <w:szCs w:val="24"/>
              </w:rPr>
              <w:t>Company Advisor Fees &amp; Expenses</w:t>
            </w:r>
          </w:p>
        </w:tc>
        <w:tc>
          <w:tcPr>
            <w:tcW w:w="1710" w:type="dxa"/>
            <w:shd w:val="clear" w:color="auto" w:fill="auto"/>
            <w:vAlign w:val="center"/>
          </w:tcPr>
          <w:p w:rsidR="00322F45" w:rsidRPr="005A076C" w:rsidRDefault="00322F45" w:rsidP="00322F45">
            <w:pPr>
              <w:suppressLineNumbers/>
              <w:rPr>
                <w:sz w:val="24"/>
                <w:szCs w:val="24"/>
              </w:rPr>
            </w:pPr>
          </w:p>
        </w:tc>
      </w:tr>
      <w:tr w:rsidR="00322F45" w:rsidRPr="005A076C" w:rsidTr="00390AB3">
        <w:trPr>
          <w:trHeight w:val="432"/>
        </w:trPr>
        <w:tc>
          <w:tcPr>
            <w:tcW w:w="648" w:type="dxa"/>
            <w:shd w:val="clear" w:color="auto" w:fill="auto"/>
            <w:vAlign w:val="center"/>
          </w:tcPr>
          <w:p w:rsidR="00322F45" w:rsidRPr="005A076C" w:rsidRDefault="00322F45" w:rsidP="00322F45">
            <w:pPr>
              <w:suppressLineNumbers/>
              <w:jc w:val="center"/>
              <w:rPr>
                <w:sz w:val="24"/>
                <w:szCs w:val="24"/>
              </w:rPr>
            </w:pPr>
            <w:r w:rsidRPr="005A076C">
              <w:rPr>
                <w:sz w:val="24"/>
                <w:szCs w:val="24"/>
              </w:rPr>
              <w:t>5</w:t>
            </w:r>
          </w:p>
        </w:tc>
        <w:tc>
          <w:tcPr>
            <w:tcW w:w="7020" w:type="dxa"/>
            <w:shd w:val="clear" w:color="auto" w:fill="auto"/>
            <w:vAlign w:val="center"/>
          </w:tcPr>
          <w:p w:rsidR="00322F45" w:rsidRPr="005A076C" w:rsidRDefault="00E47D19" w:rsidP="00322F45">
            <w:pPr>
              <w:suppressLineNumbers/>
              <w:rPr>
                <w:sz w:val="24"/>
                <w:szCs w:val="24"/>
              </w:rPr>
            </w:pPr>
            <w:r w:rsidRPr="005A076C">
              <w:rPr>
                <w:sz w:val="24"/>
                <w:szCs w:val="24"/>
              </w:rPr>
              <w:t>Printing/Edgarizing</w:t>
            </w:r>
          </w:p>
        </w:tc>
        <w:tc>
          <w:tcPr>
            <w:tcW w:w="1710" w:type="dxa"/>
            <w:shd w:val="clear" w:color="auto" w:fill="auto"/>
            <w:vAlign w:val="center"/>
          </w:tcPr>
          <w:p w:rsidR="00322F45" w:rsidRPr="005A076C" w:rsidRDefault="00322F45" w:rsidP="00322F45">
            <w:pPr>
              <w:suppressLineNumbers/>
              <w:rPr>
                <w:sz w:val="24"/>
                <w:szCs w:val="24"/>
              </w:rPr>
            </w:pPr>
          </w:p>
        </w:tc>
      </w:tr>
      <w:tr w:rsidR="00322F45" w:rsidRPr="005A076C" w:rsidTr="00390AB3">
        <w:trPr>
          <w:trHeight w:val="432"/>
        </w:trPr>
        <w:tc>
          <w:tcPr>
            <w:tcW w:w="648" w:type="dxa"/>
            <w:shd w:val="clear" w:color="auto" w:fill="auto"/>
            <w:vAlign w:val="center"/>
          </w:tcPr>
          <w:p w:rsidR="00322F45" w:rsidRPr="005A076C" w:rsidRDefault="00E47D19" w:rsidP="00E47D19">
            <w:pPr>
              <w:suppressLineNumbers/>
              <w:jc w:val="center"/>
              <w:rPr>
                <w:sz w:val="24"/>
                <w:szCs w:val="24"/>
              </w:rPr>
            </w:pPr>
            <w:r w:rsidRPr="005A076C">
              <w:rPr>
                <w:sz w:val="24"/>
                <w:szCs w:val="24"/>
              </w:rPr>
              <w:t>6</w:t>
            </w:r>
          </w:p>
        </w:tc>
        <w:tc>
          <w:tcPr>
            <w:tcW w:w="7020" w:type="dxa"/>
            <w:shd w:val="clear" w:color="auto" w:fill="auto"/>
            <w:vAlign w:val="center"/>
          </w:tcPr>
          <w:p w:rsidR="00322F45" w:rsidRPr="005A076C" w:rsidRDefault="00322F45" w:rsidP="00E47D19">
            <w:pPr>
              <w:suppressLineNumbers/>
              <w:rPr>
                <w:sz w:val="24"/>
                <w:szCs w:val="24"/>
              </w:rPr>
            </w:pPr>
            <w:r w:rsidRPr="005A076C">
              <w:rPr>
                <w:sz w:val="24"/>
                <w:szCs w:val="24"/>
              </w:rPr>
              <w:t>SEC Registration Fees</w:t>
            </w:r>
            <w:r w:rsidR="00E47D19" w:rsidRPr="005A076C">
              <w:rPr>
                <w:rStyle w:val="FootnoteReference"/>
                <w:sz w:val="24"/>
                <w:szCs w:val="24"/>
              </w:rPr>
              <w:t>(3)</w:t>
            </w:r>
          </w:p>
        </w:tc>
        <w:tc>
          <w:tcPr>
            <w:tcW w:w="1710" w:type="dxa"/>
            <w:shd w:val="clear" w:color="auto" w:fill="auto"/>
            <w:vAlign w:val="center"/>
          </w:tcPr>
          <w:p w:rsidR="00322F45" w:rsidRPr="005A076C" w:rsidRDefault="00322F45" w:rsidP="00322F45">
            <w:pPr>
              <w:suppressLineNumbers/>
              <w:rPr>
                <w:sz w:val="24"/>
                <w:szCs w:val="24"/>
              </w:rPr>
            </w:pPr>
          </w:p>
        </w:tc>
      </w:tr>
      <w:tr w:rsidR="00322F45" w:rsidRPr="005A076C" w:rsidTr="00390AB3">
        <w:trPr>
          <w:trHeight w:val="432"/>
        </w:trPr>
        <w:tc>
          <w:tcPr>
            <w:tcW w:w="648" w:type="dxa"/>
            <w:shd w:val="clear" w:color="auto" w:fill="auto"/>
            <w:vAlign w:val="center"/>
          </w:tcPr>
          <w:p w:rsidR="00322F45" w:rsidRPr="005A076C" w:rsidRDefault="00E47D19" w:rsidP="00322F45">
            <w:pPr>
              <w:suppressLineNumbers/>
              <w:jc w:val="center"/>
              <w:rPr>
                <w:sz w:val="24"/>
                <w:szCs w:val="24"/>
              </w:rPr>
            </w:pPr>
            <w:r w:rsidRPr="005A076C">
              <w:rPr>
                <w:sz w:val="24"/>
                <w:szCs w:val="24"/>
              </w:rPr>
              <w:t>7</w:t>
            </w:r>
          </w:p>
        </w:tc>
        <w:tc>
          <w:tcPr>
            <w:tcW w:w="7020" w:type="dxa"/>
            <w:shd w:val="clear" w:color="auto" w:fill="auto"/>
            <w:vAlign w:val="center"/>
          </w:tcPr>
          <w:p w:rsidR="00322F45" w:rsidRPr="005A076C" w:rsidRDefault="00322F45" w:rsidP="00E47D19">
            <w:pPr>
              <w:suppressLineNumbers/>
              <w:rPr>
                <w:sz w:val="24"/>
                <w:szCs w:val="24"/>
              </w:rPr>
            </w:pPr>
            <w:r w:rsidRPr="005A076C">
              <w:rPr>
                <w:sz w:val="24"/>
                <w:szCs w:val="24"/>
              </w:rPr>
              <w:t>Miscellaneous</w:t>
            </w:r>
            <w:r w:rsidR="00E47D19" w:rsidRPr="005A076C">
              <w:rPr>
                <w:sz w:val="24"/>
                <w:szCs w:val="24"/>
              </w:rPr>
              <w:t xml:space="preserve"> Administration Costs</w:t>
            </w:r>
          </w:p>
        </w:tc>
        <w:tc>
          <w:tcPr>
            <w:tcW w:w="1710" w:type="dxa"/>
            <w:shd w:val="clear" w:color="auto" w:fill="auto"/>
            <w:vAlign w:val="center"/>
          </w:tcPr>
          <w:p w:rsidR="00322F45" w:rsidRPr="005A076C" w:rsidRDefault="00322F45" w:rsidP="00322F45">
            <w:pPr>
              <w:suppressLineNumbers/>
              <w:rPr>
                <w:sz w:val="24"/>
                <w:szCs w:val="24"/>
              </w:rPr>
            </w:pPr>
          </w:p>
        </w:tc>
      </w:tr>
      <w:tr w:rsidR="00322F45" w:rsidRPr="005A076C" w:rsidTr="00390AB3">
        <w:trPr>
          <w:trHeight w:val="432"/>
        </w:trPr>
        <w:tc>
          <w:tcPr>
            <w:tcW w:w="648" w:type="dxa"/>
            <w:shd w:val="clear" w:color="auto" w:fill="auto"/>
            <w:vAlign w:val="center"/>
          </w:tcPr>
          <w:p w:rsidR="00322F45" w:rsidRPr="005A076C" w:rsidRDefault="00E47D19" w:rsidP="00E47D19">
            <w:pPr>
              <w:suppressLineNumbers/>
              <w:jc w:val="center"/>
              <w:rPr>
                <w:sz w:val="24"/>
                <w:szCs w:val="24"/>
              </w:rPr>
            </w:pPr>
            <w:r w:rsidRPr="005A076C">
              <w:rPr>
                <w:sz w:val="24"/>
                <w:szCs w:val="24"/>
              </w:rPr>
              <w:t>8</w:t>
            </w:r>
          </w:p>
        </w:tc>
        <w:tc>
          <w:tcPr>
            <w:tcW w:w="7020" w:type="dxa"/>
            <w:shd w:val="clear" w:color="auto" w:fill="auto"/>
            <w:vAlign w:val="center"/>
          </w:tcPr>
          <w:p w:rsidR="00322F45" w:rsidRPr="005A076C" w:rsidRDefault="00E47D19" w:rsidP="00E47D19">
            <w:pPr>
              <w:suppressLineNumbers/>
              <w:rPr>
                <w:sz w:val="24"/>
                <w:szCs w:val="24"/>
              </w:rPr>
            </w:pPr>
            <w:r w:rsidRPr="005A076C">
              <w:rPr>
                <w:sz w:val="24"/>
                <w:szCs w:val="24"/>
              </w:rPr>
              <w:t>Accountant Fees</w:t>
            </w:r>
          </w:p>
        </w:tc>
        <w:tc>
          <w:tcPr>
            <w:tcW w:w="1710" w:type="dxa"/>
            <w:shd w:val="clear" w:color="auto" w:fill="auto"/>
            <w:vAlign w:val="center"/>
          </w:tcPr>
          <w:p w:rsidR="00322F45" w:rsidRPr="005A076C" w:rsidRDefault="00322F45" w:rsidP="00322F45">
            <w:pPr>
              <w:suppressLineNumbers/>
              <w:rPr>
                <w:sz w:val="24"/>
                <w:szCs w:val="24"/>
              </w:rPr>
            </w:pPr>
          </w:p>
        </w:tc>
      </w:tr>
      <w:tr w:rsidR="00322F45" w:rsidRPr="005A076C" w:rsidTr="00390AB3">
        <w:trPr>
          <w:trHeight w:val="432"/>
        </w:trPr>
        <w:tc>
          <w:tcPr>
            <w:tcW w:w="648" w:type="dxa"/>
            <w:shd w:val="clear" w:color="auto" w:fill="auto"/>
            <w:vAlign w:val="center"/>
          </w:tcPr>
          <w:p w:rsidR="00322F45" w:rsidRPr="005A076C" w:rsidRDefault="00E47D19" w:rsidP="00E47D19">
            <w:pPr>
              <w:suppressLineNumbers/>
              <w:jc w:val="center"/>
              <w:rPr>
                <w:sz w:val="24"/>
                <w:szCs w:val="24"/>
              </w:rPr>
            </w:pPr>
            <w:r w:rsidRPr="005A076C">
              <w:rPr>
                <w:sz w:val="24"/>
                <w:szCs w:val="24"/>
              </w:rPr>
              <w:t>9</w:t>
            </w:r>
          </w:p>
        </w:tc>
        <w:tc>
          <w:tcPr>
            <w:tcW w:w="7020" w:type="dxa"/>
            <w:shd w:val="clear" w:color="auto" w:fill="auto"/>
            <w:vAlign w:val="center"/>
          </w:tcPr>
          <w:p w:rsidR="00322F45" w:rsidRPr="005A076C" w:rsidRDefault="00E47D19" w:rsidP="00E47D19">
            <w:pPr>
              <w:suppressLineNumbers/>
              <w:rPr>
                <w:sz w:val="24"/>
                <w:szCs w:val="24"/>
              </w:rPr>
            </w:pPr>
            <w:r w:rsidRPr="005A076C">
              <w:rPr>
                <w:sz w:val="24"/>
                <w:szCs w:val="24"/>
              </w:rPr>
              <w:t>Trustee’s/Trustee Counsel’s  Fees</w:t>
            </w:r>
          </w:p>
        </w:tc>
        <w:tc>
          <w:tcPr>
            <w:tcW w:w="1710" w:type="dxa"/>
            <w:shd w:val="clear" w:color="auto" w:fill="auto"/>
            <w:vAlign w:val="center"/>
          </w:tcPr>
          <w:p w:rsidR="00322F45" w:rsidRPr="005A076C" w:rsidRDefault="00322F45" w:rsidP="00322F45">
            <w:pPr>
              <w:suppressLineNumbers/>
              <w:rPr>
                <w:sz w:val="24"/>
                <w:szCs w:val="24"/>
              </w:rPr>
            </w:pPr>
          </w:p>
        </w:tc>
      </w:tr>
      <w:tr w:rsidR="00322F45" w:rsidRPr="005A076C" w:rsidTr="00390AB3">
        <w:trPr>
          <w:trHeight w:val="432"/>
        </w:trPr>
        <w:tc>
          <w:tcPr>
            <w:tcW w:w="648" w:type="dxa"/>
            <w:shd w:val="clear" w:color="auto" w:fill="auto"/>
            <w:vAlign w:val="center"/>
          </w:tcPr>
          <w:p w:rsidR="00322F45" w:rsidRPr="005A076C" w:rsidRDefault="00322F45" w:rsidP="00E47D19">
            <w:pPr>
              <w:suppressLineNumbers/>
              <w:jc w:val="center"/>
              <w:rPr>
                <w:sz w:val="24"/>
                <w:szCs w:val="24"/>
              </w:rPr>
            </w:pPr>
            <w:r w:rsidRPr="005A076C">
              <w:rPr>
                <w:sz w:val="24"/>
                <w:szCs w:val="24"/>
              </w:rPr>
              <w:t>1</w:t>
            </w:r>
            <w:r w:rsidR="00E47D19" w:rsidRPr="005A076C">
              <w:rPr>
                <w:sz w:val="24"/>
                <w:szCs w:val="24"/>
              </w:rPr>
              <w:t>0</w:t>
            </w:r>
          </w:p>
        </w:tc>
        <w:tc>
          <w:tcPr>
            <w:tcW w:w="7020" w:type="dxa"/>
            <w:shd w:val="clear" w:color="auto" w:fill="auto"/>
            <w:vAlign w:val="center"/>
          </w:tcPr>
          <w:p w:rsidR="00E47D19" w:rsidRPr="005A076C" w:rsidRDefault="00E47D19" w:rsidP="00322F45">
            <w:pPr>
              <w:suppressLineNumbers/>
              <w:rPr>
                <w:b/>
                <w:sz w:val="24"/>
                <w:szCs w:val="24"/>
              </w:rPr>
            </w:pPr>
          </w:p>
          <w:p w:rsidR="00322F45" w:rsidRPr="005A076C" w:rsidRDefault="00322F45" w:rsidP="00322F45">
            <w:pPr>
              <w:suppressLineNumbers/>
              <w:rPr>
                <w:b/>
                <w:sz w:val="24"/>
                <w:szCs w:val="24"/>
              </w:rPr>
            </w:pPr>
            <w:r w:rsidRPr="005A076C">
              <w:rPr>
                <w:b/>
                <w:sz w:val="24"/>
                <w:szCs w:val="24"/>
              </w:rPr>
              <w:t>TOTAL UP-FRONT FINANCING COSTS</w:t>
            </w:r>
          </w:p>
          <w:p w:rsidR="00322F45" w:rsidRPr="005A076C" w:rsidRDefault="00322F45" w:rsidP="00E47D19">
            <w:pPr>
              <w:suppressLineNumbers/>
              <w:rPr>
                <w:sz w:val="24"/>
                <w:szCs w:val="24"/>
              </w:rPr>
            </w:pPr>
          </w:p>
        </w:tc>
        <w:tc>
          <w:tcPr>
            <w:tcW w:w="1710" w:type="dxa"/>
            <w:shd w:val="clear" w:color="auto" w:fill="auto"/>
            <w:vAlign w:val="center"/>
          </w:tcPr>
          <w:p w:rsidR="00322F45" w:rsidRPr="005A076C" w:rsidRDefault="00322F45" w:rsidP="00322F45">
            <w:pPr>
              <w:suppressLineNumbers/>
              <w:rPr>
                <w:sz w:val="24"/>
                <w:szCs w:val="24"/>
              </w:rPr>
            </w:pPr>
          </w:p>
        </w:tc>
      </w:tr>
    </w:tbl>
    <w:p w:rsidR="004C4D18" w:rsidRPr="005A076C" w:rsidRDefault="004C4D18" w:rsidP="00E47D19">
      <w:pPr>
        <w:suppressLineNumbers/>
        <w:spacing w:after="240"/>
        <w:jc w:val="both"/>
        <w:rPr>
          <w:b/>
          <w:sz w:val="24"/>
          <w:szCs w:val="24"/>
          <w:u w:val="single"/>
        </w:rPr>
      </w:pPr>
    </w:p>
    <w:p w:rsidR="004F10EF" w:rsidRPr="005A076C" w:rsidRDefault="00E47D19" w:rsidP="004F10EF">
      <w:pPr>
        <w:suppressLineNumbers/>
        <w:spacing w:after="240"/>
        <w:ind w:left="270" w:hanging="270"/>
        <w:jc w:val="both"/>
        <w:rPr>
          <w:sz w:val="24"/>
          <w:szCs w:val="24"/>
        </w:rPr>
      </w:pPr>
      <w:r w:rsidRPr="005A076C">
        <w:rPr>
          <w:sz w:val="24"/>
          <w:szCs w:val="24"/>
          <w:vertAlign w:val="superscript"/>
        </w:rPr>
        <w:t>(1)</w:t>
      </w:r>
      <w:r w:rsidRPr="005A076C">
        <w:rPr>
          <w:sz w:val="24"/>
          <w:szCs w:val="24"/>
        </w:rPr>
        <w:t xml:space="preserve"> Based on the actual amount of the PIR Bond issuance comprised of the Company’s actual DARR deferral balance as the date of issuance, estimated debt retirement/def</w:t>
      </w:r>
      <w:r w:rsidR="004F10EF" w:rsidRPr="005A076C">
        <w:rPr>
          <w:sz w:val="24"/>
          <w:szCs w:val="24"/>
        </w:rPr>
        <w:t>e</w:t>
      </w:r>
      <w:r w:rsidRPr="005A076C">
        <w:rPr>
          <w:sz w:val="24"/>
          <w:szCs w:val="24"/>
        </w:rPr>
        <w:t>asance</w:t>
      </w:r>
      <w:r w:rsidR="004F10EF" w:rsidRPr="005A076C">
        <w:rPr>
          <w:sz w:val="24"/>
          <w:szCs w:val="24"/>
        </w:rPr>
        <w:t xml:space="preserve"> costs and other upfront costs described above.</w:t>
      </w:r>
    </w:p>
    <w:p w:rsidR="00E47D19" w:rsidRPr="005A076C" w:rsidRDefault="004F10EF" w:rsidP="00E47D19">
      <w:pPr>
        <w:suppressLineNumbers/>
        <w:spacing w:after="240"/>
        <w:jc w:val="both"/>
        <w:rPr>
          <w:sz w:val="24"/>
          <w:szCs w:val="24"/>
        </w:rPr>
      </w:pPr>
      <w:r w:rsidRPr="005A076C">
        <w:rPr>
          <w:sz w:val="24"/>
          <w:szCs w:val="24"/>
          <w:vertAlign w:val="superscript"/>
        </w:rPr>
        <w:t>(2)</w:t>
      </w:r>
      <w:r w:rsidR="00E47D19" w:rsidRPr="005A076C">
        <w:rPr>
          <w:sz w:val="24"/>
          <w:szCs w:val="24"/>
          <w:vertAlign w:val="superscript"/>
        </w:rPr>
        <w:t xml:space="preserve">  </w:t>
      </w:r>
      <w:r w:rsidRPr="005A076C">
        <w:rPr>
          <w:sz w:val="24"/>
          <w:szCs w:val="24"/>
        </w:rPr>
        <w:t>Based on rating agency fee schedules and ratings from S&amp;P, Moody’s and Fitch.</w:t>
      </w:r>
    </w:p>
    <w:p w:rsidR="004F10EF" w:rsidRPr="005A076C" w:rsidRDefault="004F10EF" w:rsidP="00E47D19">
      <w:pPr>
        <w:suppressLineNumbers/>
        <w:spacing w:after="240"/>
        <w:jc w:val="both"/>
        <w:rPr>
          <w:sz w:val="24"/>
          <w:szCs w:val="24"/>
        </w:rPr>
      </w:pPr>
      <w:r w:rsidRPr="005A076C">
        <w:rPr>
          <w:sz w:val="24"/>
          <w:szCs w:val="24"/>
          <w:vertAlign w:val="superscript"/>
        </w:rPr>
        <w:t>(3)</w:t>
      </w:r>
      <w:r w:rsidRPr="005A076C">
        <w:rPr>
          <w:sz w:val="24"/>
          <w:szCs w:val="24"/>
        </w:rPr>
        <w:t xml:space="preserve"> Based on actual fee level based on debt issued.</w:t>
      </w:r>
    </w:p>
    <w:p w:rsidR="00E47D19" w:rsidRPr="005A076C" w:rsidRDefault="00E47D19" w:rsidP="00322F45">
      <w:pPr>
        <w:suppressLineNumbers/>
        <w:spacing w:after="240"/>
        <w:jc w:val="both"/>
        <w:rPr>
          <w:b/>
          <w:sz w:val="26"/>
          <w:szCs w:val="26"/>
          <w:u w:val="single"/>
        </w:rPr>
      </w:pPr>
    </w:p>
    <w:p w:rsidR="00E47D19" w:rsidRPr="005A076C" w:rsidRDefault="00E47D19" w:rsidP="00322F45">
      <w:pPr>
        <w:suppressLineNumbers/>
        <w:spacing w:after="240"/>
        <w:jc w:val="both"/>
        <w:rPr>
          <w:b/>
          <w:sz w:val="26"/>
          <w:szCs w:val="26"/>
          <w:u w:val="single"/>
        </w:rPr>
      </w:pPr>
    </w:p>
    <w:p w:rsidR="00E47D19" w:rsidRPr="005A076C" w:rsidRDefault="00E47D19" w:rsidP="00322F45">
      <w:pPr>
        <w:suppressLineNumbers/>
        <w:spacing w:after="240"/>
        <w:jc w:val="both"/>
        <w:rPr>
          <w:b/>
          <w:sz w:val="26"/>
          <w:szCs w:val="26"/>
          <w:u w:val="single"/>
        </w:rPr>
      </w:pPr>
    </w:p>
    <w:p w:rsidR="00E47D19" w:rsidRPr="005A076C" w:rsidRDefault="00E47D19" w:rsidP="00322F45">
      <w:pPr>
        <w:suppressLineNumbers/>
        <w:spacing w:after="240"/>
        <w:jc w:val="both"/>
        <w:rPr>
          <w:b/>
          <w:sz w:val="26"/>
          <w:szCs w:val="26"/>
          <w:u w:val="single"/>
        </w:rPr>
      </w:pPr>
    </w:p>
    <w:p w:rsidR="00E47D19" w:rsidRPr="005A076C" w:rsidRDefault="00E47D19" w:rsidP="00322F45">
      <w:pPr>
        <w:suppressLineNumbers/>
        <w:spacing w:after="240"/>
        <w:jc w:val="both"/>
        <w:rPr>
          <w:b/>
          <w:sz w:val="26"/>
          <w:szCs w:val="26"/>
          <w:u w:val="single"/>
        </w:rPr>
      </w:pPr>
    </w:p>
    <w:p w:rsidR="004C4D18" w:rsidRPr="005A076C" w:rsidRDefault="004C4D18" w:rsidP="004C4D18">
      <w:pPr>
        <w:pStyle w:val="NoSpacing"/>
        <w:suppressLineNumbers/>
        <w:jc w:val="right"/>
        <w:rPr>
          <w:rFonts w:ascii="Times New Roman" w:hAnsi="Times New Roman"/>
          <w:b/>
          <w:szCs w:val="24"/>
        </w:rPr>
      </w:pPr>
      <w:r w:rsidRPr="005A076C">
        <w:rPr>
          <w:rFonts w:ascii="Times New Roman" w:hAnsi="Times New Roman"/>
          <w:b/>
          <w:szCs w:val="24"/>
        </w:rPr>
        <w:lastRenderedPageBreak/>
        <w:t xml:space="preserve">Case No. </w:t>
      </w:r>
      <w:r w:rsidRPr="005A076C">
        <w:rPr>
          <w:rFonts w:ascii="Times New Roman" w:hAnsi="Times New Roman"/>
          <w:b/>
          <w:snapToGrid w:val="0"/>
          <w:szCs w:val="24"/>
        </w:rPr>
        <w:t>12</w:t>
      </w:r>
      <w:r w:rsidRPr="005A076C">
        <w:rPr>
          <w:rFonts w:ascii="Times New Roman" w:hAnsi="Times New Roman"/>
          <w:b/>
          <w:szCs w:val="24"/>
        </w:rPr>
        <w:t>-</w:t>
      </w:r>
      <w:r w:rsidR="00A00640">
        <w:rPr>
          <w:rFonts w:ascii="Times New Roman" w:hAnsi="Times New Roman"/>
          <w:b/>
          <w:szCs w:val="24"/>
        </w:rPr>
        <w:t>1969</w:t>
      </w:r>
      <w:r w:rsidRPr="005A076C">
        <w:rPr>
          <w:rFonts w:ascii="Times New Roman" w:hAnsi="Times New Roman"/>
          <w:b/>
          <w:szCs w:val="24"/>
        </w:rPr>
        <w:t>-EL-ATS</w:t>
      </w:r>
    </w:p>
    <w:p w:rsidR="004C4D18" w:rsidRPr="005A076C" w:rsidRDefault="004C4D18" w:rsidP="004C4D18">
      <w:pPr>
        <w:pStyle w:val="NoSpacing"/>
        <w:suppressLineNumbers/>
        <w:jc w:val="right"/>
        <w:rPr>
          <w:rFonts w:ascii="Times New Roman" w:hAnsi="Times New Roman"/>
          <w:b/>
          <w:szCs w:val="24"/>
        </w:rPr>
      </w:pPr>
      <w:r w:rsidRPr="005A076C">
        <w:rPr>
          <w:rFonts w:ascii="Times New Roman" w:hAnsi="Times New Roman"/>
          <w:b/>
          <w:szCs w:val="24"/>
        </w:rPr>
        <w:t xml:space="preserve">Staff Exhibit </w:t>
      </w:r>
    </w:p>
    <w:p w:rsidR="004C4D18" w:rsidRPr="005A076C" w:rsidRDefault="004C4D18" w:rsidP="004C4D18">
      <w:pPr>
        <w:pStyle w:val="NoSpacing"/>
        <w:suppressLineNumbers/>
        <w:jc w:val="right"/>
        <w:rPr>
          <w:rFonts w:ascii="Times New Roman" w:hAnsi="Times New Roman"/>
          <w:b/>
          <w:szCs w:val="24"/>
        </w:rPr>
      </w:pPr>
      <w:r w:rsidRPr="005A076C">
        <w:rPr>
          <w:rFonts w:ascii="Times New Roman" w:hAnsi="Times New Roman"/>
          <w:b/>
          <w:szCs w:val="24"/>
        </w:rPr>
        <w:t>Page 7 of 12</w:t>
      </w:r>
    </w:p>
    <w:p w:rsidR="007F47B9" w:rsidRPr="005A076C" w:rsidRDefault="007F47B9" w:rsidP="002C7419">
      <w:pPr>
        <w:pStyle w:val="NoSpacing"/>
        <w:jc w:val="center"/>
        <w:rPr>
          <w:rFonts w:ascii="Times New Roman" w:hAnsi="Times New Roman"/>
          <w:b/>
          <w:sz w:val="28"/>
          <w:szCs w:val="24"/>
          <w:u w:val="single"/>
        </w:rPr>
      </w:pPr>
    </w:p>
    <w:p w:rsidR="007F47B9" w:rsidRPr="005A076C" w:rsidRDefault="007F47B9" w:rsidP="002C7419">
      <w:pPr>
        <w:pStyle w:val="NoSpacing"/>
        <w:jc w:val="center"/>
        <w:rPr>
          <w:rFonts w:ascii="Times New Roman" w:hAnsi="Times New Roman"/>
          <w:b/>
          <w:sz w:val="28"/>
          <w:szCs w:val="24"/>
          <w:u w:val="single"/>
        </w:rPr>
      </w:pPr>
    </w:p>
    <w:p w:rsidR="007F47B9" w:rsidRPr="005A076C" w:rsidRDefault="007F47B9" w:rsidP="002C7419">
      <w:pPr>
        <w:pStyle w:val="NoSpacing"/>
        <w:jc w:val="center"/>
        <w:rPr>
          <w:rFonts w:ascii="Times New Roman" w:hAnsi="Times New Roman"/>
          <w:b/>
          <w:sz w:val="28"/>
          <w:szCs w:val="24"/>
          <w:u w:val="single"/>
        </w:rPr>
      </w:pPr>
    </w:p>
    <w:p w:rsidR="007F47B9" w:rsidRPr="005A076C" w:rsidRDefault="007F47B9" w:rsidP="002C7419">
      <w:pPr>
        <w:pStyle w:val="NoSpacing"/>
        <w:jc w:val="center"/>
        <w:rPr>
          <w:rFonts w:ascii="Times New Roman" w:hAnsi="Times New Roman"/>
          <w:b/>
          <w:sz w:val="28"/>
          <w:szCs w:val="24"/>
          <w:u w:val="single"/>
        </w:rPr>
      </w:pPr>
    </w:p>
    <w:p w:rsidR="002C7419" w:rsidRPr="005A076C" w:rsidRDefault="002C7419" w:rsidP="002C7419">
      <w:pPr>
        <w:pStyle w:val="NoSpacing"/>
        <w:jc w:val="center"/>
        <w:rPr>
          <w:rFonts w:ascii="Times New Roman" w:hAnsi="Times New Roman"/>
          <w:b/>
          <w:sz w:val="28"/>
          <w:szCs w:val="24"/>
          <w:u w:val="single"/>
        </w:rPr>
      </w:pPr>
      <w:r w:rsidRPr="005A076C">
        <w:rPr>
          <w:rFonts w:ascii="Times New Roman" w:hAnsi="Times New Roman"/>
          <w:b/>
          <w:sz w:val="28"/>
          <w:szCs w:val="24"/>
          <w:u w:val="single"/>
        </w:rPr>
        <w:t>ATTACHMENT-2</w:t>
      </w:r>
    </w:p>
    <w:p w:rsidR="002C7419" w:rsidRPr="005A076C" w:rsidRDefault="002C7419" w:rsidP="002C7419">
      <w:pPr>
        <w:pStyle w:val="NoSpacing"/>
        <w:jc w:val="center"/>
        <w:rPr>
          <w:rFonts w:ascii="Times New Roman" w:hAnsi="Times New Roman"/>
          <w:b/>
          <w:sz w:val="28"/>
          <w:szCs w:val="24"/>
          <w:u w:val="single"/>
        </w:rPr>
      </w:pPr>
      <w:r w:rsidRPr="005A076C">
        <w:rPr>
          <w:rFonts w:ascii="Times New Roman" w:hAnsi="Times New Roman"/>
          <w:b/>
          <w:sz w:val="28"/>
          <w:szCs w:val="24"/>
          <w:u w:val="single"/>
        </w:rPr>
        <w:t>SCHEDULE-A</w:t>
      </w:r>
    </w:p>
    <w:p w:rsidR="00390AB3" w:rsidRPr="005A076C" w:rsidRDefault="00390AB3" w:rsidP="00322F45">
      <w:pPr>
        <w:suppressLineNumbers/>
        <w:spacing w:after="240"/>
        <w:jc w:val="both"/>
        <w:rPr>
          <w:b/>
          <w:sz w:val="24"/>
          <w:szCs w:val="24"/>
          <w:u w:val="single"/>
        </w:rPr>
      </w:pPr>
    </w:p>
    <w:p w:rsidR="00322F45" w:rsidRPr="005A076C" w:rsidRDefault="00322F45" w:rsidP="00322F45">
      <w:pPr>
        <w:suppressLineNumbers/>
        <w:spacing w:after="240"/>
        <w:jc w:val="both"/>
        <w:rPr>
          <w:b/>
          <w:sz w:val="24"/>
          <w:szCs w:val="24"/>
          <w:u w:val="single"/>
        </w:rPr>
      </w:pPr>
      <w:r w:rsidRPr="005A076C">
        <w:rPr>
          <w:b/>
          <w:sz w:val="24"/>
          <w:szCs w:val="24"/>
          <w:u w:val="single"/>
        </w:rPr>
        <w:t>PHASE-IN RECOVERY BOND REVENUE REQUIREMENT INFORMATION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322F45" w:rsidRPr="005A076C" w:rsidTr="004C4D18">
        <w:tc>
          <w:tcPr>
            <w:tcW w:w="8856" w:type="dxa"/>
            <w:gridSpan w:val="5"/>
            <w:shd w:val="clear" w:color="auto" w:fill="auto"/>
          </w:tcPr>
          <w:p w:rsidR="00322F45" w:rsidRPr="005A076C" w:rsidRDefault="00322F45" w:rsidP="00322F45">
            <w:pPr>
              <w:suppressLineNumbers/>
              <w:jc w:val="both"/>
              <w:rPr>
                <w:b/>
                <w:sz w:val="24"/>
                <w:szCs w:val="24"/>
                <w:u w:val="single"/>
              </w:rPr>
            </w:pPr>
            <w:r w:rsidRPr="005A076C">
              <w:rPr>
                <w:b/>
                <w:sz w:val="24"/>
                <w:szCs w:val="24"/>
                <w:u w:val="single"/>
              </w:rPr>
              <w:t>SERIES________, TRANCHE________</w:t>
            </w:r>
          </w:p>
        </w:tc>
      </w:tr>
      <w:tr w:rsidR="00322F45" w:rsidRPr="005A076C" w:rsidTr="004C4D18">
        <w:tc>
          <w:tcPr>
            <w:tcW w:w="1771" w:type="dxa"/>
            <w:shd w:val="clear" w:color="auto" w:fill="auto"/>
          </w:tcPr>
          <w:p w:rsidR="00322F45" w:rsidRPr="005A076C" w:rsidRDefault="00322F45" w:rsidP="00322F45">
            <w:pPr>
              <w:suppressLineNumbers/>
              <w:jc w:val="both"/>
              <w:rPr>
                <w:sz w:val="24"/>
                <w:szCs w:val="24"/>
              </w:rPr>
            </w:pPr>
            <w:r w:rsidRPr="005A076C">
              <w:rPr>
                <w:sz w:val="24"/>
                <w:szCs w:val="24"/>
              </w:rPr>
              <w:t>Payment</w:t>
            </w:r>
          </w:p>
          <w:p w:rsidR="00322F45" w:rsidRPr="005A076C" w:rsidRDefault="00322F45" w:rsidP="00322F45">
            <w:pPr>
              <w:suppressLineNumbers/>
              <w:jc w:val="both"/>
              <w:rPr>
                <w:sz w:val="24"/>
                <w:szCs w:val="24"/>
              </w:rPr>
            </w:pPr>
            <w:r w:rsidRPr="005A076C">
              <w:rPr>
                <w:sz w:val="24"/>
                <w:szCs w:val="24"/>
              </w:rPr>
              <w:t>Date</w:t>
            </w:r>
          </w:p>
        </w:tc>
        <w:tc>
          <w:tcPr>
            <w:tcW w:w="1771" w:type="dxa"/>
            <w:shd w:val="clear" w:color="auto" w:fill="auto"/>
          </w:tcPr>
          <w:p w:rsidR="00322F45" w:rsidRPr="005A076C" w:rsidRDefault="00322F45" w:rsidP="00322F45">
            <w:pPr>
              <w:suppressLineNumbers/>
              <w:jc w:val="both"/>
              <w:rPr>
                <w:sz w:val="24"/>
                <w:szCs w:val="24"/>
              </w:rPr>
            </w:pPr>
            <w:r w:rsidRPr="005A076C">
              <w:rPr>
                <w:sz w:val="24"/>
                <w:szCs w:val="24"/>
              </w:rPr>
              <w:t xml:space="preserve">Principal </w:t>
            </w:r>
          </w:p>
          <w:p w:rsidR="00322F45" w:rsidRPr="005A076C" w:rsidRDefault="00322F45" w:rsidP="00322F45">
            <w:pPr>
              <w:suppressLineNumbers/>
              <w:jc w:val="both"/>
              <w:rPr>
                <w:sz w:val="24"/>
                <w:szCs w:val="24"/>
              </w:rPr>
            </w:pPr>
            <w:r w:rsidRPr="005A076C">
              <w:rPr>
                <w:sz w:val="24"/>
                <w:szCs w:val="24"/>
              </w:rPr>
              <w:t>Balance</w:t>
            </w:r>
          </w:p>
        </w:tc>
        <w:tc>
          <w:tcPr>
            <w:tcW w:w="1771" w:type="dxa"/>
            <w:shd w:val="clear" w:color="auto" w:fill="auto"/>
          </w:tcPr>
          <w:p w:rsidR="00322F45" w:rsidRPr="005A076C" w:rsidRDefault="00322F45" w:rsidP="00322F45">
            <w:pPr>
              <w:suppressLineNumbers/>
              <w:jc w:val="both"/>
              <w:rPr>
                <w:sz w:val="24"/>
                <w:szCs w:val="24"/>
              </w:rPr>
            </w:pPr>
          </w:p>
          <w:p w:rsidR="00322F45" w:rsidRPr="005A076C" w:rsidRDefault="00322F45" w:rsidP="00322F45">
            <w:pPr>
              <w:suppressLineNumbers/>
              <w:jc w:val="both"/>
              <w:rPr>
                <w:sz w:val="24"/>
                <w:szCs w:val="24"/>
              </w:rPr>
            </w:pPr>
            <w:r w:rsidRPr="005A076C">
              <w:rPr>
                <w:sz w:val="24"/>
                <w:szCs w:val="24"/>
              </w:rPr>
              <w:t>Interest</w:t>
            </w:r>
          </w:p>
        </w:tc>
        <w:tc>
          <w:tcPr>
            <w:tcW w:w="1771" w:type="dxa"/>
            <w:shd w:val="clear" w:color="auto" w:fill="auto"/>
          </w:tcPr>
          <w:p w:rsidR="00322F45" w:rsidRPr="005A076C" w:rsidRDefault="00322F45" w:rsidP="00322F45">
            <w:pPr>
              <w:suppressLineNumbers/>
              <w:jc w:val="both"/>
              <w:rPr>
                <w:sz w:val="24"/>
                <w:szCs w:val="24"/>
              </w:rPr>
            </w:pPr>
          </w:p>
          <w:p w:rsidR="00322F45" w:rsidRPr="005A076C" w:rsidRDefault="00322F45" w:rsidP="00322F45">
            <w:pPr>
              <w:suppressLineNumbers/>
              <w:jc w:val="both"/>
              <w:rPr>
                <w:sz w:val="24"/>
                <w:szCs w:val="24"/>
              </w:rPr>
            </w:pPr>
            <w:r w:rsidRPr="005A076C">
              <w:rPr>
                <w:sz w:val="24"/>
                <w:szCs w:val="24"/>
              </w:rPr>
              <w:t>Principal</w:t>
            </w:r>
          </w:p>
        </w:tc>
        <w:tc>
          <w:tcPr>
            <w:tcW w:w="1772" w:type="dxa"/>
            <w:shd w:val="clear" w:color="auto" w:fill="auto"/>
          </w:tcPr>
          <w:p w:rsidR="00322F45" w:rsidRPr="005A076C" w:rsidRDefault="00322F45" w:rsidP="00322F45">
            <w:pPr>
              <w:suppressLineNumbers/>
              <w:jc w:val="both"/>
              <w:rPr>
                <w:sz w:val="24"/>
                <w:szCs w:val="24"/>
              </w:rPr>
            </w:pPr>
            <w:r w:rsidRPr="005A076C">
              <w:rPr>
                <w:sz w:val="24"/>
                <w:szCs w:val="24"/>
              </w:rPr>
              <w:t>Total</w:t>
            </w:r>
          </w:p>
          <w:p w:rsidR="00322F45" w:rsidRPr="005A076C" w:rsidRDefault="00322F45" w:rsidP="00322F45">
            <w:pPr>
              <w:suppressLineNumbers/>
              <w:jc w:val="both"/>
              <w:rPr>
                <w:sz w:val="24"/>
                <w:szCs w:val="24"/>
              </w:rPr>
            </w:pPr>
            <w:r w:rsidRPr="005A076C">
              <w:rPr>
                <w:sz w:val="24"/>
                <w:szCs w:val="24"/>
              </w:rPr>
              <w:t>Payment</w:t>
            </w:r>
          </w:p>
        </w:tc>
      </w:tr>
      <w:tr w:rsidR="00322F45" w:rsidRPr="005A076C" w:rsidTr="004C4D18">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2" w:type="dxa"/>
            <w:shd w:val="clear" w:color="auto" w:fill="auto"/>
          </w:tcPr>
          <w:p w:rsidR="00322F45" w:rsidRPr="005A076C" w:rsidRDefault="00322F45" w:rsidP="00322F45">
            <w:pPr>
              <w:suppressLineNumbers/>
              <w:jc w:val="both"/>
              <w:rPr>
                <w:b/>
                <w:sz w:val="24"/>
                <w:szCs w:val="24"/>
                <w:u w:val="single"/>
              </w:rPr>
            </w:pPr>
          </w:p>
        </w:tc>
      </w:tr>
      <w:tr w:rsidR="00322F45" w:rsidRPr="005A076C" w:rsidTr="004C4D18">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2" w:type="dxa"/>
            <w:shd w:val="clear" w:color="auto" w:fill="auto"/>
          </w:tcPr>
          <w:p w:rsidR="00322F45" w:rsidRPr="005A076C" w:rsidRDefault="00322F45" w:rsidP="00322F45">
            <w:pPr>
              <w:suppressLineNumbers/>
              <w:jc w:val="both"/>
              <w:rPr>
                <w:b/>
                <w:sz w:val="24"/>
                <w:szCs w:val="24"/>
                <w:u w:val="single"/>
              </w:rPr>
            </w:pPr>
          </w:p>
        </w:tc>
      </w:tr>
      <w:tr w:rsidR="00322F45" w:rsidRPr="005A076C" w:rsidTr="004C4D18">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2" w:type="dxa"/>
            <w:shd w:val="clear" w:color="auto" w:fill="auto"/>
          </w:tcPr>
          <w:p w:rsidR="00322F45" w:rsidRPr="005A076C" w:rsidRDefault="00322F45" w:rsidP="00322F45">
            <w:pPr>
              <w:suppressLineNumbers/>
              <w:jc w:val="both"/>
              <w:rPr>
                <w:b/>
                <w:sz w:val="24"/>
                <w:szCs w:val="24"/>
                <w:u w:val="single"/>
              </w:rPr>
            </w:pPr>
          </w:p>
        </w:tc>
      </w:tr>
      <w:tr w:rsidR="00322F45" w:rsidRPr="005A076C" w:rsidTr="004C4D18">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2" w:type="dxa"/>
            <w:shd w:val="clear" w:color="auto" w:fill="auto"/>
          </w:tcPr>
          <w:p w:rsidR="00322F45" w:rsidRPr="005A076C" w:rsidRDefault="00322F45" w:rsidP="00322F45">
            <w:pPr>
              <w:suppressLineNumbers/>
              <w:jc w:val="both"/>
              <w:rPr>
                <w:b/>
                <w:sz w:val="24"/>
                <w:szCs w:val="24"/>
                <w:u w:val="single"/>
              </w:rPr>
            </w:pPr>
          </w:p>
        </w:tc>
      </w:tr>
      <w:tr w:rsidR="00322F45" w:rsidRPr="005A076C" w:rsidTr="004C4D18">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2" w:type="dxa"/>
            <w:shd w:val="clear" w:color="auto" w:fill="auto"/>
          </w:tcPr>
          <w:p w:rsidR="00322F45" w:rsidRPr="005A076C" w:rsidRDefault="00322F45" w:rsidP="00322F45">
            <w:pPr>
              <w:suppressLineNumbers/>
              <w:jc w:val="both"/>
              <w:rPr>
                <w:b/>
                <w:sz w:val="24"/>
                <w:szCs w:val="24"/>
                <w:u w:val="single"/>
              </w:rPr>
            </w:pPr>
          </w:p>
        </w:tc>
      </w:tr>
      <w:tr w:rsidR="00322F45" w:rsidRPr="005A076C" w:rsidTr="004C4D18">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1" w:type="dxa"/>
            <w:shd w:val="clear" w:color="auto" w:fill="auto"/>
          </w:tcPr>
          <w:p w:rsidR="00322F45" w:rsidRPr="005A076C" w:rsidRDefault="00322F45" w:rsidP="00322F45">
            <w:pPr>
              <w:suppressLineNumbers/>
              <w:jc w:val="both"/>
              <w:rPr>
                <w:b/>
                <w:sz w:val="24"/>
                <w:szCs w:val="24"/>
                <w:u w:val="single"/>
              </w:rPr>
            </w:pPr>
          </w:p>
        </w:tc>
        <w:tc>
          <w:tcPr>
            <w:tcW w:w="1772" w:type="dxa"/>
            <w:shd w:val="clear" w:color="auto" w:fill="auto"/>
          </w:tcPr>
          <w:p w:rsidR="00322F45" w:rsidRPr="005A076C" w:rsidRDefault="00322F45" w:rsidP="00322F45">
            <w:pPr>
              <w:suppressLineNumbers/>
              <w:jc w:val="both"/>
              <w:rPr>
                <w:b/>
                <w:sz w:val="24"/>
                <w:szCs w:val="24"/>
                <w:u w:val="single"/>
              </w:rPr>
            </w:pPr>
          </w:p>
        </w:tc>
      </w:tr>
    </w:tbl>
    <w:p w:rsidR="00322F45" w:rsidRPr="005A076C" w:rsidRDefault="00322F45" w:rsidP="00322F45">
      <w:pPr>
        <w:suppressLineNumbers/>
        <w:jc w:val="both"/>
        <w:rPr>
          <w:b/>
          <w:sz w:val="24"/>
          <w:szCs w:val="24"/>
          <w:u w:val="single"/>
        </w:rPr>
      </w:pPr>
    </w:p>
    <w:p w:rsidR="00322F45" w:rsidRPr="005A076C" w:rsidRDefault="00322F45" w:rsidP="00322F45">
      <w:pPr>
        <w:pStyle w:val="NoSpacing"/>
        <w:suppressLineNumbers/>
        <w:jc w:val="both"/>
        <w:rPr>
          <w:rFonts w:ascii="Times New Roman" w:hAnsi="Times New Roman"/>
          <w:b/>
          <w:sz w:val="24"/>
          <w:szCs w:val="24"/>
          <w:u w:val="single"/>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322F45" w:rsidRPr="005A076C" w:rsidTr="004C4D18">
        <w:tc>
          <w:tcPr>
            <w:tcW w:w="8856" w:type="dxa"/>
            <w:gridSpan w:val="5"/>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r w:rsidRPr="005A076C">
              <w:rPr>
                <w:rFonts w:ascii="Times New Roman" w:hAnsi="Times New Roman"/>
                <w:b/>
                <w:sz w:val="24"/>
                <w:szCs w:val="24"/>
                <w:u w:val="single"/>
              </w:rPr>
              <w:t>SERIES________, TRANCHE________</w:t>
            </w:r>
          </w:p>
        </w:tc>
      </w:tr>
      <w:tr w:rsidR="00322F45" w:rsidRPr="005A076C" w:rsidTr="004C4D18">
        <w:tc>
          <w:tcPr>
            <w:tcW w:w="1771" w:type="dxa"/>
            <w:shd w:val="clear" w:color="auto" w:fill="auto"/>
          </w:tcPr>
          <w:p w:rsidR="00322F45" w:rsidRPr="005A076C" w:rsidRDefault="00322F45" w:rsidP="00322F45">
            <w:pPr>
              <w:suppressLineNumbers/>
              <w:jc w:val="both"/>
              <w:rPr>
                <w:sz w:val="24"/>
                <w:szCs w:val="24"/>
              </w:rPr>
            </w:pPr>
            <w:r w:rsidRPr="005A076C">
              <w:rPr>
                <w:sz w:val="24"/>
                <w:szCs w:val="24"/>
              </w:rPr>
              <w:t>Payment</w:t>
            </w: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Date</w:t>
            </w:r>
          </w:p>
        </w:tc>
        <w:tc>
          <w:tcPr>
            <w:tcW w:w="1771" w:type="dxa"/>
            <w:shd w:val="clear" w:color="auto" w:fill="auto"/>
          </w:tcPr>
          <w:p w:rsidR="00322F45" w:rsidRPr="005A076C" w:rsidRDefault="00322F45" w:rsidP="00322F45">
            <w:pPr>
              <w:suppressLineNumbers/>
              <w:jc w:val="both"/>
              <w:rPr>
                <w:sz w:val="24"/>
                <w:szCs w:val="24"/>
              </w:rPr>
            </w:pPr>
            <w:r w:rsidRPr="005A076C">
              <w:rPr>
                <w:sz w:val="24"/>
                <w:szCs w:val="24"/>
              </w:rPr>
              <w:t xml:space="preserve">Principal </w:t>
            </w: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Balance</w:t>
            </w:r>
          </w:p>
        </w:tc>
        <w:tc>
          <w:tcPr>
            <w:tcW w:w="1771" w:type="dxa"/>
            <w:shd w:val="clear" w:color="auto" w:fill="auto"/>
          </w:tcPr>
          <w:p w:rsidR="00322F45" w:rsidRPr="005A076C" w:rsidRDefault="00322F45" w:rsidP="00322F45">
            <w:pPr>
              <w:pStyle w:val="NoSpacing"/>
              <w:suppressLineNumbers/>
              <w:jc w:val="both"/>
              <w:rPr>
                <w:rFonts w:ascii="Times New Roman" w:hAnsi="Times New Roman"/>
                <w:sz w:val="24"/>
                <w:szCs w:val="24"/>
              </w:rPr>
            </w:pP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Interest</w:t>
            </w:r>
          </w:p>
        </w:tc>
        <w:tc>
          <w:tcPr>
            <w:tcW w:w="1771" w:type="dxa"/>
            <w:shd w:val="clear" w:color="auto" w:fill="auto"/>
          </w:tcPr>
          <w:p w:rsidR="00322F45" w:rsidRPr="005A076C" w:rsidRDefault="00322F45" w:rsidP="00322F45">
            <w:pPr>
              <w:pStyle w:val="NoSpacing"/>
              <w:suppressLineNumbers/>
              <w:jc w:val="both"/>
              <w:rPr>
                <w:rFonts w:ascii="Times New Roman" w:hAnsi="Times New Roman"/>
                <w:sz w:val="24"/>
                <w:szCs w:val="24"/>
              </w:rPr>
            </w:pP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Principal</w:t>
            </w:r>
          </w:p>
        </w:tc>
        <w:tc>
          <w:tcPr>
            <w:tcW w:w="1772" w:type="dxa"/>
            <w:shd w:val="clear" w:color="auto" w:fill="auto"/>
          </w:tcPr>
          <w:p w:rsidR="00322F45" w:rsidRPr="005A076C" w:rsidRDefault="00322F45" w:rsidP="00322F45">
            <w:pPr>
              <w:suppressLineNumbers/>
              <w:jc w:val="both"/>
              <w:rPr>
                <w:sz w:val="24"/>
                <w:szCs w:val="24"/>
              </w:rPr>
            </w:pPr>
            <w:r w:rsidRPr="005A076C">
              <w:rPr>
                <w:sz w:val="24"/>
                <w:szCs w:val="24"/>
              </w:rPr>
              <w:t>Total</w:t>
            </w: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Payment</w:t>
            </w:r>
          </w:p>
        </w:tc>
      </w:tr>
      <w:tr w:rsidR="00322F45" w:rsidRPr="005A076C" w:rsidTr="004C4D18">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2"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r>
      <w:tr w:rsidR="00322F45" w:rsidRPr="005A076C" w:rsidTr="004C4D18">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2"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r>
      <w:tr w:rsidR="00322F45" w:rsidRPr="005A076C" w:rsidTr="004C4D18">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2"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r>
      <w:tr w:rsidR="00322F45" w:rsidRPr="005A076C" w:rsidTr="004C4D18">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2"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r>
      <w:tr w:rsidR="00322F45" w:rsidRPr="005A076C" w:rsidTr="004C4D18">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2"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r>
      <w:tr w:rsidR="00322F45" w:rsidRPr="005A076C" w:rsidTr="004C4D18">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1"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c>
          <w:tcPr>
            <w:tcW w:w="1772" w:type="dxa"/>
            <w:shd w:val="clear" w:color="auto" w:fill="auto"/>
          </w:tcPr>
          <w:p w:rsidR="00322F45" w:rsidRPr="005A076C" w:rsidRDefault="00322F45" w:rsidP="00322F45">
            <w:pPr>
              <w:pStyle w:val="NoSpacing"/>
              <w:suppressLineNumbers/>
              <w:jc w:val="both"/>
              <w:rPr>
                <w:rFonts w:ascii="Times New Roman" w:hAnsi="Times New Roman"/>
                <w:b/>
                <w:sz w:val="24"/>
                <w:szCs w:val="24"/>
                <w:u w:val="single"/>
              </w:rPr>
            </w:pPr>
          </w:p>
        </w:tc>
      </w:tr>
    </w:tbl>
    <w:p w:rsidR="00322F45" w:rsidRPr="005A076C" w:rsidRDefault="00322F45" w:rsidP="00322F45">
      <w:pPr>
        <w:pStyle w:val="NoSpacing"/>
        <w:suppressLineNumbers/>
        <w:jc w:val="both"/>
        <w:rPr>
          <w:rFonts w:ascii="Times New Roman" w:hAnsi="Times New Roman"/>
          <w:b/>
          <w:sz w:val="26"/>
          <w:szCs w:val="26"/>
          <w:u w:val="single"/>
        </w:rPr>
      </w:pPr>
    </w:p>
    <w:p w:rsidR="00322F45" w:rsidRPr="005A076C" w:rsidRDefault="00322F45" w:rsidP="00322F45">
      <w:pPr>
        <w:pStyle w:val="NoSpacing"/>
        <w:suppressLineNumbers/>
        <w:jc w:val="both"/>
        <w:rPr>
          <w:rFonts w:ascii="Times New Roman" w:hAnsi="Times New Roman"/>
          <w:b/>
          <w:sz w:val="26"/>
          <w:szCs w:val="26"/>
          <w:u w:val="single"/>
        </w:rPr>
      </w:pPr>
    </w:p>
    <w:p w:rsidR="00322F45" w:rsidRPr="005A076C" w:rsidRDefault="00322F45" w:rsidP="00322F45">
      <w:pPr>
        <w:pStyle w:val="NoSpacing"/>
        <w:suppressLineNumbers/>
        <w:jc w:val="both"/>
        <w:rPr>
          <w:rFonts w:ascii="Times New Roman" w:hAnsi="Times New Roman"/>
          <w:b/>
          <w:sz w:val="26"/>
          <w:szCs w:val="26"/>
          <w:u w:val="single"/>
        </w:rPr>
      </w:pPr>
    </w:p>
    <w:p w:rsidR="007C4D6B" w:rsidRPr="005A076C" w:rsidRDefault="007C4D6B" w:rsidP="00322F45">
      <w:pPr>
        <w:suppressLineNumbers/>
        <w:jc w:val="both"/>
        <w:rPr>
          <w:b/>
          <w:sz w:val="26"/>
          <w:szCs w:val="26"/>
          <w:u w:val="single"/>
        </w:rPr>
        <w:sectPr w:rsidR="007C4D6B" w:rsidRPr="005A076C" w:rsidSect="004C4D18">
          <w:headerReference w:type="first" r:id="rId32"/>
          <w:footerReference w:type="first" r:id="rId33"/>
          <w:footnotePr>
            <w:numRestart w:val="eachSect"/>
          </w:footnotePr>
          <w:pgSz w:w="12240" w:h="15840" w:code="1"/>
          <w:pgMar w:top="720" w:right="1440" w:bottom="1440" w:left="1440" w:header="720" w:footer="720" w:gutter="0"/>
          <w:pgNumType w:start="1"/>
          <w:cols w:space="720"/>
          <w:titlePg/>
          <w:docGrid w:linePitch="360"/>
        </w:sectPr>
      </w:pP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lastRenderedPageBreak/>
        <w:t xml:space="preserve">Case No. </w:t>
      </w:r>
      <w:r w:rsidRPr="005A076C">
        <w:rPr>
          <w:rFonts w:ascii="Times New Roman" w:hAnsi="Times New Roman"/>
          <w:b/>
          <w:snapToGrid w:val="0"/>
          <w:szCs w:val="24"/>
        </w:rPr>
        <w:t>12</w:t>
      </w:r>
      <w:r w:rsidRPr="005A076C">
        <w:rPr>
          <w:rFonts w:ascii="Times New Roman" w:hAnsi="Times New Roman"/>
          <w:b/>
          <w:szCs w:val="24"/>
        </w:rPr>
        <w:t>-</w:t>
      </w:r>
      <w:r w:rsidR="00A00640">
        <w:rPr>
          <w:rFonts w:ascii="Times New Roman" w:hAnsi="Times New Roman"/>
          <w:b/>
          <w:szCs w:val="24"/>
        </w:rPr>
        <w:t>1969</w:t>
      </w:r>
      <w:r w:rsidRPr="005A076C">
        <w:rPr>
          <w:rFonts w:ascii="Times New Roman" w:hAnsi="Times New Roman"/>
          <w:b/>
          <w:szCs w:val="24"/>
        </w:rPr>
        <w:t>-EL-ATS</w:t>
      </w: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 xml:space="preserve">Staff Exhibit </w:t>
      </w: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Page 8 of 12</w:t>
      </w:r>
    </w:p>
    <w:p w:rsidR="00686552" w:rsidRPr="005A076C" w:rsidRDefault="00686552" w:rsidP="00686552">
      <w:pPr>
        <w:pStyle w:val="NoSpacing"/>
        <w:jc w:val="center"/>
        <w:rPr>
          <w:rFonts w:ascii="Times New Roman" w:hAnsi="Times New Roman"/>
          <w:b/>
          <w:sz w:val="28"/>
          <w:szCs w:val="26"/>
          <w:u w:val="single"/>
        </w:rPr>
      </w:pPr>
      <w:r w:rsidRPr="005A076C">
        <w:rPr>
          <w:rFonts w:ascii="Times New Roman" w:hAnsi="Times New Roman"/>
          <w:b/>
          <w:sz w:val="28"/>
          <w:szCs w:val="26"/>
          <w:u w:val="single"/>
        </w:rPr>
        <w:t>ATTACHMENT-2</w:t>
      </w:r>
    </w:p>
    <w:p w:rsidR="00686552" w:rsidRPr="005A076C" w:rsidRDefault="00686552" w:rsidP="00686552">
      <w:pPr>
        <w:pStyle w:val="NoSpacing"/>
        <w:jc w:val="center"/>
        <w:rPr>
          <w:rFonts w:ascii="Times New Roman" w:hAnsi="Times New Roman"/>
          <w:b/>
          <w:sz w:val="28"/>
          <w:szCs w:val="26"/>
          <w:u w:val="single"/>
        </w:rPr>
      </w:pPr>
      <w:r w:rsidRPr="005A076C">
        <w:rPr>
          <w:rFonts w:ascii="Times New Roman" w:hAnsi="Times New Roman"/>
          <w:b/>
          <w:sz w:val="28"/>
          <w:szCs w:val="26"/>
          <w:u w:val="single"/>
        </w:rPr>
        <w:t>SCHEDULE-B</w:t>
      </w:r>
    </w:p>
    <w:p w:rsidR="00322F45" w:rsidRPr="005A076C" w:rsidRDefault="00322F45" w:rsidP="00686552">
      <w:pPr>
        <w:suppressLineNumbers/>
        <w:spacing w:after="240"/>
        <w:jc w:val="center"/>
        <w:rPr>
          <w:b/>
          <w:sz w:val="28"/>
          <w:szCs w:val="26"/>
          <w:u w:val="single"/>
        </w:rPr>
      </w:pPr>
      <w:r w:rsidRPr="005A076C">
        <w:rPr>
          <w:b/>
          <w:sz w:val="28"/>
          <w:szCs w:val="26"/>
          <w:u w:val="single"/>
        </w:rPr>
        <w:t>ONGOING FINANCING COSTS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880"/>
      </w:tblGrid>
      <w:tr w:rsidR="00322F45" w:rsidRPr="005A076C" w:rsidTr="00322F45">
        <w:trPr>
          <w:trHeight w:val="576"/>
        </w:trPr>
        <w:tc>
          <w:tcPr>
            <w:tcW w:w="6048" w:type="dxa"/>
            <w:shd w:val="clear" w:color="auto" w:fill="auto"/>
            <w:vAlign w:val="center"/>
          </w:tcPr>
          <w:p w:rsidR="00322F45" w:rsidRPr="005A076C" w:rsidRDefault="00322F45" w:rsidP="00322F45">
            <w:pPr>
              <w:suppressLineNumbers/>
              <w:rPr>
                <w:b/>
                <w:sz w:val="24"/>
                <w:szCs w:val="24"/>
                <w:u w:val="single"/>
              </w:rPr>
            </w:pPr>
          </w:p>
        </w:tc>
        <w:tc>
          <w:tcPr>
            <w:tcW w:w="2880" w:type="dxa"/>
            <w:shd w:val="clear" w:color="auto" w:fill="auto"/>
            <w:vAlign w:val="center"/>
          </w:tcPr>
          <w:p w:rsidR="00322F45" w:rsidRPr="005A076C" w:rsidRDefault="00322F45" w:rsidP="004E5D6B">
            <w:pPr>
              <w:suppressLineNumbers/>
              <w:ind w:left="-18"/>
              <w:rPr>
                <w:b/>
                <w:sz w:val="24"/>
                <w:szCs w:val="24"/>
                <w:u w:val="single"/>
              </w:rPr>
            </w:pPr>
            <w:r w:rsidRPr="005A076C">
              <w:rPr>
                <w:b/>
                <w:sz w:val="24"/>
                <w:szCs w:val="24"/>
                <w:u w:val="single"/>
              </w:rPr>
              <w:t>ANNUAL AMOUNT</w:t>
            </w:r>
          </w:p>
        </w:tc>
      </w:tr>
      <w:tr w:rsidR="00322F45" w:rsidRPr="005A076C" w:rsidTr="00322F45">
        <w:trPr>
          <w:trHeight w:val="576"/>
        </w:trPr>
        <w:tc>
          <w:tcPr>
            <w:tcW w:w="6048" w:type="dxa"/>
            <w:shd w:val="clear" w:color="auto" w:fill="auto"/>
            <w:vAlign w:val="center"/>
          </w:tcPr>
          <w:p w:rsidR="00322F45" w:rsidRPr="005A076C" w:rsidRDefault="00322F45" w:rsidP="00322F45">
            <w:pPr>
              <w:suppressLineNumbers/>
              <w:rPr>
                <w:sz w:val="24"/>
                <w:szCs w:val="24"/>
              </w:rPr>
            </w:pPr>
            <w:r w:rsidRPr="005A076C">
              <w:rPr>
                <w:sz w:val="24"/>
                <w:szCs w:val="24"/>
              </w:rPr>
              <w:t>Ongoing Servicer Fee (The Companies as Servicer)</w:t>
            </w:r>
          </w:p>
          <w:p w:rsidR="00322F45" w:rsidRPr="005A076C" w:rsidRDefault="00322F45" w:rsidP="00322F45">
            <w:pPr>
              <w:suppressLineNumbers/>
              <w:rPr>
                <w:sz w:val="24"/>
                <w:szCs w:val="24"/>
              </w:rPr>
            </w:pPr>
            <w:r w:rsidRPr="005A076C">
              <w:rPr>
                <w:sz w:val="24"/>
                <w:szCs w:val="24"/>
              </w:rPr>
              <w:t xml:space="preserve">(0.10% of </w:t>
            </w:r>
            <w:r w:rsidR="004E5D6B" w:rsidRPr="005A076C">
              <w:rPr>
                <w:sz w:val="24"/>
                <w:szCs w:val="24"/>
              </w:rPr>
              <w:t>principal amount</w:t>
            </w:r>
            <w:r w:rsidRPr="005A076C">
              <w:rPr>
                <w:sz w:val="24"/>
                <w:szCs w:val="24"/>
              </w:rPr>
              <w:t>)</w:t>
            </w:r>
          </w:p>
          <w:p w:rsidR="00322F45" w:rsidRPr="005A076C" w:rsidRDefault="00322F45" w:rsidP="00322F45">
            <w:pPr>
              <w:suppressLineNumbers/>
              <w:rPr>
                <w:b/>
                <w:sz w:val="24"/>
                <w:szCs w:val="24"/>
                <w:u w:val="single"/>
              </w:rPr>
            </w:pPr>
            <w:r w:rsidRPr="005A076C">
              <w:rPr>
                <w:b/>
                <w:sz w:val="24"/>
                <w:szCs w:val="24"/>
                <w:u w:val="single"/>
              </w:rPr>
              <w:t>OR</w:t>
            </w:r>
          </w:p>
          <w:p w:rsidR="00322F45" w:rsidRPr="005A076C" w:rsidRDefault="00322F45" w:rsidP="00322F45">
            <w:pPr>
              <w:suppressLineNumbers/>
              <w:rPr>
                <w:sz w:val="24"/>
                <w:szCs w:val="24"/>
              </w:rPr>
            </w:pPr>
            <w:r w:rsidRPr="005A076C">
              <w:rPr>
                <w:sz w:val="24"/>
                <w:szCs w:val="24"/>
              </w:rPr>
              <w:t xml:space="preserve">Ongoing Servicer Fee (Third Party as Servicer) </w:t>
            </w:r>
          </w:p>
          <w:p w:rsidR="00322F45" w:rsidRPr="005A076C" w:rsidRDefault="00322F45" w:rsidP="004E5D6B">
            <w:pPr>
              <w:suppressLineNumbers/>
              <w:rPr>
                <w:sz w:val="24"/>
                <w:szCs w:val="24"/>
              </w:rPr>
            </w:pPr>
            <w:r w:rsidRPr="005A076C">
              <w:rPr>
                <w:sz w:val="24"/>
                <w:szCs w:val="24"/>
              </w:rPr>
              <w:t>(</w:t>
            </w:r>
            <w:r w:rsidR="004E5D6B" w:rsidRPr="005A076C">
              <w:rPr>
                <w:sz w:val="24"/>
                <w:szCs w:val="24"/>
              </w:rPr>
              <w:t>0.75</w:t>
            </w:r>
            <w:r w:rsidRPr="005A076C">
              <w:rPr>
                <w:sz w:val="24"/>
                <w:szCs w:val="24"/>
              </w:rPr>
              <w:t xml:space="preserve">% of </w:t>
            </w:r>
            <w:r w:rsidR="004E5D6B" w:rsidRPr="005A076C">
              <w:rPr>
                <w:sz w:val="24"/>
                <w:szCs w:val="24"/>
              </w:rPr>
              <w:t xml:space="preserve"> principal amount</w:t>
            </w:r>
            <w:r w:rsidRPr="005A076C">
              <w:rPr>
                <w:sz w:val="24"/>
                <w:szCs w:val="24"/>
              </w:rPr>
              <w:t>)</w:t>
            </w:r>
          </w:p>
        </w:tc>
        <w:tc>
          <w:tcPr>
            <w:tcW w:w="2880" w:type="dxa"/>
            <w:shd w:val="clear" w:color="auto" w:fill="auto"/>
            <w:vAlign w:val="center"/>
          </w:tcPr>
          <w:p w:rsidR="00322F45" w:rsidRPr="005A076C" w:rsidRDefault="00322F45" w:rsidP="00322F45">
            <w:pPr>
              <w:suppressLineNumbers/>
              <w:rPr>
                <w:sz w:val="24"/>
                <w:szCs w:val="24"/>
              </w:rPr>
            </w:pPr>
          </w:p>
        </w:tc>
      </w:tr>
      <w:tr w:rsidR="00211470" w:rsidRPr="005A076C" w:rsidTr="00DB0FC7">
        <w:trPr>
          <w:trHeight w:val="458"/>
        </w:trPr>
        <w:tc>
          <w:tcPr>
            <w:tcW w:w="6048" w:type="dxa"/>
            <w:shd w:val="clear" w:color="auto" w:fill="auto"/>
            <w:vAlign w:val="center"/>
          </w:tcPr>
          <w:p w:rsidR="00322F45" w:rsidRPr="005A076C" w:rsidRDefault="00322F45" w:rsidP="007308AF">
            <w:pPr>
              <w:suppressLineNumbers/>
              <w:rPr>
                <w:sz w:val="24"/>
                <w:szCs w:val="24"/>
              </w:rPr>
            </w:pPr>
            <w:r w:rsidRPr="005A076C">
              <w:rPr>
                <w:sz w:val="24"/>
                <w:szCs w:val="24"/>
              </w:rPr>
              <w:t xml:space="preserve">Administration Fees </w:t>
            </w:r>
          </w:p>
        </w:tc>
        <w:tc>
          <w:tcPr>
            <w:tcW w:w="2880" w:type="dxa"/>
            <w:shd w:val="clear" w:color="auto" w:fill="auto"/>
            <w:vAlign w:val="center"/>
          </w:tcPr>
          <w:p w:rsidR="00322F45" w:rsidRPr="005A076C" w:rsidRDefault="00322F45" w:rsidP="00322F45">
            <w:pPr>
              <w:suppressLineNumbers/>
              <w:rPr>
                <w:sz w:val="24"/>
                <w:szCs w:val="24"/>
              </w:rPr>
            </w:pPr>
          </w:p>
        </w:tc>
      </w:tr>
      <w:tr w:rsidR="00211470" w:rsidRPr="005A076C" w:rsidTr="00DB0FC7">
        <w:trPr>
          <w:trHeight w:val="359"/>
        </w:trPr>
        <w:tc>
          <w:tcPr>
            <w:tcW w:w="6048" w:type="dxa"/>
            <w:shd w:val="clear" w:color="auto" w:fill="auto"/>
            <w:vAlign w:val="center"/>
          </w:tcPr>
          <w:p w:rsidR="00322F45" w:rsidRPr="005A076C" w:rsidRDefault="00322F45" w:rsidP="007308AF">
            <w:pPr>
              <w:suppressLineNumbers/>
              <w:rPr>
                <w:sz w:val="24"/>
                <w:szCs w:val="24"/>
              </w:rPr>
            </w:pPr>
            <w:r w:rsidRPr="005A076C">
              <w:rPr>
                <w:sz w:val="24"/>
                <w:szCs w:val="24"/>
              </w:rPr>
              <w:t>Account</w:t>
            </w:r>
            <w:r w:rsidR="007308AF" w:rsidRPr="005A076C">
              <w:rPr>
                <w:sz w:val="24"/>
                <w:szCs w:val="24"/>
              </w:rPr>
              <w:t>ants</w:t>
            </w:r>
            <w:r w:rsidRPr="005A076C">
              <w:rPr>
                <w:sz w:val="24"/>
                <w:szCs w:val="24"/>
              </w:rPr>
              <w:t xml:space="preserve"> Fees</w:t>
            </w:r>
          </w:p>
        </w:tc>
        <w:tc>
          <w:tcPr>
            <w:tcW w:w="2880" w:type="dxa"/>
            <w:shd w:val="clear" w:color="auto" w:fill="auto"/>
            <w:vAlign w:val="center"/>
          </w:tcPr>
          <w:p w:rsidR="00322F45" w:rsidRPr="005A076C" w:rsidRDefault="00322F45" w:rsidP="00322F45">
            <w:pPr>
              <w:suppressLineNumbers/>
              <w:rPr>
                <w:sz w:val="24"/>
                <w:szCs w:val="24"/>
              </w:rPr>
            </w:pPr>
          </w:p>
        </w:tc>
      </w:tr>
      <w:tr w:rsidR="00211470" w:rsidRPr="005A076C" w:rsidTr="00DB0FC7">
        <w:trPr>
          <w:trHeight w:val="350"/>
        </w:trPr>
        <w:tc>
          <w:tcPr>
            <w:tcW w:w="6048" w:type="dxa"/>
            <w:shd w:val="clear" w:color="auto" w:fill="auto"/>
            <w:vAlign w:val="center"/>
          </w:tcPr>
          <w:p w:rsidR="00322F45" w:rsidRPr="005A076C" w:rsidRDefault="007308AF" w:rsidP="00322F45">
            <w:pPr>
              <w:suppressLineNumbers/>
              <w:rPr>
                <w:sz w:val="24"/>
                <w:szCs w:val="24"/>
              </w:rPr>
            </w:pPr>
            <w:r w:rsidRPr="005A076C">
              <w:rPr>
                <w:sz w:val="24"/>
                <w:szCs w:val="24"/>
              </w:rPr>
              <w:t>Legal Fees/Expenses for Company’s/Issuer’s Counsel</w:t>
            </w:r>
          </w:p>
        </w:tc>
        <w:tc>
          <w:tcPr>
            <w:tcW w:w="2880" w:type="dxa"/>
            <w:shd w:val="clear" w:color="auto" w:fill="auto"/>
            <w:vAlign w:val="center"/>
          </w:tcPr>
          <w:p w:rsidR="00322F45" w:rsidRPr="005A076C" w:rsidRDefault="00322F45" w:rsidP="00322F45">
            <w:pPr>
              <w:suppressLineNumbers/>
              <w:rPr>
                <w:sz w:val="24"/>
                <w:szCs w:val="24"/>
              </w:rPr>
            </w:pPr>
          </w:p>
        </w:tc>
      </w:tr>
      <w:tr w:rsidR="00211470" w:rsidRPr="005A076C" w:rsidTr="00DB0FC7">
        <w:trPr>
          <w:trHeight w:val="341"/>
        </w:trPr>
        <w:tc>
          <w:tcPr>
            <w:tcW w:w="6048" w:type="dxa"/>
            <w:shd w:val="clear" w:color="auto" w:fill="auto"/>
            <w:vAlign w:val="center"/>
          </w:tcPr>
          <w:p w:rsidR="00322F45" w:rsidRPr="005A076C" w:rsidRDefault="007308AF" w:rsidP="00322F45">
            <w:pPr>
              <w:suppressLineNumbers/>
              <w:rPr>
                <w:sz w:val="24"/>
                <w:szCs w:val="24"/>
              </w:rPr>
            </w:pPr>
            <w:r w:rsidRPr="005A076C">
              <w:rPr>
                <w:sz w:val="24"/>
                <w:szCs w:val="24"/>
              </w:rPr>
              <w:t>Trustee’s/Trustee’s Counsel Fees &amp; Expenses</w:t>
            </w:r>
          </w:p>
        </w:tc>
        <w:tc>
          <w:tcPr>
            <w:tcW w:w="2880" w:type="dxa"/>
            <w:shd w:val="clear" w:color="auto" w:fill="auto"/>
            <w:vAlign w:val="center"/>
          </w:tcPr>
          <w:p w:rsidR="00322F45" w:rsidRPr="005A076C" w:rsidRDefault="00322F45" w:rsidP="00322F45">
            <w:pPr>
              <w:suppressLineNumbers/>
              <w:rPr>
                <w:sz w:val="24"/>
                <w:szCs w:val="24"/>
              </w:rPr>
            </w:pPr>
          </w:p>
        </w:tc>
      </w:tr>
      <w:tr w:rsidR="00211470" w:rsidRPr="005A076C" w:rsidTr="00DB0FC7">
        <w:trPr>
          <w:trHeight w:val="440"/>
        </w:trPr>
        <w:tc>
          <w:tcPr>
            <w:tcW w:w="6048" w:type="dxa"/>
            <w:shd w:val="clear" w:color="auto" w:fill="auto"/>
            <w:vAlign w:val="center"/>
          </w:tcPr>
          <w:p w:rsidR="00322F45" w:rsidRPr="005A076C" w:rsidRDefault="007308AF" w:rsidP="00322F45">
            <w:pPr>
              <w:suppressLineNumbers/>
              <w:rPr>
                <w:sz w:val="24"/>
                <w:szCs w:val="24"/>
              </w:rPr>
            </w:pPr>
            <w:r w:rsidRPr="005A076C">
              <w:rPr>
                <w:sz w:val="24"/>
                <w:szCs w:val="24"/>
              </w:rPr>
              <w:t>Independent Manager’s Fees</w:t>
            </w:r>
          </w:p>
        </w:tc>
        <w:tc>
          <w:tcPr>
            <w:tcW w:w="2880" w:type="dxa"/>
            <w:shd w:val="clear" w:color="auto" w:fill="auto"/>
            <w:vAlign w:val="center"/>
          </w:tcPr>
          <w:p w:rsidR="00322F45" w:rsidRPr="005A076C" w:rsidRDefault="00322F45" w:rsidP="00322F45">
            <w:pPr>
              <w:suppressLineNumbers/>
              <w:rPr>
                <w:sz w:val="24"/>
                <w:szCs w:val="24"/>
              </w:rPr>
            </w:pPr>
          </w:p>
        </w:tc>
      </w:tr>
      <w:tr w:rsidR="00211470" w:rsidRPr="005A076C" w:rsidTr="00DB0FC7">
        <w:trPr>
          <w:trHeight w:val="350"/>
        </w:trPr>
        <w:tc>
          <w:tcPr>
            <w:tcW w:w="6048" w:type="dxa"/>
            <w:shd w:val="clear" w:color="auto" w:fill="auto"/>
            <w:vAlign w:val="center"/>
          </w:tcPr>
          <w:p w:rsidR="00322F45" w:rsidRPr="005A076C" w:rsidRDefault="007308AF" w:rsidP="00322F45">
            <w:pPr>
              <w:suppressLineNumbers/>
              <w:rPr>
                <w:sz w:val="24"/>
                <w:szCs w:val="24"/>
              </w:rPr>
            </w:pPr>
            <w:r w:rsidRPr="005A076C">
              <w:rPr>
                <w:sz w:val="24"/>
                <w:szCs w:val="24"/>
              </w:rPr>
              <w:t>Rating Agency Fees</w:t>
            </w:r>
          </w:p>
        </w:tc>
        <w:tc>
          <w:tcPr>
            <w:tcW w:w="2880" w:type="dxa"/>
            <w:shd w:val="clear" w:color="auto" w:fill="auto"/>
            <w:vAlign w:val="center"/>
          </w:tcPr>
          <w:p w:rsidR="00322F45" w:rsidRPr="005A076C" w:rsidRDefault="00322F45" w:rsidP="00322F45">
            <w:pPr>
              <w:suppressLineNumbers/>
              <w:rPr>
                <w:sz w:val="24"/>
                <w:szCs w:val="24"/>
              </w:rPr>
            </w:pPr>
          </w:p>
        </w:tc>
      </w:tr>
      <w:tr w:rsidR="00211470" w:rsidRPr="005A076C" w:rsidTr="00DB0FC7">
        <w:trPr>
          <w:trHeight w:val="359"/>
        </w:trPr>
        <w:tc>
          <w:tcPr>
            <w:tcW w:w="6048" w:type="dxa"/>
            <w:shd w:val="clear" w:color="auto" w:fill="auto"/>
            <w:vAlign w:val="center"/>
          </w:tcPr>
          <w:p w:rsidR="00322F45" w:rsidRPr="005A076C" w:rsidRDefault="007308AF" w:rsidP="00322F45">
            <w:pPr>
              <w:suppressLineNumbers/>
              <w:rPr>
                <w:sz w:val="24"/>
                <w:szCs w:val="24"/>
              </w:rPr>
            </w:pPr>
            <w:r w:rsidRPr="005A076C">
              <w:rPr>
                <w:sz w:val="24"/>
                <w:szCs w:val="24"/>
              </w:rPr>
              <w:t>Printing/EDGAR expenses</w:t>
            </w:r>
          </w:p>
        </w:tc>
        <w:tc>
          <w:tcPr>
            <w:tcW w:w="2880" w:type="dxa"/>
            <w:shd w:val="clear" w:color="auto" w:fill="auto"/>
            <w:vAlign w:val="center"/>
          </w:tcPr>
          <w:p w:rsidR="00322F45" w:rsidRPr="005A076C" w:rsidRDefault="00322F45" w:rsidP="00322F45">
            <w:pPr>
              <w:suppressLineNumbers/>
              <w:rPr>
                <w:sz w:val="24"/>
                <w:szCs w:val="24"/>
              </w:rPr>
            </w:pPr>
          </w:p>
        </w:tc>
      </w:tr>
      <w:tr w:rsidR="00211470" w:rsidRPr="005A076C" w:rsidTr="00DB0FC7">
        <w:trPr>
          <w:trHeight w:val="440"/>
        </w:trPr>
        <w:tc>
          <w:tcPr>
            <w:tcW w:w="6048" w:type="dxa"/>
            <w:shd w:val="clear" w:color="auto" w:fill="auto"/>
            <w:vAlign w:val="center"/>
          </w:tcPr>
          <w:p w:rsidR="00322F45" w:rsidRPr="005A076C" w:rsidRDefault="007308AF" w:rsidP="00322F45">
            <w:pPr>
              <w:suppressLineNumbers/>
              <w:rPr>
                <w:sz w:val="24"/>
                <w:szCs w:val="24"/>
              </w:rPr>
            </w:pPr>
            <w:r w:rsidRPr="005A076C">
              <w:rPr>
                <w:sz w:val="24"/>
                <w:szCs w:val="24"/>
              </w:rPr>
              <w:t>Miscellaneous</w:t>
            </w:r>
          </w:p>
        </w:tc>
        <w:tc>
          <w:tcPr>
            <w:tcW w:w="2880" w:type="dxa"/>
            <w:shd w:val="clear" w:color="auto" w:fill="auto"/>
            <w:vAlign w:val="center"/>
          </w:tcPr>
          <w:p w:rsidR="00322F45" w:rsidRPr="005A076C" w:rsidRDefault="00322F45" w:rsidP="00322F45">
            <w:pPr>
              <w:suppressLineNumbers/>
              <w:rPr>
                <w:sz w:val="24"/>
                <w:szCs w:val="24"/>
              </w:rPr>
            </w:pPr>
          </w:p>
        </w:tc>
      </w:tr>
      <w:tr w:rsidR="00322F45" w:rsidRPr="005A076C" w:rsidTr="00322F45">
        <w:trPr>
          <w:trHeight w:val="576"/>
        </w:trPr>
        <w:tc>
          <w:tcPr>
            <w:tcW w:w="6048" w:type="dxa"/>
            <w:shd w:val="clear" w:color="auto" w:fill="auto"/>
            <w:vAlign w:val="center"/>
          </w:tcPr>
          <w:p w:rsidR="00322F45" w:rsidRPr="005A076C" w:rsidRDefault="00322F45" w:rsidP="00322F45">
            <w:pPr>
              <w:suppressLineNumbers/>
              <w:rPr>
                <w:b/>
                <w:sz w:val="24"/>
                <w:szCs w:val="24"/>
              </w:rPr>
            </w:pPr>
            <w:r w:rsidRPr="005A076C">
              <w:rPr>
                <w:b/>
                <w:sz w:val="24"/>
                <w:szCs w:val="24"/>
              </w:rPr>
              <w:t>TOTAL ONGOING FINANCING COSTS</w:t>
            </w:r>
          </w:p>
        </w:tc>
        <w:tc>
          <w:tcPr>
            <w:tcW w:w="2880" w:type="dxa"/>
            <w:shd w:val="clear" w:color="auto" w:fill="auto"/>
            <w:vAlign w:val="center"/>
          </w:tcPr>
          <w:p w:rsidR="00322F45" w:rsidRPr="005A076C" w:rsidRDefault="00322F45" w:rsidP="00322F45">
            <w:pPr>
              <w:suppressLineNumbers/>
              <w:rPr>
                <w:sz w:val="24"/>
                <w:szCs w:val="24"/>
              </w:rPr>
            </w:pPr>
          </w:p>
        </w:tc>
      </w:tr>
    </w:tbl>
    <w:p w:rsidR="00322F45" w:rsidRPr="005A076C" w:rsidRDefault="00322F45" w:rsidP="00322F45">
      <w:pPr>
        <w:suppressLineNumbers/>
        <w:jc w:val="both"/>
        <w:rPr>
          <w:sz w:val="24"/>
          <w:szCs w:val="24"/>
        </w:rPr>
      </w:pPr>
      <w:r w:rsidRPr="005A076C">
        <w:rPr>
          <w:sz w:val="24"/>
          <w:szCs w:val="24"/>
        </w:rPr>
        <w:t>Note:  The amounts shown for each category of operating expense on this attach</w:t>
      </w:r>
      <w:r w:rsidRPr="005A076C">
        <w:rPr>
          <w:sz w:val="24"/>
          <w:szCs w:val="24"/>
        </w:rPr>
        <w:softHyphen/>
        <w:t xml:space="preserve">ment are the expected expenses for the first year of the transition bonds.  Phase-In Recovery Charges will be adjusted at least semi-annually to reflect any changes on Ongoing Financing Costs through the true-up process described in the </w:t>
      </w:r>
      <w:r w:rsidR="007308AF" w:rsidRPr="005A076C">
        <w:rPr>
          <w:sz w:val="24"/>
          <w:szCs w:val="24"/>
        </w:rPr>
        <w:t>F</w:t>
      </w:r>
      <w:r w:rsidRPr="005A076C">
        <w:rPr>
          <w:sz w:val="24"/>
          <w:szCs w:val="24"/>
        </w:rPr>
        <w:t>inancing Order.</w:t>
      </w:r>
    </w:p>
    <w:p w:rsidR="007C4D6B" w:rsidRPr="005A076C" w:rsidRDefault="007C4D6B" w:rsidP="00322F45">
      <w:pPr>
        <w:pStyle w:val="NoSpacing"/>
        <w:suppressLineNumbers/>
        <w:spacing w:after="240"/>
        <w:jc w:val="center"/>
        <w:rPr>
          <w:rFonts w:ascii="Times New Roman" w:eastAsia="Times New Roman" w:hAnsi="Times New Roman"/>
          <w:b/>
          <w:sz w:val="24"/>
          <w:szCs w:val="24"/>
        </w:rPr>
        <w:sectPr w:rsidR="007C4D6B" w:rsidRPr="005A076C" w:rsidSect="00686552">
          <w:headerReference w:type="default" r:id="rId34"/>
          <w:footerReference w:type="default" r:id="rId35"/>
          <w:headerReference w:type="first" r:id="rId36"/>
          <w:footerReference w:type="first" r:id="rId37"/>
          <w:footnotePr>
            <w:numRestart w:val="eachSect"/>
          </w:footnotePr>
          <w:pgSz w:w="12240" w:h="15840" w:code="1"/>
          <w:pgMar w:top="810" w:right="1440" w:bottom="1080" w:left="1440" w:header="720" w:footer="720" w:gutter="0"/>
          <w:pgNumType w:start="1"/>
          <w:cols w:space="720"/>
          <w:titlePg/>
          <w:docGrid w:linePitch="360"/>
        </w:sectPr>
      </w:pP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lastRenderedPageBreak/>
        <w:t xml:space="preserve">Case No. </w:t>
      </w:r>
      <w:r w:rsidRPr="005A076C">
        <w:rPr>
          <w:rFonts w:ascii="Times New Roman" w:hAnsi="Times New Roman"/>
          <w:b/>
          <w:snapToGrid w:val="0"/>
          <w:szCs w:val="24"/>
        </w:rPr>
        <w:t>12</w:t>
      </w:r>
      <w:r w:rsidRPr="005A076C">
        <w:rPr>
          <w:rFonts w:ascii="Times New Roman" w:hAnsi="Times New Roman"/>
          <w:b/>
          <w:szCs w:val="24"/>
        </w:rPr>
        <w:t>-</w:t>
      </w:r>
      <w:r w:rsidR="00A00640">
        <w:rPr>
          <w:rFonts w:ascii="Times New Roman" w:hAnsi="Times New Roman"/>
          <w:b/>
          <w:szCs w:val="24"/>
        </w:rPr>
        <w:t>1969</w:t>
      </w:r>
      <w:r w:rsidRPr="005A076C">
        <w:rPr>
          <w:rFonts w:ascii="Times New Roman" w:hAnsi="Times New Roman"/>
          <w:b/>
          <w:szCs w:val="24"/>
        </w:rPr>
        <w:t>-EL-ATS</w:t>
      </w:r>
    </w:p>
    <w:p w:rsidR="009B60E6" w:rsidRPr="005A076C" w:rsidRDefault="009B60E6" w:rsidP="009B60E6">
      <w:pPr>
        <w:pStyle w:val="NoSpacing"/>
        <w:suppressLineNumbers/>
        <w:jc w:val="right"/>
        <w:rPr>
          <w:rFonts w:ascii="Times New Roman" w:hAnsi="Times New Roman"/>
          <w:b/>
          <w:szCs w:val="24"/>
        </w:rPr>
      </w:pPr>
      <w:r w:rsidRPr="005A076C">
        <w:rPr>
          <w:rFonts w:ascii="Times New Roman" w:hAnsi="Times New Roman"/>
          <w:b/>
          <w:szCs w:val="24"/>
        </w:rPr>
        <w:t xml:space="preserve">Staff Exhibit </w:t>
      </w:r>
    </w:p>
    <w:p w:rsidR="009B60E6" w:rsidRPr="005A076C" w:rsidRDefault="009B60E6" w:rsidP="009B60E6">
      <w:pPr>
        <w:pStyle w:val="NoSpacing"/>
        <w:suppressLineNumbers/>
        <w:jc w:val="right"/>
        <w:rPr>
          <w:rFonts w:ascii="Times New Roman" w:hAnsi="Times New Roman"/>
          <w:b/>
          <w:sz w:val="24"/>
          <w:szCs w:val="24"/>
        </w:rPr>
      </w:pPr>
      <w:r w:rsidRPr="005A076C">
        <w:rPr>
          <w:rFonts w:ascii="Times New Roman" w:hAnsi="Times New Roman"/>
          <w:b/>
          <w:szCs w:val="24"/>
        </w:rPr>
        <w:t>Page 9 of 12</w:t>
      </w:r>
    </w:p>
    <w:p w:rsidR="00686552" w:rsidRPr="005A076C" w:rsidRDefault="00686552" w:rsidP="00686552">
      <w:pPr>
        <w:pStyle w:val="NoSpacing"/>
        <w:jc w:val="center"/>
        <w:rPr>
          <w:rFonts w:ascii="Times New Roman" w:hAnsi="Times New Roman"/>
          <w:b/>
          <w:sz w:val="28"/>
          <w:szCs w:val="26"/>
          <w:u w:val="single"/>
        </w:rPr>
      </w:pPr>
      <w:r w:rsidRPr="005A076C">
        <w:rPr>
          <w:rFonts w:ascii="Times New Roman" w:hAnsi="Times New Roman"/>
          <w:b/>
          <w:sz w:val="28"/>
          <w:szCs w:val="26"/>
          <w:u w:val="single"/>
        </w:rPr>
        <w:t>ATTACHMENT-2</w:t>
      </w:r>
    </w:p>
    <w:p w:rsidR="00686552" w:rsidRPr="005A076C" w:rsidRDefault="00686552" w:rsidP="00686552">
      <w:pPr>
        <w:pStyle w:val="NoSpacing"/>
        <w:jc w:val="center"/>
        <w:rPr>
          <w:rFonts w:ascii="Times New Roman" w:hAnsi="Times New Roman"/>
          <w:b/>
          <w:sz w:val="28"/>
          <w:szCs w:val="26"/>
          <w:u w:val="single"/>
        </w:rPr>
      </w:pPr>
      <w:r w:rsidRPr="005A076C">
        <w:rPr>
          <w:rFonts w:ascii="Times New Roman" w:hAnsi="Times New Roman"/>
          <w:b/>
          <w:sz w:val="28"/>
          <w:szCs w:val="26"/>
          <w:u w:val="single"/>
        </w:rPr>
        <w:t>SCHEDULE-C</w:t>
      </w:r>
    </w:p>
    <w:p w:rsidR="00686552" w:rsidRPr="005A076C" w:rsidRDefault="00686552" w:rsidP="00322F45">
      <w:pPr>
        <w:pStyle w:val="NoSpacing"/>
        <w:suppressLineNumbers/>
        <w:spacing w:after="240"/>
        <w:jc w:val="both"/>
        <w:rPr>
          <w:rFonts w:ascii="Times New Roman" w:hAnsi="Times New Roman"/>
          <w:b/>
          <w:sz w:val="26"/>
          <w:szCs w:val="26"/>
          <w:u w:val="single"/>
        </w:rPr>
      </w:pPr>
    </w:p>
    <w:p w:rsidR="00686552" w:rsidRPr="005A076C" w:rsidRDefault="00686552" w:rsidP="00322F45">
      <w:pPr>
        <w:pStyle w:val="NoSpacing"/>
        <w:suppressLineNumbers/>
        <w:spacing w:after="240"/>
        <w:jc w:val="both"/>
        <w:rPr>
          <w:rFonts w:ascii="Times New Roman" w:hAnsi="Times New Roman"/>
          <w:b/>
          <w:sz w:val="26"/>
          <w:szCs w:val="26"/>
          <w:u w:val="single"/>
        </w:rPr>
      </w:pPr>
    </w:p>
    <w:p w:rsidR="00322F45" w:rsidRPr="005A076C" w:rsidRDefault="00322F45" w:rsidP="00686552">
      <w:pPr>
        <w:pStyle w:val="NoSpacing"/>
        <w:suppressLineNumbers/>
        <w:spacing w:after="240"/>
        <w:jc w:val="center"/>
        <w:rPr>
          <w:rFonts w:ascii="Times New Roman" w:hAnsi="Times New Roman"/>
          <w:b/>
          <w:sz w:val="28"/>
          <w:szCs w:val="26"/>
          <w:u w:val="single"/>
        </w:rPr>
      </w:pPr>
      <w:r w:rsidRPr="005A076C">
        <w:rPr>
          <w:rFonts w:ascii="Times New Roman" w:hAnsi="Times New Roman"/>
          <w:b/>
          <w:sz w:val="28"/>
          <w:szCs w:val="26"/>
          <w:u w:val="single"/>
        </w:rPr>
        <w:t>CALCULATION OF PHASE-IN RECOVERY CHARGES</w:t>
      </w:r>
    </w:p>
    <w:p w:rsidR="00322F45" w:rsidRPr="005A076C" w:rsidRDefault="00322F45" w:rsidP="00322F45">
      <w:pPr>
        <w:pStyle w:val="NoSpacing"/>
        <w:suppressLineNumbers/>
        <w:jc w:val="both"/>
        <w:rPr>
          <w:rFonts w:ascii="Times New Roman" w:hAnsi="Times New Roman"/>
          <w:b/>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322F45" w:rsidRPr="005A076C" w:rsidTr="00322F45">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rPr>
            </w:pPr>
          </w:p>
          <w:p w:rsidR="00322F45" w:rsidRPr="005A076C" w:rsidRDefault="00322F45" w:rsidP="00322F45">
            <w:pPr>
              <w:pStyle w:val="NoSpacing"/>
              <w:suppressLineNumbers/>
              <w:rPr>
                <w:rFonts w:ascii="Times New Roman" w:hAnsi="Times New Roman"/>
                <w:b/>
                <w:sz w:val="24"/>
                <w:szCs w:val="24"/>
              </w:rPr>
            </w:pPr>
            <w:r w:rsidRPr="005A076C">
              <w:rPr>
                <w:rFonts w:ascii="Times New Roman" w:hAnsi="Times New Roman"/>
                <w:b/>
                <w:sz w:val="24"/>
                <w:szCs w:val="24"/>
              </w:rPr>
              <w:t>Year</w:t>
            </w:r>
          </w:p>
          <w:p w:rsidR="00322F45" w:rsidRPr="005A076C" w:rsidRDefault="00322F45" w:rsidP="00322F45">
            <w:pPr>
              <w:pStyle w:val="NoSpacing"/>
              <w:suppressLineNumbers/>
              <w:rPr>
                <w:rFonts w:ascii="Times New Roman" w:hAnsi="Times New Roman"/>
                <w:b/>
                <w:sz w:val="24"/>
                <w:szCs w:val="24"/>
                <w:u w:val="single"/>
              </w:rPr>
            </w:pPr>
          </w:p>
          <w:p w:rsidR="00322F45" w:rsidRPr="005A076C" w:rsidRDefault="00322F45" w:rsidP="00322F45">
            <w:pPr>
              <w:pStyle w:val="NoSpacing"/>
              <w:suppressLineNumbers/>
              <w:rPr>
                <w:rFonts w:ascii="Times New Roman" w:hAnsi="Times New Roman"/>
                <w:b/>
                <w:sz w:val="24"/>
                <w:szCs w:val="24"/>
                <w:u w:val="single"/>
              </w:rPr>
            </w:pPr>
          </w:p>
          <w:p w:rsidR="00322F45" w:rsidRPr="005A076C" w:rsidRDefault="00322F45" w:rsidP="00322F45">
            <w:pPr>
              <w:pStyle w:val="NoSpacing"/>
              <w:suppressLineNumbers/>
              <w:rPr>
                <w:rFonts w:ascii="Times New Roman" w:hAnsi="Times New Roman"/>
                <w:b/>
                <w:sz w:val="24"/>
                <w:szCs w:val="24"/>
                <w:u w:val="single"/>
              </w:rPr>
            </w:pPr>
          </w:p>
          <w:p w:rsidR="00322F45" w:rsidRPr="005A076C" w:rsidRDefault="00322F45" w:rsidP="00322F45">
            <w:pPr>
              <w:pStyle w:val="NoSpacing"/>
              <w:suppressLineNumbers/>
              <w:rPr>
                <w:rFonts w:ascii="Times New Roman" w:hAnsi="Times New Roman"/>
                <w:b/>
                <w:sz w:val="24"/>
                <w:szCs w:val="24"/>
              </w:rPr>
            </w:pPr>
          </w:p>
          <w:p w:rsidR="00322F45" w:rsidRPr="005A076C" w:rsidRDefault="00322F45" w:rsidP="00322F45">
            <w:pPr>
              <w:pStyle w:val="NoSpacing"/>
              <w:suppressLineNumbers/>
              <w:rPr>
                <w:rFonts w:ascii="Times New Roman" w:hAnsi="Times New Roman"/>
                <w:b/>
                <w:sz w:val="24"/>
                <w:szCs w:val="24"/>
              </w:rPr>
            </w:pPr>
            <w:r w:rsidRPr="005A076C">
              <w:rPr>
                <w:rFonts w:ascii="Times New Roman" w:hAnsi="Times New Roman"/>
                <w:b/>
                <w:sz w:val="24"/>
                <w:szCs w:val="24"/>
              </w:rPr>
              <w:t>(a)</w:t>
            </w:r>
          </w:p>
        </w:tc>
        <w:tc>
          <w:tcPr>
            <w:tcW w:w="1771" w:type="dxa"/>
            <w:shd w:val="clear" w:color="auto" w:fill="auto"/>
            <w:vAlign w:val="center"/>
          </w:tcPr>
          <w:p w:rsidR="008B1FAE" w:rsidRPr="005A076C" w:rsidRDefault="008B1FAE" w:rsidP="00322F45">
            <w:pPr>
              <w:pStyle w:val="NoSpacing"/>
              <w:suppressLineNumbers/>
              <w:rPr>
                <w:rFonts w:ascii="Times New Roman" w:hAnsi="Times New Roman"/>
                <w:b/>
                <w:sz w:val="24"/>
                <w:szCs w:val="24"/>
              </w:rPr>
            </w:pPr>
            <w:r w:rsidRPr="005A076C">
              <w:rPr>
                <w:rFonts w:ascii="Times New Roman" w:hAnsi="Times New Roman"/>
                <w:b/>
                <w:sz w:val="24"/>
                <w:szCs w:val="24"/>
              </w:rPr>
              <w:t>Phase-In</w:t>
            </w:r>
            <w:r w:rsidR="00322F45" w:rsidRPr="005A076C">
              <w:rPr>
                <w:rFonts w:ascii="Times New Roman" w:hAnsi="Times New Roman"/>
                <w:b/>
                <w:sz w:val="24"/>
                <w:szCs w:val="24"/>
              </w:rPr>
              <w:t xml:space="preserve"> </w:t>
            </w:r>
            <w:r w:rsidRPr="005A076C">
              <w:rPr>
                <w:rFonts w:ascii="Times New Roman" w:hAnsi="Times New Roman"/>
                <w:b/>
                <w:sz w:val="24"/>
                <w:szCs w:val="24"/>
              </w:rPr>
              <w:t>Recovery</w:t>
            </w:r>
          </w:p>
          <w:p w:rsidR="00322F45" w:rsidRPr="005A076C" w:rsidRDefault="00322F45" w:rsidP="00322F45">
            <w:pPr>
              <w:pStyle w:val="NoSpacing"/>
              <w:suppressLineNumbers/>
              <w:rPr>
                <w:rFonts w:ascii="Times New Roman" w:hAnsi="Times New Roman"/>
                <w:b/>
                <w:sz w:val="24"/>
                <w:szCs w:val="24"/>
              </w:rPr>
            </w:pPr>
            <w:r w:rsidRPr="005A076C">
              <w:rPr>
                <w:rFonts w:ascii="Times New Roman" w:hAnsi="Times New Roman"/>
                <w:b/>
                <w:sz w:val="24"/>
                <w:szCs w:val="24"/>
              </w:rPr>
              <w:t>Bond</w:t>
            </w:r>
          </w:p>
          <w:p w:rsidR="00322F45" w:rsidRPr="005A076C" w:rsidRDefault="00322F45" w:rsidP="00322F45">
            <w:pPr>
              <w:pStyle w:val="NoSpacing"/>
              <w:suppressLineNumbers/>
              <w:rPr>
                <w:rFonts w:ascii="Times New Roman" w:hAnsi="Times New Roman"/>
                <w:b/>
                <w:sz w:val="24"/>
                <w:szCs w:val="24"/>
                <w:vertAlign w:val="superscript"/>
              </w:rPr>
            </w:pPr>
            <w:r w:rsidRPr="005A076C">
              <w:rPr>
                <w:rFonts w:ascii="Times New Roman" w:hAnsi="Times New Roman"/>
                <w:b/>
                <w:sz w:val="24"/>
                <w:szCs w:val="24"/>
              </w:rPr>
              <w:t>Payments</w:t>
            </w:r>
            <w:r w:rsidRPr="005A076C">
              <w:rPr>
                <w:rStyle w:val="FootnoteReference"/>
                <w:rFonts w:ascii="Times New Roman" w:hAnsi="Times New Roman"/>
                <w:b/>
                <w:sz w:val="24"/>
                <w:szCs w:val="24"/>
              </w:rPr>
              <w:footnoteReference w:id="2"/>
            </w:r>
          </w:p>
          <w:p w:rsidR="00322F45" w:rsidRPr="005A076C" w:rsidRDefault="00322F45" w:rsidP="00322F45">
            <w:pPr>
              <w:pStyle w:val="NoSpacing"/>
              <w:suppressLineNumbers/>
              <w:rPr>
                <w:rFonts w:ascii="Times New Roman" w:hAnsi="Times New Roman"/>
                <w:b/>
                <w:sz w:val="24"/>
                <w:szCs w:val="24"/>
                <w:vertAlign w:val="superscript"/>
              </w:rPr>
            </w:pPr>
          </w:p>
          <w:p w:rsidR="00322F45" w:rsidRPr="005A076C" w:rsidRDefault="00322F45" w:rsidP="00322F45">
            <w:pPr>
              <w:pStyle w:val="NoSpacing"/>
              <w:suppressLineNumbers/>
              <w:rPr>
                <w:rFonts w:ascii="Times New Roman" w:hAnsi="Times New Roman"/>
                <w:b/>
                <w:sz w:val="24"/>
                <w:szCs w:val="24"/>
                <w:vertAlign w:val="superscript"/>
              </w:rPr>
            </w:pPr>
          </w:p>
          <w:p w:rsidR="00322F45" w:rsidRPr="005A076C" w:rsidRDefault="00322F45" w:rsidP="00322F45">
            <w:pPr>
              <w:pStyle w:val="NoSpacing"/>
              <w:suppressLineNumbers/>
              <w:rPr>
                <w:rFonts w:ascii="Times New Roman" w:hAnsi="Times New Roman"/>
                <w:b/>
                <w:sz w:val="24"/>
                <w:szCs w:val="24"/>
              </w:rPr>
            </w:pPr>
          </w:p>
          <w:p w:rsidR="00322F45" w:rsidRPr="005A076C" w:rsidRDefault="00322F45" w:rsidP="00322F45">
            <w:pPr>
              <w:pStyle w:val="NoSpacing"/>
              <w:suppressLineNumbers/>
              <w:rPr>
                <w:rFonts w:ascii="Times New Roman" w:hAnsi="Times New Roman"/>
                <w:b/>
                <w:sz w:val="24"/>
                <w:szCs w:val="24"/>
                <w:u w:val="single"/>
              </w:rPr>
            </w:pPr>
            <w:r w:rsidRPr="005A076C">
              <w:rPr>
                <w:rFonts w:ascii="Times New Roman" w:hAnsi="Times New Roman"/>
                <w:b/>
                <w:sz w:val="24"/>
                <w:szCs w:val="24"/>
              </w:rPr>
              <w:t>(b)</w:t>
            </w: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rPr>
            </w:pPr>
            <w:r w:rsidRPr="005A076C">
              <w:rPr>
                <w:rFonts w:ascii="Times New Roman" w:hAnsi="Times New Roman"/>
                <w:b/>
                <w:sz w:val="24"/>
                <w:szCs w:val="24"/>
              </w:rPr>
              <w:t>Ongoing</w:t>
            </w:r>
          </w:p>
          <w:p w:rsidR="00322F45" w:rsidRPr="005A076C" w:rsidRDefault="00322F45" w:rsidP="00322F45">
            <w:pPr>
              <w:pStyle w:val="NoSpacing"/>
              <w:suppressLineNumbers/>
              <w:rPr>
                <w:rFonts w:ascii="Times New Roman" w:hAnsi="Times New Roman"/>
                <w:b/>
                <w:sz w:val="24"/>
                <w:szCs w:val="24"/>
                <w:vertAlign w:val="superscript"/>
              </w:rPr>
            </w:pPr>
            <w:r w:rsidRPr="005A076C">
              <w:rPr>
                <w:rFonts w:ascii="Times New Roman" w:hAnsi="Times New Roman"/>
                <w:b/>
                <w:sz w:val="24"/>
                <w:szCs w:val="24"/>
              </w:rPr>
              <w:t>Costs</w:t>
            </w:r>
            <w:r w:rsidRPr="005A076C">
              <w:rPr>
                <w:rStyle w:val="FootnoteReference"/>
                <w:rFonts w:ascii="Times New Roman" w:hAnsi="Times New Roman"/>
                <w:b/>
                <w:sz w:val="24"/>
                <w:szCs w:val="24"/>
              </w:rPr>
              <w:footnoteReference w:id="3"/>
            </w:r>
          </w:p>
          <w:p w:rsidR="00322F45" w:rsidRPr="005A076C" w:rsidRDefault="00322F45" w:rsidP="00322F45">
            <w:pPr>
              <w:pStyle w:val="NoSpacing"/>
              <w:suppressLineNumbers/>
              <w:rPr>
                <w:rFonts w:ascii="Times New Roman" w:hAnsi="Times New Roman"/>
                <w:b/>
                <w:sz w:val="24"/>
                <w:szCs w:val="24"/>
              </w:rPr>
            </w:pPr>
          </w:p>
          <w:p w:rsidR="00322F45" w:rsidRPr="005A076C" w:rsidRDefault="00322F45" w:rsidP="00322F45">
            <w:pPr>
              <w:pStyle w:val="NoSpacing"/>
              <w:suppressLineNumbers/>
              <w:rPr>
                <w:rFonts w:ascii="Times New Roman" w:hAnsi="Times New Roman"/>
                <w:b/>
                <w:sz w:val="24"/>
                <w:szCs w:val="24"/>
              </w:rPr>
            </w:pPr>
          </w:p>
          <w:p w:rsidR="00322F45" w:rsidRPr="005A076C" w:rsidRDefault="00322F45" w:rsidP="00322F45">
            <w:pPr>
              <w:pStyle w:val="NoSpacing"/>
              <w:suppressLineNumbers/>
              <w:rPr>
                <w:rFonts w:ascii="Times New Roman" w:hAnsi="Times New Roman"/>
                <w:b/>
                <w:sz w:val="24"/>
                <w:szCs w:val="24"/>
              </w:rPr>
            </w:pPr>
          </w:p>
          <w:p w:rsidR="00322F45" w:rsidRPr="005A076C" w:rsidRDefault="00322F45" w:rsidP="00322F45">
            <w:pPr>
              <w:pStyle w:val="NoSpacing"/>
              <w:suppressLineNumbers/>
              <w:rPr>
                <w:rFonts w:ascii="Times New Roman" w:hAnsi="Times New Roman"/>
                <w:b/>
                <w:sz w:val="24"/>
                <w:szCs w:val="24"/>
              </w:rPr>
            </w:pPr>
          </w:p>
          <w:p w:rsidR="00322F45" w:rsidRPr="005A076C" w:rsidRDefault="00322F45" w:rsidP="00322F45">
            <w:pPr>
              <w:pStyle w:val="NoSpacing"/>
              <w:suppressLineNumbers/>
              <w:rPr>
                <w:rFonts w:ascii="Times New Roman" w:hAnsi="Times New Roman"/>
                <w:b/>
                <w:sz w:val="24"/>
                <w:szCs w:val="24"/>
                <w:u w:val="single"/>
              </w:rPr>
            </w:pPr>
            <w:r w:rsidRPr="005A076C">
              <w:rPr>
                <w:rFonts w:ascii="Times New Roman" w:hAnsi="Times New Roman"/>
                <w:b/>
                <w:sz w:val="24"/>
                <w:szCs w:val="24"/>
              </w:rPr>
              <w:t>(c)</w:t>
            </w: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rPr>
            </w:pPr>
            <w:r w:rsidRPr="005A076C">
              <w:rPr>
                <w:rFonts w:ascii="Times New Roman" w:hAnsi="Times New Roman"/>
                <w:b/>
                <w:sz w:val="24"/>
                <w:szCs w:val="24"/>
              </w:rPr>
              <w:t>Total nominal Phase-In Recovery Charge</w:t>
            </w:r>
          </w:p>
          <w:p w:rsidR="00322F45" w:rsidRPr="005A076C" w:rsidRDefault="00322F45" w:rsidP="00322F45">
            <w:pPr>
              <w:pStyle w:val="NoSpacing"/>
              <w:suppressLineNumbers/>
              <w:rPr>
                <w:rFonts w:ascii="Times New Roman" w:hAnsi="Times New Roman"/>
                <w:b/>
                <w:sz w:val="24"/>
                <w:szCs w:val="24"/>
                <w:vertAlign w:val="superscript"/>
              </w:rPr>
            </w:pPr>
            <w:r w:rsidRPr="005A076C">
              <w:rPr>
                <w:rFonts w:ascii="Times New Roman" w:hAnsi="Times New Roman"/>
                <w:b/>
                <w:sz w:val="24"/>
                <w:szCs w:val="24"/>
              </w:rPr>
              <w:t>Requirement</w:t>
            </w:r>
            <w:r w:rsidRPr="005A076C">
              <w:rPr>
                <w:rStyle w:val="FootnoteReference"/>
                <w:rFonts w:ascii="Times New Roman" w:hAnsi="Times New Roman"/>
                <w:b/>
                <w:sz w:val="24"/>
                <w:szCs w:val="24"/>
              </w:rPr>
              <w:footnoteReference w:id="4"/>
            </w:r>
          </w:p>
          <w:p w:rsidR="00322F45" w:rsidRPr="005A076C" w:rsidRDefault="00322F45" w:rsidP="00322F45">
            <w:pPr>
              <w:pStyle w:val="NoSpacing"/>
              <w:suppressLineNumbers/>
              <w:rPr>
                <w:rFonts w:ascii="Times New Roman" w:hAnsi="Times New Roman"/>
                <w:b/>
                <w:sz w:val="24"/>
                <w:szCs w:val="24"/>
              </w:rPr>
            </w:pPr>
            <w:r w:rsidRPr="005A076C">
              <w:rPr>
                <w:rFonts w:ascii="Times New Roman" w:hAnsi="Times New Roman"/>
                <w:b/>
                <w:sz w:val="24"/>
                <w:szCs w:val="24"/>
              </w:rPr>
              <w:t xml:space="preserve">(b)+(c)  </w:t>
            </w:r>
          </w:p>
          <w:p w:rsidR="00322F45" w:rsidRPr="005A076C" w:rsidRDefault="00322F45" w:rsidP="00322F45">
            <w:pPr>
              <w:pStyle w:val="NoSpacing"/>
              <w:suppressLineNumbers/>
              <w:rPr>
                <w:rFonts w:ascii="Times New Roman" w:hAnsi="Times New Roman"/>
                <w:b/>
                <w:sz w:val="24"/>
                <w:szCs w:val="24"/>
                <w:u w:val="single"/>
              </w:rPr>
            </w:pPr>
            <w:r w:rsidRPr="005A076C">
              <w:rPr>
                <w:rFonts w:ascii="Times New Roman" w:hAnsi="Times New Roman"/>
                <w:b/>
                <w:sz w:val="24"/>
                <w:szCs w:val="24"/>
              </w:rPr>
              <w:t>(d)</w:t>
            </w:r>
          </w:p>
        </w:tc>
        <w:tc>
          <w:tcPr>
            <w:tcW w:w="1772" w:type="dxa"/>
            <w:shd w:val="clear" w:color="auto" w:fill="auto"/>
            <w:vAlign w:val="center"/>
          </w:tcPr>
          <w:p w:rsidR="00322F45" w:rsidRPr="005A076C" w:rsidRDefault="00322F45" w:rsidP="00322F45">
            <w:pPr>
              <w:pStyle w:val="NoSpacing"/>
              <w:suppressLineNumbers/>
              <w:rPr>
                <w:rFonts w:ascii="Times New Roman" w:hAnsi="Times New Roman"/>
                <w:b/>
                <w:sz w:val="24"/>
                <w:szCs w:val="24"/>
              </w:rPr>
            </w:pPr>
            <w:r w:rsidRPr="005A076C">
              <w:rPr>
                <w:rFonts w:ascii="Times New Roman" w:hAnsi="Times New Roman"/>
                <w:b/>
                <w:sz w:val="24"/>
                <w:szCs w:val="24"/>
              </w:rPr>
              <w:t xml:space="preserve">Present Value of </w:t>
            </w:r>
          </w:p>
          <w:p w:rsidR="00322F45" w:rsidRPr="005A076C" w:rsidRDefault="00322F45" w:rsidP="00322F45">
            <w:pPr>
              <w:pStyle w:val="NoSpacing"/>
              <w:suppressLineNumbers/>
              <w:rPr>
                <w:rFonts w:ascii="Times New Roman" w:hAnsi="Times New Roman"/>
                <w:b/>
                <w:sz w:val="24"/>
                <w:szCs w:val="24"/>
                <w:vertAlign w:val="superscript"/>
              </w:rPr>
            </w:pPr>
            <w:r w:rsidRPr="005A076C">
              <w:rPr>
                <w:rFonts w:ascii="Times New Roman" w:hAnsi="Times New Roman"/>
                <w:b/>
                <w:sz w:val="24"/>
                <w:szCs w:val="24"/>
              </w:rPr>
              <w:t>Phase-In Recovery Charges</w:t>
            </w:r>
            <w:r w:rsidRPr="005A076C">
              <w:rPr>
                <w:rStyle w:val="FootnoteReference"/>
                <w:rFonts w:ascii="Times New Roman" w:hAnsi="Times New Roman"/>
                <w:b/>
                <w:sz w:val="24"/>
                <w:szCs w:val="24"/>
              </w:rPr>
              <w:footnoteReference w:id="5"/>
            </w:r>
          </w:p>
          <w:p w:rsidR="00322F45" w:rsidRPr="005A076C" w:rsidRDefault="00322F45" w:rsidP="00322F45">
            <w:pPr>
              <w:pStyle w:val="NoSpacing"/>
              <w:suppressLineNumbers/>
              <w:rPr>
                <w:rFonts w:ascii="Times New Roman" w:hAnsi="Times New Roman"/>
                <w:b/>
                <w:sz w:val="24"/>
                <w:szCs w:val="24"/>
              </w:rPr>
            </w:pPr>
          </w:p>
          <w:p w:rsidR="00322F45" w:rsidRPr="005A076C" w:rsidRDefault="00322F45" w:rsidP="00322F45">
            <w:pPr>
              <w:pStyle w:val="NoSpacing"/>
              <w:suppressLineNumbers/>
              <w:rPr>
                <w:rFonts w:ascii="Times New Roman" w:hAnsi="Times New Roman"/>
                <w:b/>
                <w:sz w:val="24"/>
                <w:szCs w:val="24"/>
                <w:u w:val="single"/>
              </w:rPr>
            </w:pPr>
            <w:r w:rsidRPr="005A076C">
              <w:rPr>
                <w:rFonts w:ascii="Times New Roman" w:hAnsi="Times New Roman"/>
                <w:b/>
                <w:sz w:val="24"/>
                <w:szCs w:val="24"/>
              </w:rPr>
              <w:t>(e)</w:t>
            </w:r>
          </w:p>
        </w:tc>
      </w:tr>
      <w:tr w:rsidR="00322F45" w:rsidRPr="005A076C" w:rsidTr="00322F45">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2"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r>
      <w:tr w:rsidR="00322F45" w:rsidRPr="005A076C" w:rsidTr="00322F45">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2"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r>
      <w:tr w:rsidR="00322F45" w:rsidRPr="005A076C" w:rsidTr="00322F45">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2"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r>
      <w:tr w:rsidR="00322F45" w:rsidRPr="005A076C" w:rsidTr="00322F45">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2"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r>
      <w:tr w:rsidR="00322F45" w:rsidRPr="005A076C" w:rsidTr="00322F45">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2"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r>
      <w:tr w:rsidR="00322F45" w:rsidRPr="005A076C" w:rsidTr="00322F45">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2"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r>
      <w:tr w:rsidR="00322F45" w:rsidRPr="005A076C" w:rsidTr="00322F45">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1"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c>
          <w:tcPr>
            <w:tcW w:w="1772" w:type="dxa"/>
            <w:shd w:val="clear" w:color="auto" w:fill="auto"/>
            <w:vAlign w:val="center"/>
          </w:tcPr>
          <w:p w:rsidR="00322F45" w:rsidRPr="005A076C" w:rsidRDefault="00322F45" w:rsidP="00322F45">
            <w:pPr>
              <w:pStyle w:val="NoSpacing"/>
              <w:suppressLineNumbers/>
              <w:rPr>
                <w:rFonts w:ascii="Times New Roman" w:hAnsi="Times New Roman"/>
                <w:b/>
                <w:sz w:val="24"/>
                <w:szCs w:val="24"/>
                <w:u w:val="single"/>
              </w:rPr>
            </w:pPr>
          </w:p>
        </w:tc>
      </w:tr>
    </w:tbl>
    <w:p w:rsidR="00322F45" w:rsidRPr="005A076C" w:rsidRDefault="00322F45" w:rsidP="00322F45">
      <w:pPr>
        <w:pStyle w:val="NoSpacing"/>
        <w:suppressLineNumbers/>
        <w:jc w:val="both"/>
        <w:rPr>
          <w:rFonts w:ascii="Times New Roman" w:hAnsi="Times New Roman"/>
          <w:b/>
          <w:sz w:val="24"/>
          <w:szCs w:val="24"/>
          <w:u w:val="single"/>
        </w:rPr>
      </w:pPr>
    </w:p>
    <w:p w:rsidR="00322F45" w:rsidRPr="005A076C" w:rsidRDefault="00322F45" w:rsidP="00322F45">
      <w:pPr>
        <w:pStyle w:val="NoSpacing"/>
        <w:suppressLineNumbers/>
        <w:jc w:val="both"/>
        <w:rPr>
          <w:rFonts w:ascii="Times New Roman" w:hAnsi="Times New Roman"/>
          <w:b/>
          <w:sz w:val="26"/>
          <w:szCs w:val="26"/>
          <w:u w:val="single"/>
        </w:rPr>
      </w:pPr>
    </w:p>
    <w:p w:rsidR="00322F45" w:rsidRPr="005A076C" w:rsidRDefault="00322F45" w:rsidP="00322F45">
      <w:pPr>
        <w:pStyle w:val="NoSpacing"/>
        <w:suppressLineNumbers/>
        <w:jc w:val="both"/>
        <w:rPr>
          <w:rFonts w:ascii="Times New Roman" w:hAnsi="Times New Roman"/>
          <w:b/>
          <w:sz w:val="26"/>
          <w:szCs w:val="26"/>
          <w:u w:val="single"/>
        </w:rPr>
      </w:pPr>
    </w:p>
    <w:p w:rsidR="00322F45" w:rsidRPr="005A076C" w:rsidRDefault="00322F45" w:rsidP="00322F45">
      <w:pPr>
        <w:pStyle w:val="NoSpacing"/>
        <w:suppressLineNumbers/>
        <w:jc w:val="both"/>
        <w:rPr>
          <w:rFonts w:ascii="Times New Roman" w:hAnsi="Times New Roman"/>
          <w:b/>
          <w:sz w:val="26"/>
          <w:szCs w:val="26"/>
          <w:u w:val="single"/>
        </w:rPr>
      </w:pPr>
    </w:p>
    <w:p w:rsidR="00322F45" w:rsidRPr="005A076C" w:rsidRDefault="00322F45" w:rsidP="00322F45">
      <w:pPr>
        <w:pStyle w:val="NoSpacing"/>
        <w:suppressLineNumbers/>
        <w:jc w:val="both"/>
        <w:rPr>
          <w:rFonts w:ascii="Times New Roman" w:hAnsi="Times New Roman"/>
          <w:b/>
          <w:sz w:val="26"/>
          <w:szCs w:val="26"/>
          <w:u w:val="single"/>
        </w:rPr>
      </w:pPr>
    </w:p>
    <w:p w:rsidR="00322F45" w:rsidRPr="005A076C" w:rsidRDefault="00322F45" w:rsidP="00322F45">
      <w:pPr>
        <w:pStyle w:val="NoSpacing"/>
        <w:suppressLineNumbers/>
        <w:jc w:val="both"/>
        <w:rPr>
          <w:rFonts w:ascii="Times New Roman" w:hAnsi="Times New Roman"/>
          <w:b/>
          <w:sz w:val="26"/>
          <w:szCs w:val="26"/>
          <w:u w:val="single"/>
        </w:rPr>
      </w:pPr>
    </w:p>
    <w:p w:rsidR="00322F45" w:rsidRPr="005A076C" w:rsidRDefault="00322F45" w:rsidP="00322F45">
      <w:pPr>
        <w:pStyle w:val="NoSpacing"/>
        <w:suppressLineNumbers/>
        <w:jc w:val="both"/>
        <w:rPr>
          <w:rFonts w:ascii="Times New Roman" w:hAnsi="Times New Roman"/>
          <w:b/>
          <w:sz w:val="26"/>
          <w:szCs w:val="26"/>
          <w:u w:val="single"/>
        </w:rPr>
      </w:pPr>
    </w:p>
    <w:p w:rsidR="00D5720C" w:rsidRPr="005A076C" w:rsidRDefault="00D5720C" w:rsidP="00DB0FC7">
      <w:pPr>
        <w:pStyle w:val="NoSpacing"/>
        <w:suppressLineNumbers/>
        <w:jc w:val="right"/>
        <w:rPr>
          <w:rFonts w:ascii="Times New Roman" w:hAnsi="Times New Roman"/>
          <w:b/>
          <w:sz w:val="24"/>
          <w:szCs w:val="24"/>
        </w:rPr>
      </w:pPr>
    </w:p>
    <w:p w:rsidR="00D5720C" w:rsidRPr="005A076C" w:rsidRDefault="00D5720C" w:rsidP="00DB0FC7">
      <w:pPr>
        <w:pStyle w:val="NoSpacing"/>
        <w:suppressLineNumbers/>
        <w:jc w:val="right"/>
        <w:rPr>
          <w:rFonts w:ascii="Times New Roman" w:hAnsi="Times New Roman"/>
          <w:b/>
          <w:sz w:val="24"/>
          <w:szCs w:val="24"/>
        </w:rPr>
      </w:pPr>
    </w:p>
    <w:p w:rsidR="007F47B9" w:rsidRPr="005A076C" w:rsidRDefault="007F47B9" w:rsidP="00DB0FC7">
      <w:pPr>
        <w:pStyle w:val="NoSpacing"/>
        <w:suppressLineNumbers/>
        <w:jc w:val="right"/>
        <w:rPr>
          <w:rFonts w:ascii="Times New Roman" w:hAnsi="Times New Roman"/>
          <w:b/>
          <w:sz w:val="24"/>
          <w:szCs w:val="24"/>
        </w:rPr>
      </w:pPr>
    </w:p>
    <w:p w:rsidR="00DB0FC7" w:rsidRPr="005A076C" w:rsidRDefault="00DB0FC7" w:rsidP="00DB0FC7">
      <w:pPr>
        <w:pStyle w:val="NoSpacing"/>
        <w:suppressLineNumbers/>
        <w:jc w:val="right"/>
        <w:rPr>
          <w:rFonts w:ascii="Times New Roman" w:hAnsi="Times New Roman"/>
          <w:b/>
          <w:szCs w:val="24"/>
        </w:rPr>
      </w:pPr>
      <w:r w:rsidRPr="005A076C">
        <w:rPr>
          <w:rFonts w:ascii="Times New Roman" w:hAnsi="Times New Roman"/>
          <w:b/>
          <w:szCs w:val="24"/>
        </w:rPr>
        <w:lastRenderedPageBreak/>
        <w:t xml:space="preserve">Case No. </w:t>
      </w:r>
      <w:r w:rsidRPr="005A076C">
        <w:rPr>
          <w:rFonts w:ascii="Times New Roman" w:hAnsi="Times New Roman"/>
          <w:b/>
          <w:snapToGrid w:val="0"/>
          <w:szCs w:val="24"/>
        </w:rPr>
        <w:t>12</w:t>
      </w:r>
      <w:r w:rsidRPr="005A076C">
        <w:rPr>
          <w:rFonts w:ascii="Times New Roman" w:hAnsi="Times New Roman"/>
          <w:b/>
          <w:szCs w:val="24"/>
        </w:rPr>
        <w:t>-</w:t>
      </w:r>
      <w:r w:rsidR="00A00640">
        <w:rPr>
          <w:rFonts w:ascii="Times New Roman" w:hAnsi="Times New Roman"/>
          <w:b/>
          <w:szCs w:val="24"/>
        </w:rPr>
        <w:t>1969</w:t>
      </w:r>
      <w:r w:rsidRPr="005A076C">
        <w:rPr>
          <w:rFonts w:ascii="Times New Roman" w:hAnsi="Times New Roman"/>
          <w:b/>
          <w:szCs w:val="24"/>
        </w:rPr>
        <w:t>-EL-ATS</w:t>
      </w:r>
    </w:p>
    <w:p w:rsidR="00DB0FC7" w:rsidRPr="005A076C" w:rsidRDefault="00DB0FC7" w:rsidP="00DB0FC7">
      <w:pPr>
        <w:pStyle w:val="NoSpacing"/>
        <w:suppressLineNumbers/>
        <w:jc w:val="right"/>
        <w:rPr>
          <w:rFonts w:ascii="Times New Roman" w:hAnsi="Times New Roman"/>
          <w:b/>
          <w:szCs w:val="24"/>
        </w:rPr>
      </w:pPr>
      <w:r w:rsidRPr="005A076C">
        <w:rPr>
          <w:rFonts w:ascii="Times New Roman" w:hAnsi="Times New Roman"/>
          <w:b/>
          <w:szCs w:val="24"/>
        </w:rPr>
        <w:t xml:space="preserve">Staff Exhibit </w:t>
      </w:r>
    </w:p>
    <w:p w:rsidR="00DB0FC7" w:rsidRPr="005A076C" w:rsidRDefault="00DB0FC7" w:rsidP="00DB0FC7">
      <w:pPr>
        <w:pStyle w:val="NoSpacing"/>
        <w:suppressLineNumbers/>
        <w:jc w:val="right"/>
        <w:rPr>
          <w:rFonts w:ascii="Times New Roman" w:hAnsi="Times New Roman"/>
          <w:b/>
          <w:sz w:val="24"/>
          <w:szCs w:val="24"/>
        </w:rPr>
      </w:pPr>
      <w:r w:rsidRPr="005A076C">
        <w:rPr>
          <w:rFonts w:ascii="Times New Roman" w:hAnsi="Times New Roman"/>
          <w:b/>
          <w:szCs w:val="24"/>
        </w:rPr>
        <w:t>Page 10 of 12</w:t>
      </w:r>
    </w:p>
    <w:p w:rsidR="00686552" w:rsidRPr="005A076C" w:rsidRDefault="00686552" w:rsidP="00686552">
      <w:pPr>
        <w:pStyle w:val="NoSpacing"/>
        <w:jc w:val="center"/>
        <w:rPr>
          <w:rFonts w:ascii="Times New Roman" w:hAnsi="Times New Roman"/>
          <w:b/>
          <w:sz w:val="28"/>
          <w:szCs w:val="26"/>
          <w:u w:val="single"/>
        </w:rPr>
      </w:pPr>
      <w:r w:rsidRPr="005A076C">
        <w:rPr>
          <w:rFonts w:ascii="Times New Roman" w:hAnsi="Times New Roman"/>
          <w:b/>
          <w:sz w:val="28"/>
          <w:szCs w:val="26"/>
          <w:u w:val="single"/>
        </w:rPr>
        <w:t>ATTACHMENT-3</w:t>
      </w:r>
    </w:p>
    <w:p w:rsidR="00686552" w:rsidRPr="005A076C" w:rsidRDefault="00686552" w:rsidP="00686552">
      <w:pPr>
        <w:pStyle w:val="NoSpacing"/>
        <w:jc w:val="center"/>
        <w:rPr>
          <w:rFonts w:ascii="Times New Roman" w:hAnsi="Times New Roman"/>
          <w:b/>
          <w:sz w:val="28"/>
          <w:szCs w:val="26"/>
          <w:u w:val="single"/>
        </w:rPr>
      </w:pPr>
      <w:r w:rsidRPr="005A076C">
        <w:rPr>
          <w:rFonts w:ascii="Times New Roman" w:hAnsi="Times New Roman"/>
          <w:b/>
          <w:sz w:val="28"/>
          <w:szCs w:val="26"/>
          <w:u w:val="single"/>
        </w:rPr>
        <w:t>SCHEDULE-D</w:t>
      </w:r>
    </w:p>
    <w:p w:rsidR="00686552" w:rsidRPr="005A076C" w:rsidRDefault="00686552" w:rsidP="00322F45">
      <w:pPr>
        <w:suppressLineNumbers/>
        <w:spacing w:after="240"/>
        <w:jc w:val="both"/>
        <w:rPr>
          <w:b/>
          <w:sz w:val="28"/>
          <w:szCs w:val="26"/>
          <w:u w:val="single"/>
        </w:rPr>
      </w:pPr>
    </w:p>
    <w:p w:rsidR="00322F45" w:rsidRPr="005A076C" w:rsidRDefault="00322F45" w:rsidP="00322F45">
      <w:pPr>
        <w:suppressLineNumbers/>
        <w:spacing w:after="240"/>
        <w:jc w:val="both"/>
        <w:rPr>
          <w:b/>
          <w:sz w:val="28"/>
          <w:szCs w:val="26"/>
          <w:u w:val="single"/>
        </w:rPr>
      </w:pPr>
      <w:r w:rsidRPr="005A076C">
        <w:rPr>
          <w:b/>
          <w:sz w:val="28"/>
          <w:szCs w:val="26"/>
          <w:u w:val="single"/>
        </w:rPr>
        <w:t>COMPLIANCE WITH THE PRESENT VALUE STANDARD AND REVENUE REQUIREMENTS STANDARD</w:t>
      </w:r>
      <w:r w:rsidR="002934EF" w:rsidRPr="005A076C">
        <w:rPr>
          <w:rStyle w:val="FootnoteReference"/>
          <w:b/>
          <w:sz w:val="28"/>
          <w:szCs w:val="26"/>
          <w:u w:val="single"/>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322F45" w:rsidRPr="005A076C" w:rsidTr="00322F45">
        <w:tc>
          <w:tcPr>
            <w:tcW w:w="2214" w:type="dxa"/>
            <w:shd w:val="clear" w:color="auto" w:fill="auto"/>
          </w:tcPr>
          <w:p w:rsidR="00322F45" w:rsidRPr="005A076C" w:rsidRDefault="00322F45" w:rsidP="00322F45">
            <w:pPr>
              <w:suppressLineNumbers/>
              <w:jc w:val="both"/>
              <w:rPr>
                <w:b/>
                <w:sz w:val="24"/>
                <w:szCs w:val="24"/>
                <w:u w:val="single"/>
              </w:rPr>
            </w:pPr>
          </w:p>
        </w:tc>
        <w:tc>
          <w:tcPr>
            <w:tcW w:w="2214" w:type="dxa"/>
            <w:shd w:val="clear" w:color="auto" w:fill="auto"/>
          </w:tcPr>
          <w:p w:rsidR="00322F45" w:rsidRPr="005A076C" w:rsidRDefault="00322F45" w:rsidP="00322F45">
            <w:pPr>
              <w:suppressLineNumbers/>
              <w:jc w:val="both"/>
              <w:rPr>
                <w:b/>
                <w:sz w:val="24"/>
                <w:szCs w:val="24"/>
                <w:u w:val="single"/>
              </w:rPr>
            </w:pPr>
          </w:p>
          <w:p w:rsidR="00322F45" w:rsidRPr="005A076C" w:rsidRDefault="00322F45" w:rsidP="00322F45">
            <w:pPr>
              <w:suppressLineNumbers/>
              <w:jc w:val="both"/>
              <w:rPr>
                <w:b/>
                <w:sz w:val="24"/>
                <w:szCs w:val="24"/>
              </w:rPr>
            </w:pPr>
            <w:r w:rsidRPr="005A076C">
              <w:rPr>
                <w:b/>
                <w:sz w:val="24"/>
                <w:szCs w:val="24"/>
              </w:rPr>
              <w:t>Conventional Financing</w:t>
            </w:r>
          </w:p>
          <w:p w:rsidR="00322F45" w:rsidRPr="005A076C" w:rsidRDefault="00322F45" w:rsidP="00322F45">
            <w:pPr>
              <w:suppressLineNumbers/>
              <w:jc w:val="both"/>
              <w:rPr>
                <w:b/>
                <w:sz w:val="24"/>
                <w:szCs w:val="24"/>
                <w:vertAlign w:val="superscript"/>
              </w:rPr>
            </w:pPr>
            <w:r w:rsidRPr="005A076C">
              <w:rPr>
                <w:b/>
                <w:sz w:val="24"/>
                <w:szCs w:val="24"/>
              </w:rPr>
              <w:t>Through</w:t>
            </w:r>
            <w:r w:rsidR="00384560" w:rsidRPr="005A076C">
              <w:rPr>
                <w:b/>
                <w:sz w:val="24"/>
                <w:szCs w:val="24"/>
                <w:vertAlign w:val="superscript"/>
              </w:rPr>
              <w:t>2</w:t>
            </w:r>
          </w:p>
          <w:p w:rsidR="00322F45" w:rsidRPr="005A076C" w:rsidRDefault="00322F45" w:rsidP="00322F45">
            <w:pPr>
              <w:suppressLineNumbers/>
              <w:jc w:val="both"/>
              <w:rPr>
                <w:b/>
                <w:sz w:val="24"/>
                <w:szCs w:val="24"/>
                <w:u w:val="single"/>
              </w:rPr>
            </w:pPr>
          </w:p>
        </w:tc>
        <w:tc>
          <w:tcPr>
            <w:tcW w:w="2214" w:type="dxa"/>
            <w:shd w:val="clear" w:color="auto" w:fill="auto"/>
          </w:tcPr>
          <w:p w:rsidR="00322F45" w:rsidRPr="005A076C" w:rsidRDefault="00322F45" w:rsidP="00322F45">
            <w:pPr>
              <w:suppressLineNumbers/>
              <w:jc w:val="both"/>
              <w:rPr>
                <w:b/>
                <w:sz w:val="24"/>
                <w:szCs w:val="24"/>
                <w:u w:val="single"/>
              </w:rPr>
            </w:pPr>
          </w:p>
          <w:p w:rsidR="00322F45" w:rsidRPr="005A076C" w:rsidRDefault="00322F45" w:rsidP="00322F45">
            <w:pPr>
              <w:suppressLineNumbers/>
              <w:jc w:val="both"/>
              <w:rPr>
                <w:b/>
                <w:sz w:val="24"/>
                <w:szCs w:val="24"/>
              </w:rPr>
            </w:pPr>
            <w:r w:rsidRPr="005A076C">
              <w:rPr>
                <w:b/>
                <w:sz w:val="24"/>
                <w:szCs w:val="24"/>
              </w:rPr>
              <w:t xml:space="preserve">Securitization </w:t>
            </w:r>
          </w:p>
          <w:p w:rsidR="00322F45" w:rsidRPr="005A076C" w:rsidRDefault="00322F45" w:rsidP="002934EF">
            <w:pPr>
              <w:suppressLineNumbers/>
              <w:jc w:val="both"/>
              <w:rPr>
                <w:b/>
                <w:sz w:val="24"/>
                <w:szCs w:val="24"/>
                <w:u w:val="single"/>
              </w:rPr>
            </w:pPr>
            <w:r w:rsidRPr="005A076C">
              <w:rPr>
                <w:b/>
                <w:sz w:val="24"/>
                <w:szCs w:val="24"/>
              </w:rPr>
              <w:t>Financing</w:t>
            </w:r>
            <w:r w:rsidR="002934EF" w:rsidRPr="005A076C">
              <w:rPr>
                <w:rStyle w:val="FootnoteReference"/>
                <w:b/>
                <w:sz w:val="24"/>
                <w:szCs w:val="24"/>
              </w:rPr>
              <w:t>3</w:t>
            </w:r>
          </w:p>
        </w:tc>
        <w:tc>
          <w:tcPr>
            <w:tcW w:w="2214" w:type="dxa"/>
            <w:shd w:val="clear" w:color="auto" w:fill="auto"/>
          </w:tcPr>
          <w:p w:rsidR="00322F45" w:rsidRPr="005A076C" w:rsidRDefault="00322F45" w:rsidP="00322F45">
            <w:pPr>
              <w:suppressLineNumbers/>
              <w:jc w:val="both"/>
              <w:rPr>
                <w:b/>
                <w:sz w:val="24"/>
                <w:szCs w:val="24"/>
                <w:u w:val="single"/>
              </w:rPr>
            </w:pPr>
          </w:p>
          <w:p w:rsidR="00322F45" w:rsidRPr="005A076C" w:rsidRDefault="00322F45" w:rsidP="00322F45">
            <w:pPr>
              <w:suppressLineNumbers/>
              <w:jc w:val="both"/>
              <w:rPr>
                <w:b/>
                <w:sz w:val="24"/>
                <w:szCs w:val="24"/>
              </w:rPr>
            </w:pPr>
            <w:r w:rsidRPr="005A076C">
              <w:rPr>
                <w:b/>
                <w:sz w:val="24"/>
                <w:szCs w:val="24"/>
              </w:rPr>
              <w:t>Savings/(Cost) of</w:t>
            </w:r>
          </w:p>
          <w:p w:rsidR="00322F45" w:rsidRPr="005A076C" w:rsidRDefault="00322F45" w:rsidP="00322F45">
            <w:pPr>
              <w:suppressLineNumbers/>
              <w:jc w:val="both"/>
              <w:rPr>
                <w:b/>
                <w:sz w:val="24"/>
                <w:szCs w:val="24"/>
              </w:rPr>
            </w:pPr>
            <w:r w:rsidRPr="005A076C">
              <w:rPr>
                <w:b/>
                <w:sz w:val="24"/>
                <w:szCs w:val="24"/>
              </w:rPr>
              <w:t>Securitization</w:t>
            </w:r>
          </w:p>
          <w:p w:rsidR="00322F45" w:rsidRPr="005A076C" w:rsidRDefault="00322F45" w:rsidP="00322F45">
            <w:pPr>
              <w:suppressLineNumbers/>
              <w:jc w:val="both"/>
              <w:rPr>
                <w:b/>
                <w:sz w:val="24"/>
                <w:szCs w:val="24"/>
                <w:u w:val="single"/>
              </w:rPr>
            </w:pPr>
            <w:r w:rsidRPr="005A076C">
              <w:rPr>
                <w:b/>
                <w:sz w:val="24"/>
                <w:szCs w:val="24"/>
              </w:rPr>
              <w:t>Financing</w:t>
            </w:r>
          </w:p>
        </w:tc>
      </w:tr>
      <w:tr w:rsidR="00322F45" w:rsidRPr="005A076C" w:rsidTr="00322F45">
        <w:trPr>
          <w:trHeight w:val="576"/>
        </w:trPr>
        <w:tc>
          <w:tcPr>
            <w:tcW w:w="2214" w:type="dxa"/>
            <w:shd w:val="clear" w:color="auto" w:fill="auto"/>
            <w:vAlign w:val="center"/>
          </w:tcPr>
          <w:p w:rsidR="00322F45" w:rsidRPr="005A076C" w:rsidRDefault="00322F45" w:rsidP="00322F45">
            <w:pPr>
              <w:suppressLineNumbers/>
              <w:rPr>
                <w:b/>
                <w:sz w:val="24"/>
                <w:szCs w:val="24"/>
              </w:rPr>
            </w:pPr>
            <w:r w:rsidRPr="005A076C">
              <w:rPr>
                <w:b/>
                <w:sz w:val="24"/>
                <w:szCs w:val="24"/>
              </w:rPr>
              <w:t>Nominal</w:t>
            </w:r>
          </w:p>
        </w:tc>
        <w:tc>
          <w:tcPr>
            <w:tcW w:w="2214" w:type="dxa"/>
            <w:shd w:val="clear" w:color="auto" w:fill="auto"/>
            <w:vAlign w:val="center"/>
          </w:tcPr>
          <w:p w:rsidR="00322F45" w:rsidRPr="005A076C" w:rsidRDefault="00322F45" w:rsidP="00322F45">
            <w:pPr>
              <w:suppressLineNumbers/>
              <w:rPr>
                <w:b/>
                <w:sz w:val="24"/>
                <w:szCs w:val="24"/>
                <w:u w:val="single"/>
              </w:rPr>
            </w:pPr>
            <w:r w:rsidRPr="005A076C">
              <w:rPr>
                <w:b/>
                <w:sz w:val="24"/>
                <w:szCs w:val="24"/>
              </w:rPr>
              <w:t>$</w:t>
            </w:r>
            <w:r w:rsidRPr="005A076C">
              <w:rPr>
                <w:b/>
                <w:sz w:val="24"/>
                <w:szCs w:val="24"/>
                <w:u w:val="single"/>
              </w:rPr>
              <w:t>__________</w:t>
            </w:r>
          </w:p>
        </w:tc>
        <w:tc>
          <w:tcPr>
            <w:tcW w:w="2214" w:type="dxa"/>
            <w:shd w:val="clear" w:color="auto" w:fill="auto"/>
            <w:vAlign w:val="center"/>
          </w:tcPr>
          <w:p w:rsidR="00322F45" w:rsidRPr="005A076C" w:rsidRDefault="00322F45" w:rsidP="00322F45">
            <w:pPr>
              <w:suppressLineNumbers/>
              <w:rPr>
                <w:b/>
                <w:sz w:val="24"/>
                <w:szCs w:val="24"/>
                <w:u w:val="single"/>
              </w:rPr>
            </w:pPr>
            <w:r w:rsidRPr="005A076C">
              <w:rPr>
                <w:b/>
                <w:sz w:val="24"/>
                <w:szCs w:val="24"/>
              </w:rPr>
              <w:t>$</w:t>
            </w:r>
            <w:r w:rsidRPr="005A076C">
              <w:rPr>
                <w:b/>
                <w:sz w:val="24"/>
                <w:szCs w:val="24"/>
                <w:u w:val="single"/>
              </w:rPr>
              <w:t>__________</w:t>
            </w:r>
          </w:p>
        </w:tc>
        <w:tc>
          <w:tcPr>
            <w:tcW w:w="2214" w:type="dxa"/>
            <w:shd w:val="clear" w:color="auto" w:fill="auto"/>
            <w:vAlign w:val="center"/>
          </w:tcPr>
          <w:p w:rsidR="00322F45" w:rsidRPr="005A076C" w:rsidRDefault="00322F45" w:rsidP="00322F45">
            <w:pPr>
              <w:suppressLineNumbers/>
              <w:rPr>
                <w:b/>
                <w:sz w:val="24"/>
                <w:szCs w:val="24"/>
                <w:u w:val="single"/>
              </w:rPr>
            </w:pPr>
            <w:r w:rsidRPr="005A076C">
              <w:rPr>
                <w:b/>
                <w:sz w:val="24"/>
                <w:szCs w:val="24"/>
              </w:rPr>
              <w:t>$</w:t>
            </w:r>
            <w:r w:rsidRPr="005A076C">
              <w:rPr>
                <w:b/>
                <w:sz w:val="24"/>
                <w:szCs w:val="24"/>
                <w:u w:val="single"/>
              </w:rPr>
              <w:t>__________</w:t>
            </w:r>
          </w:p>
        </w:tc>
      </w:tr>
      <w:tr w:rsidR="00322F45" w:rsidRPr="005A076C" w:rsidTr="00322F45">
        <w:trPr>
          <w:trHeight w:val="576"/>
        </w:trPr>
        <w:tc>
          <w:tcPr>
            <w:tcW w:w="2214" w:type="dxa"/>
            <w:shd w:val="clear" w:color="auto" w:fill="auto"/>
            <w:vAlign w:val="center"/>
          </w:tcPr>
          <w:p w:rsidR="00322F45" w:rsidRPr="005A076C" w:rsidRDefault="00322F45" w:rsidP="00322F45">
            <w:pPr>
              <w:suppressLineNumbers/>
              <w:rPr>
                <w:b/>
                <w:sz w:val="24"/>
                <w:szCs w:val="24"/>
              </w:rPr>
            </w:pPr>
            <w:r w:rsidRPr="005A076C">
              <w:rPr>
                <w:b/>
                <w:sz w:val="24"/>
                <w:szCs w:val="24"/>
              </w:rPr>
              <w:t>Present Value</w:t>
            </w:r>
          </w:p>
        </w:tc>
        <w:tc>
          <w:tcPr>
            <w:tcW w:w="2214" w:type="dxa"/>
            <w:shd w:val="clear" w:color="auto" w:fill="auto"/>
            <w:vAlign w:val="center"/>
          </w:tcPr>
          <w:p w:rsidR="00322F45" w:rsidRPr="005A076C" w:rsidRDefault="00322F45" w:rsidP="00322F45">
            <w:pPr>
              <w:suppressLineNumbers/>
              <w:rPr>
                <w:b/>
                <w:sz w:val="24"/>
                <w:szCs w:val="24"/>
                <w:u w:val="single"/>
              </w:rPr>
            </w:pPr>
            <w:r w:rsidRPr="005A076C">
              <w:rPr>
                <w:b/>
                <w:sz w:val="24"/>
                <w:szCs w:val="24"/>
              </w:rPr>
              <w:t>$</w:t>
            </w:r>
            <w:r w:rsidRPr="005A076C">
              <w:rPr>
                <w:b/>
                <w:sz w:val="24"/>
                <w:szCs w:val="24"/>
                <w:u w:val="single"/>
              </w:rPr>
              <w:t>__________</w:t>
            </w:r>
          </w:p>
        </w:tc>
        <w:tc>
          <w:tcPr>
            <w:tcW w:w="2214" w:type="dxa"/>
            <w:shd w:val="clear" w:color="auto" w:fill="auto"/>
            <w:vAlign w:val="center"/>
          </w:tcPr>
          <w:p w:rsidR="00322F45" w:rsidRPr="005A076C" w:rsidRDefault="00322F45" w:rsidP="00322F45">
            <w:pPr>
              <w:suppressLineNumbers/>
              <w:rPr>
                <w:b/>
                <w:sz w:val="24"/>
                <w:szCs w:val="24"/>
                <w:u w:val="single"/>
              </w:rPr>
            </w:pPr>
            <w:r w:rsidRPr="005A076C">
              <w:rPr>
                <w:b/>
                <w:sz w:val="24"/>
                <w:szCs w:val="24"/>
              </w:rPr>
              <w:t>$</w:t>
            </w:r>
            <w:r w:rsidRPr="005A076C">
              <w:rPr>
                <w:b/>
                <w:sz w:val="24"/>
                <w:szCs w:val="24"/>
                <w:u w:val="single"/>
              </w:rPr>
              <w:t>__________</w:t>
            </w:r>
          </w:p>
        </w:tc>
        <w:tc>
          <w:tcPr>
            <w:tcW w:w="2214" w:type="dxa"/>
            <w:shd w:val="clear" w:color="auto" w:fill="auto"/>
            <w:vAlign w:val="center"/>
          </w:tcPr>
          <w:p w:rsidR="00322F45" w:rsidRPr="005A076C" w:rsidRDefault="00322F45" w:rsidP="00322F45">
            <w:pPr>
              <w:suppressLineNumbers/>
              <w:rPr>
                <w:b/>
                <w:sz w:val="24"/>
                <w:szCs w:val="24"/>
                <w:u w:val="single"/>
              </w:rPr>
            </w:pPr>
            <w:r w:rsidRPr="005A076C">
              <w:rPr>
                <w:b/>
                <w:sz w:val="24"/>
                <w:szCs w:val="24"/>
              </w:rPr>
              <w:t>$</w:t>
            </w:r>
            <w:r w:rsidRPr="005A076C">
              <w:rPr>
                <w:b/>
                <w:sz w:val="24"/>
                <w:szCs w:val="24"/>
                <w:u w:val="single"/>
              </w:rPr>
              <w:t>__________</w:t>
            </w:r>
          </w:p>
        </w:tc>
      </w:tr>
    </w:tbl>
    <w:p w:rsidR="00322F45" w:rsidRPr="005A076C" w:rsidRDefault="00322F45" w:rsidP="00322F45">
      <w:pPr>
        <w:suppressLineNumbers/>
        <w:jc w:val="both"/>
        <w:rPr>
          <w:b/>
          <w:sz w:val="24"/>
          <w:szCs w:val="24"/>
          <w:u w:val="single"/>
        </w:rPr>
      </w:pPr>
    </w:p>
    <w:p w:rsidR="00322F45" w:rsidRPr="005A076C" w:rsidRDefault="00322F45" w:rsidP="00322F45">
      <w:pPr>
        <w:suppressLineNumbers/>
        <w:jc w:val="both"/>
        <w:rPr>
          <w:b/>
          <w:sz w:val="26"/>
          <w:szCs w:val="26"/>
          <w:u w:val="single"/>
        </w:rPr>
      </w:pPr>
    </w:p>
    <w:p w:rsidR="00322F45" w:rsidRPr="005A076C" w:rsidRDefault="00322F45" w:rsidP="00322F45">
      <w:pPr>
        <w:suppressLineNumbers/>
        <w:jc w:val="both"/>
        <w:rPr>
          <w:b/>
          <w:sz w:val="26"/>
          <w:szCs w:val="26"/>
          <w:u w:val="single"/>
        </w:rPr>
      </w:pPr>
    </w:p>
    <w:p w:rsidR="002934EF" w:rsidRPr="005A076C" w:rsidRDefault="002934EF" w:rsidP="002934EF">
      <w:pPr>
        <w:pStyle w:val="NoSpacing"/>
        <w:tabs>
          <w:tab w:val="left" w:pos="270"/>
        </w:tabs>
        <w:rPr>
          <w:rFonts w:ascii="Times New Roman" w:hAnsi="Times New Roman"/>
        </w:rPr>
      </w:pPr>
      <w:r w:rsidRPr="005A076C">
        <w:rPr>
          <w:rFonts w:ascii="Times New Roman" w:hAnsi="Times New Roman"/>
          <w:vertAlign w:val="superscript"/>
        </w:rPr>
        <w:t>1</w:t>
      </w:r>
      <w:r w:rsidRPr="005A076C">
        <w:rPr>
          <w:rFonts w:ascii="Times New Roman" w:hAnsi="Times New Roman"/>
        </w:rPr>
        <w:tab/>
        <w:t>Calculated in accordance with the methodology used in the Application</w:t>
      </w:r>
    </w:p>
    <w:p w:rsidR="002934EF" w:rsidRPr="005A076C" w:rsidRDefault="002934EF" w:rsidP="002934EF">
      <w:pPr>
        <w:pStyle w:val="NoSpacing"/>
        <w:tabs>
          <w:tab w:val="left" w:pos="270"/>
        </w:tabs>
        <w:ind w:left="270" w:hanging="270"/>
        <w:rPr>
          <w:rFonts w:ascii="Times New Roman" w:hAnsi="Times New Roman"/>
        </w:rPr>
      </w:pPr>
      <w:r w:rsidRPr="005A076C">
        <w:rPr>
          <w:rFonts w:ascii="Times New Roman" w:hAnsi="Times New Roman"/>
          <w:vertAlign w:val="superscript"/>
        </w:rPr>
        <w:t>2</w:t>
      </w:r>
      <w:r w:rsidRPr="005A076C">
        <w:rPr>
          <w:rFonts w:ascii="Times New Roman" w:hAnsi="Times New Roman"/>
        </w:rPr>
        <w:tab/>
        <w:t>Carrying Costs</w:t>
      </w:r>
      <w:r w:rsidRPr="005A076C">
        <w:rPr>
          <w:rFonts w:ascii="Times New Roman" w:hAnsi="Times New Roman"/>
          <w:b/>
          <w:vertAlign w:val="superscript"/>
        </w:rPr>
        <w:t xml:space="preserve"> </w:t>
      </w:r>
      <w:r w:rsidRPr="005A076C">
        <w:rPr>
          <w:rFonts w:ascii="Times New Roman" w:hAnsi="Times New Roman"/>
        </w:rPr>
        <w:t xml:space="preserve">at </w:t>
      </w:r>
      <w:r w:rsidR="00DE1885" w:rsidRPr="005A076C">
        <w:rPr>
          <w:rFonts w:ascii="Times New Roman" w:hAnsi="Times New Roman"/>
        </w:rPr>
        <w:t>5.34</w:t>
      </w:r>
      <w:r w:rsidRPr="005A076C">
        <w:rPr>
          <w:rFonts w:ascii="Times New Roman" w:hAnsi="Times New Roman"/>
        </w:rPr>
        <w:t>% and the ____the term of ___ years.  The discount rate used is weighted average effective annual interest rate of the PIR Bonds of ___%.</w:t>
      </w:r>
    </w:p>
    <w:p w:rsidR="007C4D6B" w:rsidRPr="005A076C" w:rsidRDefault="002934EF" w:rsidP="002934EF">
      <w:pPr>
        <w:pStyle w:val="NoSpacing"/>
        <w:suppressLineNumbers/>
        <w:tabs>
          <w:tab w:val="left" w:pos="270"/>
        </w:tabs>
        <w:spacing w:after="240"/>
        <w:rPr>
          <w:rFonts w:ascii="Times New Roman" w:hAnsi="Times New Roman"/>
          <w:b/>
          <w:sz w:val="26"/>
          <w:szCs w:val="26"/>
        </w:rPr>
        <w:sectPr w:rsidR="007C4D6B" w:rsidRPr="005A076C" w:rsidSect="003B12DD">
          <w:headerReference w:type="default" r:id="rId38"/>
          <w:headerReference w:type="first" r:id="rId39"/>
          <w:footerReference w:type="first" r:id="rId40"/>
          <w:footnotePr>
            <w:numRestart w:val="eachSect"/>
          </w:footnotePr>
          <w:pgSz w:w="12240" w:h="15840" w:code="1"/>
          <w:pgMar w:top="1440" w:right="1440" w:bottom="1440" w:left="1440" w:header="720" w:footer="720" w:gutter="0"/>
          <w:pgNumType w:start="1"/>
          <w:cols w:space="720"/>
          <w:titlePg/>
          <w:docGrid w:linePitch="360"/>
        </w:sectPr>
      </w:pPr>
      <w:r w:rsidRPr="005A076C">
        <w:rPr>
          <w:rStyle w:val="FootnoteReference"/>
          <w:rFonts w:ascii="Times New Roman" w:hAnsi="Times New Roman"/>
        </w:rPr>
        <w:t>3</w:t>
      </w:r>
      <w:r w:rsidRPr="005A076C">
        <w:rPr>
          <w:rStyle w:val="FootnoteReference"/>
          <w:rFonts w:ascii="Times New Roman" w:hAnsi="Times New Roman"/>
        </w:rPr>
        <w:tab/>
      </w:r>
      <w:r w:rsidRPr="005A076C">
        <w:rPr>
          <w:rFonts w:ascii="Times New Roman" w:hAnsi="Times New Roman"/>
        </w:rPr>
        <w:t>From Attachment 2, Schedule C</w:t>
      </w:r>
    </w:p>
    <w:p w:rsidR="00DB0FC7" w:rsidRPr="005A076C" w:rsidRDefault="00DB0FC7" w:rsidP="00DB0FC7">
      <w:pPr>
        <w:pStyle w:val="NoSpacing"/>
        <w:suppressLineNumbers/>
        <w:jc w:val="right"/>
        <w:rPr>
          <w:rFonts w:ascii="Times New Roman" w:hAnsi="Times New Roman"/>
          <w:b/>
        </w:rPr>
      </w:pPr>
      <w:r w:rsidRPr="005A076C">
        <w:rPr>
          <w:rFonts w:ascii="Times New Roman" w:hAnsi="Times New Roman"/>
          <w:b/>
        </w:rPr>
        <w:lastRenderedPageBreak/>
        <w:t xml:space="preserve">Case No. </w:t>
      </w:r>
      <w:r w:rsidRPr="005A076C">
        <w:rPr>
          <w:rFonts w:ascii="Times New Roman" w:hAnsi="Times New Roman"/>
          <w:b/>
          <w:snapToGrid w:val="0"/>
        </w:rPr>
        <w:t>12</w:t>
      </w:r>
      <w:r w:rsidRPr="005A076C">
        <w:rPr>
          <w:rFonts w:ascii="Times New Roman" w:hAnsi="Times New Roman"/>
          <w:b/>
        </w:rPr>
        <w:t>-</w:t>
      </w:r>
      <w:r w:rsidR="00A00640">
        <w:rPr>
          <w:rFonts w:ascii="Times New Roman" w:hAnsi="Times New Roman"/>
          <w:b/>
        </w:rPr>
        <w:t>1969</w:t>
      </w:r>
      <w:r w:rsidRPr="005A076C">
        <w:rPr>
          <w:rFonts w:ascii="Times New Roman" w:hAnsi="Times New Roman"/>
          <w:b/>
        </w:rPr>
        <w:t>-EL-ATS</w:t>
      </w:r>
    </w:p>
    <w:p w:rsidR="00DB0FC7" w:rsidRPr="005A076C" w:rsidRDefault="00DB0FC7" w:rsidP="00DB0FC7">
      <w:pPr>
        <w:pStyle w:val="NoSpacing"/>
        <w:suppressLineNumbers/>
        <w:jc w:val="right"/>
        <w:rPr>
          <w:rFonts w:ascii="Times New Roman" w:hAnsi="Times New Roman"/>
          <w:b/>
        </w:rPr>
      </w:pPr>
      <w:r w:rsidRPr="005A076C">
        <w:rPr>
          <w:rFonts w:ascii="Times New Roman" w:hAnsi="Times New Roman"/>
          <w:b/>
        </w:rPr>
        <w:t xml:space="preserve">Staff Exhibit </w:t>
      </w:r>
    </w:p>
    <w:p w:rsidR="00DB0FC7" w:rsidRPr="005A076C" w:rsidRDefault="00DB0FC7" w:rsidP="00DB0FC7">
      <w:pPr>
        <w:pStyle w:val="NoSpacing"/>
        <w:suppressLineNumbers/>
        <w:jc w:val="right"/>
        <w:rPr>
          <w:rFonts w:ascii="Times New Roman" w:hAnsi="Times New Roman"/>
          <w:b/>
        </w:rPr>
      </w:pPr>
      <w:r w:rsidRPr="005A076C">
        <w:rPr>
          <w:rFonts w:ascii="Times New Roman" w:hAnsi="Times New Roman"/>
          <w:b/>
        </w:rPr>
        <w:t>Page 11 of 12</w:t>
      </w:r>
    </w:p>
    <w:p w:rsidR="00686552" w:rsidRPr="005A076C" w:rsidRDefault="001A0C5D" w:rsidP="00686552">
      <w:pPr>
        <w:pStyle w:val="NoSpacing"/>
        <w:jc w:val="center"/>
        <w:rPr>
          <w:rFonts w:ascii="Times New Roman" w:hAnsi="Times New Roman"/>
          <w:b/>
          <w:sz w:val="28"/>
          <w:u w:val="single"/>
        </w:rPr>
      </w:pPr>
      <w:r w:rsidRPr="005A076C">
        <w:rPr>
          <w:rFonts w:ascii="Times New Roman" w:hAnsi="Times New Roman"/>
          <w:b/>
          <w:sz w:val="28"/>
          <w:u w:val="single"/>
        </w:rPr>
        <w:t>ATTACHMENT-</w:t>
      </w:r>
      <w:r w:rsidR="00686552" w:rsidRPr="005A076C">
        <w:rPr>
          <w:rFonts w:ascii="Times New Roman" w:hAnsi="Times New Roman"/>
          <w:b/>
          <w:sz w:val="28"/>
          <w:u w:val="single"/>
        </w:rPr>
        <w:t>3</w:t>
      </w:r>
    </w:p>
    <w:p w:rsidR="00686552" w:rsidRPr="005A076C" w:rsidRDefault="00686552" w:rsidP="00686552">
      <w:pPr>
        <w:pStyle w:val="NoSpacing"/>
        <w:jc w:val="center"/>
        <w:rPr>
          <w:rFonts w:ascii="Times New Roman" w:hAnsi="Times New Roman"/>
          <w:b/>
          <w:sz w:val="28"/>
          <w:szCs w:val="26"/>
        </w:rPr>
      </w:pPr>
    </w:p>
    <w:p w:rsidR="00322F45" w:rsidRPr="005A076C" w:rsidRDefault="00322F45" w:rsidP="007C4D6B">
      <w:pPr>
        <w:pStyle w:val="NoSpacing"/>
        <w:suppressLineNumbers/>
        <w:spacing w:after="240"/>
        <w:jc w:val="center"/>
        <w:rPr>
          <w:rFonts w:ascii="Times New Roman" w:hAnsi="Times New Roman"/>
          <w:b/>
          <w:sz w:val="28"/>
          <w:szCs w:val="26"/>
          <w:u w:val="single"/>
        </w:rPr>
      </w:pPr>
      <w:r w:rsidRPr="005A076C">
        <w:rPr>
          <w:rFonts w:ascii="Times New Roman" w:hAnsi="Times New Roman"/>
          <w:b/>
          <w:sz w:val="28"/>
          <w:szCs w:val="26"/>
          <w:u w:val="single"/>
        </w:rPr>
        <w:t>CERTIFICATION OF COMPLIANCE</w:t>
      </w:r>
    </w:p>
    <w:p w:rsidR="00322F45" w:rsidRPr="005A076C" w:rsidRDefault="00322F45" w:rsidP="00322F45">
      <w:pPr>
        <w:pStyle w:val="NoSpacing"/>
        <w:suppressLineNumbers/>
        <w:ind w:left="180" w:hanging="180"/>
        <w:jc w:val="both"/>
        <w:rPr>
          <w:rFonts w:ascii="Times New Roman" w:hAnsi="Times New Roman"/>
          <w:sz w:val="26"/>
          <w:szCs w:val="26"/>
        </w:rPr>
      </w:pPr>
    </w:p>
    <w:p w:rsidR="00322F45" w:rsidRPr="005A076C" w:rsidRDefault="00322F45" w:rsidP="00322F45">
      <w:pPr>
        <w:pStyle w:val="NoSpacing"/>
        <w:suppressLineNumbers/>
        <w:ind w:left="180" w:hanging="180"/>
        <w:jc w:val="both"/>
        <w:rPr>
          <w:rFonts w:ascii="Times New Roman" w:hAnsi="Times New Roman"/>
          <w:sz w:val="24"/>
          <w:szCs w:val="24"/>
        </w:rPr>
      </w:pPr>
      <w:r w:rsidRPr="005A076C">
        <w:rPr>
          <w:rFonts w:ascii="Times New Roman" w:hAnsi="Times New Roman"/>
          <w:sz w:val="24"/>
          <w:szCs w:val="24"/>
        </w:rPr>
        <w:t>[FE Companies Letterhead]</w:t>
      </w:r>
    </w:p>
    <w:p w:rsidR="00322F45" w:rsidRPr="005A076C" w:rsidRDefault="00322F45" w:rsidP="00322F45">
      <w:pPr>
        <w:pStyle w:val="NoSpacing"/>
        <w:suppressLineNumbers/>
        <w:ind w:left="180" w:hanging="180"/>
        <w:jc w:val="both"/>
        <w:rPr>
          <w:rFonts w:ascii="Times New Roman" w:hAnsi="Times New Roman"/>
          <w:sz w:val="24"/>
          <w:szCs w:val="24"/>
        </w:rPr>
      </w:pPr>
    </w:p>
    <w:p w:rsidR="00322F45" w:rsidRPr="005A076C" w:rsidRDefault="00322F45" w:rsidP="00322F45">
      <w:pPr>
        <w:pStyle w:val="NoSpacing"/>
        <w:suppressLineNumbers/>
        <w:ind w:left="180" w:hanging="180"/>
        <w:jc w:val="both"/>
        <w:rPr>
          <w:rFonts w:ascii="Times New Roman" w:hAnsi="Times New Roman"/>
          <w:sz w:val="24"/>
          <w:szCs w:val="24"/>
        </w:rPr>
      </w:pPr>
      <w:r w:rsidRPr="005A076C">
        <w:rPr>
          <w:rFonts w:ascii="Times New Roman" w:hAnsi="Times New Roman"/>
          <w:sz w:val="24"/>
          <w:szCs w:val="24"/>
        </w:rPr>
        <w:t>Date:________  __, 201</w:t>
      </w:r>
      <w:r w:rsidR="00951323" w:rsidRPr="005A076C">
        <w:rPr>
          <w:rFonts w:ascii="Times New Roman" w:hAnsi="Times New Roman"/>
          <w:sz w:val="24"/>
          <w:szCs w:val="24"/>
        </w:rPr>
        <w:t>_</w:t>
      </w:r>
    </w:p>
    <w:p w:rsidR="00322F45" w:rsidRPr="005A076C" w:rsidRDefault="00322F45" w:rsidP="00322F45">
      <w:pPr>
        <w:pStyle w:val="NoSpacing"/>
        <w:suppressLineNumbers/>
        <w:ind w:left="180" w:hanging="180"/>
        <w:jc w:val="both"/>
        <w:rPr>
          <w:rFonts w:ascii="Times New Roman" w:hAnsi="Times New Roman"/>
          <w:sz w:val="24"/>
          <w:szCs w:val="24"/>
        </w:rPr>
      </w:pPr>
    </w:p>
    <w:p w:rsidR="00322F45" w:rsidRPr="005A076C" w:rsidRDefault="00322F45" w:rsidP="00322F45">
      <w:pPr>
        <w:pStyle w:val="NoSpacing"/>
        <w:suppressLineNumbers/>
        <w:ind w:left="540" w:hanging="540"/>
        <w:jc w:val="both"/>
        <w:rPr>
          <w:rFonts w:ascii="Times New Roman" w:hAnsi="Times New Roman"/>
          <w:sz w:val="24"/>
          <w:szCs w:val="24"/>
        </w:rPr>
      </w:pPr>
      <w:r w:rsidRPr="005A076C">
        <w:rPr>
          <w:rFonts w:ascii="Times New Roman" w:hAnsi="Times New Roman"/>
          <w:sz w:val="24"/>
          <w:szCs w:val="24"/>
        </w:rPr>
        <w:t xml:space="preserve">Re: Application of Ohio </w:t>
      </w:r>
      <w:r w:rsidR="0004481E" w:rsidRPr="005A076C">
        <w:rPr>
          <w:rFonts w:ascii="Times New Roman" w:hAnsi="Times New Roman"/>
          <w:sz w:val="24"/>
          <w:szCs w:val="24"/>
        </w:rPr>
        <w:t>Power</w:t>
      </w:r>
      <w:r w:rsidRPr="005A076C">
        <w:rPr>
          <w:rFonts w:ascii="Times New Roman" w:hAnsi="Times New Roman"/>
          <w:sz w:val="24"/>
          <w:szCs w:val="24"/>
        </w:rPr>
        <w:t xml:space="preserve"> Company, </w:t>
      </w:r>
      <w:r w:rsidR="0004481E" w:rsidRPr="005A076C">
        <w:rPr>
          <w:rFonts w:ascii="Times New Roman" w:hAnsi="Times New Roman"/>
          <w:sz w:val="24"/>
          <w:szCs w:val="24"/>
        </w:rPr>
        <w:t>C</w:t>
      </w:r>
      <w:r w:rsidRPr="005A076C">
        <w:rPr>
          <w:rFonts w:ascii="Times New Roman" w:hAnsi="Times New Roman"/>
          <w:sz w:val="24"/>
          <w:szCs w:val="24"/>
        </w:rPr>
        <w:t xml:space="preserve">ase No. </w:t>
      </w:r>
      <w:r w:rsidRPr="005A076C">
        <w:rPr>
          <w:rFonts w:ascii="Times New Roman" w:hAnsi="Times New Roman"/>
          <w:snapToGrid w:val="0"/>
          <w:sz w:val="24"/>
          <w:szCs w:val="24"/>
        </w:rPr>
        <w:t>12</w:t>
      </w:r>
      <w:r w:rsidRPr="005A076C">
        <w:rPr>
          <w:rFonts w:ascii="Times New Roman" w:hAnsi="Times New Roman"/>
          <w:sz w:val="24"/>
          <w:szCs w:val="24"/>
        </w:rPr>
        <w:t>-1</w:t>
      </w:r>
      <w:r w:rsidR="0004481E" w:rsidRPr="005A076C">
        <w:rPr>
          <w:rFonts w:ascii="Times New Roman" w:hAnsi="Times New Roman"/>
          <w:sz w:val="24"/>
          <w:szCs w:val="24"/>
        </w:rPr>
        <w:t>969</w:t>
      </w:r>
      <w:r w:rsidRPr="005A076C">
        <w:rPr>
          <w:rFonts w:ascii="Times New Roman" w:hAnsi="Times New Roman"/>
          <w:sz w:val="24"/>
          <w:szCs w:val="24"/>
        </w:rPr>
        <w:t>-EL-ATS</w:t>
      </w:r>
    </w:p>
    <w:p w:rsidR="00322F45" w:rsidRPr="005A076C" w:rsidRDefault="00322F45" w:rsidP="00322F45">
      <w:pPr>
        <w:pStyle w:val="NoSpacing"/>
        <w:suppressLineNumbers/>
        <w:ind w:left="540" w:hanging="540"/>
        <w:jc w:val="both"/>
        <w:rPr>
          <w:rFonts w:ascii="Times New Roman" w:hAnsi="Times New Roman"/>
          <w:sz w:val="24"/>
          <w:szCs w:val="24"/>
        </w:rPr>
      </w:pPr>
    </w:p>
    <w:p w:rsidR="00322F45" w:rsidRPr="005A076C" w:rsidRDefault="00322F45" w:rsidP="0004481E">
      <w:pPr>
        <w:autoSpaceDE w:val="0"/>
        <w:autoSpaceDN w:val="0"/>
        <w:adjustRightInd w:val="0"/>
        <w:jc w:val="both"/>
        <w:rPr>
          <w:sz w:val="24"/>
          <w:szCs w:val="24"/>
        </w:rPr>
      </w:pPr>
      <w:r w:rsidRPr="005A076C">
        <w:rPr>
          <w:sz w:val="24"/>
          <w:szCs w:val="24"/>
        </w:rPr>
        <w:t xml:space="preserve">Applicant, </w:t>
      </w:r>
      <w:r w:rsidR="0004481E" w:rsidRPr="005A076C">
        <w:rPr>
          <w:sz w:val="24"/>
          <w:szCs w:val="24"/>
        </w:rPr>
        <w:t xml:space="preserve">Ohio Power Company, </w:t>
      </w:r>
      <w:r w:rsidR="0004481E" w:rsidRPr="005A076C">
        <w:rPr>
          <w:i/>
          <w:sz w:val="24"/>
          <w:szCs w:val="24"/>
        </w:rPr>
        <w:t xml:space="preserve">In the Matter of the Application of Ohio Power Company for Authority to Issue Phase-in-Recovery Bonds and Impose, Charge and Collect Phase-in-Recovery Charges for Tariff and Bill Format Changes </w:t>
      </w:r>
      <w:r w:rsidRPr="005A076C">
        <w:rPr>
          <w:i/>
          <w:sz w:val="24"/>
          <w:szCs w:val="24"/>
        </w:rPr>
        <w:t>in Case No.</w:t>
      </w:r>
      <w:r w:rsidRPr="005A076C">
        <w:rPr>
          <w:b/>
          <w:snapToGrid w:val="0"/>
          <w:sz w:val="24"/>
          <w:szCs w:val="24"/>
        </w:rPr>
        <w:t xml:space="preserve"> </w:t>
      </w:r>
      <w:r w:rsidRPr="005A076C">
        <w:rPr>
          <w:i/>
          <w:snapToGrid w:val="0"/>
          <w:sz w:val="24"/>
          <w:szCs w:val="24"/>
        </w:rPr>
        <w:t>12</w:t>
      </w:r>
      <w:r w:rsidRPr="005A076C">
        <w:rPr>
          <w:i/>
          <w:sz w:val="24"/>
          <w:szCs w:val="24"/>
        </w:rPr>
        <w:t>-1</w:t>
      </w:r>
      <w:r w:rsidR="0004481E" w:rsidRPr="005A076C">
        <w:rPr>
          <w:i/>
          <w:sz w:val="24"/>
          <w:szCs w:val="24"/>
        </w:rPr>
        <w:t>969</w:t>
      </w:r>
      <w:r w:rsidRPr="005A076C">
        <w:rPr>
          <w:i/>
          <w:sz w:val="24"/>
          <w:szCs w:val="24"/>
        </w:rPr>
        <w:t>-EL-ATS (the Financing Order).</w:t>
      </w:r>
      <w:r w:rsidRPr="005A076C">
        <w:rPr>
          <w:sz w:val="24"/>
          <w:szCs w:val="24"/>
        </w:rPr>
        <w:t xml:space="preserve">  All capitalized terms not defined in this letter shall have the meanings ascribed to them in the Financing Order.</w:t>
      </w:r>
    </w:p>
    <w:p w:rsidR="00322F45" w:rsidRPr="005A076C" w:rsidRDefault="00322F45" w:rsidP="00322F45">
      <w:pPr>
        <w:pStyle w:val="NoSpacing"/>
        <w:suppressLineNumbers/>
        <w:jc w:val="both"/>
        <w:rPr>
          <w:rFonts w:ascii="Times New Roman" w:hAnsi="Times New Roman"/>
          <w:sz w:val="24"/>
          <w:szCs w:val="24"/>
        </w:rPr>
      </w:pP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In its issuance advice letter dated _______ __, 201</w:t>
      </w:r>
      <w:r w:rsidR="00951323" w:rsidRPr="005A076C">
        <w:rPr>
          <w:rFonts w:ascii="Times New Roman" w:hAnsi="Times New Roman"/>
          <w:sz w:val="24"/>
          <w:szCs w:val="24"/>
        </w:rPr>
        <w:t>_</w:t>
      </w:r>
      <w:r w:rsidRPr="005A076C">
        <w:rPr>
          <w:rFonts w:ascii="Times New Roman" w:hAnsi="Times New Roman"/>
          <w:sz w:val="24"/>
          <w:szCs w:val="24"/>
        </w:rPr>
        <w:t>, the Applicant has set forth the fol</w:t>
      </w:r>
      <w:r w:rsidRPr="005A076C">
        <w:rPr>
          <w:rFonts w:ascii="Times New Roman" w:hAnsi="Times New Roman"/>
          <w:sz w:val="24"/>
          <w:szCs w:val="24"/>
        </w:rPr>
        <w:softHyphen/>
        <w:t>lowing particulars of the PIR Bonds:</w:t>
      </w:r>
    </w:p>
    <w:p w:rsidR="00322F45" w:rsidRPr="005A076C" w:rsidRDefault="00322F45" w:rsidP="00322F45">
      <w:pPr>
        <w:pStyle w:val="NoSpacing"/>
        <w:suppressLineNumbers/>
        <w:jc w:val="both"/>
        <w:rPr>
          <w:rFonts w:ascii="Times New Roman" w:hAnsi="Times New Roman"/>
          <w:sz w:val="24"/>
          <w:szCs w:val="24"/>
        </w:rPr>
      </w:pP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Name of PIR Bonds: ________________</w:t>
      </w: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 xml:space="preserve">PIR Bond Issuer:  </w:t>
      </w: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SPE}</w:t>
      </w: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Trustee:</w:t>
      </w: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Closing date: _______, 201</w:t>
      </w:r>
      <w:r w:rsidR="00951323" w:rsidRPr="005A076C">
        <w:rPr>
          <w:rFonts w:ascii="Times New Roman" w:hAnsi="Times New Roman"/>
          <w:sz w:val="24"/>
          <w:szCs w:val="24"/>
        </w:rPr>
        <w:t>_</w:t>
      </w:r>
    </w:p>
    <w:p w:rsidR="00322F45" w:rsidRPr="005A076C" w:rsidRDefault="00322F45" w:rsidP="00322F45">
      <w:pPr>
        <w:pStyle w:val="NoSpacing"/>
        <w:suppressLineNumbers/>
        <w:jc w:val="both"/>
        <w:rPr>
          <w:rFonts w:ascii="Times New Roman" w:hAnsi="Times New Roman"/>
          <w:sz w:val="24"/>
          <w:szCs w:val="24"/>
        </w:rPr>
      </w:pPr>
      <w:r w:rsidRPr="005A076C">
        <w:rPr>
          <w:rFonts w:ascii="Times New Roman" w:hAnsi="Times New Roman"/>
          <w:sz w:val="24"/>
          <w:szCs w:val="24"/>
        </w:rPr>
        <w:t>Amount Issued: $ ___________</w:t>
      </w:r>
    </w:p>
    <w:p w:rsidR="00322F45" w:rsidRPr="005A076C" w:rsidRDefault="00322F45" w:rsidP="00322F45">
      <w:pPr>
        <w:pStyle w:val="NoSpacing"/>
        <w:suppressLineNumbers/>
        <w:ind w:left="3780" w:hanging="3780"/>
        <w:jc w:val="both"/>
        <w:rPr>
          <w:rFonts w:ascii="Times New Roman" w:hAnsi="Times New Roman"/>
          <w:sz w:val="24"/>
          <w:szCs w:val="24"/>
        </w:rPr>
      </w:pPr>
      <w:r w:rsidRPr="005A076C">
        <w:rPr>
          <w:rFonts w:ascii="Times New Roman" w:hAnsi="Times New Roman"/>
          <w:sz w:val="24"/>
          <w:szCs w:val="24"/>
        </w:rPr>
        <w:t>Expected Amortization Schedule:  See Attachment 2, Schedule A to the Issuance Advice Letter</w:t>
      </w:r>
    </w:p>
    <w:p w:rsidR="00322F45" w:rsidRPr="005A076C" w:rsidRDefault="00322F45" w:rsidP="00322F45">
      <w:pPr>
        <w:pStyle w:val="NoSpacing"/>
        <w:suppressLineNumbers/>
        <w:jc w:val="both"/>
        <w:rPr>
          <w:rFonts w:ascii="Times New Roman" w:hAnsi="Times New Roman"/>
          <w:snapToGrid w:val="0"/>
          <w:sz w:val="24"/>
          <w:szCs w:val="24"/>
        </w:rPr>
      </w:pPr>
      <w:r w:rsidRPr="005A076C">
        <w:rPr>
          <w:rFonts w:ascii="Times New Roman" w:hAnsi="Times New Roman"/>
          <w:snapToGrid w:val="0"/>
          <w:sz w:val="24"/>
          <w:szCs w:val="24"/>
        </w:rPr>
        <w:t>Distributions to Investors (quarterly or semi-annually):</w:t>
      </w:r>
    </w:p>
    <w:p w:rsidR="00322F45" w:rsidRPr="005A076C" w:rsidRDefault="00322F45" w:rsidP="00322F45">
      <w:pPr>
        <w:pStyle w:val="NoSpacing"/>
        <w:suppressLineNumbers/>
        <w:jc w:val="both"/>
        <w:rPr>
          <w:rFonts w:ascii="Times New Roman" w:hAnsi="Times New Roman"/>
          <w:snapToGrid w:val="0"/>
          <w:sz w:val="24"/>
          <w:szCs w:val="24"/>
        </w:rPr>
      </w:pPr>
      <w:r w:rsidRPr="005A076C">
        <w:rPr>
          <w:rFonts w:ascii="Times New Roman" w:hAnsi="Times New Roman"/>
          <w:snapToGrid w:val="0"/>
          <w:sz w:val="24"/>
          <w:szCs w:val="24"/>
        </w:rPr>
        <w:t>Weighted Average Coupon Rate: ___%</w:t>
      </w:r>
    </w:p>
    <w:p w:rsidR="00322F45" w:rsidRPr="005A076C" w:rsidRDefault="00322F45" w:rsidP="00322F45">
      <w:pPr>
        <w:pStyle w:val="NoSpacing"/>
        <w:suppressLineNumbers/>
        <w:jc w:val="both"/>
        <w:rPr>
          <w:rFonts w:ascii="Times New Roman" w:hAnsi="Times New Roman"/>
          <w:snapToGrid w:val="0"/>
          <w:sz w:val="24"/>
          <w:szCs w:val="24"/>
        </w:rPr>
      </w:pPr>
      <w:r w:rsidRPr="005A076C">
        <w:rPr>
          <w:rFonts w:ascii="Times New Roman" w:hAnsi="Times New Roman"/>
          <w:snapToGrid w:val="0"/>
          <w:sz w:val="24"/>
          <w:szCs w:val="24"/>
        </w:rPr>
        <w:t>Weighted Average Yield: ___%</w:t>
      </w:r>
    </w:p>
    <w:p w:rsidR="00322F45" w:rsidRPr="005A076C" w:rsidRDefault="00322F45" w:rsidP="00322F45">
      <w:pPr>
        <w:pStyle w:val="NoSpacing"/>
        <w:suppressLineNumbers/>
        <w:jc w:val="both"/>
        <w:rPr>
          <w:rFonts w:ascii="Times New Roman" w:hAnsi="Times New Roman"/>
          <w:snapToGrid w:val="0"/>
          <w:sz w:val="24"/>
          <w:szCs w:val="24"/>
        </w:rPr>
      </w:pPr>
    </w:p>
    <w:p w:rsidR="00322F45" w:rsidRPr="005A076C" w:rsidRDefault="00322F45" w:rsidP="00322F45">
      <w:pPr>
        <w:pStyle w:val="NoSpacing"/>
        <w:suppressLineNumbers/>
        <w:jc w:val="both"/>
        <w:rPr>
          <w:rFonts w:ascii="Times New Roman" w:hAnsi="Times New Roman"/>
          <w:snapToGrid w:val="0"/>
          <w:sz w:val="24"/>
          <w:szCs w:val="24"/>
        </w:rPr>
      </w:pPr>
      <w:r w:rsidRPr="005A076C">
        <w:rPr>
          <w:rFonts w:ascii="Times New Roman" w:hAnsi="Times New Roman"/>
          <w:snapToGrid w:val="0"/>
          <w:sz w:val="24"/>
          <w:szCs w:val="24"/>
        </w:rPr>
        <w:t>The following actions were taken in connection with the design, structuring and pricing of the PIR Bonds:</w:t>
      </w:r>
    </w:p>
    <w:p w:rsidR="00322F45" w:rsidRPr="005A076C" w:rsidRDefault="00322F45" w:rsidP="00322F45">
      <w:pPr>
        <w:pStyle w:val="NoSpacing"/>
        <w:suppressLineNumbers/>
        <w:jc w:val="both"/>
        <w:rPr>
          <w:rFonts w:ascii="Times New Roman" w:hAnsi="Times New Roman"/>
          <w:snapToGrid w:val="0"/>
          <w:sz w:val="24"/>
          <w:szCs w:val="24"/>
        </w:rPr>
      </w:pPr>
    </w:p>
    <w:p w:rsidR="00322F45" w:rsidRPr="005A076C" w:rsidRDefault="00322F45" w:rsidP="00322F45">
      <w:pPr>
        <w:pStyle w:val="NoSpacing"/>
        <w:suppressLineNumbers/>
        <w:jc w:val="both"/>
        <w:rPr>
          <w:rFonts w:ascii="Times New Roman" w:hAnsi="Times New Roman"/>
          <w:snapToGrid w:val="0"/>
          <w:sz w:val="24"/>
          <w:szCs w:val="24"/>
        </w:rPr>
      </w:pPr>
      <w:r w:rsidRPr="005A076C">
        <w:rPr>
          <w:rFonts w:ascii="Times New Roman" w:hAnsi="Times New Roman"/>
          <w:snapToGrid w:val="0"/>
          <w:sz w:val="24"/>
          <w:szCs w:val="24"/>
        </w:rPr>
        <w:t>&lt;</w:t>
      </w:r>
      <w:r w:rsidRPr="005A076C">
        <w:rPr>
          <w:rFonts w:ascii="Times New Roman" w:hAnsi="Times New Roman"/>
          <w:i/>
          <w:snapToGrid w:val="0"/>
          <w:sz w:val="24"/>
          <w:szCs w:val="24"/>
        </w:rPr>
        <w:t>Insert actions actually taken here</w:t>
      </w:r>
      <w:r w:rsidRPr="005A076C">
        <w:rPr>
          <w:rFonts w:ascii="Times New Roman" w:hAnsi="Times New Roman"/>
          <w:snapToGrid w:val="0"/>
          <w:sz w:val="24"/>
          <w:szCs w:val="24"/>
        </w:rPr>
        <w:t>&gt;</w:t>
      </w:r>
    </w:p>
    <w:p w:rsidR="00322F45" w:rsidRPr="005A076C" w:rsidRDefault="00322F45" w:rsidP="00322F45">
      <w:pPr>
        <w:pStyle w:val="NoSpacing"/>
        <w:suppressLineNumbers/>
        <w:ind w:left="180" w:hanging="180"/>
        <w:jc w:val="both"/>
        <w:rPr>
          <w:rFonts w:ascii="Times New Roman" w:hAnsi="Times New Roman"/>
          <w:sz w:val="26"/>
          <w:szCs w:val="26"/>
        </w:rPr>
      </w:pPr>
    </w:p>
    <w:p w:rsidR="00322F45" w:rsidRPr="005A076C" w:rsidRDefault="00322F45" w:rsidP="00322F45">
      <w:pPr>
        <w:pStyle w:val="NoSpacing"/>
        <w:suppressLineNumbers/>
        <w:ind w:left="180" w:hanging="180"/>
        <w:jc w:val="both"/>
        <w:rPr>
          <w:rFonts w:ascii="Times New Roman" w:hAnsi="Times New Roman"/>
          <w:sz w:val="26"/>
          <w:szCs w:val="26"/>
        </w:rPr>
      </w:pPr>
    </w:p>
    <w:p w:rsidR="001A0C5D" w:rsidRPr="005A076C" w:rsidRDefault="001A0C5D" w:rsidP="00DB0FC7">
      <w:pPr>
        <w:pStyle w:val="NoSpacing"/>
        <w:suppressLineNumbers/>
        <w:jc w:val="right"/>
        <w:rPr>
          <w:rFonts w:ascii="Times New Roman" w:hAnsi="Times New Roman"/>
          <w:b/>
          <w:sz w:val="24"/>
          <w:szCs w:val="24"/>
        </w:rPr>
      </w:pPr>
    </w:p>
    <w:p w:rsidR="0004481E" w:rsidRPr="005A076C" w:rsidRDefault="0004481E" w:rsidP="00DB0FC7">
      <w:pPr>
        <w:pStyle w:val="NoSpacing"/>
        <w:suppressLineNumbers/>
        <w:jc w:val="right"/>
        <w:rPr>
          <w:rFonts w:ascii="Times New Roman" w:hAnsi="Times New Roman"/>
          <w:b/>
          <w:sz w:val="24"/>
          <w:szCs w:val="24"/>
        </w:rPr>
      </w:pPr>
    </w:p>
    <w:p w:rsidR="0004481E" w:rsidRPr="005A076C" w:rsidRDefault="0004481E" w:rsidP="00DB0FC7">
      <w:pPr>
        <w:pStyle w:val="NoSpacing"/>
        <w:suppressLineNumbers/>
        <w:jc w:val="right"/>
        <w:rPr>
          <w:rFonts w:ascii="Times New Roman" w:hAnsi="Times New Roman"/>
          <w:b/>
          <w:sz w:val="24"/>
          <w:szCs w:val="24"/>
        </w:rPr>
      </w:pPr>
    </w:p>
    <w:p w:rsidR="0004481E" w:rsidRPr="005A076C" w:rsidRDefault="0004481E" w:rsidP="00DB0FC7">
      <w:pPr>
        <w:pStyle w:val="NoSpacing"/>
        <w:suppressLineNumbers/>
        <w:jc w:val="right"/>
        <w:rPr>
          <w:rFonts w:ascii="Times New Roman" w:hAnsi="Times New Roman"/>
          <w:b/>
          <w:sz w:val="24"/>
          <w:szCs w:val="24"/>
        </w:rPr>
      </w:pPr>
    </w:p>
    <w:p w:rsidR="0004481E" w:rsidRPr="005A076C" w:rsidRDefault="0004481E" w:rsidP="00DB0FC7">
      <w:pPr>
        <w:pStyle w:val="NoSpacing"/>
        <w:suppressLineNumbers/>
        <w:jc w:val="right"/>
        <w:rPr>
          <w:rFonts w:ascii="Times New Roman" w:hAnsi="Times New Roman"/>
          <w:b/>
          <w:sz w:val="24"/>
          <w:szCs w:val="24"/>
        </w:rPr>
      </w:pPr>
    </w:p>
    <w:p w:rsidR="007F47B9" w:rsidRPr="005A076C" w:rsidRDefault="007F47B9" w:rsidP="00DB0FC7">
      <w:pPr>
        <w:pStyle w:val="NoSpacing"/>
        <w:suppressLineNumbers/>
        <w:jc w:val="right"/>
        <w:rPr>
          <w:rFonts w:ascii="Times New Roman" w:hAnsi="Times New Roman"/>
          <w:b/>
          <w:sz w:val="24"/>
          <w:szCs w:val="24"/>
        </w:rPr>
      </w:pPr>
    </w:p>
    <w:p w:rsidR="00951323" w:rsidRPr="005A076C" w:rsidRDefault="00951323" w:rsidP="00DB0FC7">
      <w:pPr>
        <w:pStyle w:val="NoSpacing"/>
        <w:suppressLineNumbers/>
        <w:jc w:val="right"/>
        <w:rPr>
          <w:rFonts w:ascii="Times New Roman" w:hAnsi="Times New Roman"/>
          <w:b/>
          <w:szCs w:val="24"/>
        </w:rPr>
      </w:pPr>
    </w:p>
    <w:p w:rsidR="00DB0FC7" w:rsidRPr="005A076C" w:rsidRDefault="00DB0FC7" w:rsidP="00DB0FC7">
      <w:pPr>
        <w:pStyle w:val="NoSpacing"/>
        <w:suppressLineNumbers/>
        <w:jc w:val="right"/>
        <w:rPr>
          <w:rFonts w:ascii="Times New Roman" w:hAnsi="Times New Roman"/>
          <w:b/>
          <w:szCs w:val="24"/>
        </w:rPr>
      </w:pPr>
      <w:r w:rsidRPr="005A076C">
        <w:rPr>
          <w:rFonts w:ascii="Times New Roman" w:hAnsi="Times New Roman"/>
          <w:b/>
          <w:szCs w:val="24"/>
        </w:rPr>
        <w:t xml:space="preserve">Case No. </w:t>
      </w:r>
      <w:r w:rsidRPr="005A076C">
        <w:rPr>
          <w:rFonts w:ascii="Times New Roman" w:hAnsi="Times New Roman"/>
          <w:b/>
          <w:snapToGrid w:val="0"/>
          <w:szCs w:val="24"/>
        </w:rPr>
        <w:t>12</w:t>
      </w:r>
      <w:r w:rsidRPr="005A076C">
        <w:rPr>
          <w:rFonts w:ascii="Times New Roman" w:hAnsi="Times New Roman"/>
          <w:b/>
          <w:szCs w:val="24"/>
        </w:rPr>
        <w:t>-</w:t>
      </w:r>
      <w:r w:rsidR="00A00640">
        <w:rPr>
          <w:rFonts w:ascii="Times New Roman" w:hAnsi="Times New Roman"/>
          <w:b/>
          <w:szCs w:val="24"/>
        </w:rPr>
        <w:t>1969</w:t>
      </w:r>
      <w:r w:rsidRPr="005A076C">
        <w:rPr>
          <w:rFonts w:ascii="Times New Roman" w:hAnsi="Times New Roman"/>
          <w:b/>
          <w:szCs w:val="24"/>
        </w:rPr>
        <w:t>-EL-ATS</w:t>
      </w:r>
    </w:p>
    <w:p w:rsidR="00DB0FC7" w:rsidRPr="005A076C" w:rsidRDefault="00DB0FC7" w:rsidP="00DB0FC7">
      <w:pPr>
        <w:pStyle w:val="NoSpacing"/>
        <w:suppressLineNumbers/>
        <w:jc w:val="right"/>
        <w:rPr>
          <w:rFonts w:ascii="Times New Roman" w:hAnsi="Times New Roman"/>
          <w:b/>
          <w:szCs w:val="24"/>
        </w:rPr>
      </w:pPr>
      <w:r w:rsidRPr="005A076C">
        <w:rPr>
          <w:rFonts w:ascii="Times New Roman" w:hAnsi="Times New Roman"/>
          <w:b/>
          <w:szCs w:val="24"/>
        </w:rPr>
        <w:lastRenderedPageBreak/>
        <w:t xml:space="preserve">Staff Exhibit </w:t>
      </w:r>
    </w:p>
    <w:p w:rsidR="00DB0FC7" w:rsidRPr="005A076C" w:rsidRDefault="00DB0FC7" w:rsidP="00DB0FC7">
      <w:pPr>
        <w:pStyle w:val="NoSpacing"/>
        <w:suppressLineNumbers/>
        <w:jc w:val="right"/>
        <w:rPr>
          <w:rFonts w:ascii="Times New Roman" w:hAnsi="Times New Roman"/>
          <w:b/>
          <w:szCs w:val="24"/>
        </w:rPr>
      </w:pPr>
      <w:r w:rsidRPr="005A076C">
        <w:rPr>
          <w:rFonts w:ascii="Times New Roman" w:hAnsi="Times New Roman"/>
          <w:b/>
          <w:szCs w:val="24"/>
        </w:rPr>
        <w:t>Page 12 of 12</w:t>
      </w:r>
    </w:p>
    <w:p w:rsidR="00DB0FC7" w:rsidRPr="005A076C" w:rsidRDefault="00DB0FC7" w:rsidP="00DB0FC7">
      <w:pPr>
        <w:pStyle w:val="NoSpacing"/>
        <w:suppressLineNumbers/>
        <w:jc w:val="right"/>
        <w:rPr>
          <w:rFonts w:ascii="Times New Roman" w:hAnsi="Times New Roman"/>
          <w:b/>
          <w:sz w:val="24"/>
          <w:szCs w:val="24"/>
        </w:rPr>
      </w:pPr>
    </w:p>
    <w:p w:rsidR="00DB0FC7" w:rsidRPr="005A076C" w:rsidRDefault="00DB0FC7" w:rsidP="00DB0FC7">
      <w:pPr>
        <w:pStyle w:val="NoSpacing"/>
        <w:suppressLineNumbers/>
        <w:jc w:val="right"/>
        <w:rPr>
          <w:rFonts w:ascii="Times New Roman" w:hAnsi="Times New Roman"/>
          <w:b/>
          <w:sz w:val="24"/>
          <w:szCs w:val="24"/>
        </w:rPr>
      </w:pPr>
    </w:p>
    <w:p w:rsidR="00DB0FC7" w:rsidRPr="005A076C" w:rsidRDefault="00DB0FC7" w:rsidP="00DB0FC7">
      <w:pPr>
        <w:pStyle w:val="NoSpacing"/>
        <w:suppressLineNumbers/>
        <w:jc w:val="right"/>
        <w:rPr>
          <w:rFonts w:ascii="Times New Roman" w:hAnsi="Times New Roman"/>
          <w:b/>
          <w:sz w:val="24"/>
          <w:szCs w:val="24"/>
        </w:rPr>
      </w:pPr>
    </w:p>
    <w:p w:rsidR="00322F45" w:rsidRPr="005A076C" w:rsidRDefault="00322F45" w:rsidP="00322F45">
      <w:pPr>
        <w:pStyle w:val="NoSpacing"/>
        <w:suppressLineNumbers/>
        <w:jc w:val="both"/>
        <w:rPr>
          <w:rFonts w:ascii="Times New Roman" w:hAnsi="Times New Roman"/>
          <w:sz w:val="24"/>
          <w:szCs w:val="26"/>
        </w:rPr>
      </w:pPr>
      <w:r w:rsidRPr="005A076C">
        <w:rPr>
          <w:rFonts w:ascii="Times New Roman" w:hAnsi="Times New Roman"/>
          <w:sz w:val="24"/>
          <w:szCs w:val="26"/>
        </w:rPr>
        <w:t>Based upon the information reasonably available to its officers, agents, and employees of the Applicant, the Applicant hereby certif</w:t>
      </w:r>
      <w:r w:rsidR="0004481E" w:rsidRPr="005A076C">
        <w:rPr>
          <w:rFonts w:ascii="Times New Roman" w:hAnsi="Times New Roman"/>
          <w:sz w:val="24"/>
          <w:szCs w:val="26"/>
        </w:rPr>
        <w:t>ies</w:t>
      </w:r>
      <w:r w:rsidRPr="005A076C">
        <w:rPr>
          <w:rFonts w:ascii="Times New Roman" w:hAnsi="Times New Roman"/>
          <w:sz w:val="24"/>
          <w:szCs w:val="26"/>
        </w:rPr>
        <w:t xml:space="preserve"> that the structuring and pricing of the PIR Bonds, as described in the issuance advice letter, will result in the PIR bond charges </w:t>
      </w:r>
      <w:r w:rsidR="008A7AC6" w:rsidRPr="005A076C">
        <w:rPr>
          <w:rFonts w:ascii="Times New Roman" w:hAnsi="Times New Roman"/>
          <w:sz w:val="24"/>
          <w:szCs w:val="26"/>
        </w:rPr>
        <w:t xml:space="preserve">as of the date of issuance, </w:t>
      </w:r>
      <w:r w:rsidRPr="005A076C">
        <w:rPr>
          <w:rFonts w:ascii="Times New Roman" w:hAnsi="Times New Roman"/>
          <w:sz w:val="24"/>
          <w:szCs w:val="26"/>
        </w:rPr>
        <w:t xml:space="preserve">consistent with market conditions and the terms </w:t>
      </w:r>
      <w:r w:rsidR="008A7AC6" w:rsidRPr="005A076C">
        <w:rPr>
          <w:rFonts w:ascii="Times New Roman" w:hAnsi="Times New Roman"/>
          <w:sz w:val="24"/>
          <w:szCs w:val="26"/>
        </w:rPr>
        <w:t>set out in this</w:t>
      </w:r>
      <w:r w:rsidRPr="005A076C">
        <w:rPr>
          <w:rFonts w:ascii="Times New Roman" w:hAnsi="Times New Roman"/>
          <w:sz w:val="24"/>
          <w:szCs w:val="26"/>
        </w:rPr>
        <w:t xml:space="preserve"> Financing Order </w:t>
      </w:r>
      <w:r w:rsidR="008A7AC6" w:rsidRPr="005A076C">
        <w:rPr>
          <w:rFonts w:ascii="Times New Roman" w:hAnsi="Times New Roman"/>
          <w:sz w:val="24"/>
          <w:szCs w:val="26"/>
        </w:rPr>
        <w:t>that demonstrates both measurably enhanced cost savings to customers and mitigates rate impacts to customers as compared with traditional cost recovery methods available to the applicant.</w:t>
      </w:r>
    </w:p>
    <w:p w:rsidR="008A7AC6" w:rsidRPr="005A076C" w:rsidRDefault="008A7AC6" w:rsidP="00322F45">
      <w:pPr>
        <w:pStyle w:val="NoSpacing"/>
        <w:suppressLineNumbers/>
        <w:jc w:val="both"/>
        <w:rPr>
          <w:rFonts w:ascii="Times New Roman" w:hAnsi="Times New Roman"/>
          <w:sz w:val="24"/>
          <w:szCs w:val="26"/>
        </w:rPr>
      </w:pPr>
    </w:p>
    <w:p w:rsidR="00322F45" w:rsidRPr="005A076C" w:rsidRDefault="00322F45" w:rsidP="00322F45">
      <w:pPr>
        <w:pStyle w:val="NoSpacing"/>
        <w:suppressLineNumbers/>
        <w:jc w:val="both"/>
        <w:rPr>
          <w:rFonts w:ascii="Times New Roman" w:hAnsi="Times New Roman"/>
          <w:sz w:val="24"/>
          <w:szCs w:val="26"/>
        </w:rPr>
      </w:pPr>
      <w:r w:rsidRPr="005A076C">
        <w:rPr>
          <w:rFonts w:ascii="Times New Roman" w:hAnsi="Times New Roman"/>
          <w:sz w:val="24"/>
          <w:szCs w:val="26"/>
        </w:rPr>
        <w:t>The forgoing certifications do not mean that lower PIR Bond charges could not have been achieved under different market conditions, or that structuring and pricing the PIR Bonds under conditions not permitted by the financing Order could not also have achieved lower PIR Bond charges.</w:t>
      </w:r>
    </w:p>
    <w:p w:rsidR="00322F45" w:rsidRPr="005A076C" w:rsidRDefault="00322F45" w:rsidP="00322F45">
      <w:pPr>
        <w:pStyle w:val="NoSpacing"/>
        <w:suppressLineNumbers/>
        <w:jc w:val="both"/>
        <w:rPr>
          <w:rFonts w:ascii="Times New Roman" w:hAnsi="Times New Roman"/>
          <w:sz w:val="24"/>
          <w:szCs w:val="26"/>
        </w:rPr>
      </w:pPr>
    </w:p>
    <w:p w:rsidR="00322F45" w:rsidRPr="005A076C" w:rsidRDefault="00322F45" w:rsidP="00322F45">
      <w:pPr>
        <w:pStyle w:val="NoSpacing"/>
        <w:suppressLineNumbers/>
        <w:jc w:val="both"/>
        <w:rPr>
          <w:rFonts w:ascii="Times New Roman" w:hAnsi="Times New Roman"/>
          <w:sz w:val="24"/>
          <w:szCs w:val="26"/>
        </w:rPr>
      </w:pPr>
      <w:r w:rsidRPr="005A076C">
        <w:rPr>
          <w:rFonts w:ascii="Times New Roman" w:hAnsi="Times New Roman"/>
          <w:sz w:val="24"/>
          <w:szCs w:val="26"/>
        </w:rPr>
        <w:t xml:space="preserve">Applicant </w:t>
      </w:r>
      <w:r w:rsidR="0004481E" w:rsidRPr="005A076C">
        <w:rPr>
          <w:rFonts w:ascii="Times New Roman" w:hAnsi="Times New Roman"/>
          <w:sz w:val="24"/>
          <w:szCs w:val="26"/>
        </w:rPr>
        <w:t>is</w:t>
      </w:r>
      <w:r w:rsidRPr="005A076C">
        <w:rPr>
          <w:rFonts w:ascii="Times New Roman" w:hAnsi="Times New Roman"/>
          <w:sz w:val="24"/>
          <w:szCs w:val="26"/>
        </w:rPr>
        <w:t xml:space="preserve"> delivering this Certification to the Commission solely to assist the Commission in establishing compliance with the aforementioned standard.  Appli</w:t>
      </w:r>
      <w:r w:rsidRPr="005A076C">
        <w:rPr>
          <w:rFonts w:ascii="Times New Roman" w:hAnsi="Times New Roman"/>
          <w:sz w:val="24"/>
          <w:szCs w:val="26"/>
        </w:rPr>
        <w:softHyphen/>
        <w:t>cant specifically disclaims any responsibility to any other person for the contents of this Certification, whether such person claims rights directly or as third-party beneficiary.</w:t>
      </w:r>
    </w:p>
    <w:p w:rsidR="00322F45" w:rsidRPr="005A076C" w:rsidRDefault="00322F45" w:rsidP="00322F45">
      <w:pPr>
        <w:pStyle w:val="NoSpacing"/>
        <w:suppressLineNumbers/>
        <w:jc w:val="both"/>
        <w:rPr>
          <w:rFonts w:ascii="Times New Roman" w:hAnsi="Times New Roman"/>
          <w:sz w:val="24"/>
          <w:szCs w:val="26"/>
        </w:rPr>
      </w:pPr>
    </w:p>
    <w:p w:rsidR="00322F45" w:rsidRPr="005A076C" w:rsidRDefault="00322F45" w:rsidP="00322F45">
      <w:pPr>
        <w:pStyle w:val="NoSpacing"/>
        <w:suppressLineNumbers/>
        <w:jc w:val="both"/>
        <w:rPr>
          <w:rFonts w:ascii="Times New Roman" w:hAnsi="Times New Roman"/>
          <w:sz w:val="24"/>
          <w:szCs w:val="26"/>
        </w:rPr>
      </w:pPr>
    </w:p>
    <w:p w:rsidR="00322F45" w:rsidRPr="005A076C" w:rsidRDefault="00322F45" w:rsidP="00322F45">
      <w:pPr>
        <w:pStyle w:val="NoSpacing"/>
        <w:suppressLineNumbers/>
        <w:ind w:left="2160"/>
        <w:jc w:val="both"/>
        <w:rPr>
          <w:rFonts w:ascii="Times New Roman" w:hAnsi="Times New Roman"/>
          <w:sz w:val="24"/>
          <w:szCs w:val="26"/>
        </w:rPr>
      </w:pPr>
      <w:r w:rsidRPr="005A076C">
        <w:rPr>
          <w:rFonts w:ascii="Times New Roman" w:hAnsi="Times New Roman"/>
          <w:sz w:val="24"/>
          <w:szCs w:val="26"/>
        </w:rPr>
        <w:t>Respectfully submitted,</w:t>
      </w:r>
    </w:p>
    <w:p w:rsidR="00322F45" w:rsidRPr="005A076C" w:rsidRDefault="00322F45" w:rsidP="00322F45">
      <w:pPr>
        <w:pStyle w:val="NoSpacing"/>
        <w:suppressLineNumbers/>
        <w:jc w:val="both"/>
        <w:rPr>
          <w:rFonts w:ascii="Times New Roman" w:hAnsi="Times New Roman"/>
          <w:sz w:val="24"/>
          <w:szCs w:val="26"/>
        </w:rPr>
      </w:pPr>
    </w:p>
    <w:p w:rsidR="00322F45" w:rsidRPr="005A076C" w:rsidRDefault="00322F45" w:rsidP="00322F45">
      <w:pPr>
        <w:pStyle w:val="NoSpacing"/>
        <w:suppressLineNumbers/>
        <w:ind w:left="2160" w:right="-270"/>
        <w:jc w:val="both"/>
        <w:rPr>
          <w:rFonts w:ascii="Times New Roman" w:hAnsi="Times New Roman"/>
          <w:sz w:val="24"/>
          <w:szCs w:val="26"/>
        </w:rPr>
      </w:pPr>
      <w:r w:rsidRPr="005A076C">
        <w:rPr>
          <w:rFonts w:ascii="Times New Roman" w:hAnsi="Times New Roman"/>
          <w:sz w:val="24"/>
          <w:szCs w:val="26"/>
        </w:rPr>
        <w:t xml:space="preserve">OHIO </w:t>
      </w:r>
      <w:r w:rsidR="00B403BD" w:rsidRPr="005A076C">
        <w:rPr>
          <w:rFonts w:ascii="Times New Roman" w:hAnsi="Times New Roman"/>
          <w:sz w:val="24"/>
          <w:szCs w:val="26"/>
        </w:rPr>
        <w:t>POWER</w:t>
      </w:r>
      <w:r w:rsidRPr="005A076C">
        <w:rPr>
          <w:rFonts w:ascii="Times New Roman" w:hAnsi="Times New Roman"/>
          <w:sz w:val="24"/>
          <w:szCs w:val="26"/>
        </w:rPr>
        <w:t xml:space="preserve"> COMPANY</w:t>
      </w:r>
    </w:p>
    <w:p w:rsidR="00322F45" w:rsidRPr="005A076C" w:rsidRDefault="00322F45" w:rsidP="00322F45">
      <w:pPr>
        <w:pStyle w:val="NoSpacing"/>
        <w:suppressLineNumbers/>
        <w:jc w:val="both"/>
        <w:rPr>
          <w:rFonts w:ascii="Times New Roman" w:hAnsi="Times New Roman"/>
          <w:sz w:val="24"/>
          <w:szCs w:val="26"/>
        </w:rPr>
      </w:pPr>
    </w:p>
    <w:p w:rsidR="00322F45" w:rsidRPr="005A076C" w:rsidRDefault="00322F45" w:rsidP="00322F45">
      <w:pPr>
        <w:pStyle w:val="NoSpacing"/>
        <w:suppressLineNumbers/>
        <w:jc w:val="both"/>
        <w:rPr>
          <w:rFonts w:ascii="Times New Roman" w:hAnsi="Times New Roman"/>
          <w:sz w:val="24"/>
          <w:szCs w:val="26"/>
        </w:rPr>
      </w:pPr>
    </w:p>
    <w:p w:rsidR="00322F45" w:rsidRPr="005A076C" w:rsidRDefault="00322F45" w:rsidP="00322F45">
      <w:pPr>
        <w:pStyle w:val="NoSpacing"/>
        <w:suppressLineNumbers/>
        <w:ind w:left="2160"/>
        <w:jc w:val="both"/>
        <w:rPr>
          <w:rFonts w:ascii="Times New Roman" w:hAnsi="Times New Roman"/>
          <w:sz w:val="24"/>
          <w:szCs w:val="26"/>
        </w:rPr>
      </w:pPr>
      <w:r w:rsidRPr="005A076C">
        <w:rPr>
          <w:rFonts w:ascii="Times New Roman" w:hAnsi="Times New Roman"/>
          <w:sz w:val="24"/>
          <w:szCs w:val="26"/>
        </w:rPr>
        <w:t>By:___________________________</w:t>
      </w:r>
    </w:p>
    <w:p w:rsidR="00322F45" w:rsidRPr="005A076C" w:rsidRDefault="00322F45" w:rsidP="00322F45">
      <w:pPr>
        <w:pStyle w:val="NoSpacing"/>
        <w:suppressLineNumbers/>
        <w:ind w:left="2160"/>
        <w:jc w:val="both"/>
        <w:rPr>
          <w:rFonts w:ascii="Times New Roman" w:hAnsi="Times New Roman"/>
          <w:sz w:val="24"/>
          <w:szCs w:val="26"/>
        </w:rPr>
      </w:pPr>
      <w:r w:rsidRPr="005A076C">
        <w:rPr>
          <w:rFonts w:ascii="Times New Roman" w:hAnsi="Times New Roman"/>
          <w:sz w:val="24"/>
          <w:szCs w:val="26"/>
        </w:rPr>
        <w:t>Name:__________________</w:t>
      </w:r>
    </w:p>
    <w:p w:rsidR="00322F45" w:rsidRPr="005A076C" w:rsidRDefault="00322F45" w:rsidP="00322F45">
      <w:pPr>
        <w:pStyle w:val="NoSpacing"/>
        <w:suppressLineNumbers/>
        <w:ind w:left="2160"/>
        <w:jc w:val="both"/>
        <w:rPr>
          <w:rFonts w:ascii="Times New Roman" w:hAnsi="Times New Roman"/>
          <w:sz w:val="24"/>
          <w:szCs w:val="26"/>
        </w:rPr>
      </w:pPr>
      <w:r w:rsidRPr="005A076C">
        <w:rPr>
          <w:rFonts w:ascii="Times New Roman" w:hAnsi="Times New Roman"/>
          <w:sz w:val="24"/>
          <w:szCs w:val="26"/>
        </w:rPr>
        <w:t>Title:________________</w:t>
      </w:r>
    </w:p>
    <w:p w:rsidR="00322F45" w:rsidRPr="005A076C" w:rsidRDefault="00322F45" w:rsidP="00322F45">
      <w:pPr>
        <w:suppressLineNumbers/>
        <w:jc w:val="both"/>
        <w:rPr>
          <w:sz w:val="22"/>
          <w:szCs w:val="24"/>
        </w:rPr>
      </w:pPr>
    </w:p>
    <w:p w:rsidR="00977F01" w:rsidRPr="005A076C" w:rsidRDefault="00977F01" w:rsidP="00410B2F">
      <w:pPr>
        <w:rPr>
          <w:sz w:val="26"/>
          <w:szCs w:val="26"/>
        </w:rPr>
      </w:pPr>
    </w:p>
    <w:p w:rsidR="009B60E6" w:rsidRPr="005A076C" w:rsidRDefault="009B60E6" w:rsidP="00410B2F">
      <w:pPr>
        <w:rPr>
          <w:sz w:val="26"/>
          <w:szCs w:val="26"/>
        </w:rPr>
      </w:pPr>
    </w:p>
    <w:p w:rsidR="009B60E6" w:rsidRPr="005A076C" w:rsidRDefault="009B60E6" w:rsidP="00410B2F">
      <w:pPr>
        <w:rPr>
          <w:sz w:val="26"/>
          <w:szCs w:val="26"/>
        </w:rPr>
      </w:pPr>
    </w:p>
    <w:p w:rsidR="009B60E6" w:rsidRPr="005A076C" w:rsidRDefault="009B60E6" w:rsidP="00410B2F">
      <w:pPr>
        <w:rPr>
          <w:sz w:val="26"/>
          <w:szCs w:val="26"/>
        </w:rPr>
      </w:pPr>
    </w:p>
    <w:p w:rsidR="009B60E6" w:rsidRPr="005A076C" w:rsidRDefault="009B60E6" w:rsidP="00410B2F">
      <w:pPr>
        <w:rPr>
          <w:sz w:val="26"/>
          <w:szCs w:val="26"/>
        </w:rPr>
      </w:pPr>
    </w:p>
    <w:p w:rsidR="009B60E6" w:rsidRPr="005A076C" w:rsidRDefault="009B60E6" w:rsidP="00410B2F">
      <w:pPr>
        <w:rPr>
          <w:sz w:val="26"/>
          <w:szCs w:val="26"/>
        </w:rPr>
      </w:pPr>
    </w:p>
    <w:sectPr w:rsidR="009B60E6" w:rsidRPr="005A076C" w:rsidSect="001A0C5D">
      <w:headerReference w:type="default" r:id="rId41"/>
      <w:footerReference w:type="default" r:id="rId42"/>
      <w:headerReference w:type="first" r:id="rId43"/>
      <w:footerReference w:type="first" r:id="rId44"/>
      <w:footnotePr>
        <w:numRestart w:val="eachSect"/>
      </w:footnotePr>
      <w:pgSz w:w="12240" w:h="15840" w:code="1"/>
      <w:pgMar w:top="99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90" w:rsidRDefault="00106190" w:rsidP="008866FC">
      <w:pPr>
        <w:pStyle w:val="Title"/>
      </w:pPr>
      <w:r>
        <w:separator/>
      </w:r>
    </w:p>
  </w:endnote>
  <w:endnote w:type="continuationSeparator" w:id="0">
    <w:p w:rsidR="00106190" w:rsidRDefault="00106190" w:rsidP="008866FC">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Default="00F805ED" w:rsidP="003B12D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7F5520" w:rsidRDefault="00F805ED" w:rsidP="003B12DD">
    <w:pPr>
      <w:pStyle w:val="Footer"/>
      <w:jc w:val="center"/>
      <w:rPr>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536C13" w:rsidRDefault="00F805ED" w:rsidP="00536C1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536C13" w:rsidRDefault="00F805ED" w:rsidP="00536C1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536C13" w:rsidRDefault="00F805ED" w:rsidP="00536C1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536C13" w:rsidRDefault="00F805ED" w:rsidP="00536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7F5520" w:rsidRDefault="00F805ED"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FE03D5">
      <w:rPr>
        <w:rStyle w:val="PageNumber"/>
        <w:noProof/>
        <w:sz w:val="24"/>
        <w:szCs w:val="24"/>
      </w:rPr>
      <w:t>ii</w:t>
    </w:r>
    <w:r w:rsidRPr="007F5520">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C95499" w:rsidRDefault="00F805ED" w:rsidP="00C95499">
    <w:pPr>
      <w:pStyle w:val="Footer"/>
      <w:jc w:val="center"/>
      <w:rPr>
        <w:sz w:val="26"/>
        <w:szCs w:val="26"/>
      </w:rPr>
    </w:pPr>
    <w:r w:rsidRPr="00C95499">
      <w:rPr>
        <w:sz w:val="26"/>
        <w:szCs w:val="26"/>
      </w:rPr>
      <w:fldChar w:fldCharType="begin"/>
    </w:r>
    <w:r w:rsidRPr="00C95499">
      <w:rPr>
        <w:sz w:val="26"/>
        <w:szCs w:val="26"/>
      </w:rPr>
      <w:instrText xml:space="preserve"> PAGE   \* MERGEFORMAT </w:instrText>
    </w:r>
    <w:r w:rsidRPr="00C95499">
      <w:rPr>
        <w:sz w:val="26"/>
        <w:szCs w:val="26"/>
      </w:rPr>
      <w:fldChar w:fldCharType="separate"/>
    </w:r>
    <w:r w:rsidR="00FE03D5">
      <w:rPr>
        <w:noProof/>
        <w:sz w:val="26"/>
        <w:szCs w:val="26"/>
      </w:rPr>
      <w:t>i</w:t>
    </w:r>
    <w:r w:rsidRPr="00C95499">
      <w:rPr>
        <w:sz w:val="26"/>
        <w:szCs w:val="2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7F5520" w:rsidRDefault="00F805ED" w:rsidP="003B12DD">
    <w:pPr>
      <w:pStyle w:val="Footer"/>
      <w:jc w:val="center"/>
      <w:rPr>
        <w:sz w:val="24"/>
        <w:szCs w:val="24"/>
      </w:rPr>
    </w:pPr>
    <w:r w:rsidRPr="007F5520">
      <w:rPr>
        <w:rStyle w:val="PageNumber"/>
        <w:sz w:val="24"/>
        <w:szCs w:val="24"/>
      </w:rPr>
      <w:fldChar w:fldCharType="begin"/>
    </w:r>
    <w:r w:rsidRPr="007F5520">
      <w:rPr>
        <w:rStyle w:val="PageNumber"/>
        <w:sz w:val="24"/>
        <w:szCs w:val="24"/>
      </w:rPr>
      <w:instrText xml:space="preserve"> PAGE </w:instrText>
    </w:r>
    <w:r w:rsidRPr="007F5520">
      <w:rPr>
        <w:rStyle w:val="PageNumber"/>
        <w:sz w:val="24"/>
        <w:szCs w:val="24"/>
      </w:rPr>
      <w:fldChar w:fldCharType="separate"/>
    </w:r>
    <w:r w:rsidR="00FE03D5">
      <w:rPr>
        <w:rStyle w:val="PageNumber"/>
        <w:noProof/>
        <w:sz w:val="24"/>
        <w:szCs w:val="24"/>
      </w:rPr>
      <w:t>38</w:t>
    </w:r>
    <w:r w:rsidRPr="007F5520">
      <w:rPr>
        <w:rStyle w:val="PageNumber"/>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536C13" w:rsidRDefault="00F805ED" w:rsidP="00536C1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390AB3" w:rsidRDefault="00F805ED" w:rsidP="00390AB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536C13" w:rsidRDefault="00F805ED" w:rsidP="00536C1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536C13" w:rsidRDefault="00F805ED" w:rsidP="00536C1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536C13" w:rsidRDefault="00F805ED" w:rsidP="00536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90" w:rsidRDefault="00106190" w:rsidP="00663D6A">
      <w:pPr>
        <w:pStyle w:val="Title"/>
        <w:jc w:val="left"/>
      </w:pPr>
      <w:r>
        <w:separator/>
      </w:r>
    </w:p>
  </w:footnote>
  <w:footnote w:type="continuationSeparator" w:id="0">
    <w:p w:rsidR="00106190" w:rsidRDefault="00106190" w:rsidP="008866FC">
      <w:pPr>
        <w:pStyle w:val="Title"/>
      </w:pPr>
      <w:r>
        <w:continuationSeparator/>
      </w:r>
    </w:p>
  </w:footnote>
  <w:footnote w:id="1">
    <w:p w:rsidR="00F805ED" w:rsidRDefault="00F805ED" w:rsidP="00F40DBB">
      <w:pPr>
        <w:pStyle w:val="FootnoteText"/>
      </w:pPr>
      <w:r>
        <w:rPr>
          <w:rStyle w:val="FootnoteReference"/>
        </w:rPr>
        <w:footnoteRef/>
      </w:r>
      <w:r>
        <w:t xml:space="preserve"> </w:t>
      </w:r>
      <w:r>
        <w:tab/>
      </w:r>
      <w:r>
        <w:tab/>
      </w:r>
      <w:r w:rsidRPr="005A076C">
        <w:t>Defeasance refers to discharging a portion of the Company’s debt by presenting a portfolio of securities (usually, Treasury obligations) to a trustee who will use the cash flow to service the old debt.  This procedure will permit the Company to no longer include the debt in its financial statements</w:t>
      </w:r>
    </w:p>
  </w:footnote>
  <w:footnote w:id="2">
    <w:p w:rsidR="00F805ED" w:rsidRPr="007F47B9" w:rsidRDefault="00F805ED" w:rsidP="002F6000">
      <w:pPr>
        <w:pStyle w:val="NoSpacing"/>
        <w:tabs>
          <w:tab w:val="left" w:pos="180"/>
          <w:tab w:val="left" w:pos="360"/>
        </w:tabs>
        <w:rPr>
          <w:rFonts w:ascii="Arial" w:hAnsi="Arial" w:cs="Arial"/>
        </w:rPr>
      </w:pPr>
      <w:r w:rsidRPr="007F47B9">
        <w:rPr>
          <w:rStyle w:val="FootnoteReference"/>
          <w:rFonts w:ascii="Arial" w:hAnsi="Arial" w:cs="Arial"/>
        </w:rPr>
        <w:footnoteRef/>
      </w:r>
      <w:r w:rsidRPr="007F47B9">
        <w:rPr>
          <w:rFonts w:ascii="Arial" w:hAnsi="Arial" w:cs="Arial"/>
        </w:rPr>
        <w:t xml:space="preserve"> </w:t>
      </w:r>
      <w:r w:rsidRPr="007F47B9">
        <w:rPr>
          <w:rFonts w:ascii="Arial" w:hAnsi="Arial" w:cs="Arial"/>
        </w:rPr>
        <w:tab/>
        <w:t>From Attachment 2, Schedule A, of the Staff Comments and Recommendations.</w:t>
      </w:r>
    </w:p>
  </w:footnote>
  <w:footnote w:id="3">
    <w:p w:rsidR="00F805ED" w:rsidRPr="007F47B9" w:rsidRDefault="00F805ED" w:rsidP="002F6000">
      <w:pPr>
        <w:pStyle w:val="NoSpacing"/>
        <w:tabs>
          <w:tab w:val="left" w:pos="180"/>
          <w:tab w:val="left" w:pos="810"/>
        </w:tabs>
        <w:rPr>
          <w:rFonts w:ascii="Arial" w:hAnsi="Arial" w:cs="Arial"/>
        </w:rPr>
      </w:pPr>
      <w:r w:rsidRPr="007F47B9">
        <w:rPr>
          <w:rStyle w:val="FootnoteReference"/>
          <w:rFonts w:ascii="Arial" w:hAnsi="Arial" w:cs="Arial"/>
        </w:rPr>
        <w:footnoteRef/>
      </w:r>
      <w:r w:rsidRPr="007F47B9">
        <w:rPr>
          <w:rFonts w:ascii="Arial" w:hAnsi="Arial" w:cs="Arial"/>
        </w:rPr>
        <w:t xml:space="preserve"> </w:t>
      </w:r>
      <w:r w:rsidRPr="007F47B9">
        <w:rPr>
          <w:rFonts w:ascii="Arial" w:hAnsi="Arial" w:cs="Arial"/>
        </w:rPr>
        <w:tab/>
        <w:t>From Attachment 2, Schedule B, of the Staff Comments and Recommendations.</w:t>
      </w:r>
    </w:p>
  </w:footnote>
  <w:footnote w:id="4">
    <w:p w:rsidR="00F805ED" w:rsidRPr="007F47B9" w:rsidRDefault="00F805ED" w:rsidP="002F6000">
      <w:pPr>
        <w:pStyle w:val="NoSpacing"/>
        <w:tabs>
          <w:tab w:val="left" w:pos="180"/>
          <w:tab w:val="left" w:pos="810"/>
        </w:tabs>
        <w:rPr>
          <w:rFonts w:ascii="Arial" w:hAnsi="Arial" w:cs="Arial"/>
        </w:rPr>
      </w:pPr>
      <w:r w:rsidRPr="007F47B9">
        <w:rPr>
          <w:rStyle w:val="FootnoteReference"/>
          <w:rFonts w:ascii="Arial" w:hAnsi="Arial" w:cs="Arial"/>
        </w:rPr>
        <w:footnoteRef/>
      </w:r>
      <w:r w:rsidRPr="007F47B9">
        <w:rPr>
          <w:rFonts w:ascii="Arial" w:hAnsi="Arial" w:cs="Arial"/>
        </w:rPr>
        <w:t xml:space="preserve"> </w:t>
      </w:r>
      <w:r w:rsidRPr="007F47B9">
        <w:rPr>
          <w:rFonts w:ascii="Arial" w:hAnsi="Arial" w:cs="Arial"/>
        </w:rPr>
        <w:tab/>
        <w:t>Sum of PIR Bond payments and ongoing costs</w:t>
      </w:r>
    </w:p>
  </w:footnote>
  <w:footnote w:id="5">
    <w:p w:rsidR="00F805ED" w:rsidRPr="007F47B9" w:rsidRDefault="00F805ED" w:rsidP="002F6000">
      <w:pPr>
        <w:pStyle w:val="NoSpacing"/>
        <w:tabs>
          <w:tab w:val="left" w:pos="180"/>
          <w:tab w:val="left" w:pos="810"/>
        </w:tabs>
        <w:rPr>
          <w:rFonts w:ascii="Arial" w:hAnsi="Arial" w:cs="Arial"/>
        </w:rPr>
      </w:pPr>
      <w:r w:rsidRPr="007F47B9">
        <w:rPr>
          <w:rStyle w:val="FootnoteReference"/>
          <w:rFonts w:ascii="Arial" w:hAnsi="Arial" w:cs="Arial"/>
        </w:rPr>
        <w:footnoteRef/>
      </w:r>
      <w:r w:rsidRPr="007F47B9">
        <w:rPr>
          <w:rFonts w:ascii="Arial" w:hAnsi="Arial" w:cs="Arial"/>
        </w:rPr>
        <w:t xml:space="preserve"> </w:t>
      </w:r>
      <w:r w:rsidRPr="007F47B9">
        <w:rPr>
          <w:rFonts w:ascii="Arial" w:hAnsi="Arial" w:cs="Arial"/>
        </w:rPr>
        <w:tab/>
        <w:t xml:space="preserve">The discount rate used is the weighted average effective annual interest rate of the PIR </w:t>
      </w:r>
      <w:r>
        <w:rPr>
          <w:rFonts w:ascii="Arial" w:hAnsi="Arial" w:cs="Arial"/>
        </w:rPr>
        <w:tab/>
      </w:r>
      <w:r w:rsidRPr="007F47B9">
        <w:rPr>
          <w:rFonts w:ascii="Arial" w:hAnsi="Arial" w:cs="Arial"/>
        </w:rPr>
        <w:t>bonds.</w:t>
      </w:r>
    </w:p>
    <w:p w:rsidR="00F805ED" w:rsidRPr="007F47B9" w:rsidRDefault="00F805ED" w:rsidP="00322F45">
      <w:pPr>
        <w:pStyle w:val="FootnoteText"/>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Default="00F805ED" w:rsidP="003B12DD">
    <w:pPr>
      <w:pStyle w:val="Header"/>
      <w:jc w:val="center"/>
      <w:rPr>
        <w:b/>
        <w:color w:val="FF0000"/>
      </w:rPr>
    </w:pPr>
    <w:r>
      <w:rPr>
        <w:b/>
        <w:color w:val="FF0000"/>
      </w:rPr>
      <w:t xml:space="preserve">DRAFT - </w:t>
    </w:r>
    <w:r>
      <w:rPr>
        <w:b/>
        <w:color w:val="FF0000"/>
      </w:rPr>
      <w:fldChar w:fldCharType="begin"/>
    </w:r>
    <w:r>
      <w:rPr>
        <w:b/>
        <w:color w:val="FF0000"/>
      </w:rPr>
      <w:instrText xml:space="preserve"> DATE \@ "M/d/yyyy" </w:instrText>
    </w:r>
    <w:r>
      <w:rPr>
        <w:b/>
        <w:color w:val="FF0000"/>
      </w:rPr>
      <w:fldChar w:fldCharType="separate"/>
    </w:r>
    <w:r w:rsidR="00FE03D5">
      <w:rPr>
        <w:b/>
        <w:noProof/>
        <w:color w:val="FF0000"/>
      </w:rPr>
      <w:t>9/14/2012</w:t>
    </w:r>
    <w:r>
      <w:rPr>
        <w:b/>
        <w:color w:val="FF0000"/>
      </w:rPr>
      <w:fldChar w:fldCharType="end"/>
    </w:r>
    <w:r>
      <w:rPr>
        <w:b/>
        <w:color w:val="FF0000"/>
      </w:rPr>
      <w:t xml:space="preserve"> - </w:t>
    </w:r>
    <w:r>
      <w:rPr>
        <w:b/>
        <w:color w:val="FF0000"/>
      </w:rPr>
      <w:fldChar w:fldCharType="begin"/>
    </w:r>
    <w:r>
      <w:rPr>
        <w:b/>
        <w:color w:val="FF0000"/>
      </w:rPr>
      <w:instrText xml:space="preserve"> TIME \@ "h:mm:ss am/pm" </w:instrText>
    </w:r>
    <w:r>
      <w:rPr>
        <w:b/>
        <w:color w:val="FF0000"/>
      </w:rPr>
      <w:fldChar w:fldCharType="separate"/>
    </w:r>
    <w:r w:rsidR="00FE03D5">
      <w:rPr>
        <w:b/>
        <w:noProof/>
        <w:color w:val="FF0000"/>
      </w:rPr>
      <w:t>4:00:47 PM</w:t>
    </w:r>
    <w:r>
      <w:rPr>
        <w:b/>
        <w:color w:val="FF0000"/>
      </w:rPr>
      <w:fldChar w:fldCharType="end"/>
    </w:r>
  </w:p>
  <w:p w:rsidR="00F805ED" w:rsidRPr="003B12DD" w:rsidRDefault="00F805ED" w:rsidP="003B12DD">
    <w:pPr>
      <w:pStyle w:val="Header"/>
      <w:jc w:val="center"/>
      <w:rPr>
        <w:b/>
        <w:color w:val="FF0000"/>
      </w:rPr>
    </w:pPr>
    <w:r w:rsidRPr="003B12DD">
      <w:rPr>
        <w:b/>
        <w:color w:val="FF0000"/>
      </w:rPr>
      <w:fldChar w:fldCharType="begin"/>
    </w:r>
    <w:r w:rsidRPr="003B12DD">
      <w:rPr>
        <w:b/>
        <w:color w:val="FF0000"/>
      </w:rPr>
      <w:instrText xml:space="preserve"> FILENAME \p </w:instrText>
    </w:r>
    <w:r w:rsidRPr="003B12DD">
      <w:rPr>
        <w:b/>
        <w:color w:val="FF0000"/>
      </w:rPr>
      <w:fldChar w:fldCharType="separate"/>
    </w:r>
    <w:r w:rsidR="00FE03D5">
      <w:rPr>
        <w:b/>
        <w:noProof/>
        <w:color w:val="FF0000"/>
      </w:rPr>
      <w:t>\\puc\shares\Departments\Attorney General\Attorneys\McNamee\Comm. Cases\electric cases\12-1969-EL-ATS Ohio Power\Comments and Recommendations 091412.docx</w:t>
    </w:r>
    <w:r w:rsidRPr="003B12DD">
      <w:rPr>
        <w:b/>
        <w:color w:val="FF0000"/>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A01919" w:rsidRDefault="00F805ED" w:rsidP="00A0191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536C13" w:rsidRDefault="00F805ED" w:rsidP="00536C1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A01919" w:rsidRDefault="00F805ED" w:rsidP="00A0191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7C4D6B" w:rsidRDefault="00F805ED" w:rsidP="007C4D6B">
    <w:pPr>
      <w:pStyle w:val="Header"/>
      <w:jc w:val="right"/>
      <w:rPr>
        <w:b/>
        <w:sz w:val="28"/>
        <w:szCs w:val="28"/>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05054E" w:rsidRDefault="00F805ED" w:rsidP="00A23C34">
    <w:pPr>
      <w:pStyle w:val="Header"/>
      <w:jc w:val="right"/>
      <w:rPr>
        <w:b/>
        <w:color w:val="FF000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7C4D6B" w:rsidRDefault="00F805ED" w:rsidP="00A23C34">
    <w:pPr>
      <w:pStyle w:val="Heade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05054E" w:rsidRDefault="00F805ED" w:rsidP="00A23C34">
    <w:pPr>
      <w:pStyle w:val="Header"/>
      <w:jc w:val="right"/>
      <w:rPr>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0D039F" w:rsidRDefault="00F805ED" w:rsidP="000D039F">
    <w:pPr>
      <w:pStyle w:val="Header"/>
      <w:jc w:val="center"/>
      <w:rPr>
        <w:b/>
        <w:color w:val="FF0000"/>
      </w:rPr>
    </w:pPr>
    <w:r w:rsidRPr="0005054E">
      <w:rPr>
        <w:b/>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Default="00F805ED" w:rsidP="00861BE6">
    <w:pPr>
      <w:jc w:val="center"/>
      <w:rPr>
        <w:b/>
        <w:sz w:val="28"/>
        <w:szCs w:val="24"/>
      </w:rPr>
    </w:pPr>
    <w:r w:rsidRPr="005A076C">
      <w:rPr>
        <w:b/>
        <w:sz w:val="28"/>
        <w:szCs w:val="24"/>
      </w:rPr>
      <w:t>TABLE OF CONTENTS</w:t>
    </w:r>
    <w:r>
      <w:rPr>
        <w:b/>
        <w:sz w:val="28"/>
        <w:szCs w:val="24"/>
      </w:rPr>
      <w:t xml:space="preserve"> (cont’d)</w:t>
    </w:r>
  </w:p>
  <w:p w:rsidR="00F805ED" w:rsidRPr="005A076C" w:rsidRDefault="00F805ED" w:rsidP="00861BE6">
    <w:pPr>
      <w:tabs>
        <w:tab w:val="right" w:pos="9360"/>
      </w:tabs>
      <w:jc w:val="right"/>
      <w:rPr>
        <w:b/>
        <w:sz w:val="28"/>
        <w:szCs w:val="24"/>
      </w:rPr>
    </w:pPr>
    <w:r>
      <w:rPr>
        <w:b/>
        <w:sz w:val="28"/>
        <w:szCs w:val="24"/>
      </w:rPr>
      <w:t>PAGE</w:t>
    </w:r>
  </w:p>
  <w:p w:rsidR="00F805ED" w:rsidRPr="005A076C" w:rsidRDefault="00F805ED" w:rsidP="00861BE6">
    <w:pPr>
      <w:jc w:val="center"/>
      <w:rPr>
        <w:b/>
        <w:sz w:val="24"/>
        <w:szCs w:val="24"/>
      </w:rPr>
    </w:pPr>
  </w:p>
  <w:p w:rsidR="00F805ED" w:rsidRPr="00861BE6" w:rsidRDefault="00F805ED" w:rsidP="00861B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861BE6" w:rsidRDefault="00F805ED" w:rsidP="005A076C">
    <w:pPr>
      <w:jc w:val="center"/>
      <w:rPr>
        <w:b/>
        <w:sz w:val="28"/>
        <w:szCs w:val="28"/>
      </w:rPr>
    </w:pPr>
    <w:r w:rsidRPr="00861BE6">
      <w:rPr>
        <w:b/>
        <w:sz w:val="28"/>
        <w:szCs w:val="28"/>
      </w:rPr>
      <w:t>TABLE OF CONTENTS</w:t>
    </w:r>
  </w:p>
  <w:p w:rsidR="00F805ED" w:rsidRPr="00861BE6" w:rsidRDefault="00F805ED" w:rsidP="00861BE6">
    <w:pPr>
      <w:jc w:val="right"/>
      <w:rPr>
        <w:b/>
        <w:sz w:val="28"/>
        <w:szCs w:val="28"/>
      </w:rPr>
    </w:pPr>
    <w:r w:rsidRPr="00861BE6">
      <w:rPr>
        <w:b/>
        <w:sz w:val="28"/>
        <w:szCs w:val="28"/>
      </w:rPr>
      <w:t>PAGE</w:t>
    </w:r>
  </w:p>
  <w:p w:rsidR="00F805ED" w:rsidRPr="005A076C" w:rsidRDefault="00F805ED" w:rsidP="005A07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A739E6" w:rsidRDefault="00F805ED" w:rsidP="00A739E6">
    <w:pPr>
      <w:pStyle w:val="Header"/>
    </w:pPr>
    <w:r w:rsidRPr="00A739E6">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05054E" w:rsidRDefault="00F805ED" w:rsidP="0005054E">
    <w:pPr>
      <w:pStyle w:val="Header"/>
      <w:jc w:val="center"/>
      <w:rPr>
        <w:b/>
        <w:color w:val="FF0000"/>
      </w:rPr>
    </w:pPr>
    <w:r w:rsidRPr="0005054E">
      <w:rPr>
        <w:b/>
        <w:color w:val="FF000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Default="00F805ED" w:rsidP="00A01919">
    <w:pPr>
      <w:pStyle w:val="Header"/>
      <w:jc w:val="right"/>
      <w:rPr>
        <w:sz w:val="26"/>
        <w:szCs w:val="26"/>
      </w:rPr>
    </w:pPr>
  </w:p>
  <w:p w:rsidR="00F805ED" w:rsidRPr="00390AB3" w:rsidRDefault="00F805ED" w:rsidP="00A01919">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128982"/>
      <w:docPartObj>
        <w:docPartGallery w:val="Page Numbers (Top of Page)"/>
        <w:docPartUnique/>
      </w:docPartObj>
    </w:sdtPr>
    <w:sdtEndPr>
      <w:rPr>
        <w:noProof/>
      </w:rPr>
    </w:sdtEndPr>
    <w:sdtContent>
      <w:p w:rsidR="00F805ED" w:rsidRDefault="00F805ED" w:rsidP="00A01919">
        <w:pPr>
          <w:pStyle w:val="Header"/>
          <w:jc w:val="right"/>
          <w:rPr>
            <w:sz w:val="26"/>
            <w:szCs w:val="26"/>
          </w:rPr>
        </w:pPr>
      </w:p>
      <w:p w:rsidR="00F805ED" w:rsidRDefault="00F805ED" w:rsidP="00A01919">
        <w:pPr>
          <w:pStyle w:val="Header"/>
          <w:jc w:val="right"/>
        </w:pPr>
        <w:r>
          <w:t xml:space="preserve"> </w:t>
        </w:r>
      </w:p>
    </w:sdtContent>
  </w:sdt>
  <w:p w:rsidR="00F805ED" w:rsidRDefault="00F805ED">
    <w:pPr>
      <w:pStyle w:val="Heade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5ED" w:rsidRPr="00A23C34" w:rsidRDefault="00F805ED" w:rsidP="00A23C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406"/>
    <w:multiLevelType w:val="hybridMultilevel"/>
    <w:tmpl w:val="77D6BC10"/>
    <w:lvl w:ilvl="0" w:tplc="6A886EA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55B84"/>
    <w:multiLevelType w:val="hybridMultilevel"/>
    <w:tmpl w:val="95A690DC"/>
    <w:lvl w:ilvl="0" w:tplc="B1C09006">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F4BCF"/>
    <w:multiLevelType w:val="hybridMultilevel"/>
    <w:tmpl w:val="A704E41C"/>
    <w:lvl w:ilvl="0" w:tplc="96142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D4EE4"/>
    <w:multiLevelType w:val="multilevel"/>
    <w:tmpl w:val="D66CA4D2"/>
    <w:lvl w:ilvl="0">
      <w:start w:val="1"/>
      <w:numFmt w:val="decimal"/>
      <w:lvlText w:val="%1)"/>
      <w:lvlJc w:val="left"/>
      <w:pPr>
        <w:ind w:left="3690" w:hanging="360"/>
      </w:pPr>
      <w:rPr>
        <w:rFonts w:hint="default"/>
        <w:color w:val="auto"/>
      </w:rPr>
    </w:lvl>
    <w:lvl w:ilvl="1">
      <w:start w:val="1"/>
      <w:numFmt w:val="lowerLetter"/>
      <w:lvlText w:val="%2)"/>
      <w:lvlJc w:val="left"/>
      <w:pPr>
        <w:ind w:left="1620" w:hanging="360"/>
      </w:pPr>
    </w:lvl>
    <w:lvl w:ilvl="2">
      <w:start w:val="1"/>
      <w:numFmt w:val="lowerRoman"/>
      <w:lvlText w:val="%3)"/>
      <w:lvlJc w:val="left"/>
      <w:pPr>
        <w:ind w:left="1980" w:hanging="360"/>
      </w:pPr>
    </w:lvl>
    <w:lvl w:ilvl="3">
      <w:start w:val="1"/>
      <w:numFmt w:val="decimal"/>
      <w:lvlText w:val="(%4)"/>
      <w:lvlJc w:val="left"/>
      <w:pPr>
        <w:ind w:left="2340" w:hanging="360"/>
      </w:pPr>
    </w:lvl>
    <w:lvl w:ilvl="4">
      <w:start w:val="1"/>
      <w:numFmt w:val="lowerLetter"/>
      <w:lvlText w:val="(%5)"/>
      <w:lvlJc w:val="left"/>
      <w:pPr>
        <w:ind w:left="2700" w:hanging="360"/>
      </w:pPr>
    </w:lvl>
    <w:lvl w:ilvl="5">
      <w:start w:val="1"/>
      <w:numFmt w:val="lowerRoman"/>
      <w:lvlText w:val="(%6)"/>
      <w:lvlJc w:val="left"/>
      <w:pPr>
        <w:ind w:left="3060" w:hanging="360"/>
      </w:pPr>
    </w:lvl>
    <w:lvl w:ilvl="6">
      <w:start w:val="1"/>
      <w:numFmt w:val="decimal"/>
      <w:lvlText w:val="%7."/>
      <w:lvlJc w:val="left"/>
      <w:pPr>
        <w:ind w:left="3420" w:hanging="360"/>
      </w:pPr>
    </w:lvl>
    <w:lvl w:ilvl="7">
      <w:start w:val="1"/>
      <w:numFmt w:val="lowerLetter"/>
      <w:lvlText w:val="%8."/>
      <w:lvlJc w:val="left"/>
      <w:pPr>
        <w:ind w:left="3780" w:hanging="360"/>
      </w:pPr>
    </w:lvl>
    <w:lvl w:ilvl="8">
      <w:start w:val="1"/>
      <w:numFmt w:val="lowerRoman"/>
      <w:lvlText w:val="%9."/>
      <w:lvlJc w:val="left"/>
      <w:pPr>
        <w:ind w:left="4140" w:hanging="360"/>
      </w:pPr>
    </w:lvl>
  </w:abstractNum>
  <w:abstractNum w:abstractNumId="4">
    <w:nsid w:val="0DA11E9A"/>
    <w:multiLevelType w:val="hybridMultilevel"/>
    <w:tmpl w:val="A4A4B36E"/>
    <w:lvl w:ilvl="0" w:tplc="11646732">
      <w:start w:val="1"/>
      <w:numFmt w:val="upperRoman"/>
      <w:lvlText w:val="%1."/>
      <w:lvlJc w:val="left"/>
      <w:pPr>
        <w:ind w:left="9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5562F"/>
    <w:multiLevelType w:val="hybridMultilevel"/>
    <w:tmpl w:val="CC902762"/>
    <w:lvl w:ilvl="0" w:tplc="82BE33DE">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DB7B86"/>
    <w:multiLevelType w:val="hybridMultilevel"/>
    <w:tmpl w:val="FB56DF9C"/>
    <w:lvl w:ilvl="0" w:tplc="934E9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81711F"/>
    <w:multiLevelType w:val="hybridMultilevel"/>
    <w:tmpl w:val="A6C8E54A"/>
    <w:lvl w:ilvl="0" w:tplc="0374B0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441C68"/>
    <w:multiLevelType w:val="hybridMultilevel"/>
    <w:tmpl w:val="F45C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175A3"/>
    <w:multiLevelType w:val="hybridMultilevel"/>
    <w:tmpl w:val="9640C224"/>
    <w:lvl w:ilvl="0" w:tplc="711240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8236C5"/>
    <w:multiLevelType w:val="hybridMultilevel"/>
    <w:tmpl w:val="C25272E4"/>
    <w:lvl w:ilvl="0" w:tplc="0512CD9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21459F"/>
    <w:multiLevelType w:val="hybridMultilevel"/>
    <w:tmpl w:val="F3E8C384"/>
    <w:lvl w:ilvl="0" w:tplc="20FEF5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D81522"/>
    <w:multiLevelType w:val="hybridMultilevel"/>
    <w:tmpl w:val="4C5CF03E"/>
    <w:lvl w:ilvl="0" w:tplc="1478C1DA">
      <w:start w:val="1"/>
      <w:numFmt w:val="upperLetter"/>
      <w:lvlText w:val="%1."/>
      <w:lvlJc w:val="left"/>
      <w:pPr>
        <w:ind w:left="720" w:hanging="360"/>
      </w:pPr>
      <w:rPr>
        <w:rFonts w:cs="Calibri-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81DED"/>
    <w:multiLevelType w:val="hybridMultilevel"/>
    <w:tmpl w:val="34167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34752D"/>
    <w:multiLevelType w:val="hybridMultilevel"/>
    <w:tmpl w:val="E5F0D6DA"/>
    <w:lvl w:ilvl="0" w:tplc="29F4F88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73F67E17"/>
    <w:multiLevelType w:val="hybridMultilevel"/>
    <w:tmpl w:val="28A6C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1A3E37"/>
    <w:multiLevelType w:val="hybridMultilevel"/>
    <w:tmpl w:val="0C7AFF16"/>
    <w:lvl w:ilvl="0" w:tplc="C8DAFA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76B0F"/>
    <w:multiLevelType w:val="hybridMultilevel"/>
    <w:tmpl w:val="4A564F5A"/>
    <w:lvl w:ilvl="0" w:tplc="91C471F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9"/>
  </w:num>
  <w:num w:numId="3">
    <w:abstractNumId w:val="13"/>
  </w:num>
  <w:num w:numId="4">
    <w:abstractNumId w:val="11"/>
  </w:num>
  <w:num w:numId="5">
    <w:abstractNumId w:val="8"/>
  </w:num>
  <w:num w:numId="6">
    <w:abstractNumId w:val="17"/>
  </w:num>
  <w:num w:numId="7">
    <w:abstractNumId w:val="3"/>
  </w:num>
  <w:num w:numId="8">
    <w:abstractNumId w:val="16"/>
  </w:num>
  <w:num w:numId="9">
    <w:abstractNumId w:val="1"/>
  </w:num>
  <w:num w:numId="10">
    <w:abstractNumId w:val="1"/>
    <w:lvlOverride w:ilvl="0">
      <w:startOverride w:val="6"/>
    </w:lvlOverride>
  </w:num>
  <w:num w:numId="11">
    <w:abstractNumId w:val="14"/>
  </w:num>
  <w:num w:numId="12">
    <w:abstractNumId w:val="10"/>
  </w:num>
  <w:num w:numId="13">
    <w:abstractNumId w:val="4"/>
  </w:num>
  <w:num w:numId="14">
    <w:abstractNumId w:val="0"/>
  </w:num>
  <w:num w:numId="15">
    <w:abstractNumId w:val="12"/>
  </w:num>
  <w:num w:numId="16">
    <w:abstractNumId w:val="5"/>
  </w:num>
  <w:num w:numId="17">
    <w:abstractNumId w:val="15"/>
  </w:num>
  <w:num w:numId="18">
    <w:abstractNumId w:val="6"/>
  </w:num>
  <w:num w:numId="19">
    <w:abstractNumId w:val="2"/>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11"/>
    <w:rsid w:val="0000004B"/>
    <w:rsid w:val="0000052E"/>
    <w:rsid w:val="000007BF"/>
    <w:rsid w:val="00000D4C"/>
    <w:rsid w:val="0000112F"/>
    <w:rsid w:val="000017E8"/>
    <w:rsid w:val="000018A2"/>
    <w:rsid w:val="00001B69"/>
    <w:rsid w:val="00001FF4"/>
    <w:rsid w:val="00002508"/>
    <w:rsid w:val="0000257D"/>
    <w:rsid w:val="00002779"/>
    <w:rsid w:val="000028B6"/>
    <w:rsid w:val="0000334F"/>
    <w:rsid w:val="0000378A"/>
    <w:rsid w:val="00003816"/>
    <w:rsid w:val="00003DDE"/>
    <w:rsid w:val="00003DF7"/>
    <w:rsid w:val="00003FC3"/>
    <w:rsid w:val="0000471E"/>
    <w:rsid w:val="00005932"/>
    <w:rsid w:val="00005983"/>
    <w:rsid w:val="0000598A"/>
    <w:rsid w:val="000063A0"/>
    <w:rsid w:val="00006929"/>
    <w:rsid w:val="00006CA5"/>
    <w:rsid w:val="00007242"/>
    <w:rsid w:val="000072B6"/>
    <w:rsid w:val="00007967"/>
    <w:rsid w:val="000100CC"/>
    <w:rsid w:val="000102E1"/>
    <w:rsid w:val="0001053B"/>
    <w:rsid w:val="00011169"/>
    <w:rsid w:val="000119C2"/>
    <w:rsid w:val="0001268A"/>
    <w:rsid w:val="0001278C"/>
    <w:rsid w:val="0001282B"/>
    <w:rsid w:val="00012FA7"/>
    <w:rsid w:val="00013BA9"/>
    <w:rsid w:val="00014470"/>
    <w:rsid w:val="0001485D"/>
    <w:rsid w:val="00014AA5"/>
    <w:rsid w:val="00014AB7"/>
    <w:rsid w:val="00014E4F"/>
    <w:rsid w:val="0001509B"/>
    <w:rsid w:val="00015561"/>
    <w:rsid w:val="000158AD"/>
    <w:rsid w:val="00015AA3"/>
    <w:rsid w:val="00015C74"/>
    <w:rsid w:val="00015FD3"/>
    <w:rsid w:val="00016760"/>
    <w:rsid w:val="000168EC"/>
    <w:rsid w:val="00016A7F"/>
    <w:rsid w:val="00016F0B"/>
    <w:rsid w:val="00016F51"/>
    <w:rsid w:val="0001726D"/>
    <w:rsid w:val="00017C7D"/>
    <w:rsid w:val="00017E69"/>
    <w:rsid w:val="00020911"/>
    <w:rsid w:val="000210FA"/>
    <w:rsid w:val="0002116E"/>
    <w:rsid w:val="0002165B"/>
    <w:rsid w:val="00021B66"/>
    <w:rsid w:val="00022EC2"/>
    <w:rsid w:val="00022FE2"/>
    <w:rsid w:val="000233CC"/>
    <w:rsid w:val="00023468"/>
    <w:rsid w:val="00023CB6"/>
    <w:rsid w:val="00024063"/>
    <w:rsid w:val="000242AC"/>
    <w:rsid w:val="000242FB"/>
    <w:rsid w:val="000243E6"/>
    <w:rsid w:val="00024404"/>
    <w:rsid w:val="0002440B"/>
    <w:rsid w:val="00024852"/>
    <w:rsid w:val="000248B1"/>
    <w:rsid w:val="00024F3F"/>
    <w:rsid w:val="0002529F"/>
    <w:rsid w:val="00025A17"/>
    <w:rsid w:val="00025A18"/>
    <w:rsid w:val="00025E9C"/>
    <w:rsid w:val="00026B8B"/>
    <w:rsid w:val="00026F29"/>
    <w:rsid w:val="000272E7"/>
    <w:rsid w:val="000276B0"/>
    <w:rsid w:val="00027830"/>
    <w:rsid w:val="00030484"/>
    <w:rsid w:val="00030496"/>
    <w:rsid w:val="00030BF0"/>
    <w:rsid w:val="00031495"/>
    <w:rsid w:val="0003150D"/>
    <w:rsid w:val="00032BB7"/>
    <w:rsid w:val="00032BE8"/>
    <w:rsid w:val="00032EB9"/>
    <w:rsid w:val="0003379D"/>
    <w:rsid w:val="00033DA4"/>
    <w:rsid w:val="00035E70"/>
    <w:rsid w:val="00036582"/>
    <w:rsid w:val="00036E40"/>
    <w:rsid w:val="00036E8F"/>
    <w:rsid w:val="00036F65"/>
    <w:rsid w:val="0003739B"/>
    <w:rsid w:val="0003745E"/>
    <w:rsid w:val="0003772B"/>
    <w:rsid w:val="00040197"/>
    <w:rsid w:val="00040428"/>
    <w:rsid w:val="000404ED"/>
    <w:rsid w:val="00040D38"/>
    <w:rsid w:val="00040E59"/>
    <w:rsid w:val="00041996"/>
    <w:rsid w:val="00041E34"/>
    <w:rsid w:val="00041F64"/>
    <w:rsid w:val="0004228B"/>
    <w:rsid w:val="00042783"/>
    <w:rsid w:val="000428E0"/>
    <w:rsid w:val="00042E9F"/>
    <w:rsid w:val="00043027"/>
    <w:rsid w:val="000432DE"/>
    <w:rsid w:val="00043531"/>
    <w:rsid w:val="000435A1"/>
    <w:rsid w:val="00043C56"/>
    <w:rsid w:val="000441CE"/>
    <w:rsid w:val="0004481E"/>
    <w:rsid w:val="000449BB"/>
    <w:rsid w:val="00044C55"/>
    <w:rsid w:val="00045658"/>
    <w:rsid w:val="00045C5F"/>
    <w:rsid w:val="00046A61"/>
    <w:rsid w:val="00046D07"/>
    <w:rsid w:val="000475D8"/>
    <w:rsid w:val="0004772F"/>
    <w:rsid w:val="000479EC"/>
    <w:rsid w:val="00047A5F"/>
    <w:rsid w:val="00047A73"/>
    <w:rsid w:val="0005054E"/>
    <w:rsid w:val="0005119D"/>
    <w:rsid w:val="000512B2"/>
    <w:rsid w:val="0005178A"/>
    <w:rsid w:val="0005197D"/>
    <w:rsid w:val="00052455"/>
    <w:rsid w:val="00052532"/>
    <w:rsid w:val="00052D81"/>
    <w:rsid w:val="0005338E"/>
    <w:rsid w:val="000534B5"/>
    <w:rsid w:val="00053737"/>
    <w:rsid w:val="00053B61"/>
    <w:rsid w:val="00053FDD"/>
    <w:rsid w:val="000547B3"/>
    <w:rsid w:val="00054903"/>
    <w:rsid w:val="00054A1E"/>
    <w:rsid w:val="00054E4B"/>
    <w:rsid w:val="00055316"/>
    <w:rsid w:val="0005532E"/>
    <w:rsid w:val="00055A53"/>
    <w:rsid w:val="00055C96"/>
    <w:rsid w:val="00055D80"/>
    <w:rsid w:val="00056561"/>
    <w:rsid w:val="00056D76"/>
    <w:rsid w:val="000572BC"/>
    <w:rsid w:val="000572FB"/>
    <w:rsid w:val="000577B8"/>
    <w:rsid w:val="000578E2"/>
    <w:rsid w:val="00057EE6"/>
    <w:rsid w:val="000600C1"/>
    <w:rsid w:val="000600C4"/>
    <w:rsid w:val="000600E5"/>
    <w:rsid w:val="000600EA"/>
    <w:rsid w:val="000609A3"/>
    <w:rsid w:val="00060A34"/>
    <w:rsid w:val="00060B26"/>
    <w:rsid w:val="00060B97"/>
    <w:rsid w:val="00061116"/>
    <w:rsid w:val="00061403"/>
    <w:rsid w:val="000616D4"/>
    <w:rsid w:val="00061985"/>
    <w:rsid w:val="00061B4D"/>
    <w:rsid w:val="0006230F"/>
    <w:rsid w:val="0006236E"/>
    <w:rsid w:val="00062838"/>
    <w:rsid w:val="00062922"/>
    <w:rsid w:val="00062B35"/>
    <w:rsid w:val="00062F19"/>
    <w:rsid w:val="0006348B"/>
    <w:rsid w:val="00063B9C"/>
    <w:rsid w:val="00063D48"/>
    <w:rsid w:val="00063E72"/>
    <w:rsid w:val="00064B28"/>
    <w:rsid w:val="000650ED"/>
    <w:rsid w:val="0006523F"/>
    <w:rsid w:val="0006587B"/>
    <w:rsid w:val="000660B3"/>
    <w:rsid w:val="0006619D"/>
    <w:rsid w:val="00066B9B"/>
    <w:rsid w:val="0006742E"/>
    <w:rsid w:val="00067454"/>
    <w:rsid w:val="0006748E"/>
    <w:rsid w:val="00067670"/>
    <w:rsid w:val="00067A71"/>
    <w:rsid w:val="0007021F"/>
    <w:rsid w:val="0007065E"/>
    <w:rsid w:val="0007085C"/>
    <w:rsid w:val="00070CE5"/>
    <w:rsid w:val="00070EBD"/>
    <w:rsid w:val="000712D5"/>
    <w:rsid w:val="000714A7"/>
    <w:rsid w:val="00072FC5"/>
    <w:rsid w:val="0007354B"/>
    <w:rsid w:val="00073843"/>
    <w:rsid w:val="00073AD1"/>
    <w:rsid w:val="00073ADB"/>
    <w:rsid w:val="00074F17"/>
    <w:rsid w:val="000751ED"/>
    <w:rsid w:val="000753F8"/>
    <w:rsid w:val="00075649"/>
    <w:rsid w:val="000757CC"/>
    <w:rsid w:val="000759D8"/>
    <w:rsid w:val="000763C7"/>
    <w:rsid w:val="00076A08"/>
    <w:rsid w:val="00076ED9"/>
    <w:rsid w:val="0007739A"/>
    <w:rsid w:val="00080488"/>
    <w:rsid w:val="0008110F"/>
    <w:rsid w:val="0008127E"/>
    <w:rsid w:val="00081594"/>
    <w:rsid w:val="000817E2"/>
    <w:rsid w:val="00082210"/>
    <w:rsid w:val="000823F4"/>
    <w:rsid w:val="00082A10"/>
    <w:rsid w:val="00082A26"/>
    <w:rsid w:val="0008354D"/>
    <w:rsid w:val="0008363A"/>
    <w:rsid w:val="0008393D"/>
    <w:rsid w:val="00083FB0"/>
    <w:rsid w:val="00083FD5"/>
    <w:rsid w:val="000840D0"/>
    <w:rsid w:val="00084664"/>
    <w:rsid w:val="00084B88"/>
    <w:rsid w:val="00084D3A"/>
    <w:rsid w:val="00084D72"/>
    <w:rsid w:val="00084FF9"/>
    <w:rsid w:val="000852C4"/>
    <w:rsid w:val="00085F56"/>
    <w:rsid w:val="000867AB"/>
    <w:rsid w:val="00087012"/>
    <w:rsid w:val="00087138"/>
    <w:rsid w:val="000874A8"/>
    <w:rsid w:val="00087AC3"/>
    <w:rsid w:val="0009037A"/>
    <w:rsid w:val="000904BB"/>
    <w:rsid w:val="00090853"/>
    <w:rsid w:val="000909B1"/>
    <w:rsid w:val="00090AF6"/>
    <w:rsid w:val="00090B27"/>
    <w:rsid w:val="000912DD"/>
    <w:rsid w:val="00091346"/>
    <w:rsid w:val="00092390"/>
    <w:rsid w:val="00092585"/>
    <w:rsid w:val="00092789"/>
    <w:rsid w:val="0009292E"/>
    <w:rsid w:val="00092B97"/>
    <w:rsid w:val="00092D51"/>
    <w:rsid w:val="00092FE8"/>
    <w:rsid w:val="00093EE6"/>
    <w:rsid w:val="00094437"/>
    <w:rsid w:val="000945A2"/>
    <w:rsid w:val="0009468E"/>
    <w:rsid w:val="000956F1"/>
    <w:rsid w:val="000957BC"/>
    <w:rsid w:val="000959CA"/>
    <w:rsid w:val="000961F6"/>
    <w:rsid w:val="000962D0"/>
    <w:rsid w:val="000963CA"/>
    <w:rsid w:val="00096FE4"/>
    <w:rsid w:val="00097C21"/>
    <w:rsid w:val="00097CF3"/>
    <w:rsid w:val="00097E05"/>
    <w:rsid w:val="00097F85"/>
    <w:rsid w:val="000A002B"/>
    <w:rsid w:val="000A0399"/>
    <w:rsid w:val="000A0846"/>
    <w:rsid w:val="000A0E34"/>
    <w:rsid w:val="000A1231"/>
    <w:rsid w:val="000A136B"/>
    <w:rsid w:val="000A13D8"/>
    <w:rsid w:val="000A1418"/>
    <w:rsid w:val="000A18E4"/>
    <w:rsid w:val="000A1BBB"/>
    <w:rsid w:val="000A1D08"/>
    <w:rsid w:val="000A1FE4"/>
    <w:rsid w:val="000A2BD1"/>
    <w:rsid w:val="000A3294"/>
    <w:rsid w:val="000A33FF"/>
    <w:rsid w:val="000A34BB"/>
    <w:rsid w:val="000A39EC"/>
    <w:rsid w:val="000A3F36"/>
    <w:rsid w:val="000A3FF2"/>
    <w:rsid w:val="000A42C7"/>
    <w:rsid w:val="000A48FA"/>
    <w:rsid w:val="000A4B5F"/>
    <w:rsid w:val="000A4F56"/>
    <w:rsid w:val="000A5C8D"/>
    <w:rsid w:val="000A65C5"/>
    <w:rsid w:val="000A7458"/>
    <w:rsid w:val="000A75C6"/>
    <w:rsid w:val="000A7A4B"/>
    <w:rsid w:val="000A7E0E"/>
    <w:rsid w:val="000A7EA6"/>
    <w:rsid w:val="000B016B"/>
    <w:rsid w:val="000B08E1"/>
    <w:rsid w:val="000B0933"/>
    <w:rsid w:val="000B12D9"/>
    <w:rsid w:val="000B1F8C"/>
    <w:rsid w:val="000B2BC9"/>
    <w:rsid w:val="000B3D67"/>
    <w:rsid w:val="000B3ED4"/>
    <w:rsid w:val="000B45A9"/>
    <w:rsid w:val="000B4EAE"/>
    <w:rsid w:val="000B51D4"/>
    <w:rsid w:val="000B5351"/>
    <w:rsid w:val="000B539F"/>
    <w:rsid w:val="000B54A0"/>
    <w:rsid w:val="000B5509"/>
    <w:rsid w:val="000B55E4"/>
    <w:rsid w:val="000B56C8"/>
    <w:rsid w:val="000B5A11"/>
    <w:rsid w:val="000B622C"/>
    <w:rsid w:val="000B64F2"/>
    <w:rsid w:val="000B77F8"/>
    <w:rsid w:val="000B799D"/>
    <w:rsid w:val="000B7ACA"/>
    <w:rsid w:val="000C041D"/>
    <w:rsid w:val="000C07C7"/>
    <w:rsid w:val="000C0842"/>
    <w:rsid w:val="000C1044"/>
    <w:rsid w:val="000C1A63"/>
    <w:rsid w:val="000C21C7"/>
    <w:rsid w:val="000C2400"/>
    <w:rsid w:val="000C2ADB"/>
    <w:rsid w:val="000C3AB5"/>
    <w:rsid w:val="000C3AC6"/>
    <w:rsid w:val="000C3C65"/>
    <w:rsid w:val="000C3D9D"/>
    <w:rsid w:val="000C4554"/>
    <w:rsid w:val="000C45EC"/>
    <w:rsid w:val="000C4B34"/>
    <w:rsid w:val="000C4BC0"/>
    <w:rsid w:val="000C60E1"/>
    <w:rsid w:val="000C6673"/>
    <w:rsid w:val="000C66E7"/>
    <w:rsid w:val="000C6F71"/>
    <w:rsid w:val="000C6F86"/>
    <w:rsid w:val="000C70C1"/>
    <w:rsid w:val="000C715D"/>
    <w:rsid w:val="000C73B5"/>
    <w:rsid w:val="000C78F1"/>
    <w:rsid w:val="000D0355"/>
    <w:rsid w:val="000D039F"/>
    <w:rsid w:val="000D0D4D"/>
    <w:rsid w:val="000D19C3"/>
    <w:rsid w:val="000D1C6A"/>
    <w:rsid w:val="000D1F89"/>
    <w:rsid w:val="000D20DF"/>
    <w:rsid w:val="000D2DF9"/>
    <w:rsid w:val="000D3617"/>
    <w:rsid w:val="000D364C"/>
    <w:rsid w:val="000D3BD5"/>
    <w:rsid w:val="000D452B"/>
    <w:rsid w:val="000D5461"/>
    <w:rsid w:val="000D6339"/>
    <w:rsid w:val="000D651A"/>
    <w:rsid w:val="000D664F"/>
    <w:rsid w:val="000D6B4A"/>
    <w:rsid w:val="000D6C94"/>
    <w:rsid w:val="000D7094"/>
    <w:rsid w:val="000D732F"/>
    <w:rsid w:val="000D7696"/>
    <w:rsid w:val="000D77A1"/>
    <w:rsid w:val="000D7ABF"/>
    <w:rsid w:val="000E019B"/>
    <w:rsid w:val="000E0203"/>
    <w:rsid w:val="000E0248"/>
    <w:rsid w:val="000E0874"/>
    <w:rsid w:val="000E0CFE"/>
    <w:rsid w:val="000E0EF9"/>
    <w:rsid w:val="000E0F4A"/>
    <w:rsid w:val="000E10A0"/>
    <w:rsid w:val="000E1136"/>
    <w:rsid w:val="000E167A"/>
    <w:rsid w:val="000E1763"/>
    <w:rsid w:val="000E1B82"/>
    <w:rsid w:val="000E1E4D"/>
    <w:rsid w:val="000E27A3"/>
    <w:rsid w:val="000E2F0A"/>
    <w:rsid w:val="000E384D"/>
    <w:rsid w:val="000E44B6"/>
    <w:rsid w:val="000E4692"/>
    <w:rsid w:val="000E5086"/>
    <w:rsid w:val="000E54C9"/>
    <w:rsid w:val="000E5543"/>
    <w:rsid w:val="000E5569"/>
    <w:rsid w:val="000E5B4B"/>
    <w:rsid w:val="000E5F0A"/>
    <w:rsid w:val="000E68A7"/>
    <w:rsid w:val="000E69C3"/>
    <w:rsid w:val="000E7257"/>
    <w:rsid w:val="000E7928"/>
    <w:rsid w:val="000E7F36"/>
    <w:rsid w:val="000F0A35"/>
    <w:rsid w:val="000F151C"/>
    <w:rsid w:val="000F1926"/>
    <w:rsid w:val="000F1D7D"/>
    <w:rsid w:val="000F20E4"/>
    <w:rsid w:val="000F2229"/>
    <w:rsid w:val="000F2412"/>
    <w:rsid w:val="000F28AF"/>
    <w:rsid w:val="000F2F1D"/>
    <w:rsid w:val="000F3006"/>
    <w:rsid w:val="000F32B0"/>
    <w:rsid w:val="000F3445"/>
    <w:rsid w:val="000F3B23"/>
    <w:rsid w:val="000F3EC9"/>
    <w:rsid w:val="000F42B3"/>
    <w:rsid w:val="000F48C3"/>
    <w:rsid w:val="000F4A3A"/>
    <w:rsid w:val="000F4B8F"/>
    <w:rsid w:val="000F4E6C"/>
    <w:rsid w:val="000F5448"/>
    <w:rsid w:val="000F64EB"/>
    <w:rsid w:val="000F6752"/>
    <w:rsid w:val="000F6DC9"/>
    <w:rsid w:val="000F7031"/>
    <w:rsid w:val="000F78F0"/>
    <w:rsid w:val="000F7A86"/>
    <w:rsid w:val="00100BF5"/>
    <w:rsid w:val="00100C27"/>
    <w:rsid w:val="00100C2B"/>
    <w:rsid w:val="00100D5B"/>
    <w:rsid w:val="00100E5E"/>
    <w:rsid w:val="00100F1B"/>
    <w:rsid w:val="001017BF"/>
    <w:rsid w:val="00101999"/>
    <w:rsid w:val="00101CCE"/>
    <w:rsid w:val="00101D23"/>
    <w:rsid w:val="00102029"/>
    <w:rsid w:val="001021BF"/>
    <w:rsid w:val="00102CC9"/>
    <w:rsid w:val="00102F6C"/>
    <w:rsid w:val="0010331E"/>
    <w:rsid w:val="001034B3"/>
    <w:rsid w:val="001036BA"/>
    <w:rsid w:val="00103974"/>
    <w:rsid w:val="00104DC9"/>
    <w:rsid w:val="00104F04"/>
    <w:rsid w:val="00104F51"/>
    <w:rsid w:val="00105334"/>
    <w:rsid w:val="00105459"/>
    <w:rsid w:val="00106026"/>
    <w:rsid w:val="00106190"/>
    <w:rsid w:val="0010642A"/>
    <w:rsid w:val="001065D4"/>
    <w:rsid w:val="00106DF9"/>
    <w:rsid w:val="0010727E"/>
    <w:rsid w:val="00107D0B"/>
    <w:rsid w:val="00110EC1"/>
    <w:rsid w:val="0011138C"/>
    <w:rsid w:val="00111505"/>
    <w:rsid w:val="00111788"/>
    <w:rsid w:val="00111A82"/>
    <w:rsid w:val="00111DB7"/>
    <w:rsid w:val="001121B5"/>
    <w:rsid w:val="001129FD"/>
    <w:rsid w:val="00112D53"/>
    <w:rsid w:val="001135A7"/>
    <w:rsid w:val="00113B72"/>
    <w:rsid w:val="00113FFF"/>
    <w:rsid w:val="00114352"/>
    <w:rsid w:val="00114A8E"/>
    <w:rsid w:val="00114AD9"/>
    <w:rsid w:val="00115341"/>
    <w:rsid w:val="001155B9"/>
    <w:rsid w:val="00115B30"/>
    <w:rsid w:val="00115F93"/>
    <w:rsid w:val="0011607F"/>
    <w:rsid w:val="001161A7"/>
    <w:rsid w:val="0011632E"/>
    <w:rsid w:val="001164BD"/>
    <w:rsid w:val="00116762"/>
    <w:rsid w:val="001167C9"/>
    <w:rsid w:val="00117279"/>
    <w:rsid w:val="0011732F"/>
    <w:rsid w:val="00117C1F"/>
    <w:rsid w:val="001204A3"/>
    <w:rsid w:val="001209A3"/>
    <w:rsid w:val="00120DE2"/>
    <w:rsid w:val="00120E12"/>
    <w:rsid w:val="00120F03"/>
    <w:rsid w:val="001216E1"/>
    <w:rsid w:val="00121B21"/>
    <w:rsid w:val="001222D8"/>
    <w:rsid w:val="00122AFC"/>
    <w:rsid w:val="00122C33"/>
    <w:rsid w:val="00122ECA"/>
    <w:rsid w:val="00123562"/>
    <w:rsid w:val="00123647"/>
    <w:rsid w:val="001236A1"/>
    <w:rsid w:val="001239B8"/>
    <w:rsid w:val="00123AE0"/>
    <w:rsid w:val="00123C69"/>
    <w:rsid w:val="00124193"/>
    <w:rsid w:val="001241FC"/>
    <w:rsid w:val="001242C9"/>
    <w:rsid w:val="001244AA"/>
    <w:rsid w:val="00124B43"/>
    <w:rsid w:val="00124F62"/>
    <w:rsid w:val="00124F7F"/>
    <w:rsid w:val="00125271"/>
    <w:rsid w:val="00125360"/>
    <w:rsid w:val="0012577F"/>
    <w:rsid w:val="00125BEC"/>
    <w:rsid w:val="0012658C"/>
    <w:rsid w:val="001275FB"/>
    <w:rsid w:val="00127D0E"/>
    <w:rsid w:val="001302B4"/>
    <w:rsid w:val="00130423"/>
    <w:rsid w:val="0013063F"/>
    <w:rsid w:val="0013099D"/>
    <w:rsid w:val="00130AFA"/>
    <w:rsid w:val="0013111B"/>
    <w:rsid w:val="0013115F"/>
    <w:rsid w:val="0013140C"/>
    <w:rsid w:val="001318AA"/>
    <w:rsid w:val="00131A50"/>
    <w:rsid w:val="00131A6B"/>
    <w:rsid w:val="00131ABF"/>
    <w:rsid w:val="00132557"/>
    <w:rsid w:val="00132BE3"/>
    <w:rsid w:val="0013306C"/>
    <w:rsid w:val="0013329A"/>
    <w:rsid w:val="00133794"/>
    <w:rsid w:val="0013398B"/>
    <w:rsid w:val="00133C42"/>
    <w:rsid w:val="00133E58"/>
    <w:rsid w:val="001355ED"/>
    <w:rsid w:val="00135B08"/>
    <w:rsid w:val="00135B83"/>
    <w:rsid w:val="001362CC"/>
    <w:rsid w:val="0013654C"/>
    <w:rsid w:val="00136B13"/>
    <w:rsid w:val="00136C13"/>
    <w:rsid w:val="00136E07"/>
    <w:rsid w:val="00137391"/>
    <w:rsid w:val="00137860"/>
    <w:rsid w:val="001378A9"/>
    <w:rsid w:val="00140AC2"/>
    <w:rsid w:val="00141332"/>
    <w:rsid w:val="0014180B"/>
    <w:rsid w:val="00141FA8"/>
    <w:rsid w:val="001424BB"/>
    <w:rsid w:val="001426C6"/>
    <w:rsid w:val="00142A47"/>
    <w:rsid w:val="00142AF5"/>
    <w:rsid w:val="00142B4C"/>
    <w:rsid w:val="00142D8F"/>
    <w:rsid w:val="00143048"/>
    <w:rsid w:val="001430CB"/>
    <w:rsid w:val="00143119"/>
    <w:rsid w:val="0014332E"/>
    <w:rsid w:val="001434B6"/>
    <w:rsid w:val="001438E0"/>
    <w:rsid w:val="0014394C"/>
    <w:rsid w:val="00143AF8"/>
    <w:rsid w:val="00143B3B"/>
    <w:rsid w:val="00143B6D"/>
    <w:rsid w:val="00143DD8"/>
    <w:rsid w:val="00144412"/>
    <w:rsid w:val="00144513"/>
    <w:rsid w:val="00144561"/>
    <w:rsid w:val="00144768"/>
    <w:rsid w:val="001447FC"/>
    <w:rsid w:val="00144DE7"/>
    <w:rsid w:val="00144E48"/>
    <w:rsid w:val="00144E61"/>
    <w:rsid w:val="0014528C"/>
    <w:rsid w:val="001454CE"/>
    <w:rsid w:val="00145D22"/>
    <w:rsid w:val="00145DC6"/>
    <w:rsid w:val="00146422"/>
    <w:rsid w:val="00146484"/>
    <w:rsid w:val="001468D7"/>
    <w:rsid w:val="00146AD0"/>
    <w:rsid w:val="00146C34"/>
    <w:rsid w:val="00146F25"/>
    <w:rsid w:val="0014715C"/>
    <w:rsid w:val="001476E6"/>
    <w:rsid w:val="0014797F"/>
    <w:rsid w:val="00147C91"/>
    <w:rsid w:val="001500B6"/>
    <w:rsid w:val="00150B32"/>
    <w:rsid w:val="0015109E"/>
    <w:rsid w:val="00151581"/>
    <w:rsid w:val="00151CF6"/>
    <w:rsid w:val="00151F87"/>
    <w:rsid w:val="001529D5"/>
    <w:rsid w:val="00152A4F"/>
    <w:rsid w:val="00152CD1"/>
    <w:rsid w:val="00152D0C"/>
    <w:rsid w:val="00152E77"/>
    <w:rsid w:val="00153181"/>
    <w:rsid w:val="001533A5"/>
    <w:rsid w:val="0015362A"/>
    <w:rsid w:val="00153675"/>
    <w:rsid w:val="00153898"/>
    <w:rsid w:val="00153CB2"/>
    <w:rsid w:val="00153F1C"/>
    <w:rsid w:val="00154186"/>
    <w:rsid w:val="001548F1"/>
    <w:rsid w:val="0015490F"/>
    <w:rsid w:val="001549AC"/>
    <w:rsid w:val="00154BF1"/>
    <w:rsid w:val="00154E85"/>
    <w:rsid w:val="00154F9E"/>
    <w:rsid w:val="001551E8"/>
    <w:rsid w:val="0015571B"/>
    <w:rsid w:val="00155A1B"/>
    <w:rsid w:val="00155A8A"/>
    <w:rsid w:val="00156475"/>
    <w:rsid w:val="001572D5"/>
    <w:rsid w:val="00157C78"/>
    <w:rsid w:val="00157CB5"/>
    <w:rsid w:val="00157DD8"/>
    <w:rsid w:val="0016026D"/>
    <w:rsid w:val="0016087E"/>
    <w:rsid w:val="00160A72"/>
    <w:rsid w:val="00160FA7"/>
    <w:rsid w:val="00160FDE"/>
    <w:rsid w:val="00161205"/>
    <w:rsid w:val="0016171B"/>
    <w:rsid w:val="00161995"/>
    <w:rsid w:val="001628C0"/>
    <w:rsid w:val="001630A5"/>
    <w:rsid w:val="0016335D"/>
    <w:rsid w:val="001633F0"/>
    <w:rsid w:val="001636E0"/>
    <w:rsid w:val="00163CA4"/>
    <w:rsid w:val="001642AE"/>
    <w:rsid w:val="00164304"/>
    <w:rsid w:val="001645DD"/>
    <w:rsid w:val="0016490B"/>
    <w:rsid w:val="00164E53"/>
    <w:rsid w:val="00165049"/>
    <w:rsid w:val="0016550F"/>
    <w:rsid w:val="00165566"/>
    <w:rsid w:val="0016560B"/>
    <w:rsid w:val="00165BE9"/>
    <w:rsid w:val="001660F8"/>
    <w:rsid w:val="0016613A"/>
    <w:rsid w:val="001663AE"/>
    <w:rsid w:val="0016677C"/>
    <w:rsid w:val="00166A0E"/>
    <w:rsid w:val="00167C18"/>
    <w:rsid w:val="00167CF2"/>
    <w:rsid w:val="0017018E"/>
    <w:rsid w:val="001702EC"/>
    <w:rsid w:val="001705C4"/>
    <w:rsid w:val="00170B0B"/>
    <w:rsid w:val="00170C2E"/>
    <w:rsid w:val="00170D25"/>
    <w:rsid w:val="00170F94"/>
    <w:rsid w:val="00171E9F"/>
    <w:rsid w:val="00171EE8"/>
    <w:rsid w:val="001720EF"/>
    <w:rsid w:val="001721FC"/>
    <w:rsid w:val="001723B6"/>
    <w:rsid w:val="00173DF6"/>
    <w:rsid w:val="00173E89"/>
    <w:rsid w:val="00173F29"/>
    <w:rsid w:val="001740D4"/>
    <w:rsid w:val="0017432D"/>
    <w:rsid w:val="00174B04"/>
    <w:rsid w:val="00174F97"/>
    <w:rsid w:val="00175526"/>
    <w:rsid w:val="00175557"/>
    <w:rsid w:val="00176015"/>
    <w:rsid w:val="00176062"/>
    <w:rsid w:val="00176181"/>
    <w:rsid w:val="00176270"/>
    <w:rsid w:val="0017645D"/>
    <w:rsid w:val="00176F1A"/>
    <w:rsid w:val="00177C54"/>
    <w:rsid w:val="00177CF5"/>
    <w:rsid w:val="00177F90"/>
    <w:rsid w:val="00180891"/>
    <w:rsid w:val="00180898"/>
    <w:rsid w:val="0018089B"/>
    <w:rsid w:val="00180932"/>
    <w:rsid w:val="00180C2B"/>
    <w:rsid w:val="001814B9"/>
    <w:rsid w:val="00181608"/>
    <w:rsid w:val="001823B7"/>
    <w:rsid w:val="001824F4"/>
    <w:rsid w:val="00183297"/>
    <w:rsid w:val="0018342D"/>
    <w:rsid w:val="0018557E"/>
    <w:rsid w:val="00185629"/>
    <w:rsid w:val="001857D3"/>
    <w:rsid w:val="00185ABE"/>
    <w:rsid w:val="00185E49"/>
    <w:rsid w:val="0018610D"/>
    <w:rsid w:val="0018676D"/>
    <w:rsid w:val="00186A9A"/>
    <w:rsid w:val="00186B18"/>
    <w:rsid w:val="00187616"/>
    <w:rsid w:val="001878F4"/>
    <w:rsid w:val="00190038"/>
    <w:rsid w:val="00190043"/>
    <w:rsid w:val="001901C6"/>
    <w:rsid w:val="001901FD"/>
    <w:rsid w:val="00190E01"/>
    <w:rsid w:val="00190ED4"/>
    <w:rsid w:val="00190F20"/>
    <w:rsid w:val="0019138C"/>
    <w:rsid w:val="00191469"/>
    <w:rsid w:val="0019151A"/>
    <w:rsid w:val="00191B5A"/>
    <w:rsid w:val="0019200F"/>
    <w:rsid w:val="0019222D"/>
    <w:rsid w:val="001925A6"/>
    <w:rsid w:val="00192A82"/>
    <w:rsid w:val="00193109"/>
    <w:rsid w:val="0019328F"/>
    <w:rsid w:val="0019403F"/>
    <w:rsid w:val="00194E74"/>
    <w:rsid w:val="0019573D"/>
    <w:rsid w:val="0019586F"/>
    <w:rsid w:val="001958B3"/>
    <w:rsid w:val="00195979"/>
    <w:rsid w:val="001959A0"/>
    <w:rsid w:val="00196064"/>
    <w:rsid w:val="001960A2"/>
    <w:rsid w:val="00196131"/>
    <w:rsid w:val="0019616A"/>
    <w:rsid w:val="00196262"/>
    <w:rsid w:val="00196C19"/>
    <w:rsid w:val="001A0252"/>
    <w:rsid w:val="001A0674"/>
    <w:rsid w:val="001A0696"/>
    <w:rsid w:val="001A093A"/>
    <w:rsid w:val="001A0C5D"/>
    <w:rsid w:val="001A0D9B"/>
    <w:rsid w:val="001A107F"/>
    <w:rsid w:val="001A122E"/>
    <w:rsid w:val="001A1733"/>
    <w:rsid w:val="001A18F2"/>
    <w:rsid w:val="001A1F54"/>
    <w:rsid w:val="001A217A"/>
    <w:rsid w:val="001A249F"/>
    <w:rsid w:val="001A2649"/>
    <w:rsid w:val="001A2F87"/>
    <w:rsid w:val="001A315A"/>
    <w:rsid w:val="001A3711"/>
    <w:rsid w:val="001A3915"/>
    <w:rsid w:val="001A3BB3"/>
    <w:rsid w:val="001A4EA7"/>
    <w:rsid w:val="001A565C"/>
    <w:rsid w:val="001A5C2F"/>
    <w:rsid w:val="001A6220"/>
    <w:rsid w:val="001A63DD"/>
    <w:rsid w:val="001A672D"/>
    <w:rsid w:val="001A6930"/>
    <w:rsid w:val="001A71E0"/>
    <w:rsid w:val="001A76BD"/>
    <w:rsid w:val="001A79B3"/>
    <w:rsid w:val="001A7B3D"/>
    <w:rsid w:val="001B09D4"/>
    <w:rsid w:val="001B0DCA"/>
    <w:rsid w:val="001B1B9A"/>
    <w:rsid w:val="001B1DA8"/>
    <w:rsid w:val="001B1DAB"/>
    <w:rsid w:val="001B1DAE"/>
    <w:rsid w:val="001B1DF0"/>
    <w:rsid w:val="001B247F"/>
    <w:rsid w:val="001B2872"/>
    <w:rsid w:val="001B28A1"/>
    <w:rsid w:val="001B2A80"/>
    <w:rsid w:val="001B319C"/>
    <w:rsid w:val="001B483E"/>
    <w:rsid w:val="001B4E60"/>
    <w:rsid w:val="001B4EF8"/>
    <w:rsid w:val="001B5823"/>
    <w:rsid w:val="001B5C74"/>
    <w:rsid w:val="001B5F46"/>
    <w:rsid w:val="001B6996"/>
    <w:rsid w:val="001B6A71"/>
    <w:rsid w:val="001B6B4B"/>
    <w:rsid w:val="001B6D67"/>
    <w:rsid w:val="001B7278"/>
    <w:rsid w:val="001B74E1"/>
    <w:rsid w:val="001B75E3"/>
    <w:rsid w:val="001C0923"/>
    <w:rsid w:val="001C0E25"/>
    <w:rsid w:val="001C17FC"/>
    <w:rsid w:val="001C180E"/>
    <w:rsid w:val="001C19D2"/>
    <w:rsid w:val="001C1CEE"/>
    <w:rsid w:val="001C1CF5"/>
    <w:rsid w:val="001C1E77"/>
    <w:rsid w:val="001C2693"/>
    <w:rsid w:val="001C2A44"/>
    <w:rsid w:val="001C354E"/>
    <w:rsid w:val="001C3647"/>
    <w:rsid w:val="001C38CA"/>
    <w:rsid w:val="001C3C91"/>
    <w:rsid w:val="001C4C0B"/>
    <w:rsid w:val="001C5762"/>
    <w:rsid w:val="001C5EB8"/>
    <w:rsid w:val="001C5EBA"/>
    <w:rsid w:val="001C6B00"/>
    <w:rsid w:val="001C6EC1"/>
    <w:rsid w:val="001C762C"/>
    <w:rsid w:val="001C7DD1"/>
    <w:rsid w:val="001D000F"/>
    <w:rsid w:val="001D022A"/>
    <w:rsid w:val="001D022D"/>
    <w:rsid w:val="001D02C1"/>
    <w:rsid w:val="001D1598"/>
    <w:rsid w:val="001D19C5"/>
    <w:rsid w:val="001D1A32"/>
    <w:rsid w:val="001D1A86"/>
    <w:rsid w:val="001D1F51"/>
    <w:rsid w:val="001D26EC"/>
    <w:rsid w:val="001D2E4F"/>
    <w:rsid w:val="001D374D"/>
    <w:rsid w:val="001D3AAF"/>
    <w:rsid w:val="001D3F19"/>
    <w:rsid w:val="001D4599"/>
    <w:rsid w:val="001D5727"/>
    <w:rsid w:val="001D609D"/>
    <w:rsid w:val="001D61B9"/>
    <w:rsid w:val="001D6A9E"/>
    <w:rsid w:val="001D6EC5"/>
    <w:rsid w:val="001D7B2A"/>
    <w:rsid w:val="001D7FB5"/>
    <w:rsid w:val="001E05D9"/>
    <w:rsid w:val="001E1284"/>
    <w:rsid w:val="001E2056"/>
    <w:rsid w:val="001E20CE"/>
    <w:rsid w:val="001E2F28"/>
    <w:rsid w:val="001E350E"/>
    <w:rsid w:val="001E380B"/>
    <w:rsid w:val="001E42D2"/>
    <w:rsid w:val="001E4600"/>
    <w:rsid w:val="001E4611"/>
    <w:rsid w:val="001E4C3A"/>
    <w:rsid w:val="001E4C73"/>
    <w:rsid w:val="001E4C79"/>
    <w:rsid w:val="001E4FE7"/>
    <w:rsid w:val="001E504D"/>
    <w:rsid w:val="001E511C"/>
    <w:rsid w:val="001E5DBD"/>
    <w:rsid w:val="001E5FD5"/>
    <w:rsid w:val="001E6C8C"/>
    <w:rsid w:val="001E6D22"/>
    <w:rsid w:val="001E6D6D"/>
    <w:rsid w:val="001E7236"/>
    <w:rsid w:val="001E7500"/>
    <w:rsid w:val="001E7552"/>
    <w:rsid w:val="001E7637"/>
    <w:rsid w:val="001E7812"/>
    <w:rsid w:val="001E7E41"/>
    <w:rsid w:val="001F0206"/>
    <w:rsid w:val="001F0208"/>
    <w:rsid w:val="001F0257"/>
    <w:rsid w:val="001F0977"/>
    <w:rsid w:val="001F0C65"/>
    <w:rsid w:val="001F0FE5"/>
    <w:rsid w:val="001F1407"/>
    <w:rsid w:val="001F1518"/>
    <w:rsid w:val="001F1B4B"/>
    <w:rsid w:val="001F1E17"/>
    <w:rsid w:val="001F1E61"/>
    <w:rsid w:val="001F2B60"/>
    <w:rsid w:val="001F36D8"/>
    <w:rsid w:val="001F3956"/>
    <w:rsid w:val="001F3FD3"/>
    <w:rsid w:val="001F4006"/>
    <w:rsid w:val="001F49E2"/>
    <w:rsid w:val="001F5451"/>
    <w:rsid w:val="001F5727"/>
    <w:rsid w:val="001F5949"/>
    <w:rsid w:val="001F5E8F"/>
    <w:rsid w:val="001F5EAE"/>
    <w:rsid w:val="001F62B6"/>
    <w:rsid w:val="001F62DB"/>
    <w:rsid w:val="001F6500"/>
    <w:rsid w:val="001F66EB"/>
    <w:rsid w:val="001F693A"/>
    <w:rsid w:val="001F69E8"/>
    <w:rsid w:val="002002A9"/>
    <w:rsid w:val="002003F2"/>
    <w:rsid w:val="0020046C"/>
    <w:rsid w:val="002009BB"/>
    <w:rsid w:val="00200A0A"/>
    <w:rsid w:val="00200A7A"/>
    <w:rsid w:val="00200E71"/>
    <w:rsid w:val="002010D6"/>
    <w:rsid w:val="00201388"/>
    <w:rsid w:val="00201718"/>
    <w:rsid w:val="00201796"/>
    <w:rsid w:val="00201973"/>
    <w:rsid w:val="00201CC9"/>
    <w:rsid w:val="00202280"/>
    <w:rsid w:val="00202653"/>
    <w:rsid w:val="002033AC"/>
    <w:rsid w:val="00203A48"/>
    <w:rsid w:val="002042F2"/>
    <w:rsid w:val="00204C00"/>
    <w:rsid w:val="00205B52"/>
    <w:rsid w:val="00206074"/>
    <w:rsid w:val="0020634D"/>
    <w:rsid w:val="00206629"/>
    <w:rsid w:val="00206691"/>
    <w:rsid w:val="002067E6"/>
    <w:rsid w:val="00207398"/>
    <w:rsid w:val="002077C1"/>
    <w:rsid w:val="00207A8D"/>
    <w:rsid w:val="00207B1D"/>
    <w:rsid w:val="00210350"/>
    <w:rsid w:val="002108D5"/>
    <w:rsid w:val="00210965"/>
    <w:rsid w:val="00210BB1"/>
    <w:rsid w:val="00210DF5"/>
    <w:rsid w:val="002110CB"/>
    <w:rsid w:val="002113A7"/>
    <w:rsid w:val="00211470"/>
    <w:rsid w:val="00211883"/>
    <w:rsid w:val="002126AA"/>
    <w:rsid w:val="00212C3E"/>
    <w:rsid w:val="002132E9"/>
    <w:rsid w:val="002135DB"/>
    <w:rsid w:val="0021370C"/>
    <w:rsid w:val="00213828"/>
    <w:rsid w:val="002139CE"/>
    <w:rsid w:val="00213E5A"/>
    <w:rsid w:val="00214249"/>
    <w:rsid w:val="00214C39"/>
    <w:rsid w:val="00214CCB"/>
    <w:rsid w:val="00214EDE"/>
    <w:rsid w:val="00215157"/>
    <w:rsid w:val="00215642"/>
    <w:rsid w:val="002158E9"/>
    <w:rsid w:val="00215BCC"/>
    <w:rsid w:val="00215EE1"/>
    <w:rsid w:val="0021665A"/>
    <w:rsid w:val="002168A2"/>
    <w:rsid w:val="00216C1F"/>
    <w:rsid w:val="002171BE"/>
    <w:rsid w:val="002174BF"/>
    <w:rsid w:val="00217B71"/>
    <w:rsid w:val="00220204"/>
    <w:rsid w:val="00220347"/>
    <w:rsid w:val="0022058A"/>
    <w:rsid w:val="00220806"/>
    <w:rsid w:val="00220A9B"/>
    <w:rsid w:val="00220AC6"/>
    <w:rsid w:val="00220AFF"/>
    <w:rsid w:val="002211C9"/>
    <w:rsid w:val="002211D4"/>
    <w:rsid w:val="002211EF"/>
    <w:rsid w:val="0022131D"/>
    <w:rsid w:val="00221496"/>
    <w:rsid w:val="00221E8C"/>
    <w:rsid w:val="00222015"/>
    <w:rsid w:val="0022238F"/>
    <w:rsid w:val="00222396"/>
    <w:rsid w:val="00222CD6"/>
    <w:rsid w:val="00222FFA"/>
    <w:rsid w:val="002230EA"/>
    <w:rsid w:val="0022367A"/>
    <w:rsid w:val="00223B5A"/>
    <w:rsid w:val="00223CAB"/>
    <w:rsid w:val="002242CE"/>
    <w:rsid w:val="0022446F"/>
    <w:rsid w:val="00224752"/>
    <w:rsid w:val="00224B1B"/>
    <w:rsid w:val="00224D63"/>
    <w:rsid w:val="00224F91"/>
    <w:rsid w:val="00225639"/>
    <w:rsid w:val="002256A6"/>
    <w:rsid w:val="002257D1"/>
    <w:rsid w:val="002258ED"/>
    <w:rsid w:val="0022608F"/>
    <w:rsid w:val="002269BF"/>
    <w:rsid w:val="0023054F"/>
    <w:rsid w:val="002306D2"/>
    <w:rsid w:val="00230E40"/>
    <w:rsid w:val="00231522"/>
    <w:rsid w:val="002315E7"/>
    <w:rsid w:val="00231951"/>
    <w:rsid w:val="00231D72"/>
    <w:rsid w:val="00231EEA"/>
    <w:rsid w:val="00232319"/>
    <w:rsid w:val="00232546"/>
    <w:rsid w:val="002336BC"/>
    <w:rsid w:val="00233735"/>
    <w:rsid w:val="002345EC"/>
    <w:rsid w:val="002346B8"/>
    <w:rsid w:val="00235062"/>
    <w:rsid w:val="002356F8"/>
    <w:rsid w:val="00235E18"/>
    <w:rsid w:val="00236002"/>
    <w:rsid w:val="002366E7"/>
    <w:rsid w:val="002370A3"/>
    <w:rsid w:val="00237223"/>
    <w:rsid w:val="002374CB"/>
    <w:rsid w:val="0023773E"/>
    <w:rsid w:val="00237823"/>
    <w:rsid w:val="00237B31"/>
    <w:rsid w:val="00237CA1"/>
    <w:rsid w:val="00237D7D"/>
    <w:rsid w:val="00237FF9"/>
    <w:rsid w:val="002404E5"/>
    <w:rsid w:val="00240510"/>
    <w:rsid w:val="002405F3"/>
    <w:rsid w:val="002408DD"/>
    <w:rsid w:val="00240E66"/>
    <w:rsid w:val="00241DC7"/>
    <w:rsid w:val="00242162"/>
    <w:rsid w:val="0024263C"/>
    <w:rsid w:val="00242657"/>
    <w:rsid w:val="00242A8D"/>
    <w:rsid w:val="002439E3"/>
    <w:rsid w:val="00244228"/>
    <w:rsid w:val="00244567"/>
    <w:rsid w:val="00244863"/>
    <w:rsid w:val="00244A55"/>
    <w:rsid w:val="00244CA7"/>
    <w:rsid w:val="00245210"/>
    <w:rsid w:val="002453B6"/>
    <w:rsid w:val="00245700"/>
    <w:rsid w:val="002458EB"/>
    <w:rsid w:val="00245992"/>
    <w:rsid w:val="00245A03"/>
    <w:rsid w:val="00245C52"/>
    <w:rsid w:val="002463DF"/>
    <w:rsid w:val="00246AB1"/>
    <w:rsid w:val="00246E3C"/>
    <w:rsid w:val="00246FF0"/>
    <w:rsid w:val="00247272"/>
    <w:rsid w:val="00247635"/>
    <w:rsid w:val="0024783A"/>
    <w:rsid w:val="00247CEE"/>
    <w:rsid w:val="00247E68"/>
    <w:rsid w:val="002502AA"/>
    <w:rsid w:val="00250787"/>
    <w:rsid w:val="00250A8D"/>
    <w:rsid w:val="00250AE9"/>
    <w:rsid w:val="002512F2"/>
    <w:rsid w:val="002522CE"/>
    <w:rsid w:val="00252393"/>
    <w:rsid w:val="002523DE"/>
    <w:rsid w:val="002526BE"/>
    <w:rsid w:val="00253148"/>
    <w:rsid w:val="00253538"/>
    <w:rsid w:val="002545A6"/>
    <w:rsid w:val="0025556F"/>
    <w:rsid w:val="002555FE"/>
    <w:rsid w:val="00255950"/>
    <w:rsid w:val="00255CF2"/>
    <w:rsid w:val="00255D5D"/>
    <w:rsid w:val="00256388"/>
    <w:rsid w:val="00257469"/>
    <w:rsid w:val="00257543"/>
    <w:rsid w:val="00257555"/>
    <w:rsid w:val="0025786B"/>
    <w:rsid w:val="00257895"/>
    <w:rsid w:val="00257EDF"/>
    <w:rsid w:val="002605C1"/>
    <w:rsid w:val="00260FCD"/>
    <w:rsid w:val="00261049"/>
    <w:rsid w:val="00261A03"/>
    <w:rsid w:val="00261AE2"/>
    <w:rsid w:val="00261B96"/>
    <w:rsid w:val="00262526"/>
    <w:rsid w:val="00262CB7"/>
    <w:rsid w:val="00262E5C"/>
    <w:rsid w:val="002631D4"/>
    <w:rsid w:val="00263D73"/>
    <w:rsid w:val="00264377"/>
    <w:rsid w:val="002643CC"/>
    <w:rsid w:val="00264938"/>
    <w:rsid w:val="00264C74"/>
    <w:rsid w:val="00264EBB"/>
    <w:rsid w:val="002651F3"/>
    <w:rsid w:val="0026566D"/>
    <w:rsid w:val="0026568C"/>
    <w:rsid w:val="002656EE"/>
    <w:rsid w:val="00265D1F"/>
    <w:rsid w:val="0026689B"/>
    <w:rsid w:val="00266C6B"/>
    <w:rsid w:val="00266DC7"/>
    <w:rsid w:val="00266FD5"/>
    <w:rsid w:val="002679B7"/>
    <w:rsid w:val="00270B9F"/>
    <w:rsid w:val="00270FF6"/>
    <w:rsid w:val="0027104A"/>
    <w:rsid w:val="002715D1"/>
    <w:rsid w:val="00271AF8"/>
    <w:rsid w:val="00271C94"/>
    <w:rsid w:val="00272790"/>
    <w:rsid w:val="002727E8"/>
    <w:rsid w:val="00272A86"/>
    <w:rsid w:val="00272C7A"/>
    <w:rsid w:val="00272FBF"/>
    <w:rsid w:val="002731FA"/>
    <w:rsid w:val="002733C8"/>
    <w:rsid w:val="00273545"/>
    <w:rsid w:val="00273626"/>
    <w:rsid w:val="00273CA4"/>
    <w:rsid w:val="00273D3C"/>
    <w:rsid w:val="00274224"/>
    <w:rsid w:val="00274547"/>
    <w:rsid w:val="002749E7"/>
    <w:rsid w:val="00275F0C"/>
    <w:rsid w:val="0027600E"/>
    <w:rsid w:val="00276820"/>
    <w:rsid w:val="002769EC"/>
    <w:rsid w:val="00277273"/>
    <w:rsid w:val="00277BA7"/>
    <w:rsid w:val="00280041"/>
    <w:rsid w:val="00280335"/>
    <w:rsid w:val="002805AA"/>
    <w:rsid w:val="00280D96"/>
    <w:rsid w:val="002813D8"/>
    <w:rsid w:val="00281532"/>
    <w:rsid w:val="00281A17"/>
    <w:rsid w:val="00281F3C"/>
    <w:rsid w:val="00282450"/>
    <w:rsid w:val="00282D8D"/>
    <w:rsid w:val="00283007"/>
    <w:rsid w:val="00284178"/>
    <w:rsid w:val="00284D93"/>
    <w:rsid w:val="0028525B"/>
    <w:rsid w:val="002852AA"/>
    <w:rsid w:val="00285560"/>
    <w:rsid w:val="0028578B"/>
    <w:rsid w:val="00285A06"/>
    <w:rsid w:val="002860FA"/>
    <w:rsid w:val="00286AB0"/>
    <w:rsid w:val="00286CB2"/>
    <w:rsid w:val="00286CD1"/>
    <w:rsid w:val="0028726D"/>
    <w:rsid w:val="0028743E"/>
    <w:rsid w:val="00287DD1"/>
    <w:rsid w:val="002901C3"/>
    <w:rsid w:val="00290A79"/>
    <w:rsid w:val="00290A85"/>
    <w:rsid w:val="00290AAE"/>
    <w:rsid w:val="00290BC2"/>
    <w:rsid w:val="00290F38"/>
    <w:rsid w:val="0029125D"/>
    <w:rsid w:val="002917FF"/>
    <w:rsid w:val="002919D3"/>
    <w:rsid w:val="00291F8D"/>
    <w:rsid w:val="00292283"/>
    <w:rsid w:val="00292444"/>
    <w:rsid w:val="00292AE6"/>
    <w:rsid w:val="00292DDE"/>
    <w:rsid w:val="00292ECC"/>
    <w:rsid w:val="00293223"/>
    <w:rsid w:val="00293299"/>
    <w:rsid w:val="002934EF"/>
    <w:rsid w:val="00293ECA"/>
    <w:rsid w:val="00294355"/>
    <w:rsid w:val="0029465A"/>
    <w:rsid w:val="00294899"/>
    <w:rsid w:val="002948C1"/>
    <w:rsid w:val="00294948"/>
    <w:rsid w:val="00296161"/>
    <w:rsid w:val="002962E5"/>
    <w:rsid w:val="00296336"/>
    <w:rsid w:val="0029638D"/>
    <w:rsid w:val="002965E1"/>
    <w:rsid w:val="00296884"/>
    <w:rsid w:val="00296F47"/>
    <w:rsid w:val="00297277"/>
    <w:rsid w:val="0029743D"/>
    <w:rsid w:val="002977DB"/>
    <w:rsid w:val="00297B2B"/>
    <w:rsid w:val="002A01CB"/>
    <w:rsid w:val="002A12B4"/>
    <w:rsid w:val="002A13CF"/>
    <w:rsid w:val="002A1517"/>
    <w:rsid w:val="002A2046"/>
    <w:rsid w:val="002A263E"/>
    <w:rsid w:val="002A2F15"/>
    <w:rsid w:val="002A35F3"/>
    <w:rsid w:val="002A36E4"/>
    <w:rsid w:val="002A372D"/>
    <w:rsid w:val="002A3B8C"/>
    <w:rsid w:val="002A3BA7"/>
    <w:rsid w:val="002A468C"/>
    <w:rsid w:val="002A4A19"/>
    <w:rsid w:val="002A4B5B"/>
    <w:rsid w:val="002A50FA"/>
    <w:rsid w:val="002A530D"/>
    <w:rsid w:val="002A5D01"/>
    <w:rsid w:val="002A724F"/>
    <w:rsid w:val="002A7C16"/>
    <w:rsid w:val="002A7F53"/>
    <w:rsid w:val="002B0366"/>
    <w:rsid w:val="002B06EF"/>
    <w:rsid w:val="002B1133"/>
    <w:rsid w:val="002B1615"/>
    <w:rsid w:val="002B2579"/>
    <w:rsid w:val="002B28A9"/>
    <w:rsid w:val="002B29AC"/>
    <w:rsid w:val="002B2DBB"/>
    <w:rsid w:val="002B300F"/>
    <w:rsid w:val="002B3125"/>
    <w:rsid w:val="002B312C"/>
    <w:rsid w:val="002B32E9"/>
    <w:rsid w:val="002B3472"/>
    <w:rsid w:val="002B4062"/>
    <w:rsid w:val="002B40AD"/>
    <w:rsid w:val="002B41B7"/>
    <w:rsid w:val="002B437A"/>
    <w:rsid w:val="002B4AA6"/>
    <w:rsid w:val="002B574B"/>
    <w:rsid w:val="002B645E"/>
    <w:rsid w:val="002B6C02"/>
    <w:rsid w:val="002B6D88"/>
    <w:rsid w:val="002B7A3B"/>
    <w:rsid w:val="002B7B3D"/>
    <w:rsid w:val="002C0152"/>
    <w:rsid w:val="002C03C7"/>
    <w:rsid w:val="002C0556"/>
    <w:rsid w:val="002C180F"/>
    <w:rsid w:val="002C1935"/>
    <w:rsid w:val="002C1B54"/>
    <w:rsid w:val="002C1C34"/>
    <w:rsid w:val="002C2913"/>
    <w:rsid w:val="002C2B14"/>
    <w:rsid w:val="002C2FB2"/>
    <w:rsid w:val="002C3055"/>
    <w:rsid w:val="002C37C3"/>
    <w:rsid w:val="002C37E6"/>
    <w:rsid w:val="002C3852"/>
    <w:rsid w:val="002C38BE"/>
    <w:rsid w:val="002C3BBD"/>
    <w:rsid w:val="002C4351"/>
    <w:rsid w:val="002C4547"/>
    <w:rsid w:val="002C4808"/>
    <w:rsid w:val="002C519D"/>
    <w:rsid w:val="002C529F"/>
    <w:rsid w:val="002C5504"/>
    <w:rsid w:val="002C58E2"/>
    <w:rsid w:val="002C648C"/>
    <w:rsid w:val="002C655C"/>
    <w:rsid w:val="002C6B94"/>
    <w:rsid w:val="002C6D1D"/>
    <w:rsid w:val="002C7419"/>
    <w:rsid w:val="002C7B0E"/>
    <w:rsid w:val="002C7CBD"/>
    <w:rsid w:val="002D0025"/>
    <w:rsid w:val="002D027A"/>
    <w:rsid w:val="002D0431"/>
    <w:rsid w:val="002D09A7"/>
    <w:rsid w:val="002D11C6"/>
    <w:rsid w:val="002D17A0"/>
    <w:rsid w:val="002D1A2F"/>
    <w:rsid w:val="002D23B2"/>
    <w:rsid w:val="002D245A"/>
    <w:rsid w:val="002D24A9"/>
    <w:rsid w:val="002D2B4E"/>
    <w:rsid w:val="002D2E9B"/>
    <w:rsid w:val="002D33E9"/>
    <w:rsid w:val="002D35A3"/>
    <w:rsid w:val="002D3BA2"/>
    <w:rsid w:val="002D4354"/>
    <w:rsid w:val="002D4410"/>
    <w:rsid w:val="002D45AB"/>
    <w:rsid w:val="002D4965"/>
    <w:rsid w:val="002D498A"/>
    <w:rsid w:val="002D4D6F"/>
    <w:rsid w:val="002D4D92"/>
    <w:rsid w:val="002D4DB1"/>
    <w:rsid w:val="002D506F"/>
    <w:rsid w:val="002D515E"/>
    <w:rsid w:val="002D5169"/>
    <w:rsid w:val="002D51AF"/>
    <w:rsid w:val="002D58A5"/>
    <w:rsid w:val="002D5AC9"/>
    <w:rsid w:val="002D614E"/>
    <w:rsid w:val="002D6241"/>
    <w:rsid w:val="002D67A0"/>
    <w:rsid w:val="002D68F5"/>
    <w:rsid w:val="002D6FE3"/>
    <w:rsid w:val="002D7385"/>
    <w:rsid w:val="002D74CF"/>
    <w:rsid w:val="002D754D"/>
    <w:rsid w:val="002D77B2"/>
    <w:rsid w:val="002D7928"/>
    <w:rsid w:val="002D7E3B"/>
    <w:rsid w:val="002D7EDD"/>
    <w:rsid w:val="002E045A"/>
    <w:rsid w:val="002E0A9B"/>
    <w:rsid w:val="002E0F8A"/>
    <w:rsid w:val="002E287B"/>
    <w:rsid w:val="002E3CF1"/>
    <w:rsid w:val="002E3F45"/>
    <w:rsid w:val="002E474F"/>
    <w:rsid w:val="002E48DD"/>
    <w:rsid w:val="002E49B5"/>
    <w:rsid w:val="002E4CBF"/>
    <w:rsid w:val="002E5347"/>
    <w:rsid w:val="002E535C"/>
    <w:rsid w:val="002E5D24"/>
    <w:rsid w:val="002E6503"/>
    <w:rsid w:val="002E6965"/>
    <w:rsid w:val="002E6A52"/>
    <w:rsid w:val="002E6E34"/>
    <w:rsid w:val="002E7050"/>
    <w:rsid w:val="002E730B"/>
    <w:rsid w:val="002E734B"/>
    <w:rsid w:val="002E7910"/>
    <w:rsid w:val="002E7BC9"/>
    <w:rsid w:val="002E7C77"/>
    <w:rsid w:val="002F04B1"/>
    <w:rsid w:val="002F05B1"/>
    <w:rsid w:val="002F1162"/>
    <w:rsid w:val="002F1536"/>
    <w:rsid w:val="002F15F9"/>
    <w:rsid w:val="002F166A"/>
    <w:rsid w:val="002F1B22"/>
    <w:rsid w:val="002F1B98"/>
    <w:rsid w:val="002F1BEF"/>
    <w:rsid w:val="002F1F5A"/>
    <w:rsid w:val="002F2372"/>
    <w:rsid w:val="002F2784"/>
    <w:rsid w:val="002F299A"/>
    <w:rsid w:val="002F2F0C"/>
    <w:rsid w:val="002F2FA9"/>
    <w:rsid w:val="002F31D1"/>
    <w:rsid w:val="002F347E"/>
    <w:rsid w:val="002F3569"/>
    <w:rsid w:val="002F35C2"/>
    <w:rsid w:val="002F35E7"/>
    <w:rsid w:val="002F391F"/>
    <w:rsid w:val="002F3EF7"/>
    <w:rsid w:val="002F40BB"/>
    <w:rsid w:val="002F4369"/>
    <w:rsid w:val="002F4474"/>
    <w:rsid w:val="002F44E5"/>
    <w:rsid w:val="002F52B0"/>
    <w:rsid w:val="002F55BC"/>
    <w:rsid w:val="002F56AA"/>
    <w:rsid w:val="002F6000"/>
    <w:rsid w:val="002F6271"/>
    <w:rsid w:val="002F64EF"/>
    <w:rsid w:val="002F72D7"/>
    <w:rsid w:val="002F767E"/>
    <w:rsid w:val="002F7A7E"/>
    <w:rsid w:val="003003EF"/>
    <w:rsid w:val="00300835"/>
    <w:rsid w:val="00300C39"/>
    <w:rsid w:val="00300DED"/>
    <w:rsid w:val="0030125A"/>
    <w:rsid w:val="003014ED"/>
    <w:rsid w:val="00301541"/>
    <w:rsid w:val="00302116"/>
    <w:rsid w:val="00302311"/>
    <w:rsid w:val="003027F3"/>
    <w:rsid w:val="00302A5E"/>
    <w:rsid w:val="00302BB8"/>
    <w:rsid w:val="00302D79"/>
    <w:rsid w:val="0030320B"/>
    <w:rsid w:val="003036AA"/>
    <w:rsid w:val="003037AC"/>
    <w:rsid w:val="0030468C"/>
    <w:rsid w:val="0030470D"/>
    <w:rsid w:val="0030477A"/>
    <w:rsid w:val="00304BFC"/>
    <w:rsid w:val="00304C3F"/>
    <w:rsid w:val="003050F8"/>
    <w:rsid w:val="00305AB0"/>
    <w:rsid w:val="00305E85"/>
    <w:rsid w:val="00305FB5"/>
    <w:rsid w:val="00306797"/>
    <w:rsid w:val="0030697E"/>
    <w:rsid w:val="00307768"/>
    <w:rsid w:val="00307F26"/>
    <w:rsid w:val="003100CC"/>
    <w:rsid w:val="0031017F"/>
    <w:rsid w:val="00310674"/>
    <w:rsid w:val="00310907"/>
    <w:rsid w:val="00310A28"/>
    <w:rsid w:val="00311230"/>
    <w:rsid w:val="0031187C"/>
    <w:rsid w:val="00311953"/>
    <w:rsid w:val="00311F2A"/>
    <w:rsid w:val="0031233A"/>
    <w:rsid w:val="0031279E"/>
    <w:rsid w:val="00312E42"/>
    <w:rsid w:val="0031331C"/>
    <w:rsid w:val="00313A9E"/>
    <w:rsid w:val="00313F4F"/>
    <w:rsid w:val="003140CA"/>
    <w:rsid w:val="0031457C"/>
    <w:rsid w:val="00314677"/>
    <w:rsid w:val="00314CEA"/>
    <w:rsid w:val="00314D09"/>
    <w:rsid w:val="00315172"/>
    <w:rsid w:val="003167C7"/>
    <w:rsid w:val="003170D5"/>
    <w:rsid w:val="00317A85"/>
    <w:rsid w:val="00317AC3"/>
    <w:rsid w:val="00317B28"/>
    <w:rsid w:val="00317D4B"/>
    <w:rsid w:val="00317F10"/>
    <w:rsid w:val="003204E8"/>
    <w:rsid w:val="003206CC"/>
    <w:rsid w:val="003206CE"/>
    <w:rsid w:val="00320858"/>
    <w:rsid w:val="00320AFF"/>
    <w:rsid w:val="00321121"/>
    <w:rsid w:val="00321453"/>
    <w:rsid w:val="0032149C"/>
    <w:rsid w:val="003216EE"/>
    <w:rsid w:val="00321A06"/>
    <w:rsid w:val="00321E14"/>
    <w:rsid w:val="00322351"/>
    <w:rsid w:val="00322A7E"/>
    <w:rsid w:val="00322F45"/>
    <w:rsid w:val="0032339D"/>
    <w:rsid w:val="003236DA"/>
    <w:rsid w:val="00323792"/>
    <w:rsid w:val="00323CBA"/>
    <w:rsid w:val="00323F89"/>
    <w:rsid w:val="003244B8"/>
    <w:rsid w:val="00325167"/>
    <w:rsid w:val="00325D90"/>
    <w:rsid w:val="00325E4E"/>
    <w:rsid w:val="00326145"/>
    <w:rsid w:val="0032645A"/>
    <w:rsid w:val="003267EE"/>
    <w:rsid w:val="00326D8D"/>
    <w:rsid w:val="00327AAF"/>
    <w:rsid w:val="00330121"/>
    <w:rsid w:val="00330740"/>
    <w:rsid w:val="00330A41"/>
    <w:rsid w:val="00330F58"/>
    <w:rsid w:val="003314E3"/>
    <w:rsid w:val="00331B5A"/>
    <w:rsid w:val="00331C5B"/>
    <w:rsid w:val="00331E18"/>
    <w:rsid w:val="00332967"/>
    <w:rsid w:val="0033379C"/>
    <w:rsid w:val="003339FE"/>
    <w:rsid w:val="00333B28"/>
    <w:rsid w:val="00333C78"/>
    <w:rsid w:val="00333F48"/>
    <w:rsid w:val="00333F5C"/>
    <w:rsid w:val="0033439C"/>
    <w:rsid w:val="00334883"/>
    <w:rsid w:val="00334899"/>
    <w:rsid w:val="003349EA"/>
    <w:rsid w:val="00334C03"/>
    <w:rsid w:val="00334E3B"/>
    <w:rsid w:val="003357D1"/>
    <w:rsid w:val="00335C07"/>
    <w:rsid w:val="003360D8"/>
    <w:rsid w:val="0033611C"/>
    <w:rsid w:val="003362DA"/>
    <w:rsid w:val="003364FF"/>
    <w:rsid w:val="003368C0"/>
    <w:rsid w:val="0033709E"/>
    <w:rsid w:val="003370C2"/>
    <w:rsid w:val="00337141"/>
    <w:rsid w:val="00337E5D"/>
    <w:rsid w:val="00337F28"/>
    <w:rsid w:val="003401A3"/>
    <w:rsid w:val="00341176"/>
    <w:rsid w:val="00341177"/>
    <w:rsid w:val="003411B4"/>
    <w:rsid w:val="00341299"/>
    <w:rsid w:val="00341570"/>
    <w:rsid w:val="00341BB6"/>
    <w:rsid w:val="00342274"/>
    <w:rsid w:val="0034274E"/>
    <w:rsid w:val="00342964"/>
    <w:rsid w:val="003429DA"/>
    <w:rsid w:val="0034333E"/>
    <w:rsid w:val="003434B8"/>
    <w:rsid w:val="00344525"/>
    <w:rsid w:val="00344702"/>
    <w:rsid w:val="00344C2E"/>
    <w:rsid w:val="003455E4"/>
    <w:rsid w:val="00345771"/>
    <w:rsid w:val="00345CBF"/>
    <w:rsid w:val="00346071"/>
    <w:rsid w:val="00346927"/>
    <w:rsid w:val="00346FC0"/>
    <w:rsid w:val="00347190"/>
    <w:rsid w:val="003478E8"/>
    <w:rsid w:val="003479FE"/>
    <w:rsid w:val="00347B63"/>
    <w:rsid w:val="00347E26"/>
    <w:rsid w:val="00350A47"/>
    <w:rsid w:val="00350C27"/>
    <w:rsid w:val="00350E1C"/>
    <w:rsid w:val="00350E24"/>
    <w:rsid w:val="00351536"/>
    <w:rsid w:val="00351642"/>
    <w:rsid w:val="00351A77"/>
    <w:rsid w:val="00351B0B"/>
    <w:rsid w:val="003520EE"/>
    <w:rsid w:val="003521FB"/>
    <w:rsid w:val="003526A3"/>
    <w:rsid w:val="0035272D"/>
    <w:rsid w:val="0035276D"/>
    <w:rsid w:val="00352F7F"/>
    <w:rsid w:val="0035368A"/>
    <w:rsid w:val="003540F8"/>
    <w:rsid w:val="003545FB"/>
    <w:rsid w:val="003552A3"/>
    <w:rsid w:val="00355A68"/>
    <w:rsid w:val="00355DE1"/>
    <w:rsid w:val="0035600B"/>
    <w:rsid w:val="003560D6"/>
    <w:rsid w:val="003561BC"/>
    <w:rsid w:val="00356272"/>
    <w:rsid w:val="003566FB"/>
    <w:rsid w:val="00356BCE"/>
    <w:rsid w:val="00356F76"/>
    <w:rsid w:val="00357321"/>
    <w:rsid w:val="00360861"/>
    <w:rsid w:val="0036096A"/>
    <w:rsid w:val="00360A58"/>
    <w:rsid w:val="00361668"/>
    <w:rsid w:val="003618C5"/>
    <w:rsid w:val="00362213"/>
    <w:rsid w:val="003624A5"/>
    <w:rsid w:val="00363841"/>
    <w:rsid w:val="00363A2E"/>
    <w:rsid w:val="003640D4"/>
    <w:rsid w:val="003650F1"/>
    <w:rsid w:val="0036537A"/>
    <w:rsid w:val="00365C34"/>
    <w:rsid w:val="003661E7"/>
    <w:rsid w:val="00366A06"/>
    <w:rsid w:val="00366BF8"/>
    <w:rsid w:val="0036708C"/>
    <w:rsid w:val="0036711E"/>
    <w:rsid w:val="003673CE"/>
    <w:rsid w:val="003702B8"/>
    <w:rsid w:val="00370C2A"/>
    <w:rsid w:val="00370DFD"/>
    <w:rsid w:val="00370E04"/>
    <w:rsid w:val="00370F4B"/>
    <w:rsid w:val="0037115B"/>
    <w:rsid w:val="00371D2A"/>
    <w:rsid w:val="00372423"/>
    <w:rsid w:val="003724A1"/>
    <w:rsid w:val="00372F03"/>
    <w:rsid w:val="0037309E"/>
    <w:rsid w:val="00373676"/>
    <w:rsid w:val="00373ACC"/>
    <w:rsid w:val="00373DD4"/>
    <w:rsid w:val="0037435D"/>
    <w:rsid w:val="00374586"/>
    <w:rsid w:val="00374B35"/>
    <w:rsid w:val="0037500F"/>
    <w:rsid w:val="00375252"/>
    <w:rsid w:val="0037580E"/>
    <w:rsid w:val="003758B9"/>
    <w:rsid w:val="0037593E"/>
    <w:rsid w:val="00375C19"/>
    <w:rsid w:val="00375C6F"/>
    <w:rsid w:val="00376326"/>
    <w:rsid w:val="003769A3"/>
    <w:rsid w:val="0037773A"/>
    <w:rsid w:val="0038002C"/>
    <w:rsid w:val="003801E9"/>
    <w:rsid w:val="0038148A"/>
    <w:rsid w:val="00381946"/>
    <w:rsid w:val="00382034"/>
    <w:rsid w:val="0038243B"/>
    <w:rsid w:val="003827E6"/>
    <w:rsid w:val="00382A73"/>
    <w:rsid w:val="0038341A"/>
    <w:rsid w:val="00383848"/>
    <w:rsid w:val="0038386D"/>
    <w:rsid w:val="00383AD9"/>
    <w:rsid w:val="00383DF7"/>
    <w:rsid w:val="00384560"/>
    <w:rsid w:val="00384998"/>
    <w:rsid w:val="003853EB"/>
    <w:rsid w:val="0038598A"/>
    <w:rsid w:val="00385C57"/>
    <w:rsid w:val="00385D44"/>
    <w:rsid w:val="00385EF6"/>
    <w:rsid w:val="0038692E"/>
    <w:rsid w:val="00386AC6"/>
    <w:rsid w:val="00387519"/>
    <w:rsid w:val="003877E7"/>
    <w:rsid w:val="00387DD3"/>
    <w:rsid w:val="00387F57"/>
    <w:rsid w:val="00390992"/>
    <w:rsid w:val="00390AA6"/>
    <w:rsid w:val="00390AB3"/>
    <w:rsid w:val="00390B55"/>
    <w:rsid w:val="003910B8"/>
    <w:rsid w:val="0039123B"/>
    <w:rsid w:val="00391382"/>
    <w:rsid w:val="00391723"/>
    <w:rsid w:val="00391933"/>
    <w:rsid w:val="00391AE6"/>
    <w:rsid w:val="00392405"/>
    <w:rsid w:val="00393371"/>
    <w:rsid w:val="003934E5"/>
    <w:rsid w:val="003934F4"/>
    <w:rsid w:val="003937AE"/>
    <w:rsid w:val="00393E1A"/>
    <w:rsid w:val="00394204"/>
    <w:rsid w:val="003951E0"/>
    <w:rsid w:val="00395386"/>
    <w:rsid w:val="003959D6"/>
    <w:rsid w:val="00395C9A"/>
    <w:rsid w:val="00395E88"/>
    <w:rsid w:val="00395FCF"/>
    <w:rsid w:val="00396E3E"/>
    <w:rsid w:val="00397BE9"/>
    <w:rsid w:val="003A06C9"/>
    <w:rsid w:val="003A12B0"/>
    <w:rsid w:val="003A1462"/>
    <w:rsid w:val="003A1BDD"/>
    <w:rsid w:val="003A21BD"/>
    <w:rsid w:val="003A2212"/>
    <w:rsid w:val="003A2231"/>
    <w:rsid w:val="003A3143"/>
    <w:rsid w:val="003A34FE"/>
    <w:rsid w:val="003A3FCB"/>
    <w:rsid w:val="003A4153"/>
    <w:rsid w:val="003A4E60"/>
    <w:rsid w:val="003A4F8B"/>
    <w:rsid w:val="003A572B"/>
    <w:rsid w:val="003A6170"/>
    <w:rsid w:val="003A61A6"/>
    <w:rsid w:val="003A6315"/>
    <w:rsid w:val="003A65A1"/>
    <w:rsid w:val="003A6629"/>
    <w:rsid w:val="003A66A3"/>
    <w:rsid w:val="003A6785"/>
    <w:rsid w:val="003A6C57"/>
    <w:rsid w:val="003A70AD"/>
    <w:rsid w:val="003A74C3"/>
    <w:rsid w:val="003A754E"/>
    <w:rsid w:val="003B070B"/>
    <w:rsid w:val="003B0798"/>
    <w:rsid w:val="003B08E5"/>
    <w:rsid w:val="003B09C3"/>
    <w:rsid w:val="003B0EF9"/>
    <w:rsid w:val="003B12DD"/>
    <w:rsid w:val="003B188D"/>
    <w:rsid w:val="003B18D3"/>
    <w:rsid w:val="003B209C"/>
    <w:rsid w:val="003B3467"/>
    <w:rsid w:val="003B36CC"/>
    <w:rsid w:val="003B3741"/>
    <w:rsid w:val="003B3ABE"/>
    <w:rsid w:val="003B3BCE"/>
    <w:rsid w:val="003B3FEF"/>
    <w:rsid w:val="003B467C"/>
    <w:rsid w:val="003B4C84"/>
    <w:rsid w:val="003B4EA7"/>
    <w:rsid w:val="003B59A3"/>
    <w:rsid w:val="003B5D6B"/>
    <w:rsid w:val="003B7171"/>
    <w:rsid w:val="003B7542"/>
    <w:rsid w:val="003B762D"/>
    <w:rsid w:val="003B77AF"/>
    <w:rsid w:val="003B77D4"/>
    <w:rsid w:val="003B789C"/>
    <w:rsid w:val="003B7B4E"/>
    <w:rsid w:val="003B7DA0"/>
    <w:rsid w:val="003B7FD7"/>
    <w:rsid w:val="003C04F0"/>
    <w:rsid w:val="003C09E3"/>
    <w:rsid w:val="003C0B1F"/>
    <w:rsid w:val="003C0F77"/>
    <w:rsid w:val="003C14C4"/>
    <w:rsid w:val="003C185B"/>
    <w:rsid w:val="003C1B83"/>
    <w:rsid w:val="003C2632"/>
    <w:rsid w:val="003C342A"/>
    <w:rsid w:val="003C342D"/>
    <w:rsid w:val="003C35C9"/>
    <w:rsid w:val="003C3C3F"/>
    <w:rsid w:val="003C3ED0"/>
    <w:rsid w:val="003C4812"/>
    <w:rsid w:val="003C4B90"/>
    <w:rsid w:val="003C4E7F"/>
    <w:rsid w:val="003C50EE"/>
    <w:rsid w:val="003C5B73"/>
    <w:rsid w:val="003C60F2"/>
    <w:rsid w:val="003C6154"/>
    <w:rsid w:val="003C665A"/>
    <w:rsid w:val="003C681E"/>
    <w:rsid w:val="003C6A4B"/>
    <w:rsid w:val="003C6BC6"/>
    <w:rsid w:val="003C7D4B"/>
    <w:rsid w:val="003D00BF"/>
    <w:rsid w:val="003D0117"/>
    <w:rsid w:val="003D0813"/>
    <w:rsid w:val="003D1285"/>
    <w:rsid w:val="003D1758"/>
    <w:rsid w:val="003D20C6"/>
    <w:rsid w:val="003D211C"/>
    <w:rsid w:val="003D2146"/>
    <w:rsid w:val="003D2492"/>
    <w:rsid w:val="003D2676"/>
    <w:rsid w:val="003D28B8"/>
    <w:rsid w:val="003D3B82"/>
    <w:rsid w:val="003D3DE4"/>
    <w:rsid w:val="003D42ED"/>
    <w:rsid w:val="003D437A"/>
    <w:rsid w:val="003D47EC"/>
    <w:rsid w:val="003D4C9E"/>
    <w:rsid w:val="003D4E5B"/>
    <w:rsid w:val="003D4E6A"/>
    <w:rsid w:val="003D55E5"/>
    <w:rsid w:val="003D74E0"/>
    <w:rsid w:val="003D7ADC"/>
    <w:rsid w:val="003E07E5"/>
    <w:rsid w:val="003E0D95"/>
    <w:rsid w:val="003E19DA"/>
    <w:rsid w:val="003E1E49"/>
    <w:rsid w:val="003E252B"/>
    <w:rsid w:val="003E2E6C"/>
    <w:rsid w:val="003E314E"/>
    <w:rsid w:val="003E345F"/>
    <w:rsid w:val="003E3487"/>
    <w:rsid w:val="003E3701"/>
    <w:rsid w:val="003E4C0F"/>
    <w:rsid w:val="003E4DD4"/>
    <w:rsid w:val="003E4E82"/>
    <w:rsid w:val="003E5077"/>
    <w:rsid w:val="003E5390"/>
    <w:rsid w:val="003E59D8"/>
    <w:rsid w:val="003E5B53"/>
    <w:rsid w:val="003E5C36"/>
    <w:rsid w:val="003E5D2C"/>
    <w:rsid w:val="003E623C"/>
    <w:rsid w:val="003E680C"/>
    <w:rsid w:val="003E680D"/>
    <w:rsid w:val="003E6CEA"/>
    <w:rsid w:val="003E6FC9"/>
    <w:rsid w:val="003E740E"/>
    <w:rsid w:val="003E79B8"/>
    <w:rsid w:val="003E7C3C"/>
    <w:rsid w:val="003E7CBA"/>
    <w:rsid w:val="003E7E59"/>
    <w:rsid w:val="003F0127"/>
    <w:rsid w:val="003F08B4"/>
    <w:rsid w:val="003F0B5E"/>
    <w:rsid w:val="003F0BFA"/>
    <w:rsid w:val="003F15E0"/>
    <w:rsid w:val="003F1C9F"/>
    <w:rsid w:val="003F1D6A"/>
    <w:rsid w:val="003F20AA"/>
    <w:rsid w:val="003F220B"/>
    <w:rsid w:val="003F23D6"/>
    <w:rsid w:val="003F2814"/>
    <w:rsid w:val="003F28FD"/>
    <w:rsid w:val="003F2D8C"/>
    <w:rsid w:val="003F2FB1"/>
    <w:rsid w:val="003F403E"/>
    <w:rsid w:val="003F449D"/>
    <w:rsid w:val="003F4FBA"/>
    <w:rsid w:val="003F5487"/>
    <w:rsid w:val="003F5E39"/>
    <w:rsid w:val="003F5EDC"/>
    <w:rsid w:val="003F6490"/>
    <w:rsid w:val="003F651F"/>
    <w:rsid w:val="003F69F7"/>
    <w:rsid w:val="003F6D39"/>
    <w:rsid w:val="003F7353"/>
    <w:rsid w:val="003F76FF"/>
    <w:rsid w:val="003F789F"/>
    <w:rsid w:val="003F7F0B"/>
    <w:rsid w:val="00400D2D"/>
    <w:rsid w:val="00401019"/>
    <w:rsid w:val="00401AD4"/>
    <w:rsid w:val="004026DC"/>
    <w:rsid w:val="00402706"/>
    <w:rsid w:val="00402A23"/>
    <w:rsid w:val="00402D2A"/>
    <w:rsid w:val="00403179"/>
    <w:rsid w:val="0040328E"/>
    <w:rsid w:val="004035CD"/>
    <w:rsid w:val="004036F2"/>
    <w:rsid w:val="00403859"/>
    <w:rsid w:val="00403E50"/>
    <w:rsid w:val="00404106"/>
    <w:rsid w:val="00404201"/>
    <w:rsid w:val="00404498"/>
    <w:rsid w:val="00404DA4"/>
    <w:rsid w:val="00404F8B"/>
    <w:rsid w:val="0040510B"/>
    <w:rsid w:val="00405925"/>
    <w:rsid w:val="00405C9C"/>
    <w:rsid w:val="00405F92"/>
    <w:rsid w:val="00406088"/>
    <w:rsid w:val="00406D62"/>
    <w:rsid w:val="00407F6F"/>
    <w:rsid w:val="00410B2F"/>
    <w:rsid w:val="00410C5C"/>
    <w:rsid w:val="00410E7E"/>
    <w:rsid w:val="00410EB9"/>
    <w:rsid w:val="004118F9"/>
    <w:rsid w:val="00411B7C"/>
    <w:rsid w:val="004123D6"/>
    <w:rsid w:val="004123D7"/>
    <w:rsid w:val="004124A6"/>
    <w:rsid w:val="004127AF"/>
    <w:rsid w:val="004135CB"/>
    <w:rsid w:val="00413C67"/>
    <w:rsid w:val="00413C8F"/>
    <w:rsid w:val="00414D05"/>
    <w:rsid w:val="00415838"/>
    <w:rsid w:val="00415E56"/>
    <w:rsid w:val="00416BB3"/>
    <w:rsid w:val="00416C21"/>
    <w:rsid w:val="00416E0B"/>
    <w:rsid w:val="004175DB"/>
    <w:rsid w:val="00417A2C"/>
    <w:rsid w:val="00417E33"/>
    <w:rsid w:val="00420596"/>
    <w:rsid w:val="00420A72"/>
    <w:rsid w:val="00421C15"/>
    <w:rsid w:val="00422F4B"/>
    <w:rsid w:val="00423006"/>
    <w:rsid w:val="00423067"/>
    <w:rsid w:val="00423296"/>
    <w:rsid w:val="00423D6B"/>
    <w:rsid w:val="0042458E"/>
    <w:rsid w:val="00424C2A"/>
    <w:rsid w:val="00424D2E"/>
    <w:rsid w:val="00424F51"/>
    <w:rsid w:val="004251AC"/>
    <w:rsid w:val="0042554A"/>
    <w:rsid w:val="00425F5C"/>
    <w:rsid w:val="00426D7F"/>
    <w:rsid w:val="00426DDA"/>
    <w:rsid w:val="00427296"/>
    <w:rsid w:val="0042745F"/>
    <w:rsid w:val="00427BC8"/>
    <w:rsid w:val="00430204"/>
    <w:rsid w:val="004302C1"/>
    <w:rsid w:val="00430537"/>
    <w:rsid w:val="00430A3C"/>
    <w:rsid w:val="00430D47"/>
    <w:rsid w:val="0043140B"/>
    <w:rsid w:val="0043202A"/>
    <w:rsid w:val="00432C9D"/>
    <w:rsid w:val="00433034"/>
    <w:rsid w:val="004331A1"/>
    <w:rsid w:val="00433EE0"/>
    <w:rsid w:val="00434416"/>
    <w:rsid w:val="004346FE"/>
    <w:rsid w:val="00434772"/>
    <w:rsid w:val="0043487C"/>
    <w:rsid w:val="004348A7"/>
    <w:rsid w:val="00435539"/>
    <w:rsid w:val="00435A62"/>
    <w:rsid w:val="00435BB8"/>
    <w:rsid w:val="00436F7A"/>
    <w:rsid w:val="00437151"/>
    <w:rsid w:val="004373B6"/>
    <w:rsid w:val="00437509"/>
    <w:rsid w:val="00437965"/>
    <w:rsid w:val="0044062A"/>
    <w:rsid w:val="00440667"/>
    <w:rsid w:val="00440803"/>
    <w:rsid w:val="0044124D"/>
    <w:rsid w:val="0044151D"/>
    <w:rsid w:val="00441CB3"/>
    <w:rsid w:val="004421F5"/>
    <w:rsid w:val="00442317"/>
    <w:rsid w:val="004424DD"/>
    <w:rsid w:val="00442B8B"/>
    <w:rsid w:val="00442B98"/>
    <w:rsid w:val="00442BD5"/>
    <w:rsid w:val="00442D6B"/>
    <w:rsid w:val="0044340C"/>
    <w:rsid w:val="00443AF2"/>
    <w:rsid w:val="0044436A"/>
    <w:rsid w:val="00444858"/>
    <w:rsid w:val="00444B95"/>
    <w:rsid w:val="00444BD1"/>
    <w:rsid w:val="00444DD1"/>
    <w:rsid w:val="0044530A"/>
    <w:rsid w:val="0044583F"/>
    <w:rsid w:val="00445BD5"/>
    <w:rsid w:val="00445F3B"/>
    <w:rsid w:val="00447045"/>
    <w:rsid w:val="00447289"/>
    <w:rsid w:val="00447406"/>
    <w:rsid w:val="00447B2A"/>
    <w:rsid w:val="0045014F"/>
    <w:rsid w:val="0045029F"/>
    <w:rsid w:val="004506D1"/>
    <w:rsid w:val="00450D70"/>
    <w:rsid w:val="00451533"/>
    <w:rsid w:val="00451B69"/>
    <w:rsid w:val="00452171"/>
    <w:rsid w:val="004521AE"/>
    <w:rsid w:val="004522FA"/>
    <w:rsid w:val="004529C6"/>
    <w:rsid w:val="00452BBE"/>
    <w:rsid w:val="00452ECD"/>
    <w:rsid w:val="00453134"/>
    <w:rsid w:val="004538B1"/>
    <w:rsid w:val="00453932"/>
    <w:rsid w:val="00453E54"/>
    <w:rsid w:val="004545DA"/>
    <w:rsid w:val="00454B2C"/>
    <w:rsid w:val="00454B47"/>
    <w:rsid w:val="00454E0F"/>
    <w:rsid w:val="00455025"/>
    <w:rsid w:val="0045526C"/>
    <w:rsid w:val="004552C7"/>
    <w:rsid w:val="0045546B"/>
    <w:rsid w:val="00455635"/>
    <w:rsid w:val="0045564C"/>
    <w:rsid w:val="00455881"/>
    <w:rsid w:val="00455ADB"/>
    <w:rsid w:val="00455F4E"/>
    <w:rsid w:val="00456269"/>
    <w:rsid w:val="004563E8"/>
    <w:rsid w:val="004569D9"/>
    <w:rsid w:val="00457020"/>
    <w:rsid w:val="00457950"/>
    <w:rsid w:val="00457988"/>
    <w:rsid w:val="00460070"/>
    <w:rsid w:val="00460087"/>
    <w:rsid w:val="00460B41"/>
    <w:rsid w:val="00460CB1"/>
    <w:rsid w:val="004617DC"/>
    <w:rsid w:val="00461968"/>
    <w:rsid w:val="00461B0B"/>
    <w:rsid w:val="00462883"/>
    <w:rsid w:val="00462B4F"/>
    <w:rsid w:val="00462DD5"/>
    <w:rsid w:val="004633A0"/>
    <w:rsid w:val="00463B89"/>
    <w:rsid w:val="00464059"/>
    <w:rsid w:val="0046409F"/>
    <w:rsid w:val="004640F1"/>
    <w:rsid w:val="004647BC"/>
    <w:rsid w:val="00464A5B"/>
    <w:rsid w:val="00464D5B"/>
    <w:rsid w:val="00464F86"/>
    <w:rsid w:val="00465187"/>
    <w:rsid w:val="00465854"/>
    <w:rsid w:val="00465A7C"/>
    <w:rsid w:val="00465FF5"/>
    <w:rsid w:val="00466190"/>
    <w:rsid w:val="004673D7"/>
    <w:rsid w:val="00467BF6"/>
    <w:rsid w:val="00467C92"/>
    <w:rsid w:val="00467F20"/>
    <w:rsid w:val="00470214"/>
    <w:rsid w:val="00470A02"/>
    <w:rsid w:val="00470DE9"/>
    <w:rsid w:val="00470FD2"/>
    <w:rsid w:val="00470FD3"/>
    <w:rsid w:val="0047140F"/>
    <w:rsid w:val="00471483"/>
    <w:rsid w:val="004716DB"/>
    <w:rsid w:val="00471FF4"/>
    <w:rsid w:val="004726F6"/>
    <w:rsid w:val="00472E06"/>
    <w:rsid w:val="00472E6E"/>
    <w:rsid w:val="0047316C"/>
    <w:rsid w:val="004733BC"/>
    <w:rsid w:val="00473D18"/>
    <w:rsid w:val="004742C5"/>
    <w:rsid w:val="004745C5"/>
    <w:rsid w:val="00474743"/>
    <w:rsid w:val="00474F66"/>
    <w:rsid w:val="004758F6"/>
    <w:rsid w:val="00475A63"/>
    <w:rsid w:val="00476318"/>
    <w:rsid w:val="00476520"/>
    <w:rsid w:val="004768BF"/>
    <w:rsid w:val="00476CB8"/>
    <w:rsid w:val="00476F18"/>
    <w:rsid w:val="004774AF"/>
    <w:rsid w:val="004777FC"/>
    <w:rsid w:val="00477B07"/>
    <w:rsid w:val="00477D94"/>
    <w:rsid w:val="00477F60"/>
    <w:rsid w:val="00477FA5"/>
    <w:rsid w:val="00480078"/>
    <w:rsid w:val="00480ED1"/>
    <w:rsid w:val="00480EF4"/>
    <w:rsid w:val="0048101B"/>
    <w:rsid w:val="0048135F"/>
    <w:rsid w:val="00481DCB"/>
    <w:rsid w:val="00481E81"/>
    <w:rsid w:val="0048215F"/>
    <w:rsid w:val="00482538"/>
    <w:rsid w:val="004825DF"/>
    <w:rsid w:val="00482D48"/>
    <w:rsid w:val="00482E3C"/>
    <w:rsid w:val="00482F4A"/>
    <w:rsid w:val="0048314E"/>
    <w:rsid w:val="004832E5"/>
    <w:rsid w:val="00484A09"/>
    <w:rsid w:val="00484A79"/>
    <w:rsid w:val="0048524C"/>
    <w:rsid w:val="004856A5"/>
    <w:rsid w:val="00485792"/>
    <w:rsid w:val="00485EA6"/>
    <w:rsid w:val="004869EF"/>
    <w:rsid w:val="00486E8B"/>
    <w:rsid w:val="00486EF8"/>
    <w:rsid w:val="00487343"/>
    <w:rsid w:val="00487EAF"/>
    <w:rsid w:val="0049062F"/>
    <w:rsid w:val="00490721"/>
    <w:rsid w:val="00490877"/>
    <w:rsid w:val="00490B0F"/>
    <w:rsid w:val="004910B4"/>
    <w:rsid w:val="00491639"/>
    <w:rsid w:val="004917D9"/>
    <w:rsid w:val="0049190B"/>
    <w:rsid w:val="00491C2D"/>
    <w:rsid w:val="004920BC"/>
    <w:rsid w:val="004926B0"/>
    <w:rsid w:val="004926C2"/>
    <w:rsid w:val="00493431"/>
    <w:rsid w:val="004934BA"/>
    <w:rsid w:val="004939F6"/>
    <w:rsid w:val="00493B82"/>
    <w:rsid w:val="0049489A"/>
    <w:rsid w:val="00494DD9"/>
    <w:rsid w:val="00495961"/>
    <w:rsid w:val="00495B9B"/>
    <w:rsid w:val="00495F3F"/>
    <w:rsid w:val="004960D1"/>
    <w:rsid w:val="00496423"/>
    <w:rsid w:val="00496C1C"/>
    <w:rsid w:val="00496F98"/>
    <w:rsid w:val="0049728E"/>
    <w:rsid w:val="00497CCE"/>
    <w:rsid w:val="004A0129"/>
    <w:rsid w:val="004A0DB1"/>
    <w:rsid w:val="004A0ED3"/>
    <w:rsid w:val="004A127B"/>
    <w:rsid w:val="004A16B7"/>
    <w:rsid w:val="004A1972"/>
    <w:rsid w:val="004A2331"/>
    <w:rsid w:val="004A331A"/>
    <w:rsid w:val="004A33CF"/>
    <w:rsid w:val="004A3672"/>
    <w:rsid w:val="004A4301"/>
    <w:rsid w:val="004A4D35"/>
    <w:rsid w:val="004A59C0"/>
    <w:rsid w:val="004A5C4D"/>
    <w:rsid w:val="004A6F5E"/>
    <w:rsid w:val="004A7B9E"/>
    <w:rsid w:val="004A7E48"/>
    <w:rsid w:val="004B020D"/>
    <w:rsid w:val="004B0627"/>
    <w:rsid w:val="004B0810"/>
    <w:rsid w:val="004B0AA9"/>
    <w:rsid w:val="004B0BB7"/>
    <w:rsid w:val="004B1361"/>
    <w:rsid w:val="004B1557"/>
    <w:rsid w:val="004B1589"/>
    <w:rsid w:val="004B17CB"/>
    <w:rsid w:val="004B18C0"/>
    <w:rsid w:val="004B19C9"/>
    <w:rsid w:val="004B1BA1"/>
    <w:rsid w:val="004B1C3F"/>
    <w:rsid w:val="004B2069"/>
    <w:rsid w:val="004B21F7"/>
    <w:rsid w:val="004B25F0"/>
    <w:rsid w:val="004B2F61"/>
    <w:rsid w:val="004B3210"/>
    <w:rsid w:val="004B32B3"/>
    <w:rsid w:val="004B341D"/>
    <w:rsid w:val="004B3461"/>
    <w:rsid w:val="004B35A6"/>
    <w:rsid w:val="004B392B"/>
    <w:rsid w:val="004B44CC"/>
    <w:rsid w:val="004B4EB2"/>
    <w:rsid w:val="004B53B2"/>
    <w:rsid w:val="004B569F"/>
    <w:rsid w:val="004B5A97"/>
    <w:rsid w:val="004B6174"/>
    <w:rsid w:val="004B6204"/>
    <w:rsid w:val="004B626F"/>
    <w:rsid w:val="004B6358"/>
    <w:rsid w:val="004B6E9B"/>
    <w:rsid w:val="004B7308"/>
    <w:rsid w:val="004B7359"/>
    <w:rsid w:val="004B73F8"/>
    <w:rsid w:val="004B76A0"/>
    <w:rsid w:val="004B77B3"/>
    <w:rsid w:val="004C08AD"/>
    <w:rsid w:val="004C09D8"/>
    <w:rsid w:val="004C0F72"/>
    <w:rsid w:val="004C115D"/>
    <w:rsid w:val="004C11F4"/>
    <w:rsid w:val="004C1317"/>
    <w:rsid w:val="004C196B"/>
    <w:rsid w:val="004C1DCD"/>
    <w:rsid w:val="004C22BF"/>
    <w:rsid w:val="004C3037"/>
    <w:rsid w:val="004C3064"/>
    <w:rsid w:val="004C3A23"/>
    <w:rsid w:val="004C3E18"/>
    <w:rsid w:val="004C3F5C"/>
    <w:rsid w:val="004C431A"/>
    <w:rsid w:val="004C441B"/>
    <w:rsid w:val="004C44E1"/>
    <w:rsid w:val="004C4578"/>
    <w:rsid w:val="004C4827"/>
    <w:rsid w:val="004C4868"/>
    <w:rsid w:val="004C4A57"/>
    <w:rsid w:val="004C4D18"/>
    <w:rsid w:val="004C5741"/>
    <w:rsid w:val="004C578A"/>
    <w:rsid w:val="004C616C"/>
    <w:rsid w:val="004C6398"/>
    <w:rsid w:val="004C63AD"/>
    <w:rsid w:val="004C6932"/>
    <w:rsid w:val="004C6E58"/>
    <w:rsid w:val="004C7074"/>
    <w:rsid w:val="004C78B2"/>
    <w:rsid w:val="004C7AB2"/>
    <w:rsid w:val="004C7EAD"/>
    <w:rsid w:val="004C7EF4"/>
    <w:rsid w:val="004C7FF7"/>
    <w:rsid w:val="004D0ED5"/>
    <w:rsid w:val="004D10B8"/>
    <w:rsid w:val="004D1821"/>
    <w:rsid w:val="004D1F0E"/>
    <w:rsid w:val="004D278F"/>
    <w:rsid w:val="004D2E00"/>
    <w:rsid w:val="004D300F"/>
    <w:rsid w:val="004D354B"/>
    <w:rsid w:val="004D3B3F"/>
    <w:rsid w:val="004D41BC"/>
    <w:rsid w:val="004D44BA"/>
    <w:rsid w:val="004D44BC"/>
    <w:rsid w:val="004D4781"/>
    <w:rsid w:val="004D4872"/>
    <w:rsid w:val="004D4E92"/>
    <w:rsid w:val="004D54A2"/>
    <w:rsid w:val="004D56AA"/>
    <w:rsid w:val="004D581B"/>
    <w:rsid w:val="004D63ED"/>
    <w:rsid w:val="004D6E71"/>
    <w:rsid w:val="004D6F16"/>
    <w:rsid w:val="004D7F21"/>
    <w:rsid w:val="004E01EA"/>
    <w:rsid w:val="004E03F2"/>
    <w:rsid w:val="004E081F"/>
    <w:rsid w:val="004E0ADA"/>
    <w:rsid w:val="004E121C"/>
    <w:rsid w:val="004E14D6"/>
    <w:rsid w:val="004E1581"/>
    <w:rsid w:val="004E1694"/>
    <w:rsid w:val="004E1ACF"/>
    <w:rsid w:val="004E1E46"/>
    <w:rsid w:val="004E1F3B"/>
    <w:rsid w:val="004E2457"/>
    <w:rsid w:val="004E29BB"/>
    <w:rsid w:val="004E29C0"/>
    <w:rsid w:val="004E2A4C"/>
    <w:rsid w:val="004E4041"/>
    <w:rsid w:val="004E44AF"/>
    <w:rsid w:val="004E4A5F"/>
    <w:rsid w:val="004E52E0"/>
    <w:rsid w:val="004E570A"/>
    <w:rsid w:val="004E5762"/>
    <w:rsid w:val="004E5D6B"/>
    <w:rsid w:val="004E5DE4"/>
    <w:rsid w:val="004E63E9"/>
    <w:rsid w:val="004E6875"/>
    <w:rsid w:val="004E6CCE"/>
    <w:rsid w:val="004E6E40"/>
    <w:rsid w:val="004E71F7"/>
    <w:rsid w:val="004E79C4"/>
    <w:rsid w:val="004E7E4B"/>
    <w:rsid w:val="004E7F41"/>
    <w:rsid w:val="004F0A8A"/>
    <w:rsid w:val="004F0D12"/>
    <w:rsid w:val="004F0E49"/>
    <w:rsid w:val="004F10EF"/>
    <w:rsid w:val="004F1504"/>
    <w:rsid w:val="004F1DB5"/>
    <w:rsid w:val="004F2006"/>
    <w:rsid w:val="004F234E"/>
    <w:rsid w:val="004F265A"/>
    <w:rsid w:val="004F268A"/>
    <w:rsid w:val="004F2AA4"/>
    <w:rsid w:val="004F2C0C"/>
    <w:rsid w:val="004F3244"/>
    <w:rsid w:val="004F32FB"/>
    <w:rsid w:val="004F394A"/>
    <w:rsid w:val="004F45B6"/>
    <w:rsid w:val="004F4DF2"/>
    <w:rsid w:val="004F4FAB"/>
    <w:rsid w:val="004F520E"/>
    <w:rsid w:val="004F5331"/>
    <w:rsid w:val="004F5C6E"/>
    <w:rsid w:val="004F6703"/>
    <w:rsid w:val="004F78B5"/>
    <w:rsid w:val="004F7B50"/>
    <w:rsid w:val="0050011B"/>
    <w:rsid w:val="005001D8"/>
    <w:rsid w:val="0050096E"/>
    <w:rsid w:val="00501558"/>
    <w:rsid w:val="00501C70"/>
    <w:rsid w:val="0050232A"/>
    <w:rsid w:val="005025C5"/>
    <w:rsid w:val="005029F8"/>
    <w:rsid w:val="005033D3"/>
    <w:rsid w:val="005034AE"/>
    <w:rsid w:val="005037B7"/>
    <w:rsid w:val="00504EA5"/>
    <w:rsid w:val="005058D0"/>
    <w:rsid w:val="00505ABD"/>
    <w:rsid w:val="00505C57"/>
    <w:rsid w:val="00505D6D"/>
    <w:rsid w:val="00506382"/>
    <w:rsid w:val="005063AF"/>
    <w:rsid w:val="00506D16"/>
    <w:rsid w:val="00506E25"/>
    <w:rsid w:val="00507895"/>
    <w:rsid w:val="00507FDD"/>
    <w:rsid w:val="0051025D"/>
    <w:rsid w:val="00510311"/>
    <w:rsid w:val="00510763"/>
    <w:rsid w:val="00510D1D"/>
    <w:rsid w:val="00510F1E"/>
    <w:rsid w:val="005110A7"/>
    <w:rsid w:val="005111C5"/>
    <w:rsid w:val="00511681"/>
    <w:rsid w:val="0051178B"/>
    <w:rsid w:val="00511842"/>
    <w:rsid w:val="00511E41"/>
    <w:rsid w:val="00511ED2"/>
    <w:rsid w:val="00511FB0"/>
    <w:rsid w:val="0051261E"/>
    <w:rsid w:val="00512811"/>
    <w:rsid w:val="00512ACB"/>
    <w:rsid w:val="00513501"/>
    <w:rsid w:val="00513A28"/>
    <w:rsid w:val="0051467B"/>
    <w:rsid w:val="005153BB"/>
    <w:rsid w:val="005154D6"/>
    <w:rsid w:val="005159FD"/>
    <w:rsid w:val="0051639C"/>
    <w:rsid w:val="00516448"/>
    <w:rsid w:val="00516470"/>
    <w:rsid w:val="00516726"/>
    <w:rsid w:val="00516B59"/>
    <w:rsid w:val="00516D8B"/>
    <w:rsid w:val="00516D98"/>
    <w:rsid w:val="0051726D"/>
    <w:rsid w:val="005172AA"/>
    <w:rsid w:val="005173D5"/>
    <w:rsid w:val="00517EB6"/>
    <w:rsid w:val="0052001E"/>
    <w:rsid w:val="0052129F"/>
    <w:rsid w:val="005214AA"/>
    <w:rsid w:val="00521575"/>
    <w:rsid w:val="00521CB9"/>
    <w:rsid w:val="00521D6C"/>
    <w:rsid w:val="0052279E"/>
    <w:rsid w:val="00523280"/>
    <w:rsid w:val="005234B0"/>
    <w:rsid w:val="00523747"/>
    <w:rsid w:val="0052392D"/>
    <w:rsid w:val="00523D48"/>
    <w:rsid w:val="0052414A"/>
    <w:rsid w:val="00524301"/>
    <w:rsid w:val="005243C1"/>
    <w:rsid w:val="005248D0"/>
    <w:rsid w:val="00524A14"/>
    <w:rsid w:val="00524B96"/>
    <w:rsid w:val="0052549C"/>
    <w:rsid w:val="0052565B"/>
    <w:rsid w:val="005256C0"/>
    <w:rsid w:val="005258BB"/>
    <w:rsid w:val="00525913"/>
    <w:rsid w:val="00525B08"/>
    <w:rsid w:val="00525B99"/>
    <w:rsid w:val="00525ED3"/>
    <w:rsid w:val="005260D6"/>
    <w:rsid w:val="00526206"/>
    <w:rsid w:val="00526250"/>
    <w:rsid w:val="00526300"/>
    <w:rsid w:val="0052646B"/>
    <w:rsid w:val="005265E4"/>
    <w:rsid w:val="00526817"/>
    <w:rsid w:val="00526B19"/>
    <w:rsid w:val="00526B44"/>
    <w:rsid w:val="0052702D"/>
    <w:rsid w:val="005273C6"/>
    <w:rsid w:val="005273E4"/>
    <w:rsid w:val="005275AD"/>
    <w:rsid w:val="0053022E"/>
    <w:rsid w:val="00530581"/>
    <w:rsid w:val="00530B0D"/>
    <w:rsid w:val="00530E2F"/>
    <w:rsid w:val="005310DF"/>
    <w:rsid w:val="005312AB"/>
    <w:rsid w:val="00531414"/>
    <w:rsid w:val="00531EF4"/>
    <w:rsid w:val="00531F4F"/>
    <w:rsid w:val="005324F0"/>
    <w:rsid w:val="005325BA"/>
    <w:rsid w:val="00532B8D"/>
    <w:rsid w:val="00532DF5"/>
    <w:rsid w:val="00532EA9"/>
    <w:rsid w:val="005335E2"/>
    <w:rsid w:val="00533AF4"/>
    <w:rsid w:val="00533C7E"/>
    <w:rsid w:val="005341DB"/>
    <w:rsid w:val="00534492"/>
    <w:rsid w:val="005347BD"/>
    <w:rsid w:val="00534BEF"/>
    <w:rsid w:val="00534D80"/>
    <w:rsid w:val="00535227"/>
    <w:rsid w:val="005352E5"/>
    <w:rsid w:val="00535355"/>
    <w:rsid w:val="00535517"/>
    <w:rsid w:val="00535802"/>
    <w:rsid w:val="0053580A"/>
    <w:rsid w:val="005358C2"/>
    <w:rsid w:val="00535960"/>
    <w:rsid w:val="005363F9"/>
    <w:rsid w:val="005364A3"/>
    <w:rsid w:val="0053652C"/>
    <w:rsid w:val="0053655A"/>
    <w:rsid w:val="00536726"/>
    <w:rsid w:val="00536777"/>
    <w:rsid w:val="00536C13"/>
    <w:rsid w:val="00536E7C"/>
    <w:rsid w:val="005371B1"/>
    <w:rsid w:val="00537710"/>
    <w:rsid w:val="00540113"/>
    <w:rsid w:val="00540858"/>
    <w:rsid w:val="00540AA6"/>
    <w:rsid w:val="00540FE2"/>
    <w:rsid w:val="005417E0"/>
    <w:rsid w:val="00541FFF"/>
    <w:rsid w:val="005423A9"/>
    <w:rsid w:val="00542402"/>
    <w:rsid w:val="005425D8"/>
    <w:rsid w:val="00542639"/>
    <w:rsid w:val="005429D5"/>
    <w:rsid w:val="00543819"/>
    <w:rsid w:val="00543D88"/>
    <w:rsid w:val="00544135"/>
    <w:rsid w:val="005441AC"/>
    <w:rsid w:val="0054425C"/>
    <w:rsid w:val="00544FCE"/>
    <w:rsid w:val="0054535E"/>
    <w:rsid w:val="00545CB6"/>
    <w:rsid w:val="00545DEE"/>
    <w:rsid w:val="00545E5A"/>
    <w:rsid w:val="00545F54"/>
    <w:rsid w:val="00546847"/>
    <w:rsid w:val="005469D1"/>
    <w:rsid w:val="00547252"/>
    <w:rsid w:val="005476EA"/>
    <w:rsid w:val="00550168"/>
    <w:rsid w:val="00550171"/>
    <w:rsid w:val="00550541"/>
    <w:rsid w:val="00550B14"/>
    <w:rsid w:val="00550B2A"/>
    <w:rsid w:val="00550BEC"/>
    <w:rsid w:val="00550D06"/>
    <w:rsid w:val="00551492"/>
    <w:rsid w:val="00551D54"/>
    <w:rsid w:val="00551F2A"/>
    <w:rsid w:val="00552142"/>
    <w:rsid w:val="0055264C"/>
    <w:rsid w:val="00552726"/>
    <w:rsid w:val="0055274C"/>
    <w:rsid w:val="00552BFE"/>
    <w:rsid w:val="005534F6"/>
    <w:rsid w:val="005538D8"/>
    <w:rsid w:val="00553963"/>
    <w:rsid w:val="00553D1E"/>
    <w:rsid w:val="005545B1"/>
    <w:rsid w:val="0055489F"/>
    <w:rsid w:val="0055497C"/>
    <w:rsid w:val="00554F68"/>
    <w:rsid w:val="005554B4"/>
    <w:rsid w:val="005555DC"/>
    <w:rsid w:val="00555A78"/>
    <w:rsid w:val="00555D82"/>
    <w:rsid w:val="00555ED1"/>
    <w:rsid w:val="00555F2D"/>
    <w:rsid w:val="00557110"/>
    <w:rsid w:val="005572B3"/>
    <w:rsid w:val="005573E5"/>
    <w:rsid w:val="00557426"/>
    <w:rsid w:val="00557813"/>
    <w:rsid w:val="00557828"/>
    <w:rsid w:val="00557949"/>
    <w:rsid w:val="00557DFD"/>
    <w:rsid w:val="005603AE"/>
    <w:rsid w:val="005605E8"/>
    <w:rsid w:val="00560959"/>
    <w:rsid w:val="00560BCE"/>
    <w:rsid w:val="00560CA5"/>
    <w:rsid w:val="00560D7C"/>
    <w:rsid w:val="0056142F"/>
    <w:rsid w:val="00561F7E"/>
    <w:rsid w:val="00562525"/>
    <w:rsid w:val="00562CB5"/>
    <w:rsid w:val="00562D19"/>
    <w:rsid w:val="00563105"/>
    <w:rsid w:val="005633A2"/>
    <w:rsid w:val="005634A3"/>
    <w:rsid w:val="005638AB"/>
    <w:rsid w:val="00563A17"/>
    <w:rsid w:val="00565338"/>
    <w:rsid w:val="00565759"/>
    <w:rsid w:val="00565856"/>
    <w:rsid w:val="00565E12"/>
    <w:rsid w:val="0056628F"/>
    <w:rsid w:val="00566CE8"/>
    <w:rsid w:val="00566D26"/>
    <w:rsid w:val="005671B1"/>
    <w:rsid w:val="00567231"/>
    <w:rsid w:val="005674A4"/>
    <w:rsid w:val="005677BE"/>
    <w:rsid w:val="00567A2A"/>
    <w:rsid w:val="00567FCB"/>
    <w:rsid w:val="00570E64"/>
    <w:rsid w:val="00570F8A"/>
    <w:rsid w:val="005710ED"/>
    <w:rsid w:val="00571ACF"/>
    <w:rsid w:val="00571F02"/>
    <w:rsid w:val="00572170"/>
    <w:rsid w:val="005723FE"/>
    <w:rsid w:val="005724AA"/>
    <w:rsid w:val="005726E3"/>
    <w:rsid w:val="005728A3"/>
    <w:rsid w:val="00572F7E"/>
    <w:rsid w:val="00573345"/>
    <w:rsid w:val="0057377A"/>
    <w:rsid w:val="00573817"/>
    <w:rsid w:val="005739B5"/>
    <w:rsid w:val="00573F00"/>
    <w:rsid w:val="00574144"/>
    <w:rsid w:val="0057464F"/>
    <w:rsid w:val="00574911"/>
    <w:rsid w:val="00574C81"/>
    <w:rsid w:val="00574EF0"/>
    <w:rsid w:val="0057564E"/>
    <w:rsid w:val="005756C0"/>
    <w:rsid w:val="00575AB4"/>
    <w:rsid w:val="00575B3F"/>
    <w:rsid w:val="00575E34"/>
    <w:rsid w:val="00575FBF"/>
    <w:rsid w:val="00576266"/>
    <w:rsid w:val="00576533"/>
    <w:rsid w:val="005766EC"/>
    <w:rsid w:val="00576F02"/>
    <w:rsid w:val="0057708B"/>
    <w:rsid w:val="0057758F"/>
    <w:rsid w:val="00577809"/>
    <w:rsid w:val="00577DE1"/>
    <w:rsid w:val="00580050"/>
    <w:rsid w:val="005806C0"/>
    <w:rsid w:val="00580F8C"/>
    <w:rsid w:val="0058103E"/>
    <w:rsid w:val="005817D4"/>
    <w:rsid w:val="00581C69"/>
    <w:rsid w:val="005822E7"/>
    <w:rsid w:val="00582547"/>
    <w:rsid w:val="00582570"/>
    <w:rsid w:val="00583461"/>
    <w:rsid w:val="005834FE"/>
    <w:rsid w:val="00583990"/>
    <w:rsid w:val="005846F3"/>
    <w:rsid w:val="00584D60"/>
    <w:rsid w:val="0058526F"/>
    <w:rsid w:val="00586111"/>
    <w:rsid w:val="005862D7"/>
    <w:rsid w:val="005864B0"/>
    <w:rsid w:val="00586D58"/>
    <w:rsid w:val="00587373"/>
    <w:rsid w:val="0058747F"/>
    <w:rsid w:val="005876A9"/>
    <w:rsid w:val="00587A99"/>
    <w:rsid w:val="00587C63"/>
    <w:rsid w:val="00587CBD"/>
    <w:rsid w:val="00587D9C"/>
    <w:rsid w:val="00587DAD"/>
    <w:rsid w:val="00590192"/>
    <w:rsid w:val="00590311"/>
    <w:rsid w:val="00590387"/>
    <w:rsid w:val="005904F9"/>
    <w:rsid w:val="00590E8B"/>
    <w:rsid w:val="00591093"/>
    <w:rsid w:val="00591209"/>
    <w:rsid w:val="0059189D"/>
    <w:rsid w:val="00591EC4"/>
    <w:rsid w:val="00592082"/>
    <w:rsid w:val="005921F7"/>
    <w:rsid w:val="005924E6"/>
    <w:rsid w:val="0059275A"/>
    <w:rsid w:val="00593CDA"/>
    <w:rsid w:val="00593EB5"/>
    <w:rsid w:val="00594289"/>
    <w:rsid w:val="00594A83"/>
    <w:rsid w:val="00595007"/>
    <w:rsid w:val="00595792"/>
    <w:rsid w:val="00595B62"/>
    <w:rsid w:val="00595FDE"/>
    <w:rsid w:val="00596057"/>
    <w:rsid w:val="00596570"/>
    <w:rsid w:val="005965E8"/>
    <w:rsid w:val="00596725"/>
    <w:rsid w:val="00596FCE"/>
    <w:rsid w:val="00597090"/>
    <w:rsid w:val="00597A59"/>
    <w:rsid w:val="00597AAE"/>
    <w:rsid w:val="00597CED"/>
    <w:rsid w:val="00597D89"/>
    <w:rsid w:val="00597E10"/>
    <w:rsid w:val="005A0356"/>
    <w:rsid w:val="005A076C"/>
    <w:rsid w:val="005A0A1F"/>
    <w:rsid w:val="005A0A4E"/>
    <w:rsid w:val="005A0D58"/>
    <w:rsid w:val="005A0EE0"/>
    <w:rsid w:val="005A18F9"/>
    <w:rsid w:val="005A1EBB"/>
    <w:rsid w:val="005A21C8"/>
    <w:rsid w:val="005A21DC"/>
    <w:rsid w:val="005A24A0"/>
    <w:rsid w:val="005A278D"/>
    <w:rsid w:val="005A2809"/>
    <w:rsid w:val="005A3123"/>
    <w:rsid w:val="005A340F"/>
    <w:rsid w:val="005A3430"/>
    <w:rsid w:val="005A3617"/>
    <w:rsid w:val="005A3DF6"/>
    <w:rsid w:val="005A4945"/>
    <w:rsid w:val="005A4EA3"/>
    <w:rsid w:val="005A5050"/>
    <w:rsid w:val="005A533B"/>
    <w:rsid w:val="005A5392"/>
    <w:rsid w:val="005A5548"/>
    <w:rsid w:val="005A59B1"/>
    <w:rsid w:val="005A5A19"/>
    <w:rsid w:val="005A5C4B"/>
    <w:rsid w:val="005A5E34"/>
    <w:rsid w:val="005A623C"/>
    <w:rsid w:val="005A6413"/>
    <w:rsid w:val="005A64D3"/>
    <w:rsid w:val="005A67C0"/>
    <w:rsid w:val="005A6C16"/>
    <w:rsid w:val="005A6F8D"/>
    <w:rsid w:val="005A712F"/>
    <w:rsid w:val="005A78D1"/>
    <w:rsid w:val="005A7B44"/>
    <w:rsid w:val="005A7C0F"/>
    <w:rsid w:val="005A7C73"/>
    <w:rsid w:val="005A7E0E"/>
    <w:rsid w:val="005B0A0B"/>
    <w:rsid w:val="005B0FB0"/>
    <w:rsid w:val="005B111B"/>
    <w:rsid w:val="005B1335"/>
    <w:rsid w:val="005B17BE"/>
    <w:rsid w:val="005B1C31"/>
    <w:rsid w:val="005B20D6"/>
    <w:rsid w:val="005B229B"/>
    <w:rsid w:val="005B236D"/>
    <w:rsid w:val="005B2701"/>
    <w:rsid w:val="005B2FD0"/>
    <w:rsid w:val="005B3850"/>
    <w:rsid w:val="005B440F"/>
    <w:rsid w:val="005B44E6"/>
    <w:rsid w:val="005B45C4"/>
    <w:rsid w:val="005B4630"/>
    <w:rsid w:val="005B515A"/>
    <w:rsid w:val="005B5600"/>
    <w:rsid w:val="005B6AA7"/>
    <w:rsid w:val="005B7359"/>
    <w:rsid w:val="005C00E1"/>
    <w:rsid w:val="005C06DD"/>
    <w:rsid w:val="005C076C"/>
    <w:rsid w:val="005C08D6"/>
    <w:rsid w:val="005C0A0B"/>
    <w:rsid w:val="005C0BB1"/>
    <w:rsid w:val="005C0DD9"/>
    <w:rsid w:val="005C0FE0"/>
    <w:rsid w:val="005C1168"/>
    <w:rsid w:val="005C1759"/>
    <w:rsid w:val="005C188B"/>
    <w:rsid w:val="005C1F16"/>
    <w:rsid w:val="005C26B6"/>
    <w:rsid w:val="005C33AF"/>
    <w:rsid w:val="005C3483"/>
    <w:rsid w:val="005C37B2"/>
    <w:rsid w:val="005C3BB6"/>
    <w:rsid w:val="005C3C7A"/>
    <w:rsid w:val="005C4244"/>
    <w:rsid w:val="005C442D"/>
    <w:rsid w:val="005C460F"/>
    <w:rsid w:val="005C4B3A"/>
    <w:rsid w:val="005C4DBC"/>
    <w:rsid w:val="005C5398"/>
    <w:rsid w:val="005C5FB4"/>
    <w:rsid w:val="005C6C72"/>
    <w:rsid w:val="005C6D4F"/>
    <w:rsid w:val="005C740D"/>
    <w:rsid w:val="005C76C2"/>
    <w:rsid w:val="005C7DAD"/>
    <w:rsid w:val="005D0D96"/>
    <w:rsid w:val="005D13F0"/>
    <w:rsid w:val="005D14D7"/>
    <w:rsid w:val="005D1540"/>
    <w:rsid w:val="005D1986"/>
    <w:rsid w:val="005D1A1E"/>
    <w:rsid w:val="005D1B38"/>
    <w:rsid w:val="005D20D3"/>
    <w:rsid w:val="005D277B"/>
    <w:rsid w:val="005D28F1"/>
    <w:rsid w:val="005D3115"/>
    <w:rsid w:val="005D3376"/>
    <w:rsid w:val="005D33AA"/>
    <w:rsid w:val="005D36BA"/>
    <w:rsid w:val="005D386E"/>
    <w:rsid w:val="005D3A22"/>
    <w:rsid w:val="005D3E7E"/>
    <w:rsid w:val="005D3EC5"/>
    <w:rsid w:val="005D46A3"/>
    <w:rsid w:val="005D4861"/>
    <w:rsid w:val="005D4B59"/>
    <w:rsid w:val="005D5920"/>
    <w:rsid w:val="005D5AD6"/>
    <w:rsid w:val="005D5C93"/>
    <w:rsid w:val="005D687B"/>
    <w:rsid w:val="005D69AC"/>
    <w:rsid w:val="005D6ABE"/>
    <w:rsid w:val="005D6E6D"/>
    <w:rsid w:val="005D708B"/>
    <w:rsid w:val="005D73C4"/>
    <w:rsid w:val="005D76D0"/>
    <w:rsid w:val="005D7A7D"/>
    <w:rsid w:val="005D7D33"/>
    <w:rsid w:val="005D7EEA"/>
    <w:rsid w:val="005E0493"/>
    <w:rsid w:val="005E08B4"/>
    <w:rsid w:val="005E09C6"/>
    <w:rsid w:val="005E0E64"/>
    <w:rsid w:val="005E13FD"/>
    <w:rsid w:val="005E198E"/>
    <w:rsid w:val="005E1B84"/>
    <w:rsid w:val="005E1E40"/>
    <w:rsid w:val="005E2474"/>
    <w:rsid w:val="005E3E6F"/>
    <w:rsid w:val="005E4009"/>
    <w:rsid w:val="005E42F5"/>
    <w:rsid w:val="005E48E9"/>
    <w:rsid w:val="005E4FCD"/>
    <w:rsid w:val="005E5EE7"/>
    <w:rsid w:val="005E5FFB"/>
    <w:rsid w:val="005E6763"/>
    <w:rsid w:val="005E6F12"/>
    <w:rsid w:val="005E6F6B"/>
    <w:rsid w:val="005E72BB"/>
    <w:rsid w:val="005E79D8"/>
    <w:rsid w:val="005E7D9A"/>
    <w:rsid w:val="005F00FB"/>
    <w:rsid w:val="005F0D94"/>
    <w:rsid w:val="005F0E94"/>
    <w:rsid w:val="005F1518"/>
    <w:rsid w:val="005F1585"/>
    <w:rsid w:val="005F15EF"/>
    <w:rsid w:val="005F1959"/>
    <w:rsid w:val="005F24F1"/>
    <w:rsid w:val="005F2564"/>
    <w:rsid w:val="005F27AD"/>
    <w:rsid w:val="005F2FBE"/>
    <w:rsid w:val="005F32B7"/>
    <w:rsid w:val="005F32EB"/>
    <w:rsid w:val="005F35D8"/>
    <w:rsid w:val="005F3622"/>
    <w:rsid w:val="005F391E"/>
    <w:rsid w:val="005F3AA4"/>
    <w:rsid w:val="005F3BE3"/>
    <w:rsid w:val="005F3FC7"/>
    <w:rsid w:val="005F4660"/>
    <w:rsid w:val="005F471C"/>
    <w:rsid w:val="005F4734"/>
    <w:rsid w:val="005F493E"/>
    <w:rsid w:val="005F4D2D"/>
    <w:rsid w:val="005F4D67"/>
    <w:rsid w:val="005F4F8E"/>
    <w:rsid w:val="005F5286"/>
    <w:rsid w:val="005F5CD9"/>
    <w:rsid w:val="005F6120"/>
    <w:rsid w:val="005F674A"/>
    <w:rsid w:val="005F6B21"/>
    <w:rsid w:val="005F6C7C"/>
    <w:rsid w:val="005F7316"/>
    <w:rsid w:val="005F75A4"/>
    <w:rsid w:val="005F75AF"/>
    <w:rsid w:val="005F7988"/>
    <w:rsid w:val="005F7A1C"/>
    <w:rsid w:val="005F7B51"/>
    <w:rsid w:val="005F7C8C"/>
    <w:rsid w:val="005F7DFB"/>
    <w:rsid w:val="005F7E29"/>
    <w:rsid w:val="0060001A"/>
    <w:rsid w:val="0060004C"/>
    <w:rsid w:val="0060010C"/>
    <w:rsid w:val="0060049E"/>
    <w:rsid w:val="00600742"/>
    <w:rsid w:val="0060074B"/>
    <w:rsid w:val="00600E81"/>
    <w:rsid w:val="0060130B"/>
    <w:rsid w:val="00601662"/>
    <w:rsid w:val="00601894"/>
    <w:rsid w:val="00601AAE"/>
    <w:rsid w:val="00602381"/>
    <w:rsid w:val="00602843"/>
    <w:rsid w:val="006029B9"/>
    <w:rsid w:val="00602C4C"/>
    <w:rsid w:val="00602F47"/>
    <w:rsid w:val="006032B4"/>
    <w:rsid w:val="00603F26"/>
    <w:rsid w:val="00604E51"/>
    <w:rsid w:val="006050F9"/>
    <w:rsid w:val="006051B9"/>
    <w:rsid w:val="006066D7"/>
    <w:rsid w:val="006073C9"/>
    <w:rsid w:val="006075FD"/>
    <w:rsid w:val="00607928"/>
    <w:rsid w:val="00607979"/>
    <w:rsid w:val="00607AFA"/>
    <w:rsid w:val="00607D9E"/>
    <w:rsid w:val="00607F6B"/>
    <w:rsid w:val="00610A73"/>
    <w:rsid w:val="00610EF3"/>
    <w:rsid w:val="0061103F"/>
    <w:rsid w:val="006119D9"/>
    <w:rsid w:val="00611DEE"/>
    <w:rsid w:val="00611F34"/>
    <w:rsid w:val="0061252F"/>
    <w:rsid w:val="00612A95"/>
    <w:rsid w:val="00612D16"/>
    <w:rsid w:val="00613023"/>
    <w:rsid w:val="00613EF0"/>
    <w:rsid w:val="006145D7"/>
    <w:rsid w:val="00614843"/>
    <w:rsid w:val="00614972"/>
    <w:rsid w:val="00614C5C"/>
    <w:rsid w:val="006150FC"/>
    <w:rsid w:val="006155FC"/>
    <w:rsid w:val="00616DA2"/>
    <w:rsid w:val="00616F3C"/>
    <w:rsid w:val="00617B6B"/>
    <w:rsid w:val="00617F39"/>
    <w:rsid w:val="00620FAF"/>
    <w:rsid w:val="006212C0"/>
    <w:rsid w:val="00621794"/>
    <w:rsid w:val="006218E7"/>
    <w:rsid w:val="006218EA"/>
    <w:rsid w:val="00621985"/>
    <w:rsid w:val="00622179"/>
    <w:rsid w:val="006221E7"/>
    <w:rsid w:val="006224BB"/>
    <w:rsid w:val="00622D11"/>
    <w:rsid w:val="006234A8"/>
    <w:rsid w:val="006235C3"/>
    <w:rsid w:val="006236B3"/>
    <w:rsid w:val="0062375E"/>
    <w:rsid w:val="00623AA8"/>
    <w:rsid w:val="00623E5C"/>
    <w:rsid w:val="00623F15"/>
    <w:rsid w:val="00624A5E"/>
    <w:rsid w:val="00624C37"/>
    <w:rsid w:val="00625B87"/>
    <w:rsid w:val="0062600D"/>
    <w:rsid w:val="00626166"/>
    <w:rsid w:val="00626390"/>
    <w:rsid w:val="0062649A"/>
    <w:rsid w:val="0062660E"/>
    <w:rsid w:val="00626CFC"/>
    <w:rsid w:val="00626E46"/>
    <w:rsid w:val="006270E6"/>
    <w:rsid w:val="006276A6"/>
    <w:rsid w:val="00627BE3"/>
    <w:rsid w:val="00630123"/>
    <w:rsid w:val="006306CA"/>
    <w:rsid w:val="00630D15"/>
    <w:rsid w:val="00631E2C"/>
    <w:rsid w:val="00631EA5"/>
    <w:rsid w:val="006322C7"/>
    <w:rsid w:val="0063269F"/>
    <w:rsid w:val="00632CDB"/>
    <w:rsid w:val="00633BEF"/>
    <w:rsid w:val="00634490"/>
    <w:rsid w:val="00634A9B"/>
    <w:rsid w:val="00634B0D"/>
    <w:rsid w:val="00635810"/>
    <w:rsid w:val="00635D24"/>
    <w:rsid w:val="00636036"/>
    <w:rsid w:val="00636121"/>
    <w:rsid w:val="0063617D"/>
    <w:rsid w:val="0063622F"/>
    <w:rsid w:val="00636252"/>
    <w:rsid w:val="0063626E"/>
    <w:rsid w:val="006366D2"/>
    <w:rsid w:val="00636AA7"/>
    <w:rsid w:val="0063799E"/>
    <w:rsid w:val="00637B60"/>
    <w:rsid w:val="00637CAF"/>
    <w:rsid w:val="00637ED9"/>
    <w:rsid w:val="006401F3"/>
    <w:rsid w:val="00640B32"/>
    <w:rsid w:val="0064134C"/>
    <w:rsid w:val="00641410"/>
    <w:rsid w:val="006417D3"/>
    <w:rsid w:val="00641882"/>
    <w:rsid w:val="00641AB0"/>
    <w:rsid w:val="00641F4F"/>
    <w:rsid w:val="006425D6"/>
    <w:rsid w:val="006426D7"/>
    <w:rsid w:val="00642C50"/>
    <w:rsid w:val="00643E17"/>
    <w:rsid w:val="00643E67"/>
    <w:rsid w:val="00644012"/>
    <w:rsid w:val="0064436A"/>
    <w:rsid w:val="00644494"/>
    <w:rsid w:val="00644639"/>
    <w:rsid w:val="006448A7"/>
    <w:rsid w:val="0064495D"/>
    <w:rsid w:val="00644AE7"/>
    <w:rsid w:val="00644CBA"/>
    <w:rsid w:val="00645CC6"/>
    <w:rsid w:val="00645E4C"/>
    <w:rsid w:val="00646137"/>
    <w:rsid w:val="0064630D"/>
    <w:rsid w:val="00646F8A"/>
    <w:rsid w:val="00647171"/>
    <w:rsid w:val="006475D4"/>
    <w:rsid w:val="00647643"/>
    <w:rsid w:val="006476E3"/>
    <w:rsid w:val="00647A3F"/>
    <w:rsid w:val="0065014F"/>
    <w:rsid w:val="00650D85"/>
    <w:rsid w:val="006510CA"/>
    <w:rsid w:val="00651150"/>
    <w:rsid w:val="00651471"/>
    <w:rsid w:val="00651534"/>
    <w:rsid w:val="006516B7"/>
    <w:rsid w:val="00651E02"/>
    <w:rsid w:val="00652447"/>
    <w:rsid w:val="006526AE"/>
    <w:rsid w:val="006527D4"/>
    <w:rsid w:val="00652834"/>
    <w:rsid w:val="00652AE9"/>
    <w:rsid w:val="00652D94"/>
    <w:rsid w:val="006533E7"/>
    <w:rsid w:val="006535EE"/>
    <w:rsid w:val="00653F62"/>
    <w:rsid w:val="006541CB"/>
    <w:rsid w:val="00654E6E"/>
    <w:rsid w:val="00654F33"/>
    <w:rsid w:val="00654F75"/>
    <w:rsid w:val="006558DD"/>
    <w:rsid w:val="00655B3D"/>
    <w:rsid w:val="00656161"/>
    <w:rsid w:val="0065627D"/>
    <w:rsid w:val="006562E2"/>
    <w:rsid w:val="006563F6"/>
    <w:rsid w:val="00656B37"/>
    <w:rsid w:val="0065726A"/>
    <w:rsid w:val="0065766A"/>
    <w:rsid w:val="00657A00"/>
    <w:rsid w:val="00660256"/>
    <w:rsid w:val="006603BF"/>
    <w:rsid w:val="00660AF9"/>
    <w:rsid w:val="00660BFF"/>
    <w:rsid w:val="006616F5"/>
    <w:rsid w:val="00661CFE"/>
    <w:rsid w:val="006622A0"/>
    <w:rsid w:val="0066279A"/>
    <w:rsid w:val="00662883"/>
    <w:rsid w:val="006629B0"/>
    <w:rsid w:val="00662DB6"/>
    <w:rsid w:val="006633DF"/>
    <w:rsid w:val="0066366B"/>
    <w:rsid w:val="00663D47"/>
    <w:rsid w:val="00663D6A"/>
    <w:rsid w:val="00664253"/>
    <w:rsid w:val="00664374"/>
    <w:rsid w:val="00664409"/>
    <w:rsid w:val="0066454E"/>
    <w:rsid w:val="00664FDB"/>
    <w:rsid w:val="00665791"/>
    <w:rsid w:val="00665BDC"/>
    <w:rsid w:val="00665CEE"/>
    <w:rsid w:val="00666A18"/>
    <w:rsid w:val="00666E8D"/>
    <w:rsid w:val="006702D3"/>
    <w:rsid w:val="0067059F"/>
    <w:rsid w:val="006707A0"/>
    <w:rsid w:val="00670C48"/>
    <w:rsid w:val="00670FB5"/>
    <w:rsid w:val="00671113"/>
    <w:rsid w:val="006719C1"/>
    <w:rsid w:val="00671A50"/>
    <w:rsid w:val="006722FA"/>
    <w:rsid w:val="00672774"/>
    <w:rsid w:val="00672917"/>
    <w:rsid w:val="00672D49"/>
    <w:rsid w:val="00672DBC"/>
    <w:rsid w:val="00672E7A"/>
    <w:rsid w:val="00672EE3"/>
    <w:rsid w:val="00672F9C"/>
    <w:rsid w:val="006730B7"/>
    <w:rsid w:val="00673693"/>
    <w:rsid w:val="00673747"/>
    <w:rsid w:val="0067382E"/>
    <w:rsid w:val="00673E6D"/>
    <w:rsid w:val="00673F55"/>
    <w:rsid w:val="006746BA"/>
    <w:rsid w:val="00674CEE"/>
    <w:rsid w:val="00674D7D"/>
    <w:rsid w:val="006753E1"/>
    <w:rsid w:val="00675631"/>
    <w:rsid w:val="006756E1"/>
    <w:rsid w:val="00675CC4"/>
    <w:rsid w:val="00676159"/>
    <w:rsid w:val="006765AA"/>
    <w:rsid w:val="006767DA"/>
    <w:rsid w:val="006767F7"/>
    <w:rsid w:val="00676B14"/>
    <w:rsid w:val="006771A6"/>
    <w:rsid w:val="00677395"/>
    <w:rsid w:val="00677E44"/>
    <w:rsid w:val="00680237"/>
    <w:rsid w:val="0068049D"/>
    <w:rsid w:val="00681084"/>
    <w:rsid w:val="006810C7"/>
    <w:rsid w:val="00681E84"/>
    <w:rsid w:val="00682326"/>
    <w:rsid w:val="006826C4"/>
    <w:rsid w:val="006829CF"/>
    <w:rsid w:val="00682B55"/>
    <w:rsid w:val="00682B9F"/>
    <w:rsid w:val="00682C2E"/>
    <w:rsid w:val="00682C72"/>
    <w:rsid w:val="00682F84"/>
    <w:rsid w:val="0068319E"/>
    <w:rsid w:val="00683257"/>
    <w:rsid w:val="00683643"/>
    <w:rsid w:val="006836C7"/>
    <w:rsid w:val="0068441B"/>
    <w:rsid w:val="006848E5"/>
    <w:rsid w:val="00684BC3"/>
    <w:rsid w:val="00684DAC"/>
    <w:rsid w:val="00685799"/>
    <w:rsid w:val="00685E9A"/>
    <w:rsid w:val="00685F17"/>
    <w:rsid w:val="00685F67"/>
    <w:rsid w:val="00686070"/>
    <w:rsid w:val="00686552"/>
    <w:rsid w:val="00686B51"/>
    <w:rsid w:val="00687372"/>
    <w:rsid w:val="00687427"/>
    <w:rsid w:val="0068779E"/>
    <w:rsid w:val="00687F2C"/>
    <w:rsid w:val="006900A5"/>
    <w:rsid w:val="00690145"/>
    <w:rsid w:val="006903C5"/>
    <w:rsid w:val="0069129C"/>
    <w:rsid w:val="006917A0"/>
    <w:rsid w:val="00691A45"/>
    <w:rsid w:val="00691BB0"/>
    <w:rsid w:val="00691C89"/>
    <w:rsid w:val="00691D52"/>
    <w:rsid w:val="00691DEE"/>
    <w:rsid w:val="00692F3E"/>
    <w:rsid w:val="00693220"/>
    <w:rsid w:val="006932C7"/>
    <w:rsid w:val="006932D4"/>
    <w:rsid w:val="006936F5"/>
    <w:rsid w:val="00693AD0"/>
    <w:rsid w:val="00693E8E"/>
    <w:rsid w:val="006946C4"/>
    <w:rsid w:val="0069471C"/>
    <w:rsid w:val="0069485A"/>
    <w:rsid w:val="00694999"/>
    <w:rsid w:val="00694E56"/>
    <w:rsid w:val="00694F08"/>
    <w:rsid w:val="0069518B"/>
    <w:rsid w:val="00696842"/>
    <w:rsid w:val="00696970"/>
    <w:rsid w:val="00696E0E"/>
    <w:rsid w:val="00696F67"/>
    <w:rsid w:val="00697290"/>
    <w:rsid w:val="00697C5B"/>
    <w:rsid w:val="006A06F0"/>
    <w:rsid w:val="006A0E3C"/>
    <w:rsid w:val="006A1028"/>
    <w:rsid w:val="006A12AC"/>
    <w:rsid w:val="006A244D"/>
    <w:rsid w:val="006A24A7"/>
    <w:rsid w:val="006A26AE"/>
    <w:rsid w:val="006A27D1"/>
    <w:rsid w:val="006A2D37"/>
    <w:rsid w:val="006A31DD"/>
    <w:rsid w:val="006A3407"/>
    <w:rsid w:val="006A3730"/>
    <w:rsid w:val="006A3AAC"/>
    <w:rsid w:val="006A3CB4"/>
    <w:rsid w:val="006A4DFF"/>
    <w:rsid w:val="006A5041"/>
    <w:rsid w:val="006A525D"/>
    <w:rsid w:val="006A5785"/>
    <w:rsid w:val="006A640C"/>
    <w:rsid w:val="006A6562"/>
    <w:rsid w:val="006A6744"/>
    <w:rsid w:val="006A68FD"/>
    <w:rsid w:val="006A6D49"/>
    <w:rsid w:val="006A71A1"/>
    <w:rsid w:val="006A7F73"/>
    <w:rsid w:val="006B07A0"/>
    <w:rsid w:val="006B0C8E"/>
    <w:rsid w:val="006B137E"/>
    <w:rsid w:val="006B1700"/>
    <w:rsid w:val="006B1AAD"/>
    <w:rsid w:val="006B1E71"/>
    <w:rsid w:val="006B2A48"/>
    <w:rsid w:val="006B2D18"/>
    <w:rsid w:val="006B2DA2"/>
    <w:rsid w:val="006B3A68"/>
    <w:rsid w:val="006B3C85"/>
    <w:rsid w:val="006B3CB5"/>
    <w:rsid w:val="006B4145"/>
    <w:rsid w:val="006B44DD"/>
    <w:rsid w:val="006B46B4"/>
    <w:rsid w:val="006B47A3"/>
    <w:rsid w:val="006B51DB"/>
    <w:rsid w:val="006B578B"/>
    <w:rsid w:val="006B5BF8"/>
    <w:rsid w:val="006B658D"/>
    <w:rsid w:val="006B665E"/>
    <w:rsid w:val="006B6954"/>
    <w:rsid w:val="006B6E41"/>
    <w:rsid w:val="006B6F42"/>
    <w:rsid w:val="006B758F"/>
    <w:rsid w:val="006C083D"/>
    <w:rsid w:val="006C09A3"/>
    <w:rsid w:val="006C0C80"/>
    <w:rsid w:val="006C1393"/>
    <w:rsid w:val="006C1714"/>
    <w:rsid w:val="006C1CB1"/>
    <w:rsid w:val="006C1F42"/>
    <w:rsid w:val="006C1F63"/>
    <w:rsid w:val="006C2495"/>
    <w:rsid w:val="006C2A0F"/>
    <w:rsid w:val="006C2D20"/>
    <w:rsid w:val="006C3633"/>
    <w:rsid w:val="006C3C0A"/>
    <w:rsid w:val="006C3CFA"/>
    <w:rsid w:val="006C3F23"/>
    <w:rsid w:val="006C4036"/>
    <w:rsid w:val="006C4500"/>
    <w:rsid w:val="006C4880"/>
    <w:rsid w:val="006C49CE"/>
    <w:rsid w:val="006C49E4"/>
    <w:rsid w:val="006C4BB1"/>
    <w:rsid w:val="006C55D2"/>
    <w:rsid w:val="006C5C0A"/>
    <w:rsid w:val="006C5C2F"/>
    <w:rsid w:val="006C75C0"/>
    <w:rsid w:val="006C7BFF"/>
    <w:rsid w:val="006C7E2E"/>
    <w:rsid w:val="006C7FA7"/>
    <w:rsid w:val="006D0F47"/>
    <w:rsid w:val="006D162A"/>
    <w:rsid w:val="006D17A1"/>
    <w:rsid w:val="006D1810"/>
    <w:rsid w:val="006D2349"/>
    <w:rsid w:val="006D27C6"/>
    <w:rsid w:val="006D2947"/>
    <w:rsid w:val="006D2BAF"/>
    <w:rsid w:val="006D35D9"/>
    <w:rsid w:val="006D3DA0"/>
    <w:rsid w:val="006D43D5"/>
    <w:rsid w:val="006D494C"/>
    <w:rsid w:val="006D4FF0"/>
    <w:rsid w:val="006D57C7"/>
    <w:rsid w:val="006D5871"/>
    <w:rsid w:val="006D5B51"/>
    <w:rsid w:val="006D5D45"/>
    <w:rsid w:val="006D5F61"/>
    <w:rsid w:val="006D638B"/>
    <w:rsid w:val="006D6A15"/>
    <w:rsid w:val="006D7479"/>
    <w:rsid w:val="006D763B"/>
    <w:rsid w:val="006E0237"/>
    <w:rsid w:val="006E09A7"/>
    <w:rsid w:val="006E0E84"/>
    <w:rsid w:val="006E13C8"/>
    <w:rsid w:val="006E169C"/>
    <w:rsid w:val="006E2C3E"/>
    <w:rsid w:val="006E2EF8"/>
    <w:rsid w:val="006E32D1"/>
    <w:rsid w:val="006E3A96"/>
    <w:rsid w:val="006E3F3D"/>
    <w:rsid w:val="006E456C"/>
    <w:rsid w:val="006E46E4"/>
    <w:rsid w:val="006E489A"/>
    <w:rsid w:val="006E4AA0"/>
    <w:rsid w:val="006E4E81"/>
    <w:rsid w:val="006E4EFE"/>
    <w:rsid w:val="006E524E"/>
    <w:rsid w:val="006E56BF"/>
    <w:rsid w:val="006E5822"/>
    <w:rsid w:val="006E5A91"/>
    <w:rsid w:val="006E6643"/>
    <w:rsid w:val="006E6D8E"/>
    <w:rsid w:val="006E6E47"/>
    <w:rsid w:val="006E7B71"/>
    <w:rsid w:val="006F023B"/>
    <w:rsid w:val="006F0C0F"/>
    <w:rsid w:val="006F1806"/>
    <w:rsid w:val="006F1F0D"/>
    <w:rsid w:val="006F2150"/>
    <w:rsid w:val="006F2185"/>
    <w:rsid w:val="006F2478"/>
    <w:rsid w:val="006F27FD"/>
    <w:rsid w:val="006F2ACB"/>
    <w:rsid w:val="006F3104"/>
    <w:rsid w:val="006F3171"/>
    <w:rsid w:val="006F3373"/>
    <w:rsid w:val="006F3BF1"/>
    <w:rsid w:val="006F419A"/>
    <w:rsid w:val="006F5BC4"/>
    <w:rsid w:val="006F5F3B"/>
    <w:rsid w:val="006F64AD"/>
    <w:rsid w:val="006F6C3A"/>
    <w:rsid w:val="006F6C83"/>
    <w:rsid w:val="006F6D49"/>
    <w:rsid w:val="006F72F9"/>
    <w:rsid w:val="006F73D4"/>
    <w:rsid w:val="006F7592"/>
    <w:rsid w:val="006F7B74"/>
    <w:rsid w:val="006F7D8A"/>
    <w:rsid w:val="006F7F32"/>
    <w:rsid w:val="00700093"/>
    <w:rsid w:val="00700282"/>
    <w:rsid w:val="0070068C"/>
    <w:rsid w:val="0070089C"/>
    <w:rsid w:val="007018FC"/>
    <w:rsid w:val="00701929"/>
    <w:rsid w:val="00701948"/>
    <w:rsid w:val="00701D50"/>
    <w:rsid w:val="0070229A"/>
    <w:rsid w:val="007023A2"/>
    <w:rsid w:val="00702C26"/>
    <w:rsid w:val="00702F77"/>
    <w:rsid w:val="00702FDE"/>
    <w:rsid w:val="007030D0"/>
    <w:rsid w:val="007032BB"/>
    <w:rsid w:val="00703BEA"/>
    <w:rsid w:val="00703D7D"/>
    <w:rsid w:val="00703DB1"/>
    <w:rsid w:val="00703F2A"/>
    <w:rsid w:val="00704E49"/>
    <w:rsid w:val="007051FB"/>
    <w:rsid w:val="00705216"/>
    <w:rsid w:val="00705458"/>
    <w:rsid w:val="00705517"/>
    <w:rsid w:val="007056B0"/>
    <w:rsid w:val="0070573C"/>
    <w:rsid w:val="00705F6B"/>
    <w:rsid w:val="00706540"/>
    <w:rsid w:val="007069E2"/>
    <w:rsid w:val="00706A5E"/>
    <w:rsid w:val="00706E74"/>
    <w:rsid w:val="00707019"/>
    <w:rsid w:val="007076EC"/>
    <w:rsid w:val="0070771B"/>
    <w:rsid w:val="0070796D"/>
    <w:rsid w:val="007108D3"/>
    <w:rsid w:val="0071098A"/>
    <w:rsid w:val="007109FB"/>
    <w:rsid w:val="00710B97"/>
    <w:rsid w:val="007112A1"/>
    <w:rsid w:val="0071256C"/>
    <w:rsid w:val="007126F0"/>
    <w:rsid w:val="007129D5"/>
    <w:rsid w:val="00712B7D"/>
    <w:rsid w:val="007130B8"/>
    <w:rsid w:val="00713D54"/>
    <w:rsid w:val="007145A9"/>
    <w:rsid w:val="00714CD4"/>
    <w:rsid w:val="00714F4F"/>
    <w:rsid w:val="0071570F"/>
    <w:rsid w:val="00715D38"/>
    <w:rsid w:val="007167CC"/>
    <w:rsid w:val="00716DA7"/>
    <w:rsid w:val="00716DE1"/>
    <w:rsid w:val="0071706D"/>
    <w:rsid w:val="0071737C"/>
    <w:rsid w:val="0071743F"/>
    <w:rsid w:val="007178F8"/>
    <w:rsid w:val="00717B02"/>
    <w:rsid w:val="0072009E"/>
    <w:rsid w:val="0072010E"/>
    <w:rsid w:val="0072063E"/>
    <w:rsid w:val="0072068C"/>
    <w:rsid w:val="0072077D"/>
    <w:rsid w:val="00720995"/>
    <w:rsid w:val="00721394"/>
    <w:rsid w:val="0072187B"/>
    <w:rsid w:val="00721E1F"/>
    <w:rsid w:val="00721F2D"/>
    <w:rsid w:val="007220F6"/>
    <w:rsid w:val="0072241D"/>
    <w:rsid w:val="007225CF"/>
    <w:rsid w:val="00722E09"/>
    <w:rsid w:val="00722EA3"/>
    <w:rsid w:val="007233B9"/>
    <w:rsid w:val="007235E4"/>
    <w:rsid w:val="00723AA1"/>
    <w:rsid w:val="007244A1"/>
    <w:rsid w:val="00724651"/>
    <w:rsid w:val="00725017"/>
    <w:rsid w:val="00725835"/>
    <w:rsid w:val="00725868"/>
    <w:rsid w:val="00725974"/>
    <w:rsid w:val="00725A26"/>
    <w:rsid w:val="007261AB"/>
    <w:rsid w:val="007261C8"/>
    <w:rsid w:val="007263CC"/>
    <w:rsid w:val="00726580"/>
    <w:rsid w:val="007265E6"/>
    <w:rsid w:val="00726C91"/>
    <w:rsid w:val="00726EC0"/>
    <w:rsid w:val="0072737C"/>
    <w:rsid w:val="00727B17"/>
    <w:rsid w:val="00727B97"/>
    <w:rsid w:val="00727D1A"/>
    <w:rsid w:val="00727E86"/>
    <w:rsid w:val="00730597"/>
    <w:rsid w:val="0073080A"/>
    <w:rsid w:val="007308AF"/>
    <w:rsid w:val="00730BC8"/>
    <w:rsid w:val="00730C1B"/>
    <w:rsid w:val="00730C8E"/>
    <w:rsid w:val="00732182"/>
    <w:rsid w:val="007321C1"/>
    <w:rsid w:val="007328EA"/>
    <w:rsid w:val="007330AD"/>
    <w:rsid w:val="007337CE"/>
    <w:rsid w:val="00733AA2"/>
    <w:rsid w:val="007343EC"/>
    <w:rsid w:val="00734917"/>
    <w:rsid w:val="00734ACF"/>
    <w:rsid w:val="00734D97"/>
    <w:rsid w:val="00734ED0"/>
    <w:rsid w:val="007351E6"/>
    <w:rsid w:val="007352F7"/>
    <w:rsid w:val="00735719"/>
    <w:rsid w:val="00735935"/>
    <w:rsid w:val="00735B7C"/>
    <w:rsid w:val="00735E5C"/>
    <w:rsid w:val="007361E3"/>
    <w:rsid w:val="007368F7"/>
    <w:rsid w:val="0073691E"/>
    <w:rsid w:val="00737104"/>
    <w:rsid w:val="0073781B"/>
    <w:rsid w:val="00737F4E"/>
    <w:rsid w:val="0074073D"/>
    <w:rsid w:val="00740B1C"/>
    <w:rsid w:val="00740C2F"/>
    <w:rsid w:val="007410FD"/>
    <w:rsid w:val="007412E6"/>
    <w:rsid w:val="0074134B"/>
    <w:rsid w:val="0074138D"/>
    <w:rsid w:val="007416EF"/>
    <w:rsid w:val="007417B6"/>
    <w:rsid w:val="00741888"/>
    <w:rsid w:val="00741E77"/>
    <w:rsid w:val="00742136"/>
    <w:rsid w:val="00742DED"/>
    <w:rsid w:val="00742EC7"/>
    <w:rsid w:val="00742ECA"/>
    <w:rsid w:val="00743456"/>
    <w:rsid w:val="007434BF"/>
    <w:rsid w:val="007436B8"/>
    <w:rsid w:val="007441E6"/>
    <w:rsid w:val="007442AA"/>
    <w:rsid w:val="00744BF7"/>
    <w:rsid w:val="00744F78"/>
    <w:rsid w:val="0074509E"/>
    <w:rsid w:val="00745354"/>
    <w:rsid w:val="007457AA"/>
    <w:rsid w:val="007462DD"/>
    <w:rsid w:val="0074673B"/>
    <w:rsid w:val="00746926"/>
    <w:rsid w:val="00746D3C"/>
    <w:rsid w:val="007477AA"/>
    <w:rsid w:val="00747884"/>
    <w:rsid w:val="00747BEB"/>
    <w:rsid w:val="00750AB6"/>
    <w:rsid w:val="007511EB"/>
    <w:rsid w:val="00752167"/>
    <w:rsid w:val="0075254D"/>
    <w:rsid w:val="00752613"/>
    <w:rsid w:val="0075265D"/>
    <w:rsid w:val="007528BA"/>
    <w:rsid w:val="0075304E"/>
    <w:rsid w:val="00753415"/>
    <w:rsid w:val="00753918"/>
    <w:rsid w:val="00754634"/>
    <w:rsid w:val="00754871"/>
    <w:rsid w:val="00754A65"/>
    <w:rsid w:val="00754B65"/>
    <w:rsid w:val="00754D80"/>
    <w:rsid w:val="00754E10"/>
    <w:rsid w:val="00755053"/>
    <w:rsid w:val="00755136"/>
    <w:rsid w:val="007554DA"/>
    <w:rsid w:val="00755510"/>
    <w:rsid w:val="007555DB"/>
    <w:rsid w:val="007555DC"/>
    <w:rsid w:val="00755617"/>
    <w:rsid w:val="007561DC"/>
    <w:rsid w:val="0075658C"/>
    <w:rsid w:val="007567E7"/>
    <w:rsid w:val="007568C0"/>
    <w:rsid w:val="00757111"/>
    <w:rsid w:val="007571B3"/>
    <w:rsid w:val="007574ED"/>
    <w:rsid w:val="00757BA5"/>
    <w:rsid w:val="00757FBC"/>
    <w:rsid w:val="007608DC"/>
    <w:rsid w:val="00760B29"/>
    <w:rsid w:val="00760D47"/>
    <w:rsid w:val="00760E12"/>
    <w:rsid w:val="0076198D"/>
    <w:rsid w:val="00761AB1"/>
    <w:rsid w:val="00761F82"/>
    <w:rsid w:val="0076261E"/>
    <w:rsid w:val="00762748"/>
    <w:rsid w:val="007628FC"/>
    <w:rsid w:val="0076372A"/>
    <w:rsid w:val="00763D90"/>
    <w:rsid w:val="00764057"/>
    <w:rsid w:val="00764251"/>
    <w:rsid w:val="007649CA"/>
    <w:rsid w:val="00764C25"/>
    <w:rsid w:val="00764E70"/>
    <w:rsid w:val="0076505D"/>
    <w:rsid w:val="0076515B"/>
    <w:rsid w:val="00765439"/>
    <w:rsid w:val="00765646"/>
    <w:rsid w:val="00766441"/>
    <w:rsid w:val="00766CDF"/>
    <w:rsid w:val="00767051"/>
    <w:rsid w:val="00767C60"/>
    <w:rsid w:val="00767CEF"/>
    <w:rsid w:val="0077008B"/>
    <w:rsid w:val="007700BE"/>
    <w:rsid w:val="00770715"/>
    <w:rsid w:val="00770A1D"/>
    <w:rsid w:val="00771084"/>
    <w:rsid w:val="0077123A"/>
    <w:rsid w:val="00771666"/>
    <w:rsid w:val="00771847"/>
    <w:rsid w:val="0077195E"/>
    <w:rsid w:val="00771D2F"/>
    <w:rsid w:val="00772174"/>
    <w:rsid w:val="00772992"/>
    <w:rsid w:val="00772EE4"/>
    <w:rsid w:val="007733C3"/>
    <w:rsid w:val="0077353D"/>
    <w:rsid w:val="007735BF"/>
    <w:rsid w:val="00773C89"/>
    <w:rsid w:val="00773D29"/>
    <w:rsid w:val="007740FE"/>
    <w:rsid w:val="00774261"/>
    <w:rsid w:val="0077435D"/>
    <w:rsid w:val="007757F5"/>
    <w:rsid w:val="00775ACA"/>
    <w:rsid w:val="00775BBE"/>
    <w:rsid w:val="00775DCA"/>
    <w:rsid w:val="00776780"/>
    <w:rsid w:val="00776A19"/>
    <w:rsid w:val="00776EA9"/>
    <w:rsid w:val="007775C9"/>
    <w:rsid w:val="00780EF8"/>
    <w:rsid w:val="00781916"/>
    <w:rsid w:val="00781A35"/>
    <w:rsid w:val="00781F71"/>
    <w:rsid w:val="007822BB"/>
    <w:rsid w:val="0078289A"/>
    <w:rsid w:val="007828C5"/>
    <w:rsid w:val="00782C06"/>
    <w:rsid w:val="00782D78"/>
    <w:rsid w:val="0078531D"/>
    <w:rsid w:val="00785EB1"/>
    <w:rsid w:val="007860D6"/>
    <w:rsid w:val="0078619D"/>
    <w:rsid w:val="00786EE6"/>
    <w:rsid w:val="007876E6"/>
    <w:rsid w:val="00787741"/>
    <w:rsid w:val="00790221"/>
    <w:rsid w:val="00790358"/>
    <w:rsid w:val="00790BBA"/>
    <w:rsid w:val="007917E0"/>
    <w:rsid w:val="007918D7"/>
    <w:rsid w:val="007918F2"/>
    <w:rsid w:val="00791928"/>
    <w:rsid w:val="00791B6F"/>
    <w:rsid w:val="00791E95"/>
    <w:rsid w:val="007920F3"/>
    <w:rsid w:val="0079210A"/>
    <w:rsid w:val="00792249"/>
    <w:rsid w:val="0079236E"/>
    <w:rsid w:val="00792719"/>
    <w:rsid w:val="0079296A"/>
    <w:rsid w:val="007945F8"/>
    <w:rsid w:val="007945FC"/>
    <w:rsid w:val="0079460B"/>
    <w:rsid w:val="00794A2A"/>
    <w:rsid w:val="00794C4E"/>
    <w:rsid w:val="007957F5"/>
    <w:rsid w:val="00795D4B"/>
    <w:rsid w:val="00795EB8"/>
    <w:rsid w:val="00796576"/>
    <w:rsid w:val="00796B28"/>
    <w:rsid w:val="00796EE3"/>
    <w:rsid w:val="00797330"/>
    <w:rsid w:val="00797714"/>
    <w:rsid w:val="00797946"/>
    <w:rsid w:val="007A09D7"/>
    <w:rsid w:val="007A0BE9"/>
    <w:rsid w:val="007A0D20"/>
    <w:rsid w:val="007A0E21"/>
    <w:rsid w:val="007A13E1"/>
    <w:rsid w:val="007A19B9"/>
    <w:rsid w:val="007A1B5B"/>
    <w:rsid w:val="007A1FF0"/>
    <w:rsid w:val="007A23CD"/>
    <w:rsid w:val="007A2657"/>
    <w:rsid w:val="007A2817"/>
    <w:rsid w:val="007A2B5F"/>
    <w:rsid w:val="007A2F65"/>
    <w:rsid w:val="007A3754"/>
    <w:rsid w:val="007A3FAF"/>
    <w:rsid w:val="007A3FF9"/>
    <w:rsid w:val="007A430D"/>
    <w:rsid w:val="007A47DD"/>
    <w:rsid w:val="007A4C22"/>
    <w:rsid w:val="007A575D"/>
    <w:rsid w:val="007A5898"/>
    <w:rsid w:val="007A5AB6"/>
    <w:rsid w:val="007A5E10"/>
    <w:rsid w:val="007A5E7F"/>
    <w:rsid w:val="007A610A"/>
    <w:rsid w:val="007A6210"/>
    <w:rsid w:val="007A62AE"/>
    <w:rsid w:val="007A6A30"/>
    <w:rsid w:val="007A6E78"/>
    <w:rsid w:val="007A708C"/>
    <w:rsid w:val="007A74D3"/>
    <w:rsid w:val="007A79D6"/>
    <w:rsid w:val="007B04F5"/>
    <w:rsid w:val="007B053D"/>
    <w:rsid w:val="007B0BB9"/>
    <w:rsid w:val="007B11E6"/>
    <w:rsid w:val="007B134B"/>
    <w:rsid w:val="007B13B2"/>
    <w:rsid w:val="007B17AA"/>
    <w:rsid w:val="007B21A9"/>
    <w:rsid w:val="007B24DD"/>
    <w:rsid w:val="007B2B41"/>
    <w:rsid w:val="007B2F97"/>
    <w:rsid w:val="007B334A"/>
    <w:rsid w:val="007B3A8C"/>
    <w:rsid w:val="007B3C34"/>
    <w:rsid w:val="007B457A"/>
    <w:rsid w:val="007B4AA7"/>
    <w:rsid w:val="007B4AE0"/>
    <w:rsid w:val="007B4CD0"/>
    <w:rsid w:val="007B5224"/>
    <w:rsid w:val="007B52D7"/>
    <w:rsid w:val="007B564B"/>
    <w:rsid w:val="007B5A8C"/>
    <w:rsid w:val="007B5C21"/>
    <w:rsid w:val="007B65DC"/>
    <w:rsid w:val="007B7FC3"/>
    <w:rsid w:val="007C0375"/>
    <w:rsid w:val="007C0C01"/>
    <w:rsid w:val="007C0DB7"/>
    <w:rsid w:val="007C1053"/>
    <w:rsid w:val="007C195D"/>
    <w:rsid w:val="007C1AA9"/>
    <w:rsid w:val="007C1FD4"/>
    <w:rsid w:val="007C2047"/>
    <w:rsid w:val="007C2A5F"/>
    <w:rsid w:val="007C4917"/>
    <w:rsid w:val="007C4D6B"/>
    <w:rsid w:val="007C532D"/>
    <w:rsid w:val="007C5422"/>
    <w:rsid w:val="007C59D2"/>
    <w:rsid w:val="007C5B6C"/>
    <w:rsid w:val="007C5EB5"/>
    <w:rsid w:val="007C660E"/>
    <w:rsid w:val="007C6786"/>
    <w:rsid w:val="007C69E9"/>
    <w:rsid w:val="007C6CA1"/>
    <w:rsid w:val="007C6F90"/>
    <w:rsid w:val="007C7325"/>
    <w:rsid w:val="007C7350"/>
    <w:rsid w:val="007C754D"/>
    <w:rsid w:val="007C7551"/>
    <w:rsid w:val="007C7CF8"/>
    <w:rsid w:val="007C7FCD"/>
    <w:rsid w:val="007D00DE"/>
    <w:rsid w:val="007D01AE"/>
    <w:rsid w:val="007D05F4"/>
    <w:rsid w:val="007D089C"/>
    <w:rsid w:val="007D090E"/>
    <w:rsid w:val="007D0D9D"/>
    <w:rsid w:val="007D1510"/>
    <w:rsid w:val="007D1768"/>
    <w:rsid w:val="007D19B4"/>
    <w:rsid w:val="007D1A9A"/>
    <w:rsid w:val="007D1AF6"/>
    <w:rsid w:val="007D1D8D"/>
    <w:rsid w:val="007D26AE"/>
    <w:rsid w:val="007D2CD7"/>
    <w:rsid w:val="007D30FB"/>
    <w:rsid w:val="007D3105"/>
    <w:rsid w:val="007D31A6"/>
    <w:rsid w:val="007D375C"/>
    <w:rsid w:val="007D3C9A"/>
    <w:rsid w:val="007D4399"/>
    <w:rsid w:val="007D4740"/>
    <w:rsid w:val="007D4B23"/>
    <w:rsid w:val="007D4BF1"/>
    <w:rsid w:val="007D4F4B"/>
    <w:rsid w:val="007D5181"/>
    <w:rsid w:val="007D5904"/>
    <w:rsid w:val="007D66D7"/>
    <w:rsid w:val="007D6BEA"/>
    <w:rsid w:val="007D6EAD"/>
    <w:rsid w:val="007D6F96"/>
    <w:rsid w:val="007D7190"/>
    <w:rsid w:val="007D77E3"/>
    <w:rsid w:val="007D7CC9"/>
    <w:rsid w:val="007D7D20"/>
    <w:rsid w:val="007D7EBC"/>
    <w:rsid w:val="007D7F1F"/>
    <w:rsid w:val="007E0198"/>
    <w:rsid w:val="007E0D3B"/>
    <w:rsid w:val="007E12F0"/>
    <w:rsid w:val="007E1DA1"/>
    <w:rsid w:val="007E2231"/>
    <w:rsid w:val="007E2916"/>
    <w:rsid w:val="007E32F1"/>
    <w:rsid w:val="007E3A80"/>
    <w:rsid w:val="007E4BD9"/>
    <w:rsid w:val="007E559B"/>
    <w:rsid w:val="007E58D1"/>
    <w:rsid w:val="007E65E2"/>
    <w:rsid w:val="007E6601"/>
    <w:rsid w:val="007E6616"/>
    <w:rsid w:val="007E6E0E"/>
    <w:rsid w:val="007E75E9"/>
    <w:rsid w:val="007E75F4"/>
    <w:rsid w:val="007E7763"/>
    <w:rsid w:val="007E7987"/>
    <w:rsid w:val="007E7F1C"/>
    <w:rsid w:val="007F0076"/>
    <w:rsid w:val="007F0824"/>
    <w:rsid w:val="007F17E5"/>
    <w:rsid w:val="007F1A36"/>
    <w:rsid w:val="007F1E21"/>
    <w:rsid w:val="007F1FB2"/>
    <w:rsid w:val="007F2512"/>
    <w:rsid w:val="007F2FF3"/>
    <w:rsid w:val="007F30C2"/>
    <w:rsid w:val="007F32B3"/>
    <w:rsid w:val="007F353E"/>
    <w:rsid w:val="007F47B9"/>
    <w:rsid w:val="007F5520"/>
    <w:rsid w:val="007F5BD6"/>
    <w:rsid w:val="007F633C"/>
    <w:rsid w:val="007F7C13"/>
    <w:rsid w:val="008003B2"/>
    <w:rsid w:val="008003EA"/>
    <w:rsid w:val="00800EE2"/>
    <w:rsid w:val="008015AB"/>
    <w:rsid w:val="00801BC9"/>
    <w:rsid w:val="00801D1C"/>
    <w:rsid w:val="00801F29"/>
    <w:rsid w:val="00802703"/>
    <w:rsid w:val="0080293D"/>
    <w:rsid w:val="00802B37"/>
    <w:rsid w:val="008033A6"/>
    <w:rsid w:val="008038CA"/>
    <w:rsid w:val="0080391E"/>
    <w:rsid w:val="00803E34"/>
    <w:rsid w:val="00804687"/>
    <w:rsid w:val="00804B5E"/>
    <w:rsid w:val="00804EEB"/>
    <w:rsid w:val="00805076"/>
    <w:rsid w:val="00805D08"/>
    <w:rsid w:val="00805D2D"/>
    <w:rsid w:val="00805D34"/>
    <w:rsid w:val="00805F2C"/>
    <w:rsid w:val="00806AD4"/>
    <w:rsid w:val="00806AE5"/>
    <w:rsid w:val="00806C06"/>
    <w:rsid w:val="00806EB2"/>
    <w:rsid w:val="00807276"/>
    <w:rsid w:val="00807924"/>
    <w:rsid w:val="00807B57"/>
    <w:rsid w:val="00807D1D"/>
    <w:rsid w:val="00807FBB"/>
    <w:rsid w:val="00810523"/>
    <w:rsid w:val="008107D9"/>
    <w:rsid w:val="0081081F"/>
    <w:rsid w:val="008108D6"/>
    <w:rsid w:val="00810F76"/>
    <w:rsid w:val="0081137C"/>
    <w:rsid w:val="00811FB0"/>
    <w:rsid w:val="00812137"/>
    <w:rsid w:val="00812159"/>
    <w:rsid w:val="00812216"/>
    <w:rsid w:val="00812773"/>
    <w:rsid w:val="00813079"/>
    <w:rsid w:val="00814128"/>
    <w:rsid w:val="008150D9"/>
    <w:rsid w:val="008152B5"/>
    <w:rsid w:val="00815BC0"/>
    <w:rsid w:val="00815D1C"/>
    <w:rsid w:val="00815F08"/>
    <w:rsid w:val="00815F0C"/>
    <w:rsid w:val="00815F7D"/>
    <w:rsid w:val="008163B6"/>
    <w:rsid w:val="00816414"/>
    <w:rsid w:val="008167F1"/>
    <w:rsid w:val="00817683"/>
    <w:rsid w:val="00817AB6"/>
    <w:rsid w:val="00817C40"/>
    <w:rsid w:val="00817D1C"/>
    <w:rsid w:val="0082019B"/>
    <w:rsid w:val="0082066A"/>
    <w:rsid w:val="0082083D"/>
    <w:rsid w:val="00820E46"/>
    <w:rsid w:val="008217C3"/>
    <w:rsid w:val="00821CAC"/>
    <w:rsid w:val="00821DC3"/>
    <w:rsid w:val="00822184"/>
    <w:rsid w:val="00822370"/>
    <w:rsid w:val="008225B1"/>
    <w:rsid w:val="00822C27"/>
    <w:rsid w:val="00822DEA"/>
    <w:rsid w:val="00822EFC"/>
    <w:rsid w:val="00822F23"/>
    <w:rsid w:val="00823047"/>
    <w:rsid w:val="0082360E"/>
    <w:rsid w:val="00823B6B"/>
    <w:rsid w:val="00823E5A"/>
    <w:rsid w:val="008253A3"/>
    <w:rsid w:val="00825767"/>
    <w:rsid w:val="0082582D"/>
    <w:rsid w:val="00825F17"/>
    <w:rsid w:val="0082643F"/>
    <w:rsid w:val="00826873"/>
    <w:rsid w:val="00826D97"/>
    <w:rsid w:val="0082733E"/>
    <w:rsid w:val="00827B86"/>
    <w:rsid w:val="00827D56"/>
    <w:rsid w:val="00830978"/>
    <w:rsid w:val="00830B8D"/>
    <w:rsid w:val="008317BF"/>
    <w:rsid w:val="00831A4D"/>
    <w:rsid w:val="00831C75"/>
    <w:rsid w:val="00831E13"/>
    <w:rsid w:val="00831F9A"/>
    <w:rsid w:val="00832046"/>
    <w:rsid w:val="00832A3C"/>
    <w:rsid w:val="00832D16"/>
    <w:rsid w:val="008333A5"/>
    <w:rsid w:val="008335CE"/>
    <w:rsid w:val="00833C03"/>
    <w:rsid w:val="00834299"/>
    <w:rsid w:val="008346E8"/>
    <w:rsid w:val="00834943"/>
    <w:rsid w:val="00834C3A"/>
    <w:rsid w:val="00834CAB"/>
    <w:rsid w:val="0083500B"/>
    <w:rsid w:val="008352AB"/>
    <w:rsid w:val="0083648A"/>
    <w:rsid w:val="008374DB"/>
    <w:rsid w:val="008375BD"/>
    <w:rsid w:val="008378FB"/>
    <w:rsid w:val="00837CA7"/>
    <w:rsid w:val="00840121"/>
    <w:rsid w:val="00840C4A"/>
    <w:rsid w:val="00840E40"/>
    <w:rsid w:val="008411E4"/>
    <w:rsid w:val="00841736"/>
    <w:rsid w:val="00842511"/>
    <w:rsid w:val="00844E93"/>
    <w:rsid w:val="00844EB3"/>
    <w:rsid w:val="00845976"/>
    <w:rsid w:val="00846022"/>
    <w:rsid w:val="00846187"/>
    <w:rsid w:val="008463D3"/>
    <w:rsid w:val="00846821"/>
    <w:rsid w:val="00847244"/>
    <w:rsid w:val="008472EA"/>
    <w:rsid w:val="008474F3"/>
    <w:rsid w:val="00847556"/>
    <w:rsid w:val="00847B72"/>
    <w:rsid w:val="00847E96"/>
    <w:rsid w:val="0085040A"/>
    <w:rsid w:val="0085041F"/>
    <w:rsid w:val="00850CCE"/>
    <w:rsid w:val="00851215"/>
    <w:rsid w:val="0085121B"/>
    <w:rsid w:val="00851345"/>
    <w:rsid w:val="00851654"/>
    <w:rsid w:val="00851A50"/>
    <w:rsid w:val="0085238E"/>
    <w:rsid w:val="008525C2"/>
    <w:rsid w:val="00852B14"/>
    <w:rsid w:val="008530BF"/>
    <w:rsid w:val="0085339E"/>
    <w:rsid w:val="008533A7"/>
    <w:rsid w:val="00853D03"/>
    <w:rsid w:val="00854826"/>
    <w:rsid w:val="00854D9E"/>
    <w:rsid w:val="00855503"/>
    <w:rsid w:val="0085658C"/>
    <w:rsid w:val="0085677C"/>
    <w:rsid w:val="00856BB2"/>
    <w:rsid w:val="00856C73"/>
    <w:rsid w:val="008578A6"/>
    <w:rsid w:val="00857AB2"/>
    <w:rsid w:val="00857CFE"/>
    <w:rsid w:val="00860030"/>
    <w:rsid w:val="008600A6"/>
    <w:rsid w:val="008607D3"/>
    <w:rsid w:val="00860B7B"/>
    <w:rsid w:val="00860C9D"/>
    <w:rsid w:val="00860E17"/>
    <w:rsid w:val="00861384"/>
    <w:rsid w:val="00861390"/>
    <w:rsid w:val="00861AE0"/>
    <w:rsid w:val="00861B0B"/>
    <w:rsid w:val="00861BE6"/>
    <w:rsid w:val="00861D92"/>
    <w:rsid w:val="008626F0"/>
    <w:rsid w:val="00862867"/>
    <w:rsid w:val="00862EE8"/>
    <w:rsid w:val="008637F7"/>
    <w:rsid w:val="0086384E"/>
    <w:rsid w:val="0086402C"/>
    <w:rsid w:val="00864471"/>
    <w:rsid w:val="0086452D"/>
    <w:rsid w:val="0086482D"/>
    <w:rsid w:val="0086495E"/>
    <w:rsid w:val="00864C99"/>
    <w:rsid w:val="00864E08"/>
    <w:rsid w:val="00864EDF"/>
    <w:rsid w:val="00865267"/>
    <w:rsid w:val="008652E4"/>
    <w:rsid w:val="008654BC"/>
    <w:rsid w:val="008657D2"/>
    <w:rsid w:val="00865CA2"/>
    <w:rsid w:val="00865CBD"/>
    <w:rsid w:val="0086693B"/>
    <w:rsid w:val="00866BC0"/>
    <w:rsid w:val="0086722F"/>
    <w:rsid w:val="00867D49"/>
    <w:rsid w:val="00867F5F"/>
    <w:rsid w:val="008701AF"/>
    <w:rsid w:val="008706FC"/>
    <w:rsid w:val="008708D8"/>
    <w:rsid w:val="008709CB"/>
    <w:rsid w:val="00870E6E"/>
    <w:rsid w:val="00871492"/>
    <w:rsid w:val="00871508"/>
    <w:rsid w:val="00871533"/>
    <w:rsid w:val="008719C9"/>
    <w:rsid w:val="00872094"/>
    <w:rsid w:val="00872471"/>
    <w:rsid w:val="008725A0"/>
    <w:rsid w:val="00872623"/>
    <w:rsid w:val="00872649"/>
    <w:rsid w:val="00872D5C"/>
    <w:rsid w:val="00872DB6"/>
    <w:rsid w:val="00873132"/>
    <w:rsid w:val="0087365B"/>
    <w:rsid w:val="008737DD"/>
    <w:rsid w:val="00873907"/>
    <w:rsid w:val="008745FB"/>
    <w:rsid w:val="00874DD2"/>
    <w:rsid w:val="00875776"/>
    <w:rsid w:val="0087589C"/>
    <w:rsid w:val="008758A3"/>
    <w:rsid w:val="00875BA9"/>
    <w:rsid w:val="00875EAA"/>
    <w:rsid w:val="00876214"/>
    <w:rsid w:val="00876539"/>
    <w:rsid w:val="00876AC6"/>
    <w:rsid w:val="00876EDB"/>
    <w:rsid w:val="008775C8"/>
    <w:rsid w:val="0087763E"/>
    <w:rsid w:val="0087793B"/>
    <w:rsid w:val="00877DF9"/>
    <w:rsid w:val="008803C7"/>
    <w:rsid w:val="008805BA"/>
    <w:rsid w:val="0088073C"/>
    <w:rsid w:val="0088088D"/>
    <w:rsid w:val="0088142E"/>
    <w:rsid w:val="00881B81"/>
    <w:rsid w:val="00882754"/>
    <w:rsid w:val="0088302C"/>
    <w:rsid w:val="00883FDB"/>
    <w:rsid w:val="00883FE5"/>
    <w:rsid w:val="0088453B"/>
    <w:rsid w:val="00884718"/>
    <w:rsid w:val="00884A00"/>
    <w:rsid w:val="00885C3D"/>
    <w:rsid w:val="00885CC6"/>
    <w:rsid w:val="00886397"/>
    <w:rsid w:val="008866FC"/>
    <w:rsid w:val="00886771"/>
    <w:rsid w:val="00886A74"/>
    <w:rsid w:val="00886B10"/>
    <w:rsid w:val="00886F73"/>
    <w:rsid w:val="00887216"/>
    <w:rsid w:val="00887290"/>
    <w:rsid w:val="008900AB"/>
    <w:rsid w:val="008900DA"/>
    <w:rsid w:val="00890411"/>
    <w:rsid w:val="0089072E"/>
    <w:rsid w:val="00890B3E"/>
    <w:rsid w:val="00890D24"/>
    <w:rsid w:val="008913E5"/>
    <w:rsid w:val="0089172A"/>
    <w:rsid w:val="008919B6"/>
    <w:rsid w:val="008919FD"/>
    <w:rsid w:val="00891A44"/>
    <w:rsid w:val="00891B20"/>
    <w:rsid w:val="00893179"/>
    <w:rsid w:val="0089325B"/>
    <w:rsid w:val="00893291"/>
    <w:rsid w:val="008935BB"/>
    <w:rsid w:val="008939AA"/>
    <w:rsid w:val="00893B0B"/>
    <w:rsid w:val="00894998"/>
    <w:rsid w:val="00895406"/>
    <w:rsid w:val="008956F3"/>
    <w:rsid w:val="00895946"/>
    <w:rsid w:val="00895AF8"/>
    <w:rsid w:val="00895D43"/>
    <w:rsid w:val="0089621B"/>
    <w:rsid w:val="00896A7E"/>
    <w:rsid w:val="00896CF4"/>
    <w:rsid w:val="0089700D"/>
    <w:rsid w:val="00897F8D"/>
    <w:rsid w:val="008A0D37"/>
    <w:rsid w:val="008A0DF0"/>
    <w:rsid w:val="008A0F29"/>
    <w:rsid w:val="008A16C9"/>
    <w:rsid w:val="008A1B6B"/>
    <w:rsid w:val="008A2783"/>
    <w:rsid w:val="008A2864"/>
    <w:rsid w:val="008A2B11"/>
    <w:rsid w:val="008A34F6"/>
    <w:rsid w:val="008A37A4"/>
    <w:rsid w:val="008A3EA6"/>
    <w:rsid w:val="008A433C"/>
    <w:rsid w:val="008A44A7"/>
    <w:rsid w:val="008A45A0"/>
    <w:rsid w:val="008A471B"/>
    <w:rsid w:val="008A4DEE"/>
    <w:rsid w:val="008A53AD"/>
    <w:rsid w:val="008A5692"/>
    <w:rsid w:val="008A5AFA"/>
    <w:rsid w:val="008A5D4A"/>
    <w:rsid w:val="008A5E0A"/>
    <w:rsid w:val="008A64B3"/>
    <w:rsid w:val="008A6B24"/>
    <w:rsid w:val="008A75F5"/>
    <w:rsid w:val="008A7632"/>
    <w:rsid w:val="008A7A11"/>
    <w:rsid w:val="008A7AC6"/>
    <w:rsid w:val="008B0473"/>
    <w:rsid w:val="008B04D0"/>
    <w:rsid w:val="008B058D"/>
    <w:rsid w:val="008B06B3"/>
    <w:rsid w:val="008B0A9E"/>
    <w:rsid w:val="008B0C08"/>
    <w:rsid w:val="008B1223"/>
    <w:rsid w:val="008B1F3F"/>
    <w:rsid w:val="008B1FAE"/>
    <w:rsid w:val="008B2100"/>
    <w:rsid w:val="008B21FC"/>
    <w:rsid w:val="008B2962"/>
    <w:rsid w:val="008B2A96"/>
    <w:rsid w:val="008B2BB8"/>
    <w:rsid w:val="008B2BEF"/>
    <w:rsid w:val="008B2D89"/>
    <w:rsid w:val="008B346A"/>
    <w:rsid w:val="008B38EB"/>
    <w:rsid w:val="008B3B97"/>
    <w:rsid w:val="008B3F37"/>
    <w:rsid w:val="008B40FE"/>
    <w:rsid w:val="008B4121"/>
    <w:rsid w:val="008B462B"/>
    <w:rsid w:val="008B480D"/>
    <w:rsid w:val="008B4B17"/>
    <w:rsid w:val="008B4CF6"/>
    <w:rsid w:val="008B4EFA"/>
    <w:rsid w:val="008B4F41"/>
    <w:rsid w:val="008B54DD"/>
    <w:rsid w:val="008B56DC"/>
    <w:rsid w:val="008B5D02"/>
    <w:rsid w:val="008B5DBF"/>
    <w:rsid w:val="008B60BF"/>
    <w:rsid w:val="008B61A3"/>
    <w:rsid w:val="008B6793"/>
    <w:rsid w:val="008B69B8"/>
    <w:rsid w:val="008B74EB"/>
    <w:rsid w:val="008B7A17"/>
    <w:rsid w:val="008B7D8D"/>
    <w:rsid w:val="008C04DB"/>
    <w:rsid w:val="008C054A"/>
    <w:rsid w:val="008C05CE"/>
    <w:rsid w:val="008C0F1A"/>
    <w:rsid w:val="008C1204"/>
    <w:rsid w:val="008C14F1"/>
    <w:rsid w:val="008C2371"/>
    <w:rsid w:val="008C2546"/>
    <w:rsid w:val="008C2815"/>
    <w:rsid w:val="008C2895"/>
    <w:rsid w:val="008C2A10"/>
    <w:rsid w:val="008C2D7F"/>
    <w:rsid w:val="008C3379"/>
    <w:rsid w:val="008C3F08"/>
    <w:rsid w:val="008C494C"/>
    <w:rsid w:val="008C4D44"/>
    <w:rsid w:val="008C5681"/>
    <w:rsid w:val="008C5D3B"/>
    <w:rsid w:val="008C65D1"/>
    <w:rsid w:val="008C6B43"/>
    <w:rsid w:val="008C6DB4"/>
    <w:rsid w:val="008C7AD5"/>
    <w:rsid w:val="008D084E"/>
    <w:rsid w:val="008D08C3"/>
    <w:rsid w:val="008D0CD8"/>
    <w:rsid w:val="008D1378"/>
    <w:rsid w:val="008D156C"/>
    <w:rsid w:val="008D175E"/>
    <w:rsid w:val="008D177D"/>
    <w:rsid w:val="008D1EAD"/>
    <w:rsid w:val="008D2677"/>
    <w:rsid w:val="008D26F3"/>
    <w:rsid w:val="008D270F"/>
    <w:rsid w:val="008D3349"/>
    <w:rsid w:val="008D3FBB"/>
    <w:rsid w:val="008D4318"/>
    <w:rsid w:val="008D4727"/>
    <w:rsid w:val="008D4940"/>
    <w:rsid w:val="008D4D25"/>
    <w:rsid w:val="008D4FFB"/>
    <w:rsid w:val="008D5C5D"/>
    <w:rsid w:val="008D701F"/>
    <w:rsid w:val="008D7CBA"/>
    <w:rsid w:val="008E183C"/>
    <w:rsid w:val="008E1984"/>
    <w:rsid w:val="008E1B21"/>
    <w:rsid w:val="008E1EB2"/>
    <w:rsid w:val="008E2020"/>
    <w:rsid w:val="008E222E"/>
    <w:rsid w:val="008E31B0"/>
    <w:rsid w:val="008E3570"/>
    <w:rsid w:val="008E3972"/>
    <w:rsid w:val="008E3A7C"/>
    <w:rsid w:val="008E3F6B"/>
    <w:rsid w:val="008E46A4"/>
    <w:rsid w:val="008E47F8"/>
    <w:rsid w:val="008E5417"/>
    <w:rsid w:val="008E5973"/>
    <w:rsid w:val="008E5B7E"/>
    <w:rsid w:val="008E5BC2"/>
    <w:rsid w:val="008E66B8"/>
    <w:rsid w:val="008E677D"/>
    <w:rsid w:val="008E6799"/>
    <w:rsid w:val="008E6A48"/>
    <w:rsid w:val="008E6A84"/>
    <w:rsid w:val="008E6B7F"/>
    <w:rsid w:val="008E6D28"/>
    <w:rsid w:val="008E763D"/>
    <w:rsid w:val="008E795E"/>
    <w:rsid w:val="008E7979"/>
    <w:rsid w:val="008E7A3F"/>
    <w:rsid w:val="008F141E"/>
    <w:rsid w:val="008F14A2"/>
    <w:rsid w:val="008F14B6"/>
    <w:rsid w:val="008F1615"/>
    <w:rsid w:val="008F1B13"/>
    <w:rsid w:val="008F1CD4"/>
    <w:rsid w:val="008F1D5F"/>
    <w:rsid w:val="008F22A3"/>
    <w:rsid w:val="008F2576"/>
    <w:rsid w:val="008F41B2"/>
    <w:rsid w:val="008F4A87"/>
    <w:rsid w:val="008F4C02"/>
    <w:rsid w:val="008F52CE"/>
    <w:rsid w:val="008F5955"/>
    <w:rsid w:val="008F5AFC"/>
    <w:rsid w:val="008F66FB"/>
    <w:rsid w:val="008F676E"/>
    <w:rsid w:val="008F693F"/>
    <w:rsid w:val="008F6C7D"/>
    <w:rsid w:val="008F6EB6"/>
    <w:rsid w:val="008F6ED6"/>
    <w:rsid w:val="008F7627"/>
    <w:rsid w:val="0090039F"/>
    <w:rsid w:val="00900B11"/>
    <w:rsid w:val="00900F72"/>
    <w:rsid w:val="00901548"/>
    <w:rsid w:val="00901786"/>
    <w:rsid w:val="00901A0B"/>
    <w:rsid w:val="00901A88"/>
    <w:rsid w:val="00901C20"/>
    <w:rsid w:val="00901EE5"/>
    <w:rsid w:val="00902070"/>
    <w:rsid w:val="009024B0"/>
    <w:rsid w:val="009025C5"/>
    <w:rsid w:val="00902843"/>
    <w:rsid w:val="00902AA1"/>
    <w:rsid w:val="009030CE"/>
    <w:rsid w:val="009032CF"/>
    <w:rsid w:val="009032EA"/>
    <w:rsid w:val="009034D3"/>
    <w:rsid w:val="0090366B"/>
    <w:rsid w:val="009038D6"/>
    <w:rsid w:val="00903FDB"/>
    <w:rsid w:val="009049C5"/>
    <w:rsid w:val="00904F3E"/>
    <w:rsid w:val="009055B2"/>
    <w:rsid w:val="009056A7"/>
    <w:rsid w:val="00905899"/>
    <w:rsid w:val="00905E5B"/>
    <w:rsid w:val="00906804"/>
    <w:rsid w:val="00906897"/>
    <w:rsid w:val="009068CA"/>
    <w:rsid w:val="0090699F"/>
    <w:rsid w:val="00906AC5"/>
    <w:rsid w:val="00906BD9"/>
    <w:rsid w:val="00906C92"/>
    <w:rsid w:val="00906D09"/>
    <w:rsid w:val="00906EDD"/>
    <w:rsid w:val="00907D46"/>
    <w:rsid w:val="0091024B"/>
    <w:rsid w:val="00910949"/>
    <w:rsid w:val="00912286"/>
    <w:rsid w:val="009124C2"/>
    <w:rsid w:val="00912D51"/>
    <w:rsid w:val="00912D82"/>
    <w:rsid w:val="00913387"/>
    <w:rsid w:val="0091398B"/>
    <w:rsid w:val="009146EF"/>
    <w:rsid w:val="00915813"/>
    <w:rsid w:val="00915BD0"/>
    <w:rsid w:val="0091653B"/>
    <w:rsid w:val="00916B2C"/>
    <w:rsid w:val="00916CDE"/>
    <w:rsid w:val="00916D94"/>
    <w:rsid w:val="00917242"/>
    <w:rsid w:val="009175D6"/>
    <w:rsid w:val="00917CBA"/>
    <w:rsid w:val="00917DD9"/>
    <w:rsid w:val="0092012C"/>
    <w:rsid w:val="00920223"/>
    <w:rsid w:val="00920679"/>
    <w:rsid w:val="009207C8"/>
    <w:rsid w:val="0092094D"/>
    <w:rsid w:val="00920B01"/>
    <w:rsid w:val="009210C5"/>
    <w:rsid w:val="009216ED"/>
    <w:rsid w:val="00921CAE"/>
    <w:rsid w:val="00922426"/>
    <w:rsid w:val="00922D96"/>
    <w:rsid w:val="00922DEF"/>
    <w:rsid w:val="00923101"/>
    <w:rsid w:val="0092327D"/>
    <w:rsid w:val="00923294"/>
    <w:rsid w:val="009240B8"/>
    <w:rsid w:val="009244B4"/>
    <w:rsid w:val="009246F2"/>
    <w:rsid w:val="009247B6"/>
    <w:rsid w:val="00924C0B"/>
    <w:rsid w:val="00924C6A"/>
    <w:rsid w:val="00924E61"/>
    <w:rsid w:val="00924E65"/>
    <w:rsid w:val="00924F81"/>
    <w:rsid w:val="00925485"/>
    <w:rsid w:val="00925552"/>
    <w:rsid w:val="009258DE"/>
    <w:rsid w:val="00925B68"/>
    <w:rsid w:val="00925D5E"/>
    <w:rsid w:val="00925E28"/>
    <w:rsid w:val="0092632A"/>
    <w:rsid w:val="009263CF"/>
    <w:rsid w:val="00926B28"/>
    <w:rsid w:val="00927178"/>
    <w:rsid w:val="009272B1"/>
    <w:rsid w:val="00927924"/>
    <w:rsid w:val="00927BFD"/>
    <w:rsid w:val="00931810"/>
    <w:rsid w:val="00931988"/>
    <w:rsid w:val="00932376"/>
    <w:rsid w:val="00932448"/>
    <w:rsid w:val="00932737"/>
    <w:rsid w:val="00932B4B"/>
    <w:rsid w:val="00932DE4"/>
    <w:rsid w:val="00932F89"/>
    <w:rsid w:val="009336E7"/>
    <w:rsid w:val="00933905"/>
    <w:rsid w:val="0093404F"/>
    <w:rsid w:val="009342C9"/>
    <w:rsid w:val="00934633"/>
    <w:rsid w:val="00934A3D"/>
    <w:rsid w:val="00934B92"/>
    <w:rsid w:val="00935122"/>
    <w:rsid w:val="009358A2"/>
    <w:rsid w:val="00935B9E"/>
    <w:rsid w:val="00935C59"/>
    <w:rsid w:val="00936351"/>
    <w:rsid w:val="0093681C"/>
    <w:rsid w:val="00936984"/>
    <w:rsid w:val="0093715B"/>
    <w:rsid w:val="009371B9"/>
    <w:rsid w:val="0093782B"/>
    <w:rsid w:val="00937CE1"/>
    <w:rsid w:val="00937D8A"/>
    <w:rsid w:val="00940C4D"/>
    <w:rsid w:val="00940CB4"/>
    <w:rsid w:val="0094148B"/>
    <w:rsid w:val="0094176B"/>
    <w:rsid w:val="009417CC"/>
    <w:rsid w:val="009418B5"/>
    <w:rsid w:val="0094221E"/>
    <w:rsid w:val="009423C5"/>
    <w:rsid w:val="00942540"/>
    <w:rsid w:val="00942EB1"/>
    <w:rsid w:val="00943027"/>
    <w:rsid w:val="0094316D"/>
    <w:rsid w:val="00943C2E"/>
    <w:rsid w:val="0094445F"/>
    <w:rsid w:val="00944CBC"/>
    <w:rsid w:val="009453AA"/>
    <w:rsid w:val="00945925"/>
    <w:rsid w:val="009459BA"/>
    <w:rsid w:val="00945D1E"/>
    <w:rsid w:val="009461E5"/>
    <w:rsid w:val="00947314"/>
    <w:rsid w:val="00947609"/>
    <w:rsid w:val="009476B1"/>
    <w:rsid w:val="00947FF7"/>
    <w:rsid w:val="0095040C"/>
    <w:rsid w:val="00950A10"/>
    <w:rsid w:val="00950A9A"/>
    <w:rsid w:val="00950B92"/>
    <w:rsid w:val="00950BA6"/>
    <w:rsid w:val="00950C10"/>
    <w:rsid w:val="009511D6"/>
    <w:rsid w:val="00951323"/>
    <w:rsid w:val="00951D33"/>
    <w:rsid w:val="00952B58"/>
    <w:rsid w:val="00952C27"/>
    <w:rsid w:val="00954423"/>
    <w:rsid w:val="009545DF"/>
    <w:rsid w:val="00954B9C"/>
    <w:rsid w:val="009552D6"/>
    <w:rsid w:val="009553F3"/>
    <w:rsid w:val="009553FB"/>
    <w:rsid w:val="00955956"/>
    <w:rsid w:val="0095598A"/>
    <w:rsid w:val="00955B3C"/>
    <w:rsid w:val="00955BB2"/>
    <w:rsid w:val="00955C34"/>
    <w:rsid w:val="00955E20"/>
    <w:rsid w:val="009562C6"/>
    <w:rsid w:val="009568C8"/>
    <w:rsid w:val="00956960"/>
    <w:rsid w:val="00956EFD"/>
    <w:rsid w:val="009570B1"/>
    <w:rsid w:val="009574EC"/>
    <w:rsid w:val="0095752D"/>
    <w:rsid w:val="0096012F"/>
    <w:rsid w:val="00960834"/>
    <w:rsid w:val="009609C9"/>
    <w:rsid w:val="00960BF0"/>
    <w:rsid w:val="0096154E"/>
    <w:rsid w:val="00961AD1"/>
    <w:rsid w:val="00962155"/>
    <w:rsid w:val="00962BEA"/>
    <w:rsid w:val="0096370C"/>
    <w:rsid w:val="00963C43"/>
    <w:rsid w:val="0096408C"/>
    <w:rsid w:val="00964097"/>
    <w:rsid w:val="009642B9"/>
    <w:rsid w:val="0096473F"/>
    <w:rsid w:val="00964959"/>
    <w:rsid w:val="00964A73"/>
    <w:rsid w:val="00964E85"/>
    <w:rsid w:val="00965206"/>
    <w:rsid w:val="0096533A"/>
    <w:rsid w:val="00965592"/>
    <w:rsid w:val="00965ED8"/>
    <w:rsid w:val="009667CA"/>
    <w:rsid w:val="00966CF9"/>
    <w:rsid w:val="009671CE"/>
    <w:rsid w:val="00967217"/>
    <w:rsid w:val="009672CF"/>
    <w:rsid w:val="00967A6B"/>
    <w:rsid w:val="00967ACE"/>
    <w:rsid w:val="00967F20"/>
    <w:rsid w:val="0097022C"/>
    <w:rsid w:val="0097077E"/>
    <w:rsid w:val="00970D42"/>
    <w:rsid w:val="00970F9A"/>
    <w:rsid w:val="009710DF"/>
    <w:rsid w:val="0097122A"/>
    <w:rsid w:val="00971CAF"/>
    <w:rsid w:val="00971F52"/>
    <w:rsid w:val="009720D9"/>
    <w:rsid w:val="009721C9"/>
    <w:rsid w:val="00972724"/>
    <w:rsid w:val="00972B9F"/>
    <w:rsid w:val="00972D77"/>
    <w:rsid w:val="00972EF1"/>
    <w:rsid w:val="009736A3"/>
    <w:rsid w:val="0097380E"/>
    <w:rsid w:val="00973B1E"/>
    <w:rsid w:val="00973D6E"/>
    <w:rsid w:val="00974101"/>
    <w:rsid w:val="009744C5"/>
    <w:rsid w:val="009748C6"/>
    <w:rsid w:val="00974A9F"/>
    <w:rsid w:val="00975695"/>
    <w:rsid w:val="00975F55"/>
    <w:rsid w:val="00976228"/>
    <w:rsid w:val="00976DDE"/>
    <w:rsid w:val="0097751E"/>
    <w:rsid w:val="00977E96"/>
    <w:rsid w:val="00977EB1"/>
    <w:rsid w:val="00977F01"/>
    <w:rsid w:val="009810E8"/>
    <w:rsid w:val="009812AF"/>
    <w:rsid w:val="00981551"/>
    <w:rsid w:val="00981587"/>
    <w:rsid w:val="009816D4"/>
    <w:rsid w:val="009816EC"/>
    <w:rsid w:val="00981AAA"/>
    <w:rsid w:val="00982E80"/>
    <w:rsid w:val="0098342E"/>
    <w:rsid w:val="009834D9"/>
    <w:rsid w:val="009841CA"/>
    <w:rsid w:val="009844DE"/>
    <w:rsid w:val="00984851"/>
    <w:rsid w:val="0098533D"/>
    <w:rsid w:val="00985986"/>
    <w:rsid w:val="00985E02"/>
    <w:rsid w:val="00985F74"/>
    <w:rsid w:val="0098701C"/>
    <w:rsid w:val="00987C9C"/>
    <w:rsid w:val="00987E6A"/>
    <w:rsid w:val="00987F4E"/>
    <w:rsid w:val="009902BB"/>
    <w:rsid w:val="00990A8D"/>
    <w:rsid w:val="00990C61"/>
    <w:rsid w:val="00990E67"/>
    <w:rsid w:val="00991174"/>
    <w:rsid w:val="00991C46"/>
    <w:rsid w:val="00991C48"/>
    <w:rsid w:val="009922A9"/>
    <w:rsid w:val="00994C59"/>
    <w:rsid w:val="00994D50"/>
    <w:rsid w:val="00995053"/>
    <w:rsid w:val="009953B5"/>
    <w:rsid w:val="009954D0"/>
    <w:rsid w:val="00995C07"/>
    <w:rsid w:val="009962AC"/>
    <w:rsid w:val="0099671B"/>
    <w:rsid w:val="00996D8E"/>
    <w:rsid w:val="00996ED8"/>
    <w:rsid w:val="009A0432"/>
    <w:rsid w:val="009A0802"/>
    <w:rsid w:val="009A0A22"/>
    <w:rsid w:val="009A0B98"/>
    <w:rsid w:val="009A0E24"/>
    <w:rsid w:val="009A122A"/>
    <w:rsid w:val="009A162A"/>
    <w:rsid w:val="009A2B10"/>
    <w:rsid w:val="009A3436"/>
    <w:rsid w:val="009A39BA"/>
    <w:rsid w:val="009A3B25"/>
    <w:rsid w:val="009A3C8A"/>
    <w:rsid w:val="009A4ABE"/>
    <w:rsid w:val="009A5C9F"/>
    <w:rsid w:val="009A5CF9"/>
    <w:rsid w:val="009A6450"/>
    <w:rsid w:val="009A6903"/>
    <w:rsid w:val="009A6A14"/>
    <w:rsid w:val="009A7408"/>
    <w:rsid w:val="009A7686"/>
    <w:rsid w:val="009A7697"/>
    <w:rsid w:val="009A77D4"/>
    <w:rsid w:val="009A7DF7"/>
    <w:rsid w:val="009B0848"/>
    <w:rsid w:val="009B0BEB"/>
    <w:rsid w:val="009B10AC"/>
    <w:rsid w:val="009B111A"/>
    <w:rsid w:val="009B1401"/>
    <w:rsid w:val="009B159C"/>
    <w:rsid w:val="009B1F93"/>
    <w:rsid w:val="009B2229"/>
    <w:rsid w:val="009B2805"/>
    <w:rsid w:val="009B2C9F"/>
    <w:rsid w:val="009B2E00"/>
    <w:rsid w:val="009B3132"/>
    <w:rsid w:val="009B386F"/>
    <w:rsid w:val="009B3A56"/>
    <w:rsid w:val="009B3AC5"/>
    <w:rsid w:val="009B3F80"/>
    <w:rsid w:val="009B4085"/>
    <w:rsid w:val="009B4339"/>
    <w:rsid w:val="009B437C"/>
    <w:rsid w:val="009B4868"/>
    <w:rsid w:val="009B4A32"/>
    <w:rsid w:val="009B4D4C"/>
    <w:rsid w:val="009B5282"/>
    <w:rsid w:val="009B52DA"/>
    <w:rsid w:val="009B60E6"/>
    <w:rsid w:val="009B61CC"/>
    <w:rsid w:val="009B624D"/>
    <w:rsid w:val="009B65ED"/>
    <w:rsid w:val="009B678B"/>
    <w:rsid w:val="009B6B63"/>
    <w:rsid w:val="009B75D7"/>
    <w:rsid w:val="009B789C"/>
    <w:rsid w:val="009B7A9F"/>
    <w:rsid w:val="009B7AB0"/>
    <w:rsid w:val="009B7CF7"/>
    <w:rsid w:val="009C0025"/>
    <w:rsid w:val="009C02A2"/>
    <w:rsid w:val="009C03FC"/>
    <w:rsid w:val="009C057E"/>
    <w:rsid w:val="009C07D8"/>
    <w:rsid w:val="009C0DE2"/>
    <w:rsid w:val="009C14BD"/>
    <w:rsid w:val="009C1F9E"/>
    <w:rsid w:val="009C214D"/>
    <w:rsid w:val="009C2E68"/>
    <w:rsid w:val="009C2EA5"/>
    <w:rsid w:val="009C31BB"/>
    <w:rsid w:val="009C3D14"/>
    <w:rsid w:val="009C3D1F"/>
    <w:rsid w:val="009C44B3"/>
    <w:rsid w:val="009C45A6"/>
    <w:rsid w:val="009C4C88"/>
    <w:rsid w:val="009C51AF"/>
    <w:rsid w:val="009C52E8"/>
    <w:rsid w:val="009C55ED"/>
    <w:rsid w:val="009C6119"/>
    <w:rsid w:val="009C643E"/>
    <w:rsid w:val="009C64F8"/>
    <w:rsid w:val="009C6A2B"/>
    <w:rsid w:val="009C6FBE"/>
    <w:rsid w:val="009C706B"/>
    <w:rsid w:val="009C71B1"/>
    <w:rsid w:val="009C72C3"/>
    <w:rsid w:val="009C7E95"/>
    <w:rsid w:val="009C7F82"/>
    <w:rsid w:val="009D01AD"/>
    <w:rsid w:val="009D0E5D"/>
    <w:rsid w:val="009D123A"/>
    <w:rsid w:val="009D1897"/>
    <w:rsid w:val="009D19CD"/>
    <w:rsid w:val="009D29BC"/>
    <w:rsid w:val="009D2C46"/>
    <w:rsid w:val="009D35B9"/>
    <w:rsid w:val="009D371A"/>
    <w:rsid w:val="009D3875"/>
    <w:rsid w:val="009D3B4D"/>
    <w:rsid w:val="009D3BA0"/>
    <w:rsid w:val="009D3C22"/>
    <w:rsid w:val="009D4218"/>
    <w:rsid w:val="009D424E"/>
    <w:rsid w:val="009D4915"/>
    <w:rsid w:val="009D4BFF"/>
    <w:rsid w:val="009D4C3B"/>
    <w:rsid w:val="009D4E82"/>
    <w:rsid w:val="009D5488"/>
    <w:rsid w:val="009D60EE"/>
    <w:rsid w:val="009D6362"/>
    <w:rsid w:val="009D6382"/>
    <w:rsid w:val="009D639E"/>
    <w:rsid w:val="009D676D"/>
    <w:rsid w:val="009D691F"/>
    <w:rsid w:val="009D69A3"/>
    <w:rsid w:val="009D69B0"/>
    <w:rsid w:val="009D6B42"/>
    <w:rsid w:val="009D6BC0"/>
    <w:rsid w:val="009D6C8B"/>
    <w:rsid w:val="009D6CA1"/>
    <w:rsid w:val="009D6DD0"/>
    <w:rsid w:val="009D733C"/>
    <w:rsid w:val="009D7BE5"/>
    <w:rsid w:val="009D7E8F"/>
    <w:rsid w:val="009E0001"/>
    <w:rsid w:val="009E008D"/>
    <w:rsid w:val="009E0605"/>
    <w:rsid w:val="009E070A"/>
    <w:rsid w:val="009E0B29"/>
    <w:rsid w:val="009E0FA2"/>
    <w:rsid w:val="009E1328"/>
    <w:rsid w:val="009E17C5"/>
    <w:rsid w:val="009E18B5"/>
    <w:rsid w:val="009E18F8"/>
    <w:rsid w:val="009E29DC"/>
    <w:rsid w:val="009E36A1"/>
    <w:rsid w:val="009E39F8"/>
    <w:rsid w:val="009E3D0A"/>
    <w:rsid w:val="009E3D82"/>
    <w:rsid w:val="009E3DE2"/>
    <w:rsid w:val="009E3FA7"/>
    <w:rsid w:val="009E3FF6"/>
    <w:rsid w:val="009E4395"/>
    <w:rsid w:val="009E45D1"/>
    <w:rsid w:val="009E4E96"/>
    <w:rsid w:val="009E5075"/>
    <w:rsid w:val="009E53B4"/>
    <w:rsid w:val="009E5CDE"/>
    <w:rsid w:val="009E5EE4"/>
    <w:rsid w:val="009E6848"/>
    <w:rsid w:val="009E6B19"/>
    <w:rsid w:val="009E7115"/>
    <w:rsid w:val="009E7138"/>
    <w:rsid w:val="009E7141"/>
    <w:rsid w:val="009E77B5"/>
    <w:rsid w:val="009E7A2B"/>
    <w:rsid w:val="009E7C22"/>
    <w:rsid w:val="009F00DC"/>
    <w:rsid w:val="009F05FF"/>
    <w:rsid w:val="009F0B74"/>
    <w:rsid w:val="009F0D1E"/>
    <w:rsid w:val="009F0E77"/>
    <w:rsid w:val="009F121C"/>
    <w:rsid w:val="009F129B"/>
    <w:rsid w:val="009F12EC"/>
    <w:rsid w:val="009F1368"/>
    <w:rsid w:val="009F1941"/>
    <w:rsid w:val="009F23E5"/>
    <w:rsid w:val="009F2488"/>
    <w:rsid w:val="009F251D"/>
    <w:rsid w:val="009F2DF9"/>
    <w:rsid w:val="009F3017"/>
    <w:rsid w:val="009F3FC8"/>
    <w:rsid w:val="009F4361"/>
    <w:rsid w:val="009F4619"/>
    <w:rsid w:val="009F4A83"/>
    <w:rsid w:val="009F4A95"/>
    <w:rsid w:val="009F4AAF"/>
    <w:rsid w:val="009F4C0D"/>
    <w:rsid w:val="009F4E61"/>
    <w:rsid w:val="009F6390"/>
    <w:rsid w:val="009F6669"/>
    <w:rsid w:val="009F69D9"/>
    <w:rsid w:val="009F6E45"/>
    <w:rsid w:val="00A001BD"/>
    <w:rsid w:val="00A00640"/>
    <w:rsid w:val="00A0068A"/>
    <w:rsid w:val="00A00BCD"/>
    <w:rsid w:val="00A00CD6"/>
    <w:rsid w:val="00A00E15"/>
    <w:rsid w:val="00A01919"/>
    <w:rsid w:val="00A01CD6"/>
    <w:rsid w:val="00A024B9"/>
    <w:rsid w:val="00A02632"/>
    <w:rsid w:val="00A02858"/>
    <w:rsid w:val="00A02B5A"/>
    <w:rsid w:val="00A02B6D"/>
    <w:rsid w:val="00A02F50"/>
    <w:rsid w:val="00A03494"/>
    <w:rsid w:val="00A03630"/>
    <w:rsid w:val="00A03947"/>
    <w:rsid w:val="00A03BE5"/>
    <w:rsid w:val="00A03C27"/>
    <w:rsid w:val="00A04868"/>
    <w:rsid w:val="00A04A6A"/>
    <w:rsid w:val="00A04C6F"/>
    <w:rsid w:val="00A04F0B"/>
    <w:rsid w:val="00A0691A"/>
    <w:rsid w:val="00A06DB9"/>
    <w:rsid w:val="00A06F4B"/>
    <w:rsid w:val="00A071A0"/>
    <w:rsid w:val="00A072EF"/>
    <w:rsid w:val="00A073B5"/>
    <w:rsid w:val="00A075CA"/>
    <w:rsid w:val="00A076DB"/>
    <w:rsid w:val="00A10450"/>
    <w:rsid w:val="00A106C3"/>
    <w:rsid w:val="00A10C14"/>
    <w:rsid w:val="00A11369"/>
    <w:rsid w:val="00A1149A"/>
    <w:rsid w:val="00A1175F"/>
    <w:rsid w:val="00A11976"/>
    <w:rsid w:val="00A11F33"/>
    <w:rsid w:val="00A120C0"/>
    <w:rsid w:val="00A127C5"/>
    <w:rsid w:val="00A129EC"/>
    <w:rsid w:val="00A12C56"/>
    <w:rsid w:val="00A12E91"/>
    <w:rsid w:val="00A12F01"/>
    <w:rsid w:val="00A12FAB"/>
    <w:rsid w:val="00A130A8"/>
    <w:rsid w:val="00A136BB"/>
    <w:rsid w:val="00A137C9"/>
    <w:rsid w:val="00A139A1"/>
    <w:rsid w:val="00A13B72"/>
    <w:rsid w:val="00A13E25"/>
    <w:rsid w:val="00A13E7C"/>
    <w:rsid w:val="00A1528A"/>
    <w:rsid w:val="00A15F6D"/>
    <w:rsid w:val="00A16054"/>
    <w:rsid w:val="00A1655C"/>
    <w:rsid w:val="00A16637"/>
    <w:rsid w:val="00A16D54"/>
    <w:rsid w:val="00A170B8"/>
    <w:rsid w:val="00A1753C"/>
    <w:rsid w:val="00A17879"/>
    <w:rsid w:val="00A17972"/>
    <w:rsid w:val="00A17A47"/>
    <w:rsid w:val="00A17C6B"/>
    <w:rsid w:val="00A20029"/>
    <w:rsid w:val="00A20153"/>
    <w:rsid w:val="00A21111"/>
    <w:rsid w:val="00A21789"/>
    <w:rsid w:val="00A21930"/>
    <w:rsid w:val="00A219B0"/>
    <w:rsid w:val="00A21ABB"/>
    <w:rsid w:val="00A223BC"/>
    <w:rsid w:val="00A22687"/>
    <w:rsid w:val="00A22995"/>
    <w:rsid w:val="00A22A3B"/>
    <w:rsid w:val="00A22A86"/>
    <w:rsid w:val="00A22F46"/>
    <w:rsid w:val="00A23ABE"/>
    <w:rsid w:val="00A23C34"/>
    <w:rsid w:val="00A251A0"/>
    <w:rsid w:val="00A251BF"/>
    <w:rsid w:val="00A251D1"/>
    <w:rsid w:val="00A25226"/>
    <w:rsid w:val="00A254E3"/>
    <w:rsid w:val="00A2629D"/>
    <w:rsid w:val="00A26377"/>
    <w:rsid w:val="00A26E59"/>
    <w:rsid w:val="00A276DF"/>
    <w:rsid w:val="00A27BDE"/>
    <w:rsid w:val="00A30186"/>
    <w:rsid w:val="00A310A4"/>
    <w:rsid w:val="00A3150C"/>
    <w:rsid w:val="00A316D4"/>
    <w:rsid w:val="00A31C02"/>
    <w:rsid w:val="00A31DD9"/>
    <w:rsid w:val="00A31DDA"/>
    <w:rsid w:val="00A31F63"/>
    <w:rsid w:val="00A322E5"/>
    <w:rsid w:val="00A32557"/>
    <w:rsid w:val="00A32914"/>
    <w:rsid w:val="00A32A39"/>
    <w:rsid w:val="00A32AD8"/>
    <w:rsid w:val="00A3342C"/>
    <w:rsid w:val="00A3431A"/>
    <w:rsid w:val="00A3450A"/>
    <w:rsid w:val="00A34C15"/>
    <w:rsid w:val="00A34FA7"/>
    <w:rsid w:val="00A353AA"/>
    <w:rsid w:val="00A35930"/>
    <w:rsid w:val="00A36ECD"/>
    <w:rsid w:val="00A36EE0"/>
    <w:rsid w:val="00A36F04"/>
    <w:rsid w:val="00A370B8"/>
    <w:rsid w:val="00A3749F"/>
    <w:rsid w:val="00A37B99"/>
    <w:rsid w:val="00A37D8C"/>
    <w:rsid w:val="00A408EF"/>
    <w:rsid w:val="00A40C9A"/>
    <w:rsid w:val="00A412C3"/>
    <w:rsid w:val="00A413E1"/>
    <w:rsid w:val="00A41774"/>
    <w:rsid w:val="00A41C2E"/>
    <w:rsid w:val="00A41CC6"/>
    <w:rsid w:val="00A424C2"/>
    <w:rsid w:val="00A428BD"/>
    <w:rsid w:val="00A42BD0"/>
    <w:rsid w:val="00A42C87"/>
    <w:rsid w:val="00A4319A"/>
    <w:rsid w:val="00A43375"/>
    <w:rsid w:val="00A44073"/>
    <w:rsid w:val="00A4427E"/>
    <w:rsid w:val="00A44465"/>
    <w:rsid w:val="00A44718"/>
    <w:rsid w:val="00A45367"/>
    <w:rsid w:val="00A458BB"/>
    <w:rsid w:val="00A45CD6"/>
    <w:rsid w:val="00A45F47"/>
    <w:rsid w:val="00A46551"/>
    <w:rsid w:val="00A46998"/>
    <w:rsid w:val="00A47689"/>
    <w:rsid w:val="00A4785C"/>
    <w:rsid w:val="00A47B34"/>
    <w:rsid w:val="00A47B9B"/>
    <w:rsid w:val="00A5037A"/>
    <w:rsid w:val="00A50689"/>
    <w:rsid w:val="00A506FD"/>
    <w:rsid w:val="00A5085A"/>
    <w:rsid w:val="00A509C0"/>
    <w:rsid w:val="00A50A9B"/>
    <w:rsid w:val="00A50C40"/>
    <w:rsid w:val="00A50DDC"/>
    <w:rsid w:val="00A5199F"/>
    <w:rsid w:val="00A51A40"/>
    <w:rsid w:val="00A52133"/>
    <w:rsid w:val="00A52571"/>
    <w:rsid w:val="00A536E2"/>
    <w:rsid w:val="00A53A19"/>
    <w:rsid w:val="00A53E29"/>
    <w:rsid w:val="00A54224"/>
    <w:rsid w:val="00A54730"/>
    <w:rsid w:val="00A55227"/>
    <w:rsid w:val="00A55E8A"/>
    <w:rsid w:val="00A560CB"/>
    <w:rsid w:val="00A5648B"/>
    <w:rsid w:val="00A56849"/>
    <w:rsid w:val="00A569B2"/>
    <w:rsid w:val="00A5783B"/>
    <w:rsid w:val="00A579BE"/>
    <w:rsid w:val="00A57DEA"/>
    <w:rsid w:val="00A60137"/>
    <w:rsid w:val="00A60308"/>
    <w:rsid w:val="00A60E87"/>
    <w:rsid w:val="00A61677"/>
    <w:rsid w:val="00A6170D"/>
    <w:rsid w:val="00A6177D"/>
    <w:rsid w:val="00A61DB9"/>
    <w:rsid w:val="00A62573"/>
    <w:rsid w:val="00A625AA"/>
    <w:rsid w:val="00A62729"/>
    <w:rsid w:val="00A629DC"/>
    <w:rsid w:val="00A629FA"/>
    <w:rsid w:val="00A62AA1"/>
    <w:rsid w:val="00A63113"/>
    <w:rsid w:val="00A635D5"/>
    <w:rsid w:val="00A63CD9"/>
    <w:rsid w:val="00A63D2B"/>
    <w:rsid w:val="00A63E97"/>
    <w:rsid w:val="00A64BD8"/>
    <w:rsid w:val="00A64C03"/>
    <w:rsid w:val="00A65210"/>
    <w:rsid w:val="00A653E5"/>
    <w:rsid w:val="00A66A8B"/>
    <w:rsid w:val="00A66A8F"/>
    <w:rsid w:val="00A67C73"/>
    <w:rsid w:val="00A67CC1"/>
    <w:rsid w:val="00A67E18"/>
    <w:rsid w:val="00A7000C"/>
    <w:rsid w:val="00A700F6"/>
    <w:rsid w:val="00A70814"/>
    <w:rsid w:val="00A70D3D"/>
    <w:rsid w:val="00A70E0E"/>
    <w:rsid w:val="00A710AE"/>
    <w:rsid w:val="00A711DD"/>
    <w:rsid w:val="00A71692"/>
    <w:rsid w:val="00A71BBF"/>
    <w:rsid w:val="00A71ED4"/>
    <w:rsid w:val="00A72174"/>
    <w:rsid w:val="00A727E9"/>
    <w:rsid w:val="00A729C0"/>
    <w:rsid w:val="00A73257"/>
    <w:rsid w:val="00A7346B"/>
    <w:rsid w:val="00A73578"/>
    <w:rsid w:val="00A739E6"/>
    <w:rsid w:val="00A73BD6"/>
    <w:rsid w:val="00A74299"/>
    <w:rsid w:val="00A74395"/>
    <w:rsid w:val="00A7450A"/>
    <w:rsid w:val="00A74D81"/>
    <w:rsid w:val="00A75194"/>
    <w:rsid w:val="00A75405"/>
    <w:rsid w:val="00A766A9"/>
    <w:rsid w:val="00A7692C"/>
    <w:rsid w:val="00A76EF2"/>
    <w:rsid w:val="00A7716A"/>
    <w:rsid w:val="00A77447"/>
    <w:rsid w:val="00A77828"/>
    <w:rsid w:val="00A77C9B"/>
    <w:rsid w:val="00A77CCD"/>
    <w:rsid w:val="00A77DF7"/>
    <w:rsid w:val="00A80907"/>
    <w:rsid w:val="00A80A46"/>
    <w:rsid w:val="00A80B8B"/>
    <w:rsid w:val="00A80C90"/>
    <w:rsid w:val="00A81217"/>
    <w:rsid w:val="00A813F4"/>
    <w:rsid w:val="00A81440"/>
    <w:rsid w:val="00A81847"/>
    <w:rsid w:val="00A81C73"/>
    <w:rsid w:val="00A81CDF"/>
    <w:rsid w:val="00A81E93"/>
    <w:rsid w:val="00A8240A"/>
    <w:rsid w:val="00A8283D"/>
    <w:rsid w:val="00A829A2"/>
    <w:rsid w:val="00A83335"/>
    <w:rsid w:val="00A8368A"/>
    <w:rsid w:val="00A83ED8"/>
    <w:rsid w:val="00A845FA"/>
    <w:rsid w:val="00A847B1"/>
    <w:rsid w:val="00A84ABD"/>
    <w:rsid w:val="00A85850"/>
    <w:rsid w:val="00A85B10"/>
    <w:rsid w:val="00A85EF6"/>
    <w:rsid w:val="00A86681"/>
    <w:rsid w:val="00A86B72"/>
    <w:rsid w:val="00A871EB"/>
    <w:rsid w:val="00A873A6"/>
    <w:rsid w:val="00A875E6"/>
    <w:rsid w:val="00A87762"/>
    <w:rsid w:val="00A87763"/>
    <w:rsid w:val="00A87832"/>
    <w:rsid w:val="00A9018A"/>
    <w:rsid w:val="00A903DA"/>
    <w:rsid w:val="00A90608"/>
    <w:rsid w:val="00A906FC"/>
    <w:rsid w:val="00A906FE"/>
    <w:rsid w:val="00A909DE"/>
    <w:rsid w:val="00A90A27"/>
    <w:rsid w:val="00A91272"/>
    <w:rsid w:val="00A92B41"/>
    <w:rsid w:val="00A92ED4"/>
    <w:rsid w:val="00A9355C"/>
    <w:rsid w:val="00A94536"/>
    <w:rsid w:val="00A94579"/>
    <w:rsid w:val="00A945EF"/>
    <w:rsid w:val="00A946E6"/>
    <w:rsid w:val="00A95059"/>
    <w:rsid w:val="00A9514C"/>
    <w:rsid w:val="00A953D8"/>
    <w:rsid w:val="00A95C19"/>
    <w:rsid w:val="00A96BFF"/>
    <w:rsid w:val="00A97632"/>
    <w:rsid w:val="00A97809"/>
    <w:rsid w:val="00AA01E3"/>
    <w:rsid w:val="00AA09F5"/>
    <w:rsid w:val="00AA1052"/>
    <w:rsid w:val="00AA172C"/>
    <w:rsid w:val="00AA1DED"/>
    <w:rsid w:val="00AA2089"/>
    <w:rsid w:val="00AA2627"/>
    <w:rsid w:val="00AA2926"/>
    <w:rsid w:val="00AA29B6"/>
    <w:rsid w:val="00AA2A19"/>
    <w:rsid w:val="00AA2A47"/>
    <w:rsid w:val="00AA2AAC"/>
    <w:rsid w:val="00AA2E90"/>
    <w:rsid w:val="00AA306C"/>
    <w:rsid w:val="00AA30FE"/>
    <w:rsid w:val="00AA345C"/>
    <w:rsid w:val="00AA3871"/>
    <w:rsid w:val="00AA46CA"/>
    <w:rsid w:val="00AA4996"/>
    <w:rsid w:val="00AA500A"/>
    <w:rsid w:val="00AA5029"/>
    <w:rsid w:val="00AA51AC"/>
    <w:rsid w:val="00AA5D6E"/>
    <w:rsid w:val="00AA606D"/>
    <w:rsid w:val="00AA6735"/>
    <w:rsid w:val="00AA699F"/>
    <w:rsid w:val="00AA6BD6"/>
    <w:rsid w:val="00AA70FF"/>
    <w:rsid w:val="00AA72F0"/>
    <w:rsid w:val="00AB039D"/>
    <w:rsid w:val="00AB0541"/>
    <w:rsid w:val="00AB06AE"/>
    <w:rsid w:val="00AB095C"/>
    <w:rsid w:val="00AB0E70"/>
    <w:rsid w:val="00AB104F"/>
    <w:rsid w:val="00AB1086"/>
    <w:rsid w:val="00AB126F"/>
    <w:rsid w:val="00AB1C5E"/>
    <w:rsid w:val="00AB22AC"/>
    <w:rsid w:val="00AB22FA"/>
    <w:rsid w:val="00AB255D"/>
    <w:rsid w:val="00AB2714"/>
    <w:rsid w:val="00AB2B0D"/>
    <w:rsid w:val="00AB2CC7"/>
    <w:rsid w:val="00AB2FD1"/>
    <w:rsid w:val="00AB311D"/>
    <w:rsid w:val="00AB33AA"/>
    <w:rsid w:val="00AB38B1"/>
    <w:rsid w:val="00AB39C6"/>
    <w:rsid w:val="00AB3FA6"/>
    <w:rsid w:val="00AB4060"/>
    <w:rsid w:val="00AB47FD"/>
    <w:rsid w:val="00AB4E00"/>
    <w:rsid w:val="00AB4FB7"/>
    <w:rsid w:val="00AB5A9D"/>
    <w:rsid w:val="00AB68BE"/>
    <w:rsid w:val="00AB6BFB"/>
    <w:rsid w:val="00AB6D6C"/>
    <w:rsid w:val="00AB6E2C"/>
    <w:rsid w:val="00AB761B"/>
    <w:rsid w:val="00AB7C97"/>
    <w:rsid w:val="00AB7CD2"/>
    <w:rsid w:val="00AC106A"/>
    <w:rsid w:val="00AC10CA"/>
    <w:rsid w:val="00AC1536"/>
    <w:rsid w:val="00AC174D"/>
    <w:rsid w:val="00AC18DB"/>
    <w:rsid w:val="00AC18F7"/>
    <w:rsid w:val="00AC214D"/>
    <w:rsid w:val="00AC2209"/>
    <w:rsid w:val="00AC22E7"/>
    <w:rsid w:val="00AC2E0A"/>
    <w:rsid w:val="00AC32AB"/>
    <w:rsid w:val="00AC348F"/>
    <w:rsid w:val="00AC3873"/>
    <w:rsid w:val="00AC3BD4"/>
    <w:rsid w:val="00AC3C81"/>
    <w:rsid w:val="00AC489D"/>
    <w:rsid w:val="00AC49B0"/>
    <w:rsid w:val="00AC5276"/>
    <w:rsid w:val="00AC5861"/>
    <w:rsid w:val="00AC5C0F"/>
    <w:rsid w:val="00AC601B"/>
    <w:rsid w:val="00AC6153"/>
    <w:rsid w:val="00AC6284"/>
    <w:rsid w:val="00AC6545"/>
    <w:rsid w:val="00AC69D2"/>
    <w:rsid w:val="00AC6E87"/>
    <w:rsid w:val="00AC713A"/>
    <w:rsid w:val="00AC738F"/>
    <w:rsid w:val="00AC7498"/>
    <w:rsid w:val="00AC7EE8"/>
    <w:rsid w:val="00AD09DF"/>
    <w:rsid w:val="00AD151F"/>
    <w:rsid w:val="00AD1707"/>
    <w:rsid w:val="00AD1B05"/>
    <w:rsid w:val="00AD1F3E"/>
    <w:rsid w:val="00AD2008"/>
    <w:rsid w:val="00AD23E4"/>
    <w:rsid w:val="00AD2759"/>
    <w:rsid w:val="00AD27B2"/>
    <w:rsid w:val="00AD2DC7"/>
    <w:rsid w:val="00AD3432"/>
    <w:rsid w:val="00AD3924"/>
    <w:rsid w:val="00AD3997"/>
    <w:rsid w:val="00AD3C95"/>
    <w:rsid w:val="00AD3CF7"/>
    <w:rsid w:val="00AD4005"/>
    <w:rsid w:val="00AD414B"/>
    <w:rsid w:val="00AD467B"/>
    <w:rsid w:val="00AD4933"/>
    <w:rsid w:val="00AD4943"/>
    <w:rsid w:val="00AD4A80"/>
    <w:rsid w:val="00AD4F16"/>
    <w:rsid w:val="00AD5191"/>
    <w:rsid w:val="00AD5320"/>
    <w:rsid w:val="00AD5600"/>
    <w:rsid w:val="00AD5BD0"/>
    <w:rsid w:val="00AD5CF7"/>
    <w:rsid w:val="00AD60A3"/>
    <w:rsid w:val="00AD77E2"/>
    <w:rsid w:val="00AD780C"/>
    <w:rsid w:val="00AE08EE"/>
    <w:rsid w:val="00AE0F02"/>
    <w:rsid w:val="00AE10EF"/>
    <w:rsid w:val="00AE1269"/>
    <w:rsid w:val="00AE1A4F"/>
    <w:rsid w:val="00AE1CDD"/>
    <w:rsid w:val="00AE1DB8"/>
    <w:rsid w:val="00AE2045"/>
    <w:rsid w:val="00AE29B2"/>
    <w:rsid w:val="00AE2F03"/>
    <w:rsid w:val="00AE3186"/>
    <w:rsid w:val="00AE32DE"/>
    <w:rsid w:val="00AE3492"/>
    <w:rsid w:val="00AE355A"/>
    <w:rsid w:val="00AE379F"/>
    <w:rsid w:val="00AE384D"/>
    <w:rsid w:val="00AE3ACD"/>
    <w:rsid w:val="00AE3FFF"/>
    <w:rsid w:val="00AE423E"/>
    <w:rsid w:val="00AE49DF"/>
    <w:rsid w:val="00AE4AB7"/>
    <w:rsid w:val="00AE4E6A"/>
    <w:rsid w:val="00AE5816"/>
    <w:rsid w:val="00AE5A9A"/>
    <w:rsid w:val="00AE6111"/>
    <w:rsid w:val="00AE6D23"/>
    <w:rsid w:val="00AE7132"/>
    <w:rsid w:val="00AE71A3"/>
    <w:rsid w:val="00AF019A"/>
    <w:rsid w:val="00AF0697"/>
    <w:rsid w:val="00AF0748"/>
    <w:rsid w:val="00AF0DAC"/>
    <w:rsid w:val="00AF0FBA"/>
    <w:rsid w:val="00AF1F62"/>
    <w:rsid w:val="00AF227B"/>
    <w:rsid w:val="00AF26BD"/>
    <w:rsid w:val="00AF277A"/>
    <w:rsid w:val="00AF2CC6"/>
    <w:rsid w:val="00AF3CBF"/>
    <w:rsid w:val="00AF4625"/>
    <w:rsid w:val="00AF4694"/>
    <w:rsid w:val="00AF4E19"/>
    <w:rsid w:val="00AF4E86"/>
    <w:rsid w:val="00AF513E"/>
    <w:rsid w:val="00AF54DA"/>
    <w:rsid w:val="00AF565E"/>
    <w:rsid w:val="00AF5747"/>
    <w:rsid w:val="00AF5A60"/>
    <w:rsid w:val="00AF5BE4"/>
    <w:rsid w:val="00AF5E98"/>
    <w:rsid w:val="00AF5F12"/>
    <w:rsid w:val="00AF63FD"/>
    <w:rsid w:val="00AF6531"/>
    <w:rsid w:val="00AF69DA"/>
    <w:rsid w:val="00AF6B43"/>
    <w:rsid w:val="00AF6FC5"/>
    <w:rsid w:val="00AF76FC"/>
    <w:rsid w:val="00AF77FD"/>
    <w:rsid w:val="00AF7977"/>
    <w:rsid w:val="00AF7A2D"/>
    <w:rsid w:val="00AF7EB0"/>
    <w:rsid w:val="00B00538"/>
    <w:rsid w:val="00B00AC7"/>
    <w:rsid w:val="00B00F0A"/>
    <w:rsid w:val="00B00F37"/>
    <w:rsid w:val="00B01372"/>
    <w:rsid w:val="00B01414"/>
    <w:rsid w:val="00B01731"/>
    <w:rsid w:val="00B019B0"/>
    <w:rsid w:val="00B01CF1"/>
    <w:rsid w:val="00B01D84"/>
    <w:rsid w:val="00B02561"/>
    <w:rsid w:val="00B034A5"/>
    <w:rsid w:val="00B037FF"/>
    <w:rsid w:val="00B03F7D"/>
    <w:rsid w:val="00B04073"/>
    <w:rsid w:val="00B041CC"/>
    <w:rsid w:val="00B0422D"/>
    <w:rsid w:val="00B04C43"/>
    <w:rsid w:val="00B05244"/>
    <w:rsid w:val="00B0577F"/>
    <w:rsid w:val="00B05C43"/>
    <w:rsid w:val="00B05F5B"/>
    <w:rsid w:val="00B062F5"/>
    <w:rsid w:val="00B06520"/>
    <w:rsid w:val="00B065C8"/>
    <w:rsid w:val="00B06DEC"/>
    <w:rsid w:val="00B06E19"/>
    <w:rsid w:val="00B06F6B"/>
    <w:rsid w:val="00B0751D"/>
    <w:rsid w:val="00B07A66"/>
    <w:rsid w:val="00B07CD9"/>
    <w:rsid w:val="00B102EB"/>
    <w:rsid w:val="00B10631"/>
    <w:rsid w:val="00B1076F"/>
    <w:rsid w:val="00B107AD"/>
    <w:rsid w:val="00B11554"/>
    <w:rsid w:val="00B11DEA"/>
    <w:rsid w:val="00B11EE8"/>
    <w:rsid w:val="00B12044"/>
    <w:rsid w:val="00B1249A"/>
    <w:rsid w:val="00B128FA"/>
    <w:rsid w:val="00B12A8D"/>
    <w:rsid w:val="00B130E8"/>
    <w:rsid w:val="00B14095"/>
    <w:rsid w:val="00B142F8"/>
    <w:rsid w:val="00B14622"/>
    <w:rsid w:val="00B14E90"/>
    <w:rsid w:val="00B15068"/>
    <w:rsid w:val="00B15278"/>
    <w:rsid w:val="00B15472"/>
    <w:rsid w:val="00B1556D"/>
    <w:rsid w:val="00B15B3B"/>
    <w:rsid w:val="00B16484"/>
    <w:rsid w:val="00B16844"/>
    <w:rsid w:val="00B17272"/>
    <w:rsid w:val="00B1735A"/>
    <w:rsid w:val="00B17478"/>
    <w:rsid w:val="00B17613"/>
    <w:rsid w:val="00B17A4F"/>
    <w:rsid w:val="00B2038E"/>
    <w:rsid w:val="00B218F2"/>
    <w:rsid w:val="00B21A4A"/>
    <w:rsid w:val="00B224ED"/>
    <w:rsid w:val="00B22FFB"/>
    <w:rsid w:val="00B23193"/>
    <w:rsid w:val="00B23502"/>
    <w:rsid w:val="00B235A9"/>
    <w:rsid w:val="00B23A63"/>
    <w:rsid w:val="00B23A79"/>
    <w:rsid w:val="00B23B62"/>
    <w:rsid w:val="00B23B67"/>
    <w:rsid w:val="00B24148"/>
    <w:rsid w:val="00B24208"/>
    <w:rsid w:val="00B24841"/>
    <w:rsid w:val="00B24A8F"/>
    <w:rsid w:val="00B24FF4"/>
    <w:rsid w:val="00B2573A"/>
    <w:rsid w:val="00B2614C"/>
    <w:rsid w:val="00B265C1"/>
    <w:rsid w:val="00B26B4A"/>
    <w:rsid w:val="00B26C27"/>
    <w:rsid w:val="00B27B22"/>
    <w:rsid w:val="00B300B6"/>
    <w:rsid w:val="00B30816"/>
    <w:rsid w:val="00B31693"/>
    <w:rsid w:val="00B31F02"/>
    <w:rsid w:val="00B32300"/>
    <w:rsid w:val="00B326DF"/>
    <w:rsid w:val="00B32ACE"/>
    <w:rsid w:val="00B335F8"/>
    <w:rsid w:val="00B33683"/>
    <w:rsid w:val="00B340B4"/>
    <w:rsid w:val="00B3440A"/>
    <w:rsid w:val="00B345DA"/>
    <w:rsid w:val="00B34607"/>
    <w:rsid w:val="00B34700"/>
    <w:rsid w:val="00B3517A"/>
    <w:rsid w:val="00B35B4F"/>
    <w:rsid w:val="00B35BAD"/>
    <w:rsid w:val="00B36142"/>
    <w:rsid w:val="00B36DB0"/>
    <w:rsid w:val="00B36F30"/>
    <w:rsid w:val="00B37450"/>
    <w:rsid w:val="00B37929"/>
    <w:rsid w:val="00B37C70"/>
    <w:rsid w:val="00B37C95"/>
    <w:rsid w:val="00B403BD"/>
    <w:rsid w:val="00B409B0"/>
    <w:rsid w:val="00B41B4D"/>
    <w:rsid w:val="00B41C19"/>
    <w:rsid w:val="00B41DA3"/>
    <w:rsid w:val="00B41EFB"/>
    <w:rsid w:val="00B41FC4"/>
    <w:rsid w:val="00B4208A"/>
    <w:rsid w:val="00B42322"/>
    <w:rsid w:val="00B4253D"/>
    <w:rsid w:val="00B42CE8"/>
    <w:rsid w:val="00B4320B"/>
    <w:rsid w:val="00B43A89"/>
    <w:rsid w:val="00B440C3"/>
    <w:rsid w:val="00B442F6"/>
    <w:rsid w:val="00B444CC"/>
    <w:rsid w:val="00B44B54"/>
    <w:rsid w:val="00B44F00"/>
    <w:rsid w:val="00B44FE9"/>
    <w:rsid w:val="00B45174"/>
    <w:rsid w:val="00B457E4"/>
    <w:rsid w:val="00B46C73"/>
    <w:rsid w:val="00B47101"/>
    <w:rsid w:val="00B475D5"/>
    <w:rsid w:val="00B478A1"/>
    <w:rsid w:val="00B501B5"/>
    <w:rsid w:val="00B5055A"/>
    <w:rsid w:val="00B507AA"/>
    <w:rsid w:val="00B509F3"/>
    <w:rsid w:val="00B50D01"/>
    <w:rsid w:val="00B50D53"/>
    <w:rsid w:val="00B50F98"/>
    <w:rsid w:val="00B51349"/>
    <w:rsid w:val="00B518D2"/>
    <w:rsid w:val="00B51BA3"/>
    <w:rsid w:val="00B51F7C"/>
    <w:rsid w:val="00B522A8"/>
    <w:rsid w:val="00B52477"/>
    <w:rsid w:val="00B52D28"/>
    <w:rsid w:val="00B530B1"/>
    <w:rsid w:val="00B533ED"/>
    <w:rsid w:val="00B53429"/>
    <w:rsid w:val="00B53861"/>
    <w:rsid w:val="00B53BF8"/>
    <w:rsid w:val="00B53C26"/>
    <w:rsid w:val="00B53E3C"/>
    <w:rsid w:val="00B53E42"/>
    <w:rsid w:val="00B54337"/>
    <w:rsid w:val="00B54C9D"/>
    <w:rsid w:val="00B54D9F"/>
    <w:rsid w:val="00B55C70"/>
    <w:rsid w:val="00B56369"/>
    <w:rsid w:val="00B567A4"/>
    <w:rsid w:val="00B56D1F"/>
    <w:rsid w:val="00B56DD5"/>
    <w:rsid w:val="00B57245"/>
    <w:rsid w:val="00B572E4"/>
    <w:rsid w:val="00B5778A"/>
    <w:rsid w:val="00B57D41"/>
    <w:rsid w:val="00B57F24"/>
    <w:rsid w:val="00B6022C"/>
    <w:rsid w:val="00B60A80"/>
    <w:rsid w:val="00B60EA6"/>
    <w:rsid w:val="00B61122"/>
    <w:rsid w:val="00B61C87"/>
    <w:rsid w:val="00B62047"/>
    <w:rsid w:val="00B62336"/>
    <w:rsid w:val="00B62732"/>
    <w:rsid w:val="00B62B81"/>
    <w:rsid w:val="00B62CCB"/>
    <w:rsid w:val="00B62D45"/>
    <w:rsid w:val="00B63335"/>
    <w:rsid w:val="00B63916"/>
    <w:rsid w:val="00B63B3B"/>
    <w:rsid w:val="00B63E79"/>
    <w:rsid w:val="00B6423B"/>
    <w:rsid w:val="00B6462E"/>
    <w:rsid w:val="00B64F14"/>
    <w:rsid w:val="00B6577F"/>
    <w:rsid w:val="00B65B2E"/>
    <w:rsid w:val="00B65DF5"/>
    <w:rsid w:val="00B662E3"/>
    <w:rsid w:val="00B6644D"/>
    <w:rsid w:val="00B668E5"/>
    <w:rsid w:val="00B66E43"/>
    <w:rsid w:val="00B66F77"/>
    <w:rsid w:val="00B671BF"/>
    <w:rsid w:val="00B6722F"/>
    <w:rsid w:val="00B676A6"/>
    <w:rsid w:val="00B676BB"/>
    <w:rsid w:val="00B67AA5"/>
    <w:rsid w:val="00B700A4"/>
    <w:rsid w:val="00B703B3"/>
    <w:rsid w:val="00B704CF"/>
    <w:rsid w:val="00B70B3A"/>
    <w:rsid w:val="00B714A1"/>
    <w:rsid w:val="00B71F3B"/>
    <w:rsid w:val="00B72275"/>
    <w:rsid w:val="00B73084"/>
    <w:rsid w:val="00B73336"/>
    <w:rsid w:val="00B73371"/>
    <w:rsid w:val="00B7342C"/>
    <w:rsid w:val="00B73530"/>
    <w:rsid w:val="00B73812"/>
    <w:rsid w:val="00B739B6"/>
    <w:rsid w:val="00B73DF8"/>
    <w:rsid w:val="00B74179"/>
    <w:rsid w:val="00B74552"/>
    <w:rsid w:val="00B74859"/>
    <w:rsid w:val="00B74F45"/>
    <w:rsid w:val="00B7507A"/>
    <w:rsid w:val="00B75786"/>
    <w:rsid w:val="00B760F2"/>
    <w:rsid w:val="00B765C8"/>
    <w:rsid w:val="00B7696A"/>
    <w:rsid w:val="00B76BDB"/>
    <w:rsid w:val="00B76DE6"/>
    <w:rsid w:val="00B76E60"/>
    <w:rsid w:val="00B800CB"/>
    <w:rsid w:val="00B80143"/>
    <w:rsid w:val="00B80D14"/>
    <w:rsid w:val="00B80DC0"/>
    <w:rsid w:val="00B80E94"/>
    <w:rsid w:val="00B81781"/>
    <w:rsid w:val="00B81817"/>
    <w:rsid w:val="00B819A2"/>
    <w:rsid w:val="00B824CA"/>
    <w:rsid w:val="00B82589"/>
    <w:rsid w:val="00B825EE"/>
    <w:rsid w:val="00B82B1B"/>
    <w:rsid w:val="00B837DD"/>
    <w:rsid w:val="00B83A60"/>
    <w:rsid w:val="00B83B05"/>
    <w:rsid w:val="00B842CB"/>
    <w:rsid w:val="00B84D20"/>
    <w:rsid w:val="00B84D41"/>
    <w:rsid w:val="00B84F8A"/>
    <w:rsid w:val="00B8566F"/>
    <w:rsid w:val="00B86CBC"/>
    <w:rsid w:val="00B86E81"/>
    <w:rsid w:val="00B87085"/>
    <w:rsid w:val="00B87E0E"/>
    <w:rsid w:val="00B90A5E"/>
    <w:rsid w:val="00B9109F"/>
    <w:rsid w:val="00B91272"/>
    <w:rsid w:val="00B913AE"/>
    <w:rsid w:val="00B915BB"/>
    <w:rsid w:val="00B917E2"/>
    <w:rsid w:val="00B91A25"/>
    <w:rsid w:val="00B920DB"/>
    <w:rsid w:val="00B923FC"/>
    <w:rsid w:val="00B926F8"/>
    <w:rsid w:val="00B92A05"/>
    <w:rsid w:val="00B92D81"/>
    <w:rsid w:val="00B92F46"/>
    <w:rsid w:val="00B931C7"/>
    <w:rsid w:val="00B9392E"/>
    <w:rsid w:val="00B93B21"/>
    <w:rsid w:val="00B93B6D"/>
    <w:rsid w:val="00B94016"/>
    <w:rsid w:val="00B94018"/>
    <w:rsid w:val="00B94427"/>
    <w:rsid w:val="00B944F1"/>
    <w:rsid w:val="00B94577"/>
    <w:rsid w:val="00B94C6F"/>
    <w:rsid w:val="00B94F82"/>
    <w:rsid w:val="00B953F4"/>
    <w:rsid w:val="00B95A8C"/>
    <w:rsid w:val="00B95DF1"/>
    <w:rsid w:val="00B961F6"/>
    <w:rsid w:val="00B965A1"/>
    <w:rsid w:val="00B96CDF"/>
    <w:rsid w:val="00B96DDE"/>
    <w:rsid w:val="00B96F33"/>
    <w:rsid w:val="00B971FE"/>
    <w:rsid w:val="00B9730E"/>
    <w:rsid w:val="00B97421"/>
    <w:rsid w:val="00B97665"/>
    <w:rsid w:val="00B97FA4"/>
    <w:rsid w:val="00BA0275"/>
    <w:rsid w:val="00BA02E4"/>
    <w:rsid w:val="00BA0313"/>
    <w:rsid w:val="00BA09D9"/>
    <w:rsid w:val="00BA0B52"/>
    <w:rsid w:val="00BA0CE1"/>
    <w:rsid w:val="00BA1074"/>
    <w:rsid w:val="00BA136C"/>
    <w:rsid w:val="00BA1567"/>
    <w:rsid w:val="00BA156D"/>
    <w:rsid w:val="00BA1C50"/>
    <w:rsid w:val="00BA2F80"/>
    <w:rsid w:val="00BA303F"/>
    <w:rsid w:val="00BA317F"/>
    <w:rsid w:val="00BA38CC"/>
    <w:rsid w:val="00BA3FDF"/>
    <w:rsid w:val="00BA48D9"/>
    <w:rsid w:val="00BA4E4F"/>
    <w:rsid w:val="00BA4F99"/>
    <w:rsid w:val="00BA503D"/>
    <w:rsid w:val="00BA52BA"/>
    <w:rsid w:val="00BA61D0"/>
    <w:rsid w:val="00BA6A67"/>
    <w:rsid w:val="00BA7691"/>
    <w:rsid w:val="00BA76D7"/>
    <w:rsid w:val="00BB02FA"/>
    <w:rsid w:val="00BB082B"/>
    <w:rsid w:val="00BB0C20"/>
    <w:rsid w:val="00BB0F2C"/>
    <w:rsid w:val="00BB1212"/>
    <w:rsid w:val="00BB21EE"/>
    <w:rsid w:val="00BB2C11"/>
    <w:rsid w:val="00BB31A2"/>
    <w:rsid w:val="00BB31AC"/>
    <w:rsid w:val="00BB3EA7"/>
    <w:rsid w:val="00BB40BF"/>
    <w:rsid w:val="00BB4288"/>
    <w:rsid w:val="00BB4F1C"/>
    <w:rsid w:val="00BB50FA"/>
    <w:rsid w:val="00BB653C"/>
    <w:rsid w:val="00BB6919"/>
    <w:rsid w:val="00BB76BF"/>
    <w:rsid w:val="00BB7720"/>
    <w:rsid w:val="00BB7ABA"/>
    <w:rsid w:val="00BC0544"/>
    <w:rsid w:val="00BC0A24"/>
    <w:rsid w:val="00BC0BD5"/>
    <w:rsid w:val="00BC0C6D"/>
    <w:rsid w:val="00BC1125"/>
    <w:rsid w:val="00BC1C48"/>
    <w:rsid w:val="00BC1E5F"/>
    <w:rsid w:val="00BC1F3D"/>
    <w:rsid w:val="00BC2531"/>
    <w:rsid w:val="00BC2CED"/>
    <w:rsid w:val="00BC2D76"/>
    <w:rsid w:val="00BC2FD4"/>
    <w:rsid w:val="00BC331A"/>
    <w:rsid w:val="00BC353C"/>
    <w:rsid w:val="00BC362F"/>
    <w:rsid w:val="00BC3758"/>
    <w:rsid w:val="00BC381D"/>
    <w:rsid w:val="00BC3D72"/>
    <w:rsid w:val="00BC4129"/>
    <w:rsid w:val="00BC47FC"/>
    <w:rsid w:val="00BC49DB"/>
    <w:rsid w:val="00BC4E6E"/>
    <w:rsid w:val="00BC5312"/>
    <w:rsid w:val="00BC5B75"/>
    <w:rsid w:val="00BC5D31"/>
    <w:rsid w:val="00BC5D85"/>
    <w:rsid w:val="00BC637A"/>
    <w:rsid w:val="00BC694F"/>
    <w:rsid w:val="00BC715B"/>
    <w:rsid w:val="00BC7251"/>
    <w:rsid w:val="00BC7391"/>
    <w:rsid w:val="00BC74F9"/>
    <w:rsid w:val="00BC7CB4"/>
    <w:rsid w:val="00BC7EA6"/>
    <w:rsid w:val="00BC7EFC"/>
    <w:rsid w:val="00BD010F"/>
    <w:rsid w:val="00BD0DD5"/>
    <w:rsid w:val="00BD18A2"/>
    <w:rsid w:val="00BD1EF8"/>
    <w:rsid w:val="00BD21FB"/>
    <w:rsid w:val="00BD2730"/>
    <w:rsid w:val="00BD31AE"/>
    <w:rsid w:val="00BD31B8"/>
    <w:rsid w:val="00BD434C"/>
    <w:rsid w:val="00BD4EE6"/>
    <w:rsid w:val="00BD5603"/>
    <w:rsid w:val="00BD588C"/>
    <w:rsid w:val="00BD5DAD"/>
    <w:rsid w:val="00BD6E09"/>
    <w:rsid w:val="00BD7743"/>
    <w:rsid w:val="00BD7B38"/>
    <w:rsid w:val="00BE08C9"/>
    <w:rsid w:val="00BE1BD7"/>
    <w:rsid w:val="00BE29A6"/>
    <w:rsid w:val="00BE37D3"/>
    <w:rsid w:val="00BE41B4"/>
    <w:rsid w:val="00BE4487"/>
    <w:rsid w:val="00BE4DD2"/>
    <w:rsid w:val="00BE5545"/>
    <w:rsid w:val="00BE5ACF"/>
    <w:rsid w:val="00BE5D3B"/>
    <w:rsid w:val="00BE6BCE"/>
    <w:rsid w:val="00BE741A"/>
    <w:rsid w:val="00BE75CD"/>
    <w:rsid w:val="00BE79CF"/>
    <w:rsid w:val="00BF0786"/>
    <w:rsid w:val="00BF0931"/>
    <w:rsid w:val="00BF0E86"/>
    <w:rsid w:val="00BF0F58"/>
    <w:rsid w:val="00BF1564"/>
    <w:rsid w:val="00BF15C2"/>
    <w:rsid w:val="00BF1A4E"/>
    <w:rsid w:val="00BF1D02"/>
    <w:rsid w:val="00BF1DD1"/>
    <w:rsid w:val="00BF2839"/>
    <w:rsid w:val="00BF342A"/>
    <w:rsid w:val="00BF3976"/>
    <w:rsid w:val="00BF3B03"/>
    <w:rsid w:val="00BF3E7F"/>
    <w:rsid w:val="00BF3FE9"/>
    <w:rsid w:val="00BF452D"/>
    <w:rsid w:val="00BF48AD"/>
    <w:rsid w:val="00BF51CB"/>
    <w:rsid w:val="00BF5F12"/>
    <w:rsid w:val="00BF6528"/>
    <w:rsid w:val="00BF66CC"/>
    <w:rsid w:val="00BF6760"/>
    <w:rsid w:val="00BF6BB3"/>
    <w:rsid w:val="00BF6D97"/>
    <w:rsid w:val="00BF6DA1"/>
    <w:rsid w:val="00BF746F"/>
    <w:rsid w:val="00BF7BC1"/>
    <w:rsid w:val="00BF7DCA"/>
    <w:rsid w:val="00BF7E0F"/>
    <w:rsid w:val="00BF7FB9"/>
    <w:rsid w:val="00C0035A"/>
    <w:rsid w:val="00C00558"/>
    <w:rsid w:val="00C0190E"/>
    <w:rsid w:val="00C01BFA"/>
    <w:rsid w:val="00C01DCF"/>
    <w:rsid w:val="00C02714"/>
    <w:rsid w:val="00C0298F"/>
    <w:rsid w:val="00C02C02"/>
    <w:rsid w:val="00C03148"/>
    <w:rsid w:val="00C034A2"/>
    <w:rsid w:val="00C03CF5"/>
    <w:rsid w:val="00C03F36"/>
    <w:rsid w:val="00C03FCD"/>
    <w:rsid w:val="00C044B4"/>
    <w:rsid w:val="00C0468B"/>
    <w:rsid w:val="00C0484E"/>
    <w:rsid w:val="00C052A2"/>
    <w:rsid w:val="00C059E8"/>
    <w:rsid w:val="00C05B6C"/>
    <w:rsid w:val="00C05F7C"/>
    <w:rsid w:val="00C06954"/>
    <w:rsid w:val="00C0705A"/>
    <w:rsid w:val="00C073B7"/>
    <w:rsid w:val="00C07D8C"/>
    <w:rsid w:val="00C10F38"/>
    <w:rsid w:val="00C1243D"/>
    <w:rsid w:val="00C125BC"/>
    <w:rsid w:val="00C126B3"/>
    <w:rsid w:val="00C1270D"/>
    <w:rsid w:val="00C127BA"/>
    <w:rsid w:val="00C12B3C"/>
    <w:rsid w:val="00C12B79"/>
    <w:rsid w:val="00C132E2"/>
    <w:rsid w:val="00C133E0"/>
    <w:rsid w:val="00C13472"/>
    <w:rsid w:val="00C1402C"/>
    <w:rsid w:val="00C14292"/>
    <w:rsid w:val="00C14CCB"/>
    <w:rsid w:val="00C14FDF"/>
    <w:rsid w:val="00C1503A"/>
    <w:rsid w:val="00C15424"/>
    <w:rsid w:val="00C15536"/>
    <w:rsid w:val="00C157E9"/>
    <w:rsid w:val="00C15D56"/>
    <w:rsid w:val="00C15F07"/>
    <w:rsid w:val="00C1614A"/>
    <w:rsid w:val="00C16352"/>
    <w:rsid w:val="00C1653B"/>
    <w:rsid w:val="00C165B4"/>
    <w:rsid w:val="00C16979"/>
    <w:rsid w:val="00C16981"/>
    <w:rsid w:val="00C178F8"/>
    <w:rsid w:val="00C17BCF"/>
    <w:rsid w:val="00C20B00"/>
    <w:rsid w:val="00C20C42"/>
    <w:rsid w:val="00C21EE5"/>
    <w:rsid w:val="00C21F2E"/>
    <w:rsid w:val="00C22E3A"/>
    <w:rsid w:val="00C23098"/>
    <w:rsid w:val="00C23BA1"/>
    <w:rsid w:val="00C23EB2"/>
    <w:rsid w:val="00C2419F"/>
    <w:rsid w:val="00C24916"/>
    <w:rsid w:val="00C249EB"/>
    <w:rsid w:val="00C24B66"/>
    <w:rsid w:val="00C24BE1"/>
    <w:rsid w:val="00C24CE6"/>
    <w:rsid w:val="00C254F3"/>
    <w:rsid w:val="00C257A9"/>
    <w:rsid w:val="00C2596A"/>
    <w:rsid w:val="00C25A5B"/>
    <w:rsid w:val="00C25B8D"/>
    <w:rsid w:val="00C2606E"/>
    <w:rsid w:val="00C26086"/>
    <w:rsid w:val="00C265CA"/>
    <w:rsid w:val="00C26E65"/>
    <w:rsid w:val="00C30668"/>
    <w:rsid w:val="00C30715"/>
    <w:rsid w:val="00C309DC"/>
    <w:rsid w:val="00C30B43"/>
    <w:rsid w:val="00C3115E"/>
    <w:rsid w:val="00C31F97"/>
    <w:rsid w:val="00C32D58"/>
    <w:rsid w:val="00C32DA0"/>
    <w:rsid w:val="00C33359"/>
    <w:rsid w:val="00C33397"/>
    <w:rsid w:val="00C334D8"/>
    <w:rsid w:val="00C3351E"/>
    <w:rsid w:val="00C338DE"/>
    <w:rsid w:val="00C33937"/>
    <w:rsid w:val="00C33E77"/>
    <w:rsid w:val="00C3446B"/>
    <w:rsid w:val="00C345A1"/>
    <w:rsid w:val="00C346AE"/>
    <w:rsid w:val="00C34C52"/>
    <w:rsid w:val="00C3589B"/>
    <w:rsid w:val="00C35FC9"/>
    <w:rsid w:val="00C36851"/>
    <w:rsid w:val="00C36A41"/>
    <w:rsid w:val="00C370E2"/>
    <w:rsid w:val="00C37AB9"/>
    <w:rsid w:val="00C40D1C"/>
    <w:rsid w:val="00C40F60"/>
    <w:rsid w:val="00C41181"/>
    <w:rsid w:val="00C411B8"/>
    <w:rsid w:val="00C41752"/>
    <w:rsid w:val="00C42458"/>
    <w:rsid w:val="00C42837"/>
    <w:rsid w:val="00C43284"/>
    <w:rsid w:val="00C4396B"/>
    <w:rsid w:val="00C43D03"/>
    <w:rsid w:val="00C43FF3"/>
    <w:rsid w:val="00C44099"/>
    <w:rsid w:val="00C44349"/>
    <w:rsid w:val="00C44BB6"/>
    <w:rsid w:val="00C44FE1"/>
    <w:rsid w:val="00C4582F"/>
    <w:rsid w:val="00C45ABC"/>
    <w:rsid w:val="00C45B1F"/>
    <w:rsid w:val="00C45E2D"/>
    <w:rsid w:val="00C46691"/>
    <w:rsid w:val="00C476CA"/>
    <w:rsid w:val="00C47819"/>
    <w:rsid w:val="00C506E0"/>
    <w:rsid w:val="00C5073A"/>
    <w:rsid w:val="00C50782"/>
    <w:rsid w:val="00C50799"/>
    <w:rsid w:val="00C50C3E"/>
    <w:rsid w:val="00C50F1C"/>
    <w:rsid w:val="00C5121B"/>
    <w:rsid w:val="00C51A83"/>
    <w:rsid w:val="00C52171"/>
    <w:rsid w:val="00C52782"/>
    <w:rsid w:val="00C52A6C"/>
    <w:rsid w:val="00C52D08"/>
    <w:rsid w:val="00C52D4F"/>
    <w:rsid w:val="00C53805"/>
    <w:rsid w:val="00C5486C"/>
    <w:rsid w:val="00C558D7"/>
    <w:rsid w:val="00C55E38"/>
    <w:rsid w:val="00C56277"/>
    <w:rsid w:val="00C56958"/>
    <w:rsid w:val="00C56C64"/>
    <w:rsid w:val="00C56E96"/>
    <w:rsid w:val="00C5732F"/>
    <w:rsid w:val="00C57754"/>
    <w:rsid w:val="00C5795A"/>
    <w:rsid w:val="00C57DFB"/>
    <w:rsid w:val="00C60071"/>
    <w:rsid w:val="00C605B3"/>
    <w:rsid w:val="00C608C2"/>
    <w:rsid w:val="00C61153"/>
    <w:rsid w:val="00C611D9"/>
    <w:rsid w:val="00C6127D"/>
    <w:rsid w:val="00C61612"/>
    <w:rsid w:val="00C61E28"/>
    <w:rsid w:val="00C620F4"/>
    <w:rsid w:val="00C62230"/>
    <w:rsid w:val="00C623E3"/>
    <w:rsid w:val="00C631CD"/>
    <w:rsid w:val="00C63536"/>
    <w:rsid w:val="00C6370A"/>
    <w:rsid w:val="00C637C0"/>
    <w:rsid w:val="00C641CB"/>
    <w:rsid w:val="00C644A3"/>
    <w:rsid w:val="00C64523"/>
    <w:rsid w:val="00C646F7"/>
    <w:rsid w:val="00C6485E"/>
    <w:rsid w:val="00C64CA4"/>
    <w:rsid w:val="00C6560E"/>
    <w:rsid w:val="00C658DF"/>
    <w:rsid w:val="00C66A58"/>
    <w:rsid w:val="00C66B17"/>
    <w:rsid w:val="00C678F2"/>
    <w:rsid w:val="00C70078"/>
    <w:rsid w:val="00C708A5"/>
    <w:rsid w:val="00C71D43"/>
    <w:rsid w:val="00C7229E"/>
    <w:rsid w:val="00C72506"/>
    <w:rsid w:val="00C725B0"/>
    <w:rsid w:val="00C729B3"/>
    <w:rsid w:val="00C72CCF"/>
    <w:rsid w:val="00C72DD2"/>
    <w:rsid w:val="00C732A1"/>
    <w:rsid w:val="00C733CB"/>
    <w:rsid w:val="00C73608"/>
    <w:rsid w:val="00C73A45"/>
    <w:rsid w:val="00C73F31"/>
    <w:rsid w:val="00C74664"/>
    <w:rsid w:val="00C7478C"/>
    <w:rsid w:val="00C74E25"/>
    <w:rsid w:val="00C7532A"/>
    <w:rsid w:val="00C75C75"/>
    <w:rsid w:val="00C75D56"/>
    <w:rsid w:val="00C7613C"/>
    <w:rsid w:val="00C761BE"/>
    <w:rsid w:val="00C76584"/>
    <w:rsid w:val="00C765D8"/>
    <w:rsid w:val="00C76F91"/>
    <w:rsid w:val="00C77693"/>
    <w:rsid w:val="00C778AA"/>
    <w:rsid w:val="00C800F6"/>
    <w:rsid w:val="00C802E8"/>
    <w:rsid w:val="00C80454"/>
    <w:rsid w:val="00C8052E"/>
    <w:rsid w:val="00C8226A"/>
    <w:rsid w:val="00C82EF1"/>
    <w:rsid w:val="00C832A4"/>
    <w:rsid w:val="00C833D6"/>
    <w:rsid w:val="00C83812"/>
    <w:rsid w:val="00C84077"/>
    <w:rsid w:val="00C84829"/>
    <w:rsid w:val="00C84C1D"/>
    <w:rsid w:val="00C8553F"/>
    <w:rsid w:val="00C85665"/>
    <w:rsid w:val="00C857E3"/>
    <w:rsid w:val="00C85CB1"/>
    <w:rsid w:val="00C85EF6"/>
    <w:rsid w:val="00C85F40"/>
    <w:rsid w:val="00C86732"/>
    <w:rsid w:val="00C86B3D"/>
    <w:rsid w:val="00C86D8A"/>
    <w:rsid w:val="00C905ED"/>
    <w:rsid w:val="00C90636"/>
    <w:rsid w:val="00C90698"/>
    <w:rsid w:val="00C907A6"/>
    <w:rsid w:val="00C909A5"/>
    <w:rsid w:val="00C90A96"/>
    <w:rsid w:val="00C911A5"/>
    <w:rsid w:val="00C91602"/>
    <w:rsid w:val="00C91607"/>
    <w:rsid w:val="00C9160E"/>
    <w:rsid w:val="00C91678"/>
    <w:rsid w:val="00C917CB"/>
    <w:rsid w:val="00C9181A"/>
    <w:rsid w:val="00C91C7D"/>
    <w:rsid w:val="00C921E1"/>
    <w:rsid w:val="00C92676"/>
    <w:rsid w:val="00C9339A"/>
    <w:rsid w:val="00C93488"/>
    <w:rsid w:val="00C934AF"/>
    <w:rsid w:val="00C93705"/>
    <w:rsid w:val="00C939EE"/>
    <w:rsid w:val="00C93D74"/>
    <w:rsid w:val="00C93E80"/>
    <w:rsid w:val="00C94170"/>
    <w:rsid w:val="00C94206"/>
    <w:rsid w:val="00C94209"/>
    <w:rsid w:val="00C94968"/>
    <w:rsid w:val="00C94C53"/>
    <w:rsid w:val="00C94EA3"/>
    <w:rsid w:val="00C9525A"/>
    <w:rsid w:val="00C95499"/>
    <w:rsid w:val="00C95623"/>
    <w:rsid w:val="00C95662"/>
    <w:rsid w:val="00C958CF"/>
    <w:rsid w:val="00C959C3"/>
    <w:rsid w:val="00C95BF9"/>
    <w:rsid w:val="00C96524"/>
    <w:rsid w:val="00C96810"/>
    <w:rsid w:val="00C969B3"/>
    <w:rsid w:val="00C96A7C"/>
    <w:rsid w:val="00C96D58"/>
    <w:rsid w:val="00C96E1A"/>
    <w:rsid w:val="00C97250"/>
    <w:rsid w:val="00C97610"/>
    <w:rsid w:val="00C97821"/>
    <w:rsid w:val="00C978F0"/>
    <w:rsid w:val="00CA0D04"/>
    <w:rsid w:val="00CA1054"/>
    <w:rsid w:val="00CA14A5"/>
    <w:rsid w:val="00CA1513"/>
    <w:rsid w:val="00CA185B"/>
    <w:rsid w:val="00CA1D18"/>
    <w:rsid w:val="00CA1D75"/>
    <w:rsid w:val="00CA2E50"/>
    <w:rsid w:val="00CA2F97"/>
    <w:rsid w:val="00CA319A"/>
    <w:rsid w:val="00CA31D8"/>
    <w:rsid w:val="00CA3B63"/>
    <w:rsid w:val="00CA4C94"/>
    <w:rsid w:val="00CA514C"/>
    <w:rsid w:val="00CA51B2"/>
    <w:rsid w:val="00CA51E3"/>
    <w:rsid w:val="00CA5339"/>
    <w:rsid w:val="00CA55E2"/>
    <w:rsid w:val="00CA55FC"/>
    <w:rsid w:val="00CA5867"/>
    <w:rsid w:val="00CA5A31"/>
    <w:rsid w:val="00CA5F41"/>
    <w:rsid w:val="00CA7588"/>
    <w:rsid w:val="00CA7870"/>
    <w:rsid w:val="00CA79C3"/>
    <w:rsid w:val="00CA7A75"/>
    <w:rsid w:val="00CB0C0E"/>
    <w:rsid w:val="00CB0F11"/>
    <w:rsid w:val="00CB16B5"/>
    <w:rsid w:val="00CB1A98"/>
    <w:rsid w:val="00CB1B3A"/>
    <w:rsid w:val="00CB23EB"/>
    <w:rsid w:val="00CB2B1A"/>
    <w:rsid w:val="00CB30FA"/>
    <w:rsid w:val="00CB3237"/>
    <w:rsid w:val="00CB36CD"/>
    <w:rsid w:val="00CB3DD1"/>
    <w:rsid w:val="00CB4220"/>
    <w:rsid w:val="00CB4284"/>
    <w:rsid w:val="00CB4934"/>
    <w:rsid w:val="00CB4E87"/>
    <w:rsid w:val="00CB4F40"/>
    <w:rsid w:val="00CB5644"/>
    <w:rsid w:val="00CB56ED"/>
    <w:rsid w:val="00CB57D6"/>
    <w:rsid w:val="00CB58A9"/>
    <w:rsid w:val="00CB5D41"/>
    <w:rsid w:val="00CB65AF"/>
    <w:rsid w:val="00CB6D07"/>
    <w:rsid w:val="00CC009B"/>
    <w:rsid w:val="00CC07EF"/>
    <w:rsid w:val="00CC08C3"/>
    <w:rsid w:val="00CC0DCE"/>
    <w:rsid w:val="00CC0F56"/>
    <w:rsid w:val="00CC1343"/>
    <w:rsid w:val="00CC1675"/>
    <w:rsid w:val="00CC1949"/>
    <w:rsid w:val="00CC1DB6"/>
    <w:rsid w:val="00CC293F"/>
    <w:rsid w:val="00CC2AAF"/>
    <w:rsid w:val="00CC2AB9"/>
    <w:rsid w:val="00CC2BD8"/>
    <w:rsid w:val="00CC2D08"/>
    <w:rsid w:val="00CC2D98"/>
    <w:rsid w:val="00CC2F35"/>
    <w:rsid w:val="00CC43B6"/>
    <w:rsid w:val="00CC44A4"/>
    <w:rsid w:val="00CC4645"/>
    <w:rsid w:val="00CC5227"/>
    <w:rsid w:val="00CC5D4E"/>
    <w:rsid w:val="00CC5D9A"/>
    <w:rsid w:val="00CC5FC6"/>
    <w:rsid w:val="00CC6272"/>
    <w:rsid w:val="00CC64A6"/>
    <w:rsid w:val="00CC694F"/>
    <w:rsid w:val="00CC6BBF"/>
    <w:rsid w:val="00CC6C83"/>
    <w:rsid w:val="00CC6EA8"/>
    <w:rsid w:val="00CC7521"/>
    <w:rsid w:val="00CC7A45"/>
    <w:rsid w:val="00CC7D08"/>
    <w:rsid w:val="00CC7E24"/>
    <w:rsid w:val="00CD0058"/>
    <w:rsid w:val="00CD0221"/>
    <w:rsid w:val="00CD023A"/>
    <w:rsid w:val="00CD03E2"/>
    <w:rsid w:val="00CD080A"/>
    <w:rsid w:val="00CD0926"/>
    <w:rsid w:val="00CD1E19"/>
    <w:rsid w:val="00CD2011"/>
    <w:rsid w:val="00CD25F3"/>
    <w:rsid w:val="00CD26A6"/>
    <w:rsid w:val="00CD29BA"/>
    <w:rsid w:val="00CD2ECB"/>
    <w:rsid w:val="00CD3368"/>
    <w:rsid w:val="00CD3413"/>
    <w:rsid w:val="00CD38E7"/>
    <w:rsid w:val="00CD3CAF"/>
    <w:rsid w:val="00CD417E"/>
    <w:rsid w:val="00CD42B4"/>
    <w:rsid w:val="00CD4355"/>
    <w:rsid w:val="00CD4D6B"/>
    <w:rsid w:val="00CD4D75"/>
    <w:rsid w:val="00CD50C6"/>
    <w:rsid w:val="00CD53BC"/>
    <w:rsid w:val="00CD53D9"/>
    <w:rsid w:val="00CD55A7"/>
    <w:rsid w:val="00CD5C8F"/>
    <w:rsid w:val="00CD5D67"/>
    <w:rsid w:val="00CD6725"/>
    <w:rsid w:val="00CD68D5"/>
    <w:rsid w:val="00CD68F2"/>
    <w:rsid w:val="00CD6A5A"/>
    <w:rsid w:val="00CD6E88"/>
    <w:rsid w:val="00CD7155"/>
    <w:rsid w:val="00CD7367"/>
    <w:rsid w:val="00CD73DE"/>
    <w:rsid w:val="00CD745D"/>
    <w:rsid w:val="00CD7690"/>
    <w:rsid w:val="00CD7762"/>
    <w:rsid w:val="00CE015E"/>
    <w:rsid w:val="00CE0621"/>
    <w:rsid w:val="00CE1383"/>
    <w:rsid w:val="00CE1482"/>
    <w:rsid w:val="00CE170E"/>
    <w:rsid w:val="00CE1A57"/>
    <w:rsid w:val="00CE2AE1"/>
    <w:rsid w:val="00CE3343"/>
    <w:rsid w:val="00CE3B8C"/>
    <w:rsid w:val="00CE3BB1"/>
    <w:rsid w:val="00CE3C01"/>
    <w:rsid w:val="00CE4C0A"/>
    <w:rsid w:val="00CE5AE6"/>
    <w:rsid w:val="00CE5BBB"/>
    <w:rsid w:val="00CE5F76"/>
    <w:rsid w:val="00CE7062"/>
    <w:rsid w:val="00CE758D"/>
    <w:rsid w:val="00CE75B3"/>
    <w:rsid w:val="00CE7A20"/>
    <w:rsid w:val="00CE7A71"/>
    <w:rsid w:val="00CF0108"/>
    <w:rsid w:val="00CF012A"/>
    <w:rsid w:val="00CF0E94"/>
    <w:rsid w:val="00CF102D"/>
    <w:rsid w:val="00CF12E7"/>
    <w:rsid w:val="00CF1D12"/>
    <w:rsid w:val="00CF1F0A"/>
    <w:rsid w:val="00CF2697"/>
    <w:rsid w:val="00CF28BB"/>
    <w:rsid w:val="00CF2B3B"/>
    <w:rsid w:val="00CF2D24"/>
    <w:rsid w:val="00CF2F92"/>
    <w:rsid w:val="00CF3282"/>
    <w:rsid w:val="00CF358C"/>
    <w:rsid w:val="00CF3D2D"/>
    <w:rsid w:val="00CF3FE2"/>
    <w:rsid w:val="00CF4007"/>
    <w:rsid w:val="00CF4158"/>
    <w:rsid w:val="00CF455B"/>
    <w:rsid w:val="00CF4AC4"/>
    <w:rsid w:val="00CF4D5C"/>
    <w:rsid w:val="00CF5189"/>
    <w:rsid w:val="00CF5409"/>
    <w:rsid w:val="00CF62EA"/>
    <w:rsid w:val="00CF67A4"/>
    <w:rsid w:val="00CF70B1"/>
    <w:rsid w:val="00CF7B7D"/>
    <w:rsid w:val="00CF7E85"/>
    <w:rsid w:val="00D00580"/>
    <w:rsid w:val="00D0165D"/>
    <w:rsid w:val="00D01738"/>
    <w:rsid w:val="00D01EC7"/>
    <w:rsid w:val="00D02190"/>
    <w:rsid w:val="00D0231B"/>
    <w:rsid w:val="00D023FB"/>
    <w:rsid w:val="00D02F96"/>
    <w:rsid w:val="00D033DC"/>
    <w:rsid w:val="00D03404"/>
    <w:rsid w:val="00D03F01"/>
    <w:rsid w:val="00D04D5F"/>
    <w:rsid w:val="00D05F7D"/>
    <w:rsid w:val="00D067B3"/>
    <w:rsid w:val="00D0693E"/>
    <w:rsid w:val="00D069A7"/>
    <w:rsid w:val="00D06B24"/>
    <w:rsid w:val="00D06F52"/>
    <w:rsid w:val="00D07082"/>
    <w:rsid w:val="00D07779"/>
    <w:rsid w:val="00D0782F"/>
    <w:rsid w:val="00D0785F"/>
    <w:rsid w:val="00D07AF9"/>
    <w:rsid w:val="00D07C27"/>
    <w:rsid w:val="00D10724"/>
    <w:rsid w:val="00D11241"/>
    <w:rsid w:val="00D11FA0"/>
    <w:rsid w:val="00D12678"/>
    <w:rsid w:val="00D12714"/>
    <w:rsid w:val="00D12847"/>
    <w:rsid w:val="00D129D2"/>
    <w:rsid w:val="00D1359A"/>
    <w:rsid w:val="00D13B6E"/>
    <w:rsid w:val="00D145E5"/>
    <w:rsid w:val="00D148B4"/>
    <w:rsid w:val="00D14FDD"/>
    <w:rsid w:val="00D15AC2"/>
    <w:rsid w:val="00D15C6E"/>
    <w:rsid w:val="00D16189"/>
    <w:rsid w:val="00D164BE"/>
    <w:rsid w:val="00D165F1"/>
    <w:rsid w:val="00D1690D"/>
    <w:rsid w:val="00D16B1C"/>
    <w:rsid w:val="00D16C7F"/>
    <w:rsid w:val="00D17B1B"/>
    <w:rsid w:val="00D200CC"/>
    <w:rsid w:val="00D20356"/>
    <w:rsid w:val="00D20952"/>
    <w:rsid w:val="00D20ADC"/>
    <w:rsid w:val="00D20B05"/>
    <w:rsid w:val="00D20BF1"/>
    <w:rsid w:val="00D20BFF"/>
    <w:rsid w:val="00D20DD7"/>
    <w:rsid w:val="00D20E07"/>
    <w:rsid w:val="00D20F8A"/>
    <w:rsid w:val="00D218FB"/>
    <w:rsid w:val="00D21EE8"/>
    <w:rsid w:val="00D223EB"/>
    <w:rsid w:val="00D22700"/>
    <w:rsid w:val="00D2313B"/>
    <w:rsid w:val="00D23E8D"/>
    <w:rsid w:val="00D240A5"/>
    <w:rsid w:val="00D24564"/>
    <w:rsid w:val="00D245EE"/>
    <w:rsid w:val="00D24686"/>
    <w:rsid w:val="00D2474D"/>
    <w:rsid w:val="00D24FA2"/>
    <w:rsid w:val="00D2517C"/>
    <w:rsid w:val="00D255FA"/>
    <w:rsid w:val="00D25AAD"/>
    <w:rsid w:val="00D25CD3"/>
    <w:rsid w:val="00D25E9E"/>
    <w:rsid w:val="00D2603D"/>
    <w:rsid w:val="00D26104"/>
    <w:rsid w:val="00D262DD"/>
    <w:rsid w:val="00D265C7"/>
    <w:rsid w:val="00D26A6F"/>
    <w:rsid w:val="00D26F5F"/>
    <w:rsid w:val="00D2703A"/>
    <w:rsid w:val="00D2721C"/>
    <w:rsid w:val="00D273FE"/>
    <w:rsid w:val="00D27B89"/>
    <w:rsid w:val="00D27E42"/>
    <w:rsid w:val="00D300C2"/>
    <w:rsid w:val="00D30320"/>
    <w:rsid w:val="00D30587"/>
    <w:rsid w:val="00D30975"/>
    <w:rsid w:val="00D309B7"/>
    <w:rsid w:val="00D31755"/>
    <w:rsid w:val="00D31989"/>
    <w:rsid w:val="00D31E9F"/>
    <w:rsid w:val="00D32393"/>
    <w:rsid w:val="00D3266B"/>
    <w:rsid w:val="00D32814"/>
    <w:rsid w:val="00D329B0"/>
    <w:rsid w:val="00D329F6"/>
    <w:rsid w:val="00D32FBB"/>
    <w:rsid w:val="00D333B8"/>
    <w:rsid w:val="00D33854"/>
    <w:rsid w:val="00D339B1"/>
    <w:rsid w:val="00D340F0"/>
    <w:rsid w:val="00D34217"/>
    <w:rsid w:val="00D34488"/>
    <w:rsid w:val="00D34A65"/>
    <w:rsid w:val="00D34B20"/>
    <w:rsid w:val="00D35962"/>
    <w:rsid w:val="00D35ACD"/>
    <w:rsid w:val="00D35BC9"/>
    <w:rsid w:val="00D3617C"/>
    <w:rsid w:val="00D369D9"/>
    <w:rsid w:val="00D36BD5"/>
    <w:rsid w:val="00D36ED1"/>
    <w:rsid w:val="00D37CA6"/>
    <w:rsid w:val="00D4004A"/>
    <w:rsid w:val="00D4076A"/>
    <w:rsid w:val="00D40D20"/>
    <w:rsid w:val="00D40DFC"/>
    <w:rsid w:val="00D41308"/>
    <w:rsid w:val="00D41552"/>
    <w:rsid w:val="00D41C12"/>
    <w:rsid w:val="00D421F2"/>
    <w:rsid w:val="00D42222"/>
    <w:rsid w:val="00D42DB0"/>
    <w:rsid w:val="00D43007"/>
    <w:rsid w:val="00D434BD"/>
    <w:rsid w:val="00D43DFA"/>
    <w:rsid w:val="00D44547"/>
    <w:rsid w:val="00D44D1F"/>
    <w:rsid w:val="00D44F5B"/>
    <w:rsid w:val="00D44FE8"/>
    <w:rsid w:val="00D451E2"/>
    <w:rsid w:val="00D452A5"/>
    <w:rsid w:val="00D453BA"/>
    <w:rsid w:val="00D4561B"/>
    <w:rsid w:val="00D45661"/>
    <w:rsid w:val="00D456C2"/>
    <w:rsid w:val="00D456C6"/>
    <w:rsid w:val="00D45D87"/>
    <w:rsid w:val="00D45F77"/>
    <w:rsid w:val="00D46748"/>
    <w:rsid w:val="00D46A9F"/>
    <w:rsid w:val="00D46D16"/>
    <w:rsid w:val="00D46D72"/>
    <w:rsid w:val="00D46EEA"/>
    <w:rsid w:val="00D47354"/>
    <w:rsid w:val="00D47792"/>
    <w:rsid w:val="00D47A92"/>
    <w:rsid w:val="00D47D3F"/>
    <w:rsid w:val="00D50653"/>
    <w:rsid w:val="00D50D24"/>
    <w:rsid w:val="00D51058"/>
    <w:rsid w:val="00D513C1"/>
    <w:rsid w:val="00D51CDD"/>
    <w:rsid w:val="00D51FE2"/>
    <w:rsid w:val="00D522CC"/>
    <w:rsid w:val="00D52865"/>
    <w:rsid w:val="00D5288B"/>
    <w:rsid w:val="00D52D4C"/>
    <w:rsid w:val="00D5349B"/>
    <w:rsid w:val="00D5357F"/>
    <w:rsid w:val="00D53736"/>
    <w:rsid w:val="00D53931"/>
    <w:rsid w:val="00D54124"/>
    <w:rsid w:val="00D54507"/>
    <w:rsid w:val="00D546FD"/>
    <w:rsid w:val="00D54923"/>
    <w:rsid w:val="00D54D7A"/>
    <w:rsid w:val="00D5649C"/>
    <w:rsid w:val="00D5653A"/>
    <w:rsid w:val="00D56AF0"/>
    <w:rsid w:val="00D56B75"/>
    <w:rsid w:val="00D56DAF"/>
    <w:rsid w:val="00D57024"/>
    <w:rsid w:val="00D5704E"/>
    <w:rsid w:val="00D57057"/>
    <w:rsid w:val="00D5708C"/>
    <w:rsid w:val="00D5720C"/>
    <w:rsid w:val="00D5762A"/>
    <w:rsid w:val="00D57999"/>
    <w:rsid w:val="00D57DE5"/>
    <w:rsid w:val="00D57F43"/>
    <w:rsid w:val="00D6000E"/>
    <w:rsid w:val="00D6050C"/>
    <w:rsid w:val="00D60C04"/>
    <w:rsid w:val="00D613C8"/>
    <w:rsid w:val="00D624E9"/>
    <w:rsid w:val="00D62631"/>
    <w:rsid w:val="00D627DF"/>
    <w:rsid w:val="00D62E9F"/>
    <w:rsid w:val="00D631B5"/>
    <w:rsid w:val="00D631F5"/>
    <w:rsid w:val="00D63515"/>
    <w:rsid w:val="00D63A8D"/>
    <w:rsid w:val="00D63CE9"/>
    <w:rsid w:val="00D644D5"/>
    <w:rsid w:val="00D64A94"/>
    <w:rsid w:val="00D64B33"/>
    <w:rsid w:val="00D66228"/>
    <w:rsid w:val="00D66A78"/>
    <w:rsid w:val="00D66CFA"/>
    <w:rsid w:val="00D6726A"/>
    <w:rsid w:val="00D6733F"/>
    <w:rsid w:val="00D67531"/>
    <w:rsid w:val="00D6783E"/>
    <w:rsid w:val="00D678E1"/>
    <w:rsid w:val="00D67B15"/>
    <w:rsid w:val="00D67D1E"/>
    <w:rsid w:val="00D67DCD"/>
    <w:rsid w:val="00D67EE4"/>
    <w:rsid w:val="00D7041C"/>
    <w:rsid w:val="00D706D6"/>
    <w:rsid w:val="00D70929"/>
    <w:rsid w:val="00D70BF7"/>
    <w:rsid w:val="00D70EE1"/>
    <w:rsid w:val="00D7105A"/>
    <w:rsid w:val="00D71166"/>
    <w:rsid w:val="00D71490"/>
    <w:rsid w:val="00D719F2"/>
    <w:rsid w:val="00D719FE"/>
    <w:rsid w:val="00D71BDE"/>
    <w:rsid w:val="00D71DD8"/>
    <w:rsid w:val="00D72021"/>
    <w:rsid w:val="00D73FAB"/>
    <w:rsid w:val="00D74591"/>
    <w:rsid w:val="00D74C0E"/>
    <w:rsid w:val="00D74FB0"/>
    <w:rsid w:val="00D75484"/>
    <w:rsid w:val="00D76100"/>
    <w:rsid w:val="00D76AE4"/>
    <w:rsid w:val="00D76C89"/>
    <w:rsid w:val="00D772FC"/>
    <w:rsid w:val="00D80F00"/>
    <w:rsid w:val="00D81067"/>
    <w:rsid w:val="00D810F6"/>
    <w:rsid w:val="00D811B0"/>
    <w:rsid w:val="00D816C5"/>
    <w:rsid w:val="00D81973"/>
    <w:rsid w:val="00D81A33"/>
    <w:rsid w:val="00D81C00"/>
    <w:rsid w:val="00D81C5E"/>
    <w:rsid w:val="00D81C79"/>
    <w:rsid w:val="00D81D02"/>
    <w:rsid w:val="00D820E0"/>
    <w:rsid w:val="00D82108"/>
    <w:rsid w:val="00D8271C"/>
    <w:rsid w:val="00D827F1"/>
    <w:rsid w:val="00D82A78"/>
    <w:rsid w:val="00D8318B"/>
    <w:rsid w:val="00D832F7"/>
    <w:rsid w:val="00D83342"/>
    <w:rsid w:val="00D83883"/>
    <w:rsid w:val="00D83A01"/>
    <w:rsid w:val="00D83C56"/>
    <w:rsid w:val="00D83F5F"/>
    <w:rsid w:val="00D84061"/>
    <w:rsid w:val="00D848A6"/>
    <w:rsid w:val="00D84C9E"/>
    <w:rsid w:val="00D84DA5"/>
    <w:rsid w:val="00D85915"/>
    <w:rsid w:val="00D85B0B"/>
    <w:rsid w:val="00D86E5F"/>
    <w:rsid w:val="00D86E9C"/>
    <w:rsid w:val="00D870A6"/>
    <w:rsid w:val="00D87197"/>
    <w:rsid w:val="00D8794C"/>
    <w:rsid w:val="00D87FB2"/>
    <w:rsid w:val="00D90633"/>
    <w:rsid w:val="00D90AC2"/>
    <w:rsid w:val="00D90FF3"/>
    <w:rsid w:val="00D9196F"/>
    <w:rsid w:val="00D921F6"/>
    <w:rsid w:val="00D9276F"/>
    <w:rsid w:val="00D92B5C"/>
    <w:rsid w:val="00D93A3D"/>
    <w:rsid w:val="00D94352"/>
    <w:rsid w:val="00D943EF"/>
    <w:rsid w:val="00D9441A"/>
    <w:rsid w:val="00D9454A"/>
    <w:rsid w:val="00D94A1B"/>
    <w:rsid w:val="00D94F75"/>
    <w:rsid w:val="00D952DD"/>
    <w:rsid w:val="00D95EB5"/>
    <w:rsid w:val="00D95EBC"/>
    <w:rsid w:val="00D96265"/>
    <w:rsid w:val="00D96782"/>
    <w:rsid w:val="00D9687C"/>
    <w:rsid w:val="00D96974"/>
    <w:rsid w:val="00D972C1"/>
    <w:rsid w:val="00D97C8B"/>
    <w:rsid w:val="00DA00A7"/>
    <w:rsid w:val="00DA074C"/>
    <w:rsid w:val="00DA083D"/>
    <w:rsid w:val="00DA0BE2"/>
    <w:rsid w:val="00DA1105"/>
    <w:rsid w:val="00DA1284"/>
    <w:rsid w:val="00DA1738"/>
    <w:rsid w:val="00DA19FA"/>
    <w:rsid w:val="00DA1CFF"/>
    <w:rsid w:val="00DA2673"/>
    <w:rsid w:val="00DA291F"/>
    <w:rsid w:val="00DA30B5"/>
    <w:rsid w:val="00DA338F"/>
    <w:rsid w:val="00DA3765"/>
    <w:rsid w:val="00DA3C02"/>
    <w:rsid w:val="00DA3DF5"/>
    <w:rsid w:val="00DA3EF1"/>
    <w:rsid w:val="00DA3F12"/>
    <w:rsid w:val="00DA4070"/>
    <w:rsid w:val="00DA40ED"/>
    <w:rsid w:val="00DA448C"/>
    <w:rsid w:val="00DA49F0"/>
    <w:rsid w:val="00DA4E62"/>
    <w:rsid w:val="00DA4E7A"/>
    <w:rsid w:val="00DA4F1D"/>
    <w:rsid w:val="00DA507E"/>
    <w:rsid w:val="00DA531D"/>
    <w:rsid w:val="00DA5640"/>
    <w:rsid w:val="00DA5905"/>
    <w:rsid w:val="00DA5953"/>
    <w:rsid w:val="00DA5B96"/>
    <w:rsid w:val="00DA5C19"/>
    <w:rsid w:val="00DA62BA"/>
    <w:rsid w:val="00DA6A59"/>
    <w:rsid w:val="00DA6B0F"/>
    <w:rsid w:val="00DA74BA"/>
    <w:rsid w:val="00DA7A0A"/>
    <w:rsid w:val="00DB077E"/>
    <w:rsid w:val="00DB0FC7"/>
    <w:rsid w:val="00DB15DB"/>
    <w:rsid w:val="00DB192E"/>
    <w:rsid w:val="00DB24B1"/>
    <w:rsid w:val="00DB33A4"/>
    <w:rsid w:val="00DB345B"/>
    <w:rsid w:val="00DB4D32"/>
    <w:rsid w:val="00DB4E21"/>
    <w:rsid w:val="00DB5228"/>
    <w:rsid w:val="00DB583D"/>
    <w:rsid w:val="00DB5C61"/>
    <w:rsid w:val="00DB6570"/>
    <w:rsid w:val="00DB65CA"/>
    <w:rsid w:val="00DB6C5E"/>
    <w:rsid w:val="00DB719D"/>
    <w:rsid w:val="00DB7458"/>
    <w:rsid w:val="00DB78A1"/>
    <w:rsid w:val="00DB7D82"/>
    <w:rsid w:val="00DB7EE7"/>
    <w:rsid w:val="00DC053C"/>
    <w:rsid w:val="00DC0645"/>
    <w:rsid w:val="00DC107F"/>
    <w:rsid w:val="00DC1B60"/>
    <w:rsid w:val="00DC1DE2"/>
    <w:rsid w:val="00DC22DF"/>
    <w:rsid w:val="00DC238D"/>
    <w:rsid w:val="00DC294A"/>
    <w:rsid w:val="00DC3B74"/>
    <w:rsid w:val="00DC5132"/>
    <w:rsid w:val="00DC526C"/>
    <w:rsid w:val="00DC54AE"/>
    <w:rsid w:val="00DC54D8"/>
    <w:rsid w:val="00DC5576"/>
    <w:rsid w:val="00DC5B41"/>
    <w:rsid w:val="00DC5FC9"/>
    <w:rsid w:val="00DC68C1"/>
    <w:rsid w:val="00DC6BB3"/>
    <w:rsid w:val="00DC733D"/>
    <w:rsid w:val="00DC7452"/>
    <w:rsid w:val="00DC797E"/>
    <w:rsid w:val="00DC7A63"/>
    <w:rsid w:val="00DC7CCD"/>
    <w:rsid w:val="00DD02C1"/>
    <w:rsid w:val="00DD03D1"/>
    <w:rsid w:val="00DD0AE5"/>
    <w:rsid w:val="00DD0B35"/>
    <w:rsid w:val="00DD21D4"/>
    <w:rsid w:val="00DD2908"/>
    <w:rsid w:val="00DD2B2D"/>
    <w:rsid w:val="00DD2D43"/>
    <w:rsid w:val="00DD338C"/>
    <w:rsid w:val="00DD3611"/>
    <w:rsid w:val="00DD39AE"/>
    <w:rsid w:val="00DD3DB9"/>
    <w:rsid w:val="00DD44C7"/>
    <w:rsid w:val="00DD4543"/>
    <w:rsid w:val="00DD4D54"/>
    <w:rsid w:val="00DD51CF"/>
    <w:rsid w:val="00DD5219"/>
    <w:rsid w:val="00DD541B"/>
    <w:rsid w:val="00DD5A86"/>
    <w:rsid w:val="00DD5B39"/>
    <w:rsid w:val="00DD6018"/>
    <w:rsid w:val="00DD624A"/>
    <w:rsid w:val="00DD6682"/>
    <w:rsid w:val="00DD6775"/>
    <w:rsid w:val="00DD683A"/>
    <w:rsid w:val="00DD69BB"/>
    <w:rsid w:val="00DD6CD6"/>
    <w:rsid w:val="00DD756D"/>
    <w:rsid w:val="00DD7576"/>
    <w:rsid w:val="00DE0768"/>
    <w:rsid w:val="00DE0924"/>
    <w:rsid w:val="00DE0A43"/>
    <w:rsid w:val="00DE0DE4"/>
    <w:rsid w:val="00DE149C"/>
    <w:rsid w:val="00DE1885"/>
    <w:rsid w:val="00DE1C30"/>
    <w:rsid w:val="00DE1F0F"/>
    <w:rsid w:val="00DE2B1F"/>
    <w:rsid w:val="00DE2DD4"/>
    <w:rsid w:val="00DE314C"/>
    <w:rsid w:val="00DE3284"/>
    <w:rsid w:val="00DE3E32"/>
    <w:rsid w:val="00DE5405"/>
    <w:rsid w:val="00DE5C01"/>
    <w:rsid w:val="00DE5FFF"/>
    <w:rsid w:val="00DE64BA"/>
    <w:rsid w:val="00DE6810"/>
    <w:rsid w:val="00DE6812"/>
    <w:rsid w:val="00DE685C"/>
    <w:rsid w:val="00DE6AC7"/>
    <w:rsid w:val="00DE6E3D"/>
    <w:rsid w:val="00DE6F5A"/>
    <w:rsid w:val="00DE7278"/>
    <w:rsid w:val="00DE794E"/>
    <w:rsid w:val="00DE7D5B"/>
    <w:rsid w:val="00DE7F46"/>
    <w:rsid w:val="00DE7F86"/>
    <w:rsid w:val="00DF1C4C"/>
    <w:rsid w:val="00DF259D"/>
    <w:rsid w:val="00DF28A3"/>
    <w:rsid w:val="00DF2AAA"/>
    <w:rsid w:val="00DF36CA"/>
    <w:rsid w:val="00DF38B8"/>
    <w:rsid w:val="00DF393B"/>
    <w:rsid w:val="00DF3CFD"/>
    <w:rsid w:val="00DF3E2F"/>
    <w:rsid w:val="00DF3FD6"/>
    <w:rsid w:val="00DF42A2"/>
    <w:rsid w:val="00DF4533"/>
    <w:rsid w:val="00DF4571"/>
    <w:rsid w:val="00DF471E"/>
    <w:rsid w:val="00DF4759"/>
    <w:rsid w:val="00DF4F62"/>
    <w:rsid w:val="00DF5485"/>
    <w:rsid w:val="00DF592E"/>
    <w:rsid w:val="00DF5BA4"/>
    <w:rsid w:val="00DF5E1E"/>
    <w:rsid w:val="00DF6AAC"/>
    <w:rsid w:val="00DF6BAA"/>
    <w:rsid w:val="00DF76B9"/>
    <w:rsid w:val="00DF7DE3"/>
    <w:rsid w:val="00DF7EEC"/>
    <w:rsid w:val="00E0054C"/>
    <w:rsid w:val="00E00DAA"/>
    <w:rsid w:val="00E00F98"/>
    <w:rsid w:val="00E01377"/>
    <w:rsid w:val="00E013A8"/>
    <w:rsid w:val="00E01CCC"/>
    <w:rsid w:val="00E01E85"/>
    <w:rsid w:val="00E01F76"/>
    <w:rsid w:val="00E02403"/>
    <w:rsid w:val="00E02411"/>
    <w:rsid w:val="00E02B0B"/>
    <w:rsid w:val="00E0300B"/>
    <w:rsid w:val="00E03CFF"/>
    <w:rsid w:val="00E03D07"/>
    <w:rsid w:val="00E0437D"/>
    <w:rsid w:val="00E04CE7"/>
    <w:rsid w:val="00E04D87"/>
    <w:rsid w:val="00E0513A"/>
    <w:rsid w:val="00E05442"/>
    <w:rsid w:val="00E05832"/>
    <w:rsid w:val="00E05DC8"/>
    <w:rsid w:val="00E05F74"/>
    <w:rsid w:val="00E067DB"/>
    <w:rsid w:val="00E06899"/>
    <w:rsid w:val="00E06C08"/>
    <w:rsid w:val="00E070A4"/>
    <w:rsid w:val="00E070E9"/>
    <w:rsid w:val="00E07C80"/>
    <w:rsid w:val="00E10163"/>
    <w:rsid w:val="00E10679"/>
    <w:rsid w:val="00E107A1"/>
    <w:rsid w:val="00E1084F"/>
    <w:rsid w:val="00E10E90"/>
    <w:rsid w:val="00E112D2"/>
    <w:rsid w:val="00E115FD"/>
    <w:rsid w:val="00E11893"/>
    <w:rsid w:val="00E119BF"/>
    <w:rsid w:val="00E11CD9"/>
    <w:rsid w:val="00E11EFB"/>
    <w:rsid w:val="00E11FAE"/>
    <w:rsid w:val="00E12436"/>
    <w:rsid w:val="00E126D6"/>
    <w:rsid w:val="00E12A23"/>
    <w:rsid w:val="00E12C1A"/>
    <w:rsid w:val="00E131CD"/>
    <w:rsid w:val="00E13D2E"/>
    <w:rsid w:val="00E13EED"/>
    <w:rsid w:val="00E14012"/>
    <w:rsid w:val="00E140EF"/>
    <w:rsid w:val="00E14657"/>
    <w:rsid w:val="00E14AC4"/>
    <w:rsid w:val="00E14DB8"/>
    <w:rsid w:val="00E14F5B"/>
    <w:rsid w:val="00E14FC5"/>
    <w:rsid w:val="00E15343"/>
    <w:rsid w:val="00E15815"/>
    <w:rsid w:val="00E15D57"/>
    <w:rsid w:val="00E15E95"/>
    <w:rsid w:val="00E164AD"/>
    <w:rsid w:val="00E16518"/>
    <w:rsid w:val="00E16736"/>
    <w:rsid w:val="00E169AD"/>
    <w:rsid w:val="00E17268"/>
    <w:rsid w:val="00E178CC"/>
    <w:rsid w:val="00E17E6D"/>
    <w:rsid w:val="00E17F17"/>
    <w:rsid w:val="00E17F5C"/>
    <w:rsid w:val="00E200BE"/>
    <w:rsid w:val="00E20ECA"/>
    <w:rsid w:val="00E21A68"/>
    <w:rsid w:val="00E21DA0"/>
    <w:rsid w:val="00E22047"/>
    <w:rsid w:val="00E224BB"/>
    <w:rsid w:val="00E22D5B"/>
    <w:rsid w:val="00E22FE8"/>
    <w:rsid w:val="00E23594"/>
    <w:rsid w:val="00E237A9"/>
    <w:rsid w:val="00E23A39"/>
    <w:rsid w:val="00E240AA"/>
    <w:rsid w:val="00E2424E"/>
    <w:rsid w:val="00E24CE1"/>
    <w:rsid w:val="00E2519E"/>
    <w:rsid w:val="00E2527A"/>
    <w:rsid w:val="00E2535B"/>
    <w:rsid w:val="00E256B9"/>
    <w:rsid w:val="00E25961"/>
    <w:rsid w:val="00E25AFA"/>
    <w:rsid w:val="00E25D94"/>
    <w:rsid w:val="00E25EDA"/>
    <w:rsid w:val="00E261E1"/>
    <w:rsid w:val="00E26313"/>
    <w:rsid w:val="00E26394"/>
    <w:rsid w:val="00E2655A"/>
    <w:rsid w:val="00E267CF"/>
    <w:rsid w:val="00E26897"/>
    <w:rsid w:val="00E27B02"/>
    <w:rsid w:val="00E30208"/>
    <w:rsid w:val="00E30AA6"/>
    <w:rsid w:val="00E322E5"/>
    <w:rsid w:val="00E32391"/>
    <w:rsid w:val="00E32882"/>
    <w:rsid w:val="00E32980"/>
    <w:rsid w:val="00E33658"/>
    <w:rsid w:val="00E33DCC"/>
    <w:rsid w:val="00E34634"/>
    <w:rsid w:val="00E34908"/>
    <w:rsid w:val="00E34B92"/>
    <w:rsid w:val="00E3536C"/>
    <w:rsid w:val="00E35CAD"/>
    <w:rsid w:val="00E35F8B"/>
    <w:rsid w:val="00E35FDF"/>
    <w:rsid w:val="00E3649E"/>
    <w:rsid w:val="00E36A4F"/>
    <w:rsid w:val="00E36D6D"/>
    <w:rsid w:val="00E36EAD"/>
    <w:rsid w:val="00E37D7B"/>
    <w:rsid w:val="00E40632"/>
    <w:rsid w:val="00E40EBF"/>
    <w:rsid w:val="00E4111A"/>
    <w:rsid w:val="00E414CA"/>
    <w:rsid w:val="00E41AB9"/>
    <w:rsid w:val="00E42676"/>
    <w:rsid w:val="00E42A81"/>
    <w:rsid w:val="00E42BC7"/>
    <w:rsid w:val="00E43199"/>
    <w:rsid w:val="00E43337"/>
    <w:rsid w:val="00E43540"/>
    <w:rsid w:val="00E4395D"/>
    <w:rsid w:val="00E441AC"/>
    <w:rsid w:val="00E44259"/>
    <w:rsid w:val="00E4428D"/>
    <w:rsid w:val="00E444EE"/>
    <w:rsid w:val="00E44A21"/>
    <w:rsid w:val="00E44FAA"/>
    <w:rsid w:val="00E45863"/>
    <w:rsid w:val="00E45A7D"/>
    <w:rsid w:val="00E45D4C"/>
    <w:rsid w:val="00E46117"/>
    <w:rsid w:val="00E4633D"/>
    <w:rsid w:val="00E46786"/>
    <w:rsid w:val="00E47B19"/>
    <w:rsid w:val="00E47D19"/>
    <w:rsid w:val="00E47EF4"/>
    <w:rsid w:val="00E47F0A"/>
    <w:rsid w:val="00E50D4C"/>
    <w:rsid w:val="00E5183F"/>
    <w:rsid w:val="00E51A33"/>
    <w:rsid w:val="00E51B05"/>
    <w:rsid w:val="00E5246C"/>
    <w:rsid w:val="00E5303C"/>
    <w:rsid w:val="00E5318F"/>
    <w:rsid w:val="00E5359D"/>
    <w:rsid w:val="00E53673"/>
    <w:rsid w:val="00E53697"/>
    <w:rsid w:val="00E53909"/>
    <w:rsid w:val="00E54012"/>
    <w:rsid w:val="00E541A7"/>
    <w:rsid w:val="00E54337"/>
    <w:rsid w:val="00E548C2"/>
    <w:rsid w:val="00E54D88"/>
    <w:rsid w:val="00E54FFF"/>
    <w:rsid w:val="00E55073"/>
    <w:rsid w:val="00E55C08"/>
    <w:rsid w:val="00E55E0D"/>
    <w:rsid w:val="00E55F04"/>
    <w:rsid w:val="00E560A2"/>
    <w:rsid w:val="00E561A7"/>
    <w:rsid w:val="00E570F6"/>
    <w:rsid w:val="00E57498"/>
    <w:rsid w:val="00E5772D"/>
    <w:rsid w:val="00E57730"/>
    <w:rsid w:val="00E57957"/>
    <w:rsid w:val="00E601E1"/>
    <w:rsid w:val="00E60325"/>
    <w:rsid w:val="00E605E2"/>
    <w:rsid w:val="00E6076F"/>
    <w:rsid w:val="00E61010"/>
    <w:rsid w:val="00E615DA"/>
    <w:rsid w:val="00E617D1"/>
    <w:rsid w:val="00E62519"/>
    <w:rsid w:val="00E62F4B"/>
    <w:rsid w:val="00E63015"/>
    <w:rsid w:val="00E63060"/>
    <w:rsid w:val="00E631B9"/>
    <w:rsid w:val="00E63620"/>
    <w:rsid w:val="00E64500"/>
    <w:rsid w:val="00E64CF1"/>
    <w:rsid w:val="00E64CF5"/>
    <w:rsid w:val="00E65595"/>
    <w:rsid w:val="00E65B82"/>
    <w:rsid w:val="00E6630B"/>
    <w:rsid w:val="00E6630C"/>
    <w:rsid w:val="00E66417"/>
    <w:rsid w:val="00E664D9"/>
    <w:rsid w:val="00E66D5E"/>
    <w:rsid w:val="00E66F83"/>
    <w:rsid w:val="00E66FC7"/>
    <w:rsid w:val="00E67203"/>
    <w:rsid w:val="00E6769C"/>
    <w:rsid w:val="00E676B3"/>
    <w:rsid w:val="00E67A67"/>
    <w:rsid w:val="00E700AE"/>
    <w:rsid w:val="00E709F4"/>
    <w:rsid w:val="00E70CC3"/>
    <w:rsid w:val="00E70CC8"/>
    <w:rsid w:val="00E71390"/>
    <w:rsid w:val="00E71B9F"/>
    <w:rsid w:val="00E71EBC"/>
    <w:rsid w:val="00E72170"/>
    <w:rsid w:val="00E72514"/>
    <w:rsid w:val="00E727D8"/>
    <w:rsid w:val="00E72BE6"/>
    <w:rsid w:val="00E72C56"/>
    <w:rsid w:val="00E734C3"/>
    <w:rsid w:val="00E7380C"/>
    <w:rsid w:val="00E74209"/>
    <w:rsid w:val="00E74382"/>
    <w:rsid w:val="00E746D3"/>
    <w:rsid w:val="00E74C52"/>
    <w:rsid w:val="00E74E31"/>
    <w:rsid w:val="00E75016"/>
    <w:rsid w:val="00E7504D"/>
    <w:rsid w:val="00E7531D"/>
    <w:rsid w:val="00E7574F"/>
    <w:rsid w:val="00E757AE"/>
    <w:rsid w:val="00E75854"/>
    <w:rsid w:val="00E75983"/>
    <w:rsid w:val="00E759B3"/>
    <w:rsid w:val="00E759E4"/>
    <w:rsid w:val="00E7610C"/>
    <w:rsid w:val="00E764F2"/>
    <w:rsid w:val="00E7666F"/>
    <w:rsid w:val="00E77061"/>
    <w:rsid w:val="00E779C7"/>
    <w:rsid w:val="00E77A61"/>
    <w:rsid w:val="00E77F16"/>
    <w:rsid w:val="00E800EC"/>
    <w:rsid w:val="00E8018F"/>
    <w:rsid w:val="00E801C4"/>
    <w:rsid w:val="00E80FBC"/>
    <w:rsid w:val="00E81123"/>
    <w:rsid w:val="00E81874"/>
    <w:rsid w:val="00E81AD9"/>
    <w:rsid w:val="00E82410"/>
    <w:rsid w:val="00E82A9E"/>
    <w:rsid w:val="00E82D03"/>
    <w:rsid w:val="00E82DE8"/>
    <w:rsid w:val="00E83056"/>
    <w:rsid w:val="00E83192"/>
    <w:rsid w:val="00E8341E"/>
    <w:rsid w:val="00E83DF5"/>
    <w:rsid w:val="00E83FF4"/>
    <w:rsid w:val="00E848E3"/>
    <w:rsid w:val="00E857C3"/>
    <w:rsid w:val="00E858CB"/>
    <w:rsid w:val="00E85E6A"/>
    <w:rsid w:val="00E85F5C"/>
    <w:rsid w:val="00E8604D"/>
    <w:rsid w:val="00E86C21"/>
    <w:rsid w:val="00E86E8C"/>
    <w:rsid w:val="00E87B00"/>
    <w:rsid w:val="00E87D65"/>
    <w:rsid w:val="00E87EFD"/>
    <w:rsid w:val="00E90169"/>
    <w:rsid w:val="00E9045D"/>
    <w:rsid w:val="00E90D87"/>
    <w:rsid w:val="00E90E96"/>
    <w:rsid w:val="00E91DC4"/>
    <w:rsid w:val="00E9246D"/>
    <w:rsid w:val="00E92955"/>
    <w:rsid w:val="00E9330D"/>
    <w:rsid w:val="00E933AB"/>
    <w:rsid w:val="00E93604"/>
    <w:rsid w:val="00E93A2D"/>
    <w:rsid w:val="00E93E2C"/>
    <w:rsid w:val="00E94190"/>
    <w:rsid w:val="00E94301"/>
    <w:rsid w:val="00E943D2"/>
    <w:rsid w:val="00E947D4"/>
    <w:rsid w:val="00E94ADF"/>
    <w:rsid w:val="00E94CBC"/>
    <w:rsid w:val="00E94FF8"/>
    <w:rsid w:val="00E95049"/>
    <w:rsid w:val="00E955EF"/>
    <w:rsid w:val="00E9578D"/>
    <w:rsid w:val="00E95893"/>
    <w:rsid w:val="00E96435"/>
    <w:rsid w:val="00E96AE3"/>
    <w:rsid w:val="00E96DA3"/>
    <w:rsid w:val="00E96F60"/>
    <w:rsid w:val="00E974E6"/>
    <w:rsid w:val="00E97859"/>
    <w:rsid w:val="00E97CD6"/>
    <w:rsid w:val="00E97ED0"/>
    <w:rsid w:val="00EA0AFC"/>
    <w:rsid w:val="00EA0BC1"/>
    <w:rsid w:val="00EA0BDB"/>
    <w:rsid w:val="00EA0E17"/>
    <w:rsid w:val="00EA1207"/>
    <w:rsid w:val="00EA12D6"/>
    <w:rsid w:val="00EA14DD"/>
    <w:rsid w:val="00EA14DE"/>
    <w:rsid w:val="00EA206B"/>
    <w:rsid w:val="00EA2455"/>
    <w:rsid w:val="00EA2C82"/>
    <w:rsid w:val="00EA33F9"/>
    <w:rsid w:val="00EA3437"/>
    <w:rsid w:val="00EA3BF7"/>
    <w:rsid w:val="00EA3F53"/>
    <w:rsid w:val="00EA470F"/>
    <w:rsid w:val="00EA4D80"/>
    <w:rsid w:val="00EA4FFE"/>
    <w:rsid w:val="00EA502B"/>
    <w:rsid w:val="00EA559C"/>
    <w:rsid w:val="00EA5690"/>
    <w:rsid w:val="00EA58B4"/>
    <w:rsid w:val="00EA6247"/>
    <w:rsid w:val="00EA637C"/>
    <w:rsid w:val="00EA657C"/>
    <w:rsid w:val="00EA744A"/>
    <w:rsid w:val="00EA74E9"/>
    <w:rsid w:val="00EA7713"/>
    <w:rsid w:val="00EB001E"/>
    <w:rsid w:val="00EB0100"/>
    <w:rsid w:val="00EB0327"/>
    <w:rsid w:val="00EB05D8"/>
    <w:rsid w:val="00EB0644"/>
    <w:rsid w:val="00EB096D"/>
    <w:rsid w:val="00EB0B76"/>
    <w:rsid w:val="00EB0D0F"/>
    <w:rsid w:val="00EB120C"/>
    <w:rsid w:val="00EB187A"/>
    <w:rsid w:val="00EB2551"/>
    <w:rsid w:val="00EB2574"/>
    <w:rsid w:val="00EB2A0C"/>
    <w:rsid w:val="00EB2BCC"/>
    <w:rsid w:val="00EB2E69"/>
    <w:rsid w:val="00EB2E72"/>
    <w:rsid w:val="00EB2FBA"/>
    <w:rsid w:val="00EB361B"/>
    <w:rsid w:val="00EB3632"/>
    <w:rsid w:val="00EB3A14"/>
    <w:rsid w:val="00EB3B7F"/>
    <w:rsid w:val="00EB3E69"/>
    <w:rsid w:val="00EB3E87"/>
    <w:rsid w:val="00EB3EF5"/>
    <w:rsid w:val="00EB41F8"/>
    <w:rsid w:val="00EB443E"/>
    <w:rsid w:val="00EB45A0"/>
    <w:rsid w:val="00EB4BB2"/>
    <w:rsid w:val="00EB4E60"/>
    <w:rsid w:val="00EB5278"/>
    <w:rsid w:val="00EB5875"/>
    <w:rsid w:val="00EB597A"/>
    <w:rsid w:val="00EB61FE"/>
    <w:rsid w:val="00EB64E2"/>
    <w:rsid w:val="00EB6547"/>
    <w:rsid w:val="00EB665C"/>
    <w:rsid w:val="00EB7063"/>
    <w:rsid w:val="00EB733C"/>
    <w:rsid w:val="00EB777A"/>
    <w:rsid w:val="00EB7837"/>
    <w:rsid w:val="00EB7EC9"/>
    <w:rsid w:val="00EB7F12"/>
    <w:rsid w:val="00EC0396"/>
    <w:rsid w:val="00EC040F"/>
    <w:rsid w:val="00EC0DBF"/>
    <w:rsid w:val="00EC1079"/>
    <w:rsid w:val="00EC173F"/>
    <w:rsid w:val="00EC17A9"/>
    <w:rsid w:val="00EC192D"/>
    <w:rsid w:val="00EC1A3C"/>
    <w:rsid w:val="00EC1BE3"/>
    <w:rsid w:val="00EC1D87"/>
    <w:rsid w:val="00EC27BB"/>
    <w:rsid w:val="00EC27C6"/>
    <w:rsid w:val="00EC28C2"/>
    <w:rsid w:val="00EC2B5C"/>
    <w:rsid w:val="00EC2DA7"/>
    <w:rsid w:val="00EC35EB"/>
    <w:rsid w:val="00EC363B"/>
    <w:rsid w:val="00EC3A62"/>
    <w:rsid w:val="00EC4352"/>
    <w:rsid w:val="00EC493D"/>
    <w:rsid w:val="00EC4A4D"/>
    <w:rsid w:val="00EC4C63"/>
    <w:rsid w:val="00EC5488"/>
    <w:rsid w:val="00EC54A4"/>
    <w:rsid w:val="00EC5E37"/>
    <w:rsid w:val="00EC5E87"/>
    <w:rsid w:val="00EC6092"/>
    <w:rsid w:val="00EC6166"/>
    <w:rsid w:val="00EC621A"/>
    <w:rsid w:val="00EC62D9"/>
    <w:rsid w:val="00EC6320"/>
    <w:rsid w:val="00EC65C6"/>
    <w:rsid w:val="00EC66A7"/>
    <w:rsid w:val="00EC6AA8"/>
    <w:rsid w:val="00EC6B1F"/>
    <w:rsid w:val="00EC70DA"/>
    <w:rsid w:val="00EC7276"/>
    <w:rsid w:val="00EC7667"/>
    <w:rsid w:val="00EC7852"/>
    <w:rsid w:val="00EC7D46"/>
    <w:rsid w:val="00EC7F1A"/>
    <w:rsid w:val="00ED01B9"/>
    <w:rsid w:val="00ED0DC7"/>
    <w:rsid w:val="00ED108D"/>
    <w:rsid w:val="00ED1773"/>
    <w:rsid w:val="00ED1863"/>
    <w:rsid w:val="00ED1999"/>
    <w:rsid w:val="00ED211A"/>
    <w:rsid w:val="00ED2991"/>
    <w:rsid w:val="00ED2C3C"/>
    <w:rsid w:val="00ED2D8D"/>
    <w:rsid w:val="00ED2F00"/>
    <w:rsid w:val="00ED2FD2"/>
    <w:rsid w:val="00ED2FD3"/>
    <w:rsid w:val="00ED3011"/>
    <w:rsid w:val="00ED31A7"/>
    <w:rsid w:val="00ED3A9F"/>
    <w:rsid w:val="00ED3FAA"/>
    <w:rsid w:val="00ED42E5"/>
    <w:rsid w:val="00ED4533"/>
    <w:rsid w:val="00ED4601"/>
    <w:rsid w:val="00ED4DB7"/>
    <w:rsid w:val="00ED4DE8"/>
    <w:rsid w:val="00ED4FD9"/>
    <w:rsid w:val="00ED5143"/>
    <w:rsid w:val="00ED5474"/>
    <w:rsid w:val="00ED5A76"/>
    <w:rsid w:val="00ED5B21"/>
    <w:rsid w:val="00ED5B8F"/>
    <w:rsid w:val="00ED6556"/>
    <w:rsid w:val="00ED6824"/>
    <w:rsid w:val="00ED6929"/>
    <w:rsid w:val="00ED6E5A"/>
    <w:rsid w:val="00ED7D74"/>
    <w:rsid w:val="00ED7DD0"/>
    <w:rsid w:val="00EE08F9"/>
    <w:rsid w:val="00EE0B7B"/>
    <w:rsid w:val="00EE0CF1"/>
    <w:rsid w:val="00EE120F"/>
    <w:rsid w:val="00EE1450"/>
    <w:rsid w:val="00EE1717"/>
    <w:rsid w:val="00EE1722"/>
    <w:rsid w:val="00EE1D08"/>
    <w:rsid w:val="00EE2109"/>
    <w:rsid w:val="00EE22CB"/>
    <w:rsid w:val="00EE319F"/>
    <w:rsid w:val="00EE3478"/>
    <w:rsid w:val="00EE35E5"/>
    <w:rsid w:val="00EE380B"/>
    <w:rsid w:val="00EE3820"/>
    <w:rsid w:val="00EE3A64"/>
    <w:rsid w:val="00EE3F7F"/>
    <w:rsid w:val="00EE3FF6"/>
    <w:rsid w:val="00EE4259"/>
    <w:rsid w:val="00EE4414"/>
    <w:rsid w:val="00EE5072"/>
    <w:rsid w:val="00EE566C"/>
    <w:rsid w:val="00EE5B18"/>
    <w:rsid w:val="00EE6465"/>
    <w:rsid w:val="00EE6B16"/>
    <w:rsid w:val="00EE7560"/>
    <w:rsid w:val="00EE756C"/>
    <w:rsid w:val="00EE7922"/>
    <w:rsid w:val="00EE7D1F"/>
    <w:rsid w:val="00EE7D86"/>
    <w:rsid w:val="00EF06A2"/>
    <w:rsid w:val="00EF0BF3"/>
    <w:rsid w:val="00EF124D"/>
    <w:rsid w:val="00EF135D"/>
    <w:rsid w:val="00EF1399"/>
    <w:rsid w:val="00EF1554"/>
    <w:rsid w:val="00EF19E6"/>
    <w:rsid w:val="00EF1FA3"/>
    <w:rsid w:val="00EF21CF"/>
    <w:rsid w:val="00EF36BC"/>
    <w:rsid w:val="00EF3DCB"/>
    <w:rsid w:val="00EF3E78"/>
    <w:rsid w:val="00EF3EED"/>
    <w:rsid w:val="00EF41DD"/>
    <w:rsid w:val="00EF43FA"/>
    <w:rsid w:val="00EF4880"/>
    <w:rsid w:val="00EF5032"/>
    <w:rsid w:val="00EF5682"/>
    <w:rsid w:val="00EF5B51"/>
    <w:rsid w:val="00EF60B2"/>
    <w:rsid w:val="00EF6541"/>
    <w:rsid w:val="00EF6614"/>
    <w:rsid w:val="00EF67BC"/>
    <w:rsid w:val="00EF70B0"/>
    <w:rsid w:val="00EF73BA"/>
    <w:rsid w:val="00EF7530"/>
    <w:rsid w:val="00EF753B"/>
    <w:rsid w:val="00EF7E68"/>
    <w:rsid w:val="00F006D5"/>
    <w:rsid w:val="00F0097F"/>
    <w:rsid w:val="00F00AD7"/>
    <w:rsid w:val="00F013D7"/>
    <w:rsid w:val="00F023A1"/>
    <w:rsid w:val="00F023D3"/>
    <w:rsid w:val="00F02671"/>
    <w:rsid w:val="00F02D49"/>
    <w:rsid w:val="00F03436"/>
    <w:rsid w:val="00F034D2"/>
    <w:rsid w:val="00F03BC4"/>
    <w:rsid w:val="00F03DD6"/>
    <w:rsid w:val="00F04035"/>
    <w:rsid w:val="00F047DC"/>
    <w:rsid w:val="00F04CEE"/>
    <w:rsid w:val="00F04E82"/>
    <w:rsid w:val="00F051BF"/>
    <w:rsid w:val="00F054AF"/>
    <w:rsid w:val="00F0550A"/>
    <w:rsid w:val="00F055C0"/>
    <w:rsid w:val="00F0581D"/>
    <w:rsid w:val="00F058CB"/>
    <w:rsid w:val="00F05E30"/>
    <w:rsid w:val="00F06E8C"/>
    <w:rsid w:val="00F07221"/>
    <w:rsid w:val="00F073ED"/>
    <w:rsid w:val="00F07561"/>
    <w:rsid w:val="00F07983"/>
    <w:rsid w:val="00F07B3F"/>
    <w:rsid w:val="00F07FD9"/>
    <w:rsid w:val="00F100C6"/>
    <w:rsid w:val="00F102DE"/>
    <w:rsid w:val="00F10340"/>
    <w:rsid w:val="00F10591"/>
    <w:rsid w:val="00F1062E"/>
    <w:rsid w:val="00F106B9"/>
    <w:rsid w:val="00F106FA"/>
    <w:rsid w:val="00F110BA"/>
    <w:rsid w:val="00F11870"/>
    <w:rsid w:val="00F11BD4"/>
    <w:rsid w:val="00F11C41"/>
    <w:rsid w:val="00F121F7"/>
    <w:rsid w:val="00F1238D"/>
    <w:rsid w:val="00F12BDB"/>
    <w:rsid w:val="00F12BED"/>
    <w:rsid w:val="00F12C21"/>
    <w:rsid w:val="00F12C8E"/>
    <w:rsid w:val="00F137E1"/>
    <w:rsid w:val="00F14058"/>
    <w:rsid w:val="00F14DBA"/>
    <w:rsid w:val="00F15105"/>
    <w:rsid w:val="00F15738"/>
    <w:rsid w:val="00F15815"/>
    <w:rsid w:val="00F16112"/>
    <w:rsid w:val="00F1640A"/>
    <w:rsid w:val="00F16A99"/>
    <w:rsid w:val="00F16B13"/>
    <w:rsid w:val="00F16CCB"/>
    <w:rsid w:val="00F16F45"/>
    <w:rsid w:val="00F17486"/>
    <w:rsid w:val="00F17E5C"/>
    <w:rsid w:val="00F17F05"/>
    <w:rsid w:val="00F2045A"/>
    <w:rsid w:val="00F20838"/>
    <w:rsid w:val="00F211AD"/>
    <w:rsid w:val="00F21B31"/>
    <w:rsid w:val="00F21CDE"/>
    <w:rsid w:val="00F21F2D"/>
    <w:rsid w:val="00F222E1"/>
    <w:rsid w:val="00F224F2"/>
    <w:rsid w:val="00F22840"/>
    <w:rsid w:val="00F236A1"/>
    <w:rsid w:val="00F23E62"/>
    <w:rsid w:val="00F23FAE"/>
    <w:rsid w:val="00F24454"/>
    <w:rsid w:val="00F244B9"/>
    <w:rsid w:val="00F248C3"/>
    <w:rsid w:val="00F24C54"/>
    <w:rsid w:val="00F24F99"/>
    <w:rsid w:val="00F25038"/>
    <w:rsid w:val="00F25628"/>
    <w:rsid w:val="00F25745"/>
    <w:rsid w:val="00F2577C"/>
    <w:rsid w:val="00F2582A"/>
    <w:rsid w:val="00F25B3E"/>
    <w:rsid w:val="00F25D5C"/>
    <w:rsid w:val="00F261B6"/>
    <w:rsid w:val="00F267CF"/>
    <w:rsid w:val="00F26BD6"/>
    <w:rsid w:val="00F26DB5"/>
    <w:rsid w:val="00F30414"/>
    <w:rsid w:val="00F306EE"/>
    <w:rsid w:val="00F308B0"/>
    <w:rsid w:val="00F30925"/>
    <w:rsid w:val="00F30A10"/>
    <w:rsid w:val="00F30D13"/>
    <w:rsid w:val="00F315F9"/>
    <w:rsid w:val="00F31BA8"/>
    <w:rsid w:val="00F31E62"/>
    <w:rsid w:val="00F31F9F"/>
    <w:rsid w:val="00F326FC"/>
    <w:rsid w:val="00F33349"/>
    <w:rsid w:val="00F333A0"/>
    <w:rsid w:val="00F333F4"/>
    <w:rsid w:val="00F3347A"/>
    <w:rsid w:val="00F337DA"/>
    <w:rsid w:val="00F3397D"/>
    <w:rsid w:val="00F33D1C"/>
    <w:rsid w:val="00F33DF4"/>
    <w:rsid w:val="00F33EFD"/>
    <w:rsid w:val="00F33FFD"/>
    <w:rsid w:val="00F340EA"/>
    <w:rsid w:val="00F343FB"/>
    <w:rsid w:val="00F34499"/>
    <w:rsid w:val="00F346C2"/>
    <w:rsid w:val="00F349BE"/>
    <w:rsid w:val="00F35093"/>
    <w:rsid w:val="00F35735"/>
    <w:rsid w:val="00F35971"/>
    <w:rsid w:val="00F359A5"/>
    <w:rsid w:val="00F363BB"/>
    <w:rsid w:val="00F36424"/>
    <w:rsid w:val="00F3671E"/>
    <w:rsid w:val="00F36C1B"/>
    <w:rsid w:val="00F36C7B"/>
    <w:rsid w:val="00F36F48"/>
    <w:rsid w:val="00F37469"/>
    <w:rsid w:val="00F37676"/>
    <w:rsid w:val="00F37724"/>
    <w:rsid w:val="00F377C3"/>
    <w:rsid w:val="00F377C5"/>
    <w:rsid w:val="00F37CDA"/>
    <w:rsid w:val="00F40124"/>
    <w:rsid w:val="00F40611"/>
    <w:rsid w:val="00F409F5"/>
    <w:rsid w:val="00F40DBB"/>
    <w:rsid w:val="00F4121B"/>
    <w:rsid w:val="00F412D9"/>
    <w:rsid w:val="00F413EC"/>
    <w:rsid w:val="00F414FB"/>
    <w:rsid w:val="00F417EC"/>
    <w:rsid w:val="00F41EC7"/>
    <w:rsid w:val="00F41EEE"/>
    <w:rsid w:val="00F42BA7"/>
    <w:rsid w:val="00F42C08"/>
    <w:rsid w:val="00F42CBD"/>
    <w:rsid w:val="00F43264"/>
    <w:rsid w:val="00F43282"/>
    <w:rsid w:val="00F43B60"/>
    <w:rsid w:val="00F441A2"/>
    <w:rsid w:val="00F44571"/>
    <w:rsid w:val="00F44D3C"/>
    <w:rsid w:val="00F4508E"/>
    <w:rsid w:val="00F45209"/>
    <w:rsid w:val="00F459A6"/>
    <w:rsid w:val="00F45E24"/>
    <w:rsid w:val="00F47AB7"/>
    <w:rsid w:val="00F50254"/>
    <w:rsid w:val="00F50314"/>
    <w:rsid w:val="00F503FE"/>
    <w:rsid w:val="00F5059C"/>
    <w:rsid w:val="00F505D5"/>
    <w:rsid w:val="00F50EC5"/>
    <w:rsid w:val="00F513B5"/>
    <w:rsid w:val="00F513B7"/>
    <w:rsid w:val="00F516D7"/>
    <w:rsid w:val="00F52188"/>
    <w:rsid w:val="00F526CD"/>
    <w:rsid w:val="00F52BAB"/>
    <w:rsid w:val="00F53915"/>
    <w:rsid w:val="00F53D11"/>
    <w:rsid w:val="00F54BBC"/>
    <w:rsid w:val="00F54D5B"/>
    <w:rsid w:val="00F55186"/>
    <w:rsid w:val="00F5532C"/>
    <w:rsid w:val="00F55759"/>
    <w:rsid w:val="00F55DF5"/>
    <w:rsid w:val="00F56294"/>
    <w:rsid w:val="00F564B2"/>
    <w:rsid w:val="00F566EE"/>
    <w:rsid w:val="00F56AA9"/>
    <w:rsid w:val="00F56BBF"/>
    <w:rsid w:val="00F56C01"/>
    <w:rsid w:val="00F57011"/>
    <w:rsid w:val="00F570A7"/>
    <w:rsid w:val="00F573C1"/>
    <w:rsid w:val="00F57596"/>
    <w:rsid w:val="00F5775C"/>
    <w:rsid w:val="00F57AB7"/>
    <w:rsid w:val="00F57D51"/>
    <w:rsid w:val="00F57E96"/>
    <w:rsid w:val="00F60D93"/>
    <w:rsid w:val="00F6187D"/>
    <w:rsid w:val="00F61BD4"/>
    <w:rsid w:val="00F61E6B"/>
    <w:rsid w:val="00F61EF5"/>
    <w:rsid w:val="00F6264A"/>
    <w:rsid w:val="00F6281C"/>
    <w:rsid w:val="00F62CF9"/>
    <w:rsid w:val="00F62F14"/>
    <w:rsid w:val="00F632A0"/>
    <w:rsid w:val="00F64332"/>
    <w:rsid w:val="00F6459B"/>
    <w:rsid w:val="00F64A65"/>
    <w:rsid w:val="00F64B31"/>
    <w:rsid w:val="00F650F1"/>
    <w:rsid w:val="00F65408"/>
    <w:rsid w:val="00F65654"/>
    <w:rsid w:val="00F65694"/>
    <w:rsid w:val="00F65707"/>
    <w:rsid w:val="00F6598D"/>
    <w:rsid w:val="00F65D82"/>
    <w:rsid w:val="00F65E10"/>
    <w:rsid w:val="00F660BD"/>
    <w:rsid w:val="00F66B87"/>
    <w:rsid w:val="00F66D33"/>
    <w:rsid w:val="00F67284"/>
    <w:rsid w:val="00F676AC"/>
    <w:rsid w:val="00F7008B"/>
    <w:rsid w:val="00F70B54"/>
    <w:rsid w:val="00F715B7"/>
    <w:rsid w:val="00F71678"/>
    <w:rsid w:val="00F7184F"/>
    <w:rsid w:val="00F72786"/>
    <w:rsid w:val="00F72788"/>
    <w:rsid w:val="00F73126"/>
    <w:rsid w:val="00F737AB"/>
    <w:rsid w:val="00F740BE"/>
    <w:rsid w:val="00F74779"/>
    <w:rsid w:val="00F74788"/>
    <w:rsid w:val="00F747D4"/>
    <w:rsid w:val="00F75839"/>
    <w:rsid w:val="00F75BDE"/>
    <w:rsid w:val="00F75FA4"/>
    <w:rsid w:val="00F76412"/>
    <w:rsid w:val="00F7679F"/>
    <w:rsid w:val="00F76F5C"/>
    <w:rsid w:val="00F805ED"/>
    <w:rsid w:val="00F80749"/>
    <w:rsid w:val="00F8077B"/>
    <w:rsid w:val="00F80C5D"/>
    <w:rsid w:val="00F81B54"/>
    <w:rsid w:val="00F81E09"/>
    <w:rsid w:val="00F8224C"/>
    <w:rsid w:val="00F823D1"/>
    <w:rsid w:val="00F826EB"/>
    <w:rsid w:val="00F8286C"/>
    <w:rsid w:val="00F83E78"/>
    <w:rsid w:val="00F843BD"/>
    <w:rsid w:val="00F844C7"/>
    <w:rsid w:val="00F84778"/>
    <w:rsid w:val="00F84988"/>
    <w:rsid w:val="00F84AED"/>
    <w:rsid w:val="00F84BF2"/>
    <w:rsid w:val="00F84FDB"/>
    <w:rsid w:val="00F85253"/>
    <w:rsid w:val="00F85422"/>
    <w:rsid w:val="00F854FA"/>
    <w:rsid w:val="00F85A5C"/>
    <w:rsid w:val="00F8710A"/>
    <w:rsid w:val="00F871BA"/>
    <w:rsid w:val="00F87781"/>
    <w:rsid w:val="00F87E0F"/>
    <w:rsid w:val="00F905D4"/>
    <w:rsid w:val="00F907FC"/>
    <w:rsid w:val="00F90A9D"/>
    <w:rsid w:val="00F91245"/>
    <w:rsid w:val="00F91469"/>
    <w:rsid w:val="00F915AD"/>
    <w:rsid w:val="00F91A7F"/>
    <w:rsid w:val="00F91DCA"/>
    <w:rsid w:val="00F91EDE"/>
    <w:rsid w:val="00F920F6"/>
    <w:rsid w:val="00F929DF"/>
    <w:rsid w:val="00F92C3E"/>
    <w:rsid w:val="00F9360B"/>
    <w:rsid w:val="00F937CF"/>
    <w:rsid w:val="00F93B5D"/>
    <w:rsid w:val="00F93F17"/>
    <w:rsid w:val="00F942D1"/>
    <w:rsid w:val="00F94534"/>
    <w:rsid w:val="00F94676"/>
    <w:rsid w:val="00F95B6D"/>
    <w:rsid w:val="00F95D62"/>
    <w:rsid w:val="00F964DD"/>
    <w:rsid w:val="00F96587"/>
    <w:rsid w:val="00F9678A"/>
    <w:rsid w:val="00F9782B"/>
    <w:rsid w:val="00F9785B"/>
    <w:rsid w:val="00FA07E2"/>
    <w:rsid w:val="00FA0856"/>
    <w:rsid w:val="00FA0CF0"/>
    <w:rsid w:val="00FA143A"/>
    <w:rsid w:val="00FA145F"/>
    <w:rsid w:val="00FA191B"/>
    <w:rsid w:val="00FA1ADE"/>
    <w:rsid w:val="00FA1C26"/>
    <w:rsid w:val="00FA2F00"/>
    <w:rsid w:val="00FA2FFA"/>
    <w:rsid w:val="00FA3583"/>
    <w:rsid w:val="00FA35A9"/>
    <w:rsid w:val="00FA37A5"/>
    <w:rsid w:val="00FA3DD3"/>
    <w:rsid w:val="00FA3E86"/>
    <w:rsid w:val="00FA52AF"/>
    <w:rsid w:val="00FA5348"/>
    <w:rsid w:val="00FA5606"/>
    <w:rsid w:val="00FA57D8"/>
    <w:rsid w:val="00FA600E"/>
    <w:rsid w:val="00FA6119"/>
    <w:rsid w:val="00FA6E42"/>
    <w:rsid w:val="00FA7917"/>
    <w:rsid w:val="00FA7D95"/>
    <w:rsid w:val="00FA7ECA"/>
    <w:rsid w:val="00FB00AD"/>
    <w:rsid w:val="00FB06B3"/>
    <w:rsid w:val="00FB0A2D"/>
    <w:rsid w:val="00FB0A9C"/>
    <w:rsid w:val="00FB0B41"/>
    <w:rsid w:val="00FB0F3F"/>
    <w:rsid w:val="00FB258A"/>
    <w:rsid w:val="00FB29BE"/>
    <w:rsid w:val="00FB312A"/>
    <w:rsid w:val="00FB3B89"/>
    <w:rsid w:val="00FB3C4B"/>
    <w:rsid w:val="00FB3D99"/>
    <w:rsid w:val="00FB3F61"/>
    <w:rsid w:val="00FB42FF"/>
    <w:rsid w:val="00FB49E2"/>
    <w:rsid w:val="00FB4C8A"/>
    <w:rsid w:val="00FB5129"/>
    <w:rsid w:val="00FB5238"/>
    <w:rsid w:val="00FB5326"/>
    <w:rsid w:val="00FB5660"/>
    <w:rsid w:val="00FB56DA"/>
    <w:rsid w:val="00FB56E2"/>
    <w:rsid w:val="00FB5788"/>
    <w:rsid w:val="00FB5955"/>
    <w:rsid w:val="00FB59D0"/>
    <w:rsid w:val="00FB5F54"/>
    <w:rsid w:val="00FB67E3"/>
    <w:rsid w:val="00FB67F6"/>
    <w:rsid w:val="00FB6DC3"/>
    <w:rsid w:val="00FB7587"/>
    <w:rsid w:val="00FC132C"/>
    <w:rsid w:val="00FC152D"/>
    <w:rsid w:val="00FC17AD"/>
    <w:rsid w:val="00FC18C4"/>
    <w:rsid w:val="00FC2956"/>
    <w:rsid w:val="00FC2FD0"/>
    <w:rsid w:val="00FC40C2"/>
    <w:rsid w:val="00FC4415"/>
    <w:rsid w:val="00FC46FB"/>
    <w:rsid w:val="00FC4AD2"/>
    <w:rsid w:val="00FC5135"/>
    <w:rsid w:val="00FC57EA"/>
    <w:rsid w:val="00FC58F1"/>
    <w:rsid w:val="00FC592A"/>
    <w:rsid w:val="00FC5F7F"/>
    <w:rsid w:val="00FC62EA"/>
    <w:rsid w:val="00FC63E6"/>
    <w:rsid w:val="00FC64F7"/>
    <w:rsid w:val="00FC6850"/>
    <w:rsid w:val="00FC6930"/>
    <w:rsid w:val="00FC6B3B"/>
    <w:rsid w:val="00FC718E"/>
    <w:rsid w:val="00FC727F"/>
    <w:rsid w:val="00FC73AF"/>
    <w:rsid w:val="00FC7A8A"/>
    <w:rsid w:val="00FC7C8D"/>
    <w:rsid w:val="00FC7F21"/>
    <w:rsid w:val="00FD01BE"/>
    <w:rsid w:val="00FD05DB"/>
    <w:rsid w:val="00FD097E"/>
    <w:rsid w:val="00FD0A0E"/>
    <w:rsid w:val="00FD0DAC"/>
    <w:rsid w:val="00FD17DC"/>
    <w:rsid w:val="00FD194B"/>
    <w:rsid w:val="00FD1A98"/>
    <w:rsid w:val="00FD1C21"/>
    <w:rsid w:val="00FD1E40"/>
    <w:rsid w:val="00FD277D"/>
    <w:rsid w:val="00FD3258"/>
    <w:rsid w:val="00FD34DD"/>
    <w:rsid w:val="00FD3DD4"/>
    <w:rsid w:val="00FD480E"/>
    <w:rsid w:val="00FD4EC1"/>
    <w:rsid w:val="00FD53E8"/>
    <w:rsid w:val="00FD55A9"/>
    <w:rsid w:val="00FD583D"/>
    <w:rsid w:val="00FD58BB"/>
    <w:rsid w:val="00FD5F31"/>
    <w:rsid w:val="00FD60D1"/>
    <w:rsid w:val="00FD6522"/>
    <w:rsid w:val="00FD6725"/>
    <w:rsid w:val="00FD6B9B"/>
    <w:rsid w:val="00FD6EEC"/>
    <w:rsid w:val="00FD6F8A"/>
    <w:rsid w:val="00FD6FA5"/>
    <w:rsid w:val="00FD7106"/>
    <w:rsid w:val="00FD714F"/>
    <w:rsid w:val="00FD7478"/>
    <w:rsid w:val="00FD7B24"/>
    <w:rsid w:val="00FD7E37"/>
    <w:rsid w:val="00FE03D5"/>
    <w:rsid w:val="00FE0435"/>
    <w:rsid w:val="00FE0D1C"/>
    <w:rsid w:val="00FE1231"/>
    <w:rsid w:val="00FE182D"/>
    <w:rsid w:val="00FE1C99"/>
    <w:rsid w:val="00FE1F94"/>
    <w:rsid w:val="00FE232B"/>
    <w:rsid w:val="00FE29FA"/>
    <w:rsid w:val="00FE2AA3"/>
    <w:rsid w:val="00FE2DD4"/>
    <w:rsid w:val="00FE320C"/>
    <w:rsid w:val="00FE3226"/>
    <w:rsid w:val="00FE32C6"/>
    <w:rsid w:val="00FE352A"/>
    <w:rsid w:val="00FE3973"/>
    <w:rsid w:val="00FE41CD"/>
    <w:rsid w:val="00FE4266"/>
    <w:rsid w:val="00FE4890"/>
    <w:rsid w:val="00FE48EE"/>
    <w:rsid w:val="00FE4E61"/>
    <w:rsid w:val="00FE5021"/>
    <w:rsid w:val="00FE5186"/>
    <w:rsid w:val="00FE5405"/>
    <w:rsid w:val="00FE5977"/>
    <w:rsid w:val="00FE5C41"/>
    <w:rsid w:val="00FE5D33"/>
    <w:rsid w:val="00FE6091"/>
    <w:rsid w:val="00FE67D5"/>
    <w:rsid w:val="00FE6DDE"/>
    <w:rsid w:val="00FE7679"/>
    <w:rsid w:val="00FE7A11"/>
    <w:rsid w:val="00FF07D9"/>
    <w:rsid w:val="00FF09F2"/>
    <w:rsid w:val="00FF09FC"/>
    <w:rsid w:val="00FF11B9"/>
    <w:rsid w:val="00FF1293"/>
    <w:rsid w:val="00FF1468"/>
    <w:rsid w:val="00FF19E6"/>
    <w:rsid w:val="00FF1A2B"/>
    <w:rsid w:val="00FF1EFB"/>
    <w:rsid w:val="00FF2448"/>
    <w:rsid w:val="00FF3069"/>
    <w:rsid w:val="00FF321B"/>
    <w:rsid w:val="00FF3304"/>
    <w:rsid w:val="00FF37E3"/>
    <w:rsid w:val="00FF389D"/>
    <w:rsid w:val="00FF4974"/>
    <w:rsid w:val="00FF4BBE"/>
    <w:rsid w:val="00FF5205"/>
    <w:rsid w:val="00FF5338"/>
    <w:rsid w:val="00FF537C"/>
    <w:rsid w:val="00FF53D0"/>
    <w:rsid w:val="00FF54BF"/>
    <w:rsid w:val="00FF5711"/>
    <w:rsid w:val="00FF5889"/>
    <w:rsid w:val="00FF5C3B"/>
    <w:rsid w:val="00FF5C70"/>
    <w:rsid w:val="00FF70C4"/>
    <w:rsid w:val="00FF71D2"/>
    <w:rsid w:val="00FF7418"/>
    <w:rsid w:val="00FF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ne number"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76C"/>
  </w:style>
  <w:style w:type="paragraph" w:styleId="Heading1">
    <w:name w:val="heading 1"/>
    <w:basedOn w:val="Normal"/>
    <w:next w:val="Normal"/>
    <w:autoRedefine/>
    <w:qFormat/>
    <w:rsid w:val="005A076C"/>
    <w:pPr>
      <w:keepNext/>
      <w:tabs>
        <w:tab w:val="left" w:pos="0"/>
      </w:tabs>
      <w:spacing w:before="360" w:after="240"/>
      <w:ind w:left="720" w:hanging="720"/>
      <w:jc w:val="both"/>
      <w:outlineLvl w:val="0"/>
    </w:pPr>
    <w:rPr>
      <w:b/>
      <w:bCs/>
      <w:caps/>
      <w:kern w:val="32"/>
      <w:sz w:val="28"/>
      <w:szCs w:val="28"/>
    </w:rPr>
  </w:style>
  <w:style w:type="paragraph" w:styleId="Heading2">
    <w:name w:val="heading 2"/>
    <w:basedOn w:val="Normal"/>
    <w:next w:val="Normal"/>
    <w:link w:val="Heading2Char"/>
    <w:autoRedefine/>
    <w:unhideWhenUsed/>
    <w:qFormat/>
    <w:rsid w:val="005A076C"/>
    <w:pPr>
      <w:keepNext/>
      <w:tabs>
        <w:tab w:val="left" w:pos="-180"/>
      </w:tabs>
      <w:spacing w:before="360" w:after="240"/>
      <w:ind w:left="1440" w:hanging="720"/>
      <w:outlineLvl w:val="1"/>
    </w:pPr>
    <w:rPr>
      <w:b/>
      <w:bCs/>
      <w:iCs/>
      <w:sz w:val="26"/>
      <w:szCs w:val="28"/>
    </w:rPr>
  </w:style>
  <w:style w:type="paragraph" w:styleId="Heading3">
    <w:name w:val="heading 3"/>
    <w:basedOn w:val="Normal"/>
    <w:next w:val="Normal"/>
    <w:link w:val="Heading3Char"/>
    <w:autoRedefine/>
    <w:unhideWhenUsed/>
    <w:qFormat/>
    <w:rsid w:val="003B762D"/>
    <w:pPr>
      <w:keepNext/>
      <w:tabs>
        <w:tab w:val="left" w:pos="1440"/>
      </w:tabs>
      <w:spacing w:before="360" w:after="240" w:line="276" w:lineRule="auto"/>
      <w:ind w:left="1440" w:right="1440" w:hanging="360"/>
      <w:jc w:val="both"/>
      <w:outlineLvl w:val="2"/>
    </w:pPr>
    <w:rPr>
      <w:rFonts w:ascii="Arial" w:hAnsi="Arial"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link w:val="HeaderChar"/>
    <w:uiPriority w:val="99"/>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uiPriority w:val="59"/>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F40DBB"/>
    <w:pPr>
      <w:spacing w:before="240" w:after="240"/>
      <w:ind w:left="720" w:hanging="720"/>
    </w:pPr>
    <w:rPr>
      <w:color w:val="000000"/>
      <w:sz w:val="24"/>
      <w:szCs w:val="24"/>
    </w:rPr>
  </w:style>
  <w:style w:type="character" w:customStyle="1" w:styleId="FootnoteTextChar">
    <w:name w:val="Footnote Text Char"/>
    <w:link w:val="FootnoteText"/>
    <w:uiPriority w:val="99"/>
    <w:locked/>
    <w:rsid w:val="00F40DBB"/>
    <w:rPr>
      <w:color w:val="000000"/>
      <w:sz w:val="24"/>
      <w:szCs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uiPriority w:val="99"/>
    <w:rsid w:val="00200A0A"/>
    <w:rPr>
      <w:color w:val="0000FF"/>
      <w:u w:val="single"/>
    </w:rPr>
  </w:style>
  <w:style w:type="paragraph" w:customStyle="1" w:styleId="textstyle0">
    <w:name w:val="text style"/>
    <w:basedOn w:val="Normal"/>
    <w:link w:val="textstyleChar"/>
    <w:autoRedefine/>
    <w:rsid w:val="005A076C"/>
    <w:pPr>
      <w:tabs>
        <w:tab w:val="left" w:pos="-270"/>
        <w:tab w:val="left" w:pos="-180"/>
        <w:tab w:val="left" w:pos="450"/>
      </w:tabs>
      <w:spacing w:line="480" w:lineRule="auto"/>
      <w:jc w:val="both"/>
    </w:pPr>
    <w:rPr>
      <w:rFonts w:cs="Arial"/>
      <w:sz w:val="26"/>
      <w:szCs w:val="24"/>
    </w:rPr>
  </w:style>
  <w:style w:type="character" w:customStyle="1" w:styleId="textstyleChar">
    <w:name w:val="text style Char"/>
    <w:link w:val="textstyle0"/>
    <w:rsid w:val="005A076C"/>
    <w:rPr>
      <w:rFonts w:cs="Arial"/>
      <w:sz w:val="26"/>
      <w:szCs w:val="24"/>
    </w:rPr>
  </w:style>
  <w:style w:type="paragraph" w:styleId="BalloonText">
    <w:name w:val="Balloon Text"/>
    <w:basedOn w:val="Normal"/>
    <w:link w:val="BalloonTextChar"/>
    <w:uiPriority w:val="99"/>
    <w:rsid w:val="00DA5C19"/>
    <w:rPr>
      <w:rFonts w:ascii="Tahoma" w:hAnsi="Tahoma" w:cs="Tahoma"/>
      <w:sz w:val="16"/>
      <w:szCs w:val="16"/>
    </w:rPr>
  </w:style>
  <w:style w:type="character" w:customStyle="1" w:styleId="BalloonTextChar">
    <w:name w:val="Balloon Text Char"/>
    <w:link w:val="BalloonText"/>
    <w:uiPriority w:val="99"/>
    <w:rsid w:val="00DA5C19"/>
    <w:rPr>
      <w:rFonts w:ascii="Tahoma" w:hAnsi="Tahoma" w:cs="Tahoma"/>
      <w:sz w:val="16"/>
      <w:szCs w:val="16"/>
    </w:rPr>
  </w:style>
  <w:style w:type="paragraph" w:styleId="TOC1">
    <w:name w:val="toc 1"/>
    <w:basedOn w:val="Normal"/>
    <w:next w:val="Normal"/>
    <w:autoRedefine/>
    <w:uiPriority w:val="39"/>
    <w:rsid w:val="00861BE6"/>
    <w:pPr>
      <w:tabs>
        <w:tab w:val="right" w:leader="dot" w:pos="9346"/>
      </w:tabs>
      <w:spacing w:before="240" w:after="240"/>
      <w:ind w:left="720" w:right="1440" w:hanging="720"/>
    </w:pPr>
    <w:rPr>
      <w:noProof/>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5A076C"/>
    <w:rPr>
      <w:b/>
      <w:bCs/>
      <w:iCs/>
      <w:sz w:val="26"/>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861BE6"/>
    <w:pPr>
      <w:tabs>
        <w:tab w:val="right" w:leader="dot" w:pos="9346"/>
      </w:tabs>
      <w:spacing w:before="240" w:after="240"/>
      <w:ind w:left="1440" w:right="1440" w:hanging="720"/>
    </w:pPr>
    <w:rPr>
      <w:sz w:val="26"/>
    </w:rPr>
  </w:style>
  <w:style w:type="paragraph" w:styleId="ListParagraph">
    <w:name w:val="List Paragraph"/>
    <w:basedOn w:val="Normal"/>
    <w:uiPriority w:val="34"/>
    <w:qFormat/>
    <w:rsid w:val="00FF571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F5711"/>
    <w:rPr>
      <w:rFonts w:ascii="Calibri" w:eastAsia="Calibri" w:hAnsi="Calibri"/>
      <w:sz w:val="22"/>
      <w:szCs w:val="22"/>
    </w:rPr>
  </w:style>
  <w:style w:type="character" w:customStyle="1" w:styleId="TitleChar">
    <w:name w:val="Title Char"/>
    <w:link w:val="Title"/>
    <w:rsid w:val="00FF5711"/>
    <w:rPr>
      <w:rFonts w:ascii="Palatino Linotype" w:hAnsi="Palatino Linotype"/>
      <w:sz w:val="28"/>
    </w:rPr>
  </w:style>
  <w:style w:type="character" w:styleId="LineNumber">
    <w:name w:val="line number"/>
    <w:uiPriority w:val="99"/>
    <w:unhideWhenUsed/>
    <w:rsid w:val="00FF5711"/>
  </w:style>
  <w:style w:type="character" w:customStyle="1" w:styleId="HeaderChar">
    <w:name w:val="Header Char"/>
    <w:link w:val="Header"/>
    <w:uiPriority w:val="99"/>
    <w:rsid w:val="00FF5711"/>
  </w:style>
  <w:style w:type="character" w:customStyle="1" w:styleId="findingsChar">
    <w:name w:val="findings Char"/>
    <w:link w:val="findings"/>
    <w:locked/>
    <w:rsid w:val="00FF5711"/>
    <w:rPr>
      <w:rFonts w:ascii="Palatino" w:hAnsi="Palatino"/>
      <w:sz w:val="24"/>
    </w:rPr>
  </w:style>
  <w:style w:type="paragraph" w:customStyle="1" w:styleId="findings">
    <w:name w:val="findings"/>
    <w:basedOn w:val="Normal"/>
    <w:link w:val="findingsChar"/>
    <w:rsid w:val="00FF5711"/>
    <w:pPr>
      <w:ind w:left="1080" w:right="1362" w:hanging="540"/>
      <w:jc w:val="both"/>
    </w:pPr>
    <w:rPr>
      <w:rFonts w:ascii="Palatino" w:hAnsi="Palatino"/>
      <w:sz w:val="24"/>
    </w:rPr>
  </w:style>
  <w:style w:type="character" w:customStyle="1" w:styleId="Heading3Char">
    <w:name w:val="Heading 3 Char"/>
    <w:link w:val="Heading3"/>
    <w:rsid w:val="003B762D"/>
    <w:rPr>
      <w:rFonts w:ascii="Arial" w:hAnsi="Arial" w:cs="Arial"/>
      <w:bCs/>
      <w:sz w:val="24"/>
      <w:szCs w:val="26"/>
    </w:rPr>
  </w:style>
  <w:style w:type="paragraph" w:styleId="TOC3">
    <w:name w:val="toc 3"/>
    <w:basedOn w:val="Normal"/>
    <w:next w:val="Normal"/>
    <w:autoRedefine/>
    <w:uiPriority w:val="39"/>
    <w:rsid w:val="00AA29B6"/>
    <w:pPr>
      <w:tabs>
        <w:tab w:val="right" w:leader="dot" w:pos="9350"/>
      </w:tabs>
      <w:spacing w:before="240" w:after="240"/>
      <w:ind w:left="2160" w:right="1440" w:hanging="720"/>
    </w:pPr>
    <w:rPr>
      <w:sz w:val="26"/>
    </w:rPr>
  </w:style>
  <w:style w:type="character" w:styleId="BookTitle">
    <w:name w:val="Book Title"/>
    <w:basedOn w:val="DefaultParagraphFont"/>
    <w:uiPriority w:val="33"/>
    <w:qFormat/>
    <w:rsid w:val="00E96F6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line number"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76C"/>
  </w:style>
  <w:style w:type="paragraph" w:styleId="Heading1">
    <w:name w:val="heading 1"/>
    <w:basedOn w:val="Normal"/>
    <w:next w:val="Normal"/>
    <w:autoRedefine/>
    <w:qFormat/>
    <w:rsid w:val="005A076C"/>
    <w:pPr>
      <w:keepNext/>
      <w:tabs>
        <w:tab w:val="left" w:pos="0"/>
      </w:tabs>
      <w:spacing w:before="360" w:after="240"/>
      <w:ind w:left="720" w:hanging="720"/>
      <w:jc w:val="both"/>
      <w:outlineLvl w:val="0"/>
    </w:pPr>
    <w:rPr>
      <w:b/>
      <w:bCs/>
      <w:caps/>
      <w:kern w:val="32"/>
      <w:sz w:val="28"/>
      <w:szCs w:val="28"/>
    </w:rPr>
  </w:style>
  <w:style w:type="paragraph" w:styleId="Heading2">
    <w:name w:val="heading 2"/>
    <w:basedOn w:val="Normal"/>
    <w:next w:val="Normal"/>
    <w:link w:val="Heading2Char"/>
    <w:autoRedefine/>
    <w:unhideWhenUsed/>
    <w:qFormat/>
    <w:rsid w:val="005A076C"/>
    <w:pPr>
      <w:keepNext/>
      <w:tabs>
        <w:tab w:val="left" w:pos="-180"/>
      </w:tabs>
      <w:spacing w:before="360" w:after="240"/>
      <w:ind w:left="1440" w:hanging="720"/>
      <w:outlineLvl w:val="1"/>
    </w:pPr>
    <w:rPr>
      <w:b/>
      <w:bCs/>
      <w:iCs/>
      <w:sz w:val="26"/>
      <w:szCs w:val="28"/>
    </w:rPr>
  </w:style>
  <w:style w:type="paragraph" w:styleId="Heading3">
    <w:name w:val="heading 3"/>
    <w:basedOn w:val="Normal"/>
    <w:next w:val="Normal"/>
    <w:link w:val="Heading3Char"/>
    <w:autoRedefine/>
    <w:unhideWhenUsed/>
    <w:qFormat/>
    <w:rsid w:val="003B762D"/>
    <w:pPr>
      <w:keepNext/>
      <w:tabs>
        <w:tab w:val="left" w:pos="1440"/>
      </w:tabs>
      <w:spacing w:before="360" w:after="240" w:line="276" w:lineRule="auto"/>
      <w:ind w:left="1440" w:right="1440" w:hanging="360"/>
      <w:jc w:val="both"/>
      <w:outlineLvl w:val="2"/>
    </w:pPr>
    <w:rPr>
      <w:rFonts w:ascii="Arial" w:hAnsi="Arial"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63D6A"/>
    <w:pPr>
      <w:jc w:val="center"/>
    </w:pPr>
    <w:rPr>
      <w:rFonts w:ascii="Palatino Linotype" w:hAnsi="Palatino Linotype"/>
      <w:sz w:val="28"/>
    </w:rPr>
  </w:style>
  <w:style w:type="paragraph" w:styleId="Footer">
    <w:name w:val="footer"/>
    <w:basedOn w:val="Normal"/>
    <w:link w:val="FooterChar"/>
    <w:uiPriority w:val="99"/>
    <w:rsid w:val="00663D6A"/>
    <w:pPr>
      <w:tabs>
        <w:tab w:val="center" w:pos="4320"/>
        <w:tab w:val="right" w:pos="8640"/>
      </w:tabs>
    </w:pPr>
  </w:style>
  <w:style w:type="character" w:styleId="PageNumber">
    <w:name w:val="page number"/>
    <w:rsid w:val="00663D6A"/>
    <w:rPr>
      <w:rFonts w:cs="Times New Roman"/>
    </w:rPr>
  </w:style>
  <w:style w:type="paragraph" w:styleId="Header">
    <w:name w:val="header"/>
    <w:basedOn w:val="Normal"/>
    <w:link w:val="HeaderChar"/>
    <w:uiPriority w:val="99"/>
    <w:rsid w:val="00663D6A"/>
    <w:pPr>
      <w:tabs>
        <w:tab w:val="center" w:pos="4320"/>
        <w:tab w:val="right" w:pos="8640"/>
      </w:tabs>
    </w:pPr>
  </w:style>
  <w:style w:type="paragraph" w:styleId="PlainText">
    <w:name w:val="Plain Text"/>
    <w:basedOn w:val="Normal"/>
    <w:rsid w:val="00663D6A"/>
    <w:rPr>
      <w:rFonts w:ascii="Courier New" w:hAnsi="Courier New"/>
    </w:rPr>
  </w:style>
  <w:style w:type="table" w:styleId="TableGrid">
    <w:name w:val="Table Grid"/>
    <w:basedOn w:val="TableNormal"/>
    <w:uiPriority w:val="59"/>
    <w:rsid w:val="00663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style">
    <w:name w:val="Text style"/>
    <w:basedOn w:val="Title"/>
    <w:autoRedefine/>
    <w:rsid w:val="0064436A"/>
    <w:pPr>
      <w:spacing w:line="480" w:lineRule="auto"/>
      <w:ind w:firstLine="720"/>
      <w:jc w:val="left"/>
    </w:pPr>
    <w:rPr>
      <w:rFonts w:ascii="Times New Roman" w:hAnsi="Times New Roman"/>
      <w:sz w:val="26"/>
      <w:szCs w:val="24"/>
    </w:rPr>
  </w:style>
  <w:style w:type="paragraph" w:styleId="FootnoteText">
    <w:name w:val="footnote text"/>
    <w:basedOn w:val="Normal"/>
    <w:link w:val="FootnoteTextChar"/>
    <w:autoRedefine/>
    <w:uiPriority w:val="99"/>
    <w:rsid w:val="00F40DBB"/>
    <w:pPr>
      <w:spacing w:before="240" w:after="240"/>
      <w:ind w:left="720" w:hanging="720"/>
    </w:pPr>
    <w:rPr>
      <w:color w:val="000000"/>
      <w:sz w:val="24"/>
      <w:szCs w:val="24"/>
    </w:rPr>
  </w:style>
  <w:style w:type="character" w:customStyle="1" w:styleId="FootnoteTextChar">
    <w:name w:val="Footnote Text Char"/>
    <w:link w:val="FootnoteText"/>
    <w:uiPriority w:val="99"/>
    <w:locked/>
    <w:rsid w:val="00F40DBB"/>
    <w:rPr>
      <w:color w:val="000000"/>
      <w:sz w:val="24"/>
      <w:szCs w:val="24"/>
    </w:rPr>
  </w:style>
  <w:style w:type="character" w:styleId="FootnoteReference">
    <w:name w:val="footnote reference"/>
    <w:uiPriority w:val="99"/>
    <w:rsid w:val="00663D6A"/>
    <w:rPr>
      <w:rFonts w:cs="Times New Roman"/>
      <w:vertAlign w:val="superscript"/>
    </w:rPr>
  </w:style>
  <w:style w:type="paragraph" w:customStyle="1" w:styleId="lettertext">
    <w:name w:val="letter text"/>
    <w:basedOn w:val="Textstyle"/>
    <w:autoRedefine/>
    <w:rsid w:val="003B12DD"/>
  </w:style>
  <w:style w:type="character" w:styleId="Hyperlink">
    <w:name w:val="Hyperlink"/>
    <w:uiPriority w:val="99"/>
    <w:rsid w:val="00200A0A"/>
    <w:rPr>
      <w:color w:val="0000FF"/>
      <w:u w:val="single"/>
    </w:rPr>
  </w:style>
  <w:style w:type="paragraph" w:customStyle="1" w:styleId="textstyle0">
    <w:name w:val="text style"/>
    <w:basedOn w:val="Normal"/>
    <w:link w:val="textstyleChar"/>
    <w:autoRedefine/>
    <w:rsid w:val="005A076C"/>
    <w:pPr>
      <w:tabs>
        <w:tab w:val="left" w:pos="-270"/>
        <w:tab w:val="left" w:pos="-180"/>
        <w:tab w:val="left" w:pos="450"/>
      </w:tabs>
      <w:spacing w:line="480" w:lineRule="auto"/>
      <w:jc w:val="both"/>
    </w:pPr>
    <w:rPr>
      <w:rFonts w:cs="Arial"/>
      <w:sz w:val="26"/>
      <w:szCs w:val="24"/>
    </w:rPr>
  </w:style>
  <w:style w:type="character" w:customStyle="1" w:styleId="textstyleChar">
    <w:name w:val="text style Char"/>
    <w:link w:val="textstyle0"/>
    <w:rsid w:val="005A076C"/>
    <w:rPr>
      <w:rFonts w:cs="Arial"/>
      <w:sz w:val="26"/>
      <w:szCs w:val="24"/>
    </w:rPr>
  </w:style>
  <w:style w:type="paragraph" w:styleId="BalloonText">
    <w:name w:val="Balloon Text"/>
    <w:basedOn w:val="Normal"/>
    <w:link w:val="BalloonTextChar"/>
    <w:uiPriority w:val="99"/>
    <w:rsid w:val="00DA5C19"/>
    <w:rPr>
      <w:rFonts w:ascii="Tahoma" w:hAnsi="Tahoma" w:cs="Tahoma"/>
      <w:sz w:val="16"/>
      <w:szCs w:val="16"/>
    </w:rPr>
  </w:style>
  <w:style w:type="character" w:customStyle="1" w:styleId="BalloonTextChar">
    <w:name w:val="Balloon Text Char"/>
    <w:link w:val="BalloonText"/>
    <w:uiPriority w:val="99"/>
    <w:rsid w:val="00DA5C19"/>
    <w:rPr>
      <w:rFonts w:ascii="Tahoma" w:hAnsi="Tahoma" w:cs="Tahoma"/>
      <w:sz w:val="16"/>
      <w:szCs w:val="16"/>
    </w:rPr>
  </w:style>
  <w:style w:type="paragraph" w:styleId="TOC1">
    <w:name w:val="toc 1"/>
    <w:basedOn w:val="Normal"/>
    <w:next w:val="Normal"/>
    <w:autoRedefine/>
    <w:uiPriority w:val="39"/>
    <w:rsid w:val="00861BE6"/>
    <w:pPr>
      <w:tabs>
        <w:tab w:val="right" w:leader="dot" w:pos="9346"/>
      </w:tabs>
      <w:spacing w:before="240" w:after="240"/>
      <w:ind w:left="720" w:right="1440" w:hanging="720"/>
    </w:pPr>
    <w:rPr>
      <w:noProof/>
      <w:sz w:val="26"/>
    </w:rPr>
  </w:style>
  <w:style w:type="paragraph" w:styleId="DocumentMap">
    <w:name w:val="Document Map"/>
    <w:basedOn w:val="Normal"/>
    <w:link w:val="DocumentMapChar"/>
    <w:rsid w:val="00C95499"/>
    <w:rPr>
      <w:rFonts w:ascii="Tahoma" w:hAnsi="Tahoma" w:cs="Tahoma"/>
      <w:sz w:val="16"/>
      <w:szCs w:val="16"/>
    </w:rPr>
  </w:style>
  <w:style w:type="character" w:customStyle="1" w:styleId="DocumentMapChar">
    <w:name w:val="Document Map Char"/>
    <w:link w:val="DocumentMap"/>
    <w:rsid w:val="00C95499"/>
    <w:rPr>
      <w:rFonts w:ascii="Tahoma" w:hAnsi="Tahoma" w:cs="Tahoma"/>
      <w:sz w:val="16"/>
      <w:szCs w:val="16"/>
    </w:rPr>
  </w:style>
  <w:style w:type="character" w:customStyle="1" w:styleId="FooterChar">
    <w:name w:val="Footer Char"/>
    <w:basedOn w:val="DefaultParagraphFont"/>
    <w:link w:val="Footer"/>
    <w:uiPriority w:val="99"/>
    <w:rsid w:val="00C95499"/>
  </w:style>
  <w:style w:type="character" w:customStyle="1" w:styleId="Heading2Char">
    <w:name w:val="Heading 2 Char"/>
    <w:link w:val="Heading2"/>
    <w:rsid w:val="005A076C"/>
    <w:rPr>
      <w:b/>
      <w:bCs/>
      <w:iCs/>
      <w:sz w:val="26"/>
      <w:szCs w:val="28"/>
    </w:rPr>
  </w:style>
  <w:style w:type="paragraph" w:customStyle="1" w:styleId="Blockquote">
    <w:name w:val="Block quote"/>
    <w:basedOn w:val="textstyle0"/>
    <w:autoRedefine/>
    <w:rsid w:val="006A3730"/>
    <w:pPr>
      <w:spacing w:after="240" w:line="240" w:lineRule="auto"/>
      <w:ind w:left="1440" w:right="1440"/>
    </w:pPr>
  </w:style>
  <w:style w:type="paragraph" w:styleId="NormalWeb">
    <w:name w:val="Normal (Web)"/>
    <w:basedOn w:val="Normal"/>
    <w:uiPriority w:val="99"/>
    <w:unhideWhenUsed/>
    <w:rsid w:val="00587D9C"/>
    <w:pPr>
      <w:spacing w:before="100" w:beforeAutospacing="1" w:after="100" w:afterAutospacing="1"/>
    </w:pPr>
    <w:rPr>
      <w:sz w:val="24"/>
      <w:szCs w:val="24"/>
    </w:rPr>
  </w:style>
  <w:style w:type="paragraph" w:styleId="TOC2">
    <w:name w:val="toc 2"/>
    <w:basedOn w:val="Normal"/>
    <w:next w:val="Normal"/>
    <w:autoRedefine/>
    <w:uiPriority w:val="39"/>
    <w:rsid w:val="00861BE6"/>
    <w:pPr>
      <w:tabs>
        <w:tab w:val="right" w:leader="dot" w:pos="9346"/>
      </w:tabs>
      <w:spacing w:before="240" w:after="240"/>
      <w:ind w:left="1440" w:right="1440" w:hanging="720"/>
    </w:pPr>
    <w:rPr>
      <w:sz w:val="26"/>
    </w:rPr>
  </w:style>
  <w:style w:type="paragraph" w:styleId="ListParagraph">
    <w:name w:val="List Paragraph"/>
    <w:basedOn w:val="Normal"/>
    <w:uiPriority w:val="34"/>
    <w:qFormat/>
    <w:rsid w:val="00FF5711"/>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FF5711"/>
    <w:rPr>
      <w:rFonts w:ascii="Calibri" w:eastAsia="Calibri" w:hAnsi="Calibri"/>
      <w:sz w:val="22"/>
      <w:szCs w:val="22"/>
    </w:rPr>
  </w:style>
  <w:style w:type="character" w:customStyle="1" w:styleId="TitleChar">
    <w:name w:val="Title Char"/>
    <w:link w:val="Title"/>
    <w:rsid w:val="00FF5711"/>
    <w:rPr>
      <w:rFonts w:ascii="Palatino Linotype" w:hAnsi="Palatino Linotype"/>
      <w:sz w:val="28"/>
    </w:rPr>
  </w:style>
  <w:style w:type="character" w:styleId="LineNumber">
    <w:name w:val="line number"/>
    <w:uiPriority w:val="99"/>
    <w:unhideWhenUsed/>
    <w:rsid w:val="00FF5711"/>
  </w:style>
  <w:style w:type="character" w:customStyle="1" w:styleId="HeaderChar">
    <w:name w:val="Header Char"/>
    <w:link w:val="Header"/>
    <w:uiPriority w:val="99"/>
    <w:rsid w:val="00FF5711"/>
  </w:style>
  <w:style w:type="character" w:customStyle="1" w:styleId="findingsChar">
    <w:name w:val="findings Char"/>
    <w:link w:val="findings"/>
    <w:locked/>
    <w:rsid w:val="00FF5711"/>
    <w:rPr>
      <w:rFonts w:ascii="Palatino" w:hAnsi="Palatino"/>
      <w:sz w:val="24"/>
    </w:rPr>
  </w:style>
  <w:style w:type="paragraph" w:customStyle="1" w:styleId="findings">
    <w:name w:val="findings"/>
    <w:basedOn w:val="Normal"/>
    <w:link w:val="findingsChar"/>
    <w:rsid w:val="00FF5711"/>
    <w:pPr>
      <w:ind w:left="1080" w:right="1362" w:hanging="540"/>
      <w:jc w:val="both"/>
    </w:pPr>
    <w:rPr>
      <w:rFonts w:ascii="Palatino" w:hAnsi="Palatino"/>
      <w:sz w:val="24"/>
    </w:rPr>
  </w:style>
  <w:style w:type="character" w:customStyle="1" w:styleId="Heading3Char">
    <w:name w:val="Heading 3 Char"/>
    <w:link w:val="Heading3"/>
    <w:rsid w:val="003B762D"/>
    <w:rPr>
      <w:rFonts w:ascii="Arial" w:hAnsi="Arial" w:cs="Arial"/>
      <w:bCs/>
      <w:sz w:val="24"/>
      <w:szCs w:val="26"/>
    </w:rPr>
  </w:style>
  <w:style w:type="paragraph" w:styleId="TOC3">
    <w:name w:val="toc 3"/>
    <w:basedOn w:val="Normal"/>
    <w:next w:val="Normal"/>
    <w:autoRedefine/>
    <w:uiPriority w:val="39"/>
    <w:rsid w:val="00AA29B6"/>
    <w:pPr>
      <w:tabs>
        <w:tab w:val="right" w:leader="dot" w:pos="9350"/>
      </w:tabs>
      <w:spacing w:before="240" w:after="240"/>
      <w:ind w:left="2160" w:right="1440" w:hanging="720"/>
    </w:pPr>
    <w:rPr>
      <w:sz w:val="26"/>
    </w:rPr>
  </w:style>
  <w:style w:type="character" w:styleId="BookTitle">
    <w:name w:val="Book Title"/>
    <w:basedOn w:val="DefaultParagraphFont"/>
    <w:uiPriority w:val="33"/>
    <w:qFormat/>
    <w:rsid w:val="00E96F6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9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27796833">
          <w:marLeft w:val="0"/>
          <w:marRight w:val="0"/>
          <w:marTop w:val="0"/>
          <w:marBottom w:val="0"/>
          <w:divBdr>
            <w:top w:val="none" w:sz="0" w:space="0" w:color="auto"/>
            <w:left w:val="none" w:sz="0" w:space="0" w:color="auto"/>
            <w:bottom w:val="none" w:sz="0" w:space="0" w:color="auto"/>
            <w:right w:val="none" w:sz="0" w:space="0" w:color="auto"/>
          </w:divBdr>
          <w:divsChild>
            <w:div w:id="406147621">
              <w:marLeft w:val="0"/>
              <w:marRight w:val="0"/>
              <w:marTop w:val="0"/>
              <w:marBottom w:val="0"/>
              <w:divBdr>
                <w:top w:val="none" w:sz="0" w:space="0" w:color="auto"/>
                <w:left w:val="none" w:sz="0" w:space="0" w:color="auto"/>
                <w:bottom w:val="none" w:sz="0" w:space="0" w:color="auto"/>
                <w:right w:val="none" w:sz="0" w:space="0" w:color="auto"/>
              </w:divBdr>
              <w:divsChild>
                <w:div w:id="1368675628">
                  <w:marLeft w:val="0"/>
                  <w:marRight w:val="0"/>
                  <w:marTop w:val="0"/>
                  <w:marBottom w:val="0"/>
                  <w:divBdr>
                    <w:top w:val="none" w:sz="0" w:space="0" w:color="auto"/>
                    <w:left w:val="none" w:sz="0" w:space="0" w:color="auto"/>
                    <w:bottom w:val="none" w:sz="0" w:space="0" w:color="auto"/>
                    <w:right w:val="none" w:sz="0" w:space="0" w:color="auto"/>
                  </w:divBdr>
                  <w:divsChild>
                    <w:div w:id="15294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1115">
      <w:bodyDiv w:val="1"/>
      <w:marLeft w:val="0"/>
      <w:marRight w:val="0"/>
      <w:marTop w:val="0"/>
      <w:marBottom w:val="0"/>
      <w:divBdr>
        <w:top w:val="none" w:sz="0" w:space="0" w:color="auto"/>
        <w:left w:val="none" w:sz="0" w:space="0" w:color="auto"/>
        <w:bottom w:val="none" w:sz="0" w:space="0" w:color="auto"/>
        <w:right w:val="none" w:sz="0" w:space="0" w:color="auto"/>
      </w:divBdr>
    </w:div>
    <w:div w:id="427626707">
      <w:bodyDiv w:val="1"/>
      <w:marLeft w:val="0"/>
      <w:marRight w:val="0"/>
      <w:marTop w:val="0"/>
      <w:marBottom w:val="0"/>
      <w:divBdr>
        <w:top w:val="none" w:sz="0" w:space="0" w:color="auto"/>
        <w:left w:val="none" w:sz="0" w:space="0" w:color="auto"/>
        <w:bottom w:val="none" w:sz="0" w:space="0" w:color="auto"/>
        <w:right w:val="none" w:sz="0" w:space="0" w:color="auto"/>
      </w:divBdr>
    </w:div>
    <w:div w:id="1909336721">
      <w:bodyDiv w:val="1"/>
      <w:marLeft w:val="105"/>
      <w:marRight w:val="105"/>
      <w:marTop w:val="15"/>
      <w:marBottom w:val="15"/>
      <w:divBdr>
        <w:top w:val="none" w:sz="0" w:space="0" w:color="auto"/>
        <w:left w:val="none" w:sz="0" w:space="0" w:color="auto"/>
        <w:bottom w:val="none" w:sz="0" w:space="0" w:color="auto"/>
        <w:right w:val="none" w:sz="0" w:space="0" w:color="auto"/>
      </w:divBdr>
      <w:divsChild>
        <w:div w:id="868763103">
          <w:marLeft w:val="0"/>
          <w:marRight w:val="0"/>
          <w:marTop w:val="120"/>
          <w:marBottom w:val="0"/>
          <w:divBdr>
            <w:top w:val="none" w:sz="0" w:space="0" w:color="auto"/>
            <w:left w:val="none" w:sz="0" w:space="0" w:color="auto"/>
            <w:bottom w:val="none" w:sz="0" w:space="0" w:color="auto"/>
            <w:right w:val="none" w:sz="0" w:space="0" w:color="auto"/>
          </w:divBdr>
          <w:divsChild>
            <w:div w:id="271518728">
              <w:marLeft w:val="0"/>
              <w:marRight w:val="0"/>
              <w:marTop w:val="0"/>
              <w:marBottom w:val="0"/>
              <w:divBdr>
                <w:top w:val="none" w:sz="0" w:space="0" w:color="auto"/>
                <w:left w:val="none" w:sz="0" w:space="0" w:color="auto"/>
                <w:bottom w:val="none" w:sz="0" w:space="0" w:color="auto"/>
                <w:right w:val="none" w:sz="0" w:space="0" w:color="auto"/>
              </w:divBdr>
              <w:divsChild>
                <w:div w:id="433326715">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4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tnourse@aep.com" TargetMode="External"/><Relationship Id="rId26" Type="http://schemas.openxmlformats.org/officeDocument/2006/relationships/header" Target="header7.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yperlink" Target="mailto:ktrafford@porterwright.com" TargetMode="External"/><Relationship Id="rId34" Type="http://schemas.openxmlformats.org/officeDocument/2006/relationships/header" Target="header11.xml"/><Relationship Id="rId42"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thomas.mcnamee@puc.state.oh.us"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conway@porterwright.com" TargetMode="External"/><Relationship Id="rId29" Type="http://schemas.openxmlformats.org/officeDocument/2006/relationships/footer" Target="footer7.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yperlink" Target="mailto:kern@occ.state.oh.us" TargetMode="External"/><Relationship Id="rId31" Type="http://schemas.openxmlformats.org/officeDocument/2006/relationships/footer" Target="footer8.xml"/><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hyperlink" Target="mailto:thomas.mcnamee@puc.state.oh.us"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ton\Desktop\Templates\PUCO%20(or%20OPSB)%20Pl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667A-744D-4781-99C6-67DF6C8C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PUCO (or OPSB) Pleading</Template>
  <TotalTime>6</TotalTime>
  <Pages>53</Pages>
  <Words>10683</Words>
  <Characters>60607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BEFORE</vt:lpstr>
    </vt:vector>
  </TitlesOfParts>
  <Company>Public Utilities Commission of Ohio</Company>
  <LinksUpToDate>false</LinksUpToDate>
  <CharactersWithSpaces>71148</CharactersWithSpaces>
  <SharedDoc>false</SharedDoc>
  <HLinks>
    <vt:vector size="12" baseType="variant">
      <vt:variant>
        <vt:i4>2293828</vt:i4>
      </vt:variant>
      <vt:variant>
        <vt:i4>3</vt:i4>
      </vt:variant>
      <vt:variant>
        <vt:i4>0</vt:i4>
      </vt:variant>
      <vt:variant>
        <vt:i4>5</vt:i4>
      </vt:variant>
      <vt:variant>
        <vt:lpwstr>mailto:william.wright@puc.state.oh.us</vt:lpwstr>
      </vt:variant>
      <vt:variant>
        <vt:lpwstr/>
      </vt:variant>
      <vt:variant>
        <vt:i4>7405588</vt:i4>
      </vt:variant>
      <vt:variant>
        <vt:i4>0</vt:i4>
      </vt:variant>
      <vt:variant>
        <vt:i4>0</vt:i4>
      </vt:variant>
      <vt:variant>
        <vt:i4>5</vt:i4>
      </vt:variant>
      <vt:variant>
        <vt:lpwstr>mailto:thomas.lindgren@puc.state.oh.us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dc:title>
  <dc:creator>Keeton, Kim</dc:creator>
  <cp:lastModifiedBy>Keeton, Kim</cp:lastModifiedBy>
  <cp:revision>6</cp:revision>
  <cp:lastPrinted>2012-09-14T20:00:00Z</cp:lastPrinted>
  <dcterms:created xsi:type="dcterms:W3CDTF">2012-09-14T19:56:00Z</dcterms:created>
  <dcterms:modified xsi:type="dcterms:W3CDTF">2012-09-14T20:00:00Z</dcterms:modified>
</cp:coreProperties>
</file>