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F15FE9" w:rsidRPr="00A26039" w:rsidP="00F15FE9" w14:paraId="2357161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A26039">
        <w:rPr>
          <w:rFonts w:ascii="Times New Roman" w:eastAsia="Calibri" w:hAnsi="Times New Roman" w:cs="Times New Roman"/>
          <w:b/>
          <w:bCs/>
          <w:sz w:val="24"/>
          <w:szCs w:val="24"/>
        </w:rPr>
        <w:t>BEFORE</w:t>
      </w:r>
    </w:p>
    <w:p w:rsidR="00F15FE9" w:rsidRPr="00A26039" w:rsidP="00F15FE9" w14:paraId="5EF7B35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A26039">
        <w:rPr>
          <w:rFonts w:ascii="Times New Roman" w:eastAsia="Calibri" w:hAnsi="Times New Roman" w:cs="Times New Roman"/>
          <w:b/>
          <w:bCs/>
          <w:sz w:val="24"/>
          <w:szCs w:val="24"/>
        </w:rPr>
        <w:t>THE PUBLIC UTILITIES COMMISSION OF OHIO</w:t>
      </w:r>
    </w:p>
    <w:p w:rsidR="00F15FE9" w:rsidRPr="00A26039" w:rsidP="00F15FE9" w14:paraId="5FA71C64" w14:textId="77777777">
      <w:pPr>
        <w:pStyle w:val="HTMLPreformatted"/>
        <w:jc w:val="center"/>
        <w:rPr>
          <w:rFonts w:ascii="Times New Roman" w:hAnsi="Times New Roman" w:cs="Times New Roman"/>
          <w:b/>
          <w:bCs/>
          <w:sz w:val="24"/>
          <w:szCs w:val="24"/>
        </w:rPr>
      </w:pPr>
    </w:p>
    <w:tbl>
      <w:tblPr>
        <w:tblW w:w="8730" w:type="dxa"/>
        <w:tblLook w:val="01E0"/>
      </w:tblPr>
      <w:tblGrid>
        <w:gridCol w:w="4332"/>
        <w:gridCol w:w="360"/>
        <w:gridCol w:w="4038"/>
      </w:tblGrid>
      <w:tr w14:paraId="3BC91EED" w14:textId="77777777" w:rsidTr="006D09FB">
        <w:tblPrEx>
          <w:tblW w:w="8730" w:type="dxa"/>
          <w:tblLook w:val="01E0"/>
        </w:tblPrEx>
        <w:trPr>
          <w:trHeight w:val="807"/>
        </w:trPr>
        <w:tc>
          <w:tcPr>
            <w:tcW w:w="4332" w:type="dxa"/>
            <w:shd w:val="clear" w:color="auto" w:fill="auto"/>
          </w:tcPr>
          <w:p w:rsidR="00F15FE9" w:rsidRPr="00A26039" w:rsidP="006D09FB" w14:paraId="28F90CBC"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In the Matter of the Application of the Ohio Department of Development for an Order Approving Adjustments to the Universal Service Fund Riders of Jurisdictional Ohio Electric Distribution Utilities.</w:t>
            </w:r>
          </w:p>
        </w:tc>
        <w:tc>
          <w:tcPr>
            <w:tcW w:w="360" w:type="dxa"/>
            <w:shd w:val="clear" w:color="auto" w:fill="auto"/>
          </w:tcPr>
          <w:p w:rsidR="00F15FE9" w:rsidRPr="00A26039" w:rsidP="006D09FB" w14:paraId="756A4B0E"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p w:rsidR="00F15FE9" w:rsidRPr="00A26039" w:rsidP="006D09FB" w14:paraId="09CE5239"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p w:rsidR="00F15FE9" w:rsidRPr="00A26039" w:rsidP="006D09FB" w14:paraId="4B350B2E"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p w:rsidR="00F15FE9" w:rsidRPr="00A26039" w:rsidP="006D09FB" w14:paraId="4CFABF93"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p w:rsidR="00F15FE9" w:rsidRPr="00A26039" w:rsidP="006D09FB" w14:paraId="4A943867"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p w:rsidR="00F15FE9" w:rsidRPr="00A26039" w:rsidP="006D09FB" w14:paraId="3344A4A1"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tc>
        <w:tc>
          <w:tcPr>
            <w:tcW w:w="4038" w:type="dxa"/>
            <w:shd w:val="clear" w:color="auto" w:fill="auto"/>
          </w:tcPr>
          <w:p w:rsidR="00F15FE9" w:rsidRPr="00A26039" w:rsidP="006D09FB" w14:paraId="6B6C8CD4" w14:textId="77777777">
            <w:pPr>
              <w:pStyle w:val="HTMLPreformatted"/>
              <w:rPr>
                <w:rFonts w:ascii="Times New Roman" w:hAnsi="Times New Roman" w:cs="Times New Roman"/>
                <w:sz w:val="24"/>
                <w:szCs w:val="24"/>
              </w:rPr>
            </w:pPr>
          </w:p>
          <w:p w:rsidR="00F15FE9" w:rsidRPr="00A26039" w:rsidP="006D09FB" w14:paraId="3E6380C6" w14:textId="77777777">
            <w:pPr>
              <w:pStyle w:val="HTMLPreformatted"/>
              <w:rPr>
                <w:rFonts w:ascii="Times New Roman" w:hAnsi="Times New Roman" w:cs="Times New Roman"/>
                <w:sz w:val="24"/>
                <w:szCs w:val="24"/>
              </w:rPr>
            </w:pPr>
          </w:p>
          <w:p w:rsidR="00F15FE9" w:rsidRPr="00A26039" w:rsidP="006D09FB" w14:paraId="0A500B2B"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Case No. 22-556-EL-USF</w:t>
            </w:r>
          </w:p>
        </w:tc>
      </w:tr>
    </w:tbl>
    <w:p w:rsidR="00F15FE9" w:rsidRPr="00A26039" w:rsidP="00F15FE9" w14:paraId="2DB44DAE"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F15FE9" w:rsidRPr="00A26039" w:rsidP="00F15FE9" w14:paraId="7914CF0B" w14:textId="77777777">
      <w:pPr>
        <w:autoSpaceDE w:val="0"/>
        <w:autoSpaceDN w:val="0"/>
        <w:adjustRightInd w:val="0"/>
        <w:spacing w:after="0" w:line="240" w:lineRule="auto"/>
        <w:rPr>
          <w:rFonts w:ascii="Times New Roman" w:eastAsia="Calibri" w:hAnsi="Times New Roman" w:cs="Times New Roman"/>
          <w:sz w:val="24"/>
          <w:szCs w:val="24"/>
        </w:rPr>
      </w:pPr>
    </w:p>
    <w:p w:rsidR="00F15FE9" w:rsidRPr="00A26039" w:rsidP="00F15FE9" w14:paraId="2E57DA19" w14:textId="77777777">
      <w:pPr>
        <w:widowControl w:val="0"/>
        <w:spacing w:after="0" w:line="240" w:lineRule="auto"/>
        <w:jc w:val="center"/>
        <w:rPr>
          <w:rFonts w:ascii="Times New Roman" w:hAnsi="Times New Roman" w:cs="Times New Roman"/>
          <w:b/>
          <w:sz w:val="24"/>
          <w:szCs w:val="24"/>
        </w:rPr>
      </w:pPr>
      <w:r w:rsidRPr="00A26039">
        <w:rPr>
          <w:rFonts w:ascii="Times New Roman" w:hAnsi="Times New Roman" w:cs="Times New Roman"/>
          <w:b/>
          <w:sz w:val="24"/>
          <w:szCs w:val="24"/>
        </w:rPr>
        <w:t xml:space="preserve">APPLICATION FOR REHEARING </w:t>
      </w:r>
    </w:p>
    <w:p w:rsidR="00F15FE9" w:rsidRPr="00A26039" w:rsidP="00F15FE9" w14:paraId="7B56C9B8" w14:textId="77777777">
      <w:pPr>
        <w:widowControl w:val="0"/>
        <w:spacing w:after="0" w:line="240" w:lineRule="auto"/>
        <w:jc w:val="center"/>
        <w:rPr>
          <w:rFonts w:ascii="Times New Roman" w:hAnsi="Times New Roman" w:cs="Times New Roman"/>
          <w:b/>
          <w:sz w:val="24"/>
          <w:szCs w:val="24"/>
        </w:rPr>
      </w:pPr>
      <w:r w:rsidRPr="00A26039">
        <w:rPr>
          <w:rFonts w:ascii="Times New Roman" w:hAnsi="Times New Roman" w:cs="Times New Roman"/>
          <w:b/>
          <w:sz w:val="24"/>
          <w:szCs w:val="24"/>
        </w:rPr>
        <w:t>BY</w:t>
      </w:r>
    </w:p>
    <w:p w:rsidR="00F15FE9" w:rsidRPr="00A26039" w:rsidP="00F15FE9" w14:paraId="4B85937A" w14:textId="77777777">
      <w:pPr>
        <w:spacing w:after="0" w:line="240" w:lineRule="auto"/>
        <w:jc w:val="center"/>
        <w:rPr>
          <w:rFonts w:ascii="Times New Roman" w:hAnsi="Times New Roman" w:cs="Times New Roman"/>
          <w:b/>
          <w:sz w:val="24"/>
          <w:szCs w:val="24"/>
        </w:rPr>
      </w:pPr>
      <w:r w:rsidRPr="00A26039">
        <w:rPr>
          <w:rFonts w:ascii="Times New Roman" w:hAnsi="Times New Roman" w:cs="Times New Roman"/>
          <w:b/>
          <w:sz w:val="24"/>
          <w:szCs w:val="24"/>
        </w:rPr>
        <w:t>OFFICE OF THE OHIO CONSUMERS’ COUNSEL</w:t>
      </w:r>
    </w:p>
    <w:p w:rsidR="00F15FE9" w:rsidRPr="00A26039" w:rsidP="00F15FE9" w14:paraId="5E777E12"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F15FE9" w:rsidRPr="00A26039" w:rsidP="00F15FE9" w14:paraId="4593D457" w14:textId="36284EDC">
      <w:pPr>
        <w:rPr>
          <w:rFonts w:ascii="Times New Roman" w:eastAsia="Calibri" w:hAnsi="Times New Roman" w:cs="Times New Roman"/>
          <w:b/>
          <w:bCs/>
          <w:sz w:val="24"/>
          <w:szCs w:val="24"/>
        </w:rPr>
      </w:pPr>
    </w:p>
    <w:p w:rsidR="00F15FE9" w:rsidRPr="00A26039" w:rsidP="00F15FE9" w14:paraId="19641B90" w14:textId="77777777">
      <w:pPr>
        <w:tabs>
          <w:tab w:val="left" w:pos="4320"/>
          <w:tab w:val="center" w:pos="4680"/>
          <w:tab w:val="right" w:pos="9360"/>
        </w:tabs>
        <w:spacing w:after="0" w:line="240" w:lineRule="auto"/>
        <w:ind w:left="3600"/>
        <w:rPr>
          <w:rFonts w:ascii="Times New Roman" w:eastAsia="Calibri" w:hAnsi="Times New Roman" w:cs="Times New Roman"/>
          <w:sz w:val="24"/>
          <w:szCs w:val="24"/>
        </w:rPr>
      </w:pPr>
      <w:r w:rsidRPr="00A26039">
        <w:rPr>
          <w:rFonts w:ascii="Times New Roman" w:eastAsia="Calibri" w:hAnsi="Times New Roman" w:cs="Times New Roman"/>
          <w:sz w:val="24"/>
          <w:szCs w:val="24"/>
        </w:rPr>
        <w:t>Bruce Weston (0016973)</w:t>
      </w:r>
    </w:p>
    <w:p w:rsidR="00F15FE9" w:rsidRPr="00A26039" w:rsidP="00F15FE9" w14:paraId="30822E2B" w14:textId="77777777">
      <w:pPr>
        <w:tabs>
          <w:tab w:val="left" w:pos="4320"/>
        </w:tabs>
        <w:spacing w:after="0" w:line="240" w:lineRule="auto"/>
        <w:ind w:left="3600"/>
        <w:rPr>
          <w:rFonts w:ascii="Times New Roman" w:eastAsia="Calibri" w:hAnsi="Times New Roman" w:cs="Times New Roman"/>
          <w:sz w:val="24"/>
          <w:szCs w:val="24"/>
        </w:rPr>
      </w:pPr>
      <w:r w:rsidRPr="00A26039">
        <w:rPr>
          <w:rFonts w:ascii="Times New Roman" w:eastAsia="Calibri" w:hAnsi="Times New Roman" w:cs="Times New Roman"/>
          <w:sz w:val="24"/>
          <w:szCs w:val="24"/>
        </w:rPr>
        <w:t>Ohio Consumers’ Counsel</w:t>
      </w:r>
    </w:p>
    <w:p w:rsidR="00F15FE9" w:rsidRPr="00A26039" w:rsidP="00F15FE9" w14:paraId="0D31ECB5" w14:textId="77777777">
      <w:pPr>
        <w:tabs>
          <w:tab w:val="left" w:pos="4320"/>
        </w:tabs>
        <w:spacing w:after="0" w:line="240" w:lineRule="auto"/>
        <w:ind w:left="3600"/>
        <w:rPr>
          <w:rFonts w:ascii="Times New Roman" w:eastAsia="Calibri" w:hAnsi="Times New Roman" w:cs="Times New Roman"/>
          <w:sz w:val="24"/>
          <w:szCs w:val="24"/>
        </w:rPr>
      </w:pPr>
      <w:r w:rsidRPr="00A26039">
        <w:rPr>
          <w:rFonts w:ascii="Times New Roman" w:eastAsia="Calibri" w:hAnsi="Times New Roman" w:cs="Times New Roman"/>
          <w:sz w:val="24"/>
          <w:szCs w:val="24"/>
        </w:rPr>
        <w:tab/>
      </w:r>
    </w:p>
    <w:p w:rsidR="00F15FE9" w:rsidRPr="00A26039" w:rsidP="00F15FE9" w14:paraId="4F52A15D" w14:textId="77777777">
      <w:pPr>
        <w:tabs>
          <w:tab w:val="left" w:pos="4320"/>
        </w:tabs>
        <w:spacing w:after="0" w:line="240" w:lineRule="auto"/>
        <w:ind w:left="3600"/>
        <w:rPr>
          <w:rFonts w:ascii="Times New Roman" w:eastAsia="Calibri" w:hAnsi="Times New Roman" w:cs="Times New Roman"/>
          <w:sz w:val="24"/>
          <w:szCs w:val="24"/>
        </w:rPr>
      </w:pPr>
      <w:r w:rsidRPr="00A26039">
        <w:rPr>
          <w:rFonts w:ascii="Times New Roman" w:eastAsia="Calibri" w:hAnsi="Times New Roman" w:cs="Times New Roman"/>
          <w:sz w:val="24"/>
          <w:szCs w:val="24"/>
        </w:rPr>
        <w:t>Amy Botschner O’Brien (0074423)</w:t>
      </w:r>
    </w:p>
    <w:p w:rsidR="00F15FE9" w:rsidRPr="00A26039" w:rsidP="00F15FE9" w14:paraId="30053CCF" w14:textId="77777777">
      <w:pPr>
        <w:tabs>
          <w:tab w:val="left" w:pos="4320"/>
        </w:tabs>
        <w:spacing w:after="0" w:line="240" w:lineRule="auto"/>
        <w:ind w:left="3600"/>
        <w:rPr>
          <w:rFonts w:ascii="Times New Roman" w:eastAsia="Calibri" w:hAnsi="Times New Roman" w:cs="Times New Roman"/>
          <w:sz w:val="24"/>
          <w:szCs w:val="24"/>
        </w:rPr>
      </w:pPr>
      <w:r w:rsidRPr="00A26039">
        <w:rPr>
          <w:rFonts w:ascii="Times New Roman" w:eastAsia="Calibri" w:hAnsi="Times New Roman" w:cs="Times New Roman"/>
          <w:sz w:val="24"/>
          <w:szCs w:val="24"/>
        </w:rPr>
        <w:t>Counsel of Record</w:t>
      </w:r>
    </w:p>
    <w:p w:rsidR="00F15FE9" w:rsidRPr="00A26039" w:rsidP="00F15FE9" w14:paraId="53FAAABD" w14:textId="77777777">
      <w:pPr>
        <w:tabs>
          <w:tab w:val="left" w:pos="4320"/>
        </w:tabs>
        <w:spacing w:after="0" w:line="240" w:lineRule="auto"/>
        <w:ind w:left="3600"/>
        <w:rPr>
          <w:rFonts w:ascii="Times New Roman" w:eastAsia="Calibri" w:hAnsi="Times New Roman" w:cs="Times New Roman"/>
          <w:sz w:val="24"/>
          <w:szCs w:val="24"/>
        </w:rPr>
      </w:pPr>
      <w:r w:rsidRPr="00A26039">
        <w:rPr>
          <w:rFonts w:ascii="Times New Roman" w:eastAsia="Calibri" w:hAnsi="Times New Roman" w:cs="Times New Roman"/>
          <w:sz w:val="24"/>
          <w:szCs w:val="24"/>
        </w:rPr>
        <w:t>Assistant Consumers’ Counsel</w:t>
      </w:r>
    </w:p>
    <w:p w:rsidR="00F15FE9" w:rsidRPr="00A26039" w:rsidP="00F15FE9" w14:paraId="5274F0D2" w14:textId="77777777">
      <w:pPr>
        <w:tabs>
          <w:tab w:val="left" w:pos="4320"/>
        </w:tabs>
        <w:spacing w:after="0" w:line="240" w:lineRule="auto"/>
        <w:ind w:left="3600"/>
        <w:rPr>
          <w:rFonts w:ascii="Times New Roman" w:eastAsia="Calibri" w:hAnsi="Times New Roman" w:cs="Times New Roman"/>
          <w:sz w:val="24"/>
          <w:szCs w:val="24"/>
        </w:rPr>
      </w:pPr>
    </w:p>
    <w:p w:rsidR="00F15FE9" w:rsidRPr="00A26039" w:rsidP="00F15FE9" w14:paraId="6B479229" w14:textId="77777777">
      <w:pPr>
        <w:spacing w:after="0" w:line="240" w:lineRule="auto"/>
        <w:ind w:left="3600"/>
        <w:rPr>
          <w:rFonts w:ascii="Times New Roman" w:eastAsia="Calibri" w:hAnsi="Times New Roman" w:cs="Times New Roman"/>
          <w:b/>
          <w:bCs/>
          <w:sz w:val="24"/>
          <w:szCs w:val="24"/>
        </w:rPr>
      </w:pPr>
      <w:r w:rsidRPr="00A26039">
        <w:rPr>
          <w:rFonts w:ascii="Times New Roman" w:eastAsia="Calibri" w:hAnsi="Times New Roman" w:cs="Times New Roman"/>
          <w:b/>
          <w:bCs/>
          <w:sz w:val="24"/>
          <w:szCs w:val="24"/>
        </w:rPr>
        <w:t>Office of the Ohio Consumers’ Counsel</w:t>
      </w:r>
    </w:p>
    <w:p w:rsidR="00F15FE9" w:rsidRPr="00A26039" w:rsidP="00F15FE9" w14:paraId="33BF21FC" w14:textId="77777777">
      <w:pPr>
        <w:spacing w:after="0" w:line="240" w:lineRule="auto"/>
        <w:ind w:left="3600"/>
        <w:rPr>
          <w:rFonts w:ascii="Times New Roman" w:eastAsia="Calibri" w:hAnsi="Times New Roman" w:cs="Times New Roman"/>
          <w:b/>
          <w:sz w:val="24"/>
          <w:szCs w:val="24"/>
        </w:rPr>
      </w:pPr>
      <w:r w:rsidRPr="00A26039">
        <w:rPr>
          <w:rFonts w:ascii="Times New Roman" w:eastAsia="Calibri" w:hAnsi="Times New Roman" w:cs="Times New Roman"/>
          <w:sz w:val="24"/>
          <w:szCs w:val="24"/>
        </w:rPr>
        <w:t>65 East State Street, Suite 700</w:t>
      </w:r>
    </w:p>
    <w:p w:rsidR="00F15FE9" w:rsidRPr="00A26039" w:rsidP="00F15FE9" w14:paraId="46879A63" w14:textId="77777777">
      <w:pPr>
        <w:spacing w:after="0" w:line="240" w:lineRule="auto"/>
        <w:ind w:left="3600"/>
        <w:rPr>
          <w:rFonts w:ascii="Times New Roman" w:eastAsia="Calibri" w:hAnsi="Times New Roman" w:cs="Times New Roman"/>
          <w:b/>
          <w:sz w:val="24"/>
          <w:szCs w:val="24"/>
        </w:rPr>
      </w:pPr>
      <w:r w:rsidRPr="00A26039">
        <w:rPr>
          <w:rFonts w:ascii="Times New Roman" w:eastAsia="Calibri" w:hAnsi="Times New Roman" w:cs="Times New Roman"/>
          <w:sz w:val="24"/>
          <w:szCs w:val="24"/>
        </w:rPr>
        <w:t>Columbus, Ohio 43215</w:t>
      </w:r>
    </w:p>
    <w:p w:rsidR="00F15FE9" w:rsidRPr="00A26039" w:rsidP="00F15FE9" w14:paraId="5B3A99A3" w14:textId="77777777">
      <w:pPr>
        <w:autoSpaceDE w:val="0"/>
        <w:autoSpaceDN w:val="0"/>
        <w:adjustRightInd w:val="0"/>
        <w:spacing w:after="0" w:line="240" w:lineRule="auto"/>
        <w:ind w:left="3600"/>
        <w:rPr>
          <w:rFonts w:ascii="Times New Roman" w:eastAsia="Calibri" w:hAnsi="Times New Roman" w:cs="Times New Roman"/>
          <w:sz w:val="24"/>
          <w:szCs w:val="24"/>
        </w:rPr>
      </w:pPr>
      <w:r w:rsidRPr="00A26039">
        <w:rPr>
          <w:rFonts w:ascii="Times New Roman" w:eastAsia="Calibri" w:hAnsi="Times New Roman" w:cs="Times New Roman"/>
          <w:sz w:val="24"/>
          <w:szCs w:val="24"/>
        </w:rPr>
        <w:t>Telephone [Botschner O’Brien]: (614) 466-9575</w:t>
      </w:r>
    </w:p>
    <w:p w:rsidR="00F15FE9" w:rsidRPr="00A26039" w:rsidP="00F15FE9" w14:paraId="7224DB9A" w14:textId="77777777">
      <w:pPr>
        <w:autoSpaceDE w:val="0"/>
        <w:autoSpaceDN w:val="0"/>
        <w:adjustRightInd w:val="0"/>
        <w:spacing w:after="0" w:line="240" w:lineRule="auto"/>
        <w:ind w:left="3600"/>
        <w:rPr>
          <w:rFonts w:ascii="Times New Roman" w:eastAsia="Calibri" w:hAnsi="Times New Roman" w:cs="Times New Roman"/>
          <w:sz w:val="24"/>
          <w:szCs w:val="24"/>
        </w:rPr>
      </w:pPr>
      <w:hyperlink r:id="rId6" w:history="1">
        <w:r w:rsidRPr="00A26039" w:rsidR="00AF6E11">
          <w:rPr>
            <w:rFonts w:ascii="Times New Roman" w:eastAsia="Calibri" w:hAnsi="Times New Roman" w:cs="Times New Roman"/>
            <w:color w:val="0000FF"/>
            <w:sz w:val="24"/>
            <w:szCs w:val="24"/>
            <w:u w:val="single"/>
          </w:rPr>
          <w:t>amy.botschner.obrien@occ.ohio.gov</w:t>
        </w:r>
      </w:hyperlink>
    </w:p>
    <w:p w:rsidR="00F15FE9" w:rsidRPr="00A26039" w:rsidP="00F15FE9" w14:paraId="0B09978A" w14:textId="49145E1D">
      <w:pPr>
        <w:spacing w:after="0" w:line="240" w:lineRule="auto"/>
        <w:ind w:left="3600" w:hanging="3600"/>
        <w:rPr>
          <w:rFonts w:ascii="Times New Roman" w:eastAsia="Calibri" w:hAnsi="Times New Roman" w:cs="Times New Roman"/>
          <w:sz w:val="24"/>
          <w:szCs w:val="24"/>
        </w:rPr>
      </w:pPr>
      <w:r w:rsidRPr="00A26039">
        <w:rPr>
          <w:rFonts w:ascii="Times New Roman" w:eastAsia="Calibri" w:hAnsi="Times New Roman" w:cs="Times New Roman"/>
          <w:sz w:val="24"/>
          <w:szCs w:val="24"/>
        </w:rPr>
        <w:t>November 4, 2022</w:t>
      </w:r>
      <w:r w:rsidRPr="00A26039">
        <w:rPr>
          <w:rFonts w:ascii="Times New Roman" w:eastAsia="Calibri" w:hAnsi="Times New Roman" w:cs="Times New Roman"/>
          <w:sz w:val="24"/>
          <w:szCs w:val="24"/>
        </w:rPr>
        <w:tab/>
        <w:t>(willing to accept service by e-mail)</w:t>
      </w:r>
    </w:p>
    <w:p w:rsidR="00F15FE9" w:rsidRPr="00A26039" w:rsidP="00F15FE9" w14:paraId="43661999" w14:textId="77777777">
      <w:pPr>
        <w:rPr>
          <w:rFonts w:ascii="Times New Roman" w:eastAsia="Calibri" w:hAnsi="Times New Roman" w:cs="Times New Roman"/>
          <w:b/>
          <w:bCs/>
          <w:sz w:val="24"/>
          <w:szCs w:val="24"/>
        </w:rPr>
      </w:pPr>
    </w:p>
    <w:p w:rsidR="00F15FE9" w:rsidRPr="00A26039" w:rsidP="00F15FE9" w14:paraId="6905ECB7" w14:textId="2096041B">
      <w:pPr>
        <w:tabs>
          <w:tab w:val="left" w:pos="774"/>
        </w:tabs>
        <w:rPr>
          <w:rFonts w:ascii="Times New Roman" w:eastAsia="Calibri" w:hAnsi="Times New Roman" w:cs="Times New Roman"/>
          <w:sz w:val="24"/>
          <w:szCs w:val="24"/>
        </w:rPr>
        <w:sectPr w:rsidSect="00AC1A13">
          <w:footerReference w:type="default" r:id="rId7"/>
          <w:pgSz w:w="12240" w:h="15840"/>
          <w:pgMar w:top="1440" w:right="1800" w:bottom="1440" w:left="1800" w:header="720" w:footer="720" w:gutter="0"/>
          <w:pgNumType w:start="1"/>
          <w:cols w:space="720"/>
          <w:titlePg/>
          <w:docGrid w:linePitch="360"/>
        </w:sectPr>
      </w:pPr>
      <w:r w:rsidRPr="00A26039">
        <w:rPr>
          <w:rFonts w:ascii="Times New Roman" w:eastAsia="Calibri" w:hAnsi="Times New Roman" w:cs="Times New Roman"/>
          <w:sz w:val="24"/>
          <w:szCs w:val="24"/>
        </w:rPr>
        <w:tab/>
      </w:r>
    </w:p>
    <w:p w:rsidR="00152A74" w:rsidRPr="00A26039" w:rsidP="00152A74" w14:paraId="10AF7151" w14:textId="67D67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A26039">
        <w:rPr>
          <w:rFonts w:ascii="Times New Roman" w:eastAsia="Calibri" w:hAnsi="Times New Roman" w:cs="Times New Roman"/>
          <w:b/>
          <w:bCs/>
          <w:sz w:val="24"/>
          <w:szCs w:val="24"/>
        </w:rPr>
        <w:t>BEFORE</w:t>
      </w:r>
    </w:p>
    <w:p w:rsidR="00AD677D" w:rsidRPr="00A26039" w:rsidP="00152A74" w14:paraId="67B71915" w14:textId="48E2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A26039">
        <w:rPr>
          <w:rFonts w:ascii="Times New Roman" w:eastAsia="Calibri" w:hAnsi="Times New Roman" w:cs="Times New Roman"/>
          <w:b/>
          <w:bCs/>
          <w:sz w:val="24"/>
          <w:szCs w:val="24"/>
        </w:rPr>
        <w:t>THE PUBLIC UTILITIES COMMISSION OF OHIO</w:t>
      </w:r>
    </w:p>
    <w:p w:rsidR="00D20C8D" w:rsidRPr="00A26039" w:rsidP="00D20C8D" w14:paraId="00D37463" w14:textId="77777777">
      <w:pPr>
        <w:pStyle w:val="HTMLPreformatted"/>
        <w:jc w:val="center"/>
        <w:rPr>
          <w:rFonts w:ascii="Times New Roman" w:hAnsi="Times New Roman" w:cs="Times New Roman"/>
          <w:b/>
          <w:bCs/>
          <w:sz w:val="24"/>
          <w:szCs w:val="24"/>
        </w:rPr>
      </w:pPr>
    </w:p>
    <w:tbl>
      <w:tblPr>
        <w:tblW w:w="8730" w:type="dxa"/>
        <w:tblLook w:val="01E0"/>
      </w:tblPr>
      <w:tblGrid>
        <w:gridCol w:w="4332"/>
        <w:gridCol w:w="360"/>
        <w:gridCol w:w="4038"/>
      </w:tblGrid>
      <w:tr w14:paraId="4C27725D" w14:textId="77777777" w:rsidTr="006D09FB">
        <w:tblPrEx>
          <w:tblW w:w="8730" w:type="dxa"/>
          <w:tblLook w:val="01E0"/>
        </w:tblPrEx>
        <w:trPr>
          <w:trHeight w:val="807"/>
        </w:trPr>
        <w:tc>
          <w:tcPr>
            <w:tcW w:w="4332" w:type="dxa"/>
            <w:shd w:val="clear" w:color="auto" w:fill="auto"/>
          </w:tcPr>
          <w:p w:rsidR="0055060E" w:rsidRPr="00A26039" w:rsidP="006D09FB" w14:paraId="45DF56A0"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In the Matter of the Application of the Ohio Department of Development for an Order Approving Adjustments to the Universal Service Fund Riders of Jurisdictional Ohio Electric Distribution Utilities.</w:t>
            </w:r>
          </w:p>
        </w:tc>
        <w:tc>
          <w:tcPr>
            <w:tcW w:w="360" w:type="dxa"/>
            <w:shd w:val="clear" w:color="auto" w:fill="auto"/>
          </w:tcPr>
          <w:p w:rsidR="0055060E" w:rsidRPr="00A26039" w:rsidP="006D09FB" w14:paraId="240B00F5"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p w:rsidR="0055060E" w:rsidRPr="00A26039" w:rsidP="006D09FB" w14:paraId="55307FC2"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p w:rsidR="0055060E" w:rsidRPr="00A26039" w:rsidP="006D09FB" w14:paraId="40A21DA1"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p w:rsidR="0055060E" w:rsidRPr="00A26039" w:rsidP="006D09FB" w14:paraId="26576F66"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p w:rsidR="0055060E" w:rsidRPr="00A26039" w:rsidP="006D09FB" w14:paraId="03596198"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p w:rsidR="0055060E" w:rsidRPr="00A26039" w:rsidP="006D09FB" w14:paraId="1701A6EA"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tc>
        <w:tc>
          <w:tcPr>
            <w:tcW w:w="4038" w:type="dxa"/>
            <w:shd w:val="clear" w:color="auto" w:fill="auto"/>
          </w:tcPr>
          <w:p w:rsidR="0055060E" w:rsidRPr="00A26039" w:rsidP="006D09FB" w14:paraId="356D164E" w14:textId="77777777">
            <w:pPr>
              <w:pStyle w:val="HTMLPreformatted"/>
              <w:rPr>
                <w:rFonts w:ascii="Times New Roman" w:hAnsi="Times New Roman" w:cs="Times New Roman"/>
                <w:sz w:val="24"/>
                <w:szCs w:val="24"/>
              </w:rPr>
            </w:pPr>
          </w:p>
          <w:p w:rsidR="0055060E" w:rsidRPr="00A26039" w:rsidP="006D09FB" w14:paraId="34FD8A20" w14:textId="77777777">
            <w:pPr>
              <w:pStyle w:val="HTMLPreformatted"/>
              <w:rPr>
                <w:rFonts w:ascii="Times New Roman" w:hAnsi="Times New Roman" w:cs="Times New Roman"/>
                <w:sz w:val="24"/>
                <w:szCs w:val="24"/>
              </w:rPr>
            </w:pPr>
          </w:p>
          <w:p w:rsidR="0055060E" w:rsidRPr="00A26039" w:rsidP="006D09FB" w14:paraId="7DA8B4A7"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Case No. 22-556-EL-USF</w:t>
            </w:r>
          </w:p>
        </w:tc>
      </w:tr>
    </w:tbl>
    <w:p w:rsidR="00152A74" w:rsidRPr="00A26039" w:rsidP="000E48AE" w14:paraId="6724AE52"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152A74" w:rsidRPr="00A26039" w:rsidP="00152A74" w14:paraId="05405E47" w14:textId="77777777">
      <w:pPr>
        <w:autoSpaceDE w:val="0"/>
        <w:autoSpaceDN w:val="0"/>
        <w:adjustRightInd w:val="0"/>
        <w:spacing w:after="0" w:line="240" w:lineRule="auto"/>
        <w:rPr>
          <w:rFonts w:ascii="Times New Roman" w:eastAsia="Calibri" w:hAnsi="Times New Roman" w:cs="Times New Roman"/>
          <w:sz w:val="24"/>
          <w:szCs w:val="24"/>
        </w:rPr>
      </w:pPr>
    </w:p>
    <w:p w:rsidR="00C42A1E" w:rsidRPr="00A26039" w:rsidP="00C42A1E" w14:paraId="4EE39B9A" w14:textId="19F5A587">
      <w:pPr>
        <w:widowControl w:val="0"/>
        <w:spacing w:after="0" w:line="240" w:lineRule="auto"/>
        <w:jc w:val="center"/>
        <w:rPr>
          <w:rFonts w:ascii="Times New Roman" w:hAnsi="Times New Roman" w:cs="Times New Roman"/>
          <w:b/>
          <w:sz w:val="24"/>
          <w:szCs w:val="24"/>
        </w:rPr>
      </w:pPr>
      <w:r w:rsidRPr="00A26039">
        <w:rPr>
          <w:rFonts w:ascii="Times New Roman" w:hAnsi="Times New Roman" w:cs="Times New Roman"/>
          <w:b/>
          <w:sz w:val="24"/>
          <w:szCs w:val="24"/>
        </w:rPr>
        <w:t xml:space="preserve">APPLICATION FOR REHEARING </w:t>
      </w:r>
    </w:p>
    <w:p w:rsidR="00C42A1E" w:rsidRPr="00A26039" w:rsidP="00C42A1E" w14:paraId="0CD53166" w14:textId="77777777">
      <w:pPr>
        <w:widowControl w:val="0"/>
        <w:spacing w:after="0" w:line="240" w:lineRule="auto"/>
        <w:jc w:val="center"/>
        <w:rPr>
          <w:rFonts w:ascii="Times New Roman" w:hAnsi="Times New Roman" w:cs="Times New Roman"/>
          <w:b/>
          <w:sz w:val="24"/>
          <w:szCs w:val="24"/>
        </w:rPr>
      </w:pPr>
      <w:r w:rsidRPr="00A26039">
        <w:rPr>
          <w:rFonts w:ascii="Times New Roman" w:hAnsi="Times New Roman" w:cs="Times New Roman"/>
          <w:b/>
          <w:sz w:val="24"/>
          <w:szCs w:val="24"/>
        </w:rPr>
        <w:t>BY</w:t>
      </w:r>
    </w:p>
    <w:p w:rsidR="00C42A1E" w:rsidRPr="00A26039" w:rsidP="00C42A1E" w14:paraId="69D4D059" w14:textId="77777777">
      <w:pPr>
        <w:spacing w:after="0" w:line="240" w:lineRule="auto"/>
        <w:jc w:val="center"/>
        <w:rPr>
          <w:rFonts w:ascii="Times New Roman" w:hAnsi="Times New Roman" w:cs="Times New Roman"/>
          <w:b/>
          <w:sz w:val="24"/>
          <w:szCs w:val="24"/>
        </w:rPr>
      </w:pPr>
      <w:r w:rsidRPr="00A26039">
        <w:rPr>
          <w:rFonts w:ascii="Times New Roman" w:hAnsi="Times New Roman" w:cs="Times New Roman"/>
          <w:b/>
          <w:sz w:val="24"/>
          <w:szCs w:val="24"/>
        </w:rPr>
        <w:t>OFFICE OF THE OHIO CONSUMERS’ COUNSEL</w:t>
      </w:r>
    </w:p>
    <w:p w:rsidR="00152A74" w:rsidRPr="00A26039" w:rsidP="007633FA" w14:paraId="6EA33050"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0E48AE" w:rsidRPr="00A26039" w:rsidP="000E48AE" w14:paraId="6CC4ED9C" w14:textId="77777777">
      <w:pPr>
        <w:kinsoku w:val="0"/>
        <w:overflowPunct w:val="0"/>
        <w:autoSpaceDE w:val="0"/>
        <w:autoSpaceDN w:val="0"/>
        <w:adjustRightInd w:val="0"/>
        <w:spacing w:after="0" w:line="240" w:lineRule="auto"/>
        <w:ind w:firstLine="720"/>
        <w:rPr>
          <w:rFonts w:ascii="Times New Roman" w:hAnsi="Times New Roman" w:cs="Times New Roman"/>
          <w:sz w:val="24"/>
          <w:szCs w:val="24"/>
        </w:rPr>
      </w:pPr>
    </w:p>
    <w:p w:rsidR="00B10F10" w:rsidRPr="00A26039" w:rsidP="00897E6F" w14:paraId="5538C69D" w14:textId="06D2AA25">
      <w:pPr>
        <w:kinsoku w:val="0"/>
        <w:overflowPunct w:val="0"/>
        <w:autoSpaceDE w:val="0"/>
        <w:autoSpaceDN w:val="0"/>
        <w:adjustRightInd w:val="0"/>
        <w:spacing w:after="0" w:line="480" w:lineRule="auto"/>
        <w:ind w:firstLine="720"/>
        <w:rPr>
          <w:rFonts w:ascii="Times New Roman" w:hAnsi="Times New Roman" w:cs="Times New Roman"/>
          <w:sz w:val="24"/>
          <w:szCs w:val="24"/>
        </w:rPr>
      </w:pPr>
      <w:r w:rsidRPr="00A26039">
        <w:rPr>
          <w:rFonts w:ascii="Times New Roman" w:hAnsi="Times New Roman" w:cs="Times New Roman"/>
          <w:sz w:val="24"/>
          <w:szCs w:val="24"/>
        </w:rPr>
        <w:t>The PUCO</w:t>
      </w:r>
      <w:r w:rsidRPr="00A26039" w:rsidR="00CD3D6D">
        <w:rPr>
          <w:rFonts w:ascii="Times New Roman" w:hAnsi="Times New Roman" w:cs="Times New Roman"/>
          <w:sz w:val="24"/>
          <w:szCs w:val="24"/>
        </w:rPr>
        <w:t xml:space="preserve">’s </w:t>
      </w:r>
      <w:r w:rsidRPr="00A26039" w:rsidR="00935361">
        <w:rPr>
          <w:rFonts w:ascii="Times New Roman" w:hAnsi="Times New Roman" w:cs="Times New Roman"/>
          <w:sz w:val="24"/>
          <w:szCs w:val="24"/>
        </w:rPr>
        <w:t xml:space="preserve">Opinion </w:t>
      </w:r>
      <w:r w:rsidRPr="00A26039" w:rsidR="00421452">
        <w:rPr>
          <w:rFonts w:ascii="Times New Roman" w:hAnsi="Times New Roman" w:cs="Times New Roman"/>
          <w:sz w:val="24"/>
          <w:szCs w:val="24"/>
        </w:rPr>
        <w:t>and Order</w:t>
      </w:r>
      <w:r>
        <w:rPr>
          <w:rStyle w:val="FootnoteReference"/>
          <w:rFonts w:ascii="Times New Roman" w:hAnsi="Times New Roman" w:cs="Times New Roman"/>
          <w:sz w:val="24"/>
          <w:szCs w:val="24"/>
        </w:rPr>
        <w:footnoteReference w:id="3"/>
      </w:r>
      <w:r w:rsidRPr="00A26039" w:rsidR="00CD3D6D">
        <w:rPr>
          <w:rFonts w:ascii="Times New Roman" w:hAnsi="Times New Roman" w:cs="Times New Roman"/>
          <w:sz w:val="24"/>
          <w:szCs w:val="24"/>
        </w:rPr>
        <w:t xml:space="preserve"> </w:t>
      </w:r>
      <w:r w:rsidRPr="00A26039" w:rsidR="002341D4">
        <w:rPr>
          <w:rFonts w:ascii="Times New Roman" w:hAnsi="Times New Roman" w:cs="Times New Roman"/>
          <w:sz w:val="24"/>
          <w:szCs w:val="24"/>
        </w:rPr>
        <w:t xml:space="preserve">accepting </w:t>
      </w:r>
      <w:r w:rsidRPr="00A26039" w:rsidR="00110913">
        <w:rPr>
          <w:rFonts w:ascii="Times New Roman" w:hAnsi="Times New Roman" w:cs="Times New Roman"/>
          <w:sz w:val="24"/>
          <w:szCs w:val="24"/>
        </w:rPr>
        <w:t>the Joint Settlement</w:t>
      </w:r>
      <w:r>
        <w:rPr>
          <w:rStyle w:val="FootnoteReference"/>
          <w:rFonts w:ascii="Times New Roman" w:hAnsi="Times New Roman" w:cs="Times New Roman"/>
          <w:sz w:val="24"/>
          <w:szCs w:val="24"/>
        </w:rPr>
        <w:footnoteReference w:id="4"/>
      </w:r>
      <w:r w:rsidRPr="00A26039" w:rsidR="002341D4">
        <w:rPr>
          <w:rFonts w:ascii="Times New Roman" w:hAnsi="Times New Roman" w:cs="Times New Roman"/>
          <w:sz w:val="24"/>
          <w:szCs w:val="24"/>
        </w:rPr>
        <w:t xml:space="preserve"> </w:t>
      </w:r>
      <w:r w:rsidRPr="00A26039" w:rsidR="00110913">
        <w:rPr>
          <w:rFonts w:ascii="Times New Roman" w:hAnsi="Times New Roman" w:cs="Times New Roman"/>
          <w:sz w:val="24"/>
          <w:szCs w:val="24"/>
        </w:rPr>
        <w:t>authoriz</w:t>
      </w:r>
      <w:r w:rsidRPr="00A26039" w:rsidR="00695BFF">
        <w:rPr>
          <w:rFonts w:ascii="Times New Roman" w:hAnsi="Times New Roman" w:cs="Times New Roman"/>
          <w:sz w:val="24"/>
          <w:szCs w:val="24"/>
        </w:rPr>
        <w:t>ing</w:t>
      </w:r>
      <w:r w:rsidRPr="00A26039" w:rsidR="00110913">
        <w:rPr>
          <w:rFonts w:ascii="Times New Roman" w:hAnsi="Times New Roman" w:cs="Times New Roman"/>
          <w:sz w:val="24"/>
          <w:szCs w:val="24"/>
        </w:rPr>
        <w:t xml:space="preserve"> </w:t>
      </w:r>
      <w:r w:rsidRPr="00A26039" w:rsidR="00935361">
        <w:rPr>
          <w:rFonts w:ascii="Times New Roman" w:hAnsi="Times New Roman" w:cs="Times New Roman"/>
          <w:sz w:val="24"/>
          <w:szCs w:val="24"/>
        </w:rPr>
        <w:t xml:space="preserve">higher rates charged to consumers served under PIPP than </w:t>
      </w:r>
      <w:r w:rsidRPr="00A26039" w:rsidR="003D5EA5">
        <w:rPr>
          <w:rFonts w:ascii="Times New Roman" w:hAnsi="Times New Roman" w:cs="Times New Roman"/>
          <w:sz w:val="24"/>
          <w:szCs w:val="24"/>
        </w:rPr>
        <w:t xml:space="preserve">to </w:t>
      </w:r>
      <w:r w:rsidRPr="00A26039" w:rsidR="00935361">
        <w:rPr>
          <w:rFonts w:ascii="Times New Roman" w:hAnsi="Times New Roman" w:cs="Times New Roman"/>
          <w:sz w:val="24"/>
          <w:szCs w:val="24"/>
        </w:rPr>
        <w:t xml:space="preserve">non-low-income consumers served under the electric utility standard offers </w:t>
      </w:r>
      <w:r w:rsidRPr="00A26039" w:rsidR="00CD3D6D">
        <w:rPr>
          <w:rFonts w:ascii="Times New Roman" w:hAnsi="Times New Roman" w:cs="Times New Roman"/>
          <w:sz w:val="24"/>
          <w:szCs w:val="24"/>
        </w:rPr>
        <w:t>fails consumers and is unlawful</w:t>
      </w:r>
      <w:r w:rsidRPr="00A26039" w:rsidR="00AF071D">
        <w:rPr>
          <w:rFonts w:ascii="Times New Roman" w:hAnsi="Times New Roman" w:cs="Times New Roman"/>
          <w:sz w:val="24"/>
          <w:szCs w:val="24"/>
        </w:rPr>
        <w:t xml:space="preserve">. </w:t>
      </w:r>
      <w:r w:rsidRPr="00A26039" w:rsidR="00692851">
        <w:rPr>
          <w:rFonts w:ascii="Times New Roman" w:hAnsi="Times New Roman" w:cs="Times New Roman"/>
          <w:sz w:val="24"/>
          <w:szCs w:val="24"/>
        </w:rPr>
        <w:t xml:space="preserve">The situation that the PUCO has authorized is harmful to PIPP consumers and to all residential consumers who are paying the Universal Service Fund (USF) rider. </w:t>
      </w:r>
      <w:r w:rsidRPr="00A26039" w:rsidR="002C0383">
        <w:rPr>
          <w:rFonts w:ascii="Times New Roman" w:hAnsi="Times New Roman" w:cs="Times New Roman"/>
          <w:sz w:val="24"/>
          <w:szCs w:val="24"/>
        </w:rPr>
        <w:t xml:space="preserve">The </w:t>
      </w:r>
      <w:r w:rsidRPr="00A26039" w:rsidR="00935361">
        <w:rPr>
          <w:rFonts w:ascii="Times New Roman" w:hAnsi="Times New Roman" w:cs="Times New Roman"/>
          <w:sz w:val="24"/>
          <w:szCs w:val="24"/>
        </w:rPr>
        <w:t xml:space="preserve">Opinion </w:t>
      </w:r>
      <w:r w:rsidRPr="00A26039" w:rsidR="002C0383">
        <w:rPr>
          <w:rFonts w:ascii="Times New Roman" w:hAnsi="Times New Roman" w:cs="Times New Roman"/>
          <w:sz w:val="24"/>
          <w:szCs w:val="24"/>
        </w:rPr>
        <w:t>and Order</w:t>
      </w:r>
      <w:r w:rsidRPr="00A26039" w:rsidR="00CC6A3B">
        <w:rPr>
          <w:rFonts w:ascii="Times New Roman" w:hAnsi="Times New Roman" w:cs="Times New Roman"/>
          <w:sz w:val="24"/>
          <w:szCs w:val="24"/>
        </w:rPr>
        <w:t xml:space="preserve"> </w:t>
      </w:r>
      <w:r w:rsidRPr="00A26039" w:rsidR="00E075E8">
        <w:rPr>
          <w:rFonts w:ascii="Times New Roman" w:hAnsi="Times New Roman" w:cs="Times New Roman"/>
          <w:sz w:val="24"/>
          <w:szCs w:val="24"/>
        </w:rPr>
        <w:t>allows</w:t>
      </w:r>
      <w:r w:rsidRPr="00A26039" w:rsidR="00F33ECA">
        <w:rPr>
          <w:rFonts w:ascii="Times New Roman" w:hAnsi="Times New Roman" w:cs="Times New Roman"/>
          <w:sz w:val="24"/>
          <w:szCs w:val="24"/>
        </w:rPr>
        <w:t xml:space="preserve"> at-risk </w:t>
      </w:r>
      <w:r w:rsidRPr="00A26039" w:rsidR="00C33D78">
        <w:rPr>
          <w:rFonts w:ascii="Times New Roman" w:hAnsi="Times New Roman" w:cs="Times New Roman"/>
          <w:sz w:val="24"/>
          <w:szCs w:val="24"/>
        </w:rPr>
        <w:t xml:space="preserve">PIPP </w:t>
      </w:r>
      <w:r w:rsidRPr="00A26039" w:rsidR="002C0383">
        <w:rPr>
          <w:rFonts w:ascii="Times New Roman" w:hAnsi="Times New Roman" w:cs="Times New Roman"/>
          <w:sz w:val="24"/>
          <w:szCs w:val="24"/>
        </w:rPr>
        <w:t>consumers</w:t>
      </w:r>
      <w:r w:rsidRPr="00A26039" w:rsidR="000C1234">
        <w:rPr>
          <w:rFonts w:ascii="Times New Roman" w:hAnsi="Times New Roman" w:cs="Times New Roman"/>
          <w:sz w:val="24"/>
          <w:szCs w:val="24"/>
        </w:rPr>
        <w:t>, the most vulnerable Ohioans,</w:t>
      </w:r>
      <w:r w:rsidRPr="00A26039" w:rsidR="00E075E8">
        <w:rPr>
          <w:rFonts w:ascii="Times New Roman" w:hAnsi="Times New Roman" w:cs="Times New Roman"/>
          <w:sz w:val="24"/>
          <w:szCs w:val="24"/>
        </w:rPr>
        <w:t xml:space="preserve"> to be charged</w:t>
      </w:r>
      <w:r w:rsidRPr="00A26039" w:rsidR="00F33ECA">
        <w:rPr>
          <w:rFonts w:ascii="Times New Roman" w:hAnsi="Times New Roman" w:cs="Times New Roman"/>
          <w:sz w:val="24"/>
          <w:szCs w:val="24"/>
        </w:rPr>
        <w:t xml:space="preserve"> electricity prices that are higher than</w:t>
      </w:r>
      <w:r w:rsidRPr="00A26039" w:rsidR="00CC6A3B">
        <w:rPr>
          <w:rFonts w:ascii="Times New Roman" w:hAnsi="Times New Roman" w:cs="Times New Roman"/>
          <w:sz w:val="24"/>
          <w:szCs w:val="24"/>
        </w:rPr>
        <w:t xml:space="preserve"> </w:t>
      </w:r>
      <w:r w:rsidRPr="00A26039" w:rsidR="00935361">
        <w:rPr>
          <w:rFonts w:ascii="Times New Roman" w:hAnsi="Times New Roman" w:cs="Times New Roman"/>
          <w:sz w:val="24"/>
          <w:szCs w:val="24"/>
        </w:rPr>
        <w:t xml:space="preserve">the standard service offer of </w:t>
      </w:r>
      <w:r w:rsidRPr="00A26039" w:rsidR="003D5EA5">
        <w:rPr>
          <w:rFonts w:ascii="Times New Roman" w:hAnsi="Times New Roman" w:cs="Times New Roman"/>
          <w:sz w:val="24"/>
          <w:szCs w:val="24"/>
        </w:rPr>
        <w:t xml:space="preserve">each of </w:t>
      </w:r>
      <w:r w:rsidRPr="00A26039" w:rsidR="00935361">
        <w:rPr>
          <w:rFonts w:ascii="Times New Roman" w:hAnsi="Times New Roman" w:cs="Times New Roman"/>
          <w:sz w:val="24"/>
          <w:szCs w:val="24"/>
        </w:rPr>
        <w:t>Ohio’s electric distribution utilities.</w:t>
      </w:r>
      <w:r w:rsidRPr="00A26039" w:rsidR="004E5118">
        <w:rPr>
          <w:rFonts w:ascii="Times New Roman" w:hAnsi="Times New Roman" w:cs="Times New Roman"/>
          <w:sz w:val="24"/>
          <w:szCs w:val="24"/>
        </w:rPr>
        <w:t xml:space="preserve"> </w:t>
      </w:r>
      <w:r w:rsidRPr="00A26039" w:rsidR="00C33D78">
        <w:rPr>
          <w:rFonts w:ascii="Times New Roman" w:hAnsi="Times New Roman" w:cs="Times New Roman"/>
          <w:sz w:val="24"/>
          <w:szCs w:val="24"/>
        </w:rPr>
        <w:t xml:space="preserve">R.C. 4928.542 prohibits exactly that. </w:t>
      </w:r>
    </w:p>
    <w:p w:rsidR="002F6E16" w:rsidRPr="00A26039" w:rsidP="00897E6F" w14:paraId="016E9EC4" w14:textId="08951185">
      <w:pPr>
        <w:kinsoku w:val="0"/>
        <w:overflowPunct w:val="0"/>
        <w:autoSpaceDE w:val="0"/>
        <w:autoSpaceDN w:val="0"/>
        <w:adjustRightInd w:val="0"/>
        <w:spacing w:after="0" w:line="480" w:lineRule="auto"/>
        <w:ind w:firstLine="720"/>
        <w:rPr>
          <w:rFonts w:ascii="Times New Roman" w:hAnsi="Times New Roman" w:cs="Times New Roman"/>
          <w:iCs/>
          <w:sz w:val="24"/>
          <w:szCs w:val="24"/>
        </w:rPr>
      </w:pPr>
      <w:r w:rsidRPr="00A26039">
        <w:rPr>
          <w:rFonts w:ascii="Times New Roman" w:hAnsi="Times New Roman" w:cs="Times New Roman"/>
          <w:sz w:val="24"/>
          <w:szCs w:val="24"/>
        </w:rPr>
        <w:t xml:space="preserve">The PUCO’s interpretation of R.C. 4928.542 harms the most vulnerable Ohioans and violated established principles of statutory interpretation and Ohio law. </w:t>
      </w:r>
      <w:r w:rsidRPr="00A26039" w:rsidR="00D51534">
        <w:rPr>
          <w:rFonts w:ascii="Times New Roman" w:hAnsi="Times New Roman" w:cs="Times New Roman"/>
          <w:sz w:val="24"/>
          <w:szCs w:val="24"/>
        </w:rPr>
        <w:t xml:space="preserve">The PUCO erred by unreasonably and unlawfully finding that the Settlement benefits </w:t>
      </w:r>
      <w:r w:rsidRPr="00A26039" w:rsidR="003D5EA5">
        <w:rPr>
          <w:rFonts w:ascii="Times New Roman" w:hAnsi="Times New Roman" w:cs="Times New Roman"/>
          <w:sz w:val="24"/>
          <w:szCs w:val="24"/>
        </w:rPr>
        <w:t>consumers</w:t>
      </w:r>
      <w:r w:rsidRPr="00A26039" w:rsidR="00D51534">
        <w:rPr>
          <w:rFonts w:ascii="Times New Roman" w:hAnsi="Times New Roman" w:cs="Times New Roman"/>
          <w:sz w:val="24"/>
          <w:szCs w:val="24"/>
        </w:rPr>
        <w:t xml:space="preserve"> and the public interest</w:t>
      </w:r>
      <w:r w:rsidRPr="00A26039" w:rsidR="003D5EA5">
        <w:rPr>
          <w:rFonts w:ascii="Times New Roman" w:hAnsi="Times New Roman" w:cs="Times New Roman"/>
          <w:sz w:val="24"/>
          <w:szCs w:val="24"/>
        </w:rPr>
        <w:t>, since</w:t>
      </w:r>
      <w:r w:rsidRPr="00A26039" w:rsidR="00D51534">
        <w:rPr>
          <w:rFonts w:ascii="Times New Roman" w:hAnsi="Times New Roman" w:cs="Times New Roman"/>
          <w:sz w:val="24"/>
          <w:szCs w:val="24"/>
        </w:rPr>
        <w:t xml:space="preserve"> higher PIPP rates relative to the standard service offer are to the detriment of </w:t>
      </w:r>
      <w:r w:rsidRPr="00A26039" w:rsidR="00530D1E">
        <w:rPr>
          <w:rFonts w:ascii="Times New Roman" w:hAnsi="Times New Roman" w:cs="Times New Roman"/>
          <w:sz w:val="24"/>
          <w:szCs w:val="24"/>
        </w:rPr>
        <w:t xml:space="preserve">all </w:t>
      </w:r>
      <w:r w:rsidRPr="00A26039" w:rsidR="00D51534">
        <w:rPr>
          <w:rFonts w:ascii="Times New Roman" w:hAnsi="Times New Roman" w:cs="Times New Roman"/>
          <w:sz w:val="24"/>
          <w:szCs w:val="24"/>
        </w:rPr>
        <w:t xml:space="preserve">consumers and the public interest. </w:t>
      </w:r>
      <w:r w:rsidRPr="00A26039">
        <w:rPr>
          <w:rFonts w:ascii="Times New Roman" w:hAnsi="Times New Roman" w:cs="Times New Roman"/>
          <w:iCs/>
          <w:sz w:val="24"/>
          <w:szCs w:val="24"/>
        </w:rPr>
        <w:t xml:space="preserve">In fact, according to the </w:t>
      </w:r>
      <w:r w:rsidRPr="00A26039" w:rsidR="007A1F0D">
        <w:rPr>
          <w:rFonts w:ascii="Times New Roman" w:hAnsi="Times New Roman" w:cs="Times New Roman"/>
          <w:iCs/>
          <w:sz w:val="24"/>
          <w:szCs w:val="24"/>
        </w:rPr>
        <w:t>a</w:t>
      </w:r>
      <w:r w:rsidRPr="00A26039">
        <w:rPr>
          <w:rFonts w:ascii="Times New Roman" w:hAnsi="Times New Roman" w:cs="Times New Roman"/>
          <w:iCs/>
          <w:sz w:val="24"/>
          <w:szCs w:val="24"/>
        </w:rPr>
        <w:t xml:space="preserve">pplication </w:t>
      </w:r>
      <w:r w:rsidRPr="00A26039">
        <w:rPr>
          <w:rFonts w:ascii="Times New Roman" w:hAnsi="Times New Roman" w:cs="Times New Roman"/>
          <w:iCs/>
          <w:sz w:val="24"/>
          <w:szCs w:val="24"/>
        </w:rPr>
        <w:t xml:space="preserve">that ODOD </w:t>
      </w:r>
      <w:r w:rsidRPr="00A26039" w:rsidR="00DB68BA">
        <w:rPr>
          <w:rFonts w:ascii="Times New Roman" w:hAnsi="Times New Roman" w:cs="Times New Roman"/>
          <w:iCs/>
          <w:sz w:val="24"/>
          <w:szCs w:val="24"/>
        </w:rPr>
        <w:t xml:space="preserve">filed this week </w:t>
      </w:r>
      <w:r w:rsidRPr="00A26039">
        <w:rPr>
          <w:rFonts w:ascii="Times New Roman" w:hAnsi="Times New Roman" w:cs="Times New Roman"/>
          <w:iCs/>
          <w:sz w:val="24"/>
          <w:szCs w:val="24"/>
        </w:rPr>
        <w:t>to adjust the USF rates, the 2023 USF revenue requirement of $330,654,685 represents an increase of $143,395,993 over the 2022 USF revenue requirement.</w:t>
      </w:r>
      <w:r>
        <w:rPr>
          <w:rStyle w:val="FootnoteReference"/>
          <w:rFonts w:ascii="Times New Roman" w:hAnsi="Times New Roman" w:cs="Times New Roman"/>
          <w:iCs/>
          <w:sz w:val="24"/>
          <w:szCs w:val="24"/>
        </w:rPr>
        <w:footnoteReference w:id="5"/>
      </w:r>
      <w:r w:rsidRPr="00A26039">
        <w:rPr>
          <w:rFonts w:ascii="Times New Roman" w:hAnsi="Times New Roman" w:cs="Times New Roman"/>
          <w:iCs/>
          <w:sz w:val="24"/>
          <w:szCs w:val="24"/>
        </w:rPr>
        <w:t xml:space="preserve"> </w:t>
      </w:r>
      <w:r w:rsidRPr="00A26039" w:rsidR="00A92822">
        <w:rPr>
          <w:rFonts w:ascii="Times New Roman" w:hAnsi="Times New Roman" w:cs="Times New Roman"/>
          <w:iCs/>
          <w:sz w:val="24"/>
          <w:szCs w:val="24"/>
        </w:rPr>
        <w:t>The monthly USF Rider charges increase across each of the electric utilities for all consumers.</w:t>
      </w:r>
      <w:r>
        <w:rPr>
          <w:rStyle w:val="FootnoteReference"/>
          <w:rFonts w:ascii="Times New Roman" w:hAnsi="Times New Roman" w:cs="Times New Roman"/>
          <w:iCs/>
          <w:sz w:val="24"/>
          <w:szCs w:val="24"/>
        </w:rPr>
        <w:footnoteReference w:id="6"/>
      </w:r>
      <w:r w:rsidRPr="00A26039" w:rsidR="00A92822">
        <w:rPr>
          <w:rFonts w:ascii="Times New Roman" w:hAnsi="Times New Roman" w:cs="Times New Roman"/>
          <w:iCs/>
          <w:sz w:val="24"/>
          <w:szCs w:val="24"/>
        </w:rPr>
        <w:t xml:space="preserve"> </w:t>
      </w:r>
      <w:r w:rsidRPr="00A26039">
        <w:rPr>
          <w:rFonts w:ascii="Times New Roman" w:hAnsi="Times New Roman" w:cs="Times New Roman"/>
          <w:iCs/>
          <w:sz w:val="24"/>
          <w:szCs w:val="24"/>
        </w:rPr>
        <w:t>And ODOD acknowledges that the increase in the revenue requirement is partially attributed to the increases in the cost of electric supply for PIPP consumers.</w:t>
      </w:r>
      <w:r>
        <w:rPr>
          <w:rStyle w:val="FootnoteReference"/>
          <w:rFonts w:ascii="Times New Roman" w:hAnsi="Times New Roman" w:cs="Times New Roman"/>
          <w:iCs/>
          <w:sz w:val="24"/>
          <w:szCs w:val="24"/>
        </w:rPr>
        <w:footnoteReference w:id="7"/>
      </w:r>
      <w:r w:rsidRPr="00A26039">
        <w:rPr>
          <w:rFonts w:ascii="Times New Roman" w:hAnsi="Times New Roman" w:cs="Times New Roman"/>
          <w:iCs/>
          <w:sz w:val="24"/>
          <w:szCs w:val="24"/>
        </w:rPr>
        <w:t xml:space="preserve"> </w:t>
      </w:r>
    </w:p>
    <w:p w:rsidR="005535FB" w:rsidRPr="00A26039" w:rsidP="00897E6F" w14:paraId="0CFA4105" w14:textId="71092E3D">
      <w:pPr>
        <w:kinsoku w:val="0"/>
        <w:overflowPunct w:val="0"/>
        <w:autoSpaceDE w:val="0"/>
        <w:autoSpaceDN w:val="0"/>
        <w:adjustRightInd w:val="0"/>
        <w:spacing w:after="0" w:line="480" w:lineRule="auto"/>
        <w:ind w:firstLine="720"/>
        <w:rPr>
          <w:rFonts w:ascii="Times New Roman" w:hAnsi="Times New Roman" w:cs="Times New Roman"/>
          <w:sz w:val="24"/>
          <w:szCs w:val="24"/>
        </w:rPr>
      </w:pPr>
      <w:r w:rsidRPr="00A26039">
        <w:rPr>
          <w:rFonts w:ascii="Times New Roman" w:hAnsi="Times New Roman" w:cs="Times New Roman"/>
          <w:sz w:val="24"/>
          <w:szCs w:val="24"/>
        </w:rPr>
        <w:t>T</w:t>
      </w:r>
      <w:r w:rsidRPr="00A26039" w:rsidR="00B10F10">
        <w:rPr>
          <w:rFonts w:ascii="Times New Roman" w:hAnsi="Times New Roman" w:cs="Times New Roman"/>
          <w:sz w:val="24"/>
          <w:szCs w:val="24"/>
        </w:rPr>
        <w:t>he PUCO further erred by unreasonably claiming that PIPP generation rates are beyond the scope of this proceeding</w:t>
      </w:r>
      <w:r w:rsidRPr="00A26039" w:rsidR="00D51534">
        <w:rPr>
          <w:rFonts w:ascii="Times New Roman" w:hAnsi="Times New Roman" w:cs="Times New Roman"/>
          <w:sz w:val="24"/>
          <w:szCs w:val="24"/>
        </w:rPr>
        <w:t xml:space="preserve"> </w:t>
      </w:r>
      <w:r w:rsidRPr="00A26039" w:rsidR="003D5EA5">
        <w:rPr>
          <w:rFonts w:ascii="Times New Roman" w:hAnsi="Times New Roman" w:cs="Times New Roman"/>
          <w:sz w:val="24"/>
          <w:szCs w:val="24"/>
        </w:rPr>
        <w:t xml:space="preserve">that addresses the cost of PIPP in the USF, </w:t>
      </w:r>
      <w:r w:rsidRPr="00A26039" w:rsidR="00D51534">
        <w:rPr>
          <w:rFonts w:ascii="Times New Roman" w:hAnsi="Times New Roman" w:cs="Times New Roman"/>
          <w:sz w:val="24"/>
          <w:szCs w:val="24"/>
        </w:rPr>
        <w:t xml:space="preserve">without identifying an </w:t>
      </w:r>
      <w:r w:rsidRPr="00A26039" w:rsidR="003D5EA5">
        <w:rPr>
          <w:rFonts w:ascii="Times New Roman" w:hAnsi="Times New Roman" w:cs="Times New Roman"/>
          <w:sz w:val="24"/>
          <w:szCs w:val="24"/>
        </w:rPr>
        <w:t>alternative</w:t>
      </w:r>
      <w:r w:rsidRPr="00A26039" w:rsidR="00D51534">
        <w:rPr>
          <w:rFonts w:ascii="Times New Roman" w:hAnsi="Times New Roman" w:cs="Times New Roman"/>
          <w:sz w:val="24"/>
          <w:szCs w:val="24"/>
        </w:rPr>
        <w:t xml:space="preserve"> venue for addressing this issue. </w:t>
      </w:r>
      <w:r w:rsidRPr="00A26039" w:rsidR="00530D1E">
        <w:rPr>
          <w:rFonts w:ascii="Times New Roman" w:hAnsi="Times New Roman" w:cs="Times New Roman"/>
          <w:sz w:val="24"/>
          <w:szCs w:val="24"/>
        </w:rPr>
        <w:t xml:space="preserve">PIPP generation rates are well within the scope of this proceeding and need to be addressed </w:t>
      </w:r>
      <w:r w:rsidRPr="00A26039" w:rsidR="00177147">
        <w:rPr>
          <w:rFonts w:ascii="Times New Roman" w:hAnsi="Times New Roman" w:cs="Times New Roman"/>
          <w:sz w:val="24"/>
          <w:szCs w:val="24"/>
        </w:rPr>
        <w:t>now for Ohio consumers</w:t>
      </w:r>
      <w:r w:rsidRPr="00A26039" w:rsidR="00530D1E">
        <w:rPr>
          <w:rFonts w:ascii="Times New Roman" w:hAnsi="Times New Roman" w:cs="Times New Roman"/>
          <w:sz w:val="24"/>
          <w:szCs w:val="24"/>
        </w:rPr>
        <w:t>.</w:t>
      </w:r>
    </w:p>
    <w:p w:rsidR="00403913" w:rsidRPr="00A26039" w:rsidP="00403913" w14:paraId="2285826C" w14:textId="0EACE5A3">
      <w:pPr>
        <w:kinsoku w:val="0"/>
        <w:overflowPunct w:val="0"/>
        <w:autoSpaceDE w:val="0"/>
        <w:autoSpaceDN w:val="0"/>
        <w:adjustRightInd w:val="0"/>
        <w:spacing w:after="0" w:line="480" w:lineRule="auto"/>
        <w:ind w:firstLine="720"/>
        <w:rPr>
          <w:rFonts w:ascii="Times New Roman" w:hAnsi="Times New Roman" w:cs="Times New Roman"/>
          <w:sz w:val="24"/>
          <w:szCs w:val="24"/>
        </w:rPr>
      </w:pPr>
      <w:r w:rsidRPr="00A26039">
        <w:rPr>
          <w:rFonts w:ascii="Times New Roman" w:hAnsi="Times New Roman" w:cs="Times New Roman"/>
          <w:sz w:val="24"/>
          <w:szCs w:val="24"/>
        </w:rPr>
        <w:t xml:space="preserve">Accordingly, under R.C. 4903.10, OCC applies for rehearing of the </w:t>
      </w:r>
      <w:r w:rsidRPr="00A26039" w:rsidR="00695BFF">
        <w:rPr>
          <w:rFonts w:ascii="Times New Roman" w:hAnsi="Times New Roman" w:cs="Times New Roman"/>
          <w:sz w:val="24"/>
          <w:szCs w:val="24"/>
        </w:rPr>
        <w:t>October 5, 2022</w:t>
      </w:r>
      <w:r w:rsidRPr="00A26039" w:rsidR="000C1234">
        <w:rPr>
          <w:rFonts w:ascii="Times New Roman" w:hAnsi="Times New Roman" w:cs="Times New Roman"/>
          <w:sz w:val="24"/>
          <w:szCs w:val="24"/>
        </w:rPr>
        <w:t xml:space="preserve"> </w:t>
      </w:r>
      <w:r w:rsidRPr="00A26039">
        <w:rPr>
          <w:rFonts w:ascii="Times New Roman" w:hAnsi="Times New Roman" w:cs="Times New Roman"/>
          <w:sz w:val="24"/>
          <w:szCs w:val="24"/>
        </w:rPr>
        <w:t>Finding and Order</w:t>
      </w:r>
      <w:r w:rsidRPr="00A26039" w:rsidR="004E5118">
        <w:rPr>
          <w:rFonts w:ascii="Times New Roman" w:hAnsi="Times New Roman" w:cs="Times New Roman"/>
          <w:sz w:val="24"/>
          <w:szCs w:val="24"/>
        </w:rPr>
        <w:t xml:space="preserve">, which </w:t>
      </w:r>
      <w:r w:rsidRPr="00A26039">
        <w:rPr>
          <w:rFonts w:ascii="Times New Roman" w:hAnsi="Times New Roman" w:cs="Times New Roman"/>
          <w:sz w:val="24"/>
          <w:szCs w:val="24"/>
        </w:rPr>
        <w:t xml:space="preserve">was </w:t>
      </w:r>
      <w:r w:rsidRPr="00A26039" w:rsidR="00177147">
        <w:rPr>
          <w:rFonts w:ascii="Times New Roman" w:hAnsi="Times New Roman" w:cs="Times New Roman"/>
          <w:sz w:val="24"/>
          <w:szCs w:val="24"/>
        </w:rPr>
        <w:t xml:space="preserve">unreasonable and </w:t>
      </w:r>
      <w:r w:rsidRPr="00A26039">
        <w:rPr>
          <w:rFonts w:ascii="Times New Roman" w:hAnsi="Times New Roman" w:cs="Times New Roman"/>
          <w:sz w:val="24"/>
          <w:szCs w:val="24"/>
        </w:rPr>
        <w:t xml:space="preserve">unlawful in the following respects: </w:t>
      </w:r>
    </w:p>
    <w:p w:rsidR="00A27F65" w:rsidRPr="00A26039" w:rsidP="00D9398D" w14:paraId="0CC82E91" w14:textId="1CC5DEB9">
      <w:pPr>
        <w:widowControl w:val="0"/>
        <w:spacing w:after="0" w:line="240" w:lineRule="auto"/>
        <w:ind w:left="720"/>
        <w:rPr>
          <w:rFonts w:ascii="Times New Roman" w:hAnsi="Times New Roman" w:cs="Times New Roman"/>
          <w:b/>
          <w:bCs/>
          <w:color w:val="000000" w:themeColor="text1"/>
          <w:sz w:val="24"/>
          <w:szCs w:val="24"/>
        </w:rPr>
      </w:pPr>
      <w:bookmarkStart w:id="0" w:name="_Hlk98511697"/>
      <w:bookmarkStart w:id="1" w:name="_Hlk118468753"/>
      <w:r w:rsidRPr="00A26039">
        <w:rPr>
          <w:rFonts w:ascii="Times New Roman" w:hAnsi="Times New Roman" w:cs="Times New Roman"/>
          <w:sz w:val="24"/>
          <w:szCs w:val="24"/>
        </w:rPr>
        <w:t xml:space="preserve">ASSIGNMENT OF ERROR NO. 1: The PUCO erred </w:t>
      </w:r>
      <w:r w:rsidRPr="00A26039" w:rsidR="00177147">
        <w:rPr>
          <w:rFonts w:ascii="Times New Roman" w:hAnsi="Times New Roman" w:cs="Times New Roman"/>
          <w:sz w:val="24"/>
          <w:szCs w:val="24"/>
        </w:rPr>
        <w:t>by</w:t>
      </w:r>
      <w:r w:rsidRPr="00A26039">
        <w:rPr>
          <w:rFonts w:ascii="Times New Roman" w:hAnsi="Times New Roman" w:cs="Times New Roman"/>
          <w:sz w:val="24"/>
          <w:szCs w:val="24"/>
        </w:rPr>
        <w:t xml:space="preserve"> violat</w:t>
      </w:r>
      <w:r w:rsidRPr="00A26039" w:rsidR="00177147">
        <w:rPr>
          <w:rFonts w:ascii="Times New Roman" w:hAnsi="Times New Roman" w:cs="Times New Roman"/>
          <w:sz w:val="24"/>
          <w:szCs w:val="24"/>
        </w:rPr>
        <w:t xml:space="preserve">ing </w:t>
      </w:r>
      <w:r w:rsidRPr="00A26039" w:rsidR="007A1F0D">
        <w:rPr>
          <w:rFonts w:ascii="Times New Roman" w:hAnsi="Times New Roman" w:cs="Times New Roman"/>
          <w:sz w:val="24"/>
          <w:szCs w:val="24"/>
        </w:rPr>
        <w:t>R.C. 4928.542 by</w:t>
      </w:r>
      <w:r w:rsidRPr="00A26039" w:rsidR="00994FA0">
        <w:rPr>
          <w:rFonts w:ascii="Times New Roman" w:hAnsi="Times New Roman" w:cs="Times New Roman"/>
          <w:sz w:val="24"/>
          <w:szCs w:val="24"/>
        </w:rPr>
        <w:t xml:space="preserve"> authoriz</w:t>
      </w:r>
      <w:r w:rsidRPr="00A26039" w:rsidR="00424275">
        <w:rPr>
          <w:rFonts w:ascii="Times New Roman" w:hAnsi="Times New Roman" w:cs="Times New Roman"/>
          <w:sz w:val="24"/>
          <w:szCs w:val="24"/>
        </w:rPr>
        <w:t>ing ODOD</w:t>
      </w:r>
      <w:r w:rsidRPr="00A26039">
        <w:rPr>
          <w:rFonts w:ascii="Times New Roman" w:hAnsi="Times New Roman" w:cs="Times New Roman"/>
          <w:sz w:val="24"/>
          <w:szCs w:val="24"/>
        </w:rPr>
        <w:t xml:space="preserve"> t</w:t>
      </w:r>
      <w:r w:rsidRPr="00A26039" w:rsidR="00CD1BE1">
        <w:rPr>
          <w:rFonts w:ascii="Times New Roman" w:hAnsi="Times New Roman" w:cs="Times New Roman"/>
          <w:sz w:val="24"/>
          <w:szCs w:val="24"/>
        </w:rPr>
        <w:t>o</w:t>
      </w:r>
      <w:r w:rsidRPr="00A26039">
        <w:rPr>
          <w:rFonts w:ascii="Times New Roman" w:hAnsi="Times New Roman" w:cs="Times New Roman"/>
          <w:sz w:val="24"/>
          <w:szCs w:val="24"/>
        </w:rPr>
        <w:t xml:space="preserve"> </w:t>
      </w:r>
      <w:r w:rsidRPr="00A26039" w:rsidR="00994FA0">
        <w:rPr>
          <w:rFonts w:ascii="Times New Roman" w:hAnsi="Times New Roman" w:cs="Times New Roman"/>
          <w:sz w:val="24"/>
          <w:szCs w:val="24"/>
        </w:rPr>
        <w:t>charge</w:t>
      </w:r>
      <w:r w:rsidRPr="00A26039" w:rsidR="00BB2F23">
        <w:rPr>
          <w:rFonts w:ascii="Times New Roman" w:hAnsi="Times New Roman" w:cs="Times New Roman"/>
          <w:sz w:val="24"/>
          <w:szCs w:val="24"/>
        </w:rPr>
        <w:t xml:space="preserve"> higher electricity prices</w:t>
      </w:r>
      <w:r w:rsidRPr="00A26039" w:rsidR="00177147">
        <w:rPr>
          <w:rFonts w:ascii="Times New Roman" w:hAnsi="Times New Roman" w:cs="Times New Roman"/>
          <w:sz w:val="24"/>
          <w:szCs w:val="24"/>
        </w:rPr>
        <w:t xml:space="preserve"> to </w:t>
      </w:r>
      <w:r w:rsidRPr="00A26039">
        <w:rPr>
          <w:rFonts w:ascii="Times New Roman" w:hAnsi="Times New Roman" w:cs="Times New Roman"/>
          <w:sz w:val="24"/>
          <w:szCs w:val="24"/>
        </w:rPr>
        <w:t xml:space="preserve">at-risk PIPP consumers than </w:t>
      </w:r>
      <w:r w:rsidRPr="00A26039" w:rsidR="00424275">
        <w:rPr>
          <w:rFonts w:ascii="Times New Roman" w:hAnsi="Times New Roman" w:cs="Times New Roman"/>
          <w:sz w:val="24"/>
          <w:szCs w:val="24"/>
        </w:rPr>
        <w:t xml:space="preserve">are being charged to </w:t>
      </w:r>
      <w:r w:rsidRPr="00A26039">
        <w:rPr>
          <w:rFonts w:ascii="Times New Roman" w:hAnsi="Times New Roman" w:cs="Times New Roman"/>
          <w:sz w:val="24"/>
          <w:szCs w:val="24"/>
        </w:rPr>
        <w:t xml:space="preserve">the utilities’ standard service offer </w:t>
      </w:r>
      <w:r w:rsidRPr="00A26039" w:rsidR="00BB2F23">
        <w:rPr>
          <w:rFonts w:ascii="Times New Roman" w:hAnsi="Times New Roman" w:cs="Times New Roman"/>
          <w:sz w:val="24"/>
          <w:szCs w:val="24"/>
        </w:rPr>
        <w:t>consumers</w:t>
      </w:r>
      <w:r w:rsidRPr="00A26039">
        <w:rPr>
          <w:rFonts w:ascii="Times New Roman" w:hAnsi="Times New Roman" w:cs="Times New Roman"/>
          <w:sz w:val="24"/>
          <w:szCs w:val="24"/>
        </w:rPr>
        <w:t>.</w:t>
      </w:r>
    </w:p>
    <w:p w:rsidR="00D9398D" w:rsidRPr="00A26039" w:rsidP="00D9398D" w14:paraId="3B9854F6" w14:textId="77777777">
      <w:pPr>
        <w:widowControl w:val="0"/>
        <w:spacing w:after="0" w:line="240" w:lineRule="auto"/>
        <w:ind w:left="720"/>
        <w:rPr>
          <w:rFonts w:ascii="Times New Roman" w:hAnsi="Times New Roman" w:cs="Times New Roman"/>
          <w:b/>
          <w:bCs/>
          <w:color w:val="000000" w:themeColor="text1"/>
          <w:sz w:val="24"/>
          <w:szCs w:val="24"/>
        </w:rPr>
      </w:pPr>
    </w:p>
    <w:bookmarkEnd w:id="0"/>
    <w:p w:rsidR="000C6247" w:rsidRPr="00A26039" w:rsidP="000C6247" w14:paraId="2A0C8A88" w14:textId="6A92AF48">
      <w:pPr>
        <w:widowControl w:val="0"/>
        <w:spacing w:after="0" w:line="240" w:lineRule="auto"/>
        <w:ind w:left="720"/>
        <w:rPr>
          <w:rFonts w:ascii="Times New Roman" w:hAnsi="Times New Roman" w:cs="Times New Roman"/>
          <w:sz w:val="24"/>
          <w:szCs w:val="24"/>
        </w:rPr>
      </w:pPr>
      <w:r w:rsidRPr="00A26039">
        <w:rPr>
          <w:rFonts w:ascii="Times New Roman" w:hAnsi="Times New Roman" w:cs="Times New Roman"/>
          <w:sz w:val="24"/>
          <w:szCs w:val="24"/>
        </w:rPr>
        <w:t xml:space="preserve">ASSIGNMENT OF ERROR NO. 2: The PUCO erred by unreasonably and unlawfully finding that the Settlement benefits </w:t>
      </w:r>
      <w:r w:rsidRPr="00A26039" w:rsidR="003D5EA5">
        <w:rPr>
          <w:rFonts w:ascii="Times New Roman" w:hAnsi="Times New Roman" w:cs="Times New Roman"/>
          <w:sz w:val="24"/>
          <w:szCs w:val="24"/>
        </w:rPr>
        <w:t>consumers</w:t>
      </w:r>
      <w:r w:rsidRPr="00A26039">
        <w:rPr>
          <w:rFonts w:ascii="Times New Roman" w:hAnsi="Times New Roman" w:cs="Times New Roman"/>
          <w:sz w:val="24"/>
          <w:szCs w:val="24"/>
        </w:rPr>
        <w:t xml:space="preserve"> and the public interest because higher PIPP rates relative to the standard service offer are to their detriment.</w:t>
      </w:r>
      <w:r w:rsidRPr="00A26039" w:rsidR="00CF4611">
        <w:rPr>
          <w:rFonts w:ascii="Times New Roman" w:hAnsi="Times New Roman" w:cs="Times New Roman"/>
          <w:sz w:val="24"/>
          <w:szCs w:val="24"/>
        </w:rPr>
        <w:t xml:space="preserve"> </w:t>
      </w:r>
    </w:p>
    <w:p w:rsidR="000C6247" w:rsidRPr="00A26039" w:rsidP="000C6247" w14:paraId="3E2B3E13" w14:textId="77777777">
      <w:pPr>
        <w:widowControl w:val="0"/>
        <w:spacing w:after="0" w:line="240" w:lineRule="auto"/>
        <w:ind w:left="720"/>
        <w:rPr>
          <w:rFonts w:ascii="Times New Roman" w:hAnsi="Times New Roman" w:cs="Times New Roman"/>
          <w:sz w:val="24"/>
          <w:szCs w:val="24"/>
        </w:rPr>
      </w:pPr>
    </w:p>
    <w:p w:rsidR="007A1F0D" w:rsidRPr="00A26039" w:rsidP="001347B8" w14:paraId="32EA5051" w14:textId="21EFEA67">
      <w:pPr>
        <w:widowControl w:val="0"/>
        <w:spacing w:after="0" w:line="240" w:lineRule="auto"/>
        <w:ind w:left="720"/>
        <w:rPr>
          <w:rFonts w:ascii="Times New Roman" w:hAnsi="Times New Roman" w:cs="Times New Roman"/>
          <w:sz w:val="24"/>
          <w:szCs w:val="24"/>
        </w:rPr>
      </w:pPr>
      <w:r w:rsidRPr="00A26039">
        <w:rPr>
          <w:rFonts w:ascii="Times New Roman" w:hAnsi="Times New Roman" w:cs="Times New Roman"/>
          <w:sz w:val="24"/>
          <w:szCs w:val="24"/>
        </w:rPr>
        <w:t xml:space="preserve">ASSIGNMENT OF ERROR NO. </w:t>
      </w:r>
      <w:r w:rsidRPr="00A26039" w:rsidR="000C6247">
        <w:rPr>
          <w:rFonts w:ascii="Times New Roman" w:hAnsi="Times New Roman" w:cs="Times New Roman"/>
          <w:sz w:val="24"/>
          <w:szCs w:val="24"/>
        </w:rPr>
        <w:t>3</w:t>
      </w:r>
      <w:r w:rsidRPr="00A26039">
        <w:rPr>
          <w:rFonts w:ascii="Times New Roman" w:hAnsi="Times New Roman" w:cs="Times New Roman"/>
          <w:sz w:val="24"/>
          <w:szCs w:val="24"/>
        </w:rPr>
        <w:t xml:space="preserve">: The PUCO erred by unreasonably </w:t>
      </w:r>
      <w:r w:rsidRPr="00A26039" w:rsidR="00CD1BE1">
        <w:rPr>
          <w:rFonts w:ascii="Times New Roman" w:hAnsi="Times New Roman" w:cs="Times New Roman"/>
          <w:sz w:val="24"/>
          <w:szCs w:val="24"/>
        </w:rPr>
        <w:t xml:space="preserve">and unlawfully </w:t>
      </w:r>
      <w:r w:rsidRPr="00A26039">
        <w:rPr>
          <w:rFonts w:ascii="Times New Roman" w:hAnsi="Times New Roman" w:cs="Times New Roman"/>
          <w:sz w:val="24"/>
          <w:szCs w:val="24"/>
        </w:rPr>
        <w:t xml:space="preserve">claiming that the utilities’ PIPP generation rates, while a component of the cost of the PIPP program, is beyond the </w:t>
      </w:r>
      <w:r w:rsidRPr="00A26039" w:rsidR="00D51534">
        <w:rPr>
          <w:rFonts w:ascii="Times New Roman" w:hAnsi="Times New Roman" w:cs="Times New Roman"/>
          <w:sz w:val="24"/>
          <w:szCs w:val="24"/>
        </w:rPr>
        <w:t>scope</w:t>
      </w:r>
      <w:r w:rsidRPr="00A26039">
        <w:rPr>
          <w:rFonts w:ascii="Times New Roman" w:hAnsi="Times New Roman" w:cs="Times New Roman"/>
          <w:sz w:val="24"/>
          <w:szCs w:val="24"/>
        </w:rPr>
        <w:t xml:space="preserve"> </w:t>
      </w:r>
      <w:r w:rsidRPr="00A26039" w:rsidR="00D51534">
        <w:rPr>
          <w:rFonts w:ascii="Times New Roman" w:hAnsi="Times New Roman" w:cs="Times New Roman"/>
          <w:sz w:val="24"/>
          <w:szCs w:val="24"/>
        </w:rPr>
        <w:t>of this proceeding</w:t>
      </w:r>
      <w:r w:rsidRPr="00A26039" w:rsidR="000D4657">
        <w:rPr>
          <w:rFonts w:ascii="Times New Roman" w:hAnsi="Times New Roman" w:cs="Times New Roman"/>
          <w:sz w:val="24"/>
          <w:szCs w:val="24"/>
        </w:rPr>
        <w:t xml:space="preserve"> </w:t>
      </w:r>
      <w:r w:rsidRPr="00A26039" w:rsidR="004169C1">
        <w:rPr>
          <w:rFonts w:ascii="Times New Roman" w:hAnsi="Times New Roman" w:cs="Times New Roman"/>
          <w:sz w:val="24"/>
          <w:szCs w:val="24"/>
        </w:rPr>
        <w:t>because the USF Rider revenue requirement methodology must comply (but does not)</w:t>
      </w:r>
      <w:r w:rsidRPr="00A26039" w:rsidR="00CD1BE1">
        <w:rPr>
          <w:rFonts w:ascii="Times New Roman" w:hAnsi="Times New Roman" w:cs="Times New Roman"/>
          <w:sz w:val="24"/>
          <w:szCs w:val="24"/>
        </w:rPr>
        <w:t xml:space="preserve"> </w:t>
      </w:r>
      <w:r w:rsidRPr="00A26039">
        <w:rPr>
          <w:rFonts w:ascii="Times New Roman" w:hAnsi="Times New Roman" w:cs="Times New Roman"/>
          <w:sz w:val="24"/>
          <w:szCs w:val="24"/>
        </w:rPr>
        <w:t>with R.C.</w:t>
      </w:r>
      <w:r w:rsidRPr="00A26039" w:rsidR="000D4657">
        <w:rPr>
          <w:rFonts w:ascii="Times New Roman" w:hAnsi="Times New Roman" w:cs="Times New Roman"/>
          <w:sz w:val="24"/>
          <w:szCs w:val="24"/>
        </w:rPr>
        <w:t xml:space="preserve"> 4928.542</w:t>
      </w:r>
      <w:r w:rsidRPr="00A26039" w:rsidR="004169C1">
        <w:rPr>
          <w:rFonts w:ascii="Times New Roman" w:hAnsi="Times New Roman" w:cs="Times New Roman"/>
          <w:sz w:val="24"/>
          <w:szCs w:val="24"/>
        </w:rPr>
        <w:t>.</w:t>
      </w:r>
    </w:p>
    <w:p w:rsidR="00511959" w:rsidRPr="00A26039" w:rsidP="00773B01" w14:paraId="5D07FA20" w14:textId="77777777">
      <w:pPr>
        <w:widowControl w:val="0"/>
        <w:spacing w:after="0" w:line="240" w:lineRule="auto"/>
        <w:ind w:left="720"/>
        <w:rPr>
          <w:rFonts w:ascii="Times New Roman" w:hAnsi="Times New Roman" w:cs="Times New Roman"/>
          <w:sz w:val="24"/>
          <w:szCs w:val="24"/>
        </w:rPr>
      </w:pPr>
    </w:p>
    <w:p w:rsidR="001347B8" w:rsidP="001347B8" w14:paraId="7FBB59C0" w14:textId="77777777">
      <w:pPr>
        <w:widowControl w:val="0"/>
        <w:spacing w:after="0" w:line="240" w:lineRule="auto"/>
        <w:ind w:left="720"/>
        <w:rPr>
          <w:rFonts w:ascii="Times New Roman" w:hAnsi="Times New Roman" w:cs="Times New Roman"/>
          <w:sz w:val="24"/>
          <w:szCs w:val="24"/>
        </w:rPr>
      </w:pPr>
      <w:r w:rsidRPr="00A26039">
        <w:rPr>
          <w:rFonts w:ascii="Times New Roman" w:hAnsi="Times New Roman" w:cs="Times New Roman"/>
          <w:sz w:val="24"/>
          <w:szCs w:val="24"/>
        </w:rPr>
        <w:t xml:space="preserve">ASSIGNMENT OF ERROR NO. 4: The PUCO erred by unreasonably and unlawfully finding that the Settlement showed that serious bargaining occurred and that diversity of interests was not required thus violating the first prong of the PUCO’s Settlement standard. </w:t>
      </w:r>
    </w:p>
    <w:bookmarkEnd w:id="1"/>
    <w:p w:rsidR="001347B8" w:rsidP="001347B8" w14:paraId="3077DCCC" w14:textId="77777777">
      <w:pPr>
        <w:widowControl w:val="0"/>
        <w:spacing w:after="0" w:line="240" w:lineRule="auto"/>
        <w:ind w:left="720"/>
        <w:rPr>
          <w:rFonts w:ascii="Times New Roman" w:hAnsi="Times New Roman" w:cs="Times New Roman"/>
          <w:sz w:val="24"/>
          <w:szCs w:val="24"/>
        </w:rPr>
      </w:pPr>
    </w:p>
    <w:p w:rsidR="009D6F53" w:rsidRPr="00A26039" w:rsidP="001347B8" w14:paraId="2F570B49" w14:textId="516F28AA">
      <w:pPr>
        <w:widowControl w:val="0"/>
        <w:spacing w:after="0" w:line="240" w:lineRule="auto"/>
        <w:ind w:left="3600"/>
        <w:rPr>
          <w:rFonts w:ascii="Times New Roman" w:hAnsi="Times New Roman" w:cs="Times New Roman"/>
          <w:sz w:val="24"/>
          <w:szCs w:val="24"/>
        </w:rPr>
      </w:pPr>
      <w:r w:rsidRPr="00A26039">
        <w:rPr>
          <w:rFonts w:ascii="Times New Roman" w:hAnsi="Times New Roman" w:cs="Times New Roman"/>
          <w:sz w:val="24"/>
          <w:szCs w:val="24"/>
        </w:rPr>
        <w:t>Respectfully submitted,</w:t>
      </w:r>
    </w:p>
    <w:p w:rsidR="002F6E16" w:rsidRPr="00A26039" w:rsidP="001347B8" w14:paraId="34A179ED" w14:textId="77777777">
      <w:pPr>
        <w:pStyle w:val="Footer"/>
        <w:rPr>
          <w:rFonts w:ascii="Times New Roman" w:hAnsi="Times New Roman" w:cs="Times New Roman"/>
          <w:sz w:val="24"/>
          <w:szCs w:val="24"/>
        </w:rPr>
      </w:pPr>
    </w:p>
    <w:p w:rsidR="009D6F53" w:rsidRPr="00A26039" w:rsidP="001347B8" w14:paraId="1CA21213" w14:textId="26FF8BC3">
      <w:pPr>
        <w:pStyle w:val="Footer"/>
        <w:ind w:left="3600"/>
        <w:rPr>
          <w:rFonts w:ascii="Times New Roman" w:hAnsi="Times New Roman" w:cs="Times New Roman"/>
          <w:sz w:val="24"/>
          <w:szCs w:val="24"/>
        </w:rPr>
      </w:pPr>
      <w:r w:rsidRPr="00A26039">
        <w:rPr>
          <w:rFonts w:ascii="Times New Roman" w:hAnsi="Times New Roman" w:cs="Times New Roman"/>
          <w:sz w:val="24"/>
          <w:szCs w:val="24"/>
        </w:rPr>
        <w:t>Bruce Weston (0016973)</w:t>
      </w:r>
    </w:p>
    <w:p w:rsidR="009D6F53" w:rsidRPr="00A26039" w:rsidP="001347B8" w14:paraId="109C134F" w14:textId="77777777">
      <w:pPr>
        <w:spacing w:after="0" w:line="240" w:lineRule="auto"/>
        <w:ind w:left="3600"/>
        <w:rPr>
          <w:rFonts w:ascii="Times New Roman" w:hAnsi="Times New Roman" w:cs="Times New Roman"/>
          <w:sz w:val="24"/>
          <w:szCs w:val="24"/>
        </w:rPr>
      </w:pPr>
      <w:r w:rsidRPr="00A26039">
        <w:rPr>
          <w:rFonts w:ascii="Times New Roman" w:hAnsi="Times New Roman" w:cs="Times New Roman"/>
          <w:sz w:val="24"/>
          <w:szCs w:val="24"/>
        </w:rPr>
        <w:t>Ohio Consumers’ Counsel</w:t>
      </w:r>
    </w:p>
    <w:p w:rsidR="009D6F53" w:rsidRPr="00A26039" w:rsidP="001347B8" w14:paraId="4E9D7E36" w14:textId="77777777">
      <w:pPr>
        <w:tabs>
          <w:tab w:val="left" w:pos="4320"/>
        </w:tabs>
        <w:spacing w:after="0" w:line="240" w:lineRule="auto"/>
        <w:ind w:left="3600"/>
        <w:rPr>
          <w:rFonts w:ascii="Times New Roman" w:hAnsi="Times New Roman" w:cs="Times New Roman"/>
          <w:i/>
          <w:sz w:val="24"/>
          <w:szCs w:val="24"/>
          <w:u w:val="single"/>
        </w:rPr>
      </w:pPr>
    </w:p>
    <w:p w:rsidR="009D6F53" w:rsidRPr="00A26039" w:rsidP="001347B8" w14:paraId="0AFFC685" w14:textId="16B53BD2">
      <w:pPr>
        <w:spacing w:after="0" w:line="240" w:lineRule="auto"/>
        <w:ind w:left="3600"/>
        <w:rPr>
          <w:rFonts w:ascii="Times New Roman" w:hAnsi="Times New Roman" w:cs="Times New Roman"/>
          <w:bCs/>
          <w:i/>
          <w:iCs/>
          <w:sz w:val="24"/>
          <w:szCs w:val="24"/>
          <w:u w:val="single"/>
        </w:rPr>
      </w:pPr>
      <w:r w:rsidRPr="00A26039">
        <w:rPr>
          <w:rFonts w:ascii="Times New Roman" w:hAnsi="Times New Roman" w:cs="Times New Roman"/>
          <w:bCs/>
          <w:i/>
          <w:iCs/>
          <w:sz w:val="24"/>
          <w:szCs w:val="24"/>
          <w:u w:val="single"/>
        </w:rPr>
        <w:t xml:space="preserve">/s/ </w:t>
      </w:r>
      <w:r w:rsidRPr="00A26039" w:rsidR="00692851">
        <w:rPr>
          <w:rFonts w:ascii="Times New Roman" w:hAnsi="Times New Roman" w:cs="Times New Roman"/>
          <w:bCs/>
          <w:i/>
          <w:iCs/>
          <w:sz w:val="24"/>
          <w:szCs w:val="24"/>
          <w:u w:val="single"/>
        </w:rPr>
        <w:t>Amy Botschner O’Brien</w:t>
      </w:r>
    </w:p>
    <w:p w:rsidR="009D6F53" w:rsidRPr="00A26039" w:rsidP="001347B8" w14:paraId="116F9B2F" w14:textId="6A518325">
      <w:pPr>
        <w:spacing w:after="0" w:line="240" w:lineRule="auto"/>
        <w:ind w:left="3600"/>
        <w:rPr>
          <w:rFonts w:ascii="Times New Roman" w:hAnsi="Times New Roman" w:cs="Times New Roman"/>
          <w:sz w:val="24"/>
          <w:szCs w:val="24"/>
        </w:rPr>
      </w:pPr>
      <w:r w:rsidRPr="00A26039">
        <w:rPr>
          <w:rFonts w:ascii="Times New Roman" w:hAnsi="Times New Roman" w:cs="Times New Roman"/>
          <w:sz w:val="24"/>
          <w:szCs w:val="24"/>
        </w:rPr>
        <w:t>Amy Botschner O’Brien</w:t>
      </w:r>
      <w:r w:rsidRPr="00A26039" w:rsidR="00A01D6F">
        <w:rPr>
          <w:rFonts w:ascii="Times New Roman" w:hAnsi="Times New Roman" w:cs="Times New Roman"/>
          <w:sz w:val="24"/>
          <w:szCs w:val="24"/>
        </w:rPr>
        <w:t xml:space="preserve"> (007</w:t>
      </w:r>
      <w:r w:rsidRPr="00A26039">
        <w:rPr>
          <w:rFonts w:ascii="Times New Roman" w:hAnsi="Times New Roman" w:cs="Times New Roman"/>
          <w:sz w:val="24"/>
          <w:szCs w:val="24"/>
        </w:rPr>
        <w:t>4423)</w:t>
      </w:r>
    </w:p>
    <w:p w:rsidR="009D6F53" w:rsidRPr="00A26039" w:rsidP="001347B8" w14:paraId="01A11CC4" w14:textId="77777777">
      <w:pPr>
        <w:spacing w:after="0" w:line="240" w:lineRule="auto"/>
        <w:ind w:left="3600"/>
        <w:rPr>
          <w:rFonts w:ascii="Times New Roman" w:hAnsi="Times New Roman" w:cs="Times New Roman"/>
          <w:sz w:val="24"/>
          <w:szCs w:val="24"/>
        </w:rPr>
      </w:pPr>
      <w:r w:rsidRPr="00A26039">
        <w:rPr>
          <w:rFonts w:ascii="Times New Roman" w:hAnsi="Times New Roman" w:cs="Times New Roman"/>
          <w:sz w:val="24"/>
          <w:szCs w:val="24"/>
        </w:rPr>
        <w:t>Counsel of Record</w:t>
      </w:r>
    </w:p>
    <w:p w:rsidR="009D6F53" w:rsidRPr="00A26039" w:rsidP="001347B8" w14:paraId="1CD931A5" w14:textId="77777777">
      <w:pPr>
        <w:spacing w:after="0" w:line="240" w:lineRule="auto"/>
        <w:ind w:left="3600"/>
        <w:rPr>
          <w:rFonts w:ascii="Times New Roman" w:hAnsi="Times New Roman" w:cs="Times New Roman"/>
          <w:sz w:val="24"/>
          <w:szCs w:val="24"/>
        </w:rPr>
      </w:pPr>
      <w:r w:rsidRPr="00A26039">
        <w:rPr>
          <w:rFonts w:ascii="Times New Roman" w:hAnsi="Times New Roman" w:cs="Times New Roman"/>
          <w:sz w:val="24"/>
          <w:szCs w:val="24"/>
        </w:rPr>
        <w:t>Assistant Consumers’ Counsel</w:t>
      </w:r>
    </w:p>
    <w:p w:rsidR="009D6F53" w:rsidRPr="00A26039" w:rsidP="001347B8" w14:paraId="53524163" w14:textId="77777777">
      <w:pPr>
        <w:spacing w:after="0" w:line="240" w:lineRule="auto"/>
        <w:ind w:left="3600"/>
        <w:rPr>
          <w:rFonts w:ascii="Times New Roman" w:hAnsi="Times New Roman" w:cs="Times New Roman"/>
          <w:sz w:val="24"/>
          <w:szCs w:val="24"/>
        </w:rPr>
      </w:pPr>
      <w:r w:rsidRPr="00A26039">
        <w:rPr>
          <w:rFonts w:ascii="Times New Roman" w:hAnsi="Times New Roman" w:cs="Times New Roman"/>
          <w:sz w:val="24"/>
          <w:szCs w:val="24"/>
        </w:rPr>
        <w:tab/>
      </w:r>
    </w:p>
    <w:p w:rsidR="009D6F53" w:rsidRPr="00A26039" w:rsidP="001347B8" w14:paraId="15A34C05" w14:textId="77777777">
      <w:pPr>
        <w:spacing w:after="0" w:line="240" w:lineRule="auto"/>
        <w:ind w:left="3600"/>
        <w:rPr>
          <w:rFonts w:ascii="Times New Roman" w:hAnsi="Times New Roman" w:cs="Times New Roman"/>
          <w:b/>
          <w:bCs/>
          <w:sz w:val="24"/>
          <w:szCs w:val="24"/>
        </w:rPr>
      </w:pPr>
      <w:r w:rsidRPr="00A26039">
        <w:rPr>
          <w:rFonts w:ascii="Times New Roman" w:hAnsi="Times New Roman" w:cs="Times New Roman"/>
          <w:b/>
          <w:bCs/>
          <w:sz w:val="24"/>
          <w:szCs w:val="24"/>
        </w:rPr>
        <w:t>Office of the Ohio Consumers’ Counsel</w:t>
      </w:r>
    </w:p>
    <w:p w:rsidR="009D6F53" w:rsidRPr="00A26039" w:rsidP="001347B8" w14:paraId="34A81DE7" w14:textId="77777777">
      <w:pPr>
        <w:spacing w:after="0" w:line="240" w:lineRule="auto"/>
        <w:ind w:left="3600"/>
        <w:rPr>
          <w:rFonts w:ascii="Times New Roman" w:hAnsi="Times New Roman" w:cs="Times New Roman"/>
          <w:b/>
          <w:sz w:val="24"/>
          <w:szCs w:val="24"/>
        </w:rPr>
      </w:pPr>
      <w:r w:rsidRPr="00A26039">
        <w:rPr>
          <w:rFonts w:ascii="Times New Roman" w:hAnsi="Times New Roman" w:cs="Times New Roman"/>
          <w:sz w:val="24"/>
          <w:szCs w:val="24"/>
        </w:rPr>
        <w:t>65 East State Street, Suite 700</w:t>
      </w:r>
    </w:p>
    <w:p w:rsidR="009D6F53" w:rsidRPr="00A26039" w:rsidP="001347B8" w14:paraId="309008B3" w14:textId="77777777">
      <w:pPr>
        <w:spacing w:after="0" w:line="240" w:lineRule="auto"/>
        <w:ind w:left="3600"/>
        <w:rPr>
          <w:rFonts w:ascii="Times New Roman" w:hAnsi="Times New Roman" w:cs="Times New Roman"/>
          <w:b/>
          <w:sz w:val="24"/>
          <w:szCs w:val="24"/>
        </w:rPr>
      </w:pPr>
      <w:r w:rsidRPr="00A26039">
        <w:rPr>
          <w:rFonts w:ascii="Times New Roman" w:hAnsi="Times New Roman" w:cs="Times New Roman"/>
          <w:sz w:val="24"/>
          <w:szCs w:val="24"/>
        </w:rPr>
        <w:t>Columbus, Ohio 43215</w:t>
      </w:r>
    </w:p>
    <w:p w:rsidR="009D6F53" w:rsidRPr="00A26039" w:rsidP="001347B8" w14:paraId="20AA9671" w14:textId="49D3F05F">
      <w:pPr>
        <w:autoSpaceDE w:val="0"/>
        <w:autoSpaceDN w:val="0"/>
        <w:adjustRightInd w:val="0"/>
        <w:spacing w:after="0" w:line="240" w:lineRule="auto"/>
        <w:ind w:left="3600"/>
        <w:rPr>
          <w:rFonts w:ascii="Times New Roman" w:hAnsi="Times New Roman" w:cs="Times New Roman"/>
          <w:sz w:val="24"/>
          <w:szCs w:val="24"/>
        </w:rPr>
      </w:pPr>
      <w:r w:rsidRPr="00A26039">
        <w:rPr>
          <w:rFonts w:ascii="Times New Roman" w:hAnsi="Times New Roman" w:cs="Times New Roman"/>
          <w:sz w:val="24"/>
          <w:szCs w:val="24"/>
        </w:rPr>
        <w:t>Telephone [</w:t>
      </w:r>
      <w:r w:rsidRPr="00A26039" w:rsidR="00692851">
        <w:rPr>
          <w:rFonts w:ascii="Times New Roman" w:hAnsi="Times New Roman" w:cs="Times New Roman"/>
          <w:sz w:val="24"/>
          <w:szCs w:val="24"/>
        </w:rPr>
        <w:t>Botschner O’Brien</w:t>
      </w:r>
      <w:r w:rsidRPr="00A26039">
        <w:rPr>
          <w:rFonts w:ascii="Times New Roman" w:hAnsi="Times New Roman" w:cs="Times New Roman"/>
          <w:sz w:val="24"/>
          <w:szCs w:val="24"/>
        </w:rPr>
        <w:t>]: (614) 466-</w:t>
      </w:r>
      <w:r w:rsidRPr="00A26039" w:rsidR="00692851">
        <w:rPr>
          <w:rFonts w:ascii="Times New Roman" w:hAnsi="Times New Roman" w:cs="Times New Roman"/>
          <w:sz w:val="24"/>
          <w:szCs w:val="24"/>
        </w:rPr>
        <w:t>9575</w:t>
      </w:r>
    </w:p>
    <w:p w:rsidR="009D6F53" w:rsidRPr="00A26039" w:rsidP="001347B8" w14:paraId="4B5A379B" w14:textId="65C5330A">
      <w:pPr>
        <w:autoSpaceDE w:val="0"/>
        <w:autoSpaceDN w:val="0"/>
        <w:adjustRightInd w:val="0"/>
        <w:spacing w:after="0" w:line="240" w:lineRule="auto"/>
        <w:ind w:left="3600"/>
        <w:rPr>
          <w:rStyle w:val="Hyperlink"/>
          <w:rFonts w:ascii="Times New Roman" w:hAnsi="Times New Roman" w:cs="Times New Roman"/>
          <w:color w:val="0000FF"/>
          <w:sz w:val="24"/>
          <w:szCs w:val="24"/>
        </w:rPr>
      </w:pPr>
      <w:r w:rsidRPr="00A26039">
        <w:rPr>
          <w:rStyle w:val="Hyperlink"/>
          <w:rFonts w:ascii="Times New Roman" w:hAnsi="Times New Roman" w:cs="Times New Roman"/>
          <w:color w:val="0000FF"/>
          <w:sz w:val="24"/>
          <w:szCs w:val="24"/>
        </w:rPr>
        <w:t>amy.botschner.obrien@occ.ohio.gov</w:t>
      </w:r>
    </w:p>
    <w:p w:rsidR="009D6F53" w:rsidRPr="00A26039" w:rsidP="001347B8" w14:paraId="5F1404E2" w14:textId="77777777">
      <w:pPr>
        <w:kinsoku w:val="0"/>
        <w:overflowPunct w:val="0"/>
        <w:autoSpaceDE w:val="0"/>
        <w:autoSpaceDN w:val="0"/>
        <w:adjustRightInd w:val="0"/>
        <w:spacing w:after="0" w:line="240" w:lineRule="auto"/>
        <w:ind w:left="2880" w:firstLine="720"/>
        <w:rPr>
          <w:rFonts w:ascii="Times New Roman" w:hAnsi="Times New Roman" w:cs="Times New Roman"/>
          <w:sz w:val="24"/>
          <w:szCs w:val="24"/>
        </w:rPr>
        <w:sectPr w:rsidSect="00AB16D0">
          <w:pgSz w:w="12240" w:h="15840"/>
          <w:pgMar w:top="1440" w:right="1800" w:bottom="1440" w:left="1800" w:header="720" w:footer="720" w:gutter="0"/>
          <w:pgNumType w:start="1"/>
          <w:cols w:space="720"/>
          <w:docGrid w:linePitch="360"/>
        </w:sectPr>
      </w:pPr>
      <w:r w:rsidRPr="00A26039">
        <w:rPr>
          <w:rFonts w:ascii="Times New Roman" w:hAnsi="Times New Roman" w:cs="Times New Roman"/>
          <w:sz w:val="24"/>
          <w:szCs w:val="24"/>
        </w:rPr>
        <w:t>(willing to accept service by e-mail)</w:t>
      </w:r>
    </w:p>
    <w:p w:rsidR="00610EAB" w:rsidRPr="00A26039" w:rsidP="00610EAB" w14:paraId="0CCFE448" w14:textId="77777777">
      <w:pPr>
        <w:jc w:val="center"/>
        <w:rPr>
          <w:rFonts w:ascii="Times New Roman" w:hAnsi="Times New Roman" w:cs="Times New Roman"/>
          <w:b/>
          <w:caps/>
          <w:sz w:val="24"/>
          <w:szCs w:val="24"/>
          <w:u w:val="single"/>
          <w:lang w:eastAsia="ja-JP"/>
        </w:rPr>
      </w:pPr>
      <w:bookmarkStart w:id="2" w:name="_Toc98520146"/>
      <w:r w:rsidRPr="00A26039">
        <w:rPr>
          <w:rFonts w:ascii="Times New Roman" w:hAnsi="Times New Roman" w:cs="Times New Roman"/>
          <w:b/>
          <w:caps/>
          <w:sz w:val="24"/>
          <w:szCs w:val="24"/>
          <w:u w:val="single"/>
          <w:lang w:eastAsia="ja-JP"/>
        </w:rPr>
        <w:t>TABLE OF CONTENTS</w:t>
      </w:r>
    </w:p>
    <w:p w:rsidR="00610EAB" w:rsidRPr="00A26039" w:rsidP="00610EAB" w14:paraId="1E755BD3" w14:textId="77777777">
      <w:pPr>
        <w:jc w:val="right"/>
        <w:rPr>
          <w:rFonts w:ascii="Times New Roman" w:hAnsi="Times New Roman" w:cs="Times New Roman"/>
          <w:b/>
          <w:caps/>
          <w:sz w:val="24"/>
          <w:szCs w:val="24"/>
          <w:lang w:eastAsia="ja-JP"/>
        </w:rPr>
      </w:pPr>
      <w:r w:rsidRPr="00A26039">
        <w:rPr>
          <w:rFonts w:ascii="Times New Roman" w:hAnsi="Times New Roman" w:cs="Times New Roman"/>
          <w:b/>
          <w:caps/>
          <w:sz w:val="24"/>
          <w:szCs w:val="24"/>
          <w:lang w:eastAsia="ja-JP"/>
        </w:rPr>
        <w:t>PAGE</w:t>
      </w:r>
    </w:p>
    <w:p w:rsidR="004F5C91" w14:paraId="0187A35A" w14:textId="618C7DAB">
      <w:pPr>
        <w:pStyle w:val="TOC1"/>
        <w:rPr>
          <w:rFonts w:asciiTheme="minorHAnsi" w:eastAsiaTheme="minorEastAsia" w:hAnsiTheme="minorHAnsi"/>
          <w:noProof/>
          <w:sz w:val="22"/>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118472304" w:history="1">
        <w:r w:rsidRPr="006A3FBF">
          <w:rPr>
            <w:rStyle w:val="Hyperlink"/>
            <w:noProof/>
          </w:rPr>
          <w:t>I.</w:t>
        </w:r>
        <w:r>
          <w:rPr>
            <w:rFonts w:asciiTheme="minorHAnsi" w:eastAsiaTheme="minorEastAsia" w:hAnsiTheme="minorHAnsi"/>
            <w:noProof/>
            <w:sz w:val="22"/>
          </w:rPr>
          <w:tab/>
        </w:r>
        <w:r w:rsidRPr="006A3FBF">
          <w:rPr>
            <w:rStyle w:val="Hyperlink"/>
            <w:noProof/>
          </w:rPr>
          <w:t>INTRODUCTION</w:t>
        </w:r>
        <w:r>
          <w:rPr>
            <w:noProof/>
            <w:webHidden/>
          </w:rPr>
          <w:tab/>
        </w:r>
        <w:r>
          <w:rPr>
            <w:noProof/>
            <w:webHidden/>
          </w:rPr>
          <w:fldChar w:fldCharType="begin"/>
        </w:r>
        <w:r>
          <w:rPr>
            <w:noProof/>
            <w:webHidden/>
          </w:rPr>
          <w:instrText xml:space="preserve"> PAGEREF _Toc118472304 \h </w:instrText>
        </w:r>
        <w:r>
          <w:rPr>
            <w:noProof/>
            <w:webHidden/>
          </w:rPr>
          <w:fldChar w:fldCharType="separate"/>
        </w:r>
        <w:r>
          <w:rPr>
            <w:noProof/>
            <w:webHidden/>
          </w:rPr>
          <w:t>1</w:t>
        </w:r>
        <w:r>
          <w:rPr>
            <w:noProof/>
            <w:webHidden/>
          </w:rPr>
          <w:fldChar w:fldCharType="end"/>
        </w:r>
      </w:hyperlink>
    </w:p>
    <w:p w:rsidR="004F5C91" w14:paraId="4B925B2F" w14:textId="36B6C32D">
      <w:pPr>
        <w:pStyle w:val="TOC1"/>
        <w:rPr>
          <w:rFonts w:asciiTheme="minorHAnsi" w:eastAsiaTheme="minorEastAsia" w:hAnsiTheme="minorHAnsi"/>
          <w:noProof/>
          <w:sz w:val="22"/>
        </w:rPr>
      </w:pPr>
      <w:hyperlink w:anchor="_Toc118472305" w:history="1">
        <w:r w:rsidRPr="006A3FBF">
          <w:rPr>
            <w:rStyle w:val="Hyperlink"/>
            <w:noProof/>
          </w:rPr>
          <w:t>II.</w:t>
        </w:r>
        <w:r>
          <w:rPr>
            <w:rFonts w:asciiTheme="minorHAnsi" w:eastAsiaTheme="minorEastAsia" w:hAnsiTheme="minorHAnsi"/>
            <w:noProof/>
            <w:sz w:val="22"/>
          </w:rPr>
          <w:tab/>
        </w:r>
        <w:r w:rsidRPr="006A3FBF">
          <w:rPr>
            <w:rStyle w:val="Hyperlink"/>
            <w:noProof/>
          </w:rPr>
          <w:t>MATTERS FOR CONSIDERATION</w:t>
        </w:r>
        <w:r>
          <w:rPr>
            <w:noProof/>
            <w:webHidden/>
          </w:rPr>
          <w:tab/>
        </w:r>
        <w:r>
          <w:rPr>
            <w:noProof/>
            <w:webHidden/>
          </w:rPr>
          <w:fldChar w:fldCharType="begin"/>
        </w:r>
        <w:r>
          <w:rPr>
            <w:noProof/>
            <w:webHidden/>
          </w:rPr>
          <w:instrText xml:space="preserve"> PAGEREF _Toc118472305 \h </w:instrText>
        </w:r>
        <w:r>
          <w:rPr>
            <w:noProof/>
            <w:webHidden/>
          </w:rPr>
          <w:fldChar w:fldCharType="separate"/>
        </w:r>
        <w:r>
          <w:rPr>
            <w:noProof/>
            <w:webHidden/>
          </w:rPr>
          <w:t>3</w:t>
        </w:r>
        <w:r>
          <w:rPr>
            <w:noProof/>
            <w:webHidden/>
          </w:rPr>
          <w:fldChar w:fldCharType="end"/>
        </w:r>
      </w:hyperlink>
    </w:p>
    <w:p w:rsidR="004F5C91" w14:paraId="48C0E959" w14:textId="1D313F8B">
      <w:pPr>
        <w:pStyle w:val="TOC2"/>
        <w:rPr>
          <w:rFonts w:asciiTheme="minorHAnsi" w:eastAsiaTheme="minorEastAsia" w:hAnsiTheme="minorHAnsi"/>
          <w:noProof/>
          <w:sz w:val="22"/>
        </w:rPr>
      </w:pPr>
      <w:hyperlink w:anchor="_Toc118472306" w:history="1">
        <w:r w:rsidRPr="006A3FBF">
          <w:rPr>
            <w:rStyle w:val="Hyperlink"/>
            <w:b/>
            <w:bCs/>
            <w:noProof/>
          </w:rPr>
          <w:t>ASSIGNMENT OF ERROR NO. 1:</w:t>
        </w:r>
        <w:r w:rsidRPr="006A3FBF">
          <w:rPr>
            <w:rStyle w:val="Hyperlink"/>
            <w:noProof/>
          </w:rPr>
          <w:t xml:space="preserve"> The PUCO erred by violating R.C. 4928.542 by authorizing ODOD to charge higher electricity prices to </w:t>
        </w:r>
        <w:r>
          <w:rPr>
            <w:rStyle w:val="Hyperlink"/>
            <w:noProof/>
          </w:rPr>
          <w:br/>
        </w:r>
        <w:r w:rsidRPr="006A3FBF">
          <w:rPr>
            <w:rStyle w:val="Hyperlink"/>
            <w:noProof/>
          </w:rPr>
          <w:t xml:space="preserve">at-risk PIPP consumers than are being charged to the utilities’ standard </w:t>
        </w:r>
        <w:r>
          <w:rPr>
            <w:rStyle w:val="Hyperlink"/>
            <w:noProof/>
          </w:rPr>
          <w:br/>
        </w:r>
        <w:r w:rsidRPr="006A3FBF">
          <w:rPr>
            <w:rStyle w:val="Hyperlink"/>
            <w:noProof/>
          </w:rPr>
          <w:t>service offer consumers.</w:t>
        </w:r>
        <w:r>
          <w:rPr>
            <w:noProof/>
            <w:webHidden/>
          </w:rPr>
          <w:tab/>
        </w:r>
        <w:r>
          <w:rPr>
            <w:noProof/>
            <w:webHidden/>
          </w:rPr>
          <w:fldChar w:fldCharType="begin"/>
        </w:r>
        <w:r>
          <w:rPr>
            <w:noProof/>
            <w:webHidden/>
          </w:rPr>
          <w:instrText xml:space="preserve"> PAGEREF _Toc118472306 \h </w:instrText>
        </w:r>
        <w:r>
          <w:rPr>
            <w:noProof/>
            <w:webHidden/>
          </w:rPr>
          <w:fldChar w:fldCharType="separate"/>
        </w:r>
        <w:r>
          <w:rPr>
            <w:noProof/>
            <w:webHidden/>
          </w:rPr>
          <w:t>3</w:t>
        </w:r>
        <w:r>
          <w:rPr>
            <w:noProof/>
            <w:webHidden/>
          </w:rPr>
          <w:fldChar w:fldCharType="end"/>
        </w:r>
      </w:hyperlink>
    </w:p>
    <w:p w:rsidR="004F5C91" w14:paraId="2BC4E761" w14:textId="31FF0E10">
      <w:pPr>
        <w:pStyle w:val="TOC2"/>
        <w:rPr>
          <w:rFonts w:asciiTheme="minorHAnsi" w:eastAsiaTheme="minorEastAsia" w:hAnsiTheme="minorHAnsi"/>
          <w:noProof/>
          <w:sz w:val="22"/>
        </w:rPr>
      </w:pPr>
      <w:hyperlink w:anchor="_Toc118472307" w:history="1">
        <w:r w:rsidRPr="006A3FBF">
          <w:rPr>
            <w:rStyle w:val="Hyperlink"/>
            <w:b/>
            <w:bCs/>
            <w:noProof/>
          </w:rPr>
          <w:t>ASSIGNMENT OF ERROR NO. 2:</w:t>
        </w:r>
        <w:r w:rsidRPr="006A3FBF">
          <w:rPr>
            <w:rStyle w:val="Hyperlink"/>
            <w:noProof/>
          </w:rPr>
          <w:t xml:space="preserve"> The PUCO erred by unreasonably </w:t>
        </w:r>
        <w:r w:rsidR="0071093D">
          <w:rPr>
            <w:rStyle w:val="Hyperlink"/>
            <w:noProof/>
          </w:rPr>
          <w:br/>
        </w:r>
        <w:r w:rsidRPr="006A3FBF">
          <w:rPr>
            <w:rStyle w:val="Hyperlink"/>
            <w:noProof/>
          </w:rPr>
          <w:t xml:space="preserve">and unlawfully finding that the Settlement benefits consumers and the </w:t>
        </w:r>
        <w:r w:rsidR="0071093D">
          <w:rPr>
            <w:rStyle w:val="Hyperlink"/>
            <w:noProof/>
          </w:rPr>
          <w:br/>
        </w:r>
        <w:r w:rsidRPr="006A3FBF">
          <w:rPr>
            <w:rStyle w:val="Hyperlink"/>
            <w:noProof/>
          </w:rPr>
          <w:t xml:space="preserve">public interest because higher PIPP rates relative to the standard service </w:t>
        </w:r>
        <w:r w:rsidR="0071093D">
          <w:rPr>
            <w:rStyle w:val="Hyperlink"/>
            <w:noProof/>
          </w:rPr>
          <w:br/>
        </w:r>
        <w:r w:rsidRPr="006A3FBF">
          <w:rPr>
            <w:rStyle w:val="Hyperlink"/>
            <w:noProof/>
          </w:rPr>
          <w:t>offer are to their detriment.</w:t>
        </w:r>
        <w:r>
          <w:rPr>
            <w:noProof/>
            <w:webHidden/>
          </w:rPr>
          <w:tab/>
        </w:r>
        <w:r>
          <w:rPr>
            <w:noProof/>
            <w:webHidden/>
          </w:rPr>
          <w:fldChar w:fldCharType="begin"/>
        </w:r>
        <w:r>
          <w:rPr>
            <w:noProof/>
            <w:webHidden/>
          </w:rPr>
          <w:instrText xml:space="preserve"> PAGEREF _Toc118472307 \h </w:instrText>
        </w:r>
        <w:r>
          <w:rPr>
            <w:noProof/>
            <w:webHidden/>
          </w:rPr>
          <w:fldChar w:fldCharType="separate"/>
        </w:r>
        <w:r>
          <w:rPr>
            <w:noProof/>
            <w:webHidden/>
          </w:rPr>
          <w:t>12</w:t>
        </w:r>
        <w:r>
          <w:rPr>
            <w:noProof/>
            <w:webHidden/>
          </w:rPr>
          <w:fldChar w:fldCharType="end"/>
        </w:r>
      </w:hyperlink>
    </w:p>
    <w:p w:rsidR="004F5C91" w14:paraId="3BED4B3B" w14:textId="2F68E9F8">
      <w:pPr>
        <w:pStyle w:val="TOC2"/>
        <w:rPr>
          <w:rFonts w:asciiTheme="minorHAnsi" w:eastAsiaTheme="minorEastAsia" w:hAnsiTheme="minorHAnsi"/>
          <w:noProof/>
          <w:sz w:val="22"/>
        </w:rPr>
      </w:pPr>
      <w:hyperlink w:anchor="_Toc118472308" w:history="1">
        <w:r w:rsidRPr="006A3FBF">
          <w:rPr>
            <w:rStyle w:val="Hyperlink"/>
            <w:b/>
            <w:bCs/>
            <w:noProof/>
          </w:rPr>
          <w:t>ASSIGNMENT OF ERROR NO. 3:</w:t>
        </w:r>
        <w:r w:rsidRPr="006A3FBF">
          <w:rPr>
            <w:rStyle w:val="Hyperlink"/>
            <w:noProof/>
          </w:rPr>
          <w:t xml:space="preserve"> The PUCO erred by unreasonably </w:t>
        </w:r>
        <w:r w:rsidR="0071093D">
          <w:rPr>
            <w:rStyle w:val="Hyperlink"/>
            <w:noProof/>
          </w:rPr>
          <w:br/>
        </w:r>
        <w:r w:rsidRPr="006A3FBF">
          <w:rPr>
            <w:rStyle w:val="Hyperlink"/>
            <w:noProof/>
          </w:rPr>
          <w:t xml:space="preserve">and unlawfully claiming that the utilities’ PIPP generation rates, while a component of the cost of the PIPP program, is beyond the scope of this proceeding because the USF Rider revenue requirement methodology </w:t>
        </w:r>
        <w:r w:rsidR="0071093D">
          <w:rPr>
            <w:rStyle w:val="Hyperlink"/>
            <w:noProof/>
          </w:rPr>
          <w:br/>
        </w:r>
        <w:r w:rsidRPr="006A3FBF">
          <w:rPr>
            <w:rStyle w:val="Hyperlink"/>
            <w:noProof/>
          </w:rPr>
          <w:t>must comply (but does not) with R.C. 4928.542.</w:t>
        </w:r>
        <w:r>
          <w:rPr>
            <w:noProof/>
            <w:webHidden/>
          </w:rPr>
          <w:tab/>
        </w:r>
        <w:r>
          <w:rPr>
            <w:noProof/>
            <w:webHidden/>
          </w:rPr>
          <w:fldChar w:fldCharType="begin"/>
        </w:r>
        <w:r>
          <w:rPr>
            <w:noProof/>
            <w:webHidden/>
          </w:rPr>
          <w:instrText xml:space="preserve"> PAGEREF _Toc118472308 \h </w:instrText>
        </w:r>
        <w:r>
          <w:rPr>
            <w:noProof/>
            <w:webHidden/>
          </w:rPr>
          <w:fldChar w:fldCharType="separate"/>
        </w:r>
        <w:r>
          <w:rPr>
            <w:noProof/>
            <w:webHidden/>
          </w:rPr>
          <w:t>14</w:t>
        </w:r>
        <w:r>
          <w:rPr>
            <w:noProof/>
            <w:webHidden/>
          </w:rPr>
          <w:fldChar w:fldCharType="end"/>
        </w:r>
      </w:hyperlink>
    </w:p>
    <w:p w:rsidR="004F5C91" w14:paraId="196BEBDB" w14:textId="699F939F">
      <w:pPr>
        <w:pStyle w:val="TOC2"/>
        <w:rPr>
          <w:rFonts w:asciiTheme="minorHAnsi" w:eastAsiaTheme="minorEastAsia" w:hAnsiTheme="minorHAnsi"/>
          <w:noProof/>
          <w:sz w:val="22"/>
        </w:rPr>
      </w:pPr>
      <w:hyperlink w:anchor="_Toc118472309" w:history="1">
        <w:r w:rsidRPr="006A3FBF">
          <w:rPr>
            <w:rStyle w:val="Hyperlink"/>
            <w:b/>
            <w:bCs/>
            <w:noProof/>
          </w:rPr>
          <w:t>ASSIGNMENT OF ERROR NO. 4:</w:t>
        </w:r>
        <w:r w:rsidRPr="006A3FBF">
          <w:rPr>
            <w:rStyle w:val="Hyperlink"/>
            <w:noProof/>
          </w:rPr>
          <w:t xml:space="preserve"> The PUCO erred by unreasonably </w:t>
        </w:r>
        <w:r w:rsidR="0071093D">
          <w:rPr>
            <w:rStyle w:val="Hyperlink"/>
            <w:noProof/>
          </w:rPr>
          <w:br/>
        </w:r>
        <w:r w:rsidRPr="006A3FBF">
          <w:rPr>
            <w:rStyle w:val="Hyperlink"/>
            <w:noProof/>
          </w:rPr>
          <w:t xml:space="preserve">and unlawfully finding that the Settlement showed that serious bargaining occurred and that diversity of interests was not required thus violating the </w:t>
        </w:r>
        <w:r w:rsidR="0071093D">
          <w:rPr>
            <w:rStyle w:val="Hyperlink"/>
            <w:noProof/>
          </w:rPr>
          <w:br/>
        </w:r>
        <w:r w:rsidRPr="006A3FBF">
          <w:rPr>
            <w:rStyle w:val="Hyperlink"/>
            <w:noProof/>
          </w:rPr>
          <w:t>first prong of the PUCO’s Settlement standard.</w:t>
        </w:r>
        <w:r>
          <w:rPr>
            <w:noProof/>
            <w:webHidden/>
          </w:rPr>
          <w:tab/>
        </w:r>
        <w:r>
          <w:rPr>
            <w:noProof/>
            <w:webHidden/>
          </w:rPr>
          <w:fldChar w:fldCharType="begin"/>
        </w:r>
        <w:r>
          <w:rPr>
            <w:noProof/>
            <w:webHidden/>
          </w:rPr>
          <w:instrText xml:space="preserve"> PAGEREF _Toc118472309 \h </w:instrText>
        </w:r>
        <w:r>
          <w:rPr>
            <w:noProof/>
            <w:webHidden/>
          </w:rPr>
          <w:fldChar w:fldCharType="separate"/>
        </w:r>
        <w:r>
          <w:rPr>
            <w:noProof/>
            <w:webHidden/>
          </w:rPr>
          <w:t>18</w:t>
        </w:r>
        <w:r>
          <w:rPr>
            <w:noProof/>
            <w:webHidden/>
          </w:rPr>
          <w:fldChar w:fldCharType="end"/>
        </w:r>
      </w:hyperlink>
    </w:p>
    <w:p w:rsidR="004F5C91" w14:paraId="5C43E6BB" w14:textId="732C4229">
      <w:pPr>
        <w:pStyle w:val="TOC1"/>
        <w:rPr>
          <w:rFonts w:asciiTheme="minorHAnsi" w:eastAsiaTheme="minorEastAsia" w:hAnsiTheme="minorHAnsi"/>
          <w:noProof/>
          <w:sz w:val="22"/>
        </w:rPr>
      </w:pPr>
      <w:hyperlink w:anchor="_Toc118472310" w:history="1">
        <w:r w:rsidRPr="006A3FBF">
          <w:rPr>
            <w:rStyle w:val="Hyperlink"/>
            <w:noProof/>
          </w:rPr>
          <w:t>III.</w:t>
        </w:r>
        <w:r>
          <w:rPr>
            <w:rFonts w:asciiTheme="minorHAnsi" w:eastAsiaTheme="minorEastAsia" w:hAnsiTheme="minorHAnsi"/>
            <w:noProof/>
            <w:sz w:val="22"/>
          </w:rPr>
          <w:tab/>
        </w:r>
        <w:r w:rsidRPr="006A3FBF">
          <w:rPr>
            <w:rStyle w:val="Hyperlink"/>
            <w:noProof/>
          </w:rPr>
          <w:t>CONCLUSION</w:t>
        </w:r>
        <w:r>
          <w:rPr>
            <w:noProof/>
            <w:webHidden/>
          </w:rPr>
          <w:tab/>
        </w:r>
        <w:r>
          <w:rPr>
            <w:noProof/>
            <w:webHidden/>
          </w:rPr>
          <w:fldChar w:fldCharType="begin"/>
        </w:r>
        <w:r>
          <w:rPr>
            <w:noProof/>
            <w:webHidden/>
          </w:rPr>
          <w:instrText xml:space="preserve"> PAGEREF _Toc118472310 \h </w:instrText>
        </w:r>
        <w:r>
          <w:rPr>
            <w:noProof/>
            <w:webHidden/>
          </w:rPr>
          <w:fldChar w:fldCharType="separate"/>
        </w:r>
        <w:r>
          <w:rPr>
            <w:noProof/>
            <w:webHidden/>
          </w:rPr>
          <w:t>20</w:t>
        </w:r>
        <w:r>
          <w:rPr>
            <w:noProof/>
            <w:webHidden/>
          </w:rPr>
          <w:fldChar w:fldCharType="end"/>
        </w:r>
      </w:hyperlink>
    </w:p>
    <w:p w:rsidR="00610EAB" w:rsidRPr="00A26039" w:rsidP="00610EAB" w14:paraId="3ED89929" w14:textId="33F77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sectPr w:rsidSect="0051382B">
          <w:headerReference w:type="default" r:id="rId8"/>
          <w:footerReference w:type="default" r:id="rId9"/>
          <w:pgSz w:w="12240" w:h="15840"/>
          <w:pgMar w:top="1440" w:right="1800" w:bottom="1440" w:left="1800" w:header="720" w:footer="720" w:gutter="0"/>
          <w:pgNumType w:fmt="lowerRoman" w:start="1"/>
          <w:cols w:space="720"/>
          <w:docGrid w:linePitch="360"/>
        </w:sectPr>
      </w:pPr>
      <w:r>
        <w:rPr>
          <w:rFonts w:ascii="Times New Roman" w:hAnsi="Times New Roman" w:cs="Times New Roman"/>
          <w:sz w:val="24"/>
          <w:szCs w:val="24"/>
        </w:rPr>
        <w:fldChar w:fldCharType="end"/>
      </w:r>
    </w:p>
    <w:p w:rsidR="009D6F53" w:rsidRPr="00A26039" w:rsidP="009D6F53" w14:paraId="4A2FF0F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A26039">
        <w:rPr>
          <w:rFonts w:ascii="Times New Roman" w:eastAsia="Calibri" w:hAnsi="Times New Roman" w:cs="Times New Roman"/>
          <w:b/>
          <w:bCs/>
          <w:sz w:val="24"/>
          <w:szCs w:val="24"/>
        </w:rPr>
        <w:t>BEFORE</w:t>
      </w:r>
    </w:p>
    <w:p w:rsidR="009D6F53" w:rsidRPr="00A26039" w:rsidP="009D6F53" w14:paraId="2C3BF4D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A26039">
        <w:rPr>
          <w:rFonts w:ascii="Times New Roman" w:eastAsia="Calibri" w:hAnsi="Times New Roman" w:cs="Times New Roman"/>
          <w:b/>
          <w:bCs/>
          <w:sz w:val="24"/>
          <w:szCs w:val="24"/>
        </w:rPr>
        <w:t>THE PUBLIC UTILITIES COMMISSION OF OHIO</w:t>
      </w:r>
    </w:p>
    <w:p w:rsidR="009D6F53" w:rsidRPr="00A26039" w:rsidP="009D6F53" w14:paraId="132CD664" w14:textId="77777777">
      <w:pPr>
        <w:pStyle w:val="HTMLPreformatted"/>
        <w:jc w:val="center"/>
        <w:rPr>
          <w:rFonts w:ascii="Times New Roman" w:hAnsi="Times New Roman" w:cs="Times New Roman"/>
          <w:b/>
          <w:bCs/>
          <w:sz w:val="24"/>
          <w:szCs w:val="24"/>
        </w:rPr>
      </w:pPr>
    </w:p>
    <w:tbl>
      <w:tblPr>
        <w:tblW w:w="8730" w:type="dxa"/>
        <w:tblLook w:val="01E0"/>
      </w:tblPr>
      <w:tblGrid>
        <w:gridCol w:w="4332"/>
        <w:gridCol w:w="360"/>
        <w:gridCol w:w="4038"/>
      </w:tblGrid>
      <w:tr w14:paraId="6A8234CA" w14:textId="77777777" w:rsidTr="006D09FB">
        <w:tblPrEx>
          <w:tblW w:w="8730" w:type="dxa"/>
          <w:tblLook w:val="01E0"/>
        </w:tblPrEx>
        <w:trPr>
          <w:trHeight w:val="807"/>
        </w:trPr>
        <w:tc>
          <w:tcPr>
            <w:tcW w:w="4332" w:type="dxa"/>
            <w:shd w:val="clear" w:color="auto" w:fill="auto"/>
          </w:tcPr>
          <w:p w:rsidR="0055060E" w:rsidRPr="00A26039" w:rsidP="006D09FB" w14:paraId="4A82D047"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In the Matter of the Application of the Ohio Department of Development for an Order Approving Adjustments to the Universal Service Fund Riders of Jurisdictional Ohio Electric Distribution Utilities.</w:t>
            </w:r>
          </w:p>
        </w:tc>
        <w:tc>
          <w:tcPr>
            <w:tcW w:w="360" w:type="dxa"/>
            <w:shd w:val="clear" w:color="auto" w:fill="auto"/>
          </w:tcPr>
          <w:p w:rsidR="0055060E" w:rsidRPr="00A26039" w:rsidP="006D09FB" w14:paraId="177D0578"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p w:rsidR="0055060E" w:rsidRPr="00A26039" w:rsidP="006D09FB" w14:paraId="32477F9F"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p w:rsidR="0055060E" w:rsidRPr="00A26039" w:rsidP="006D09FB" w14:paraId="7BF7C4FC"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p w:rsidR="0055060E" w:rsidRPr="00A26039" w:rsidP="006D09FB" w14:paraId="6B4CE9A9"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p w:rsidR="0055060E" w:rsidRPr="00A26039" w:rsidP="006D09FB" w14:paraId="00ACEAD0"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p w:rsidR="0055060E" w:rsidRPr="00A26039" w:rsidP="006D09FB" w14:paraId="04B8EF21"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w:t>
            </w:r>
          </w:p>
        </w:tc>
        <w:tc>
          <w:tcPr>
            <w:tcW w:w="4038" w:type="dxa"/>
            <w:shd w:val="clear" w:color="auto" w:fill="auto"/>
          </w:tcPr>
          <w:p w:rsidR="0055060E" w:rsidRPr="00A26039" w:rsidP="006D09FB" w14:paraId="45BA75FE" w14:textId="77777777">
            <w:pPr>
              <w:pStyle w:val="HTMLPreformatted"/>
              <w:rPr>
                <w:rFonts w:ascii="Times New Roman" w:hAnsi="Times New Roman" w:cs="Times New Roman"/>
                <w:sz w:val="24"/>
                <w:szCs w:val="24"/>
              </w:rPr>
            </w:pPr>
          </w:p>
          <w:p w:rsidR="0055060E" w:rsidRPr="00A26039" w:rsidP="006D09FB" w14:paraId="1D4D6EAB" w14:textId="77777777">
            <w:pPr>
              <w:pStyle w:val="HTMLPreformatted"/>
              <w:rPr>
                <w:rFonts w:ascii="Times New Roman" w:hAnsi="Times New Roman" w:cs="Times New Roman"/>
                <w:sz w:val="24"/>
                <w:szCs w:val="24"/>
              </w:rPr>
            </w:pPr>
          </w:p>
          <w:p w:rsidR="0055060E" w:rsidRPr="00A26039" w:rsidP="006D09FB" w14:paraId="3E9B6519" w14:textId="77777777">
            <w:pPr>
              <w:pStyle w:val="HTMLPreformatted"/>
              <w:rPr>
                <w:rFonts w:ascii="Times New Roman" w:hAnsi="Times New Roman" w:cs="Times New Roman"/>
                <w:sz w:val="24"/>
                <w:szCs w:val="24"/>
              </w:rPr>
            </w:pPr>
            <w:r w:rsidRPr="00A26039">
              <w:rPr>
                <w:rFonts w:ascii="Times New Roman" w:hAnsi="Times New Roman" w:cs="Times New Roman"/>
                <w:sz w:val="24"/>
                <w:szCs w:val="24"/>
              </w:rPr>
              <w:t>Case No. 22-556-EL-USF</w:t>
            </w:r>
          </w:p>
        </w:tc>
      </w:tr>
    </w:tbl>
    <w:p w:rsidR="009D6F53" w:rsidRPr="00A26039" w:rsidP="009D6F53" w14:paraId="7AF01027"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9D6F53" w:rsidRPr="00A26039" w:rsidP="009D6F53" w14:paraId="66A89590" w14:textId="77777777">
      <w:pPr>
        <w:autoSpaceDE w:val="0"/>
        <w:autoSpaceDN w:val="0"/>
        <w:adjustRightInd w:val="0"/>
        <w:spacing w:after="0" w:line="240" w:lineRule="auto"/>
        <w:rPr>
          <w:rFonts w:ascii="Times New Roman" w:eastAsia="Calibri" w:hAnsi="Times New Roman" w:cs="Times New Roman"/>
          <w:sz w:val="24"/>
          <w:szCs w:val="24"/>
        </w:rPr>
      </w:pPr>
    </w:p>
    <w:p w:rsidR="009D6F53" w:rsidRPr="00A26039" w:rsidP="009D6F53" w14:paraId="6C7E96A4" w14:textId="77777777">
      <w:pPr>
        <w:widowControl w:val="0"/>
        <w:spacing w:after="0" w:line="240" w:lineRule="auto"/>
        <w:jc w:val="center"/>
        <w:rPr>
          <w:rFonts w:ascii="Times New Roman" w:hAnsi="Times New Roman" w:cs="Times New Roman"/>
          <w:b/>
          <w:sz w:val="24"/>
          <w:szCs w:val="24"/>
        </w:rPr>
      </w:pPr>
      <w:r w:rsidRPr="00A26039">
        <w:rPr>
          <w:rFonts w:ascii="Times New Roman" w:hAnsi="Times New Roman" w:cs="Times New Roman"/>
          <w:b/>
          <w:sz w:val="24"/>
          <w:szCs w:val="24"/>
        </w:rPr>
        <w:t xml:space="preserve">APPLICATION FOR REHEARING </w:t>
      </w:r>
    </w:p>
    <w:p w:rsidR="009D6F53" w:rsidRPr="00A26039" w:rsidP="009D6F53" w14:paraId="4F660FE8" w14:textId="77777777">
      <w:pPr>
        <w:widowControl w:val="0"/>
        <w:spacing w:after="0" w:line="240" w:lineRule="auto"/>
        <w:jc w:val="center"/>
        <w:rPr>
          <w:rFonts w:ascii="Times New Roman" w:hAnsi="Times New Roman" w:cs="Times New Roman"/>
          <w:b/>
          <w:sz w:val="24"/>
          <w:szCs w:val="24"/>
        </w:rPr>
      </w:pPr>
      <w:r w:rsidRPr="00A26039">
        <w:rPr>
          <w:rFonts w:ascii="Times New Roman" w:hAnsi="Times New Roman" w:cs="Times New Roman"/>
          <w:b/>
          <w:sz w:val="24"/>
          <w:szCs w:val="24"/>
        </w:rPr>
        <w:t>BY</w:t>
      </w:r>
    </w:p>
    <w:p w:rsidR="009D6F53" w:rsidRPr="00A26039" w:rsidP="009D6F53" w14:paraId="197D1AB7" w14:textId="77777777">
      <w:pPr>
        <w:spacing w:after="0" w:line="240" w:lineRule="auto"/>
        <w:jc w:val="center"/>
        <w:rPr>
          <w:rFonts w:ascii="Times New Roman" w:hAnsi="Times New Roman" w:cs="Times New Roman"/>
          <w:b/>
          <w:sz w:val="24"/>
          <w:szCs w:val="24"/>
        </w:rPr>
      </w:pPr>
      <w:r w:rsidRPr="00A26039">
        <w:rPr>
          <w:rFonts w:ascii="Times New Roman" w:hAnsi="Times New Roman" w:cs="Times New Roman"/>
          <w:b/>
          <w:sz w:val="24"/>
          <w:szCs w:val="24"/>
        </w:rPr>
        <w:t>OFFICE OF THE OHIO CONSUMERS’ COUNSEL</w:t>
      </w:r>
    </w:p>
    <w:p w:rsidR="009D6F53" w:rsidRPr="00A26039" w:rsidP="004352ED" w14:paraId="6F769361" w14:textId="77777777">
      <w:pPr>
        <w:pBdr>
          <w:bottom w:val="single" w:sz="12" w:space="1" w:color="auto"/>
        </w:pBdr>
        <w:autoSpaceDE w:val="0"/>
        <w:autoSpaceDN w:val="0"/>
        <w:adjustRightInd w:val="0"/>
        <w:spacing w:after="240" w:line="240" w:lineRule="auto"/>
        <w:jc w:val="center"/>
        <w:rPr>
          <w:rFonts w:ascii="Times New Roman" w:eastAsia="Calibri" w:hAnsi="Times New Roman" w:cs="Times New Roman"/>
          <w:b/>
          <w:bCs/>
          <w:sz w:val="24"/>
          <w:szCs w:val="24"/>
        </w:rPr>
      </w:pPr>
    </w:p>
    <w:p w:rsidR="00AF4FFB" w:rsidRPr="00A26039" w:rsidP="006A1BDB" w14:paraId="395737C1" w14:textId="1DC7A498">
      <w:pPr>
        <w:pStyle w:val="Heading1"/>
      </w:pPr>
      <w:bookmarkStart w:id="3" w:name="_Toc118472304"/>
      <w:r w:rsidRPr="00A26039">
        <w:t>INTRODUCTION</w:t>
      </w:r>
      <w:bookmarkEnd w:id="2"/>
      <w:bookmarkEnd w:id="3"/>
    </w:p>
    <w:p w:rsidR="00A44808" w:rsidRPr="00A26039" w:rsidP="00B10F10" w14:paraId="33A461B7" w14:textId="1C5D2BF1">
      <w:pPr>
        <w:spacing w:after="0" w:line="480" w:lineRule="auto"/>
        <w:ind w:firstLine="720"/>
        <w:rPr>
          <w:rFonts w:ascii="Times New Roman" w:hAnsi="Times New Roman" w:cs="Times New Roman"/>
          <w:sz w:val="24"/>
          <w:szCs w:val="24"/>
        </w:rPr>
      </w:pPr>
      <w:r w:rsidRPr="00A26039">
        <w:rPr>
          <w:rFonts w:ascii="Times New Roman" w:hAnsi="Times New Roman" w:cs="Times New Roman"/>
          <w:color w:val="000000" w:themeColor="text1"/>
          <w:sz w:val="24"/>
          <w:szCs w:val="24"/>
          <w:shd w:val="clear" w:color="auto" w:fill="FFFFFF"/>
        </w:rPr>
        <w:t xml:space="preserve">The PUCO </w:t>
      </w:r>
      <w:r w:rsidRPr="00A26039" w:rsidR="000C6247">
        <w:rPr>
          <w:rFonts w:ascii="Times New Roman" w:hAnsi="Times New Roman" w:cs="Times New Roman"/>
          <w:color w:val="000000" w:themeColor="text1"/>
          <w:sz w:val="24"/>
          <w:szCs w:val="24"/>
          <w:shd w:val="clear" w:color="auto" w:fill="FFFFFF"/>
        </w:rPr>
        <w:t>Opinion</w:t>
      </w:r>
      <w:r w:rsidRPr="00A26039">
        <w:rPr>
          <w:rFonts w:ascii="Times New Roman" w:hAnsi="Times New Roman" w:cs="Times New Roman"/>
          <w:color w:val="000000" w:themeColor="text1"/>
          <w:sz w:val="24"/>
          <w:szCs w:val="24"/>
          <w:shd w:val="clear" w:color="auto" w:fill="FFFFFF"/>
        </w:rPr>
        <w:t xml:space="preserve"> and Order </w:t>
      </w:r>
      <w:r w:rsidRPr="00A26039" w:rsidR="009330EF">
        <w:rPr>
          <w:rFonts w:ascii="Times New Roman" w:hAnsi="Times New Roman" w:cs="Times New Roman"/>
          <w:color w:val="000000" w:themeColor="text1"/>
          <w:sz w:val="24"/>
          <w:szCs w:val="24"/>
          <w:shd w:val="clear" w:color="auto" w:fill="FFFFFF"/>
        </w:rPr>
        <w:t>is unlawful</w:t>
      </w:r>
      <w:r w:rsidRPr="00A26039">
        <w:rPr>
          <w:rFonts w:ascii="Times New Roman" w:hAnsi="Times New Roman" w:cs="Times New Roman"/>
          <w:color w:val="000000" w:themeColor="text1"/>
          <w:sz w:val="24"/>
          <w:szCs w:val="24"/>
          <w:shd w:val="clear" w:color="auto" w:fill="FFFFFF"/>
        </w:rPr>
        <w:t xml:space="preserve">. The PUCO </w:t>
      </w:r>
      <w:r w:rsidRPr="00A26039" w:rsidR="000C6247">
        <w:rPr>
          <w:rFonts w:ascii="Times New Roman" w:hAnsi="Times New Roman" w:cs="Times New Roman"/>
          <w:color w:val="000000" w:themeColor="text1"/>
          <w:sz w:val="24"/>
          <w:szCs w:val="24"/>
          <w:shd w:val="clear" w:color="auto" w:fill="FFFFFF"/>
        </w:rPr>
        <w:t>approved the Joint Settlement authorizing O</w:t>
      </w:r>
      <w:r w:rsidRPr="00A26039">
        <w:rPr>
          <w:rFonts w:ascii="Times New Roman" w:hAnsi="Times New Roman" w:cs="Times New Roman"/>
          <w:color w:val="000000" w:themeColor="text1"/>
          <w:sz w:val="24"/>
          <w:szCs w:val="24"/>
          <w:shd w:val="clear" w:color="auto" w:fill="FFFFFF"/>
        </w:rPr>
        <w:t xml:space="preserve">hio Department of Development (ODOD) </w:t>
      </w:r>
      <w:r w:rsidRPr="00A26039" w:rsidR="000C6247">
        <w:rPr>
          <w:rFonts w:ascii="Times New Roman" w:hAnsi="Times New Roman" w:cs="Times New Roman"/>
          <w:color w:val="000000" w:themeColor="text1"/>
          <w:sz w:val="24"/>
          <w:szCs w:val="24"/>
          <w:shd w:val="clear" w:color="auto" w:fill="FFFFFF"/>
        </w:rPr>
        <w:t xml:space="preserve">to proceed with </w:t>
      </w:r>
      <w:r w:rsidRPr="00A26039">
        <w:rPr>
          <w:rFonts w:ascii="Times New Roman" w:hAnsi="Times New Roman" w:cs="Times New Roman"/>
          <w:color w:val="000000" w:themeColor="text1"/>
          <w:sz w:val="24"/>
          <w:szCs w:val="24"/>
          <w:shd w:val="clear" w:color="auto" w:fill="FFFFFF"/>
        </w:rPr>
        <w:t xml:space="preserve">an application that is contrary to law and is nonsensical. Under the Settlement, ODOD will propose </w:t>
      </w:r>
      <w:r w:rsidRPr="00A26039" w:rsidR="000C6247">
        <w:rPr>
          <w:rFonts w:ascii="Times New Roman" w:hAnsi="Times New Roman" w:cs="Times New Roman"/>
          <w:color w:val="000000" w:themeColor="text1"/>
          <w:sz w:val="24"/>
          <w:szCs w:val="24"/>
          <w:shd w:val="clear" w:color="auto" w:fill="FFFFFF"/>
        </w:rPr>
        <w:t>USF rider adjustments that charge higher generation rates to PIPP customer</w:t>
      </w:r>
      <w:r w:rsidRPr="00A26039">
        <w:rPr>
          <w:rFonts w:ascii="Times New Roman" w:hAnsi="Times New Roman" w:cs="Times New Roman"/>
          <w:color w:val="000000" w:themeColor="text1"/>
          <w:sz w:val="24"/>
          <w:szCs w:val="24"/>
          <w:shd w:val="clear" w:color="auto" w:fill="FFFFFF"/>
        </w:rPr>
        <w:t xml:space="preserve">s than non-low-income consumers served under </w:t>
      </w:r>
      <w:r w:rsidRPr="00A26039" w:rsidR="003D5EA5">
        <w:rPr>
          <w:rFonts w:ascii="Times New Roman" w:hAnsi="Times New Roman" w:cs="Times New Roman"/>
          <w:color w:val="000000" w:themeColor="text1"/>
          <w:sz w:val="24"/>
          <w:szCs w:val="24"/>
          <w:shd w:val="clear" w:color="auto" w:fill="FFFFFF"/>
        </w:rPr>
        <w:t xml:space="preserve">each </w:t>
      </w:r>
      <w:r w:rsidRPr="00A26039">
        <w:rPr>
          <w:rFonts w:ascii="Times New Roman" w:hAnsi="Times New Roman" w:cs="Times New Roman"/>
          <w:color w:val="000000" w:themeColor="text1"/>
          <w:sz w:val="24"/>
          <w:szCs w:val="24"/>
          <w:shd w:val="clear" w:color="auto" w:fill="FFFFFF"/>
        </w:rPr>
        <w:t xml:space="preserve">utility’s SSO generation rates. </w:t>
      </w:r>
      <w:r w:rsidRPr="00A26039" w:rsidR="00B10F10">
        <w:rPr>
          <w:rFonts w:ascii="Times New Roman" w:hAnsi="Times New Roman" w:cs="Times New Roman"/>
          <w:iCs/>
          <w:sz w:val="24"/>
          <w:szCs w:val="24"/>
        </w:rPr>
        <w:t>The excess charges to consumers served under the PIPP program as compared to SSO consumers on an annual basis was shown in OCC’s Initial Brief.</w:t>
      </w:r>
      <w:r>
        <w:rPr>
          <w:rStyle w:val="FootnoteReference"/>
          <w:rFonts w:ascii="Times New Roman" w:hAnsi="Times New Roman" w:cs="Times New Roman"/>
          <w:iCs/>
          <w:sz w:val="24"/>
          <w:szCs w:val="24"/>
        </w:rPr>
        <w:footnoteReference w:id="8"/>
      </w:r>
      <w:r w:rsidRPr="00A26039" w:rsidR="00B10F10">
        <w:rPr>
          <w:rFonts w:ascii="Times New Roman" w:hAnsi="Times New Roman" w:cs="Times New Roman"/>
          <w:iCs/>
          <w:sz w:val="24"/>
          <w:szCs w:val="24"/>
        </w:rPr>
        <w:t xml:space="preserve"> The chart was derived from the data in OCC Exhibit 1A, which no party disputed at hearing or in briefs, and was unaddressed in the PUCO’s Order.</w:t>
      </w:r>
      <w:r w:rsidRPr="00A26039" w:rsidR="00B10F10">
        <w:rPr>
          <w:rFonts w:ascii="Times New Roman" w:hAnsi="Times New Roman" w:cs="Times New Roman"/>
          <w:sz w:val="24"/>
          <w:szCs w:val="24"/>
        </w:rPr>
        <w:t xml:space="preserve"> </w:t>
      </w:r>
    </w:p>
    <w:p w:rsidR="00B10F10" w:rsidRPr="00A26039" w:rsidP="00B10F10" w14:paraId="1E20DF9B" w14:textId="45221EBF">
      <w:pPr>
        <w:spacing w:after="0" w:line="480" w:lineRule="auto"/>
        <w:ind w:firstLine="720"/>
        <w:rPr>
          <w:rFonts w:ascii="Times New Roman" w:hAnsi="Times New Roman" w:cs="Times New Roman"/>
          <w:sz w:val="24"/>
          <w:szCs w:val="24"/>
        </w:rPr>
      </w:pPr>
      <w:r w:rsidRPr="00A26039">
        <w:rPr>
          <w:rFonts w:ascii="Times New Roman" w:hAnsi="Times New Roman" w:cs="Times New Roman"/>
          <w:sz w:val="24"/>
          <w:szCs w:val="24"/>
        </w:rPr>
        <w:t>Estimates are that the annual electricity billings for an individual low-income PIPP consumer (for the year ending May 31, 2023) will exceed the standard offers by approximately $1,289 for Duke PIPP consumers, $1,154 for AEP PIPP consumers, $584 for AES PIPP consumers, $339 for Ohio Edison PIPP consumers, $334 for CEI PIPP consumers, and $331 for Toledo Edison PIPP consumers.</w:t>
      </w:r>
      <w:r>
        <w:rPr>
          <w:rStyle w:val="FootnoteReference"/>
          <w:rFonts w:ascii="Times New Roman" w:hAnsi="Times New Roman" w:cs="Times New Roman"/>
          <w:sz w:val="24"/>
          <w:szCs w:val="24"/>
        </w:rPr>
        <w:footnoteReference w:id="9"/>
      </w:r>
      <w:r w:rsidRPr="00A26039">
        <w:rPr>
          <w:rFonts w:ascii="Times New Roman" w:hAnsi="Times New Roman" w:cs="Times New Roman"/>
          <w:sz w:val="24"/>
          <w:szCs w:val="24"/>
        </w:rPr>
        <w:t xml:space="preserve"> </w:t>
      </w:r>
    </w:p>
    <w:p w:rsidR="00B10F10" w:rsidRPr="00A26039" w:rsidP="00B10F10" w14:paraId="6E2EF607" w14:textId="4C8E9767">
      <w:pPr>
        <w:spacing w:after="0" w:line="480" w:lineRule="auto"/>
        <w:ind w:firstLine="720"/>
        <w:rPr>
          <w:rFonts w:ascii="Times New Roman" w:hAnsi="Times New Roman" w:cs="Times New Roman"/>
          <w:sz w:val="24"/>
          <w:szCs w:val="24"/>
        </w:rPr>
      </w:pPr>
      <w:r w:rsidRPr="00A26039">
        <w:rPr>
          <w:rFonts w:ascii="Times New Roman" w:hAnsi="Times New Roman" w:cs="Times New Roman"/>
          <w:sz w:val="24"/>
          <w:szCs w:val="24"/>
        </w:rPr>
        <w:t xml:space="preserve"> That is nonsensical, unconscionable and unlawful for these Ohioans lacking money. It is unconscionable to bill low-income (PIPP) consumers more for electricity (and potentially run up their debt) compared to standard-offer consumers. It is also unlawful to do this under R.C. 4928.542. That statute was enacted to prevent PIPP billings for low-income Ohioans (and charges to all other Ohioans </w:t>
      </w:r>
      <w:r w:rsidRPr="00A26039" w:rsidR="00511959">
        <w:rPr>
          <w:rFonts w:ascii="Times New Roman" w:hAnsi="Times New Roman" w:cs="Times New Roman"/>
          <w:sz w:val="24"/>
          <w:szCs w:val="24"/>
        </w:rPr>
        <w:t>who</w:t>
      </w:r>
      <w:r w:rsidRPr="00A26039">
        <w:rPr>
          <w:rFonts w:ascii="Times New Roman" w:hAnsi="Times New Roman" w:cs="Times New Roman"/>
          <w:sz w:val="24"/>
          <w:szCs w:val="24"/>
        </w:rPr>
        <w:t xml:space="preserve"> fund PIPP) from exceeding the electric utilities’ standard offers.</w:t>
      </w:r>
      <w:r>
        <w:rPr>
          <w:rStyle w:val="FootnoteReference"/>
          <w:rFonts w:ascii="Times New Roman" w:hAnsi="Times New Roman" w:cs="Times New Roman"/>
          <w:sz w:val="24"/>
          <w:szCs w:val="24"/>
        </w:rPr>
        <w:footnoteReference w:id="10"/>
      </w:r>
      <w:r w:rsidRPr="00A26039">
        <w:rPr>
          <w:rFonts w:ascii="Times New Roman" w:hAnsi="Times New Roman" w:cs="Times New Roman"/>
          <w:sz w:val="24"/>
          <w:szCs w:val="24"/>
        </w:rPr>
        <w:t xml:space="preserve"> The statute has a stated requirement for reducing costs and creating the “best value” for consumers.</w:t>
      </w:r>
      <w:r>
        <w:rPr>
          <w:rStyle w:val="FootnoteReference"/>
          <w:rFonts w:ascii="Times New Roman" w:hAnsi="Times New Roman" w:cs="Times New Roman"/>
          <w:sz w:val="24"/>
          <w:szCs w:val="24"/>
        </w:rPr>
        <w:footnoteReference w:id="11"/>
      </w:r>
      <w:r w:rsidRPr="00A26039">
        <w:rPr>
          <w:rFonts w:ascii="Times New Roman" w:hAnsi="Times New Roman" w:cs="Times New Roman"/>
          <w:sz w:val="24"/>
          <w:szCs w:val="24"/>
        </w:rPr>
        <w:t xml:space="preserve"> The statute does not allow for the PUCO to accept a result where </w:t>
      </w:r>
      <w:r w:rsidRPr="00A26039" w:rsidR="00CE126A">
        <w:rPr>
          <w:rFonts w:ascii="Times New Roman" w:hAnsi="Times New Roman" w:cs="Times New Roman"/>
          <w:sz w:val="24"/>
          <w:szCs w:val="24"/>
        </w:rPr>
        <w:t>auction winners’</w:t>
      </w:r>
      <w:r w:rsidRPr="00A26039">
        <w:rPr>
          <w:rFonts w:ascii="Times New Roman" w:hAnsi="Times New Roman" w:cs="Times New Roman"/>
          <w:sz w:val="24"/>
          <w:szCs w:val="24"/>
        </w:rPr>
        <w:t xml:space="preserve"> prices exceed the standard offers. The PUCO’s interpretation of R.C. 4928.542 harms the most vulnerable Ohioans and violated established principles of statutory interpretation and Ohio law.</w:t>
      </w:r>
    </w:p>
    <w:p w:rsidR="00210EE4" w:rsidRPr="00A26039" w:rsidP="00A60082" w14:paraId="0A4364E5" w14:textId="5E649B7E">
      <w:pPr>
        <w:spacing w:after="0" w:line="480" w:lineRule="auto"/>
        <w:ind w:firstLine="720"/>
        <w:rPr>
          <w:rFonts w:ascii="Times New Roman" w:hAnsi="Times New Roman" w:cs="Times New Roman"/>
          <w:color w:val="000000" w:themeColor="text1"/>
          <w:sz w:val="24"/>
          <w:szCs w:val="24"/>
        </w:rPr>
      </w:pPr>
      <w:r w:rsidRPr="00A26039">
        <w:rPr>
          <w:rFonts w:ascii="Times New Roman" w:hAnsi="Times New Roman" w:cs="Times New Roman"/>
          <w:color w:val="000000" w:themeColor="text1"/>
          <w:sz w:val="24"/>
          <w:szCs w:val="24"/>
        </w:rPr>
        <w:t xml:space="preserve">Also, R.C. 4928.02(L) requires </w:t>
      </w:r>
      <w:r w:rsidRPr="00A26039" w:rsidR="003D5EA5">
        <w:rPr>
          <w:rFonts w:ascii="Times New Roman" w:hAnsi="Times New Roman" w:cs="Times New Roman"/>
          <w:color w:val="000000" w:themeColor="text1"/>
          <w:sz w:val="24"/>
          <w:szCs w:val="24"/>
        </w:rPr>
        <w:t xml:space="preserve">the PUCO and </w:t>
      </w:r>
      <w:r w:rsidRPr="00A26039" w:rsidR="00A44808">
        <w:rPr>
          <w:rFonts w:ascii="Times New Roman" w:hAnsi="Times New Roman" w:cs="Times New Roman"/>
          <w:color w:val="000000" w:themeColor="text1"/>
          <w:sz w:val="24"/>
          <w:szCs w:val="24"/>
        </w:rPr>
        <w:t xml:space="preserve">ODOD </w:t>
      </w:r>
      <w:r w:rsidRPr="00A26039" w:rsidR="003D5EA5">
        <w:rPr>
          <w:rFonts w:ascii="Times New Roman" w:hAnsi="Times New Roman" w:cs="Times New Roman"/>
          <w:color w:val="000000" w:themeColor="text1"/>
          <w:sz w:val="24"/>
          <w:szCs w:val="24"/>
        </w:rPr>
        <w:t>t</w:t>
      </w:r>
      <w:r w:rsidRPr="00A26039">
        <w:rPr>
          <w:rFonts w:ascii="Times New Roman" w:hAnsi="Times New Roman" w:cs="Times New Roman"/>
          <w:color w:val="000000" w:themeColor="text1"/>
          <w:sz w:val="24"/>
          <w:szCs w:val="24"/>
        </w:rPr>
        <w:t xml:space="preserve">o protect at-risk Ohioans. </w:t>
      </w:r>
      <w:r w:rsidRPr="00A26039" w:rsidR="00A44808">
        <w:rPr>
          <w:rFonts w:ascii="Times New Roman" w:hAnsi="Times New Roman" w:cs="Times New Roman"/>
          <w:color w:val="000000" w:themeColor="text1"/>
          <w:sz w:val="24"/>
          <w:szCs w:val="24"/>
        </w:rPr>
        <w:t xml:space="preserve">The electric utilities’ </w:t>
      </w:r>
      <w:r w:rsidRPr="00A26039">
        <w:rPr>
          <w:rFonts w:ascii="Times New Roman" w:hAnsi="Times New Roman" w:cs="Times New Roman"/>
          <w:color w:val="000000" w:themeColor="text1"/>
          <w:sz w:val="24"/>
          <w:szCs w:val="24"/>
        </w:rPr>
        <w:t>low-income PIPP consumers are vulnerable to poverty, food and housing insecurity, inflation, and a</w:t>
      </w:r>
      <w:r w:rsidRPr="00A26039" w:rsidR="00A27F65">
        <w:rPr>
          <w:rFonts w:ascii="Times New Roman" w:hAnsi="Times New Roman" w:cs="Times New Roman"/>
          <w:color w:val="000000" w:themeColor="text1"/>
          <w:sz w:val="24"/>
          <w:szCs w:val="24"/>
        </w:rPr>
        <w:t xml:space="preserve"> resurging</w:t>
      </w:r>
      <w:r w:rsidRPr="00A26039">
        <w:rPr>
          <w:rFonts w:ascii="Times New Roman" w:hAnsi="Times New Roman" w:cs="Times New Roman"/>
          <w:color w:val="000000" w:themeColor="text1"/>
          <w:sz w:val="24"/>
          <w:szCs w:val="24"/>
        </w:rPr>
        <w:t xml:space="preserve"> pandemic. </w:t>
      </w:r>
      <w:r w:rsidRPr="00A26039" w:rsidR="00097221">
        <w:rPr>
          <w:rFonts w:ascii="Times New Roman" w:hAnsi="Times New Roman" w:cs="Times New Roman"/>
          <w:color w:val="000000" w:themeColor="text1"/>
          <w:sz w:val="24"/>
          <w:szCs w:val="24"/>
        </w:rPr>
        <w:t xml:space="preserve">The PUCO did not address OCC’s arguments regarding this statute, simply finding them to be </w:t>
      </w:r>
      <w:r w:rsidRPr="00A26039" w:rsidR="00A27F65">
        <w:rPr>
          <w:rFonts w:ascii="Times New Roman" w:hAnsi="Times New Roman" w:cs="Times New Roman"/>
          <w:color w:val="000000" w:themeColor="text1"/>
          <w:sz w:val="24"/>
          <w:szCs w:val="24"/>
        </w:rPr>
        <w:t>“</w:t>
      </w:r>
      <w:r w:rsidRPr="00A26039" w:rsidR="00097221">
        <w:rPr>
          <w:rFonts w:ascii="Times New Roman" w:hAnsi="Times New Roman" w:cs="Times New Roman"/>
          <w:color w:val="000000" w:themeColor="text1"/>
          <w:sz w:val="24"/>
          <w:szCs w:val="24"/>
        </w:rPr>
        <w:t>without merit.</w:t>
      </w:r>
      <w:r w:rsidRPr="00A26039" w:rsidR="00A27F65">
        <w:rPr>
          <w:rFonts w:ascii="Times New Roman" w:hAnsi="Times New Roman" w:cs="Times New Roman"/>
          <w:color w:val="000000" w:themeColor="text1"/>
          <w:sz w:val="24"/>
          <w:szCs w:val="24"/>
        </w:rPr>
        <w:t>”</w:t>
      </w:r>
      <w:r>
        <w:rPr>
          <w:rStyle w:val="FootnoteReference"/>
          <w:rFonts w:ascii="Times New Roman" w:hAnsi="Times New Roman" w:cs="Times New Roman"/>
          <w:color w:val="000000" w:themeColor="text1"/>
          <w:sz w:val="24"/>
          <w:szCs w:val="24"/>
        </w:rPr>
        <w:footnoteReference w:id="12"/>
      </w:r>
      <w:r w:rsidRPr="00A26039" w:rsidR="00097221">
        <w:rPr>
          <w:rFonts w:ascii="Times New Roman" w:hAnsi="Times New Roman" w:cs="Times New Roman"/>
          <w:color w:val="000000" w:themeColor="text1"/>
          <w:sz w:val="24"/>
          <w:szCs w:val="24"/>
        </w:rPr>
        <w:t xml:space="preserve"> But by a</w:t>
      </w:r>
      <w:r w:rsidRPr="00A26039" w:rsidR="00110C27">
        <w:rPr>
          <w:rFonts w:ascii="Times New Roman" w:hAnsi="Times New Roman" w:cs="Times New Roman"/>
          <w:color w:val="000000" w:themeColor="text1"/>
          <w:sz w:val="24"/>
          <w:szCs w:val="24"/>
        </w:rPr>
        <w:t xml:space="preserve">pproving </w:t>
      </w:r>
      <w:r w:rsidRPr="00A26039" w:rsidR="00A44808">
        <w:rPr>
          <w:rFonts w:ascii="Times New Roman" w:hAnsi="Times New Roman" w:cs="Times New Roman"/>
          <w:color w:val="000000" w:themeColor="text1"/>
          <w:sz w:val="24"/>
          <w:szCs w:val="24"/>
        </w:rPr>
        <w:t xml:space="preserve">the Settlement authorizing higher charges to consumers served under PIPP, </w:t>
      </w:r>
      <w:r w:rsidRPr="00A26039">
        <w:rPr>
          <w:rFonts w:ascii="Times New Roman" w:hAnsi="Times New Roman" w:cs="Times New Roman"/>
          <w:color w:val="000000" w:themeColor="text1"/>
          <w:sz w:val="24"/>
          <w:szCs w:val="24"/>
        </w:rPr>
        <w:t xml:space="preserve">the PUCO </w:t>
      </w:r>
      <w:r w:rsidRPr="00A26039" w:rsidR="007546CB">
        <w:rPr>
          <w:rFonts w:ascii="Times New Roman" w:hAnsi="Times New Roman" w:cs="Times New Roman"/>
          <w:color w:val="000000" w:themeColor="text1"/>
          <w:sz w:val="24"/>
          <w:szCs w:val="24"/>
        </w:rPr>
        <w:t xml:space="preserve">has </w:t>
      </w:r>
      <w:r w:rsidRPr="00A26039">
        <w:rPr>
          <w:rFonts w:ascii="Times New Roman" w:hAnsi="Times New Roman" w:cs="Times New Roman"/>
          <w:color w:val="000000" w:themeColor="text1"/>
          <w:sz w:val="24"/>
          <w:szCs w:val="24"/>
        </w:rPr>
        <w:t>not protected at-risk consumers from high rates</w:t>
      </w:r>
      <w:r w:rsidRPr="00A26039" w:rsidR="007546CB">
        <w:rPr>
          <w:rFonts w:ascii="Times New Roman" w:hAnsi="Times New Roman" w:cs="Times New Roman"/>
          <w:color w:val="000000" w:themeColor="text1"/>
          <w:sz w:val="24"/>
          <w:szCs w:val="24"/>
        </w:rPr>
        <w:t xml:space="preserve"> and violated R.C. 4928(L).</w:t>
      </w:r>
      <w:r w:rsidRPr="00A26039">
        <w:rPr>
          <w:rFonts w:ascii="Times New Roman" w:hAnsi="Times New Roman" w:cs="Times New Roman"/>
          <w:color w:val="000000" w:themeColor="text1"/>
          <w:sz w:val="24"/>
          <w:szCs w:val="24"/>
        </w:rPr>
        <w:t xml:space="preserve"> </w:t>
      </w:r>
    </w:p>
    <w:p w:rsidR="0034017B" w:rsidRPr="00A26039" w:rsidP="00580702" w14:paraId="16EC43BE" w14:textId="678A9564">
      <w:pPr>
        <w:spacing w:after="0" w:line="480" w:lineRule="auto"/>
        <w:ind w:firstLine="720"/>
        <w:rPr>
          <w:rFonts w:ascii="Times New Roman" w:hAnsi="Times New Roman" w:cs="Times New Roman"/>
          <w:color w:val="000000" w:themeColor="text1"/>
          <w:sz w:val="24"/>
          <w:szCs w:val="24"/>
        </w:rPr>
      </w:pPr>
      <w:r w:rsidRPr="00A26039">
        <w:rPr>
          <w:rFonts w:ascii="Times New Roman" w:hAnsi="Times New Roman" w:cs="Times New Roman"/>
          <w:color w:val="000000" w:themeColor="text1"/>
          <w:sz w:val="24"/>
          <w:szCs w:val="24"/>
        </w:rPr>
        <w:t xml:space="preserve">The PUCO must do its part to stop this injustice. </w:t>
      </w:r>
      <w:r w:rsidRPr="00A26039" w:rsidR="00097221">
        <w:rPr>
          <w:rFonts w:ascii="Times New Roman" w:hAnsi="Times New Roman" w:cs="Times New Roman"/>
          <w:color w:val="000000" w:themeColor="text1"/>
          <w:sz w:val="24"/>
          <w:szCs w:val="24"/>
        </w:rPr>
        <w:t xml:space="preserve">The PUCO unreasonably and unlawfully found that the Settlement authorizing higher PIPP rates relative to the standard service offer benefits </w:t>
      </w:r>
      <w:r w:rsidRPr="00A26039" w:rsidR="007546CB">
        <w:rPr>
          <w:rFonts w:ascii="Times New Roman" w:hAnsi="Times New Roman" w:cs="Times New Roman"/>
          <w:color w:val="000000" w:themeColor="text1"/>
          <w:sz w:val="24"/>
          <w:szCs w:val="24"/>
        </w:rPr>
        <w:t>consumers</w:t>
      </w:r>
      <w:r w:rsidRPr="00A26039" w:rsidR="00097221">
        <w:rPr>
          <w:rFonts w:ascii="Times New Roman" w:hAnsi="Times New Roman" w:cs="Times New Roman"/>
          <w:color w:val="000000" w:themeColor="text1"/>
          <w:sz w:val="24"/>
          <w:szCs w:val="24"/>
        </w:rPr>
        <w:t xml:space="preserve"> and the public interest</w:t>
      </w:r>
      <w:r>
        <w:rPr>
          <w:rStyle w:val="FootnoteReference"/>
          <w:rFonts w:ascii="Times New Roman" w:hAnsi="Times New Roman" w:cs="Times New Roman"/>
          <w:color w:val="000000" w:themeColor="text1"/>
          <w:sz w:val="24"/>
          <w:szCs w:val="24"/>
        </w:rPr>
        <w:footnoteReference w:id="13"/>
      </w:r>
      <w:r w:rsidRPr="00A26039" w:rsidR="00097221">
        <w:rPr>
          <w:rFonts w:ascii="Times New Roman" w:hAnsi="Times New Roman" w:cs="Times New Roman"/>
          <w:color w:val="000000" w:themeColor="text1"/>
          <w:sz w:val="24"/>
          <w:szCs w:val="24"/>
        </w:rPr>
        <w:t xml:space="preserve"> when in fact </w:t>
      </w:r>
      <w:r w:rsidRPr="00A26039">
        <w:rPr>
          <w:rFonts w:ascii="Times New Roman" w:hAnsi="Times New Roman" w:cs="Times New Roman"/>
          <w:color w:val="000000" w:themeColor="text1"/>
          <w:sz w:val="24"/>
          <w:szCs w:val="24"/>
        </w:rPr>
        <w:t xml:space="preserve">the situation </w:t>
      </w:r>
      <w:r w:rsidRPr="00A26039" w:rsidR="00097221">
        <w:rPr>
          <w:rFonts w:ascii="Times New Roman" w:hAnsi="Times New Roman" w:cs="Times New Roman"/>
          <w:color w:val="000000" w:themeColor="text1"/>
          <w:sz w:val="24"/>
          <w:szCs w:val="24"/>
        </w:rPr>
        <w:t>is to their detriment. The PUCO additionally unreasonably found that PIPP generation rates, while a component of the PIPP program, are beyond the scope of this proceeding and declined to address OCC’s recommendations.</w:t>
      </w:r>
      <w:r>
        <w:rPr>
          <w:rStyle w:val="FootnoteReference"/>
          <w:rFonts w:ascii="Times New Roman" w:hAnsi="Times New Roman" w:cs="Times New Roman"/>
          <w:color w:val="000000" w:themeColor="text1"/>
          <w:sz w:val="24"/>
          <w:szCs w:val="24"/>
        </w:rPr>
        <w:footnoteReference w:id="14"/>
      </w:r>
      <w:r w:rsidRPr="00A26039" w:rsidR="00097221">
        <w:rPr>
          <w:rFonts w:ascii="Times New Roman" w:hAnsi="Times New Roman" w:cs="Times New Roman"/>
          <w:color w:val="000000" w:themeColor="text1"/>
          <w:sz w:val="24"/>
          <w:szCs w:val="24"/>
        </w:rPr>
        <w:t xml:space="preserve"> </w:t>
      </w:r>
      <w:r w:rsidRPr="00A26039" w:rsidR="00530D1E">
        <w:rPr>
          <w:rFonts w:ascii="Times New Roman" w:hAnsi="Times New Roman" w:cs="Times New Roman"/>
          <w:color w:val="000000" w:themeColor="text1"/>
          <w:sz w:val="24"/>
          <w:szCs w:val="24"/>
        </w:rPr>
        <w:t>The PUCO took the easy way out by not addressing this issue that is charging at-risk Ohioans higher generation rates than non-PIPP consumers.</w:t>
      </w:r>
    </w:p>
    <w:p w:rsidR="00AF4FFB" w:rsidRPr="00A26039" w:rsidP="00580702" w14:paraId="4919B535" w14:textId="00724C94">
      <w:pPr>
        <w:pStyle w:val="BodyTextIndent3"/>
        <w:widowControl w:val="0"/>
        <w:spacing w:line="480" w:lineRule="auto"/>
        <w:ind w:right="-312"/>
        <w:rPr>
          <w:rFonts w:eastAsiaTheme="minorHAnsi"/>
          <w:color w:val="000000" w:themeColor="text1"/>
          <w:szCs w:val="24"/>
        </w:rPr>
      </w:pPr>
      <w:r w:rsidRPr="00A26039">
        <w:rPr>
          <w:rFonts w:eastAsiaTheme="minorHAnsi"/>
          <w:szCs w:val="24"/>
        </w:rPr>
        <w:t xml:space="preserve">The </w:t>
      </w:r>
      <w:r w:rsidRPr="00A26039">
        <w:rPr>
          <w:rFonts w:eastAsiaTheme="minorHAnsi"/>
          <w:color w:val="000000" w:themeColor="text1"/>
          <w:szCs w:val="24"/>
        </w:rPr>
        <w:t>PUCO should grant OCC’s Application for Rehearing</w:t>
      </w:r>
      <w:r w:rsidRPr="00A26039" w:rsidR="00035F75">
        <w:rPr>
          <w:rFonts w:eastAsiaTheme="minorHAnsi"/>
          <w:color w:val="000000" w:themeColor="text1"/>
          <w:szCs w:val="24"/>
        </w:rPr>
        <w:t xml:space="preserve"> </w:t>
      </w:r>
      <w:r w:rsidRPr="00A26039" w:rsidR="003C22CB">
        <w:rPr>
          <w:rFonts w:eastAsiaTheme="minorHAnsi"/>
          <w:color w:val="000000" w:themeColor="text1"/>
          <w:szCs w:val="24"/>
        </w:rPr>
        <w:t xml:space="preserve">as further explained below to protect </w:t>
      </w:r>
      <w:r w:rsidRPr="00A26039" w:rsidR="00737BBC">
        <w:rPr>
          <w:rFonts w:eastAsiaTheme="minorHAnsi"/>
          <w:color w:val="000000" w:themeColor="text1"/>
          <w:szCs w:val="24"/>
        </w:rPr>
        <w:t xml:space="preserve">at-risk PIPP </w:t>
      </w:r>
      <w:r w:rsidRPr="00A26039" w:rsidR="003C22CB">
        <w:rPr>
          <w:rFonts w:eastAsiaTheme="minorHAnsi"/>
          <w:color w:val="000000" w:themeColor="text1"/>
          <w:szCs w:val="24"/>
        </w:rPr>
        <w:t xml:space="preserve">consumers from overpaying for </w:t>
      </w:r>
      <w:r w:rsidRPr="00A26039" w:rsidR="00350036">
        <w:rPr>
          <w:rFonts w:eastAsiaTheme="minorHAnsi"/>
          <w:color w:val="000000" w:themeColor="text1"/>
          <w:szCs w:val="24"/>
        </w:rPr>
        <w:t>electric</w:t>
      </w:r>
      <w:r w:rsidRPr="00A26039" w:rsidR="00591476">
        <w:rPr>
          <w:rFonts w:eastAsiaTheme="minorHAnsi"/>
          <w:color w:val="000000" w:themeColor="text1"/>
          <w:szCs w:val="24"/>
        </w:rPr>
        <w:t xml:space="preserve"> utility service</w:t>
      </w:r>
      <w:r w:rsidRPr="00A26039" w:rsidR="003C22CB">
        <w:rPr>
          <w:rFonts w:eastAsiaTheme="minorHAnsi"/>
          <w:color w:val="000000" w:themeColor="text1"/>
          <w:szCs w:val="24"/>
        </w:rPr>
        <w:t>.</w:t>
      </w:r>
    </w:p>
    <w:p w:rsidR="009A2761" w:rsidRPr="00A26039" w:rsidP="009A2761" w14:paraId="3BF0840F" w14:textId="77777777">
      <w:pPr>
        <w:pStyle w:val="BodyTextIndent3"/>
        <w:widowControl w:val="0"/>
        <w:spacing w:line="240" w:lineRule="auto"/>
        <w:ind w:right="-312"/>
        <w:rPr>
          <w:color w:val="000000" w:themeColor="text1"/>
          <w:szCs w:val="24"/>
        </w:rPr>
      </w:pPr>
    </w:p>
    <w:p w:rsidR="00E95F3D" w:rsidRPr="00A26039" w:rsidP="006A1BDB" w14:paraId="67FDAEC9" w14:textId="1507196E">
      <w:pPr>
        <w:pStyle w:val="Heading1"/>
        <w:rPr>
          <w:color w:val="000000" w:themeColor="text1"/>
        </w:rPr>
      </w:pPr>
      <w:bookmarkStart w:id="4" w:name="_Toc53576255"/>
      <w:bookmarkStart w:id="5" w:name="_Toc53576320"/>
      <w:bookmarkStart w:id="6" w:name="_Toc92365887"/>
      <w:bookmarkStart w:id="7" w:name="_Toc98520147"/>
      <w:bookmarkStart w:id="8" w:name="_Toc118472305"/>
      <w:r w:rsidRPr="00A26039">
        <w:rPr>
          <w:color w:val="000000" w:themeColor="text1"/>
        </w:rPr>
        <w:t>MATTER</w:t>
      </w:r>
      <w:r w:rsidRPr="00A26039" w:rsidR="009A2761">
        <w:rPr>
          <w:color w:val="000000" w:themeColor="text1"/>
        </w:rPr>
        <w:t>S</w:t>
      </w:r>
      <w:r w:rsidRPr="00A26039">
        <w:rPr>
          <w:color w:val="000000" w:themeColor="text1"/>
        </w:rPr>
        <w:t xml:space="preserve"> FOR CONSIDERATION</w:t>
      </w:r>
      <w:bookmarkEnd w:id="4"/>
      <w:bookmarkEnd w:id="5"/>
      <w:bookmarkEnd w:id="6"/>
      <w:bookmarkEnd w:id="7"/>
      <w:bookmarkEnd w:id="8"/>
    </w:p>
    <w:p w:rsidR="009166C0" w:rsidRPr="00B730B8" w:rsidP="00B730B8" w14:paraId="64056BD0" w14:textId="04AF95F1">
      <w:pPr>
        <w:pStyle w:val="Heading2"/>
      </w:pPr>
      <w:bookmarkStart w:id="9" w:name="_Toc118472306"/>
      <w:r w:rsidRPr="00B730B8">
        <w:rPr>
          <w:b/>
          <w:bCs/>
        </w:rPr>
        <w:t>ASSIGNMENT OF ERROR NO. 1:</w:t>
      </w:r>
      <w:r w:rsidRPr="00B730B8">
        <w:t xml:space="preserve"> The PUCO erred by violating R.C. 4928.542 by authorizing ODOD to charge higher electricity prices to at-risk PIPP consumers than are being charged to the utilities’ standard service offer consumers.</w:t>
      </w:r>
      <w:bookmarkEnd w:id="9"/>
    </w:p>
    <w:p w:rsidR="003D5EA5" w:rsidRPr="00A26039" w:rsidP="003D5EA5" w14:paraId="49A37BC0" w14:textId="01AD6F1C">
      <w:pPr>
        <w:kinsoku w:val="0"/>
        <w:overflowPunct w:val="0"/>
        <w:autoSpaceDE w:val="0"/>
        <w:autoSpaceDN w:val="0"/>
        <w:adjustRightInd w:val="0"/>
        <w:spacing w:after="0" w:line="480" w:lineRule="auto"/>
        <w:ind w:firstLine="720"/>
        <w:rPr>
          <w:rFonts w:ascii="Times New Roman" w:hAnsi="Times New Roman" w:cs="Times New Roman"/>
          <w:sz w:val="24"/>
          <w:szCs w:val="24"/>
        </w:rPr>
      </w:pPr>
      <w:r w:rsidRPr="00A26039">
        <w:rPr>
          <w:rFonts w:ascii="Times New Roman" w:hAnsi="Times New Roman" w:cs="Times New Roman"/>
          <w:sz w:val="24"/>
          <w:szCs w:val="24"/>
        </w:rPr>
        <w:t xml:space="preserve">The Universal Service Fund (“USF”), in R.C. 4928.51 </w:t>
      </w:r>
      <w:r w:rsidRPr="00A26039">
        <w:rPr>
          <w:rFonts w:ascii="Times New Roman" w:hAnsi="Times New Roman" w:cs="Times New Roman"/>
          <w:i/>
          <w:iCs/>
          <w:sz w:val="24"/>
          <w:szCs w:val="24"/>
        </w:rPr>
        <w:t>et seq</w:t>
      </w:r>
      <w:r w:rsidRPr="00A26039">
        <w:rPr>
          <w:rFonts w:ascii="Times New Roman" w:hAnsi="Times New Roman" w:cs="Times New Roman"/>
          <w:sz w:val="24"/>
          <w:szCs w:val="24"/>
        </w:rPr>
        <w:t>., is the state funding mechanism for electric bill payment assistance through PIPP</w:t>
      </w:r>
      <w:r w:rsidRPr="00A26039" w:rsidR="00742CA2">
        <w:rPr>
          <w:rFonts w:ascii="Times New Roman" w:hAnsi="Times New Roman" w:cs="Times New Roman"/>
          <w:sz w:val="24"/>
          <w:szCs w:val="24"/>
        </w:rPr>
        <w:t>, a program intended to assist the most impoverished residential utility consumers in Ohio.</w:t>
      </w:r>
      <w:r w:rsidRPr="00A26039">
        <w:rPr>
          <w:rFonts w:ascii="Times New Roman" w:hAnsi="Times New Roman" w:cs="Times New Roman"/>
          <w:sz w:val="24"/>
          <w:szCs w:val="24"/>
        </w:rPr>
        <w:t xml:space="preserve"> The program is administered by ODOD, with a role for the PUCO. ODOD requested that the PUCO design, manage, and supervise the competitive procurement process for PIPP consumers.</w:t>
      </w:r>
      <w:r>
        <w:rPr>
          <w:rStyle w:val="FootnoteReference"/>
          <w:rFonts w:ascii="Times New Roman" w:hAnsi="Times New Roman" w:cs="Times New Roman"/>
          <w:sz w:val="24"/>
          <w:szCs w:val="24"/>
        </w:rPr>
        <w:footnoteReference w:id="15"/>
      </w:r>
      <w:r w:rsidRPr="00A26039">
        <w:rPr>
          <w:rFonts w:ascii="Times New Roman" w:hAnsi="Times New Roman" w:cs="Times New Roman"/>
          <w:sz w:val="24"/>
          <w:szCs w:val="24"/>
        </w:rPr>
        <w:t xml:space="preserve"> The USF proceeding is intended to address “the methodology ODOD will utilize to develop the USF rider revenue requirement, the USF rate design and any issues raised by the parties concerning these items.”</w:t>
      </w:r>
      <w:r>
        <w:rPr>
          <w:rStyle w:val="FootnoteReference"/>
          <w:rFonts w:ascii="Times New Roman" w:hAnsi="Times New Roman" w:cs="Times New Roman"/>
          <w:sz w:val="24"/>
          <w:szCs w:val="24"/>
        </w:rPr>
        <w:footnoteReference w:id="16"/>
      </w:r>
      <w:r w:rsidRPr="00A26039">
        <w:rPr>
          <w:rFonts w:ascii="Times New Roman" w:hAnsi="Times New Roman" w:cs="Times New Roman"/>
          <w:sz w:val="24"/>
          <w:szCs w:val="24"/>
        </w:rPr>
        <w:t xml:space="preserve"> </w:t>
      </w:r>
    </w:p>
    <w:p w:rsidR="001D5B69" w:rsidRPr="00A26039" w:rsidP="00082907" w14:paraId="325740F6" w14:textId="74489D8D">
      <w:pPr>
        <w:spacing w:after="0" w:line="480" w:lineRule="auto"/>
        <w:ind w:firstLine="720"/>
        <w:rPr>
          <w:rFonts w:ascii="Times New Roman" w:hAnsi="Times New Roman" w:cs="Times New Roman"/>
          <w:sz w:val="24"/>
          <w:szCs w:val="24"/>
        </w:rPr>
      </w:pPr>
      <w:r w:rsidRPr="00A26039">
        <w:rPr>
          <w:rFonts w:ascii="Times New Roman" w:hAnsi="Times New Roman" w:cs="Times New Roman"/>
          <w:sz w:val="24"/>
          <w:szCs w:val="24"/>
        </w:rPr>
        <w:t>By law, PIPP consumers are not permitted to shop for their generation supply. Rather, they must rely on the ODOD (and the PUCO) to make sure that they are provided lawful, nondiscriminatory and reasonably priced retail electric service through the PIPP-specific auctions with energy marketers.</w:t>
      </w:r>
      <w:r>
        <w:rPr>
          <w:rStyle w:val="FootnoteReference"/>
          <w:rFonts w:ascii="Times New Roman" w:hAnsi="Times New Roman" w:cs="Times New Roman"/>
          <w:sz w:val="24"/>
          <w:szCs w:val="24"/>
        </w:rPr>
        <w:footnoteReference w:id="17"/>
      </w:r>
      <w:r w:rsidRPr="00A26039">
        <w:rPr>
          <w:rFonts w:ascii="Times New Roman" w:hAnsi="Times New Roman" w:cs="Times New Roman"/>
          <w:sz w:val="24"/>
          <w:szCs w:val="24"/>
        </w:rPr>
        <w:t xml:space="preserve"> </w:t>
      </w:r>
      <w:r w:rsidRPr="00A26039" w:rsidR="00530D1E">
        <w:rPr>
          <w:rFonts w:ascii="Times New Roman" w:hAnsi="Times New Roman" w:cs="Times New Roman"/>
          <w:sz w:val="24"/>
          <w:szCs w:val="24"/>
        </w:rPr>
        <w:t>This has not happened in recent years.</w:t>
      </w:r>
    </w:p>
    <w:p w:rsidR="00882FBE" w:rsidRPr="00A26039" w:rsidP="00882FBE" w14:paraId="67C85B80" w14:textId="62D0D439">
      <w:pPr>
        <w:spacing w:after="0" w:line="480" w:lineRule="auto"/>
        <w:ind w:firstLine="720"/>
        <w:rPr>
          <w:rFonts w:ascii="Times New Roman" w:hAnsi="Times New Roman" w:cs="Times New Roman"/>
          <w:sz w:val="24"/>
          <w:szCs w:val="24"/>
        </w:rPr>
      </w:pPr>
      <w:r w:rsidRPr="00A26039">
        <w:rPr>
          <w:rFonts w:ascii="Times New Roman" w:hAnsi="Times New Roman" w:cs="Times New Roman"/>
          <w:iCs/>
          <w:sz w:val="24"/>
          <w:szCs w:val="24"/>
        </w:rPr>
        <w:t>C</w:t>
      </w:r>
      <w:r w:rsidRPr="00A26039" w:rsidR="00511959">
        <w:rPr>
          <w:rFonts w:ascii="Times New Roman" w:hAnsi="Times New Roman" w:cs="Times New Roman"/>
          <w:iCs/>
          <w:sz w:val="24"/>
          <w:szCs w:val="24"/>
        </w:rPr>
        <w:t>onsumers</w:t>
      </w:r>
      <w:r w:rsidRPr="00A26039" w:rsidR="00594532">
        <w:rPr>
          <w:rFonts w:ascii="Times New Roman" w:hAnsi="Times New Roman" w:cs="Times New Roman"/>
          <w:iCs/>
          <w:sz w:val="24"/>
          <w:szCs w:val="24"/>
        </w:rPr>
        <w:t xml:space="preserve"> served under the PIPP program are </w:t>
      </w:r>
      <w:r w:rsidRPr="00A26039" w:rsidR="00742CA2">
        <w:rPr>
          <w:rFonts w:ascii="Times New Roman" w:hAnsi="Times New Roman" w:cs="Times New Roman"/>
          <w:iCs/>
          <w:sz w:val="24"/>
          <w:szCs w:val="24"/>
        </w:rPr>
        <w:t xml:space="preserve">improperly and nonsensically </w:t>
      </w:r>
      <w:r w:rsidRPr="00A26039" w:rsidR="00594532">
        <w:rPr>
          <w:rFonts w:ascii="Times New Roman" w:hAnsi="Times New Roman" w:cs="Times New Roman"/>
          <w:iCs/>
          <w:sz w:val="24"/>
          <w:szCs w:val="24"/>
        </w:rPr>
        <w:t>charged a higher per kWh rate for each of the six electric utilities than non-low-income standard offer c</w:t>
      </w:r>
      <w:r w:rsidRPr="00A26039" w:rsidR="00511959">
        <w:rPr>
          <w:rFonts w:ascii="Times New Roman" w:hAnsi="Times New Roman" w:cs="Times New Roman"/>
          <w:iCs/>
          <w:sz w:val="24"/>
          <w:szCs w:val="24"/>
        </w:rPr>
        <w:t>onsumers</w:t>
      </w:r>
      <w:r w:rsidRPr="00A26039" w:rsidR="00594532">
        <w:rPr>
          <w:rFonts w:ascii="Times New Roman" w:hAnsi="Times New Roman" w:cs="Times New Roman"/>
          <w:iCs/>
          <w:sz w:val="24"/>
          <w:szCs w:val="24"/>
        </w:rPr>
        <w:t>.</w:t>
      </w:r>
      <w:r>
        <w:rPr>
          <w:rStyle w:val="FootnoteReference"/>
          <w:rFonts w:ascii="Times New Roman" w:hAnsi="Times New Roman" w:cs="Times New Roman"/>
          <w:iCs/>
          <w:sz w:val="24"/>
          <w:szCs w:val="24"/>
        </w:rPr>
        <w:footnoteReference w:id="18"/>
      </w:r>
      <w:r w:rsidRPr="00A26039" w:rsidR="00594532">
        <w:rPr>
          <w:rFonts w:ascii="Times New Roman" w:hAnsi="Times New Roman" w:cs="Times New Roman"/>
          <w:iCs/>
          <w:sz w:val="24"/>
          <w:szCs w:val="24"/>
        </w:rPr>
        <w:t xml:space="preserve"> </w:t>
      </w:r>
      <w:r w:rsidRPr="00A26039">
        <w:rPr>
          <w:rFonts w:ascii="Times New Roman" w:hAnsi="Times New Roman" w:cs="Times New Roman"/>
          <w:iCs/>
          <w:sz w:val="24"/>
          <w:szCs w:val="24"/>
        </w:rPr>
        <w:t xml:space="preserve">This is undisputed. </w:t>
      </w:r>
      <w:r w:rsidRPr="00A26039">
        <w:rPr>
          <w:rFonts w:ascii="Times New Roman" w:hAnsi="Times New Roman" w:cs="Times New Roman"/>
          <w:sz w:val="24"/>
          <w:szCs w:val="24"/>
        </w:rPr>
        <w:t>Estimates are that the annual electricity billings for an individual low-income PIPP consumer (for the year ending May 31, 2023) will exceed the standard offers by approximately $1,289 for Duke PIPP consumers, $1,154 for AEP PIPP consumers, $584 for AES PIPP consumers, $339 for Ohio Edison PIPP consumers, $334 for CEI PIPP consumers, and $331 for Toledo Edison PIPP consumers.</w:t>
      </w:r>
      <w:r>
        <w:rPr>
          <w:rStyle w:val="FootnoteReference"/>
          <w:rFonts w:ascii="Times New Roman" w:hAnsi="Times New Roman" w:cs="Times New Roman"/>
          <w:sz w:val="24"/>
          <w:szCs w:val="24"/>
        </w:rPr>
        <w:footnoteReference w:id="19"/>
      </w:r>
      <w:r w:rsidRPr="00A26039">
        <w:rPr>
          <w:rFonts w:ascii="Times New Roman" w:hAnsi="Times New Roman" w:cs="Times New Roman"/>
          <w:sz w:val="24"/>
          <w:szCs w:val="24"/>
        </w:rPr>
        <w:t xml:space="preserve"> </w:t>
      </w:r>
    </w:p>
    <w:p w:rsidR="001D5B69" w:rsidRPr="00A26039" w:rsidP="0030470B" w14:paraId="5863F841" w14:textId="0A3F10F5">
      <w:pPr>
        <w:spacing w:after="0" w:line="480" w:lineRule="auto"/>
        <w:ind w:firstLine="720"/>
        <w:rPr>
          <w:rFonts w:ascii="Times New Roman" w:hAnsi="Times New Roman" w:cs="Times New Roman"/>
          <w:sz w:val="24"/>
          <w:szCs w:val="24"/>
        </w:rPr>
      </w:pPr>
      <w:r w:rsidRPr="00A26039">
        <w:rPr>
          <w:rFonts w:ascii="Times New Roman" w:hAnsi="Times New Roman" w:cs="Times New Roman"/>
          <w:iCs/>
          <w:sz w:val="24"/>
          <w:szCs w:val="24"/>
        </w:rPr>
        <w:t xml:space="preserve">For example, </w:t>
      </w:r>
      <w:r w:rsidRPr="00A26039" w:rsidR="00A01D6F">
        <w:rPr>
          <w:rFonts w:ascii="Times New Roman" w:hAnsi="Times New Roman" w:cs="Times New Roman"/>
          <w:sz w:val="24"/>
          <w:szCs w:val="24"/>
        </w:rPr>
        <w:t xml:space="preserve">Duke’s PIPP consumers are paying </w:t>
      </w:r>
      <w:r w:rsidRPr="00A26039" w:rsidR="00A01D6F">
        <w:rPr>
          <w:rFonts w:ascii="Times New Roman" w:hAnsi="Times New Roman" w:cs="Times New Roman"/>
          <w:i/>
          <w:iCs/>
          <w:sz w:val="24"/>
          <w:szCs w:val="24"/>
        </w:rPr>
        <w:t xml:space="preserve">more </w:t>
      </w:r>
      <w:r w:rsidRPr="00A26039" w:rsidR="00A01D6F">
        <w:rPr>
          <w:rFonts w:ascii="Times New Roman" w:hAnsi="Times New Roman" w:cs="Times New Roman"/>
          <w:sz w:val="24"/>
          <w:szCs w:val="24"/>
        </w:rPr>
        <w:t xml:space="preserve">than </w:t>
      </w:r>
      <w:r w:rsidRPr="00444595" w:rsidR="00A01D6F">
        <w:rPr>
          <w:rFonts w:ascii="Times New Roman" w:hAnsi="Times New Roman" w:cs="Times New Roman"/>
          <w:sz w:val="24"/>
          <w:szCs w:val="24"/>
        </w:rPr>
        <w:t>consumers being served under the standard service offer -- $0.</w:t>
      </w:r>
      <w:r>
        <w:rPr>
          <w:rFonts w:ascii="Times New Roman" w:hAnsi="Times New Roman" w:cs="Times New Roman"/>
          <w:sz w:val="24"/>
          <w:szCs w:val="24"/>
        </w:rPr>
        <w:t>164701</w:t>
      </w:r>
      <w:r w:rsidRPr="00444595" w:rsidR="00A01D6F">
        <w:rPr>
          <w:rFonts w:ascii="Times New Roman" w:hAnsi="Times New Roman" w:cs="Times New Roman"/>
          <w:sz w:val="24"/>
          <w:szCs w:val="24"/>
        </w:rPr>
        <w:t>/kWh versus $0.</w:t>
      </w:r>
      <w:r>
        <w:rPr>
          <w:rFonts w:ascii="Times New Roman" w:hAnsi="Times New Roman" w:cs="Times New Roman"/>
          <w:sz w:val="24"/>
          <w:szCs w:val="24"/>
        </w:rPr>
        <w:t>064832</w:t>
      </w:r>
      <w:r w:rsidRPr="00444595" w:rsidR="00A01D6F">
        <w:rPr>
          <w:rFonts w:ascii="Times New Roman" w:hAnsi="Times New Roman" w:cs="Times New Roman"/>
          <w:sz w:val="24"/>
          <w:szCs w:val="24"/>
        </w:rPr>
        <w:t>/kWh.</w:t>
      </w:r>
      <w:r>
        <w:rPr>
          <w:rStyle w:val="FootnoteReference"/>
          <w:rFonts w:ascii="Times New Roman" w:hAnsi="Times New Roman" w:cs="Times New Roman"/>
          <w:sz w:val="24"/>
          <w:szCs w:val="24"/>
        </w:rPr>
        <w:footnoteReference w:id="20"/>
      </w:r>
      <w:r w:rsidRPr="00444595" w:rsidR="00A01D6F">
        <w:rPr>
          <w:rFonts w:ascii="Times New Roman" w:hAnsi="Times New Roman" w:cs="Times New Roman"/>
          <w:sz w:val="24"/>
          <w:szCs w:val="24"/>
        </w:rPr>
        <w:t xml:space="preserve"> </w:t>
      </w:r>
      <w:r w:rsidRPr="00444595">
        <w:rPr>
          <w:rFonts w:ascii="Times New Roman" w:hAnsi="Times New Roman" w:cs="Times New Roman"/>
          <w:sz w:val="24"/>
          <w:szCs w:val="24"/>
        </w:rPr>
        <w:t>AEP</w:t>
      </w:r>
      <w:r w:rsidRPr="00A26039">
        <w:rPr>
          <w:rFonts w:ascii="Times New Roman" w:hAnsi="Times New Roman" w:cs="Times New Roman"/>
          <w:sz w:val="24"/>
          <w:szCs w:val="24"/>
        </w:rPr>
        <w:t xml:space="preserve"> Ohio PIPP consumers are charged over twice the amount</w:t>
      </w:r>
      <w:r w:rsidRPr="00A26039" w:rsidR="00742CA2">
        <w:rPr>
          <w:rFonts w:ascii="Times New Roman" w:hAnsi="Times New Roman" w:cs="Times New Roman"/>
          <w:sz w:val="24"/>
          <w:szCs w:val="24"/>
        </w:rPr>
        <w:t xml:space="preserve"> (</w:t>
      </w:r>
      <w:r w:rsidRPr="00A26039">
        <w:rPr>
          <w:rFonts w:ascii="Times New Roman" w:hAnsi="Times New Roman" w:cs="Times New Roman"/>
          <w:iCs/>
          <w:sz w:val="24"/>
          <w:szCs w:val="24"/>
        </w:rPr>
        <w:t>$0.15367 per kWh</w:t>
      </w:r>
      <w:r w:rsidRPr="00A26039" w:rsidR="00742CA2">
        <w:rPr>
          <w:rFonts w:ascii="Times New Roman" w:hAnsi="Times New Roman" w:cs="Times New Roman"/>
          <w:iCs/>
          <w:sz w:val="24"/>
          <w:szCs w:val="24"/>
        </w:rPr>
        <w:t>)</w:t>
      </w:r>
      <w:r w:rsidRPr="00A26039">
        <w:rPr>
          <w:rFonts w:ascii="Times New Roman" w:hAnsi="Times New Roman" w:cs="Times New Roman"/>
          <w:iCs/>
          <w:sz w:val="24"/>
          <w:szCs w:val="24"/>
        </w:rPr>
        <w:t xml:space="preserve"> than AEP </w:t>
      </w:r>
      <w:r w:rsidRPr="00A26039" w:rsidR="00095AFD">
        <w:rPr>
          <w:rFonts w:ascii="Times New Roman" w:hAnsi="Times New Roman" w:cs="Times New Roman"/>
          <w:iCs/>
          <w:sz w:val="24"/>
          <w:szCs w:val="24"/>
        </w:rPr>
        <w:t xml:space="preserve">Ohio </w:t>
      </w:r>
      <w:r w:rsidRPr="00A26039">
        <w:rPr>
          <w:rFonts w:ascii="Times New Roman" w:hAnsi="Times New Roman" w:cs="Times New Roman"/>
          <w:iCs/>
          <w:sz w:val="24"/>
          <w:szCs w:val="24"/>
        </w:rPr>
        <w:t>non-low-income consumer</w:t>
      </w:r>
      <w:r w:rsidRPr="00A26039" w:rsidR="00095AFD">
        <w:rPr>
          <w:rFonts w:ascii="Times New Roman" w:hAnsi="Times New Roman" w:cs="Times New Roman"/>
          <w:iCs/>
          <w:sz w:val="24"/>
          <w:szCs w:val="24"/>
        </w:rPr>
        <w:t>s</w:t>
      </w:r>
      <w:r w:rsidRPr="00A26039">
        <w:rPr>
          <w:rFonts w:ascii="Times New Roman" w:hAnsi="Times New Roman" w:cs="Times New Roman"/>
          <w:iCs/>
          <w:sz w:val="24"/>
          <w:szCs w:val="24"/>
        </w:rPr>
        <w:t xml:space="preserve"> are charged </w:t>
      </w:r>
      <w:r w:rsidRPr="00A26039" w:rsidR="00742CA2">
        <w:rPr>
          <w:rFonts w:ascii="Times New Roman" w:hAnsi="Times New Roman" w:cs="Times New Roman"/>
          <w:iCs/>
          <w:sz w:val="24"/>
          <w:szCs w:val="24"/>
        </w:rPr>
        <w:t>(</w:t>
      </w:r>
      <w:r w:rsidRPr="00A26039">
        <w:rPr>
          <w:rFonts w:ascii="Times New Roman" w:hAnsi="Times New Roman" w:cs="Times New Roman"/>
          <w:iCs/>
          <w:sz w:val="24"/>
          <w:szCs w:val="24"/>
        </w:rPr>
        <w:t>$0.066222 per kWh</w:t>
      </w:r>
      <w:r w:rsidRPr="00A26039" w:rsidR="00742CA2">
        <w:rPr>
          <w:rFonts w:ascii="Times New Roman" w:hAnsi="Times New Roman" w:cs="Times New Roman"/>
          <w:iCs/>
          <w:sz w:val="24"/>
          <w:szCs w:val="24"/>
        </w:rPr>
        <w:t>)</w:t>
      </w:r>
      <w:r>
        <w:rPr>
          <w:rStyle w:val="FootnoteReference"/>
          <w:rFonts w:ascii="Times New Roman" w:hAnsi="Times New Roman" w:cs="Times New Roman"/>
          <w:iCs/>
          <w:sz w:val="24"/>
          <w:szCs w:val="24"/>
        </w:rPr>
        <w:footnoteReference w:id="21"/>
      </w:r>
      <w:r w:rsidRPr="00A26039">
        <w:rPr>
          <w:rFonts w:ascii="Times New Roman" w:hAnsi="Times New Roman" w:cs="Times New Roman"/>
          <w:iCs/>
          <w:sz w:val="24"/>
          <w:szCs w:val="24"/>
        </w:rPr>
        <w:t xml:space="preserve"> for </w:t>
      </w:r>
      <w:r w:rsidRPr="00A26039" w:rsidR="002F094C">
        <w:rPr>
          <w:rFonts w:ascii="Times New Roman" w:hAnsi="Times New Roman" w:cs="Times New Roman"/>
          <w:iCs/>
          <w:sz w:val="24"/>
          <w:szCs w:val="24"/>
        </w:rPr>
        <w:t>exactly the same</w:t>
      </w:r>
      <w:r w:rsidRPr="00A26039">
        <w:rPr>
          <w:rFonts w:ascii="Times New Roman" w:hAnsi="Times New Roman" w:cs="Times New Roman"/>
          <w:iCs/>
          <w:sz w:val="24"/>
          <w:szCs w:val="24"/>
        </w:rPr>
        <w:t xml:space="preserve"> product. PIPP consumers who owe for their arrearages (debt) have more than enough existing problems contributing to </w:t>
      </w:r>
      <w:r w:rsidRPr="00A26039" w:rsidR="00CE126A">
        <w:rPr>
          <w:rFonts w:ascii="Times New Roman" w:hAnsi="Times New Roman" w:cs="Times New Roman"/>
          <w:iCs/>
          <w:sz w:val="24"/>
          <w:szCs w:val="24"/>
        </w:rPr>
        <w:t xml:space="preserve">their ability to </w:t>
      </w:r>
      <w:r w:rsidRPr="00A26039" w:rsidR="00790068">
        <w:rPr>
          <w:rFonts w:ascii="Times New Roman" w:hAnsi="Times New Roman" w:cs="Times New Roman"/>
          <w:iCs/>
          <w:sz w:val="24"/>
          <w:szCs w:val="24"/>
        </w:rPr>
        <w:t>get out</w:t>
      </w:r>
      <w:r w:rsidRPr="00A26039">
        <w:rPr>
          <w:rFonts w:ascii="Times New Roman" w:hAnsi="Times New Roman" w:cs="Times New Roman"/>
          <w:iCs/>
          <w:sz w:val="24"/>
          <w:szCs w:val="24"/>
        </w:rPr>
        <w:t xml:space="preserve"> from under their debt. This situation worsens their dilemma.</w:t>
      </w:r>
      <w:r w:rsidRPr="00A26039" w:rsidR="005C5DB8">
        <w:rPr>
          <w:rFonts w:ascii="Times New Roman" w:hAnsi="Times New Roman" w:cs="Times New Roman"/>
          <w:iCs/>
          <w:sz w:val="24"/>
          <w:szCs w:val="24"/>
        </w:rPr>
        <w:t xml:space="preserve"> And unfortunately, these higher rates result in additional USF costs being passed on to all consumers through the USF rider.</w:t>
      </w:r>
      <w:r w:rsidRPr="00A26039" w:rsidR="00CF4611">
        <w:rPr>
          <w:rFonts w:ascii="Times New Roman" w:hAnsi="Times New Roman" w:cs="Times New Roman"/>
          <w:iCs/>
          <w:sz w:val="24"/>
          <w:szCs w:val="24"/>
        </w:rPr>
        <w:t xml:space="preserve"> </w:t>
      </w:r>
      <w:r w:rsidRPr="00A26039" w:rsidR="00A01D6F">
        <w:rPr>
          <w:rFonts w:ascii="Times New Roman" w:hAnsi="Times New Roman" w:cs="Times New Roman"/>
          <w:sz w:val="24"/>
          <w:szCs w:val="24"/>
        </w:rPr>
        <w:t xml:space="preserve">That is </w:t>
      </w:r>
      <w:r w:rsidRPr="00A26039" w:rsidR="004D6F43">
        <w:rPr>
          <w:rFonts w:ascii="Times New Roman" w:hAnsi="Times New Roman" w:cs="Times New Roman"/>
          <w:sz w:val="24"/>
          <w:szCs w:val="24"/>
        </w:rPr>
        <w:t xml:space="preserve">unlawful </w:t>
      </w:r>
      <w:r w:rsidRPr="00A26039" w:rsidR="00A01D6F">
        <w:rPr>
          <w:rFonts w:ascii="Times New Roman" w:hAnsi="Times New Roman" w:cs="Times New Roman"/>
          <w:sz w:val="24"/>
          <w:szCs w:val="24"/>
        </w:rPr>
        <w:t>for these Ohioans lacking money.</w:t>
      </w:r>
    </w:p>
    <w:p w:rsidR="002B5D0E" w:rsidRPr="00A26039" w:rsidP="00A60082" w14:paraId="25B51791" w14:textId="430E63D9">
      <w:pPr>
        <w:spacing w:after="0" w:line="480" w:lineRule="auto"/>
        <w:rPr>
          <w:rFonts w:ascii="Times New Roman" w:hAnsi="Times New Roman" w:cs="Times New Roman"/>
          <w:iCs/>
          <w:sz w:val="24"/>
          <w:szCs w:val="24"/>
        </w:rPr>
      </w:pPr>
      <w:r w:rsidRPr="00A26039">
        <w:rPr>
          <w:rFonts w:ascii="Times New Roman" w:hAnsi="Times New Roman" w:cs="Times New Roman"/>
          <w:sz w:val="24"/>
          <w:szCs w:val="24"/>
        </w:rPr>
        <w:tab/>
      </w:r>
      <w:r w:rsidRPr="00A26039" w:rsidR="00594532">
        <w:rPr>
          <w:rFonts w:ascii="Times New Roman" w:hAnsi="Times New Roman" w:cs="Times New Roman"/>
          <w:sz w:val="24"/>
          <w:szCs w:val="24"/>
        </w:rPr>
        <w:t>The</w:t>
      </w:r>
      <w:r w:rsidRPr="00A26039" w:rsidR="00594532">
        <w:rPr>
          <w:rFonts w:ascii="Times New Roman" w:hAnsi="Times New Roman" w:cs="Times New Roman"/>
          <w:color w:val="333333"/>
          <w:sz w:val="24"/>
          <w:szCs w:val="24"/>
        </w:rPr>
        <w:t xml:space="preserve"> </w:t>
      </w:r>
      <w:r w:rsidRPr="00A26039" w:rsidR="00283060">
        <w:rPr>
          <w:rFonts w:ascii="Times New Roman" w:hAnsi="Times New Roman" w:cs="Times New Roman"/>
          <w:color w:val="333333"/>
          <w:sz w:val="24"/>
          <w:szCs w:val="24"/>
        </w:rPr>
        <w:t xml:space="preserve">USF </w:t>
      </w:r>
      <w:r w:rsidRPr="00A26039" w:rsidR="00594532">
        <w:rPr>
          <w:rFonts w:ascii="Times New Roman" w:hAnsi="Times New Roman" w:cs="Times New Roman"/>
          <w:color w:val="333333"/>
          <w:sz w:val="24"/>
          <w:szCs w:val="24"/>
        </w:rPr>
        <w:t>Settlement</w:t>
      </w:r>
      <w:r w:rsidRPr="00A26039" w:rsidR="00283060">
        <w:rPr>
          <w:rFonts w:ascii="Times New Roman" w:hAnsi="Times New Roman" w:cs="Times New Roman"/>
          <w:color w:val="333333"/>
          <w:sz w:val="24"/>
          <w:szCs w:val="24"/>
        </w:rPr>
        <w:t xml:space="preserve"> that the PUCO approved</w:t>
      </w:r>
      <w:r w:rsidRPr="00A26039" w:rsidR="00594532">
        <w:rPr>
          <w:rFonts w:ascii="Times New Roman" w:hAnsi="Times New Roman" w:cs="Times New Roman"/>
          <w:color w:val="333333"/>
          <w:sz w:val="24"/>
          <w:szCs w:val="24"/>
        </w:rPr>
        <w:t xml:space="preserve"> will result in ODOD filing USF rates that violate Ohio law</w:t>
      </w:r>
      <w:r w:rsidRPr="00A26039" w:rsidR="00283060">
        <w:rPr>
          <w:rFonts w:ascii="Times New Roman" w:hAnsi="Times New Roman" w:cs="Times New Roman"/>
          <w:color w:val="333333"/>
          <w:sz w:val="24"/>
          <w:szCs w:val="24"/>
        </w:rPr>
        <w:t xml:space="preserve"> and regulatory principles and practices</w:t>
      </w:r>
      <w:r w:rsidRPr="00A26039" w:rsidR="00594532">
        <w:rPr>
          <w:rFonts w:ascii="Times New Roman" w:hAnsi="Times New Roman" w:cs="Times New Roman"/>
          <w:color w:val="333333"/>
          <w:sz w:val="24"/>
          <w:szCs w:val="24"/>
        </w:rPr>
        <w:t xml:space="preserve">. </w:t>
      </w:r>
      <w:r w:rsidRPr="00A26039" w:rsidR="00882FBE">
        <w:rPr>
          <w:rFonts w:ascii="Times New Roman" w:hAnsi="Times New Roman" w:cs="Times New Roman"/>
          <w:color w:val="333333"/>
          <w:sz w:val="24"/>
          <w:szCs w:val="24"/>
        </w:rPr>
        <w:t xml:space="preserve">The </w:t>
      </w:r>
      <w:r w:rsidRPr="00A26039">
        <w:rPr>
          <w:rFonts w:ascii="Times New Roman" w:hAnsi="Times New Roman" w:cs="Times New Roman"/>
          <w:color w:val="333333"/>
          <w:sz w:val="24"/>
          <w:szCs w:val="24"/>
        </w:rPr>
        <w:t xml:space="preserve">PUCO-approved </w:t>
      </w:r>
      <w:r w:rsidRPr="00A26039" w:rsidR="00882FBE">
        <w:rPr>
          <w:rFonts w:ascii="Times New Roman" w:hAnsi="Times New Roman" w:cs="Times New Roman"/>
          <w:color w:val="333333"/>
          <w:sz w:val="24"/>
          <w:szCs w:val="24"/>
        </w:rPr>
        <w:t xml:space="preserve">Settlement </w:t>
      </w:r>
      <w:r w:rsidRPr="00A26039">
        <w:rPr>
          <w:rFonts w:ascii="Times New Roman" w:hAnsi="Times New Roman" w:cs="Times New Roman"/>
          <w:color w:val="333333"/>
          <w:sz w:val="24"/>
          <w:szCs w:val="24"/>
        </w:rPr>
        <w:t>authorizes charges to PIPP consumers that are unjust and unreasonable in violation of R.C. 4905.22.</w:t>
      </w:r>
      <w:r w:rsidR="00A26039">
        <w:rPr>
          <w:rFonts w:ascii="Times New Roman" w:hAnsi="Times New Roman" w:cs="Times New Roman"/>
          <w:color w:val="333333"/>
          <w:sz w:val="24"/>
          <w:szCs w:val="24"/>
        </w:rPr>
        <w:t xml:space="preserve"> </w:t>
      </w:r>
      <w:r w:rsidRPr="00A26039">
        <w:rPr>
          <w:rFonts w:ascii="Times New Roman" w:hAnsi="Times New Roman" w:cs="Times New Roman"/>
          <w:color w:val="333333"/>
          <w:sz w:val="24"/>
          <w:szCs w:val="24"/>
        </w:rPr>
        <w:t xml:space="preserve">Further, the Settlement </w:t>
      </w:r>
      <w:r w:rsidRPr="00A26039" w:rsidR="00882FBE">
        <w:rPr>
          <w:rFonts w:ascii="Times New Roman" w:hAnsi="Times New Roman" w:cs="Times New Roman"/>
          <w:color w:val="333333"/>
          <w:sz w:val="24"/>
          <w:szCs w:val="24"/>
        </w:rPr>
        <w:t>that the PUCO approved violates regulatory principles and practices including that it violates Ohio law requiring that PIPP rates be reduced in relation to the standard service offer</w:t>
      </w:r>
      <w:r>
        <w:rPr>
          <w:rStyle w:val="FootnoteReference"/>
          <w:rFonts w:ascii="Times New Roman" w:hAnsi="Times New Roman" w:cs="Times New Roman"/>
          <w:color w:val="333333"/>
          <w:sz w:val="24"/>
          <w:szCs w:val="24"/>
        </w:rPr>
        <w:footnoteReference w:id="22"/>
      </w:r>
      <w:r w:rsidRPr="00A26039" w:rsidR="00882FBE">
        <w:rPr>
          <w:rFonts w:ascii="Times New Roman" w:hAnsi="Times New Roman" w:cs="Times New Roman"/>
          <w:color w:val="333333"/>
          <w:sz w:val="24"/>
          <w:szCs w:val="24"/>
        </w:rPr>
        <w:t xml:space="preserve"> and that consumers receive the “best value.”</w:t>
      </w:r>
      <w:r>
        <w:rPr>
          <w:rStyle w:val="FootnoteReference"/>
          <w:rFonts w:ascii="Times New Roman" w:hAnsi="Times New Roman" w:cs="Times New Roman"/>
          <w:color w:val="333333"/>
          <w:sz w:val="24"/>
          <w:szCs w:val="24"/>
        </w:rPr>
        <w:footnoteReference w:id="23"/>
      </w:r>
      <w:r w:rsidR="00A26039">
        <w:rPr>
          <w:rFonts w:ascii="Times New Roman" w:hAnsi="Times New Roman" w:cs="Times New Roman"/>
          <w:color w:val="333333"/>
          <w:sz w:val="24"/>
          <w:szCs w:val="24"/>
        </w:rPr>
        <w:t xml:space="preserve"> </w:t>
      </w:r>
      <w:r w:rsidRPr="00A26039" w:rsidR="00882FBE">
        <w:rPr>
          <w:rFonts w:ascii="Times New Roman" w:hAnsi="Times New Roman" w:cs="Times New Roman"/>
          <w:color w:val="333333"/>
          <w:sz w:val="24"/>
          <w:szCs w:val="24"/>
        </w:rPr>
        <w:t xml:space="preserve">The Settlement that the PUCO approved results in ODOD filing an application for USF rates that violate Ohio law. </w:t>
      </w:r>
      <w:r w:rsidRPr="00A26039" w:rsidR="00594532">
        <w:rPr>
          <w:rFonts w:ascii="Times New Roman" w:hAnsi="Times New Roman" w:cs="Times New Roman"/>
          <w:color w:val="333333"/>
          <w:sz w:val="24"/>
          <w:szCs w:val="24"/>
        </w:rPr>
        <w:t xml:space="preserve">The rates would violate state </w:t>
      </w:r>
      <w:r w:rsidRPr="00A26039">
        <w:rPr>
          <w:rFonts w:ascii="Times New Roman" w:hAnsi="Times New Roman" w:cs="Times New Roman"/>
          <w:color w:val="333333"/>
          <w:sz w:val="24"/>
          <w:szCs w:val="24"/>
        </w:rPr>
        <w:t xml:space="preserve">regulatory </w:t>
      </w:r>
      <w:r w:rsidRPr="00A26039" w:rsidR="00594532">
        <w:rPr>
          <w:rFonts w:ascii="Times New Roman" w:hAnsi="Times New Roman" w:cs="Times New Roman"/>
          <w:color w:val="333333"/>
          <w:sz w:val="24"/>
          <w:szCs w:val="24"/>
        </w:rPr>
        <w:t>policy</w:t>
      </w:r>
      <w:r w:rsidRPr="00A26039">
        <w:rPr>
          <w:rFonts w:ascii="Times New Roman" w:hAnsi="Times New Roman" w:cs="Times New Roman"/>
          <w:color w:val="333333"/>
          <w:sz w:val="24"/>
          <w:szCs w:val="24"/>
        </w:rPr>
        <w:t xml:space="preserve"> intended to protect at-risk Ohioans</w:t>
      </w:r>
      <w:r w:rsidRPr="00A26039" w:rsidR="00594532">
        <w:rPr>
          <w:rFonts w:ascii="Times New Roman" w:hAnsi="Times New Roman" w:cs="Times New Roman"/>
          <w:color w:val="333333"/>
          <w:sz w:val="24"/>
          <w:szCs w:val="24"/>
        </w:rPr>
        <w:t xml:space="preserve"> </w:t>
      </w:r>
      <w:r w:rsidRPr="00A26039">
        <w:rPr>
          <w:rFonts w:ascii="Times New Roman" w:hAnsi="Times New Roman" w:cs="Times New Roman"/>
          <w:color w:val="333333"/>
          <w:sz w:val="24"/>
          <w:szCs w:val="24"/>
        </w:rPr>
        <w:t>under</w:t>
      </w:r>
      <w:r w:rsidRPr="00A26039" w:rsidR="00594532">
        <w:rPr>
          <w:rFonts w:ascii="Times New Roman" w:hAnsi="Times New Roman" w:cs="Times New Roman"/>
          <w:color w:val="333333"/>
          <w:sz w:val="24"/>
          <w:szCs w:val="24"/>
        </w:rPr>
        <w:t xml:space="preserve"> </w:t>
      </w:r>
      <w:r w:rsidRPr="00A26039" w:rsidR="00594532">
        <w:rPr>
          <w:rFonts w:ascii="Times New Roman" w:hAnsi="Times New Roman" w:cs="Times New Roman"/>
          <w:iCs/>
          <w:sz w:val="24"/>
          <w:szCs w:val="24"/>
        </w:rPr>
        <w:t>R.C. 4928.02(L) and R.C. 4928.02(A)</w:t>
      </w:r>
      <w:r w:rsidRPr="00A26039">
        <w:rPr>
          <w:rFonts w:ascii="Times New Roman" w:hAnsi="Times New Roman" w:cs="Times New Roman"/>
          <w:iCs/>
          <w:sz w:val="24"/>
          <w:szCs w:val="24"/>
        </w:rPr>
        <w:t>.</w:t>
      </w:r>
      <w:r w:rsidR="00A26039">
        <w:rPr>
          <w:rFonts w:ascii="Times New Roman" w:hAnsi="Times New Roman" w:cs="Times New Roman"/>
          <w:iCs/>
          <w:sz w:val="24"/>
          <w:szCs w:val="24"/>
        </w:rPr>
        <w:t xml:space="preserve"> </w:t>
      </w:r>
      <w:r w:rsidRPr="00A26039" w:rsidR="00F94F11">
        <w:rPr>
          <w:rFonts w:ascii="Times New Roman" w:hAnsi="Times New Roman" w:cs="Times New Roman"/>
          <w:iCs/>
          <w:sz w:val="24"/>
          <w:szCs w:val="24"/>
        </w:rPr>
        <w:t>Finally, an outcome of this Settlement that approves charging low-income consumers (who can least afford to pay higher charges) higher charges than other</w:t>
      </w:r>
      <w:r w:rsidRPr="00A26039" w:rsidR="002F094C">
        <w:rPr>
          <w:rFonts w:ascii="Times New Roman" w:hAnsi="Times New Roman" w:cs="Times New Roman"/>
          <w:iCs/>
          <w:sz w:val="24"/>
          <w:szCs w:val="24"/>
        </w:rPr>
        <w:t>s</w:t>
      </w:r>
      <w:r w:rsidRPr="00A26039" w:rsidR="00F94F11">
        <w:rPr>
          <w:rFonts w:ascii="Times New Roman" w:hAnsi="Times New Roman" w:cs="Times New Roman"/>
          <w:iCs/>
          <w:sz w:val="24"/>
          <w:szCs w:val="24"/>
        </w:rPr>
        <w:t xml:space="preserve"> (non-low-income consumers) violates the regulatory principle of equity.</w:t>
      </w:r>
    </w:p>
    <w:p w:rsidR="002942A7" w:rsidRPr="00A26039" w:rsidP="007A1F0D" w14:paraId="4A74DFD2" w14:textId="3B6D8F9A">
      <w:pPr>
        <w:spacing w:after="0" w:line="480" w:lineRule="auto"/>
        <w:ind w:firstLine="720"/>
        <w:rPr>
          <w:rFonts w:ascii="Times New Roman" w:hAnsi="Times New Roman" w:cs="Times New Roman"/>
          <w:iCs/>
          <w:sz w:val="24"/>
          <w:szCs w:val="24"/>
        </w:rPr>
      </w:pPr>
      <w:r w:rsidRPr="00A26039">
        <w:rPr>
          <w:rFonts w:ascii="Times New Roman" w:hAnsi="Times New Roman" w:cs="Times New Roman"/>
          <w:iCs/>
          <w:sz w:val="24"/>
          <w:szCs w:val="24"/>
        </w:rPr>
        <w:t>Specifically,</w:t>
      </w:r>
      <w:r w:rsidRPr="00A26039" w:rsidR="00594532">
        <w:rPr>
          <w:rFonts w:ascii="Times New Roman" w:hAnsi="Times New Roman" w:cs="Times New Roman"/>
          <w:iCs/>
          <w:sz w:val="24"/>
          <w:szCs w:val="24"/>
        </w:rPr>
        <w:t xml:space="preserve"> </w:t>
      </w:r>
      <w:r w:rsidRPr="00A26039" w:rsidR="002B5D0E">
        <w:rPr>
          <w:rFonts w:ascii="Times New Roman" w:hAnsi="Times New Roman" w:cs="Times New Roman"/>
          <w:iCs/>
          <w:sz w:val="24"/>
          <w:szCs w:val="24"/>
        </w:rPr>
        <w:t xml:space="preserve">the Settlement </w:t>
      </w:r>
      <w:r w:rsidRPr="00A26039" w:rsidR="00594532">
        <w:rPr>
          <w:rFonts w:ascii="Times New Roman" w:hAnsi="Times New Roman" w:cs="Times New Roman"/>
          <w:iCs/>
          <w:sz w:val="24"/>
          <w:szCs w:val="24"/>
        </w:rPr>
        <w:t>violates the directives for serving PIPP consumers as laid out in R.C. 4928.542.</w:t>
      </w:r>
      <w:r w:rsidRPr="00A26039" w:rsidR="00CF4611">
        <w:rPr>
          <w:rFonts w:ascii="Times New Roman" w:hAnsi="Times New Roman" w:cs="Times New Roman"/>
          <w:iCs/>
          <w:sz w:val="24"/>
          <w:szCs w:val="24"/>
        </w:rPr>
        <w:t xml:space="preserve"> </w:t>
      </w:r>
      <w:r w:rsidRPr="00A26039" w:rsidR="00A01D6F">
        <w:rPr>
          <w:rFonts w:ascii="Times New Roman" w:hAnsi="Times New Roman" w:cs="Times New Roman"/>
          <w:iCs/>
          <w:sz w:val="24"/>
          <w:szCs w:val="24"/>
        </w:rPr>
        <w:t xml:space="preserve">Per R.C. 4928.542(B), a winning bid </w:t>
      </w:r>
      <w:r w:rsidRPr="00A26039" w:rsidR="00A01D6F">
        <w:rPr>
          <w:rFonts w:ascii="Times New Roman" w:hAnsi="Times New Roman" w:cs="Times New Roman"/>
          <w:b/>
          <w:bCs/>
          <w:i/>
          <w:sz w:val="24"/>
          <w:szCs w:val="24"/>
        </w:rPr>
        <w:t>shall</w:t>
      </w:r>
      <w:r w:rsidRPr="00A26039" w:rsidR="00A01D6F">
        <w:rPr>
          <w:rFonts w:ascii="Times New Roman" w:hAnsi="Times New Roman" w:cs="Times New Roman"/>
          <w:iCs/>
          <w:sz w:val="24"/>
          <w:szCs w:val="24"/>
        </w:rPr>
        <w:t xml:space="preserve"> </w:t>
      </w:r>
      <w:r w:rsidRPr="00A26039" w:rsidR="00A01D6F">
        <w:rPr>
          <w:rFonts w:ascii="Times New Roman" w:hAnsi="Times New Roman" w:cs="Times New Roman"/>
          <w:b/>
          <w:bCs/>
          <w:i/>
          <w:sz w:val="24"/>
          <w:szCs w:val="24"/>
        </w:rPr>
        <w:t>reduce</w:t>
      </w:r>
      <w:r w:rsidRPr="00A26039" w:rsidR="00A01D6F">
        <w:rPr>
          <w:rFonts w:ascii="Times New Roman" w:hAnsi="Times New Roman" w:cs="Times New Roman"/>
          <w:iCs/>
          <w:sz w:val="24"/>
          <w:szCs w:val="24"/>
        </w:rPr>
        <w:t xml:space="preserve"> the cost of the PIPP program relative to the otherwise applicable standard service offer rate established under R.C. 4928.141, 4928.142 and 4928.143. And a winning bid shall result in the </w:t>
      </w:r>
      <w:r w:rsidRPr="00A26039" w:rsidR="00A01D6F">
        <w:rPr>
          <w:rFonts w:ascii="Times New Roman" w:hAnsi="Times New Roman" w:cs="Times New Roman"/>
          <w:b/>
          <w:bCs/>
          <w:i/>
          <w:sz w:val="24"/>
          <w:szCs w:val="24"/>
        </w:rPr>
        <w:t>best value</w:t>
      </w:r>
      <w:r w:rsidRPr="00A26039" w:rsidR="00A01D6F">
        <w:rPr>
          <w:rFonts w:ascii="Times New Roman" w:hAnsi="Times New Roman" w:cs="Times New Roman"/>
          <w:iCs/>
          <w:sz w:val="24"/>
          <w:szCs w:val="24"/>
        </w:rPr>
        <w:t xml:space="preserve"> for persons paying the universal service rider, under R.C. 4928.542</w:t>
      </w:r>
      <w:r w:rsidRPr="00A26039" w:rsidR="000C1234">
        <w:rPr>
          <w:rFonts w:ascii="Times New Roman" w:hAnsi="Times New Roman" w:cs="Times New Roman"/>
          <w:iCs/>
          <w:sz w:val="24"/>
          <w:szCs w:val="24"/>
        </w:rPr>
        <w:t>(C)</w:t>
      </w:r>
      <w:r w:rsidRPr="00A26039" w:rsidR="00A01D6F">
        <w:rPr>
          <w:rFonts w:ascii="Times New Roman" w:hAnsi="Times New Roman" w:cs="Times New Roman"/>
          <w:iCs/>
          <w:sz w:val="24"/>
          <w:szCs w:val="24"/>
        </w:rPr>
        <w:t>.</w:t>
      </w:r>
      <w:r>
        <w:rPr>
          <w:rStyle w:val="FootnoteReference"/>
          <w:rFonts w:ascii="Times New Roman" w:hAnsi="Times New Roman" w:cs="Times New Roman"/>
          <w:iCs/>
          <w:sz w:val="24"/>
          <w:szCs w:val="24"/>
        </w:rPr>
        <w:footnoteReference w:id="24"/>
      </w:r>
      <w:r w:rsidRPr="00A26039" w:rsidR="00A01D6F">
        <w:rPr>
          <w:rFonts w:ascii="Times New Roman" w:hAnsi="Times New Roman" w:cs="Times New Roman"/>
          <w:iCs/>
          <w:sz w:val="24"/>
          <w:szCs w:val="24"/>
        </w:rPr>
        <w:t xml:space="preserve"> </w:t>
      </w:r>
    </w:p>
    <w:p w:rsidR="00095AFD" w:rsidRPr="00A26039" w:rsidP="00095AFD" w14:paraId="5BDA9BAB" w14:textId="3C7D93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Style w:val="apple-converted-space"/>
          <w:rFonts w:ascii="Times New Roman" w:hAnsi="Times New Roman" w:cs="Times New Roman"/>
          <w:color w:val="000000" w:themeColor="text1"/>
          <w:sz w:val="24"/>
          <w:szCs w:val="24"/>
          <w:bdr w:val="none" w:sz="0" w:space="0" w:color="auto" w:frame="1"/>
        </w:rPr>
      </w:pPr>
      <w:r w:rsidRPr="00A26039">
        <w:rPr>
          <w:rStyle w:val="apple-converted-space"/>
          <w:rFonts w:ascii="Times New Roman" w:hAnsi="Times New Roman" w:cs="Times New Roman"/>
          <w:color w:val="000000" w:themeColor="text1"/>
          <w:sz w:val="24"/>
          <w:szCs w:val="24"/>
          <w:bdr w:val="none" w:sz="0" w:space="0" w:color="auto" w:frame="1"/>
        </w:rPr>
        <w:tab/>
        <w:t>R.C. 4928.542 is plain and unambiguous. The statute provides as follows:</w:t>
      </w:r>
    </w:p>
    <w:p w:rsidR="00095AFD" w:rsidRPr="00A26039" w:rsidP="00095AFD" w14:paraId="6C92DCE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Style w:val="apple-converted-space"/>
          <w:rFonts w:ascii="Times New Roman" w:hAnsi="Times New Roman" w:cs="Times New Roman"/>
          <w:color w:val="000000" w:themeColor="text1"/>
          <w:sz w:val="24"/>
          <w:szCs w:val="24"/>
          <w:bdr w:val="none" w:sz="0" w:space="0" w:color="auto" w:frame="1"/>
        </w:rPr>
      </w:pPr>
    </w:p>
    <w:p w:rsidR="00095AFD" w:rsidRPr="00A26039" w:rsidP="00095AFD" w14:paraId="5930F4A3" w14:textId="421F526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40"/>
        <w:rPr>
          <w:rFonts w:ascii="Times New Roman" w:hAnsi="Times New Roman" w:cs="Times New Roman"/>
          <w:color w:val="000000" w:themeColor="text1"/>
          <w:sz w:val="24"/>
          <w:szCs w:val="24"/>
          <w:bdr w:val="none" w:sz="0" w:space="0" w:color="auto" w:frame="1"/>
        </w:rPr>
      </w:pPr>
      <w:r w:rsidRPr="00A26039">
        <w:rPr>
          <w:rFonts w:ascii="Times New Roman" w:hAnsi="Times New Roman" w:cs="Times New Roman"/>
          <w:color w:val="000000" w:themeColor="text1"/>
          <w:sz w:val="24"/>
          <w:szCs w:val="24"/>
        </w:rPr>
        <w:t>[t]he winning bid or bids...s</w:t>
      </w:r>
      <w:r w:rsidRPr="00A26039">
        <w:rPr>
          <w:rFonts w:ascii="Times New Roman" w:hAnsi="Times New Roman" w:cs="Times New Roman"/>
          <w:i/>
          <w:iCs/>
          <w:color w:val="000000" w:themeColor="text1"/>
          <w:sz w:val="24"/>
          <w:szCs w:val="24"/>
        </w:rPr>
        <w:t xml:space="preserve">hall </w:t>
      </w:r>
      <w:r w:rsidRPr="00A26039">
        <w:rPr>
          <w:rFonts w:ascii="Times New Roman" w:hAnsi="Times New Roman" w:cs="Times New Roman"/>
          <w:color w:val="000000" w:themeColor="text1"/>
          <w:sz w:val="24"/>
          <w:szCs w:val="24"/>
        </w:rPr>
        <w:t>meet all of the following requirements:</w:t>
      </w:r>
    </w:p>
    <w:p w:rsidR="00095AFD" w:rsidRPr="00A26039" w:rsidP="00095AFD" w14:paraId="4625FAF0" w14:textId="7777777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40"/>
        <w:rPr>
          <w:rFonts w:ascii="Times New Roman" w:hAnsi="Times New Roman" w:cs="Times New Roman"/>
          <w:color w:val="000000" w:themeColor="text1"/>
          <w:sz w:val="24"/>
          <w:szCs w:val="24"/>
        </w:rPr>
      </w:pPr>
    </w:p>
    <w:p w:rsidR="00095AFD" w:rsidRPr="00A26039" w:rsidP="00095AFD" w14:paraId="3A18AE57" w14:textId="7777777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40"/>
        <w:rPr>
          <w:rFonts w:ascii="Times New Roman" w:hAnsi="Times New Roman" w:cs="Times New Roman"/>
          <w:color w:val="000000" w:themeColor="text1"/>
          <w:sz w:val="24"/>
          <w:szCs w:val="24"/>
        </w:rPr>
      </w:pPr>
      <w:r w:rsidRPr="00A26039">
        <w:rPr>
          <w:rFonts w:ascii="Times New Roman" w:hAnsi="Times New Roman" w:cs="Times New Roman"/>
          <w:b/>
          <w:bCs/>
          <w:color w:val="000000" w:themeColor="text1"/>
          <w:sz w:val="24"/>
          <w:szCs w:val="24"/>
        </w:rPr>
        <w:t>(B)</w:t>
      </w:r>
      <w:r w:rsidRPr="00A26039">
        <w:rPr>
          <w:rFonts w:ascii="Times New Roman" w:hAnsi="Times New Roman" w:cs="Times New Roman"/>
          <w:color w:val="000000" w:themeColor="text1"/>
          <w:sz w:val="24"/>
          <w:szCs w:val="24"/>
        </w:rPr>
        <w:t> Reduce the cost of the percentage of income payment plan program relative to the otherwise applicable standard service offer established under sections 4928.141, 4928.142, and 4928.143 of the Revised Code;</w:t>
      </w:r>
    </w:p>
    <w:p w:rsidR="00095AFD" w:rsidRPr="00A26039" w:rsidP="00095AFD" w14:paraId="5FE521AF" w14:textId="77777777">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40" w:right="1440"/>
        <w:rPr>
          <w:rFonts w:ascii="Times New Roman" w:hAnsi="Times New Roman" w:cs="Times New Roman"/>
          <w:color w:val="000000" w:themeColor="text1"/>
          <w:sz w:val="24"/>
          <w:szCs w:val="24"/>
        </w:rPr>
      </w:pPr>
    </w:p>
    <w:p w:rsidR="00095AFD" w:rsidRPr="00A26039" w:rsidP="00095AFD" w14:paraId="744A2DDB" w14:textId="4C6618D9">
      <w:pPr>
        <w:pStyle w:val="NormalWeb"/>
        <w:spacing w:before="0" w:beforeAutospacing="0" w:after="0" w:afterAutospacing="0"/>
        <w:ind w:left="1440" w:right="1440"/>
        <w:textAlignment w:val="baseline"/>
        <w:rPr>
          <w:color w:val="000000" w:themeColor="text1"/>
        </w:rPr>
      </w:pPr>
      <w:r w:rsidRPr="00A26039">
        <w:rPr>
          <w:b/>
          <w:bCs/>
          <w:color w:val="000000" w:themeColor="text1"/>
        </w:rPr>
        <w:t>(C)</w:t>
      </w:r>
      <w:r w:rsidRPr="00A26039">
        <w:rPr>
          <w:color w:val="000000" w:themeColor="text1"/>
        </w:rPr>
        <w:t> Result in the best value for persons paying the universal service rider under section 4928.52 of the Revised Code. (Emphasis added).</w:t>
      </w:r>
    </w:p>
    <w:p w:rsidR="00095AFD" w:rsidRPr="00A26039" w:rsidP="00095AFD" w14:paraId="5CCE315A" w14:textId="77777777">
      <w:pPr>
        <w:pStyle w:val="NormalWeb"/>
        <w:spacing w:before="0" w:beforeAutospacing="0" w:after="0" w:afterAutospacing="0"/>
        <w:textAlignment w:val="baseline"/>
        <w:rPr>
          <w:color w:val="000000" w:themeColor="text1"/>
        </w:rPr>
      </w:pPr>
    </w:p>
    <w:p w:rsidR="003155AF" w:rsidRPr="00A26039" w:rsidP="003155AF" w14:paraId="770751B7" w14:textId="594335CB">
      <w:pPr>
        <w:pStyle w:val="NormalWeb"/>
        <w:spacing w:before="0" w:beforeAutospacing="0" w:after="0" w:afterAutospacing="0" w:line="480" w:lineRule="auto"/>
        <w:ind w:firstLine="720"/>
        <w:textAlignment w:val="baseline"/>
        <w:rPr>
          <w:rStyle w:val="apple-converted-space"/>
          <w:color w:val="000000" w:themeColor="text1"/>
          <w:bdr w:val="none" w:sz="0" w:space="0" w:color="auto" w:frame="1"/>
        </w:rPr>
      </w:pPr>
      <w:r w:rsidRPr="00A26039">
        <w:rPr>
          <w:color w:val="000000" w:themeColor="text1"/>
        </w:rPr>
        <w:t>The PUCO’s Opinion and Order found</w:t>
      </w:r>
      <w:r>
        <w:rPr>
          <w:rStyle w:val="FootnoteReference"/>
          <w:color w:val="000000" w:themeColor="text1"/>
        </w:rPr>
        <w:footnoteReference w:id="25"/>
      </w:r>
      <w:r w:rsidRPr="00A26039">
        <w:rPr>
          <w:color w:val="000000" w:themeColor="text1"/>
        </w:rPr>
        <w:t xml:space="preserve"> that cost savings need accrue only “over the long</w:t>
      </w:r>
      <w:r w:rsidRPr="00A26039" w:rsidR="00283060">
        <w:rPr>
          <w:color w:val="000000" w:themeColor="text1"/>
        </w:rPr>
        <w:t>-</w:t>
      </w:r>
      <w:r w:rsidRPr="00A26039">
        <w:rPr>
          <w:color w:val="000000" w:themeColor="text1"/>
        </w:rPr>
        <w:t>term,”</w:t>
      </w:r>
      <w:r>
        <w:rPr>
          <w:rStyle w:val="FootnoteReference"/>
          <w:color w:val="000000" w:themeColor="text1"/>
        </w:rPr>
        <w:footnoteReference w:id="26"/>
      </w:r>
      <w:r w:rsidRPr="00A26039">
        <w:rPr>
          <w:color w:val="000000" w:themeColor="text1"/>
        </w:rPr>
        <w:t xml:space="preserve"> rather</w:t>
      </w:r>
      <w:r w:rsidRPr="00A26039" w:rsidR="00BC376F">
        <w:rPr>
          <w:color w:val="000000" w:themeColor="text1"/>
        </w:rPr>
        <w:t xml:space="preserve"> than</w:t>
      </w:r>
      <w:r w:rsidRPr="00A26039">
        <w:rPr>
          <w:color w:val="000000" w:themeColor="text1"/>
        </w:rPr>
        <w:t xml:space="preserve"> after every auction</w:t>
      </w:r>
      <w:r w:rsidRPr="00A26039" w:rsidR="00625EDE">
        <w:rPr>
          <w:color w:val="000000" w:themeColor="text1"/>
        </w:rPr>
        <w:t xml:space="preserve">, and cited </w:t>
      </w:r>
      <w:r w:rsidRPr="00A26039" w:rsidR="001C3961">
        <w:rPr>
          <w:color w:val="000000" w:themeColor="text1"/>
        </w:rPr>
        <w:t xml:space="preserve">as support </w:t>
      </w:r>
      <w:r w:rsidRPr="00A26039" w:rsidR="00625EDE">
        <w:rPr>
          <w:color w:val="000000" w:themeColor="text1"/>
        </w:rPr>
        <w:t xml:space="preserve">its 2016 </w:t>
      </w:r>
      <w:r w:rsidRPr="00A26039" w:rsidR="00625EDE">
        <w:rPr>
          <w:i/>
          <w:iCs/>
          <w:color w:val="000000" w:themeColor="text1"/>
        </w:rPr>
        <w:t>PIPP Auction Case</w:t>
      </w:r>
      <w:r w:rsidRPr="00A26039" w:rsidR="00625EDE">
        <w:rPr>
          <w:color w:val="000000" w:themeColor="text1"/>
        </w:rPr>
        <w:t>.</w:t>
      </w:r>
      <w:r>
        <w:rPr>
          <w:rStyle w:val="FootnoteReference"/>
          <w:color w:val="000000" w:themeColor="text1"/>
        </w:rPr>
        <w:footnoteReference w:id="27"/>
      </w:r>
      <w:r w:rsidRPr="00A26039">
        <w:rPr>
          <w:color w:val="000000" w:themeColor="text1"/>
        </w:rPr>
        <w:t xml:space="preserve"> The PUCO’s interpretation </w:t>
      </w:r>
      <w:r w:rsidRPr="00A26039" w:rsidR="00AA76E9">
        <w:rPr>
          <w:color w:val="000000" w:themeColor="text1"/>
        </w:rPr>
        <w:t>(</w:t>
      </w:r>
      <w:r w:rsidRPr="00A26039" w:rsidR="005C5DB8">
        <w:rPr>
          <w:color w:val="000000" w:themeColor="text1"/>
        </w:rPr>
        <w:t>while perhaps well-intended at the time</w:t>
      </w:r>
      <w:r w:rsidRPr="00A26039" w:rsidR="00AA76E9">
        <w:rPr>
          <w:color w:val="000000" w:themeColor="text1"/>
        </w:rPr>
        <w:t>)</w:t>
      </w:r>
      <w:r w:rsidRPr="00A26039" w:rsidR="005C5DB8">
        <w:rPr>
          <w:color w:val="000000" w:themeColor="text1"/>
        </w:rPr>
        <w:t xml:space="preserve"> </w:t>
      </w:r>
      <w:r w:rsidRPr="00A26039">
        <w:rPr>
          <w:color w:val="000000" w:themeColor="text1"/>
        </w:rPr>
        <w:t xml:space="preserve">is wrong. </w:t>
      </w:r>
      <w:r w:rsidRPr="00A26039" w:rsidR="00826AF5">
        <w:rPr>
          <w:color w:val="000000" w:themeColor="text1"/>
        </w:rPr>
        <w:t>The law does not support the “over the long-term” language being used in the Order.</w:t>
      </w:r>
      <w:r w:rsidR="00A26039">
        <w:rPr>
          <w:color w:val="000000" w:themeColor="text1"/>
        </w:rPr>
        <w:t xml:space="preserve"> </w:t>
      </w:r>
      <w:r w:rsidRPr="00A26039" w:rsidR="00BD4EDC">
        <w:rPr>
          <w:iCs/>
          <w:color w:val="000000" w:themeColor="text1"/>
        </w:rPr>
        <w:t xml:space="preserve">R.C. 1.42 provides that “words and phrases shall be read in context and construed according to the rules of grammar and common usage.” The PUCO has </w:t>
      </w:r>
      <w:r w:rsidRPr="00A26039" w:rsidR="001C3961">
        <w:rPr>
          <w:iCs/>
          <w:color w:val="000000" w:themeColor="text1"/>
        </w:rPr>
        <w:t xml:space="preserve">similarly </w:t>
      </w:r>
      <w:r w:rsidRPr="00A26039" w:rsidR="00BD4EDC">
        <w:rPr>
          <w:iCs/>
          <w:color w:val="000000" w:themeColor="text1"/>
        </w:rPr>
        <w:t>stated that “</w:t>
      </w:r>
      <w:r w:rsidRPr="00A26039" w:rsidR="00BC376F">
        <w:rPr>
          <w:color w:val="000000" w:themeColor="text1"/>
        </w:rPr>
        <w:t>[p]</w:t>
      </w:r>
      <w:r w:rsidRPr="00A26039" w:rsidR="00BD4EDC">
        <w:rPr>
          <w:color w:val="000000" w:themeColor="text1"/>
        </w:rPr>
        <w:t>ursuant to rules of statutory interpretation, statutes are to be interpreted based on the plain language of the statute….”</w:t>
      </w:r>
      <w:r>
        <w:rPr>
          <w:rStyle w:val="FootnoteReference"/>
          <w:color w:val="000000" w:themeColor="text1"/>
        </w:rPr>
        <w:footnoteReference w:id="28"/>
      </w:r>
      <w:r w:rsidRPr="00A26039" w:rsidR="00BD4EDC">
        <w:rPr>
          <w:color w:val="000000" w:themeColor="text1"/>
        </w:rPr>
        <w:t xml:space="preserve"> </w:t>
      </w:r>
      <w:r w:rsidRPr="00A26039" w:rsidR="00095AFD">
        <w:rPr>
          <w:color w:val="000000" w:themeColor="text1"/>
        </w:rPr>
        <w:t>This</w:t>
      </w:r>
      <w:r w:rsidRPr="00A26039">
        <w:rPr>
          <w:color w:val="000000" w:themeColor="text1"/>
        </w:rPr>
        <w:t xml:space="preserve"> understanding</w:t>
      </w:r>
      <w:r w:rsidRPr="00A26039" w:rsidR="00095AFD">
        <w:rPr>
          <w:color w:val="000000" w:themeColor="text1"/>
        </w:rPr>
        <w:t xml:space="preserve"> is supported by the </w:t>
      </w:r>
      <w:r w:rsidRPr="00A26039">
        <w:rPr>
          <w:color w:val="000000" w:themeColor="text1"/>
        </w:rPr>
        <w:t xml:space="preserve">Ohio Supreme Court, which has held that </w:t>
      </w:r>
      <w:r w:rsidRPr="00A26039">
        <w:rPr>
          <w:iCs/>
          <w:color w:val="000000" w:themeColor="text1"/>
        </w:rPr>
        <w:t>“</w:t>
      </w:r>
      <w:r w:rsidRPr="00A26039">
        <w:rPr>
          <w:rStyle w:val="ssrfcpassagedeactivated"/>
          <w:color w:val="000000" w:themeColor="text1"/>
          <w:bdr w:val="none" w:sz="0" w:space="0" w:color="auto" w:frame="1"/>
        </w:rPr>
        <w:t>when interpreting a</w:t>
      </w:r>
      <w:r w:rsidRPr="00A26039">
        <w:rPr>
          <w:rStyle w:val="apple-converted-space"/>
          <w:color w:val="000000" w:themeColor="text1"/>
          <w:bdr w:val="none" w:sz="0" w:space="0" w:color="auto" w:frame="1"/>
        </w:rPr>
        <w:t> </w:t>
      </w:r>
      <w:r w:rsidRPr="00A26039">
        <w:rPr>
          <w:rStyle w:val="sssh"/>
          <w:color w:val="000000" w:themeColor="text1"/>
          <w:bdr w:val="none" w:sz="0" w:space="0" w:color="auto" w:frame="1"/>
        </w:rPr>
        <w:t>statute</w:t>
      </w:r>
      <w:r w:rsidRPr="00A26039">
        <w:rPr>
          <w:rStyle w:val="ssrfcpassagedeactivated"/>
          <w:color w:val="000000" w:themeColor="text1"/>
          <w:bdr w:val="none" w:sz="0" w:space="0" w:color="auto" w:frame="1"/>
        </w:rPr>
        <w:t>, a court must first examine the</w:t>
      </w:r>
      <w:r w:rsidRPr="00A26039">
        <w:rPr>
          <w:rStyle w:val="apple-converted-space"/>
          <w:color w:val="000000" w:themeColor="text1"/>
          <w:bdr w:val="none" w:sz="0" w:space="0" w:color="auto" w:frame="1"/>
        </w:rPr>
        <w:t> </w:t>
      </w:r>
      <w:r w:rsidRPr="00A26039">
        <w:rPr>
          <w:rStyle w:val="sssh"/>
          <w:color w:val="000000" w:themeColor="text1"/>
          <w:bdr w:val="none" w:sz="0" w:space="0" w:color="auto" w:frame="1"/>
        </w:rPr>
        <w:t>plain language</w:t>
      </w:r>
      <w:r w:rsidRPr="00A26039">
        <w:rPr>
          <w:rStyle w:val="apple-converted-space"/>
          <w:color w:val="000000" w:themeColor="text1"/>
          <w:bdr w:val="none" w:sz="0" w:space="0" w:color="auto" w:frame="1"/>
        </w:rPr>
        <w:t> </w:t>
      </w:r>
      <w:r w:rsidRPr="00A26039">
        <w:rPr>
          <w:rStyle w:val="ssrfcpassagedeactivated"/>
          <w:color w:val="000000" w:themeColor="text1"/>
          <w:bdr w:val="none" w:sz="0" w:space="0" w:color="auto" w:frame="1"/>
        </w:rPr>
        <w:t>of the</w:t>
      </w:r>
      <w:r w:rsidRPr="00A26039">
        <w:rPr>
          <w:rStyle w:val="apple-converted-space"/>
          <w:color w:val="000000" w:themeColor="text1"/>
          <w:bdr w:val="none" w:sz="0" w:space="0" w:color="auto" w:frame="1"/>
        </w:rPr>
        <w:t> </w:t>
      </w:r>
      <w:r w:rsidRPr="00A26039">
        <w:rPr>
          <w:rStyle w:val="sssh"/>
          <w:color w:val="000000" w:themeColor="text1"/>
          <w:bdr w:val="none" w:sz="0" w:space="0" w:color="auto" w:frame="1"/>
        </w:rPr>
        <w:t>statute</w:t>
      </w:r>
      <w:r w:rsidRPr="00A26039">
        <w:rPr>
          <w:rStyle w:val="apple-converted-space"/>
          <w:color w:val="000000" w:themeColor="text1"/>
          <w:bdr w:val="none" w:sz="0" w:space="0" w:color="auto" w:frame="1"/>
        </w:rPr>
        <w:t> </w:t>
      </w:r>
      <w:r w:rsidRPr="00A26039">
        <w:rPr>
          <w:rStyle w:val="ssrfcpassagedeactivated"/>
          <w:color w:val="000000" w:themeColor="text1"/>
          <w:bdr w:val="none" w:sz="0" w:space="0" w:color="auto" w:frame="1"/>
        </w:rPr>
        <w:t xml:space="preserve">to determine legislative </w:t>
      </w:r>
      <w:r w:rsidRPr="00A26039" w:rsidR="006A68D6">
        <w:rPr>
          <w:rStyle w:val="ssrfcpassagedeactivated"/>
          <w:color w:val="000000" w:themeColor="text1"/>
          <w:bdr w:val="none" w:sz="0" w:space="0" w:color="auto" w:frame="1"/>
        </w:rPr>
        <w:t>intent. The</w:t>
      </w:r>
      <w:r w:rsidRPr="00A26039">
        <w:rPr>
          <w:rStyle w:val="ssrfcpassagedeactivated"/>
          <w:color w:val="000000" w:themeColor="text1"/>
          <w:bdr w:val="none" w:sz="0" w:space="0" w:color="auto" w:frame="1"/>
        </w:rPr>
        <w:t xml:space="preserve"> court must give effect to the words used, making neither additions nor deletions from words chosen by the General Assembly.</w:t>
      </w:r>
      <w:r>
        <w:rPr>
          <w:rStyle w:val="FootnoteReference"/>
          <w:color w:val="000000" w:themeColor="text1"/>
          <w:bdr w:val="none" w:sz="0" w:space="0" w:color="auto" w:frame="1"/>
        </w:rPr>
        <w:footnoteReference w:id="29"/>
      </w:r>
      <w:r w:rsidRPr="00A26039">
        <w:rPr>
          <w:rStyle w:val="apple-converted-space"/>
          <w:color w:val="000000" w:themeColor="text1"/>
          <w:bdr w:val="none" w:sz="0" w:space="0" w:color="auto" w:frame="1"/>
        </w:rPr>
        <w:t> </w:t>
      </w:r>
    </w:p>
    <w:p w:rsidR="00BD366E" w:rsidRPr="00A26039" w:rsidP="00EE33E9" w14:paraId="7513EF0B" w14:textId="729E4928">
      <w:pPr>
        <w:spacing w:after="0" w:line="480" w:lineRule="auto"/>
        <w:ind w:firstLine="720"/>
        <w:rPr>
          <w:rFonts w:ascii="Times New Roman" w:hAnsi="Times New Roman" w:cs="Times New Roman"/>
          <w:sz w:val="24"/>
          <w:szCs w:val="24"/>
        </w:rPr>
      </w:pPr>
      <w:r w:rsidRPr="00A26039">
        <w:rPr>
          <w:rStyle w:val="apple-converted-space"/>
          <w:rFonts w:ascii="Times New Roman" w:hAnsi="Times New Roman" w:cs="Times New Roman"/>
          <w:color w:val="000000" w:themeColor="text1"/>
          <w:sz w:val="24"/>
          <w:szCs w:val="24"/>
          <w:bdr w:val="none" w:sz="0" w:space="0" w:color="auto" w:frame="1"/>
        </w:rPr>
        <w:t>Here, t</w:t>
      </w:r>
      <w:r w:rsidRPr="00A26039" w:rsidR="00BD4EDC">
        <w:rPr>
          <w:rStyle w:val="apple-converted-space"/>
          <w:rFonts w:ascii="Times New Roman" w:hAnsi="Times New Roman" w:cs="Times New Roman"/>
          <w:color w:val="000000" w:themeColor="text1"/>
          <w:sz w:val="24"/>
          <w:szCs w:val="24"/>
          <w:bdr w:val="none" w:sz="0" w:space="0" w:color="auto" w:frame="1"/>
        </w:rPr>
        <w:t>he</w:t>
      </w:r>
      <w:r w:rsidRPr="00A26039" w:rsidR="00BD4EDC">
        <w:rPr>
          <w:rFonts w:ascii="Times New Roman" w:hAnsi="Times New Roman" w:cs="Times New Roman"/>
          <w:color w:val="000000" w:themeColor="text1"/>
          <w:sz w:val="24"/>
          <w:szCs w:val="24"/>
        </w:rPr>
        <w:t xml:space="preserve"> word “shall” in the statute </w:t>
      </w:r>
      <w:r w:rsidRPr="00A26039" w:rsidR="00BC376F">
        <w:rPr>
          <w:rFonts w:ascii="Times New Roman" w:hAnsi="Times New Roman" w:cs="Times New Roman"/>
          <w:color w:val="000000" w:themeColor="text1"/>
          <w:sz w:val="24"/>
          <w:szCs w:val="24"/>
        </w:rPr>
        <w:t xml:space="preserve">(R.C. 4928.542) </w:t>
      </w:r>
      <w:r w:rsidRPr="00A26039" w:rsidR="00BD4EDC">
        <w:rPr>
          <w:rFonts w:ascii="Times New Roman" w:hAnsi="Times New Roman" w:cs="Times New Roman"/>
          <w:color w:val="000000" w:themeColor="text1"/>
          <w:sz w:val="24"/>
          <w:szCs w:val="24"/>
        </w:rPr>
        <w:t>means there is no exception to the requirement that a winning bid reduce costs for PIPP consumers.</w:t>
      </w:r>
      <w:r w:rsidRPr="00A26039" w:rsidR="00BD4EDC">
        <w:rPr>
          <w:rFonts w:ascii="Times New Roman" w:eastAsia="Times New Roman" w:hAnsi="Times New Roman" w:cs="Times New Roman"/>
          <w:color w:val="000000" w:themeColor="text1"/>
          <w:sz w:val="24"/>
          <w:szCs w:val="24"/>
        </w:rPr>
        <w:t xml:space="preserve"> “Ordinarily, the word '</w:t>
      </w:r>
      <w:r w:rsidRPr="00A26039" w:rsidR="00BD4EDC">
        <w:rPr>
          <w:rStyle w:val="sssh"/>
          <w:rFonts w:ascii="Times New Roman" w:eastAsia="Times New Roman" w:hAnsi="Times New Roman" w:cs="Times New Roman"/>
          <w:color w:val="000000" w:themeColor="text1"/>
          <w:sz w:val="24"/>
          <w:szCs w:val="24"/>
          <w:bdr w:val="none" w:sz="0" w:space="0" w:color="auto" w:frame="1"/>
        </w:rPr>
        <w:t>shall</w:t>
      </w:r>
      <w:r w:rsidRPr="00A26039" w:rsidR="00BD4EDC">
        <w:rPr>
          <w:rFonts w:ascii="Times New Roman" w:eastAsia="Times New Roman" w:hAnsi="Times New Roman" w:cs="Times New Roman"/>
          <w:color w:val="000000" w:themeColor="text1"/>
          <w:sz w:val="24"/>
          <w:szCs w:val="24"/>
        </w:rPr>
        <w:t>' is a</w:t>
      </w:r>
      <w:r w:rsidRPr="00A26039" w:rsidR="00BD4EDC">
        <w:rPr>
          <w:rStyle w:val="apple-converted-space"/>
          <w:rFonts w:ascii="Times New Roman" w:eastAsia="Times New Roman" w:hAnsi="Times New Roman" w:cs="Times New Roman"/>
          <w:color w:val="000000" w:themeColor="text1"/>
          <w:sz w:val="24"/>
          <w:szCs w:val="24"/>
        </w:rPr>
        <w:t> </w:t>
      </w:r>
      <w:r w:rsidRPr="00A26039" w:rsidR="00BD4EDC">
        <w:rPr>
          <w:rStyle w:val="sssh"/>
          <w:rFonts w:ascii="Times New Roman" w:eastAsia="Times New Roman" w:hAnsi="Times New Roman" w:cs="Times New Roman"/>
          <w:color w:val="000000" w:themeColor="text1"/>
          <w:sz w:val="24"/>
          <w:szCs w:val="24"/>
          <w:bdr w:val="none" w:sz="0" w:space="0" w:color="auto" w:frame="1"/>
        </w:rPr>
        <w:t>mandatory</w:t>
      </w:r>
      <w:r w:rsidRPr="00A26039" w:rsidR="00BD4EDC">
        <w:rPr>
          <w:rStyle w:val="apple-converted-space"/>
          <w:rFonts w:ascii="Times New Roman" w:eastAsia="Times New Roman" w:hAnsi="Times New Roman" w:cs="Times New Roman"/>
          <w:color w:val="000000" w:themeColor="text1"/>
          <w:sz w:val="24"/>
          <w:szCs w:val="24"/>
        </w:rPr>
        <w:t> </w:t>
      </w:r>
      <w:r w:rsidRPr="00A26039" w:rsidR="00BD4EDC">
        <w:rPr>
          <w:rFonts w:ascii="Times New Roman" w:eastAsia="Times New Roman" w:hAnsi="Times New Roman" w:cs="Times New Roman"/>
          <w:color w:val="000000" w:themeColor="text1"/>
          <w:sz w:val="24"/>
          <w:szCs w:val="24"/>
        </w:rPr>
        <w:t>one, whereas 'may' denotes the granting of discretion."</w:t>
      </w:r>
      <w:r>
        <w:rPr>
          <w:rStyle w:val="FootnoteReference"/>
          <w:rFonts w:ascii="Times New Roman" w:eastAsia="Times New Roman" w:hAnsi="Times New Roman" w:cs="Times New Roman"/>
          <w:color w:val="000000" w:themeColor="text1"/>
          <w:sz w:val="24"/>
          <w:szCs w:val="24"/>
        </w:rPr>
        <w:footnoteReference w:id="30"/>
      </w:r>
      <w:r w:rsidRPr="00A26039" w:rsidR="00BD4EDC">
        <w:rPr>
          <w:rFonts w:ascii="Times New Roman" w:hAnsi="Times New Roman" w:cs="Times New Roman"/>
          <w:color w:val="000000" w:themeColor="text1"/>
          <w:sz w:val="24"/>
          <w:szCs w:val="24"/>
        </w:rPr>
        <w:t xml:space="preserve"> Nothing in R.C. 4928.542 indicates “shall” means something other than its ordinary, mandatory usage. </w:t>
      </w:r>
      <w:r w:rsidRPr="00A26039" w:rsidR="00EB081E">
        <w:rPr>
          <w:rFonts w:ascii="Times New Roman" w:hAnsi="Times New Roman" w:cs="Times New Roman"/>
          <w:color w:val="000000" w:themeColor="text1"/>
          <w:sz w:val="24"/>
          <w:szCs w:val="24"/>
        </w:rPr>
        <w:t xml:space="preserve">If a bid does not reduce rates for PIPP consumers, that bid violates the requirement that it “shall” do so. </w:t>
      </w:r>
      <w:r w:rsidRPr="00A26039" w:rsidR="00BD4EDC">
        <w:rPr>
          <w:rFonts w:ascii="Times New Roman" w:hAnsi="Times New Roman" w:cs="Times New Roman"/>
          <w:color w:val="000000" w:themeColor="text1"/>
          <w:sz w:val="24"/>
          <w:szCs w:val="24"/>
        </w:rPr>
        <w:t xml:space="preserve">Finding otherwise requires the PUCO to add words to the statute. </w:t>
      </w:r>
      <w:r w:rsidRPr="00A26039" w:rsidR="00A01D6F">
        <w:rPr>
          <w:rFonts w:ascii="Times New Roman" w:hAnsi="Times New Roman" w:cs="Times New Roman"/>
          <w:color w:val="000000" w:themeColor="text1"/>
          <w:sz w:val="24"/>
          <w:szCs w:val="24"/>
        </w:rPr>
        <w:t xml:space="preserve">It has no authority to do so. </w:t>
      </w:r>
      <w:r w:rsidRPr="00A26039" w:rsidR="00A01D6F">
        <w:rPr>
          <w:rFonts w:ascii="Times New Roman" w:hAnsi="Times New Roman" w:cs="Times New Roman"/>
          <w:color w:val="212121"/>
          <w:sz w:val="24"/>
          <w:szCs w:val="24"/>
          <w:shd w:val="clear" w:color="auto" w:fill="FFFFFF"/>
        </w:rPr>
        <w:t>"The</w:t>
      </w:r>
      <w:r w:rsidRPr="00A26039" w:rsidR="00083F95">
        <w:rPr>
          <w:rFonts w:ascii="Times New Roman" w:hAnsi="Times New Roman" w:cs="Times New Roman"/>
          <w:color w:val="212121"/>
          <w:sz w:val="24"/>
          <w:szCs w:val="24"/>
          <w:shd w:val="clear" w:color="auto" w:fill="FFFFFF"/>
        </w:rPr>
        <w:t xml:space="preserve"> PUCO</w:t>
      </w:r>
      <w:r w:rsidRPr="00A26039" w:rsidR="00A01D6F">
        <w:rPr>
          <w:rFonts w:ascii="Times New Roman" w:hAnsi="Times New Roman" w:cs="Times New Roman"/>
          <w:color w:val="212121"/>
          <w:sz w:val="24"/>
          <w:szCs w:val="24"/>
          <w:shd w:val="clear" w:color="auto" w:fill="FFFFFF"/>
        </w:rPr>
        <w:t>, as a</w:t>
      </w:r>
      <w:r w:rsidRPr="00A26039" w:rsidR="00083F95">
        <w:rPr>
          <w:rFonts w:ascii="Times New Roman" w:hAnsi="Times New Roman" w:cs="Times New Roman"/>
          <w:color w:val="212121"/>
          <w:sz w:val="24"/>
          <w:szCs w:val="24"/>
          <w:shd w:val="clear" w:color="auto" w:fill="FFFFFF"/>
        </w:rPr>
        <w:t xml:space="preserve"> creature</w:t>
      </w:r>
      <w:r w:rsidRPr="00A26039" w:rsidR="00A01D6F">
        <w:rPr>
          <w:rFonts w:ascii="Times New Roman" w:hAnsi="Times New Roman" w:cs="Times New Roman"/>
          <w:color w:val="212121"/>
          <w:sz w:val="24"/>
          <w:szCs w:val="24"/>
          <w:shd w:val="clear" w:color="auto" w:fill="FFFFFF"/>
        </w:rPr>
        <w:t> of</w:t>
      </w:r>
      <w:r w:rsidRPr="00A26039" w:rsidR="00083F95">
        <w:rPr>
          <w:rFonts w:ascii="Times New Roman" w:hAnsi="Times New Roman" w:cs="Times New Roman"/>
          <w:color w:val="212121"/>
          <w:sz w:val="24"/>
          <w:szCs w:val="24"/>
          <w:shd w:val="clear" w:color="auto" w:fill="FFFFFF"/>
        </w:rPr>
        <w:t xml:space="preserve"> statute</w:t>
      </w:r>
      <w:r w:rsidRPr="00A26039" w:rsidR="00A01D6F">
        <w:rPr>
          <w:rFonts w:ascii="Times New Roman" w:hAnsi="Times New Roman" w:cs="Times New Roman"/>
          <w:color w:val="212121"/>
          <w:sz w:val="24"/>
          <w:szCs w:val="24"/>
          <w:shd w:val="clear" w:color="auto" w:fill="FFFFFF"/>
        </w:rPr>
        <w:t>, has no authority to act beyond its statutory powers.”</w:t>
      </w:r>
      <w:r>
        <w:rPr>
          <w:rStyle w:val="FootnoteReference"/>
          <w:rFonts w:ascii="Times New Roman" w:hAnsi="Times New Roman" w:cs="Times New Roman"/>
          <w:color w:val="212121"/>
          <w:sz w:val="24"/>
          <w:szCs w:val="24"/>
          <w:shd w:val="clear" w:color="auto" w:fill="FFFFFF"/>
        </w:rPr>
        <w:footnoteReference w:id="31"/>
      </w:r>
    </w:p>
    <w:p w:rsidR="00F44EE5" w:rsidRPr="00A26039" w:rsidP="00F44EE5" w14:paraId="209F46D4" w14:textId="77777777">
      <w:pPr>
        <w:spacing w:after="0" w:line="480" w:lineRule="auto"/>
        <w:ind w:firstLine="720"/>
        <w:rPr>
          <w:rFonts w:ascii="Times New Roman" w:hAnsi="Times New Roman" w:cs="Times New Roman"/>
          <w:color w:val="000000" w:themeColor="text1"/>
          <w:sz w:val="24"/>
          <w:szCs w:val="24"/>
        </w:rPr>
      </w:pPr>
      <w:r w:rsidRPr="00A26039">
        <w:rPr>
          <w:rFonts w:ascii="Times New Roman" w:hAnsi="Times New Roman" w:cs="Times New Roman"/>
          <w:color w:val="000000" w:themeColor="text1"/>
          <w:sz w:val="24"/>
          <w:szCs w:val="24"/>
        </w:rPr>
        <w:t>The plain meaning of R.C. 4928.542 requires mandatory savings for low-income PIPP consumers at each and every auction, not just over the long-term. The PUCO’s finding that savings can accrue over the long term requires adding words to the statute.</w:t>
      </w:r>
    </w:p>
    <w:p w:rsidR="00FB2AF4" w:rsidRPr="00A26039" w:rsidP="00082907" w14:paraId="2CFAA172" w14:textId="6905BDDB">
      <w:pPr>
        <w:spacing w:after="0" w:line="480" w:lineRule="auto"/>
        <w:ind w:firstLine="720"/>
        <w:rPr>
          <w:rFonts w:ascii="Times New Roman" w:hAnsi="Times New Roman" w:cs="Times New Roman"/>
          <w:iCs/>
          <w:sz w:val="24"/>
          <w:szCs w:val="24"/>
        </w:rPr>
      </w:pPr>
      <w:r w:rsidRPr="00A26039">
        <w:rPr>
          <w:rFonts w:ascii="Times New Roman" w:hAnsi="Times New Roman" w:cs="Times New Roman"/>
          <w:color w:val="000000" w:themeColor="text1"/>
          <w:sz w:val="24"/>
          <w:szCs w:val="24"/>
        </w:rPr>
        <w:t>R.C. 4928.542 says nothing about bids reducing rates “over the long</w:t>
      </w:r>
      <w:r w:rsidRPr="00A26039" w:rsidR="00826AF5">
        <w:rPr>
          <w:rFonts w:ascii="Times New Roman" w:hAnsi="Times New Roman" w:cs="Times New Roman"/>
          <w:color w:val="000000" w:themeColor="text1"/>
          <w:sz w:val="24"/>
          <w:szCs w:val="24"/>
        </w:rPr>
        <w:t>-</w:t>
      </w:r>
      <w:r w:rsidRPr="00A26039">
        <w:rPr>
          <w:rFonts w:ascii="Times New Roman" w:hAnsi="Times New Roman" w:cs="Times New Roman"/>
          <w:color w:val="000000" w:themeColor="text1"/>
          <w:sz w:val="24"/>
          <w:szCs w:val="24"/>
        </w:rPr>
        <w:t xml:space="preserve">term.” Adding this caveat violates Ohio’s rules of construction. R.C. 4928.542 is unambiguous, which requires the PUCO to apply its plain meaning </w:t>
      </w:r>
      <w:r w:rsidRPr="00A26039" w:rsidR="000C1234">
        <w:rPr>
          <w:rFonts w:ascii="Times New Roman" w:hAnsi="Times New Roman" w:cs="Times New Roman"/>
          <w:color w:val="000000" w:themeColor="text1"/>
          <w:sz w:val="24"/>
          <w:szCs w:val="24"/>
        </w:rPr>
        <w:t xml:space="preserve">(not construe it) </w:t>
      </w:r>
      <w:r w:rsidRPr="00A26039">
        <w:rPr>
          <w:rFonts w:ascii="Times New Roman" w:hAnsi="Times New Roman" w:cs="Times New Roman"/>
          <w:color w:val="000000" w:themeColor="text1"/>
          <w:sz w:val="24"/>
          <w:szCs w:val="24"/>
        </w:rPr>
        <w:t xml:space="preserve">that each auction must reduce rates for low-income PIPP consumers. </w:t>
      </w:r>
    </w:p>
    <w:p w:rsidR="001D5B69" w:rsidRPr="00A26039" w:rsidP="00082907" w14:paraId="0B3890F6" w14:textId="59F3D221">
      <w:pPr>
        <w:spacing w:after="0" w:line="480" w:lineRule="auto"/>
        <w:ind w:firstLine="720"/>
        <w:rPr>
          <w:rFonts w:ascii="Times New Roman" w:hAnsi="Times New Roman" w:cs="Times New Roman"/>
          <w:sz w:val="24"/>
          <w:szCs w:val="24"/>
        </w:rPr>
      </w:pPr>
      <w:r w:rsidRPr="00A26039">
        <w:rPr>
          <w:rFonts w:ascii="Times New Roman" w:hAnsi="Times New Roman" w:cs="Times New Roman"/>
          <w:iCs/>
          <w:sz w:val="24"/>
          <w:szCs w:val="24"/>
        </w:rPr>
        <w:t xml:space="preserve">Unfortunately for PIPP consumers, ODOD and the PUCO are failing to require compliance with the law. </w:t>
      </w:r>
      <w:r w:rsidRPr="00A26039">
        <w:rPr>
          <w:rFonts w:ascii="Times New Roman" w:hAnsi="Times New Roman" w:cs="Times New Roman"/>
          <w:sz w:val="24"/>
          <w:szCs w:val="24"/>
        </w:rPr>
        <w:t>T</w:t>
      </w:r>
      <w:r w:rsidRPr="00A26039" w:rsidR="001C3961">
        <w:rPr>
          <w:rFonts w:ascii="Times New Roman" w:hAnsi="Times New Roman" w:cs="Times New Roman"/>
          <w:sz w:val="24"/>
          <w:szCs w:val="24"/>
        </w:rPr>
        <w:t>he</w:t>
      </w:r>
      <w:r w:rsidRPr="00A26039">
        <w:rPr>
          <w:rFonts w:ascii="Times New Roman" w:hAnsi="Times New Roman" w:cs="Times New Roman"/>
          <w:sz w:val="24"/>
          <w:szCs w:val="24"/>
        </w:rPr>
        <w:t xml:space="preserve"> independent PIPP auction</w:t>
      </w:r>
      <w:r w:rsidRPr="00A26039" w:rsidR="003155AF">
        <w:rPr>
          <w:rFonts w:ascii="Times New Roman" w:hAnsi="Times New Roman" w:cs="Times New Roman"/>
          <w:sz w:val="24"/>
          <w:szCs w:val="24"/>
        </w:rPr>
        <w:t>s</w:t>
      </w:r>
      <w:r w:rsidRPr="00A26039">
        <w:rPr>
          <w:rFonts w:ascii="Times New Roman" w:hAnsi="Times New Roman" w:cs="Times New Roman"/>
          <w:sz w:val="24"/>
          <w:szCs w:val="24"/>
        </w:rPr>
        <w:t xml:space="preserve"> ha</w:t>
      </w:r>
      <w:r w:rsidRPr="00A26039" w:rsidR="003155AF">
        <w:rPr>
          <w:rFonts w:ascii="Times New Roman" w:hAnsi="Times New Roman" w:cs="Times New Roman"/>
          <w:sz w:val="24"/>
          <w:szCs w:val="24"/>
        </w:rPr>
        <w:t>ve</w:t>
      </w:r>
      <w:r w:rsidRPr="00A26039">
        <w:rPr>
          <w:rFonts w:ascii="Times New Roman" w:hAnsi="Times New Roman" w:cs="Times New Roman"/>
          <w:sz w:val="24"/>
          <w:szCs w:val="24"/>
        </w:rPr>
        <w:t xml:space="preserve"> yielded mixed results (sometimes benefiting PIPP consumers as required by law) over the years. But </w:t>
      </w:r>
      <w:r w:rsidRPr="00A26039" w:rsidR="006A68D6">
        <w:rPr>
          <w:rFonts w:ascii="Times New Roman" w:hAnsi="Times New Roman" w:cs="Times New Roman"/>
          <w:sz w:val="24"/>
          <w:szCs w:val="24"/>
        </w:rPr>
        <w:t xml:space="preserve">last spring’s auctions </w:t>
      </w:r>
      <w:r w:rsidRPr="00A26039">
        <w:rPr>
          <w:rFonts w:ascii="Times New Roman" w:hAnsi="Times New Roman" w:cs="Times New Roman"/>
          <w:sz w:val="24"/>
          <w:szCs w:val="24"/>
        </w:rPr>
        <w:t xml:space="preserve">resulted in significant overcharges to </w:t>
      </w:r>
      <w:r w:rsidRPr="00A26039" w:rsidR="006A68D6">
        <w:rPr>
          <w:rFonts w:ascii="Times New Roman" w:hAnsi="Times New Roman" w:cs="Times New Roman"/>
          <w:i/>
          <w:iCs/>
          <w:sz w:val="24"/>
          <w:szCs w:val="24"/>
        </w:rPr>
        <w:t>all six</w:t>
      </w:r>
      <w:r w:rsidRPr="00A26039" w:rsidR="006A68D6">
        <w:rPr>
          <w:rFonts w:ascii="Times New Roman" w:hAnsi="Times New Roman" w:cs="Times New Roman"/>
          <w:sz w:val="24"/>
          <w:szCs w:val="24"/>
        </w:rPr>
        <w:t xml:space="preserve"> of the utilities’</w:t>
      </w:r>
      <w:r w:rsidRPr="00A26039">
        <w:rPr>
          <w:rFonts w:ascii="Times New Roman" w:hAnsi="Times New Roman" w:cs="Times New Roman"/>
          <w:sz w:val="24"/>
          <w:szCs w:val="24"/>
        </w:rPr>
        <w:t xml:space="preserve"> PIPP consumers.</w:t>
      </w:r>
      <w:r>
        <w:rPr>
          <w:rStyle w:val="FootnoteReference"/>
          <w:rFonts w:ascii="Times New Roman" w:hAnsi="Times New Roman" w:cs="Times New Roman"/>
          <w:sz w:val="24"/>
          <w:szCs w:val="24"/>
        </w:rPr>
        <w:footnoteReference w:id="32"/>
      </w:r>
      <w:r w:rsidRPr="00A26039">
        <w:rPr>
          <w:rFonts w:ascii="Times New Roman" w:hAnsi="Times New Roman" w:cs="Times New Roman"/>
          <w:sz w:val="24"/>
          <w:szCs w:val="24"/>
        </w:rPr>
        <w:t xml:space="preserve"> </w:t>
      </w:r>
      <w:r w:rsidRPr="00A26039" w:rsidR="006A68D6">
        <w:rPr>
          <w:rFonts w:ascii="Times New Roman" w:hAnsi="Times New Roman" w:cs="Times New Roman"/>
          <w:sz w:val="24"/>
          <w:szCs w:val="24"/>
        </w:rPr>
        <w:t>But a</w:t>
      </w:r>
      <w:r w:rsidRPr="00A26039">
        <w:rPr>
          <w:rFonts w:ascii="Times New Roman" w:hAnsi="Times New Roman" w:cs="Times New Roman"/>
          <w:sz w:val="24"/>
          <w:szCs w:val="24"/>
        </w:rPr>
        <w:t xml:space="preserve">t-risk, low-income PIPP consumers cannot lawfully be billed higher generation rates on a per kWh basis than non-PIPP consumers served under the </w:t>
      </w:r>
      <w:r w:rsidRPr="00A26039" w:rsidR="006A68D6">
        <w:rPr>
          <w:rFonts w:ascii="Times New Roman" w:hAnsi="Times New Roman" w:cs="Times New Roman"/>
          <w:sz w:val="24"/>
          <w:szCs w:val="24"/>
        </w:rPr>
        <w:t>utilities’</w:t>
      </w:r>
      <w:r w:rsidRPr="00A26039">
        <w:rPr>
          <w:rFonts w:ascii="Times New Roman" w:hAnsi="Times New Roman" w:cs="Times New Roman"/>
          <w:sz w:val="24"/>
          <w:szCs w:val="24"/>
        </w:rPr>
        <w:t xml:space="preserve"> standard service offe</w:t>
      </w:r>
      <w:r w:rsidRPr="00A26039" w:rsidR="006A68D6">
        <w:rPr>
          <w:rFonts w:ascii="Times New Roman" w:hAnsi="Times New Roman" w:cs="Times New Roman"/>
          <w:sz w:val="24"/>
          <w:szCs w:val="24"/>
        </w:rPr>
        <w:t>rs</w:t>
      </w:r>
      <w:r w:rsidRPr="00A26039">
        <w:rPr>
          <w:rFonts w:ascii="Times New Roman" w:hAnsi="Times New Roman" w:cs="Times New Roman"/>
          <w:sz w:val="24"/>
          <w:szCs w:val="24"/>
        </w:rPr>
        <w:t xml:space="preserve">, per R.C. 4928.542. </w:t>
      </w:r>
    </w:p>
    <w:p w:rsidR="006A68D6" w:rsidRPr="00A26039" w:rsidP="006A68D6" w14:paraId="6A095D18" w14:textId="16AE4A81">
      <w:pPr>
        <w:spacing w:after="0" w:line="480" w:lineRule="auto"/>
        <w:ind w:firstLine="720"/>
        <w:rPr>
          <w:rFonts w:ascii="Times New Roman" w:hAnsi="Times New Roman" w:cs="Times New Roman"/>
          <w:color w:val="000000"/>
          <w:sz w:val="24"/>
          <w:szCs w:val="24"/>
          <w:bdr w:val="none" w:sz="0" w:space="0" w:color="auto" w:frame="1"/>
        </w:rPr>
      </w:pPr>
      <w:r w:rsidRPr="00A26039">
        <w:rPr>
          <w:rFonts w:ascii="Times New Roman" w:hAnsi="Times New Roman" w:cs="Times New Roman"/>
          <w:iCs/>
          <w:color w:val="000000" w:themeColor="text1"/>
          <w:sz w:val="24"/>
          <w:szCs w:val="24"/>
        </w:rPr>
        <w:t>Even if the PUCO finds R.C. 4928.542 is ambiguous</w:t>
      </w:r>
      <w:r w:rsidRPr="00A26039" w:rsidR="00C0647C">
        <w:rPr>
          <w:rFonts w:ascii="Times New Roman" w:hAnsi="Times New Roman" w:cs="Times New Roman"/>
          <w:iCs/>
          <w:color w:val="000000" w:themeColor="text1"/>
          <w:sz w:val="24"/>
          <w:szCs w:val="24"/>
        </w:rPr>
        <w:t xml:space="preserve"> (which it is not)</w:t>
      </w:r>
      <w:r w:rsidRPr="00A26039">
        <w:rPr>
          <w:rFonts w:ascii="Times New Roman" w:hAnsi="Times New Roman" w:cs="Times New Roman"/>
          <w:iCs/>
          <w:color w:val="000000" w:themeColor="text1"/>
          <w:sz w:val="24"/>
          <w:szCs w:val="24"/>
        </w:rPr>
        <w:t>, it should not allow a USF Settlement that charges PIPP consumers rates that exceed the standard service offer. R.C. 1.49 provides that “[i]f a statute is ambiguous, the court, in determining the intention of the legislature, may consider . . . laws upon the same or similar subject.” It is well-established in Ohio that statutes on the same subject matter should be interpreted together, rather than in isolation.</w:t>
      </w:r>
      <w:r>
        <w:rPr>
          <w:rStyle w:val="FootnoteReference"/>
          <w:rFonts w:ascii="Times New Roman" w:hAnsi="Times New Roman" w:cs="Times New Roman"/>
          <w:iCs/>
          <w:color w:val="000000" w:themeColor="text1"/>
          <w:sz w:val="24"/>
          <w:szCs w:val="24"/>
        </w:rPr>
        <w:footnoteReference w:id="33"/>
      </w:r>
      <w:r w:rsidRPr="00A26039">
        <w:rPr>
          <w:rFonts w:ascii="Times New Roman" w:hAnsi="Times New Roman" w:cs="Times New Roman"/>
          <w:iCs/>
          <w:color w:val="000000" w:themeColor="text1"/>
          <w:sz w:val="24"/>
          <w:szCs w:val="24"/>
        </w:rPr>
        <w:t xml:space="preserve"> Courts call this principle </w:t>
      </w:r>
      <w:r w:rsidRPr="00A26039">
        <w:rPr>
          <w:rFonts w:ascii="Times New Roman" w:hAnsi="Times New Roman" w:cs="Times New Roman"/>
          <w:i/>
          <w:color w:val="000000" w:themeColor="text1"/>
          <w:sz w:val="24"/>
          <w:szCs w:val="24"/>
        </w:rPr>
        <w:t>in pari materia</w:t>
      </w:r>
      <w:r w:rsidRPr="00A26039">
        <w:rPr>
          <w:rFonts w:ascii="Times New Roman" w:hAnsi="Times New Roman" w:cs="Times New Roman"/>
          <w:iCs/>
          <w:color w:val="000000" w:themeColor="text1"/>
          <w:sz w:val="24"/>
          <w:szCs w:val="24"/>
        </w:rPr>
        <w:t>, which means “upo</w:t>
      </w:r>
      <w:r w:rsidRPr="00A26039">
        <w:rPr>
          <w:rFonts w:ascii="Times New Roman" w:hAnsi="Times New Roman" w:cs="Times New Roman"/>
          <w:iCs/>
          <w:sz w:val="24"/>
          <w:szCs w:val="24"/>
        </w:rPr>
        <w:t>n the same matter or subject.”</w:t>
      </w:r>
      <w:r>
        <w:rPr>
          <w:rStyle w:val="FootnoteReference"/>
          <w:rFonts w:ascii="Times New Roman" w:hAnsi="Times New Roman" w:cs="Times New Roman"/>
          <w:iCs/>
          <w:sz w:val="24"/>
          <w:szCs w:val="24"/>
        </w:rPr>
        <w:footnoteReference w:id="34"/>
      </w:r>
      <w:r w:rsidRPr="00A26039">
        <w:rPr>
          <w:rFonts w:ascii="Times New Roman" w:hAnsi="Times New Roman" w:cs="Times New Roman"/>
          <w:iCs/>
          <w:sz w:val="24"/>
          <w:szCs w:val="24"/>
        </w:rPr>
        <w:t xml:space="preserve"> </w:t>
      </w:r>
      <w:r w:rsidRPr="00A26039">
        <w:rPr>
          <w:rFonts w:ascii="Times New Roman" w:hAnsi="Times New Roman" w:cs="Times New Roman"/>
          <w:i/>
          <w:iCs/>
          <w:color w:val="000000"/>
          <w:sz w:val="24"/>
          <w:szCs w:val="24"/>
          <w:bdr w:val="none" w:sz="0" w:space="0" w:color="auto" w:frame="1"/>
        </w:rPr>
        <w:t xml:space="preserve">In pari materia </w:t>
      </w:r>
      <w:r w:rsidRPr="00A26039">
        <w:rPr>
          <w:rFonts w:ascii="Times New Roman" w:hAnsi="Times New Roman" w:cs="Times New Roman"/>
          <w:color w:val="000000"/>
          <w:sz w:val="24"/>
          <w:szCs w:val="24"/>
          <w:bdr w:val="none" w:sz="0" w:space="0" w:color="auto" w:frame="1"/>
        </w:rPr>
        <w:t>“instructs that statutes relating to the same subject be construed together, so that inconsistencies in one statute may be resolved by looking at [the] other statute on the same subject.'"</w:t>
      </w:r>
      <w:r>
        <w:rPr>
          <w:rStyle w:val="FootnoteReference"/>
          <w:rFonts w:ascii="Times New Roman" w:hAnsi="Times New Roman" w:cs="Times New Roman"/>
          <w:color w:val="000000"/>
          <w:sz w:val="24"/>
          <w:szCs w:val="24"/>
          <w:bdr w:val="none" w:sz="0" w:space="0" w:color="auto" w:frame="1"/>
        </w:rPr>
        <w:footnoteReference w:id="35"/>
      </w:r>
      <w:r w:rsidRPr="00A26039">
        <w:rPr>
          <w:rFonts w:ascii="Times New Roman" w:hAnsi="Times New Roman" w:cs="Times New Roman"/>
          <w:color w:val="000000"/>
          <w:sz w:val="24"/>
          <w:szCs w:val="24"/>
          <w:bdr w:val="none" w:sz="0" w:space="0" w:color="auto" w:frame="1"/>
        </w:rPr>
        <w:t xml:space="preserve"> </w:t>
      </w:r>
      <w:r w:rsidRPr="00A26039">
        <w:rPr>
          <w:rFonts w:ascii="Times New Roman" w:hAnsi="Times New Roman" w:cs="Times New Roman"/>
          <w:iCs/>
          <w:sz w:val="24"/>
          <w:szCs w:val="24"/>
        </w:rPr>
        <w:t>Courts “must harmonize and give full attention to all [related] statutes unless they are irreconcilable and in hopeless conflict.”</w:t>
      </w:r>
      <w:r>
        <w:rPr>
          <w:rStyle w:val="FootnoteReference"/>
          <w:rFonts w:ascii="Times New Roman" w:hAnsi="Times New Roman" w:cs="Times New Roman"/>
          <w:iCs/>
          <w:sz w:val="24"/>
          <w:szCs w:val="24"/>
        </w:rPr>
        <w:footnoteReference w:id="36"/>
      </w:r>
      <w:r w:rsidRPr="00A26039">
        <w:rPr>
          <w:rFonts w:ascii="Times New Roman" w:hAnsi="Times New Roman" w:cs="Times New Roman"/>
          <w:iCs/>
          <w:sz w:val="24"/>
          <w:szCs w:val="24"/>
        </w:rPr>
        <w:t xml:space="preserve"> The meaning courts give related statutes should carry out legislative intent.</w:t>
      </w:r>
      <w:r>
        <w:rPr>
          <w:rStyle w:val="FootnoteReference"/>
          <w:rFonts w:ascii="Times New Roman" w:hAnsi="Times New Roman" w:cs="Times New Roman"/>
          <w:iCs/>
          <w:sz w:val="24"/>
          <w:szCs w:val="24"/>
        </w:rPr>
        <w:footnoteReference w:id="37"/>
      </w:r>
    </w:p>
    <w:p w:rsidR="00625EDE" w:rsidRPr="00A26039" w:rsidP="00625EDE" w14:paraId="31A794AE" w14:textId="02C14549">
      <w:pPr>
        <w:spacing w:after="0" w:line="480" w:lineRule="auto"/>
        <w:ind w:firstLine="720"/>
        <w:rPr>
          <w:rFonts w:ascii="Times New Roman" w:hAnsi="Times New Roman" w:cs="Times New Roman"/>
          <w:iCs/>
          <w:sz w:val="24"/>
          <w:szCs w:val="24"/>
        </w:rPr>
      </w:pPr>
      <w:r w:rsidRPr="00A26039">
        <w:rPr>
          <w:rFonts w:ascii="Times New Roman" w:hAnsi="Times New Roman" w:cs="Times New Roman"/>
          <w:iCs/>
          <w:sz w:val="24"/>
          <w:szCs w:val="24"/>
        </w:rPr>
        <w:t xml:space="preserve">Statutes related to R.C. 4928.542 indicate the legislature intended for </w:t>
      </w:r>
      <w:r w:rsidRPr="00A26039">
        <w:rPr>
          <w:rFonts w:ascii="Times New Roman" w:hAnsi="Times New Roman" w:cs="Times New Roman"/>
          <w:i/>
          <w:sz w:val="24"/>
          <w:szCs w:val="24"/>
        </w:rPr>
        <w:t xml:space="preserve">every auction </w:t>
      </w:r>
      <w:r w:rsidRPr="00A26039">
        <w:rPr>
          <w:rFonts w:ascii="Times New Roman" w:hAnsi="Times New Roman" w:cs="Times New Roman"/>
          <w:iCs/>
          <w:sz w:val="24"/>
          <w:szCs w:val="24"/>
        </w:rPr>
        <w:t xml:space="preserve">to produce lower rates for low-income PIPP consumers. </w:t>
      </w:r>
      <w:bookmarkStart w:id="10" w:name="_Hlk116471164"/>
      <w:r w:rsidRPr="00A26039" w:rsidR="00E80965">
        <w:rPr>
          <w:rFonts w:ascii="Times New Roman" w:hAnsi="Times New Roman" w:cs="Times New Roman"/>
          <w:iCs/>
          <w:sz w:val="24"/>
          <w:szCs w:val="24"/>
        </w:rPr>
        <w:t>The PUCO’s Opinion and Order erred in declining to address</w:t>
      </w:r>
      <w:r>
        <w:rPr>
          <w:rStyle w:val="FootnoteReference"/>
          <w:rFonts w:ascii="Times New Roman" w:hAnsi="Times New Roman" w:cs="Times New Roman"/>
          <w:iCs/>
          <w:sz w:val="24"/>
          <w:szCs w:val="24"/>
        </w:rPr>
        <w:footnoteReference w:id="38"/>
      </w:r>
      <w:r w:rsidRPr="00A26039" w:rsidR="00E80965">
        <w:rPr>
          <w:rFonts w:ascii="Times New Roman" w:hAnsi="Times New Roman" w:cs="Times New Roman"/>
          <w:iCs/>
          <w:sz w:val="24"/>
          <w:szCs w:val="24"/>
        </w:rPr>
        <w:t xml:space="preserve"> </w:t>
      </w:r>
      <w:r w:rsidRPr="00A26039" w:rsidR="001C3961">
        <w:rPr>
          <w:rFonts w:ascii="Times New Roman" w:hAnsi="Times New Roman" w:cs="Times New Roman"/>
          <w:iCs/>
          <w:sz w:val="24"/>
          <w:szCs w:val="24"/>
        </w:rPr>
        <w:t xml:space="preserve">these statutes </w:t>
      </w:r>
      <w:r w:rsidRPr="00A26039" w:rsidR="00E80965">
        <w:rPr>
          <w:rFonts w:ascii="Times New Roman" w:hAnsi="Times New Roman" w:cs="Times New Roman"/>
          <w:iCs/>
          <w:sz w:val="24"/>
          <w:szCs w:val="24"/>
        </w:rPr>
        <w:t>that support the plain meaning of R.C. 4928.542.</w:t>
      </w:r>
    </w:p>
    <w:bookmarkEnd w:id="10"/>
    <w:p w:rsidR="00625EDE" w:rsidRPr="00A26039" w:rsidP="00625EDE" w14:paraId="04FF9661" w14:textId="5E30FCE0">
      <w:pPr>
        <w:spacing w:after="0" w:line="480" w:lineRule="auto"/>
        <w:ind w:firstLine="720"/>
        <w:rPr>
          <w:rFonts w:ascii="Times New Roman" w:hAnsi="Times New Roman" w:cs="Times New Roman"/>
          <w:iCs/>
          <w:color w:val="000000" w:themeColor="text1"/>
          <w:sz w:val="24"/>
          <w:szCs w:val="24"/>
        </w:rPr>
      </w:pPr>
      <w:r w:rsidRPr="00A26039">
        <w:rPr>
          <w:rFonts w:ascii="Times New Roman" w:hAnsi="Times New Roman" w:cs="Times New Roman"/>
          <w:iCs/>
          <w:sz w:val="24"/>
          <w:szCs w:val="24"/>
        </w:rPr>
        <w:t>First, R.C. 4928.02(L) states that, a</w:t>
      </w:r>
      <w:r w:rsidRPr="00A26039">
        <w:rPr>
          <w:rFonts w:ascii="Times New Roman" w:hAnsi="Times New Roman" w:cs="Times New Roman"/>
          <w:sz w:val="24"/>
          <w:szCs w:val="24"/>
        </w:rPr>
        <w:t xml:space="preserve">s a matter of Ohio policy, the PUCO and ODOD must “protect at-risk populations.” Utilities’ low-income PIPP consumers are vulnerable to poverty, food and housing insecurity, inflation, and a resurging pandemic. They are at-risk. Authorizing utilities to charge low-income PIPP consumers higher rates than the standard service offer harms, rather than protects, an at-risk population. The doctrine of </w:t>
      </w:r>
      <w:r w:rsidRPr="00A26039">
        <w:rPr>
          <w:rFonts w:ascii="Times New Roman" w:hAnsi="Times New Roman" w:cs="Times New Roman"/>
          <w:i/>
          <w:iCs/>
          <w:sz w:val="24"/>
          <w:szCs w:val="24"/>
        </w:rPr>
        <w:t xml:space="preserve">in pari materia </w:t>
      </w:r>
      <w:r w:rsidRPr="00A26039">
        <w:rPr>
          <w:rFonts w:ascii="Times New Roman" w:hAnsi="Times New Roman" w:cs="Times New Roman"/>
          <w:sz w:val="24"/>
          <w:szCs w:val="24"/>
        </w:rPr>
        <w:t xml:space="preserve">requires the PUCO to adopt an interpretation of R.C. 4928.542 in step with its duty to </w:t>
      </w:r>
      <w:r w:rsidRPr="00A26039">
        <w:rPr>
          <w:rFonts w:ascii="Times New Roman" w:hAnsi="Times New Roman" w:cs="Times New Roman"/>
          <w:color w:val="000000" w:themeColor="text1"/>
          <w:sz w:val="24"/>
          <w:szCs w:val="24"/>
        </w:rPr>
        <w:t xml:space="preserve">protect at-risk populations. Reading R.C. 4928.542 to apply to every auction harmonizes similar statutes by ensuring vulnerable PIPP consumers are protected from </w:t>
      </w:r>
      <w:r w:rsidRPr="00A26039">
        <w:rPr>
          <w:rFonts w:ascii="Times New Roman" w:hAnsi="Times New Roman" w:cs="Times New Roman"/>
          <w:i/>
          <w:iCs/>
          <w:color w:val="000000" w:themeColor="text1"/>
          <w:sz w:val="24"/>
          <w:szCs w:val="24"/>
        </w:rPr>
        <w:t xml:space="preserve">ever </w:t>
      </w:r>
      <w:r w:rsidRPr="00A26039">
        <w:rPr>
          <w:rFonts w:ascii="Times New Roman" w:hAnsi="Times New Roman" w:cs="Times New Roman"/>
          <w:color w:val="000000" w:themeColor="text1"/>
          <w:sz w:val="24"/>
          <w:szCs w:val="24"/>
        </w:rPr>
        <w:t xml:space="preserve">paying higher prices than SSO consumers. </w:t>
      </w:r>
    </w:p>
    <w:p w:rsidR="00625EDE" w:rsidRPr="00A26039" w:rsidP="00625EDE" w14:paraId="5C38BF6F" w14:textId="7A025D7D">
      <w:pPr>
        <w:spacing w:after="0" w:line="480" w:lineRule="auto"/>
        <w:ind w:firstLine="720"/>
        <w:rPr>
          <w:rFonts w:ascii="Times New Roman" w:hAnsi="Times New Roman" w:cs="Times New Roman"/>
          <w:color w:val="000000" w:themeColor="text1"/>
          <w:sz w:val="24"/>
          <w:szCs w:val="24"/>
        </w:rPr>
      </w:pPr>
      <w:r w:rsidRPr="00A26039">
        <w:rPr>
          <w:rFonts w:ascii="Times New Roman" w:hAnsi="Times New Roman" w:cs="Times New Roman"/>
          <w:color w:val="000000" w:themeColor="text1"/>
          <w:sz w:val="24"/>
          <w:szCs w:val="24"/>
        </w:rPr>
        <w:t xml:space="preserve">Another statute, R.C. 4928.02(A), supports interpreting R.C. 4928.542 to require that PIPP prices do not exceed the SSO at </w:t>
      </w:r>
      <w:r w:rsidRPr="00A26039">
        <w:rPr>
          <w:rFonts w:ascii="Times New Roman" w:hAnsi="Times New Roman" w:cs="Times New Roman"/>
          <w:i/>
          <w:iCs/>
          <w:color w:val="000000" w:themeColor="text1"/>
          <w:sz w:val="24"/>
          <w:szCs w:val="24"/>
        </w:rPr>
        <w:t>any</w:t>
      </w:r>
      <w:r w:rsidRPr="00A26039">
        <w:rPr>
          <w:rFonts w:ascii="Times New Roman" w:hAnsi="Times New Roman" w:cs="Times New Roman"/>
          <w:color w:val="000000" w:themeColor="text1"/>
          <w:sz w:val="24"/>
          <w:szCs w:val="24"/>
        </w:rPr>
        <w:t xml:space="preserve"> auction</w:t>
      </w:r>
      <w:r w:rsidRPr="00A26039" w:rsidR="001C3961">
        <w:rPr>
          <w:rFonts w:ascii="Times New Roman" w:hAnsi="Times New Roman" w:cs="Times New Roman"/>
          <w:color w:val="000000" w:themeColor="text1"/>
          <w:sz w:val="24"/>
          <w:szCs w:val="24"/>
        </w:rPr>
        <w:t>, not over the long</w:t>
      </w:r>
      <w:r w:rsidRPr="00A26039" w:rsidR="00826AF5">
        <w:rPr>
          <w:rFonts w:ascii="Times New Roman" w:hAnsi="Times New Roman" w:cs="Times New Roman"/>
          <w:color w:val="000000" w:themeColor="text1"/>
          <w:sz w:val="24"/>
          <w:szCs w:val="24"/>
        </w:rPr>
        <w:t>-</w:t>
      </w:r>
      <w:r w:rsidRPr="00A26039" w:rsidR="001C3961">
        <w:rPr>
          <w:rFonts w:ascii="Times New Roman" w:hAnsi="Times New Roman" w:cs="Times New Roman"/>
          <w:color w:val="000000" w:themeColor="text1"/>
          <w:sz w:val="24"/>
          <w:szCs w:val="24"/>
        </w:rPr>
        <w:t>term</w:t>
      </w:r>
      <w:r w:rsidRPr="00A26039">
        <w:rPr>
          <w:rFonts w:ascii="Times New Roman" w:hAnsi="Times New Roman" w:cs="Times New Roman"/>
          <w:color w:val="000000" w:themeColor="text1"/>
          <w:sz w:val="24"/>
          <w:szCs w:val="24"/>
        </w:rPr>
        <w:t xml:space="preserve">. R.C. 4928.02(A) states that it is Ohio policy to ensure the availability to consumers of adequate, reliable, safe, efficient, non-discriminatory, and reasonably priced retail electric service. </w:t>
      </w:r>
      <w:r w:rsidRPr="00A26039" w:rsidR="001C3961">
        <w:rPr>
          <w:rFonts w:ascii="Times New Roman" w:hAnsi="Times New Roman" w:cs="Times New Roman"/>
          <w:color w:val="000000" w:themeColor="text1"/>
          <w:sz w:val="24"/>
          <w:szCs w:val="24"/>
        </w:rPr>
        <w:t>The electric utilities’</w:t>
      </w:r>
      <w:r w:rsidRPr="00A26039">
        <w:rPr>
          <w:rFonts w:ascii="Times New Roman" w:hAnsi="Times New Roman" w:cs="Times New Roman"/>
          <w:color w:val="000000" w:themeColor="text1"/>
          <w:sz w:val="24"/>
          <w:szCs w:val="24"/>
        </w:rPr>
        <w:t xml:space="preserve"> PIPP rates are unreasonably priced, as consumers with less ability to pay are charged more for the same service. They are also discriminatory to low-income PIPP consumers. An interpretation of R.C. 4928.542 that allows th</w:t>
      </w:r>
      <w:r w:rsidRPr="00A26039" w:rsidR="001C3961">
        <w:rPr>
          <w:rFonts w:ascii="Times New Roman" w:hAnsi="Times New Roman" w:cs="Times New Roman"/>
          <w:color w:val="000000" w:themeColor="text1"/>
          <w:sz w:val="24"/>
          <w:szCs w:val="24"/>
        </w:rPr>
        <w:t>e higher charges</w:t>
      </w:r>
      <w:r w:rsidRPr="00A26039">
        <w:rPr>
          <w:rFonts w:ascii="Times New Roman" w:hAnsi="Times New Roman" w:cs="Times New Roman"/>
          <w:color w:val="000000" w:themeColor="text1"/>
          <w:sz w:val="24"/>
          <w:szCs w:val="24"/>
        </w:rPr>
        <w:t xml:space="preserve"> puts related statutes in conflict and should be rejected. Requiring instead that PIPP rates not exceed a utility’s SSO at every auction harmonizes R.C. 4928.542 with Ohio policy requiring reasonably priced electric service. Thus, </w:t>
      </w:r>
      <w:r w:rsidRPr="00A26039">
        <w:rPr>
          <w:rFonts w:ascii="Times New Roman" w:hAnsi="Times New Roman" w:cs="Times New Roman"/>
          <w:i/>
          <w:iCs/>
          <w:color w:val="000000" w:themeColor="text1"/>
          <w:sz w:val="24"/>
          <w:szCs w:val="24"/>
        </w:rPr>
        <w:t xml:space="preserve">in pari materia </w:t>
      </w:r>
      <w:r w:rsidRPr="00A26039">
        <w:rPr>
          <w:rFonts w:ascii="Times New Roman" w:hAnsi="Times New Roman" w:cs="Times New Roman"/>
          <w:color w:val="000000" w:themeColor="text1"/>
          <w:sz w:val="24"/>
          <w:szCs w:val="24"/>
        </w:rPr>
        <w:t xml:space="preserve">requires the PUCO to adopt this interpretation. </w:t>
      </w:r>
    </w:p>
    <w:p w:rsidR="001D5B69" w:rsidRPr="00A26039" w:rsidP="006A68D6" w14:paraId="141DDA7A" w14:textId="1032A4A1">
      <w:pPr>
        <w:spacing w:after="0" w:line="480" w:lineRule="auto"/>
        <w:ind w:firstLine="720"/>
        <w:rPr>
          <w:rFonts w:ascii="Times New Roman" w:hAnsi="Times New Roman" w:cs="Times New Roman"/>
          <w:sz w:val="24"/>
          <w:szCs w:val="24"/>
        </w:rPr>
      </w:pPr>
      <w:r w:rsidRPr="00A26039">
        <w:rPr>
          <w:rFonts w:ascii="Times New Roman" w:hAnsi="Times New Roman" w:cs="Times New Roman"/>
          <w:iCs/>
          <w:sz w:val="24"/>
          <w:szCs w:val="24"/>
        </w:rPr>
        <w:t>The PUCO should interpret Ohio law in a way that gives proper force and effect to each and all related statutes. It failed to do so</w:t>
      </w:r>
      <w:r w:rsidRPr="00A26039" w:rsidR="00625EDE">
        <w:rPr>
          <w:rFonts w:ascii="Times New Roman" w:hAnsi="Times New Roman" w:cs="Times New Roman"/>
          <w:iCs/>
          <w:sz w:val="24"/>
          <w:szCs w:val="24"/>
        </w:rPr>
        <w:t xml:space="preserve"> in approving the</w:t>
      </w:r>
      <w:r w:rsidRPr="00A26039">
        <w:rPr>
          <w:rFonts w:ascii="Times New Roman" w:hAnsi="Times New Roman" w:cs="Times New Roman"/>
          <w:sz w:val="24"/>
          <w:szCs w:val="24"/>
        </w:rPr>
        <w:t xml:space="preserve"> USF Settlement</w:t>
      </w:r>
      <w:r w:rsidRPr="00A26039" w:rsidR="00625EDE">
        <w:rPr>
          <w:rFonts w:ascii="Times New Roman" w:hAnsi="Times New Roman" w:cs="Times New Roman"/>
          <w:sz w:val="24"/>
          <w:szCs w:val="24"/>
        </w:rPr>
        <w:t xml:space="preserve">, which results in a higher rate for low-income PIPP consumers than consumers on utilities’ standard service offers. The Settlement </w:t>
      </w:r>
      <w:r w:rsidRPr="00A26039" w:rsidR="00A01D6F">
        <w:rPr>
          <w:rFonts w:ascii="Times New Roman" w:hAnsi="Times New Roman" w:cs="Times New Roman"/>
          <w:sz w:val="24"/>
          <w:szCs w:val="24"/>
        </w:rPr>
        <w:t xml:space="preserve">does not improve the plight of PIPP consumers, present or future, but it should. </w:t>
      </w:r>
      <w:r w:rsidRPr="00A26039" w:rsidR="00530D1E">
        <w:rPr>
          <w:rFonts w:ascii="Times New Roman" w:hAnsi="Times New Roman" w:cs="Times New Roman"/>
          <w:sz w:val="24"/>
          <w:szCs w:val="24"/>
        </w:rPr>
        <w:t xml:space="preserve">Instead, it continues with the same process that has harmed low-income consumers in recent auctions. </w:t>
      </w:r>
      <w:r w:rsidRPr="00A26039">
        <w:rPr>
          <w:rFonts w:ascii="Times New Roman" w:hAnsi="Times New Roman" w:cs="Times New Roman"/>
          <w:sz w:val="24"/>
          <w:szCs w:val="24"/>
        </w:rPr>
        <w:t xml:space="preserve">The PUCO </w:t>
      </w:r>
      <w:r w:rsidRPr="00A26039" w:rsidR="00A01D6F">
        <w:rPr>
          <w:rFonts w:ascii="Times New Roman" w:hAnsi="Times New Roman" w:cs="Times New Roman"/>
          <w:sz w:val="24"/>
          <w:szCs w:val="24"/>
        </w:rPr>
        <w:t xml:space="preserve">should protect its low-income PIPP </w:t>
      </w:r>
      <w:r w:rsidRPr="00A26039" w:rsidR="008E2040">
        <w:rPr>
          <w:rFonts w:ascii="Times New Roman" w:hAnsi="Times New Roman" w:cs="Times New Roman"/>
          <w:sz w:val="24"/>
          <w:szCs w:val="24"/>
        </w:rPr>
        <w:t>consumers,</w:t>
      </w:r>
      <w:r w:rsidRPr="00A26039" w:rsidR="00CE126A">
        <w:rPr>
          <w:rFonts w:ascii="Times New Roman" w:hAnsi="Times New Roman" w:cs="Times New Roman"/>
          <w:sz w:val="24"/>
          <w:szCs w:val="24"/>
        </w:rPr>
        <w:t xml:space="preserve"> but it did not</w:t>
      </w:r>
      <w:r w:rsidRPr="00A26039" w:rsidR="00A01D6F">
        <w:rPr>
          <w:rFonts w:ascii="Times New Roman" w:hAnsi="Times New Roman" w:cs="Times New Roman"/>
          <w:sz w:val="24"/>
          <w:szCs w:val="24"/>
        </w:rPr>
        <w:t xml:space="preserve">. </w:t>
      </w:r>
      <w:r w:rsidRPr="00A26039">
        <w:rPr>
          <w:rFonts w:ascii="Times New Roman" w:hAnsi="Times New Roman" w:cs="Times New Roman"/>
          <w:sz w:val="24"/>
          <w:szCs w:val="24"/>
        </w:rPr>
        <w:t>The</w:t>
      </w:r>
      <w:r w:rsidRPr="00A26039" w:rsidR="00A01D6F">
        <w:rPr>
          <w:rFonts w:ascii="Times New Roman" w:hAnsi="Times New Roman" w:cs="Times New Roman"/>
          <w:sz w:val="24"/>
          <w:szCs w:val="24"/>
        </w:rPr>
        <w:t xml:space="preserve"> PUCO should take action to give PIPP consumers</w:t>
      </w:r>
      <w:r w:rsidRPr="00A26039" w:rsidR="004D6F43">
        <w:rPr>
          <w:rFonts w:ascii="Times New Roman" w:hAnsi="Times New Roman" w:cs="Times New Roman"/>
          <w:sz w:val="24"/>
          <w:szCs w:val="24"/>
        </w:rPr>
        <w:t>, some of the most vulnerable in the state,</w:t>
      </w:r>
      <w:r w:rsidRPr="00A26039" w:rsidR="00A01D6F">
        <w:rPr>
          <w:rFonts w:ascii="Times New Roman" w:hAnsi="Times New Roman" w:cs="Times New Roman"/>
          <w:sz w:val="24"/>
          <w:szCs w:val="24"/>
        </w:rPr>
        <w:t xml:space="preserve"> the protection of the law for their electric generation rates. </w:t>
      </w:r>
    </w:p>
    <w:p w:rsidR="00A5711A" w:rsidRPr="00A26039" w:rsidP="00A5711A" w14:paraId="47FB4C19" w14:textId="77777777">
      <w:pPr>
        <w:spacing w:after="0" w:line="480" w:lineRule="auto"/>
        <w:ind w:firstLine="720"/>
        <w:rPr>
          <w:rFonts w:ascii="Times New Roman" w:hAnsi="Times New Roman" w:cs="Times New Roman"/>
          <w:sz w:val="24"/>
          <w:szCs w:val="24"/>
        </w:rPr>
      </w:pPr>
      <w:r w:rsidRPr="00A26039">
        <w:rPr>
          <w:rFonts w:ascii="Times New Roman" w:hAnsi="Times New Roman" w:cs="Times New Roman"/>
          <w:sz w:val="24"/>
          <w:szCs w:val="24"/>
        </w:rPr>
        <w:t>By doing so, the PUCO would be in</w:t>
      </w:r>
      <w:r w:rsidRPr="00A26039">
        <w:rPr>
          <w:rFonts w:ascii="Times New Roman" w:hAnsi="Times New Roman" w:cs="Times New Roman"/>
          <w:iCs/>
          <w:sz w:val="24"/>
          <w:szCs w:val="24"/>
        </w:rPr>
        <w:t xml:space="preserve">terpreting Ohio law in a way that gives proper force and effect to each and all related statutes. </w:t>
      </w:r>
      <w:r w:rsidRPr="00A26039">
        <w:rPr>
          <w:rFonts w:ascii="Times New Roman" w:hAnsi="Times New Roman" w:cs="Times New Roman"/>
          <w:sz w:val="24"/>
          <w:szCs w:val="24"/>
        </w:rPr>
        <w:t xml:space="preserve">Thus, a solution for the future that gives full force and effect to each and all related statutes would be for generation for PIPP consumers to be procured in the same auction as the standard service offer. </w:t>
      </w:r>
    </w:p>
    <w:p w:rsidR="001F6CC6" w:rsidRPr="00A26039" w:rsidP="001F6CC6" w14:paraId="7E3BEDAA" w14:textId="700106CE">
      <w:pPr>
        <w:spacing w:after="0" w:line="480" w:lineRule="auto"/>
        <w:ind w:firstLine="720"/>
        <w:rPr>
          <w:rFonts w:ascii="Times New Roman" w:hAnsi="Times New Roman" w:cs="Times New Roman"/>
          <w:sz w:val="24"/>
          <w:szCs w:val="24"/>
        </w:rPr>
      </w:pPr>
      <w:r w:rsidRPr="00A26039">
        <w:rPr>
          <w:rFonts w:ascii="Times New Roman" w:hAnsi="Times New Roman" w:cs="Times New Roman"/>
          <w:sz w:val="24"/>
          <w:szCs w:val="24"/>
        </w:rPr>
        <w:t xml:space="preserve">The PUCO’s Opinion and Order </w:t>
      </w:r>
      <w:r w:rsidRPr="00A26039" w:rsidR="008334CB">
        <w:rPr>
          <w:rFonts w:ascii="Times New Roman" w:hAnsi="Times New Roman" w:cs="Times New Roman"/>
          <w:sz w:val="24"/>
          <w:szCs w:val="24"/>
        </w:rPr>
        <w:t xml:space="preserve">instead </w:t>
      </w:r>
      <w:r w:rsidRPr="00A26039">
        <w:rPr>
          <w:rFonts w:ascii="Times New Roman" w:hAnsi="Times New Roman" w:cs="Times New Roman"/>
          <w:sz w:val="24"/>
          <w:szCs w:val="24"/>
        </w:rPr>
        <w:t xml:space="preserve">disregards </w:t>
      </w:r>
      <w:r w:rsidRPr="00A26039" w:rsidR="00880797">
        <w:rPr>
          <w:rFonts w:ascii="Times New Roman" w:hAnsi="Times New Roman" w:cs="Times New Roman"/>
          <w:sz w:val="24"/>
          <w:szCs w:val="24"/>
        </w:rPr>
        <w:t>R.C. 4928.542 and supporting statutes, only giving effect to R.C. 4928.54.</w:t>
      </w:r>
      <w:r>
        <w:rPr>
          <w:rStyle w:val="FootnoteReference"/>
          <w:rFonts w:ascii="Times New Roman" w:hAnsi="Times New Roman" w:cs="Times New Roman"/>
          <w:sz w:val="24"/>
          <w:szCs w:val="24"/>
        </w:rPr>
        <w:footnoteReference w:id="39"/>
      </w:r>
      <w:r w:rsidRPr="00A26039" w:rsidR="00880797">
        <w:rPr>
          <w:rFonts w:ascii="Times New Roman" w:hAnsi="Times New Roman" w:cs="Times New Roman"/>
          <w:sz w:val="24"/>
          <w:szCs w:val="24"/>
        </w:rPr>
        <w:t xml:space="preserve"> That statute requires the ODOD director to aggregate PIPP customers for their competitive procurement supply in an auction. The PUCO concluded this must be done in a separate auction.</w:t>
      </w:r>
      <w:r>
        <w:rPr>
          <w:rStyle w:val="FootnoteReference"/>
          <w:rFonts w:ascii="Times New Roman" w:hAnsi="Times New Roman" w:cs="Times New Roman"/>
          <w:sz w:val="24"/>
          <w:szCs w:val="24"/>
        </w:rPr>
        <w:footnoteReference w:id="40"/>
      </w:r>
      <w:r w:rsidRPr="00A26039" w:rsidR="00CF4611">
        <w:rPr>
          <w:rFonts w:ascii="Times New Roman" w:hAnsi="Times New Roman" w:cs="Times New Roman"/>
          <w:sz w:val="24"/>
          <w:szCs w:val="24"/>
        </w:rPr>
        <w:t xml:space="preserve"> </w:t>
      </w:r>
      <w:r w:rsidRPr="00A26039" w:rsidR="00E81B8D">
        <w:rPr>
          <w:rFonts w:ascii="Times New Roman" w:hAnsi="Times New Roman" w:cs="Times New Roman"/>
          <w:sz w:val="24"/>
          <w:szCs w:val="24"/>
        </w:rPr>
        <w:t xml:space="preserve">But PIPP consumers’ service can be combined into the standard-offer auctions. This approach is permissible under ODOD’s electric aggregation rules -- O.A.C. 122:5-3-06. The rule states that the ODOD Director </w:t>
      </w:r>
      <w:r w:rsidRPr="00A26039" w:rsidR="00E81B8D">
        <w:rPr>
          <w:rFonts w:ascii="Times New Roman" w:hAnsi="Times New Roman" w:cs="Times New Roman"/>
          <w:i/>
          <w:iCs/>
          <w:sz w:val="24"/>
          <w:szCs w:val="24"/>
        </w:rPr>
        <w:t>may</w:t>
      </w:r>
      <w:r w:rsidRPr="00A26039" w:rsidR="00E81B8D">
        <w:rPr>
          <w:rFonts w:ascii="Times New Roman" w:hAnsi="Times New Roman" w:cs="Times New Roman"/>
          <w:sz w:val="24"/>
          <w:szCs w:val="24"/>
        </w:rPr>
        <w:t xml:space="preserve"> aggregate PIPP consumers for competitive auctions </w:t>
      </w:r>
      <w:r w:rsidRPr="00A26039" w:rsidR="00E81B8D">
        <w:rPr>
          <w:rFonts w:ascii="Times New Roman" w:hAnsi="Times New Roman" w:cs="Times New Roman"/>
          <w:i/>
          <w:iCs/>
          <w:sz w:val="24"/>
          <w:szCs w:val="24"/>
        </w:rPr>
        <w:t>if “</w:t>
      </w:r>
      <w:r w:rsidRPr="00A26039" w:rsidR="00E81B8D">
        <w:rPr>
          <w:rFonts w:ascii="Times New Roman" w:hAnsi="Times New Roman" w:cs="Times New Roman"/>
          <w:sz w:val="24"/>
          <w:szCs w:val="24"/>
        </w:rPr>
        <w:t xml:space="preserve">substantial savings for the PIPP plus program can be realized . . .” </w:t>
      </w:r>
      <w:r w:rsidRPr="00A26039">
        <w:rPr>
          <w:rFonts w:ascii="Times New Roman" w:hAnsi="Times New Roman" w:cs="Times New Roman"/>
          <w:sz w:val="24"/>
          <w:szCs w:val="24"/>
        </w:rPr>
        <w:t>ODOD rule 122:5-3-06 is a viable rule</w:t>
      </w:r>
      <w:r>
        <w:rPr>
          <w:rStyle w:val="FootnoteReference"/>
          <w:rFonts w:ascii="Times New Roman" w:hAnsi="Times New Roman" w:cs="Times New Roman"/>
          <w:sz w:val="24"/>
          <w:szCs w:val="24"/>
        </w:rPr>
        <w:footnoteReference w:id="41"/>
      </w:r>
      <w:r w:rsidRPr="00A26039">
        <w:rPr>
          <w:rFonts w:ascii="Times New Roman" w:hAnsi="Times New Roman" w:cs="Times New Roman"/>
          <w:sz w:val="24"/>
          <w:szCs w:val="24"/>
        </w:rPr>
        <w:t xml:space="preserve"> that requires the director to determine if aggregating PIPP customers is feasible and whether substantial savings for the PIPP program can be realized. </w:t>
      </w:r>
    </w:p>
    <w:p w:rsidR="00D05CC3" w:rsidRPr="00A26039" w:rsidP="00D05CC3" w14:paraId="6BED04E7" w14:textId="24D099F7">
      <w:pPr>
        <w:spacing w:after="0" w:line="480" w:lineRule="auto"/>
        <w:ind w:firstLine="720"/>
        <w:rPr>
          <w:rFonts w:ascii="Times New Roman" w:hAnsi="Times New Roman" w:cs="Times New Roman"/>
          <w:color w:val="000000" w:themeColor="text1"/>
          <w:sz w:val="24"/>
          <w:szCs w:val="24"/>
        </w:rPr>
      </w:pPr>
      <w:r w:rsidRPr="00A26039">
        <w:rPr>
          <w:rFonts w:ascii="Times New Roman" w:hAnsi="Times New Roman" w:cs="Times New Roman"/>
          <w:color w:val="000000" w:themeColor="text1"/>
          <w:sz w:val="24"/>
          <w:szCs w:val="24"/>
        </w:rPr>
        <w:t xml:space="preserve">Principles of statutory construction require the PUCO to read like statutes together. This means R.C. 4928.02(A) and (L) add meaning to R.C. 4928.542. The PUCO should interpret R.C. 4928.542 in a manner that protects at-risk consumers and ensures reasonably priced electric service. Reading R.C. 4928.542 to prevent higher prices for PIPP consumers </w:t>
      </w:r>
      <w:r w:rsidRPr="00A26039">
        <w:rPr>
          <w:rFonts w:ascii="Times New Roman" w:hAnsi="Times New Roman" w:cs="Times New Roman"/>
          <w:i/>
          <w:iCs/>
          <w:color w:val="000000" w:themeColor="text1"/>
          <w:sz w:val="24"/>
          <w:szCs w:val="24"/>
        </w:rPr>
        <w:t xml:space="preserve">at every auction </w:t>
      </w:r>
      <w:r w:rsidRPr="00A26039">
        <w:rPr>
          <w:rFonts w:ascii="Times New Roman" w:hAnsi="Times New Roman" w:cs="Times New Roman"/>
          <w:color w:val="000000" w:themeColor="text1"/>
          <w:sz w:val="24"/>
          <w:szCs w:val="24"/>
        </w:rPr>
        <w:t xml:space="preserve">achieves this, so </w:t>
      </w:r>
      <w:r w:rsidRPr="00A26039">
        <w:rPr>
          <w:rFonts w:ascii="Times New Roman" w:hAnsi="Times New Roman" w:cs="Times New Roman"/>
          <w:i/>
          <w:iCs/>
          <w:color w:val="000000" w:themeColor="text1"/>
          <w:sz w:val="24"/>
          <w:szCs w:val="24"/>
        </w:rPr>
        <w:t xml:space="preserve">in pari materia </w:t>
      </w:r>
      <w:r w:rsidRPr="00A26039">
        <w:rPr>
          <w:rFonts w:ascii="Times New Roman" w:hAnsi="Times New Roman" w:cs="Times New Roman"/>
          <w:color w:val="000000" w:themeColor="text1"/>
          <w:sz w:val="24"/>
          <w:szCs w:val="24"/>
        </w:rPr>
        <w:t xml:space="preserve">demands this interpretation. But the PUCO interprets R.C. 4928.54 in isolation, allowing separate auctions for PIPP consumers that cost them more than SSO consumers pay. This violates Ohio law. </w:t>
      </w:r>
    </w:p>
    <w:p w:rsidR="000A759E" w:rsidRPr="00A26039" w:rsidP="00ED3F6C" w14:paraId="311EB9C7" w14:textId="77777777">
      <w:pPr>
        <w:spacing w:after="0" w:line="480" w:lineRule="auto"/>
        <w:ind w:firstLine="720"/>
        <w:rPr>
          <w:rFonts w:ascii="Times New Roman" w:hAnsi="Times New Roman" w:cs="Times New Roman"/>
          <w:sz w:val="24"/>
          <w:szCs w:val="24"/>
        </w:rPr>
      </w:pPr>
      <w:r w:rsidRPr="00A26039">
        <w:rPr>
          <w:rFonts w:ascii="Times New Roman" w:hAnsi="Times New Roman" w:cs="Times New Roman"/>
          <w:sz w:val="24"/>
          <w:szCs w:val="24"/>
        </w:rPr>
        <w:t>Fixing</w:t>
      </w:r>
      <w:r w:rsidRPr="00A26039" w:rsidR="00A01D6F">
        <w:rPr>
          <w:rFonts w:ascii="Times New Roman" w:hAnsi="Times New Roman" w:cs="Times New Roman"/>
          <w:sz w:val="24"/>
          <w:szCs w:val="24"/>
        </w:rPr>
        <w:t xml:space="preserve"> the problem going forward is just part of what is needed for</w:t>
      </w:r>
      <w:r w:rsidRPr="00A26039">
        <w:rPr>
          <w:rFonts w:ascii="Times New Roman" w:hAnsi="Times New Roman" w:cs="Times New Roman"/>
          <w:sz w:val="24"/>
          <w:szCs w:val="24"/>
        </w:rPr>
        <w:t xml:space="preserve"> the utilities’</w:t>
      </w:r>
      <w:r w:rsidRPr="00A26039" w:rsidR="00A01D6F">
        <w:rPr>
          <w:rFonts w:ascii="Times New Roman" w:hAnsi="Times New Roman" w:cs="Times New Roman"/>
          <w:sz w:val="24"/>
          <w:szCs w:val="24"/>
        </w:rPr>
        <w:t xml:space="preserve"> PIPP consumers. They need help now. They are presently being charged higher electricity prices in violation of law, R.C. 4928.542. Their current plight needs a solution from </w:t>
      </w:r>
      <w:r w:rsidRPr="00A26039">
        <w:rPr>
          <w:rFonts w:ascii="Times New Roman" w:hAnsi="Times New Roman" w:cs="Times New Roman"/>
          <w:sz w:val="24"/>
          <w:szCs w:val="24"/>
        </w:rPr>
        <w:t xml:space="preserve">the PUCO, </w:t>
      </w:r>
      <w:r w:rsidRPr="00A26039" w:rsidR="00A01D6F">
        <w:rPr>
          <w:rFonts w:ascii="Times New Roman" w:hAnsi="Times New Roman" w:cs="Times New Roman"/>
          <w:sz w:val="24"/>
          <w:szCs w:val="24"/>
        </w:rPr>
        <w:t xml:space="preserve">ODOD, and </w:t>
      </w:r>
      <w:r w:rsidRPr="00A26039" w:rsidR="006E3C8D">
        <w:rPr>
          <w:rFonts w:ascii="Times New Roman" w:hAnsi="Times New Roman" w:cs="Times New Roman"/>
          <w:sz w:val="24"/>
          <w:szCs w:val="24"/>
        </w:rPr>
        <w:t>the utilities. That could be done in th</w:t>
      </w:r>
      <w:r w:rsidRPr="00A26039" w:rsidR="004A0F6F">
        <w:rPr>
          <w:rFonts w:ascii="Times New Roman" w:hAnsi="Times New Roman" w:cs="Times New Roman"/>
          <w:sz w:val="24"/>
          <w:szCs w:val="24"/>
        </w:rPr>
        <w:t>e next phase of this proceeding (in the USF adjustment phase) by requiring that PIPP consumers be billed no more than the SSO rate that is used for non-PIPP consumers</w:t>
      </w:r>
      <w:r w:rsidRPr="00A26039" w:rsidR="001F6CC6">
        <w:rPr>
          <w:rFonts w:ascii="Times New Roman" w:hAnsi="Times New Roman" w:cs="Times New Roman"/>
          <w:sz w:val="24"/>
          <w:szCs w:val="24"/>
        </w:rPr>
        <w:t xml:space="preserve">. </w:t>
      </w:r>
    </w:p>
    <w:p w:rsidR="006E3C8D" w:rsidRPr="00A26039" w:rsidP="00ED3F6C" w14:paraId="6E378578" w14:textId="11B6E93E">
      <w:pPr>
        <w:spacing w:after="0" w:line="480" w:lineRule="auto"/>
        <w:ind w:firstLine="720"/>
        <w:rPr>
          <w:rFonts w:ascii="Times New Roman" w:hAnsi="Times New Roman" w:cs="Times New Roman"/>
          <w:sz w:val="24"/>
          <w:szCs w:val="24"/>
        </w:rPr>
      </w:pPr>
      <w:r w:rsidRPr="00A26039">
        <w:rPr>
          <w:rFonts w:ascii="Times New Roman" w:hAnsi="Times New Roman" w:cs="Times New Roman"/>
          <w:sz w:val="24"/>
          <w:szCs w:val="24"/>
        </w:rPr>
        <w:t>T</w:t>
      </w:r>
      <w:r w:rsidRPr="00A26039" w:rsidR="004A0F6F">
        <w:rPr>
          <w:rFonts w:ascii="Times New Roman" w:hAnsi="Times New Roman" w:cs="Times New Roman"/>
          <w:sz w:val="24"/>
          <w:szCs w:val="24"/>
        </w:rPr>
        <w:t xml:space="preserve">he USF revenue requirement </w:t>
      </w:r>
      <w:r w:rsidRPr="00A26039">
        <w:rPr>
          <w:rFonts w:ascii="Times New Roman" w:hAnsi="Times New Roman" w:cs="Times New Roman"/>
          <w:sz w:val="24"/>
          <w:szCs w:val="24"/>
        </w:rPr>
        <w:t xml:space="preserve">would be </w:t>
      </w:r>
      <w:r w:rsidRPr="00A26039" w:rsidR="004A0F6F">
        <w:rPr>
          <w:rFonts w:ascii="Times New Roman" w:hAnsi="Times New Roman" w:cs="Times New Roman"/>
          <w:sz w:val="24"/>
          <w:szCs w:val="24"/>
        </w:rPr>
        <w:t xml:space="preserve">calculated </w:t>
      </w:r>
      <w:r w:rsidRPr="00A26039" w:rsidR="00BD5A99">
        <w:rPr>
          <w:rFonts w:ascii="Times New Roman" w:hAnsi="Times New Roman" w:cs="Times New Roman"/>
          <w:sz w:val="24"/>
          <w:szCs w:val="24"/>
        </w:rPr>
        <w:t xml:space="preserve">based </w:t>
      </w:r>
      <w:r w:rsidRPr="00A26039" w:rsidR="004A0F6F">
        <w:rPr>
          <w:rFonts w:ascii="Times New Roman" w:hAnsi="Times New Roman" w:cs="Times New Roman"/>
          <w:sz w:val="24"/>
          <w:szCs w:val="24"/>
        </w:rPr>
        <w:t xml:space="preserve">on the 2022 SSO rate not the </w:t>
      </w:r>
      <w:r w:rsidRPr="00A26039">
        <w:rPr>
          <w:rFonts w:ascii="Times New Roman" w:hAnsi="Times New Roman" w:cs="Times New Roman"/>
          <w:sz w:val="24"/>
          <w:szCs w:val="24"/>
        </w:rPr>
        <w:t>2022 PIPP auction rate, and utilities should be required to pay the difference between the SSO auction results and the PIPP auction results.</w:t>
      </w:r>
      <w:r>
        <w:rPr>
          <w:rStyle w:val="FootnoteReference"/>
          <w:rFonts w:ascii="Times New Roman" w:hAnsi="Times New Roman" w:cs="Times New Roman"/>
          <w:sz w:val="24"/>
          <w:szCs w:val="24"/>
        </w:rPr>
        <w:footnoteReference w:id="42"/>
      </w:r>
      <w:r w:rsidRPr="00A26039">
        <w:rPr>
          <w:rFonts w:ascii="Times New Roman" w:hAnsi="Times New Roman" w:cs="Times New Roman"/>
          <w:iCs/>
          <w:sz w:val="24"/>
          <w:szCs w:val="24"/>
        </w:rPr>
        <w:t xml:space="preserve"> The PUCO erred in declining to consider this recommendation.</w:t>
      </w:r>
      <w:r>
        <w:rPr>
          <w:rStyle w:val="FootnoteReference"/>
          <w:rFonts w:ascii="Times New Roman" w:hAnsi="Times New Roman" w:cs="Times New Roman"/>
          <w:iCs/>
          <w:sz w:val="24"/>
          <w:szCs w:val="24"/>
        </w:rPr>
        <w:footnoteReference w:id="43"/>
      </w:r>
      <w:r w:rsidRPr="00A26039">
        <w:rPr>
          <w:rFonts w:ascii="Times New Roman" w:hAnsi="Times New Roman" w:cs="Times New Roman"/>
          <w:iCs/>
          <w:sz w:val="24"/>
          <w:szCs w:val="24"/>
        </w:rPr>
        <w:t xml:space="preserve"> Such a result would be consistent with R.C. 4928.542(B)’s requirement that a winning bid </w:t>
      </w:r>
      <w:r w:rsidRPr="00A26039">
        <w:rPr>
          <w:rFonts w:ascii="Times New Roman" w:hAnsi="Times New Roman" w:cs="Times New Roman"/>
          <w:b/>
          <w:bCs/>
          <w:i/>
          <w:sz w:val="24"/>
          <w:szCs w:val="24"/>
        </w:rPr>
        <w:t>shall</w:t>
      </w:r>
      <w:r w:rsidRPr="00A26039">
        <w:rPr>
          <w:rFonts w:ascii="Times New Roman" w:hAnsi="Times New Roman" w:cs="Times New Roman"/>
          <w:iCs/>
          <w:sz w:val="24"/>
          <w:szCs w:val="24"/>
        </w:rPr>
        <w:t xml:space="preserve"> </w:t>
      </w:r>
      <w:r w:rsidRPr="00A26039">
        <w:rPr>
          <w:rFonts w:ascii="Times New Roman" w:hAnsi="Times New Roman" w:cs="Times New Roman"/>
          <w:b/>
          <w:bCs/>
          <w:i/>
          <w:sz w:val="24"/>
          <w:szCs w:val="24"/>
        </w:rPr>
        <w:t>reduce</w:t>
      </w:r>
      <w:r w:rsidRPr="00A26039">
        <w:rPr>
          <w:rFonts w:ascii="Times New Roman" w:hAnsi="Times New Roman" w:cs="Times New Roman"/>
          <w:iCs/>
          <w:sz w:val="24"/>
          <w:szCs w:val="24"/>
        </w:rPr>
        <w:t xml:space="preserve"> the cost of the PIPP program relative to the otherwise applicable standard service offer rate established and R.C. 4928.542(C)’s requirement that a winning bid shall result in the </w:t>
      </w:r>
      <w:r w:rsidRPr="00A26039">
        <w:rPr>
          <w:rFonts w:ascii="Times New Roman" w:hAnsi="Times New Roman" w:cs="Times New Roman"/>
          <w:b/>
          <w:bCs/>
          <w:i/>
          <w:sz w:val="24"/>
          <w:szCs w:val="24"/>
        </w:rPr>
        <w:t>best value</w:t>
      </w:r>
      <w:r w:rsidRPr="00A26039">
        <w:rPr>
          <w:rFonts w:ascii="Times New Roman" w:hAnsi="Times New Roman" w:cs="Times New Roman"/>
          <w:iCs/>
          <w:sz w:val="24"/>
          <w:szCs w:val="24"/>
        </w:rPr>
        <w:t xml:space="preserve"> for persons paying the universal service rider.</w:t>
      </w:r>
      <w:r w:rsidRPr="00A26039">
        <w:rPr>
          <w:rFonts w:ascii="Times New Roman" w:hAnsi="Times New Roman" w:cs="Times New Roman"/>
          <w:sz w:val="24"/>
          <w:szCs w:val="24"/>
        </w:rPr>
        <w:t xml:space="preserve"> </w:t>
      </w:r>
      <w:r w:rsidRPr="00A26039" w:rsidR="00A5711A">
        <w:rPr>
          <w:rFonts w:ascii="Times New Roman" w:hAnsi="Times New Roman" w:cs="Times New Roman"/>
          <w:sz w:val="24"/>
          <w:szCs w:val="24"/>
        </w:rPr>
        <w:t>Rehearing should be granted.</w:t>
      </w:r>
    </w:p>
    <w:p w:rsidR="00EE7799" w:rsidRPr="00A26039" w:rsidP="0065148F" w14:paraId="0922C9B6" w14:textId="50365FD3">
      <w:pPr>
        <w:pStyle w:val="Heading2"/>
      </w:pPr>
      <w:bookmarkStart w:id="11" w:name="_Toc118472307"/>
      <w:r w:rsidRPr="00A26039">
        <w:rPr>
          <w:b/>
          <w:bCs/>
        </w:rPr>
        <w:t>ASSIGNMENT OF ERROR NO. 2</w:t>
      </w:r>
      <w:r w:rsidRPr="00444595">
        <w:rPr>
          <w:b/>
          <w:bCs/>
        </w:rPr>
        <w:t>:</w:t>
      </w:r>
      <w:r w:rsidRPr="00A26039">
        <w:t xml:space="preserve"> The PUCO erred by unreasonably and unlawfully finding that the Settlement benefits </w:t>
      </w:r>
      <w:r w:rsidRPr="00A26039" w:rsidR="001F6CC6">
        <w:t>consumers</w:t>
      </w:r>
      <w:r w:rsidRPr="00A26039">
        <w:t xml:space="preserve"> and the public interest</w:t>
      </w:r>
      <w:r w:rsidRPr="00A26039" w:rsidR="004A0F6F">
        <w:t xml:space="preserve"> </w:t>
      </w:r>
      <w:r w:rsidRPr="00A26039" w:rsidR="00ED3F6C">
        <w:t>because</w:t>
      </w:r>
      <w:r w:rsidRPr="00A26039">
        <w:t xml:space="preserve"> higher PIPP rates relative to the standard service offer are to their detriment.</w:t>
      </w:r>
      <w:bookmarkEnd w:id="11"/>
      <w:r w:rsidRPr="00A26039" w:rsidR="00CF4611">
        <w:t xml:space="preserve"> </w:t>
      </w:r>
    </w:p>
    <w:p w:rsidR="006E3C8D" w:rsidRPr="00A26039" w:rsidP="006E3C8D" w14:paraId="3A01CFDB" w14:textId="73A2CB3B">
      <w:pPr>
        <w:spacing w:after="0" w:line="480" w:lineRule="auto"/>
        <w:ind w:firstLine="720"/>
        <w:rPr>
          <w:rFonts w:ascii="Times New Roman" w:hAnsi="Times New Roman" w:cs="Times New Roman"/>
          <w:sz w:val="24"/>
          <w:szCs w:val="24"/>
        </w:rPr>
      </w:pPr>
      <w:r w:rsidRPr="00A26039">
        <w:rPr>
          <w:rFonts w:ascii="Times New Roman" w:hAnsi="Times New Roman" w:cs="Times New Roman"/>
          <w:sz w:val="24"/>
          <w:szCs w:val="24"/>
        </w:rPr>
        <w:t>The PUCO erred in concluding that the Settlement “benefits consumers and the public interest as it adopts revenue requirement and rate design methodologies” approved by the PUCO in “numerous prior USF cases to ensure adequate funding for the low-income customer assistance and consumer education programs administered by ODOD</w:t>
      </w:r>
      <w:r w:rsidRPr="00A26039" w:rsidR="004A0F6F">
        <w:rPr>
          <w:rFonts w:ascii="Times New Roman" w:hAnsi="Times New Roman" w:cs="Times New Roman"/>
          <w:sz w:val="24"/>
          <w:szCs w:val="24"/>
        </w:rPr>
        <w:t>.</w:t>
      </w:r>
      <w:r w:rsidRPr="00A26039">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4"/>
      </w:r>
      <w:r w:rsidRPr="00A26039" w:rsidR="00CF4611">
        <w:rPr>
          <w:rFonts w:ascii="Times New Roman" w:hAnsi="Times New Roman" w:cs="Times New Roman"/>
          <w:sz w:val="24"/>
          <w:szCs w:val="24"/>
        </w:rPr>
        <w:t xml:space="preserve"> </w:t>
      </w:r>
      <w:r w:rsidRPr="00A26039">
        <w:rPr>
          <w:rFonts w:ascii="Times New Roman" w:hAnsi="Times New Roman" w:cs="Times New Roman"/>
          <w:sz w:val="24"/>
          <w:szCs w:val="24"/>
        </w:rPr>
        <w:t>The PUCO further concluded that because the Settlement “assures a reasonable contribution by all customer classes to the USF revenue requirement,</w:t>
      </w:r>
      <w:r w:rsidRPr="00A26039" w:rsidR="00223875">
        <w:rPr>
          <w:rFonts w:ascii="Times New Roman" w:hAnsi="Times New Roman" w:cs="Times New Roman"/>
          <w:sz w:val="24"/>
          <w:szCs w:val="24"/>
        </w:rPr>
        <w:t>”</w:t>
      </w:r>
      <w:r>
        <w:rPr>
          <w:rStyle w:val="FootnoteReference"/>
          <w:rFonts w:ascii="Times New Roman" w:hAnsi="Times New Roman" w:cs="Times New Roman"/>
          <w:sz w:val="24"/>
          <w:szCs w:val="24"/>
        </w:rPr>
        <w:footnoteReference w:id="45"/>
      </w:r>
      <w:r w:rsidRPr="00A26039" w:rsidR="00223875">
        <w:rPr>
          <w:rFonts w:ascii="Times New Roman" w:hAnsi="Times New Roman" w:cs="Times New Roman"/>
          <w:sz w:val="24"/>
          <w:szCs w:val="24"/>
        </w:rPr>
        <w:t xml:space="preserve"> </w:t>
      </w:r>
      <w:r w:rsidRPr="00A26039">
        <w:rPr>
          <w:rFonts w:ascii="Times New Roman" w:hAnsi="Times New Roman" w:cs="Times New Roman"/>
          <w:sz w:val="24"/>
          <w:szCs w:val="24"/>
        </w:rPr>
        <w:t>it benefits consumers and the public interest.</w:t>
      </w:r>
    </w:p>
    <w:p w:rsidR="001F6CC6" w:rsidRPr="00A26039" w:rsidP="001F6CC6" w14:paraId="19DA848A" w14:textId="6F3B5E31">
      <w:pPr>
        <w:spacing w:after="0" w:line="480" w:lineRule="auto"/>
        <w:ind w:firstLine="720"/>
        <w:rPr>
          <w:rFonts w:ascii="Times New Roman" w:hAnsi="Times New Roman" w:cs="Times New Roman"/>
          <w:color w:val="333333"/>
          <w:sz w:val="24"/>
          <w:szCs w:val="24"/>
        </w:rPr>
      </w:pPr>
      <w:r w:rsidRPr="00A26039">
        <w:rPr>
          <w:rFonts w:ascii="Times New Roman" w:hAnsi="Times New Roman" w:cs="Times New Roman"/>
          <w:sz w:val="24"/>
          <w:szCs w:val="24"/>
        </w:rPr>
        <w:t xml:space="preserve">But the PUCO erred in not considering how </w:t>
      </w:r>
      <w:r w:rsidRPr="00A26039" w:rsidR="00267105">
        <w:rPr>
          <w:rFonts w:ascii="Times New Roman" w:hAnsi="Times New Roman" w:cs="Times New Roman"/>
          <w:sz w:val="24"/>
          <w:szCs w:val="24"/>
        </w:rPr>
        <w:t xml:space="preserve">the </w:t>
      </w:r>
      <w:r w:rsidRPr="00A26039">
        <w:rPr>
          <w:rFonts w:ascii="Times New Roman" w:hAnsi="Times New Roman" w:cs="Times New Roman"/>
          <w:sz w:val="24"/>
          <w:szCs w:val="24"/>
        </w:rPr>
        <w:t>Settlement</w:t>
      </w:r>
      <w:r w:rsidRPr="00A26039" w:rsidR="00E9024D">
        <w:rPr>
          <w:rFonts w:ascii="Times New Roman" w:hAnsi="Times New Roman" w:cs="Times New Roman"/>
          <w:sz w:val="24"/>
          <w:szCs w:val="24"/>
        </w:rPr>
        <w:t xml:space="preserve">’s higher rates to PIPP consumers does not benefit them or the public interest. </w:t>
      </w:r>
      <w:r w:rsidRPr="00A26039">
        <w:rPr>
          <w:rFonts w:ascii="Times New Roman" w:hAnsi="Times New Roman" w:cs="Times New Roman"/>
          <w:sz w:val="24"/>
          <w:szCs w:val="24"/>
        </w:rPr>
        <w:t xml:space="preserve">Reduced rates for PIPP in relation to the standard offer and the best value for persons paying the universal service rider are not occurring, and thus Ohio law is violated. </w:t>
      </w:r>
      <w:r>
        <w:rPr>
          <w:rStyle w:val="FootnoteReference"/>
          <w:rFonts w:ascii="Times New Roman" w:hAnsi="Times New Roman" w:cs="Times New Roman"/>
          <w:color w:val="333333"/>
          <w:sz w:val="24"/>
          <w:szCs w:val="24"/>
        </w:rPr>
        <w:footnoteReference w:id="46"/>
      </w:r>
      <w:r w:rsidRPr="00A26039">
        <w:rPr>
          <w:rFonts w:ascii="Times New Roman" w:hAnsi="Times New Roman" w:cs="Times New Roman"/>
          <w:color w:val="333333"/>
          <w:sz w:val="24"/>
          <w:szCs w:val="24"/>
        </w:rPr>
        <w:t xml:space="preserve"> That result is detrimental (not beneficial) to PIPP consumers and to all consumers who pay the USF rider. It’s </w:t>
      </w:r>
      <w:r w:rsidRPr="00A26039" w:rsidR="00CE126A">
        <w:rPr>
          <w:rFonts w:ascii="Times New Roman" w:hAnsi="Times New Roman" w:cs="Times New Roman"/>
          <w:color w:val="333333"/>
          <w:sz w:val="24"/>
          <w:szCs w:val="24"/>
        </w:rPr>
        <w:t xml:space="preserve">undeniably </w:t>
      </w:r>
      <w:r w:rsidRPr="00A26039">
        <w:rPr>
          <w:rFonts w:ascii="Times New Roman" w:hAnsi="Times New Roman" w:cs="Times New Roman"/>
          <w:color w:val="333333"/>
          <w:sz w:val="24"/>
          <w:szCs w:val="24"/>
        </w:rPr>
        <w:t>contrary to the public interest.</w:t>
      </w:r>
    </w:p>
    <w:p w:rsidR="005F0DA2" w:rsidRPr="00A26039" w:rsidP="00E9024D" w14:paraId="1569AAC5" w14:textId="77777777">
      <w:pPr>
        <w:spacing w:after="0" w:line="480" w:lineRule="auto"/>
        <w:ind w:firstLine="720"/>
        <w:rPr>
          <w:rFonts w:ascii="Times New Roman" w:hAnsi="Times New Roman" w:cs="Times New Roman"/>
          <w:color w:val="333333"/>
          <w:sz w:val="24"/>
          <w:szCs w:val="24"/>
        </w:rPr>
      </w:pPr>
      <w:r w:rsidRPr="00A26039">
        <w:rPr>
          <w:rFonts w:ascii="Times New Roman" w:hAnsi="Times New Roman" w:cs="Times New Roman"/>
          <w:sz w:val="24"/>
          <w:szCs w:val="24"/>
        </w:rPr>
        <w:t xml:space="preserve">Under the policy of </w:t>
      </w:r>
      <w:r w:rsidRPr="00A26039">
        <w:rPr>
          <w:rFonts w:ascii="Times New Roman" w:hAnsi="Times New Roman" w:cs="Times New Roman"/>
          <w:iCs/>
          <w:sz w:val="24"/>
          <w:szCs w:val="24"/>
        </w:rPr>
        <w:t xml:space="preserve">Ohio in R.C. 4928.02(L), the PUCO and ODOD must “protect at-risk populations...." PIPP consumers are an at-risk population. The Settlement fails to protect this at-risk population. The Settlement harms this at-risk population, with higher charges and increased debt. And all other Ohio electric consumers are harmed; not only PIPP consumers. That is because the difference between </w:t>
      </w:r>
      <w:r w:rsidRPr="00A26039">
        <w:rPr>
          <w:rFonts w:ascii="Times New Roman" w:hAnsi="Times New Roman" w:cs="Times New Roman"/>
          <w:color w:val="333333"/>
          <w:sz w:val="24"/>
          <w:szCs w:val="24"/>
        </w:rPr>
        <w:t xml:space="preserve">the actual electric bill and the PIPP customer payment is paid by all consumers through the USF rider. </w:t>
      </w:r>
    </w:p>
    <w:p w:rsidR="00E9024D" w:rsidRPr="00A26039" w:rsidP="00E9024D" w14:paraId="166B374D" w14:textId="3F254F8D">
      <w:pPr>
        <w:spacing w:after="0" w:line="480" w:lineRule="auto"/>
        <w:ind w:firstLine="720"/>
        <w:rPr>
          <w:rFonts w:ascii="Times New Roman" w:hAnsi="Times New Roman" w:cs="Times New Roman"/>
          <w:color w:val="333333"/>
          <w:sz w:val="24"/>
          <w:szCs w:val="24"/>
        </w:rPr>
      </w:pPr>
      <w:r w:rsidRPr="00A26039">
        <w:rPr>
          <w:rFonts w:ascii="Times New Roman" w:hAnsi="Times New Roman" w:cs="Times New Roman"/>
          <w:color w:val="333333"/>
          <w:sz w:val="24"/>
          <w:szCs w:val="24"/>
        </w:rPr>
        <w:t>According to the Settlement that the PUCO adopted,</w:t>
      </w:r>
      <w:r>
        <w:rPr>
          <w:rStyle w:val="FootnoteReference"/>
          <w:rFonts w:ascii="Times New Roman" w:hAnsi="Times New Roman" w:cs="Times New Roman"/>
          <w:color w:val="333333"/>
          <w:sz w:val="24"/>
          <w:szCs w:val="24"/>
        </w:rPr>
        <w:footnoteReference w:id="47"/>
      </w:r>
      <w:r w:rsidRPr="00A26039">
        <w:rPr>
          <w:rFonts w:ascii="Times New Roman" w:hAnsi="Times New Roman" w:cs="Times New Roman"/>
          <w:color w:val="333333"/>
          <w:sz w:val="24"/>
          <w:szCs w:val="24"/>
        </w:rPr>
        <w:t xml:space="preserve"> the cost of the PIPP component of the USF rider revenue requirement is based in part on the total cost of electricity consumed by PIPP customers less the total PIPP installment payment made by the PIPP customer.</w:t>
      </w:r>
      <w:r>
        <w:rPr>
          <w:rStyle w:val="FootnoteReference"/>
          <w:rFonts w:ascii="Times New Roman" w:hAnsi="Times New Roman" w:cs="Times New Roman"/>
          <w:color w:val="333333"/>
          <w:sz w:val="24"/>
          <w:szCs w:val="24"/>
        </w:rPr>
        <w:footnoteReference w:id="48"/>
      </w:r>
      <w:r w:rsidRPr="00A26039">
        <w:rPr>
          <w:rFonts w:ascii="Times New Roman" w:hAnsi="Times New Roman" w:cs="Times New Roman"/>
          <w:color w:val="333333"/>
          <w:sz w:val="24"/>
          <w:szCs w:val="24"/>
        </w:rPr>
        <w:t xml:space="preserve"> Therefore, as OCC witness Williams testified, “PIPP rates that exceed the SSO rates for generation are an unreasonable additional cost on the USF that all customers (including PIPP consumers) are responsible for paying. And the burden on all consumers is even greater when and if PIPP customers are unable to pay their total electric bill.”</w:t>
      </w:r>
      <w:r>
        <w:rPr>
          <w:rStyle w:val="FootnoteReference"/>
          <w:rFonts w:ascii="Times New Roman" w:hAnsi="Times New Roman" w:cs="Times New Roman"/>
          <w:color w:val="333333"/>
          <w:sz w:val="24"/>
          <w:szCs w:val="24"/>
        </w:rPr>
        <w:footnoteReference w:id="49"/>
      </w:r>
    </w:p>
    <w:p w:rsidR="001F6CC6" w:rsidRPr="00A26039" w:rsidP="00973254" w14:paraId="7D35F3E5" w14:textId="16043ED9">
      <w:pPr>
        <w:spacing w:after="0" w:line="480" w:lineRule="auto"/>
        <w:ind w:firstLine="720"/>
        <w:rPr>
          <w:rFonts w:ascii="Times New Roman" w:hAnsi="Times New Roman" w:cs="Times New Roman"/>
          <w:iCs/>
          <w:sz w:val="24"/>
          <w:szCs w:val="24"/>
        </w:rPr>
      </w:pPr>
      <w:r w:rsidRPr="00A26039">
        <w:rPr>
          <w:rFonts w:ascii="Times New Roman" w:hAnsi="Times New Roman" w:cs="Times New Roman"/>
          <w:iCs/>
          <w:sz w:val="24"/>
          <w:szCs w:val="24"/>
        </w:rPr>
        <w:t xml:space="preserve">The Settlement </w:t>
      </w:r>
      <w:r w:rsidRPr="00A26039" w:rsidR="00E9024D">
        <w:rPr>
          <w:rFonts w:ascii="Times New Roman" w:hAnsi="Times New Roman" w:cs="Times New Roman"/>
          <w:iCs/>
          <w:sz w:val="24"/>
          <w:szCs w:val="24"/>
        </w:rPr>
        <w:t xml:space="preserve">that the PUCO adopted </w:t>
      </w:r>
      <w:r w:rsidRPr="00A26039">
        <w:rPr>
          <w:rFonts w:ascii="Times New Roman" w:hAnsi="Times New Roman" w:cs="Times New Roman"/>
          <w:iCs/>
          <w:sz w:val="24"/>
          <w:szCs w:val="24"/>
        </w:rPr>
        <w:t>thus fails this prong requiring that the Settlement benefit</w:t>
      </w:r>
      <w:r w:rsidRPr="00A26039" w:rsidR="00E9024D">
        <w:rPr>
          <w:rFonts w:ascii="Times New Roman" w:hAnsi="Times New Roman" w:cs="Times New Roman"/>
          <w:iCs/>
          <w:sz w:val="24"/>
          <w:szCs w:val="24"/>
        </w:rPr>
        <w:t>s</w:t>
      </w:r>
      <w:r w:rsidRPr="00A26039">
        <w:rPr>
          <w:rFonts w:ascii="Times New Roman" w:hAnsi="Times New Roman" w:cs="Times New Roman"/>
          <w:iCs/>
          <w:sz w:val="24"/>
          <w:szCs w:val="24"/>
        </w:rPr>
        <w:t xml:space="preserve"> customers and the public interest</w:t>
      </w:r>
      <w:r w:rsidRPr="00A26039" w:rsidR="00E9024D">
        <w:rPr>
          <w:rFonts w:ascii="Times New Roman" w:hAnsi="Times New Roman" w:cs="Times New Roman"/>
          <w:iCs/>
          <w:sz w:val="24"/>
          <w:szCs w:val="24"/>
        </w:rPr>
        <w:t xml:space="preserve"> because consumers and the public interest are not benefitted by higher rates</w:t>
      </w:r>
      <w:r w:rsidRPr="00A26039" w:rsidR="005F0DA2">
        <w:rPr>
          <w:rFonts w:ascii="Times New Roman" w:hAnsi="Times New Roman" w:cs="Times New Roman"/>
          <w:iCs/>
          <w:sz w:val="24"/>
          <w:szCs w:val="24"/>
        </w:rPr>
        <w:t>, especially higher rates that violate</w:t>
      </w:r>
      <w:r w:rsidRPr="00A26039" w:rsidR="00E9024D">
        <w:rPr>
          <w:rFonts w:ascii="Times New Roman" w:hAnsi="Times New Roman" w:cs="Times New Roman"/>
          <w:iCs/>
          <w:sz w:val="24"/>
          <w:szCs w:val="24"/>
        </w:rPr>
        <w:t xml:space="preserve"> statutes.</w:t>
      </w:r>
      <w:r w:rsidRPr="00A26039">
        <w:rPr>
          <w:rFonts w:ascii="Times New Roman" w:hAnsi="Times New Roman" w:cs="Times New Roman"/>
          <w:iCs/>
          <w:sz w:val="24"/>
          <w:szCs w:val="24"/>
        </w:rPr>
        <w:t xml:space="preserve"> </w:t>
      </w:r>
      <w:r w:rsidRPr="00A26039" w:rsidR="00E9024D">
        <w:rPr>
          <w:rFonts w:ascii="Times New Roman" w:hAnsi="Times New Roman" w:cs="Times New Roman"/>
          <w:iCs/>
          <w:sz w:val="24"/>
          <w:szCs w:val="24"/>
        </w:rPr>
        <w:t xml:space="preserve">Higher rates are to the detriment of </w:t>
      </w:r>
      <w:r w:rsidRPr="00A26039" w:rsidR="00530D1E">
        <w:rPr>
          <w:rFonts w:ascii="Times New Roman" w:hAnsi="Times New Roman" w:cs="Times New Roman"/>
          <w:iCs/>
          <w:sz w:val="24"/>
          <w:szCs w:val="24"/>
        </w:rPr>
        <w:t xml:space="preserve">all </w:t>
      </w:r>
      <w:r w:rsidRPr="00A26039" w:rsidR="00E9024D">
        <w:rPr>
          <w:rFonts w:ascii="Times New Roman" w:hAnsi="Times New Roman" w:cs="Times New Roman"/>
          <w:iCs/>
          <w:sz w:val="24"/>
          <w:szCs w:val="24"/>
        </w:rPr>
        <w:t xml:space="preserve">consumers and the public interest. </w:t>
      </w:r>
      <w:r w:rsidRPr="00A26039" w:rsidR="002F6E16">
        <w:rPr>
          <w:rFonts w:ascii="Times New Roman" w:hAnsi="Times New Roman" w:cs="Times New Roman"/>
          <w:iCs/>
          <w:sz w:val="24"/>
          <w:szCs w:val="24"/>
        </w:rPr>
        <w:t xml:space="preserve">In fact, according to the Application that ODOD </w:t>
      </w:r>
      <w:r w:rsidRPr="00A26039" w:rsidR="00DB68BA">
        <w:rPr>
          <w:rFonts w:ascii="Times New Roman" w:hAnsi="Times New Roman" w:cs="Times New Roman"/>
          <w:iCs/>
          <w:sz w:val="24"/>
          <w:szCs w:val="24"/>
        </w:rPr>
        <w:t>filed this week</w:t>
      </w:r>
      <w:r w:rsidRPr="00A26039" w:rsidR="002F6E16">
        <w:rPr>
          <w:rFonts w:ascii="Times New Roman" w:hAnsi="Times New Roman" w:cs="Times New Roman"/>
          <w:iCs/>
          <w:sz w:val="24"/>
          <w:szCs w:val="24"/>
        </w:rPr>
        <w:t xml:space="preserve"> to adjust the USF rates, the 2023 USF revenue requirement of $330,654,685 represents an increase of $143,395,993 over the 2022 USF revenue requirement.</w:t>
      </w:r>
      <w:r>
        <w:rPr>
          <w:rStyle w:val="FootnoteReference"/>
          <w:rFonts w:ascii="Times New Roman" w:hAnsi="Times New Roman" w:cs="Times New Roman"/>
          <w:iCs/>
          <w:sz w:val="24"/>
          <w:szCs w:val="24"/>
        </w:rPr>
        <w:footnoteReference w:id="50"/>
      </w:r>
      <w:r w:rsidRPr="00A26039" w:rsidR="002F6E16">
        <w:rPr>
          <w:rFonts w:ascii="Times New Roman" w:hAnsi="Times New Roman" w:cs="Times New Roman"/>
          <w:iCs/>
          <w:sz w:val="24"/>
          <w:szCs w:val="24"/>
        </w:rPr>
        <w:t xml:space="preserve"> </w:t>
      </w:r>
      <w:r w:rsidRPr="00A26039" w:rsidR="00A92822">
        <w:rPr>
          <w:rFonts w:ascii="Times New Roman" w:hAnsi="Times New Roman" w:cs="Times New Roman"/>
          <w:iCs/>
          <w:sz w:val="24"/>
          <w:szCs w:val="24"/>
        </w:rPr>
        <w:t>The monthly USF Rider</w:t>
      </w:r>
      <w:r w:rsidRPr="00A26039" w:rsidR="00DB68BA">
        <w:rPr>
          <w:rFonts w:ascii="Times New Roman" w:hAnsi="Times New Roman" w:cs="Times New Roman"/>
          <w:iCs/>
          <w:sz w:val="24"/>
          <w:szCs w:val="24"/>
        </w:rPr>
        <w:t xml:space="preserve"> charges</w:t>
      </w:r>
      <w:r w:rsidRPr="00A26039" w:rsidR="00A92822">
        <w:rPr>
          <w:rFonts w:ascii="Times New Roman" w:hAnsi="Times New Roman" w:cs="Times New Roman"/>
          <w:iCs/>
          <w:sz w:val="24"/>
          <w:szCs w:val="24"/>
        </w:rPr>
        <w:t xml:space="preserve"> increase across each of the electric utilities for all consumers. </w:t>
      </w:r>
      <w:r w:rsidRPr="00A26039" w:rsidR="002F6E16">
        <w:rPr>
          <w:rFonts w:ascii="Times New Roman" w:hAnsi="Times New Roman" w:cs="Times New Roman"/>
          <w:iCs/>
          <w:sz w:val="24"/>
          <w:szCs w:val="24"/>
        </w:rPr>
        <w:t>And ODOD acknowledges that the increase in the revenue requirement is partially attributed to the increases in the cost of electric supply for PIPP consumers.</w:t>
      </w:r>
      <w:r>
        <w:rPr>
          <w:rStyle w:val="FootnoteReference"/>
          <w:rFonts w:ascii="Times New Roman" w:hAnsi="Times New Roman" w:cs="Times New Roman"/>
          <w:iCs/>
          <w:sz w:val="24"/>
          <w:szCs w:val="24"/>
        </w:rPr>
        <w:footnoteReference w:id="51"/>
      </w:r>
      <w:r w:rsidRPr="00A26039" w:rsidR="002F6E16">
        <w:rPr>
          <w:rFonts w:ascii="Times New Roman" w:hAnsi="Times New Roman" w:cs="Times New Roman"/>
          <w:iCs/>
          <w:sz w:val="24"/>
          <w:szCs w:val="24"/>
        </w:rPr>
        <w:t xml:space="preserve"> </w:t>
      </w:r>
      <w:r w:rsidRPr="00A26039">
        <w:rPr>
          <w:rFonts w:ascii="Times New Roman" w:hAnsi="Times New Roman" w:cs="Times New Roman"/>
          <w:iCs/>
          <w:sz w:val="24"/>
          <w:szCs w:val="24"/>
        </w:rPr>
        <w:t xml:space="preserve">The PUCO </w:t>
      </w:r>
      <w:r w:rsidRPr="00A26039" w:rsidR="00E9024D">
        <w:rPr>
          <w:rFonts w:ascii="Times New Roman" w:hAnsi="Times New Roman" w:cs="Times New Roman"/>
          <w:iCs/>
          <w:sz w:val="24"/>
          <w:szCs w:val="24"/>
        </w:rPr>
        <w:t xml:space="preserve">unlawfully and unreasonably </w:t>
      </w:r>
      <w:r w:rsidRPr="00A26039">
        <w:rPr>
          <w:rFonts w:ascii="Times New Roman" w:hAnsi="Times New Roman" w:cs="Times New Roman"/>
          <w:iCs/>
          <w:sz w:val="24"/>
          <w:szCs w:val="24"/>
        </w:rPr>
        <w:t xml:space="preserve">erred </w:t>
      </w:r>
      <w:r w:rsidRPr="00A26039" w:rsidR="00E9024D">
        <w:rPr>
          <w:rFonts w:ascii="Times New Roman" w:hAnsi="Times New Roman" w:cs="Times New Roman"/>
          <w:iCs/>
          <w:sz w:val="24"/>
          <w:szCs w:val="24"/>
        </w:rPr>
        <w:t>in finding that the Settlement benefits consumers and the public interest. Rehearing should be granted.</w:t>
      </w:r>
    </w:p>
    <w:p w:rsidR="00511959" w:rsidRPr="00A26039" w:rsidP="0065148F" w14:paraId="048FA64A" w14:textId="48BF97F7">
      <w:pPr>
        <w:pStyle w:val="Heading2"/>
      </w:pPr>
      <w:bookmarkStart w:id="12" w:name="_Toc118472308"/>
      <w:r w:rsidRPr="00A26039">
        <w:rPr>
          <w:b/>
          <w:bCs/>
        </w:rPr>
        <w:t>ASSIGNMENT OF ERROR NO. 3</w:t>
      </w:r>
      <w:r w:rsidRPr="00444595">
        <w:rPr>
          <w:b/>
          <w:bCs/>
        </w:rPr>
        <w:t>:</w:t>
      </w:r>
      <w:r w:rsidRPr="00A26039">
        <w:t xml:space="preserve"> The PUCO erred by unreasonably</w:t>
      </w:r>
      <w:r w:rsidRPr="00A26039" w:rsidR="00556829">
        <w:t xml:space="preserve"> and unlawfully</w:t>
      </w:r>
      <w:r w:rsidRPr="00A26039">
        <w:t xml:space="preserve"> claiming that the utilities’ PIPP generation rates, while a component of the cost of the PIPP program, is beyond the scope of this proceeding </w:t>
      </w:r>
      <w:r w:rsidRPr="00A26039" w:rsidR="00882FBE">
        <w:t>because the USF Rider revenue requirement methodology must comply (but does not)</w:t>
      </w:r>
      <w:r w:rsidRPr="00A26039" w:rsidR="00424275">
        <w:t xml:space="preserve"> </w:t>
      </w:r>
      <w:r w:rsidRPr="00A26039">
        <w:t>with R.C.</w:t>
      </w:r>
      <w:r w:rsidRPr="00A26039" w:rsidR="000D4657">
        <w:t xml:space="preserve"> 4928.542</w:t>
      </w:r>
      <w:r w:rsidRPr="00A26039" w:rsidR="00882FBE">
        <w:t>.</w:t>
      </w:r>
      <w:bookmarkEnd w:id="12"/>
    </w:p>
    <w:p w:rsidR="006E3C8D" w:rsidRPr="00A26039" w:rsidP="006E3C8D" w14:paraId="5940AFA5" w14:textId="12F37C2E">
      <w:pPr>
        <w:spacing w:after="0" w:line="480" w:lineRule="auto"/>
        <w:ind w:firstLine="720"/>
        <w:rPr>
          <w:rFonts w:ascii="Times New Roman" w:hAnsi="Times New Roman" w:cs="Times New Roman"/>
          <w:iCs/>
          <w:sz w:val="24"/>
          <w:szCs w:val="24"/>
        </w:rPr>
      </w:pPr>
      <w:r w:rsidRPr="00A26039">
        <w:rPr>
          <w:rFonts w:ascii="Times New Roman" w:hAnsi="Times New Roman" w:cs="Times New Roman"/>
          <w:iCs/>
          <w:sz w:val="24"/>
          <w:szCs w:val="24"/>
        </w:rPr>
        <w:t>The PUCO erred in concluding that “the EDUs PIPP generation rates, while a component of the cost of PIPP program, is beyond the scope of this proceeding.”</w:t>
      </w:r>
      <w:r>
        <w:rPr>
          <w:rStyle w:val="FootnoteReference"/>
          <w:rFonts w:ascii="Times New Roman" w:hAnsi="Times New Roman" w:cs="Times New Roman"/>
          <w:iCs/>
          <w:sz w:val="24"/>
          <w:szCs w:val="24"/>
        </w:rPr>
        <w:footnoteReference w:id="52"/>
      </w:r>
      <w:r w:rsidRPr="00A26039">
        <w:rPr>
          <w:rFonts w:ascii="Times New Roman" w:hAnsi="Times New Roman" w:cs="Times New Roman"/>
          <w:iCs/>
          <w:sz w:val="24"/>
          <w:szCs w:val="24"/>
        </w:rPr>
        <w:t xml:space="preserve"> As the PUCO itself recognizes, the subject of this USF proceeding is </w:t>
      </w:r>
      <w:r w:rsidRPr="00A26039" w:rsidR="00587B74">
        <w:rPr>
          <w:rFonts w:ascii="Times New Roman" w:hAnsi="Times New Roman" w:cs="Times New Roman"/>
          <w:iCs/>
          <w:sz w:val="24"/>
          <w:szCs w:val="24"/>
        </w:rPr>
        <w:t xml:space="preserve">“regarding the </w:t>
      </w:r>
      <w:r w:rsidRPr="00A26039">
        <w:rPr>
          <w:rFonts w:ascii="Times New Roman" w:hAnsi="Times New Roman" w:cs="Times New Roman"/>
          <w:iCs/>
          <w:sz w:val="24"/>
          <w:szCs w:val="24"/>
        </w:rPr>
        <w:t xml:space="preserve">2022 NOI, addressing the methodology ODOD will utilize to develop the USF rider revenue requirement, the USF rate design, </w:t>
      </w:r>
      <w:r w:rsidRPr="00A26039">
        <w:rPr>
          <w:rFonts w:ascii="Times New Roman" w:hAnsi="Times New Roman" w:cs="Times New Roman"/>
          <w:i/>
          <w:sz w:val="24"/>
          <w:szCs w:val="24"/>
        </w:rPr>
        <w:t xml:space="preserve">and any issues raised by the parties concerning these items” </w:t>
      </w:r>
      <w:r w:rsidRPr="00A26039">
        <w:rPr>
          <w:rFonts w:ascii="Times New Roman" w:hAnsi="Times New Roman" w:cs="Times New Roman"/>
          <w:iCs/>
          <w:sz w:val="24"/>
          <w:szCs w:val="24"/>
        </w:rPr>
        <w:t>(emphasis added).</w:t>
      </w:r>
      <w:r>
        <w:rPr>
          <w:rStyle w:val="FootnoteReference"/>
          <w:rFonts w:ascii="Times New Roman" w:hAnsi="Times New Roman" w:cs="Times New Roman"/>
          <w:iCs/>
          <w:sz w:val="24"/>
          <w:szCs w:val="24"/>
        </w:rPr>
        <w:footnoteReference w:id="53"/>
      </w:r>
      <w:r w:rsidRPr="00A26039">
        <w:rPr>
          <w:rFonts w:ascii="Times New Roman" w:hAnsi="Times New Roman" w:cs="Times New Roman"/>
          <w:iCs/>
          <w:sz w:val="24"/>
          <w:szCs w:val="24"/>
        </w:rPr>
        <w:t xml:space="preserve"> </w:t>
      </w:r>
      <w:r w:rsidRPr="00A26039" w:rsidR="00587B74">
        <w:rPr>
          <w:rFonts w:ascii="Times New Roman" w:hAnsi="Times New Roman" w:cs="Times New Roman"/>
          <w:iCs/>
          <w:sz w:val="24"/>
          <w:szCs w:val="24"/>
        </w:rPr>
        <w:t>T</w:t>
      </w:r>
      <w:r w:rsidRPr="00A26039" w:rsidR="00826AF5">
        <w:rPr>
          <w:rFonts w:ascii="Times New Roman" w:hAnsi="Times New Roman" w:cs="Times New Roman"/>
          <w:iCs/>
          <w:sz w:val="24"/>
          <w:szCs w:val="24"/>
        </w:rPr>
        <w:t xml:space="preserve">his proceeding was specifically intended to address the methodology ODOD will utilize to develop the USF rider revenue requirement and any issues raised by the parties concerning this methodology. </w:t>
      </w:r>
      <w:r w:rsidRPr="00A26039" w:rsidR="00530D1E">
        <w:rPr>
          <w:rFonts w:ascii="Times New Roman" w:hAnsi="Times New Roman" w:cs="Times New Roman"/>
          <w:iCs/>
          <w:sz w:val="24"/>
          <w:szCs w:val="24"/>
        </w:rPr>
        <w:t xml:space="preserve">The majority of the USF revenue requirement is the generation rates charged to PIPP consumers. </w:t>
      </w:r>
      <w:r w:rsidRPr="00A26039" w:rsidR="00587B74">
        <w:rPr>
          <w:rFonts w:ascii="Times New Roman" w:hAnsi="Times New Roman" w:cs="Times New Roman"/>
          <w:iCs/>
          <w:sz w:val="24"/>
          <w:szCs w:val="24"/>
        </w:rPr>
        <w:t xml:space="preserve">Thus, </w:t>
      </w:r>
      <w:r w:rsidRPr="00A26039" w:rsidR="00826AF5">
        <w:rPr>
          <w:rFonts w:ascii="Times New Roman" w:hAnsi="Times New Roman" w:cs="Times New Roman"/>
          <w:iCs/>
          <w:sz w:val="24"/>
          <w:szCs w:val="24"/>
        </w:rPr>
        <w:t xml:space="preserve">OCC properly addressed the high cost of PIPP as component of the methodology that ODOD will use to develop the USF rider revenue requirement. </w:t>
      </w:r>
    </w:p>
    <w:p w:rsidR="00DD749E" w:rsidRPr="00A26039" w:rsidP="00DD749E" w14:paraId="43104D4E" w14:textId="62B6FDC3">
      <w:pPr>
        <w:spacing w:after="0" w:line="480" w:lineRule="auto"/>
        <w:ind w:firstLine="720"/>
        <w:rPr>
          <w:rFonts w:ascii="Times New Roman" w:hAnsi="Times New Roman" w:cs="Times New Roman"/>
          <w:sz w:val="24"/>
          <w:szCs w:val="24"/>
        </w:rPr>
      </w:pPr>
      <w:r w:rsidRPr="00A26039">
        <w:rPr>
          <w:rFonts w:ascii="Times New Roman" w:hAnsi="Times New Roman" w:cs="Times New Roman"/>
          <w:sz w:val="24"/>
          <w:szCs w:val="24"/>
        </w:rPr>
        <w:t>OCC’s opposition was not “beyond the scope of this proceeding.”</w:t>
      </w:r>
      <w:r>
        <w:rPr>
          <w:rStyle w:val="FootnoteReference"/>
          <w:rFonts w:ascii="Times New Roman" w:hAnsi="Times New Roman" w:cs="Times New Roman"/>
          <w:sz w:val="24"/>
          <w:szCs w:val="24"/>
        </w:rPr>
        <w:footnoteReference w:id="54"/>
      </w:r>
      <w:r w:rsidRPr="00A26039">
        <w:rPr>
          <w:rFonts w:ascii="Times New Roman" w:hAnsi="Times New Roman" w:cs="Times New Roman"/>
          <w:sz w:val="24"/>
          <w:szCs w:val="24"/>
        </w:rPr>
        <w:t xml:space="preserve"> OCC’s opposition was to the methodology used to calculate the cost of PIPP as defined in the N</w:t>
      </w:r>
      <w:r w:rsidRPr="00A26039" w:rsidR="00587B74">
        <w:rPr>
          <w:rFonts w:ascii="Times New Roman" w:hAnsi="Times New Roman" w:cs="Times New Roman"/>
          <w:sz w:val="24"/>
          <w:szCs w:val="24"/>
        </w:rPr>
        <w:t>otice of Intent</w:t>
      </w:r>
      <w:r w:rsidRPr="00A26039">
        <w:rPr>
          <w:rFonts w:ascii="Times New Roman" w:hAnsi="Times New Roman" w:cs="Times New Roman"/>
          <w:sz w:val="24"/>
          <w:szCs w:val="24"/>
        </w:rPr>
        <w:t xml:space="preserve"> (the unlawfully implemented electric aggregation process). OCC witness Williams testified as a result of that methodology in this case, the impact that the high PIPP rates are having on current PIPP customers and the estimated impact that they will have on the 2023 USF revenue requirement have become known.</w:t>
      </w:r>
      <w:r>
        <w:rPr>
          <w:rStyle w:val="FootnoteReference"/>
          <w:rFonts w:ascii="Times New Roman" w:hAnsi="Times New Roman" w:cs="Times New Roman"/>
          <w:sz w:val="24"/>
          <w:szCs w:val="24"/>
        </w:rPr>
        <w:footnoteReference w:id="55"/>
      </w:r>
      <w:r w:rsidRPr="00A26039">
        <w:rPr>
          <w:rFonts w:ascii="Times New Roman" w:hAnsi="Times New Roman" w:cs="Times New Roman"/>
          <w:sz w:val="24"/>
          <w:szCs w:val="24"/>
        </w:rPr>
        <w:t xml:space="preserve"> </w:t>
      </w:r>
      <w:r w:rsidRPr="00A26039" w:rsidR="00BD5A99">
        <w:rPr>
          <w:rFonts w:ascii="Times New Roman" w:hAnsi="Times New Roman" w:cs="Times New Roman"/>
          <w:sz w:val="24"/>
          <w:szCs w:val="24"/>
        </w:rPr>
        <w:t>And while perhaps unpopular with the utilities, Mr. Williams provided a solution for the problem by having the USF revenue requirement calculated based on the 2022 SSO auction rates.</w:t>
      </w:r>
      <w:r w:rsidRPr="00A26039" w:rsidR="00CF4611">
        <w:rPr>
          <w:rFonts w:ascii="Times New Roman" w:hAnsi="Times New Roman" w:cs="Times New Roman"/>
          <w:sz w:val="24"/>
          <w:szCs w:val="24"/>
        </w:rPr>
        <w:t xml:space="preserve"> </w:t>
      </w:r>
    </w:p>
    <w:p w:rsidR="00C54D79" w:rsidRPr="00A26039" w:rsidP="00DD749E" w14:paraId="21321A67" w14:textId="4D40A481">
      <w:pPr>
        <w:spacing w:after="0" w:line="480" w:lineRule="auto"/>
        <w:ind w:firstLine="720"/>
        <w:rPr>
          <w:rFonts w:ascii="Times New Roman" w:hAnsi="Times New Roman" w:cs="Times New Roman"/>
          <w:sz w:val="24"/>
          <w:szCs w:val="24"/>
        </w:rPr>
      </w:pPr>
      <w:r w:rsidRPr="00A26039">
        <w:rPr>
          <w:rFonts w:ascii="Times New Roman" w:hAnsi="Times New Roman" w:cs="Times New Roman"/>
          <w:color w:val="000000" w:themeColor="text1"/>
          <w:sz w:val="24"/>
          <w:szCs w:val="24"/>
        </w:rPr>
        <w:t>OCC identified several solutions (in OCC testimony and briefs)</w:t>
      </w:r>
      <w:r>
        <w:rPr>
          <w:rStyle w:val="FootnoteReference"/>
          <w:rFonts w:ascii="Times New Roman" w:hAnsi="Times New Roman" w:cs="Times New Roman"/>
          <w:color w:val="000000" w:themeColor="text1"/>
          <w:sz w:val="24"/>
          <w:szCs w:val="24"/>
        </w:rPr>
        <w:footnoteReference w:id="56"/>
      </w:r>
      <w:r w:rsidRPr="00A26039">
        <w:rPr>
          <w:rFonts w:ascii="Times New Roman" w:hAnsi="Times New Roman" w:cs="Times New Roman"/>
          <w:color w:val="000000" w:themeColor="text1"/>
          <w:sz w:val="24"/>
          <w:szCs w:val="24"/>
        </w:rPr>
        <w:t xml:space="preserve"> to protect current PIPP customers in this proceeding. The PUCO and ODOD should require the electric utilities to adjust PIPP billing and credit PIPP consumer accounts for charges billed. PIPP consumers should be billed the standard offer rate and the utility should be required to absorb the difference between the standard service offer and PIPP rate. The PUCO should prohibit the electric utilities from collecting the difference from consumers, as the utilities are in a far better financial position to pay the excess costs than the low-income consumers. A solution going forward is to restructure the standard-offer auctions to combine PIPP consumers’ service.</w:t>
      </w:r>
      <w:r w:rsidR="00A26039">
        <w:rPr>
          <w:rFonts w:ascii="Times New Roman" w:hAnsi="Times New Roman" w:cs="Times New Roman"/>
          <w:color w:val="000000" w:themeColor="text1"/>
          <w:sz w:val="24"/>
          <w:szCs w:val="24"/>
        </w:rPr>
        <w:t xml:space="preserve"> </w:t>
      </w:r>
    </w:p>
    <w:p w:rsidR="00B92465" w:rsidRPr="00A26039" w:rsidP="00131BF5" w14:paraId="12E2874A" w14:textId="064A7888">
      <w:pPr>
        <w:spacing w:after="0" w:line="480" w:lineRule="auto"/>
        <w:ind w:firstLine="720"/>
        <w:rPr>
          <w:rFonts w:ascii="Times New Roman" w:hAnsi="Times New Roman" w:cs="Times New Roman"/>
          <w:sz w:val="24"/>
          <w:szCs w:val="24"/>
        </w:rPr>
      </w:pPr>
      <w:r w:rsidRPr="00A26039">
        <w:rPr>
          <w:rFonts w:ascii="Times New Roman" w:hAnsi="Times New Roman" w:cs="Times New Roman"/>
          <w:sz w:val="24"/>
          <w:szCs w:val="24"/>
        </w:rPr>
        <w:t>OCC witness Williams’ testimony demonstrate</w:t>
      </w:r>
      <w:r w:rsidRPr="00A26039" w:rsidR="00DD749E">
        <w:rPr>
          <w:rFonts w:ascii="Times New Roman" w:hAnsi="Times New Roman" w:cs="Times New Roman"/>
          <w:sz w:val="24"/>
          <w:szCs w:val="24"/>
        </w:rPr>
        <w:t>d</w:t>
      </w:r>
      <w:r w:rsidRPr="00A26039">
        <w:rPr>
          <w:rFonts w:ascii="Times New Roman" w:hAnsi="Times New Roman" w:cs="Times New Roman"/>
          <w:sz w:val="24"/>
          <w:szCs w:val="24"/>
        </w:rPr>
        <w:t xml:space="preserve"> that the methodology as proposed by ODOD in the N</w:t>
      </w:r>
      <w:r w:rsidRPr="00A26039" w:rsidR="004E6A72">
        <w:rPr>
          <w:rFonts w:ascii="Times New Roman" w:hAnsi="Times New Roman" w:cs="Times New Roman"/>
          <w:sz w:val="24"/>
          <w:szCs w:val="24"/>
        </w:rPr>
        <w:t>otice of Intent</w:t>
      </w:r>
      <w:r w:rsidRPr="00A26039">
        <w:rPr>
          <w:rFonts w:ascii="Times New Roman" w:hAnsi="Times New Roman" w:cs="Times New Roman"/>
          <w:sz w:val="24"/>
          <w:szCs w:val="24"/>
        </w:rPr>
        <w:t xml:space="preserve"> will result in unlawfully high USF rates.</w:t>
      </w:r>
      <w:r>
        <w:rPr>
          <w:rStyle w:val="FootnoteReference"/>
          <w:rFonts w:ascii="Times New Roman" w:hAnsi="Times New Roman" w:cs="Times New Roman"/>
          <w:sz w:val="24"/>
          <w:szCs w:val="24"/>
        </w:rPr>
        <w:footnoteReference w:id="57"/>
      </w:r>
      <w:r w:rsidRPr="00A26039">
        <w:rPr>
          <w:rFonts w:ascii="Times New Roman" w:hAnsi="Times New Roman" w:cs="Times New Roman"/>
          <w:sz w:val="24"/>
          <w:szCs w:val="24"/>
        </w:rPr>
        <w:t xml:space="preserve"> While OCC or any other group could object to the unlawfully high USF rates when ODOD files its application to set new USF rates, OCC attempted to address the issue in the NOI to prevent the delay later this year. The PUCO has recognized that:</w:t>
      </w:r>
    </w:p>
    <w:p w:rsidR="00B92465" w:rsidRPr="00A26039" w:rsidP="00D9250A" w14:paraId="2D432483" w14:textId="69670A86">
      <w:pPr>
        <w:spacing w:after="0" w:line="240" w:lineRule="auto"/>
        <w:ind w:left="1440" w:right="1440"/>
        <w:rPr>
          <w:rFonts w:ascii="Times New Roman" w:hAnsi="Times New Roman" w:cs="Times New Roman"/>
          <w:sz w:val="24"/>
          <w:szCs w:val="24"/>
        </w:rPr>
      </w:pPr>
      <w:r w:rsidRPr="00A26039">
        <w:rPr>
          <w:rFonts w:ascii="Times New Roman" w:hAnsi="Times New Roman" w:cs="Times New Roman"/>
          <w:sz w:val="24"/>
          <w:szCs w:val="24"/>
        </w:rPr>
        <w:t>The bifurcated process was initiated to provide interested stakeholders an opportunity to challenge the USF methodology to be used to calculate and design the USF rates while facilitating the implementation of new USF rates as of January</w:t>
      </w:r>
      <w:r w:rsidRPr="00A26039" w:rsidR="00587B74">
        <w:rPr>
          <w:rFonts w:ascii="Times New Roman" w:hAnsi="Times New Roman" w:cs="Times New Roman"/>
          <w:sz w:val="24"/>
          <w:szCs w:val="24"/>
        </w:rPr>
        <w:t xml:space="preserve"> </w:t>
      </w:r>
      <w:r w:rsidRPr="00A26039">
        <w:rPr>
          <w:rFonts w:ascii="Times New Roman" w:hAnsi="Times New Roman" w:cs="Times New Roman"/>
          <w:sz w:val="24"/>
          <w:szCs w:val="24"/>
        </w:rPr>
        <w:t>of the next year.</w:t>
      </w:r>
      <w:r>
        <w:rPr>
          <w:rStyle w:val="FootnoteReference"/>
          <w:rFonts w:ascii="Times New Roman" w:hAnsi="Times New Roman" w:cs="Times New Roman"/>
          <w:sz w:val="24"/>
          <w:szCs w:val="24"/>
        </w:rPr>
        <w:footnoteReference w:id="58"/>
      </w:r>
      <w:r w:rsidRPr="00A26039" w:rsidR="00CF4611">
        <w:rPr>
          <w:rFonts w:ascii="Times New Roman" w:hAnsi="Times New Roman" w:cs="Times New Roman"/>
          <w:sz w:val="24"/>
          <w:szCs w:val="24"/>
        </w:rPr>
        <w:t xml:space="preserve"> </w:t>
      </w:r>
    </w:p>
    <w:p w:rsidR="00D9250A" w:rsidRPr="00A26039" w:rsidP="00D9250A" w14:paraId="310B9B62" w14:textId="77777777">
      <w:pPr>
        <w:spacing w:after="0" w:line="240" w:lineRule="auto"/>
        <w:ind w:left="1440" w:right="1440"/>
        <w:rPr>
          <w:rFonts w:ascii="Times New Roman" w:hAnsi="Times New Roman" w:cs="Times New Roman"/>
          <w:sz w:val="24"/>
          <w:szCs w:val="24"/>
        </w:rPr>
      </w:pPr>
    </w:p>
    <w:p w:rsidR="008334CB" w:rsidRPr="00A26039" w:rsidP="006E3C8D" w14:paraId="32A71A69" w14:textId="54299587">
      <w:pPr>
        <w:spacing w:after="0" w:line="480" w:lineRule="auto"/>
        <w:ind w:firstLine="720"/>
        <w:rPr>
          <w:rFonts w:ascii="Times New Roman" w:hAnsi="Times New Roman" w:cs="Times New Roman"/>
          <w:iCs/>
          <w:sz w:val="24"/>
          <w:szCs w:val="24"/>
        </w:rPr>
      </w:pPr>
      <w:r w:rsidRPr="00A26039">
        <w:rPr>
          <w:rFonts w:ascii="Times New Roman" w:hAnsi="Times New Roman" w:cs="Times New Roman"/>
          <w:iCs/>
          <w:sz w:val="24"/>
          <w:szCs w:val="24"/>
        </w:rPr>
        <w:t>The methodology for the USF rider revenue requirement must comply with R.C. 4928.542</w:t>
      </w:r>
      <w:r w:rsidRPr="00A26039" w:rsidR="00267105">
        <w:rPr>
          <w:rFonts w:ascii="Times New Roman" w:hAnsi="Times New Roman" w:cs="Times New Roman"/>
          <w:iCs/>
          <w:sz w:val="24"/>
          <w:szCs w:val="24"/>
        </w:rPr>
        <w:t>, a statute specifically addressing the Universal Service Fund</w:t>
      </w:r>
      <w:r w:rsidRPr="00A26039" w:rsidR="00381E10">
        <w:rPr>
          <w:rFonts w:ascii="Times New Roman" w:hAnsi="Times New Roman" w:cs="Times New Roman"/>
          <w:iCs/>
          <w:sz w:val="24"/>
          <w:szCs w:val="24"/>
        </w:rPr>
        <w:t xml:space="preserve">. The EDUs’ and ODOD’s </w:t>
      </w:r>
      <w:r w:rsidRPr="00A26039">
        <w:rPr>
          <w:rFonts w:ascii="Times New Roman" w:hAnsi="Times New Roman" w:cs="Times New Roman"/>
          <w:iCs/>
          <w:sz w:val="24"/>
          <w:szCs w:val="24"/>
        </w:rPr>
        <w:t>compliance issues</w:t>
      </w:r>
      <w:r w:rsidRPr="00A26039" w:rsidR="00381E10">
        <w:rPr>
          <w:rFonts w:ascii="Times New Roman" w:hAnsi="Times New Roman" w:cs="Times New Roman"/>
          <w:iCs/>
          <w:sz w:val="24"/>
          <w:szCs w:val="24"/>
        </w:rPr>
        <w:t xml:space="preserve"> with this statute were thus entirely</w:t>
      </w:r>
      <w:r w:rsidRPr="00A26039">
        <w:rPr>
          <w:rFonts w:ascii="Times New Roman" w:hAnsi="Times New Roman" w:cs="Times New Roman"/>
          <w:iCs/>
          <w:sz w:val="24"/>
          <w:szCs w:val="24"/>
        </w:rPr>
        <w:t xml:space="preserve"> appropriate </w:t>
      </w:r>
      <w:r w:rsidRPr="00A26039" w:rsidR="00381E10">
        <w:rPr>
          <w:rFonts w:ascii="Times New Roman" w:hAnsi="Times New Roman" w:cs="Times New Roman"/>
          <w:iCs/>
          <w:sz w:val="24"/>
          <w:szCs w:val="24"/>
        </w:rPr>
        <w:t xml:space="preserve">to address in </w:t>
      </w:r>
      <w:r w:rsidRPr="00A26039">
        <w:rPr>
          <w:rFonts w:ascii="Times New Roman" w:hAnsi="Times New Roman" w:cs="Times New Roman"/>
          <w:iCs/>
          <w:sz w:val="24"/>
          <w:szCs w:val="24"/>
        </w:rPr>
        <w:t>proceeding</w:t>
      </w:r>
      <w:r w:rsidRPr="00A26039" w:rsidR="00381E10">
        <w:rPr>
          <w:rFonts w:ascii="Times New Roman" w:hAnsi="Times New Roman" w:cs="Times New Roman"/>
          <w:iCs/>
          <w:sz w:val="24"/>
          <w:szCs w:val="24"/>
        </w:rPr>
        <w:t>. B</w:t>
      </w:r>
      <w:r w:rsidRPr="00A26039">
        <w:rPr>
          <w:rFonts w:ascii="Times New Roman" w:hAnsi="Times New Roman" w:cs="Times New Roman"/>
          <w:iCs/>
          <w:sz w:val="24"/>
          <w:szCs w:val="24"/>
        </w:rPr>
        <w:t xml:space="preserve">ut even if </w:t>
      </w:r>
      <w:r w:rsidRPr="00A26039" w:rsidR="00381E10">
        <w:rPr>
          <w:rFonts w:ascii="Times New Roman" w:hAnsi="Times New Roman" w:cs="Times New Roman"/>
          <w:iCs/>
          <w:sz w:val="24"/>
          <w:szCs w:val="24"/>
        </w:rPr>
        <w:t>PUCO believe</w:t>
      </w:r>
      <w:r w:rsidRPr="00A26039" w:rsidR="00DD749E">
        <w:rPr>
          <w:rFonts w:ascii="Times New Roman" w:hAnsi="Times New Roman" w:cs="Times New Roman"/>
          <w:iCs/>
          <w:sz w:val="24"/>
          <w:szCs w:val="24"/>
        </w:rPr>
        <w:t>s</w:t>
      </w:r>
      <w:r w:rsidRPr="00A26039" w:rsidR="00381E10">
        <w:rPr>
          <w:rFonts w:ascii="Times New Roman" w:hAnsi="Times New Roman" w:cs="Times New Roman"/>
          <w:iCs/>
          <w:sz w:val="24"/>
          <w:szCs w:val="24"/>
        </w:rPr>
        <w:t xml:space="preserve"> </w:t>
      </w:r>
      <w:r w:rsidRPr="00A26039">
        <w:rPr>
          <w:rFonts w:ascii="Times New Roman" w:hAnsi="Times New Roman" w:cs="Times New Roman"/>
          <w:iCs/>
          <w:sz w:val="24"/>
          <w:szCs w:val="24"/>
        </w:rPr>
        <w:t xml:space="preserve">they were not, the PUCO erred in not identifying an appropriate venue for addressing </w:t>
      </w:r>
      <w:r w:rsidRPr="00A26039" w:rsidR="00381E10">
        <w:rPr>
          <w:rFonts w:ascii="Times New Roman" w:hAnsi="Times New Roman" w:cs="Times New Roman"/>
          <w:iCs/>
          <w:sz w:val="24"/>
          <w:szCs w:val="24"/>
        </w:rPr>
        <w:t>the issues OCC raised. The PUCO Order should have at least recognized that a</w:t>
      </w:r>
      <w:r w:rsidRPr="00A26039" w:rsidR="00E218D5">
        <w:rPr>
          <w:rFonts w:ascii="Times New Roman" w:hAnsi="Times New Roman" w:cs="Times New Roman"/>
          <w:iCs/>
          <w:sz w:val="24"/>
          <w:szCs w:val="24"/>
        </w:rPr>
        <w:t>n approximate</w:t>
      </w:r>
      <w:r w:rsidRPr="00A26039" w:rsidR="00381E10">
        <w:rPr>
          <w:rFonts w:ascii="Times New Roman" w:hAnsi="Times New Roman" w:cs="Times New Roman"/>
          <w:iCs/>
          <w:sz w:val="24"/>
          <w:szCs w:val="24"/>
        </w:rPr>
        <w:t xml:space="preserve"> $170 million-dollar additional </w:t>
      </w:r>
      <w:r w:rsidRPr="00A26039" w:rsidR="004E6A72">
        <w:rPr>
          <w:rFonts w:ascii="Times New Roman" w:hAnsi="Times New Roman" w:cs="Times New Roman"/>
          <w:iCs/>
          <w:sz w:val="24"/>
          <w:szCs w:val="24"/>
        </w:rPr>
        <w:t>charge</w:t>
      </w:r>
      <w:r>
        <w:rPr>
          <w:rStyle w:val="FootnoteReference"/>
          <w:rFonts w:ascii="Times New Roman" w:hAnsi="Times New Roman" w:cs="Times New Roman"/>
          <w:iCs/>
          <w:sz w:val="24"/>
          <w:szCs w:val="24"/>
        </w:rPr>
        <w:footnoteReference w:id="59"/>
      </w:r>
      <w:r w:rsidRPr="00A26039" w:rsidR="00381E10">
        <w:rPr>
          <w:rFonts w:ascii="Times New Roman" w:hAnsi="Times New Roman" w:cs="Times New Roman"/>
          <w:iCs/>
          <w:sz w:val="24"/>
          <w:szCs w:val="24"/>
        </w:rPr>
        <w:t xml:space="preserve"> to low-income consumers and the USF at large is a serious issue that must be rectified. </w:t>
      </w:r>
      <w:r w:rsidRPr="00A26039">
        <w:rPr>
          <w:rFonts w:ascii="Times New Roman" w:hAnsi="Times New Roman" w:cs="Times New Roman"/>
          <w:iCs/>
          <w:sz w:val="24"/>
          <w:szCs w:val="24"/>
        </w:rPr>
        <w:t>The PUCO could have proposed its own means of addressing the situation.</w:t>
      </w:r>
    </w:p>
    <w:p w:rsidR="00131BF5" w:rsidRPr="00A26039" w:rsidP="006E3C8D" w14:paraId="3DBB6E15" w14:textId="72268D40">
      <w:pPr>
        <w:spacing w:after="0" w:line="480" w:lineRule="auto"/>
        <w:ind w:firstLine="720"/>
        <w:rPr>
          <w:rFonts w:ascii="Times New Roman" w:hAnsi="Times New Roman" w:cs="Times New Roman"/>
          <w:iCs/>
          <w:sz w:val="24"/>
          <w:szCs w:val="24"/>
        </w:rPr>
      </w:pPr>
      <w:r w:rsidRPr="00A26039">
        <w:rPr>
          <w:rFonts w:ascii="Times New Roman" w:hAnsi="Times New Roman" w:cs="Times New Roman"/>
          <w:iCs/>
          <w:sz w:val="24"/>
          <w:szCs w:val="24"/>
        </w:rPr>
        <w:t>Instead, t</w:t>
      </w:r>
      <w:r w:rsidRPr="00A26039" w:rsidR="00381E10">
        <w:rPr>
          <w:rFonts w:ascii="Times New Roman" w:hAnsi="Times New Roman" w:cs="Times New Roman"/>
          <w:iCs/>
          <w:sz w:val="24"/>
          <w:szCs w:val="24"/>
        </w:rPr>
        <w:t>he PUCO</w:t>
      </w:r>
      <w:r w:rsidRPr="00A26039" w:rsidR="00094235">
        <w:rPr>
          <w:rFonts w:ascii="Times New Roman" w:hAnsi="Times New Roman" w:cs="Times New Roman"/>
          <w:iCs/>
          <w:sz w:val="24"/>
          <w:szCs w:val="24"/>
        </w:rPr>
        <w:t xml:space="preserve">’s Opinion and Order </w:t>
      </w:r>
      <w:r w:rsidRPr="00A26039" w:rsidR="00381E10">
        <w:rPr>
          <w:rFonts w:ascii="Times New Roman" w:hAnsi="Times New Roman" w:cs="Times New Roman"/>
          <w:iCs/>
          <w:sz w:val="24"/>
          <w:szCs w:val="24"/>
        </w:rPr>
        <w:t xml:space="preserve">minimizes the concern by saying that they “addressed the possibility of this situation” (higher PIPP rates in relation to the SSO) in the </w:t>
      </w:r>
      <w:r w:rsidRPr="00A26039" w:rsidR="00381E10">
        <w:rPr>
          <w:rFonts w:ascii="Times New Roman" w:hAnsi="Times New Roman" w:cs="Times New Roman"/>
          <w:i/>
          <w:sz w:val="24"/>
          <w:szCs w:val="24"/>
        </w:rPr>
        <w:t>PIPP RFP Case.</w:t>
      </w:r>
      <w:r>
        <w:rPr>
          <w:rStyle w:val="FootnoteReference"/>
          <w:rFonts w:ascii="Times New Roman" w:hAnsi="Times New Roman" w:cs="Times New Roman"/>
          <w:iCs/>
          <w:sz w:val="24"/>
          <w:szCs w:val="24"/>
        </w:rPr>
        <w:footnoteReference w:id="60"/>
      </w:r>
      <w:r w:rsidRPr="00A26039" w:rsidR="00381E10">
        <w:rPr>
          <w:rFonts w:ascii="Times New Roman" w:hAnsi="Times New Roman" w:cs="Times New Roman"/>
          <w:iCs/>
          <w:sz w:val="24"/>
          <w:szCs w:val="24"/>
        </w:rPr>
        <w:t xml:space="preserve"> </w:t>
      </w:r>
      <w:r w:rsidRPr="00A26039">
        <w:rPr>
          <w:rFonts w:ascii="Times New Roman" w:hAnsi="Times New Roman" w:cs="Times New Roman"/>
          <w:iCs/>
          <w:sz w:val="24"/>
          <w:szCs w:val="24"/>
        </w:rPr>
        <w:t xml:space="preserve">And then </w:t>
      </w:r>
      <w:r w:rsidRPr="00A26039" w:rsidR="00094235">
        <w:rPr>
          <w:rFonts w:ascii="Times New Roman" w:hAnsi="Times New Roman" w:cs="Times New Roman"/>
          <w:iCs/>
          <w:sz w:val="24"/>
          <w:szCs w:val="24"/>
        </w:rPr>
        <w:t xml:space="preserve">the PUCO </w:t>
      </w:r>
      <w:r w:rsidRPr="00A26039">
        <w:rPr>
          <w:rFonts w:ascii="Times New Roman" w:hAnsi="Times New Roman" w:cs="Times New Roman"/>
          <w:iCs/>
          <w:sz w:val="24"/>
          <w:szCs w:val="24"/>
        </w:rPr>
        <w:t xml:space="preserve">cites the </w:t>
      </w:r>
      <w:r w:rsidRPr="00A26039" w:rsidR="00094235">
        <w:rPr>
          <w:rFonts w:ascii="Times New Roman" w:hAnsi="Times New Roman" w:cs="Times New Roman"/>
          <w:iCs/>
          <w:sz w:val="24"/>
          <w:szCs w:val="24"/>
        </w:rPr>
        <w:t xml:space="preserve">Finding and </w:t>
      </w:r>
      <w:r w:rsidRPr="00A26039" w:rsidR="00267105">
        <w:rPr>
          <w:rFonts w:ascii="Times New Roman" w:hAnsi="Times New Roman" w:cs="Times New Roman"/>
          <w:iCs/>
          <w:sz w:val="24"/>
          <w:szCs w:val="24"/>
        </w:rPr>
        <w:t>Order in that case</w:t>
      </w:r>
      <w:r w:rsidRPr="00A26039">
        <w:rPr>
          <w:rFonts w:ascii="Times New Roman" w:hAnsi="Times New Roman" w:cs="Times New Roman"/>
          <w:iCs/>
          <w:sz w:val="24"/>
          <w:szCs w:val="24"/>
        </w:rPr>
        <w:t xml:space="preserve"> that “the RFP auction has been established to reduce the cost of the PIPP program to the otherwise applicable SSO over the long-term, in compliance with R.C. 4928.542(B).” </w:t>
      </w:r>
    </w:p>
    <w:p w:rsidR="00131BF5" w:rsidRPr="00A26039" w:rsidP="00131BF5" w14:paraId="2BEF346F" w14:textId="5600E5D6">
      <w:pPr>
        <w:spacing w:after="0" w:line="480" w:lineRule="auto"/>
        <w:ind w:firstLine="720"/>
        <w:rPr>
          <w:rFonts w:ascii="Times New Roman" w:hAnsi="Times New Roman" w:cs="Times New Roman"/>
          <w:sz w:val="24"/>
          <w:szCs w:val="24"/>
        </w:rPr>
      </w:pPr>
      <w:r w:rsidRPr="00A26039">
        <w:rPr>
          <w:rFonts w:ascii="Times New Roman" w:hAnsi="Times New Roman" w:cs="Times New Roman"/>
          <w:iCs/>
          <w:sz w:val="24"/>
          <w:szCs w:val="24"/>
        </w:rPr>
        <w:t xml:space="preserve">Earlier, OCC discussed how the “over the long-term” language does not conform with Ohio law. But even if the </w:t>
      </w:r>
      <w:r w:rsidRPr="00A26039">
        <w:rPr>
          <w:rFonts w:ascii="Times New Roman" w:hAnsi="Times New Roman" w:cs="Times New Roman"/>
          <w:sz w:val="24"/>
          <w:szCs w:val="24"/>
        </w:rPr>
        <w:t>intent of the PUCO design of the PIPP RFP auction was that savings were to be realized over the long-term,</w:t>
      </w:r>
      <w:r w:rsidRPr="00A26039" w:rsidR="00B850B2">
        <w:rPr>
          <w:rFonts w:ascii="Times New Roman" w:hAnsi="Times New Roman" w:cs="Times New Roman"/>
          <w:sz w:val="24"/>
          <w:szCs w:val="24"/>
        </w:rPr>
        <w:t xml:space="preserve"> the PUCO erred in not recognizing that the</w:t>
      </w:r>
      <w:r w:rsidRPr="00A26039">
        <w:rPr>
          <w:rFonts w:ascii="Times New Roman" w:hAnsi="Times New Roman" w:cs="Times New Roman"/>
          <w:sz w:val="24"/>
          <w:szCs w:val="24"/>
        </w:rPr>
        <w:t xml:space="preserve"> RFP auction process has failed</w:t>
      </w:r>
      <w:r w:rsidRPr="00A26039" w:rsidR="00587B74">
        <w:rPr>
          <w:rFonts w:ascii="Times New Roman" w:hAnsi="Times New Roman" w:cs="Times New Roman"/>
          <w:sz w:val="24"/>
          <w:szCs w:val="24"/>
        </w:rPr>
        <w:t xml:space="preserve"> to do this</w:t>
      </w:r>
      <w:r w:rsidRPr="00A26039">
        <w:rPr>
          <w:rFonts w:ascii="Times New Roman" w:hAnsi="Times New Roman" w:cs="Times New Roman"/>
          <w:sz w:val="24"/>
          <w:szCs w:val="24"/>
        </w:rPr>
        <w:t xml:space="preserve">. As </w:t>
      </w:r>
      <w:r w:rsidRPr="00A26039" w:rsidR="00530D1E">
        <w:rPr>
          <w:rFonts w:ascii="Times New Roman" w:hAnsi="Times New Roman" w:cs="Times New Roman"/>
          <w:sz w:val="24"/>
          <w:szCs w:val="24"/>
        </w:rPr>
        <w:t>OCC’s</w:t>
      </w:r>
      <w:r w:rsidRPr="00A26039">
        <w:rPr>
          <w:rFonts w:ascii="Times New Roman" w:hAnsi="Times New Roman" w:cs="Times New Roman"/>
          <w:sz w:val="24"/>
          <w:szCs w:val="24"/>
        </w:rPr>
        <w:t xml:space="preserve"> estimates </w:t>
      </w:r>
      <w:r w:rsidRPr="00A26039" w:rsidR="00094235">
        <w:rPr>
          <w:rFonts w:ascii="Times New Roman" w:hAnsi="Times New Roman" w:cs="Times New Roman"/>
          <w:sz w:val="24"/>
          <w:szCs w:val="24"/>
        </w:rPr>
        <w:t>(in the record) show,</w:t>
      </w:r>
      <w:r>
        <w:rPr>
          <w:rStyle w:val="FootnoteReference"/>
          <w:rFonts w:ascii="Times New Roman" w:hAnsi="Times New Roman" w:cs="Times New Roman"/>
          <w:sz w:val="24"/>
          <w:szCs w:val="24"/>
        </w:rPr>
        <w:footnoteReference w:id="61"/>
      </w:r>
      <w:r w:rsidRPr="00A26039">
        <w:rPr>
          <w:rFonts w:ascii="Times New Roman" w:hAnsi="Times New Roman" w:cs="Times New Roman"/>
          <w:sz w:val="24"/>
          <w:szCs w:val="24"/>
        </w:rPr>
        <w:t xml:space="preserve"> savings have </w:t>
      </w:r>
      <w:r w:rsidRPr="00A26039">
        <w:rPr>
          <w:rFonts w:ascii="Times New Roman" w:hAnsi="Times New Roman" w:cs="Times New Roman"/>
          <w:i/>
          <w:iCs/>
          <w:sz w:val="24"/>
          <w:szCs w:val="24"/>
        </w:rPr>
        <w:t>not</w:t>
      </w:r>
      <w:r w:rsidRPr="00A26039">
        <w:rPr>
          <w:rFonts w:ascii="Times New Roman" w:hAnsi="Times New Roman" w:cs="Times New Roman"/>
          <w:sz w:val="24"/>
          <w:szCs w:val="24"/>
        </w:rPr>
        <w:t xml:space="preserve"> been realized in the utilities’ separate PIPP auctions. The PUCO did not address the flaws in its process and the Orders that would permit such an outcome. Nor did </w:t>
      </w:r>
      <w:r w:rsidRPr="00A26039" w:rsidR="00B850B2">
        <w:rPr>
          <w:rFonts w:ascii="Times New Roman" w:hAnsi="Times New Roman" w:cs="Times New Roman"/>
          <w:sz w:val="24"/>
          <w:szCs w:val="24"/>
        </w:rPr>
        <w:t>the Order</w:t>
      </w:r>
      <w:r w:rsidRPr="00A26039">
        <w:rPr>
          <w:rFonts w:ascii="Times New Roman" w:hAnsi="Times New Roman" w:cs="Times New Roman"/>
          <w:sz w:val="24"/>
          <w:szCs w:val="24"/>
        </w:rPr>
        <w:t xml:space="preserve"> identify any savings that have occurred through the PIPP RFP auctions. </w:t>
      </w:r>
      <w:r w:rsidRPr="00A26039" w:rsidR="00530D1E">
        <w:rPr>
          <w:rFonts w:ascii="Times New Roman" w:hAnsi="Times New Roman" w:cs="Times New Roman"/>
          <w:sz w:val="24"/>
          <w:szCs w:val="24"/>
        </w:rPr>
        <w:t xml:space="preserve">“Over the long-term” is not defined. Is </w:t>
      </w:r>
      <w:r w:rsidRPr="00A26039" w:rsidR="006B6172">
        <w:rPr>
          <w:rFonts w:ascii="Times New Roman" w:hAnsi="Times New Roman" w:cs="Times New Roman"/>
          <w:sz w:val="24"/>
          <w:szCs w:val="24"/>
        </w:rPr>
        <w:t>it</w:t>
      </w:r>
      <w:r w:rsidRPr="00A26039" w:rsidR="00530D1E">
        <w:rPr>
          <w:rFonts w:ascii="Times New Roman" w:hAnsi="Times New Roman" w:cs="Times New Roman"/>
          <w:sz w:val="24"/>
          <w:szCs w:val="24"/>
        </w:rPr>
        <w:t xml:space="preserve"> two years, five years, or twenty-five years? When these savings </w:t>
      </w:r>
      <w:r w:rsidRPr="00A26039" w:rsidR="004E6A72">
        <w:rPr>
          <w:rFonts w:ascii="Times New Roman" w:hAnsi="Times New Roman" w:cs="Times New Roman"/>
          <w:sz w:val="24"/>
          <w:szCs w:val="24"/>
        </w:rPr>
        <w:t xml:space="preserve">will </w:t>
      </w:r>
      <w:r w:rsidRPr="00A26039" w:rsidR="00530D1E">
        <w:rPr>
          <w:rFonts w:ascii="Times New Roman" w:hAnsi="Times New Roman" w:cs="Times New Roman"/>
          <w:sz w:val="24"/>
          <w:szCs w:val="24"/>
        </w:rPr>
        <w:t>occur</w:t>
      </w:r>
      <w:r w:rsidRPr="00A26039" w:rsidR="004E6A72">
        <w:rPr>
          <w:rFonts w:ascii="Times New Roman" w:hAnsi="Times New Roman" w:cs="Times New Roman"/>
          <w:sz w:val="24"/>
          <w:szCs w:val="24"/>
        </w:rPr>
        <w:t xml:space="preserve"> is undefined</w:t>
      </w:r>
      <w:r w:rsidRPr="00A26039" w:rsidR="00530D1E">
        <w:rPr>
          <w:rFonts w:ascii="Times New Roman" w:hAnsi="Times New Roman" w:cs="Times New Roman"/>
          <w:sz w:val="24"/>
          <w:szCs w:val="24"/>
        </w:rPr>
        <w:t xml:space="preserve">. </w:t>
      </w:r>
      <w:r w:rsidRPr="00A26039">
        <w:rPr>
          <w:rFonts w:ascii="Times New Roman" w:hAnsi="Times New Roman" w:cs="Times New Roman"/>
          <w:sz w:val="24"/>
          <w:szCs w:val="24"/>
        </w:rPr>
        <w:t xml:space="preserve">This </w:t>
      </w:r>
      <w:r w:rsidRPr="00A26039" w:rsidR="00530D1E">
        <w:rPr>
          <w:rFonts w:ascii="Times New Roman" w:hAnsi="Times New Roman" w:cs="Times New Roman"/>
          <w:sz w:val="24"/>
          <w:szCs w:val="24"/>
        </w:rPr>
        <w:t xml:space="preserve">auction process </w:t>
      </w:r>
      <w:r w:rsidRPr="00A26039">
        <w:rPr>
          <w:rFonts w:ascii="Times New Roman" w:hAnsi="Times New Roman" w:cs="Times New Roman"/>
          <w:sz w:val="24"/>
          <w:szCs w:val="24"/>
        </w:rPr>
        <w:t xml:space="preserve">harms PIPP consumers. It also harms non-PIPP consumers who pay for the Universal Service Fund rider to fund the PIPP program. </w:t>
      </w:r>
    </w:p>
    <w:p w:rsidR="008334CB" w:rsidRPr="00A26039" w:rsidP="006E3C8D" w14:paraId="56185FBB" w14:textId="4DD8855A">
      <w:pPr>
        <w:spacing w:after="0" w:line="480" w:lineRule="auto"/>
        <w:ind w:firstLine="720"/>
        <w:rPr>
          <w:rFonts w:ascii="Times New Roman" w:hAnsi="Times New Roman" w:cs="Times New Roman"/>
          <w:color w:val="000000"/>
          <w:sz w:val="24"/>
          <w:szCs w:val="24"/>
        </w:rPr>
      </w:pPr>
      <w:r w:rsidRPr="00A26039">
        <w:rPr>
          <w:rFonts w:ascii="Times New Roman" w:hAnsi="Times New Roman" w:cs="Times New Roman"/>
          <w:sz w:val="24"/>
          <w:szCs w:val="24"/>
        </w:rPr>
        <w:t>It is not a “collateral attack”</w:t>
      </w:r>
      <w:r>
        <w:rPr>
          <w:rStyle w:val="FootnoteReference"/>
          <w:rFonts w:ascii="Times New Roman" w:hAnsi="Times New Roman" w:cs="Times New Roman"/>
          <w:sz w:val="24"/>
          <w:szCs w:val="24"/>
        </w:rPr>
        <w:footnoteReference w:id="62"/>
      </w:r>
      <w:r w:rsidRPr="00A26039">
        <w:rPr>
          <w:rFonts w:ascii="Times New Roman" w:hAnsi="Times New Roman" w:cs="Times New Roman"/>
          <w:sz w:val="24"/>
          <w:szCs w:val="24"/>
        </w:rPr>
        <w:t xml:space="preserve"> to point out errors in a </w:t>
      </w:r>
      <w:r w:rsidRPr="00A26039" w:rsidR="00094235">
        <w:rPr>
          <w:rFonts w:ascii="Times New Roman" w:hAnsi="Times New Roman" w:cs="Times New Roman"/>
          <w:sz w:val="24"/>
          <w:szCs w:val="24"/>
        </w:rPr>
        <w:t>case</w:t>
      </w:r>
      <w:r w:rsidRPr="00A26039">
        <w:rPr>
          <w:rFonts w:ascii="Times New Roman" w:hAnsi="Times New Roman" w:cs="Times New Roman"/>
          <w:sz w:val="24"/>
          <w:szCs w:val="24"/>
        </w:rPr>
        <w:t xml:space="preserve"> that have shown with the benefit of time to harm consumers and the public </w:t>
      </w:r>
      <w:r w:rsidRPr="00A26039" w:rsidR="004E6A72">
        <w:rPr>
          <w:rFonts w:ascii="Times New Roman" w:hAnsi="Times New Roman" w:cs="Times New Roman"/>
          <w:sz w:val="24"/>
          <w:szCs w:val="24"/>
        </w:rPr>
        <w:t>interest.</w:t>
      </w:r>
      <w:r w:rsidRPr="00A26039" w:rsidR="00A5711A">
        <w:rPr>
          <w:rFonts w:ascii="Times New Roman" w:hAnsi="Times New Roman" w:cs="Times New Roman"/>
          <w:sz w:val="24"/>
          <w:szCs w:val="24"/>
        </w:rPr>
        <w:t xml:space="preserve"> The </w:t>
      </w:r>
      <w:r w:rsidRPr="00A26039" w:rsidR="009957F7">
        <w:rPr>
          <w:rFonts w:ascii="Times New Roman" w:hAnsi="Times New Roman" w:cs="Times New Roman"/>
          <w:i/>
          <w:iCs/>
          <w:sz w:val="24"/>
          <w:szCs w:val="24"/>
        </w:rPr>
        <w:t xml:space="preserve">RFP Auction </w:t>
      </w:r>
      <w:r w:rsidRPr="00A26039" w:rsidR="00094235">
        <w:rPr>
          <w:rFonts w:ascii="Times New Roman" w:hAnsi="Times New Roman" w:cs="Times New Roman"/>
          <w:i/>
          <w:iCs/>
          <w:sz w:val="24"/>
          <w:szCs w:val="24"/>
        </w:rPr>
        <w:t>Case</w:t>
      </w:r>
      <w:r>
        <w:rPr>
          <w:rStyle w:val="FootnoteReference"/>
          <w:rFonts w:ascii="Times New Roman" w:hAnsi="Times New Roman" w:cs="Times New Roman"/>
          <w:sz w:val="24"/>
          <w:szCs w:val="24"/>
        </w:rPr>
        <w:footnoteReference w:id="63"/>
      </w:r>
      <w:r w:rsidRPr="00A26039" w:rsidR="009957F7">
        <w:rPr>
          <w:rFonts w:ascii="Times New Roman" w:hAnsi="Times New Roman" w:cs="Times New Roman"/>
          <w:sz w:val="24"/>
          <w:szCs w:val="24"/>
        </w:rPr>
        <w:t xml:space="preserve"> is </w:t>
      </w:r>
      <w:r w:rsidRPr="00A26039" w:rsidR="00094235">
        <w:rPr>
          <w:rFonts w:ascii="Times New Roman" w:hAnsi="Times New Roman" w:cs="Times New Roman"/>
          <w:sz w:val="24"/>
          <w:szCs w:val="24"/>
        </w:rPr>
        <w:t>one</w:t>
      </w:r>
      <w:r w:rsidRPr="00A26039" w:rsidR="009957F7">
        <w:rPr>
          <w:rFonts w:ascii="Times New Roman" w:hAnsi="Times New Roman" w:cs="Times New Roman"/>
          <w:sz w:val="24"/>
          <w:szCs w:val="24"/>
        </w:rPr>
        <w:t xml:space="preserve"> </w:t>
      </w:r>
      <w:r w:rsidRPr="00A26039" w:rsidR="00587B74">
        <w:rPr>
          <w:rFonts w:ascii="Times New Roman" w:hAnsi="Times New Roman" w:cs="Times New Roman"/>
          <w:sz w:val="24"/>
          <w:szCs w:val="24"/>
        </w:rPr>
        <w:t xml:space="preserve">that </w:t>
      </w:r>
      <w:r w:rsidRPr="00A26039" w:rsidR="00B850B2">
        <w:rPr>
          <w:rFonts w:ascii="Times New Roman" w:hAnsi="Times New Roman" w:cs="Times New Roman"/>
          <w:sz w:val="24"/>
          <w:szCs w:val="24"/>
        </w:rPr>
        <w:t xml:space="preserve">the PUCO on its own Motion should be revisiting. </w:t>
      </w:r>
      <w:r w:rsidRPr="00A26039" w:rsidR="00B92465">
        <w:rPr>
          <w:rFonts w:ascii="Times New Roman" w:hAnsi="Times New Roman" w:cs="Times New Roman"/>
          <w:color w:val="000000"/>
          <w:sz w:val="24"/>
          <w:szCs w:val="24"/>
        </w:rPr>
        <w:t xml:space="preserve">OCC has properly raised the issue of the unlawful, higher PIPP rates in the NOI phase of this proceeding. The case is </w:t>
      </w:r>
      <w:r w:rsidRPr="00A26039" w:rsidR="00B850B2">
        <w:rPr>
          <w:rFonts w:ascii="Times New Roman" w:hAnsi="Times New Roman" w:cs="Times New Roman"/>
          <w:color w:val="000000"/>
          <w:sz w:val="24"/>
          <w:szCs w:val="24"/>
        </w:rPr>
        <w:t>r</w:t>
      </w:r>
      <w:r w:rsidRPr="00A26039" w:rsidR="00B92465">
        <w:rPr>
          <w:rFonts w:ascii="Times New Roman" w:hAnsi="Times New Roman" w:cs="Times New Roman"/>
          <w:color w:val="000000"/>
          <w:sz w:val="24"/>
          <w:szCs w:val="24"/>
        </w:rPr>
        <w:t xml:space="preserve">ipe for adjudication because the facts about the substantial harm to consumers </w:t>
      </w:r>
      <w:r w:rsidRPr="00A26039" w:rsidR="00587B74">
        <w:rPr>
          <w:rFonts w:ascii="Times New Roman" w:hAnsi="Times New Roman" w:cs="Times New Roman"/>
          <w:color w:val="000000"/>
          <w:sz w:val="24"/>
          <w:szCs w:val="24"/>
        </w:rPr>
        <w:t xml:space="preserve">of all </w:t>
      </w:r>
      <w:r w:rsidRPr="00A26039" w:rsidR="001F06AB">
        <w:rPr>
          <w:rFonts w:ascii="Times New Roman" w:hAnsi="Times New Roman" w:cs="Times New Roman"/>
          <w:color w:val="000000"/>
          <w:sz w:val="24"/>
          <w:szCs w:val="24"/>
        </w:rPr>
        <w:t xml:space="preserve">six </w:t>
      </w:r>
      <w:r w:rsidRPr="00A26039" w:rsidR="00587B74">
        <w:rPr>
          <w:rFonts w:ascii="Times New Roman" w:hAnsi="Times New Roman" w:cs="Times New Roman"/>
          <w:color w:val="000000"/>
          <w:sz w:val="24"/>
          <w:szCs w:val="24"/>
        </w:rPr>
        <w:t>of the electric</w:t>
      </w:r>
      <w:r w:rsidRPr="00A26039" w:rsidR="001F06AB">
        <w:rPr>
          <w:rFonts w:ascii="Times New Roman" w:hAnsi="Times New Roman" w:cs="Times New Roman"/>
          <w:color w:val="000000"/>
          <w:sz w:val="24"/>
          <w:szCs w:val="24"/>
        </w:rPr>
        <w:t xml:space="preserve"> distribution </w:t>
      </w:r>
      <w:r w:rsidRPr="00A26039" w:rsidR="00587B74">
        <w:rPr>
          <w:rFonts w:ascii="Times New Roman" w:hAnsi="Times New Roman" w:cs="Times New Roman"/>
          <w:color w:val="000000"/>
          <w:sz w:val="24"/>
          <w:szCs w:val="24"/>
        </w:rPr>
        <w:t xml:space="preserve">utilities </w:t>
      </w:r>
      <w:r w:rsidRPr="00A26039" w:rsidR="00B92465">
        <w:rPr>
          <w:rFonts w:ascii="Times New Roman" w:hAnsi="Times New Roman" w:cs="Times New Roman"/>
          <w:color w:val="000000"/>
          <w:sz w:val="24"/>
          <w:szCs w:val="24"/>
        </w:rPr>
        <w:t xml:space="preserve">can now be established. And </w:t>
      </w:r>
      <w:r w:rsidRPr="00A26039" w:rsidR="00094235">
        <w:rPr>
          <w:rFonts w:ascii="Times New Roman" w:hAnsi="Times New Roman" w:cs="Times New Roman"/>
          <w:color w:val="000000"/>
          <w:sz w:val="24"/>
          <w:szCs w:val="24"/>
        </w:rPr>
        <w:t>given that</w:t>
      </w:r>
      <w:r w:rsidRPr="00A26039" w:rsidR="00B92465">
        <w:rPr>
          <w:rFonts w:ascii="Times New Roman" w:hAnsi="Times New Roman" w:cs="Times New Roman"/>
          <w:color w:val="000000"/>
          <w:sz w:val="24"/>
          <w:szCs w:val="24"/>
        </w:rPr>
        <w:t xml:space="preserve"> consumers have </w:t>
      </w:r>
      <w:r w:rsidRPr="00A26039" w:rsidR="00BA54AB">
        <w:rPr>
          <w:rFonts w:ascii="Times New Roman" w:hAnsi="Times New Roman" w:cs="Times New Roman"/>
          <w:color w:val="000000"/>
          <w:sz w:val="24"/>
          <w:szCs w:val="24"/>
        </w:rPr>
        <w:t>been charged t</w:t>
      </w:r>
      <w:r w:rsidRPr="00A26039" w:rsidR="00B92465">
        <w:rPr>
          <w:rFonts w:ascii="Times New Roman" w:hAnsi="Times New Roman" w:cs="Times New Roman"/>
          <w:color w:val="000000"/>
          <w:sz w:val="24"/>
          <w:szCs w:val="24"/>
        </w:rPr>
        <w:t>he higher PIPP rates since June, harm has already occurred.</w:t>
      </w:r>
      <w:r w:rsidRPr="00A26039" w:rsidR="00B850B2">
        <w:rPr>
          <w:rFonts w:ascii="Times New Roman" w:hAnsi="Times New Roman" w:cs="Times New Roman"/>
          <w:color w:val="000000"/>
          <w:sz w:val="24"/>
          <w:szCs w:val="24"/>
        </w:rPr>
        <w:t xml:space="preserve"> Rehearing should be granted.</w:t>
      </w:r>
    </w:p>
    <w:p w:rsidR="00511959" w:rsidRPr="00E6104B" w:rsidP="00E6104B" w14:paraId="7F409930" w14:textId="55A0EE43">
      <w:pPr>
        <w:pStyle w:val="Heading2"/>
      </w:pPr>
      <w:bookmarkStart w:id="13" w:name="_Toc118472309"/>
      <w:r w:rsidRPr="00444595">
        <w:rPr>
          <w:b/>
          <w:bCs/>
        </w:rPr>
        <w:t>ASSIGNMENT OF ERROR NO. 4:</w:t>
      </w:r>
      <w:r w:rsidRPr="00A26039">
        <w:t xml:space="preserve"> The PUCO erred by unreasonably and unlawfully finding that the Settlement showed that serious bargaining occurred and that diversity of interests was not required thus violating the first prong of the PUCO’s Settlement standard.</w:t>
      </w:r>
      <w:bookmarkEnd w:id="13"/>
      <w:r w:rsidRPr="00A26039">
        <w:t xml:space="preserve"> </w:t>
      </w:r>
    </w:p>
    <w:p w:rsidR="00773B01" w:rsidRPr="00A26039" w:rsidP="006E3C8D" w14:paraId="7409D48D" w14:textId="0F7FB4D3">
      <w:pPr>
        <w:spacing w:after="0" w:line="480" w:lineRule="auto"/>
        <w:ind w:firstLine="720"/>
        <w:rPr>
          <w:rFonts w:ascii="Times New Roman" w:hAnsi="Times New Roman" w:cs="Times New Roman"/>
          <w:color w:val="000000"/>
          <w:sz w:val="24"/>
          <w:szCs w:val="24"/>
        </w:rPr>
      </w:pPr>
      <w:r w:rsidRPr="00A26039">
        <w:rPr>
          <w:rFonts w:ascii="Times New Roman" w:hAnsi="Times New Roman" w:cs="Times New Roman"/>
          <w:color w:val="000000"/>
          <w:sz w:val="24"/>
          <w:szCs w:val="24"/>
        </w:rPr>
        <w:t xml:space="preserve">The PUCO erred in </w:t>
      </w:r>
      <w:r w:rsidRPr="00A26039" w:rsidR="008372D3">
        <w:rPr>
          <w:rFonts w:ascii="Times New Roman" w:hAnsi="Times New Roman" w:cs="Times New Roman"/>
          <w:color w:val="000000"/>
          <w:sz w:val="24"/>
          <w:szCs w:val="24"/>
        </w:rPr>
        <w:t>finding that the Settlement is the product of serious bargaining among capable, knowledgeable parties because little to no serious bargaining occurred.</w:t>
      </w:r>
      <w:r>
        <w:rPr>
          <w:rStyle w:val="FootnoteReference"/>
          <w:rFonts w:ascii="Times New Roman" w:hAnsi="Times New Roman" w:cs="Times New Roman"/>
          <w:color w:val="000000"/>
          <w:sz w:val="24"/>
          <w:szCs w:val="24"/>
        </w:rPr>
        <w:footnoteReference w:id="64"/>
      </w:r>
      <w:r w:rsidRPr="00A26039" w:rsidR="008372D3">
        <w:rPr>
          <w:rFonts w:ascii="Times New Roman" w:hAnsi="Times New Roman" w:cs="Times New Roman"/>
          <w:color w:val="000000"/>
          <w:sz w:val="24"/>
          <w:szCs w:val="24"/>
        </w:rPr>
        <w:t xml:space="preserve"> The </w:t>
      </w:r>
      <w:r w:rsidRPr="00A26039" w:rsidR="004E6A72">
        <w:rPr>
          <w:rFonts w:ascii="Times New Roman" w:hAnsi="Times New Roman" w:cs="Times New Roman"/>
          <w:color w:val="000000"/>
          <w:sz w:val="24"/>
          <w:szCs w:val="24"/>
        </w:rPr>
        <w:t xml:space="preserve">filed </w:t>
      </w:r>
      <w:r w:rsidRPr="00A26039" w:rsidR="008372D3">
        <w:rPr>
          <w:rFonts w:ascii="Times New Roman" w:hAnsi="Times New Roman" w:cs="Times New Roman"/>
          <w:color w:val="000000"/>
          <w:sz w:val="24"/>
          <w:szCs w:val="24"/>
        </w:rPr>
        <w:t xml:space="preserve">Settlement </w:t>
      </w:r>
      <w:r w:rsidRPr="00A26039" w:rsidR="004E6A72">
        <w:rPr>
          <w:rFonts w:ascii="Times New Roman" w:hAnsi="Times New Roman" w:cs="Times New Roman"/>
          <w:color w:val="000000"/>
          <w:sz w:val="24"/>
          <w:szCs w:val="24"/>
        </w:rPr>
        <w:t>essentially adopted</w:t>
      </w:r>
      <w:r w:rsidRPr="00A26039" w:rsidR="008372D3">
        <w:rPr>
          <w:rFonts w:ascii="Times New Roman" w:hAnsi="Times New Roman" w:cs="Times New Roman"/>
          <w:color w:val="000000"/>
          <w:sz w:val="24"/>
          <w:szCs w:val="24"/>
        </w:rPr>
        <w:t xml:space="preserve"> ODOD’s N</w:t>
      </w:r>
      <w:r w:rsidRPr="00A26039" w:rsidR="00A43584">
        <w:rPr>
          <w:rFonts w:ascii="Times New Roman" w:hAnsi="Times New Roman" w:cs="Times New Roman"/>
          <w:color w:val="000000"/>
          <w:sz w:val="24"/>
          <w:szCs w:val="24"/>
        </w:rPr>
        <w:t>otice of Intent</w:t>
      </w:r>
      <w:r w:rsidRPr="00A26039" w:rsidR="004E6A72">
        <w:rPr>
          <w:rFonts w:ascii="Times New Roman" w:hAnsi="Times New Roman" w:cs="Times New Roman"/>
          <w:color w:val="000000"/>
          <w:sz w:val="24"/>
          <w:szCs w:val="24"/>
        </w:rPr>
        <w:t xml:space="preserve"> </w:t>
      </w:r>
      <w:r w:rsidRPr="00A26039" w:rsidR="008372D3">
        <w:rPr>
          <w:rFonts w:ascii="Times New Roman" w:hAnsi="Times New Roman" w:cs="Times New Roman"/>
          <w:color w:val="000000"/>
          <w:sz w:val="24"/>
          <w:szCs w:val="24"/>
        </w:rPr>
        <w:t>application</w:t>
      </w:r>
      <w:r w:rsidRPr="00A26039" w:rsidR="004E6A72">
        <w:rPr>
          <w:rFonts w:ascii="Times New Roman" w:hAnsi="Times New Roman" w:cs="Times New Roman"/>
          <w:color w:val="000000"/>
          <w:sz w:val="24"/>
          <w:szCs w:val="24"/>
        </w:rPr>
        <w:t>,</w:t>
      </w:r>
      <w:r w:rsidRPr="00A26039" w:rsidR="00A24BD2">
        <w:rPr>
          <w:rFonts w:ascii="Times New Roman" w:hAnsi="Times New Roman" w:cs="Times New Roman"/>
          <w:color w:val="000000"/>
          <w:sz w:val="24"/>
          <w:szCs w:val="24"/>
        </w:rPr>
        <w:t xml:space="preserve"> and the PUCO recognizes this</w:t>
      </w:r>
      <w:r w:rsidRPr="00A26039" w:rsidR="008372D3">
        <w:rPr>
          <w:rFonts w:ascii="Times New Roman" w:hAnsi="Times New Roman" w:cs="Times New Roman"/>
          <w:color w:val="000000"/>
          <w:sz w:val="24"/>
          <w:szCs w:val="24"/>
        </w:rPr>
        <w:t xml:space="preserve">. </w:t>
      </w:r>
      <w:r w:rsidRPr="00A26039" w:rsidR="00A24BD2">
        <w:rPr>
          <w:rFonts w:ascii="Times New Roman" w:hAnsi="Times New Roman" w:cs="Times New Roman"/>
          <w:color w:val="000000"/>
          <w:sz w:val="24"/>
          <w:szCs w:val="24"/>
        </w:rPr>
        <w:t xml:space="preserve">As support for </w:t>
      </w:r>
      <w:r w:rsidRPr="00A26039" w:rsidR="008372D3">
        <w:rPr>
          <w:rFonts w:ascii="Times New Roman" w:hAnsi="Times New Roman" w:cs="Times New Roman"/>
          <w:color w:val="000000"/>
          <w:sz w:val="24"/>
          <w:szCs w:val="24"/>
        </w:rPr>
        <w:t xml:space="preserve">finding that the first prong is met, </w:t>
      </w:r>
      <w:r w:rsidRPr="00A26039" w:rsidR="00A24BD2">
        <w:rPr>
          <w:rFonts w:ascii="Times New Roman" w:hAnsi="Times New Roman" w:cs="Times New Roman"/>
          <w:color w:val="000000"/>
          <w:sz w:val="24"/>
          <w:szCs w:val="24"/>
        </w:rPr>
        <w:t xml:space="preserve">the PUCO stated </w:t>
      </w:r>
      <w:r w:rsidRPr="00A26039" w:rsidR="008372D3">
        <w:rPr>
          <w:rFonts w:ascii="Times New Roman" w:hAnsi="Times New Roman" w:cs="Times New Roman"/>
          <w:color w:val="000000"/>
          <w:sz w:val="24"/>
          <w:szCs w:val="24"/>
        </w:rPr>
        <w:t xml:space="preserve">that “the methodology for determining the revenue requirement and rate design for the USF has been undertaken for more than two decades and ODOD’s </w:t>
      </w:r>
      <w:r w:rsidRPr="00A26039" w:rsidR="00A43584">
        <w:rPr>
          <w:rFonts w:ascii="Times New Roman" w:hAnsi="Times New Roman" w:cs="Times New Roman"/>
          <w:color w:val="000000"/>
          <w:sz w:val="24"/>
          <w:szCs w:val="24"/>
        </w:rPr>
        <w:t xml:space="preserve">NOI </w:t>
      </w:r>
      <w:r w:rsidRPr="00A26039" w:rsidR="008372D3">
        <w:rPr>
          <w:rFonts w:ascii="Times New Roman" w:hAnsi="Times New Roman" w:cs="Times New Roman"/>
          <w:color w:val="000000"/>
          <w:sz w:val="24"/>
          <w:szCs w:val="24"/>
        </w:rPr>
        <w:t>application incorporates virtually the same methodologies approved by the Commission in prior USF proceedings.”</w:t>
      </w:r>
      <w:r>
        <w:rPr>
          <w:rStyle w:val="FootnoteReference"/>
          <w:rFonts w:ascii="Times New Roman" w:hAnsi="Times New Roman" w:cs="Times New Roman"/>
          <w:color w:val="000000"/>
          <w:sz w:val="24"/>
          <w:szCs w:val="24"/>
        </w:rPr>
        <w:footnoteReference w:id="65"/>
      </w:r>
      <w:r w:rsidR="00A26039">
        <w:rPr>
          <w:rFonts w:ascii="Times New Roman" w:hAnsi="Times New Roman" w:cs="Times New Roman"/>
          <w:color w:val="000000"/>
          <w:sz w:val="24"/>
          <w:szCs w:val="24"/>
        </w:rPr>
        <w:t xml:space="preserve"> </w:t>
      </w:r>
      <w:r w:rsidRPr="00A26039" w:rsidR="008372D3">
        <w:rPr>
          <w:rFonts w:ascii="Times New Roman" w:hAnsi="Times New Roman" w:cs="Times New Roman"/>
          <w:color w:val="000000"/>
          <w:sz w:val="24"/>
          <w:szCs w:val="24"/>
        </w:rPr>
        <w:t xml:space="preserve">But this </w:t>
      </w:r>
      <w:r w:rsidRPr="00A26039" w:rsidR="00A24BD2">
        <w:rPr>
          <w:rFonts w:ascii="Times New Roman" w:hAnsi="Times New Roman" w:cs="Times New Roman"/>
          <w:color w:val="000000"/>
          <w:sz w:val="24"/>
          <w:szCs w:val="24"/>
        </w:rPr>
        <w:t>concept</w:t>
      </w:r>
      <w:r w:rsidRPr="00A26039" w:rsidR="008372D3">
        <w:rPr>
          <w:rFonts w:ascii="Times New Roman" w:hAnsi="Times New Roman" w:cs="Times New Roman"/>
          <w:color w:val="000000"/>
          <w:sz w:val="24"/>
          <w:szCs w:val="24"/>
        </w:rPr>
        <w:t xml:space="preserve"> supports OCC’s position that </w:t>
      </w:r>
      <w:r w:rsidRPr="00A26039" w:rsidR="00C07A51">
        <w:rPr>
          <w:rFonts w:ascii="Times New Roman" w:hAnsi="Times New Roman" w:cs="Times New Roman"/>
          <w:color w:val="000000"/>
          <w:sz w:val="24"/>
          <w:szCs w:val="24"/>
        </w:rPr>
        <w:t xml:space="preserve">little to </w:t>
      </w:r>
      <w:r w:rsidRPr="00A26039" w:rsidR="008372D3">
        <w:rPr>
          <w:rFonts w:ascii="Times New Roman" w:hAnsi="Times New Roman" w:cs="Times New Roman"/>
          <w:color w:val="000000"/>
          <w:sz w:val="24"/>
          <w:szCs w:val="24"/>
        </w:rPr>
        <w:t>no serious bargaining occurred</w:t>
      </w:r>
      <w:r w:rsidRPr="00A26039" w:rsidR="00C07A51">
        <w:rPr>
          <w:rFonts w:ascii="Times New Roman" w:hAnsi="Times New Roman" w:cs="Times New Roman"/>
          <w:color w:val="000000"/>
          <w:sz w:val="24"/>
          <w:szCs w:val="24"/>
        </w:rPr>
        <w:t>, rather than support</w:t>
      </w:r>
      <w:r w:rsidRPr="00A26039" w:rsidR="00A24BD2">
        <w:rPr>
          <w:rFonts w:ascii="Times New Roman" w:hAnsi="Times New Roman" w:cs="Times New Roman"/>
          <w:color w:val="000000"/>
          <w:sz w:val="24"/>
          <w:szCs w:val="24"/>
        </w:rPr>
        <w:t>s</w:t>
      </w:r>
      <w:r w:rsidRPr="00A26039" w:rsidR="00C07A51">
        <w:rPr>
          <w:rFonts w:ascii="Times New Roman" w:hAnsi="Times New Roman" w:cs="Times New Roman"/>
          <w:color w:val="000000"/>
          <w:sz w:val="24"/>
          <w:szCs w:val="24"/>
        </w:rPr>
        <w:t xml:space="preserve"> that it did occur</w:t>
      </w:r>
      <w:r w:rsidRPr="00A26039" w:rsidR="008372D3">
        <w:rPr>
          <w:rFonts w:ascii="Times New Roman" w:hAnsi="Times New Roman" w:cs="Times New Roman"/>
          <w:color w:val="000000"/>
          <w:sz w:val="24"/>
          <w:szCs w:val="24"/>
        </w:rPr>
        <w:t>.</w:t>
      </w:r>
      <w:r w:rsidR="00A26039">
        <w:rPr>
          <w:rFonts w:ascii="Times New Roman" w:hAnsi="Times New Roman" w:cs="Times New Roman"/>
          <w:color w:val="000000"/>
          <w:sz w:val="24"/>
          <w:szCs w:val="24"/>
        </w:rPr>
        <w:t xml:space="preserve"> </w:t>
      </w:r>
    </w:p>
    <w:p w:rsidR="008372D3" w:rsidRPr="00A26039" w:rsidP="008372D3" w14:paraId="0459E101" w14:textId="2E2572C9">
      <w:pPr>
        <w:spacing w:after="0" w:line="480" w:lineRule="auto"/>
        <w:ind w:firstLine="720"/>
        <w:rPr>
          <w:rFonts w:ascii="Times New Roman" w:hAnsi="Times New Roman" w:cs="Times New Roman"/>
          <w:iCs/>
          <w:sz w:val="24"/>
          <w:szCs w:val="24"/>
        </w:rPr>
      </w:pPr>
      <w:r w:rsidRPr="00A26039">
        <w:rPr>
          <w:rFonts w:ascii="Times New Roman" w:hAnsi="Times New Roman" w:cs="Times New Roman"/>
          <w:sz w:val="24"/>
          <w:szCs w:val="24"/>
        </w:rPr>
        <w:t xml:space="preserve"> As OCC witness Williams testified, "T</w:t>
      </w:r>
      <w:r w:rsidRPr="00A26039">
        <w:rPr>
          <w:rFonts w:ascii="Times New Roman" w:hAnsi="Times New Roman" w:cs="Times New Roman"/>
          <w:iCs/>
          <w:sz w:val="24"/>
          <w:szCs w:val="24"/>
        </w:rPr>
        <w:t>he Settlement accepts verbatim the methodology that ODOD proposed to use to calculate the cost of PIPP, the electric partnership program, administrative costs, the treatment of December 31, 2022 PIPP balances, reserves, allowances for under collections, audit costs, USF interest offsets, the rate design methodology, and the aggregation of PIPP customers.”</w:t>
      </w:r>
      <w:r w:rsidRPr="00A26039">
        <w:rPr>
          <w:rStyle w:val="FootnoteReference"/>
          <w:rFonts w:ascii="Times New Roman" w:hAnsi="Times New Roman" w:cs="Times New Roman"/>
          <w:iCs/>
          <w:sz w:val="24"/>
          <w:szCs w:val="24"/>
        </w:rPr>
        <w:t xml:space="preserve"> </w:t>
      </w:r>
      <w:r>
        <w:rPr>
          <w:rStyle w:val="FootnoteReference"/>
          <w:rFonts w:ascii="Times New Roman" w:hAnsi="Times New Roman" w:cs="Times New Roman"/>
          <w:iCs/>
          <w:sz w:val="24"/>
          <w:szCs w:val="24"/>
        </w:rPr>
        <w:footnoteReference w:id="66"/>
      </w:r>
      <w:r w:rsidRPr="00A26039">
        <w:rPr>
          <w:rFonts w:ascii="Times New Roman" w:hAnsi="Times New Roman" w:cs="Times New Roman"/>
          <w:iCs/>
          <w:sz w:val="24"/>
          <w:szCs w:val="24"/>
        </w:rPr>
        <w:t xml:space="preserve"> </w:t>
      </w:r>
    </w:p>
    <w:p w:rsidR="008372D3" w:rsidRPr="00A26039" w:rsidP="008372D3" w14:paraId="071996C5" w14:textId="309EA8A1">
      <w:pPr>
        <w:spacing w:after="0" w:line="480" w:lineRule="auto"/>
        <w:ind w:firstLine="720"/>
        <w:rPr>
          <w:rFonts w:ascii="Times New Roman" w:hAnsi="Times New Roman" w:cs="Times New Roman"/>
          <w:iCs/>
          <w:sz w:val="24"/>
          <w:szCs w:val="24"/>
        </w:rPr>
      </w:pPr>
      <w:r w:rsidRPr="00A26039">
        <w:rPr>
          <w:rFonts w:ascii="Times New Roman" w:hAnsi="Times New Roman" w:cs="Times New Roman"/>
          <w:iCs/>
          <w:sz w:val="24"/>
          <w:szCs w:val="24"/>
        </w:rPr>
        <w:t>The Settlement makes no mention of the fact that PIPP consumers are being charged higher rates than non-PIPP consumers</w:t>
      </w:r>
      <w:r w:rsidRPr="00A26039" w:rsidR="00C07A51">
        <w:rPr>
          <w:rFonts w:ascii="Times New Roman" w:hAnsi="Times New Roman" w:cs="Times New Roman"/>
          <w:iCs/>
          <w:sz w:val="24"/>
          <w:szCs w:val="24"/>
        </w:rPr>
        <w:t xml:space="preserve"> that would show that any concessions or bargaining occurred.</w:t>
      </w:r>
      <w:r w:rsidRPr="00A26039">
        <w:rPr>
          <w:rFonts w:ascii="Times New Roman" w:hAnsi="Times New Roman" w:cs="Times New Roman"/>
          <w:iCs/>
          <w:sz w:val="24"/>
          <w:szCs w:val="24"/>
        </w:rPr>
        <w:t xml:space="preserve"> </w:t>
      </w:r>
      <w:r w:rsidRPr="00A26039">
        <w:rPr>
          <w:rFonts w:ascii="Times New Roman" w:hAnsi="Times New Roman" w:cs="Times New Roman"/>
          <w:sz w:val="24"/>
          <w:szCs w:val="24"/>
        </w:rPr>
        <w:t xml:space="preserve">The Settlement does not address or even mention the issues that were raised in OCC’s July 6, 2022 Comments. There OCC expressed concern over the nonsensical and unlawful higher generation charges for low-income </w:t>
      </w:r>
      <w:r w:rsidRPr="00A26039">
        <w:rPr>
          <w:rFonts w:ascii="Times New Roman" w:hAnsi="Times New Roman" w:cs="Times New Roman"/>
          <w:iCs/>
          <w:sz w:val="24"/>
          <w:szCs w:val="24"/>
        </w:rPr>
        <w:t>consumers</w:t>
      </w:r>
      <w:r w:rsidRPr="00A26039" w:rsidR="00C07A51">
        <w:rPr>
          <w:rFonts w:ascii="Times New Roman" w:hAnsi="Times New Roman" w:cs="Times New Roman"/>
          <w:iCs/>
          <w:sz w:val="24"/>
          <w:szCs w:val="24"/>
        </w:rPr>
        <w:t>.</w:t>
      </w:r>
      <w:r>
        <w:rPr>
          <w:rStyle w:val="FootnoteReference"/>
          <w:rFonts w:ascii="Times New Roman" w:hAnsi="Times New Roman" w:cs="Times New Roman"/>
          <w:sz w:val="24"/>
          <w:szCs w:val="24"/>
        </w:rPr>
        <w:footnoteReference w:id="67"/>
      </w:r>
      <w:r w:rsidRPr="00A26039">
        <w:rPr>
          <w:rFonts w:ascii="Times New Roman" w:hAnsi="Times New Roman" w:cs="Times New Roman"/>
          <w:iCs/>
          <w:sz w:val="24"/>
          <w:szCs w:val="24"/>
        </w:rPr>
        <w:t xml:space="preserve"> </w:t>
      </w:r>
    </w:p>
    <w:p w:rsidR="00C07A51" w:rsidRPr="00A26039" w:rsidP="00C07A51" w14:paraId="32F41814" w14:textId="307A3B88">
      <w:pPr>
        <w:spacing w:after="0" w:line="480" w:lineRule="auto"/>
        <w:ind w:firstLine="720"/>
        <w:rPr>
          <w:rFonts w:ascii="Times New Roman" w:hAnsi="Times New Roman" w:cs="Times New Roman"/>
          <w:sz w:val="24"/>
          <w:szCs w:val="24"/>
        </w:rPr>
      </w:pPr>
      <w:r w:rsidRPr="00A26039">
        <w:rPr>
          <w:rFonts w:ascii="Times New Roman" w:hAnsi="Times New Roman" w:cs="Times New Roman"/>
          <w:sz w:val="24"/>
          <w:szCs w:val="24"/>
        </w:rPr>
        <w:t xml:space="preserve">The PUCO erred in finding that because the signatory parties were able to reach a resolution of the </w:t>
      </w:r>
      <w:r w:rsidRPr="00A26039" w:rsidR="00CE3E78">
        <w:rPr>
          <w:rFonts w:ascii="Times New Roman" w:hAnsi="Times New Roman" w:cs="Times New Roman"/>
          <w:sz w:val="24"/>
          <w:szCs w:val="24"/>
        </w:rPr>
        <w:t>reserve</w:t>
      </w:r>
      <w:r w:rsidRPr="00A26039">
        <w:rPr>
          <w:rFonts w:ascii="Times New Roman" w:hAnsi="Times New Roman" w:cs="Times New Roman"/>
          <w:sz w:val="24"/>
          <w:szCs w:val="24"/>
        </w:rPr>
        <w:t xml:space="preserve"> component issue raised by the FirstEnergy EDUs, serious bargaining occurred.</w:t>
      </w:r>
      <w:r>
        <w:rPr>
          <w:rStyle w:val="FootnoteReference"/>
          <w:rFonts w:ascii="Times New Roman" w:hAnsi="Times New Roman" w:cs="Times New Roman"/>
          <w:sz w:val="24"/>
          <w:szCs w:val="24"/>
        </w:rPr>
        <w:footnoteReference w:id="68"/>
      </w:r>
      <w:r w:rsidRPr="00A26039">
        <w:rPr>
          <w:rFonts w:ascii="Times New Roman" w:hAnsi="Times New Roman" w:cs="Times New Roman"/>
          <w:sz w:val="24"/>
          <w:szCs w:val="24"/>
        </w:rPr>
        <w:t xml:space="preserve"> FirstEnergy’s specific objection regarding the reserve component was identical to its objection made in at least the two previous years’ USF </w:t>
      </w:r>
      <w:r w:rsidRPr="00A26039" w:rsidR="00A43584">
        <w:rPr>
          <w:rFonts w:ascii="Times New Roman" w:hAnsi="Times New Roman" w:cs="Times New Roman"/>
          <w:sz w:val="24"/>
          <w:szCs w:val="24"/>
        </w:rPr>
        <w:t xml:space="preserve">NOI </w:t>
      </w:r>
      <w:r w:rsidRPr="00A26039">
        <w:rPr>
          <w:rFonts w:ascii="Times New Roman" w:hAnsi="Times New Roman" w:cs="Times New Roman"/>
          <w:sz w:val="24"/>
          <w:szCs w:val="24"/>
        </w:rPr>
        <w:t>applications.</w:t>
      </w:r>
      <w:r>
        <w:rPr>
          <w:rStyle w:val="FootnoteReference"/>
          <w:rFonts w:ascii="Times New Roman" w:hAnsi="Times New Roman" w:cs="Times New Roman"/>
          <w:sz w:val="24"/>
          <w:szCs w:val="24"/>
        </w:rPr>
        <w:footnoteReference w:id="69"/>
      </w:r>
      <w:r w:rsidRPr="00A26039">
        <w:rPr>
          <w:rFonts w:ascii="Times New Roman" w:hAnsi="Times New Roman" w:cs="Times New Roman"/>
          <w:sz w:val="24"/>
          <w:szCs w:val="24"/>
        </w:rPr>
        <w:t xml:space="preserve"> The objection was not unexpected, not opposed, and accepted immediately in ODOD’s response to Objections.</w:t>
      </w:r>
      <w:r>
        <w:rPr>
          <w:rStyle w:val="FootnoteReference"/>
          <w:rFonts w:ascii="Times New Roman" w:hAnsi="Times New Roman" w:cs="Times New Roman"/>
          <w:sz w:val="24"/>
          <w:szCs w:val="24"/>
        </w:rPr>
        <w:footnoteReference w:id="70"/>
      </w:r>
      <w:r w:rsidRPr="00A26039">
        <w:rPr>
          <w:rFonts w:ascii="Times New Roman" w:hAnsi="Times New Roman" w:cs="Times New Roman"/>
          <w:sz w:val="24"/>
          <w:szCs w:val="24"/>
        </w:rPr>
        <w:t xml:space="preserve"> With this one edit</w:t>
      </w:r>
      <w:r w:rsidRPr="00A26039" w:rsidR="00A24BD2">
        <w:rPr>
          <w:rFonts w:ascii="Times New Roman" w:hAnsi="Times New Roman" w:cs="Times New Roman"/>
          <w:sz w:val="24"/>
          <w:szCs w:val="24"/>
        </w:rPr>
        <w:t xml:space="preserve"> (</w:t>
      </w:r>
      <w:r w:rsidRPr="00A26039">
        <w:rPr>
          <w:rFonts w:ascii="Times New Roman" w:hAnsi="Times New Roman" w:cs="Times New Roman"/>
          <w:sz w:val="24"/>
          <w:szCs w:val="24"/>
        </w:rPr>
        <w:t>as ODOD explained</w:t>
      </w:r>
      <w:r w:rsidRPr="00A26039" w:rsidR="00A24BD2">
        <w:rPr>
          <w:rFonts w:ascii="Times New Roman" w:hAnsi="Times New Roman" w:cs="Times New Roman"/>
          <w:sz w:val="24"/>
          <w:szCs w:val="24"/>
        </w:rPr>
        <w:t>)</w:t>
      </w:r>
      <w:r w:rsidRPr="00A26039">
        <w:rPr>
          <w:rFonts w:ascii="Times New Roman" w:hAnsi="Times New Roman" w:cs="Times New Roman"/>
          <w:sz w:val="24"/>
          <w:szCs w:val="24"/>
        </w:rPr>
        <w:t>, the Settlement recommend</w:t>
      </w:r>
      <w:r w:rsidRPr="00A26039" w:rsidR="00A43584">
        <w:rPr>
          <w:rFonts w:ascii="Times New Roman" w:hAnsi="Times New Roman" w:cs="Times New Roman"/>
          <w:sz w:val="24"/>
          <w:szCs w:val="24"/>
        </w:rPr>
        <w:t>ed</w:t>
      </w:r>
      <w:r w:rsidRPr="00A26039">
        <w:rPr>
          <w:rFonts w:ascii="Times New Roman" w:hAnsi="Times New Roman" w:cs="Times New Roman"/>
          <w:sz w:val="24"/>
          <w:szCs w:val="24"/>
        </w:rPr>
        <w:t xml:space="preserve"> that the PUCO “adopt the same rate design methodology that it has approved since 2001, and also recommends that the PUCO adopt nearly the same revenue requirement methodology.”</w:t>
      </w:r>
      <w:r>
        <w:rPr>
          <w:rStyle w:val="FootnoteReference"/>
          <w:rFonts w:ascii="Times New Roman" w:hAnsi="Times New Roman" w:cs="Times New Roman"/>
          <w:sz w:val="24"/>
          <w:szCs w:val="24"/>
        </w:rPr>
        <w:footnoteReference w:id="71"/>
      </w:r>
      <w:r w:rsidRPr="00A26039">
        <w:rPr>
          <w:rFonts w:ascii="Times New Roman" w:hAnsi="Times New Roman" w:cs="Times New Roman"/>
          <w:sz w:val="24"/>
          <w:szCs w:val="24"/>
        </w:rPr>
        <w:t xml:space="preserve"> </w:t>
      </w:r>
    </w:p>
    <w:p w:rsidR="00DA0E6F" w:rsidRPr="00A26039" w:rsidP="00DA0E6F" w14:paraId="5FF46246" w14:textId="1C5DAFF0">
      <w:pPr>
        <w:spacing w:after="0" w:line="480" w:lineRule="auto"/>
        <w:ind w:firstLine="720"/>
        <w:rPr>
          <w:rFonts w:ascii="Times New Roman" w:hAnsi="Times New Roman" w:cs="Times New Roman"/>
          <w:iCs/>
          <w:sz w:val="24"/>
          <w:szCs w:val="24"/>
        </w:rPr>
      </w:pPr>
      <w:r w:rsidRPr="00A26039">
        <w:rPr>
          <w:rFonts w:ascii="Times New Roman" w:hAnsi="Times New Roman" w:cs="Times New Roman"/>
          <w:iCs/>
          <w:sz w:val="24"/>
          <w:szCs w:val="24"/>
        </w:rPr>
        <w:t xml:space="preserve">Not only was there no serious bargaining, but the Settlement was not signed by parties representing diverse interests. </w:t>
      </w:r>
      <w:r w:rsidRPr="00A26039">
        <w:rPr>
          <w:rFonts w:ascii="Times New Roman" w:hAnsi="Times New Roman" w:cs="Times New Roman"/>
          <w:sz w:val="24"/>
          <w:szCs w:val="24"/>
        </w:rPr>
        <w:t xml:space="preserve">The PUCO further erred in finding that </w:t>
      </w:r>
      <w:r w:rsidRPr="00A26039" w:rsidR="00A43584">
        <w:rPr>
          <w:rFonts w:ascii="Times New Roman" w:hAnsi="Times New Roman" w:cs="Times New Roman"/>
          <w:sz w:val="24"/>
          <w:szCs w:val="24"/>
        </w:rPr>
        <w:t>“</w:t>
      </w:r>
      <w:r w:rsidRPr="00A26039">
        <w:rPr>
          <w:rFonts w:ascii="Times New Roman" w:hAnsi="Times New Roman" w:cs="Times New Roman"/>
          <w:sz w:val="24"/>
          <w:szCs w:val="24"/>
        </w:rPr>
        <w:t>a diversity of interest among the signatory parties is not determinative of the first part of the three-prong test.</w:t>
      </w:r>
      <w:r w:rsidRPr="00A26039" w:rsidR="00A43584">
        <w:rPr>
          <w:rFonts w:ascii="Times New Roman" w:hAnsi="Times New Roman" w:cs="Times New Roman"/>
          <w:sz w:val="24"/>
          <w:szCs w:val="24"/>
        </w:rPr>
        <w:t>”</w:t>
      </w:r>
      <w:r>
        <w:rPr>
          <w:rStyle w:val="FootnoteReference"/>
          <w:rFonts w:ascii="Times New Roman" w:hAnsi="Times New Roman" w:cs="Times New Roman"/>
          <w:sz w:val="24"/>
          <w:szCs w:val="24"/>
        </w:rPr>
        <w:footnoteReference w:id="72"/>
      </w:r>
      <w:r w:rsidRPr="00A26039">
        <w:rPr>
          <w:rFonts w:ascii="Times New Roman" w:hAnsi="Times New Roman" w:cs="Times New Roman"/>
          <w:sz w:val="24"/>
          <w:szCs w:val="24"/>
        </w:rPr>
        <w:t xml:space="preserve"> But especially in a case like this one </w:t>
      </w:r>
      <w:r w:rsidRPr="00A26039">
        <w:rPr>
          <w:rFonts w:ascii="Times New Roman" w:hAnsi="Times New Roman" w:cs="Times New Roman"/>
          <w:iCs/>
          <w:sz w:val="24"/>
          <w:szCs w:val="24"/>
        </w:rPr>
        <w:t xml:space="preserve">affecting at-risk Ohioans, the PUCO should consider the diversity of interests in the Settlement. </w:t>
      </w:r>
    </w:p>
    <w:p w:rsidR="00DA0E6F" w:rsidRPr="00A26039" w:rsidP="00DA0E6F" w14:paraId="1D3DD2A8" w14:textId="63173219">
      <w:pPr>
        <w:spacing w:after="0" w:line="480" w:lineRule="auto"/>
        <w:ind w:firstLine="720"/>
        <w:rPr>
          <w:rFonts w:ascii="Times New Roman" w:hAnsi="Times New Roman" w:cs="Times New Roman"/>
          <w:sz w:val="24"/>
          <w:szCs w:val="24"/>
        </w:rPr>
      </w:pPr>
      <w:r w:rsidRPr="00A26039">
        <w:rPr>
          <w:rFonts w:ascii="Times New Roman" w:hAnsi="Times New Roman" w:cs="Times New Roman"/>
          <w:iCs/>
          <w:sz w:val="24"/>
          <w:szCs w:val="24"/>
        </w:rPr>
        <w:t xml:space="preserve">OCC is the only party to this proceeding who advocates solely on behalf of the residential consumers enrolled in the PIPP program. Also, only OCC advocates solely on behalf of the residential consumers who are required to pay the USF rider on their electric bill. </w:t>
      </w:r>
      <w:r w:rsidRPr="00A26039">
        <w:rPr>
          <w:rFonts w:ascii="Times New Roman" w:hAnsi="Times New Roman" w:cs="Times New Roman"/>
          <w:sz w:val="24"/>
          <w:szCs w:val="24"/>
        </w:rPr>
        <w:t>The Settlement stipulators, with their limited interests, are not a proxy for those residential consumers (including at-risk Ohioans) that the Settlement most affects across Ohio. T</w:t>
      </w:r>
      <w:r w:rsidRPr="00A26039">
        <w:rPr>
          <w:rFonts w:ascii="Times New Roman" w:hAnsi="Times New Roman" w:cs="Times New Roman"/>
          <w:iCs/>
          <w:sz w:val="24"/>
          <w:szCs w:val="24"/>
        </w:rPr>
        <w:t xml:space="preserve">he Settlement lacks diverse interests, as no party that provides legal representation for residential consumers signed the Settlement. </w:t>
      </w:r>
    </w:p>
    <w:p w:rsidR="00CE3E78" w:rsidRPr="00A26039" w:rsidP="00DA0E6F" w14:paraId="1734BB8C" w14:textId="77777777">
      <w:pPr>
        <w:spacing w:after="0" w:line="480" w:lineRule="auto"/>
        <w:ind w:firstLine="720"/>
        <w:rPr>
          <w:rFonts w:ascii="Times New Roman" w:hAnsi="Times New Roman" w:cs="Times New Roman"/>
          <w:iCs/>
          <w:sz w:val="24"/>
          <w:szCs w:val="24"/>
        </w:rPr>
      </w:pPr>
      <w:r w:rsidRPr="00A26039">
        <w:rPr>
          <w:rFonts w:ascii="Times New Roman" w:hAnsi="Times New Roman" w:cs="Times New Roman"/>
          <w:iCs/>
          <w:sz w:val="24"/>
          <w:szCs w:val="24"/>
        </w:rPr>
        <w:t xml:space="preserve">The Settlement lacks serious bargaining and diversity of interests and fails the first prong. The PUCO should have rejected the Settlement. </w:t>
      </w:r>
    </w:p>
    <w:p w:rsidR="001B0488" w:rsidRPr="00A26039" w:rsidP="007B7A85" w14:paraId="4CD19494" w14:textId="77777777">
      <w:pPr>
        <w:spacing w:after="0" w:line="240" w:lineRule="auto"/>
        <w:rPr>
          <w:rFonts w:ascii="Times New Roman" w:hAnsi="Times New Roman" w:cs="Times New Roman"/>
          <w:sz w:val="24"/>
          <w:szCs w:val="24"/>
        </w:rPr>
      </w:pPr>
    </w:p>
    <w:p w:rsidR="00801376" w:rsidRPr="00A26039" w:rsidP="00A2307A" w14:paraId="13823C1C" w14:textId="645F2213">
      <w:pPr>
        <w:pStyle w:val="Heading1"/>
      </w:pPr>
      <w:bookmarkStart w:id="14" w:name="_Toc118472310"/>
      <w:r w:rsidRPr="00A26039">
        <w:t>CONCLUSION</w:t>
      </w:r>
      <w:bookmarkEnd w:id="14"/>
      <w:r w:rsidRPr="00A26039" w:rsidR="007327BD">
        <w:t xml:space="preserve"> </w:t>
      </w:r>
    </w:p>
    <w:p w:rsidR="00B850B2" w:rsidRPr="00A26039" w:rsidP="00B850B2" w14:paraId="556CACD2" w14:textId="0AAD03BE">
      <w:pPr>
        <w:spacing w:after="0" w:line="480" w:lineRule="auto"/>
        <w:ind w:firstLine="720"/>
        <w:rPr>
          <w:rFonts w:ascii="Times New Roman" w:hAnsi="Times New Roman" w:cs="Times New Roman"/>
          <w:color w:val="000000"/>
          <w:sz w:val="24"/>
          <w:szCs w:val="24"/>
        </w:rPr>
      </w:pPr>
      <w:r w:rsidRPr="00A26039">
        <w:rPr>
          <w:rFonts w:ascii="Times New Roman" w:hAnsi="Times New Roman" w:cs="Times New Roman"/>
          <w:sz w:val="24"/>
          <w:szCs w:val="24"/>
        </w:rPr>
        <w:t>“[T]he purpose of the PUCO * * * is to protect the customers of public utilities.”</w:t>
      </w:r>
      <w:r>
        <w:rPr>
          <w:rStyle w:val="FootnoteReference"/>
          <w:rFonts w:ascii="Times New Roman" w:hAnsi="Times New Roman" w:cs="Times New Roman"/>
          <w:sz w:val="24"/>
          <w:szCs w:val="24"/>
        </w:rPr>
        <w:footnoteReference w:id="73"/>
      </w:r>
      <w:r w:rsidRPr="00A26039">
        <w:rPr>
          <w:rFonts w:ascii="Times New Roman" w:hAnsi="Times New Roman" w:cs="Times New Roman"/>
          <w:sz w:val="24"/>
          <w:szCs w:val="24"/>
        </w:rPr>
        <w:t xml:space="preserve"> </w:t>
      </w:r>
      <w:r w:rsidRPr="00A26039" w:rsidR="00587B74">
        <w:rPr>
          <w:rFonts w:ascii="Times New Roman" w:hAnsi="Times New Roman" w:cs="Times New Roman"/>
          <w:sz w:val="24"/>
          <w:szCs w:val="24"/>
        </w:rPr>
        <w:t xml:space="preserve">The PUCO should protect at-risk consumers, as required under 4928.02(L). </w:t>
      </w:r>
      <w:r w:rsidRPr="00A26039">
        <w:rPr>
          <w:rFonts w:ascii="Times New Roman" w:hAnsi="Times New Roman" w:cs="Times New Roman"/>
          <w:sz w:val="24"/>
          <w:szCs w:val="24"/>
        </w:rPr>
        <w:t xml:space="preserve">The PUCO </w:t>
      </w:r>
      <w:r w:rsidRPr="00A26039" w:rsidR="00B829AC">
        <w:rPr>
          <w:rFonts w:ascii="Times New Roman" w:hAnsi="Times New Roman" w:cs="Times New Roman"/>
          <w:sz w:val="24"/>
          <w:szCs w:val="24"/>
        </w:rPr>
        <w:t xml:space="preserve">can </w:t>
      </w:r>
      <w:r w:rsidRPr="00A26039">
        <w:rPr>
          <w:rFonts w:ascii="Times New Roman" w:hAnsi="Times New Roman" w:cs="Times New Roman"/>
          <w:sz w:val="24"/>
          <w:szCs w:val="24"/>
        </w:rPr>
        <w:t xml:space="preserve">and should </w:t>
      </w:r>
      <w:r w:rsidRPr="00A26039" w:rsidR="00B829AC">
        <w:rPr>
          <w:rFonts w:ascii="Times New Roman" w:hAnsi="Times New Roman" w:cs="Times New Roman"/>
          <w:sz w:val="24"/>
          <w:szCs w:val="24"/>
        </w:rPr>
        <w:t xml:space="preserve">protect consumers </w:t>
      </w:r>
      <w:r w:rsidRPr="00A26039" w:rsidR="00A2307A">
        <w:rPr>
          <w:rFonts w:ascii="Times New Roman" w:hAnsi="Times New Roman" w:cs="Times New Roman"/>
          <w:sz w:val="24"/>
          <w:szCs w:val="24"/>
        </w:rPr>
        <w:t xml:space="preserve">by </w:t>
      </w:r>
      <w:r w:rsidRPr="00A26039" w:rsidR="00B829AC">
        <w:rPr>
          <w:rFonts w:ascii="Times New Roman" w:hAnsi="Times New Roman" w:cs="Times New Roman"/>
          <w:sz w:val="24"/>
          <w:szCs w:val="24"/>
        </w:rPr>
        <w:t xml:space="preserve">granting rehearing and </w:t>
      </w:r>
      <w:r w:rsidRPr="00A26039">
        <w:rPr>
          <w:rFonts w:ascii="Times New Roman" w:hAnsi="Times New Roman" w:cs="Times New Roman"/>
          <w:sz w:val="24"/>
          <w:szCs w:val="24"/>
        </w:rPr>
        <w:t>rejecting or modifying the Opinion and</w:t>
      </w:r>
      <w:r w:rsidRPr="00A26039" w:rsidR="00350036">
        <w:rPr>
          <w:rFonts w:ascii="Times New Roman" w:hAnsi="Times New Roman" w:cs="Times New Roman"/>
          <w:sz w:val="24"/>
          <w:szCs w:val="24"/>
        </w:rPr>
        <w:t xml:space="preserve"> Order</w:t>
      </w:r>
      <w:r w:rsidRPr="00A26039" w:rsidR="00A2307A">
        <w:rPr>
          <w:rFonts w:ascii="Times New Roman" w:hAnsi="Times New Roman" w:cs="Times New Roman"/>
          <w:sz w:val="24"/>
          <w:szCs w:val="24"/>
        </w:rPr>
        <w:t xml:space="preserve"> in this case</w:t>
      </w:r>
      <w:r w:rsidRPr="00A26039">
        <w:rPr>
          <w:rFonts w:ascii="Times New Roman" w:hAnsi="Times New Roman" w:cs="Times New Roman"/>
          <w:sz w:val="24"/>
          <w:szCs w:val="24"/>
        </w:rPr>
        <w:t xml:space="preserve"> </w:t>
      </w:r>
      <w:r w:rsidRPr="00A26039" w:rsidR="00527CB3">
        <w:rPr>
          <w:rFonts w:ascii="Times New Roman" w:hAnsi="Times New Roman" w:cs="Times New Roman"/>
          <w:sz w:val="24"/>
          <w:szCs w:val="24"/>
        </w:rPr>
        <w:t xml:space="preserve">so that electricity </w:t>
      </w:r>
      <w:r w:rsidRPr="00A26039" w:rsidR="00FF2994">
        <w:rPr>
          <w:rFonts w:ascii="Times New Roman" w:hAnsi="Times New Roman" w:cs="Times New Roman"/>
          <w:sz w:val="24"/>
          <w:szCs w:val="24"/>
        </w:rPr>
        <w:t xml:space="preserve">service rates </w:t>
      </w:r>
      <w:r w:rsidRPr="00A26039" w:rsidR="00527CB3">
        <w:rPr>
          <w:rFonts w:ascii="Times New Roman" w:hAnsi="Times New Roman" w:cs="Times New Roman"/>
          <w:sz w:val="24"/>
          <w:szCs w:val="24"/>
        </w:rPr>
        <w:t>for</w:t>
      </w:r>
      <w:r w:rsidRPr="00A26039" w:rsidR="00D242E6">
        <w:rPr>
          <w:rFonts w:ascii="Times New Roman" w:hAnsi="Times New Roman" w:cs="Times New Roman"/>
          <w:sz w:val="24"/>
          <w:szCs w:val="24"/>
        </w:rPr>
        <w:t xml:space="preserve"> low-income</w:t>
      </w:r>
      <w:r w:rsidRPr="00A26039" w:rsidR="00527CB3">
        <w:rPr>
          <w:rFonts w:ascii="Times New Roman" w:hAnsi="Times New Roman" w:cs="Times New Roman"/>
          <w:sz w:val="24"/>
          <w:szCs w:val="24"/>
        </w:rPr>
        <w:t xml:space="preserve"> PIPP consumers </w:t>
      </w:r>
      <w:r w:rsidRPr="00A26039" w:rsidR="00FF2994">
        <w:rPr>
          <w:rFonts w:ascii="Times New Roman" w:hAnsi="Times New Roman" w:cs="Times New Roman"/>
          <w:sz w:val="24"/>
          <w:szCs w:val="24"/>
        </w:rPr>
        <w:t>do</w:t>
      </w:r>
      <w:r w:rsidRPr="00A26039" w:rsidR="00EA6C3B">
        <w:rPr>
          <w:rFonts w:ascii="Times New Roman" w:hAnsi="Times New Roman" w:cs="Times New Roman"/>
          <w:sz w:val="24"/>
          <w:szCs w:val="24"/>
        </w:rPr>
        <w:t xml:space="preserve"> not exceed the standard service offer.</w:t>
      </w:r>
      <w:r w:rsidRPr="00A26039" w:rsidR="00587F3C">
        <w:rPr>
          <w:rFonts w:ascii="Times New Roman" w:hAnsi="Times New Roman" w:cs="Times New Roman"/>
          <w:sz w:val="24"/>
          <w:szCs w:val="24"/>
        </w:rPr>
        <w:t xml:space="preserve"> </w:t>
      </w:r>
      <w:r w:rsidRPr="00A26039">
        <w:rPr>
          <w:rFonts w:ascii="Times New Roman" w:hAnsi="Times New Roman" w:cs="Times New Roman"/>
          <w:sz w:val="24"/>
          <w:szCs w:val="24"/>
        </w:rPr>
        <w:t>In the USF</w:t>
      </w:r>
      <w:r w:rsidRPr="00A26039">
        <w:rPr>
          <w:rFonts w:ascii="Times New Roman" w:hAnsi="Times New Roman" w:cs="Times New Roman"/>
          <w:color w:val="000000"/>
          <w:sz w:val="24"/>
          <w:szCs w:val="24"/>
        </w:rPr>
        <w:t xml:space="preserve"> rate case filing, the PUCO should require that PIPP consumers be served at a rate per kWh that does not exceed the SSO rate being charged to non-PIPP consumers, as required by law. This would be through a billing adjustment made through the USF that would be paid for by the electric utilities and not consumers. </w:t>
      </w:r>
    </w:p>
    <w:p w:rsidR="00094235" w:rsidRPr="00A26039" w:rsidP="004B53D9" w14:paraId="677E3C22" w14:textId="587D5C98">
      <w:pPr>
        <w:spacing w:after="0" w:line="480" w:lineRule="auto"/>
        <w:ind w:firstLine="720"/>
        <w:rPr>
          <w:rFonts w:ascii="Times New Roman" w:hAnsi="Times New Roman" w:cs="Times New Roman"/>
          <w:iCs/>
          <w:sz w:val="24"/>
          <w:szCs w:val="24"/>
        </w:rPr>
      </w:pPr>
      <w:r w:rsidRPr="00A26039">
        <w:rPr>
          <w:rFonts w:ascii="Times New Roman" w:hAnsi="Times New Roman" w:cs="Times New Roman"/>
          <w:color w:val="000000"/>
          <w:sz w:val="24"/>
          <w:szCs w:val="24"/>
        </w:rPr>
        <w:t xml:space="preserve">The PUCO should require </w:t>
      </w:r>
      <w:r w:rsidRPr="00A26039" w:rsidR="00B850B2">
        <w:rPr>
          <w:rFonts w:ascii="Times New Roman" w:hAnsi="Times New Roman" w:cs="Times New Roman"/>
          <w:color w:val="000000"/>
          <w:sz w:val="24"/>
          <w:szCs w:val="24"/>
        </w:rPr>
        <w:t>ODOD</w:t>
      </w:r>
      <w:r w:rsidRPr="00A26039" w:rsidR="00B850B2">
        <w:rPr>
          <w:rFonts w:ascii="Times New Roman" w:hAnsi="Times New Roman" w:cs="Times New Roman"/>
          <w:iCs/>
          <w:sz w:val="24"/>
          <w:szCs w:val="24"/>
        </w:rPr>
        <w:t xml:space="preserve"> to calculate the USF rates for supporting the electric PIPP program based on utilities’ 2022 Standard Service Offer rate and not the 2022 PIPP auction rate.</w:t>
      </w:r>
      <w:r>
        <w:rPr>
          <w:rStyle w:val="FootnoteReference"/>
          <w:rFonts w:ascii="Times New Roman" w:hAnsi="Times New Roman" w:cs="Times New Roman"/>
          <w:iCs/>
          <w:sz w:val="24"/>
          <w:szCs w:val="24"/>
        </w:rPr>
        <w:footnoteReference w:id="74"/>
      </w:r>
      <w:r w:rsidRPr="00A26039" w:rsidR="00B850B2">
        <w:rPr>
          <w:rFonts w:ascii="Times New Roman" w:hAnsi="Times New Roman" w:cs="Times New Roman"/>
          <w:iCs/>
          <w:sz w:val="24"/>
          <w:szCs w:val="24"/>
        </w:rPr>
        <w:t xml:space="preserve"> Utilities should be required to make such adjustments through the USF to reflect lawful rates. This approach will protect consumers who are currently enrolled in PIPP (and additional enrollees, given the Governor’s expanded eligibility). It will also protect all consumers who pay the subsidy for the PIPP program consistent with R.C. 4928.542. </w:t>
      </w:r>
    </w:p>
    <w:p w:rsidR="00714F73" w:rsidRPr="00A26039" w:rsidP="004B53D9" w14:paraId="0667153F" w14:textId="7B5DCC8E">
      <w:pPr>
        <w:spacing w:after="0" w:line="480" w:lineRule="auto"/>
        <w:ind w:left="2880" w:firstLine="720"/>
        <w:rPr>
          <w:rFonts w:ascii="Times New Roman" w:hAnsi="Times New Roman" w:cs="Times New Roman"/>
          <w:sz w:val="24"/>
          <w:szCs w:val="24"/>
        </w:rPr>
      </w:pPr>
      <w:r w:rsidRPr="00A26039">
        <w:rPr>
          <w:rFonts w:ascii="Times New Roman" w:hAnsi="Times New Roman" w:cs="Times New Roman"/>
          <w:sz w:val="24"/>
          <w:szCs w:val="24"/>
        </w:rPr>
        <w:t>Respectfully submitted,</w:t>
      </w:r>
    </w:p>
    <w:p w:rsidR="00714F73" w:rsidRPr="00A26039" w:rsidP="00714F73" w14:paraId="3BA6B614" w14:textId="77777777">
      <w:pPr>
        <w:pStyle w:val="Footer"/>
        <w:ind w:left="3600"/>
        <w:rPr>
          <w:rFonts w:ascii="Times New Roman" w:hAnsi="Times New Roman" w:cs="Times New Roman"/>
          <w:sz w:val="24"/>
          <w:szCs w:val="24"/>
        </w:rPr>
      </w:pPr>
      <w:r w:rsidRPr="00A26039">
        <w:rPr>
          <w:rFonts w:ascii="Times New Roman" w:hAnsi="Times New Roman" w:cs="Times New Roman"/>
          <w:sz w:val="24"/>
          <w:szCs w:val="24"/>
        </w:rPr>
        <w:t>Bruce Weston (0016973)</w:t>
      </w:r>
    </w:p>
    <w:p w:rsidR="00714F73" w:rsidRPr="00A26039" w:rsidP="00714F73" w14:paraId="05A3ECD8" w14:textId="77777777">
      <w:pPr>
        <w:spacing w:after="0" w:line="240" w:lineRule="auto"/>
        <w:ind w:left="3600"/>
        <w:rPr>
          <w:rFonts w:ascii="Times New Roman" w:hAnsi="Times New Roman" w:cs="Times New Roman"/>
          <w:sz w:val="24"/>
          <w:szCs w:val="24"/>
        </w:rPr>
      </w:pPr>
      <w:r w:rsidRPr="00A26039">
        <w:rPr>
          <w:rFonts w:ascii="Times New Roman" w:hAnsi="Times New Roman" w:cs="Times New Roman"/>
          <w:sz w:val="24"/>
          <w:szCs w:val="24"/>
        </w:rPr>
        <w:t>Ohio Consumers’ Counsel</w:t>
      </w:r>
    </w:p>
    <w:p w:rsidR="00714F73" w:rsidRPr="00A26039" w:rsidP="00714F73" w14:paraId="7CC1CA32" w14:textId="77777777">
      <w:pPr>
        <w:tabs>
          <w:tab w:val="left" w:pos="4320"/>
        </w:tabs>
        <w:spacing w:after="0" w:line="240" w:lineRule="auto"/>
        <w:ind w:left="3600"/>
        <w:rPr>
          <w:rFonts w:ascii="Times New Roman" w:hAnsi="Times New Roman" w:cs="Times New Roman"/>
          <w:i/>
          <w:sz w:val="24"/>
          <w:szCs w:val="24"/>
          <w:u w:val="single"/>
        </w:rPr>
      </w:pPr>
    </w:p>
    <w:p w:rsidR="00714F73" w:rsidRPr="00A26039" w:rsidP="00714F73" w14:paraId="3176D50E" w14:textId="77517246">
      <w:pPr>
        <w:spacing w:after="0" w:line="240" w:lineRule="auto"/>
        <w:ind w:left="3600"/>
        <w:rPr>
          <w:rFonts w:ascii="Times New Roman" w:hAnsi="Times New Roman" w:cs="Times New Roman"/>
          <w:bCs/>
          <w:i/>
          <w:iCs/>
          <w:sz w:val="24"/>
          <w:szCs w:val="24"/>
          <w:u w:val="single"/>
        </w:rPr>
      </w:pPr>
      <w:r w:rsidRPr="00A26039">
        <w:rPr>
          <w:rFonts w:ascii="Times New Roman" w:hAnsi="Times New Roman" w:cs="Times New Roman"/>
          <w:bCs/>
          <w:i/>
          <w:iCs/>
          <w:sz w:val="24"/>
          <w:szCs w:val="24"/>
          <w:u w:val="single"/>
        </w:rPr>
        <w:t xml:space="preserve">/s/ </w:t>
      </w:r>
      <w:r w:rsidRPr="00A26039" w:rsidR="00223875">
        <w:rPr>
          <w:rFonts w:ascii="Times New Roman" w:hAnsi="Times New Roman" w:cs="Times New Roman"/>
          <w:bCs/>
          <w:i/>
          <w:iCs/>
          <w:sz w:val="24"/>
          <w:szCs w:val="24"/>
          <w:u w:val="single"/>
        </w:rPr>
        <w:t>Amy Botschner O’Brien</w:t>
      </w:r>
    </w:p>
    <w:p w:rsidR="00714F73" w:rsidRPr="00A26039" w:rsidP="00714F73" w14:paraId="36D83B59" w14:textId="2E6153EA">
      <w:pPr>
        <w:spacing w:after="0" w:line="240" w:lineRule="auto"/>
        <w:ind w:left="3600"/>
        <w:rPr>
          <w:rFonts w:ascii="Times New Roman" w:hAnsi="Times New Roman" w:cs="Times New Roman"/>
          <w:sz w:val="24"/>
          <w:szCs w:val="24"/>
        </w:rPr>
      </w:pPr>
      <w:r w:rsidRPr="00A26039">
        <w:rPr>
          <w:rFonts w:ascii="Times New Roman" w:hAnsi="Times New Roman" w:cs="Times New Roman"/>
          <w:sz w:val="24"/>
          <w:szCs w:val="24"/>
        </w:rPr>
        <w:t>Amy Botschner O’Brien</w:t>
      </w:r>
      <w:r w:rsidRPr="00A26039" w:rsidR="00A01D6F">
        <w:rPr>
          <w:rFonts w:ascii="Times New Roman" w:hAnsi="Times New Roman" w:cs="Times New Roman"/>
          <w:sz w:val="24"/>
          <w:szCs w:val="24"/>
        </w:rPr>
        <w:t xml:space="preserve"> (007</w:t>
      </w:r>
      <w:r w:rsidRPr="00A26039">
        <w:rPr>
          <w:rFonts w:ascii="Times New Roman" w:hAnsi="Times New Roman" w:cs="Times New Roman"/>
          <w:sz w:val="24"/>
          <w:szCs w:val="24"/>
        </w:rPr>
        <w:t>4423</w:t>
      </w:r>
      <w:r w:rsidRPr="00A26039" w:rsidR="00A01D6F">
        <w:rPr>
          <w:rFonts w:ascii="Times New Roman" w:hAnsi="Times New Roman" w:cs="Times New Roman"/>
          <w:sz w:val="24"/>
          <w:szCs w:val="24"/>
        </w:rPr>
        <w:t>)</w:t>
      </w:r>
    </w:p>
    <w:p w:rsidR="00714F73" w:rsidRPr="00A26039" w:rsidP="00714F73" w14:paraId="2069A731" w14:textId="77777777">
      <w:pPr>
        <w:spacing w:after="0" w:line="240" w:lineRule="auto"/>
        <w:ind w:left="3600"/>
        <w:rPr>
          <w:rFonts w:ascii="Times New Roman" w:hAnsi="Times New Roman" w:cs="Times New Roman"/>
          <w:sz w:val="24"/>
          <w:szCs w:val="24"/>
        </w:rPr>
      </w:pPr>
      <w:r w:rsidRPr="00A26039">
        <w:rPr>
          <w:rFonts w:ascii="Times New Roman" w:hAnsi="Times New Roman" w:cs="Times New Roman"/>
          <w:sz w:val="24"/>
          <w:szCs w:val="24"/>
        </w:rPr>
        <w:t>Counsel of Record</w:t>
      </w:r>
    </w:p>
    <w:p w:rsidR="00714F73" w:rsidRPr="00A26039" w:rsidP="00714F73" w14:paraId="103FBED2" w14:textId="77777777">
      <w:pPr>
        <w:spacing w:after="0" w:line="240" w:lineRule="auto"/>
        <w:ind w:left="3600"/>
        <w:rPr>
          <w:rFonts w:ascii="Times New Roman" w:hAnsi="Times New Roman" w:cs="Times New Roman"/>
          <w:sz w:val="24"/>
          <w:szCs w:val="24"/>
        </w:rPr>
      </w:pPr>
      <w:r w:rsidRPr="00A26039">
        <w:rPr>
          <w:rFonts w:ascii="Times New Roman" w:hAnsi="Times New Roman" w:cs="Times New Roman"/>
          <w:sz w:val="24"/>
          <w:szCs w:val="24"/>
        </w:rPr>
        <w:t>Assistant Consumers’ Counsel</w:t>
      </w:r>
    </w:p>
    <w:p w:rsidR="00714F73" w:rsidRPr="00A26039" w:rsidP="00714F73" w14:paraId="788844B8" w14:textId="77777777">
      <w:pPr>
        <w:spacing w:after="0" w:line="240" w:lineRule="auto"/>
        <w:ind w:left="3600"/>
        <w:rPr>
          <w:rFonts w:ascii="Times New Roman" w:hAnsi="Times New Roman" w:cs="Times New Roman"/>
          <w:sz w:val="24"/>
          <w:szCs w:val="24"/>
        </w:rPr>
      </w:pPr>
      <w:r w:rsidRPr="00A26039">
        <w:rPr>
          <w:rFonts w:ascii="Times New Roman" w:hAnsi="Times New Roman" w:cs="Times New Roman"/>
          <w:sz w:val="24"/>
          <w:szCs w:val="24"/>
        </w:rPr>
        <w:tab/>
      </w:r>
    </w:p>
    <w:p w:rsidR="00714F73" w:rsidRPr="00A26039" w:rsidP="00714F73" w14:paraId="1EC13D28" w14:textId="77777777">
      <w:pPr>
        <w:spacing w:after="0" w:line="240" w:lineRule="auto"/>
        <w:ind w:left="3600"/>
        <w:rPr>
          <w:rFonts w:ascii="Times New Roman" w:hAnsi="Times New Roman" w:cs="Times New Roman"/>
          <w:b/>
          <w:bCs/>
          <w:sz w:val="24"/>
          <w:szCs w:val="24"/>
        </w:rPr>
      </w:pPr>
      <w:r w:rsidRPr="00A26039">
        <w:rPr>
          <w:rFonts w:ascii="Times New Roman" w:hAnsi="Times New Roman" w:cs="Times New Roman"/>
          <w:b/>
          <w:bCs/>
          <w:sz w:val="24"/>
          <w:szCs w:val="24"/>
        </w:rPr>
        <w:t>Office of the Ohio Consumers’ Counsel</w:t>
      </w:r>
    </w:p>
    <w:p w:rsidR="00714F73" w:rsidRPr="00A26039" w:rsidP="00714F73" w14:paraId="7653FA2D" w14:textId="77777777">
      <w:pPr>
        <w:spacing w:after="0" w:line="240" w:lineRule="auto"/>
        <w:ind w:left="3600"/>
        <w:rPr>
          <w:rFonts w:ascii="Times New Roman" w:hAnsi="Times New Roman" w:cs="Times New Roman"/>
          <w:b/>
          <w:sz w:val="24"/>
          <w:szCs w:val="24"/>
        </w:rPr>
      </w:pPr>
      <w:r w:rsidRPr="00A26039">
        <w:rPr>
          <w:rFonts w:ascii="Times New Roman" w:hAnsi="Times New Roman" w:cs="Times New Roman"/>
          <w:sz w:val="24"/>
          <w:szCs w:val="24"/>
        </w:rPr>
        <w:t>65 East State Street, Suite 700</w:t>
      </w:r>
    </w:p>
    <w:p w:rsidR="00714F73" w:rsidRPr="00A26039" w:rsidP="00714F73" w14:paraId="0EB1779A" w14:textId="77777777">
      <w:pPr>
        <w:spacing w:after="0" w:line="240" w:lineRule="auto"/>
        <w:ind w:left="3600"/>
        <w:rPr>
          <w:rFonts w:ascii="Times New Roman" w:hAnsi="Times New Roman" w:cs="Times New Roman"/>
          <w:b/>
          <w:sz w:val="24"/>
          <w:szCs w:val="24"/>
        </w:rPr>
      </w:pPr>
      <w:r w:rsidRPr="00A26039">
        <w:rPr>
          <w:rFonts w:ascii="Times New Roman" w:hAnsi="Times New Roman" w:cs="Times New Roman"/>
          <w:sz w:val="24"/>
          <w:szCs w:val="24"/>
        </w:rPr>
        <w:t>Columbus, Ohio 43215</w:t>
      </w:r>
    </w:p>
    <w:p w:rsidR="00714F73" w:rsidRPr="00A26039" w:rsidP="00714F73" w14:paraId="49460E1C" w14:textId="5F0C420E">
      <w:pPr>
        <w:autoSpaceDE w:val="0"/>
        <w:autoSpaceDN w:val="0"/>
        <w:adjustRightInd w:val="0"/>
        <w:spacing w:after="0" w:line="240" w:lineRule="auto"/>
        <w:ind w:left="3600"/>
        <w:rPr>
          <w:rFonts w:ascii="Times New Roman" w:hAnsi="Times New Roman" w:cs="Times New Roman"/>
          <w:sz w:val="24"/>
          <w:szCs w:val="24"/>
        </w:rPr>
      </w:pPr>
      <w:r w:rsidRPr="00A26039">
        <w:rPr>
          <w:rFonts w:ascii="Times New Roman" w:hAnsi="Times New Roman" w:cs="Times New Roman"/>
          <w:sz w:val="24"/>
          <w:szCs w:val="24"/>
        </w:rPr>
        <w:t>Telephone [</w:t>
      </w:r>
      <w:r w:rsidRPr="00A26039" w:rsidR="00223875">
        <w:rPr>
          <w:rFonts w:ascii="Times New Roman" w:hAnsi="Times New Roman" w:cs="Times New Roman"/>
          <w:sz w:val="24"/>
          <w:szCs w:val="24"/>
        </w:rPr>
        <w:t>Botschner O’Brien</w:t>
      </w:r>
      <w:r w:rsidRPr="00A26039">
        <w:rPr>
          <w:rFonts w:ascii="Times New Roman" w:hAnsi="Times New Roman" w:cs="Times New Roman"/>
          <w:sz w:val="24"/>
          <w:szCs w:val="24"/>
        </w:rPr>
        <w:t>]: (614) 466-</w:t>
      </w:r>
      <w:r w:rsidRPr="00A26039" w:rsidR="00223875">
        <w:rPr>
          <w:rFonts w:ascii="Times New Roman" w:hAnsi="Times New Roman" w:cs="Times New Roman"/>
          <w:sz w:val="24"/>
          <w:szCs w:val="24"/>
        </w:rPr>
        <w:t>9575</w:t>
      </w:r>
    </w:p>
    <w:p w:rsidR="00714F73" w:rsidRPr="00A26039" w:rsidP="004B53D9" w14:paraId="1F9826BC" w14:textId="6E4532D7">
      <w:pPr>
        <w:autoSpaceDE w:val="0"/>
        <w:autoSpaceDN w:val="0"/>
        <w:adjustRightInd w:val="0"/>
        <w:spacing w:after="0" w:line="240" w:lineRule="auto"/>
        <w:ind w:left="3600"/>
        <w:rPr>
          <w:rStyle w:val="Hyperlink"/>
          <w:rFonts w:ascii="Times New Roman" w:hAnsi="Times New Roman" w:cs="Times New Roman"/>
          <w:color w:val="auto"/>
          <w:sz w:val="24"/>
          <w:szCs w:val="24"/>
          <w:u w:val="none"/>
        </w:rPr>
      </w:pPr>
      <w:hyperlink r:id="rId10" w:history="1">
        <w:r w:rsidRPr="00A26039" w:rsidR="009957F7">
          <w:rPr>
            <w:rStyle w:val="Hyperlink"/>
            <w:rFonts w:ascii="Times New Roman" w:hAnsi="Times New Roman" w:cs="Times New Roman"/>
            <w:sz w:val="24"/>
            <w:szCs w:val="24"/>
          </w:rPr>
          <w:t>amy.</w:t>
        </w:r>
      </w:hyperlink>
      <w:r w:rsidRPr="00A26039" w:rsidR="005842CA">
        <w:rPr>
          <w:rStyle w:val="Hyperlink"/>
          <w:rFonts w:ascii="Times New Roman" w:hAnsi="Times New Roman" w:cs="Times New Roman"/>
          <w:sz w:val="24"/>
          <w:szCs w:val="24"/>
        </w:rPr>
        <w:t>botschner.obrien@occ.ohio.gov</w:t>
      </w:r>
    </w:p>
    <w:p w:rsidR="005F52FB" w:rsidRPr="00A26039" w:rsidP="00714F73" w14:paraId="2B12B69E" w14:textId="689FEC0E">
      <w:pPr>
        <w:kinsoku w:val="0"/>
        <w:overflowPunct w:val="0"/>
        <w:autoSpaceDE w:val="0"/>
        <w:autoSpaceDN w:val="0"/>
        <w:adjustRightInd w:val="0"/>
        <w:spacing w:after="0" w:line="480" w:lineRule="auto"/>
        <w:ind w:left="2880" w:firstLine="720"/>
        <w:rPr>
          <w:rFonts w:ascii="Times New Roman" w:hAnsi="Times New Roman" w:cs="Times New Roman"/>
          <w:sz w:val="24"/>
          <w:szCs w:val="24"/>
        </w:rPr>
      </w:pPr>
      <w:r w:rsidRPr="00A26039">
        <w:rPr>
          <w:rFonts w:ascii="Times New Roman" w:hAnsi="Times New Roman" w:cs="Times New Roman"/>
          <w:sz w:val="24"/>
          <w:szCs w:val="24"/>
        </w:rPr>
        <w:t>(willing to accept service by e-mail)</w:t>
      </w:r>
    </w:p>
    <w:p w:rsidR="005F52FB" w:rsidRPr="00A26039" w14:paraId="5A2FB5AB" w14:textId="77777777">
      <w:pPr>
        <w:rPr>
          <w:rFonts w:ascii="Times New Roman" w:hAnsi="Times New Roman" w:cs="Times New Roman"/>
          <w:sz w:val="24"/>
          <w:szCs w:val="24"/>
        </w:rPr>
      </w:pPr>
      <w:r w:rsidRPr="00A26039">
        <w:rPr>
          <w:rFonts w:ascii="Times New Roman" w:hAnsi="Times New Roman" w:cs="Times New Roman"/>
          <w:sz w:val="24"/>
          <w:szCs w:val="24"/>
        </w:rPr>
        <w:br w:type="page"/>
      </w:r>
    </w:p>
    <w:p w:rsidR="00527CB3" w:rsidRPr="00A26039" w:rsidP="006225E6" w14:paraId="738E1EC6" w14:textId="77777777">
      <w:pPr>
        <w:spacing w:after="0" w:line="240" w:lineRule="auto"/>
        <w:jc w:val="center"/>
        <w:rPr>
          <w:rFonts w:ascii="Times New Roman" w:hAnsi="Times New Roman" w:cs="Times New Roman"/>
          <w:b/>
          <w:bCs/>
          <w:sz w:val="24"/>
          <w:szCs w:val="24"/>
          <w:u w:val="single"/>
        </w:rPr>
      </w:pPr>
      <w:r w:rsidRPr="00A26039">
        <w:rPr>
          <w:rFonts w:ascii="Times New Roman" w:hAnsi="Times New Roman" w:cs="Times New Roman"/>
          <w:b/>
          <w:bCs/>
          <w:sz w:val="24"/>
          <w:szCs w:val="24"/>
          <w:u w:val="single"/>
        </w:rPr>
        <w:t>CERTIFICATE OF SERVICE</w:t>
      </w:r>
    </w:p>
    <w:p w:rsidR="006225E6" w:rsidRPr="00A26039" w:rsidP="006225E6" w14:paraId="6C574E10" w14:textId="372762D4">
      <w:pPr>
        <w:spacing w:line="480" w:lineRule="atLeast"/>
        <w:rPr>
          <w:rFonts w:ascii="Times New Roman" w:hAnsi="Times New Roman" w:cs="Times New Roman"/>
          <w:sz w:val="24"/>
          <w:szCs w:val="24"/>
        </w:rPr>
      </w:pPr>
      <w:r w:rsidRPr="00A26039">
        <w:rPr>
          <w:rFonts w:ascii="Times New Roman" w:hAnsi="Times New Roman" w:cs="Times New Roman"/>
          <w:sz w:val="24"/>
          <w:szCs w:val="24"/>
        </w:rPr>
        <w:tab/>
        <w:t xml:space="preserve">I hereby certify that a copy of this </w:t>
      </w:r>
      <w:r w:rsidRPr="00A26039">
        <w:rPr>
          <w:rFonts w:ascii="Times New Roman" w:hAnsi="Times New Roman" w:cs="Times New Roman"/>
          <w:iCs/>
          <w:sz w:val="24"/>
          <w:szCs w:val="24"/>
        </w:rPr>
        <w:t>Application for Rehearing</w:t>
      </w:r>
      <w:r w:rsidRPr="00A26039">
        <w:rPr>
          <w:rFonts w:ascii="Times New Roman" w:hAnsi="Times New Roman" w:cs="Times New Roman"/>
          <w:sz w:val="24"/>
          <w:szCs w:val="24"/>
        </w:rPr>
        <w:t xml:space="preserve"> was served on the persons stated below</w:t>
      </w:r>
      <w:r w:rsidRPr="00A26039">
        <w:rPr>
          <w:rFonts w:ascii="Times New Roman" w:hAnsi="Times New Roman" w:cs="Times New Roman"/>
          <w:iCs/>
          <w:sz w:val="24"/>
          <w:szCs w:val="24"/>
        </w:rPr>
        <w:t xml:space="preserve"> via </w:t>
      </w:r>
      <w:r w:rsidRPr="00A26039">
        <w:rPr>
          <w:rFonts w:ascii="Times New Roman" w:hAnsi="Times New Roman" w:cs="Times New Roman"/>
          <w:sz w:val="24"/>
          <w:szCs w:val="24"/>
        </w:rPr>
        <w:t xml:space="preserve">electronic transmission, this </w:t>
      </w:r>
      <w:r w:rsidRPr="00A26039" w:rsidR="00223875">
        <w:rPr>
          <w:rFonts w:ascii="Times New Roman" w:hAnsi="Times New Roman" w:cs="Times New Roman"/>
          <w:sz w:val="24"/>
          <w:szCs w:val="24"/>
        </w:rPr>
        <w:t>4</w:t>
      </w:r>
      <w:r w:rsidRPr="00A26039" w:rsidR="00223875">
        <w:rPr>
          <w:rFonts w:ascii="Times New Roman" w:hAnsi="Times New Roman" w:cs="Times New Roman"/>
          <w:sz w:val="24"/>
          <w:szCs w:val="24"/>
          <w:vertAlign w:val="superscript"/>
        </w:rPr>
        <w:t>th</w:t>
      </w:r>
      <w:r w:rsidRPr="00A26039" w:rsidR="00223875">
        <w:rPr>
          <w:rFonts w:ascii="Times New Roman" w:hAnsi="Times New Roman" w:cs="Times New Roman"/>
          <w:sz w:val="24"/>
          <w:szCs w:val="24"/>
        </w:rPr>
        <w:t xml:space="preserve"> </w:t>
      </w:r>
      <w:r w:rsidRPr="00A26039">
        <w:rPr>
          <w:rFonts w:ascii="Times New Roman" w:hAnsi="Times New Roman" w:cs="Times New Roman"/>
          <w:sz w:val="24"/>
          <w:szCs w:val="24"/>
        </w:rPr>
        <w:t xml:space="preserve">day of </w:t>
      </w:r>
      <w:r w:rsidRPr="00A26039" w:rsidR="00223875">
        <w:rPr>
          <w:rFonts w:ascii="Times New Roman" w:hAnsi="Times New Roman" w:cs="Times New Roman"/>
          <w:sz w:val="24"/>
          <w:szCs w:val="24"/>
        </w:rPr>
        <w:t xml:space="preserve">November </w:t>
      </w:r>
      <w:r w:rsidRPr="00A26039">
        <w:rPr>
          <w:rFonts w:ascii="Times New Roman" w:hAnsi="Times New Roman" w:cs="Times New Roman"/>
          <w:sz w:val="24"/>
          <w:szCs w:val="24"/>
        </w:rPr>
        <w:t>2022.</w:t>
      </w:r>
    </w:p>
    <w:p w:rsidR="006225E6" w:rsidRPr="00A26039" w:rsidP="006225E6" w14:paraId="6C5AACA7" w14:textId="54F5A0AE">
      <w:pPr>
        <w:tabs>
          <w:tab w:val="left" w:pos="4320"/>
        </w:tabs>
        <w:spacing w:after="0" w:line="240" w:lineRule="auto"/>
        <w:rPr>
          <w:rFonts w:ascii="Times New Roman" w:hAnsi="Times New Roman" w:cs="Times New Roman"/>
          <w:i/>
          <w:iCs/>
          <w:sz w:val="24"/>
          <w:szCs w:val="24"/>
          <w:u w:val="single"/>
        </w:rPr>
      </w:pPr>
      <w:r w:rsidRPr="00A26039">
        <w:rPr>
          <w:rFonts w:ascii="Times New Roman" w:hAnsi="Times New Roman" w:cs="Times New Roman"/>
          <w:sz w:val="24"/>
          <w:szCs w:val="24"/>
        </w:rPr>
        <w:tab/>
      </w:r>
      <w:r w:rsidRPr="00A26039">
        <w:rPr>
          <w:rFonts w:ascii="Times New Roman" w:hAnsi="Times New Roman" w:cs="Times New Roman"/>
          <w:i/>
          <w:iCs/>
          <w:sz w:val="24"/>
          <w:szCs w:val="24"/>
          <w:u w:val="single"/>
        </w:rPr>
        <w:t xml:space="preserve">/s/ </w:t>
      </w:r>
      <w:r w:rsidRPr="00A26039" w:rsidR="00223875">
        <w:rPr>
          <w:rFonts w:ascii="Times New Roman" w:hAnsi="Times New Roman" w:cs="Times New Roman"/>
          <w:i/>
          <w:iCs/>
          <w:sz w:val="24"/>
          <w:szCs w:val="24"/>
          <w:u w:val="single"/>
        </w:rPr>
        <w:t>Amy Botschner O’Brien</w:t>
      </w:r>
    </w:p>
    <w:p w:rsidR="006225E6" w:rsidRPr="00A26039" w:rsidP="006225E6" w14:paraId="6D9E71C9" w14:textId="7B4703FE">
      <w:pPr>
        <w:tabs>
          <w:tab w:val="left" w:pos="4320"/>
        </w:tabs>
        <w:spacing w:after="0" w:line="240" w:lineRule="auto"/>
        <w:rPr>
          <w:rFonts w:ascii="Times New Roman" w:hAnsi="Times New Roman" w:cs="Times New Roman"/>
          <w:sz w:val="24"/>
          <w:szCs w:val="24"/>
        </w:rPr>
      </w:pPr>
      <w:r w:rsidRPr="00A26039">
        <w:rPr>
          <w:rFonts w:ascii="Times New Roman" w:hAnsi="Times New Roman" w:cs="Times New Roman"/>
          <w:sz w:val="24"/>
          <w:szCs w:val="24"/>
        </w:rPr>
        <w:tab/>
      </w:r>
      <w:r w:rsidRPr="00A26039" w:rsidR="00223875">
        <w:rPr>
          <w:rFonts w:ascii="Times New Roman" w:hAnsi="Times New Roman" w:cs="Times New Roman"/>
          <w:sz w:val="24"/>
          <w:szCs w:val="24"/>
        </w:rPr>
        <w:t>Amy Botschner O’Brien</w:t>
      </w:r>
    </w:p>
    <w:p w:rsidR="006225E6" w:rsidRPr="00A26039" w:rsidP="006225E6" w14:paraId="7280143E" w14:textId="77777777">
      <w:pPr>
        <w:tabs>
          <w:tab w:val="left" w:pos="4320"/>
        </w:tabs>
        <w:spacing w:after="0" w:line="240" w:lineRule="auto"/>
        <w:rPr>
          <w:rFonts w:ascii="Times New Roman" w:hAnsi="Times New Roman" w:cs="Times New Roman"/>
          <w:sz w:val="24"/>
          <w:szCs w:val="24"/>
        </w:rPr>
      </w:pPr>
      <w:r w:rsidRPr="00A26039">
        <w:rPr>
          <w:rFonts w:ascii="Times New Roman" w:hAnsi="Times New Roman" w:cs="Times New Roman"/>
          <w:sz w:val="24"/>
          <w:szCs w:val="24"/>
        </w:rPr>
        <w:tab/>
        <w:t>Assistant Consumers’ Counsel</w:t>
      </w:r>
    </w:p>
    <w:p w:rsidR="006225E6" w:rsidRPr="00A26039" w:rsidP="006225E6" w14:paraId="369581D7" w14:textId="77777777">
      <w:pPr>
        <w:tabs>
          <w:tab w:val="left" w:pos="4320"/>
        </w:tabs>
        <w:spacing w:after="0" w:line="240" w:lineRule="auto"/>
        <w:rPr>
          <w:rFonts w:ascii="Times New Roman" w:hAnsi="Times New Roman" w:cs="Times New Roman"/>
          <w:sz w:val="24"/>
          <w:szCs w:val="24"/>
        </w:rPr>
      </w:pPr>
    </w:p>
    <w:p w:rsidR="006225E6" w:rsidRPr="00A26039" w:rsidP="006225E6" w14:paraId="20A2DD90" w14:textId="77777777">
      <w:pPr>
        <w:rPr>
          <w:rFonts w:ascii="Times New Roman" w:hAnsi="Times New Roman" w:cs="Times New Roman"/>
          <w:sz w:val="24"/>
          <w:szCs w:val="24"/>
        </w:rPr>
      </w:pPr>
      <w:r w:rsidRPr="00A26039">
        <w:rPr>
          <w:rFonts w:ascii="Times New Roman" w:hAnsi="Times New Roman" w:cs="Times New Roman"/>
          <w:sz w:val="24"/>
          <w:szCs w:val="24"/>
        </w:rPr>
        <w:t>The PUCO’s e-filing system will electronically serve notice of the filing of this document on the following parties:</w:t>
      </w:r>
    </w:p>
    <w:p w:rsidR="006225E6" w:rsidRPr="00A26039" w:rsidP="006225E6" w14:paraId="231AA997" w14:textId="77777777">
      <w:pPr>
        <w:pStyle w:val="CommentText"/>
        <w:spacing w:after="0"/>
        <w:jc w:val="center"/>
        <w:rPr>
          <w:rFonts w:ascii="Times New Roman" w:hAnsi="Times New Roman" w:cs="Times New Roman"/>
          <w:b/>
          <w:sz w:val="24"/>
          <w:szCs w:val="24"/>
          <w:u w:val="single"/>
        </w:rPr>
      </w:pPr>
      <w:bookmarkStart w:id="15" w:name="_Hlk89680211"/>
      <w:r w:rsidRPr="00A26039">
        <w:rPr>
          <w:rFonts w:ascii="Times New Roman" w:hAnsi="Times New Roman" w:cs="Times New Roman"/>
          <w:b/>
          <w:sz w:val="24"/>
          <w:szCs w:val="24"/>
          <w:u w:val="single"/>
        </w:rPr>
        <w:t>SERVICE LIST</w:t>
      </w:r>
    </w:p>
    <w:p w:rsidR="006225E6" w:rsidRPr="00A26039" w:rsidP="006225E6" w14:paraId="50E8DC3F" w14:textId="77777777">
      <w:pPr>
        <w:pStyle w:val="CommentText"/>
        <w:spacing w:after="0"/>
        <w:jc w:val="center"/>
        <w:rPr>
          <w:rFonts w:ascii="Times New Roman" w:hAnsi="Times New Roman" w:cs="Times New Roman"/>
          <w:b/>
          <w:sz w:val="24"/>
          <w:szCs w:val="24"/>
          <w:u w:val="single"/>
        </w:rPr>
      </w:pPr>
    </w:p>
    <w:tbl>
      <w:tblPr>
        <w:tblW w:w="0" w:type="auto"/>
        <w:tblLook w:val="04A0"/>
      </w:tblPr>
      <w:tblGrid>
        <w:gridCol w:w="4303"/>
        <w:gridCol w:w="4337"/>
      </w:tblGrid>
      <w:tr w14:paraId="5CBE6B03" w14:textId="77777777" w:rsidTr="006D09FB">
        <w:tblPrEx>
          <w:tblW w:w="0" w:type="auto"/>
          <w:tblLook w:val="04A0"/>
        </w:tblPrEx>
        <w:tc>
          <w:tcPr>
            <w:tcW w:w="4428" w:type="dxa"/>
            <w:shd w:val="clear" w:color="auto" w:fill="auto"/>
          </w:tcPr>
          <w:bookmarkEnd w:id="15"/>
          <w:p w:rsidR="00CF3A7A" w:rsidRPr="00A26039" w:rsidP="00CF3A7A" w14:paraId="5F45AB08" w14:textId="77777777">
            <w:pPr>
              <w:spacing w:after="0" w:line="240" w:lineRule="auto"/>
              <w:rPr>
                <w:rFonts w:ascii="Times New Roman" w:eastAsia="Times New Roman" w:hAnsi="Times New Roman" w:cs="Times New Roman"/>
                <w:sz w:val="24"/>
                <w:szCs w:val="24"/>
              </w:rPr>
            </w:pPr>
            <w:hyperlink r:id="rId11" w:history="1">
              <w:r w:rsidRPr="00A26039">
                <w:rPr>
                  <w:rFonts w:ascii="Times New Roman" w:eastAsia="Times New Roman" w:hAnsi="Times New Roman" w:cs="Times New Roman"/>
                  <w:color w:val="0000FF"/>
                  <w:sz w:val="24"/>
                  <w:szCs w:val="24"/>
                  <w:u w:val="single"/>
                </w:rPr>
                <w:t>sarah.feldkamp@ohioAGO.gov</w:t>
              </w:r>
            </w:hyperlink>
          </w:p>
          <w:p w:rsidR="00CF3A7A" w:rsidRPr="00A26039" w:rsidP="00CF3A7A" w14:paraId="0EBF45C0" w14:textId="77777777">
            <w:pPr>
              <w:spacing w:after="0" w:line="240" w:lineRule="auto"/>
              <w:rPr>
                <w:rFonts w:ascii="Times New Roman" w:eastAsia="Times New Roman" w:hAnsi="Times New Roman" w:cs="Times New Roman"/>
                <w:sz w:val="24"/>
                <w:szCs w:val="24"/>
              </w:rPr>
            </w:pPr>
            <w:hyperlink r:id="rId12" w:history="1">
              <w:r w:rsidRPr="00A26039" w:rsidR="00AF6E11">
                <w:rPr>
                  <w:rFonts w:ascii="Times New Roman" w:eastAsia="Times New Roman" w:hAnsi="Times New Roman" w:cs="Times New Roman"/>
                  <w:color w:val="0000FF"/>
                  <w:sz w:val="24"/>
                  <w:szCs w:val="24"/>
                  <w:u w:val="single"/>
                </w:rPr>
                <w:t>steven.beeler@ohioAGO.gov</w:t>
              </w:r>
            </w:hyperlink>
          </w:p>
          <w:p w:rsidR="00CF3A7A" w:rsidRPr="00A26039" w:rsidP="00CF3A7A" w14:paraId="5AE3832E" w14:textId="77777777">
            <w:pPr>
              <w:autoSpaceDE w:val="0"/>
              <w:autoSpaceDN w:val="0"/>
              <w:adjustRightInd w:val="0"/>
              <w:spacing w:after="0" w:line="240" w:lineRule="auto"/>
              <w:rPr>
                <w:rFonts w:ascii="Times New Roman" w:eastAsia="Times New Roman" w:hAnsi="Times New Roman" w:cs="Times New Roman"/>
                <w:color w:val="0000FF"/>
                <w:sz w:val="24"/>
                <w:szCs w:val="24"/>
              </w:rPr>
            </w:pPr>
            <w:hyperlink r:id="rId12" w:history="1">
              <w:r w:rsidRPr="00A26039" w:rsidR="00AF6E11">
                <w:rPr>
                  <w:rFonts w:ascii="Times New Roman" w:eastAsia="Times New Roman" w:hAnsi="Times New Roman" w:cs="Times New Roman"/>
                  <w:color w:val="0000FF"/>
                  <w:sz w:val="24"/>
                  <w:szCs w:val="24"/>
                  <w:u w:val="single"/>
                </w:rPr>
                <w:t>mkurtz@BKLlawfirm.com</w:t>
              </w:r>
            </w:hyperlink>
          </w:p>
          <w:p w:rsidR="00CF3A7A" w:rsidRPr="00A26039" w:rsidP="00CF3A7A" w14:paraId="652C70E6" w14:textId="77777777">
            <w:pPr>
              <w:autoSpaceDE w:val="0"/>
              <w:autoSpaceDN w:val="0"/>
              <w:adjustRightInd w:val="0"/>
              <w:spacing w:after="0" w:line="240" w:lineRule="auto"/>
              <w:rPr>
                <w:rFonts w:ascii="Times New Roman" w:eastAsia="Times New Roman" w:hAnsi="Times New Roman" w:cs="Times New Roman"/>
                <w:color w:val="0000FF"/>
                <w:sz w:val="24"/>
                <w:szCs w:val="24"/>
              </w:rPr>
            </w:pPr>
            <w:hyperlink r:id="rId12" w:history="1">
              <w:r w:rsidRPr="00A26039" w:rsidR="00AF6E11">
                <w:rPr>
                  <w:rFonts w:ascii="Times New Roman" w:eastAsia="Times New Roman" w:hAnsi="Times New Roman" w:cs="Times New Roman"/>
                  <w:color w:val="0000FF"/>
                  <w:sz w:val="24"/>
                  <w:szCs w:val="24"/>
                  <w:u w:val="single"/>
                </w:rPr>
                <w:t>kboehm@BKLlawfirm.com</w:t>
              </w:r>
            </w:hyperlink>
          </w:p>
          <w:p w:rsidR="00CF3A7A" w:rsidRPr="00A26039" w:rsidP="00CF3A7A" w14:paraId="74F404B0" w14:textId="77777777">
            <w:pPr>
              <w:spacing w:after="0" w:line="240" w:lineRule="auto"/>
              <w:rPr>
                <w:rFonts w:ascii="Times New Roman" w:eastAsia="Times New Roman" w:hAnsi="Times New Roman" w:cs="Times New Roman"/>
                <w:color w:val="0000FF"/>
                <w:sz w:val="24"/>
                <w:szCs w:val="24"/>
                <w:u w:val="single"/>
              </w:rPr>
            </w:pPr>
            <w:hyperlink r:id="rId12" w:history="1">
              <w:r w:rsidRPr="00A26039" w:rsidR="00AF6E11">
                <w:rPr>
                  <w:rFonts w:ascii="Times New Roman" w:eastAsia="Times New Roman" w:hAnsi="Times New Roman" w:cs="Times New Roman"/>
                  <w:color w:val="0000FF"/>
                  <w:sz w:val="24"/>
                  <w:szCs w:val="24"/>
                  <w:u w:val="single"/>
                </w:rPr>
                <w:t>jkylercohn@BKLlawfirm.com</w:t>
              </w:r>
            </w:hyperlink>
          </w:p>
          <w:p w:rsidR="00CF3A7A" w:rsidRPr="00A26039" w:rsidP="00CF3A7A" w14:paraId="5064CBAC" w14:textId="77777777">
            <w:pPr>
              <w:spacing w:after="0" w:line="240" w:lineRule="auto"/>
              <w:rPr>
                <w:rFonts w:ascii="Times New Roman" w:eastAsia="Times New Roman" w:hAnsi="Times New Roman" w:cs="Times New Roman"/>
                <w:color w:val="0000FF"/>
                <w:sz w:val="24"/>
                <w:szCs w:val="24"/>
              </w:rPr>
            </w:pPr>
            <w:hyperlink r:id="rId13" w:history="1">
              <w:r w:rsidRPr="00A26039" w:rsidR="00AF6E11">
                <w:rPr>
                  <w:rFonts w:ascii="Times New Roman" w:eastAsia="Times New Roman" w:hAnsi="Times New Roman" w:cs="Times New Roman"/>
                  <w:color w:val="0000FF"/>
                  <w:sz w:val="24"/>
                  <w:szCs w:val="24"/>
                  <w:u w:val="single"/>
                </w:rPr>
                <w:t>christopher.hollon@aes.com</w:t>
              </w:r>
            </w:hyperlink>
          </w:p>
          <w:p w:rsidR="00CF3A7A" w:rsidRPr="00A26039" w:rsidP="00CF3A7A" w14:paraId="45E66983" w14:textId="77777777">
            <w:pPr>
              <w:spacing w:after="0" w:line="240" w:lineRule="auto"/>
              <w:rPr>
                <w:rFonts w:ascii="Times New Roman" w:eastAsia="Times New Roman" w:hAnsi="Times New Roman" w:cs="Times New Roman"/>
                <w:color w:val="0000FF"/>
                <w:sz w:val="24"/>
                <w:szCs w:val="24"/>
              </w:rPr>
            </w:pPr>
            <w:hyperlink r:id="rId14" w:history="1">
              <w:r w:rsidRPr="00A26039" w:rsidR="00AF6E11">
                <w:rPr>
                  <w:rFonts w:ascii="Times New Roman" w:eastAsia="Times New Roman" w:hAnsi="Times New Roman" w:cs="Times New Roman"/>
                  <w:color w:val="0000FF"/>
                  <w:sz w:val="24"/>
                  <w:szCs w:val="24"/>
                  <w:u w:val="single"/>
                </w:rPr>
                <w:t>mjschuler@aep.com</w:t>
              </w:r>
            </w:hyperlink>
          </w:p>
          <w:p w:rsidR="00CF3A7A" w:rsidRPr="00A26039" w:rsidP="00CF3A7A" w14:paraId="336AB33D" w14:textId="77777777">
            <w:pPr>
              <w:spacing w:after="0" w:line="240" w:lineRule="auto"/>
              <w:rPr>
                <w:rFonts w:ascii="Times New Roman" w:eastAsia="Times New Roman" w:hAnsi="Times New Roman" w:cs="Times New Roman"/>
                <w:color w:val="0000FF"/>
                <w:sz w:val="24"/>
                <w:szCs w:val="24"/>
              </w:rPr>
            </w:pPr>
          </w:p>
          <w:p w:rsidR="00CF3A7A" w:rsidRPr="00A26039" w:rsidP="00CF3A7A" w14:paraId="1F6AED2D" w14:textId="77777777">
            <w:pPr>
              <w:spacing w:after="0" w:line="240" w:lineRule="auto"/>
              <w:rPr>
                <w:rFonts w:ascii="Times New Roman" w:eastAsia="Times New Roman" w:hAnsi="Times New Roman" w:cs="Times New Roman"/>
                <w:sz w:val="24"/>
                <w:szCs w:val="24"/>
              </w:rPr>
            </w:pPr>
            <w:r w:rsidRPr="00A26039">
              <w:rPr>
                <w:rFonts w:ascii="Times New Roman" w:eastAsia="Times New Roman" w:hAnsi="Times New Roman" w:cs="Times New Roman"/>
                <w:sz w:val="24"/>
                <w:szCs w:val="24"/>
              </w:rPr>
              <w:t>Attorney Examiner:</w:t>
            </w:r>
          </w:p>
          <w:p w:rsidR="00CF3A7A" w:rsidRPr="00A26039" w:rsidP="00CF3A7A" w14:paraId="64198BCC" w14:textId="77777777">
            <w:pPr>
              <w:spacing w:after="0" w:line="240" w:lineRule="auto"/>
              <w:rPr>
                <w:rFonts w:ascii="Times New Roman" w:eastAsia="Times New Roman" w:hAnsi="Times New Roman" w:cs="Times New Roman"/>
                <w:color w:val="0000FF"/>
                <w:sz w:val="24"/>
                <w:szCs w:val="24"/>
              </w:rPr>
            </w:pPr>
            <w:hyperlink r:id="rId15" w:history="1">
              <w:r w:rsidRPr="00A26039" w:rsidR="00AF6E11">
                <w:rPr>
                  <w:rFonts w:ascii="Times New Roman" w:eastAsia="Times New Roman" w:hAnsi="Times New Roman" w:cs="Times New Roman"/>
                  <w:color w:val="0000FF"/>
                  <w:sz w:val="24"/>
                  <w:szCs w:val="24"/>
                  <w:u w:val="single"/>
                </w:rPr>
                <w:t>greta.see@puco.ohio.gov</w:t>
              </w:r>
            </w:hyperlink>
          </w:p>
          <w:p w:rsidR="00CF3A7A" w:rsidRPr="00A26039" w:rsidP="00CF3A7A" w14:paraId="4314F0A5" w14:textId="77777777">
            <w:pPr>
              <w:spacing w:after="0" w:line="240" w:lineRule="auto"/>
              <w:rPr>
                <w:rFonts w:ascii="Times New Roman" w:eastAsia="Times New Roman" w:hAnsi="Times New Roman" w:cs="Times New Roman"/>
                <w:color w:val="0000FF"/>
                <w:sz w:val="24"/>
                <w:szCs w:val="24"/>
              </w:rPr>
            </w:pPr>
          </w:p>
          <w:p w:rsidR="00CF3A7A" w:rsidRPr="00A26039" w:rsidP="00CF3A7A" w14:paraId="1560B420" w14:textId="77777777">
            <w:pPr>
              <w:spacing w:after="0" w:line="240" w:lineRule="auto"/>
              <w:rPr>
                <w:rFonts w:ascii="Times New Roman" w:eastAsia="Times New Roman" w:hAnsi="Times New Roman" w:cs="Times New Roman"/>
                <w:sz w:val="24"/>
                <w:szCs w:val="24"/>
              </w:rPr>
            </w:pPr>
          </w:p>
        </w:tc>
        <w:tc>
          <w:tcPr>
            <w:tcW w:w="4428" w:type="dxa"/>
            <w:shd w:val="clear" w:color="auto" w:fill="auto"/>
          </w:tcPr>
          <w:p w:rsidR="00CF3A7A" w:rsidRPr="00A26039" w:rsidP="00CF3A7A" w14:paraId="39EADC5C" w14:textId="77777777">
            <w:pPr>
              <w:spacing w:after="0" w:line="240" w:lineRule="auto"/>
              <w:ind w:left="502"/>
              <w:rPr>
                <w:rFonts w:ascii="Times New Roman" w:eastAsia="Times New Roman" w:hAnsi="Times New Roman" w:cs="Times New Roman"/>
                <w:sz w:val="24"/>
                <w:szCs w:val="24"/>
              </w:rPr>
            </w:pPr>
            <w:hyperlink r:id="rId12" w:history="1">
              <w:r w:rsidRPr="00A26039" w:rsidR="00AF6E11">
                <w:rPr>
                  <w:rFonts w:ascii="Times New Roman" w:eastAsia="Times New Roman" w:hAnsi="Times New Roman" w:cs="Times New Roman"/>
                  <w:color w:val="0000FF"/>
                  <w:sz w:val="24"/>
                  <w:szCs w:val="24"/>
                  <w:u w:val="single"/>
                </w:rPr>
                <w:t>dstinson@bricker.com</w:t>
              </w:r>
            </w:hyperlink>
          </w:p>
          <w:p w:rsidR="00CF3A7A" w:rsidRPr="00A26039" w:rsidP="00CF3A7A" w14:paraId="021479C3" w14:textId="77777777">
            <w:pPr>
              <w:autoSpaceDE w:val="0"/>
              <w:autoSpaceDN w:val="0"/>
              <w:adjustRightInd w:val="0"/>
              <w:spacing w:after="0" w:line="240" w:lineRule="auto"/>
              <w:ind w:left="502"/>
              <w:rPr>
                <w:rFonts w:ascii="Times New Roman" w:eastAsia="Times New Roman" w:hAnsi="Times New Roman" w:cs="Times New Roman"/>
                <w:sz w:val="24"/>
                <w:szCs w:val="24"/>
              </w:rPr>
            </w:pPr>
            <w:hyperlink r:id="rId12" w:history="1">
              <w:r w:rsidRPr="00A26039" w:rsidR="00AF6E11">
                <w:rPr>
                  <w:rFonts w:ascii="Times New Roman" w:eastAsia="Times New Roman" w:hAnsi="Times New Roman" w:cs="Times New Roman"/>
                  <w:color w:val="0000FF"/>
                  <w:sz w:val="24"/>
                  <w:szCs w:val="24"/>
                  <w:u w:val="single"/>
                </w:rPr>
                <w:t>mpritchard@mcneeslaw.com</w:t>
              </w:r>
            </w:hyperlink>
          </w:p>
          <w:p w:rsidR="00CF3A7A" w:rsidRPr="00A26039" w:rsidP="00CF3A7A" w14:paraId="668FD420" w14:textId="77777777">
            <w:pPr>
              <w:spacing w:after="0" w:line="240" w:lineRule="auto"/>
              <w:ind w:left="502"/>
              <w:rPr>
                <w:rFonts w:ascii="Times New Roman" w:eastAsia="Times New Roman" w:hAnsi="Times New Roman" w:cs="Times New Roman"/>
                <w:color w:val="0000FF"/>
                <w:sz w:val="24"/>
                <w:szCs w:val="24"/>
                <w:u w:val="single"/>
              </w:rPr>
            </w:pPr>
            <w:hyperlink r:id="rId12" w:history="1">
              <w:r w:rsidRPr="00A26039" w:rsidR="00AF6E11">
                <w:rPr>
                  <w:rFonts w:ascii="Times New Roman" w:eastAsia="Times New Roman" w:hAnsi="Times New Roman" w:cs="Times New Roman"/>
                  <w:color w:val="0000FF"/>
                  <w:sz w:val="24"/>
                  <w:szCs w:val="24"/>
                  <w:u w:val="single"/>
                </w:rPr>
                <w:t>bmckenney@mcneeslaw.com</w:t>
              </w:r>
            </w:hyperlink>
          </w:p>
          <w:p w:rsidR="00CF3A7A" w:rsidRPr="00A26039" w:rsidP="00CF3A7A" w14:paraId="36C9C8DD" w14:textId="77777777">
            <w:pPr>
              <w:spacing w:after="0" w:line="240" w:lineRule="auto"/>
              <w:ind w:left="535"/>
              <w:rPr>
                <w:rFonts w:ascii="Times New Roman" w:eastAsia="Times New Roman" w:hAnsi="Times New Roman" w:cs="Times New Roman"/>
                <w:sz w:val="24"/>
                <w:szCs w:val="24"/>
              </w:rPr>
            </w:pPr>
            <w:hyperlink r:id="rId16" w:history="1">
              <w:r w:rsidRPr="00A26039" w:rsidR="00AF6E11">
                <w:rPr>
                  <w:rFonts w:ascii="Times New Roman" w:eastAsia="Times New Roman" w:hAnsi="Times New Roman" w:cs="Times New Roman"/>
                  <w:color w:val="0000FF"/>
                  <w:sz w:val="24"/>
                  <w:szCs w:val="24"/>
                  <w:u w:val="single"/>
                </w:rPr>
                <w:t>rocco.dascenzo@duke-energy.com</w:t>
              </w:r>
            </w:hyperlink>
          </w:p>
          <w:p w:rsidR="00CF3A7A" w:rsidRPr="00A26039" w:rsidP="00CF3A7A" w14:paraId="762B8CB7" w14:textId="77777777">
            <w:pPr>
              <w:spacing w:after="0" w:line="240" w:lineRule="auto"/>
              <w:ind w:left="535"/>
              <w:rPr>
                <w:rFonts w:ascii="Times New Roman" w:eastAsia="Times New Roman" w:hAnsi="Times New Roman" w:cs="Times New Roman"/>
                <w:sz w:val="24"/>
                <w:szCs w:val="24"/>
              </w:rPr>
            </w:pPr>
            <w:hyperlink r:id="rId17" w:history="1">
              <w:r w:rsidRPr="00A26039" w:rsidR="00AF6E11">
                <w:rPr>
                  <w:rFonts w:ascii="Times New Roman" w:eastAsia="Times New Roman" w:hAnsi="Times New Roman" w:cs="Times New Roman"/>
                  <w:color w:val="0000FF"/>
                  <w:sz w:val="24"/>
                  <w:szCs w:val="24"/>
                  <w:u w:val="single"/>
                </w:rPr>
                <w:t>jeanne.kingery@duke-energy.com</w:t>
              </w:r>
            </w:hyperlink>
          </w:p>
          <w:p w:rsidR="00CF3A7A" w:rsidRPr="00A26039" w:rsidP="00CF3A7A" w14:paraId="7FC23ECA" w14:textId="77777777">
            <w:pPr>
              <w:spacing w:after="0" w:line="240" w:lineRule="auto"/>
              <w:ind w:left="535"/>
              <w:rPr>
                <w:rFonts w:ascii="Times New Roman" w:eastAsia="Times New Roman" w:hAnsi="Times New Roman" w:cs="Times New Roman"/>
                <w:sz w:val="24"/>
                <w:szCs w:val="24"/>
              </w:rPr>
            </w:pPr>
            <w:hyperlink r:id="rId18" w:history="1">
              <w:r w:rsidRPr="00A26039" w:rsidR="00AF6E11">
                <w:rPr>
                  <w:rFonts w:ascii="Times New Roman" w:eastAsia="Times New Roman" w:hAnsi="Times New Roman" w:cs="Times New Roman"/>
                  <w:color w:val="0000FF"/>
                  <w:sz w:val="24"/>
                  <w:szCs w:val="24"/>
                  <w:u w:val="single"/>
                </w:rPr>
                <w:t>larisa.vaysman@duke-energy.com</w:t>
              </w:r>
            </w:hyperlink>
          </w:p>
          <w:p w:rsidR="00CF3A7A" w:rsidRPr="00A26039" w:rsidP="00CF3A7A" w14:paraId="59EFC464" w14:textId="77777777">
            <w:pPr>
              <w:spacing w:after="0" w:line="240" w:lineRule="auto"/>
              <w:ind w:left="535"/>
              <w:rPr>
                <w:rFonts w:ascii="Times New Roman" w:eastAsia="Times New Roman" w:hAnsi="Times New Roman" w:cs="Times New Roman"/>
                <w:sz w:val="24"/>
                <w:szCs w:val="24"/>
              </w:rPr>
            </w:pPr>
            <w:hyperlink r:id="rId19" w:history="1">
              <w:r w:rsidRPr="00A26039" w:rsidR="00AF6E11">
                <w:rPr>
                  <w:rFonts w:ascii="Times New Roman" w:eastAsia="Times New Roman" w:hAnsi="Times New Roman" w:cs="Times New Roman"/>
                  <w:color w:val="0000FF"/>
                  <w:sz w:val="24"/>
                  <w:szCs w:val="24"/>
                  <w:u w:val="single"/>
                </w:rPr>
                <w:t>elyse.akhbari@duke-energy.com</w:t>
              </w:r>
            </w:hyperlink>
          </w:p>
          <w:p w:rsidR="00CF3A7A" w:rsidRPr="00A26039" w:rsidP="00CF3A7A" w14:paraId="5E4E17A7" w14:textId="77777777">
            <w:pPr>
              <w:spacing w:after="0" w:line="240" w:lineRule="auto"/>
              <w:ind w:left="535"/>
              <w:rPr>
                <w:rFonts w:ascii="Times New Roman" w:eastAsia="Times New Roman" w:hAnsi="Times New Roman" w:cs="Times New Roman"/>
                <w:sz w:val="24"/>
                <w:szCs w:val="24"/>
              </w:rPr>
            </w:pPr>
            <w:hyperlink r:id="rId20" w:history="1">
              <w:r w:rsidRPr="00A26039" w:rsidR="00AF6E11">
                <w:rPr>
                  <w:rFonts w:ascii="Times New Roman" w:eastAsia="Times New Roman" w:hAnsi="Times New Roman" w:cs="Times New Roman"/>
                  <w:color w:val="0000FF"/>
                  <w:sz w:val="24"/>
                  <w:szCs w:val="24"/>
                  <w:u w:val="single"/>
                </w:rPr>
                <w:t>jbreig@beneschlaw.com</w:t>
              </w:r>
            </w:hyperlink>
          </w:p>
          <w:p w:rsidR="00CF3A7A" w:rsidRPr="00A26039" w:rsidP="00CF3A7A" w14:paraId="74EE4E03" w14:textId="77777777">
            <w:pPr>
              <w:spacing w:after="0" w:line="240" w:lineRule="auto"/>
              <w:ind w:left="535"/>
              <w:rPr>
                <w:rFonts w:ascii="Times New Roman" w:eastAsia="Times New Roman" w:hAnsi="Times New Roman" w:cs="Times New Roman"/>
                <w:sz w:val="24"/>
                <w:szCs w:val="24"/>
              </w:rPr>
            </w:pPr>
          </w:p>
          <w:p w:rsidR="00CF3A7A" w:rsidRPr="00A26039" w:rsidP="00CF3A7A" w14:paraId="7533BBF4" w14:textId="77777777">
            <w:pPr>
              <w:spacing w:after="0" w:line="240" w:lineRule="auto"/>
              <w:ind w:left="535"/>
              <w:rPr>
                <w:rFonts w:ascii="Times New Roman" w:eastAsia="Times New Roman" w:hAnsi="Times New Roman" w:cs="Times New Roman"/>
                <w:sz w:val="24"/>
                <w:szCs w:val="24"/>
              </w:rPr>
            </w:pPr>
          </w:p>
        </w:tc>
      </w:tr>
    </w:tbl>
    <w:p w:rsidR="00D713F9" w:rsidRPr="00A26039" w:rsidP="006225E6" w14:paraId="0A9E69BC" w14:textId="2CE4056D">
      <w:pPr>
        <w:spacing w:line="480" w:lineRule="atLeast"/>
        <w:rPr>
          <w:rFonts w:ascii="Times New Roman" w:hAnsi="Times New Roman" w:cs="Times New Roman"/>
          <w:b/>
          <w:sz w:val="24"/>
          <w:szCs w:val="24"/>
          <w:u w:val="single"/>
        </w:rPr>
      </w:pPr>
    </w:p>
    <w:sectPr w:rsidSect="009D4E1D">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0242749"/>
      <w:docPartObj>
        <w:docPartGallery w:val="Page Numbers (Bottom of Page)"/>
        <w:docPartUnique/>
      </w:docPartObj>
    </w:sdtPr>
    <w:sdtEndPr>
      <w:rPr>
        <w:rFonts w:ascii="Times New Roman" w:hAnsi="Times New Roman" w:cs="Times New Roman"/>
        <w:noProof/>
        <w:sz w:val="24"/>
        <w:szCs w:val="24"/>
      </w:rPr>
    </w:sdtEndPr>
    <w:sdtContent>
      <w:p w:rsidR="009D6F53" w:rsidRPr="00AC1A13" w14:paraId="1E0C2832" w14:textId="77777777">
        <w:pPr>
          <w:pStyle w:val="Footer"/>
          <w:jc w:val="center"/>
          <w:rPr>
            <w:rFonts w:ascii="Times New Roman" w:hAnsi="Times New Roman" w:cs="Times New Roman"/>
            <w:sz w:val="24"/>
            <w:szCs w:val="24"/>
          </w:rPr>
        </w:pPr>
        <w:r w:rsidRPr="00AC1A13">
          <w:rPr>
            <w:rFonts w:ascii="Times New Roman" w:hAnsi="Times New Roman" w:cs="Times New Roman"/>
            <w:sz w:val="24"/>
            <w:szCs w:val="24"/>
          </w:rPr>
          <w:fldChar w:fldCharType="begin"/>
        </w:r>
        <w:r w:rsidRPr="00AC1A13">
          <w:rPr>
            <w:rFonts w:ascii="Times New Roman" w:hAnsi="Times New Roman" w:cs="Times New Roman"/>
            <w:sz w:val="24"/>
            <w:szCs w:val="24"/>
          </w:rPr>
          <w:instrText xml:space="preserve"> PAGE   \* MERGEFORMAT </w:instrText>
        </w:r>
        <w:r w:rsidRPr="00AC1A13">
          <w:rPr>
            <w:rFonts w:ascii="Times New Roman" w:hAnsi="Times New Roman" w:cs="Times New Roman"/>
            <w:sz w:val="24"/>
            <w:szCs w:val="24"/>
          </w:rPr>
          <w:fldChar w:fldCharType="separate"/>
        </w:r>
        <w:r w:rsidRPr="00AC1A13">
          <w:rPr>
            <w:rFonts w:ascii="Times New Roman" w:hAnsi="Times New Roman" w:cs="Times New Roman"/>
            <w:noProof/>
            <w:sz w:val="24"/>
            <w:szCs w:val="24"/>
          </w:rPr>
          <w:t>2</w:t>
        </w:r>
        <w:r w:rsidRPr="00AC1A13">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4531951"/>
      <w:docPartObj>
        <w:docPartGallery w:val="Page Numbers (Bottom of Page)"/>
        <w:docPartUnique/>
      </w:docPartObj>
    </w:sdtPr>
    <w:sdtEndPr>
      <w:rPr>
        <w:rFonts w:ascii="Times New Roman" w:hAnsi="Times New Roman" w:cs="Times New Roman"/>
        <w:noProof/>
        <w:sz w:val="24"/>
        <w:szCs w:val="24"/>
      </w:rPr>
    </w:sdtEndPr>
    <w:sdtContent>
      <w:p w:rsidR="009D4E1D" w:rsidRPr="00AC1A13" w14:paraId="1715FFE7" w14:textId="77777777">
        <w:pPr>
          <w:pStyle w:val="Footer"/>
          <w:jc w:val="center"/>
          <w:rPr>
            <w:rFonts w:ascii="Times New Roman" w:hAnsi="Times New Roman" w:cs="Times New Roman"/>
            <w:sz w:val="24"/>
            <w:szCs w:val="24"/>
          </w:rPr>
        </w:pPr>
        <w:r w:rsidRPr="00AC1A13">
          <w:rPr>
            <w:rFonts w:ascii="Times New Roman" w:hAnsi="Times New Roman" w:cs="Times New Roman"/>
            <w:sz w:val="24"/>
            <w:szCs w:val="24"/>
          </w:rPr>
          <w:fldChar w:fldCharType="begin"/>
        </w:r>
        <w:r w:rsidRPr="00AC1A13">
          <w:rPr>
            <w:rFonts w:ascii="Times New Roman" w:hAnsi="Times New Roman" w:cs="Times New Roman"/>
            <w:sz w:val="24"/>
            <w:szCs w:val="24"/>
          </w:rPr>
          <w:instrText xml:space="preserve"> PAGE   \* MERGEFORMAT </w:instrText>
        </w:r>
        <w:r w:rsidRPr="00AC1A13">
          <w:rPr>
            <w:rFonts w:ascii="Times New Roman" w:hAnsi="Times New Roman" w:cs="Times New Roman"/>
            <w:sz w:val="24"/>
            <w:szCs w:val="24"/>
          </w:rPr>
          <w:fldChar w:fldCharType="separate"/>
        </w:r>
        <w:r w:rsidRPr="00AC1A13">
          <w:rPr>
            <w:rFonts w:ascii="Times New Roman" w:hAnsi="Times New Roman" w:cs="Times New Roman"/>
            <w:noProof/>
            <w:sz w:val="24"/>
            <w:szCs w:val="24"/>
          </w:rPr>
          <w:t>2</w:t>
        </w:r>
        <w:r w:rsidRPr="00AC1A1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A77AF" w:rsidRPr="00B32B7E" w:rsidP="00B32B7E" w14:paraId="360A00BE" w14:textId="77777777">
      <w:pPr>
        <w:pStyle w:val="Footer"/>
      </w:pPr>
      <w:r>
        <w:separator/>
      </w:r>
    </w:p>
  </w:footnote>
  <w:footnote w:type="continuationSeparator" w:id="1">
    <w:p w:rsidR="00CA77AF" w:rsidRPr="00B32B7E" w:rsidP="00B32B7E" w14:paraId="6A22C65F" w14:textId="77777777">
      <w:pPr>
        <w:pStyle w:val="Footer"/>
      </w:pPr>
      <w:r>
        <w:continuationSeparator/>
      </w:r>
    </w:p>
  </w:footnote>
  <w:footnote w:type="continuationNotice" w:id="2">
    <w:p w:rsidR="00CA77AF" w14:paraId="366B6E74" w14:textId="77777777">
      <w:pPr>
        <w:spacing w:after="0" w:line="240" w:lineRule="auto"/>
      </w:pPr>
    </w:p>
  </w:footnote>
  <w:footnote w:id="3">
    <w:p w:rsidR="00FE747D" w:rsidRPr="00A26039" w:rsidP="00A26039" w14:paraId="26A1933E" w14:textId="3EB13CEA">
      <w:pPr>
        <w:pStyle w:val="FootnoteText"/>
        <w:widowControl w:val="0"/>
        <w:spacing w:after="120"/>
        <w:rPr>
          <w:rFonts w:cs="Times New Roman"/>
        </w:rPr>
      </w:pPr>
      <w:r w:rsidRPr="00A26039">
        <w:rPr>
          <w:rStyle w:val="FootnoteReference"/>
          <w:rFonts w:cs="Times New Roman"/>
        </w:rPr>
        <w:footnoteRef/>
      </w:r>
      <w:r w:rsidRPr="00A26039">
        <w:rPr>
          <w:rFonts w:cs="Times New Roman"/>
        </w:rPr>
        <w:t xml:space="preserve"> </w:t>
      </w:r>
      <w:r w:rsidRPr="00A26039" w:rsidR="00692851">
        <w:rPr>
          <w:rFonts w:cs="Times New Roman"/>
        </w:rPr>
        <w:t>Opinion</w:t>
      </w:r>
      <w:r w:rsidRPr="00A26039">
        <w:rPr>
          <w:rFonts w:cs="Times New Roman"/>
        </w:rPr>
        <w:t xml:space="preserve"> and Order (</w:t>
      </w:r>
      <w:r w:rsidRPr="00A26039" w:rsidR="00110913">
        <w:rPr>
          <w:rFonts w:cs="Times New Roman"/>
        </w:rPr>
        <w:t>October 5, 2022</w:t>
      </w:r>
      <w:r w:rsidRPr="00A26039">
        <w:rPr>
          <w:rFonts w:cs="Times New Roman"/>
        </w:rPr>
        <w:t>).</w:t>
      </w:r>
    </w:p>
  </w:footnote>
  <w:footnote w:id="4">
    <w:p w:rsidR="002341D4" w:rsidRPr="00A26039" w:rsidP="00A26039" w14:paraId="2467FECE" w14:textId="7B8C6B8E">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sidR="00110913">
        <w:rPr>
          <w:rFonts w:cs="Times New Roman"/>
        </w:rPr>
        <w:t>Joint Stipulation and Recommendation (August 5, 2022)</w:t>
      </w:r>
      <w:r w:rsidRPr="00A26039">
        <w:rPr>
          <w:rFonts w:cs="Times New Roman"/>
        </w:rPr>
        <w:t>.</w:t>
      </w:r>
    </w:p>
  </w:footnote>
  <w:footnote w:id="5">
    <w:p w:rsidR="002F6E16" w:rsidRPr="00A26039" w:rsidP="00A26039" w14:paraId="5B5C0976" w14:textId="5FA4042A">
      <w:pPr>
        <w:pStyle w:val="FootnoteText"/>
        <w:spacing w:after="120"/>
        <w:rPr>
          <w:rFonts w:cs="Times New Roman"/>
        </w:rPr>
      </w:pPr>
      <w:r w:rsidRPr="00A26039">
        <w:rPr>
          <w:rStyle w:val="FootnoteReference"/>
          <w:rFonts w:cs="Times New Roman"/>
        </w:rPr>
        <w:footnoteRef/>
      </w:r>
      <w:r w:rsidRPr="00A26039">
        <w:rPr>
          <w:rFonts w:cs="Times New Roman"/>
        </w:rPr>
        <w:t xml:space="preserve"> Case </w:t>
      </w:r>
      <w:r w:rsidRPr="00A26039" w:rsidR="007A1F0D">
        <w:rPr>
          <w:rFonts w:cs="Times New Roman"/>
        </w:rPr>
        <w:t xml:space="preserve">No. </w:t>
      </w:r>
      <w:r w:rsidRPr="00A26039">
        <w:rPr>
          <w:rFonts w:cs="Times New Roman"/>
        </w:rPr>
        <w:t>22-556-EL-USF, Application (October 31, 2022)</w:t>
      </w:r>
      <w:r w:rsidR="00A26039">
        <w:rPr>
          <w:rFonts w:cs="Times New Roman"/>
        </w:rPr>
        <w:t>.</w:t>
      </w:r>
    </w:p>
  </w:footnote>
  <w:footnote w:id="6">
    <w:p w:rsidR="007A1F0D" w:rsidRPr="00A26039" w:rsidP="00A26039" w14:paraId="59CDBDEF" w14:textId="4E55A113">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F6E11">
        <w:rPr>
          <w:rFonts w:cs="Times New Roman"/>
        </w:rPr>
        <w:t>Case No. 22-556-EL-USF, Testimony of Megan Meadows, Table II (October 31, 2022).</w:t>
      </w:r>
    </w:p>
  </w:footnote>
  <w:footnote w:id="7">
    <w:p w:rsidR="002F6E16" w:rsidRPr="00A26039" w:rsidP="00A26039" w14:paraId="74E3CA8E" w14:textId="73D52D66">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sidR="007A1F0D">
        <w:rPr>
          <w:rFonts w:cs="Times New Roman"/>
          <w:i/>
          <w:iCs/>
        </w:rPr>
        <w:t>Id</w:t>
      </w:r>
      <w:r w:rsidRPr="00A26039" w:rsidR="007A1F0D">
        <w:rPr>
          <w:rFonts w:cs="Times New Roman"/>
        </w:rPr>
        <w:t xml:space="preserve">.; </w:t>
      </w:r>
      <w:r w:rsidRPr="00A26039">
        <w:rPr>
          <w:rFonts w:cs="Times New Roman"/>
        </w:rPr>
        <w:t>Testimony of Megan Meadows at 27.</w:t>
      </w:r>
    </w:p>
  </w:footnote>
  <w:footnote w:id="8">
    <w:p w:rsidR="00B10F10" w:rsidRPr="00A26039" w:rsidP="00A26039" w14:paraId="3AABF40A" w14:textId="100E06DB">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See</w:t>
      </w:r>
      <w:r w:rsidRPr="00A26039">
        <w:rPr>
          <w:rFonts w:cs="Times New Roman"/>
        </w:rPr>
        <w:t xml:space="preserve"> OCC Brief at 10, Table 1: Annual Estimated Excess Electricity Charges to an Individual PIPP Consumer Above the Utilities Standard Offers; OCC Reply Brief at 11.</w:t>
      </w:r>
    </w:p>
  </w:footnote>
  <w:footnote w:id="9">
    <w:p w:rsidR="00B10F10" w:rsidRPr="00A26039" w:rsidP="00A26039" w14:paraId="71BDE5B8" w14:textId="77777777">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Id.</w:t>
      </w:r>
    </w:p>
  </w:footnote>
  <w:footnote w:id="10">
    <w:p w:rsidR="00A44808" w:rsidRPr="00A26039" w:rsidP="00A26039" w14:paraId="189AF91E" w14:textId="7B77C427">
      <w:pPr>
        <w:pStyle w:val="FootnoteText"/>
        <w:spacing w:after="120"/>
        <w:rPr>
          <w:rFonts w:cs="Times New Roman"/>
        </w:rPr>
      </w:pPr>
      <w:r w:rsidRPr="00A26039">
        <w:rPr>
          <w:rStyle w:val="FootnoteReference"/>
          <w:rFonts w:cs="Times New Roman"/>
        </w:rPr>
        <w:footnoteRef/>
      </w:r>
      <w:r w:rsidRPr="00A26039">
        <w:rPr>
          <w:rFonts w:cs="Times New Roman"/>
        </w:rPr>
        <w:t xml:space="preserve"> R.C. 4928.542(B).</w:t>
      </w:r>
    </w:p>
  </w:footnote>
  <w:footnote w:id="11">
    <w:p w:rsidR="00A44808" w:rsidRPr="00A26039" w:rsidP="00A26039" w14:paraId="5B34B716" w14:textId="3CAD00E8">
      <w:pPr>
        <w:pStyle w:val="FootnoteText"/>
        <w:spacing w:after="120"/>
        <w:rPr>
          <w:rFonts w:cs="Times New Roman"/>
        </w:rPr>
      </w:pPr>
      <w:r w:rsidRPr="00A26039">
        <w:rPr>
          <w:rStyle w:val="FootnoteReference"/>
          <w:rFonts w:cs="Times New Roman"/>
        </w:rPr>
        <w:footnoteRef/>
      </w:r>
      <w:r w:rsidRPr="00A26039">
        <w:rPr>
          <w:rFonts w:cs="Times New Roman"/>
        </w:rPr>
        <w:t xml:space="preserve"> R.C. 4928.542(C).</w:t>
      </w:r>
    </w:p>
  </w:footnote>
  <w:footnote w:id="12">
    <w:p w:rsidR="00097221" w:rsidRPr="00A26039" w:rsidP="00A26039" w14:paraId="7FC36EB0" w14:textId="6C5C07C4">
      <w:pPr>
        <w:pStyle w:val="FootnoteText"/>
        <w:spacing w:after="120"/>
        <w:rPr>
          <w:rFonts w:cs="Times New Roman"/>
        </w:rPr>
      </w:pPr>
      <w:r w:rsidRPr="00A26039">
        <w:rPr>
          <w:rStyle w:val="FootnoteReference"/>
          <w:rFonts w:cs="Times New Roman"/>
        </w:rPr>
        <w:footnoteRef/>
      </w:r>
      <w:r w:rsidRPr="00A26039">
        <w:rPr>
          <w:rFonts w:cs="Times New Roman"/>
        </w:rPr>
        <w:t xml:space="preserve"> Opinion and Order at 26.</w:t>
      </w:r>
    </w:p>
  </w:footnote>
  <w:footnote w:id="13">
    <w:p w:rsidR="007546CB" w:rsidRPr="00A26039" w:rsidP="00A26039" w14:paraId="1095178D" w14:textId="2AE2E4EC">
      <w:pPr>
        <w:pStyle w:val="FootnoteText"/>
        <w:spacing w:after="120"/>
        <w:rPr>
          <w:rFonts w:cs="Times New Roman"/>
        </w:rPr>
      </w:pPr>
      <w:r w:rsidRPr="00A26039">
        <w:rPr>
          <w:rStyle w:val="FootnoteReference"/>
          <w:rFonts w:cs="Times New Roman"/>
        </w:rPr>
        <w:footnoteRef/>
      </w:r>
      <w:r w:rsidRPr="00A26039">
        <w:rPr>
          <w:rFonts w:cs="Times New Roman"/>
        </w:rPr>
        <w:t xml:space="preserve"> Opinion and Order at 28.</w:t>
      </w:r>
    </w:p>
  </w:footnote>
  <w:footnote w:id="14">
    <w:p w:rsidR="00097221" w:rsidRPr="00A26039" w:rsidP="00A26039" w14:paraId="7C120BE6" w14:textId="32DEED98">
      <w:pPr>
        <w:pStyle w:val="FootnoteText"/>
        <w:spacing w:after="120"/>
        <w:rPr>
          <w:rFonts w:cs="Times New Roman"/>
        </w:rPr>
      </w:pPr>
      <w:r w:rsidRPr="00A26039">
        <w:rPr>
          <w:rStyle w:val="FootnoteReference"/>
          <w:rFonts w:cs="Times New Roman"/>
        </w:rPr>
        <w:footnoteRef/>
      </w:r>
      <w:r w:rsidRPr="00A26039">
        <w:rPr>
          <w:rFonts w:cs="Times New Roman"/>
        </w:rPr>
        <w:t xml:space="preserve"> Opinion and Order at 24, 26.</w:t>
      </w:r>
    </w:p>
  </w:footnote>
  <w:footnote w:id="15">
    <w:p w:rsidR="001D5B69" w:rsidRPr="00A26039" w:rsidP="00A26039" w14:paraId="25C844AE" w14:textId="77777777">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In the Matter of the Application of the Ohio Department of Development for an Order Approving Adjustments to the Universal Service Fund Riders of Jurisdictional Ohio Electric Distribution Utilities</w:t>
      </w:r>
      <w:r w:rsidRPr="00A26039">
        <w:rPr>
          <w:rFonts w:cs="Times New Roman"/>
        </w:rPr>
        <w:t>, Case No. 22-556-EL-USF, Notice of Intent to File an Application for Adjustments to Universal Service Fund Riders (May 27, 2022) at 10.</w:t>
      </w:r>
    </w:p>
  </w:footnote>
  <w:footnote w:id="16">
    <w:p w:rsidR="003D5EA5" w:rsidRPr="00A26039" w:rsidP="00A26039" w14:paraId="6D0CDF49" w14:textId="77777777">
      <w:pPr>
        <w:pStyle w:val="FootnoteText"/>
        <w:spacing w:after="120"/>
        <w:rPr>
          <w:rFonts w:cs="Times New Roman"/>
        </w:rPr>
      </w:pPr>
      <w:r w:rsidRPr="00A26039">
        <w:rPr>
          <w:rStyle w:val="FootnoteReference"/>
          <w:rFonts w:cs="Times New Roman"/>
        </w:rPr>
        <w:footnoteRef/>
      </w:r>
      <w:r w:rsidRPr="00A26039">
        <w:rPr>
          <w:rFonts w:cs="Times New Roman"/>
        </w:rPr>
        <w:t xml:space="preserve"> Opinion and Order at 4.</w:t>
      </w:r>
    </w:p>
  </w:footnote>
  <w:footnote w:id="17">
    <w:p w:rsidR="001D5B69" w:rsidRPr="00A26039" w:rsidP="00A26039" w14:paraId="0EFF8614" w14:textId="77777777">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See</w:t>
      </w:r>
      <w:r w:rsidRPr="00A26039">
        <w:rPr>
          <w:rFonts w:cs="Times New Roman"/>
        </w:rPr>
        <w:t xml:space="preserve"> R.C. 4928.02(A); R.C. 4928.542.</w:t>
      </w:r>
    </w:p>
  </w:footnote>
  <w:footnote w:id="18">
    <w:p w:rsidR="00EE7799" w:rsidRPr="00A26039" w:rsidP="00A26039" w14:paraId="38C4B39A" w14:textId="04356977">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sidR="00F34961">
        <w:rPr>
          <w:rFonts w:cs="Times New Roman"/>
          <w:i/>
          <w:iCs/>
        </w:rPr>
        <w:t>See</w:t>
      </w:r>
      <w:r w:rsidRPr="00A26039" w:rsidR="00F34961">
        <w:rPr>
          <w:rFonts w:cs="Times New Roman"/>
        </w:rPr>
        <w:t xml:space="preserve"> OCC Ex</w:t>
      </w:r>
      <w:r w:rsidRPr="00A26039" w:rsidR="00236827">
        <w:rPr>
          <w:rFonts w:cs="Times New Roman"/>
        </w:rPr>
        <w:t>.</w:t>
      </w:r>
      <w:r w:rsidRPr="00A26039" w:rsidR="00F34961">
        <w:rPr>
          <w:rFonts w:cs="Times New Roman"/>
        </w:rPr>
        <w:t xml:space="preserve"> 1 (</w:t>
      </w:r>
      <w:r w:rsidRPr="00A26039" w:rsidR="00790068">
        <w:rPr>
          <w:rFonts w:cs="Times New Roman"/>
        </w:rPr>
        <w:t>T</w:t>
      </w:r>
      <w:r w:rsidRPr="00A26039" w:rsidR="00F34961">
        <w:rPr>
          <w:rFonts w:cs="Times New Roman"/>
        </w:rPr>
        <w:t>estimony of James D. William</w:t>
      </w:r>
      <w:r w:rsidRPr="00A26039" w:rsidR="00790068">
        <w:rPr>
          <w:rFonts w:cs="Times New Roman"/>
        </w:rPr>
        <w:t>s in Opposition to the Settlement</w:t>
      </w:r>
      <w:r w:rsidRPr="00A26039" w:rsidR="00236827">
        <w:rPr>
          <w:rFonts w:cs="Times New Roman"/>
        </w:rPr>
        <w:t xml:space="preserve">, August </w:t>
      </w:r>
      <w:r w:rsidR="001C5693">
        <w:rPr>
          <w:rFonts w:cs="Times New Roman"/>
        </w:rPr>
        <w:t>1</w:t>
      </w:r>
      <w:r w:rsidRPr="00A26039" w:rsidR="00236827">
        <w:rPr>
          <w:rFonts w:cs="Times New Roman"/>
        </w:rPr>
        <w:t>9, 2022</w:t>
      </w:r>
      <w:r w:rsidRPr="00A26039" w:rsidR="00F34961">
        <w:rPr>
          <w:rFonts w:cs="Times New Roman"/>
        </w:rPr>
        <w:t xml:space="preserve">) at </w:t>
      </w:r>
      <w:r w:rsidRPr="00A26039" w:rsidR="00790068">
        <w:rPr>
          <w:rFonts w:cs="Times New Roman"/>
        </w:rPr>
        <w:t>18-22</w:t>
      </w:r>
      <w:r w:rsidRPr="00A26039" w:rsidR="00F34961">
        <w:rPr>
          <w:rFonts w:cs="Times New Roman"/>
        </w:rPr>
        <w:t>; OCC Post-Hearing Brief at 10, Table 1: Annual Estimated Excess Electricity Charges to an Individual PIPP Consumer Above the Utilities Standard Offers; OCC Post-Hearing Brief at 8-11; OCC Reply Brief at 9-11.</w:t>
      </w:r>
    </w:p>
  </w:footnote>
  <w:footnote w:id="19">
    <w:p w:rsidR="00882FBE" w:rsidRPr="00A26039" w:rsidP="00A26039" w14:paraId="049BE893" w14:textId="77777777">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Id.</w:t>
      </w:r>
    </w:p>
  </w:footnote>
  <w:footnote w:id="20">
    <w:p w:rsidR="001D5B69" w:rsidRPr="00A26039" w:rsidP="00A26039" w14:paraId="7BC76FF3" w14:textId="1CBB20B8">
      <w:pPr>
        <w:pStyle w:val="FootnoteText"/>
        <w:spacing w:after="120"/>
        <w:rPr>
          <w:rFonts w:cs="Times New Roman"/>
        </w:rPr>
      </w:pPr>
      <w:r w:rsidRPr="00A26039">
        <w:rPr>
          <w:rStyle w:val="FootnoteReference"/>
          <w:rFonts w:cs="Times New Roman"/>
        </w:rPr>
        <w:footnoteRef/>
      </w:r>
      <w:r w:rsidRPr="00A26039">
        <w:rPr>
          <w:rFonts w:cs="Times New Roman"/>
        </w:rPr>
        <w:t xml:space="preserve"> Duke Energy Ohio Retail Capacity Rider and Retail Energy Rider, PUCO Electric No. 19, Sheet(s) 111 and 112 effective June 1, 2022</w:t>
      </w:r>
      <w:r w:rsidRPr="00A26039" w:rsidR="002F094C">
        <w:rPr>
          <w:rFonts w:cs="Times New Roman"/>
        </w:rPr>
        <w:t xml:space="preserve">; </w:t>
      </w:r>
      <w:r w:rsidRPr="00A26039" w:rsidR="002F094C">
        <w:rPr>
          <w:rFonts w:cs="Times New Roman"/>
          <w:i/>
          <w:iCs/>
        </w:rPr>
        <w:t>see</w:t>
      </w:r>
      <w:r w:rsidRPr="00A26039" w:rsidR="002F094C">
        <w:rPr>
          <w:rFonts w:cs="Times New Roman"/>
        </w:rPr>
        <w:t xml:space="preserve"> OCC Reply Brief at 10-11.</w:t>
      </w:r>
    </w:p>
  </w:footnote>
  <w:footnote w:id="21">
    <w:p w:rsidR="00594532" w:rsidRPr="00A26039" w:rsidP="00A26039" w14:paraId="3F784DDE" w14:textId="51E2F874">
      <w:pPr>
        <w:pStyle w:val="FootnoteText"/>
        <w:spacing w:after="120"/>
        <w:rPr>
          <w:rFonts w:cs="Times New Roman"/>
        </w:rPr>
      </w:pPr>
      <w:r w:rsidRPr="00A26039">
        <w:rPr>
          <w:rStyle w:val="FootnoteReference"/>
          <w:rFonts w:cs="Times New Roman"/>
        </w:rPr>
        <w:footnoteRef/>
      </w:r>
      <w:r w:rsidRPr="00A26039">
        <w:rPr>
          <w:rFonts w:cs="Times New Roman"/>
        </w:rPr>
        <w:t xml:space="preserve"> Ohio Power Tariff, Generation Capacity Rider and Generation Energy Rider, PUCO No. 21, Sheet(s) 450-1 and 451-1</w:t>
      </w:r>
      <w:r w:rsidRPr="00A26039" w:rsidR="002F094C">
        <w:rPr>
          <w:rFonts w:cs="Times New Roman"/>
        </w:rPr>
        <w:t xml:space="preserve">; </w:t>
      </w:r>
      <w:r w:rsidRPr="00A26039" w:rsidR="002F094C">
        <w:rPr>
          <w:rFonts w:cs="Times New Roman"/>
          <w:i/>
          <w:iCs/>
        </w:rPr>
        <w:t>see</w:t>
      </w:r>
      <w:r w:rsidRPr="00A26039" w:rsidR="002F094C">
        <w:rPr>
          <w:rFonts w:cs="Times New Roman"/>
        </w:rPr>
        <w:t xml:space="preserve"> OCC Reply Brief at 10-11.</w:t>
      </w:r>
      <w:r w:rsidRPr="00A26039" w:rsidR="00CF4611">
        <w:rPr>
          <w:rFonts w:cs="Times New Roman"/>
        </w:rPr>
        <w:t xml:space="preserve"> </w:t>
      </w:r>
    </w:p>
  </w:footnote>
  <w:footnote w:id="22">
    <w:p w:rsidR="00882FBE" w:rsidRPr="00A26039" w:rsidP="00A26039" w14:paraId="7883D219" w14:textId="596CC3E5">
      <w:pPr>
        <w:pStyle w:val="FootnoteText"/>
        <w:spacing w:after="120"/>
        <w:rPr>
          <w:rFonts w:cs="Times New Roman"/>
        </w:rPr>
      </w:pPr>
      <w:r w:rsidRPr="00A26039">
        <w:rPr>
          <w:rStyle w:val="FootnoteReference"/>
          <w:rFonts w:cs="Times New Roman"/>
        </w:rPr>
        <w:footnoteRef/>
      </w:r>
      <w:r w:rsidRPr="00A26039">
        <w:rPr>
          <w:rFonts w:cs="Times New Roman"/>
        </w:rPr>
        <w:t xml:space="preserve"> R.C. 4928.542(B).</w:t>
      </w:r>
    </w:p>
  </w:footnote>
  <w:footnote w:id="23">
    <w:p w:rsidR="00882FBE" w:rsidRPr="00A26039" w:rsidP="00A26039" w14:paraId="30884D7F" w14:textId="6353AFCD">
      <w:pPr>
        <w:pStyle w:val="FootnoteText"/>
        <w:spacing w:after="120"/>
        <w:rPr>
          <w:rFonts w:cs="Times New Roman"/>
        </w:rPr>
      </w:pPr>
      <w:r w:rsidRPr="00A26039">
        <w:rPr>
          <w:rStyle w:val="FootnoteReference"/>
          <w:rFonts w:cs="Times New Roman"/>
        </w:rPr>
        <w:footnoteRef/>
      </w:r>
      <w:r w:rsidRPr="00A26039">
        <w:rPr>
          <w:rFonts w:cs="Times New Roman"/>
        </w:rPr>
        <w:t xml:space="preserve"> R.C. 4928.542(C).</w:t>
      </w:r>
    </w:p>
  </w:footnote>
  <w:footnote w:id="24">
    <w:p w:rsidR="001D5B69" w:rsidRPr="00A26039" w:rsidP="00A26039" w14:paraId="2D1EB072" w14:textId="77777777">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Cs/>
        </w:rPr>
        <w:t>Also, a winning bid must be designed to provide a reliable electricity supplier to PIPP customers, per R.C. 4928.542.</w:t>
      </w:r>
    </w:p>
  </w:footnote>
  <w:footnote w:id="25">
    <w:p w:rsidR="00A1421D" w:rsidRPr="00A26039" w:rsidP="00A26039" w14:paraId="7E61B77A" w14:textId="5BBD620E">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sidR="00095AFD">
        <w:rPr>
          <w:rFonts w:cs="Times New Roman"/>
        </w:rPr>
        <w:t>Opinion and Order at 25</w:t>
      </w:r>
      <w:r w:rsidRPr="00A26039">
        <w:rPr>
          <w:rFonts w:cs="Times New Roman"/>
        </w:rPr>
        <w:t>.</w:t>
      </w:r>
    </w:p>
  </w:footnote>
  <w:footnote w:id="26">
    <w:p w:rsidR="00A1421D" w:rsidRPr="00A26039" w:rsidP="00A26039" w14:paraId="26FDEAAE" w14:textId="77777777">
      <w:pPr>
        <w:pStyle w:val="FootnoteText"/>
        <w:spacing w:after="120"/>
        <w:rPr>
          <w:rFonts w:cs="Times New Roman"/>
          <w:i/>
          <w:iCs/>
        </w:rPr>
      </w:pPr>
      <w:r w:rsidRPr="00A26039">
        <w:rPr>
          <w:rStyle w:val="FootnoteReference"/>
          <w:rFonts w:cs="Times New Roman"/>
        </w:rPr>
        <w:footnoteRef/>
      </w:r>
      <w:r w:rsidRPr="00A26039">
        <w:rPr>
          <w:rFonts w:cs="Times New Roman"/>
        </w:rPr>
        <w:t xml:space="preserve"> </w:t>
      </w:r>
      <w:r w:rsidRPr="00A26039">
        <w:rPr>
          <w:rFonts w:cs="Times New Roman"/>
          <w:i/>
          <w:iCs/>
        </w:rPr>
        <w:t xml:space="preserve">Id. </w:t>
      </w:r>
    </w:p>
  </w:footnote>
  <w:footnote w:id="27">
    <w:p w:rsidR="00625EDE" w:rsidRPr="00A26039" w:rsidP="00A26039" w14:paraId="1C75DA07" w14:textId="61919460">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In the Matter of the Implementation of Sections 4928.54 and 4928.544 of the Revised Code</w:t>
      </w:r>
      <w:r w:rsidRPr="00A26039">
        <w:rPr>
          <w:rFonts w:cs="Times New Roman"/>
        </w:rPr>
        <w:t>, Case No. 16-247-EL-UNC, Finding and Order (March 2, 2016).</w:t>
      </w:r>
    </w:p>
  </w:footnote>
  <w:footnote w:id="28">
    <w:p w:rsidR="00BD4EDC" w:rsidRPr="00A26039" w:rsidP="00A26039" w14:paraId="04F6C61A" w14:textId="77777777">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In the Matter of the Application of the Ohio Development Services Agency for an Order Approving Adjustments to the Universal Service Fund Riders of Jurisdictional Ohio Electric Distribution Utilities</w:t>
      </w:r>
      <w:r w:rsidRPr="00A26039">
        <w:rPr>
          <w:rFonts w:cs="Times New Roman"/>
        </w:rPr>
        <w:t>, Case No. 15-1046-EL-USF, Opinion and Order (October 28, 2015) at 20.</w:t>
      </w:r>
    </w:p>
  </w:footnote>
  <w:footnote w:id="29">
    <w:p w:rsidR="003155AF" w:rsidRPr="00A26039" w:rsidP="00A26039" w14:paraId="5E3AAC80" w14:textId="70E390D3">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Style w:val="ssit"/>
          <w:rFonts w:cs="Times New Roman"/>
          <w:i/>
          <w:iCs/>
          <w:color w:val="000000" w:themeColor="text1"/>
          <w:bdr w:val="none" w:sz="0" w:space="0" w:color="auto" w:frame="1"/>
        </w:rPr>
        <w:t>Cleveland Mobile Radio Sales, Inc. v. Verizon Wireless</w:t>
      </w:r>
      <w:r w:rsidRPr="00A26039">
        <w:rPr>
          <w:rStyle w:val="ssrfcsection"/>
          <w:rFonts w:cs="Times New Roman"/>
          <w:color w:val="000000" w:themeColor="text1"/>
          <w:bdr w:val="none" w:sz="0" w:space="0" w:color="auto" w:frame="1"/>
        </w:rPr>
        <w:t xml:space="preserve">, 113 Ohio St.3d 394, 2007-Ohio-2203, 865 N.E.2d 1275, ¶ </w:t>
      </w:r>
      <w:r w:rsidRPr="00A26039" w:rsidR="00283060">
        <w:rPr>
          <w:rStyle w:val="ssrfcsection"/>
          <w:rFonts w:cs="Times New Roman"/>
          <w:color w:val="000000" w:themeColor="text1"/>
          <w:bdr w:val="none" w:sz="0" w:space="0" w:color="auto" w:frame="1"/>
        </w:rPr>
        <w:t>12;</w:t>
      </w:r>
      <w:r w:rsidRPr="00A26039" w:rsidR="00283060">
        <w:rPr>
          <w:rStyle w:val="apple-converted-space"/>
          <w:rFonts w:cs="Times New Roman"/>
          <w:color w:val="000000" w:themeColor="text1"/>
          <w:bdr w:val="none" w:sz="0" w:space="0" w:color="auto" w:frame="1"/>
        </w:rPr>
        <w:t xml:space="preserve"> </w:t>
      </w:r>
      <w:r w:rsidRPr="00A26039" w:rsidR="00283060">
        <w:rPr>
          <w:rStyle w:val="apple-converted-space"/>
          <w:rFonts w:cs="Times New Roman"/>
          <w:i/>
          <w:iCs/>
          <w:color w:val="000000" w:themeColor="text1"/>
          <w:bdr w:val="none" w:sz="0" w:space="0" w:color="auto" w:frame="1"/>
        </w:rPr>
        <w:t>see</w:t>
      </w:r>
      <w:r w:rsidRPr="00A26039">
        <w:rPr>
          <w:rStyle w:val="ssit"/>
          <w:rFonts w:cs="Times New Roman"/>
          <w:i/>
          <w:iCs/>
          <w:color w:val="000000" w:themeColor="text1"/>
          <w:bdr w:val="none" w:sz="0" w:space="0" w:color="auto" w:frame="1"/>
        </w:rPr>
        <w:t xml:space="preserve"> also</w:t>
      </w:r>
      <w:r w:rsidRPr="00A26039">
        <w:rPr>
          <w:rStyle w:val="apple-converted-space"/>
          <w:rFonts w:cs="Times New Roman"/>
          <w:i/>
          <w:iCs/>
          <w:color w:val="000000" w:themeColor="text1"/>
          <w:bdr w:val="none" w:sz="0" w:space="0" w:color="auto" w:frame="1"/>
        </w:rPr>
        <w:t> </w:t>
      </w:r>
      <w:r w:rsidRPr="00A26039">
        <w:rPr>
          <w:rStyle w:val="ssit"/>
          <w:rFonts w:cs="Times New Roman"/>
          <w:i/>
          <w:iCs/>
          <w:color w:val="000000" w:themeColor="text1"/>
          <w:bdr w:val="none" w:sz="0" w:space="0" w:color="auto" w:frame="1"/>
        </w:rPr>
        <w:t>Columbia Gas Transmission. Corp. v. Levin</w:t>
      </w:r>
      <w:r w:rsidRPr="00A26039">
        <w:rPr>
          <w:rStyle w:val="ssrfcpassagedeactivated"/>
          <w:rFonts w:cs="Times New Roman"/>
          <w:color w:val="000000" w:themeColor="text1"/>
          <w:bdr w:val="none" w:sz="0" w:space="0" w:color="auto" w:frame="1"/>
        </w:rPr>
        <w:t>, 117 Ohio St.3d 122, 2008-Ohio-511, 882 N.E.2d 400, ¶ 19.</w:t>
      </w:r>
    </w:p>
  </w:footnote>
  <w:footnote w:id="30">
    <w:p w:rsidR="00BD4EDC" w:rsidRPr="00A26039" w:rsidP="00A26039" w14:paraId="624CB3F0" w14:textId="77777777">
      <w:pPr>
        <w:pStyle w:val="NormalWeb"/>
        <w:spacing w:before="0" w:beforeAutospacing="0" w:after="120" w:afterAutospacing="0"/>
        <w:textAlignment w:val="baseline"/>
        <w:rPr>
          <w:color w:val="000000" w:themeColor="text1"/>
          <w:sz w:val="20"/>
          <w:szCs w:val="20"/>
        </w:rPr>
      </w:pPr>
      <w:r w:rsidRPr="00A26039">
        <w:rPr>
          <w:rStyle w:val="FootnoteReference"/>
          <w:color w:val="000000" w:themeColor="text1"/>
          <w:sz w:val="20"/>
          <w:szCs w:val="20"/>
        </w:rPr>
        <w:footnoteRef/>
      </w:r>
      <w:r w:rsidRPr="00A26039">
        <w:rPr>
          <w:color w:val="000000" w:themeColor="text1"/>
          <w:sz w:val="20"/>
          <w:szCs w:val="20"/>
        </w:rPr>
        <w:t xml:space="preserve"> </w:t>
      </w:r>
      <w:r w:rsidRPr="00A26039">
        <w:rPr>
          <w:i/>
          <w:iCs/>
          <w:color w:val="000000" w:themeColor="text1"/>
          <w:sz w:val="20"/>
          <w:szCs w:val="20"/>
        </w:rPr>
        <w:t>Dorrian v. Scioto Conservancy Dist</w:t>
      </w:r>
      <w:r w:rsidRPr="00A26039">
        <w:rPr>
          <w:color w:val="000000" w:themeColor="text1"/>
          <w:sz w:val="20"/>
          <w:szCs w:val="20"/>
        </w:rPr>
        <w:t>., 27 Ohio St.2d 102, 108, 271 N.E.2d 834 (1971)</w:t>
      </w:r>
      <w:r w:rsidRPr="00A26039">
        <w:rPr>
          <w:color w:val="000000" w:themeColor="text1"/>
          <w:sz w:val="20"/>
          <w:szCs w:val="20"/>
          <w:bdr w:val="none" w:sz="0" w:space="0" w:color="auto" w:frame="1"/>
        </w:rPr>
        <w:t>.</w:t>
      </w:r>
    </w:p>
  </w:footnote>
  <w:footnote w:id="31">
    <w:p w:rsidR="00BD366E" w:rsidRPr="00A26039" w:rsidP="00A26039" w14:paraId="100D97E6" w14:textId="350FBFCA">
      <w:pPr>
        <w:pStyle w:val="FootnoteText"/>
        <w:spacing w:after="120"/>
        <w:rPr>
          <w:rFonts w:cs="Times New Roman"/>
        </w:rPr>
      </w:pPr>
      <w:r w:rsidRPr="00A26039">
        <w:rPr>
          <w:rStyle w:val="FootnoteReference"/>
          <w:rFonts w:cs="Times New Roman"/>
        </w:rPr>
        <w:footnoteRef/>
      </w:r>
      <w:r w:rsidRPr="00A26039" w:rsidR="00A71CE5">
        <w:rPr>
          <w:rFonts w:cs="Times New Roman"/>
        </w:rPr>
        <w:t xml:space="preserve"> </w:t>
      </w:r>
      <w:r w:rsidRPr="00A26039">
        <w:rPr>
          <w:rStyle w:val="ssit"/>
          <w:rFonts w:cs="Times New Roman"/>
          <w:i/>
          <w:iCs/>
          <w:bdr w:val="none" w:sz="0" w:space="0" w:color="auto" w:frame="1"/>
          <w:shd w:val="clear" w:color="auto" w:fill="FFFFFF"/>
        </w:rPr>
        <w:t>Discount Cellular, Inc. v. Pub. Util. Comm.</w:t>
      </w:r>
      <w:r w:rsidRPr="00A26039">
        <w:rPr>
          <w:rFonts w:cs="Times New Roman"/>
          <w:bdr w:val="none" w:sz="0" w:space="0" w:color="auto" w:frame="1"/>
          <w:shd w:val="clear" w:color="auto" w:fill="FFFFFF"/>
        </w:rPr>
        <w:t>, 112 Ohio St.3d 360, 2007-Ohio-53, 859 N.E.2d 957, ¶ 51</w:t>
      </w:r>
      <w:r w:rsidRPr="00A26039">
        <w:rPr>
          <w:rFonts w:cs="Times New Roman"/>
        </w:rPr>
        <w:t>.</w:t>
      </w:r>
    </w:p>
  </w:footnote>
  <w:footnote w:id="32">
    <w:p w:rsidR="001D5B69" w:rsidRPr="00A26039" w:rsidP="00A26039" w14:paraId="0D63BFF0" w14:textId="04CB84A0">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sidR="006A68D6">
        <w:rPr>
          <w:rFonts w:cs="Times New Roman"/>
          <w:i/>
          <w:iCs/>
        </w:rPr>
        <w:t>See, e.g.,</w:t>
      </w:r>
      <w:r w:rsidRPr="00A26039" w:rsidR="006A68D6">
        <w:rPr>
          <w:rFonts w:cs="Times New Roman"/>
        </w:rPr>
        <w:t xml:space="preserve"> </w:t>
      </w:r>
      <w:r w:rsidRPr="00A26039">
        <w:rPr>
          <w:rFonts w:cs="Times New Roman"/>
          <w:i/>
          <w:iCs/>
        </w:rPr>
        <w:t>In the Matter of the Procurement of Percentage of Income Payment Plan Customers of Dayton Power and Light Company</w:t>
      </w:r>
      <w:r w:rsidRPr="00A26039">
        <w:rPr>
          <w:rFonts w:cs="Times New Roman"/>
        </w:rPr>
        <w:t xml:space="preserve">, Case No. 17-1163-EL-UNC, Notification of CBP Auction Results filed on May 25, 2022 and May 26, 2021. </w:t>
      </w:r>
    </w:p>
  </w:footnote>
  <w:footnote w:id="33">
    <w:p w:rsidR="006A68D6" w:rsidRPr="00A26039" w:rsidP="00A26039" w14:paraId="73CD77C9" w14:textId="77777777">
      <w:pPr>
        <w:pStyle w:val="FootnoteText"/>
        <w:spacing w:after="120"/>
        <w:rPr>
          <w:rFonts w:cs="Times New Roman"/>
          <w:color w:val="000000" w:themeColor="text1"/>
        </w:rPr>
      </w:pPr>
      <w:r w:rsidRPr="00A26039">
        <w:rPr>
          <w:rStyle w:val="FootnoteReference"/>
          <w:rFonts w:cs="Times New Roman"/>
          <w:color w:val="000000" w:themeColor="text1"/>
        </w:rPr>
        <w:footnoteRef/>
      </w:r>
      <w:r w:rsidRPr="00A26039">
        <w:rPr>
          <w:rFonts w:cs="Times New Roman"/>
          <w:color w:val="000000" w:themeColor="text1"/>
        </w:rPr>
        <w:t xml:space="preserve"> </w:t>
      </w:r>
      <w:r w:rsidRPr="00A26039">
        <w:rPr>
          <w:rFonts w:cs="Times New Roman"/>
          <w:i/>
          <w:iCs/>
          <w:color w:val="000000" w:themeColor="text1"/>
          <w:bdr w:val="none" w:sz="0" w:space="0" w:color="auto" w:frame="1"/>
        </w:rPr>
        <w:t>State v. Smith</w:t>
      </w:r>
      <w:r w:rsidRPr="00A26039">
        <w:rPr>
          <w:rFonts w:cs="Times New Roman"/>
          <w:color w:val="000000" w:themeColor="text1"/>
          <w:bdr w:val="none" w:sz="0" w:space="0" w:color="auto" w:frame="1"/>
        </w:rPr>
        <w:t>, Ohio St.3d, 2022-Ohio-274, ¶ 30, quoting </w:t>
      </w:r>
      <w:r w:rsidRPr="00A26039">
        <w:rPr>
          <w:rFonts w:cs="Times New Roman"/>
          <w:i/>
          <w:iCs/>
          <w:color w:val="000000" w:themeColor="text1"/>
          <w:bdr w:val="none" w:sz="0" w:space="0" w:color="auto" w:frame="1"/>
        </w:rPr>
        <w:t>Black's Law Dictionary</w:t>
      </w:r>
      <w:r w:rsidRPr="00A26039">
        <w:rPr>
          <w:rFonts w:cs="Times New Roman"/>
          <w:color w:val="000000" w:themeColor="text1"/>
          <w:bdr w:val="none" w:sz="0" w:space="0" w:color="auto" w:frame="1"/>
        </w:rPr>
        <w:t> 911 (10th Ed. 2014). </w:t>
      </w:r>
      <w:r w:rsidRPr="00A26039">
        <w:rPr>
          <w:rFonts w:cs="Times New Roman"/>
          <w:i/>
          <w:iCs/>
          <w:color w:val="000000" w:themeColor="text1"/>
          <w:bdr w:val="none" w:sz="0" w:space="0" w:color="auto" w:frame="1"/>
        </w:rPr>
        <w:t>See Thomas v. Freeman</w:t>
      </w:r>
      <w:r w:rsidRPr="00A26039">
        <w:rPr>
          <w:rFonts w:cs="Times New Roman"/>
          <w:color w:val="000000" w:themeColor="text1"/>
          <w:bdr w:val="none" w:sz="0" w:space="0" w:color="auto" w:frame="1"/>
        </w:rPr>
        <w:t>, 79 Ohio St.3d 221, 225, 1997- Ohio 395, 680 N.E.2d 997 (1997) (stating that the "maxim of </w:t>
      </w:r>
      <w:r w:rsidRPr="00A26039">
        <w:rPr>
          <w:rFonts w:cs="Times New Roman"/>
          <w:i/>
          <w:iCs/>
          <w:color w:val="000000" w:themeColor="text1"/>
          <w:bdr w:val="none" w:sz="0" w:space="0" w:color="auto" w:frame="1"/>
        </w:rPr>
        <w:t>in pari materia</w:t>
      </w:r>
      <w:r w:rsidRPr="00A26039">
        <w:rPr>
          <w:rFonts w:cs="Times New Roman"/>
          <w:color w:val="000000" w:themeColor="text1"/>
          <w:bdr w:val="none" w:sz="0" w:space="0" w:color="auto" w:frame="1"/>
        </w:rPr>
        <w:t> indicates that acts will be given full meaning and effect if they can be reconciled").</w:t>
      </w:r>
    </w:p>
  </w:footnote>
  <w:footnote w:id="34">
    <w:p w:rsidR="006A68D6" w:rsidRPr="00A26039" w:rsidP="00A26039" w14:paraId="2C7944CB" w14:textId="77777777">
      <w:pPr>
        <w:pStyle w:val="FootnoteText"/>
        <w:spacing w:after="120"/>
        <w:rPr>
          <w:rFonts w:cs="Times New Roman"/>
        </w:rPr>
      </w:pPr>
      <w:r w:rsidRPr="00A26039">
        <w:rPr>
          <w:rStyle w:val="FootnoteReference"/>
          <w:rFonts w:cs="Times New Roman"/>
          <w:color w:val="000000" w:themeColor="text1"/>
        </w:rPr>
        <w:footnoteRef/>
      </w:r>
      <w:r w:rsidRPr="00A26039">
        <w:rPr>
          <w:rFonts w:cs="Times New Roman"/>
          <w:color w:val="000000" w:themeColor="text1"/>
        </w:rPr>
        <w:t xml:space="preserve"> </w:t>
      </w:r>
      <w:r w:rsidRPr="00A26039">
        <w:rPr>
          <w:rFonts w:cs="Times New Roman"/>
          <w:i/>
          <w:iCs/>
          <w:color w:val="000000" w:themeColor="text1"/>
        </w:rPr>
        <w:t>Black’s Law Dictionary</w:t>
      </w:r>
      <w:r w:rsidRPr="00A26039">
        <w:rPr>
          <w:rFonts w:cs="Times New Roman"/>
          <w:color w:val="000000" w:themeColor="text1"/>
        </w:rPr>
        <w:t xml:space="preserve"> at 791; </w:t>
      </w:r>
      <w:r w:rsidRPr="00A26039">
        <w:rPr>
          <w:rFonts w:cs="Times New Roman"/>
          <w:i/>
          <w:iCs/>
          <w:color w:val="000000" w:themeColor="text1"/>
        </w:rPr>
        <w:t>Ohio Furniture Co. v. Mindala</w:t>
      </w:r>
      <w:r w:rsidRPr="00A26039">
        <w:rPr>
          <w:rFonts w:cs="Times New Roman"/>
          <w:color w:val="000000" w:themeColor="text1"/>
        </w:rPr>
        <w:t xml:space="preserve">, 22 Ohio St.3d 99, 101, 488 N.E.2d 881, 883 (1986). </w:t>
      </w:r>
    </w:p>
  </w:footnote>
  <w:footnote w:id="35">
    <w:p w:rsidR="006A68D6" w:rsidRPr="00A26039" w:rsidP="00A26039" w14:paraId="4350F371" w14:textId="72AFDC51">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color w:val="000000"/>
          <w:bdr w:val="none" w:sz="0" w:space="0" w:color="auto" w:frame="1"/>
        </w:rPr>
        <w:t>State v. Smith</w:t>
      </w:r>
      <w:r w:rsidRPr="00A26039">
        <w:rPr>
          <w:rFonts w:cs="Times New Roman"/>
          <w:color w:val="000000"/>
          <w:bdr w:val="none" w:sz="0" w:space="0" w:color="auto" w:frame="1"/>
        </w:rPr>
        <w:t>, Ohio St.3d, 2022-Ohio-274, ¶ 30, quoting </w:t>
      </w:r>
      <w:r w:rsidRPr="00A26039">
        <w:rPr>
          <w:rFonts w:cs="Times New Roman"/>
          <w:i/>
          <w:iCs/>
          <w:color w:val="000000"/>
          <w:bdr w:val="none" w:sz="0" w:space="0" w:color="auto" w:frame="1"/>
        </w:rPr>
        <w:t>Black's Law Dictionary</w:t>
      </w:r>
      <w:r w:rsidRPr="00A26039">
        <w:rPr>
          <w:rFonts w:cs="Times New Roman"/>
          <w:color w:val="000000"/>
          <w:bdr w:val="none" w:sz="0" w:space="0" w:color="auto" w:frame="1"/>
        </w:rPr>
        <w:t> 911 (10th Ed.</w:t>
      </w:r>
      <w:r w:rsidR="00A26039">
        <w:rPr>
          <w:rFonts w:cs="Times New Roman"/>
          <w:color w:val="000000"/>
          <w:bdr w:val="none" w:sz="0" w:space="0" w:color="auto" w:frame="1"/>
        </w:rPr>
        <w:t xml:space="preserve"> </w:t>
      </w:r>
      <w:r w:rsidRPr="00A26039">
        <w:rPr>
          <w:rFonts w:cs="Times New Roman"/>
          <w:color w:val="000000"/>
          <w:bdr w:val="none" w:sz="0" w:space="0" w:color="auto" w:frame="1"/>
        </w:rPr>
        <w:t>2014).</w:t>
      </w:r>
    </w:p>
  </w:footnote>
  <w:footnote w:id="36">
    <w:p w:rsidR="006A68D6" w:rsidRPr="00A26039" w:rsidP="00A26039" w14:paraId="13980BC6" w14:textId="77777777">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Johnson’s Markets Inc. v. New Carlisle Dept. of Health</w:t>
      </w:r>
      <w:r w:rsidRPr="00A26039">
        <w:rPr>
          <w:rFonts w:cs="Times New Roman"/>
        </w:rPr>
        <w:t xml:space="preserve">, 58 Ohio St.3d 28, 35, 567 N.E. 2d 1018 (1991); </w:t>
      </w:r>
      <w:r w:rsidRPr="00A26039">
        <w:rPr>
          <w:rFonts w:cs="Times New Roman"/>
          <w:i/>
          <w:iCs/>
        </w:rPr>
        <w:t>Thomas v. Freeman</w:t>
      </w:r>
      <w:r w:rsidRPr="00A26039">
        <w:rPr>
          <w:rFonts w:cs="Times New Roman"/>
        </w:rPr>
        <w:t xml:space="preserve">, 79 Ohio St.3d at 225. </w:t>
      </w:r>
    </w:p>
  </w:footnote>
  <w:footnote w:id="37">
    <w:p w:rsidR="006A68D6" w:rsidRPr="00A26039" w:rsidP="00A26039" w14:paraId="4B08569D" w14:textId="77777777">
      <w:pPr>
        <w:spacing w:after="120" w:line="240" w:lineRule="auto"/>
        <w:rPr>
          <w:rFonts w:ascii="Times New Roman" w:hAnsi="Times New Roman" w:cs="Times New Roman"/>
          <w:sz w:val="20"/>
          <w:szCs w:val="20"/>
        </w:rPr>
      </w:pPr>
      <w:r w:rsidRPr="00A26039">
        <w:rPr>
          <w:rStyle w:val="FootnoteReference"/>
          <w:rFonts w:ascii="Times New Roman" w:hAnsi="Times New Roman" w:cs="Times New Roman"/>
          <w:sz w:val="20"/>
          <w:szCs w:val="20"/>
        </w:rPr>
        <w:footnoteRef/>
      </w:r>
      <w:r w:rsidRPr="00A26039">
        <w:rPr>
          <w:rFonts w:ascii="Times New Roman" w:hAnsi="Times New Roman" w:cs="Times New Roman"/>
          <w:sz w:val="20"/>
          <w:szCs w:val="20"/>
        </w:rPr>
        <w:t xml:space="preserve"> </w:t>
      </w:r>
      <w:r w:rsidRPr="00A26039">
        <w:rPr>
          <w:rFonts w:ascii="Times New Roman" w:hAnsi="Times New Roman" w:cs="Times New Roman"/>
          <w:i/>
          <w:iCs/>
          <w:sz w:val="20"/>
          <w:szCs w:val="20"/>
        </w:rPr>
        <w:t>Thomas v. Freeman</w:t>
      </w:r>
      <w:r w:rsidRPr="00A26039">
        <w:rPr>
          <w:rFonts w:ascii="Times New Roman" w:hAnsi="Times New Roman" w:cs="Times New Roman"/>
          <w:sz w:val="20"/>
          <w:szCs w:val="20"/>
        </w:rPr>
        <w:t xml:space="preserve">, 79 Ohio St.3d 221, 225, 1997-Ohio-395, 680 N.E.2d 997 (1997). </w:t>
      </w:r>
      <w:r w:rsidRPr="00A26039">
        <w:rPr>
          <w:rFonts w:ascii="Times New Roman" w:hAnsi="Times New Roman" w:cs="Times New Roman"/>
          <w:i/>
          <w:iCs/>
          <w:sz w:val="20"/>
          <w:szCs w:val="20"/>
        </w:rPr>
        <w:t>State ex. rel O’Neil v. Griffith</w:t>
      </w:r>
      <w:r w:rsidRPr="00A26039">
        <w:rPr>
          <w:rFonts w:ascii="Times New Roman" w:hAnsi="Times New Roman" w:cs="Times New Roman"/>
          <w:sz w:val="20"/>
          <w:szCs w:val="20"/>
        </w:rPr>
        <w:t>, 136 Ohio St. 526, 17 Ohio Op. 160, 27 N.E. 2d 142 (1940).</w:t>
      </w:r>
    </w:p>
  </w:footnote>
  <w:footnote w:id="38">
    <w:p w:rsidR="00E80965" w:rsidRPr="00A26039" w:rsidP="00A26039" w14:paraId="0788AAFB" w14:textId="0B624A2B">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See</w:t>
      </w:r>
      <w:r w:rsidRPr="00A26039">
        <w:rPr>
          <w:rFonts w:cs="Times New Roman"/>
        </w:rPr>
        <w:t xml:space="preserve"> Opinion and Order at 26.</w:t>
      </w:r>
    </w:p>
  </w:footnote>
  <w:footnote w:id="39">
    <w:p w:rsidR="00880797" w:rsidRPr="00A26039" w:rsidP="00A26039" w14:paraId="41A9DAE4" w14:textId="62492184">
      <w:pPr>
        <w:pStyle w:val="FootnoteText"/>
        <w:spacing w:after="120"/>
        <w:rPr>
          <w:rFonts w:cs="Times New Roman"/>
        </w:rPr>
      </w:pPr>
      <w:r w:rsidRPr="00A26039">
        <w:rPr>
          <w:rStyle w:val="FootnoteReference"/>
          <w:rFonts w:cs="Times New Roman"/>
        </w:rPr>
        <w:footnoteRef/>
      </w:r>
      <w:r w:rsidRPr="00A26039">
        <w:rPr>
          <w:rFonts w:cs="Times New Roman"/>
        </w:rPr>
        <w:t xml:space="preserve"> Opinion and Order at 25.</w:t>
      </w:r>
    </w:p>
  </w:footnote>
  <w:footnote w:id="40">
    <w:p w:rsidR="00E81B8D" w:rsidRPr="00A26039" w:rsidP="00A26039" w14:paraId="2001AF35" w14:textId="329EE985">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Id</w:t>
      </w:r>
      <w:r w:rsidRPr="00A26039">
        <w:rPr>
          <w:rFonts w:cs="Times New Roman"/>
        </w:rPr>
        <w:t xml:space="preserve">. </w:t>
      </w:r>
    </w:p>
  </w:footnote>
  <w:footnote w:id="41">
    <w:p w:rsidR="001F6CC6" w:rsidRPr="00A26039" w:rsidP="00A26039" w14:paraId="58C0C039" w14:textId="7C0CC428">
      <w:pPr>
        <w:pStyle w:val="FootnoteText"/>
        <w:spacing w:after="120"/>
        <w:rPr>
          <w:rFonts w:cs="Times New Roman"/>
        </w:rPr>
      </w:pPr>
      <w:r w:rsidRPr="00A26039">
        <w:rPr>
          <w:rStyle w:val="FootnoteReference"/>
          <w:rFonts w:cs="Times New Roman"/>
        </w:rPr>
        <w:footnoteRef/>
      </w:r>
      <w:r w:rsidRPr="00A26039">
        <w:rPr>
          <w:rFonts w:cs="Times New Roman"/>
        </w:rPr>
        <w:t xml:space="preserve"> O.A.C. 122:5-3-06 was updated with no changes just last year, September 7, 2021. </w:t>
      </w:r>
    </w:p>
  </w:footnote>
  <w:footnote w:id="42">
    <w:p w:rsidR="006E3C8D" w:rsidRPr="00A26039" w:rsidP="00A26039" w14:paraId="226AE911" w14:textId="57A4F61D">
      <w:pPr>
        <w:pStyle w:val="FootnoteText"/>
        <w:spacing w:after="120"/>
        <w:rPr>
          <w:rFonts w:cs="Times New Roman"/>
        </w:rPr>
      </w:pPr>
      <w:r w:rsidRPr="00A26039">
        <w:rPr>
          <w:rStyle w:val="FootnoteReference"/>
          <w:rFonts w:cs="Times New Roman"/>
        </w:rPr>
        <w:footnoteRef/>
      </w:r>
      <w:r w:rsidRPr="00A26039">
        <w:rPr>
          <w:rFonts w:cs="Times New Roman"/>
        </w:rPr>
        <w:t xml:space="preserve"> OCC Ex</w:t>
      </w:r>
      <w:r w:rsidRPr="00A26039" w:rsidR="00236827">
        <w:rPr>
          <w:rFonts w:cs="Times New Roman"/>
        </w:rPr>
        <w:t>.</w:t>
      </w:r>
      <w:r w:rsidRPr="00A26039">
        <w:rPr>
          <w:rFonts w:cs="Times New Roman"/>
        </w:rPr>
        <w:t xml:space="preserve"> 1 (</w:t>
      </w:r>
      <w:r w:rsidRPr="00A26039" w:rsidR="00236827">
        <w:rPr>
          <w:rFonts w:cs="Times New Roman"/>
        </w:rPr>
        <w:t>T</w:t>
      </w:r>
      <w:r w:rsidRPr="00A26039">
        <w:rPr>
          <w:rFonts w:cs="Times New Roman"/>
        </w:rPr>
        <w:t>estimony of James D. William</w:t>
      </w:r>
      <w:r w:rsidRPr="00A26039" w:rsidR="00236827">
        <w:rPr>
          <w:rFonts w:cs="Times New Roman"/>
        </w:rPr>
        <w:t>s</w:t>
      </w:r>
      <w:r w:rsidRPr="00A26039">
        <w:rPr>
          <w:rFonts w:cs="Times New Roman"/>
        </w:rPr>
        <w:t>) at 27; OCC Post Hearing Brief at 20-21; OCC Reply Brief at 24-25.</w:t>
      </w:r>
    </w:p>
  </w:footnote>
  <w:footnote w:id="43">
    <w:p w:rsidR="006E3C8D" w:rsidRPr="00A26039" w:rsidP="00A26039" w14:paraId="7F4A3D77" w14:textId="5FD40625">
      <w:pPr>
        <w:pStyle w:val="FootnoteText"/>
        <w:spacing w:after="120"/>
        <w:rPr>
          <w:rFonts w:cs="Times New Roman"/>
        </w:rPr>
      </w:pPr>
      <w:r w:rsidRPr="00A26039">
        <w:rPr>
          <w:rStyle w:val="FootnoteReference"/>
          <w:rFonts w:cs="Times New Roman"/>
        </w:rPr>
        <w:footnoteRef/>
      </w:r>
      <w:r w:rsidRPr="00A26039">
        <w:rPr>
          <w:rFonts w:cs="Times New Roman"/>
        </w:rPr>
        <w:t xml:space="preserve"> Opinion and Order at 26.</w:t>
      </w:r>
    </w:p>
  </w:footnote>
  <w:footnote w:id="44">
    <w:p w:rsidR="00223875" w:rsidRPr="00A26039" w:rsidP="00A26039" w14:paraId="5D12118C" w14:textId="10BA8CA2">
      <w:pPr>
        <w:pStyle w:val="FootnoteText"/>
        <w:spacing w:after="120"/>
        <w:rPr>
          <w:rFonts w:cs="Times New Roman"/>
        </w:rPr>
      </w:pPr>
      <w:r w:rsidRPr="00A26039">
        <w:rPr>
          <w:rStyle w:val="FootnoteReference"/>
          <w:rFonts w:cs="Times New Roman"/>
        </w:rPr>
        <w:footnoteRef/>
      </w:r>
      <w:r w:rsidRPr="00A26039">
        <w:rPr>
          <w:rFonts w:cs="Times New Roman"/>
        </w:rPr>
        <w:t xml:space="preserve"> Opinion and Order at 28</w:t>
      </w:r>
      <w:r w:rsidRPr="00A26039" w:rsidR="008F31F7">
        <w:rPr>
          <w:rFonts w:cs="Times New Roman"/>
        </w:rPr>
        <w:t>.</w:t>
      </w:r>
    </w:p>
  </w:footnote>
  <w:footnote w:id="45">
    <w:p w:rsidR="00223875" w:rsidRPr="00A26039" w:rsidP="00A26039" w14:paraId="15DF767F" w14:textId="68FC9E25">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Id</w:t>
      </w:r>
      <w:r w:rsidRPr="00A26039">
        <w:rPr>
          <w:rFonts w:cs="Times New Roman"/>
        </w:rPr>
        <w:t>.</w:t>
      </w:r>
    </w:p>
  </w:footnote>
  <w:footnote w:id="46">
    <w:p w:rsidR="001F6CC6" w:rsidRPr="00A26039" w:rsidP="00A26039" w14:paraId="0A75E7E5" w14:textId="77777777">
      <w:pPr>
        <w:pStyle w:val="FootnoteText"/>
        <w:spacing w:after="120"/>
        <w:rPr>
          <w:rFonts w:cs="Times New Roman"/>
        </w:rPr>
      </w:pPr>
      <w:r w:rsidRPr="00A26039">
        <w:rPr>
          <w:rStyle w:val="FootnoteReference"/>
          <w:rFonts w:cs="Times New Roman"/>
        </w:rPr>
        <w:footnoteRef/>
      </w:r>
      <w:r w:rsidRPr="00A26039">
        <w:rPr>
          <w:rFonts w:cs="Times New Roman"/>
        </w:rPr>
        <w:t xml:space="preserve"> R.C. 4928.542.</w:t>
      </w:r>
    </w:p>
  </w:footnote>
  <w:footnote w:id="47">
    <w:p w:rsidR="00E9024D" w:rsidRPr="00A26039" w:rsidP="00A26039" w14:paraId="56140D56" w14:textId="27CFB5DF">
      <w:pPr>
        <w:pStyle w:val="FootnoteText"/>
        <w:spacing w:after="120"/>
        <w:rPr>
          <w:rFonts w:cs="Times New Roman"/>
        </w:rPr>
      </w:pPr>
      <w:r w:rsidRPr="00A26039">
        <w:rPr>
          <w:rStyle w:val="FootnoteReference"/>
          <w:rFonts w:cs="Times New Roman"/>
        </w:rPr>
        <w:footnoteRef/>
      </w:r>
      <w:r w:rsidRPr="00A26039">
        <w:rPr>
          <w:rFonts w:cs="Times New Roman"/>
        </w:rPr>
        <w:t xml:space="preserve"> Opinion and Order at 7-8.</w:t>
      </w:r>
    </w:p>
  </w:footnote>
  <w:footnote w:id="48">
    <w:p w:rsidR="00E9024D" w:rsidRPr="00A26039" w:rsidP="00A26039" w14:paraId="5A508AD6" w14:textId="77777777">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Id</w:t>
      </w:r>
      <w:r w:rsidRPr="00A26039">
        <w:rPr>
          <w:rFonts w:cs="Times New Roman"/>
        </w:rPr>
        <w:t>. at 3.</w:t>
      </w:r>
    </w:p>
  </w:footnote>
  <w:footnote w:id="49">
    <w:p w:rsidR="00E9024D" w:rsidRPr="00A26039" w:rsidP="00A26039" w14:paraId="5EEB117A" w14:textId="58DDBF29">
      <w:pPr>
        <w:pStyle w:val="FootnoteText"/>
        <w:spacing w:after="120"/>
        <w:rPr>
          <w:rFonts w:cs="Times New Roman"/>
        </w:rPr>
      </w:pPr>
      <w:r w:rsidRPr="00A26039">
        <w:rPr>
          <w:rStyle w:val="FootnoteReference"/>
          <w:rFonts w:cs="Times New Roman"/>
        </w:rPr>
        <w:footnoteRef/>
      </w:r>
      <w:r w:rsidRPr="00A26039">
        <w:rPr>
          <w:rFonts w:cs="Times New Roman"/>
        </w:rPr>
        <w:t xml:space="preserve"> OCC Brief at 9; OCC Ex. 1 (Testimony of James D. Williams) at 20-21. </w:t>
      </w:r>
    </w:p>
  </w:footnote>
  <w:footnote w:id="50">
    <w:p w:rsidR="002F6E16" w:rsidRPr="00A26039" w:rsidP="00A26039" w14:paraId="7144846D" w14:textId="5F8E02B6">
      <w:pPr>
        <w:pStyle w:val="FootnoteText"/>
        <w:spacing w:after="120"/>
        <w:rPr>
          <w:rFonts w:cs="Times New Roman"/>
        </w:rPr>
      </w:pPr>
      <w:r w:rsidRPr="00A26039">
        <w:rPr>
          <w:rStyle w:val="FootnoteReference"/>
          <w:rFonts w:cs="Times New Roman"/>
        </w:rPr>
        <w:footnoteRef/>
      </w:r>
      <w:r w:rsidRPr="00A26039">
        <w:rPr>
          <w:rFonts w:cs="Times New Roman"/>
        </w:rPr>
        <w:t xml:space="preserve"> Case </w:t>
      </w:r>
      <w:r w:rsidRPr="00A26039" w:rsidR="00F44EE5">
        <w:rPr>
          <w:rFonts w:cs="Times New Roman"/>
        </w:rPr>
        <w:t xml:space="preserve">No. </w:t>
      </w:r>
      <w:r w:rsidRPr="00A26039">
        <w:rPr>
          <w:rFonts w:cs="Times New Roman"/>
        </w:rPr>
        <w:t>22-556-EL-USF, Application (October 31, 2022)</w:t>
      </w:r>
      <w:r w:rsidR="00F64C96">
        <w:rPr>
          <w:rFonts w:cs="Times New Roman"/>
        </w:rPr>
        <w:t>.</w:t>
      </w:r>
    </w:p>
  </w:footnote>
  <w:footnote w:id="51">
    <w:p w:rsidR="002F6E16" w:rsidRPr="00A26039" w:rsidP="00A26039" w14:paraId="6C992D8D" w14:textId="77777777">
      <w:pPr>
        <w:pStyle w:val="FootnoteText"/>
        <w:spacing w:after="120"/>
        <w:rPr>
          <w:rFonts w:cs="Times New Roman"/>
        </w:rPr>
      </w:pPr>
      <w:r w:rsidRPr="00A26039">
        <w:rPr>
          <w:rStyle w:val="FootnoteReference"/>
          <w:rFonts w:cs="Times New Roman"/>
        </w:rPr>
        <w:footnoteRef/>
      </w:r>
      <w:r w:rsidRPr="00A26039">
        <w:rPr>
          <w:rFonts w:cs="Times New Roman"/>
        </w:rPr>
        <w:t xml:space="preserve"> Case No. 22-556-EL-USF, Testimony of Megan Meadows (October 31, 2022) at 27.</w:t>
      </w:r>
    </w:p>
  </w:footnote>
  <w:footnote w:id="52">
    <w:p w:rsidR="00A80BBB" w:rsidRPr="00A26039" w:rsidP="00A26039" w14:paraId="4FC2046C" w14:textId="535F4A58">
      <w:pPr>
        <w:pStyle w:val="FootnoteText"/>
        <w:spacing w:after="120"/>
        <w:rPr>
          <w:rFonts w:cs="Times New Roman"/>
        </w:rPr>
      </w:pPr>
      <w:r w:rsidRPr="00A26039">
        <w:rPr>
          <w:rStyle w:val="FootnoteReference"/>
          <w:rFonts w:cs="Times New Roman"/>
        </w:rPr>
        <w:footnoteRef/>
      </w:r>
      <w:r w:rsidRPr="00A26039">
        <w:rPr>
          <w:rFonts w:cs="Times New Roman"/>
        </w:rPr>
        <w:t xml:space="preserve"> Opinion and Order at 24. </w:t>
      </w:r>
    </w:p>
  </w:footnote>
  <w:footnote w:id="53">
    <w:p w:rsidR="00A80BBB" w:rsidRPr="00A26039" w:rsidP="00A26039" w14:paraId="30C01C5A" w14:textId="0C2E5D2C">
      <w:pPr>
        <w:pStyle w:val="FootnoteText"/>
        <w:spacing w:after="120"/>
        <w:rPr>
          <w:rFonts w:cs="Times New Roman"/>
        </w:rPr>
      </w:pPr>
      <w:r w:rsidRPr="00A26039">
        <w:rPr>
          <w:rStyle w:val="FootnoteReference"/>
          <w:rFonts w:cs="Times New Roman"/>
        </w:rPr>
        <w:footnoteRef/>
      </w:r>
      <w:r w:rsidRPr="00A26039">
        <w:rPr>
          <w:rFonts w:cs="Times New Roman"/>
        </w:rPr>
        <w:t xml:space="preserve"> Opinion and Order at 4.</w:t>
      </w:r>
    </w:p>
  </w:footnote>
  <w:footnote w:id="54">
    <w:p w:rsidR="009957F7" w:rsidRPr="00A26039" w:rsidP="00A26039" w14:paraId="45A04E5B" w14:textId="759BDD77">
      <w:pPr>
        <w:pStyle w:val="FootnoteText"/>
        <w:spacing w:after="120"/>
        <w:rPr>
          <w:rFonts w:cs="Times New Roman"/>
        </w:rPr>
      </w:pPr>
      <w:r w:rsidRPr="00A26039">
        <w:rPr>
          <w:rStyle w:val="FootnoteReference"/>
          <w:rFonts w:cs="Times New Roman"/>
        </w:rPr>
        <w:footnoteRef/>
      </w:r>
      <w:r w:rsidRPr="00A26039">
        <w:rPr>
          <w:rFonts w:cs="Times New Roman"/>
        </w:rPr>
        <w:t xml:space="preserve"> Opinion and Order at 24.</w:t>
      </w:r>
    </w:p>
  </w:footnote>
  <w:footnote w:id="55">
    <w:p w:rsidR="00DD749E" w:rsidRPr="00A26039" w:rsidP="00A26039" w14:paraId="39841984" w14:textId="1F7DB99F">
      <w:pPr>
        <w:pStyle w:val="FootnoteText"/>
        <w:spacing w:after="120"/>
        <w:rPr>
          <w:rFonts w:cs="Times New Roman"/>
        </w:rPr>
      </w:pPr>
      <w:r w:rsidRPr="00A26039">
        <w:rPr>
          <w:rStyle w:val="FootnoteReference"/>
          <w:rFonts w:cs="Times New Roman"/>
        </w:rPr>
        <w:footnoteRef/>
      </w:r>
      <w:r w:rsidRPr="00A26039">
        <w:rPr>
          <w:rFonts w:cs="Times New Roman"/>
        </w:rPr>
        <w:t xml:space="preserve"> Tr. at 74</w:t>
      </w:r>
      <w:r w:rsidRPr="00A26039" w:rsidR="001F06AB">
        <w:rPr>
          <w:rFonts w:cs="Times New Roman"/>
        </w:rPr>
        <w:t>; OCC Reply Brief at 20-22</w:t>
      </w:r>
      <w:r w:rsidRPr="00A26039">
        <w:rPr>
          <w:rFonts w:cs="Times New Roman"/>
        </w:rPr>
        <w:t xml:space="preserve">. </w:t>
      </w:r>
    </w:p>
  </w:footnote>
  <w:footnote w:id="56">
    <w:p w:rsidR="00C54D79" w:rsidRPr="00A26039" w:rsidP="00A26039" w14:paraId="6BCF7739" w14:textId="3BFAA7A3">
      <w:pPr>
        <w:pStyle w:val="FootnoteText"/>
        <w:spacing w:after="120"/>
        <w:rPr>
          <w:rFonts w:cs="Times New Roman"/>
        </w:rPr>
      </w:pPr>
      <w:r w:rsidRPr="00A26039">
        <w:rPr>
          <w:rStyle w:val="FootnoteReference"/>
          <w:rFonts w:cs="Times New Roman"/>
        </w:rPr>
        <w:footnoteRef/>
      </w:r>
      <w:r w:rsidRPr="00A26039">
        <w:rPr>
          <w:rFonts w:cs="Times New Roman"/>
        </w:rPr>
        <w:t xml:space="preserve"> OCC E</w:t>
      </w:r>
      <w:r w:rsidRPr="00A26039" w:rsidR="006B6172">
        <w:rPr>
          <w:rFonts w:cs="Times New Roman"/>
        </w:rPr>
        <w:t>x. 1</w:t>
      </w:r>
      <w:r w:rsidRPr="00A26039">
        <w:rPr>
          <w:rFonts w:cs="Times New Roman"/>
        </w:rPr>
        <w:t xml:space="preserve"> (</w:t>
      </w:r>
      <w:r w:rsidRPr="00A26039" w:rsidR="006B6172">
        <w:rPr>
          <w:rFonts w:cs="Times New Roman"/>
        </w:rPr>
        <w:t>T</w:t>
      </w:r>
      <w:r w:rsidRPr="00A26039">
        <w:rPr>
          <w:rFonts w:cs="Times New Roman"/>
        </w:rPr>
        <w:t>estimony of James D. William</w:t>
      </w:r>
      <w:r w:rsidRPr="00A26039" w:rsidR="004E6A72">
        <w:rPr>
          <w:rFonts w:cs="Times New Roman"/>
        </w:rPr>
        <w:t>s</w:t>
      </w:r>
      <w:r w:rsidRPr="00A26039">
        <w:rPr>
          <w:rFonts w:cs="Times New Roman"/>
        </w:rPr>
        <w:t xml:space="preserve">) at 27; OCC Post Hearing Brief at 20-21; OCC Reply Brief at 24-25. </w:t>
      </w:r>
    </w:p>
  </w:footnote>
  <w:footnote w:id="57">
    <w:p w:rsidR="00131BF5" w:rsidRPr="00A26039" w:rsidP="00A26039" w14:paraId="78CF7B68" w14:textId="317F52FB">
      <w:pPr>
        <w:pStyle w:val="FootnoteText"/>
        <w:spacing w:after="120"/>
        <w:rPr>
          <w:rFonts w:cs="Times New Roman"/>
        </w:rPr>
      </w:pPr>
      <w:r w:rsidRPr="00A26039">
        <w:rPr>
          <w:rStyle w:val="FootnoteReference"/>
          <w:rFonts w:cs="Times New Roman"/>
        </w:rPr>
        <w:footnoteRef/>
      </w:r>
      <w:r w:rsidRPr="00A26039">
        <w:rPr>
          <w:rFonts w:cs="Times New Roman"/>
        </w:rPr>
        <w:t xml:space="preserve"> OCC Initial Brief at 13-19; </w:t>
      </w:r>
      <w:r w:rsidRPr="00A26039" w:rsidR="00DD749E">
        <w:rPr>
          <w:rFonts w:cs="Times New Roman"/>
        </w:rPr>
        <w:t xml:space="preserve">OCC Reply Brief at 20-21; </w:t>
      </w:r>
      <w:r w:rsidRPr="00A26039">
        <w:rPr>
          <w:rFonts w:cs="Times New Roman"/>
        </w:rPr>
        <w:t>OCC E</w:t>
      </w:r>
      <w:r w:rsidRPr="00A26039" w:rsidR="006B6172">
        <w:rPr>
          <w:rFonts w:cs="Times New Roman"/>
        </w:rPr>
        <w:t>x. 1</w:t>
      </w:r>
      <w:r w:rsidRPr="00A26039">
        <w:rPr>
          <w:rFonts w:cs="Times New Roman"/>
        </w:rPr>
        <w:t xml:space="preserve"> (Testimony of James D. Williams).</w:t>
      </w:r>
    </w:p>
  </w:footnote>
  <w:footnote w:id="58">
    <w:p w:rsidR="00B92465" w:rsidRPr="00A26039" w:rsidP="00A26039" w14:paraId="188FB8C8" w14:textId="173A5032">
      <w:pPr>
        <w:pStyle w:val="FootnoteText"/>
        <w:spacing w:after="120"/>
        <w:rPr>
          <w:rFonts w:cs="Times New Roman"/>
        </w:rPr>
      </w:pPr>
      <w:r w:rsidRPr="00A26039">
        <w:rPr>
          <w:rStyle w:val="FootnoteReference"/>
          <w:rFonts w:cs="Times New Roman"/>
        </w:rPr>
        <w:footnoteRef/>
      </w:r>
      <w:r w:rsidRPr="00A26039">
        <w:rPr>
          <w:rFonts w:cs="Times New Roman"/>
        </w:rPr>
        <w:t xml:space="preserve"> 2015 Ohio PUC LEXIS 906.</w:t>
      </w:r>
    </w:p>
  </w:footnote>
  <w:footnote w:id="59">
    <w:p w:rsidR="00267105" w:rsidRPr="00A26039" w:rsidP="00A26039" w14:paraId="02B32ADF" w14:textId="54BD22A1">
      <w:pPr>
        <w:pStyle w:val="FootnoteText"/>
        <w:spacing w:after="120"/>
        <w:rPr>
          <w:rFonts w:cs="Times New Roman"/>
        </w:rPr>
      </w:pPr>
      <w:r w:rsidRPr="00A26039">
        <w:rPr>
          <w:rStyle w:val="FootnoteReference"/>
          <w:rFonts w:cs="Times New Roman"/>
        </w:rPr>
        <w:footnoteRef/>
      </w:r>
      <w:r w:rsidRPr="00A26039">
        <w:rPr>
          <w:rFonts w:cs="Times New Roman"/>
        </w:rPr>
        <w:t xml:space="preserve"> OCC Exhibit 1 (Testimony of James D. Williams), Table 2; Tr. at 70-71. </w:t>
      </w:r>
    </w:p>
  </w:footnote>
  <w:footnote w:id="60">
    <w:p w:rsidR="00381E10" w:rsidRPr="00A26039" w:rsidP="00A26039" w14:paraId="4CADEC4D" w14:textId="5B96C328">
      <w:pPr>
        <w:pStyle w:val="FootnoteText"/>
        <w:spacing w:after="120"/>
        <w:rPr>
          <w:rFonts w:cs="Times New Roman"/>
        </w:rPr>
      </w:pPr>
      <w:r w:rsidRPr="00A26039">
        <w:rPr>
          <w:rStyle w:val="FootnoteReference"/>
          <w:rFonts w:cs="Times New Roman"/>
        </w:rPr>
        <w:footnoteRef/>
      </w:r>
      <w:r w:rsidRPr="00A26039">
        <w:rPr>
          <w:rFonts w:cs="Times New Roman"/>
        </w:rPr>
        <w:t xml:space="preserve"> Opinion and Order at 25.</w:t>
      </w:r>
    </w:p>
  </w:footnote>
  <w:footnote w:id="61">
    <w:p w:rsidR="00131BF5" w:rsidRPr="00A26039" w:rsidP="00A26039" w14:paraId="7326D24F" w14:textId="6AB5DDEE">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See</w:t>
      </w:r>
      <w:r w:rsidRPr="00A26039">
        <w:rPr>
          <w:rFonts w:cs="Times New Roman"/>
        </w:rPr>
        <w:t xml:space="preserve">, </w:t>
      </w:r>
      <w:r w:rsidRPr="00A26039" w:rsidR="00DD749E">
        <w:rPr>
          <w:rFonts w:cs="Times New Roman"/>
        </w:rPr>
        <w:t xml:space="preserve">Tr. at 114; Tr. at 144-145; </w:t>
      </w:r>
      <w:r w:rsidRPr="00A26039">
        <w:rPr>
          <w:rFonts w:cs="Times New Roman"/>
        </w:rPr>
        <w:t>OCC Ex</w:t>
      </w:r>
      <w:r w:rsidRPr="00A26039" w:rsidR="006B6172">
        <w:rPr>
          <w:rFonts w:cs="Times New Roman"/>
        </w:rPr>
        <w:t>.</w:t>
      </w:r>
      <w:r w:rsidRPr="00A26039">
        <w:rPr>
          <w:rFonts w:cs="Times New Roman"/>
        </w:rPr>
        <w:t xml:space="preserve"> 1 (Testimony of James D. Williams) at 18-19; OCC Ex</w:t>
      </w:r>
      <w:r w:rsidRPr="00A26039" w:rsidR="006B6172">
        <w:rPr>
          <w:rFonts w:cs="Times New Roman"/>
        </w:rPr>
        <w:t>. 1</w:t>
      </w:r>
      <w:r w:rsidRPr="00A26039">
        <w:rPr>
          <w:rFonts w:cs="Times New Roman"/>
        </w:rPr>
        <w:t>A; OCC Post-Hearing Brief at 8-12; OCC Reply Brief at 10-11.</w:t>
      </w:r>
    </w:p>
  </w:footnote>
  <w:footnote w:id="62">
    <w:p w:rsidR="00B850B2" w:rsidRPr="00A26039" w:rsidP="00A26039" w14:paraId="3F0218EB" w14:textId="2FCAD9B1">
      <w:pPr>
        <w:pStyle w:val="FootnoteText"/>
        <w:spacing w:after="120"/>
        <w:rPr>
          <w:rFonts w:cs="Times New Roman"/>
        </w:rPr>
      </w:pPr>
      <w:r w:rsidRPr="00A26039">
        <w:rPr>
          <w:rStyle w:val="FootnoteReference"/>
          <w:rFonts w:cs="Times New Roman"/>
        </w:rPr>
        <w:footnoteRef/>
      </w:r>
      <w:r w:rsidRPr="00A26039">
        <w:rPr>
          <w:rFonts w:cs="Times New Roman"/>
        </w:rPr>
        <w:t xml:space="preserve"> Opinion and Order at 24.</w:t>
      </w:r>
    </w:p>
  </w:footnote>
  <w:footnote w:id="63">
    <w:p w:rsidR="009957F7" w:rsidRPr="00A26039" w:rsidP="00A26039" w14:paraId="0FA854C5" w14:textId="48F1604C">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In the Matter of the Implementation of Sections 4928.54 and 4928.544 of the Revised Code</w:t>
      </w:r>
      <w:r w:rsidRPr="00A26039">
        <w:rPr>
          <w:rFonts w:cs="Times New Roman"/>
        </w:rPr>
        <w:t>, Case No. 16-247-EL-UNC, Finding and Order (March 2, 2016).</w:t>
      </w:r>
    </w:p>
  </w:footnote>
  <w:footnote w:id="64">
    <w:p w:rsidR="008372D3" w:rsidRPr="00A26039" w:rsidP="00A26039" w14:paraId="5CF3CB1C" w14:textId="6E1E103E">
      <w:pPr>
        <w:pStyle w:val="FootnoteText"/>
        <w:spacing w:after="120"/>
        <w:rPr>
          <w:rFonts w:cs="Times New Roman"/>
        </w:rPr>
      </w:pPr>
      <w:r w:rsidRPr="00A26039">
        <w:rPr>
          <w:rStyle w:val="FootnoteReference"/>
          <w:rFonts w:cs="Times New Roman"/>
        </w:rPr>
        <w:footnoteRef/>
      </w:r>
      <w:r w:rsidRPr="00A26039">
        <w:rPr>
          <w:rFonts w:cs="Times New Roman"/>
        </w:rPr>
        <w:t xml:space="preserve"> Opinion and Order at 20.</w:t>
      </w:r>
    </w:p>
  </w:footnote>
  <w:footnote w:id="65">
    <w:p w:rsidR="008372D3" w:rsidRPr="00A26039" w:rsidP="00A26039" w14:paraId="7A93CC6A" w14:textId="0A0567E9">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Id</w:t>
      </w:r>
      <w:r w:rsidRPr="00A26039">
        <w:rPr>
          <w:rFonts w:cs="Times New Roman"/>
        </w:rPr>
        <w:t xml:space="preserve">. </w:t>
      </w:r>
    </w:p>
  </w:footnote>
  <w:footnote w:id="66">
    <w:p w:rsidR="008372D3" w:rsidRPr="00A26039" w:rsidP="00A26039" w14:paraId="7BB9A7E7" w14:textId="26AC0BE8">
      <w:pPr>
        <w:pStyle w:val="FootnoteText"/>
        <w:spacing w:after="120"/>
        <w:rPr>
          <w:rFonts w:cs="Times New Roman"/>
        </w:rPr>
      </w:pPr>
      <w:r w:rsidRPr="00A26039">
        <w:rPr>
          <w:rStyle w:val="FootnoteReference"/>
          <w:rFonts w:cs="Times New Roman"/>
        </w:rPr>
        <w:footnoteRef/>
      </w:r>
      <w:r w:rsidRPr="00A26039">
        <w:rPr>
          <w:rFonts w:cs="Times New Roman"/>
        </w:rPr>
        <w:t xml:space="preserve"> OCC Brief at 7; </w:t>
      </w:r>
      <w:r w:rsidRPr="00A26039" w:rsidR="00DA0E6F">
        <w:rPr>
          <w:rFonts w:cs="Times New Roman"/>
        </w:rPr>
        <w:t xml:space="preserve">OCC Reply Brief at 4; </w:t>
      </w:r>
      <w:r w:rsidRPr="00A26039">
        <w:rPr>
          <w:rFonts w:cs="Times New Roman"/>
        </w:rPr>
        <w:t>OCC Ex. 1 (Testimony of James D. Williams) at 10.</w:t>
      </w:r>
    </w:p>
  </w:footnote>
  <w:footnote w:id="67">
    <w:p w:rsidR="008372D3" w:rsidRPr="00A26039" w:rsidP="00CE4F1F" w14:paraId="1C6B4CCB" w14:textId="3527212C">
      <w:pPr>
        <w:pStyle w:val="FootnoteText"/>
        <w:spacing w:after="120"/>
        <w:rPr>
          <w:rFonts w:cs="Times New Roman"/>
        </w:rPr>
      </w:pPr>
      <w:r w:rsidRPr="00A26039">
        <w:rPr>
          <w:rStyle w:val="FootnoteReference"/>
          <w:rFonts w:cs="Times New Roman"/>
        </w:rPr>
        <w:footnoteRef/>
      </w:r>
      <w:r w:rsidRPr="00A26039">
        <w:rPr>
          <w:rFonts w:cs="Times New Roman"/>
        </w:rPr>
        <w:t xml:space="preserve"> OCC Brief at 7; </w:t>
      </w:r>
      <w:r w:rsidRPr="00A26039" w:rsidR="00DA0E6F">
        <w:rPr>
          <w:rFonts w:cs="Times New Roman"/>
        </w:rPr>
        <w:t xml:space="preserve">OCC Reply Brief at 5; </w:t>
      </w:r>
      <w:r w:rsidRPr="00A26039">
        <w:rPr>
          <w:rFonts w:cs="Times New Roman"/>
          <w:i/>
          <w:iCs/>
        </w:rPr>
        <w:t>see also</w:t>
      </w:r>
      <w:r w:rsidRPr="00A26039">
        <w:rPr>
          <w:rFonts w:cs="Times New Roman"/>
        </w:rPr>
        <w:t xml:space="preserve"> OCC Ex. 2, Consumer Protection Comments by Office of the Ohio Consumers’ Counsel (“OCC Comments”) (July 6, 2022). </w:t>
      </w:r>
    </w:p>
  </w:footnote>
  <w:footnote w:id="68">
    <w:p w:rsidR="0081140E" w:rsidP="00CE4F1F" w14:paraId="5C4A9C0C" w14:textId="0572743F">
      <w:pPr>
        <w:pStyle w:val="FootnoteText"/>
        <w:spacing w:after="120"/>
      </w:pPr>
      <w:r>
        <w:rPr>
          <w:rStyle w:val="FootnoteReference"/>
        </w:rPr>
        <w:footnoteRef/>
      </w:r>
      <w:r>
        <w:t xml:space="preserve"> Opinion and Order at 20.</w:t>
      </w:r>
    </w:p>
  </w:footnote>
  <w:footnote w:id="69">
    <w:p w:rsidR="00C07A51" w:rsidRPr="00A26039" w:rsidP="00CE4F1F" w14:paraId="0D821B01" w14:textId="54C406CC">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See</w:t>
      </w:r>
      <w:r w:rsidRPr="00A26039">
        <w:rPr>
          <w:rFonts w:cs="Times New Roman"/>
        </w:rPr>
        <w:t xml:space="preserve"> Case Nos. 21-659-EL-USF and 20-1103-EL-USF.</w:t>
      </w:r>
    </w:p>
  </w:footnote>
  <w:footnote w:id="70">
    <w:p w:rsidR="00C07A51" w:rsidRPr="00A26039" w:rsidP="00A26039" w14:paraId="5352BAE5" w14:textId="4F15BEA3">
      <w:pPr>
        <w:pStyle w:val="FootnoteText"/>
        <w:spacing w:after="120"/>
        <w:rPr>
          <w:rFonts w:cs="Times New Roman"/>
        </w:rPr>
      </w:pPr>
      <w:r w:rsidRPr="00A26039">
        <w:rPr>
          <w:rStyle w:val="FootnoteReference"/>
          <w:rFonts w:cs="Times New Roman"/>
        </w:rPr>
        <w:footnoteRef/>
      </w:r>
      <w:r w:rsidRPr="00A26039">
        <w:rPr>
          <w:rFonts w:cs="Times New Roman"/>
        </w:rPr>
        <w:t xml:space="preserve"> Response of ODOD to Objections to the Notice of Intent (July 14, 2022); OCC Reply Brief at 4-5.</w:t>
      </w:r>
    </w:p>
  </w:footnote>
  <w:footnote w:id="71">
    <w:p w:rsidR="00C07A51" w:rsidRPr="00A26039" w:rsidP="00A26039" w14:paraId="27D8D29D" w14:textId="131EAD9E">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sidR="00CE3E78">
        <w:rPr>
          <w:rFonts w:cs="Times New Roman"/>
        </w:rPr>
        <w:t>ODOD Ex</w:t>
      </w:r>
      <w:r w:rsidRPr="00A26039" w:rsidR="006B6172">
        <w:rPr>
          <w:rFonts w:cs="Times New Roman"/>
        </w:rPr>
        <w:t>.</w:t>
      </w:r>
      <w:r w:rsidRPr="00A26039" w:rsidR="00CE3E78">
        <w:rPr>
          <w:rFonts w:cs="Times New Roman"/>
        </w:rPr>
        <w:t xml:space="preserve"> 3 (</w:t>
      </w:r>
      <w:r w:rsidRPr="00A26039">
        <w:rPr>
          <w:rFonts w:cs="Times New Roman"/>
        </w:rPr>
        <w:t>Direct Testimony of Megan Meadows</w:t>
      </w:r>
      <w:r w:rsidRPr="00A26039" w:rsidR="00CE3E78">
        <w:rPr>
          <w:rFonts w:cs="Times New Roman"/>
        </w:rPr>
        <w:t>)</w:t>
      </w:r>
      <w:r w:rsidRPr="00A26039">
        <w:rPr>
          <w:rFonts w:cs="Times New Roman"/>
        </w:rPr>
        <w:t xml:space="preserve"> at 4</w:t>
      </w:r>
      <w:r w:rsidRPr="00A26039" w:rsidR="00CE3E78">
        <w:rPr>
          <w:rFonts w:cs="Times New Roman"/>
        </w:rPr>
        <w:t>; OCC Reply Brief at 4-5</w:t>
      </w:r>
      <w:r w:rsidRPr="00A26039">
        <w:rPr>
          <w:rFonts w:cs="Times New Roman"/>
        </w:rPr>
        <w:t xml:space="preserve">. </w:t>
      </w:r>
    </w:p>
  </w:footnote>
  <w:footnote w:id="72">
    <w:p w:rsidR="00DA0E6F" w:rsidRPr="00A26039" w:rsidP="00A26039" w14:paraId="65819ADA" w14:textId="0DE4CBBF">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Pr>
          <w:rFonts w:cs="Times New Roman"/>
          <w:i/>
          <w:iCs/>
        </w:rPr>
        <w:t>Id</w:t>
      </w:r>
      <w:r w:rsidRPr="00A26039">
        <w:rPr>
          <w:rFonts w:cs="Times New Roman"/>
        </w:rPr>
        <w:t>.</w:t>
      </w:r>
    </w:p>
  </w:footnote>
  <w:footnote w:id="73">
    <w:p w:rsidR="00801376" w:rsidRPr="00A26039" w:rsidP="00A26039" w14:paraId="57C5FA56" w14:textId="53B049AE">
      <w:pPr>
        <w:pStyle w:val="FootnoteText"/>
        <w:spacing w:after="120"/>
        <w:rPr>
          <w:rFonts w:cs="Times New Roman"/>
        </w:rPr>
      </w:pPr>
      <w:r w:rsidRPr="00A26039">
        <w:rPr>
          <w:rStyle w:val="FootnoteReference"/>
          <w:rFonts w:cs="Times New Roman"/>
        </w:rPr>
        <w:footnoteRef/>
      </w:r>
      <w:r w:rsidRPr="00A26039">
        <w:rPr>
          <w:rFonts w:cs="Times New Roman"/>
        </w:rPr>
        <w:t xml:space="preserve"> </w:t>
      </w:r>
      <w:r w:rsidRPr="00A26039" w:rsidR="00B829AC">
        <w:rPr>
          <w:rFonts w:cs="Times New Roman"/>
          <w:i/>
          <w:iCs/>
        </w:rPr>
        <w:t>Ohio Consumers’ Counsel v. Pub. Util. Comm</w:t>
      </w:r>
      <w:r w:rsidRPr="00A26039" w:rsidR="00B829AC">
        <w:rPr>
          <w:rFonts w:cs="Times New Roman"/>
        </w:rPr>
        <w:t>., 121 Ohio St.3d 362, 372 (2009) (Pfeifer, J. dissenting).</w:t>
      </w:r>
    </w:p>
  </w:footnote>
  <w:footnote w:id="74">
    <w:p w:rsidR="00B850B2" w:rsidRPr="00A26039" w:rsidP="00A26039" w14:paraId="69ECC22F" w14:textId="0A305920">
      <w:pPr>
        <w:pStyle w:val="FootnoteText"/>
        <w:spacing w:after="120"/>
        <w:rPr>
          <w:rFonts w:cs="Times New Roman"/>
        </w:rPr>
      </w:pPr>
      <w:r w:rsidRPr="00A26039">
        <w:rPr>
          <w:rStyle w:val="FootnoteReference"/>
          <w:rFonts w:cs="Times New Roman"/>
        </w:rPr>
        <w:footnoteRef/>
      </w:r>
      <w:r w:rsidRPr="00A26039">
        <w:rPr>
          <w:rFonts w:cs="Times New Roman"/>
        </w:rPr>
        <w:t xml:space="preserve"> OCC Initial Brief at 20; </w:t>
      </w:r>
      <w:r w:rsidRPr="00A26039" w:rsidR="00CE3E78">
        <w:rPr>
          <w:rFonts w:cs="Times New Roman"/>
        </w:rPr>
        <w:t xml:space="preserve">OCC Reply Brief at 24; </w:t>
      </w:r>
      <w:r w:rsidRPr="00A26039">
        <w:rPr>
          <w:rFonts w:cs="Times New Roman"/>
        </w:rPr>
        <w:t>OCC Ex. 1 (Testimony of James D. Williams) at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046C" w14:paraId="1B783A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CF14E00A"/>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0B24077F"/>
    <w:multiLevelType w:val="hybridMultilevel"/>
    <w:tmpl w:val="F3C8F4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A26557C"/>
    <w:multiLevelType w:val="hybridMultilevel"/>
    <w:tmpl w:val="2A20973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B891088"/>
    <w:multiLevelType w:val="hybridMultilevel"/>
    <w:tmpl w:val="F946B5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0133298"/>
    <w:multiLevelType w:val="hybridMultilevel"/>
    <w:tmpl w:val="59E62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1F90E3F"/>
    <w:multiLevelType w:val="hybridMultilevel"/>
    <w:tmpl w:val="C1486028"/>
    <w:lvl w:ilvl="0">
      <w:start w:val="1"/>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228F0AAC"/>
    <w:multiLevelType w:val="hybridMultilevel"/>
    <w:tmpl w:val="CCE64A92"/>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5BF16D5"/>
    <w:multiLevelType w:val="hybridMultilevel"/>
    <w:tmpl w:val="608C3890"/>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9">
    <w:nsid w:val="37A9197F"/>
    <w:multiLevelType w:val="hybridMultilevel"/>
    <w:tmpl w:val="30AEDC1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40442AAC"/>
    <w:multiLevelType w:val="hybridMultilevel"/>
    <w:tmpl w:val="5CD02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318237C"/>
    <w:multiLevelType w:val="hybridMultilevel"/>
    <w:tmpl w:val="02EC964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58D948EC"/>
    <w:multiLevelType w:val="hybridMultilevel"/>
    <w:tmpl w:val="8834DCC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5CAB515C"/>
    <w:multiLevelType w:val="hybridMultilevel"/>
    <w:tmpl w:val="A88EE32E"/>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7030CF"/>
    <w:multiLevelType w:val="hybridMultilevel"/>
    <w:tmpl w:val="CA9421E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6604528"/>
    <w:multiLevelType w:val="hybridMultilevel"/>
    <w:tmpl w:val="3B0CA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67F6470"/>
    <w:multiLevelType w:val="hybridMultilevel"/>
    <w:tmpl w:val="9F46A916"/>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9505F3C"/>
    <w:multiLevelType w:val="hybridMultilevel"/>
    <w:tmpl w:val="08146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0B05F91"/>
    <w:multiLevelType w:val="hybridMultilevel"/>
    <w:tmpl w:val="39B2CE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76F3CAA"/>
    <w:multiLevelType w:val="hybridMultilevel"/>
    <w:tmpl w:val="40624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3"/>
  </w:num>
  <w:num w:numId="2">
    <w:abstractNumId w:val="12"/>
  </w:num>
  <w:num w:numId="3">
    <w:abstractNumId w:val="0"/>
  </w:num>
  <w:num w:numId="4">
    <w:abstractNumId w:val="0"/>
    <w:lvlOverride w:ilvl="0">
      <w:startOverride w:val="1"/>
    </w:lvlOverride>
  </w:num>
  <w:num w:numId="5">
    <w:abstractNumId w:val="0"/>
    <w:lvlOverride w:ilvl="0">
      <w:startOverride w:val="1"/>
    </w:lvlOverride>
  </w:num>
  <w:num w:numId="6">
    <w:abstractNumId w:val="21"/>
  </w:num>
  <w:num w:numId="7">
    <w:abstractNumId w:val="2"/>
  </w:num>
  <w:num w:numId="8">
    <w:abstractNumId w:val="5"/>
  </w:num>
  <w:num w:numId="9">
    <w:abstractNumId w:val="10"/>
  </w:num>
  <w:num w:numId="10">
    <w:abstractNumId w:val="18"/>
  </w:num>
  <w:num w:numId="11">
    <w:abstractNumId w:val="4"/>
  </w:num>
  <w:num w:numId="12">
    <w:abstractNumId w:val="13"/>
  </w:num>
  <w:num w:numId="13">
    <w:abstractNumId w:val="13"/>
  </w:num>
  <w:num w:numId="14">
    <w:abstractNumId w:val="14"/>
  </w:num>
  <w:num w:numId="15">
    <w:abstractNumId w:val="13"/>
  </w:num>
  <w:num w:numId="16">
    <w:abstractNumId w:val="13"/>
  </w:num>
  <w:num w:numId="17">
    <w:abstractNumId w:val="6"/>
  </w:num>
  <w:num w:numId="18">
    <w:abstractNumId w:val="17"/>
  </w:num>
  <w:num w:numId="19">
    <w:abstractNumId w:val="12"/>
  </w:num>
  <w:num w:numId="20">
    <w:abstractNumId w:val="12"/>
  </w:num>
  <w:num w:numId="21">
    <w:abstractNumId w:val="12"/>
  </w:num>
  <w:num w:numId="22">
    <w:abstractNumId w:val="12"/>
  </w:num>
  <w:num w:numId="23">
    <w:abstractNumId w:val="9"/>
  </w:num>
  <w:num w:numId="24">
    <w:abstractNumId w:val="13"/>
  </w:num>
  <w:num w:numId="25">
    <w:abstractNumId w:val="12"/>
  </w:num>
  <w:num w:numId="26">
    <w:abstractNumId w:val="11"/>
  </w:num>
  <w:num w:numId="27">
    <w:abstractNumId w:val="13"/>
  </w:num>
  <w:num w:numId="28">
    <w:abstractNumId w:val="13"/>
  </w:num>
  <w:num w:numId="29">
    <w:abstractNumId w:val="13"/>
  </w:num>
  <w:num w:numId="30">
    <w:abstractNumId w:val="15"/>
  </w:num>
  <w:num w:numId="31">
    <w:abstractNumId w:val="19"/>
  </w:num>
  <w:num w:numId="32">
    <w:abstractNumId w:val="13"/>
  </w:num>
  <w:num w:numId="33">
    <w:abstractNumId w:val="1"/>
  </w:num>
  <w:num w:numId="34">
    <w:abstractNumId w:val="8"/>
  </w:num>
  <w:num w:numId="35">
    <w:abstractNumId w:val="0"/>
    <w:lvlOverride w:ilvl="0">
      <w:startOverride w:val="1"/>
    </w:lvlOverride>
  </w:num>
  <w:num w:numId="36">
    <w:abstractNumId w:val="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8F"/>
    <w:rsid w:val="0000224D"/>
    <w:rsid w:val="00003382"/>
    <w:rsid w:val="00003A6E"/>
    <w:rsid w:val="00006A9C"/>
    <w:rsid w:val="0001597C"/>
    <w:rsid w:val="000202A0"/>
    <w:rsid w:val="00024B4B"/>
    <w:rsid w:val="00030205"/>
    <w:rsid w:val="00030E37"/>
    <w:rsid w:val="00033D2A"/>
    <w:rsid w:val="00035F75"/>
    <w:rsid w:val="000373BB"/>
    <w:rsid w:val="00037D3C"/>
    <w:rsid w:val="00037D47"/>
    <w:rsid w:val="000404DE"/>
    <w:rsid w:val="00041D32"/>
    <w:rsid w:val="00045734"/>
    <w:rsid w:val="00050B87"/>
    <w:rsid w:val="00051420"/>
    <w:rsid w:val="0005286A"/>
    <w:rsid w:val="00053781"/>
    <w:rsid w:val="0005730C"/>
    <w:rsid w:val="000605B2"/>
    <w:rsid w:val="00060C07"/>
    <w:rsid w:val="00060D4E"/>
    <w:rsid w:val="00061F69"/>
    <w:rsid w:val="00062C1C"/>
    <w:rsid w:val="00064A76"/>
    <w:rsid w:val="00073318"/>
    <w:rsid w:val="000739CD"/>
    <w:rsid w:val="00075EBA"/>
    <w:rsid w:val="00080E58"/>
    <w:rsid w:val="00081FBA"/>
    <w:rsid w:val="00082471"/>
    <w:rsid w:val="000825EA"/>
    <w:rsid w:val="00082907"/>
    <w:rsid w:val="00083F95"/>
    <w:rsid w:val="000844C0"/>
    <w:rsid w:val="00087E80"/>
    <w:rsid w:val="00092CC5"/>
    <w:rsid w:val="00094235"/>
    <w:rsid w:val="00094330"/>
    <w:rsid w:val="00095AFD"/>
    <w:rsid w:val="00097221"/>
    <w:rsid w:val="000A4DA2"/>
    <w:rsid w:val="000A6B46"/>
    <w:rsid w:val="000A6CAB"/>
    <w:rsid w:val="000A6F51"/>
    <w:rsid w:val="000A759E"/>
    <w:rsid w:val="000A76B6"/>
    <w:rsid w:val="000B0F09"/>
    <w:rsid w:val="000C1234"/>
    <w:rsid w:val="000C1D3F"/>
    <w:rsid w:val="000C2A58"/>
    <w:rsid w:val="000C3998"/>
    <w:rsid w:val="000C43F6"/>
    <w:rsid w:val="000C5917"/>
    <w:rsid w:val="000C5C25"/>
    <w:rsid w:val="000C6247"/>
    <w:rsid w:val="000D1486"/>
    <w:rsid w:val="000D1576"/>
    <w:rsid w:val="000D2431"/>
    <w:rsid w:val="000D2871"/>
    <w:rsid w:val="000D2DB4"/>
    <w:rsid w:val="000D4657"/>
    <w:rsid w:val="000D531E"/>
    <w:rsid w:val="000D5DBB"/>
    <w:rsid w:val="000D63DF"/>
    <w:rsid w:val="000E3685"/>
    <w:rsid w:val="000E48AE"/>
    <w:rsid w:val="000E7D3E"/>
    <w:rsid w:val="000F25CF"/>
    <w:rsid w:val="000F2856"/>
    <w:rsid w:val="000F73BA"/>
    <w:rsid w:val="00104401"/>
    <w:rsid w:val="00110913"/>
    <w:rsid w:val="00110C27"/>
    <w:rsid w:val="0011118D"/>
    <w:rsid w:val="00113A8A"/>
    <w:rsid w:val="00120147"/>
    <w:rsid w:val="00120FB5"/>
    <w:rsid w:val="001258E8"/>
    <w:rsid w:val="00126ABB"/>
    <w:rsid w:val="00131BF5"/>
    <w:rsid w:val="00133EF9"/>
    <w:rsid w:val="001347B8"/>
    <w:rsid w:val="0014095B"/>
    <w:rsid w:val="00141BD6"/>
    <w:rsid w:val="00142A17"/>
    <w:rsid w:val="00144814"/>
    <w:rsid w:val="001458FF"/>
    <w:rsid w:val="001466C2"/>
    <w:rsid w:val="00147A90"/>
    <w:rsid w:val="00151937"/>
    <w:rsid w:val="001529BC"/>
    <w:rsid w:val="00152A74"/>
    <w:rsid w:val="0015444F"/>
    <w:rsid w:val="00154D35"/>
    <w:rsid w:val="001571FA"/>
    <w:rsid w:val="00161424"/>
    <w:rsid w:val="00161965"/>
    <w:rsid w:val="00167711"/>
    <w:rsid w:val="001708F3"/>
    <w:rsid w:val="001727CB"/>
    <w:rsid w:val="00174FD5"/>
    <w:rsid w:val="0017656C"/>
    <w:rsid w:val="00177147"/>
    <w:rsid w:val="00177C12"/>
    <w:rsid w:val="00177F88"/>
    <w:rsid w:val="001802E9"/>
    <w:rsid w:val="001808EA"/>
    <w:rsid w:val="00182457"/>
    <w:rsid w:val="00183ABC"/>
    <w:rsid w:val="00186CB5"/>
    <w:rsid w:val="001874FE"/>
    <w:rsid w:val="0019099B"/>
    <w:rsid w:val="001917A0"/>
    <w:rsid w:val="001921EE"/>
    <w:rsid w:val="00193A65"/>
    <w:rsid w:val="001948AA"/>
    <w:rsid w:val="00195C32"/>
    <w:rsid w:val="00197E6E"/>
    <w:rsid w:val="001A3D9F"/>
    <w:rsid w:val="001A5A4A"/>
    <w:rsid w:val="001B0488"/>
    <w:rsid w:val="001B2B4F"/>
    <w:rsid w:val="001B71B7"/>
    <w:rsid w:val="001C0CE2"/>
    <w:rsid w:val="001C25DD"/>
    <w:rsid w:val="001C3961"/>
    <w:rsid w:val="001C5693"/>
    <w:rsid w:val="001C7E06"/>
    <w:rsid w:val="001D2205"/>
    <w:rsid w:val="001D57D5"/>
    <w:rsid w:val="001D5B69"/>
    <w:rsid w:val="001D64D0"/>
    <w:rsid w:val="001E1932"/>
    <w:rsid w:val="001E2D93"/>
    <w:rsid w:val="001E3A88"/>
    <w:rsid w:val="001E4C9A"/>
    <w:rsid w:val="001E56B9"/>
    <w:rsid w:val="001F06AB"/>
    <w:rsid w:val="001F17C8"/>
    <w:rsid w:val="001F2033"/>
    <w:rsid w:val="001F4B10"/>
    <w:rsid w:val="001F6B49"/>
    <w:rsid w:val="001F6CC6"/>
    <w:rsid w:val="002051F1"/>
    <w:rsid w:val="0020599E"/>
    <w:rsid w:val="00205C1D"/>
    <w:rsid w:val="00206857"/>
    <w:rsid w:val="002070B4"/>
    <w:rsid w:val="0021078E"/>
    <w:rsid w:val="00210EE4"/>
    <w:rsid w:val="00214E0C"/>
    <w:rsid w:val="00223875"/>
    <w:rsid w:val="00225214"/>
    <w:rsid w:val="00225A6F"/>
    <w:rsid w:val="00233023"/>
    <w:rsid w:val="002341D4"/>
    <w:rsid w:val="00236827"/>
    <w:rsid w:val="0023728D"/>
    <w:rsid w:val="00240ACF"/>
    <w:rsid w:val="00244209"/>
    <w:rsid w:val="00244C5E"/>
    <w:rsid w:val="00246318"/>
    <w:rsid w:val="00247431"/>
    <w:rsid w:val="0025005C"/>
    <w:rsid w:val="002552CD"/>
    <w:rsid w:val="002571AE"/>
    <w:rsid w:val="00262AC3"/>
    <w:rsid w:val="00262F26"/>
    <w:rsid w:val="00262F47"/>
    <w:rsid w:val="0026585C"/>
    <w:rsid w:val="00266DCF"/>
    <w:rsid w:val="0026704F"/>
    <w:rsid w:val="00267105"/>
    <w:rsid w:val="00267587"/>
    <w:rsid w:val="002677A9"/>
    <w:rsid w:val="00270D5D"/>
    <w:rsid w:val="00274D3B"/>
    <w:rsid w:val="0027560B"/>
    <w:rsid w:val="00283060"/>
    <w:rsid w:val="00290D6C"/>
    <w:rsid w:val="00293E41"/>
    <w:rsid w:val="002942A7"/>
    <w:rsid w:val="002A01FC"/>
    <w:rsid w:val="002A046C"/>
    <w:rsid w:val="002A16B7"/>
    <w:rsid w:val="002A3963"/>
    <w:rsid w:val="002A3BA1"/>
    <w:rsid w:val="002A6933"/>
    <w:rsid w:val="002A7BF9"/>
    <w:rsid w:val="002B0278"/>
    <w:rsid w:val="002B11DE"/>
    <w:rsid w:val="002B21E6"/>
    <w:rsid w:val="002B5D0E"/>
    <w:rsid w:val="002B6E51"/>
    <w:rsid w:val="002B7DA4"/>
    <w:rsid w:val="002C0344"/>
    <w:rsid w:val="002C0383"/>
    <w:rsid w:val="002C1871"/>
    <w:rsid w:val="002C4209"/>
    <w:rsid w:val="002C45BB"/>
    <w:rsid w:val="002C4B2E"/>
    <w:rsid w:val="002D4B35"/>
    <w:rsid w:val="002D4C63"/>
    <w:rsid w:val="002E2564"/>
    <w:rsid w:val="002E277F"/>
    <w:rsid w:val="002E3822"/>
    <w:rsid w:val="002E5502"/>
    <w:rsid w:val="002E7088"/>
    <w:rsid w:val="002F094C"/>
    <w:rsid w:val="002F210E"/>
    <w:rsid w:val="002F5B5B"/>
    <w:rsid w:val="002F5C81"/>
    <w:rsid w:val="002F6E16"/>
    <w:rsid w:val="002F77D2"/>
    <w:rsid w:val="00302DF2"/>
    <w:rsid w:val="003040BD"/>
    <w:rsid w:val="0030470B"/>
    <w:rsid w:val="00310581"/>
    <w:rsid w:val="00312ABA"/>
    <w:rsid w:val="003155AF"/>
    <w:rsid w:val="00315C87"/>
    <w:rsid w:val="00321E47"/>
    <w:rsid w:val="003235AC"/>
    <w:rsid w:val="00327FF2"/>
    <w:rsid w:val="00331BE8"/>
    <w:rsid w:val="00334C84"/>
    <w:rsid w:val="0034017B"/>
    <w:rsid w:val="00345138"/>
    <w:rsid w:val="00346E6C"/>
    <w:rsid w:val="003471F4"/>
    <w:rsid w:val="00347834"/>
    <w:rsid w:val="00347A74"/>
    <w:rsid w:val="00350036"/>
    <w:rsid w:val="003503CC"/>
    <w:rsid w:val="003524E1"/>
    <w:rsid w:val="00354CB1"/>
    <w:rsid w:val="003554C4"/>
    <w:rsid w:val="003554D5"/>
    <w:rsid w:val="00357E2A"/>
    <w:rsid w:val="00364CF1"/>
    <w:rsid w:val="00370D3A"/>
    <w:rsid w:val="00373484"/>
    <w:rsid w:val="00374BEA"/>
    <w:rsid w:val="00375DEA"/>
    <w:rsid w:val="00381B68"/>
    <w:rsid w:val="00381E10"/>
    <w:rsid w:val="00383BC2"/>
    <w:rsid w:val="00383FE2"/>
    <w:rsid w:val="00385584"/>
    <w:rsid w:val="0038632E"/>
    <w:rsid w:val="00387143"/>
    <w:rsid w:val="00387D64"/>
    <w:rsid w:val="003902EC"/>
    <w:rsid w:val="00391F0E"/>
    <w:rsid w:val="003A5E01"/>
    <w:rsid w:val="003A7CEB"/>
    <w:rsid w:val="003B178A"/>
    <w:rsid w:val="003B38D8"/>
    <w:rsid w:val="003C0BC9"/>
    <w:rsid w:val="003C1E55"/>
    <w:rsid w:val="003C22CB"/>
    <w:rsid w:val="003C25DC"/>
    <w:rsid w:val="003C312E"/>
    <w:rsid w:val="003C44FC"/>
    <w:rsid w:val="003C4F75"/>
    <w:rsid w:val="003D0B7A"/>
    <w:rsid w:val="003D103B"/>
    <w:rsid w:val="003D3D8D"/>
    <w:rsid w:val="003D4E6A"/>
    <w:rsid w:val="003D4FBD"/>
    <w:rsid w:val="003D5EA5"/>
    <w:rsid w:val="003E2553"/>
    <w:rsid w:val="003E28B1"/>
    <w:rsid w:val="003E4C1A"/>
    <w:rsid w:val="003E6576"/>
    <w:rsid w:val="003E760B"/>
    <w:rsid w:val="003E77CE"/>
    <w:rsid w:val="003E7971"/>
    <w:rsid w:val="003F14C3"/>
    <w:rsid w:val="003F440A"/>
    <w:rsid w:val="003F474A"/>
    <w:rsid w:val="003F5C5D"/>
    <w:rsid w:val="00401E4F"/>
    <w:rsid w:val="004027F0"/>
    <w:rsid w:val="00403913"/>
    <w:rsid w:val="0040480E"/>
    <w:rsid w:val="0040593E"/>
    <w:rsid w:val="004077ED"/>
    <w:rsid w:val="00407811"/>
    <w:rsid w:val="00407943"/>
    <w:rsid w:val="00410BC6"/>
    <w:rsid w:val="00411B0F"/>
    <w:rsid w:val="00412B54"/>
    <w:rsid w:val="004133EE"/>
    <w:rsid w:val="004169C1"/>
    <w:rsid w:val="0042093B"/>
    <w:rsid w:val="00421452"/>
    <w:rsid w:val="00424275"/>
    <w:rsid w:val="004242CB"/>
    <w:rsid w:val="00432523"/>
    <w:rsid w:val="004352ED"/>
    <w:rsid w:val="004353CA"/>
    <w:rsid w:val="00435BB4"/>
    <w:rsid w:val="00441F01"/>
    <w:rsid w:val="00444595"/>
    <w:rsid w:val="004448B2"/>
    <w:rsid w:val="004458A2"/>
    <w:rsid w:val="00453A2C"/>
    <w:rsid w:val="00454254"/>
    <w:rsid w:val="00454401"/>
    <w:rsid w:val="00457099"/>
    <w:rsid w:val="00461179"/>
    <w:rsid w:val="00461696"/>
    <w:rsid w:val="0046199B"/>
    <w:rsid w:val="00461AFC"/>
    <w:rsid w:val="0046415A"/>
    <w:rsid w:val="00464B9F"/>
    <w:rsid w:val="004667E0"/>
    <w:rsid w:val="0047275D"/>
    <w:rsid w:val="00473139"/>
    <w:rsid w:val="00477E9D"/>
    <w:rsid w:val="00480E3D"/>
    <w:rsid w:val="00482B78"/>
    <w:rsid w:val="0048302F"/>
    <w:rsid w:val="00485F7F"/>
    <w:rsid w:val="00485FB2"/>
    <w:rsid w:val="004911A5"/>
    <w:rsid w:val="00495680"/>
    <w:rsid w:val="004A0F6F"/>
    <w:rsid w:val="004A298C"/>
    <w:rsid w:val="004A3147"/>
    <w:rsid w:val="004A4C41"/>
    <w:rsid w:val="004B0AA7"/>
    <w:rsid w:val="004B17DA"/>
    <w:rsid w:val="004B524B"/>
    <w:rsid w:val="004B53D9"/>
    <w:rsid w:val="004B69DB"/>
    <w:rsid w:val="004B7BE8"/>
    <w:rsid w:val="004B7DC4"/>
    <w:rsid w:val="004C0E4E"/>
    <w:rsid w:val="004C165E"/>
    <w:rsid w:val="004C2959"/>
    <w:rsid w:val="004C3FC7"/>
    <w:rsid w:val="004C40ED"/>
    <w:rsid w:val="004C5B01"/>
    <w:rsid w:val="004D1D07"/>
    <w:rsid w:val="004D22DD"/>
    <w:rsid w:val="004D23A0"/>
    <w:rsid w:val="004D49A4"/>
    <w:rsid w:val="004D5120"/>
    <w:rsid w:val="004D576B"/>
    <w:rsid w:val="004D6F43"/>
    <w:rsid w:val="004E09DF"/>
    <w:rsid w:val="004E1FEB"/>
    <w:rsid w:val="004E4647"/>
    <w:rsid w:val="004E4F14"/>
    <w:rsid w:val="004E5118"/>
    <w:rsid w:val="004E6A72"/>
    <w:rsid w:val="004F1637"/>
    <w:rsid w:val="004F4474"/>
    <w:rsid w:val="004F558E"/>
    <w:rsid w:val="004F5C91"/>
    <w:rsid w:val="00511959"/>
    <w:rsid w:val="00511C31"/>
    <w:rsid w:val="00512DCB"/>
    <w:rsid w:val="0051382B"/>
    <w:rsid w:val="00516417"/>
    <w:rsid w:val="005165F0"/>
    <w:rsid w:val="00521A79"/>
    <w:rsid w:val="00521C37"/>
    <w:rsid w:val="00522047"/>
    <w:rsid w:val="00522D56"/>
    <w:rsid w:val="0052329A"/>
    <w:rsid w:val="005245BC"/>
    <w:rsid w:val="00524879"/>
    <w:rsid w:val="00527CB3"/>
    <w:rsid w:val="00530A4E"/>
    <w:rsid w:val="00530D1E"/>
    <w:rsid w:val="00532A68"/>
    <w:rsid w:val="0053379B"/>
    <w:rsid w:val="00533E30"/>
    <w:rsid w:val="00534B66"/>
    <w:rsid w:val="0053578E"/>
    <w:rsid w:val="00535BCF"/>
    <w:rsid w:val="005365F6"/>
    <w:rsid w:val="0054591D"/>
    <w:rsid w:val="00550275"/>
    <w:rsid w:val="0055060E"/>
    <w:rsid w:val="00552277"/>
    <w:rsid w:val="005535FB"/>
    <w:rsid w:val="005538EA"/>
    <w:rsid w:val="00553E4D"/>
    <w:rsid w:val="00556829"/>
    <w:rsid w:val="00557E2F"/>
    <w:rsid w:val="00560BCF"/>
    <w:rsid w:val="005616F4"/>
    <w:rsid w:val="005639A5"/>
    <w:rsid w:val="00567686"/>
    <w:rsid w:val="00567EA9"/>
    <w:rsid w:val="00572515"/>
    <w:rsid w:val="00575F9A"/>
    <w:rsid w:val="00580702"/>
    <w:rsid w:val="005809F8"/>
    <w:rsid w:val="005826D4"/>
    <w:rsid w:val="0058396F"/>
    <w:rsid w:val="005842CA"/>
    <w:rsid w:val="005859A7"/>
    <w:rsid w:val="005868F1"/>
    <w:rsid w:val="00587B74"/>
    <w:rsid w:val="00587F3C"/>
    <w:rsid w:val="00590698"/>
    <w:rsid w:val="00590F7B"/>
    <w:rsid w:val="00591476"/>
    <w:rsid w:val="0059395A"/>
    <w:rsid w:val="00593CAB"/>
    <w:rsid w:val="00594532"/>
    <w:rsid w:val="00596B6D"/>
    <w:rsid w:val="00597D62"/>
    <w:rsid w:val="005A0312"/>
    <w:rsid w:val="005A0BDB"/>
    <w:rsid w:val="005A1581"/>
    <w:rsid w:val="005A1FBE"/>
    <w:rsid w:val="005A2279"/>
    <w:rsid w:val="005A29AE"/>
    <w:rsid w:val="005A4A93"/>
    <w:rsid w:val="005A7045"/>
    <w:rsid w:val="005B5644"/>
    <w:rsid w:val="005B5DBE"/>
    <w:rsid w:val="005B6560"/>
    <w:rsid w:val="005C1525"/>
    <w:rsid w:val="005C351C"/>
    <w:rsid w:val="005C50ED"/>
    <w:rsid w:val="005C5447"/>
    <w:rsid w:val="005C5DB8"/>
    <w:rsid w:val="005C6900"/>
    <w:rsid w:val="005C7F50"/>
    <w:rsid w:val="005D3D3C"/>
    <w:rsid w:val="005D5FBA"/>
    <w:rsid w:val="005E0638"/>
    <w:rsid w:val="005E1F02"/>
    <w:rsid w:val="005E26FA"/>
    <w:rsid w:val="005E3CAE"/>
    <w:rsid w:val="005E3D2C"/>
    <w:rsid w:val="005F0886"/>
    <w:rsid w:val="005F0DA2"/>
    <w:rsid w:val="005F13DD"/>
    <w:rsid w:val="005F3639"/>
    <w:rsid w:val="005F52FB"/>
    <w:rsid w:val="005F6507"/>
    <w:rsid w:val="006018FA"/>
    <w:rsid w:val="00601BB4"/>
    <w:rsid w:val="00604931"/>
    <w:rsid w:val="00610EAB"/>
    <w:rsid w:val="0061332B"/>
    <w:rsid w:val="00613F2D"/>
    <w:rsid w:val="006154B4"/>
    <w:rsid w:val="006225E6"/>
    <w:rsid w:val="00623446"/>
    <w:rsid w:val="00624C8F"/>
    <w:rsid w:val="00625EDE"/>
    <w:rsid w:val="00627945"/>
    <w:rsid w:val="00631FBC"/>
    <w:rsid w:val="00632968"/>
    <w:rsid w:val="00647287"/>
    <w:rsid w:val="0065148F"/>
    <w:rsid w:val="00652897"/>
    <w:rsid w:val="00652A85"/>
    <w:rsid w:val="006540D9"/>
    <w:rsid w:val="006550F3"/>
    <w:rsid w:val="00655E90"/>
    <w:rsid w:val="00663AC9"/>
    <w:rsid w:val="00663CE9"/>
    <w:rsid w:val="00665004"/>
    <w:rsid w:val="006745A7"/>
    <w:rsid w:val="006774BE"/>
    <w:rsid w:val="00682D8F"/>
    <w:rsid w:val="00683B78"/>
    <w:rsid w:val="006840A8"/>
    <w:rsid w:val="0068469D"/>
    <w:rsid w:val="0068678A"/>
    <w:rsid w:val="006868EB"/>
    <w:rsid w:val="00690446"/>
    <w:rsid w:val="006916CE"/>
    <w:rsid w:val="00692851"/>
    <w:rsid w:val="00692D8F"/>
    <w:rsid w:val="00693D82"/>
    <w:rsid w:val="00695BFF"/>
    <w:rsid w:val="006A0331"/>
    <w:rsid w:val="006A1BDB"/>
    <w:rsid w:val="006A305C"/>
    <w:rsid w:val="006A351C"/>
    <w:rsid w:val="006A3FBF"/>
    <w:rsid w:val="006A4048"/>
    <w:rsid w:val="006A47F4"/>
    <w:rsid w:val="006A64C8"/>
    <w:rsid w:val="006A68D6"/>
    <w:rsid w:val="006B0865"/>
    <w:rsid w:val="006B09C2"/>
    <w:rsid w:val="006B0EF8"/>
    <w:rsid w:val="006B181E"/>
    <w:rsid w:val="006B1FCE"/>
    <w:rsid w:val="006B2369"/>
    <w:rsid w:val="006B3079"/>
    <w:rsid w:val="006B3086"/>
    <w:rsid w:val="006B49FB"/>
    <w:rsid w:val="006B5637"/>
    <w:rsid w:val="006B5ACA"/>
    <w:rsid w:val="006B5AE4"/>
    <w:rsid w:val="006B6172"/>
    <w:rsid w:val="006B6256"/>
    <w:rsid w:val="006B7858"/>
    <w:rsid w:val="006C1552"/>
    <w:rsid w:val="006C3419"/>
    <w:rsid w:val="006C4A7C"/>
    <w:rsid w:val="006C5C84"/>
    <w:rsid w:val="006C7401"/>
    <w:rsid w:val="006D09FB"/>
    <w:rsid w:val="006D1940"/>
    <w:rsid w:val="006D19FD"/>
    <w:rsid w:val="006D215E"/>
    <w:rsid w:val="006D23C9"/>
    <w:rsid w:val="006D38A6"/>
    <w:rsid w:val="006D56D1"/>
    <w:rsid w:val="006D60F3"/>
    <w:rsid w:val="006D6D8C"/>
    <w:rsid w:val="006D7423"/>
    <w:rsid w:val="006D7B0A"/>
    <w:rsid w:val="006E3C8D"/>
    <w:rsid w:val="006E5926"/>
    <w:rsid w:val="006E70D2"/>
    <w:rsid w:val="006E7478"/>
    <w:rsid w:val="006F032E"/>
    <w:rsid w:val="006F05B8"/>
    <w:rsid w:val="006F34B6"/>
    <w:rsid w:val="006F4D75"/>
    <w:rsid w:val="006F6F08"/>
    <w:rsid w:val="0070006F"/>
    <w:rsid w:val="00701E93"/>
    <w:rsid w:val="007025EA"/>
    <w:rsid w:val="00707050"/>
    <w:rsid w:val="0071093D"/>
    <w:rsid w:val="00712A0B"/>
    <w:rsid w:val="00713075"/>
    <w:rsid w:val="00714F73"/>
    <w:rsid w:val="00716FE6"/>
    <w:rsid w:val="0072296F"/>
    <w:rsid w:val="007241A8"/>
    <w:rsid w:val="00727DB4"/>
    <w:rsid w:val="007307DB"/>
    <w:rsid w:val="00732470"/>
    <w:rsid w:val="007327BD"/>
    <w:rsid w:val="00737BBC"/>
    <w:rsid w:val="00740B4F"/>
    <w:rsid w:val="00740EAB"/>
    <w:rsid w:val="00742CA2"/>
    <w:rsid w:val="00743C57"/>
    <w:rsid w:val="00747035"/>
    <w:rsid w:val="00751792"/>
    <w:rsid w:val="007523DF"/>
    <w:rsid w:val="007531A4"/>
    <w:rsid w:val="0075402C"/>
    <w:rsid w:val="007546CB"/>
    <w:rsid w:val="00757CDD"/>
    <w:rsid w:val="007633FA"/>
    <w:rsid w:val="00764A31"/>
    <w:rsid w:val="00765233"/>
    <w:rsid w:val="00766364"/>
    <w:rsid w:val="00766FAD"/>
    <w:rsid w:val="00767538"/>
    <w:rsid w:val="00770FBC"/>
    <w:rsid w:val="007733BE"/>
    <w:rsid w:val="00773B01"/>
    <w:rsid w:val="00774221"/>
    <w:rsid w:val="00774830"/>
    <w:rsid w:val="00774C64"/>
    <w:rsid w:val="007775D1"/>
    <w:rsid w:val="00780806"/>
    <w:rsid w:val="00786A76"/>
    <w:rsid w:val="00790068"/>
    <w:rsid w:val="0079077A"/>
    <w:rsid w:val="00796761"/>
    <w:rsid w:val="00796D7B"/>
    <w:rsid w:val="00797BC9"/>
    <w:rsid w:val="007A1F0D"/>
    <w:rsid w:val="007A2EB4"/>
    <w:rsid w:val="007A4382"/>
    <w:rsid w:val="007A651E"/>
    <w:rsid w:val="007B127B"/>
    <w:rsid w:val="007B39ED"/>
    <w:rsid w:val="007B6463"/>
    <w:rsid w:val="007B7097"/>
    <w:rsid w:val="007B7A85"/>
    <w:rsid w:val="007C011F"/>
    <w:rsid w:val="007C2559"/>
    <w:rsid w:val="007C38B2"/>
    <w:rsid w:val="007C70D0"/>
    <w:rsid w:val="007D128F"/>
    <w:rsid w:val="007D54D1"/>
    <w:rsid w:val="007E0816"/>
    <w:rsid w:val="007E1B70"/>
    <w:rsid w:val="007E2F68"/>
    <w:rsid w:val="007E32B9"/>
    <w:rsid w:val="007E3FF9"/>
    <w:rsid w:val="007F0242"/>
    <w:rsid w:val="007F0FC2"/>
    <w:rsid w:val="007F5D9A"/>
    <w:rsid w:val="00801376"/>
    <w:rsid w:val="00801953"/>
    <w:rsid w:val="00801C81"/>
    <w:rsid w:val="008047B0"/>
    <w:rsid w:val="00806A25"/>
    <w:rsid w:val="0081140E"/>
    <w:rsid w:val="00811BA1"/>
    <w:rsid w:val="00821B8C"/>
    <w:rsid w:val="008230B5"/>
    <w:rsid w:val="00823CC7"/>
    <w:rsid w:val="008259C3"/>
    <w:rsid w:val="00825D8A"/>
    <w:rsid w:val="00826AF5"/>
    <w:rsid w:val="0082747F"/>
    <w:rsid w:val="00827AF5"/>
    <w:rsid w:val="00831217"/>
    <w:rsid w:val="008334CB"/>
    <w:rsid w:val="00835B53"/>
    <w:rsid w:val="008372D3"/>
    <w:rsid w:val="00837BC6"/>
    <w:rsid w:val="0084066D"/>
    <w:rsid w:val="00846B16"/>
    <w:rsid w:val="008475D8"/>
    <w:rsid w:val="0085792B"/>
    <w:rsid w:val="00857F42"/>
    <w:rsid w:val="0086090C"/>
    <w:rsid w:val="00861D0B"/>
    <w:rsid w:val="008637AB"/>
    <w:rsid w:val="0087004A"/>
    <w:rsid w:val="0087136D"/>
    <w:rsid w:val="0087231D"/>
    <w:rsid w:val="008759AB"/>
    <w:rsid w:val="00880797"/>
    <w:rsid w:val="00882FBE"/>
    <w:rsid w:val="0088308C"/>
    <w:rsid w:val="00884302"/>
    <w:rsid w:val="00885295"/>
    <w:rsid w:val="00887D08"/>
    <w:rsid w:val="00890B40"/>
    <w:rsid w:val="0089116E"/>
    <w:rsid w:val="0089228A"/>
    <w:rsid w:val="00892728"/>
    <w:rsid w:val="00897E6F"/>
    <w:rsid w:val="00897FD6"/>
    <w:rsid w:val="008A0B9A"/>
    <w:rsid w:val="008A1195"/>
    <w:rsid w:val="008A296C"/>
    <w:rsid w:val="008A5C93"/>
    <w:rsid w:val="008B1BB4"/>
    <w:rsid w:val="008B1E83"/>
    <w:rsid w:val="008B2645"/>
    <w:rsid w:val="008B291E"/>
    <w:rsid w:val="008B4F01"/>
    <w:rsid w:val="008B509B"/>
    <w:rsid w:val="008B50F4"/>
    <w:rsid w:val="008C05FC"/>
    <w:rsid w:val="008C076D"/>
    <w:rsid w:val="008C1323"/>
    <w:rsid w:val="008C60E0"/>
    <w:rsid w:val="008C724F"/>
    <w:rsid w:val="008D4E32"/>
    <w:rsid w:val="008D5478"/>
    <w:rsid w:val="008E05CC"/>
    <w:rsid w:val="008E086E"/>
    <w:rsid w:val="008E1C65"/>
    <w:rsid w:val="008E2040"/>
    <w:rsid w:val="008E3C9C"/>
    <w:rsid w:val="008E6FE7"/>
    <w:rsid w:val="008F31F7"/>
    <w:rsid w:val="008F498C"/>
    <w:rsid w:val="0090042C"/>
    <w:rsid w:val="00903329"/>
    <w:rsid w:val="009038A1"/>
    <w:rsid w:val="00903F6D"/>
    <w:rsid w:val="00905443"/>
    <w:rsid w:val="00910F74"/>
    <w:rsid w:val="009112E5"/>
    <w:rsid w:val="0091474A"/>
    <w:rsid w:val="009166C0"/>
    <w:rsid w:val="0091751C"/>
    <w:rsid w:val="00921A7A"/>
    <w:rsid w:val="009221C4"/>
    <w:rsid w:val="00923731"/>
    <w:rsid w:val="00926015"/>
    <w:rsid w:val="00930EAB"/>
    <w:rsid w:val="009327E7"/>
    <w:rsid w:val="009330EF"/>
    <w:rsid w:val="0093408D"/>
    <w:rsid w:val="009344B5"/>
    <w:rsid w:val="00934A7B"/>
    <w:rsid w:val="00935361"/>
    <w:rsid w:val="009400C9"/>
    <w:rsid w:val="00945974"/>
    <w:rsid w:val="009537FE"/>
    <w:rsid w:val="00954447"/>
    <w:rsid w:val="009547F4"/>
    <w:rsid w:val="00955679"/>
    <w:rsid w:val="00955CE4"/>
    <w:rsid w:val="009712D3"/>
    <w:rsid w:val="00971714"/>
    <w:rsid w:val="00973254"/>
    <w:rsid w:val="00973D9A"/>
    <w:rsid w:val="009758B2"/>
    <w:rsid w:val="00980123"/>
    <w:rsid w:val="00981935"/>
    <w:rsid w:val="00985D4A"/>
    <w:rsid w:val="00990051"/>
    <w:rsid w:val="0099037D"/>
    <w:rsid w:val="0099116F"/>
    <w:rsid w:val="0099412E"/>
    <w:rsid w:val="00994FA0"/>
    <w:rsid w:val="009957F7"/>
    <w:rsid w:val="009A057B"/>
    <w:rsid w:val="009A2761"/>
    <w:rsid w:val="009A3B8F"/>
    <w:rsid w:val="009A696C"/>
    <w:rsid w:val="009A7647"/>
    <w:rsid w:val="009A76E3"/>
    <w:rsid w:val="009B2491"/>
    <w:rsid w:val="009B40D3"/>
    <w:rsid w:val="009B580E"/>
    <w:rsid w:val="009B5A16"/>
    <w:rsid w:val="009B6232"/>
    <w:rsid w:val="009C46A9"/>
    <w:rsid w:val="009D029C"/>
    <w:rsid w:val="009D0F75"/>
    <w:rsid w:val="009D2BFD"/>
    <w:rsid w:val="009D4E1D"/>
    <w:rsid w:val="009D54F0"/>
    <w:rsid w:val="009D5526"/>
    <w:rsid w:val="009D6CD8"/>
    <w:rsid w:val="009D6F53"/>
    <w:rsid w:val="009E5565"/>
    <w:rsid w:val="009E6EF2"/>
    <w:rsid w:val="009F0417"/>
    <w:rsid w:val="009F1C12"/>
    <w:rsid w:val="009F219B"/>
    <w:rsid w:val="009F50CE"/>
    <w:rsid w:val="00A01551"/>
    <w:rsid w:val="00A019D6"/>
    <w:rsid w:val="00A01D6F"/>
    <w:rsid w:val="00A03618"/>
    <w:rsid w:val="00A04BD0"/>
    <w:rsid w:val="00A06A04"/>
    <w:rsid w:val="00A07DE5"/>
    <w:rsid w:val="00A12155"/>
    <w:rsid w:val="00A13E3E"/>
    <w:rsid w:val="00A1421D"/>
    <w:rsid w:val="00A1444C"/>
    <w:rsid w:val="00A15099"/>
    <w:rsid w:val="00A2307A"/>
    <w:rsid w:val="00A24BD2"/>
    <w:rsid w:val="00A2553B"/>
    <w:rsid w:val="00A25CDD"/>
    <w:rsid w:val="00A26039"/>
    <w:rsid w:val="00A2727E"/>
    <w:rsid w:val="00A27F65"/>
    <w:rsid w:val="00A27F8B"/>
    <w:rsid w:val="00A30F55"/>
    <w:rsid w:val="00A32A92"/>
    <w:rsid w:val="00A3424B"/>
    <w:rsid w:val="00A40081"/>
    <w:rsid w:val="00A43584"/>
    <w:rsid w:val="00A43E83"/>
    <w:rsid w:val="00A4450B"/>
    <w:rsid w:val="00A44808"/>
    <w:rsid w:val="00A45337"/>
    <w:rsid w:val="00A45FC3"/>
    <w:rsid w:val="00A46520"/>
    <w:rsid w:val="00A50B0E"/>
    <w:rsid w:val="00A52C85"/>
    <w:rsid w:val="00A53576"/>
    <w:rsid w:val="00A543AC"/>
    <w:rsid w:val="00A55BA7"/>
    <w:rsid w:val="00A55DFD"/>
    <w:rsid w:val="00A5711A"/>
    <w:rsid w:val="00A5782D"/>
    <w:rsid w:val="00A60082"/>
    <w:rsid w:val="00A6165D"/>
    <w:rsid w:val="00A6307B"/>
    <w:rsid w:val="00A67243"/>
    <w:rsid w:val="00A71CE5"/>
    <w:rsid w:val="00A72D65"/>
    <w:rsid w:val="00A743CF"/>
    <w:rsid w:val="00A76F84"/>
    <w:rsid w:val="00A77C16"/>
    <w:rsid w:val="00A808CE"/>
    <w:rsid w:val="00A80BBB"/>
    <w:rsid w:val="00A858BC"/>
    <w:rsid w:val="00A85CC9"/>
    <w:rsid w:val="00A87C0A"/>
    <w:rsid w:val="00A90073"/>
    <w:rsid w:val="00A92215"/>
    <w:rsid w:val="00A92822"/>
    <w:rsid w:val="00A9306F"/>
    <w:rsid w:val="00A9537B"/>
    <w:rsid w:val="00AA0A82"/>
    <w:rsid w:val="00AA28C0"/>
    <w:rsid w:val="00AA2E90"/>
    <w:rsid w:val="00AA7147"/>
    <w:rsid w:val="00AA76E9"/>
    <w:rsid w:val="00AB0362"/>
    <w:rsid w:val="00AB16D0"/>
    <w:rsid w:val="00AB3A22"/>
    <w:rsid w:val="00AB4A0C"/>
    <w:rsid w:val="00AB531B"/>
    <w:rsid w:val="00AB583D"/>
    <w:rsid w:val="00AC1A13"/>
    <w:rsid w:val="00AC26B8"/>
    <w:rsid w:val="00AC34B3"/>
    <w:rsid w:val="00AC5ABB"/>
    <w:rsid w:val="00AC68C4"/>
    <w:rsid w:val="00AD1173"/>
    <w:rsid w:val="00AD18D2"/>
    <w:rsid w:val="00AD1F5C"/>
    <w:rsid w:val="00AD4052"/>
    <w:rsid w:val="00AD677D"/>
    <w:rsid w:val="00AE0445"/>
    <w:rsid w:val="00AE4BB8"/>
    <w:rsid w:val="00AF071D"/>
    <w:rsid w:val="00AF467B"/>
    <w:rsid w:val="00AF4FFB"/>
    <w:rsid w:val="00AF691B"/>
    <w:rsid w:val="00AF6E11"/>
    <w:rsid w:val="00B026B5"/>
    <w:rsid w:val="00B02E5B"/>
    <w:rsid w:val="00B05388"/>
    <w:rsid w:val="00B068D9"/>
    <w:rsid w:val="00B06C79"/>
    <w:rsid w:val="00B10F10"/>
    <w:rsid w:val="00B1245E"/>
    <w:rsid w:val="00B1359D"/>
    <w:rsid w:val="00B1448E"/>
    <w:rsid w:val="00B23417"/>
    <w:rsid w:val="00B24DB1"/>
    <w:rsid w:val="00B25CB8"/>
    <w:rsid w:val="00B3293D"/>
    <w:rsid w:val="00B32B7E"/>
    <w:rsid w:val="00B34F81"/>
    <w:rsid w:val="00B35828"/>
    <w:rsid w:val="00B35D5A"/>
    <w:rsid w:val="00B36981"/>
    <w:rsid w:val="00B36AD7"/>
    <w:rsid w:val="00B400D0"/>
    <w:rsid w:val="00B4131D"/>
    <w:rsid w:val="00B415B7"/>
    <w:rsid w:val="00B41CE7"/>
    <w:rsid w:val="00B41D45"/>
    <w:rsid w:val="00B42677"/>
    <w:rsid w:val="00B44D5D"/>
    <w:rsid w:val="00B46F0E"/>
    <w:rsid w:val="00B47216"/>
    <w:rsid w:val="00B52A65"/>
    <w:rsid w:val="00B54BC2"/>
    <w:rsid w:val="00B60417"/>
    <w:rsid w:val="00B62B55"/>
    <w:rsid w:val="00B674CF"/>
    <w:rsid w:val="00B730B8"/>
    <w:rsid w:val="00B76BB1"/>
    <w:rsid w:val="00B829AC"/>
    <w:rsid w:val="00B83470"/>
    <w:rsid w:val="00B84CA5"/>
    <w:rsid w:val="00B850B2"/>
    <w:rsid w:val="00B85AEF"/>
    <w:rsid w:val="00B90B9A"/>
    <w:rsid w:val="00B92465"/>
    <w:rsid w:val="00B93AB4"/>
    <w:rsid w:val="00B9551E"/>
    <w:rsid w:val="00B95F9D"/>
    <w:rsid w:val="00B96317"/>
    <w:rsid w:val="00B96C83"/>
    <w:rsid w:val="00BA2019"/>
    <w:rsid w:val="00BA4B9B"/>
    <w:rsid w:val="00BA54AB"/>
    <w:rsid w:val="00BA6A05"/>
    <w:rsid w:val="00BA7A25"/>
    <w:rsid w:val="00BA7EF9"/>
    <w:rsid w:val="00BB04C2"/>
    <w:rsid w:val="00BB0A91"/>
    <w:rsid w:val="00BB12AA"/>
    <w:rsid w:val="00BB2048"/>
    <w:rsid w:val="00BB2F23"/>
    <w:rsid w:val="00BB35FD"/>
    <w:rsid w:val="00BC10A9"/>
    <w:rsid w:val="00BC180F"/>
    <w:rsid w:val="00BC1FE4"/>
    <w:rsid w:val="00BC326E"/>
    <w:rsid w:val="00BC376F"/>
    <w:rsid w:val="00BC4D2C"/>
    <w:rsid w:val="00BC523A"/>
    <w:rsid w:val="00BC5AC8"/>
    <w:rsid w:val="00BC6C6D"/>
    <w:rsid w:val="00BC6E68"/>
    <w:rsid w:val="00BC76C2"/>
    <w:rsid w:val="00BD0312"/>
    <w:rsid w:val="00BD1A13"/>
    <w:rsid w:val="00BD2E2B"/>
    <w:rsid w:val="00BD366E"/>
    <w:rsid w:val="00BD4EDC"/>
    <w:rsid w:val="00BD5570"/>
    <w:rsid w:val="00BD5A99"/>
    <w:rsid w:val="00BD5D3A"/>
    <w:rsid w:val="00BE1310"/>
    <w:rsid w:val="00BE38CB"/>
    <w:rsid w:val="00BF051A"/>
    <w:rsid w:val="00BF05D9"/>
    <w:rsid w:val="00BF05F4"/>
    <w:rsid w:val="00BF06D6"/>
    <w:rsid w:val="00BF7DD2"/>
    <w:rsid w:val="00C032CB"/>
    <w:rsid w:val="00C04F4C"/>
    <w:rsid w:val="00C0647C"/>
    <w:rsid w:val="00C06C6E"/>
    <w:rsid w:val="00C07A51"/>
    <w:rsid w:val="00C07C51"/>
    <w:rsid w:val="00C07F8B"/>
    <w:rsid w:val="00C10A73"/>
    <w:rsid w:val="00C118A6"/>
    <w:rsid w:val="00C14842"/>
    <w:rsid w:val="00C226B2"/>
    <w:rsid w:val="00C27DC3"/>
    <w:rsid w:val="00C30E9F"/>
    <w:rsid w:val="00C33C34"/>
    <w:rsid w:val="00C33D78"/>
    <w:rsid w:val="00C3556D"/>
    <w:rsid w:val="00C36EAC"/>
    <w:rsid w:val="00C42A1E"/>
    <w:rsid w:val="00C47A96"/>
    <w:rsid w:val="00C47AEB"/>
    <w:rsid w:val="00C5323E"/>
    <w:rsid w:val="00C535BB"/>
    <w:rsid w:val="00C54D79"/>
    <w:rsid w:val="00C57879"/>
    <w:rsid w:val="00C62044"/>
    <w:rsid w:val="00C63163"/>
    <w:rsid w:val="00C6396E"/>
    <w:rsid w:val="00C6467F"/>
    <w:rsid w:val="00C66F64"/>
    <w:rsid w:val="00C716B6"/>
    <w:rsid w:val="00C723F5"/>
    <w:rsid w:val="00C754C7"/>
    <w:rsid w:val="00C76AB9"/>
    <w:rsid w:val="00C8163B"/>
    <w:rsid w:val="00C824E9"/>
    <w:rsid w:val="00C83D0A"/>
    <w:rsid w:val="00C8797A"/>
    <w:rsid w:val="00C90AD2"/>
    <w:rsid w:val="00C92A1A"/>
    <w:rsid w:val="00C94927"/>
    <w:rsid w:val="00C96ACC"/>
    <w:rsid w:val="00CA04D1"/>
    <w:rsid w:val="00CA0ACD"/>
    <w:rsid w:val="00CA0BF3"/>
    <w:rsid w:val="00CA3256"/>
    <w:rsid w:val="00CA5929"/>
    <w:rsid w:val="00CA77AF"/>
    <w:rsid w:val="00CB1F0F"/>
    <w:rsid w:val="00CB2918"/>
    <w:rsid w:val="00CB3239"/>
    <w:rsid w:val="00CC144D"/>
    <w:rsid w:val="00CC37BE"/>
    <w:rsid w:val="00CC39ED"/>
    <w:rsid w:val="00CC3EE7"/>
    <w:rsid w:val="00CC5E5D"/>
    <w:rsid w:val="00CC67B2"/>
    <w:rsid w:val="00CC6A3B"/>
    <w:rsid w:val="00CD1BE1"/>
    <w:rsid w:val="00CD357D"/>
    <w:rsid w:val="00CD3D6D"/>
    <w:rsid w:val="00CD772A"/>
    <w:rsid w:val="00CE126A"/>
    <w:rsid w:val="00CE3168"/>
    <w:rsid w:val="00CE3E78"/>
    <w:rsid w:val="00CE4F1F"/>
    <w:rsid w:val="00CE6C48"/>
    <w:rsid w:val="00CF0879"/>
    <w:rsid w:val="00CF0AF6"/>
    <w:rsid w:val="00CF351A"/>
    <w:rsid w:val="00CF3A7A"/>
    <w:rsid w:val="00CF4611"/>
    <w:rsid w:val="00CF6242"/>
    <w:rsid w:val="00CF6FFE"/>
    <w:rsid w:val="00D00562"/>
    <w:rsid w:val="00D00963"/>
    <w:rsid w:val="00D01E94"/>
    <w:rsid w:val="00D03395"/>
    <w:rsid w:val="00D05459"/>
    <w:rsid w:val="00D05CC3"/>
    <w:rsid w:val="00D05D67"/>
    <w:rsid w:val="00D12D7D"/>
    <w:rsid w:val="00D13065"/>
    <w:rsid w:val="00D139DE"/>
    <w:rsid w:val="00D15061"/>
    <w:rsid w:val="00D156A0"/>
    <w:rsid w:val="00D15C08"/>
    <w:rsid w:val="00D20C8D"/>
    <w:rsid w:val="00D2308A"/>
    <w:rsid w:val="00D242E6"/>
    <w:rsid w:val="00D2552C"/>
    <w:rsid w:val="00D25DA2"/>
    <w:rsid w:val="00D25F55"/>
    <w:rsid w:val="00D3104F"/>
    <w:rsid w:val="00D378FE"/>
    <w:rsid w:val="00D37DF5"/>
    <w:rsid w:val="00D45099"/>
    <w:rsid w:val="00D47BE8"/>
    <w:rsid w:val="00D5085C"/>
    <w:rsid w:val="00D50DD1"/>
    <w:rsid w:val="00D51534"/>
    <w:rsid w:val="00D52EAF"/>
    <w:rsid w:val="00D54435"/>
    <w:rsid w:val="00D566CF"/>
    <w:rsid w:val="00D66904"/>
    <w:rsid w:val="00D67D3C"/>
    <w:rsid w:val="00D713BE"/>
    <w:rsid w:val="00D713F9"/>
    <w:rsid w:val="00D72F3F"/>
    <w:rsid w:val="00D83BA4"/>
    <w:rsid w:val="00D85F68"/>
    <w:rsid w:val="00D86566"/>
    <w:rsid w:val="00D90BE5"/>
    <w:rsid w:val="00D9250A"/>
    <w:rsid w:val="00D9398D"/>
    <w:rsid w:val="00D95018"/>
    <w:rsid w:val="00DA0E6F"/>
    <w:rsid w:val="00DA1DE2"/>
    <w:rsid w:val="00DA3D7B"/>
    <w:rsid w:val="00DA45C7"/>
    <w:rsid w:val="00DA6754"/>
    <w:rsid w:val="00DA6A1B"/>
    <w:rsid w:val="00DB137C"/>
    <w:rsid w:val="00DB3A52"/>
    <w:rsid w:val="00DB43AD"/>
    <w:rsid w:val="00DB68BA"/>
    <w:rsid w:val="00DC1B36"/>
    <w:rsid w:val="00DC6393"/>
    <w:rsid w:val="00DD14C9"/>
    <w:rsid w:val="00DD1785"/>
    <w:rsid w:val="00DD1F9F"/>
    <w:rsid w:val="00DD5027"/>
    <w:rsid w:val="00DD749E"/>
    <w:rsid w:val="00DD7D17"/>
    <w:rsid w:val="00DD7D1D"/>
    <w:rsid w:val="00DE083A"/>
    <w:rsid w:val="00DE27AB"/>
    <w:rsid w:val="00DE3D19"/>
    <w:rsid w:val="00DE4513"/>
    <w:rsid w:val="00DE4642"/>
    <w:rsid w:val="00DF0263"/>
    <w:rsid w:val="00DF0DB7"/>
    <w:rsid w:val="00DF594B"/>
    <w:rsid w:val="00DF7EA9"/>
    <w:rsid w:val="00E00339"/>
    <w:rsid w:val="00E029BB"/>
    <w:rsid w:val="00E02CB6"/>
    <w:rsid w:val="00E075E8"/>
    <w:rsid w:val="00E1191E"/>
    <w:rsid w:val="00E11D43"/>
    <w:rsid w:val="00E12A9C"/>
    <w:rsid w:val="00E12AC9"/>
    <w:rsid w:val="00E159FC"/>
    <w:rsid w:val="00E17120"/>
    <w:rsid w:val="00E218D5"/>
    <w:rsid w:val="00E23631"/>
    <w:rsid w:val="00E25FAB"/>
    <w:rsid w:val="00E27339"/>
    <w:rsid w:val="00E31BE2"/>
    <w:rsid w:val="00E32B0C"/>
    <w:rsid w:val="00E33BF5"/>
    <w:rsid w:val="00E34D15"/>
    <w:rsid w:val="00E36504"/>
    <w:rsid w:val="00E37E16"/>
    <w:rsid w:val="00E4279E"/>
    <w:rsid w:val="00E42A6B"/>
    <w:rsid w:val="00E50CCD"/>
    <w:rsid w:val="00E6104B"/>
    <w:rsid w:val="00E613C2"/>
    <w:rsid w:val="00E62CFE"/>
    <w:rsid w:val="00E6300C"/>
    <w:rsid w:val="00E66D8A"/>
    <w:rsid w:val="00E70C6D"/>
    <w:rsid w:val="00E71775"/>
    <w:rsid w:val="00E71F7E"/>
    <w:rsid w:val="00E7212D"/>
    <w:rsid w:val="00E72B5D"/>
    <w:rsid w:val="00E73014"/>
    <w:rsid w:val="00E75E84"/>
    <w:rsid w:val="00E75F83"/>
    <w:rsid w:val="00E77623"/>
    <w:rsid w:val="00E80965"/>
    <w:rsid w:val="00E81B8D"/>
    <w:rsid w:val="00E81DCE"/>
    <w:rsid w:val="00E8202E"/>
    <w:rsid w:val="00E83C2C"/>
    <w:rsid w:val="00E84797"/>
    <w:rsid w:val="00E874B9"/>
    <w:rsid w:val="00E9024D"/>
    <w:rsid w:val="00E91454"/>
    <w:rsid w:val="00E93C6C"/>
    <w:rsid w:val="00E93D08"/>
    <w:rsid w:val="00E95F3D"/>
    <w:rsid w:val="00EA03A8"/>
    <w:rsid w:val="00EA08F1"/>
    <w:rsid w:val="00EA502F"/>
    <w:rsid w:val="00EA58F3"/>
    <w:rsid w:val="00EA6C3B"/>
    <w:rsid w:val="00EA6EEF"/>
    <w:rsid w:val="00EA7408"/>
    <w:rsid w:val="00EB081E"/>
    <w:rsid w:val="00EB4F93"/>
    <w:rsid w:val="00EC11DC"/>
    <w:rsid w:val="00EC2356"/>
    <w:rsid w:val="00EC3D4A"/>
    <w:rsid w:val="00EC64F9"/>
    <w:rsid w:val="00EC7B3F"/>
    <w:rsid w:val="00ED06F4"/>
    <w:rsid w:val="00ED1785"/>
    <w:rsid w:val="00ED1830"/>
    <w:rsid w:val="00ED3F6C"/>
    <w:rsid w:val="00ED5F68"/>
    <w:rsid w:val="00EE06DF"/>
    <w:rsid w:val="00EE266E"/>
    <w:rsid w:val="00EE33E9"/>
    <w:rsid w:val="00EE3514"/>
    <w:rsid w:val="00EE68FA"/>
    <w:rsid w:val="00EE7799"/>
    <w:rsid w:val="00EF0048"/>
    <w:rsid w:val="00EF039F"/>
    <w:rsid w:val="00EF0E39"/>
    <w:rsid w:val="00EF1535"/>
    <w:rsid w:val="00EF223C"/>
    <w:rsid w:val="00EF22B9"/>
    <w:rsid w:val="00EF6CF8"/>
    <w:rsid w:val="00EF7273"/>
    <w:rsid w:val="00F00592"/>
    <w:rsid w:val="00F0395E"/>
    <w:rsid w:val="00F044A0"/>
    <w:rsid w:val="00F05CF3"/>
    <w:rsid w:val="00F07532"/>
    <w:rsid w:val="00F1027C"/>
    <w:rsid w:val="00F115FB"/>
    <w:rsid w:val="00F14C8F"/>
    <w:rsid w:val="00F15FE9"/>
    <w:rsid w:val="00F176BC"/>
    <w:rsid w:val="00F265C1"/>
    <w:rsid w:val="00F269B1"/>
    <w:rsid w:val="00F314DF"/>
    <w:rsid w:val="00F33ECA"/>
    <w:rsid w:val="00F34961"/>
    <w:rsid w:val="00F3640E"/>
    <w:rsid w:val="00F4018E"/>
    <w:rsid w:val="00F43DCA"/>
    <w:rsid w:val="00F44EE5"/>
    <w:rsid w:val="00F5035E"/>
    <w:rsid w:val="00F5295D"/>
    <w:rsid w:val="00F64C96"/>
    <w:rsid w:val="00F66057"/>
    <w:rsid w:val="00F666E3"/>
    <w:rsid w:val="00F6707A"/>
    <w:rsid w:val="00F717B3"/>
    <w:rsid w:val="00F72698"/>
    <w:rsid w:val="00F740D6"/>
    <w:rsid w:val="00F7426E"/>
    <w:rsid w:val="00F75811"/>
    <w:rsid w:val="00F81654"/>
    <w:rsid w:val="00F85250"/>
    <w:rsid w:val="00F94022"/>
    <w:rsid w:val="00F946BD"/>
    <w:rsid w:val="00F94F11"/>
    <w:rsid w:val="00F967F5"/>
    <w:rsid w:val="00F9715C"/>
    <w:rsid w:val="00F973E9"/>
    <w:rsid w:val="00FA411E"/>
    <w:rsid w:val="00FA471A"/>
    <w:rsid w:val="00FA5A61"/>
    <w:rsid w:val="00FA640A"/>
    <w:rsid w:val="00FA738C"/>
    <w:rsid w:val="00FB1C91"/>
    <w:rsid w:val="00FB1E86"/>
    <w:rsid w:val="00FB2AF4"/>
    <w:rsid w:val="00FB5962"/>
    <w:rsid w:val="00FB64F7"/>
    <w:rsid w:val="00FC20CD"/>
    <w:rsid w:val="00FC5AC9"/>
    <w:rsid w:val="00FC5FD1"/>
    <w:rsid w:val="00FC7687"/>
    <w:rsid w:val="00FC773D"/>
    <w:rsid w:val="00FD2287"/>
    <w:rsid w:val="00FD3694"/>
    <w:rsid w:val="00FD5310"/>
    <w:rsid w:val="00FD7137"/>
    <w:rsid w:val="00FE1D6E"/>
    <w:rsid w:val="00FE2815"/>
    <w:rsid w:val="00FE35CB"/>
    <w:rsid w:val="00FE747D"/>
    <w:rsid w:val="00FE7E62"/>
    <w:rsid w:val="00FF012B"/>
    <w:rsid w:val="00FF211F"/>
    <w:rsid w:val="00FF2994"/>
    <w:rsid w:val="00FF33AA"/>
    <w:rsid w:val="00FF614F"/>
    <w:rsid w:val="00FF72D9"/>
    <w:rsid w:val="00FF73F1"/>
    <w:rsid w:val="00FF7A8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329"/>
  </w:style>
  <w:style w:type="paragraph" w:styleId="Heading1">
    <w:name w:val="heading 1"/>
    <w:basedOn w:val="Normal"/>
    <w:next w:val="Normal"/>
    <w:link w:val="Heading1Char"/>
    <w:autoRedefine/>
    <w:uiPriority w:val="9"/>
    <w:qFormat/>
    <w:rsid w:val="004352ED"/>
    <w:pPr>
      <w:keepNext/>
      <w:keepLines/>
      <w:numPr>
        <w:numId w:val="40"/>
      </w:numPr>
      <w:spacing w:after="240" w:line="240" w:lineRule="auto"/>
      <w:ind w:left="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B730B8"/>
    <w:pPr>
      <w:keepNext/>
      <w:keepLines/>
      <w:spacing w:after="240" w:line="240" w:lineRule="auto"/>
      <w:ind w:left="720"/>
      <w:outlineLvl w:val="1"/>
    </w:pPr>
    <w:rPr>
      <w:rFonts w:ascii="Times New Roman" w:eastAsia="Times New Roman" w:hAnsi="Times New Roman" w:cs="Times New Roman"/>
      <w:color w:val="000000" w:themeColor="text1"/>
      <w:sz w:val="24"/>
      <w:szCs w:val="24"/>
    </w:rPr>
  </w:style>
  <w:style w:type="paragraph" w:styleId="Heading3">
    <w:name w:val="heading 3"/>
    <w:basedOn w:val="Normal"/>
    <w:next w:val="Normal"/>
    <w:link w:val="Heading3Char"/>
    <w:autoRedefine/>
    <w:uiPriority w:val="9"/>
    <w:unhideWhenUsed/>
    <w:qFormat/>
    <w:rsid w:val="00F666E3"/>
    <w:pPr>
      <w:keepNext/>
      <w:keepLines/>
      <w:spacing w:after="240" w:line="240" w:lineRule="auto"/>
      <w:ind w:left="2160" w:hanging="720"/>
      <w:outlineLvl w:val="2"/>
    </w:pPr>
    <w:rPr>
      <w:rFonts w:ascii="Times New Roman" w:hAnsi="Times New Roman"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7C6BDC"/>
    <w:pPr>
      <w:spacing w:after="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uiPriority w:val="99"/>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B730B8"/>
    <w:rPr>
      <w:rFonts w:ascii="Times New Roman" w:eastAsia="Times New Roman" w:hAnsi="Times New Roman" w:cs="Times New Roman"/>
      <w:color w:val="000000" w:themeColor="text1"/>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semiHidden/>
    <w:unhideWhenUsed/>
    <w:rsid w:val="00B81C2C"/>
    <w:rPr>
      <w:b/>
      <w:bCs/>
    </w:rPr>
  </w:style>
  <w:style w:type="character" w:customStyle="1" w:styleId="CommentSubjectChar">
    <w:name w:val="Comment Subject Char"/>
    <w:basedOn w:val="CommentTextChar"/>
    <w:link w:val="CommentSubject"/>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uiPriority w:val="59"/>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52ED"/>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F666E3"/>
    <w:rPr>
      <w:rFonts w:ascii="Times New Roman" w:hAnsi="Times New Roman"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qFormat/>
    <w:rsid w:val="00D00963"/>
    <w:pPr>
      <w:tabs>
        <w:tab w:val="decimal" w:leader="dot" w:pos="9360"/>
      </w:tabs>
      <w:spacing w:after="240" w:line="240" w:lineRule="auto"/>
      <w:ind w:left="720" w:hanging="720"/>
      <w:outlineLvl w:val="0"/>
    </w:pPr>
    <w:rPr>
      <w:rFonts w:ascii="Times New Roman" w:hAnsi="Times New Roman"/>
      <w:sz w:val="24"/>
    </w:rPr>
  </w:style>
  <w:style w:type="paragraph" w:styleId="TOC2">
    <w:name w:val="toc 2"/>
    <w:basedOn w:val="Normal"/>
    <w:next w:val="Normal"/>
    <w:autoRedefine/>
    <w:uiPriority w:val="39"/>
    <w:unhideWhenUsed/>
    <w:qFormat/>
    <w:rsid w:val="004F5C91"/>
    <w:pPr>
      <w:tabs>
        <w:tab w:val="left" w:pos="2160"/>
        <w:tab w:val="decimal" w:leader="dot" w:pos="9360"/>
      </w:tabs>
      <w:spacing w:after="240" w:line="240" w:lineRule="auto"/>
      <w:ind w:left="720"/>
      <w:outlineLvl w:val="1"/>
    </w:pPr>
    <w:rPr>
      <w:rFonts w:ascii="Times New Roman" w:hAnsi="Times New Roman"/>
      <w:sz w:val="24"/>
    </w:rPr>
  </w:style>
  <w:style w:type="paragraph" w:styleId="TOC3">
    <w:name w:val="toc 3"/>
    <w:basedOn w:val="Normal"/>
    <w:next w:val="Normal"/>
    <w:autoRedefine/>
    <w:uiPriority w:val="39"/>
    <w:unhideWhenUsed/>
    <w:rsid w:val="00D00963"/>
    <w:pPr>
      <w:tabs>
        <w:tab w:val="decimal" w:leader="dot" w:pos="9360"/>
      </w:tabs>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 Char Char2,Footnote Text Char Char1 Char1,Footnote Text Char1,Footnote Text Char1 Char Char1 Char Char Char Char1,Footnote Text Char1 Char Char1 Char1"/>
    <w:uiPriority w:val="99"/>
    <w:locked/>
    <w:rsid w:val="00C10DB0"/>
  </w:style>
  <w:style w:type="paragraph" w:styleId="HTMLPreformatted">
    <w:name w:val="HTML Preformatted"/>
    <w:basedOn w:val="Normal"/>
    <w:link w:val="HTMLPreformattedChar"/>
    <w:rsid w:val="0094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5974"/>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945974"/>
    <w:rPr>
      <w:color w:val="605E5C"/>
      <w:shd w:val="clear" w:color="auto" w:fill="E1DFDD"/>
    </w:rPr>
  </w:style>
  <w:style w:type="paragraph" w:styleId="BodyTextIndent3">
    <w:name w:val="Body Text Indent 3"/>
    <w:basedOn w:val="Normal"/>
    <w:link w:val="BodyTextIndent3Char"/>
    <w:rsid w:val="00945974"/>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45974"/>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C96ACC"/>
    <w:pPr>
      <w:spacing w:after="0" w:line="240" w:lineRule="auto"/>
    </w:pPr>
    <w:rPr>
      <w:sz w:val="20"/>
      <w:szCs w:val="20"/>
    </w:rPr>
  </w:style>
  <w:style w:type="character" w:customStyle="1" w:styleId="EndnoteTextChar">
    <w:name w:val="Endnote Text Char"/>
    <w:basedOn w:val="DefaultParagraphFont"/>
    <w:link w:val="EndnoteText"/>
    <w:uiPriority w:val="99"/>
    <w:rsid w:val="00C96ACC"/>
    <w:rPr>
      <w:sz w:val="20"/>
      <w:szCs w:val="20"/>
    </w:rPr>
  </w:style>
  <w:style w:type="character" w:styleId="EndnoteReference">
    <w:name w:val="endnote reference"/>
    <w:basedOn w:val="DefaultParagraphFont"/>
    <w:uiPriority w:val="99"/>
    <w:semiHidden/>
    <w:unhideWhenUsed/>
    <w:rsid w:val="00C96ACC"/>
    <w:rPr>
      <w:vertAlign w:val="superscript"/>
    </w:rPr>
  </w:style>
  <w:style w:type="character" w:customStyle="1" w:styleId="UnresolvedMention2">
    <w:name w:val="Unresolved Mention2"/>
    <w:basedOn w:val="DefaultParagraphFont"/>
    <w:uiPriority w:val="99"/>
    <w:rsid w:val="00AD4052"/>
    <w:rPr>
      <w:color w:val="605E5C"/>
      <w:shd w:val="clear" w:color="auto" w:fill="E1DFDD"/>
    </w:rPr>
  </w:style>
  <w:style w:type="character" w:customStyle="1" w:styleId="AnswerChar">
    <w:name w:val="Answer Char"/>
    <w:link w:val="Answer"/>
    <w:locked/>
    <w:rsid w:val="005C50ED"/>
    <w:rPr>
      <w:rFonts w:ascii="Arial Unicode MS" w:eastAsia="Arial Unicode MS" w:hAnsi="Arial Unicode MS" w:cs="Arial Unicode MS"/>
      <w:bCs/>
      <w:iCs/>
      <w:bdr w:val="none" w:sz="0" w:space="0" w:color="auto" w:frame="1"/>
    </w:rPr>
  </w:style>
  <w:style w:type="paragraph" w:customStyle="1" w:styleId="Answer">
    <w:name w:val="Answer"/>
    <w:basedOn w:val="List2"/>
    <w:link w:val="AnswerChar"/>
    <w:qFormat/>
    <w:rsid w:val="005C50ED"/>
    <w:pPr>
      <w:spacing w:after="0" w:line="480" w:lineRule="auto"/>
    </w:pPr>
    <w:rPr>
      <w:rFonts w:ascii="Arial Unicode MS" w:eastAsia="Arial Unicode MS" w:hAnsi="Arial Unicode MS" w:cs="Arial Unicode MS"/>
      <w:bCs/>
      <w:iCs/>
      <w:bdr w:val="none" w:sz="0" w:space="0" w:color="auto" w:frame="1"/>
    </w:rPr>
  </w:style>
  <w:style w:type="paragraph" w:styleId="List2">
    <w:name w:val="List 2"/>
    <w:basedOn w:val="Normal"/>
    <w:uiPriority w:val="99"/>
    <w:semiHidden/>
    <w:unhideWhenUsed/>
    <w:rsid w:val="005C50ED"/>
    <w:pPr>
      <w:ind w:left="720" w:hanging="360"/>
      <w:contextualSpacing/>
    </w:pPr>
  </w:style>
  <w:style w:type="character" w:customStyle="1" w:styleId="UnresolvedMention3">
    <w:name w:val="Unresolved Mention3"/>
    <w:basedOn w:val="DefaultParagraphFont"/>
    <w:uiPriority w:val="99"/>
    <w:rsid w:val="00E11D43"/>
    <w:rPr>
      <w:color w:val="605E5C"/>
      <w:shd w:val="clear" w:color="auto" w:fill="E1DFDD"/>
    </w:rPr>
  </w:style>
  <w:style w:type="character" w:styleId="FollowedHyperlink">
    <w:name w:val="FollowedHyperlink"/>
    <w:basedOn w:val="DefaultParagraphFont"/>
    <w:uiPriority w:val="99"/>
    <w:semiHidden/>
    <w:unhideWhenUsed/>
    <w:rsid w:val="00FF73F1"/>
    <w:rPr>
      <w:color w:val="800080" w:themeColor="followedHyperlink"/>
      <w:u w:val="single"/>
    </w:rPr>
  </w:style>
  <w:style w:type="paragraph" w:styleId="BodyText">
    <w:name w:val="Body Text"/>
    <w:basedOn w:val="Normal"/>
    <w:link w:val="BodyTextChar"/>
    <w:uiPriority w:val="99"/>
    <w:semiHidden/>
    <w:unhideWhenUsed/>
    <w:rsid w:val="00954447"/>
    <w:pPr>
      <w:spacing w:after="120"/>
    </w:pPr>
  </w:style>
  <w:style w:type="character" w:customStyle="1" w:styleId="BodyTextChar">
    <w:name w:val="Body Text Char"/>
    <w:basedOn w:val="DefaultParagraphFont"/>
    <w:link w:val="BodyText"/>
    <w:uiPriority w:val="99"/>
    <w:semiHidden/>
    <w:rsid w:val="00954447"/>
  </w:style>
  <w:style w:type="paragraph" w:styleId="Revision">
    <w:name w:val="Revision"/>
    <w:hidden/>
    <w:uiPriority w:val="99"/>
    <w:semiHidden/>
    <w:rsid w:val="00E36504"/>
    <w:pPr>
      <w:spacing w:after="0" w:line="240" w:lineRule="auto"/>
    </w:pPr>
  </w:style>
  <w:style w:type="paragraph" w:customStyle="1" w:styleId="xmsonormal">
    <w:name w:val="x_msonormal"/>
    <w:basedOn w:val="Normal"/>
    <w:rsid w:val="00346E6C"/>
    <w:pPr>
      <w:spacing w:after="0" w:line="240" w:lineRule="auto"/>
    </w:pPr>
    <w:rPr>
      <w:rFonts w:ascii="Verdana" w:hAnsi="Verdana" w:cs="Calibri"/>
      <w:color w:val="00277A"/>
      <w:sz w:val="24"/>
      <w:szCs w:val="24"/>
    </w:rPr>
  </w:style>
  <w:style w:type="character" w:customStyle="1" w:styleId="xmsofootnotereference">
    <w:name w:val="x_msofootnotereference"/>
    <w:basedOn w:val="DefaultParagraphFont"/>
    <w:rsid w:val="00346E6C"/>
    <w:rPr>
      <w:vertAlign w:val="superscript"/>
    </w:rPr>
  </w:style>
  <w:style w:type="paragraph" w:styleId="NormalWeb">
    <w:name w:val="Normal (Web)"/>
    <w:basedOn w:val="Normal"/>
    <w:uiPriority w:val="99"/>
    <w:unhideWhenUsed/>
    <w:rsid w:val="009A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702"/>
    <w:rPr>
      <w:rFonts w:ascii="Segoe UI" w:hAnsi="Segoe UI" w:cs="Segoe UI" w:hint="default"/>
      <w:sz w:val="18"/>
      <w:szCs w:val="18"/>
    </w:rPr>
  </w:style>
  <w:style w:type="character" w:customStyle="1" w:styleId="apple-converted-space">
    <w:name w:val="apple-converted-space"/>
    <w:basedOn w:val="DefaultParagraphFont"/>
    <w:rsid w:val="00BD4EDC"/>
  </w:style>
  <w:style w:type="character" w:customStyle="1" w:styleId="UnresolvedMention4">
    <w:name w:val="Unresolved Mention4"/>
    <w:basedOn w:val="DefaultParagraphFont"/>
    <w:uiPriority w:val="99"/>
    <w:rsid w:val="00692851"/>
    <w:rPr>
      <w:color w:val="605E5C"/>
      <w:shd w:val="clear" w:color="auto" w:fill="E1DFDD"/>
    </w:rPr>
  </w:style>
  <w:style w:type="character" w:customStyle="1" w:styleId="ssrfcsection">
    <w:name w:val="ss_rfcsection"/>
    <w:basedOn w:val="DefaultParagraphFont"/>
    <w:rsid w:val="00095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my.botschner.obiren@occ.ohio.gov" TargetMode="External" /><Relationship Id="rId11" Type="http://schemas.openxmlformats.org/officeDocument/2006/relationships/hyperlink" Target="mailto:sarah.feldkamp@ohioAGO.gov" TargetMode="External" /><Relationship Id="rId12" Type="http://schemas.openxmlformats.org/officeDocument/2006/relationships/hyperlink" Target="about:blank" TargetMode="External" /><Relationship Id="rId13" Type="http://schemas.openxmlformats.org/officeDocument/2006/relationships/hyperlink" Target="mailto:christopher.hollon@aes.com" TargetMode="External" /><Relationship Id="rId14" Type="http://schemas.openxmlformats.org/officeDocument/2006/relationships/hyperlink" Target="mailto:mjschuler@aep.com" TargetMode="External" /><Relationship Id="rId15" Type="http://schemas.openxmlformats.org/officeDocument/2006/relationships/hyperlink" Target="mailto:greta.see@puco.ohio.gov" TargetMode="External" /><Relationship Id="rId16" Type="http://schemas.openxmlformats.org/officeDocument/2006/relationships/hyperlink" Target="mailto:rocco.dascenzo@duke-energy.com" TargetMode="External" /><Relationship Id="rId17" Type="http://schemas.openxmlformats.org/officeDocument/2006/relationships/hyperlink" Target="mailto:jeanne.kingery@duke-energy.com" TargetMode="External" /><Relationship Id="rId18" Type="http://schemas.openxmlformats.org/officeDocument/2006/relationships/hyperlink" Target="mailto:larisa.vaysman@duke-energy.com" TargetMode="External" /><Relationship Id="rId19" Type="http://schemas.openxmlformats.org/officeDocument/2006/relationships/hyperlink" Target="mailto:elyse.akhbari@duke-energy.com" TargetMode="External" /><Relationship Id="rId2" Type="http://schemas.openxmlformats.org/officeDocument/2006/relationships/settings" Target="settings.xml" /><Relationship Id="rId20" Type="http://schemas.openxmlformats.org/officeDocument/2006/relationships/hyperlink" Target="mailto:jbreig@beneschlaw.com"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F8FE-6C55-4D09-89C8-7EF242A4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5877</Words>
  <Characters>33502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2022-11-04T20:40:35Z</dcterms:created>
  <dcterms:modified xsi:type="dcterms:W3CDTF">2022-11-04T20:40:35Z</dcterms:modified>
</cp:coreProperties>
</file>