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EC0743" w:rsidRPr="00077403" w:rsidP="00EC0743" w14:paraId="786B115D" w14:textId="77777777">
      <w:pPr>
        <w:pStyle w:val="HTMLPreformatted"/>
        <w:jc w:val="center"/>
        <w:rPr>
          <w:rFonts w:ascii="Times New Roman" w:hAnsi="Times New Roman" w:cs="Times New Roman"/>
          <w:b/>
          <w:bCs/>
          <w:sz w:val="24"/>
          <w:szCs w:val="24"/>
        </w:rPr>
      </w:pPr>
      <w:bookmarkStart w:id="0" w:name="_Hlk163146576"/>
      <w:r w:rsidRPr="00077403">
        <w:rPr>
          <w:rFonts w:ascii="Times New Roman" w:hAnsi="Times New Roman" w:cs="Times New Roman"/>
          <w:b/>
          <w:bCs/>
          <w:sz w:val="24"/>
          <w:szCs w:val="24"/>
        </w:rPr>
        <w:t>BEFORE</w:t>
      </w:r>
    </w:p>
    <w:p w:rsidR="00EC0743" w:rsidRPr="00077403" w:rsidP="00EC0743" w14:paraId="3E86066F" w14:textId="77777777">
      <w:pPr>
        <w:pStyle w:val="HTMLPreformatted"/>
        <w:jc w:val="center"/>
        <w:rPr>
          <w:rFonts w:ascii="Times New Roman" w:hAnsi="Times New Roman" w:cs="Times New Roman"/>
          <w:b/>
          <w:bCs/>
          <w:sz w:val="24"/>
          <w:szCs w:val="24"/>
        </w:rPr>
      </w:pPr>
      <w:r w:rsidRPr="00077403">
        <w:rPr>
          <w:rFonts w:ascii="Times New Roman" w:hAnsi="Times New Roman" w:cs="Times New Roman"/>
          <w:b/>
          <w:bCs/>
          <w:sz w:val="24"/>
          <w:szCs w:val="24"/>
        </w:rPr>
        <w:t>THE PUBLIC UTILITIES COMMISSION OF OHIO</w:t>
      </w:r>
    </w:p>
    <w:p w:rsidR="00EC0743" w:rsidRPr="00077403" w:rsidP="00EC0743" w14:paraId="36B1AEA9" w14:textId="77777777">
      <w:pPr>
        <w:pStyle w:val="HTMLPreformatted"/>
        <w:jc w:val="center"/>
        <w:rPr>
          <w:rFonts w:ascii="Times New Roman" w:hAnsi="Times New Roman" w:cs="Times New Roman"/>
          <w:b/>
          <w:bCs/>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2FBA14B6" w14:textId="77777777" w:rsidTr="00D7552F">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EC0743" w:rsidRPr="00077403" w:rsidP="00D7552F" w14:paraId="5986572B" w14:textId="77777777">
            <w:pPr>
              <w:autoSpaceDE w:val="0"/>
              <w:autoSpaceDN w:val="0"/>
              <w:adjustRightInd w:val="0"/>
              <w:rPr>
                <w:sz w:val="24"/>
                <w:szCs w:val="24"/>
                <w:lang w:val="en-US" w:eastAsia="en-US" w:bidi="ar-SA"/>
              </w:rPr>
            </w:pPr>
            <w:r w:rsidRPr="00077403">
              <w:rPr>
                <w:sz w:val="24"/>
                <w:szCs w:val="24"/>
                <w:lang w:val="en-US" w:eastAsia="en-US" w:bidi="ar-SA"/>
              </w:rPr>
              <w:t>In the Matter of the Application of Ohio Power Company to Update Its Basic Transmission Cost Rider.</w:t>
            </w:r>
          </w:p>
        </w:tc>
        <w:tc>
          <w:tcPr>
            <w:tcW w:w="630" w:type="dxa"/>
            <w:shd w:val="clear" w:color="auto" w:fill="auto"/>
          </w:tcPr>
          <w:p w:rsidR="00EC0743" w:rsidRPr="00077403" w:rsidP="00D7552F" w14:paraId="11CAFB4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w:t>
            </w:r>
          </w:p>
          <w:p w:rsidR="00EC0743" w:rsidRPr="00077403" w:rsidP="00D7552F" w14:paraId="33172A9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w:t>
            </w:r>
          </w:p>
          <w:p w:rsidR="00EC0743" w:rsidRPr="00077403" w:rsidP="00D7552F" w14:paraId="1AC99B2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w:t>
            </w:r>
          </w:p>
        </w:tc>
        <w:tc>
          <w:tcPr>
            <w:tcW w:w="3780" w:type="dxa"/>
            <w:shd w:val="clear" w:color="auto" w:fill="auto"/>
          </w:tcPr>
          <w:p w:rsidR="00EC0743" w:rsidRPr="00077403" w:rsidP="00D7552F" w14:paraId="4351044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EC0743" w:rsidRPr="00077403" w:rsidP="00D7552F" w14:paraId="161DCF9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Case No. 24-42-EL-RDR</w:t>
            </w:r>
          </w:p>
          <w:p w:rsidR="00EC0743" w:rsidRPr="00077403" w:rsidP="00D7552F" w14:paraId="10B2A03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EC0743" w:rsidRPr="00077403" w:rsidP="00EC0743" w14:paraId="10B947B6" w14:textId="77777777">
      <w:pPr>
        <w:pStyle w:val="InsideAddress"/>
        <w:pBdr>
          <w:bottom w:val="single" w:sz="12" w:space="1" w:color="auto"/>
        </w:pBdr>
        <w:rPr>
          <w:rFonts w:ascii="Times New Roman" w:eastAsia="Times New Roman" w:hAnsi="Times New Roman"/>
          <w:szCs w:val="24"/>
        </w:rPr>
      </w:pPr>
    </w:p>
    <w:p w:rsidR="00EC0743" w:rsidRPr="00077403" w:rsidP="00EC0743" w14:paraId="2F00D06F" w14:textId="77777777">
      <w:pPr>
        <w:pStyle w:val="InsideAddress"/>
        <w:rPr>
          <w:rFonts w:ascii="Times New Roman" w:eastAsia="Times New Roman" w:hAnsi="Times New Roman"/>
          <w:szCs w:val="24"/>
        </w:rPr>
      </w:pPr>
    </w:p>
    <w:p w:rsidR="00EC0743" w:rsidRPr="00077403" w:rsidP="00EC0743" w14:paraId="4D48F875" w14:textId="77777777">
      <w:pPr>
        <w:pStyle w:val="Footer"/>
        <w:tabs>
          <w:tab w:val="clear" w:pos="4320"/>
          <w:tab w:val="clear" w:pos="8640"/>
        </w:tabs>
        <w:spacing w:line="240" w:lineRule="auto"/>
        <w:jc w:val="center"/>
        <w:rPr>
          <w:b/>
        </w:rPr>
      </w:pPr>
      <w:r w:rsidRPr="00077403">
        <w:rPr>
          <w:b/>
        </w:rPr>
        <w:t xml:space="preserve">APPLICATION FOR REHEARING </w:t>
      </w:r>
    </w:p>
    <w:p w:rsidR="00EC0743" w:rsidRPr="00077403" w:rsidP="00EC0743" w14:paraId="03707AF2" w14:textId="77777777">
      <w:pPr>
        <w:pStyle w:val="Footer"/>
        <w:tabs>
          <w:tab w:val="clear" w:pos="4320"/>
          <w:tab w:val="clear" w:pos="8640"/>
        </w:tabs>
        <w:spacing w:line="240" w:lineRule="auto"/>
        <w:jc w:val="center"/>
        <w:rPr>
          <w:b/>
        </w:rPr>
      </w:pPr>
      <w:r w:rsidRPr="00077403">
        <w:rPr>
          <w:b/>
        </w:rPr>
        <w:t>BY</w:t>
      </w:r>
    </w:p>
    <w:p w:rsidR="00EC0743" w:rsidRPr="00077403" w:rsidP="00EC0743" w14:paraId="0D29529C" w14:textId="68A9FF5C">
      <w:pPr>
        <w:pStyle w:val="Footer"/>
        <w:tabs>
          <w:tab w:val="clear" w:pos="4320"/>
          <w:tab w:val="clear" w:pos="8640"/>
        </w:tabs>
        <w:spacing w:line="240" w:lineRule="auto"/>
        <w:jc w:val="center"/>
        <w:rPr>
          <w:b/>
          <w:bCs/>
        </w:rPr>
      </w:pPr>
      <w:r w:rsidRPr="00077403">
        <w:rPr>
          <w:b/>
        </w:rPr>
        <w:t xml:space="preserve"> OFFICE OF THE OHIO CONSUMERS</w:t>
      </w:r>
      <w:r w:rsidR="00077403">
        <w:rPr>
          <w:b/>
        </w:rPr>
        <w:t>’</w:t>
      </w:r>
      <w:r w:rsidRPr="00077403">
        <w:rPr>
          <w:b/>
        </w:rPr>
        <w:t xml:space="preserve"> COUNSEL</w:t>
      </w:r>
    </w:p>
    <w:p w:rsidR="00EC0743" w:rsidRPr="00077403" w:rsidP="00EC0743" w14:paraId="0552E319" w14:textId="77777777">
      <w:pPr>
        <w:pStyle w:val="Footer"/>
        <w:pBdr>
          <w:bottom w:val="single" w:sz="12" w:space="1" w:color="auto"/>
        </w:pBdr>
        <w:tabs>
          <w:tab w:val="clear" w:pos="4320"/>
          <w:tab w:val="clear" w:pos="8640"/>
        </w:tabs>
        <w:spacing w:line="240" w:lineRule="auto"/>
        <w:rPr>
          <w:b/>
        </w:rPr>
      </w:pPr>
    </w:p>
    <w:p w:rsidR="00EC0743" w:rsidRPr="00077403" w:rsidP="00EC0743" w14:paraId="57DEE0F1" w14:textId="77777777">
      <w:pPr>
        <w:pStyle w:val="BodyTextIndent3"/>
        <w:widowControl w:val="0"/>
        <w:spacing w:line="240" w:lineRule="auto"/>
        <w:rPr>
          <w:szCs w:val="24"/>
        </w:rPr>
      </w:pPr>
    </w:p>
    <w:p w:rsidR="00EC0743" w:rsidRPr="00077403" w:rsidP="0044224D" w14:paraId="29DB5C34"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EC0743" w:rsidRPr="00077403" w:rsidP="00EC0743" w14:paraId="57D0B0D6" w14:textId="0836655D">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077403">
        <w:rPr>
          <w:rFonts w:eastAsia="Courier New"/>
        </w:rPr>
        <w:t>Maureen R. Willis (0020847)</w:t>
      </w:r>
    </w:p>
    <w:p w:rsidR="00EC0743" w:rsidRPr="00077403" w:rsidP="00EC0743" w14:paraId="7C1CE40B" w14:textId="5D5B08D4">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077403">
        <w:t>Ohio Consumers</w:t>
      </w:r>
      <w:r w:rsidR="00077403">
        <w:t>’</w:t>
      </w:r>
      <w:r w:rsidRPr="00077403">
        <w:t xml:space="preserve"> Counsel</w:t>
      </w:r>
    </w:p>
    <w:p w:rsidR="00EC0743" w:rsidRPr="00077403" w:rsidP="00EC0743" w14:paraId="7B65862F" w14:textId="77777777">
      <w:pPr>
        <w:tabs>
          <w:tab w:val="left" w:pos="4320"/>
        </w:tabs>
        <w:ind w:left="4320"/>
      </w:pPr>
    </w:p>
    <w:p w:rsidR="00EC0743" w:rsidRPr="00077403" w:rsidP="00EC0743" w14:paraId="3ACB345F" w14:textId="77777777">
      <w:pPr>
        <w:tabs>
          <w:tab w:val="left" w:pos="4320"/>
        </w:tabs>
        <w:ind w:left="4320"/>
      </w:pPr>
      <w:r w:rsidRPr="00077403">
        <w:t>Donald J. Kral (0042091)</w:t>
      </w:r>
    </w:p>
    <w:p w:rsidR="00EC0743" w:rsidRPr="00077403" w:rsidP="00EC0743" w14:paraId="20A4E0CE" w14:textId="77777777">
      <w:pPr>
        <w:tabs>
          <w:tab w:val="left" w:pos="4320"/>
        </w:tabs>
        <w:ind w:left="4320"/>
      </w:pPr>
      <w:r w:rsidRPr="00077403">
        <w:t>Counsel of Record</w:t>
      </w:r>
    </w:p>
    <w:p w:rsidR="00EC0743" w:rsidRPr="00077403" w:rsidP="00EC0743" w14:paraId="7050F7EE" w14:textId="77777777">
      <w:pPr>
        <w:tabs>
          <w:tab w:val="left" w:pos="4320"/>
        </w:tabs>
        <w:ind w:left="4320"/>
      </w:pPr>
      <w:r w:rsidRPr="00077403">
        <w:t>Thomas J. Brodbeck (0093920)</w:t>
      </w:r>
    </w:p>
    <w:p w:rsidR="00EC0743" w:rsidRPr="00077403" w:rsidP="00EC0743" w14:paraId="6D444F08" w14:textId="1817D91B">
      <w:pPr>
        <w:tabs>
          <w:tab w:val="left" w:pos="4320"/>
        </w:tabs>
        <w:ind w:left="4320"/>
      </w:pPr>
      <w:r w:rsidRPr="00077403">
        <w:t>Assistant Consumers</w:t>
      </w:r>
      <w:r w:rsidR="00077403">
        <w:t>’</w:t>
      </w:r>
      <w:r w:rsidRPr="00077403">
        <w:t xml:space="preserve"> Counsel</w:t>
      </w:r>
    </w:p>
    <w:p w:rsidR="00EC0743" w:rsidRPr="00077403" w:rsidP="00EC0743" w14:paraId="7098E38F" w14:textId="77777777">
      <w:pPr>
        <w:tabs>
          <w:tab w:val="left" w:pos="4320"/>
        </w:tabs>
        <w:ind w:left="4320"/>
      </w:pPr>
    </w:p>
    <w:p w:rsidR="00EC0743" w:rsidRPr="00077403" w:rsidP="00EC0743" w14:paraId="345ED651" w14:textId="5B91EDE0">
      <w:pPr>
        <w:keepNext/>
        <w:ind w:left="4320" w:right="-648"/>
        <w:outlineLvl w:val="0"/>
        <w:rPr>
          <w:b/>
        </w:rPr>
      </w:pPr>
      <w:r w:rsidRPr="00077403">
        <w:rPr>
          <w:b/>
        </w:rPr>
        <w:t>Office of the Ohio Consumers</w:t>
      </w:r>
      <w:r w:rsidR="00077403">
        <w:rPr>
          <w:b/>
        </w:rPr>
        <w:t>’</w:t>
      </w:r>
      <w:r w:rsidRPr="00077403">
        <w:rPr>
          <w:b/>
        </w:rPr>
        <w:t xml:space="preserve"> Counsel</w:t>
      </w:r>
    </w:p>
    <w:p w:rsidR="00EC0743" w:rsidRPr="00077403" w:rsidP="00EC0743" w14:paraId="3550B486" w14:textId="77777777">
      <w:pPr>
        <w:keepNext/>
        <w:ind w:left="4320" w:right="-648"/>
        <w:outlineLvl w:val="0"/>
      </w:pPr>
      <w:r w:rsidRPr="00077403">
        <w:t>65 East State Street, Suite 700</w:t>
      </w:r>
    </w:p>
    <w:p w:rsidR="00EC0743" w:rsidRPr="00077403" w:rsidP="00EC0743" w14:paraId="742A3D03" w14:textId="77777777">
      <w:pPr>
        <w:keepNext/>
        <w:ind w:left="4320" w:right="-648"/>
        <w:outlineLvl w:val="0"/>
      </w:pPr>
      <w:r w:rsidRPr="00077403">
        <w:t>Columbus, Ohio 43215</w:t>
      </w:r>
    </w:p>
    <w:p w:rsidR="00EC0743" w:rsidRPr="00077403" w:rsidP="00EC0743" w14:paraId="13738F1C" w14:textId="77777777">
      <w:pPr>
        <w:autoSpaceDE w:val="0"/>
        <w:autoSpaceDN w:val="0"/>
        <w:adjustRightInd w:val="0"/>
        <w:ind w:left="4320"/>
      </w:pPr>
      <w:r w:rsidRPr="00077403">
        <w:t>Telephone [Kral]: (614) 466-9571</w:t>
      </w:r>
    </w:p>
    <w:p w:rsidR="00EC0743" w:rsidRPr="00077403" w:rsidP="00EC0743" w14:paraId="5345D1C1" w14:textId="77777777">
      <w:pPr>
        <w:autoSpaceDE w:val="0"/>
        <w:autoSpaceDN w:val="0"/>
        <w:adjustRightInd w:val="0"/>
        <w:ind w:left="4320"/>
      </w:pPr>
      <w:r w:rsidRPr="00077403">
        <w:t>Telephone [Brodbeck]: (614) 466-9565</w:t>
      </w:r>
    </w:p>
    <w:p w:rsidR="00EC0743" w:rsidRPr="00077403" w:rsidP="00EC0743" w14:paraId="388CB5E0" w14:textId="77777777">
      <w:pPr>
        <w:autoSpaceDE w:val="0"/>
        <w:autoSpaceDN w:val="0"/>
        <w:adjustRightInd w:val="0"/>
        <w:ind w:left="4320"/>
      </w:pPr>
      <w:hyperlink r:id="rId6" w:history="1">
        <w:r w:rsidRPr="00077403">
          <w:rPr>
            <w:rFonts w:eastAsia="Courier New"/>
            <w:color w:val="0000FF"/>
            <w:u w:val="single"/>
          </w:rPr>
          <w:t>donald.kral@occ.ohio.gov</w:t>
        </w:r>
      </w:hyperlink>
    </w:p>
    <w:p w:rsidR="00EC0743" w:rsidRPr="00077403" w:rsidP="00EC0743" w14:paraId="092A2746" w14:textId="77777777">
      <w:pPr>
        <w:autoSpaceDE w:val="0"/>
        <w:autoSpaceDN w:val="0"/>
        <w:adjustRightInd w:val="0"/>
        <w:ind w:left="4320"/>
        <w:rPr>
          <w:rFonts w:eastAsia="Courier New"/>
          <w:color w:val="0000FF"/>
          <w:u w:val="single"/>
        </w:rPr>
      </w:pPr>
      <w:hyperlink r:id="rId7" w:history="1">
        <w:r w:rsidRPr="00077403">
          <w:rPr>
            <w:rFonts w:eastAsia="Courier New"/>
            <w:color w:val="0000FF"/>
            <w:u w:val="single"/>
          </w:rPr>
          <w:t>thomas.brodbeck@occ.ohio.gov</w:t>
        </w:r>
      </w:hyperlink>
    </w:p>
    <w:p w:rsidR="00EC0743" w:rsidRPr="00077403" w:rsidP="002675C3" w14:paraId="31315430" w14:textId="5CC308E7">
      <w:pPr>
        <w:autoSpaceDE w:val="0"/>
        <w:autoSpaceDN w:val="0"/>
        <w:adjustRightInd w:val="0"/>
        <w:ind w:left="4320" w:hanging="4320"/>
      </w:pPr>
      <w:r w:rsidRPr="00077403">
        <w:rPr>
          <w:rFonts w:eastAsia="Courier New"/>
        </w:rPr>
        <w:t>April 19, 2024</w:t>
      </w:r>
      <w:r w:rsidRPr="00077403" w:rsidR="002675C3">
        <w:rPr>
          <w:rFonts w:eastAsia="Courier New"/>
        </w:rPr>
        <w:tab/>
      </w:r>
      <w:r w:rsidRPr="00077403">
        <w:t xml:space="preserve">(willing to accept service by e-mail) </w:t>
      </w:r>
    </w:p>
    <w:p w:rsidR="00814757" w:rsidRPr="00077403" w:rsidP="002675C3" w14:paraId="53F7C1AF" w14:textId="77777777">
      <w:pPr>
        <w:autoSpaceDE w:val="0"/>
        <w:autoSpaceDN w:val="0"/>
        <w:adjustRightInd w:val="0"/>
        <w:ind w:left="4320" w:hanging="4320"/>
        <w:sectPr w:rsidSect="007D6FA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60"/>
        </w:sectPr>
      </w:pPr>
    </w:p>
    <w:p w:rsidR="008B1879" w:rsidRPr="00077403" w:rsidP="00501178" w14:paraId="2E187335" w14:textId="4D839FCC">
      <w:pPr>
        <w:pStyle w:val="HTMLPreformatted"/>
        <w:jc w:val="center"/>
        <w:rPr>
          <w:rFonts w:ascii="Times New Roman" w:hAnsi="Times New Roman" w:cs="Times New Roman"/>
          <w:b/>
          <w:bCs/>
          <w:sz w:val="24"/>
          <w:szCs w:val="24"/>
        </w:rPr>
      </w:pPr>
      <w:r w:rsidRPr="00077403">
        <w:rPr>
          <w:rFonts w:ascii="Times New Roman" w:hAnsi="Times New Roman" w:cs="Times New Roman"/>
          <w:b/>
          <w:bCs/>
          <w:sz w:val="24"/>
          <w:szCs w:val="24"/>
        </w:rPr>
        <w:t>BEFORE</w:t>
      </w:r>
    </w:p>
    <w:p w:rsidR="00A5637F" w:rsidRPr="00077403" w14:paraId="46FC91B4" w14:textId="77777777">
      <w:pPr>
        <w:pStyle w:val="HTMLPreformatted"/>
        <w:jc w:val="center"/>
        <w:rPr>
          <w:rFonts w:ascii="Times New Roman" w:hAnsi="Times New Roman" w:cs="Times New Roman"/>
          <w:b/>
          <w:bCs/>
          <w:sz w:val="24"/>
          <w:szCs w:val="24"/>
        </w:rPr>
      </w:pPr>
      <w:r w:rsidRPr="00077403">
        <w:rPr>
          <w:rFonts w:ascii="Times New Roman" w:hAnsi="Times New Roman" w:cs="Times New Roman"/>
          <w:b/>
          <w:bCs/>
          <w:sz w:val="24"/>
          <w:szCs w:val="24"/>
        </w:rPr>
        <w:t>THE PUBLIC UTILITIES COMMISSION OF OHIO</w:t>
      </w:r>
    </w:p>
    <w:p w:rsidR="00A5637F" w:rsidRPr="00077403" w14:paraId="626E78F6" w14:textId="77777777">
      <w:pPr>
        <w:pStyle w:val="HTMLPreformatted"/>
        <w:jc w:val="center"/>
        <w:rPr>
          <w:rFonts w:ascii="Times New Roman" w:hAnsi="Times New Roman" w:cs="Times New Roman"/>
          <w:b/>
          <w:bCs/>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15B67F5F" w14:textId="77777777" w:rsidTr="0069241E">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2C7D60" w:rsidRPr="00077403" w:rsidP="003F6E1A" w14:paraId="432355A6" w14:textId="2B3770C3">
            <w:pPr>
              <w:autoSpaceDE w:val="0"/>
              <w:autoSpaceDN w:val="0"/>
              <w:adjustRightInd w:val="0"/>
              <w:rPr>
                <w:sz w:val="24"/>
                <w:szCs w:val="24"/>
                <w:lang w:val="en-US" w:eastAsia="en-US" w:bidi="ar-SA"/>
              </w:rPr>
            </w:pPr>
            <w:r w:rsidRPr="00077403">
              <w:rPr>
                <w:sz w:val="24"/>
                <w:szCs w:val="24"/>
                <w:lang w:val="en-US" w:eastAsia="en-US" w:bidi="ar-SA"/>
              </w:rPr>
              <w:t>In the Matter of the Application of Ohio Power Company to Update Its Basic Transmission Cost Rider</w:t>
            </w:r>
            <w:r w:rsidRPr="00077403" w:rsidR="00B742C1">
              <w:rPr>
                <w:sz w:val="24"/>
                <w:szCs w:val="24"/>
                <w:lang w:val="en-US" w:eastAsia="en-US" w:bidi="ar-SA"/>
              </w:rPr>
              <w:t>.</w:t>
            </w:r>
          </w:p>
        </w:tc>
        <w:tc>
          <w:tcPr>
            <w:tcW w:w="630" w:type="dxa"/>
            <w:shd w:val="clear" w:color="auto" w:fill="auto"/>
          </w:tcPr>
          <w:p w:rsidR="002C7D60" w:rsidRPr="00077403" w:rsidP="003F6E1A" w14:paraId="3D99AAC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w:t>
            </w:r>
          </w:p>
          <w:p w:rsidR="002C7D60" w:rsidRPr="00077403" w:rsidP="003F6E1A" w14:paraId="4B3A711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w:t>
            </w:r>
          </w:p>
          <w:p w:rsidR="002C7D60" w:rsidRPr="00077403" w:rsidP="003F6E1A" w14:paraId="1C11211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w:t>
            </w:r>
          </w:p>
        </w:tc>
        <w:tc>
          <w:tcPr>
            <w:tcW w:w="3780" w:type="dxa"/>
            <w:shd w:val="clear" w:color="auto" w:fill="auto"/>
          </w:tcPr>
          <w:p w:rsidR="002C7D60" w:rsidRPr="00077403" w:rsidP="003F6E1A" w14:paraId="582EA5B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2C7D60" w:rsidRPr="00077403" w:rsidP="003F6E1A" w14:paraId="1097AF07" w14:textId="2239345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 xml:space="preserve">Case No. </w:t>
            </w:r>
            <w:r w:rsidRPr="00077403" w:rsidR="0065217E">
              <w:rPr>
                <w:rFonts w:ascii="Times New Roman" w:eastAsia="Courier New" w:hAnsi="Times New Roman" w:cs="Times New Roman"/>
                <w:sz w:val="24"/>
                <w:szCs w:val="24"/>
                <w:lang w:val="en-US" w:eastAsia="en-US" w:bidi="ar-SA"/>
              </w:rPr>
              <w:t>24-42-EL-RDR</w:t>
            </w:r>
          </w:p>
          <w:p w:rsidR="002C7D60" w:rsidRPr="00077403" w:rsidP="003F6E1A" w14:paraId="100B1F2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A5637F" w:rsidRPr="00077403" w14:paraId="15412A71" w14:textId="77777777">
      <w:pPr>
        <w:pStyle w:val="InsideAddress"/>
        <w:pBdr>
          <w:bottom w:val="single" w:sz="12" w:space="1" w:color="auto"/>
        </w:pBdr>
        <w:rPr>
          <w:rFonts w:ascii="Times New Roman" w:eastAsia="Times New Roman" w:hAnsi="Times New Roman"/>
          <w:szCs w:val="24"/>
        </w:rPr>
      </w:pPr>
    </w:p>
    <w:p w:rsidR="00A5637F" w:rsidRPr="00077403" w14:paraId="0005FD1B" w14:textId="77777777">
      <w:pPr>
        <w:pStyle w:val="InsideAddress"/>
        <w:rPr>
          <w:rFonts w:ascii="Times New Roman" w:eastAsia="Times New Roman" w:hAnsi="Times New Roman"/>
          <w:szCs w:val="24"/>
        </w:rPr>
      </w:pPr>
    </w:p>
    <w:p w:rsidR="00B01A26" w:rsidRPr="00077403" w:rsidP="003B12A6" w14:paraId="79761AA6" w14:textId="77777777">
      <w:pPr>
        <w:pStyle w:val="Footer"/>
        <w:tabs>
          <w:tab w:val="clear" w:pos="4320"/>
          <w:tab w:val="clear" w:pos="8640"/>
        </w:tabs>
        <w:spacing w:line="240" w:lineRule="auto"/>
        <w:jc w:val="center"/>
        <w:rPr>
          <w:b/>
        </w:rPr>
      </w:pPr>
      <w:r w:rsidRPr="00077403">
        <w:rPr>
          <w:b/>
        </w:rPr>
        <w:t xml:space="preserve">APPLICATION FOR REHEARING </w:t>
      </w:r>
    </w:p>
    <w:p w:rsidR="00A61451" w:rsidRPr="00077403" w:rsidP="003B12A6" w14:paraId="5BEE732D" w14:textId="11A81D3B">
      <w:pPr>
        <w:pStyle w:val="Footer"/>
        <w:tabs>
          <w:tab w:val="clear" w:pos="4320"/>
          <w:tab w:val="clear" w:pos="8640"/>
        </w:tabs>
        <w:spacing w:line="240" w:lineRule="auto"/>
        <w:jc w:val="center"/>
        <w:rPr>
          <w:b/>
        </w:rPr>
      </w:pPr>
      <w:r w:rsidRPr="00077403">
        <w:rPr>
          <w:b/>
        </w:rPr>
        <w:t>BY</w:t>
      </w:r>
    </w:p>
    <w:p w:rsidR="002C7D60" w:rsidRPr="00077403" w:rsidP="003B12A6" w14:paraId="59DFFA66" w14:textId="67B1FAFF">
      <w:pPr>
        <w:pStyle w:val="Footer"/>
        <w:tabs>
          <w:tab w:val="clear" w:pos="4320"/>
          <w:tab w:val="clear" w:pos="8640"/>
        </w:tabs>
        <w:spacing w:line="240" w:lineRule="auto"/>
        <w:jc w:val="center"/>
        <w:rPr>
          <w:b/>
          <w:bCs/>
        </w:rPr>
      </w:pPr>
      <w:r w:rsidRPr="00077403">
        <w:rPr>
          <w:b/>
        </w:rPr>
        <w:t xml:space="preserve"> OFFICE OF THE OHIO CONSUMERS</w:t>
      </w:r>
      <w:r w:rsidR="00077403">
        <w:rPr>
          <w:b/>
        </w:rPr>
        <w:t>’</w:t>
      </w:r>
      <w:r w:rsidRPr="00077403">
        <w:rPr>
          <w:b/>
        </w:rPr>
        <w:t xml:space="preserve"> COUNSEL</w:t>
      </w:r>
    </w:p>
    <w:p w:rsidR="00A5637F" w:rsidRPr="00077403" w14:paraId="0095FDA1" w14:textId="77777777">
      <w:pPr>
        <w:pStyle w:val="Footer"/>
        <w:pBdr>
          <w:bottom w:val="single" w:sz="12" w:space="1" w:color="auto"/>
        </w:pBdr>
        <w:tabs>
          <w:tab w:val="clear" w:pos="4320"/>
          <w:tab w:val="clear" w:pos="8640"/>
        </w:tabs>
        <w:spacing w:line="240" w:lineRule="auto"/>
        <w:rPr>
          <w:b/>
        </w:rPr>
      </w:pPr>
    </w:p>
    <w:bookmarkEnd w:id="0"/>
    <w:p w:rsidR="00E82B9C" w:rsidRPr="00077403" w:rsidP="00E82B9C" w14:paraId="704C7AA6" w14:textId="77777777">
      <w:pPr>
        <w:pStyle w:val="BodyTextIndent3"/>
        <w:widowControl w:val="0"/>
        <w:spacing w:line="240" w:lineRule="auto"/>
        <w:rPr>
          <w:szCs w:val="24"/>
        </w:rPr>
      </w:pPr>
    </w:p>
    <w:p w:rsidR="00644065" w:rsidRPr="00077403" w:rsidP="00B95C28" w14:paraId="39B03F17" w14:textId="61BE7500">
      <w:pPr>
        <w:pStyle w:val="BodyTextIndent3"/>
        <w:widowControl w:val="0"/>
        <w:spacing w:line="480" w:lineRule="auto"/>
        <w:rPr>
          <w:szCs w:val="24"/>
        </w:rPr>
      </w:pPr>
      <w:r w:rsidRPr="00077403">
        <w:rPr>
          <w:szCs w:val="24"/>
        </w:rPr>
        <w:t>The PUCO issued an order on</w:t>
      </w:r>
      <w:r w:rsidRPr="00077403" w:rsidR="005A6FEF">
        <w:rPr>
          <w:szCs w:val="24"/>
        </w:rPr>
        <w:t xml:space="preserve"> March 20, 2024</w:t>
      </w:r>
      <w:r w:rsidRPr="00077403">
        <w:rPr>
          <w:szCs w:val="24"/>
        </w:rPr>
        <w:t xml:space="preserve"> that</w:t>
      </w:r>
      <w:r w:rsidRPr="00077403" w:rsidR="005A6FEF">
        <w:rPr>
          <w:szCs w:val="24"/>
        </w:rPr>
        <w:t xml:space="preserve"> approved</w:t>
      </w:r>
      <w:r w:rsidRPr="00077403" w:rsidR="00D95D27">
        <w:rPr>
          <w:szCs w:val="24"/>
        </w:rPr>
        <w:t>,</w:t>
      </w:r>
      <w:r w:rsidRPr="00077403" w:rsidR="005A6FEF">
        <w:rPr>
          <w:szCs w:val="24"/>
        </w:rPr>
        <w:t xml:space="preserve"> without comment</w:t>
      </w:r>
      <w:r w:rsidRPr="00077403" w:rsidR="00D95D27">
        <w:rPr>
          <w:szCs w:val="24"/>
        </w:rPr>
        <w:t xml:space="preserve">, a $154 million </w:t>
      </w:r>
      <w:r w:rsidRPr="00077403" w:rsidR="0041195D">
        <w:rPr>
          <w:szCs w:val="24"/>
        </w:rPr>
        <w:t>transmission rate increase</w:t>
      </w:r>
      <w:r w:rsidRPr="00077403" w:rsidR="005A6FEF">
        <w:rPr>
          <w:szCs w:val="24"/>
        </w:rPr>
        <w:t xml:space="preserve"> to residential consumers</w:t>
      </w:r>
      <w:r w:rsidRPr="00077403" w:rsidR="0041195D">
        <w:rPr>
          <w:szCs w:val="24"/>
        </w:rPr>
        <w:t xml:space="preserve"> </w:t>
      </w:r>
      <w:r w:rsidRPr="00077403" w:rsidR="005A6FEF">
        <w:rPr>
          <w:szCs w:val="24"/>
        </w:rPr>
        <w:t xml:space="preserve">while decreasing </w:t>
      </w:r>
      <w:r w:rsidRPr="00077403" w:rsidR="0041195D">
        <w:rPr>
          <w:szCs w:val="24"/>
        </w:rPr>
        <w:t xml:space="preserve">transmission </w:t>
      </w:r>
      <w:r w:rsidRPr="00077403">
        <w:rPr>
          <w:szCs w:val="24"/>
        </w:rPr>
        <w:t>charges to</w:t>
      </w:r>
      <w:r w:rsidRPr="00077403" w:rsidR="005A6FEF">
        <w:rPr>
          <w:szCs w:val="24"/>
        </w:rPr>
        <w:t xml:space="preserve"> commercial and industrial consumers.</w:t>
      </w:r>
      <w:r w:rsidRPr="00077403">
        <w:rPr>
          <w:szCs w:val="24"/>
        </w:rPr>
        <w:t xml:space="preserve"> The PUCO</w:t>
      </w:r>
      <w:r w:rsidR="00077403">
        <w:rPr>
          <w:szCs w:val="24"/>
        </w:rPr>
        <w:t>’</w:t>
      </w:r>
      <w:r w:rsidRPr="00077403">
        <w:rPr>
          <w:szCs w:val="24"/>
        </w:rPr>
        <w:t>s Order harms</w:t>
      </w:r>
      <w:r w:rsidRPr="00077403" w:rsidR="00D95D27">
        <w:rPr>
          <w:szCs w:val="24"/>
        </w:rPr>
        <w:t xml:space="preserve"> residential </w:t>
      </w:r>
      <w:r w:rsidRPr="00077403">
        <w:rPr>
          <w:szCs w:val="24"/>
        </w:rPr>
        <w:t>consumers</w:t>
      </w:r>
      <w:r w:rsidRPr="00077403" w:rsidR="0041195D">
        <w:rPr>
          <w:szCs w:val="24"/>
        </w:rPr>
        <w:t xml:space="preserve"> by adding another $10.00 per month to their utility bills.</w:t>
      </w:r>
      <w:r w:rsidR="00077403">
        <w:rPr>
          <w:szCs w:val="24"/>
        </w:rPr>
        <w:t xml:space="preserve"> </w:t>
      </w:r>
    </w:p>
    <w:p w:rsidR="00824602" w:rsidRPr="00077403" w:rsidP="00644065" w14:paraId="3642400D" w14:textId="10FF7993">
      <w:pPr>
        <w:pStyle w:val="BodyTextIndent3"/>
        <w:widowControl w:val="0"/>
        <w:spacing w:line="480" w:lineRule="auto"/>
        <w:rPr>
          <w:szCs w:val="24"/>
        </w:rPr>
      </w:pPr>
      <w:r w:rsidRPr="00077403">
        <w:rPr>
          <w:szCs w:val="24"/>
        </w:rPr>
        <w:t>The O</w:t>
      </w:r>
      <w:r w:rsidRPr="00077403" w:rsidR="003D65F6">
        <w:rPr>
          <w:szCs w:val="24"/>
        </w:rPr>
        <w:t>ffice of the Ohio Consumers</w:t>
      </w:r>
      <w:r w:rsidR="00077403">
        <w:rPr>
          <w:szCs w:val="24"/>
        </w:rPr>
        <w:t>’</w:t>
      </w:r>
      <w:r w:rsidRPr="00077403" w:rsidR="003D65F6">
        <w:rPr>
          <w:szCs w:val="24"/>
        </w:rPr>
        <w:t xml:space="preserve"> Counsel </w:t>
      </w:r>
      <w:r w:rsidRPr="00077403">
        <w:rPr>
          <w:szCs w:val="24"/>
        </w:rPr>
        <w:t>(</w:t>
      </w:r>
      <w:r w:rsidR="00077403">
        <w:rPr>
          <w:szCs w:val="24"/>
        </w:rPr>
        <w:t>“</w:t>
      </w:r>
      <w:r w:rsidRPr="00077403" w:rsidR="003D65F6">
        <w:rPr>
          <w:szCs w:val="24"/>
        </w:rPr>
        <w:t>OCC</w:t>
      </w:r>
      <w:r w:rsidR="00077403">
        <w:rPr>
          <w:szCs w:val="24"/>
        </w:rPr>
        <w:t>”</w:t>
      </w:r>
      <w:r w:rsidRPr="00077403">
        <w:rPr>
          <w:szCs w:val="24"/>
        </w:rPr>
        <w:t xml:space="preserve">) </w:t>
      </w:r>
      <w:r w:rsidRPr="00077403" w:rsidR="003D65F6">
        <w:rPr>
          <w:szCs w:val="24"/>
        </w:rPr>
        <w:t>files this Application for</w:t>
      </w:r>
      <w:r w:rsidRPr="00077403" w:rsidR="00AC3E80">
        <w:rPr>
          <w:szCs w:val="24"/>
        </w:rPr>
        <w:t xml:space="preserve"> </w:t>
      </w:r>
      <w:r w:rsidRPr="00077403" w:rsidR="003D65F6">
        <w:rPr>
          <w:szCs w:val="24"/>
        </w:rPr>
        <w:t>Rehearing to stop the unfair</w:t>
      </w:r>
      <w:r w:rsidRPr="00077403" w:rsidR="00B95C28">
        <w:rPr>
          <w:szCs w:val="24"/>
        </w:rPr>
        <w:t xml:space="preserve"> and unreasonable </w:t>
      </w:r>
      <w:r w:rsidRPr="00077403" w:rsidR="00644065">
        <w:rPr>
          <w:szCs w:val="24"/>
        </w:rPr>
        <w:t xml:space="preserve">transmission </w:t>
      </w:r>
      <w:r w:rsidRPr="00077403" w:rsidR="0041195D">
        <w:rPr>
          <w:szCs w:val="24"/>
        </w:rPr>
        <w:t xml:space="preserve">rate increase </w:t>
      </w:r>
      <w:r w:rsidRPr="00077403" w:rsidR="00644065">
        <w:rPr>
          <w:szCs w:val="24"/>
        </w:rPr>
        <w:t>to residential consumers.</w:t>
      </w:r>
      <w:r w:rsidR="00077403">
        <w:rPr>
          <w:szCs w:val="24"/>
        </w:rPr>
        <w:t xml:space="preserve"> </w:t>
      </w:r>
      <w:r w:rsidRPr="00077403">
        <w:rPr>
          <w:szCs w:val="24"/>
        </w:rPr>
        <w:t>Th</w:t>
      </w:r>
      <w:r w:rsidRPr="00077403" w:rsidR="00AF456B">
        <w:rPr>
          <w:szCs w:val="24"/>
        </w:rPr>
        <w:t>e</w:t>
      </w:r>
      <w:r w:rsidRPr="00077403" w:rsidR="00644065">
        <w:rPr>
          <w:szCs w:val="24"/>
        </w:rPr>
        <w:t xml:space="preserve"> PUCO</w:t>
      </w:r>
      <w:r w:rsidR="00077403">
        <w:rPr>
          <w:szCs w:val="24"/>
        </w:rPr>
        <w:t>’</w:t>
      </w:r>
      <w:r w:rsidRPr="00077403" w:rsidR="00644065">
        <w:rPr>
          <w:szCs w:val="24"/>
        </w:rPr>
        <w:t xml:space="preserve">s </w:t>
      </w:r>
      <w:r w:rsidRPr="00077403">
        <w:rPr>
          <w:szCs w:val="24"/>
        </w:rPr>
        <w:t xml:space="preserve">Finding and Order </w:t>
      </w:r>
      <w:r w:rsidRPr="00077403" w:rsidR="00AF456B">
        <w:rPr>
          <w:szCs w:val="24"/>
        </w:rPr>
        <w:t xml:space="preserve">is </w:t>
      </w:r>
      <w:r w:rsidR="002650A6">
        <w:rPr>
          <w:szCs w:val="24"/>
        </w:rPr>
        <w:t xml:space="preserve">unlawful and </w:t>
      </w:r>
      <w:r w:rsidRPr="00077403" w:rsidR="00AF456B">
        <w:rPr>
          <w:szCs w:val="24"/>
        </w:rPr>
        <w:t>unrea</w:t>
      </w:r>
      <w:r w:rsidRPr="00077403">
        <w:rPr>
          <w:szCs w:val="24"/>
        </w:rPr>
        <w:t>sonable n the following respects:</w:t>
      </w:r>
    </w:p>
    <w:p w:rsidR="00824602" w:rsidRPr="00077403" w:rsidP="00AC3E80" w14:paraId="410DEBAC" w14:textId="634F7494">
      <w:pPr>
        <w:pStyle w:val="BodyTextIndent3"/>
        <w:widowControl w:val="0"/>
        <w:spacing w:line="240" w:lineRule="auto"/>
        <w:ind w:left="720" w:firstLine="0"/>
        <w:rPr>
          <w:szCs w:val="24"/>
        </w:rPr>
      </w:pPr>
      <w:r w:rsidRPr="00077403">
        <w:rPr>
          <w:b/>
          <w:bCs/>
          <w:szCs w:val="24"/>
        </w:rPr>
        <w:t>ASSIGNMENT OF ERROR 1:</w:t>
      </w:r>
      <w:r w:rsidRPr="00077403" w:rsidR="00B00525">
        <w:rPr>
          <w:b/>
          <w:bCs/>
          <w:szCs w:val="24"/>
        </w:rPr>
        <w:t xml:space="preserve"> </w:t>
      </w:r>
      <w:r w:rsidRPr="00077403">
        <w:rPr>
          <w:szCs w:val="24"/>
        </w:rPr>
        <w:t>The PUCO</w:t>
      </w:r>
      <w:r w:rsidR="00077403">
        <w:rPr>
          <w:szCs w:val="24"/>
        </w:rPr>
        <w:t>’</w:t>
      </w:r>
      <w:r w:rsidRPr="00077403">
        <w:rPr>
          <w:szCs w:val="24"/>
        </w:rPr>
        <w:t xml:space="preserve">s Finding and Order is unlawful and unreasonable because it approved </w:t>
      </w:r>
      <w:r w:rsidRPr="00077403" w:rsidR="00846ABF">
        <w:rPr>
          <w:szCs w:val="24"/>
        </w:rPr>
        <w:t xml:space="preserve">a $154 million increase in transmission charges to residential consumers </w:t>
      </w:r>
      <w:r w:rsidRPr="00077403">
        <w:rPr>
          <w:szCs w:val="24"/>
        </w:rPr>
        <w:t xml:space="preserve">without </w:t>
      </w:r>
      <w:r w:rsidRPr="00077403" w:rsidR="00126D92">
        <w:rPr>
          <w:szCs w:val="24"/>
        </w:rPr>
        <w:t xml:space="preserve">identifying </w:t>
      </w:r>
      <w:r w:rsidRPr="00077403" w:rsidR="009410ED">
        <w:rPr>
          <w:szCs w:val="24"/>
        </w:rPr>
        <w:t>any</w:t>
      </w:r>
      <w:r w:rsidRPr="00077403" w:rsidR="00846ABF">
        <w:rPr>
          <w:szCs w:val="24"/>
        </w:rPr>
        <w:t xml:space="preserve"> record </w:t>
      </w:r>
      <w:r w:rsidRPr="00077403" w:rsidR="009410ED">
        <w:rPr>
          <w:szCs w:val="24"/>
        </w:rPr>
        <w:t xml:space="preserve">evidence, </w:t>
      </w:r>
      <w:r w:rsidRPr="00077403" w:rsidR="00846ABF">
        <w:rPr>
          <w:szCs w:val="24"/>
        </w:rPr>
        <w:t xml:space="preserve">or making </w:t>
      </w:r>
      <w:r w:rsidRPr="00077403" w:rsidR="002908C2">
        <w:rPr>
          <w:szCs w:val="24"/>
        </w:rPr>
        <w:t>findings of fact</w:t>
      </w:r>
      <w:r w:rsidRPr="00077403" w:rsidR="009410ED">
        <w:rPr>
          <w:szCs w:val="24"/>
        </w:rPr>
        <w:t>,</w:t>
      </w:r>
      <w:r w:rsidRPr="00077403" w:rsidR="002908C2">
        <w:rPr>
          <w:szCs w:val="24"/>
        </w:rPr>
        <w:t xml:space="preserve"> or </w:t>
      </w:r>
      <w:r w:rsidRPr="00077403" w:rsidR="00846ABF">
        <w:rPr>
          <w:szCs w:val="24"/>
        </w:rPr>
        <w:t xml:space="preserve">providing a </w:t>
      </w:r>
      <w:r w:rsidRPr="00077403" w:rsidR="002908C2">
        <w:rPr>
          <w:szCs w:val="24"/>
        </w:rPr>
        <w:t>written opinion setting forth i</w:t>
      </w:r>
      <w:r w:rsidRPr="00077403" w:rsidR="00846ABF">
        <w:rPr>
          <w:szCs w:val="24"/>
        </w:rPr>
        <w:t>ts rationale, all</w:t>
      </w:r>
      <w:r w:rsidR="00077403">
        <w:rPr>
          <w:szCs w:val="24"/>
        </w:rPr>
        <w:t xml:space="preserve"> </w:t>
      </w:r>
      <w:r w:rsidRPr="00077403">
        <w:rPr>
          <w:szCs w:val="24"/>
        </w:rPr>
        <w:t>in violation of R.C. 4903.09.</w:t>
      </w:r>
      <w:r w:rsidR="00077403">
        <w:rPr>
          <w:szCs w:val="24"/>
        </w:rPr>
        <w:t xml:space="preserve"> </w:t>
      </w:r>
    </w:p>
    <w:p w:rsidR="00071762" w:rsidRPr="00077403" w:rsidP="00AC3E80" w14:paraId="4DB3FA96" w14:textId="77777777">
      <w:pPr>
        <w:pStyle w:val="BodyTextIndent3"/>
        <w:widowControl w:val="0"/>
        <w:spacing w:line="240" w:lineRule="auto"/>
        <w:ind w:left="720" w:firstLine="0"/>
        <w:rPr>
          <w:szCs w:val="24"/>
        </w:rPr>
      </w:pPr>
    </w:p>
    <w:p w:rsidR="00071762" w:rsidRPr="00077403" w:rsidP="00AC3E80" w14:paraId="14373C91" w14:textId="6716EA08">
      <w:pPr>
        <w:pStyle w:val="BodyTextIndent3"/>
        <w:widowControl w:val="0"/>
        <w:spacing w:line="240" w:lineRule="auto"/>
        <w:ind w:left="720" w:firstLine="0"/>
        <w:rPr>
          <w:b/>
          <w:bCs/>
          <w:szCs w:val="24"/>
        </w:rPr>
      </w:pPr>
      <w:r w:rsidRPr="00077403">
        <w:rPr>
          <w:b/>
          <w:bCs/>
          <w:szCs w:val="24"/>
        </w:rPr>
        <w:t xml:space="preserve">ASSIGNMENT OF ERROR 2: </w:t>
      </w:r>
      <w:r w:rsidRPr="009B6180">
        <w:rPr>
          <w:szCs w:val="24"/>
        </w:rPr>
        <w:t>The PUCO</w:t>
      </w:r>
      <w:r w:rsidRPr="009B6180" w:rsidR="00077403">
        <w:rPr>
          <w:szCs w:val="24"/>
        </w:rPr>
        <w:t>’</w:t>
      </w:r>
      <w:r w:rsidRPr="009B6180">
        <w:rPr>
          <w:szCs w:val="24"/>
        </w:rPr>
        <w:t>s Finding and Order is unlawful and unreasonable because it allowed AEP to collect carrying charges when AEP failed to comply with O.A.C. 4901:1-36-03(D).</w:t>
      </w:r>
    </w:p>
    <w:p w:rsidR="00AC3E80" w:rsidRPr="00077403" w:rsidP="00AC3E80" w14:paraId="6C2EFF3D" w14:textId="77777777">
      <w:pPr>
        <w:pStyle w:val="BodyTextIndent3"/>
        <w:widowControl w:val="0"/>
        <w:spacing w:line="240" w:lineRule="auto"/>
        <w:rPr>
          <w:szCs w:val="24"/>
        </w:rPr>
      </w:pPr>
    </w:p>
    <w:p w:rsidR="00201790" w:rsidRPr="00077403" w:rsidP="009840C7" w14:paraId="6F0E4F3C" w14:textId="77777777">
      <w:pPr>
        <w:ind w:left="720"/>
      </w:pPr>
      <w:bookmarkStart w:id="1" w:name="_Hlk163734689"/>
      <w:r w:rsidRPr="009840C7">
        <w:rPr>
          <w:b/>
          <w:bCs/>
        </w:rPr>
        <w:t xml:space="preserve">ASSIGNMENT OF ERROR </w:t>
      </w:r>
      <w:r w:rsidRPr="009840C7" w:rsidR="00071762">
        <w:rPr>
          <w:b/>
          <w:bCs/>
        </w:rPr>
        <w:t>3</w:t>
      </w:r>
      <w:r w:rsidRPr="009840C7">
        <w:rPr>
          <w:b/>
          <w:bCs/>
        </w:rPr>
        <w:t>:</w:t>
      </w:r>
      <w:r w:rsidRPr="00077403" w:rsidR="00B00525">
        <w:t xml:space="preserve"> </w:t>
      </w:r>
      <w:r w:rsidRPr="002F3999">
        <w:t>The PUCO’s Finding and Order is unlawful and unreasonable because it failed to protect consumers from misallocating the $32 million under-recovery from the prior period thereby violating R.C. 4905.22.</w:t>
      </w:r>
    </w:p>
    <w:bookmarkEnd w:id="1"/>
    <w:p w:rsidR="00003FCD" w:rsidRPr="00077403" w:rsidP="009840C7" w14:paraId="3D773389" w14:textId="77777777">
      <w:pPr>
        <w:pStyle w:val="BodyTextIndent3"/>
        <w:widowControl w:val="0"/>
        <w:spacing w:line="240" w:lineRule="auto"/>
        <w:ind w:left="720" w:firstLine="0"/>
        <w:rPr>
          <w:szCs w:val="24"/>
        </w:rPr>
      </w:pPr>
    </w:p>
    <w:p w:rsidR="00201790" w:rsidP="009840C7" w14:paraId="66D78EB9" w14:textId="2A861970">
      <w:pPr>
        <w:ind w:left="720"/>
      </w:pPr>
      <w:r w:rsidRPr="009840C7">
        <w:rPr>
          <w:b/>
          <w:bCs/>
        </w:rPr>
        <w:t xml:space="preserve">ASSIGNMENT OF ERROR </w:t>
      </w:r>
      <w:r w:rsidRPr="009840C7">
        <w:rPr>
          <w:b/>
          <w:bCs/>
        </w:rPr>
        <w:t>4</w:t>
      </w:r>
      <w:r w:rsidRPr="009840C7">
        <w:rPr>
          <w:b/>
          <w:bCs/>
        </w:rPr>
        <w:t>:</w:t>
      </w:r>
      <w:r w:rsidRPr="00077403" w:rsidR="00B00525">
        <w:t xml:space="preserve"> </w:t>
      </w:r>
      <w:r w:rsidRPr="002F3999">
        <w:t>The PUCO’s Finding and Order is unlawful and unreasonable because the PUCO should have protected consumers by ordering the BTCR be collected subject to refund if FERC rules favorably on OCC’s complaint related to paying for supplemental transmission projects.</w:t>
      </w:r>
    </w:p>
    <w:p w:rsidR="009840C7" w:rsidRPr="00077403" w:rsidP="009840C7" w14:paraId="4A2E89DA" w14:textId="77777777">
      <w:bookmarkStart w:id="2" w:name="_Hlk163742487"/>
    </w:p>
    <w:bookmarkEnd w:id="2"/>
    <w:p w:rsidR="00A77DDC" w:rsidRPr="00077403" w:rsidP="009D33AE" w14:paraId="4D473467" w14:textId="69D13C97">
      <w:pPr>
        <w:pStyle w:val="BodyTextIndent3"/>
        <w:widowControl w:val="0"/>
        <w:spacing w:line="480" w:lineRule="auto"/>
        <w:ind w:firstLine="0"/>
        <w:rPr>
          <w:szCs w:val="24"/>
        </w:rPr>
      </w:pPr>
      <w:r w:rsidRPr="00077403">
        <w:rPr>
          <w:szCs w:val="24"/>
        </w:rPr>
        <w:tab/>
        <w:t xml:space="preserve">The reasons in support of this Application for Rehearing are set forth in the accompanying Memorandum in </w:t>
      </w:r>
      <w:r w:rsidRPr="00077403" w:rsidR="00A25295">
        <w:rPr>
          <w:szCs w:val="24"/>
        </w:rPr>
        <w:t>S</w:t>
      </w:r>
      <w:r w:rsidRPr="00077403">
        <w:rPr>
          <w:szCs w:val="24"/>
        </w:rPr>
        <w:t>upport.</w:t>
      </w:r>
      <w:r w:rsidRPr="00077403" w:rsidR="00B00525">
        <w:rPr>
          <w:szCs w:val="24"/>
        </w:rPr>
        <w:t xml:space="preserve"> </w:t>
      </w:r>
      <w:r w:rsidRPr="00077403">
        <w:rPr>
          <w:szCs w:val="24"/>
        </w:rPr>
        <w:t>The PUCO should grant rehearing and abrogate i</w:t>
      </w:r>
      <w:r w:rsidRPr="00077403" w:rsidR="00B95C28">
        <w:rPr>
          <w:szCs w:val="24"/>
        </w:rPr>
        <w:t>t</w:t>
      </w:r>
      <w:r w:rsidRPr="00077403">
        <w:rPr>
          <w:szCs w:val="24"/>
        </w:rPr>
        <w:t>s Finding and Order as requested by OCC.</w:t>
      </w:r>
    </w:p>
    <w:p w:rsidR="00A77DDC" w:rsidRPr="00077403" w:rsidP="00A77DDC" w14:paraId="06B54A9D" w14:textId="1BACBFCF">
      <w:pPr>
        <w:ind w:left="4320"/>
      </w:pPr>
      <w:r w:rsidRPr="00077403">
        <w:t>Respectfully submitted,</w:t>
      </w:r>
    </w:p>
    <w:p w:rsidR="00A77DDC" w:rsidRPr="00077403" w:rsidP="00A77DDC" w14:paraId="73FC2413" w14:textId="77777777">
      <w:pPr>
        <w:ind w:left="4320"/>
      </w:pPr>
    </w:p>
    <w:p w:rsidR="00A77DDC" w:rsidRPr="00077403" w:rsidP="00A77DDC" w14:paraId="2B00F234"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077403">
        <w:rPr>
          <w:rFonts w:eastAsia="Courier New"/>
        </w:rPr>
        <w:t>Maureen R. Willis (0020847)</w:t>
      </w:r>
    </w:p>
    <w:p w:rsidR="00A77DDC" w:rsidRPr="00077403" w:rsidP="00A77DDC" w14:paraId="5E586DC2" w14:textId="4A6311A0">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077403">
        <w:t>Ohio Consumers</w:t>
      </w:r>
      <w:r w:rsidR="00077403">
        <w:t>’</w:t>
      </w:r>
      <w:r w:rsidRPr="00077403">
        <w:t xml:space="preserve"> Counsel</w:t>
      </w:r>
    </w:p>
    <w:p w:rsidR="00A77DDC" w:rsidRPr="00077403" w:rsidP="00A77DDC" w14:paraId="0177A683" w14:textId="77777777">
      <w:pPr>
        <w:tabs>
          <w:tab w:val="left" w:pos="4320"/>
        </w:tabs>
        <w:ind w:left="4320"/>
      </w:pPr>
    </w:p>
    <w:p w:rsidR="00A77DDC" w:rsidRPr="00077403" w:rsidP="00A77DDC" w14:paraId="663BACCE" w14:textId="0E33A6E8">
      <w:pPr>
        <w:tabs>
          <w:tab w:val="left" w:pos="4320"/>
        </w:tabs>
        <w:ind w:left="4320"/>
      </w:pPr>
      <w:r w:rsidRPr="00077403">
        <w:rPr>
          <w:i/>
          <w:u w:val="single"/>
        </w:rPr>
        <w:t>/s/ Donald J. Kral</w:t>
      </w:r>
    </w:p>
    <w:p w:rsidR="00A77DDC" w:rsidRPr="00077403" w:rsidP="00A77DDC" w14:paraId="1A61440A" w14:textId="77777777">
      <w:pPr>
        <w:tabs>
          <w:tab w:val="left" w:pos="4320"/>
        </w:tabs>
        <w:ind w:left="4320"/>
      </w:pPr>
      <w:r w:rsidRPr="00077403">
        <w:t>Donald J. Kral (0042091)</w:t>
      </w:r>
    </w:p>
    <w:p w:rsidR="00A77DDC" w:rsidRPr="00077403" w:rsidP="00A77DDC" w14:paraId="207BF379" w14:textId="77777777">
      <w:pPr>
        <w:tabs>
          <w:tab w:val="left" w:pos="4320"/>
        </w:tabs>
        <w:ind w:left="4320"/>
      </w:pPr>
      <w:r w:rsidRPr="00077403">
        <w:t>Counsel of Record</w:t>
      </w:r>
    </w:p>
    <w:p w:rsidR="00A77DDC" w:rsidRPr="00077403" w:rsidP="00A77DDC" w14:paraId="4E383981" w14:textId="77777777">
      <w:pPr>
        <w:tabs>
          <w:tab w:val="left" w:pos="4320"/>
        </w:tabs>
        <w:ind w:left="4320"/>
      </w:pPr>
      <w:r w:rsidRPr="00077403">
        <w:t>Thomas J. Brodbeck (0093920)</w:t>
      </w:r>
    </w:p>
    <w:p w:rsidR="00A77DDC" w:rsidRPr="00077403" w:rsidP="00A77DDC" w14:paraId="5E02EDD1" w14:textId="26F52F87">
      <w:pPr>
        <w:tabs>
          <w:tab w:val="left" w:pos="4320"/>
        </w:tabs>
        <w:ind w:left="4320"/>
      </w:pPr>
      <w:r w:rsidRPr="00077403">
        <w:t>Assistant Consumers</w:t>
      </w:r>
      <w:r w:rsidR="00077403">
        <w:t>’</w:t>
      </w:r>
      <w:r w:rsidRPr="00077403">
        <w:t xml:space="preserve"> Counsel</w:t>
      </w:r>
    </w:p>
    <w:p w:rsidR="00A77DDC" w:rsidRPr="00077403" w:rsidP="00A77DDC" w14:paraId="316A509B" w14:textId="77777777">
      <w:pPr>
        <w:tabs>
          <w:tab w:val="left" w:pos="4320"/>
        </w:tabs>
        <w:ind w:left="4320"/>
      </w:pPr>
    </w:p>
    <w:p w:rsidR="00A77DDC" w:rsidRPr="00077403" w:rsidP="00A77DDC" w14:paraId="56A31071" w14:textId="0893EF78">
      <w:pPr>
        <w:keepNext/>
        <w:ind w:left="4320" w:right="-648"/>
        <w:outlineLvl w:val="0"/>
        <w:rPr>
          <w:b/>
        </w:rPr>
      </w:pPr>
      <w:r w:rsidRPr="00077403">
        <w:rPr>
          <w:b/>
        </w:rPr>
        <w:t>Office of the Ohio Consumers</w:t>
      </w:r>
      <w:r w:rsidR="00077403">
        <w:rPr>
          <w:b/>
        </w:rPr>
        <w:t>’</w:t>
      </w:r>
      <w:r w:rsidRPr="00077403">
        <w:rPr>
          <w:b/>
        </w:rPr>
        <w:t xml:space="preserve"> Counsel</w:t>
      </w:r>
    </w:p>
    <w:p w:rsidR="00A77DDC" w:rsidRPr="00077403" w:rsidP="00A77DDC" w14:paraId="48BA997D" w14:textId="77777777">
      <w:pPr>
        <w:keepNext/>
        <w:ind w:left="4320" w:right="-648"/>
        <w:outlineLvl w:val="0"/>
      </w:pPr>
      <w:r w:rsidRPr="00077403">
        <w:t>65 East State Street, Suite 700</w:t>
      </w:r>
    </w:p>
    <w:p w:rsidR="00A77DDC" w:rsidRPr="00077403" w:rsidP="00A77DDC" w14:paraId="399F3377" w14:textId="77777777">
      <w:pPr>
        <w:keepNext/>
        <w:ind w:left="4320" w:right="-648"/>
        <w:outlineLvl w:val="0"/>
      </w:pPr>
      <w:r w:rsidRPr="00077403">
        <w:t>Columbus, Ohio 43215</w:t>
      </w:r>
    </w:p>
    <w:p w:rsidR="00A77DDC" w:rsidRPr="00077403" w:rsidP="00A77DDC" w14:paraId="2B863B04" w14:textId="77777777">
      <w:pPr>
        <w:autoSpaceDE w:val="0"/>
        <w:autoSpaceDN w:val="0"/>
        <w:adjustRightInd w:val="0"/>
        <w:ind w:left="4320"/>
      </w:pPr>
      <w:r w:rsidRPr="00077403">
        <w:t>Telephone [Kral]: (614) 466-9571</w:t>
      </w:r>
    </w:p>
    <w:p w:rsidR="00A77DDC" w:rsidRPr="00077403" w:rsidP="00A77DDC" w14:paraId="5792D9AD" w14:textId="77777777">
      <w:pPr>
        <w:autoSpaceDE w:val="0"/>
        <w:autoSpaceDN w:val="0"/>
        <w:adjustRightInd w:val="0"/>
        <w:ind w:left="4320"/>
      </w:pPr>
      <w:r w:rsidRPr="00077403">
        <w:t>Telephone [Brodbeck]: (614) 466-9565</w:t>
      </w:r>
    </w:p>
    <w:p w:rsidR="00A77DDC" w:rsidRPr="00077403" w:rsidP="00A77DDC" w14:paraId="37B597CB" w14:textId="77777777">
      <w:pPr>
        <w:autoSpaceDE w:val="0"/>
        <w:autoSpaceDN w:val="0"/>
        <w:adjustRightInd w:val="0"/>
        <w:ind w:left="4320"/>
      </w:pPr>
      <w:hyperlink r:id="rId6" w:history="1">
        <w:r w:rsidRPr="00077403">
          <w:rPr>
            <w:rFonts w:eastAsia="Courier New"/>
            <w:color w:val="0000FF"/>
            <w:u w:val="single"/>
          </w:rPr>
          <w:t>donald.kral@occ.ohio.gov</w:t>
        </w:r>
      </w:hyperlink>
    </w:p>
    <w:p w:rsidR="00A77DDC" w:rsidRPr="00077403" w:rsidP="00A77DDC" w14:paraId="4C8D0755" w14:textId="77777777">
      <w:pPr>
        <w:autoSpaceDE w:val="0"/>
        <w:autoSpaceDN w:val="0"/>
        <w:adjustRightInd w:val="0"/>
        <w:ind w:left="4320"/>
      </w:pPr>
      <w:hyperlink r:id="rId7" w:history="1">
        <w:r w:rsidRPr="00077403">
          <w:rPr>
            <w:rFonts w:eastAsia="Courier New"/>
            <w:color w:val="0000FF"/>
            <w:u w:val="single"/>
          </w:rPr>
          <w:t>thomas.brodbeck@occ.ohio.gov</w:t>
        </w:r>
      </w:hyperlink>
    </w:p>
    <w:p w:rsidR="000B3E2E" w:rsidRPr="00077403" w:rsidP="00A77DDC" w14:paraId="0D09EA5F" w14:textId="77777777">
      <w:pPr>
        <w:tabs>
          <w:tab w:val="left" w:pos="8730"/>
        </w:tabs>
        <w:ind w:left="4320"/>
      </w:pPr>
      <w:r w:rsidRPr="00077403">
        <w:t>(willing to accept service by e-mail)</w:t>
      </w:r>
    </w:p>
    <w:p w:rsidR="000B3E2E" w:rsidRPr="00077403" w:rsidP="00A77DDC" w14:paraId="5070E4BA" w14:textId="77777777">
      <w:pPr>
        <w:tabs>
          <w:tab w:val="left" w:pos="8730"/>
        </w:tabs>
        <w:ind w:left="4320"/>
        <w:sectPr w:rsidSect="007D6FA1">
          <w:footerReference w:type="first" r:id="rId14"/>
          <w:pgSz w:w="12240" w:h="15840"/>
          <w:pgMar w:top="1440" w:right="1800" w:bottom="1440" w:left="1800" w:header="720" w:footer="720" w:gutter="0"/>
          <w:pgNumType w:start="1"/>
          <w:cols w:space="720"/>
          <w:titlePg/>
          <w:docGrid w:linePitch="360"/>
        </w:sectPr>
      </w:pPr>
    </w:p>
    <w:p w:rsidR="000B3E2E" w:rsidRPr="00077403" w:rsidP="000B3E2E" w14:paraId="16039678" w14:textId="77777777">
      <w:pPr>
        <w:spacing w:before="36"/>
        <w:jc w:val="center"/>
        <w:rPr>
          <w:b/>
          <w:u w:val="thick"/>
        </w:rPr>
      </w:pPr>
      <w:r w:rsidRPr="00077403">
        <w:rPr>
          <w:b/>
          <w:u w:val="thick"/>
        </w:rPr>
        <w:t>TABLE OF CONTENTS</w:t>
      </w:r>
    </w:p>
    <w:p w:rsidR="00BE639A" w:rsidRPr="00077403" w:rsidP="00BE639A" w14:paraId="1F6EC50C" w14:textId="77777777">
      <w:pPr>
        <w:spacing w:before="36"/>
        <w:jc w:val="center"/>
        <w:rPr>
          <w:b/>
        </w:rPr>
      </w:pPr>
    </w:p>
    <w:p w:rsidR="000B3E2E" w:rsidRPr="00077403" w:rsidP="00BE639A" w14:paraId="1991FD74" w14:textId="5896B034">
      <w:pPr>
        <w:pStyle w:val="BodyText"/>
        <w:jc w:val="right"/>
        <w:rPr>
          <w:b/>
          <w:bCs/>
          <w:szCs w:val="24"/>
        </w:rPr>
      </w:pPr>
      <w:r w:rsidRPr="00077403">
        <w:rPr>
          <w:b/>
          <w:bCs/>
          <w:szCs w:val="24"/>
        </w:rPr>
        <w:t>PAGE</w:t>
      </w:r>
    </w:p>
    <w:p w:rsidR="00EB0AC1" w14:paraId="586E4F52" w14:textId="2EB6C2D3">
      <w:pPr>
        <w:pStyle w:val="TOC1"/>
        <w:rPr>
          <w:rFonts w:asciiTheme="minorHAnsi" w:eastAsiaTheme="minorEastAsia" w:hAnsiTheme="minorHAnsi" w:cstheme="minorBidi"/>
          <w:noProof/>
          <w:kern w:val="2"/>
          <w14:ligatures w14:val="standardContextual"/>
        </w:rPr>
      </w:pPr>
      <w:r w:rsidRPr="00077403">
        <w:rPr>
          <w:b/>
          <w:bCs/>
        </w:rPr>
        <w:fldChar w:fldCharType="begin"/>
      </w:r>
      <w:r w:rsidRPr="00077403">
        <w:rPr>
          <w:b/>
          <w:bCs/>
        </w:rPr>
        <w:instrText xml:space="preserve"> TOC \o "1-2" \h \z \t "Heading 3,3" </w:instrText>
      </w:r>
      <w:r w:rsidRPr="00077403">
        <w:rPr>
          <w:b/>
          <w:bCs/>
        </w:rPr>
        <w:fldChar w:fldCharType="separate"/>
      </w:r>
      <w:hyperlink w:anchor="_Toc164437300" w:history="1">
        <w:r w:rsidRPr="008246E8">
          <w:rPr>
            <w:rStyle w:val="Hyperlink"/>
            <w:noProof/>
          </w:rPr>
          <w:t>I.</w:t>
        </w:r>
        <w:r>
          <w:rPr>
            <w:rFonts w:asciiTheme="minorHAnsi" w:eastAsiaTheme="minorEastAsia" w:hAnsiTheme="minorHAnsi" w:cstheme="minorBidi"/>
            <w:noProof/>
            <w:kern w:val="2"/>
            <w14:ligatures w14:val="standardContextual"/>
          </w:rPr>
          <w:tab/>
        </w:r>
        <w:r w:rsidRPr="008246E8">
          <w:rPr>
            <w:rStyle w:val="Hyperlink"/>
            <w:noProof/>
          </w:rPr>
          <w:t>INTRODUCTION</w:t>
        </w:r>
        <w:r>
          <w:rPr>
            <w:noProof/>
            <w:webHidden/>
          </w:rPr>
          <w:tab/>
        </w:r>
        <w:r>
          <w:rPr>
            <w:noProof/>
            <w:webHidden/>
          </w:rPr>
          <w:fldChar w:fldCharType="begin"/>
        </w:r>
        <w:r>
          <w:rPr>
            <w:noProof/>
            <w:webHidden/>
          </w:rPr>
          <w:instrText xml:space="preserve"> PAGEREF _Toc164437300 \h </w:instrText>
        </w:r>
        <w:r>
          <w:rPr>
            <w:noProof/>
            <w:webHidden/>
          </w:rPr>
          <w:fldChar w:fldCharType="separate"/>
        </w:r>
        <w:r>
          <w:rPr>
            <w:noProof/>
            <w:webHidden/>
          </w:rPr>
          <w:t>1</w:t>
        </w:r>
        <w:r>
          <w:rPr>
            <w:noProof/>
            <w:webHidden/>
          </w:rPr>
          <w:fldChar w:fldCharType="end"/>
        </w:r>
      </w:hyperlink>
    </w:p>
    <w:p w:rsidR="00EB0AC1" w14:paraId="1AE5D0B6" w14:textId="1D5D2789">
      <w:pPr>
        <w:pStyle w:val="TOC1"/>
        <w:rPr>
          <w:rFonts w:asciiTheme="minorHAnsi" w:eastAsiaTheme="minorEastAsia" w:hAnsiTheme="minorHAnsi" w:cstheme="minorBidi"/>
          <w:noProof/>
          <w:kern w:val="2"/>
          <w14:ligatures w14:val="standardContextual"/>
        </w:rPr>
      </w:pPr>
      <w:hyperlink w:anchor="_Toc164437301" w:history="1">
        <w:r w:rsidRPr="008246E8">
          <w:rPr>
            <w:rStyle w:val="Hyperlink"/>
            <w:noProof/>
          </w:rPr>
          <w:t>II.</w:t>
        </w:r>
        <w:r>
          <w:rPr>
            <w:rFonts w:asciiTheme="minorHAnsi" w:eastAsiaTheme="minorEastAsia" w:hAnsiTheme="minorHAnsi" w:cstheme="minorBidi"/>
            <w:noProof/>
            <w:kern w:val="2"/>
            <w14:ligatures w14:val="standardContextual"/>
          </w:rPr>
          <w:tab/>
        </w:r>
        <w:r w:rsidRPr="008246E8">
          <w:rPr>
            <w:rStyle w:val="Hyperlink"/>
            <w:noProof/>
          </w:rPr>
          <w:t>ASSIGNMENTS OF ERRORS</w:t>
        </w:r>
        <w:r>
          <w:rPr>
            <w:noProof/>
            <w:webHidden/>
          </w:rPr>
          <w:tab/>
        </w:r>
        <w:r>
          <w:rPr>
            <w:noProof/>
            <w:webHidden/>
          </w:rPr>
          <w:fldChar w:fldCharType="begin"/>
        </w:r>
        <w:r>
          <w:rPr>
            <w:noProof/>
            <w:webHidden/>
          </w:rPr>
          <w:instrText xml:space="preserve"> PAGEREF _Toc164437301 \h </w:instrText>
        </w:r>
        <w:r>
          <w:rPr>
            <w:noProof/>
            <w:webHidden/>
          </w:rPr>
          <w:fldChar w:fldCharType="separate"/>
        </w:r>
        <w:r>
          <w:rPr>
            <w:noProof/>
            <w:webHidden/>
          </w:rPr>
          <w:t>2</w:t>
        </w:r>
        <w:r>
          <w:rPr>
            <w:noProof/>
            <w:webHidden/>
          </w:rPr>
          <w:fldChar w:fldCharType="end"/>
        </w:r>
      </w:hyperlink>
    </w:p>
    <w:p w:rsidR="00EB0AC1" w14:paraId="7D849A60" w14:textId="3D93B8FB">
      <w:pPr>
        <w:pStyle w:val="TOC2"/>
        <w:rPr>
          <w:rFonts w:asciiTheme="minorHAnsi" w:eastAsiaTheme="minorEastAsia" w:hAnsiTheme="minorHAnsi" w:cstheme="minorBidi"/>
          <w:noProof/>
          <w:kern w:val="2"/>
          <w14:ligatures w14:val="standardContextual"/>
        </w:rPr>
      </w:pPr>
      <w:hyperlink w:anchor="_Toc164437302" w:history="1">
        <w:r w:rsidRPr="008246E8">
          <w:rPr>
            <w:rStyle w:val="Hyperlink"/>
            <w:noProof/>
          </w:rPr>
          <w:t>ASSIGNMENT OF ERROR 1: The PUCO’s Finding and Order is unlawful and unreasonable because it approved a $154 million increase in transmission charges to residential consumers without identifying any record evidence, or making findings of fact, or providing a written opinion setting forth its rationale, all in violation of R.C. 4903.09.</w:t>
        </w:r>
        <w:r>
          <w:rPr>
            <w:noProof/>
            <w:webHidden/>
          </w:rPr>
          <w:tab/>
        </w:r>
        <w:r>
          <w:rPr>
            <w:noProof/>
            <w:webHidden/>
          </w:rPr>
          <w:fldChar w:fldCharType="begin"/>
        </w:r>
        <w:r>
          <w:rPr>
            <w:noProof/>
            <w:webHidden/>
          </w:rPr>
          <w:instrText xml:space="preserve"> PAGEREF _Toc164437302 \h </w:instrText>
        </w:r>
        <w:r>
          <w:rPr>
            <w:noProof/>
            <w:webHidden/>
          </w:rPr>
          <w:fldChar w:fldCharType="separate"/>
        </w:r>
        <w:r>
          <w:rPr>
            <w:noProof/>
            <w:webHidden/>
          </w:rPr>
          <w:t>2</w:t>
        </w:r>
        <w:r>
          <w:rPr>
            <w:noProof/>
            <w:webHidden/>
          </w:rPr>
          <w:fldChar w:fldCharType="end"/>
        </w:r>
      </w:hyperlink>
    </w:p>
    <w:p w:rsidR="00EB0AC1" w14:paraId="632340EB" w14:textId="609BB1A8">
      <w:pPr>
        <w:pStyle w:val="TOC2"/>
        <w:rPr>
          <w:rFonts w:asciiTheme="minorHAnsi" w:eastAsiaTheme="minorEastAsia" w:hAnsiTheme="minorHAnsi" w:cstheme="minorBidi"/>
          <w:noProof/>
          <w:kern w:val="2"/>
          <w14:ligatures w14:val="standardContextual"/>
        </w:rPr>
      </w:pPr>
      <w:hyperlink w:anchor="_Toc164437303" w:history="1">
        <w:r w:rsidRPr="008246E8">
          <w:rPr>
            <w:rStyle w:val="Hyperlink"/>
            <w:noProof/>
          </w:rPr>
          <w:t>ASSIGNMENT OF ERROR 2: The PUCO’s Finding and Order is unlawful and unreasonable because it allowed AEP to collect carrying charges when AEP failed to comply with O.A.C. 4901:1-36-03(D).</w:t>
        </w:r>
        <w:r>
          <w:rPr>
            <w:noProof/>
            <w:webHidden/>
          </w:rPr>
          <w:tab/>
        </w:r>
        <w:r>
          <w:rPr>
            <w:noProof/>
            <w:webHidden/>
          </w:rPr>
          <w:fldChar w:fldCharType="begin"/>
        </w:r>
        <w:r>
          <w:rPr>
            <w:noProof/>
            <w:webHidden/>
          </w:rPr>
          <w:instrText xml:space="preserve"> PAGEREF _Toc164437303 \h </w:instrText>
        </w:r>
        <w:r>
          <w:rPr>
            <w:noProof/>
            <w:webHidden/>
          </w:rPr>
          <w:fldChar w:fldCharType="separate"/>
        </w:r>
        <w:r>
          <w:rPr>
            <w:noProof/>
            <w:webHidden/>
          </w:rPr>
          <w:t>6</w:t>
        </w:r>
        <w:r>
          <w:rPr>
            <w:noProof/>
            <w:webHidden/>
          </w:rPr>
          <w:fldChar w:fldCharType="end"/>
        </w:r>
      </w:hyperlink>
    </w:p>
    <w:p w:rsidR="00EB0AC1" w14:paraId="5A7E74E0" w14:textId="2E55D453">
      <w:pPr>
        <w:pStyle w:val="TOC2"/>
        <w:rPr>
          <w:rFonts w:asciiTheme="minorHAnsi" w:eastAsiaTheme="minorEastAsia" w:hAnsiTheme="minorHAnsi" w:cstheme="minorBidi"/>
          <w:noProof/>
          <w:kern w:val="2"/>
          <w14:ligatures w14:val="standardContextual"/>
        </w:rPr>
      </w:pPr>
      <w:hyperlink w:anchor="_Toc164437304" w:history="1">
        <w:r w:rsidRPr="008246E8">
          <w:rPr>
            <w:rStyle w:val="Hyperlink"/>
            <w:noProof/>
          </w:rPr>
          <w:t>ASSIGNMENT OF ERROR 3: The PUCO’s Finding and Order is unlawful and unreasonable because it failed to protect consumers from misallocating the $32 million under-recovery from the prior period thereby violating R.C. 4905.22.</w:t>
        </w:r>
        <w:r>
          <w:rPr>
            <w:noProof/>
            <w:webHidden/>
          </w:rPr>
          <w:tab/>
        </w:r>
        <w:r>
          <w:rPr>
            <w:noProof/>
            <w:webHidden/>
          </w:rPr>
          <w:fldChar w:fldCharType="begin"/>
        </w:r>
        <w:r>
          <w:rPr>
            <w:noProof/>
            <w:webHidden/>
          </w:rPr>
          <w:instrText xml:space="preserve"> PAGEREF _Toc164437304 \h </w:instrText>
        </w:r>
        <w:r>
          <w:rPr>
            <w:noProof/>
            <w:webHidden/>
          </w:rPr>
          <w:fldChar w:fldCharType="separate"/>
        </w:r>
        <w:r>
          <w:rPr>
            <w:noProof/>
            <w:webHidden/>
          </w:rPr>
          <w:t>7</w:t>
        </w:r>
        <w:r>
          <w:rPr>
            <w:noProof/>
            <w:webHidden/>
          </w:rPr>
          <w:fldChar w:fldCharType="end"/>
        </w:r>
      </w:hyperlink>
    </w:p>
    <w:p w:rsidR="00EB0AC1" w14:paraId="405698BB" w14:textId="6ED36FDE">
      <w:pPr>
        <w:pStyle w:val="TOC2"/>
        <w:rPr>
          <w:rFonts w:asciiTheme="minorHAnsi" w:eastAsiaTheme="minorEastAsia" w:hAnsiTheme="minorHAnsi" w:cstheme="minorBidi"/>
          <w:noProof/>
          <w:kern w:val="2"/>
          <w14:ligatures w14:val="standardContextual"/>
        </w:rPr>
      </w:pPr>
      <w:hyperlink w:anchor="_Toc164437305" w:history="1">
        <w:r w:rsidRPr="008246E8">
          <w:rPr>
            <w:rStyle w:val="Hyperlink"/>
            <w:noProof/>
          </w:rPr>
          <w:t>ASSIGNMENT OF ERROR 4: The PUCO’s Finding and Order is unlawful and unreasonable because the PUCO should have protected consumers by ordering the BTCR be collected subject to refund if FERC rules favorably on OCC’s complaint related to paying for supplemental transmission projects.</w:t>
        </w:r>
        <w:r>
          <w:rPr>
            <w:noProof/>
            <w:webHidden/>
          </w:rPr>
          <w:tab/>
        </w:r>
        <w:r>
          <w:rPr>
            <w:noProof/>
            <w:webHidden/>
          </w:rPr>
          <w:fldChar w:fldCharType="begin"/>
        </w:r>
        <w:r>
          <w:rPr>
            <w:noProof/>
            <w:webHidden/>
          </w:rPr>
          <w:instrText xml:space="preserve"> PAGEREF _Toc164437305 \h </w:instrText>
        </w:r>
        <w:r>
          <w:rPr>
            <w:noProof/>
            <w:webHidden/>
          </w:rPr>
          <w:fldChar w:fldCharType="separate"/>
        </w:r>
        <w:r>
          <w:rPr>
            <w:noProof/>
            <w:webHidden/>
          </w:rPr>
          <w:t>8</w:t>
        </w:r>
        <w:r>
          <w:rPr>
            <w:noProof/>
            <w:webHidden/>
          </w:rPr>
          <w:fldChar w:fldCharType="end"/>
        </w:r>
      </w:hyperlink>
    </w:p>
    <w:p w:rsidR="00EB0AC1" w14:paraId="552E123A" w14:textId="708B76CA">
      <w:pPr>
        <w:pStyle w:val="TOC1"/>
        <w:rPr>
          <w:rFonts w:asciiTheme="minorHAnsi" w:eastAsiaTheme="minorEastAsia" w:hAnsiTheme="minorHAnsi" w:cstheme="minorBidi"/>
          <w:noProof/>
          <w:kern w:val="2"/>
          <w14:ligatures w14:val="standardContextual"/>
        </w:rPr>
      </w:pPr>
      <w:hyperlink w:anchor="_Toc164437306" w:history="1">
        <w:r w:rsidRPr="008246E8">
          <w:rPr>
            <w:rStyle w:val="Hyperlink"/>
            <w:noProof/>
          </w:rPr>
          <w:t>III.</w:t>
        </w:r>
        <w:r>
          <w:rPr>
            <w:rFonts w:asciiTheme="minorHAnsi" w:eastAsiaTheme="minorEastAsia" w:hAnsiTheme="minorHAnsi" w:cstheme="minorBidi"/>
            <w:noProof/>
            <w:kern w:val="2"/>
            <w14:ligatures w14:val="standardContextual"/>
          </w:rPr>
          <w:tab/>
        </w:r>
        <w:r w:rsidRPr="008246E8">
          <w:rPr>
            <w:rStyle w:val="Hyperlink"/>
            <w:noProof/>
          </w:rPr>
          <w:t>CONCLUSION</w:t>
        </w:r>
        <w:r>
          <w:rPr>
            <w:noProof/>
            <w:webHidden/>
          </w:rPr>
          <w:tab/>
        </w:r>
        <w:r>
          <w:rPr>
            <w:noProof/>
            <w:webHidden/>
          </w:rPr>
          <w:fldChar w:fldCharType="begin"/>
        </w:r>
        <w:r>
          <w:rPr>
            <w:noProof/>
            <w:webHidden/>
          </w:rPr>
          <w:instrText xml:space="preserve"> PAGEREF _Toc164437306 \h </w:instrText>
        </w:r>
        <w:r>
          <w:rPr>
            <w:noProof/>
            <w:webHidden/>
          </w:rPr>
          <w:fldChar w:fldCharType="separate"/>
        </w:r>
        <w:r>
          <w:rPr>
            <w:noProof/>
            <w:webHidden/>
          </w:rPr>
          <w:t>12</w:t>
        </w:r>
        <w:r>
          <w:rPr>
            <w:noProof/>
            <w:webHidden/>
          </w:rPr>
          <w:fldChar w:fldCharType="end"/>
        </w:r>
      </w:hyperlink>
    </w:p>
    <w:p w:rsidR="001B49DD" w:rsidRPr="00077403" w:rsidP="000B3E2E" w14:paraId="3E53EABF" w14:textId="637E222B">
      <w:pPr>
        <w:tabs>
          <w:tab w:val="left" w:pos="8730"/>
        </w:tabs>
        <w:ind w:left="4320"/>
        <w:rPr>
          <w:b/>
          <w:bCs/>
        </w:rPr>
        <w:sectPr w:rsidSect="007D6FA1">
          <w:footerReference w:type="first" r:id="rId15"/>
          <w:pgSz w:w="12240" w:h="15840"/>
          <w:pgMar w:top="1440" w:right="1800" w:bottom="1440" w:left="1800" w:header="720" w:footer="720" w:gutter="0"/>
          <w:pgNumType w:fmt="lowerRoman" w:start="1"/>
          <w:cols w:space="720"/>
          <w:titlePg/>
          <w:docGrid w:linePitch="360"/>
        </w:sectPr>
      </w:pPr>
      <w:r w:rsidRPr="00077403">
        <w:rPr>
          <w:b/>
          <w:bCs/>
        </w:rPr>
        <w:fldChar w:fldCharType="end"/>
      </w:r>
    </w:p>
    <w:p w:rsidR="00466B3C" w:rsidRPr="00077403" w:rsidP="00466B3C" w14:paraId="113337EF" w14:textId="77777777">
      <w:pPr>
        <w:pStyle w:val="HTMLPreformatted"/>
        <w:jc w:val="center"/>
        <w:rPr>
          <w:rFonts w:ascii="Times New Roman" w:hAnsi="Times New Roman" w:cs="Times New Roman"/>
          <w:b/>
          <w:bCs/>
          <w:sz w:val="24"/>
          <w:szCs w:val="24"/>
        </w:rPr>
      </w:pPr>
      <w:r w:rsidRPr="00077403">
        <w:rPr>
          <w:rFonts w:ascii="Times New Roman" w:hAnsi="Times New Roman" w:cs="Times New Roman"/>
          <w:b/>
          <w:bCs/>
          <w:sz w:val="24"/>
          <w:szCs w:val="24"/>
        </w:rPr>
        <w:t>BEFORE</w:t>
      </w:r>
    </w:p>
    <w:p w:rsidR="00466B3C" w:rsidRPr="00077403" w:rsidP="00466B3C" w14:paraId="74F59148" w14:textId="77777777">
      <w:pPr>
        <w:pStyle w:val="HTMLPreformatted"/>
        <w:jc w:val="center"/>
        <w:rPr>
          <w:rFonts w:ascii="Times New Roman" w:hAnsi="Times New Roman" w:cs="Times New Roman"/>
          <w:b/>
          <w:bCs/>
          <w:sz w:val="24"/>
          <w:szCs w:val="24"/>
        </w:rPr>
      </w:pPr>
      <w:r w:rsidRPr="00077403">
        <w:rPr>
          <w:rFonts w:ascii="Times New Roman" w:hAnsi="Times New Roman" w:cs="Times New Roman"/>
          <w:b/>
          <w:bCs/>
          <w:sz w:val="24"/>
          <w:szCs w:val="24"/>
        </w:rPr>
        <w:t>THE PUBLIC UTILITIES COMMISSION OF OHIO</w:t>
      </w:r>
    </w:p>
    <w:p w:rsidR="00466B3C" w:rsidRPr="00077403" w:rsidP="00466B3C" w14:paraId="0BD35F9C" w14:textId="77777777">
      <w:pPr>
        <w:pStyle w:val="HTMLPreformatted"/>
        <w:jc w:val="center"/>
        <w:rPr>
          <w:rFonts w:ascii="Times New Roman" w:hAnsi="Times New Roman" w:cs="Times New Roman"/>
          <w:b/>
          <w:bCs/>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58D700F5" w14:textId="77777777" w:rsidTr="00D7552F">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466B3C" w:rsidRPr="00077403" w:rsidP="00D7552F" w14:paraId="47079F3D" w14:textId="77777777">
            <w:pPr>
              <w:autoSpaceDE w:val="0"/>
              <w:autoSpaceDN w:val="0"/>
              <w:adjustRightInd w:val="0"/>
              <w:rPr>
                <w:sz w:val="24"/>
                <w:szCs w:val="24"/>
                <w:lang w:val="en-US" w:eastAsia="en-US" w:bidi="ar-SA"/>
              </w:rPr>
            </w:pPr>
            <w:r w:rsidRPr="00077403">
              <w:rPr>
                <w:sz w:val="24"/>
                <w:szCs w:val="24"/>
                <w:lang w:val="en-US" w:eastAsia="en-US" w:bidi="ar-SA"/>
              </w:rPr>
              <w:t>In the Matter of the Application of Ohio Power Company to Update Its Basic Transmission Cost Rider.</w:t>
            </w:r>
          </w:p>
        </w:tc>
        <w:tc>
          <w:tcPr>
            <w:tcW w:w="630" w:type="dxa"/>
            <w:shd w:val="clear" w:color="auto" w:fill="auto"/>
          </w:tcPr>
          <w:p w:rsidR="00466B3C" w:rsidRPr="00077403" w:rsidP="00D7552F" w14:paraId="0A74D08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w:t>
            </w:r>
          </w:p>
          <w:p w:rsidR="00466B3C" w:rsidRPr="00077403" w:rsidP="00D7552F" w14:paraId="3E6FF3E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w:t>
            </w:r>
          </w:p>
          <w:p w:rsidR="00466B3C" w:rsidRPr="00077403" w:rsidP="00D7552F" w14:paraId="67ECB53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w:t>
            </w:r>
          </w:p>
        </w:tc>
        <w:tc>
          <w:tcPr>
            <w:tcW w:w="3780" w:type="dxa"/>
            <w:shd w:val="clear" w:color="auto" w:fill="auto"/>
          </w:tcPr>
          <w:p w:rsidR="00466B3C" w:rsidRPr="00077403" w:rsidP="00D7552F" w14:paraId="7EF1DA9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466B3C" w:rsidRPr="00077403" w:rsidP="00D7552F" w14:paraId="1F5B051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77403">
              <w:rPr>
                <w:rFonts w:ascii="Times New Roman" w:eastAsia="Courier New" w:hAnsi="Times New Roman" w:cs="Times New Roman"/>
                <w:sz w:val="24"/>
                <w:szCs w:val="24"/>
                <w:lang w:val="en-US" w:eastAsia="en-US" w:bidi="ar-SA"/>
              </w:rPr>
              <w:t>Case No. 24-42-EL-RDR</w:t>
            </w:r>
          </w:p>
          <w:p w:rsidR="00466B3C" w:rsidRPr="00077403" w:rsidP="00D7552F" w14:paraId="01DEBBC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466B3C" w:rsidRPr="00077403" w:rsidP="00466B3C" w14:paraId="4B4CA946" w14:textId="77777777">
      <w:pPr>
        <w:pStyle w:val="InsideAddress"/>
        <w:pBdr>
          <w:bottom w:val="single" w:sz="12" w:space="1" w:color="auto"/>
        </w:pBdr>
        <w:rPr>
          <w:rFonts w:ascii="Times New Roman" w:eastAsia="Times New Roman" w:hAnsi="Times New Roman"/>
          <w:szCs w:val="24"/>
        </w:rPr>
      </w:pPr>
    </w:p>
    <w:p w:rsidR="00466B3C" w:rsidRPr="00077403" w:rsidP="00466B3C" w14:paraId="5706ACFB" w14:textId="77777777">
      <w:pPr>
        <w:pStyle w:val="InsideAddress"/>
        <w:rPr>
          <w:rFonts w:ascii="Times New Roman" w:eastAsia="Times New Roman" w:hAnsi="Times New Roman"/>
          <w:szCs w:val="24"/>
        </w:rPr>
      </w:pPr>
    </w:p>
    <w:p w:rsidR="00466B3C" w:rsidRPr="00077403" w:rsidP="00466B3C" w14:paraId="36270F1F" w14:textId="77777777">
      <w:pPr>
        <w:pStyle w:val="Footer"/>
        <w:tabs>
          <w:tab w:val="clear" w:pos="4320"/>
          <w:tab w:val="clear" w:pos="8640"/>
        </w:tabs>
        <w:spacing w:line="240" w:lineRule="auto"/>
        <w:jc w:val="center"/>
        <w:rPr>
          <w:b/>
          <w:bCs/>
        </w:rPr>
      </w:pPr>
      <w:r w:rsidRPr="00077403">
        <w:rPr>
          <w:b/>
        </w:rPr>
        <w:t>MEMORANDUM IN SUPPORT</w:t>
      </w:r>
    </w:p>
    <w:p w:rsidR="00466B3C" w:rsidRPr="00077403" w:rsidP="00466B3C" w14:paraId="137BEE5B" w14:textId="77777777">
      <w:pPr>
        <w:pStyle w:val="Footer"/>
        <w:pBdr>
          <w:bottom w:val="single" w:sz="12" w:space="1" w:color="auto"/>
        </w:pBdr>
        <w:tabs>
          <w:tab w:val="clear" w:pos="4320"/>
          <w:tab w:val="clear" w:pos="8640"/>
        </w:tabs>
        <w:spacing w:line="240" w:lineRule="auto"/>
        <w:rPr>
          <w:b/>
        </w:rPr>
      </w:pPr>
    </w:p>
    <w:p w:rsidR="00A77DDC" w:rsidRPr="00077403" w:rsidP="00460A16" w14:paraId="62FA21B4" w14:textId="77777777">
      <w:pPr>
        <w:tabs>
          <w:tab w:val="left" w:pos="8730"/>
        </w:tabs>
      </w:pPr>
    </w:p>
    <w:p w:rsidR="00B95C28" w:rsidRPr="00077403" w:rsidP="00B95C28" w14:paraId="0BCAB4A6" w14:textId="77777777">
      <w:pPr>
        <w:pStyle w:val="Heading1"/>
        <w:numPr>
          <w:ilvl w:val="0"/>
          <w:numId w:val="29"/>
        </w:numPr>
        <w:ind w:left="720"/>
      </w:pPr>
      <w:bookmarkStart w:id="3" w:name="_Toc164437300"/>
      <w:bookmarkStart w:id="4" w:name="_Toc534969804"/>
      <w:bookmarkStart w:id="5" w:name="_Toc534970003"/>
      <w:bookmarkStart w:id="6" w:name="_Toc534970544"/>
      <w:bookmarkStart w:id="7" w:name="_Toc534970650"/>
      <w:bookmarkStart w:id="8" w:name="_Toc535583491"/>
      <w:bookmarkStart w:id="9" w:name="_Toc155103703"/>
      <w:r w:rsidRPr="00077403">
        <w:t>INTRODUCTION</w:t>
      </w:r>
      <w:bookmarkEnd w:id="3"/>
    </w:p>
    <w:p w:rsidR="00EC0C45" w:rsidRPr="00077403" w:rsidP="00AF456B" w14:paraId="432A8418" w14:textId="6FF6AA42">
      <w:pPr>
        <w:pStyle w:val="BodyTextIndent3"/>
        <w:widowControl w:val="0"/>
        <w:spacing w:line="480" w:lineRule="auto"/>
        <w:rPr>
          <w:szCs w:val="24"/>
        </w:rPr>
      </w:pPr>
      <w:r w:rsidRPr="00077403">
        <w:rPr>
          <w:szCs w:val="24"/>
        </w:rPr>
        <w:t xml:space="preserve">The PUCO has approved </w:t>
      </w:r>
      <w:r w:rsidRPr="00077403" w:rsidR="00B95C28">
        <w:rPr>
          <w:szCs w:val="24"/>
        </w:rPr>
        <w:t>AEP</w:t>
      </w:r>
      <w:r w:rsidR="00077403">
        <w:rPr>
          <w:szCs w:val="24"/>
        </w:rPr>
        <w:t>’</w:t>
      </w:r>
      <w:r w:rsidRPr="00077403">
        <w:rPr>
          <w:szCs w:val="24"/>
        </w:rPr>
        <w:t>s most recent request to</w:t>
      </w:r>
      <w:r w:rsidRPr="00077403" w:rsidR="00B95C28">
        <w:rPr>
          <w:szCs w:val="24"/>
        </w:rPr>
        <w:t xml:space="preserve"> increas</w:t>
      </w:r>
      <w:r w:rsidRPr="00077403">
        <w:rPr>
          <w:szCs w:val="24"/>
        </w:rPr>
        <w:t>e</w:t>
      </w:r>
      <w:r w:rsidRPr="00077403" w:rsidR="00B95C28">
        <w:rPr>
          <w:szCs w:val="24"/>
        </w:rPr>
        <w:t xml:space="preserve"> </w:t>
      </w:r>
      <w:r w:rsidRPr="00077403" w:rsidR="008E22FC">
        <w:rPr>
          <w:szCs w:val="24"/>
        </w:rPr>
        <w:t>transmission charges</w:t>
      </w:r>
      <w:r w:rsidRPr="00077403">
        <w:rPr>
          <w:szCs w:val="24"/>
        </w:rPr>
        <w:t xml:space="preserve"> to consumers</w:t>
      </w:r>
      <w:r w:rsidRPr="00077403" w:rsidR="009E4D50">
        <w:rPr>
          <w:szCs w:val="24"/>
        </w:rPr>
        <w:t xml:space="preserve"> under </w:t>
      </w:r>
      <w:r w:rsidRPr="00077403" w:rsidR="00223CB3">
        <w:rPr>
          <w:szCs w:val="24"/>
        </w:rPr>
        <w:t xml:space="preserve">its </w:t>
      </w:r>
      <w:r w:rsidRPr="00077403" w:rsidR="009E4D50">
        <w:rPr>
          <w:szCs w:val="24"/>
        </w:rPr>
        <w:t>B</w:t>
      </w:r>
      <w:r w:rsidRPr="00077403">
        <w:rPr>
          <w:szCs w:val="24"/>
        </w:rPr>
        <w:t>asic Transmission Cost Rider (</w:t>
      </w:r>
      <w:r w:rsidR="00077403">
        <w:rPr>
          <w:szCs w:val="24"/>
        </w:rPr>
        <w:t>“</w:t>
      </w:r>
      <w:r w:rsidRPr="00077403">
        <w:rPr>
          <w:szCs w:val="24"/>
        </w:rPr>
        <w:t>BTCR</w:t>
      </w:r>
      <w:r w:rsidR="00077403">
        <w:rPr>
          <w:szCs w:val="24"/>
        </w:rPr>
        <w:t>”</w:t>
      </w:r>
      <w:r w:rsidRPr="00077403">
        <w:rPr>
          <w:szCs w:val="24"/>
        </w:rPr>
        <w:t>).</w:t>
      </w:r>
      <w:r w:rsidR="00077403">
        <w:rPr>
          <w:szCs w:val="24"/>
        </w:rPr>
        <w:t xml:space="preserve"> </w:t>
      </w:r>
      <w:r w:rsidRPr="00077403">
        <w:rPr>
          <w:szCs w:val="24"/>
        </w:rPr>
        <w:t>The PUCO</w:t>
      </w:r>
      <w:r w:rsidR="00077403">
        <w:rPr>
          <w:szCs w:val="24"/>
        </w:rPr>
        <w:t>’</w:t>
      </w:r>
      <w:r w:rsidRPr="00077403">
        <w:rPr>
          <w:szCs w:val="24"/>
        </w:rPr>
        <w:t>s order permits AEP to increase what it charges</w:t>
      </w:r>
      <w:r w:rsidRPr="00077403" w:rsidR="00B95C28">
        <w:rPr>
          <w:szCs w:val="24"/>
        </w:rPr>
        <w:t xml:space="preserve"> residential consumers by $154 million </w:t>
      </w:r>
      <w:r w:rsidRPr="00077403">
        <w:rPr>
          <w:szCs w:val="24"/>
        </w:rPr>
        <w:t xml:space="preserve">and </w:t>
      </w:r>
      <w:r w:rsidRPr="00077403" w:rsidR="00B95C28">
        <w:rPr>
          <w:szCs w:val="24"/>
        </w:rPr>
        <w:t>decreas</w:t>
      </w:r>
      <w:r w:rsidRPr="00077403">
        <w:rPr>
          <w:szCs w:val="24"/>
        </w:rPr>
        <w:t>e charges to</w:t>
      </w:r>
      <w:r w:rsidRPr="00077403" w:rsidR="00B95C28">
        <w:rPr>
          <w:szCs w:val="24"/>
        </w:rPr>
        <w:t xml:space="preserve"> most commercial and industrial</w:t>
      </w:r>
      <w:r w:rsidRPr="00077403">
        <w:rPr>
          <w:szCs w:val="24"/>
        </w:rPr>
        <w:t xml:space="preserve"> consumers</w:t>
      </w:r>
      <w:r w:rsidRPr="00077403" w:rsidR="00B95C28">
        <w:rPr>
          <w:szCs w:val="24"/>
        </w:rPr>
        <w:t xml:space="preserve"> by $114 million.</w:t>
      </w:r>
      <w:r w:rsidRPr="00077403" w:rsidR="00B00525">
        <w:rPr>
          <w:szCs w:val="24"/>
        </w:rPr>
        <w:t xml:space="preserve"> </w:t>
      </w:r>
      <w:r w:rsidRPr="00077403" w:rsidR="00B95C28">
        <w:rPr>
          <w:szCs w:val="24"/>
        </w:rPr>
        <w:t>Th</w:t>
      </w:r>
      <w:r w:rsidRPr="00077403">
        <w:rPr>
          <w:szCs w:val="24"/>
        </w:rPr>
        <w:t xml:space="preserve">is </w:t>
      </w:r>
      <w:r w:rsidRPr="00077403" w:rsidR="00B95C28">
        <w:rPr>
          <w:szCs w:val="24"/>
        </w:rPr>
        <w:t>result</w:t>
      </w:r>
      <w:r w:rsidRPr="00077403">
        <w:rPr>
          <w:szCs w:val="24"/>
        </w:rPr>
        <w:t>s</w:t>
      </w:r>
      <w:r w:rsidRPr="00077403" w:rsidR="00AF6C96">
        <w:rPr>
          <w:szCs w:val="24"/>
        </w:rPr>
        <w:t xml:space="preserve"> </w:t>
      </w:r>
      <w:r w:rsidRPr="00077403">
        <w:rPr>
          <w:szCs w:val="24"/>
        </w:rPr>
        <w:t>in</w:t>
      </w:r>
      <w:r w:rsidRPr="00077403" w:rsidR="00B95C28">
        <w:rPr>
          <w:szCs w:val="24"/>
        </w:rPr>
        <w:t xml:space="preserve"> an over 32% increase in </w:t>
      </w:r>
      <w:r w:rsidRPr="00077403" w:rsidR="00D96F5C">
        <w:rPr>
          <w:szCs w:val="24"/>
        </w:rPr>
        <w:t xml:space="preserve">transmission </w:t>
      </w:r>
      <w:r w:rsidRPr="00077403" w:rsidR="00B95C28">
        <w:rPr>
          <w:szCs w:val="24"/>
        </w:rPr>
        <w:t>charges to AEP</w:t>
      </w:r>
      <w:r w:rsidR="00077403">
        <w:rPr>
          <w:szCs w:val="24"/>
        </w:rPr>
        <w:t>’</w:t>
      </w:r>
      <w:r w:rsidRPr="00077403" w:rsidR="00B95C28">
        <w:rPr>
          <w:szCs w:val="24"/>
        </w:rPr>
        <w:t>s residential consumers.</w:t>
      </w:r>
      <w:r w:rsidRPr="00077403" w:rsidR="00B00525">
        <w:rPr>
          <w:szCs w:val="24"/>
        </w:rPr>
        <w:t xml:space="preserve"> </w:t>
      </w:r>
      <w:r w:rsidRPr="00077403" w:rsidR="00D96F5C">
        <w:rPr>
          <w:szCs w:val="24"/>
        </w:rPr>
        <w:t>The PUCO</w:t>
      </w:r>
      <w:r w:rsidR="00077403">
        <w:rPr>
          <w:szCs w:val="24"/>
        </w:rPr>
        <w:t>’</w:t>
      </w:r>
      <w:r w:rsidRPr="00077403" w:rsidR="00D96F5C">
        <w:rPr>
          <w:szCs w:val="24"/>
        </w:rPr>
        <w:t>s order approving the increase for the BTCR unfairly burdens AEP</w:t>
      </w:r>
      <w:r w:rsidR="00077403">
        <w:rPr>
          <w:szCs w:val="24"/>
        </w:rPr>
        <w:t>’</w:t>
      </w:r>
      <w:r w:rsidRPr="00077403" w:rsidR="00D96F5C">
        <w:rPr>
          <w:szCs w:val="24"/>
        </w:rPr>
        <w:t>s</w:t>
      </w:r>
      <w:r w:rsidR="00077403">
        <w:rPr>
          <w:szCs w:val="24"/>
        </w:rPr>
        <w:t xml:space="preserve"> </w:t>
      </w:r>
      <w:r w:rsidRPr="00077403" w:rsidR="00BD22EF">
        <w:rPr>
          <w:szCs w:val="24"/>
        </w:rPr>
        <w:t xml:space="preserve">1.5 million </w:t>
      </w:r>
      <w:r w:rsidRPr="00077403" w:rsidR="00D96F5C">
        <w:rPr>
          <w:szCs w:val="24"/>
        </w:rPr>
        <w:t>residential consumers.</w:t>
      </w:r>
      <w:r>
        <w:rPr>
          <w:rStyle w:val="FootnoteReference"/>
          <w:szCs w:val="24"/>
        </w:rPr>
        <w:footnoteReference w:id="2"/>
      </w:r>
    </w:p>
    <w:p w:rsidR="00223CB3" w:rsidRPr="00077403" w:rsidP="0048068A" w14:paraId="7A9F5B17" w14:textId="733A47C3">
      <w:pPr>
        <w:pStyle w:val="BodyTextIndent3"/>
        <w:widowControl w:val="0"/>
        <w:spacing w:line="480" w:lineRule="auto"/>
        <w:rPr>
          <w:szCs w:val="24"/>
        </w:rPr>
      </w:pPr>
      <w:r w:rsidRPr="00077403">
        <w:rPr>
          <w:szCs w:val="24"/>
        </w:rPr>
        <w:t>The PUCO</w:t>
      </w:r>
      <w:r w:rsidR="00077403">
        <w:rPr>
          <w:szCs w:val="24"/>
        </w:rPr>
        <w:t>’</w:t>
      </w:r>
      <w:r w:rsidRPr="00077403">
        <w:rPr>
          <w:szCs w:val="24"/>
        </w:rPr>
        <w:t>s order require</w:t>
      </w:r>
      <w:r w:rsidRPr="00077403" w:rsidR="00D96F5C">
        <w:rPr>
          <w:szCs w:val="24"/>
        </w:rPr>
        <w:t>s</w:t>
      </w:r>
      <w:r w:rsidRPr="00077403">
        <w:rPr>
          <w:szCs w:val="24"/>
        </w:rPr>
        <w:t xml:space="preserve"> </w:t>
      </w:r>
      <w:r w:rsidRPr="00077403" w:rsidR="00B95C28">
        <w:rPr>
          <w:szCs w:val="24"/>
        </w:rPr>
        <w:t xml:space="preserve">residential consumers </w:t>
      </w:r>
      <w:r w:rsidRPr="00077403">
        <w:rPr>
          <w:szCs w:val="24"/>
        </w:rPr>
        <w:t xml:space="preserve">to pay </w:t>
      </w:r>
      <w:r w:rsidRPr="00077403" w:rsidR="00B95C28">
        <w:rPr>
          <w:szCs w:val="24"/>
        </w:rPr>
        <w:t>more than 53% of AEP</w:t>
      </w:r>
      <w:r w:rsidR="00077403">
        <w:rPr>
          <w:szCs w:val="24"/>
        </w:rPr>
        <w:t>’</w:t>
      </w:r>
      <w:r w:rsidRPr="00077403" w:rsidR="00B95C28">
        <w:rPr>
          <w:szCs w:val="24"/>
        </w:rPr>
        <w:t xml:space="preserve">s </w:t>
      </w:r>
      <w:r w:rsidRPr="00077403" w:rsidR="00D96F5C">
        <w:rPr>
          <w:szCs w:val="24"/>
        </w:rPr>
        <w:t>transmission</w:t>
      </w:r>
      <w:r w:rsidRPr="00077403" w:rsidR="00B95C28">
        <w:rPr>
          <w:szCs w:val="24"/>
        </w:rPr>
        <w:t xml:space="preserve"> </w:t>
      </w:r>
      <w:r w:rsidRPr="00077403">
        <w:rPr>
          <w:szCs w:val="24"/>
        </w:rPr>
        <w:t>charges</w:t>
      </w:r>
      <w:r w:rsidRPr="00077403" w:rsidR="008E22FC">
        <w:rPr>
          <w:szCs w:val="24"/>
        </w:rPr>
        <w:t>;</w:t>
      </w:r>
      <w:r w:rsidRPr="00077403">
        <w:rPr>
          <w:szCs w:val="24"/>
        </w:rPr>
        <w:t xml:space="preserve"> previously residential consumers paid </w:t>
      </w:r>
      <w:r w:rsidRPr="00077403" w:rsidR="00B95C28">
        <w:rPr>
          <w:szCs w:val="24"/>
        </w:rPr>
        <w:t>only 42%</w:t>
      </w:r>
      <w:r w:rsidRPr="00077403" w:rsidR="008E22FC">
        <w:rPr>
          <w:szCs w:val="24"/>
        </w:rPr>
        <w:t xml:space="preserve"> of AEP</w:t>
      </w:r>
      <w:r w:rsidR="00077403">
        <w:rPr>
          <w:szCs w:val="24"/>
        </w:rPr>
        <w:t>’</w:t>
      </w:r>
      <w:r w:rsidRPr="00077403" w:rsidR="008E22FC">
        <w:rPr>
          <w:szCs w:val="24"/>
        </w:rPr>
        <w:t>s transmission charges</w:t>
      </w:r>
      <w:r w:rsidRPr="00077403" w:rsidR="00B95C28">
        <w:rPr>
          <w:szCs w:val="24"/>
        </w:rPr>
        <w:t>.</w:t>
      </w:r>
      <w:r w:rsidRPr="00077403" w:rsidR="00B00525">
        <w:rPr>
          <w:szCs w:val="24"/>
        </w:rPr>
        <w:t xml:space="preserve"> </w:t>
      </w:r>
      <w:r w:rsidRPr="00077403" w:rsidR="00B95C28">
        <w:rPr>
          <w:szCs w:val="24"/>
        </w:rPr>
        <w:t>Th</w:t>
      </w:r>
      <w:r w:rsidRPr="00077403">
        <w:rPr>
          <w:szCs w:val="24"/>
        </w:rPr>
        <w:t>is will increase residential consumers</w:t>
      </w:r>
      <w:r w:rsidR="00BB21FD">
        <w:rPr>
          <w:szCs w:val="24"/>
        </w:rPr>
        <w:t>’</w:t>
      </w:r>
      <w:r w:rsidRPr="00077403">
        <w:rPr>
          <w:szCs w:val="24"/>
        </w:rPr>
        <w:t xml:space="preserve"> charges under the </w:t>
      </w:r>
      <w:r w:rsidRPr="00077403" w:rsidR="00D96F5C">
        <w:rPr>
          <w:szCs w:val="24"/>
        </w:rPr>
        <w:t xml:space="preserve">transmission rider </w:t>
      </w:r>
      <w:r w:rsidRPr="00077403">
        <w:rPr>
          <w:szCs w:val="24"/>
        </w:rPr>
        <w:t>by</w:t>
      </w:r>
      <w:r w:rsidRPr="00077403" w:rsidR="00B95C28">
        <w:rPr>
          <w:szCs w:val="24"/>
        </w:rPr>
        <w:t xml:space="preserve"> $120.00 per year</w:t>
      </w:r>
      <w:r w:rsidRPr="00077403">
        <w:rPr>
          <w:szCs w:val="24"/>
        </w:rPr>
        <w:t>. This is on top of AEP</w:t>
      </w:r>
      <w:r w:rsidR="00077403">
        <w:rPr>
          <w:szCs w:val="24"/>
        </w:rPr>
        <w:t>’</w:t>
      </w:r>
      <w:r w:rsidRPr="00077403">
        <w:rPr>
          <w:szCs w:val="24"/>
        </w:rPr>
        <w:t xml:space="preserve">s </w:t>
      </w:r>
      <w:r w:rsidRPr="00077403" w:rsidR="00D96F5C">
        <w:rPr>
          <w:szCs w:val="24"/>
        </w:rPr>
        <w:t xml:space="preserve">recent </w:t>
      </w:r>
      <w:r w:rsidRPr="00077403">
        <w:rPr>
          <w:szCs w:val="24"/>
        </w:rPr>
        <w:t>increase in charges to consumers under its latest electric security plan (</w:t>
      </w:r>
      <w:r w:rsidR="00077403">
        <w:rPr>
          <w:szCs w:val="24"/>
        </w:rPr>
        <w:t>“</w:t>
      </w:r>
      <w:r w:rsidRPr="00077403">
        <w:rPr>
          <w:szCs w:val="24"/>
        </w:rPr>
        <w:t>ESP</w:t>
      </w:r>
      <w:r w:rsidR="00077403">
        <w:rPr>
          <w:szCs w:val="24"/>
        </w:rPr>
        <w:t>”</w:t>
      </w:r>
      <w:r w:rsidRPr="00077403">
        <w:rPr>
          <w:szCs w:val="24"/>
        </w:rPr>
        <w:t>)</w:t>
      </w:r>
      <w:r w:rsidRPr="00077403" w:rsidR="00BD22EF">
        <w:rPr>
          <w:szCs w:val="24"/>
        </w:rPr>
        <w:t xml:space="preserve"> that will allow AEP to increase charges an extra $8 a month by 2028</w:t>
      </w:r>
      <w:r w:rsidRPr="00077403" w:rsidR="00AF4E48">
        <w:rPr>
          <w:szCs w:val="24"/>
        </w:rPr>
        <w:t xml:space="preserve">. </w:t>
      </w:r>
      <w:r w:rsidRPr="00077403" w:rsidR="00B95C28">
        <w:rPr>
          <w:szCs w:val="24"/>
        </w:rPr>
        <w:t>The PUCO approved this massive re-allocation of costs</w:t>
      </w:r>
      <w:r w:rsidRPr="00077403" w:rsidR="000A0FA0">
        <w:rPr>
          <w:szCs w:val="24"/>
        </w:rPr>
        <w:t xml:space="preserve"> to </w:t>
      </w:r>
      <w:r w:rsidRPr="00077403">
        <w:rPr>
          <w:szCs w:val="24"/>
        </w:rPr>
        <w:t xml:space="preserve">residential </w:t>
      </w:r>
      <w:r w:rsidRPr="00077403" w:rsidR="000A0FA0">
        <w:rPr>
          <w:szCs w:val="24"/>
        </w:rPr>
        <w:t>consumers</w:t>
      </w:r>
      <w:r w:rsidRPr="00077403" w:rsidR="00B95C28">
        <w:rPr>
          <w:szCs w:val="24"/>
        </w:rPr>
        <w:t xml:space="preserve"> with</w:t>
      </w:r>
      <w:r w:rsidRPr="00077403" w:rsidR="008464E4">
        <w:rPr>
          <w:szCs w:val="24"/>
        </w:rPr>
        <w:t>out explanation.</w:t>
      </w:r>
      <w:r>
        <w:rPr>
          <w:rStyle w:val="FootnoteReference"/>
          <w:szCs w:val="24"/>
        </w:rPr>
        <w:footnoteReference w:id="3"/>
      </w:r>
      <w:r w:rsidRPr="00077403" w:rsidR="00B00525">
        <w:rPr>
          <w:szCs w:val="24"/>
        </w:rPr>
        <w:t xml:space="preserve"> </w:t>
      </w:r>
    </w:p>
    <w:p w:rsidR="00724B42" w:rsidRPr="00077403" w:rsidP="00724B42" w14:paraId="61DC3062" w14:textId="7AA1DFCC">
      <w:pPr>
        <w:pStyle w:val="BodyTextIndent3"/>
        <w:widowControl w:val="0"/>
        <w:spacing w:line="480" w:lineRule="auto"/>
        <w:rPr>
          <w:szCs w:val="24"/>
        </w:rPr>
      </w:pPr>
      <w:r w:rsidRPr="00077403">
        <w:rPr>
          <w:szCs w:val="24"/>
        </w:rPr>
        <w:t xml:space="preserve">These are the very same transmission charges that OCC has been </w:t>
      </w:r>
      <w:r w:rsidRPr="00077403" w:rsidR="001C6CE1">
        <w:rPr>
          <w:szCs w:val="24"/>
        </w:rPr>
        <w:t>challenging at the federal level.</w:t>
      </w:r>
      <w:r w:rsidR="00077403">
        <w:rPr>
          <w:szCs w:val="24"/>
        </w:rPr>
        <w:t xml:space="preserve"> </w:t>
      </w:r>
      <w:r w:rsidRPr="00077403" w:rsidR="001C6CE1">
        <w:rPr>
          <w:szCs w:val="24"/>
        </w:rPr>
        <w:t xml:space="preserve">In September of 2023, </w:t>
      </w:r>
      <w:r w:rsidRPr="00077403" w:rsidR="00B95C28">
        <w:rPr>
          <w:szCs w:val="24"/>
        </w:rPr>
        <w:t>OCC filed a complaint before the Federal Energy Regulatory Commission (</w:t>
      </w:r>
      <w:r w:rsidR="00077403">
        <w:rPr>
          <w:szCs w:val="24"/>
        </w:rPr>
        <w:t>“</w:t>
      </w:r>
      <w:r w:rsidRPr="00077403" w:rsidR="00B95C28">
        <w:rPr>
          <w:szCs w:val="24"/>
        </w:rPr>
        <w:t>FERC</w:t>
      </w:r>
      <w:r w:rsidR="00077403">
        <w:rPr>
          <w:szCs w:val="24"/>
        </w:rPr>
        <w:t>”</w:t>
      </w:r>
      <w:r w:rsidRPr="00077403" w:rsidR="00B95C28">
        <w:rPr>
          <w:szCs w:val="24"/>
        </w:rPr>
        <w:t xml:space="preserve">) </w:t>
      </w:r>
      <w:r w:rsidRPr="00077403" w:rsidR="00AF4E48">
        <w:rPr>
          <w:szCs w:val="24"/>
        </w:rPr>
        <w:t xml:space="preserve">regarding </w:t>
      </w:r>
      <w:r w:rsidRPr="00077403" w:rsidR="00B95C28">
        <w:rPr>
          <w:szCs w:val="24"/>
        </w:rPr>
        <w:t xml:space="preserve">supplemental transmission </w:t>
      </w:r>
      <w:r w:rsidRPr="00077403" w:rsidR="00AF4E48">
        <w:rPr>
          <w:szCs w:val="24"/>
        </w:rPr>
        <w:t xml:space="preserve">project </w:t>
      </w:r>
      <w:r w:rsidRPr="00077403" w:rsidR="00B95C28">
        <w:rPr>
          <w:szCs w:val="24"/>
        </w:rPr>
        <w:t xml:space="preserve">costs that </w:t>
      </w:r>
      <w:r w:rsidRPr="00077403" w:rsidR="008E22FC">
        <w:rPr>
          <w:szCs w:val="24"/>
        </w:rPr>
        <w:t xml:space="preserve">Ohio distribution utilities </w:t>
      </w:r>
      <w:r w:rsidRPr="00077403" w:rsidR="00AF4E48">
        <w:rPr>
          <w:szCs w:val="24"/>
        </w:rPr>
        <w:t>charge consumers</w:t>
      </w:r>
      <w:r w:rsidRPr="00077403" w:rsidR="00B95C28">
        <w:rPr>
          <w:szCs w:val="24"/>
        </w:rPr>
        <w:t>.</w:t>
      </w:r>
      <w:r w:rsidR="00077403">
        <w:rPr>
          <w:szCs w:val="24"/>
        </w:rPr>
        <w:t xml:space="preserve"> </w:t>
      </w:r>
      <w:r w:rsidRPr="00077403">
        <w:rPr>
          <w:szCs w:val="24"/>
        </w:rPr>
        <w:t xml:space="preserve">PUCO Commissioner Conway publicly noted the </w:t>
      </w:r>
      <w:r w:rsidR="00077403">
        <w:rPr>
          <w:szCs w:val="24"/>
        </w:rPr>
        <w:t>“</w:t>
      </w:r>
      <w:r w:rsidRPr="00077403">
        <w:rPr>
          <w:szCs w:val="24"/>
        </w:rPr>
        <w:t>lack of sufficient oversight with respect to local planning and the impacts it might be having on costs that our ratepayers ultimately bear.</w:t>
      </w:r>
      <w:r w:rsidR="00077403">
        <w:rPr>
          <w:szCs w:val="24"/>
        </w:rPr>
        <w:t>”</w:t>
      </w:r>
      <w:r>
        <w:rPr>
          <w:szCs w:val="24"/>
          <w:vertAlign w:val="superscript"/>
        </w:rPr>
        <w:footnoteReference w:id="4"/>
      </w:r>
      <w:r w:rsidRPr="00077403">
        <w:rPr>
          <w:szCs w:val="24"/>
        </w:rPr>
        <w:t xml:space="preserve"> And the Ohio Federal Advocate, in commenting on proposed reform on transmission planning, pled for more reform -- </w:t>
      </w:r>
      <w:r w:rsidR="00077403">
        <w:rPr>
          <w:szCs w:val="24"/>
        </w:rPr>
        <w:t>“</w:t>
      </w:r>
      <w:r w:rsidRPr="00077403">
        <w:rPr>
          <w:szCs w:val="24"/>
        </w:rPr>
        <w:t>[i]t is not the best we can do, and the work needs to continue.</w:t>
      </w:r>
      <w:r w:rsidR="00077403">
        <w:rPr>
          <w:szCs w:val="24"/>
        </w:rPr>
        <w:t>”</w:t>
      </w:r>
      <w:r>
        <w:rPr>
          <w:szCs w:val="24"/>
          <w:vertAlign w:val="superscript"/>
        </w:rPr>
        <w:footnoteReference w:id="5"/>
      </w:r>
      <w:r w:rsidRPr="00077403">
        <w:rPr>
          <w:szCs w:val="24"/>
        </w:rPr>
        <w:t xml:space="preserve"> We agree. </w:t>
      </w:r>
    </w:p>
    <w:p w:rsidR="00EC0C45" w:rsidRPr="00077403" w:rsidP="00724B42" w14:paraId="5E66EE15" w14:textId="343A47ED">
      <w:pPr>
        <w:pStyle w:val="BodyTextIndent3"/>
        <w:widowControl w:val="0"/>
        <w:spacing w:line="480" w:lineRule="auto"/>
        <w:rPr>
          <w:szCs w:val="24"/>
        </w:rPr>
      </w:pPr>
      <w:r w:rsidRPr="00077403">
        <w:rPr>
          <w:szCs w:val="24"/>
        </w:rPr>
        <w:t xml:space="preserve">But these words ring hollow for </w:t>
      </w:r>
      <w:r w:rsidRPr="00077403" w:rsidR="00776741">
        <w:rPr>
          <w:szCs w:val="24"/>
        </w:rPr>
        <w:t>AEP residential</w:t>
      </w:r>
      <w:r w:rsidRPr="00077403">
        <w:rPr>
          <w:szCs w:val="24"/>
        </w:rPr>
        <w:t xml:space="preserve"> consumers who received a $154 million transmission increase in this proceeding without </w:t>
      </w:r>
      <w:r w:rsidR="002650A6">
        <w:rPr>
          <w:szCs w:val="24"/>
        </w:rPr>
        <w:t xml:space="preserve">the PUCO identifying </w:t>
      </w:r>
      <w:r w:rsidRPr="00077403">
        <w:rPr>
          <w:szCs w:val="24"/>
        </w:rPr>
        <w:t>evidence to support that increase</w:t>
      </w:r>
      <w:r w:rsidR="002650A6">
        <w:rPr>
          <w:szCs w:val="24"/>
        </w:rPr>
        <w:t>, providing findings of fact related to that increase, and explaining its rationale for approved such a global shift in costs</w:t>
      </w:r>
      <w:r w:rsidRPr="00077403">
        <w:rPr>
          <w:szCs w:val="24"/>
        </w:rPr>
        <w:t>.</w:t>
      </w:r>
      <w:r w:rsidR="00077403">
        <w:rPr>
          <w:szCs w:val="24"/>
        </w:rPr>
        <w:t xml:space="preserve"> </w:t>
      </w:r>
      <w:r w:rsidRPr="00077403">
        <w:rPr>
          <w:szCs w:val="24"/>
        </w:rPr>
        <w:t xml:space="preserve">The PUCO should, as explained below, grant rehearing to reconsider the transmission </w:t>
      </w:r>
      <w:r w:rsidRPr="00077403" w:rsidR="00776741">
        <w:rPr>
          <w:szCs w:val="24"/>
        </w:rPr>
        <w:t xml:space="preserve">charges </w:t>
      </w:r>
      <w:r w:rsidRPr="00077403" w:rsidR="00E44E6B">
        <w:rPr>
          <w:szCs w:val="24"/>
        </w:rPr>
        <w:t xml:space="preserve">allocated </w:t>
      </w:r>
      <w:r w:rsidRPr="00077403" w:rsidR="00776741">
        <w:rPr>
          <w:szCs w:val="24"/>
        </w:rPr>
        <w:t xml:space="preserve">to </w:t>
      </w:r>
      <w:r w:rsidRPr="00077403">
        <w:rPr>
          <w:szCs w:val="24"/>
        </w:rPr>
        <w:t>residential consumers under the PUCO</w:t>
      </w:r>
      <w:r w:rsidR="00077403">
        <w:rPr>
          <w:szCs w:val="24"/>
        </w:rPr>
        <w:t>’</w:t>
      </w:r>
      <w:r w:rsidRPr="00077403">
        <w:rPr>
          <w:szCs w:val="24"/>
        </w:rPr>
        <w:t>s Order.</w:t>
      </w:r>
      <w:r w:rsidR="00077403">
        <w:rPr>
          <w:szCs w:val="24"/>
        </w:rPr>
        <w:t xml:space="preserve"> </w:t>
      </w:r>
    </w:p>
    <w:p w:rsidR="00861F5E" w:rsidRPr="00077403" w:rsidP="00861F5E" w14:paraId="583E4942" w14:textId="77777777">
      <w:pPr>
        <w:pStyle w:val="BodyTextIndent3"/>
        <w:widowControl w:val="0"/>
        <w:spacing w:line="240" w:lineRule="auto"/>
        <w:rPr>
          <w:szCs w:val="24"/>
        </w:rPr>
      </w:pPr>
    </w:p>
    <w:p w:rsidR="00F160AA" w:rsidRPr="00077403" w:rsidP="00956E69" w14:paraId="1F0BAD88" w14:textId="43911EAF">
      <w:pPr>
        <w:pStyle w:val="Heading1"/>
        <w:numPr>
          <w:ilvl w:val="0"/>
          <w:numId w:val="0"/>
        </w:numPr>
        <w:ind w:left="720" w:hanging="720"/>
      </w:pPr>
      <w:bookmarkStart w:id="10" w:name="_Toc164437301"/>
      <w:r w:rsidRPr="00077403">
        <w:t>II.</w:t>
      </w:r>
      <w:r w:rsidRPr="00077403">
        <w:tab/>
      </w:r>
      <w:bookmarkEnd w:id="4"/>
      <w:bookmarkEnd w:id="5"/>
      <w:bookmarkEnd w:id="6"/>
      <w:bookmarkEnd w:id="7"/>
      <w:bookmarkEnd w:id="8"/>
      <w:bookmarkEnd w:id="9"/>
      <w:r w:rsidRPr="00077403" w:rsidR="000B2FC5">
        <w:t>ASSIGNMENTS OF ERRORS</w:t>
      </w:r>
      <w:bookmarkStart w:id="11" w:name="_Toc534969806"/>
      <w:bookmarkStart w:id="12" w:name="_Toc534970005"/>
      <w:bookmarkStart w:id="13" w:name="_Toc534970546"/>
      <w:bookmarkStart w:id="14" w:name="_Toc534970652"/>
      <w:bookmarkStart w:id="15" w:name="_Toc535583493"/>
      <w:bookmarkEnd w:id="10"/>
    </w:p>
    <w:p w:rsidR="000B2FC5" w:rsidRPr="00077403" w:rsidP="003A3CA5" w14:paraId="1BBC5438" w14:textId="572E23D9">
      <w:pPr>
        <w:pStyle w:val="Heading2"/>
        <w:numPr>
          <w:ilvl w:val="0"/>
          <w:numId w:val="0"/>
        </w:numPr>
        <w:ind w:left="720"/>
      </w:pPr>
      <w:bookmarkStart w:id="16" w:name="_Toc164437302"/>
      <w:r w:rsidRPr="00077403">
        <w:t>ASSIGNMENT OF ERROR 1: The PUCO</w:t>
      </w:r>
      <w:r w:rsidR="00077403">
        <w:t>’</w:t>
      </w:r>
      <w:r w:rsidRPr="00077403">
        <w:t xml:space="preserve">s Finding and Order is unlawful and unreasonable because it approved </w:t>
      </w:r>
      <w:r w:rsidRPr="00077403" w:rsidR="00EC0C45">
        <w:t xml:space="preserve">a $154 million increase </w:t>
      </w:r>
      <w:r w:rsidR="00201790">
        <w:t xml:space="preserve">in transmission charges </w:t>
      </w:r>
      <w:r w:rsidRPr="00077403" w:rsidR="00EC0C45">
        <w:t xml:space="preserve">to residential consumers </w:t>
      </w:r>
      <w:r w:rsidRPr="00077403">
        <w:t>without</w:t>
      </w:r>
      <w:r w:rsidRPr="00077403" w:rsidR="003F2465">
        <w:t xml:space="preserve"> </w:t>
      </w:r>
      <w:bookmarkStart w:id="17" w:name="_Hlk164257556"/>
      <w:r w:rsidR="00201790">
        <w:t xml:space="preserve">identifying any </w:t>
      </w:r>
      <w:r w:rsidRPr="00077403" w:rsidR="00C11C4B">
        <w:t xml:space="preserve">record </w:t>
      </w:r>
      <w:r w:rsidRPr="00077403" w:rsidR="003F2465">
        <w:t xml:space="preserve">evidence, </w:t>
      </w:r>
      <w:r w:rsidR="00201790">
        <w:t xml:space="preserve">or making </w:t>
      </w:r>
      <w:r w:rsidRPr="00077403" w:rsidR="003F2465">
        <w:t xml:space="preserve">findings of fact, or </w:t>
      </w:r>
      <w:r w:rsidR="00201790">
        <w:t>providing a written opinion setting forth its rationale, all</w:t>
      </w:r>
      <w:bookmarkEnd w:id="17"/>
      <w:r w:rsidR="002F3999">
        <w:t xml:space="preserve"> </w:t>
      </w:r>
      <w:r w:rsidRPr="00077403">
        <w:t>in violation of R.C. 4903.09.</w:t>
      </w:r>
      <w:bookmarkEnd w:id="16"/>
    </w:p>
    <w:p w:rsidR="00956E69" w:rsidRPr="00077403" w:rsidP="000B2FC5" w14:paraId="2DCF41DD" w14:textId="28CCFF34">
      <w:pPr>
        <w:spacing w:line="480" w:lineRule="auto"/>
        <w:ind w:firstLine="720"/>
      </w:pPr>
      <w:r w:rsidRPr="00077403">
        <w:t xml:space="preserve"> The </w:t>
      </w:r>
      <w:r w:rsidRPr="00077403" w:rsidR="00644065">
        <w:t xml:space="preserve">PUCO approved an enormous increase in </w:t>
      </w:r>
      <w:r w:rsidRPr="00077403">
        <w:t>AEP</w:t>
      </w:r>
      <w:r w:rsidR="00077403">
        <w:t>’</w:t>
      </w:r>
      <w:r w:rsidRPr="00077403">
        <w:t>s</w:t>
      </w:r>
      <w:r w:rsidRPr="00077403" w:rsidR="00644065">
        <w:t xml:space="preserve"> transmission charges to residential consumers </w:t>
      </w:r>
      <w:r w:rsidRPr="00077403" w:rsidR="003563F2">
        <w:t>effective April 1, 2024.</w:t>
      </w:r>
      <w:r w:rsidR="00077403">
        <w:t xml:space="preserve"> </w:t>
      </w:r>
      <w:r w:rsidRPr="00077403" w:rsidR="00644065">
        <w:t xml:space="preserve">Part of the increase </w:t>
      </w:r>
      <w:r w:rsidRPr="00077403" w:rsidR="00776741">
        <w:t xml:space="preserve">comes from </w:t>
      </w:r>
      <w:r w:rsidRPr="00077403" w:rsidR="00644065">
        <w:t xml:space="preserve">increasing </w:t>
      </w:r>
      <w:r w:rsidRPr="00077403" w:rsidR="003563F2">
        <w:t>the amount</w:t>
      </w:r>
      <w:r w:rsidRPr="00077403" w:rsidR="00644065">
        <w:t xml:space="preserve"> of </w:t>
      </w:r>
      <w:r w:rsidRPr="00077403">
        <w:t>AEP</w:t>
      </w:r>
      <w:r w:rsidR="00077403">
        <w:t>’</w:t>
      </w:r>
      <w:r w:rsidRPr="00077403">
        <w:t>s</w:t>
      </w:r>
      <w:r w:rsidRPr="00077403" w:rsidR="00644065">
        <w:t xml:space="preserve"> transmission costs allocated to residential consumers.</w:t>
      </w:r>
      <w:r w:rsidR="00077403">
        <w:t xml:space="preserve"> </w:t>
      </w:r>
      <w:r w:rsidRPr="00077403" w:rsidR="00644065">
        <w:t>But the PUCO</w:t>
      </w:r>
      <w:r w:rsidRPr="00077403">
        <w:t xml:space="preserve"> </w:t>
      </w:r>
      <w:r w:rsidRPr="00077403" w:rsidR="00644065">
        <w:t xml:space="preserve">fails to cite </w:t>
      </w:r>
      <w:r w:rsidRPr="00077403" w:rsidR="003F2465">
        <w:t>evidence supporting</w:t>
      </w:r>
      <w:r w:rsidRPr="00077403" w:rsidR="001C6CE1">
        <w:t xml:space="preserve"> the</w:t>
      </w:r>
      <w:r w:rsidRPr="00077403">
        <w:t xml:space="preserve"> re</w:t>
      </w:r>
      <w:r w:rsidRPr="00077403" w:rsidR="001C6CE1">
        <w:t>allocation of additional transmission costs to residential consumers</w:t>
      </w:r>
      <w:r w:rsidRPr="00077403">
        <w:t>.</w:t>
      </w:r>
      <w:r w:rsidR="00077403">
        <w:t xml:space="preserve"> </w:t>
      </w:r>
    </w:p>
    <w:p w:rsidR="009466A4" w:rsidRPr="00077403" w:rsidP="00E42209" w14:paraId="5E9CB97F" w14:textId="2B0A2612">
      <w:pPr>
        <w:spacing w:line="480" w:lineRule="auto"/>
        <w:ind w:firstLine="720"/>
      </w:pPr>
      <w:r w:rsidRPr="00077403">
        <w:t>The</w:t>
      </w:r>
      <w:r w:rsidRPr="00077403" w:rsidR="008D70C0">
        <w:t xml:space="preserve"> PUCO</w:t>
      </w:r>
      <w:r w:rsidRPr="00077403">
        <w:t xml:space="preserve"> </w:t>
      </w:r>
      <w:r w:rsidRPr="00077403" w:rsidR="003563F2">
        <w:t xml:space="preserve">cannot rely upon </w:t>
      </w:r>
      <w:r w:rsidRPr="00077403">
        <w:t>its</w:t>
      </w:r>
      <w:r w:rsidRPr="00077403" w:rsidR="008D70C0">
        <w:t xml:space="preserve"> Staff</w:t>
      </w:r>
      <w:r w:rsidRPr="00077403">
        <w:t xml:space="preserve"> report</w:t>
      </w:r>
      <w:r w:rsidRPr="00077403" w:rsidR="00956E69">
        <w:t xml:space="preserve"> as rationale for allocating more transmission costs to residential consumers</w:t>
      </w:r>
      <w:r w:rsidRPr="00077403" w:rsidR="007F2179">
        <w:t xml:space="preserve"> </w:t>
      </w:r>
      <w:r w:rsidRPr="00077403" w:rsidR="00166E70">
        <w:t>since the</w:t>
      </w:r>
      <w:r w:rsidRPr="00077403" w:rsidR="00D41A2E">
        <w:t xml:space="preserve"> Staff </w:t>
      </w:r>
      <w:r w:rsidRPr="00A47AB0" w:rsidR="00D41A2E">
        <w:t xml:space="preserve">Report </w:t>
      </w:r>
      <w:r w:rsidRPr="00A47AB0" w:rsidR="00166E70">
        <w:t xml:space="preserve">does not even discuss </w:t>
      </w:r>
      <w:r w:rsidRPr="00A47AB0" w:rsidR="00D41A2E">
        <w:t xml:space="preserve">the </w:t>
      </w:r>
      <w:r w:rsidRPr="00A47AB0" w:rsidR="00776741">
        <w:t xml:space="preserve">increased allocation </w:t>
      </w:r>
      <w:r w:rsidRPr="00A47AB0" w:rsidR="00D41A2E">
        <w:t>of transmission</w:t>
      </w:r>
      <w:r w:rsidRPr="00A47AB0" w:rsidR="00077403">
        <w:t xml:space="preserve"> </w:t>
      </w:r>
      <w:r w:rsidRPr="00A47AB0" w:rsidR="00D41A2E">
        <w:t>costs to residential consumers</w:t>
      </w:r>
      <w:r w:rsidR="00BB21FD">
        <w:t>.</w:t>
      </w:r>
      <w:r w:rsidRPr="00A47AB0" w:rsidR="00077403">
        <w:t xml:space="preserve"> </w:t>
      </w:r>
      <w:r w:rsidRPr="00A47AB0" w:rsidR="00166E70">
        <w:t>Instead</w:t>
      </w:r>
      <w:r w:rsidRPr="00077403" w:rsidR="00166E70">
        <w:t xml:space="preserve"> of addressing the cost allocation issues, </w:t>
      </w:r>
      <w:r w:rsidRPr="00077403" w:rsidR="001D7311">
        <w:t xml:space="preserve">the PUCO </w:t>
      </w:r>
      <w:r w:rsidRPr="00077403" w:rsidR="00D41A2E">
        <w:t xml:space="preserve">summarily concludes that </w:t>
      </w:r>
      <w:r w:rsidR="002650A6">
        <w:t>“</w:t>
      </w:r>
      <w:r w:rsidRPr="00077403" w:rsidR="00D41A2E">
        <w:t>AEP</w:t>
      </w:r>
      <w:r w:rsidR="00077403">
        <w:t>’</w:t>
      </w:r>
      <w:r w:rsidRPr="00077403" w:rsidR="00D41A2E">
        <w:t xml:space="preserve">s application, as amended, </w:t>
      </w:r>
      <w:r w:rsidRPr="00077403" w:rsidR="00E42209">
        <w:t>d</w:t>
      </w:r>
      <w:r w:rsidRPr="00077403" w:rsidR="001D7311">
        <w:t>oes not appear to be unjust or unreasonable.</w:t>
      </w:r>
      <w:r w:rsidR="00077403">
        <w:t>”</w:t>
      </w:r>
      <w:r>
        <w:rPr>
          <w:rStyle w:val="FootnoteReference"/>
        </w:rPr>
        <w:footnoteReference w:id="6"/>
      </w:r>
      <w:r w:rsidRPr="00077403" w:rsidR="008D70C0">
        <w:t xml:space="preserve"> </w:t>
      </w:r>
      <w:r w:rsidRPr="00077403" w:rsidR="00776741">
        <w:t>In this regard, t</w:t>
      </w:r>
      <w:r w:rsidRPr="00077403" w:rsidR="00A96982">
        <w:t>he PUCO</w:t>
      </w:r>
      <w:r w:rsidRPr="00077403" w:rsidR="00D41A2E">
        <w:t xml:space="preserve"> failed to</w:t>
      </w:r>
      <w:r w:rsidRPr="00077403" w:rsidR="00A96982">
        <w:t xml:space="preserve"> address </w:t>
      </w:r>
      <w:r w:rsidRPr="00077403" w:rsidR="00166E70">
        <w:t xml:space="preserve">the significant cost-shifting to residential consumers as well as </w:t>
      </w:r>
      <w:r w:rsidRPr="00077403" w:rsidR="00544DC2">
        <w:t>OCC</w:t>
      </w:r>
      <w:r w:rsidR="00077403">
        <w:t>’</w:t>
      </w:r>
      <w:r w:rsidRPr="00077403" w:rsidR="00544DC2">
        <w:t xml:space="preserve">s </w:t>
      </w:r>
      <w:r w:rsidRPr="00077403" w:rsidR="00A96982">
        <w:t>comments regarding AEP</w:t>
      </w:r>
      <w:r w:rsidR="00077403">
        <w:t>’</w:t>
      </w:r>
      <w:r w:rsidRPr="00077403" w:rsidR="00A96982">
        <w:t xml:space="preserve">s unreasonable proposal to increase </w:t>
      </w:r>
      <w:r w:rsidRPr="00077403" w:rsidR="00776741">
        <w:t xml:space="preserve">transmission </w:t>
      </w:r>
      <w:r w:rsidRPr="00077403" w:rsidR="00A96982">
        <w:t>charges to</w:t>
      </w:r>
      <w:r w:rsidRPr="00077403" w:rsidR="00544DC2">
        <w:t xml:space="preserve"> residential consumers</w:t>
      </w:r>
      <w:r w:rsidRPr="00077403" w:rsidR="00A32B46">
        <w:t xml:space="preserve"> </w:t>
      </w:r>
      <w:r w:rsidRPr="00077403" w:rsidR="00544DC2">
        <w:t>by $154 million</w:t>
      </w:r>
      <w:r w:rsidRPr="00077403" w:rsidR="0016597D">
        <w:t>,</w:t>
      </w:r>
      <w:r w:rsidRPr="00077403" w:rsidR="00544DC2">
        <w:t xml:space="preserve"> </w:t>
      </w:r>
      <w:r w:rsidRPr="00077403" w:rsidR="00A96982">
        <w:t xml:space="preserve">while decreasing charges to </w:t>
      </w:r>
      <w:r w:rsidRPr="00077403" w:rsidR="00544DC2">
        <w:t xml:space="preserve">most commercial and industrial </w:t>
      </w:r>
      <w:r w:rsidRPr="00077403" w:rsidR="00A96982">
        <w:t>consumers</w:t>
      </w:r>
      <w:r w:rsidRPr="00077403" w:rsidR="00544DC2">
        <w:t xml:space="preserve"> by $114 million</w:t>
      </w:r>
    </w:p>
    <w:p w:rsidR="00D84209" w:rsidRPr="00077403" w:rsidP="00644065" w14:paraId="512E5C4E" w14:textId="7DD29EE5">
      <w:pPr>
        <w:spacing w:line="480" w:lineRule="auto"/>
        <w:ind w:firstLine="720"/>
      </w:pPr>
      <w:r w:rsidRPr="00077403">
        <w:t>The PUCO</w:t>
      </w:r>
      <w:r w:rsidR="00077403">
        <w:t>’</w:t>
      </w:r>
      <w:r w:rsidRPr="00077403">
        <w:t xml:space="preserve">s decision </w:t>
      </w:r>
      <w:r w:rsidRPr="00077403" w:rsidR="000B2FC5">
        <w:t xml:space="preserve">violates R.C. 4903.09 because </w:t>
      </w:r>
      <w:r w:rsidRPr="00077403" w:rsidR="00065E45">
        <w:t xml:space="preserve">it </w:t>
      </w:r>
      <w:r w:rsidRPr="00077403" w:rsidR="00887B4C">
        <w:t>d</w:t>
      </w:r>
      <w:r w:rsidR="002650A6">
        <w:t>oes</w:t>
      </w:r>
      <w:r w:rsidRPr="00077403" w:rsidR="00887B4C">
        <w:t xml:space="preserve"> not provide </w:t>
      </w:r>
      <w:r w:rsidRPr="00077403" w:rsidR="00776741">
        <w:t xml:space="preserve">sufficient </w:t>
      </w:r>
      <w:r w:rsidRPr="00077403" w:rsidR="00887B4C">
        <w:t>evidence, findings of fact, or written opinions for approving the enormous cost-shifting to residential consumers.</w:t>
      </w:r>
      <w:r w:rsidR="00077403">
        <w:t xml:space="preserve"> </w:t>
      </w:r>
    </w:p>
    <w:p w:rsidR="0038520D" w:rsidRPr="00077403" w:rsidP="000B2FC5" w14:paraId="4E1DC40A" w14:textId="301559BA">
      <w:pPr>
        <w:spacing w:line="480" w:lineRule="auto"/>
        <w:ind w:firstLine="720"/>
      </w:pPr>
      <w:r w:rsidRPr="00077403">
        <w:t xml:space="preserve">R.C. </w:t>
      </w:r>
      <w:r w:rsidRPr="00077403">
        <w:t xml:space="preserve">4903.09 provides that </w:t>
      </w:r>
      <w:r w:rsidR="00077403">
        <w:t>“</w:t>
      </w:r>
      <w:r w:rsidRPr="00077403">
        <w:t>(i)n all contested cases heard by the public utilities commission, a complete record of all of the proceedings shall be made, including a transcript of all testimony and of all exhibits, and the commission shall file, with the records of such cases, findings of fact and written opinions setting forth the reasons prompting the decisions arrived at, based upon said findings of fact.</w:t>
      </w:r>
      <w:r w:rsidR="00077403">
        <w:t>”</w:t>
      </w:r>
      <w:r w:rsidRPr="00077403" w:rsidR="00B00525">
        <w:t xml:space="preserve"> </w:t>
      </w:r>
      <w:r w:rsidRPr="00077403" w:rsidR="007F352A">
        <w:t>The Supreme Court of Ohio has confirmed th</w:t>
      </w:r>
      <w:r w:rsidRPr="00077403" w:rsidR="00A25295">
        <w:t xml:space="preserve">at the PUCO must follow the </w:t>
      </w:r>
      <w:r w:rsidRPr="00077403" w:rsidR="00D84209">
        <w:t xml:space="preserve">statutory mandate of </w:t>
      </w:r>
      <w:r w:rsidRPr="00077403" w:rsidR="007F352A">
        <w:t>4903.09:</w:t>
      </w:r>
      <w:r w:rsidRPr="00077403">
        <w:t xml:space="preserve"> </w:t>
      </w:r>
    </w:p>
    <w:p w:rsidR="007F352A" w:rsidRPr="00E02E35" w:rsidP="00EF0160" w14:paraId="48940F19" w14:textId="00420F09">
      <w:pPr>
        <w:ind w:left="1440" w:right="1440"/>
        <w:rPr>
          <w:color w:val="000000" w:themeColor="text1"/>
        </w:rPr>
      </w:pPr>
      <w:r w:rsidRPr="00077403">
        <w:t>The purposes behind </w:t>
      </w:r>
      <w:hyperlink r:id="rId16" w:history="1">
        <w:r w:rsidRPr="00E02E35">
          <w:rPr>
            <w:rStyle w:val="Hyperlink"/>
            <w:color w:val="000000" w:themeColor="text1"/>
            <w:u w:val="none"/>
          </w:rPr>
          <w:t>R.C. 4903.09</w:t>
        </w:r>
      </w:hyperlink>
      <w:r w:rsidRPr="00E02E35" w:rsidR="00BB1196">
        <w:rPr>
          <w:color w:val="000000" w:themeColor="text1"/>
        </w:rPr>
        <w:t>’</w:t>
      </w:r>
      <w:r w:rsidRPr="00E02E35">
        <w:rPr>
          <w:color w:val="000000" w:themeColor="text1"/>
        </w:rPr>
        <w:t>s requirements are straightforward. For a reviewing court to do its job, it needs to have enough information to know how the commission reached its result. </w:t>
      </w:r>
      <w:hyperlink r:id="rId16" w:history="1">
        <w:r w:rsidRPr="00E02E35">
          <w:rPr>
            <w:rStyle w:val="Hyperlink"/>
            <w:i/>
            <w:iCs/>
            <w:color w:val="000000" w:themeColor="text1"/>
            <w:u w:val="none"/>
          </w:rPr>
          <w:t>Allnet Communications Servs., Inc. v. Pub. Util. Comm.</w:t>
        </w:r>
        <w:r w:rsidRPr="00E02E35">
          <w:rPr>
            <w:rStyle w:val="Hyperlink"/>
            <w:color w:val="000000" w:themeColor="text1"/>
            <w:u w:val="none"/>
          </w:rPr>
          <w:t>, 70 Ohio St.3d 202, 209, 1994-Ohio-460, 638 N.E.2d 516 (1994)</w:t>
        </w:r>
      </w:hyperlink>
      <w:r w:rsidRPr="00E02E35">
        <w:rPr>
          <w:color w:val="000000" w:themeColor="text1"/>
        </w:rPr>
        <w:t xml:space="preserve">. The </w:t>
      </w:r>
      <w:r w:rsidRPr="00E02E35" w:rsidR="00077403">
        <w:rPr>
          <w:color w:val="000000" w:themeColor="text1"/>
        </w:rPr>
        <w:t>“</w:t>
      </w:r>
      <w:r w:rsidRPr="00E02E35">
        <w:rPr>
          <w:color w:val="000000" w:themeColor="text1"/>
        </w:rPr>
        <w:t>statute requires the commission to set forth the reasons for its decisions and prohibits</w:t>
      </w:r>
      <w:r w:rsidRPr="00E02E35" w:rsidR="00D84209">
        <w:rPr>
          <w:color w:val="000000" w:themeColor="text1"/>
        </w:rPr>
        <w:t xml:space="preserve"> </w:t>
      </w:r>
      <w:r w:rsidRPr="00E02E35">
        <w:rPr>
          <w:color w:val="000000" w:themeColor="text1"/>
        </w:rPr>
        <w:t>summary rulings and conclusions that do not develop the supporting rationale or record.</w:t>
      </w:r>
      <w:r w:rsidRPr="00E02E35" w:rsidR="00077403">
        <w:rPr>
          <w:color w:val="000000" w:themeColor="text1"/>
        </w:rPr>
        <w:t>”</w:t>
      </w:r>
      <w:r w:rsidRPr="00E02E35">
        <w:rPr>
          <w:color w:val="000000" w:themeColor="text1"/>
        </w:rPr>
        <w:t> </w:t>
      </w:r>
      <w:hyperlink r:id="rId16" w:history="1">
        <w:r w:rsidRPr="00E02E35">
          <w:rPr>
            <w:rStyle w:val="Hyperlink"/>
            <w:i/>
            <w:iCs/>
            <w:color w:val="000000" w:themeColor="text1"/>
            <w:u w:val="none"/>
          </w:rPr>
          <w:t>In re Application of Ohio Power Co.</w:t>
        </w:r>
        <w:r w:rsidRPr="00E02E35">
          <w:rPr>
            <w:rStyle w:val="Hyperlink"/>
            <w:color w:val="000000" w:themeColor="text1"/>
            <w:u w:val="none"/>
          </w:rPr>
          <w:t>, 155 Ohio St.3d 326, 2018-Ohio-4698, 121 N.E.3d 320, ¶ 24</w:t>
        </w:r>
      </w:hyperlink>
      <w:r w:rsidRPr="00E02E35">
        <w:rPr>
          <w:color w:val="000000" w:themeColor="text1"/>
        </w:rPr>
        <w:t>.</w:t>
      </w:r>
    </w:p>
    <w:p w:rsidR="00065E45" w:rsidRPr="00077403" w:rsidP="007F352A" w14:paraId="568F508A" w14:textId="77777777">
      <w:pPr>
        <w:ind w:right="720"/>
      </w:pPr>
    </w:p>
    <w:p w:rsidR="007F352A" w:rsidRPr="00077403" w:rsidP="002F6BC8" w14:paraId="0AC5EA80" w14:textId="14DA3928">
      <w:pPr>
        <w:spacing w:line="480" w:lineRule="auto"/>
      </w:pPr>
      <w:r w:rsidRPr="00077403">
        <w:rPr>
          <w:i/>
          <w:iCs/>
        </w:rPr>
        <w:t xml:space="preserve">In re Suvon, L.L.C. </w:t>
      </w:r>
      <w:r w:rsidRPr="00077403">
        <w:t>(2021), 166 Ohio St.3d 519, 52</w:t>
      </w:r>
      <w:r w:rsidRPr="00077403" w:rsidR="00D84209">
        <w:t>4-525</w:t>
      </w:r>
      <w:r w:rsidRPr="00077403">
        <w:t>.</w:t>
      </w:r>
      <w:r w:rsidRPr="00077403" w:rsidR="00B00525">
        <w:t xml:space="preserve"> </w:t>
      </w:r>
      <w:r w:rsidRPr="00077403" w:rsidR="002F6BC8">
        <w:t>The Supreme Court further explained</w:t>
      </w:r>
      <w:r w:rsidRPr="00077403" w:rsidR="00346D62">
        <w:t>:</w:t>
      </w:r>
    </w:p>
    <w:p w:rsidR="002F6BC8" w:rsidRPr="00E02E35" w:rsidP="00B7690E" w14:paraId="337F170F" w14:textId="25B354B7">
      <w:pPr>
        <w:ind w:left="1440" w:right="1440"/>
        <w:rPr>
          <w:color w:val="000000" w:themeColor="text1"/>
        </w:rPr>
      </w:pPr>
      <w:r w:rsidRPr="00E02E35">
        <w:rPr>
          <w:color w:val="000000" w:themeColor="text1"/>
        </w:rPr>
        <w:t>We also have held tha</w:t>
      </w:r>
      <w:r w:rsidRPr="00E02E35">
        <w:rPr>
          <w:color w:val="000000" w:themeColor="text1"/>
        </w:rPr>
        <w:t xml:space="preserve">t </w:t>
      </w:r>
      <w:r w:rsidRPr="00E02E35" w:rsidR="00077403">
        <w:rPr>
          <w:color w:val="000000" w:themeColor="text1"/>
        </w:rPr>
        <w:t>“</w:t>
      </w:r>
      <w:r w:rsidRPr="00E02E35">
        <w:rPr>
          <w:color w:val="000000" w:themeColor="text1"/>
        </w:rPr>
        <w:t>[i]n order to meet the requirements of </w:t>
      </w:r>
      <w:hyperlink r:id="rId17" w:history="1">
        <w:r w:rsidRPr="00E02E35">
          <w:rPr>
            <w:rStyle w:val="Hyperlink"/>
            <w:color w:val="000000" w:themeColor="text1"/>
            <w:u w:val="none"/>
          </w:rPr>
          <w:t>R.C. 4903.09</w:t>
        </w:r>
      </w:hyperlink>
      <w:r w:rsidRPr="00E02E35">
        <w:rPr>
          <w:color w:val="000000" w:themeColor="text1"/>
        </w:rPr>
        <w:t>, * * * the PUCO</w:t>
      </w:r>
      <w:r w:rsidRPr="00E02E35" w:rsidR="00077403">
        <w:rPr>
          <w:color w:val="000000" w:themeColor="text1"/>
        </w:rPr>
        <w:t>’</w:t>
      </w:r>
      <w:r w:rsidRPr="00E02E35">
        <w:rPr>
          <w:color w:val="000000" w:themeColor="text1"/>
        </w:rPr>
        <w:t>s order must show, in sufficient detail, the facts in the record upon which the order is based, and the reasoning followed by the PUCO in reaching its conclusion.</w:t>
      </w:r>
      <w:r w:rsidRPr="00E02E35" w:rsidR="00077403">
        <w:rPr>
          <w:color w:val="000000" w:themeColor="text1"/>
        </w:rPr>
        <w:t>”</w:t>
      </w:r>
      <w:r w:rsidRPr="00E02E35">
        <w:rPr>
          <w:color w:val="000000" w:themeColor="text1"/>
        </w:rPr>
        <w:t> </w:t>
      </w:r>
      <w:hyperlink r:id="rId17" w:history="1">
        <w:r w:rsidRPr="00E02E35">
          <w:rPr>
            <w:rStyle w:val="Hyperlink"/>
            <w:i/>
            <w:iCs/>
            <w:color w:val="000000" w:themeColor="text1"/>
            <w:u w:val="none"/>
          </w:rPr>
          <w:t>MCI Telecommunications Corp. v. Pub. Util. Comm.</w:t>
        </w:r>
        <w:r w:rsidRPr="00E02E35">
          <w:rPr>
            <w:rStyle w:val="Hyperlink"/>
            <w:color w:val="000000" w:themeColor="text1"/>
            <w:u w:val="none"/>
          </w:rPr>
          <w:t> (1987), 32 Ohio St.3d 306, 312, 513 N.E.2d 337</w:t>
        </w:r>
      </w:hyperlink>
      <w:r w:rsidRPr="00E02E35">
        <w:rPr>
          <w:color w:val="000000" w:themeColor="text1"/>
        </w:rPr>
        <w:t>. Although strict compliance with the terms of </w:t>
      </w:r>
      <w:hyperlink r:id="rId17" w:history="1">
        <w:r w:rsidRPr="00E02E35">
          <w:rPr>
            <w:rStyle w:val="Hyperlink"/>
            <w:color w:val="000000" w:themeColor="text1"/>
            <w:u w:val="none"/>
          </w:rPr>
          <w:t>R.C. 4903.09</w:t>
        </w:r>
      </w:hyperlink>
      <w:r w:rsidRPr="00E02E35">
        <w:rPr>
          <w:color w:val="000000" w:themeColor="text1"/>
        </w:rPr>
        <w:t xml:space="preserve">, which requires the commission to file a written opinion setting forth its reasons for its decision, is not required, </w:t>
      </w:r>
      <w:r w:rsidRPr="00E02E35" w:rsidR="00077403">
        <w:rPr>
          <w:b/>
          <w:bCs/>
          <w:color w:val="000000" w:themeColor="text1"/>
        </w:rPr>
        <w:t>“</w:t>
      </w:r>
      <w:r w:rsidRPr="00E02E35">
        <w:rPr>
          <w:b/>
          <w:bCs/>
          <w:color w:val="000000" w:themeColor="text1"/>
        </w:rPr>
        <w:t xml:space="preserve"> </w:t>
      </w:r>
      <w:r w:rsidRPr="00E02E35" w:rsidR="00077403">
        <w:rPr>
          <w:b/>
          <w:bCs/>
          <w:color w:val="000000" w:themeColor="text1"/>
        </w:rPr>
        <w:t>‘</w:t>
      </w:r>
      <w:r w:rsidRPr="00E02E35">
        <w:rPr>
          <w:b/>
          <w:bCs/>
          <w:color w:val="000000" w:themeColor="text1"/>
        </w:rPr>
        <w:t>[a] legion of cases establish that the commission abuses its discretion if it renders an opinion on an issue without record support</w:t>
      </w:r>
      <w:r w:rsidRPr="00E02E35">
        <w:rPr>
          <w:color w:val="000000" w:themeColor="text1"/>
        </w:rPr>
        <w:t>.</w:t>
      </w:r>
      <w:r w:rsidRPr="00E02E35" w:rsidR="00077403">
        <w:rPr>
          <w:color w:val="000000" w:themeColor="text1"/>
        </w:rPr>
        <w:t>’</w:t>
      </w:r>
      <w:r w:rsidRPr="00E02E35">
        <w:rPr>
          <w:color w:val="000000" w:themeColor="text1"/>
        </w:rPr>
        <w:t xml:space="preserve"> </w:t>
      </w:r>
      <w:r w:rsidRPr="00E02E35" w:rsidR="00077403">
        <w:rPr>
          <w:color w:val="000000" w:themeColor="text1"/>
        </w:rPr>
        <w:t>“</w:t>
      </w:r>
      <w:r w:rsidRPr="00E02E35">
        <w:rPr>
          <w:color w:val="000000" w:themeColor="text1"/>
        </w:rPr>
        <w:t> </w:t>
      </w:r>
      <w:hyperlink r:id="rId17" w:history="1">
        <w:r w:rsidRPr="00E02E35">
          <w:rPr>
            <w:rStyle w:val="Hyperlink"/>
            <w:i/>
            <w:iCs/>
            <w:color w:val="000000" w:themeColor="text1"/>
            <w:u w:val="none"/>
          </w:rPr>
          <w:t>Tongren v. Pub. Util. Comm.</w:t>
        </w:r>
        <w:r w:rsidRPr="00E02E35">
          <w:rPr>
            <w:rStyle w:val="Hyperlink"/>
            <w:color w:val="000000" w:themeColor="text1"/>
            <w:u w:val="none"/>
          </w:rPr>
          <w:t> (1999), 85 Ohio St.3d 87, 90, 1999 Ohio 206, 706 N.E.2d 1255</w:t>
        </w:r>
      </w:hyperlink>
      <w:r w:rsidRPr="00E02E35">
        <w:rPr>
          <w:color w:val="000000" w:themeColor="text1"/>
        </w:rPr>
        <w:t>, quoting </w:t>
      </w:r>
      <w:hyperlink r:id="rId17" w:history="1">
        <w:r w:rsidRPr="00E02E35">
          <w:rPr>
            <w:rStyle w:val="Hyperlink"/>
            <w:i/>
            <w:iCs/>
            <w:color w:val="000000" w:themeColor="text1"/>
            <w:u w:val="none"/>
          </w:rPr>
          <w:t>Cleveland Elec. Illum. Co. v. Pub. Util. Comm.</w:t>
        </w:r>
        <w:r w:rsidRPr="00E02E35">
          <w:rPr>
            <w:rStyle w:val="Hyperlink"/>
            <w:color w:val="000000" w:themeColor="text1"/>
            <w:u w:val="none"/>
          </w:rPr>
          <w:t> (1996), 76 Ohio St.3d 163, 166, 1996 Ohio 296, 666 N.E.2d 1372</w:t>
        </w:r>
      </w:hyperlink>
      <w:r w:rsidRPr="00E02E35">
        <w:rPr>
          <w:color w:val="000000" w:themeColor="text1"/>
        </w:rPr>
        <w:t>.</w:t>
      </w:r>
      <w:r w:rsidRPr="00E02E35" w:rsidR="00B00525">
        <w:rPr>
          <w:color w:val="000000" w:themeColor="text1"/>
        </w:rPr>
        <w:t xml:space="preserve"> </w:t>
      </w:r>
    </w:p>
    <w:p w:rsidR="002F6BC8" w:rsidRPr="00077403" w:rsidP="002F6BC8" w14:paraId="49CB60A7" w14:textId="77777777">
      <w:pPr>
        <w:ind w:right="720"/>
      </w:pPr>
    </w:p>
    <w:p w:rsidR="002F6BC8" w:rsidRPr="00077403" w:rsidP="00E42209" w14:paraId="5947A45D" w14:textId="5D25732A">
      <w:pPr>
        <w:spacing w:line="480" w:lineRule="auto"/>
        <w:ind w:right="720"/>
      </w:pPr>
      <w:r w:rsidRPr="00077403">
        <w:rPr>
          <w:i/>
          <w:iCs/>
        </w:rPr>
        <w:t xml:space="preserve">Indus. Energy Users-Ohio v. PUC </w:t>
      </w:r>
      <w:r w:rsidRPr="00077403">
        <w:t>(2008), 117 Ohio St.3d 486, 493</w:t>
      </w:r>
      <w:r w:rsidRPr="00077403">
        <w:t xml:space="preserve"> (emphasis added)</w:t>
      </w:r>
      <w:r w:rsidRPr="00077403">
        <w:t>.</w:t>
      </w:r>
      <w:r>
        <w:rPr>
          <w:rStyle w:val="FootnoteReference"/>
        </w:rPr>
        <w:footnoteReference w:id="7"/>
      </w:r>
    </w:p>
    <w:p w:rsidR="00937C78" w:rsidRPr="00077403" w:rsidP="002F6BC8" w14:paraId="73276300" w14:textId="683B0133">
      <w:pPr>
        <w:spacing w:line="480" w:lineRule="auto"/>
      </w:pPr>
      <w:r w:rsidRPr="00077403">
        <w:tab/>
      </w:r>
      <w:bookmarkStart w:id="18" w:name="_Hlk163737820"/>
      <w:r w:rsidRPr="00077403" w:rsidR="00B74F46">
        <w:t>The PUCO</w:t>
      </w:r>
      <w:r w:rsidR="00077403">
        <w:t>’</w:t>
      </w:r>
      <w:r w:rsidRPr="00077403" w:rsidR="00B74F46">
        <w:t xml:space="preserve">s failure to </w:t>
      </w:r>
      <w:r w:rsidRPr="00077403" w:rsidR="000F602A">
        <w:t xml:space="preserve">state specific findings of fact, supported by the record, and its failure to state reasons upon which its conclusions were based </w:t>
      </w:r>
      <w:r w:rsidRPr="00077403" w:rsidR="00B74F46">
        <w:t>violated R.C. 4903.09.</w:t>
      </w:r>
    </w:p>
    <w:p w:rsidR="00EE7452" w:rsidRPr="00077403" w:rsidP="002F6BC8" w14:paraId="117E5812" w14:textId="291F0E09">
      <w:pPr>
        <w:spacing w:line="480" w:lineRule="auto"/>
      </w:pPr>
      <w:r w:rsidRPr="00077403">
        <w:t xml:space="preserve">In </w:t>
      </w:r>
      <w:r w:rsidRPr="00077403">
        <w:rPr>
          <w:i/>
          <w:iCs/>
        </w:rPr>
        <w:t xml:space="preserve">Tongren v. PUC </w:t>
      </w:r>
      <w:r w:rsidRPr="00077403">
        <w:t>(1999), 85 Ohio St.3d 87, 93 the Supreme Court of Ohio reversed and remanded two cases that were consolidated for appeal</w:t>
      </w:r>
      <w:r w:rsidR="00CD14EF">
        <w:t xml:space="preserve"> </w:t>
      </w:r>
      <w:r w:rsidRPr="00077403">
        <w:t>where the Court found that the Public Utilities Commission failed to provide record evidence explaining the basis for its decision.</w:t>
      </w:r>
      <w:r w:rsidR="00077403">
        <w:t xml:space="preserve"> </w:t>
      </w:r>
      <w:r w:rsidRPr="00077403">
        <w:t>The Court recognized that the record in case one included the companies</w:t>
      </w:r>
      <w:r w:rsidR="00077403">
        <w:t>’</w:t>
      </w:r>
      <w:r w:rsidRPr="00077403">
        <w:t xml:space="preserve"> joint application for approval, comments filed by interested parties, responses filed by the companies to those comments, and certain correspondence from the companies to the Commission</w:t>
      </w:r>
      <w:r w:rsidR="00077403">
        <w:t>’</w:t>
      </w:r>
      <w:r w:rsidRPr="00077403">
        <w:t>s staff.</w:t>
      </w:r>
      <w:r>
        <w:rPr>
          <w:rStyle w:val="FootnoteReference"/>
        </w:rPr>
        <w:footnoteReference w:id="8"/>
      </w:r>
      <w:r w:rsidR="00077403">
        <w:t xml:space="preserve"> </w:t>
      </w:r>
      <w:r w:rsidRPr="00077403">
        <w:t xml:space="preserve">With respect to case one the Court stated that </w:t>
      </w:r>
      <w:r w:rsidR="00077403">
        <w:t>“</w:t>
      </w:r>
      <w:r w:rsidRPr="00077403">
        <w:t>there is nothing in the record below to evince the bases for the commission</w:t>
      </w:r>
      <w:r w:rsidR="00077403">
        <w:t>’</w:t>
      </w:r>
      <w:r w:rsidRPr="00077403">
        <w:t>s acceptance of (the staff</w:t>
      </w:r>
      <w:r w:rsidR="00077403">
        <w:t>’</w:t>
      </w:r>
      <w:r w:rsidRPr="00077403">
        <w:t>s) recommendations and adoption of such findings.</w:t>
      </w:r>
      <w:r w:rsidR="00077403">
        <w:t>”</w:t>
      </w:r>
      <w:r>
        <w:rPr>
          <w:rStyle w:val="FootnoteReference"/>
        </w:rPr>
        <w:footnoteReference w:id="9"/>
      </w:r>
      <w:r w:rsidR="00077403">
        <w:t xml:space="preserve"> </w:t>
      </w:r>
    </w:p>
    <w:p w:rsidR="000D50C9" w:rsidRPr="00077403" w:rsidP="00EE7452" w14:paraId="25184C2B" w14:textId="2540800B">
      <w:pPr>
        <w:spacing w:line="480" w:lineRule="auto"/>
        <w:ind w:firstLine="720"/>
      </w:pPr>
      <w:r w:rsidRPr="00077403">
        <w:t xml:space="preserve">With respect to the second case, the Court found that there was </w:t>
      </w:r>
      <w:r w:rsidR="00077403">
        <w:t>“</w:t>
      </w:r>
      <w:r w:rsidRPr="00077403">
        <w:t>no support in the record for any of the conclusions or findings of the commission</w:t>
      </w:r>
      <w:r w:rsidR="00077403">
        <w:t>’</w:t>
      </w:r>
      <w:r w:rsidRPr="00077403">
        <w:t>s staff set forth in the GCR findings.</w:t>
      </w:r>
      <w:r w:rsidR="00077403">
        <w:t>”</w:t>
      </w:r>
      <w:r>
        <w:rPr>
          <w:rStyle w:val="FootnoteReference"/>
        </w:rPr>
        <w:footnoteReference w:id="10"/>
      </w:r>
      <w:r w:rsidR="00077403">
        <w:t xml:space="preserve"> </w:t>
      </w:r>
      <w:r w:rsidRPr="00077403">
        <w:t xml:space="preserve">The Court went on to state that </w:t>
      </w:r>
      <w:r w:rsidR="00077403">
        <w:t>“</w:t>
      </w:r>
      <w:r w:rsidRPr="00077403">
        <w:t>(s)ince the commission adopted the staff</w:t>
      </w:r>
      <w:r w:rsidR="00077403">
        <w:t>’</w:t>
      </w:r>
      <w:r w:rsidRPr="00077403">
        <w:t>s determination of reasonableness as its own, it is impossible to determine what record evidence was considered by the commission other than the conclusion of its staff and the assertion of factually unsupported conclusions by the companies in their joint application for merger approval.</w:t>
      </w:r>
      <w:r w:rsidR="00077403">
        <w:t>”</w:t>
      </w:r>
      <w:r>
        <w:rPr>
          <w:rStyle w:val="FootnoteReference"/>
        </w:rPr>
        <w:footnoteReference w:id="11"/>
      </w:r>
      <w:r w:rsidR="00077403">
        <w:t xml:space="preserve"> </w:t>
      </w:r>
    </w:p>
    <w:p w:rsidR="000D50C9" w:rsidRPr="00077403" w:rsidP="00EE7452" w14:paraId="3221C114" w14:textId="4DB006B4">
      <w:pPr>
        <w:spacing w:line="480" w:lineRule="auto"/>
        <w:ind w:firstLine="720"/>
      </w:pPr>
      <w:r w:rsidRPr="00077403">
        <w:t>As set forth above, neither the PUCO staff nor the PUCO provided any factual findings regarding the enormous cost-shifting that resulted in the unfair and unreasonable burden placed on AEP</w:t>
      </w:r>
      <w:r w:rsidR="00077403">
        <w:t>’</w:t>
      </w:r>
      <w:r w:rsidRPr="00077403">
        <w:t>s residential consumers.</w:t>
      </w:r>
      <w:r w:rsidR="00077403">
        <w:t xml:space="preserve"> </w:t>
      </w:r>
      <w:r w:rsidRPr="00077403">
        <w:t xml:space="preserve">Instead, the PUCO simply made the generalized, unsupported statement that </w:t>
      </w:r>
      <w:r w:rsidR="00077403">
        <w:t>“</w:t>
      </w:r>
      <w:r w:rsidRPr="00077403">
        <w:t>(t)he Commission finds that AEP Ohio</w:t>
      </w:r>
      <w:r w:rsidR="00077403">
        <w:t>’</w:t>
      </w:r>
      <w:r w:rsidRPr="00077403">
        <w:t>s application to update the BTCR, as amended, is consistent with Ohio Adm. Code 4901:1-36, does not appear to be unjust or unreasonable, and should be approved.</w:t>
      </w:r>
      <w:r w:rsidR="00077403">
        <w:t>”</w:t>
      </w:r>
      <w:r>
        <w:rPr>
          <w:rStyle w:val="FootnoteReference"/>
        </w:rPr>
        <w:footnoteReference w:id="12"/>
      </w:r>
      <w:r w:rsidR="00077403">
        <w:t xml:space="preserve"> </w:t>
      </w:r>
      <w:r w:rsidRPr="00077403">
        <w:t>There is no explanation or reasoning at all in either the staff report or the PUCO</w:t>
      </w:r>
      <w:r w:rsidR="00077403">
        <w:t>’</w:t>
      </w:r>
      <w:r w:rsidRPr="00077403">
        <w:t xml:space="preserve">s decision for its finding that the application did not </w:t>
      </w:r>
      <w:r w:rsidR="00077403">
        <w:t>“</w:t>
      </w:r>
      <w:r w:rsidRPr="00077403">
        <w:t>appear</w:t>
      </w:r>
      <w:r w:rsidR="00077403">
        <w:t>”</w:t>
      </w:r>
      <w:r w:rsidRPr="00077403">
        <w:t xml:space="preserve"> to be unjust or </w:t>
      </w:r>
      <w:r w:rsidRPr="00077403" w:rsidR="003F26D8">
        <w:t>unreasonable</w:t>
      </w:r>
      <w:r w:rsidR="003F26D8">
        <w:t>.</w:t>
      </w:r>
      <w:r>
        <w:rPr>
          <w:rStyle w:val="FootnoteReference"/>
        </w:rPr>
        <w:footnoteReference w:id="13"/>
      </w:r>
    </w:p>
    <w:p w:rsidR="000F602A" w:rsidRPr="00077403" w:rsidP="007F2179" w14:paraId="61FE1D0C" w14:textId="0E41AB7A">
      <w:pPr>
        <w:spacing w:line="480" w:lineRule="auto"/>
        <w:ind w:firstLine="720"/>
      </w:pPr>
      <w:r w:rsidRPr="00077403">
        <w:t>Moreover, as a result of the PUCO</w:t>
      </w:r>
      <w:r w:rsidR="00077403">
        <w:t>’</w:t>
      </w:r>
      <w:r w:rsidRPr="00077403">
        <w:t>s failure</w:t>
      </w:r>
      <w:r w:rsidRPr="00077403" w:rsidR="00EE7452">
        <w:t xml:space="preserve"> to provide the factual support and reasoning used to arrive at its decision in this case</w:t>
      </w:r>
      <w:r w:rsidRPr="00077403">
        <w:t>, OCC is foreclosed from demonstrating the prejudicial effect of the order</w:t>
      </w:r>
      <w:r w:rsidRPr="00077403" w:rsidR="0048068A">
        <w:t>.</w:t>
      </w:r>
      <w:r w:rsidR="00077403">
        <w:t xml:space="preserve"> </w:t>
      </w:r>
      <w:r w:rsidRPr="00077403" w:rsidR="0048068A">
        <w:t>The</w:t>
      </w:r>
      <w:r w:rsidR="00077403">
        <w:t xml:space="preserve"> </w:t>
      </w:r>
      <w:r w:rsidRPr="00077403">
        <w:t>PUCO should grant OCC</w:t>
      </w:r>
      <w:r w:rsidR="00077403">
        <w:t>’</w:t>
      </w:r>
      <w:r w:rsidRPr="00077403">
        <w:t>s AFR and set this matter for rehearing for the development and examination of an appropriate record.</w:t>
      </w:r>
    </w:p>
    <w:p w:rsidR="006F1D2F" w:rsidRPr="00077403" w:rsidP="006F1D2F" w14:paraId="5D8FADCB" w14:textId="3B6F3410">
      <w:pPr>
        <w:pStyle w:val="Heading2"/>
        <w:numPr>
          <w:ilvl w:val="0"/>
          <w:numId w:val="0"/>
        </w:numPr>
        <w:spacing w:after="0"/>
        <w:ind w:left="720"/>
      </w:pPr>
      <w:bookmarkStart w:id="19" w:name="_Toc164437303"/>
      <w:r w:rsidRPr="00077403">
        <w:t>ASSIGNMENT OF ERROR 2: The PUCO</w:t>
      </w:r>
      <w:r w:rsidR="00077403">
        <w:t>’</w:t>
      </w:r>
      <w:r w:rsidRPr="00077403">
        <w:t>s Finding and Order is unlawful and unreasonable because it allowed AEP to collect carrying charges when AEP failed to comply with O.A.C. 4901:1-36-03(D).</w:t>
      </w:r>
      <w:bookmarkEnd w:id="19"/>
    </w:p>
    <w:p w:rsidR="006F1D2F" w:rsidRPr="00077403" w:rsidP="006F1D2F" w14:paraId="750E5954" w14:textId="77777777"/>
    <w:p w:rsidR="00AA13FB" w:rsidRPr="00077403" w:rsidP="006F1D2F" w14:paraId="76FA9C11" w14:textId="727A118F">
      <w:pPr>
        <w:spacing w:line="480" w:lineRule="auto"/>
        <w:ind w:firstLine="720"/>
      </w:pPr>
      <w:r w:rsidRPr="00077403">
        <w:t>The PUCO approved transmission rates to residential consumers that had excessive carrying charges that would have been avoided if AEP had it met its</w:t>
      </w:r>
      <w:r w:rsidR="00077403">
        <w:t xml:space="preserve"> </w:t>
      </w:r>
      <w:r w:rsidRPr="00077403">
        <w:t>legal obligation under O.A.C. 4901:1-36-03(D).</w:t>
      </w:r>
      <w:r w:rsidR="00077403">
        <w:t xml:space="preserve"> </w:t>
      </w:r>
      <w:r w:rsidRPr="00077403">
        <w:t xml:space="preserve">That provision of the PUCO rules </w:t>
      </w:r>
      <w:r w:rsidRPr="00077403" w:rsidR="007531CE">
        <w:t xml:space="preserve">provides that a utility should </w:t>
      </w:r>
      <w:r w:rsidRPr="00077403">
        <w:t>file an interim application to adjust its transmission charges if the costs will be substantially different then the amounts authorized under the electric utility</w:t>
      </w:r>
      <w:r w:rsidR="00077403">
        <w:t>’</w:t>
      </w:r>
      <w:r w:rsidRPr="00077403">
        <w:t>s previous application.</w:t>
      </w:r>
      <w:r>
        <w:rPr>
          <w:rStyle w:val="FootnoteReference"/>
        </w:rPr>
        <w:footnoteReference w:id="14"/>
      </w:r>
      <w:r w:rsidR="00E147D1">
        <w:t xml:space="preserve"> </w:t>
      </w:r>
      <w:r w:rsidRPr="00077403">
        <w:t>The purpose of this</w:t>
      </w:r>
      <w:r w:rsidR="003616CF">
        <w:t xml:space="preserve"> </w:t>
      </w:r>
      <w:r w:rsidRPr="00077403">
        <w:t xml:space="preserve">PUCO Rule is to </w:t>
      </w:r>
      <w:r w:rsidR="00077403">
        <w:t>“</w:t>
      </w:r>
      <w:r w:rsidRPr="00077403">
        <w:t>avoid excessive carrying costs and to minimize the rate impacts for the following update filing</w:t>
      </w:r>
      <w:r w:rsidR="0072703F">
        <w:t>.</w:t>
      </w:r>
      <w:r w:rsidR="00077403">
        <w:t>”</w:t>
      </w:r>
      <w:r>
        <w:rPr>
          <w:rStyle w:val="FootnoteReference"/>
        </w:rPr>
        <w:footnoteReference w:id="15"/>
      </w:r>
      <w:r w:rsidR="00077403">
        <w:t xml:space="preserve"> </w:t>
      </w:r>
      <w:r w:rsidRPr="00077403">
        <w:t>In this case</w:t>
      </w:r>
      <w:r w:rsidRPr="00077403" w:rsidR="007531CE">
        <w:t xml:space="preserve"> as of June 2023 AEP was already running an $49,818,665 under</w:t>
      </w:r>
      <w:r w:rsidR="007D2AC3">
        <w:t>-</w:t>
      </w:r>
      <w:r w:rsidRPr="00077403" w:rsidR="007531CE">
        <w:t>recovery.</w:t>
      </w:r>
      <w:r>
        <w:rPr>
          <w:rStyle w:val="FootnoteReference"/>
        </w:rPr>
        <w:footnoteReference w:id="16"/>
      </w:r>
      <w:r w:rsidR="00077403">
        <w:t xml:space="preserve"> </w:t>
      </w:r>
      <w:r w:rsidRPr="00077403" w:rsidR="00A92389">
        <w:t>AEP did not file an interim application.</w:t>
      </w:r>
      <w:r w:rsidR="00077403">
        <w:t xml:space="preserve"> </w:t>
      </w:r>
      <w:r w:rsidRPr="00077403" w:rsidR="00A92389">
        <w:t>The result – at the end of the period there still was a $32 million under</w:t>
      </w:r>
      <w:r w:rsidR="007D2AC3">
        <w:t>-</w:t>
      </w:r>
      <w:r w:rsidRPr="00077403" w:rsidR="00A92389">
        <w:t>recovery that AEP carried forward into the current rates.</w:t>
      </w:r>
      <w:r w:rsidR="00077403">
        <w:t xml:space="preserve"> </w:t>
      </w:r>
    </w:p>
    <w:p w:rsidR="00F1735F" w:rsidRPr="00077403" w:rsidP="007531CE" w14:paraId="588902FA" w14:textId="0FE68C28">
      <w:pPr>
        <w:spacing w:line="480" w:lineRule="auto"/>
        <w:ind w:firstLine="720"/>
      </w:pPr>
      <w:r w:rsidRPr="00077403">
        <w:t xml:space="preserve">Under the PUCO </w:t>
      </w:r>
      <w:r w:rsidRPr="00077403">
        <w:t>o</w:t>
      </w:r>
      <w:r w:rsidRPr="00077403">
        <w:t xml:space="preserve">rder, </w:t>
      </w:r>
      <w:r w:rsidRPr="00077403">
        <w:t>$32 million of the $70 million increase in the BTCR revenue requirement is a result of this under</w:t>
      </w:r>
      <w:r w:rsidR="007D2AC3">
        <w:t>-</w:t>
      </w:r>
      <w:r w:rsidRPr="00077403">
        <w:t>recovery.</w:t>
      </w:r>
      <w:r>
        <w:rPr>
          <w:rStyle w:val="FootnoteReference"/>
        </w:rPr>
        <w:footnoteReference w:id="17"/>
      </w:r>
      <w:r w:rsidR="00077403">
        <w:t xml:space="preserve"> </w:t>
      </w:r>
      <w:r w:rsidRPr="00077403">
        <w:t>46% of this year</w:t>
      </w:r>
      <w:r w:rsidR="00077403">
        <w:t>’</w:t>
      </w:r>
      <w:r w:rsidRPr="00077403">
        <w:t>s increase in the revenue requirement is a result of carrying forward last year</w:t>
      </w:r>
      <w:r w:rsidR="00077403">
        <w:t>’</w:t>
      </w:r>
      <w:r w:rsidRPr="00077403">
        <w:t>s under</w:t>
      </w:r>
      <w:r w:rsidR="007D2AC3">
        <w:t>-</w:t>
      </w:r>
      <w:r w:rsidRPr="00077403">
        <w:t>recovery.</w:t>
      </w:r>
      <w:r w:rsidR="00077403">
        <w:t xml:space="preserve"> </w:t>
      </w:r>
      <w:r w:rsidRPr="00077403">
        <w:t>This is an unfair and unreasonable result</w:t>
      </w:r>
      <w:r w:rsidRPr="00077403" w:rsidR="0048068A">
        <w:t>.</w:t>
      </w:r>
      <w:r w:rsidR="00077403">
        <w:t xml:space="preserve"> </w:t>
      </w:r>
      <w:r w:rsidRPr="00077403" w:rsidR="0048068A">
        <w:t>The</w:t>
      </w:r>
      <w:r w:rsidRPr="00077403" w:rsidR="00C11C4B">
        <w:t xml:space="preserve"> PUCO </w:t>
      </w:r>
      <w:r w:rsidRPr="00077403">
        <w:t xml:space="preserve">should have </w:t>
      </w:r>
      <w:r w:rsidRPr="00077403" w:rsidR="00C11C4B">
        <w:t xml:space="preserve">protected residential consumers from the rate shock that was </w:t>
      </w:r>
      <w:r w:rsidRPr="00077403" w:rsidR="0048068A">
        <w:t>attributable to</w:t>
      </w:r>
      <w:r w:rsidR="00077403">
        <w:t xml:space="preserve"> </w:t>
      </w:r>
      <w:r w:rsidRPr="00077403" w:rsidR="00C11C4B">
        <w:t>AEP</w:t>
      </w:r>
      <w:r w:rsidR="00077403">
        <w:t>’</w:t>
      </w:r>
      <w:r w:rsidRPr="00077403" w:rsidR="00C11C4B">
        <w:t>s failure to file an interim a</w:t>
      </w:r>
      <w:r w:rsidRPr="00077403">
        <w:t>pplication pursuant to O.A.C. 4901:1-36-03(D).</w:t>
      </w:r>
      <w:r w:rsidR="00077403">
        <w:t xml:space="preserve"> </w:t>
      </w:r>
    </w:p>
    <w:p w:rsidR="00C11C4B" w:rsidRPr="00077403" w:rsidP="00196299" w14:paraId="72FEB86F" w14:textId="25ED8988">
      <w:pPr>
        <w:pStyle w:val="Heading2"/>
        <w:numPr>
          <w:ilvl w:val="0"/>
          <w:numId w:val="0"/>
        </w:numPr>
        <w:spacing w:after="0"/>
        <w:ind w:left="720"/>
      </w:pPr>
      <w:bookmarkStart w:id="21" w:name="_Toc164437304"/>
      <w:r w:rsidRPr="00077403">
        <w:t xml:space="preserve">ASSIGNMENT OF ERROR 3: </w:t>
      </w:r>
      <w:bookmarkStart w:id="22" w:name="_Hlk164432242"/>
      <w:r w:rsidRPr="00077403">
        <w:t>The PUCO</w:t>
      </w:r>
      <w:r w:rsidR="00077403">
        <w:t>’</w:t>
      </w:r>
      <w:r w:rsidRPr="00077403">
        <w:t xml:space="preserve">s Finding and Order is unlawful and unreasonable because it failed to protect consumers from misallocating the </w:t>
      </w:r>
      <w:r w:rsidRPr="00077403" w:rsidR="00196299">
        <w:t xml:space="preserve">$32 million </w:t>
      </w:r>
      <w:r w:rsidRPr="00077403">
        <w:t>under</w:t>
      </w:r>
      <w:r w:rsidR="007D2AC3">
        <w:t>-</w:t>
      </w:r>
      <w:r w:rsidRPr="00077403">
        <w:t>recovery from the prior period thereby violating R.C. 4905.22.</w:t>
      </w:r>
      <w:bookmarkEnd w:id="21"/>
    </w:p>
    <w:bookmarkEnd w:id="22"/>
    <w:p w:rsidR="00196299" w:rsidRPr="00077403" w:rsidP="00196299" w14:paraId="0165628D" w14:textId="77777777"/>
    <w:p w:rsidR="00C11C4B" w:rsidRPr="00077403" w:rsidP="007F2179" w14:paraId="7326636A" w14:textId="049377A9">
      <w:pPr>
        <w:spacing w:line="480" w:lineRule="auto"/>
      </w:pPr>
      <w:r w:rsidRPr="00077403">
        <w:tab/>
        <w:t>The PUCO</w:t>
      </w:r>
      <w:r w:rsidR="00077403">
        <w:t>’</w:t>
      </w:r>
      <w:r w:rsidRPr="00077403">
        <w:t>s Finding and Order violated R.C. 4905.22 by failing to protect consumers from the misallocation of the $32 million under</w:t>
      </w:r>
      <w:r w:rsidR="007D2AC3">
        <w:t>-</w:t>
      </w:r>
      <w:r w:rsidRPr="00077403">
        <w:t>recovery that AEP carried forward into the present BTCR rates.</w:t>
      </w:r>
      <w:r w:rsidR="00077403">
        <w:t xml:space="preserve"> </w:t>
      </w:r>
      <w:r w:rsidRPr="00077403">
        <w:t>R.C. 4905.22 requires:</w:t>
      </w:r>
    </w:p>
    <w:p w:rsidR="00C11C4B" w:rsidP="007B2F6E" w14:paraId="0D0375AD" w14:textId="3751A751">
      <w:pPr>
        <w:ind w:left="1440" w:right="1440"/>
      </w:pPr>
      <w:r w:rsidRPr="00077403">
        <w:t xml:space="preserve">All charges made or demanded for any service rendered, or to be rendered, shall be </w:t>
      </w:r>
      <w:r w:rsidRPr="00077403">
        <w:rPr>
          <w:b/>
          <w:bCs/>
        </w:rPr>
        <w:t>just, reasonable</w:t>
      </w:r>
      <w:r w:rsidRPr="00077403">
        <w:t xml:space="preserve">, and not more than the charges allowed by law or by order of the public utilities commission, and </w:t>
      </w:r>
      <w:r w:rsidRPr="00077403">
        <w:rPr>
          <w:b/>
          <w:bCs/>
        </w:rPr>
        <w:t>no unjust or unreasonable charge shall be made or demanded</w:t>
      </w:r>
      <w:r w:rsidRPr="00077403">
        <w:t xml:space="preserve"> for, or in connection with, any service, or in excess of that allowed by law or by order of the commission.</w:t>
      </w:r>
      <w:r w:rsidR="00077403">
        <w:t>”</w:t>
      </w:r>
      <w:r w:rsidRPr="00077403">
        <w:t xml:space="preserve"> (Emphasis added.)</w:t>
      </w:r>
    </w:p>
    <w:p w:rsidR="007B2F6E" w:rsidRPr="00077403" w:rsidP="007B2F6E" w14:paraId="787F119D" w14:textId="77777777">
      <w:pPr>
        <w:ind w:left="1440" w:right="1440"/>
      </w:pPr>
    </w:p>
    <w:p w:rsidR="00887B4C" w:rsidRPr="00077403" w:rsidP="0044365C" w14:paraId="373C1A39" w14:textId="07F80D9B">
      <w:pPr>
        <w:spacing w:line="480" w:lineRule="auto"/>
        <w:ind w:firstLine="720"/>
      </w:pPr>
      <w:r w:rsidRPr="00077403">
        <w:t>Not only did the $32 million under-recovery add to residential rate shock but the PUCO</w:t>
      </w:r>
      <w:r w:rsidR="00077403">
        <w:t>’</w:t>
      </w:r>
      <w:r w:rsidRPr="00077403">
        <w:t>s Finding and Order unfairly and unreasonably allocated far too much of the $32 million to residential consumers.</w:t>
      </w:r>
      <w:r w:rsidR="00077403">
        <w:t xml:space="preserve"> </w:t>
      </w:r>
      <w:r w:rsidRPr="00077403">
        <w:t>This $32 million under</w:t>
      </w:r>
      <w:r w:rsidR="007D2AC3">
        <w:t>-</w:t>
      </w:r>
      <w:r w:rsidRPr="00077403">
        <w:t>recovery occurred during the prior year ending March 31, 2024.</w:t>
      </w:r>
      <w:r w:rsidR="00077403">
        <w:t xml:space="preserve"> </w:t>
      </w:r>
      <w:r w:rsidRPr="00077403">
        <w:t>In the prior year residential consumers were allocated 43% of the BTCR revenue requirement.</w:t>
      </w:r>
      <w:r w:rsidR="00077403">
        <w:t xml:space="preserve"> </w:t>
      </w:r>
      <w:r w:rsidRPr="00077403">
        <w:t>However, the PUCO Finding and Order allocated to residential consumers last year</w:t>
      </w:r>
      <w:r w:rsidR="00077403">
        <w:t>’</w:t>
      </w:r>
      <w:r w:rsidRPr="00077403">
        <w:t>s $32 million under</w:t>
      </w:r>
      <w:r w:rsidR="007D2AC3">
        <w:t>-</w:t>
      </w:r>
      <w:r w:rsidRPr="00077403">
        <w:t>recovery at this year</w:t>
      </w:r>
      <w:r w:rsidR="00077403">
        <w:t>’</w:t>
      </w:r>
      <w:r w:rsidRPr="00077403">
        <w:t>s allocation rate of 53%.</w:t>
      </w:r>
      <w:r w:rsidR="00077403">
        <w:t xml:space="preserve"> </w:t>
      </w:r>
      <w:r w:rsidRPr="00077403">
        <w:t>It is unjust and unreasonable to allocate charges to residential consumers based on an allocation factor that was not the allocation factor in effect at the time of the under</w:t>
      </w:r>
      <w:r w:rsidR="007D2AC3">
        <w:t>-</w:t>
      </w:r>
      <w:r w:rsidRPr="00077403">
        <w:t>recover</w:t>
      </w:r>
      <w:r w:rsidRPr="00077403" w:rsidR="0048068A">
        <w:t>y</w:t>
      </w:r>
      <w:r w:rsidRPr="00077403">
        <w:t>.</w:t>
      </w:r>
      <w:r w:rsidR="00077403">
        <w:t xml:space="preserve"> </w:t>
      </w:r>
      <w:r w:rsidRPr="00077403">
        <w:t>The PUCO</w:t>
      </w:r>
      <w:r w:rsidR="00077403">
        <w:t>’</w:t>
      </w:r>
      <w:r w:rsidRPr="00077403">
        <w:t xml:space="preserve">s failure to protect residential consumers from the unjust and unreasonable cost-shifting </w:t>
      </w:r>
      <w:r w:rsidRPr="00077403" w:rsidR="0048068A">
        <w:t>misallocated approximately $3.3 million</w:t>
      </w:r>
      <w:r w:rsidR="00077403">
        <w:t xml:space="preserve"> </w:t>
      </w:r>
      <w:r w:rsidRPr="00077403">
        <w:t>to residential consumers</w:t>
      </w:r>
      <w:r w:rsidRPr="00077403" w:rsidR="0048068A">
        <w:t>.</w:t>
      </w:r>
      <w:r w:rsidR="00077403">
        <w:t xml:space="preserve"> </w:t>
      </w:r>
      <w:r w:rsidRPr="00077403" w:rsidR="0048068A">
        <w:t>This violate</w:t>
      </w:r>
      <w:r w:rsidR="002650A6">
        <w:t>s</w:t>
      </w:r>
      <w:r w:rsidR="00077403">
        <w:t xml:space="preserve"> </w:t>
      </w:r>
      <w:r w:rsidRPr="00077403" w:rsidR="00915AA0">
        <w:t>R.C. 4905.22</w:t>
      </w:r>
      <w:r w:rsidRPr="00077403" w:rsidR="007531CE">
        <w:t>.</w:t>
      </w:r>
      <w:r>
        <w:rPr>
          <w:rStyle w:val="FootnoteReference"/>
        </w:rPr>
        <w:footnoteReference w:id="18"/>
      </w:r>
      <w:bookmarkEnd w:id="18"/>
    </w:p>
    <w:p w:rsidR="009E339E" w:rsidRPr="00077403" w:rsidP="008304FB" w14:paraId="6AA990EF" w14:textId="4067AB22">
      <w:pPr>
        <w:pStyle w:val="Heading2"/>
        <w:numPr>
          <w:ilvl w:val="0"/>
          <w:numId w:val="0"/>
        </w:numPr>
        <w:ind w:left="720"/>
      </w:pPr>
      <w:bookmarkStart w:id="23" w:name="_Toc164437305"/>
      <w:r w:rsidRPr="00077403">
        <w:t xml:space="preserve">ASSIGNMENT OF ERROR </w:t>
      </w:r>
      <w:r w:rsidR="0044365C">
        <w:t>4</w:t>
      </w:r>
      <w:r w:rsidRPr="00077403">
        <w:t>:</w:t>
      </w:r>
      <w:r w:rsidRPr="00077403" w:rsidR="00B00525">
        <w:t xml:space="preserve"> </w:t>
      </w:r>
      <w:bookmarkStart w:id="24" w:name="_Hlk164432297"/>
      <w:r w:rsidRPr="00077403">
        <w:t>The PUCO</w:t>
      </w:r>
      <w:r w:rsidR="00077403">
        <w:t>’</w:t>
      </w:r>
      <w:r w:rsidRPr="00077403">
        <w:t>s Finding and Order is unlawful and unreasonable because</w:t>
      </w:r>
      <w:r w:rsidRPr="00077403" w:rsidR="00F1735F">
        <w:t xml:space="preserve"> the PUCO should have protected consumers by ordering the BTCR be collected subject to refund</w:t>
      </w:r>
      <w:r w:rsidRPr="00077403" w:rsidR="00A37618">
        <w:t xml:space="preserve"> </w:t>
      </w:r>
      <w:r w:rsidRPr="00077403" w:rsidR="00F1735F">
        <w:t>if FERC rules favorably</w:t>
      </w:r>
      <w:r w:rsidRPr="00077403" w:rsidR="00A37618">
        <w:t xml:space="preserve"> on OCC</w:t>
      </w:r>
      <w:r w:rsidR="00077403">
        <w:t>’</w:t>
      </w:r>
      <w:r w:rsidRPr="00077403" w:rsidR="00A37618">
        <w:t>s complaint related to paying for supplemental transmission projects.</w:t>
      </w:r>
      <w:bookmarkEnd w:id="23"/>
    </w:p>
    <w:bookmarkEnd w:id="24"/>
    <w:p w:rsidR="009E339E" w:rsidRPr="00077403" w:rsidP="0049680F" w14:paraId="594F1149" w14:textId="1E79C47A">
      <w:pPr>
        <w:spacing w:line="480" w:lineRule="auto"/>
        <w:ind w:firstLine="720"/>
      </w:pPr>
      <w:r w:rsidRPr="00077403">
        <w:t>Ohio utility consumers face an immediate risk of substantial harm. OCC has long warned of the harm to consumers from utility charges for costly and unnecessary supplemental transmission projects.</w:t>
      </w:r>
      <w:r>
        <w:rPr>
          <w:vertAlign w:val="superscript"/>
        </w:rPr>
        <w:footnoteReference w:id="19"/>
      </w:r>
      <w:r w:rsidRPr="00077403">
        <w:t xml:space="preserve"> </w:t>
      </w:r>
      <w:r w:rsidRPr="00077403" w:rsidR="00915AA0">
        <w:t>There is little to no regulatory oversight of the necessity or prudence of supplemental transmission project costs at the state or federal level.</w:t>
      </w:r>
      <w:r w:rsidR="00D21CD4">
        <w:t xml:space="preserve"> </w:t>
      </w:r>
      <w:r w:rsidRPr="00077403" w:rsidR="00915AA0">
        <w:t>The PUCO recently acknowledge</w:t>
      </w:r>
      <w:r w:rsidR="007D2AC3">
        <w:t>d</w:t>
      </w:r>
      <w:r w:rsidRPr="00077403" w:rsidR="00915AA0">
        <w:t xml:space="preserve"> this </w:t>
      </w:r>
      <w:r w:rsidR="00077403">
        <w:t>“</w:t>
      </w:r>
      <w:r w:rsidRPr="00077403" w:rsidR="00915AA0">
        <w:t>regulatory gap</w:t>
      </w:r>
      <w:r w:rsidR="00077403">
        <w:t>”</w:t>
      </w:r>
      <w:r w:rsidRPr="00077403" w:rsidR="00915AA0">
        <w:t xml:space="preserve"> in First Energy</w:t>
      </w:r>
      <w:r w:rsidR="00077403">
        <w:t>’</w:t>
      </w:r>
      <w:r w:rsidRPr="00077403" w:rsidR="00915AA0">
        <w:t>s annual Rider NMB update case.</w:t>
      </w:r>
      <w:r>
        <w:rPr>
          <w:rStyle w:val="FootnoteReference"/>
        </w:rPr>
        <w:footnoteReference w:id="20"/>
      </w:r>
      <w:r w:rsidR="00516F89">
        <w:t xml:space="preserve"> C</w:t>
      </w:r>
      <w:r w:rsidRPr="00077403">
        <w:t>onsistent with the PUCO</w:t>
      </w:r>
      <w:r w:rsidR="00077403">
        <w:t>’</w:t>
      </w:r>
      <w:r w:rsidRPr="00077403">
        <w:t xml:space="preserve">s recognition of this </w:t>
      </w:r>
      <w:r w:rsidR="00077403">
        <w:t>“</w:t>
      </w:r>
      <w:r w:rsidRPr="00077403">
        <w:t>regulatory gap</w:t>
      </w:r>
      <w:r w:rsidR="00077403">
        <w:t>”</w:t>
      </w:r>
      <w:r w:rsidRPr="00077403">
        <w:t xml:space="preserve"> and to protect consumers by addressing these </w:t>
      </w:r>
      <w:r w:rsidRPr="00077403" w:rsidR="002C1BF9">
        <w:t xml:space="preserve">supplemental </w:t>
      </w:r>
      <w:r w:rsidRPr="00077403">
        <w:t xml:space="preserve">transmission cost issues, OCC in </w:t>
      </w:r>
      <w:r w:rsidRPr="00077403" w:rsidR="00D85262">
        <w:t>September</w:t>
      </w:r>
      <w:r w:rsidRPr="00077403">
        <w:t xml:space="preserve"> 2023 filed a complaint regarding supplemental transmission projects at FERC.</w:t>
      </w:r>
      <w:r>
        <w:rPr>
          <w:vertAlign w:val="superscript"/>
        </w:rPr>
        <w:footnoteReference w:id="21"/>
      </w:r>
      <w:r w:rsidRPr="00077403" w:rsidR="00B00525">
        <w:t xml:space="preserve"> </w:t>
      </w:r>
    </w:p>
    <w:p w:rsidR="00956E69" w:rsidRPr="00077403" w:rsidP="00956E69" w14:paraId="26549AED" w14:textId="77777777">
      <w:pPr>
        <w:pStyle w:val="BodyTextIndent3"/>
        <w:widowControl w:val="0"/>
        <w:spacing w:line="480" w:lineRule="auto"/>
        <w:rPr>
          <w:szCs w:val="24"/>
        </w:rPr>
      </w:pPr>
      <w:r w:rsidRPr="00077403">
        <w:rPr>
          <w:szCs w:val="24"/>
        </w:rPr>
        <w:t>PUCO Chair French, in remarks before the General Assembly, testified that to the extent the law allows, the PUCO can and has allowed for consumer refunds.</w:t>
      </w:r>
      <w:r>
        <w:rPr>
          <w:szCs w:val="24"/>
          <w:vertAlign w:val="superscript"/>
        </w:rPr>
        <w:footnoteReference w:id="22"/>
      </w:r>
      <w:r w:rsidRPr="00077403">
        <w:rPr>
          <w:szCs w:val="24"/>
        </w:rPr>
        <w:t xml:space="preserve"> And she testified she intends to continue that practice. </w:t>
      </w:r>
    </w:p>
    <w:p w:rsidR="00DA2C9E" w:rsidRPr="00077403" w:rsidP="0009726A" w14:paraId="33C646F1" w14:textId="7027EDE5">
      <w:pPr>
        <w:pStyle w:val="BodyTextIndent3"/>
        <w:widowControl w:val="0"/>
        <w:spacing w:line="480" w:lineRule="auto"/>
        <w:rPr>
          <w:szCs w:val="24"/>
        </w:rPr>
      </w:pPr>
      <w:r w:rsidRPr="00077403">
        <w:rPr>
          <w:szCs w:val="24"/>
        </w:rPr>
        <w:t>Consistent with Chair French</w:t>
      </w:r>
      <w:r w:rsidR="00077403">
        <w:rPr>
          <w:szCs w:val="24"/>
        </w:rPr>
        <w:t>’</w:t>
      </w:r>
      <w:r w:rsidRPr="00077403">
        <w:rPr>
          <w:szCs w:val="24"/>
        </w:rPr>
        <w:t>s remarks, and to</w:t>
      </w:r>
      <w:r w:rsidRPr="00077403" w:rsidR="009E339E">
        <w:rPr>
          <w:szCs w:val="24"/>
        </w:rPr>
        <w:t xml:space="preserve"> prevent injury to the public and avoid irreparable harm to consumers, </w:t>
      </w:r>
      <w:r w:rsidRPr="00077403" w:rsidR="0049680F">
        <w:rPr>
          <w:szCs w:val="24"/>
        </w:rPr>
        <w:t>the PUCO should ex</w:t>
      </w:r>
      <w:r w:rsidRPr="00077403" w:rsidR="009E339E">
        <w:rPr>
          <w:szCs w:val="24"/>
        </w:rPr>
        <w:t>ercise its discretionary power under Ohio law to protect AEP consumers</w:t>
      </w:r>
      <w:r w:rsidRPr="00077403" w:rsidR="00A44621">
        <w:rPr>
          <w:szCs w:val="24"/>
        </w:rPr>
        <w:t>.</w:t>
      </w:r>
      <w:r>
        <w:rPr>
          <w:szCs w:val="24"/>
          <w:vertAlign w:val="superscript"/>
        </w:rPr>
        <w:footnoteReference w:id="23"/>
      </w:r>
      <w:r w:rsidRPr="00077403" w:rsidR="00A44621">
        <w:rPr>
          <w:szCs w:val="24"/>
        </w:rPr>
        <w:t xml:space="preserve"> </w:t>
      </w:r>
      <w:bookmarkStart w:id="25" w:name="_Hlk164434575"/>
      <w:r w:rsidRPr="00077403">
        <w:rPr>
          <w:szCs w:val="24"/>
        </w:rPr>
        <w:t>The PUCO should require that AEP include in its tariffs language providing for refunds to consumers if FERC determines, as a result of OCC</w:t>
      </w:r>
      <w:r w:rsidR="00077403">
        <w:rPr>
          <w:szCs w:val="24"/>
        </w:rPr>
        <w:t>’</w:t>
      </w:r>
      <w:r w:rsidRPr="00077403">
        <w:rPr>
          <w:szCs w:val="24"/>
        </w:rPr>
        <w:t>s Complaint, that supplemental transmission project costs charged to consumers are improper and unreasonable.</w:t>
      </w:r>
      <w:r w:rsidR="00077403">
        <w:rPr>
          <w:szCs w:val="24"/>
        </w:rPr>
        <w:t xml:space="preserve"> </w:t>
      </w:r>
    </w:p>
    <w:bookmarkEnd w:id="25"/>
    <w:p w:rsidR="0009726A" w:rsidRPr="00077403" w:rsidP="0009726A" w14:paraId="55B1B8BF" w14:textId="5DB5B5A9">
      <w:pPr>
        <w:spacing w:line="480" w:lineRule="auto"/>
        <w:ind w:firstLine="720"/>
      </w:pPr>
      <w:r w:rsidRPr="00077403">
        <w:t xml:space="preserve"> </w:t>
      </w:r>
      <w:r w:rsidRPr="00077403" w:rsidR="009E339E">
        <w:t>The PUCO</w:t>
      </w:r>
      <w:r w:rsidR="00077403">
        <w:t>’</w:t>
      </w:r>
      <w:r w:rsidRPr="00077403" w:rsidR="009E339E">
        <w:t>s authority can be found under various statutes (including R.C. 4905.04 and R.C. 4905.06) and case precedent.</w:t>
      </w:r>
      <w:r>
        <w:rPr>
          <w:vertAlign w:val="superscript"/>
        </w:rPr>
        <w:footnoteReference w:id="24"/>
      </w:r>
      <w:r w:rsidRPr="00077403" w:rsidR="009E339E">
        <w:t xml:space="preserve"> Indeed, the Ohio Supreme Court recognized there is an apparent unfairness when a decision is determined to be unlawful, yet consumers get no refund of charges that were unlawful from the get-go.</w:t>
      </w:r>
      <w:r>
        <w:rPr>
          <w:vertAlign w:val="superscript"/>
        </w:rPr>
        <w:footnoteReference w:id="25"/>
      </w:r>
      <w:r w:rsidRPr="00077403" w:rsidR="009E339E">
        <w:t xml:space="preserve"> </w:t>
      </w:r>
    </w:p>
    <w:p w:rsidR="009E339E" w:rsidRPr="00077403" w:rsidP="0009726A" w14:paraId="356E35D7" w14:textId="6AF382AE">
      <w:pPr>
        <w:spacing w:line="480" w:lineRule="auto"/>
        <w:ind w:firstLine="720"/>
      </w:pPr>
      <w:r>
        <w:t xml:space="preserve"> </w:t>
      </w:r>
      <w:r w:rsidRPr="00077403">
        <w:t>The PUCO has acted to prevent harm from occurring to consumers by ordering utilities</w:t>
      </w:r>
      <w:r w:rsidRPr="00077403" w:rsidR="00AE3233">
        <w:t>, on an ongoing basis,</w:t>
      </w:r>
      <w:r w:rsidRPr="00077403">
        <w:t xml:space="preserve"> to collect an existing rate increase subject to refund and subject to appropriate interest charges. The PUCO has used this approach to permit it to explore the reasonableness of rates in light of events that occurred after the issuance of its orders. For instance, the PUCO granted rehearing and ordered rates to be collected subject to refund in a rate case filed by the Columbus &amp; Southern Ohio Electric Company.</w:t>
      </w:r>
      <w:r>
        <w:rPr>
          <w:vertAlign w:val="superscript"/>
        </w:rPr>
        <w:footnoteReference w:id="26"/>
      </w:r>
      <w:r w:rsidRPr="00077403">
        <w:t xml:space="preserve"> In that rate case, one week after the issuance of the PUCO</w:t>
      </w:r>
      <w:r>
        <w:t>’</w:t>
      </w:r>
      <w:r w:rsidRPr="00077403">
        <w:t>s rate order, the Nuclear Regulatory Commission issued an Order that suspended construction at the Zimmer Nuclear Power Plant (</w:t>
      </w:r>
      <w:r>
        <w:t>“</w:t>
      </w:r>
      <w:r w:rsidRPr="00077403">
        <w:t>Zimmer</w:t>
      </w:r>
      <w:r>
        <w:t>”</w:t>
      </w:r>
      <w:r w:rsidRPr="00077403">
        <w:t>). The original Opinion and Order included a rate base allowance for construction work in progress (</w:t>
      </w:r>
      <w:r>
        <w:t>“</w:t>
      </w:r>
      <w:r w:rsidRPr="00077403">
        <w:t>CWIP</w:t>
      </w:r>
      <w:r>
        <w:t>”</w:t>
      </w:r>
      <w:r w:rsidRPr="00077403">
        <w:t>) for Zimmer.</w:t>
      </w:r>
      <w:r>
        <w:rPr>
          <w:vertAlign w:val="superscript"/>
        </w:rPr>
        <w:footnoteReference w:id="27"/>
      </w:r>
      <w:r w:rsidRPr="00077403">
        <w:t xml:space="preserve"> </w:t>
      </w:r>
    </w:p>
    <w:p w:rsidR="009E339E" w:rsidRPr="00077403" w:rsidP="00AE3233" w14:paraId="03AE22E5" w14:textId="68E952E7">
      <w:pPr>
        <w:spacing w:line="480" w:lineRule="auto"/>
        <w:ind w:firstLine="720"/>
      </w:pPr>
      <w:r w:rsidRPr="00077403">
        <w:t>In its order setting the rehearing, the PUCO approved the utility</w:t>
      </w:r>
      <w:r w:rsidR="00077403">
        <w:t>’</w:t>
      </w:r>
      <w:r w:rsidRPr="00077403">
        <w:t xml:space="preserve">s filed tariffs but expressly found the portion of the increase granted attributable to Zimmer CWIP </w:t>
      </w:r>
      <w:r w:rsidR="00077403">
        <w:t>“</w:t>
      </w:r>
      <w:r w:rsidRPr="00077403">
        <w:t>should be made subject to refund, pending a rehearing on the CWIP issue.</w:t>
      </w:r>
      <w:r w:rsidR="00077403">
        <w:t>”</w:t>
      </w:r>
      <w:r>
        <w:rPr>
          <w:vertAlign w:val="superscript"/>
        </w:rPr>
        <w:footnoteReference w:id="28"/>
      </w:r>
      <w:r w:rsidRPr="00077403">
        <w:t xml:space="preserve"> A rehearing was held, and the PUCO ordered that all of the Zimmer costs should be excluded from CWIP. The PUCO ordered the utility to file tariffs reducing the total revenue requirements by approximately $13 million.</w:t>
      </w:r>
      <w:r>
        <w:rPr>
          <w:vertAlign w:val="superscript"/>
        </w:rPr>
        <w:footnoteReference w:id="29"/>
      </w:r>
      <w:r w:rsidRPr="00077403">
        <w:t xml:space="preserve"> The utility appealed and sought a stay of the PUCO</w:t>
      </w:r>
      <w:r w:rsidR="00077403">
        <w:t>’</w:t>
      </w:r>
      <w:r w:rsidRPr="00077403">
        <w:t>s Order on Rehearing from the Supreme Court of Ohio. The Court granted the stay but subsequently affirmed the PUCO</w:t>
      </w:r>
      <w:r w:rsidR="00077403">
        <w:t>’</w:t>
      </w:r>
      <w:r w:rsidRPr="00077403">
        <w:t>s denial of a CWIP allowance.</w:t>
      </w:r>
      <w:r>
        <w:rPr>
          <w:vertAlign w:val="superscript"/>
        </w:rPr>
        <w:footnoteReference w:id="30"/>
      </w:r>
      <w:r w:rsidRPr="00077403">
        <w:t xml:space="preserve"> After the PUCO</w:t>
      </w:r>
      <w:r w:rsidR="00077403">
        <w:t>’</w:t>
      </w:r>
      <w:r w:rsidRPr="00077403">
        <w:t>s action was upheld on appeal,</w:t>
      </w:r>
      <w:r>
        <w:rPr>
          <w:vertAlign w:val="superscript"/>
        </w:rPr>
        <w:footnoteReference w:id="31"/>
      </w:r>
      <w:r w:rsidRPr="00077403">
        <w:t xml:space="preserve"> the PUCO ordered the utility to refund approximately $4.5 million to its customers.</w:t>
      </w:r>
      <w:r>
        <w:rPr>
          <w:vertAlign w:val="superscript"/>
        </w:rPr>
        <w:footnoteReference w:id="32"/>
      </w:r>
      <w:r w:rsidRPr="00077403">
        <w:t xml:space="preserve"> The PUCO ordered the collection, subject to refund to protect customers in the event of a later decision that the utility was collecting more from customers than warranted by law, rule, or reason. </w:t>
      </w:r>
    </w:p>
    <w:p w:rsidR="009E339E" w:rsidRPr="00077403" w:rsidP="00AE3233" w14:paraId="4A7D6ABB" w14:textId="1A21FE4B">
      <w:pPr>
        <w:spacing w:line="480" w:lineRule="auto"/>
        <w:ind w:firstLine="720"/>
      </w:pPr>
      <w:r w:rsidRPr="00077403">
        <w:t>Another example where the PUCO has collected rates subject to refund involved the Ohio Utilities Company.</w:t>
      </w:r>
      <w:r>
        <w:rPr>
          <w:vertAlign w:val="superscript"/>
        </w:rPr>
        <w:footnoteReference w:id="33"/>
      </w:r>
      <w:r w:rsidRPr="00077403">
        <w:t xml:space="preserve"> After a rate order was issued,</w:t>
      </w:r>
      <w:r>
        <w:rPr>
          <w:vertAlign w:val="superscript"/>
        </w:rPr>
        <w:footnoteReference w:id="34"/>
      </w:r>
      <w:r w:rsidRPr="00077403">
        <w:t xml:space="preserve"> legislation was enacted that changed Ohio</w:t>
      </w:r>
      <w:r w:rsidR="00077403">
        <w:t>’</w:t>
      </w:r>
      <w:r w:rsidRPr="00077403">
        <w:t>s ratemaking formula. The PUCO opened an investigation to determine if the previously-established rates were still reasonable in light of the new law.</w:t>
      </w:r>
      <w:r>
        <w:rPr>
          <w:vertAlign w:val="superscript"/>
        </w:rPr>
        <w:footnoteReference w:id="35"/>
      </w:r>
      <w:r w:rsidRPr="00077403">
        <w:t xml:space="preserve"> The PUCO determined that the rates were excessive, taking into account the new law, and ordered the utility to withdraw its tariffs and file new lower rates consistent with the PUCO</w:t>
      </w:r>
      <w:r w:rsidR="00077403">
        <w:t>’</w:t>
      </w:r>
      <w:r w:rsidRPr="00077403">
        <w:t>s findings.</w:t>
      </w:r>
      <w:r>
        <w:rPr>
          <w:vertAlign w:val="superscript"/>
        </w:rPr>
        <w:footnoteReference w:id="36"/>
      </w:r>
      <w:r w:rsidRPr="00077403">
        <w:t xml:space="preserve"> The utility sought a stay of the PUCO</w:t>
      </w:r>
      <w:r w:rsidR="00077403">
        <w:t>’</w:t>
      </w:r>
      <w:r w:rsidRPr="00077403">
        <w:t>s order, pending further review, which was granted with the condition that the utility was required to collect rates subject to refund.</w:t>
      </w:r>
      <w:r>
        <w:rPr>
          <w:vertAlign w:val="superscript"/>
        </w:rPr>
        <w:footnoteReference w:id="37"/>
      </w:r>
      <w:r w:rsidRPr="00077403">
        <w:t xml:space="preserve"> </w:t>
      </w:r>
    </w:p>
    <w:p w:rsidR="009662A0" w:rsidP="00AE3233" w14:paraId="7AB28675" w14:textId="77777777">
      <w:pPr>
        <w:spacing w:line="480" w:lineRule="auto"/>
        <w:ind w:firstLine="720"/>
      </w:pPr>
      <w:r w:rsidRPr="00077403">
        <w:t xml:space="preserve">And in a case </w:t>
      </w:r>
      <w:r w:rsidRPr="00077403" w:rsidR="009E339E">
        <w:t>involving AEP</w:t>
      </w:r>
      <w:r w:rsidR="00077403">
        <w:t>’</w:t>
      </w:r>
      <w:r w:rsidRPr="00077403" w:rsidR="009E339E">
        <w:t>s Rate Stability Rider (</w:t>
      </w:r>
      <w:r w:rsidR="00077403">
        <w:t>“</w:t>
      </w:r>
      <w:r w:rsidRPr="00077403" w:rsidR="009E339E">
        <w:t>RSR</w:t>
      </w:r>
      <w:r w:rsidR="00077403">
        <w:t>”</w:t>
      </w:r>
      <w:r w:rsidRPr="00077403" w:rsidR="009E339E">
        <w:t>), the PUCO ordered that the RSR be collected subject to refund after the case was remanded by the Court.</w:t>
      </w:r>
      <w:r>
        <w:rPr>
          <w:vertAlign w:val="superscript"/>
        </w:rPr>
        <w:footnoteReference w:id="38"/>
      </w:r>
      <w:r w:rsidRPr="00077403" w:rsidR="009E339E">
        <w:t xml:space="preserve"> The PUCO </w:t>
      </w:r>
      <w:r w:rsidR="00077403">
        <w:t>“</w:t>
      </w:r>
      <w:r w:rsidRPr="00077403" w:rsidR="009E339E">
        <w:t>direct[ed] AEP Ohio to file revised tariffs that provide that the RSR is being collected subject to refund</w:t>
      </w:r>
      <w:r w:rsidR="00077403">
        <w:t>”</w:t>
      </w:r>
      <w:r w:rsidRPr="00077403" w:rsidR="009E339E">
        <w:t xml:space="preserve"> in order to protect consumers from irreparable harm – continuing to pay the RSR without the potential of getting a refund.</w:t>
      </w:r>
      <w:r>
        <w:rPr>
          <w:vertAlign w:val="superscript"/>
        </w:rPr>
        <w:footnoteReference w:id="39"/>
      </w:r>
    </w:p>
    <w:p w:rsidR="0055217B" w:rsidRPr="00E02E35" w:rsidP="00E02E35" w14:paraId="681D8B38" w14:textId="5157176B">
      <w:pPr>
        <w:pStyle w:val="BodyTextIndent3"/>
        <w:widowControl w:val="0"/>
        <w:spacing w:line="480" w:lineRule="auto"/>
        <w:rPr>
          <w:szCs w:val="24"/>
        </w:rPr>
      </w:pPr>
      <w:r>
        <w:rPr>
          <w:szCs w:val="24"/>
        </w:rPr>
        <w:t>As set forth above, t</w:t>
      </w:r>
      <w:r w:rsidRPr="00077403">
        <w:rPr>
          <w:szCs w:val="24"/>
        </w:rPr>
        <w:t>he PUCO should require that AEP include in its tariffs language providing for refunds to consumers if FERC determines, as a result of OCC</w:t>
      </w:r>
      <w:r>
        <w:rPr>
          <w:szCs w:val="24"/>
        </w:rPr>
        <w:t>’</w:t>
      </w:r>
      <w:r w:rsidRPr="00077403">
        <w:rPr>
          <w:szCs w:val="24"/>
        </w:rPr>
        <w:t>s Complaint, that supplemental transmission project costs charged to consumers are improper and unreasonable.</w:t>
      </w:r>
      <w:r>
        <w:rPr>
          <w:szCs w:val="24"/>
        </w:rPr>
        <w:t xml:space="preserve"> </w:t>
      </w:r>
    </w:p>
    <w:p w:rsidR="0049680F" w:rsidP="00E02E35" w14:paraId="52A47EB4" w14:textId="49B5E80F">
      <w:pPr>
        <w:ind w:firstLine="720"/>
      </w:pPr>
    </w:p>
    <w:p w:rsidR="00AE2A10" w:rsidRPr="00077403" w:rsidP="00AE2A10" w14:paraId="5F7B43D9" w14:textId="1C3BAD76">
      <w:pPr>
        <w:pStyle w:val="Heading1"/>
        <w:numPr>
          <w:ilvl w:val="0"/>
          <w:numId w:val="0"/>
        </w:numPr>
        <w:ind w:left="720" w:hanging="720"/>
      </w:pPr>
      <w:bookmarkStart w:id="26" w:name="_Toc164437306"/>
      <w:r w:rsidRPr="00077403">
        <w:t>I</w:t>
      </w:r>
      <w:r w:rsidR="005F39B6">
        <w:t>II</w:t>
      </w:r>
      <w:r w:rsidRPr="00077403">
        <w:t>.</w:t>
      </w:r>
      <w:r w:rsidRPr="00077403">
        <w:tab/>
        <w:t>CONCLUSION</w:t>
      </w:r>
      <w:bookmarkEnd w:id="26"/>
    </w:p>
    <w:p w:rsidR="007D2AC3" w:rsidP="00B211EC" w14:paraId="6B0AAB0B" w14:textId="28555069">
      <w:pPr>
        <w:spacing w:line="480" w:lineRule="auto"/>
        <w:ind w:firstLine="720"/>
      </w:pPr>
      <w:r w:rsidRPr="00077403">
        <w:t xml:space="preserve">The PUCO can act now to </w:t>
      </w:r>
      <w:r w:rsidR="0006123C">
        <w:t>stop the unfair and unreasonable transmission rate increase to residential consumers.</w:t>
      </w:r>
      <w:r w:rsidR="00E02E35">
        <w:t xml:space="preserve"> </w:t>
      </w:r>
      <w:r w:rsidR="0006123C">
        <w:t xml:space="preserve">The PUCO should grant OCC’s </w:t>
      </w:r>
      <w:r>
        <w:t xml:space="preserve">Application </w:t>
      </w:r>
      <w:r w:rsidR="0006123C">
        <w:t>for Rehearing and provide an opportunity for the development of a full record with factual findings and a written rationale supporting its decision.</w:t>
      </w:r>
      <w:r w:rsidR="00E02E35">
        <w:t xml:space="preserve"> </w:t>
      </w:r>
      <w:r w:rsidR="0006123C">
        <w:t>The PUCO should deny AEP’s carrying charges under the BTCR due to AEP’s failure to file for an interim application pursuant to O.A.C. 4901:1-36-03(D).</w:t>
      </w:r>
      <w:r w:rsidR="00E02E35">
        <w:t xml:space="preserve"> </w:t>
      </w:r>
    </w:p>
    <w:p w:rsidR="00F23EB2" w:rsidRPr="00077403" w:rsidP="00B211EC" w14:paraId="384F6779" w14:textId="064DA048">
      <w:pPr>
        <w:spacing w:line="480" w:lineRule="auto"/>
        <w:ind w:firstLine="720"/>
      </w:pPr>
      <w:r>
        <w:t>Further, the PUCO should eliminate the misallocation of the $32 million under</w:t>
      </w:r>
      <w:r w:rsidR="007D2AC3">
        <w:t>-</w:t>
      </w:r>
      <w:r>
        <w:t>recovery by using the allocation factors in effect when the misallocation occurred and not the allocation factors for the present year.</w:t>
      </w:r>
      <w:r w:rsidR="00E02E35">
        <w:t xml:space="preserve"> </w:t>
      </w:r>
      <w:r>
        <w:t xml:space="preserve">Finally, to </w:t>
      </w:r>
      <w:r w:rsidRPr="00077403" w:rsidR="009E339E">
        <w:t>prevent harm to consumers from supplemental transmission projects</w:t>
      </w:r>
      <w:r>
        <w:t xml:space="preserve"> the PUCO </w:t>
      </w:r>
      <w:r w:rsidRPr="00077403" w:rsidR="009E339E">
        <w:t xml:space="preserve">should order that </w:t>
      </w:r>
      <w:r w:rsidRPr="00077403" w:rsidR="00915AA0">
        <w:t xml:space="preserve">the </w:t>
      </w:r>
      <w:r w:rsidRPr="00077403" w:rsidR="009E339E">
        <w:t xml:space="preserve">BTCR be collected subject to refund if FERC determines as a result of the OCC Complaint that </w:t>
      </w:r>
      <w:r w:rsidRPr="00077403">
        <w:t xml:space="preserve">consumers are improperly paying for </w:t>
      </w:r>
      <w:r w:rsidRPr="00077403" w:rsidR="009E339E">
        <w:t xml:space="preserve">supplemental transmission </w:t>
      </w:r>
      <w:r w:rsidRPr="00077403">
        <w:t>projects.</w:t>
      </w:r>
    </w:p>
    <w:p w:rsidR="00635FC0" w:rsidRPr="00077403" w:rsidP="00635FC0" w14:paraId="59C4A40B" w14:textId="77777777">
      <w:pPr>
        <w:ind w:left="4320"/>
      </w:pPr>
      <w:bookmarkStart w:id="27" w:name="_Hlk163636885"/>
      <w:bookmarkStart w:id="28" w:name="_Hlk159502689"/>
      <w:bookmarkEnd w:id="11"/>
      <w:bookmarkEnd w:id="12"/>
      <w:bookmarkEnd w:id="13"/>
      <w:bookmarkEnd w:id="14"/>
      <w:bookmarkEnd w:id="15"/>
      <w:r w:rsidRPr="00077403">
        <w:t>Respectfully submitted,</w:t>
      </w:r>
    </w:p>
    <w:p w:rsidR="00635FC0" w:rsidRPr="00077403" w:rsidP="00635FC0" w14:paraId="67D6122F" w14:textId="77777777">
      <w:pPr>
        <w:ind w:left="4320"/>
      </w:pPr>
    </w:p>
    <w:p w:rsidR="00635FC0" w:rsidRPr="00077403" w:rsidP="00635FC0" w14:paraId="1A848D43"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bookmarkStart w:id="29" w:name="_Hlk163632563"/>
      <w:r w:rsidRPr="00077403">
        <w:rPr>
          <w:rFonts w:eastAsia="Courier New"/>
        </w:rPr>
        <w:t>Maureen R. Willis (0020847)</w:t>
      </w:r>
    </w:p>
    <w:p w:rsidR="00635FC0" w:rsidRPr="00077403" w:rsidP="00635FC0" w14:paraId="6A2C044D" w14:textId="24F5781C">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077403">
        <w:t>Ohio Consumers</w:t>
      </w:r>
      <w:r w:rsidR="00077403">
        <w:t>’</w:t>
      </w:r>
      <w:r w:rsidRPr="00077403">
        <w:t xml:space="preserve"> Counsel</w:t>
      </w:r>
    </w:p>
    <w:p w:rsidR="00635FC0" w:rsidRPr="00077403" w:rsidP="00635FC0" w14:paraId="35ADEA52" w14:textId="77777777">
      <w:pPr>
        <w:tabs>
          <w:tab w:val="left" w:pos="4320"/>
        </w:tabs>
        <w:ind w:left="4320"/>
      </w:pPr>
    </w:p>
    <w:p w:rsidR="00635FC0" w:rsidRPr="00077403" w:rsidP="00635FC0" w14:paraId="6C03184A" w14:textId="66177149">
      <w:pPr>
        <w:tabs>
          <w:tab w:val="left" w:pos="4320"/>
        </w:tabs>
        <w:ind w:left="4320"/>
      </w:pPr>
      <w:r w:rsidRPr="00077403">
        <w:rPr>
          <w:i/>
          <w:u w:val="single"/>
        </w:rPr>
        <w:t>/s/ Donald J. Kral</w:t>
      </w:r>
    </w:p>
    <w:p w:rsidR="00635FC0" w:rsidRPr="00077403" w:rsidP="00635FC0" w14:paraId="4DC7BA2E" w14:textId="77777777">
      <w:pPr>
        <w:tabs>
          <w:tab w:val="left" w:pos="4320"/>
        </w:tabs>
        <w:ind w:left="4320"/>
      </w:pPr>
      <w:r w:rsidRPr="00077403">
        <w:t>Donald J. Kral (0042091)</w:t>
      </w:r>
    </w:p>
    <w:p w:rsidR="00635FC0" w:rsidRPr="00077403" w:rsidP="00635FC0" w14:paraId="023E54C0" w14:textId="77777777">
      <w:pPr>
        <w:tabs>
          <w:tab w:val="left" w:pos="4320"/>
        </w:tabs>
        <w:ind w:left="4320"/>
      </w:pPr>
      <w:r w:rsidRPr="00077403">
        <w:t>Counsel of Record</w:t>
      </w:r>
    </w:p>
    <w:p w:rsidR="00635FC0" w:rsidRPr="00077403" w:rsidP="00635FC0" w14:paraId="2C45FBA7" w14:textId="77777777">
      <w:pPr>
        <w:tabs>
          <w:tab w:val="left" w:pos="4320"/>
        </w:tabs>
        <w:ind w:left="4320"/>
      </w:pPr>
      <w:r w:rsidRPr="00077403">
        <w:t>Thomas J. Brodbeck (0093920)</w:t>
      </w:r>
    </w:p>
    <w:p w:rsidR="00635FC0" w:rsidRPr="00077403" w:rsidP="00635FC0" w14:paraId="13D40E77" w14:textId="3C0113CB">
      <w:pPr>
        <w:tabs>
          <w:tab w:val="left" w:pos="4320"/>
        </w:tabs>
        <w:ind w:left="4320"/>
      </w:pPr>
      <w:r w:rsidRPr="00077403">
        <w:t>Assistant Consumers</w:t>
      </w:r>
      <w:r w:rsidR="00077403">
        <w:t>’</w:t>
      </w:r>
      <w:r w:rsidRPr="00077403">
        <w:t xml:space="preserve"> Counsel</w:t>
      </w:r>
    </w:p>
    <w:p w:rsidR="00635FC0" w:rsidRPr="00077403" w:rsidP="00635FC0" w14:paraId="493B98B6" w14:textId="77777777">
      <w:pPr>
        <w:tabs>
          <w:tab w:val="left" w:pos="4320"/>
        </w:tabs>
        <w:ind w:left="4320"/>
      </w:pPr>
    </w:p>
    <w:p w:rsidR="00635FC0" w:rsidRPr="00077403" w:rsidP="00635FC0" w14:paraId="0E5E61C6" w14:textId="77C22D26">
      <w:pPr>
        <w:keepNext/>
        <w:ind w:left="4320" w:right="-648"/>
        <w:outlineLvl w:val="0"/>
        <w:rPr>
          <w:b/>
        </w:rPr>
      </w:pPr>
      <w:r w:rsidRPr="00077403">
        <w:rPr>
          <w:b/>
        </w:rPr>
        <w:t>Office of the Ohio Consumers</w:t>
      </w:r>
      <w:r w:rsidR="00077403">
        <w:rPr>
          <w:b/>
        </w:rPr>
        <w:t>’</w:t>
      </w:r>
      <w:r w:rsidRPr="00077403">
        <w:rPr>
          <w:b/>
        </w:rPr>
        <w:t xml:space="preserve"> Counsel</w:t>
      </w:r>
    </w:p>
    <w:p w:rsidR="00635FC0" w:rsidRPr="00077403" w:rsidP="00635FC0" w14:paraId="55D9B2BC" w14:textId="77777777">
      <w:pPr>
        <w:keepNext/>
        <w:ind w:left="4320" w:right="-648"/>
        <w:outlineLvl w:val="0"/>
      </w:pPr>
      <w:r w:rsidRPr="00077403">
        <w:t>65 East State Street, Suite 700</w:t>
      </w:r>
    </w:p>
    <w:p w:rsidR="00635FC0" w:rsidRPr="00077403" w:rsidP="00635FC0" w14:paraId="1BAAACEB" w14:textId="77777777">
      <w:pPr>
        <w:keepNext/>
        <w:ind w:left="4320" w:right="-648"/>
        <w:outlineLvl w:val="0"/>
      </w:pPr>
      <w:r w:rsidRPr="00077403">
        <w:t>Columbus, Ohio 43215</w:t>
      </w:r>
    </w:p>
    <w:p w:rsidR="00635FC0" w:rsidRPr="00077403" w:rsidP="00635FC0" w14:paraId="7DB865F2" w14:textId="77777777">
      <w:pPr>
        <w:autoSpaceDE w:val="0"/>
        <w:autoSpaceDN w:val="0"/>
        <w:adjustRightInd w:val="0"/>
        <w:ind w:left="4320"/>
      </w:pPr>
      <w:r w:rsidRPr="00077403">
        <w:t>Telephone [Kral]: (614) 466-9571</w:t>
      </w:r>
    </w:p>
    <w:p w:rsidR="00635FC0" w:rsidRPr="00077403" w:rsidP="00635FC0" w14:paraId="262BE60F" w14:textId="77777777">
      <w:pPr>
        <w:autoSpaceDE w:val="0"/>
        <w:autoSpaceDN w:val="0"/>
        <w:adjustRightInd w:val="0"/>
        <w:ind w:left="4320"/>
      </w:pPr>
      <w:r w:rsidRPr="00077403">
        <w:t>Telephone [Brodbeck]: (614) 466-9565</w:t>
      </w:r>
    </w:p>
    <w:p w:rsidR="00635FC0" w:rsidRPr="00077403" w:rsidP="00635FC0" w14:paraId="7D258BB6" w14:textId="77777777">
      <w:pPr>
        <w:autoSpaceDE w:val="0"/>
        <w:autoSpaceDN w:val="0"/>
        <w:adjustRightInd w:val="0"/>
        <w:ind w:left="4320"/>
      </w:pPr>
      <w:hyperlink r:id="rId6" w:history="1">
        <w:r w:rsidRPr="00077403">
          <w:rPr>
            <w:rFonts w:eastAsia="Courier New"/>
            <w:color w:val="0000FF"/>
            <w:u w:val="single"/>
          </w:rPr>
          <w:t>donald.kral@occ.ohio.gov</w:t>
        </w:r>
      </w:hyperlink>
    </w:p>
    <w:p w:rsidR="00635FC0" w:rsidRPr="00077403" w:rsidP="00635FC0" w14:paraId="246DC326" w14:textId="77777777">
      <w:pPr>
        <w:autoSpaceDE w:val="0"/>
        <w:autoSpaceDN w:val="0"/>
        <w:adjustRightInd w:val="0"/>
        <w:ind w:left="4320"/>
      </w:pPr>
      <w:hyperlink r:id="rId7" w:history="1">
        <w:r w:rsidRPr="00077403">
          <w:rPr>
            <w:rFonts w:eastAsia="Courier New"/>
            <w:color w:val="0000FF"/>
            <w:u w:val="single"/>
          </w:rPr>
          <w:t>thomas.brodbeck@occ.ohio.gov</w:t>
        </w:r>
      </w:hyperlink>
    </w:p>
    <w:p w:rsidR="00635FC0" w:rsidRPr="00077403" w:rsidP="00635FC0" w14:paraId="21E4505D" w14:textId="77777777">
      <w:pPr>
        <w:tabs>
          <w:tab w:val="left" w:pos="8730"/>
        </w:tabs>
        <w:ind w:left="4320"/>
      </w:pPr>
      <w:r w:rsidRPr="00077403">
        <w:t xml:space="preserve">(willing to accept service by e-mail) </w:t>
      </w:r>
    </w:p>
    <w:bookmarkEnd w:id="27"/>
    <w:p w:rsidR="00635FC0" w:rsidRPr="00077403" w14:paraId="21BC7E2E" w14:textId="5741642E">
      <w:r w:rsidRPr="00077403">
        <w:br w:type="page"/>
      </w:r>
    </w:p>
    <w:bookmarkEnd w:id="28"/>
    <w:bookmarkEnd w:id="29"/>
    <w:p w:rsidR="00A5637F" w:rsidRPr="00077403" w:rsidP="00BD6BC5" w14:paraId="610DF17B" w14:textId="7C6B91A8">
      <w:pPr>
        <w:pStyle w:val="ANSWER"/>
        <w:ind w:left="720"/>
        <w:jc w:val="center"/>
        <w:rPr>
          <w:b/>
          <w:szCs w:val="24"/>
          <w:u w:val="single"/>
        </w:rPr>
      </w:pPr>
      <w:r w:rsidRPr="00077403">
        <w:rPr>
          <w:b/>
          <w:szCs w:val="24"/>
          <w:u w:val="single"/>
        </w:rPr>
        <w:t>CERTIFICATE OF SERVICE</w:t>
      </w:r>
    </w:p>
    <w:p w:rsidR="00D3131D" w:rsidRPr="00077403" w:rsidP="00BD6BC5" w14:paraId="7DD07E53" w14:textId="29E20458">
      <w:pPr>
        <w:spacing w:line="480" w:lineRule="auto"/>
      </w:pPr>
      <w:r w:rsidRPr="00077403">
        <w:tab/>
        <w:t xml:space="preserve">I hereby certify that a copy of the foregoing </w:t>
      </w:r>
      <w:r w:rsidRPr="00077403" w:rsidR="000B66DC">
        <w:t>Application for Rehearing</w:t>
      </w:r>
      <w:r w:rsidRPr="00077403" w:rsidR="002A5718">
        <w:t xml:space="preserve"> </w:t>
      </w:r>
      <w:r w:rsidRPr="00077403" w:rsidR="007D219C">
        <w:t xml:space="preserve">was served on the persons stated below via electronic transmission, this </w:t>
      </w:r>
      <w:r w:rsidRPr="00077403" w:rsidR="00172319">
        <w:t>19</w:t>
      </w:r>
      <w:r w:rsidRPr="00077403" w:rsidR="002A5718">
        <w:rPr>
          <w:vertAlign w:val="superscript"/>
        </w:rPr>
        <w:t>th</w:t>
      </w:r>
      <w:r w:rsidRPr="00077403" w:rsidR="002A5718">
        <w:t xml:space="preserve"> day of April </w:t>
      </w:r>
      <w:r w:rsidRPr="00077403" w:rsidR="007D219C">
        <w:t>2024.</w:t>
      </w:r>
    </w:p>
    <w:p w:rsidR="00CF2964" w:rsidRPr="00077403" w:rsidP="00CF2964" w14:paraId="30CF4E86" w14:textId="28855886">
      <w:pPr>
        <w:tabs>
          <w:tab w:val="left" w:pos="4320"/>
        </w:tabs>
      </w:pPr>
      <w:r w:rsidRPr="00077403">
        <w:tab/>
      </w:r>
      <w:r w:rsidRPr="00077403">
        <w:rPr>
          <w:i/>
          <w:iCs/>
          <w:u w:val="single"/>
        </w:rPr>
        <w:t>/s/ Donald J. Kral</w:t>
      </w:r>
    </w:p>
    <w:p w:rsidR="00CF2964" w:rsidRPr="00077403" w:rsidP="00CF2964" w14:paraId="1C0426B3" w14:textId="77777777">
      <w:pPr>
        <w:tabs>
          <w:tab w:val="left" w:pos="4320"/>
        </w:tabs>
      </w:pPr>
      <w:r w:rsidRPr="00077403">
        <w:tab/>
        <w:t>Donald J. Kral</w:t>
      </w:r>
    </w:p>
    <w:p w:rsidR="00CF2964" w:rsidRPr="00077403" w:rsidP="00CF2964" w14:paraId="664D6775" w14:textId="106A59BA">
      <w:pPr>
        <w:tabs>
          <w:tab w:val="left" w:pos="4320"/>
        </w:tabs>
      </w:pPr>
      <w:r w:rsidRPr="00077403">
        <w:tab/>
        <w:t>Assistant Consumers</w:t>
      </w:r>
      <w:r w:rsidR="00077403">
        <w:t>’</w:t>
      </w:r>
      <w:r w:rsidRPr="00077403">
        <w:t xml:space="preserve"> Counsel</w:t>
      </w:r>
    </w:p>
    <w:p w:rsidR="002C7D60" w:rsidRPr="00077403" w:rsidP="00CF2964" w14:paraId="268A0765" w14:textId="4286E9D1">
      <w:pPr>
        <w:tabs>
          <w:tab w:val="left" w:pos="4320"/>
        </w:tabs>
      </w:pPr>
    </w:p>
    <w:p w:rsidR="002C7D60" w:rsidRPr="00077403" w:rsidP="002C7D60" w14:paraId="184A87AF" w14:textId="4FE68298">
      <w:pPr>
        <w:pStyle w:val="CommentText"/>
      </w:pPr>
      <w:r w:rsidRPr="00077403">
        <w:t>The PUCO</w:t>
      </w:r>
      <w:r w:rsidR="00077403">
        <w:t>’</w:t>
      </w:r>
      <w:r w:rsidRPr="00077403">
        <w:t>s e-filing system will electronically serve notice of the filing of this document on the following parties:</w:t>
      </w:r>
    </w:p>
    <w:p w:rsidR="002C7D60" w:rsidRPr="00077403" w:rsidP="002C7D60" w14:paraId="7E43FDD1" w14:textId="77777777">
      <w:pPr>
        <w:tabs>
          <w:tab w:val="left" w:pos="4320"/>
        </w:tabs>
      </w:pPr>
    </w:p>
    <w:p w:rsidR="002C7D60" w:rsidRPr="00077403" w:rsidP="002C7D60" w14:paraId="116D3271" w14:textId="77777777">
      <w:pPr>
        <w:pStyle w:val="CommentText"/>
        <w:jc w:val="center"/>
        <w:rPr>
          <w:b/>
          <w:u w:val="single"/>
        </w:rPr>
      </w:pPr>
      <w:r w:rsidRPr="00077403">
        <w:rPr>
          <w:b/>
          <w:u w:val="single"/>
        </w:rPr>
        <w:t>SERVICE LIST</w:t>
      </w:r>
    </w:p>
    <w:tbl>
      <w:tblPr>
        <w:tblW w:w="8856" w:type="dxa"/>
        <w:tblInd w:w="0" w:type="dxa"/>
        <w:tblCellMar>
          <w:top w:w="0" w:type="dxa"/>
          <w:left w:w="108" w:type="dxa"/>
          <w:bottom w:w="0" w:type="dxa"/>
          <w:right w:w="108" w:type="dxa"/>
        </w:tblCellMar>
        <w:tblLook w:val="04A0"/>
      </w:tblPr>
      <w:tblGrid>
        <w:gridCol w:w="4320"/>
        <w:gridCol w:w="108"/>
        <w:gridCol w:w="4212"/>
        <w:gridCol w:w="216"/>
      </w:tblGrid>
      <w:tr w14:paraId="5C56951D" w14:textId="77777777" w:rsidTr="004C5420">
        <w:tblPrEx>
          <w:tblW w:w="8856" w:type="dxa"/>
          <w:tblInd w:w="0" w:type="dxa"/>
          <w:tblCellMar>
            <w:top w:w="0" w:type="dxa"/>
            <w:left w:w="108" w:type="dxa"/>
            <w:bottom w:w="0" w:type="dxa"/>
            <w:right w:w="108" w:type="dxa"/>
          </w:tblCellMar>
          <w:tblLook w:val="04A0"/>
        </w:tblPrEx>
        <w:trPr>
          <w:gridAfter w:val="1"/>
          <w:wAfter w:w="216" w:type="dxa"/>
        </w:trPr>
        <w:tc>
          <w:tcPr>
            <w:tcW w:w="4320" w:type="dxa"/>
            <w:shd w:val="clear" w:color="auto" w:fill="auto"/>
          </w:tcPr>
          <w:p w:rsidR="002C7D60" w:rsidRPr="00077403" w:rsidP="003F6E1A" w14:paraId="73F93B56" w14:textId="77777777">
            <w:pPr>
              <w:rPr>
                <w:bCs/>
                <w:sz w:val="24"/>
                <w:szCs w:val="24"/>
                <w:lang w:val="en-US" w:eastAsia="en-US" w:bidi="ar-SA"/>
              </w:rPr>
            </w:pPr>
          </w:p>
        </w:tc>
        <w:tc>
          <w:tcPr>
            <w:tcW w:w="4320" w:type="dxa"/>
            <w:gridSpan w:val="2"/>
            <w:shd w:val="clear" w:color="auto" w:fill="auto"/>
          </w:tcPr>
          <w:p w:rsidR="002C7D60" w:rsidRPr="00077403" w:rsidP="003F6E1A" w14:paraId="3B663D9D" w14:textId="77777777">
            <w:pPr>
              <w:rPr>
                <w:bCs/>
                <w:sz w:val="24"/>
                <w:szCs w:val="24"/>
                <w:lang w:val="en-US" w:eastAsia="en-US" w:bidi="ar-SA"/>
              </w:rPr>
            </w:pPr>
          </w:p>
        </w:tc>
      </w:tr>
      <w:tr w14:paraId="6A47645B" w14:textId="77777777" w:rsidTr="004C5420">
        <w:tblPrEx>
          <w:tblW w:w="8856" w:type="dxa"/>
          <w:tblInd w:w="0" w:type="dxa"/>
          <w:tblCellMar>
            <w:top w:w="0" w:type="dxa"/>
            <w:left w:w="108" w:type="dxa"/>
            <w:bottom w:w="0" w:type="dxa"/>
            <w:right w:w="108" w:type="dxa"/>
          </w:tblCellMar>
          <w:tblLook w:val="04A0"/>
        </w:tblPrEx>
        <w:tc>
          <w:tcPr>
            <w:tcW w:w="4428" w:type="dxa"/>
            <w:gridSpan w:val="2"/>
            <w:shd w:val="clear" w:color="auto" w:fill="auto"/>
          </w:tcPr>
          <w:p w:rsidR="004C5420" w:rsidRPr="00077403" w:rsidP="004C5420" w14:paraId="40ABAE41" w14:textId="45FBDF90">
            <w:pPr>
              <w:ind w:left="-113"/>
              <w:jc w:val="both"/>
              <w:rPr>
                <w:color w:val="0000FF"/>
                <w:sz w:val="24"/>
                <w:szCs w:val="24"/>
                <w:u w:val="single"/>
                <w:lang w:val="en-US" w:eastAsia="en-US" w:bidi="ar-SA"/>
              </w:rPr>
            </w:pPr>
            <w:r w:rsidRPr="00077403">
              <w:rPr>
                <w:color w:val="0000FF"/>
                <w:sz w:val="24"/>
                <w:szCs w:val="24"/>
                <w:u w:val="single"/>
                <w:lang w:val="en-US" w:eastAsia="en-US" w:bidi="ar-SA"/>
              </w:rPr>
              <w:t>amy.botschnerobrien@ohioago.gov</w:t>
            </w:r>
          </w:p>
          <w:p w:rsidR="00D3131D" w:rsidRPr="00077403" w:rsidP="004C5420" w14:paraId="45E38AB3" w14:textId="77777777">
            <w:pPr>
              <w:ind w:left="-113"/>
              <w:jc w:val="both"/>
              <w:rPr>
                <w:color w:val="0000FF"/>
                <w:sz w:val="24"/>
                <w:szCs w:val="24"/>
                <w:u w:val="single"/>
                <w:lang w:val="en-US" w:eastAsia="en-US" w:bidi="ar-SA"/>
              </w:rPr>
            </w:pPr>
          </w:p>
          <w:p w:rsidR="00D3131D" w:rsidRPr="00077403" w:rsidP="004C5420" w14:paraId="2EBD0B6B" w14:textId="04853982">
            <w:pPr>
              <w:ind w:left="-113"/>
              <w:jc w:val="both"/>
              <w:rPr>
                <w:sz w:val="24"/>
                <w:szCs w:val="24"/>
                <w:lang w:val="en-US" w:eastAsia="en-US" w:bidi="ar-SA"/>
              </w:rPr>
            </w:pPr>
            <w:r w:rsidRPr="00077403">
              <w:rPr>
                <w:sz w:val="24"/>
                <w:szCs w:val="24"/>
                <w:lang w:val="en-US" w:eastAsia="en-US" w:bidi="ar-SA"/>
              </w:rPr>
              <w:t>Attorney Examiners:</w:t>
            </w:r>
          </w:p>
          <w:p w:rsidR="00D3131D" w:rsidRPr="00077403" w:rsidP="004C5420" w14:paraId="295B9916" w14:textId="245D44D5">
            <w:pPr>
              <w:ind w:left="-113"/>
              <w:jc w:val="both"/>
              <w:rPr>
                <w:color w:val="0000FF"/>
                <w:sz w:val="24"/>
                <w:szCs w:val="24"/>
                <w:u w:val="single"/>
                <w:lang w:val="en-US" w:eastAsia="en-US" w:bidi="ar-SA"/>
              </w:rPr>
            </w:pPr>
            <w:hyperlink r:id="rId18" w:history="1">
              <w:r w:rsidRPr="00077403" w:rsidR="00634750">
                <w:rPr>
                  <w:rStyle w:val="Hyperlink"/>
                  <w:color w:val="0000FF"/>
                  <w:sz w:val="24"/>
                  <w:szCs w:val="24"/>
                  <w:u w:val="single"/>
                  <w:lang w:val="en-US" w:eastAsia="en-US" w:bidi="ar-SA"/>
                </w:rPr>
                <w:t>david.hicks@puco.ohio.gov</w:t>
              </w:r>
            </w:hyperlink>
          </w:p>
          <w:p w:rsidR="009119FC" w:rsidRPr="00077403" w:rsidP="004C5420" w14:paraId="6BFA68B1" w14:textId="245FBF27">
            <w:pPr>
              <w:ind w:left="-113"/>
              <w:jc w:val="both"/>
              <w:rPr>
                <w:sz w:val="24"/>
                <w:szCs w:val="24"/>
                <w:lang w:val="en-US" w:eastAsia="en-US" w:bidi="ar-SA"/>
              </w:rPr>
            </w:pPr>
            <w:hyperlink r:id="rId19" w:history="1">
              <w:r w:rsidRPr="00077403" w:rsidR="00634750">
                <w:rPr>
                  <w:rStyle w:val="Hyperlink"/>
                  <w:color w:val="0000FF"/>
                  <w:sz w:val="24"/>
                  <w:szCs w:val="24"/>
                  <w:u w:val="single"/>
                  <w:lang w:val="en-US" w:eastAsia="en-US" w:bidi="ar-SA"/>
                </w:rPr>
                <w:t>greta.see@puco.ohio.gov</w:t>
              </w:r>
            </w:hyperlink>
          </w:p>
          <w:p w:rsidR="00634750" w:rsidRPr="00077403" w:rsidP="004C5420" w14:paraId="190DD527" w14:textId="77777777">
            <w:pPr>
              <w:ind w:left="-113"/>
              <w:jc w:val="both"/>
              <w:rPr>
                <w:sz w:val="24"/>
                <w:szCs w:val="24"/>
                <w:lang w:val="en-US" w:eastAsia="en-US" w:bidi="ar-SA"/>
              </w:rPr>
            </w:pPr>
          </w:p>
          <w:p w:rsidR="004C5420" w:rsidRPr="00077403" w:rsidP="004C5420" w14:paraId="6739D45B" w14:textId="77777777">
            <w:pPr>
              <w:ind w:left="-113"/>
              <w:jc w:val="both"/>
              <w:rPr>
                <w:sz w:val="24"/>
                <w:szCs w:val="24"/>
                <w:lang w:val="en-US" w:eastAsia="en-US" w:bidi="ar-SA"/>
              </w:rPr>
            </w:pPr>
          </w:p>
        </w:tc>
        <w:tc>
          <w:tcPr>
            <w:tcW w:w="4428" w:type="dxa"/>
            <w:gridSpan w:val="2"/>
            <w:shd w:val="clear" w:color="auto" w:fill="auto"/>
          </w:tcPr>
          <w:p w:rsidR="004C5420" w:rsidRPr="00077403" w:rsidP="004C5420" w14:paraId="30948F5C" w14:textId="77777777">
            <w:pPr>
              <w:jc w:val="both"/>
              <w:rPr>
                <w:sz w:val="24"/>
                <w:szCs w:val="24"/>
                <w:lang w:val="en-US" w:eastAsia="en-US" w:bidi="ar-SA"/>
              </w:rPr>
            </w:pPr>
            <w:hyperlink r:id="rId20" w:history="1">
              <w:r w:rsidRPr="00077403" w:rsidR="00641BAF">
                <w:rPr>
                  <w:color w:val="0000FF"/>
                  <w:sz w:val="24"/>
                  <w:szCs w:val="24"/>
                  <w:u w:val="single"/>
                  <w:lang w:val="en-US" w:eastAsia="en-US" w:bidi="ar-SA"/>
                </w:rPr>
                <w:t>stnourse@aep.com</w:t>
              </w:r>
            </w:hyperlink>
          </w:p>
          <w:p w:rsidR="00B41BAE" w:rsidRPr="00077403" w:rsidP="004C5420" w14:paraId="0C173822" w14:textId="1165C2DE">
            <w:pPr>
              <w:jc w:val="both"/>
              <w:rPr>
                <w:sz w:val="24"/>
                <w:szCs w:val="24"/>
                <w:lang w:val="en-US" w:eastAsia="en-US" w:bidi="ar-SA"/>
              </w:rPr>
            </w:pPr>
            <w:hyperlink r:id="rId21" w:history="1">
              <w:r w:rsidRPr="00077403">
                <w:rPr>
                  <w:rStyle w:val="Hyperlink"/>
                  <w:color w:val="0000FF"/>
                  <w:sz w:val="24"/>
                  <w:szCs w:val="24"/>
                  <w:u w:val="single"/>
                  <w:lang w:val="en-US" w:eastAsia="en-US" w:bidi="ar-SA"/>
                </w:rPr>
                <w:t>mkurtz@BKLlawfirm.com</w:t>
              </w:r>
            </w:hyperlink>
          </w:p>
          <w:p w:rsidR="00B41BAE" w:rsidRPr="00077403" w:rsidP="004C5420" w14:paraId="3A79B8ED" w14:textId="77777777">
            <w:pPr>
              <w:jc w:val="both"/>
              <w:rPr>
                <w:rStyle w:val="Hyperlink"/>
                <w:color w:val="0000FF"/>
                <w:sz w:val="24"/>
                <w:szCs w:val="24"/>
                <w:u w:val="single"/>
                <w:lang w:val="en-US" w:eastAsia="en-US" w:bidi="ar-SA"/>
              </w:rPr>
            </w:pPr>
            <w:hyperlink r:id="rId22" w:history="1">
              <w:r w:rsidRPr="00077403">
                <w:rPr>
                  <w:rStyle w:val="Hyperlink"/>
                  <w:color w:val="0000FF"/>
                  <w:sz w:val="24"/>
                  <w:szCs w:val="24"/>
                  <w:u w:val="single"/>
                  <w:lang w:val="en-US" w:eastAsia="en-US" w:bidi="ar-SA"/>
                </w:rPr>
                <w:t>jkylercohn@BKLlawfirm.com</w:t>
              </w:r>
            </w:hyperlink>
          </w:p>
          <w:p w:rsidR="00484FB4" w:rsidRPr="00077403" w:rsidP="004C5420" w14:paraId="653CD2AC" w14:textId="30EBBBEC">
            <w:pPr>
              <w:jc w:val="both"/>
              <w:rPr>
                <w:rStyle w:val="Hyperlink"/>
                <w:color w:val="0000FF"/>
                <w:sz w:val="24"/>
                <w:szCs w:val="24"/>
                <w:u w:val="single"/>
                <w:lang w:val="en-US" w:eastAsia="en-US" w:bidi="ar-SA"/>
              </w:rPr>
            </w:pPr>
            <w:hyperlink r:id="rId23" w:history="1">
              <w:r w:rsidRPr="00077403">
                <w:rPr>
                  <w:rStyle w:val="Hyperlink"/>
                  <w:color w:val="0000FF"/>
                  <w:sz w:val="24"/>
                  <w:szCs w:val="24"/>
                  <w:u w:val="single"/>
                  <w:lang w:val="en-US" w:eastAsia="en-US" w:bidi="ar-SA"/>
                </w:rPr>
                <w:t>dproano@bakerlaw.com</w:t>
              </w:r>
            </w:hyperlink>
          </w:p>
          <w:p w:rsidR="00484FB4" w:rsidRPr="00077403" w:rsidP="004C5420" w14:paraId="2BA9661A" w14:textId="4431A12A">
            <w:pPr>
              <w:jc w:val="both"/>
              <w:rPr>
                <w:sz w:val="24"/>
                <w:szCs w:val="24"/>
                <w:lang w:val="en-US" w:eastAsia="en-US" w:bidi="ar-SA"/>
              </w:rPr>
            </w:pPr>
            <w:hyperlink r:id="rId24" w:history="1">
              <w:r w:rsidRPr="00077403">
                <w:rPr>
                  <w:rStyle w:val="Hyperlink"/>
                  <w:color w:val="0000FF"/>
                  <w:sz w:val="24"/>
                  <w:szCs w:val="24"/>
                  <w:u w:val="single"/>
                  <w:lang w:val="en-US" w:eastAsia="en-US" w:bidi="ar-SA"/>
                </w:rPr>
                <w:t>pwillison@bakerlaw.com</w:t>
              </w:r>
            </w:hyperlink>
          </w:p>
          <w:p w:rsidR="00484FB4" w:rsidRPr="00077403" w:rsidP="004C5420" w14:paraId="3B67EDA7" w14:textId="36CFF2DB">
            <w:pPr>
              <w:jc w:val="both"/>
              <w:rPr>
                <w:sz w:val="24"/>
                <w:szCs w:val="24"/>
                <w:lang w:val="en-US" w:eastAsia="en-US" w:bidi="ar-SA"/>
              </w:rPr>
            </w:pPr>
            <w:hyperlink r:id="rId25" w:history="1">
              <w:r w:rsidRPr="00077403">
                <w:rPr>
                  <w:rStyle w:val="Hyperlink"/>
                  <w:color w:val="0000FF"/>
                  <w:sz w:val="24"/>
                  <w:szCs w:val="24"/>
                  <w:u w:val="single"/>
                  <w:lang w:val="en-US" w:eastAsia="en-US" w:bidi="ar-SA"/>
                </w:rPr>
                <w:t>bojko@carpenterlipps.com</w:t>
              </w:r>
            </w:hyperlink>
          </w:p>
          <w:p w:rsidR="00484FB4" w:rsidRPr="00077403" w:rsidP="004C5420" w14:paraId="25DFFFCD" w14:textId="1C39A218">
            <w:pPr>
              <w:jc w:val="both"/>
              <w:rPr>
                <w:sz w:val="24"/>
                <w:szCs w:val="24"/>
                <w:lang w:val="en-US" w:eastAsia="en-US" w:bidi="ar-SA"/>
              </w:rPr>
            </w:pPr>
            <w:hyperlink r:id="rId26" w:history="1">
              <w:r w:rsidRPr="00077403">
                <w:rPr>
                  <w:rStyle w:val="Hyperlink"/>
                  <w:color w:val="0000FF"/>
                  <w:sz w:val="24"/>
                  <w:szCs w:val="24"/>
                  <w:u w:val="single"/>
                  <w:lang w:val="en-US" w:eastAsia="en-US" w:bidi="ar-SA"/>
                </w:rPr>
                <w:t>easley@carpenterlipps.com</w:t>
              </w:r>
            </w:hyperlink>
          </w:p>
          <w:p w:rsidR="00484FB4" w:rsidRPr="00077403" w:rsidP="004C5420" w14:paraId="4E4C9044" w14:textId="4B1838D1">
            <w:pPr>
              <w:jc w:val="both"/>
              <w:rPr>
                <w:sz w:val="24"/>
                <w:szCs w:val="24"/>
                <w:lang w:val="en-US" w:eastAsia="en-US" w:bidi="ar-SA"/>
              </w:rPr>
            </w:pPr>
          </w:p>
        </w:tc>
      </w:tr>
    </w:tbl>
    <w:p w:rsidR="00A5637F" w:rsidRPr="00077403" w:rsidP="002C7D60" w14:paraId="00A354A7" w14:textId="77777777">
      <w:pPr>
        <w:tabs>
          <w:tab w:val="left" w:pos="4320"/>
        </w:tabs>
      </w:pPr>
    </w:p>
    <w:sectPr w:rsidSect="007D6FA1">
      <w:footerReference w:type="first" r:id="rId27"/>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58AD" w14:paraId="140128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9023565"/>
      <w:docPartObj>
        <w:docPartGallery w:val="Page Numbers (Bottom of Page)"/>
        <w:docPartUnique/>
      </w:docPartObj>
    </w:sdtPr>
    <w:sdtEndPr>
      <w:rPr>
        <w:noProof/>
      </w:rPr>
    </w:sdtEndPr>
    <w:sdtContent>
      <w:p w:rsidR="00983F12" w:rsidP="00AE2BF5" w14:paraId="6D62D1F4" w14:textId="19E2624A">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F12" w:rsidP="00E336D8" w14:paraId="12F85826" w14:textId="2ADA65DD">
    <w:pPr>
      <w:pStyle w:val="Footer"/>
      <w:spacing w:line="24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6511731"/>
      <w:docPartObj>
        <w:docPartGallery w:val="Page Numbers (Bottom of Page)"/>
        <w:docPartUnique/>
      </w:docPartObj>
    </w:sdtPr>
    <w:sdtEndPr>
      <w:rPr>
        <w:noProof/>
      </w:rPr>
    </w:sdtEndPr>
    <w:sdtContent>
      <w:p w:rsidR="00054148" w:rsidP="00054148" w14:paraId="033408DC" w14:textId="370347FE">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3246161"/>
      <w:docPartObj>
        <w:docPartGallery w:val="Page Numbers (Bottom of Page)"/>
        <w:docPartUnique/>
      </w:docPartObj>
    </w:sdtPr>
    <w:sdtEndPr>
      <w:rPr>
        <w:noProof/>
      </w:rPr>
    </w:sdtEndPr>
    <w:sdtContent>
      <w:p w:rsidR="008E4F41" w:rsidP="00054148" w14:paraId="6453A231" w14:textId="77777777">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1409969"/>
      <w:docPartObj>
        <w:docPartGallery w:val="Page Numbers (Bottom of Page)"/>
        <w:docPartUnique/>
      </w:docPartObj>
    </w:sdtPr>
    <w:sdtEndPr>
      <w:rPr>
        <w:noProof/>
      </w:rPr>
    </w:sdtEndPr>
    <w:sdtContent>
      <w:p w:rsidR="00D13215" w:rsidP="00054148" w14:paraId="3557C42A" w14:textId="77777777">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6FA1" w14:paraId="404B7079" w14:textId="77777777">
      <w:r>
        <w:separator/>
      </w:r>
    </w:p>
  </w:footnote>
  <w:footnote w:type="continuationSeparator" w:id="1">
    <w:p w:rsidR="007D6FA1" w14:paraId="4DC169F3" w14:textId="77777777">
      <w:r>
        <w:continuationSeparator/>
      </w:r>
    </w:p>
  </w:footnote>
  <w:footnote w:id="2">
    <w:p w:rsidR="00D96F5C" w:rsidRPr="007E1D7C" w:rsidP="007E1D7C" w14:paraId="4F056257" w14:textId="6CC48E34">
      <w:pPr>
        <w:pStyle w:val="FootnoteText"/>
        <w:spacing w:before="0" w:after="120"/>
      </w:pPr>
      <w:r w:rsidRPr="007E1D7C">
        <w:rPr>
          <w:rStyle w:val="FootnoteReference"/>
        </w:rPr>
        <w:footnoteRef/>
      </w:r>
      <w:r w:rsidRPr="007E1D7C">
        <w:t xml:space="preserve"> </w:t>
      </w:r>
      <w:r w:rsidRPr="007E1D7C">
        <w:rPr>
          <w:i/>
          <w:iCs/>
        </w:rPr>
        <w:t xml:space="preserve">In the Matter of the Application of Ohio Power Company to Update Its Basic Transmission Rider, </w:t>
      </w:r>
      <w:r w:rsidRPr="007E1D7C">
        <w:t>Case No. 24-42-EL-RDR, Application (Jan</w:t>
      </w:r>
      <w:r w:rsidR="002005E6">
        <w:t>.</w:t>
      </w:r>
      <w:r w:rsidRPr="007E1D7C">
        <w:t xml:space="preserve"> 17, 2024)</w:t>
      </w:r>
      <w:r w:rsidR="00937658">
        <w:t>,</w:t>
      </w:r>
      <w:r w:rsidRPr="007E1D7C">
        <w:t xml:space="preserve"> Schedules B-1 through B-4.</w:t>
      </w:r>
    </w:p>
  </w:footnote>
  <w:footnote w:id="3">
    <w:p w:rsidR="00B95C28" w:rsidRPr="007E1D7C" w:rsidP="007E1D7C" w14:paraId="70BDB831" w14:textId="77777777">
      <w:pPr>
        <w:pStyle w:val="FootnoteText"/>
        <w:spacing w:before="0" w:after="120"/>
      </w:pPr>
      <w:r w:rsidRPr="007E1D7C">
        <w:rPr>
          <w:rStyle w:val="FootnoteReference"/>
        </w:rPr>
        <w:footnoteRef/>
      </w:r>
      <w:r w:rsidRPr="007E1D7C">
        <w:t xml:space="preserve"> Case No. 24-42-EL-RDR, Finding and Order (March 20, 2024).</w:t>
      </w:r>
    </w:p>
  </w:footnote>
  <w:footnote w:id="4">
    <w:p w:rsidR="00724B42" w:rsidRPr="007E1D7C" w:rsidP="007E1D7C" w14:paraId="36E1B639" w14:textId="77777777">
      <w:pPr>
        <w:pStyle w:val="FootnoteText"/>
        <w:spacing w:before="0" w:after="120"/>
      </w:pPr>
      <w:r w:rsidRPr="007E1D7C">
        <w:rPr>
          <w:rStyle w:val="FootnoteReference"/>
        </w:rPr>
        <w:footnoteRef/>
      </w:r>
      <w:r w:rsidRPr="007E1D7C">
        <w:t xml:space="preserve"> </w:t>
      </w:r>
      <w:r w:rsidRPr="007E1D7C">
        <w:rPr>
          <w:i/>
          <w:iCs/>
        </w:rPr>
        <w:t>In the Matter of the Establishment of a Commission Docket to Archive Commission Documents Submitted to Federal Administrative Agencies on Electric Policy Related Matters</w:t>
      </w:r>
      <w:r w:rsidRPr="007E1D7C">
        <w:t xml:space="preserve">, Case No. 23-7000-EL-FAD, Comments of Commissioner Dan Conway (Oct. 5, 2022) (FERC Docket AD22-8-000). </w:t>
      </w:r>
    </w:p>
  </w:footnote>
  <w:footnote w:id="5">
    <w:p w:rsidR="00724B42" w:rsidRPr="007E1D7C" w:rsidP="007E1D7C" w14:paraId="0C1882B3" w14:textId="77777777">
      <w:pPr>
        <w:pStyle w:val="FootnoteText"/>
        <w:spacing w:before="0" w:after="120"/>
      </w:pPr>
      <w:r w:rsidRPr="007E1D7C">
        <w:rPr>
          <w:rStyle w:val="FootnoteReference"/>
        </w:rPr>
        <w:footnoteRef/>
      </w:r>
      <w:r w:rsidRPr="007E1D7C">
        <w:t xml:space="preserve"> </w:t>
      </w:r>
      <w:r w:rsidRPr="007E1D7C">
        <w:rPr>
          <w:i/>
          <w:iCs/>
        </w:rPr>
        <w:t>Id</w:t>
      </w:r>
      <w:r w:rsidRPr="007E1D7C">
        <w:t>., Federal Energy Advocate comments at 21 (Aug. 17, 2022) (FERC Docket RM21-17-000).</w:t>
      </w:r>
    </w:p>
  </w:footnote>
  <w:footnote w:id="6">
    <w:p w:rsidR="001D7311" w:rsidRPr="007E1D7C" w:rsidP="007E1D7C" w14:paraId="3B008025" w14:textId="741319B9">
      <w:pPr>
        <w:pStyle w:val="FootnoteText"/>
        <w:spacing w:before="0" w:after="120"/>
      </w:pPr>
      <w:r w:rsidRPr="007E1D7C">
        <w:rPr>
          <w:rStyle w:val="FootnoteReference"/>
        </w:rPr>
        <w:footnoteRef/>
      </w:r>
      <w:r w:rsidRPr="007E1D7C">
        <w:t xml:space="preserve"> Finding and Order at 6.</w:t>
      </w:r>
    </w:p>
  </w:footnote>
  <w:footnote w:id="7">
    <w:p w:rsidR="00196299" w:rsidRPr="0059305D" w:rsidP="007E1D7C" w14:paraId="00BFEAE7" w14:textId="0CDFF649">
      <w:pPr>
        <w:pStyle w:val="FootnoteText"/>
        <w:spacing w:before="0" w:after="120"/>
      </w:pPr>
      <w:r w:rsidRPr="007E1D7C">
        <w:rPr>
          <w:rStyle w:val="FootnoteReference"/>
        </w:rPr>
        <w:footnoteRef/>
      </w:r>
      <w:r w:rsidRPr="007E1D7C">
        <w:t xml:space="preserve"> </w:t>
      </w:r>
      <w:r w:rsidRPr="007E1D7C">
        <w:rPr>
          <w:i/>
          <w:iCs/>
        </w:rPr>
        <w:t xml:space="preserve">See also </w:t>
      </w:r>
      <w:r w:rsidRPr="007E1D7C">
        <w:rPr>
          <w:i/>
        </w:rPr>
        <w:t>Ohio Consumers</w:t>
      </w:r>
      <w:r w:rsidRPr="007E1D7C" w:rsidR="00077403">
        <w:rPr>
          <w:i/>
        </w:rPr>
        <w:t>’</w:t>
      </w:r>
      <w:r w:rsidRPr="007E1D7C">
        <w:rPr>
          <w:i/>
        </w:rPr>
        <w:t xml:space="preserve"> Counsel v. Pub. Util. Comm</w:t>
      </w:r>
      <w:r w:rsidRPr="007E1D7C">
        <w:t xml:space="preserve">. (2006), 111 Ohio St.3d 300, 306 (stating that </w:t>
      </w:r>
      <w:r w:rsidRPr="007E1D7C" w:rsidR="00077403">
        <w:t>“</w:t>
      </w:r>
      <w:r w:rsidRPr="007E1D7C">
        <w:t xml:space="preserve">(w)e have held that </w:t>
      </w:r>
      <w:r w:rsidRPr="007E1D7C" w:rsidR="00077403">
        <w:t>‘</w:t>
      </w:r>
      <w:r w:rsidRPr="007E1D7C">
        <w:t>in order to meet the requirements of R.C. 4903.09, therefore, the PUCO</w:t>
      </w:r>
      <w:r w:rsidRPr="007E1D7C" w:rsidR="00077403">
        <w:t>’</w:t>
      </w:r>
      <w:r w:rsidRPr="007E1D7C">
        <w:t>s order must show, in sufficient detail, the facts in the record upon which the order is based, and the reasoning followed by the PUCO in reaching its conclusion.</w:t>
      </w:r>
      <w:r w:rsidRPr="007E1D7C" w:rsidR="00077403">
        <w:t>’</w:t>
      </w:r>
      <w:r w:rsidRPr="007E1D7C">
        <w:t xml:space="preserve"> </w:t>
      </w:r>
      <w:r w:rsidRPr="007E1D7C">
        <w:rPr>
          <w:i/>
          <w:iCs/>
        </w:rPr>
        <w:t xml:space="preserve">MCI Telecommunications Corp. v. Pub.Util.Comm. </w:t>
      </w:r>
      <w:r w:rsidRPr="007E1D7C">
        <w:t>(1987), 32 Ohio St.3d 306, 312, 513 N.E.2d 337</w:t>
      </w:r>
      <w:r w:rsidRPr="007E1D7C" w:rsidR="00077403">
        <w:t>”</w:t>
      </w:r>
      <w:r w:rsidRPr="007E1D7C">
        <w:t>).</w:t>
      </w:r>
    </w:p>
  </w:footnote>
  <w:footnote w:id="8">
    <w:p w:rsidR="00937C78" w:rsidRPr="007E1D7C" w:rsidP="007E1D7C" w14:paraId="69778739" w14:textId="06F80838">
      <w:pPr>
        <w:pStyle w:val="FootnoteText"/>
        <w:spacing w:before="0" w:after="120"/>
      </w:pPr>
      <w:r w:rsidRPr="007E1D7C">
        <w:rPr>
          <w:rStyle w:val="FootnoteReference"/>
        </w:rPr>
        <w:footnoteRef/>
      </w:r>
      <w:r w:rsidRPr="007E1D7C">
        <w:t xml:space="preserve"> </w:t>
      </w:r>
      <w:r w:rsidRPr="007E1D7C">
        <w:rPr>
          <w:i/>
          <w:iCs/>
        </w:rPr>
        <w:t xml:space="preserve">Tongren v. PUC </w:t>
      </w:r>
      <w:r w:rsidRPr="007E1D7C">
        <w:t xml:space="preserve">(1999), 85 Ohio St.3d 87, </w:t>
      </w:r>
      <w:r w:rsidRPr="007E1D7C" w:rsidR="008C063B">
        <w:t>90.</w:t>
      </w:r>
    </w:p>
  </w:footnote>
  <w:footnote w:id="9">
    <w:p w:rsidR="00EE7452" w:rsidRPr="007E1D7C" w:rsidP="007E1D7C" w14:paraId="476AFF16" w14:textId="50476989">
      <w:pPr>
        <w:pStyle w:val="FootnoteText"/>
        <w:spacing w:before="0" w:after="120"/>
      </w:pPr>
      <w:r w:rsidRPr="007E1D7C">
        <w:rPr>
          <w:rStyle w:val="FootnoteReference"/>
        </w:rPr>
        <w:footnoteRef/>
      </w:r>
      <w:r w:rsidRPr="007E1D7C">
        <w:t xml:space="preserve"> </w:t>
      </w:r>
      <w:r w:rsidRPr="007E1D7C">
        <w:rPr>
          <w:i/>
          <w:iCs/>
        </w:rPr>
        <w:t xml:space="preserve">Id. </w:t>
      </w:r>
      <w:r w:rsidRPr="007E1D7C">
        <w:t>at 90.</w:t>
      </w:r>
    </w:p>
  </w:footnote>
  <w:footnote w:id="10">
    <w:p w:rsidR="008C063B" w:rsidRPr="007E1D7C" w:rsidP="007E1D7C" w14:paraId="45637960" w14:textId="1FC9049E">
      <w:pPr>
        <w:pStyle w:val="FootnoteText"/>
        <w:spacing w:before="0" w:after="120"/>
      </w:pPr>
      <w:r w:rsidRPr="007E1D7C">
        <w:rPr>
          <w:rStyle w:val="FootnoteReference"/>
        </w:rPr>
        <w:footnoteRef/>
      </w:r>
      <w:r w:rsidRPr="007E1D7C">
        <w:t xml:space="preserve"> </w:t>
      </w:r>
      <w:r w:rsidRPr="007E1D7C">
        <w:rPr>
          <w:i/>
          <w:iCs/>
        </w:rPr>
        <w:t>Id.</w:t>
      </w:r>
      <w:r w:rsidRPr="007E1D7C">
        <w:t xml:space="preserve"> at 91.</w:t>
      </w:r>
    </w:p>
  </w:footnote>
  <w:footnote w:id="11">
    <w:p w:rsidR="00EE7452" w:rsidRPr="007E1D7C" w:rsidP="007E1D7C" w14:paraId="2C9F3D31" w14:textId="5BB57737">
      <w:pPr>
        <w:pStyle w:val="FootnoteText"/>
        <w:spacing w:before="0" w:after="120"/>
      </w:pPr>
      <w:r w:rsidRPr="007E1D7C">
        <w:rPr>
          <w:rStyle w:val="FootnoteReference"/>
        </w:rPr>
        <w:footnoteRef/>
      </w:r>
      <w:r w:rsidRPr="007E1D7C">
        <w:t xml:space="preserve"> </w:t>
      </w:r>
      <w:r w:rsidRPr="007E1D7C">
        <w:rPr>
          <w:i/>
          <w:iCs/>
        </w:rPr>
        <w:t xml:space="preserve">Id. </w:t>
      </w:r>
      <w:r w:rsidRPr="007E1D7C">
        <w:t>at 91.</w:t>
      </w:r>
      <w:r w:rsidRPr="007E1D7C" w:rsidR="00077403">
        <w:t xml:space="preserve"> </w:t>
      </w:r>
    </w:p>
  </w:footnote>
  <w:footnote w:id="12">
    <w:p w:rsidR="00905BD7" w:rsidRPr="007E1D7C" w:rsidP="007E1D7C" w14:paraId="2443E8EE" w14:textId="7BED7751">
      <w:pPr>
        <w:pStyle w:val="FootnoteText"/>
        <w:spacing w:before="0" w:after="120"/>
      </w:pPr>
      <w:r w:rsidRPr="007E1D7C">
        <w:rPr>
          <w:rStyle w:val="FootnoteReference"/>
        </w:rPr>
        <w:footnoteRef/>
      </w:r>
      <w:r w:rsidRPr="007E1D7C">
        <w:t xml:space="preserve"> Finding and Order (March 20, 2024) at </w:t>
      </w:r>
      <w:r w:rsidRPr="00481E39" w:rsidR="00481E39">
        <w:t>¶</w:t>
      </w:r>
      <w:r w:rsidRPr="007E1D7C">
        <w:t xml:space="preserve"> 16.</w:t>
      </w:r>
    </w:p>
  </w:footnote>
  <w:footnote w:id="13">
    <w:p w:rsidR="00905BD7" w:rsidRPr="007E1D7C" w:rsidP="007E1D7C" w14:paraId="33527730" w14:textId="29E58C13">
      <w:pPr>
        <w:pStyle w:val="FootnoteText"/>
        <w:spacing w:before="0" w:after="120"/>
      </w:pPr>
      <w:r w:rsidRPr="007E1D7C">
        <w:rPr>
          <w:rStyle w:val="FootnoteReference"/>
        </w:rPr>
        <w:footnoteRef/>
      </w:r>
      <w:r w:rsidRPr="007E1D7C">
        <w:t xml:space="preserve"> </w:t>
      </w:r>
      <w:r w:rsidRPr="007E1D7C">
        <w:rPr>
          <w:i/>
          <w:iCs/>
        </w:rPr>
        <w:t>Tongren</w:t>
      </w:r>
      <w:r w:rsidRPr="007E1D7C">
        <w:t>, 85 Ohio St.3d at 92-93.</w:t>
      </w:r>
    </w:p>
  </w:footnote>
  <w:footnote w:id="14">
    <w:p w:rsidR="006F1D2F" w:rsidRPr="007E1D7C" w:rsidP="007E1D7C" w14:paraId="783816F1" w14:textId="2ED20A05">
      <w:pPr>
        <w:spacing w:after="120"/>
        <w:rPr>
          <w:sz w:val="20"/>
          <w:szCs w:val="20"/>
        </w:rPr>
      </w:pPr>
      <w:r w:rsidRPr="007E1D7C">
        <w:rPr>
          <w:rStyle w:val="FootnoteReference"/>
          <w:sz w:val="20"/>
          <w:szCs w:val="20"/>
        </w:rPr>
        <w:footnoteRef/>
      </w:r>
      <w:r w:rsidRPr="007E1D7C">
        <w:rPr>
          <w:sz w:val="20"/>
          <w:szCs w:val="20"/>
        </w:rPr>
        <w:t xml:space="preserve"> </w:t>
      </w:r>
      <w:r w:rsidRPr="007E1D7C">
        <w:rPr>
          <w:i/>
          <w:iCs/>
          <w:sz w:val="20"/>
          <w:szCs w:val="20"/>
        </w:rPr>
        <w:t xml:space="preserve">See </w:t>
      </w:r>
      <w:r w:rsidRPr="007E1D7C">
        <w:rPr>
          <w:sz w:val="20"/>
          <w:szCs w:val="20"/>
        </w:rPr>
        <w:t xml:space="preserve">O.A.C. 4901:1-36-03(D) stating that </w:t>
      </w:r>
      <w:r w:rsidRPr="007E1D7C" w:rsidR="00077403">
        <w:rPr>
          <w:sz w:val="20"/>
          <w:szCs w:val="20"/>
        </w:rPr>
        <w:t>“</w:t>
      </w:r>
      <w:r w:rsidRPr="007E1D7C">
        <w:rPr>
          <w:sz w:val="20"/>
          <w:szCs w:val="20"/>
        </w:rPr>
        <w:t xml:space="preserve">(i)f at anytime during the period between annual update filings, the electric utility or staff determines </w:t>
      </w:r>
      <w:r w:rsidRPr="007E1D7C">
        <w:rPr>
          <w:b/>
          <w:bCs/>
          <w:sz w:val="20"/>
          <w:szCs w:val="20"/>
        </w:rPr>
        <w:t>that costs are or will be substantially different than the amounts authorized as the result of the electric utility</w:t>
      </w:r>
      <w:r w:rsidRPr="007E1D7C" w:rsidR="00077403">
        <w:rPr>
          <w:b/>
          <w:bCs/>
          <w:sz w:val="20"/>
          <w:szCs w:val="20"/>
        </w:rPr>
        <w:t>’</w:t>
      </w:r>
      <w:r w:rsidRPr="007E1D7C">
        <w:rPr>
          <w:b/>
          <w:bCs/>
          <w:sz w:val="20"/>
          <w:szCs w:val="20"/>
        </w:rPr>
        <w:t>s previous application</w:t>
      </w:r>
      <w:r w:rsidRPr="007E1D7C">
        <w:rPr>
          <w:sz w:val="20"/>
          <w:szCs w:val="20"/>
        </w:rPr>
        <w:t>, the electric utility should file, on its own initiative or by order of the commission, an interim application to adjust the transmission cost recovery rider in order to avoid excessive carrying costs and to minimize rate impacts for the following update filing</w:t>
      </w:r>
      <w:r w:rsidRPr="007E1D7C" w:rsidR="00077403">
        <w:rPr>
          <w:sz w:val="20"/>
          <w:szCs w:val="20"/>
        </w:rPr>
        <w:t>”</w:t>
      </w:r>
      <w:r w:rsidRPr="007E1D7C">
        <w:rPr>
          <w:sz w:val="20"/>
          <w:szCs w:val="20"/>
        </w:rPr>
        <w:t xml:space="preserve"> (emphasis added).</w:t>
      </w:r>
    </w:p>
  </w:footnote>
  <w:footnote w:id="15">
    <w:p w:rsidR="006F1D2F" w:rsidRPr="007E1D7C" w:rsidP="007E1D7C" w14:paraId="3B70B00F" w14:textId="31744C60">
      <w:pPr>
        <w:spacing w:after="120"/>
        <w:rPr>
          <w:sz w:val="20"/>
          <w:szCs w:val="20"/>
        </w:rPr>
      </w:pPr>
      <w:r w:rsidRPr="007E1D7C">
        <w:rPr>
          <w:rStyle w:val="FootnoteReference"/>
          <w:sz w:val="20"/>
          <w:szCs w:val="20"/>
        </w:rPr>
        <w:footnoteRef/>
      </w:r>
      <w:r w:rsidRPr="007E1D7C">
        <w:rPr>
          <w:sz w:val="20"/>
          <w:szCs w:val="20"/>
        </w:rPr>
        <w:t xml:space="preserve"> </w:t>
      </w:r>
      <w:bookmarkStart w:id="20" w:name="_Hlk164409155"/>
      <w:r w:rsidRPr="007E1D7C" w:rsidR="007531CE">
        <w:rPr>
          <w:sz w:val="20"/>
          <w:szCs w:val="20"/>
        </w:rPr>
        <w:t>O.A.C. 4901:1-36-03(D).</w:t>
      </w:r>
    </w:p>
    <w:bookmarkEnd w:id="20"/>
  </w:footnote>
  <w:footnote w:id="16">
    <w:p w:rsidR="007531CE" w:rsidRPr="007E1D7C" w:rsidP="007E1D7C" w14:paraId="641324BE" w14:textId="59797624">
      <w:pPr>
        <w:spacing w:after="120"/>
        <w:rPr>
          <w:sz w:val="20"/>
          <w:szCs w:val="20"/>
        </w:rPr>
      </w:pPr>
      <w:r w:rsidRPr="007E1D7C">
        <w:rPr>
          <w:rStyle w:val="FootnoteReference"/>
          <w:sz w:val="20"/>
          <w:szCs w:val="20"/>
        </w:rPr>
        <w:footnoteRef/>
      </w:r>
      <w:r w:rsidRPr="007E1D7C">
        <w:rPr>
          <w:sz w:val="20"/>
          <w:szCs w:val="20"/>
        </w:rPr>
        <w:t xml:space="preserve"> Application, Schedule D-1 and D-3.</w:t>
      </w:r>
    </w:p>
  </w:footnote>
  <w:footnote w:id="17">
    <w:p w:rsidR="00F1735F" w:rsidRPr="007E1D7C" w:rsidP="007E1D7C" w14:paraId="38D763A2" w14:textId="5BF40ABE">
      <w:pPr>
        <w:pStyle w:val="FootnoteText"/>
        <w:spacing w:before="0" w:after="120"/>
      </w:pPr>
      <w:r w:rsidRPr="007E1D7C">
        <w:rPr>
          <w:rStyle w:val="FootnoteReference"/>
        </w:rPr>
        <w:footnoteRef/>
      </w:r>
      <w:r w:rsidRPr="007E1D7C">
        <w:t xml:space="preserve"> Finding and Order (March 20, 2024) at </w:t>
      </w:r>
      <w:r w:rsidRPr="00481E39" w:rsidR="005438F5">
        <w:t>¶</w:t>
      </w:r>
      <w:r w:rsidRPr="007E1D7C">
        <w:t xml:space="preserve"> 6.</w:t>
      </w:r>
    </w:p>
  </w:footnote>
  <w:footnote w:id="18">
    <w:p w:rsidR="007531CE" w:rsidRPr="007E1D7C" w:rsidP="007E1D7C" w14:paraId="5533A029" w14:textId="56BA7247">
      <w:pPr>
        <w:pStyle w:val="FootnoteText"/>
        <w:spacing w:before="0" w:after="120"/>
      </w:pPr>
      <w:r w:rsidRPr="007E1D7C">
        <w:rPr>
          <w:rStyle w:val="FootnoteReference"/>
        </w:rPr>
        <w:footnoteRef/>
      </w:r>
      <w:r w:rsidRPr="007E1D7C">
        <w:t xml:space="preserve"> </w:t>
      </w:r>
      <w:r w:rsidRPr="007E1D7C">
        <w:rPr>
          <w:i/>
          <w:iCs/>
        </w:rPr>
        <w:t xml:space="preserve">Id. </w:t>
      </w:r>
      <w:r w:rsidRPr="007E1D7C" w:rsidR="004426E4">
        <w:t xml:space="preserve">at fn. 10 </w:t>
      </w:r>
      <w:r w:rsidRPr="007E1D7C">
        <w:t>(difference between .53295 (approved residential cost allocation for this year) x $32,012,725 and</w:t>
      </w:r>
      <w:r w:rsidRPr="007E1D7C" w:rsidR="00077403">
        <w:t xml:space="preserve"> </w:t>
      </w:r>
      <w:r w:rsidRPr="007E1D7C">
        <w:t xml:space="preserve">.42878 (prior year residential cost allocation) x $32,012,725 = $3,334,765.60). </w:t>
      </w:r>
    </w:p>
  </w:footnote>
  <w:footnote w:id="19">
    <w:p w:rsidR="009E339E" w:rsidRPr="007E1D7C" w:rsidP="007E1D7C" w14:paraId="13CB770E" w14:textId="414638F0">
      <w:pPr>
        <w:pStyle w:val="FootnoteText"/>
        <w:spacing w:before="0" w:after="120"/>
      </w:pPr>
      <w:r w:rsidRPr="007E1D7C">
        <w:rPr>
          <w:rStyle w:val="FootnoteReference"/>
        </w:rPr>
        <w:footnoteRef/>
      </w:r>
      <w:r w:rsidRPr="007E1D7C">
        <w:t xml:space="preserve"> </w:t>
      </w:r>
      <w:r w:rsidRPr="007E1D7C">
        <w:rPr>
          <w:i/>
          <w:iCs/>
        </w:rPr>
        <w:t xml:space="preserve">See, e.g., In the Matter of The Ohio Power Company Application to Update Its Basic Transmission Cost Rider, </w:t>
      </w:r>
      <w:r w:rsidRPr="007E1D7C">
        <w:t>Case No. 23-57-EL-RDR, OCC</w:t>
      </w:r>
      <w:r w:rsidRPr="007E1D7C" w:rsidR="00077403">
        <w:t>’</w:t>
      </w:r>
      <w:r w:rsidRPr="007E1D7C">
        <w:t>s Consumer Protection Comments (Feb</w:t>
      </w:r>
      <w:r w:rsidR="002F61CE">
        <w:t>.</w:t>
      </w:r>
      <w:r w:rsidRPr="007E1D7C">
        <w:t xml:space="preserve"> 27, 2023).</w:t>
      </w:r>
    </w:p>
  </w:footnote>
  <w:footnote w:id="20">
    <w:p w:rsidR="00915AA0" w:rsidRPr="007E1D7C" w:rsidP="007E1D7C" w14:paraId="651FD416" w14:textId="65A094A9">
      <w:pPr>
        <w:pStyle w:val="FootnoteText"/>
        <w:spacing w:before="0" w:after="120"/>
      </w:pPr>
      <w:r w:rsidRPr="007E1D7C">
        <w:rPr>
          <w:rStyle w:val="FootnoteReference"/>
        </w:rPr>
        <w:footnoteRef/>
      </w:r>
      <w:r w:rsidRPr="007E1D7C">
        <w:t xml:space="preserve"> </w:t>
      </w:r>
      <w:r w:rsidRPr="007E1D7C">
        <w:rPr>
          <w:i/>
          <w:iCs/>
        </w:rPr>
        <w:t>See In the Matter of the Review of the Non-Market Based Services Rider Contained in the Tariffs of Ohio Edison Co., The Cleveland Elec. Illum. Co., and The Toledo Edison Co</w:t>
      </w:r>
      <w:r w:rsidRPr="007E1D7C">
        <w:t>., Case No. 23-51-EL-RDR, Finding and Order ¶ 14 (March 22, 2023).</w:t>
      </w:r>
    </w:p>
  </w:footnote>
  <w:footnote w:id="21">
    <w:p w:rsidR="009E339E" w:rsidRPr="007E1D7C" w:rsidP="007E1D7C" w14:paraId="04BE6A0A" w14:textId="3E2DA606">
      <w:pPr>
        <w:pStyle w:val="FootnoteText"/>
        <w:spacing w:before="0" w:after="120"/>
      </w:pPr>
      <w:r w:rsidRPr="007E1D7C">
        <w:rPr>
          <w:rStyle w:val="FootnoteReference"/>
        </w:rPr>
        <w:footnoteRef/>
      </w:r>
      <w:r w:rsidRPr="007E1D7C">
        <w:t xml:space="preserve"> </w:t>
      </w:r>
      <w:r w:rsidRPr="007E1D7C">
        <w:rPr>
          <w:i/>
          <w:iCs/>
        </w:rPr>
        <w:t>The Office of the Ohio Consumers</w:t>
      </w:r>
      <w:r w:rsidRPr="007E1D7C" w:rsidR="00077403">
        <w:rPr>
          <w:i/>
          <w:iCs/>
        </w:rPr>
        <w:t>’</w:t>
      </w:r>
      <w:r w:rsidRPr="007E1D7C">
        <w:rPr>
          <w:i/>
          <w:iCs/>
        </w:rPr>
        <w:t xml:space="preserve"> Counsel v. PJM Interconnection, L.L.C., et al., </w:t>
      </w:r>
      <w:r w:rsidRPr="007E1D7C">
        <w:t>Docket No. EL23-105-000, Complaint (Sept</w:t>
      </w:r>
      <w:r w:rsidR="00705679">
        <w:t>.</w:t>
      </w:r>
      <w:r w:rsidRPr="007E1D7C">
        <w:t xml:space="preserve"> 28, 2023) (</w:t>
      </w:r>
      <w:r w:rsidRPr="007E1D7C" w:rsidR="00077403">
        <w:t>“</w:t>
      </w:r>
      <w:r w:rsidRPr="007E1D7C">
        <w:t>OCC Complaint Action</w:t>
      </w:r>
      <w:r w:rsidRPr="007E1D7C" w:rsidR="00077403">
        <w:t>”</w:t>
      </w:r>
      <w:r w:rsidRPr="007E1D7C">
        <w:t>).</w:t>
      </w:r>
    </w:p>
  </w:footnote>
  <w:footnote w:id="22">
    <w:p w:rsidR="00956E69" w:rsidRPr="007E1D7C" w:rsidP="007E1D7C" w14:paraId="2A74F248" w14:textId="77777777">
      <w:pPr>
        <w:pStyle w:val="FootnoteText"/>
        <w:spacing w:before="0" w:after="120"/>
      </w:pPr>
      <w:r w:rsidRPr="007E1D7C">
        <w:rPr>
          <w:rStyle w:val="FootnoteReference"/>
        </w:rPr>
        <w:footnoteRef/>
      </w:r>
      <w:r w:rsidRPr="007E1D7C">
        <w:t xml:space="preserve"> Confirmation Hearing, Ohio Senate Energy and Public Utilities Committee (April 9, 2024), </w:t>
      </w:r>
      <w:hyperlink r:id="rId1" w:history="1">
        <w:r w:rsidRPr="007E1D7C">
          <w:rPr>
            <w:rStyle w:val="Hyperlink"/>
          </w:rPr>
          <w:t>https://ohiochannel.org/video/ohio-senate-energy-and-public-utilities-committee-4-9-2024</w:t>
        </w:r>
      </w:hyperlink>
      <w:r w:rsidRPr="007E1D7C">
        <w:t>.</w:t>
      </w:r>
    </w:p>
  </w:footnote>
  <w:footnote w:id="23">
    <w:p w:rsidR="00A44621" w:rsidRPr="007E1D7C" w:rsidP="007E1D7C" w14:paraId="0A205C6D" w14:textId="76E996BB">
      <w:pPr>
        <w:pStyle w:val="FootnoteText"/>
        <w:spacing w:before="0" w:after="120"/>
      </w:pPr>
      <w:r w:rsidRPr="007E1D7C">
        <w:rPr>
          <w:rStyle w:val="FootnoteReference"/>
        </w:rPr>
        <w:footnoteRef/>
      </w:r>
      <w:r w:rsidRPr="007E1D7C">
        <w:t xml:space="preserve"> The reconciliation/refund language contained in the BTCR Tariff should expressly reference and include the availability of refunds pending FERC</w:t>
      </w:r>
      <w:r w:rsidRPr="007E1D7C" w:rsidR="00077403">
        <w:t>’</w:t>
      </w:r>
      <w:r w:rsidRPr="007E1D7C">
        <w:t xml:space="preserve">s decision in </w:t>
      </w:r>
      <w:r w:rsidRPr="007E1D7C">
        <w:rPr>
          <w:i/>
          <w:iCs/>
        </w:rPr>
        <w:t>The Office of the Ohio Consumers</w:t>
      </w:r>
      <w:r w:rsidRPr="007E1D7C" w:rsidR="00077403">
        <w:rPr>
          <w:i/>
          <w:iCs/>
        </w:rPr>
        <w:t>’</w:t>
      </w:r>
      <w:r w:rsidRPr="007E1D7C">
        <w:rPr>
          <w:i/>
          <w:iCs/>
        </w:rPr>
        <w:t xml:space="preserve"> Counsel v. PJM Interconnection, L.L.C., et al., </w:t>
      </w:r>
      <w:r w:rsidRPr="007E1D7C">
        <w:t>Docket No. EL23-105-000, Complaint (Sept</w:t>
      </w:r>
      <w:r w:rsidR="00087F15">
        <w:t>.</w:t>
      </w:r>
      <w:r w:rsidRPr="007E1D7C">
        <w:t xml:space="preserve"> 28, 2023).</w:t>
      </w:r>
    </w:p>
  </w:footnote>
  <w:footnote w:id="24">
    <w:p w:rsidR="009E339E" w:rsidRPr="007E1D7C" w:rsidP="007E1D7C" w14:paraId="713DC5EF" w14:textId="3620CD74">
      <w:pPr>
        <w:pStyle w:val="FootnoteText"/>
        <w:spacing w:before="0" w:after="120"/>
      </w:pPr>
      <w:r w:rsidRPr="007E1D7C">
        <w:rPr>
          <w:rStyle w:val="FootnoteReference"/>
        </w:rPr>
        <w:footnoteRef/>
      </w:r>
      <w:r w:rsidRPr="007E1D7C">
        <w:t xml:space="preserve"> </w:t>
      </w:r>
      <w:r w:rsidRPr="007E1D7C">
        <w:rPr>
          <w:i/>
          <w:iCs/>
        </w:rPr>
        <w:t>See, e.g.</w:t>
      </w:r>
      <w:r w:rsidRPr="007E1D7C">
        <w:t xml:space="preserve">, </w:t>
      </w:r>
      <w:r w:rsidRPr="007E1D7C">
        <w:rPr>
          <w:i/>
          <w:iCs/>
        </w:rPr>
        <w:t>In re Columbus &amp; Southern Ohio Electric Co.</w:t>
      </w:r>
      <w:r w:rsidRPr="007E1D7C">
        <w:t>, Case No. 83-1058-EL-AIR, Entry (Nov</w:t>
      </w:r>
      <w:r w:rsidR="0022148D">
        <w:t>.</w:t>
      </w:r>
      <w:r w:rsidRPr="007E1D7C">
        <w:t xml:space="preserve"> 17, 1982); </w:t>
      </w:r>
      <w:r w:rsidRPr="007E1D7C">
        <w:rPr>
          <w:i/>
          <w:iCs/>
        </w:rPr>
        <w:t>Cinnamon Lake Utility Co. v. Public. Util. Comm</w:t>
      </w:r>
      <w:r w:rsidRPr="007E1D7C">
        <w:t>. (1975), 42 Ohio St.2d 259 (where the Ohio Supreme Court noted that R.C. 4909.16 exists to protect the public interest as well as the interests of the public utility).</w:t>
      </w:r>
    </w:p>
  </w:footnote>
  <w:footnote w:id="25">
    <w:p w:rsidR="009E339E" w:rsidRPr="007E1D7C" w:rsidP="007E1D7C" w14:paraId="69DF47B9" w14:textId="77777777">
      <w:pPr>
        <w:pStyle w:val="FootnoteText"/>
        <w:spacing w:before="0" w:after="120"/>
      </w:pPr>
      <w:r w:rsidRPr="007E1D7C">
        <w:rPr>
          <w:rStyle w:val="FootnoteReference"/>
        </w:rPr>
        <w:footnoteRef/>
      </w:r>
      <w:r w:rsidRPr="007E1D7C">
        <w:t xml:space="preserve"> </w:t>
      </w:r>
      <w:r w:rsidRPr="007E1D7C">
        <w:rPr>
          <w:i/>
          <w:iCs/>
        </w:rPr>
        <w:t>See</w:t>
      </w:r>
      <w:r w:rsidRPr="007E1D7C">
        <w:t xml:space="preserve"> </w:t>
      </w:r>
      <w:r w:rsidRPr="007E1D7C">
        <w:rPr>
          <w:i/>
        </w:rPr>
        <w:t>In re Columbus S. Power Co.</w:t>
      </w:r>
      <w:r w:rsidRPr="007E1D7C">
        <w:t>, 128 Ohio St.3d 512, 2011-Ohio-1788 at ¶ 17.</w:t>
      </w:r>
    </w:p>
  </w:footnote>
  <w:footnote w:id="26">
    <w:p w:rsidR="009E339E" w:rsidRPr="007E1D7C" w:rsidP="007E1D7C" w14:paraId="35CF859C" w14:textId="73F6EF41">
      <w:pPr>
        <w:pStyle w:val="FootnoteText"/>
        <w:spacing w:before="0" w:after="120"/>
      </w:pPr>
      <w:r w:rsidRPr="007E1D7C">
        <w:rPr>
          <w:rStyle w:val="FootnoteReference"/>
        </w:rPr>
        <w:footnoteRef/>
      </w:r>
      <w:r w:rsidRPr="007E1D7C">
        <w:t xml:space="preserve"> </w:t>
      </w:r>
      <w:r w:rsidRPr="007E1D7C">
        <w:rPr>
          <w:i/>
          <w:iCs/>
        </w:rPr>
        <w:t>In re Columbus &amp; Southern Ohio Electric Co</w:t>
      </w:r>
      <w:r w:rsidRPr="007E1D7C">
        <w:t>., Case No. 83-1058-EL-AIR, Entry (Nov</w:t>
      </w:r>
      <w:r w:rsidR="00AC1C31">
        <w:t>.</w:t>
      </w:r>
      <w:r w:rsidRPr="007E1D7C">
        <w:t xml:space="preserve"> 17, 1982).</w:t>
      </w:r>
    </w:p>
  </w:footnote>
  <w:footnote w:id="27">
    <w:p w:rsidR="009E339E" w:rsidRPr="007E1D7C" w:rsidP="007E1D7C" w14:paraId="75457FBF" w14:textId="300445E4">
      <w:pPr>
        <w:pStyle w:val="FootnoteText"/>
        <w:spacing w:before="0" w:after="120"/>
      </w:pPr>
      <w:r w:rsidRPr="007E1D7C">
        <w:rPr>
          <w:rStyle w:val="FootnoteReference"/>
        </w:rPr>
        <w:footnoteRef/>
      </w:r>
      <w:r w:rsidRPr="007E1D7C">
        <w:t xml:space="preserve"> </w:t>
      </w:r>
      <w:r w:rsidRPr="007E1D7C">
        <w:rPr>
          <w:i/>
          <w:iCs/>
        </w:rPr>
        <w:t>Id</w:t>
      </w:r>
      <w:r w:rsidRPr="007E1D7C">
        <w:t>., Opinion and Order at 8-14 (Nov</w:t>
      </w:r>
      <w:r w:rsidR="006A0B4B">
        <w:t>.</w:t>
      </w:r>
      <w:r w:rsidRPr="007E1D7C">
        <w:t xml:space="preserve"> 5, 1982).</w:t>
      </w:r>
    </w:p>
  </w:footnote>
  <w:footnote w:id="28">
    <w:p w:rsidR="009E339E" w:rsidRPr="007E1D7C" w:rsidP="007E1D7C" w14:paraId="0642A692" w14:textId="47E752E6">
      <w:pPr>
        <w:pStyle w:val="FootnoteText"/>
        <w:spacing w:before="0" w:after="120"/>
      </w:pPr>
      <w:r w:rsidRPr="007E1D7C">
        <w:rPr>
          <w:rStyle w:val="FootnoteReference"/>
        </w:rPr>
        <w:footnoteRef/>
      </w:r>
      <w:r w:rsidRPr="007E1D7C">
        <w:t xml:space="preserve"> </w:t>
      </w:r>
      <w:r w:rsidRPr="007E1D7C">
        <w:rPr>
          <w:i/>
          <w:iCs/>
        </w:rPr>
        <w:t>Id</w:t>
      </w:r>
      <w:r w:rsidRPr="007E1D7C">
        <w:t>., Entry at 1 (Nov</w:t>
      </w:r>
      <w:r w:rsidR="00595C8C">
        <w:t>.</w:t>
      </w:r>
      <w:r w:rsidRPr="007E1D7C">
        <w:t xml:space="preserve"> 17, 1982).</w:t>
      </w:r>
    </w:p>
  </w:footnote>
  <w:footnote w:id="29">
    <w:p w:rsidR="009E339E" w:rsidRPr="007E1D7C" w:rsidP="007E1D7C" w14:paraId="45FCDCF8" w14:textId="77777777">
      <w:pPr>
        <w:pStyle w:val="FootnoteText"/>
        <w:spacing w:before="0" w:after="120"/>
      </w:pPr>
      <w:r w:rsidRPr="007E1D7C">
        <w:rPr>
          <w:rStyle w:val="FootnoteReference"/>
        </w:rPr>
        <w:footnoteRef/>
      </w:r>
      <w:r w:rsidRPr="007E1D7C">
        <w:t xml:space="preserve"> </w:t>
      </w:r>
      <w:r w:rsidRPr="007E1D7C">
        <w:rPr>
          <w:i/>
          <w:iCs/>
        </w:rPr>
        <w:t>Id</w:t>
      </w:r>
      <w:r w:rsidRPr="007E1D7C">
        <w:t>., Order on Rehearing (March 16, 1983).</w:t>
      </w:r>
    </w:p>
  </w:footnote>
  <w:footnote w:id="30">
    <w:p w:rsidR="009E339E" w:rsidRPr="007E1D7C" w:rsidP="007E1D7C" w14:paraId="10B5FD33" w14:textId="7EF4A5CC">
      <w:pPr>
        <w:pStyle w:val="FootnoteText"/>
        <w:spacing w:before="0" w:after="120"/>
      </w:pPr>
      <w:r w:rsidRPr="007E1D7C">
        <w:rPr>
          <w:rStyle w:val="FootnoteReference"/>
        </w:rPr>
        <w:footnoteRef/>
      </w:r>
      <w:r w:rsidRPr="007E1D7C">
        <w:t xml:space="preserve"> </w:t>
      </w:r>
      <w:r w:rsidRPr="007E1D7C">
        <w:rPr>
          <w:i/>
          <w:iCs/>
        </w:rPr>
        <w:t>Columbus &amp; Southern Ohio Electric Co. v. Pub. Util. Comm</w:t>
      </w:r>
      <w:r w:rsidRPr="007E1D7C">
        <w:t>. (1984)</w:t>
      </w:r>
      <w:r w:rsidR="00012153">
        <w:t>,</w:t>
      </w:r>
      <w:r w:rsidRPr="007E1D7C">
        <w:t xml:space="preserve"> 10 Ohio St.3d 12.</w:t>
      </w:r>
    </w:p>
  </w:footnote>
  <w:footnote w:id="31">
    <w:p w:rsidR="009E339E" w:rsidRPr="007E1D7C" w:rsidP="007E1D7C" w14:paraId="30BF3E9B" w14:textId="77777777">
      <w:pPr>
        <w:pStyle w:val="FootnoteText"/>
        <w:spacing w:before="0" w:after="120"/>
        <w:rPr>
          <w:i/>
          <w:iCs/>
        </w:rPr>
      </w:pPr>
      <w:r w:rsidRPr="007E1D7C">
        <w:rPr>
          <w:rStyle w:val="FootnoteReference"/>
        </w:rPr>
        <w:footnoteRef/>
      </w:r>
      <w:r w:rsidRPr="007E1D7C">
        <w:t xml:space="preserve"> </w:t>
      </w:r>
      <w:r w:rsidRPr="007E1D7C">
        <w:rPr>
          <w:i/>
          <w:iCs/>
        </w:rPr>
        <w:t>Id.</w:t>
      </w:r>
    </w:p>
  </w:footnote>
  <w:footnote w:id="32">
    <w:p w:rsidR="009E339E" w:rsidRPr="007E1D7C" w:rsidP="007E1D7C" w14:paraId="33D1992D" w14:textId="77777777">
      <w:pPr>
        <w:pStyle w:val="FootnoteText"/>
        <w:spacing w:before="0" w:after="120"/>
      </w:pPr>
      <w:r w:rsidRPr="007E1D7C">
        <w:rPr>
          <w:rStyle w:val="FootnoteReference"/>
        </w:rPr>
        <w:footnoteRef/>
      </w:r>
      <w:r w:rsidRPr="007E1D7C">
        <w:t xml:space="preserve"> </w:t>
      </w:r>
      <w:r w:rsidRPr="007E1D7C">
        <w:rPr>
          <w:i/>
          <w:iCs/>
        </w:rPr>
        <w:t>In re Columbus &amp; Southern Ohio Electric Co.</w:t>
      </w:r>
      <w:r w:rsidRPr="007E1D7C">
        <w:t>, Case No. 81-1058-EL-AIR, Order on Rehearing (May 1, 1984).</w:t>
      </w:r>
    </w:p>
  </w:footnote>
  <w:footnote w:id="33">
    <w:p w:rsidR="009E339E" w:rsidRPr="007E1D7C" w:rsidP="007E1D7C" w14:paraId="0AEE1729" w14:textId="296FE646">
      <w:pPr>
        <w:pStyle w:val="FootnoteText"/>
        <w:spacing w:before="0" w:after="120"/>
      </w:pPr>
      <w:r w:rsidRPr="007E1D7C">
        <w:rPr>
          <w:rStyle w:val="FootnoteReference"/>
        </w:rPr>
        <w:footnoteRef/>
      </w:r>
      <w:r w:rsidRPr="007E1D7C">
        <w:t xml:space="preserve"> </w:t>
      </w:r>
      <w:r w:rsidRPr="007E1D7C">
        <w:rPr>
          <w:i/>
          <w:iCs/>
        </w:rPr>
        <w:t>In the Matter of the Commission</w:t>
      </w:r>
      <w:r w:rsidRPr="007E1D7C" w:rsidR="00077403">
        <w:rPr>
          <w:i/>
          <w:iCs/>
        </w:rPr>
        <w:t>’</w:t>
      </w:r>
      <w:r w:rsidRPr="007E1D7C">
        <w:rPr>
          <w:i/>
          <w:iCs/>
        </w:rPr>
        <w:t>s Investigation of the Current Rates, Revenues, Rate Base, and Rate of Return of the Ohio Utilities Company</w:t>
      </w:r>
      <w:r w:rsidRPr="007E1D7C">
        <w:t>, Case No. 77-1073-WS-COI, Entry at 2 (June 7, 1978).</w:t>
      </w:r>
    </w:p>
  </w:footnote>
  <w:footnote w:id="34">
    <w:p w:rsidR="009E339E" w:rsidRPr="007E1D7C" w:rsidP="007E1D7C" w14:paraId="6AFB4221" w14:textId="13E90F8B">
      <w:pPr>
        <w:pStyle w:val="FootnoteText"/>
        <w:spacing w:before="0" w:after="120"/>
      </w:pPr>
      <w:r w:rsidRPr="007E1D7C">
        <w:rPr>
          <w:rStyle w:val="FootnoteReference"/>
        </w:rPr>
        <w:footnoteRef/>
      </w:r>
      <w:r w:rsidRPr="007E1D7C">
        <w:t xml:space="preserve"> </w:t>
      </w:r>
      <w:r w:rsidRPr="007E1D7C">
        <w:rPr>
          <w:i/>
          <w:iCs/>
        </w:rPr>
        <w:t>In the Matter of the Ohio Utilities Co. Application for an Increase in Rates</w:t>
      </w:r>
      <w:r w:rsidRPr="007E1D7C">
        <w:t>, Case No. 79-529-WS-AIR, Opinion and Order (Jan</w:t>
      </w:r>
      <w:r w:rsidR="00F469C6">
        <w:t>.</w:t>
      </w:r>
      <w:r w:rsidRPr="007E1D7C">
        <w:t xml:space="preserve"> 18, 1977).</w:t>
      </w:r>
    </w:p>
  </w:footnote>
  <w:footnote w:id="35">
    <w:p w:rsidR="009E339E" w:rsidRPr="007E1D7C" w:rsidP="007E1D7C" w14:paraId="4424DBB5" w14:textId="0BC5ACB5">
      <w:pPr>
        <w:pStyle w:val="FootnoteText"/>
        <w:spacing w:before="0" w:after="120"/>
      </w:pPr>
      <w:r w:rsidRPr="007E1D7C">
        <w:rPr>
          <w:rStyle w:val="FootnoteReference"/>
        </w:rPr>
        <w:footnoteRef/>
      </w:r>
      <w:r w:rsidRPr="007E1D7C">
        <w:t xml:space="preserve"> </w:t>
      </w:r>
      <w:r w:rsidRPr="007E1D7C">
        <w:rPr>
          <w:i/>
          <w:iCs/>
        </w:rPr>
        <w:t>In the Matter of the Commission</w:t>
      </w:r>
      <w:r w:rsidRPr="007E1D7C" w:rsidR="00077403">
        <w:rPr>
          <w:i/>
          <w:iCs/>
        </w:rPr>
        <w:t>’</w:t>
      </w:r>
      <w:r w:rsidRPr="007E1D7C">
        <w:rPr>
          <w:i/>
          <w:iCs/>
        </w:rPr>
        <w:t>s Investigation of the Current Rates, Revenues, Rate Base, and Rate of Return of the Ohio Utilities Company</w:t>
      </w:r>
      <w:r w:rsidRPr="007E1D7C">
        <w:t>, Case No. 77-1073-WS-COI, Entry (Sep</w:t>
      </w:r>
      <w:r w:rsidR="00C76F77">
        <w:t>t.</w:t>
      </w:r>
      <w:r w:rsidRPr="007E1D7C">
        <w:t xml:space="preserve"> 7, 1977).</w:t>
      </w:r>
    </w:p>
  </w:footnote>
  <w:footnote w:id="36">
    <w:p w:rsidR="009E339E" w:rsidRPr="007E1D7C" w:rsidP="007E1D7C" w14:paraId="550D8200" w14:textId="0BC000CA">
      <w:pPr>
        <w:pStyle w:val="FootnoteText"/>
        <w:spacing w:before="0" w:after="120"/>
      </w:pPr>
      <w:r w:rsidRPr="007E1D7C">
        <w:rPr>
          <w:rStyle w:val="FootnoteReference"/>
        </w:rPr>
        <w:footnoteRef/>
      </w:r>
      <w:r w:rsidRPr="007E1D7C">
        <w:t xml:space="preserve"> </w:t>
      </w:r>
      <w:r w:rsidRPr="007E1D7C">
        <w:rPr>
          <w:i/>
          <w:iCs/>
        </w:rPr>
        <w:t>In the Matter of the Commission</w:t>
      </w:r>
      <w:r w:rsidRPr="007E1D7C" w:rsidR="00077403">
        <w:rPr>
          <w:i/>
          <w:iCs/>
        </w:rPr>
        <w:t>’</w:t>
      </w:r>
      <w:r w:rsidRPr="007E1D7C">
        <w:rPr>
          <w:i/>
          <w:iCs/>
        </w:rPr>
        <w:t>s Investigation of the Current Rates, Revenues, Rate Base, and Rate of Return of the Ohio Utilities Company</w:t>
      </w:r>
      <w:r w:rsidRPr="007E1D7C">
        <w:t>, Case No. 77-1073-WS-COI, Opinion and Order (May 18, 1978).</w:t>
      </w:r>
    </w:p>
  </w:footnote>
  <w:footnote w:id="37">
    <w:p w:rsidR="009E339E" w:rsidRPr="007E1D7C" w:rsidP="007E1D7C" w14:paraId="02410C46" w14:textId="56598A93">
      <w:pPr>
        <w:pStyle w:val="FootnoteText"/>
        <w:spacing w:before="0" w:after="120"/>
      </w:pPr>
      <w:r w:rsidRPr="007E1D7C">
        <w:rPr>
          <w:rStyle w:val="FootnoteReference"/>
        </w:rPr>
        <w:footnoteRef/>
      </w:r>
      <w:r w:rsidRPr="007E1D7C">
        <w:t xml:space="preserve"> </w:t>
      </w:r>
      <w:r w:rsidRPr="007E1D7C">
        <w:rPr>
          <w:i/>
          <w:iCs/>
        </w:rPr>
        <w:t>In the Matter of the Commission</w:t>
      </w:r>
      <w:r w:rsidRPr="007E1D7C" w:rsidR="00077403">
        <w:rPr>
          <w:i/>
          <w:iCs/>
        </w:rPr>
        <w:t>’</w:t>
      </w:r>
      <w:r w:rsidRPr="007E1D7C">
        <w:rPr>
          <w:i/>
          <w:iCs/>
        </w:rPr>
        <w:t>s Investigation of the Current Rates, Revenues, Rate Base, and Rate of Return of the Ohio Utilities Company</w:t>
      </w:r>
      <w:r w:rsidRPr="007E1D7C">
        <w:t xml:space="preserve">, Case No. 77-1073-WS-COI, Entry (June 7, 1978). The utility was also required to file an </w:t>
      </w:r>
      <w:r w:rsidRPr="007E1D7C" w:rsidR="00077403">
        <w:t>“</w:t>
      </w:r>
      <w:r w:rsidRPr="007E1D7C">
        <w:t>undertaking</w:t>
      </w:r>
      <w:r w:rsidRPr="007E1D7C" w:rsidR="00077403">
        <w:t>”</w:t>
      </w:r>
      <w:r w:rsidRPr="007E1D7C">
        <w:t xml:space="preserve"> consisting of a promise to refund any amount collected for service rendered after the date of the Entry by a method later determined by the Commission (either cash refund or as a credit to future bills). The undertaking was required to be under oath by an officer of the company and was to include a promise to include interest. The amount ordered for refund was the amount collected for service in excess of those rates ultimately determined to be lawful. </w:t>
      </w:r>
      <w:r w:rsidRPr="007E1D7C">
        <w:rPr>
          <w:i/>
          <w:iCs/>
        </w:rPr>
        <w:t>Id</w:t>
      </w:r>
      <w:r w:rsidRPr="007E1D7C">
        <w:t>.</w:t>
      </w:r>
    </w:p>
  </w:footnote>
  <w:footnote w:id="38">
    <w:p w:rsidR="009E339E" w:rsidRPr="007E1D7C" w:rsidP="007E1D7C" w14:paraId="14809DD8" w14:textId="77777777">
      <w:pPr>
        <w:pStyle w:val="FootnoteText"/>
        <w:spacing w:before="0" w:after="120"/>
      </w:pPr>
      <w:r w:rsidRPr="007E1D7C">
        <w:rPr>
          <w:rStyle w:val="FootnoteReference"/>
        </w:rPr>
        <w:footnoteRef/>
      </w:r>
      <w:r w:rsidRPr="007E1D7C">
        <w:t xml:space="preserve"> </w:t>
      </w:r>
      <w:r w:rsidRPr="007E1D7C">
        <w:rPr>
          <w:i/>
          <w:iCs/>
        </w:rPr>
        <w:t>In the Matter of the Commission Review of the Capacity Charges of Ohio Power Company and Columbus Southern Power Company</w:t>
      </w:r>
      <w:r w:rsidRPr="007E1D7C">
        <w:t>, Case No. 10-2929-EL-UNC, et al. (May 18, 2016).</w:t>
      </w:r>
    </w:p>
  </w:footnote>
  <w:footnote w:id="39">
    <w:p w:rsidR="009E339E" w:rsidRPr="007E1D7C" w:rsidP="007E1D7C" w14:paraId="253414BB" w14:textId="77777777">
      <w:pPr>
        <w:pStyle w:val="FootnoteText"/>
        <w:spacing w:before="0" w:after="120"/>
      </w:pPr>
      <w:r w:rsidRPr="007E1D7C">
        <w:rPr>
          <w:rStyle w:val="FootnoteReference"/>
        </w:rPr>
        <w:footnoteRef/>
      </w:r>
      <w:r w:rsidRPr="007E1D7C">
        <w:t xml:space="preserve"> </w:t>
      </w:r>
      <w:r w:rsidRPr="007E1D7C">
        <w:rPr>
          <w:i/>
          <w:iCs/>
        </w:rPr>
        <w:t>Id.</w:t>
      </w:r>
      <w:r w:rsidRPr="007E1D7C">
        <w:t xml:space="preserve"> at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58AD" w14:paraId="74E5A3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58AD" w14:paraId="474457D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58AD" w14:paraId="30BC3C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1C600E92"/>
    <w:lvl w:ilvl="0">
      <w:start w:val="1"/>
      <w:numFmt w:val="upperRoman"/>
      <w:lvlText w:val="%1."/>
      <w:lvlJc w:val="left"/>
      <w:pPr>
        <w:tabs>
          <w:tab w:val="num" w:pos="1440"/>
        </w:tabs>
        <w:ind w:left="1440" w:hanging="720"/>
      </w:pPr>
      <w:rPr>
        <w:rFonts w:cs="Times New Roman"/>
      </w:rPr>
    </w:lvl>
    <w:lvl w:ilvl="1">
      <w:start w:val="1"/>
      <w:numFmt w:val="upperLetter"/>
      <w:lvlText w:val="%2."/>
      <w:lvlJc w:val="left"/>
      <w:pPr>
        <w:tabs>
          <w:tab w:val="num" w:pos="1440"/>
        </w:tabs>
        <w:ind w:left="1440" w:hanging="360"/>
      </w:pPr>
      <w:rPr>
        <w:rFonts w:cs="Times New Roman"/>
        <w:b/>
        <w:bCs w:val="0"/>
        <w:sz w:val="24"/>
        <w:szCs w:val="24"/>
      </w:rPr>
    </w:lvl>
    <w:lvl w:ilvl="2">
      <w:start w:val="1"/>
      <w:numFmt w:val="upp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E853B8"/>
    <w:multiLevelType w:val="hybridMultilevel"/>
    <w:tmpl w:val="CE24F0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DA5265E"/>
    <w:multiLevelType w:val="hybridMultilevel"/>
    <w:tmpl w:val="F9D04498"/>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5A1FF3"/>
    <w:multiLevelType w:val="hybridMultilevel"/>
    <w:tmpl w:val="FC1E9C68"/>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2178CF"/>
    <w:multiLevelType w:val="hybridMultilevel"/>
    <w:tmpl w:val="FF04E4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5B4443"/>
    <w:multiLevelType w:val="hybridMultilevel"/>
    <w:tmpl w:val="EBA2656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21560BFB"/>
    <w:multiLevelType w:val="hybridMultilevel"/>
    <w:tmpl w:val="4824E91A"/>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F00834"/>
    <w:multiLevelType w:val="hybridMultilevel"/>
    <w:tmpl w:val="48CC0796"/>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47C5BE3"/>
    <w:multiLevelType w:val="hybridMultilevel"/>
    <w:tmpl w:val="C3D2DAD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263C0DE9"/>
    <w:multiLevelType w:val="hybridMultilevel"/>
    <w:tmpl w:val="6CE2BB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681F74"/>
    <w:multiLevelType w:val="hybridMultilevel"/>
    <w:tmpl w:val="6CA8080A"/>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BDD7EEB"/>
    <w:multiLevelType w:val="hybridMultilevel"/>
    <w:tmpl w:val="8E5490F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2C8055A1"/>
    <w:multiLevelType w:val="hybridMultilevel"/>
    <w:tmpl w:val="FB72E85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37B72D01"/>
    <w:multiLevelType w:val="hybridMultilevel"/>
    <w:tmpl w:val="69DA3EF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1064AD0"/>
    <w:multiLevelType w:val="hybridMultilevel"/>
    <w:tmpl w:val="F098B32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8F51B5"/>
    <w:multiLevelType w:val="hybridMultilevel"/>
    <w:tmpl w:val="9892C3C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B32278"/>
    <w:multiLevelType w:val="hybridMultilevel"/>
    <w:tmpl w:val="53CE7B0C"/>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4B8616F9"/>
    <w:multiLevelType w:val="hybridMultilevel"/>
    <w:tmpl w:val="C598D7F6"/>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4EEA2B4A"/>
    <w:multiLevelType w:val="hybridMultilevel"/>
    <w:tmpl w:val="0868E8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8B67818"/>
    <w:multiLevelType w:val="hybridMultilevel"/>
    <w:tmpl w:val="E6ACE070"/>
    <w:lvl w:ilvl="0">
      <w:start w:val="1"/>
      <w:numFmt w:val="upperLetter"/>
      <w:pStyle w:val="Heading2"/>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1636F23"/>
    <w:multiLevelType w:val="hybridMultilevel"/>
    <w:tmpl w:val="C2F0022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5077CD2"/>
    <w:multiLevelType w:val="hybridMultilevel"/>
    <w:tmpl w:val="1DFA6CC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66547110"/>
    <w:multiLevelType w:val="hybridMultilevel"/>
    <w:tmpl w:val="872E893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6DE40FB8"/>
    <w:multiLevelType w:val="hybridMultilevel"/>
    <w:tmpl w:val="2758E9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035615A"/>
    <w:multiLevelType w:val="hybridMultilevel"/>
    <w:tmpl w:val="2B84AE2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Microsoft Sans Serif"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Microsoft Sans Serif"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Microsoft Sans Serif"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26">
    <w:nsid w:val="7A1307C2"/>
    <w:multiLevelType w:val="hybridMultilevel"/>
    <w:tmpl w:val="C0D2AD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7D394F2C"/>
    <w:multiLevelType w:val="hybridMultilevel"/>
    <w:tmpl w:val="7B82BC94"/>
    <w:lvl w:ilvl="0">
      <w:start w:val="3"/>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8"/>
  </w:num>
  <w:num w:numId="4">
    <w:abstractNumId w:val="2"/>
  </w:num>
  <w:num w:numId="5">
    <w:abstractNumId w:val="18"/>
  </w:num>
  <w:num w:numId="6">
    <w:abstractNumId w:val="17"/>
  </w:num>
  <w:num w:numId="7">
    <w:abstractNumId w:val="3"/>
  </w:num>
  <w:num w:numId="8">
    <w:abstractNumId w:val="9"/>
  </w:num>
  <w:num w:numId="9">
    <w:abstractNumId w:val="6"/>
  </w:num>
  <w:num w:numId="10">
    <w:abstractNumId w:val="23"/>
  </w:num>
  <w:num w:numId="11">
    <w:abstractNumId w:val="1"/>
  </w:num>
  <w:num w:numId="12">
    <w:abstractNumId w:val="21"/>
  </w:num>
  <w:num w:numId="13">
    <w:abstractNumId w:val="27"/>
  </w:num>
  <w:num w:numId="14">
    <w:abstractNumId w:val="14"/>
  </w:num>
  <w:num w:numId="15">
    <w:abstractNumId w:val="25"/>
  </w:num>
  <w:num w:numId="16">
    <w:abstractNumId w:val="26"/>
  </w:num>
  <w:num w:numId="17">
    <w:abstractNumId w:val="12"/>
  </w:num>
  <w:num w:numId="18">
    <w:abstractNumId w:val="16"/>
  </w:num>
  <w:num w:numId="19">
    <w:abstractNumId w:val="22"/>
  </w:num>
  <w:num w:numId="20">
    <w:abstractNumId w:val="5"/>
  </w:num>
  <w:num w:numId="21">
    <w:abstractNumId w:val="4"/>
  </w:num>
  <w:num w:numId="22">
    <w:abstractNumId w:val="10"/>
  </w:num>
  <w:num w:numId="23">
    <w:abstractNumId w:val="11"/>
  </w:num>
  <w:num w:numId="24">
    <w:abstractNumId w:val="20"/>
  </w:num>
  <w:num w:numId="25">
    <w:abstractNumId w:val="24"/>
  </w:num>
  <w:num w:numId="26">
    <w:abstractNumId w:val="4"/>
    <w:lvlOverride w:ilvl="0">
      <w:startOverride w:val="1"/>
    </w:lvlOverride>
  </w:num>
  <w:num w:numId="27">
    <w:abstractNumId w:val="0"/>
  </w:num>
  <w:num w:numId="28">
    <w:abstractNumId w:val="4"/>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doNotEmbedSmartTag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E"/>
    <w:rsid w:val="0000380B"/>
    <w:rsid w:val="00003FCD"/>
    <w:rsid w:val="00012153"/>
    <w:rsid w:val="000277A9"/>
    <w:rsid w:val="00032202"/>
    <w:rsid w:val="000330D3"/>
    <w:rsid w:val="000457B7"/>
    <w:rsid w:val="0005101E"/>
    <w:rsid w:val="000511D6"/>
    <w:rsid w:val="00054148"/>
    <w:rsid w:val="00054998"/>
    <w:rsid w:val="00054AFB"/>
    <w:rsid w:val="0006123C"/>
    <w:rsid w:val="00065343"/>
    <w:rsid w:val="00065E45"/>
    <w:rsid w:val="00067A34"/>
    <w:rsid w:val="00071762"/>
    <w:rsid w:val="0007658D"/>
    <w:rsid w:val="00077403"/>
    <w:rsid w:val="00087A0A"/>
    <w:rsid w:val="00087F15"/>
    <w:rsid w:val="00090C9A"/>
    <w:rsid w:val="000916E1"/>
    <w:rsid w:val="00094959"/>
    <w:rsid w:val="000963F5"/>
    <w:rsid w:val="0009726A"/>
    <w:rsid w:val="000A0FA0"/>
    <w:rsid w:val="000A1059"/>
    <w:rsid w:val="000A1D01"/>
    <w:rsid w:val="000A35C6"/>
    <w:rsid w:val="000B0D10"/>
    <w:rsid w:val="000B2FC5"/>
    <w:rsid w:val="000B3E2E"/>
    <w:rsid w:val="000B66DC"/>
    <w:rsid w:val="000C0E9C"/>
    <w:rsid w:val="000C201D"/>
    <w:rsid w:val="000C20F7"/>
    <w:rsid w:val="000C26B8"/>
    <w:rsid w:val="000C3221"/>
    <w:rsid w:val="000C34A8"/>
    <w:rsid w:val="000C4282"/>
    <w:rsid w:val="000D148C"/>
    <w:rsid w:val="000D15A6"/>
    <w:rsid w:val="000D1CEB"/>
    <w:rsid w:val="000D234F"/>
    <w:rsid w:val="000D2B1B"/>
    <w:rsid w:val="000D50C9"/>
    <w:rsid w:val="000D587F"/>
    <w:rsid w:val="000E0D5C"/>
    <w:rsid w:val="000E576D"/>
    <w:rsid w:val="000F0BE9"/>
    <w:rsid w:val="000F4273"/>
    <w:rsid w:val="000F602A"/>
    <w:rsid w:val="001075A8"/>
    <w:rsid w:val="00110292"/>
    <w:rsid w:val="001107BE"/>
    <w:rsid w:val="0011134C"/>
    <w:rsid w:val="00112E29"/>
    <w:rsid w:val="00114B63"/>
    <w:rsid w:val="001269FC"/>
    <w:rsid w:val="00126D92"/>
    <w:rsid w:val="00130A1B"/>
    <w:rsid w:val="00132130"/>
    <w:rsid w:val="00132E57"/>
    <w:rsid w:val="00133319"/>
    <w:rsid w:val="00136CD8"/>
    <w:rsid w:val="00136E3A"/>
    <w:rsid w:val="00146561"/>
    <w:rsid w:val="00151D3D"/>
    <w:rsid w:val="0015655A"/>
    <w:rsid w:val="00157862"/>
    <w:rsid w:val="00160C7A"/>
    <w:rsid w:val="00165484"/>
    <w:rsid w:val="0016597D"/>
    <w:rsid w:val="00166E70"/>
    <w:rsid w:val="00170F95"/>
    <w:rsid w:val="00172319"/>
    <w:rsid w:val="00180197"/>
    <w:rsid w:val="00194841"/>
    <w:rsid w:val="0019554F"/>
    <w:rsid w:val="00196299"/>
    <w:rsid w:val="001A28CE"/>
    <w:rsid w:val="001A3FA8"/>
    <w:rsid w:val="001A7A05"/>
    <w:rsid w:val="001B04CC"/>
    <w:rsid w:val="001B49DD"/>
    <w:rsid w:val="001B4F98"/>
    <w:rsid w:val="001C0912"/>
    <w:rsid w:val="001C6CE1"/>
    <w:rsid w:val="001C7732"/>
    <w:rsid w:val="001D645A"/>
    <w:rsid w:val="001D6BA8"/>
    <w:rsid w:val="001D7311"/>
    <w:rsid w:val="001E2FE1"/>
    <w:rsid w:val="001E637A"/>
    <w:rsid w:val="001F17C8"/>
    <w:rsid w:val="001F46B8"/>
    <w:rsid w:val="001F5C86"/>
    <w:rsid w:val="002005E6"/>
    <w:rsid w:val="00201790"/>
    <w:rsid w:val="0021620B"/>
    <w:rsid w:val="002202CC"/>
    <w:rsid w:val="0022148D"/>
    <w:rsid w:val="00223CB3"/>
    <w:rsid w:val="00236255"/>
    <w:rsid w:val="00240778"/>
    <w:rsid w:val="00240F08"/>
    <w:rsid w:val="002423F2"/>
    <w:rsid w:val="0024240C"/>
    <w:rsid w:val="00242417"/>
    <w:rsid w:val="0024284C"/>
    <w:rsid w:val="002458AD"/>
    <w:rsid w:val="0024759C"/>
    <w:rsid w:val="00251300"/>
    <w:rsid w:val="00255A79"/>
    <w:rsid w:val="0026233A"/>
    <w:rsid w:val="002650A6"/>
    <w:rsid w:val="002675C3"/>
    <w:rsid w:val="002678C7"/>
    <w:rsid w:val="0027171F"/>
    <w:rsid w:val="00273CEA"/>
    <w:rsid w:val="0027616D"/>
    <w:rsid w:val="00280D76"/>
    <w:rsid w:val="00282DD0"/>
    <w:rsid w:val="0028384C"/>
    <w:rsid w:val="002908C2"/>
    <w:rsid w:val="00292131"/>
    <w:rsid w:val="00292B26"/>
    <w:rsid w:val="00295427"/>
    <w:rsid w:val="00297D1D"/>
    <w:rsid w:val="002A5718"/>
    <w:rsid w:val="002C1BF9"/>
    <w:rsid w:val="002C20F3"/>
    <w:rsid w:val="002C3367"/>
    <w:rsid w:val="002C43FF"/>
    <w:rsid w:val="002C48DC"/>
    <w:rsid w:val="002C7D60"/>
    <w:rsid w:val="002D1902"/>
    <w:rsid w:val="002D29C3"/>
    <w:rsid w:val="002D3482"/>
    <w:rsid w:val="002E21B0"/>
    <w:rsid w:val="002E61B7"/>
    <w:rsid w:val="002F2F59"/>
    <w:rsid w:val="002F3999"/>
    <w:rsid w:val="002F4CFE"/>
    <w:rsid w:val="002F61CE"/>
    <w:rsid w:val="002F6BC8"/>
    <w:rsid w:val="002F759F"/>
    <w:rsid w:val="003026A8"/>
    <w:rsid w:val="00311285"/>
    <w:rsid w:val="00315283"/>
    <w:rsid w:val="00315C60"/>
    <w:rsid w:val="00315EEB"/>
    <w:rsid w:val="00317BF1"/>
    <w:rsid w:val="00320F5D"/>
    <w:rsid w:val="00321E33"/>
    <w:rsid w:val="00323F18"/>
    <w:rsid w:val="003258C2"/>
    <w:rsid w:val="003378F5"/>
    <w:rsid w:val="003418A8"/>
    <w:rsid w:val="00343FD2"/>
    <w:rsid w:val="00345B59"/>
    <w:rsid w:val="00346D62"/>
    <w:rsid w:val="003558EF"/>
    <w:rsid w:val="003563F2"/>
    <w:rsid w:val="003616CF"/>
    <w:rsid w:val="00366023"/>
    <w:rsid w:val="00372776"/>
    <w:rsid w:val="0037614B"/>
    <w:rsid w:val="003801D3"/>
    <w:rsid w:val="00380BE8"/>
    <w:rsid w:val="00381A9B"/>
    <w:rsid w:val="0038311C"/>
    <w:rsid w:val="0038520D"/>
    <w:rsid w:val="00387C2C"/>
    <w:rsid w:val="00392196"/>
    <w:rsid w:val="003943B4"/>
    <w:rsid w:val="00397C34"/>
    <w:rsid w:val="003A2BCE"/>
    <w:rsid w:val="003A3CA5"/>
    <w:rsid w:val="003B0A35"/>
    <w:rsid w:val="003B0B85"/>
    <w:rsid w:val="003B12A6"/>
    <w:rsid w:val="003B2653"/>
    <w:rsid w:val="003B318E"/>
    <w:rsid w:val="003B3BA0"/>
    <w:rsid w:val="003B5A65"/>
    <w:rsid w:val="003B73AA"/>
    <w:rsid w:val="003C1DCE"/>
    <w:rsid w:val="003C3FB6"/>
    <w:rsid w:val="003D1A04"/>
    <w:rsid w:val="003D23A5"/>
    <w:rsid w:val="003D4F9A"/>
    <w:rsid w:val="003D65F6"/>
    <w:rsid w:val="003D7A0C"/>
    <w:rsid w:val="003E41D6"/>
    <w:rsid w:val="003E60CB"/>
    <w:rsid w:val="003E6509"/>
    <w:rsid w:val="003E6D05"/>
    <w:rsid w:val="003F2465"/>
    <w:rsid w:val="003F26D8"/>
    <w:rsid w:val="003F52E7"/>
    <w:rsid w:val="003F5931"/>
    <w:rsid w:val="003F6E1A"/>
    <w:rsid w:val="004015F8"/>
    <w:rsid w:val="004105E4"/>
    <w:rsid w:val="00411829"/>
    <w:rsid w:val="0041195D"/>
    <w:rsid w:val="0041544A"/>
    <w:rsid w:val="00415A83"/>
    <w:rsid w:val="00425200"/>
    <w:rsid w:val="004270EA"/>
    <w:rsid w:val="004306B9"/>
    <w:rsid w:val="00431D83"/>
    <w:rsid w:val="00437A5C"/>
    <w:rsid w:val="004417B3"/>
    <w:rsid w:val="004418F4"/>
    <w:rsid w:val="0044224D"/>
    <w:rsid w:val="004426E4"/>
    <w:rsid w:val="0044365C"/>
    <w:rsid w:val="00443F67"/>
    <w:rsid w:val="00444E77"/>
    <w:rsid w:val="004569A0"/>
    <w:rsid w:val="00460A16"/>
    <w:rsid w:val="0046268B"/>
    <w:rsid w:val="00464D38"/>
    <w:rsid w:val="00465278"/>
    <w:rsid w:val="00466B3C"/>
    <w:rsid w:val="0046720A"/>
    <w:rsid w:val="004673C7"/>
    <w:rsid w:val="00470E5F"/>
    <w:rsid w:val="0047251D"/>
    <w:rsid w:val="0048068A"/>
    <w:rsid w:val="00481E39"/>
    <w:rsid w:val="004822B1"/>
    <w:rsid w:val="00484FB4"/>
    <w:rsid w:val="004926AC"/>
    <w:rsid w:val="00492D19"/>
    <w:rsid w:val="00493B5B"/>
    <w:rsid w:val="0049680F"/>
    <w:rsid w:val="00496E1F"/>
    <w:rsid w:val="00497899"/>
    <w:rsid w:val="00497B9F"/>
    <w:rsid w:val="004A0FD5"/>
    <w:rsid w:val="004A330E"/>
    <w:rsid w:val="004A3C94"/>
    <w:rsid w:val="004A7AF2"/>
    <w:rsid w:val="004B35B4"/>
    <w:rsid w:val="004B545E"/>
    <w:rsid w:val="004B7158"/>
    <w:rsid w:val="004C5420"/>
    <w:rsid w:val="004C5A66"/>
    <w:rsid w:val="004C74BD"/>
    <w:rsid w:val="004D1050"/>
    <w:rsid w:val="004D14D4"/>
    <w:rsid w:val="004D2087"/>
    <w:rsid w:val="004E40A2"/>
    <w:rsid w:val="004E5341"/>
    <w:rsid w:val="004E70D1"/>
    <w:rsid w:val="004E78F9"/>
    <w:rsid w:val="004F20DA"/>
    <w:rsid w:val="004F2E70"/>
    <w:rsid w:val="004F76F9"/>
    <w:rsid w:val="00501178"/>
    <w:rsid w:val="00502339"/>
    <w:rsid w:val="00502946"/>
    <w:rsid w:val="00502B03"/>
    <w:rsid w:val="00502FF8"/>
    <w:rsid w:val="00504B6D"/>
    <w:rsid w:val="00504C2E"/>
    <w:rsid w:val="005050FB"/>
    <w:rsid w:val="005075C1"/>
    <w:rsid w:val="0051573A"/>
    <w:rsid w:val="00516F89"/>
    <w:rsid w:val="005234CD"/>
    <w:rsid w:val="00526491"/>
    <w:rsid w:val="00526A48"/>
    <w:rsid w:val="00527999"/>
    <w:rsid w:val="00534756"/>
    <w:rsid w:val="005376A3"/>
    <w:rsid w:val="00537C47"/>
    <w:rsid w:val="00542996"/>
    <w:rsid w:val="005438F5"/>
    <w:rsid w:val="00544DC2"/>
    <w:rsid w:val="00546956"/>
    <w:rsid w:val="00547D68"/>
    <w:rsid w:val="0055143F"/>
    <w:rsid w:val="0055217B"/>
    <w:rsid w:val="00553101"/>
    <w:rsid w:val="00555315"/>
    <w:rsid w:val="00557F89"/>
    <w:rsid w:val="00561894"/>
    <w:rsid w:val="00573DE6"/>
    <w:rsid w:val="00576439"/>
    <w:rsid w:val="00580E1B"/>
    <w:rsid w:val="00591383"/>
    <w:rsid w:val="0059305D"/>
    <w:rsid w:val="00594009"/>
    <w:rsid w:val="0059543B"/>
    <w:rsid w:val="005959CA"/>
    <w:rsid w:val="00595C8C"/>
    <w:rsid w:val="005A6D15"/>
    <w:rsid w:val="005A6FEF"/>
    <w:rsid w:val="005B209C"/>
    <w:rsid w:val="005B2C2F"/>
    <w:rsid w:val="005B4B0A"/>
    <w:rsid w:val="005C33FF"/>
    <w:rsid w:val="005C5AEE"/>
    <w:rsid w:val="005C5F2F"/>
    <w:rsid w:val="005E4AA8"/>
    <w:rsid w:val="005E6CD1"/>
    <w:rsid w:val="005F1716"/>
    <w:rsid w:val="005F1D3B"/>
    <w:rsid w:val="005F39B6"/>
    <w:rsid w:val="005F7781"/>
    <w:rsid w:val="00600468"/>
    <w:rsid w:val="00600C8E"/>
    <w:rsid w:val="00601A67"/>
    <w:rsid w:val="00604F8E"/>
    <w:rsid w:val="006223A2"/>
    <w:rsid w:val="00624184"/>
    <w:rsid w:val="0063027F"/>
    <w:rsid w:val="00631CC7"/>
    <w:rsid w:val="00633A6B"/>
    <w:rsid w:val="00634750"/>
    <w:rsid w:val="00635FC0"/>
    <w:rsid w:val="00637ED7"/>
    <w:rsid w:val="00641BAF"/>
    <w:rsid w:val="0064211D"/>
    <w:rsid w:val="00643DA2"/>
    <w:rsid w:val="00644065"/>
    <w:rsid w:val="00644835"/>
    <w:rsid w:val="00650CFA"/>
    <w:rsid w:val="0065217E"/>
    <w:rsid w:val="00660174"/>
    <w:rsid w:val="0066433D"/>
    <w:rsid w:val="00665EE2"/>
    <w:rsid w:val="006711EE"/>
    <w:rsid w:val="006755BB"/>
    <w:rsid w:val="00683C86"/>
    <w:rsid w:val="00692036"/>
    <w:rsid w:val="0069241E"/>
    <w:rsid w:val="00692E2F"/>
    <w:rsid w:val="006A0B4B"/>
    <w:rsid w:val="006A6D13"/>
    <w:rsid w:val="006B3D4D"/>
    <w:rsid w:val="006B4B14"/>
    <w:rsid w:val="006C26D9"/>
    <w:rsid w:val="006C522E"/>
    <w:rsid w:val="006C5A50"/>
    <w:rsid w:val="006D2F15"/>
    <w:rsid w:val="006D4188"/>
    <w:rsid w:val="006E0857"/>
    <w:rsid w:val="006E1293"/>
    <w:rsid w:val="006E1FFC"/>
    <w:rsid w:val="006E33DE"/>
    <w:rsid w:val="006E3A5C"/>
    <w:rsid w:val="006E6967"/>
    <w:rsid w:val="006E7561"/>
    <w:rsid w:val="006F1D2F"/>
    <w:rsid w:val="006F42F2"/>
    <w:rsid w:val="006F51C3"/>
    <w:rsid w:val="006F6268"/>
    <w:rsid w:val="00705679"/>
    <w:rsid w:val="00705DD2"/>
    <w:rsid w:val="00711444"/>
    <w:rsid w:val="00714916"/>
    <w:rsid w:val="00714F95"/>
    <w:rsid w:val="00724B42"/>
    <w:rsid w:val="0072703F"/>
    <w:rsid w:val="0072721B"/>
    <w:rsid w:val="007357F6"/>
    <w:rsid w:val="00737012"/>
    <w:rsid w:val="00743C03"/>
    <w:rsid w:val="00746702"/>
    <w:rsid w:val="007531CE"/>
    <w:rsid w:val="00764DB5"/>
    <w:rsid w:val="0076652C"/>
    <w:rsid w:val="0077302E"/>
    <w:rsid w:val="007736D1"/>
    <w:rsid w:val="00776741"/>
    <w:rsid w:val="00777CA6"/>
    <w:rsid w:val="007807B8"/>
    <w:rsid w:val="00783CE2"/>
    <w:rsid w:val="00784859"/>
    <w:rsid w:val="00784D8A"/>
    <w:rsid w:val="007860EB"/>
    <w:rsid w:val="0078718F"/>
    <w:rsid w:val="007924DD"/>
    <w:rsid w:val="007B2F6E"/>
    <w:rsid w:val="007B4BEB"/>
    <w:rsid w:val="007B6430"/>
    <w:rsid w:val="007C5DF4"/>
    <w:rsid w:val="007D076D"/>
    <w:rsid w:val="007D219C"/>
    <w:rsid w:val="007D2AC3"/>
    <w:rsid w:val="007D6FA1"/>
    <w:rsid w:val="007E000E"/>
    <w:rsid w:val="007E0B3F"/>
    <w:rsid w:val="007E1D7C"/>
    <w:rsid w:val="007E70BB"/>
    <w:rsid w:val="007F18AC"/>
    <w:rsid w:val="007F2179"/>
    <w:rsid w:val="007F352A"/>
    <w:rsid w:val="00801B53"/>
    <w:rsid w:val="008049E1"/>
    <w:rsid w:val="00806351"/>
    <w:rsid w:val="00806B12"/>
    <w:rsid w:val="00811407"/>
    <w:rsid w:val="00814620"/>
    <w:rsid w:val="00814757"/>
    <w:rsid w:val="00824602"/>
    <w:rsid w:val="008246E8"/>
    <w:rsid w:val="008304FB"/>
    <w:rsid w:val="00830862"/>
    <w:rsid w:val="008309AC"/>
    <w:rsid w:val="008318BD"/>
    <w:rsid w:val="0083578A"/>
    <w:rsid w:val="00837736"/>
    <w:rsid w:val="00837FCB"/>
    <w:rsid w:val="0084217B"/>
    <w:rsid w:val="00842A67"/>
    <w:rsid w:val="00843D9A"/>
    <w:rsid w:val="00845A5D"/>
    <w:rsid w:val="008464E4"/>
    <w:rsid w:val="00846ABF"/>
    <w:rsid w:val="008471F8"/>
    <w:rsid w:val="00852654"/>
    <w:rsid w:val="00857EE9"/>
    <w:rsid w:val="00861F5E"/>
    <w:rsid w:val="00864416"/>
    <w:rsid w:val="00865E16"/>
    <w:rsid w:val="008663A9"/>
    <w:rsid w:val="00866D81"/>
    <w:rsid w:val="00887B4C"/>
    <w:rsid w:val="00891076"/>
    <w:rsid w:val="008915C3"/>
    <w:rsid w:val="00891DF4"/>
    <w:rsid w:val="008936C2"/>
    <w:rsid w:val="00893A84"/>
    <w:rsid w:val="008A1002"/>
    <w:rsid w:val="008A1894"/>
    <w:rsid w:val="008A3F29"/>
    <w:rsid w:val="008A7BF2"/>
    <w:rsid w:val="008B0351"/>
    <w:rsid w:val="008B08EA"/>
    <w:rsid w:val="008B0AFF"/>
    <w:rsid w:val="008B1879"/>
    <w:rsid w:val="008B1FAA"/>
    <w:rsid w:val="008B5155"/>
    <w:rsid w:val="008B571A"/>
    <w:rsid w:val="008B5EEF"/>
    <w:rsid w:val="008B700E"/>
    <w:rsid w:val="008C063B"/>
    <w:rsid w:val="008C0B5F"/>
    <w:rsid w:val="008C1B32"/>
    <w:rsid w:val="008C3DAE"/>
    <w:rsid w:val="008C4394"/>
    <w:rsid w:val="008C681A"/>
    <w:rsid w:val="008D33C8"/>
    <w:rsid w:val="008D3FFE"/>
    <w:rsid w:val="008D51EB"/>
    <w:rsid w:val="008D70C0"/>
    <w:rsid w:val="008E22FC"/>
    <w:rsid w:val="008E4F41"/>
    <w:rsid w:val="008E5CF6"/>
    <w:rsid w:val="008F2320"/>
    <w:rsid w:val="008F2C24"/>
    <w:rsid w:val="008F3969"/>
    <w:rsid w:val="008F787B"/>
    <w:rsid w:val="00905BD7"/>
    <w:rsid w:val="00910860"/>
    <w:rsid w:val="00911453"/>
    <w:rsid w:val="009119FC"/>
    <w:rsid w:val="00915AA0"/>
    <w:rsid w:val="00925488"/>
    <w:rsid w:val="00931325"/>
    <w:rsid w:val="00933D87"/>
    <w:rsid w:val="00934A3F"/>
    <w:rsid w:val="00936A26"/>
    <w:rsid w:val="00937658"/>
    <w:rsid w:val="00937C78"/>
    <w:rsid w:val="009410ED"/>
    <w:rsid w:val="009420F1"/>
    <w:rsid w:val="009430D5"/>
    <w:rsid w:val="0094355D"/>
    <w:rsid w:val="00943AF2"/>
    <w:rsid w:val="009444CC"/>
    <w:rsid w:val="00945421"/>
    <w:rsid w:val="009466A4"/>
    <w:rsid w:val="00947AE0"/>
    <w:rsid w:val="009533F8"/>
    <w:rsid w:val="00955E5E"/>
    <w:rsid w:val="00956600"/>
    <w:rsid w:val="00956E69"/>
    <w:rsid w:val="00961D96"/>
    <w:rsid w:val="009662A0"/>
    <w:rsid w:val="00971D8D"/>
    <w:rsid w:val="00977A12"/>
    <w:rsid w:val="00982990"/>
    <w:rsid w:val="00983F12"/>
    <w:rsid w:val="009840C7"/>
    <w:rsid w:val="0099127C"/>
    <w:rsid w:val="00991344"/>
    <w:rsid w:val="009916EB"/>
    <w:rsid w:val="00991C3B"/>
    <w:rsid w:val="00992355"/>
    <w:rsid w:val="00995A09"/>
    <w:rsid w:val="009A44B9"/>
    <w:rsid w:val="009A775D"/>
    <w:rsid w:val="009B246C"/>
    <w:rsid w:val="009B6180"/>
    <w:rsid w:val="009C057D"/>
    <w:rsid w:val="009C3DA4"/>
    <w:rsid w:val="009C40B1"/>
    <w:rsid w:val="009C6E4E"/>
    <w:rsid w:val="009D31FF"/>
    <w:rsid w:val="009D33AE"/>
    <w:rsid w:val="009D468C"/>
    <w:rsid w:val="009E1BA3"/>
    <w:rsid w:val="009E339E"/>
    <w:rsid w:val="009E4417"/>
    <w:rsid w:val="009E4D50"/>
    <w:rsid w:val="009E625E"/>
    <w:rsid w:val="009E706C"/>
    <w:rsid w:val="009F144B"/>
    <w:rsid w:val="009F553E"/>
    <w:rsid w:val="00A037DD"/>
    <w:rsid w:val="00A0729B"/>
    <w:rsid w:val="00A12ADC"/>
    <w:rsid w:val="00A12B35"/>
    <w:rsid w:val="00A13D5B"/>
    <w:rsid w:val="00A14281"/>
    <w:rsid w:val="00A17DF6"/>
    <w:rsid w:val="00A25295"/>
    <w:rsid w:val="00A2658C"/>
    <w:rsid w:val="00A270A0"/>
    <w:rsid w:val="00A32B46"/>
    <w:rsid w:val="00A345AD"/>
    <w:rsid w:val="00A367E7"/>
    <w:rsid w:val="00A37618"/>
    <w:rsid w:val="00A410DE"/>
    <w:rsid w:val="00A44621"/>
    <w:rsid w:val="00A46DBC"/>
    <w:rsid w:val="00A47AB0"/>
    <w:rsid w:val="00A501F7"/>
    <w:rsid w:val="00A51347"/>
    <w:rsid w:val="00A5231A"/>
    <w:rsid w:val="00A555B5"/>
    <w:rsid w:val="00A5637F"/>
    <w:rsid w:val="00A61451"/>
    <w:rsid w:val="00A62965"/>
    <w:rsid w:val="00A6630F"/>
    <w:rsid w:val="00A70467"/>
    <w:rsid w:val="00A72885"/>
    <w:rsid w:val="00A72984"/>
    <w:rsid w:val="00A76D97"/>
    <w:rsid w:val="00A77DDC"/>
    <w:rsid w:val="00A816DC"/>
    <w:rsid w:val="00A843E6"/>
    <w:rsid w:val="00A858A6"/>
    <w:rsid w:val="00A9189E"/>
    <w:rsid w:val="00A92389"/>
    <w:rsid w:val="00A92D24"/>
    <w:rsid w:val="00A96982"/>
    <w:rsid w:val="00AA13FB"/>
    <w:rsid w:val="00AA1778"/>
    <w:rsid w:val="00AA231D"/>
    <w:rsid w:val="00AA7682"/>
    <w:rsid w:val="00AB5851"/>
    <w:rsid w:val="00AB76EC"/>
    <w:rsid w:val="00AC05F4"/>
    <w:rsid w:val="00AC1C31"/>
    <w:rsid w:val="00AC29E2"/>
    <w:rsid w:val="00AC3E80"/>
    <w:rsid w:val="00AC4FE9"/>
    <w:rsid w:val="00AC67D6"/>
    <w:rsid w:val="00AD624D"/>
    <w:rsid w:val="00AE0747"/>
    <w:rsid w:val="00AE2A10"/>
    <w:rsid w:val="00AE2BF5"/>
    <w:rsid w:val="00AE3233"/>
    <w:rsid w:val="00AE575F"/>
    <w:rsid w:val="00AF1AAA"/>
    <w:rsid w:val="00AF456B"/>
    <w:rsid w:val="00AF4E48"/>
    <w:rsid w:val="00AF6C96"/>
    <w:rsid w:val="00B00525"/>
    <w:rsid w:val="00B00F18"/>
    <w:rsid w:val="00B01A26"/>
    <w:rsid w:val="00B02598"/>
    <w:rsid w:val="00B1108C"/>
    <w:rsid w:val="00B126DE"/>
    <w:rsid w:val="00B178E3"/>
    <w:rsid w:val="00B211EC"/>
    <w:rsid w:val="00B25418"/>
    <w:rsid w:val="00B31329"/>
    <w:rsid w:val="00B41BAE"/>
    <w:rsid w:val="00B446B3"/>
    <w:rsid w:val="00B5044A"/>
    <w:rsid w:val="00B54670"/>
    <w:rsid w:val="00B560F2"/>
    <w:rsid w:val="00B56727"/>
    <w:rsid w:val="00B56EF6"/>
    <w:rsid w:val="00B64BA9"/>
    <w:rsid w:val="00B7380A"/>
    <w:rsid w:val="00B742C1"/>
    <w:rsid w:val="00B74F46"/>
    <w:rsid w:val="00B75F55"/>
    <w:rsid w:val="00B7690E"/>
    <w:rsid w:val="00B773D6"/>
    <w:rsid w:val="00B776AE"/>
    <w:rsid w:val="00B77B93"/>
    <w:rsid w:val="00B863EF"/>
    <w:rsid w:val="00B904B1"/>
    <w:rsid w:val="00B9127F"/>
    <w:rsid w:val="00B95C28"/>
    <w:rsid w:val="00B96A88"/>
    <w:rsid w:val="00BA5213"/>
    <w:rsid w:val="00BB0F72"/>
    <w:rsid w:val="00BB1196"/>
    <w:rsid w:val="00BB208D"/>
    <w:rsid w:val="00BB21FD"/>
    <w:rsid w:val="00BB2454"/>
    <w:rsid w:val="00BB4C86"/>
    <w:rsid w:val="00BB77DD"/>
    <w:rsid w:val="00BC08B2"/>
    <w:rsid w:val="00BC0B1E"/>
    <w:rsid w:val="00BC37D2"/>
    <w:rsid w:val="00BC5DA5"/>
    <w:rsid w:val="00BC7237"/>
    <w:rsid w:val="00BC7A39"/>
    <w:rsid w:val="00BD22EF"/>
    <w:rsid w:val="00BD41FA"/>
    <w:rsid w:val="00BD6476"/>
    <w:rsid w:val="00BD6BC5"/>
    <w:rsid w:val="00BD6C32"/>
    <w:rsid w:val="00BE04E0"/>
    <w:rsid w:val="00BE15BE"/>
    <w:rsid w:val="00BE209C"/>
    <w:rsid w:val="00BE5A35"/>
    <w:rsid w:val="00BE639A"/>
    <w:rsid w:val="00BF0449"/>
    <w:rsid w:val="00BF0622"/>
    <w:rsid w:val="00BF3D44"/>
    <w:rsid w:val="00C02B5B"/>
    <w:rsid w:val="00C034F3"/>
    <w:rsid w:val="00C04133"/>
    <w:rsid w:val="00C11C4B"/>
    <w:rsid w:val="00C14D59"/>
    <w:rsid w:val="00C3168F"/>
    <w:rsid w:val="00C3282B"/>
    <w:rsid w:val="00C35B89"/>
    <w:rsid w:val="00C371CD"/>
    <w:rsid w:val="00C377D2"/>
    <w:rsid w:val="00C37973"/>
    <w:rsid w:val="00C40359"/>
    <w:rsid w:val="00C4142F"/>
    <w:rsid w:val="00C417A5"/>
    <w:rsid w:val="00C445DD"/>
    <w:rsid w:val="00C4744B"/>
    <w:rsid w:val="00C517BC"/>
    <w:rsid w:val="00C52461"/>
    <w:rsid w:val="00C540EB"/>
    <w:rsid w:val="00C55795"/>
    <w:rsid w:val="00C61BF5"/>
    <w:rsid w:val="00C63607"/>
    <w:rsid w:val="00C66DB7"/>
    <w:rsid w:val="00C7183B"/>
    <w:rsid w:val="00C76F77"/>
    <w:rsid w:val="00C80F09"/>
    <w:rsid w:val="00C854E4"/>
    <w:rsid w:val="00C85D4D"/>
    <w:rsid w:val="00C8611B"/>
    <w:rsid w:val="00C864EE"/>
    <w:rsid w:val="00C90305"/>
    <w:rsid w:val="00CA16E1"/>
    <w:rsid w:val="00CA22B7"/>
    <w:rsid w:val="00CA7E7D"/>
    <w:rsid w:val="00CB0B4C"/>
    <w:rsid w:val="00CB48FC"/>
    <w:rsid w:val="00CB5C31"/>
    <w:rsid w:val="00CB7047"/>
    <w:rsid w:val="00CC3AEC"/>
    <w:rsid w:val="00CC42A4"/>
    <w:rsid w:val="00CD14EF"/>
    <w:rsid w:val="00CD40A1"/>
    <w:rsid w:val="00CE04EA"/>
    <w:rsid w:val="00CE0EBD"/>
    <w:rsid w:val="00CE2C72"/>
    <w:rsid w:val="00CE3699"/>
    <w:rsid w:val="00CE38C7"/>
    <w:rsid w:val="00CF068F"/>
    <w:rsid w:val="00CF115B"/>
    <w:rsid w:val="00CF2632"/>
    <w:rsid w:val="00CF2964"/>
    <w:rsid w:val="00CF4480"/>
    <w:rsid w:val="00D0222B"/>
    <w:rsid w:val="00D037AC"/>
    <w:rsid w:val="00D07103"/>
    <w:rsid w:val="00D13215"/>
    <w:rsid w:val="00D1405D"/>
    <w:rsid w:val="00D14189"/>
    <w:rsid w:val="00D14B97"/>
    <w:rsid w:val="00D21A48"/>
    <w:rsid w:val="00D21CD4"/>
    <w:rsid w:val="00D23A6B"/>
    <w:rsid w:val="00D23FBD"/>
    <w:rsid w:val="00D2635F"/>
    <w:rsid w:val="00D264A9"/>
    <w:rsid w:val="00D308FC"/>
    <w:rsid w:val="00D3131D"/>
    <w:rsid w:val="00D332D0"/>
    <w:rsid w:val="00D35BC4"/>
    <w:rsid w:val="00D412F3"/>
    <w:rsid w:val="00D417AA"/>
    <w:rsid w:val="00D4181A"/>
    <w:rsid w:val="00D41A2E"/>
    <w:rsid w:val="00D42952"/>
    <w:rsid w:val="00D6187E"/>
    <w:rsid w:val="00D64F31"/>
    <w:rsid w:val="00D71790"/>
    <w:rsid w:val="00D71D52"/>
    <w:rsid w:val="00D73160"/>
    <w:rsid w:val="00D74838"/>
    <w:rsid w:val="00D7552F"/>
    <w:rsid w:val="00D761A4"/>
    <w:rsid w:val="00D815C6"/>
    <w:rsid w:val="00D84209"/>
    <w:rsid w:val="00D85262"/>
    <w:rsid w:val="00D867B4"/>
    <w:rsid w:val="00D93D5B"/>
    <w:rsid w:val="00D9457E"/>
    <w:rsid w:val="00D95D27"/>
    <w:rsid w:val="00D96F5C"/>
    <w:rsid w:val="00DA2C9E"/>
    <w:rsid w:val="00DA489A"/>
    <w:rsid w:val="00DA6AE4"/>
    <w:rsid w:val="00DB07BC"/>
    <w:rsid w:val="00DC517F"/>
    <w:rsid w:val="00DD72A3"/>
    <w:rsid w:val="00DE2B27"/>
    <w:rsid w:val="00DF2D72"/>
    <w:rsid w:val="00DF3B02"/>
    <w:rsid w:val="00E02E35"/>
    <w:rsid w:val="00E03228"/>
    <w:rsid w:val="00E147D1"/>
    <w:rsid w:val="00E149D7"/>
    <w:rsid w:val="00E2102F"/>
    <w:rsid w:val="00E236BD"/>
    <w:rsid w:val="00E31152"/>
    <w:rsid w:val="00E33698"/>
    <w:rsid w:val="00E336D8"/>
    <w:rsid w:val="00E372F2"/>
    <w:rsid w:val="00E40960"/>
    <w:rsid w:val="00E42209"/>
    <w:rsid w:val="00E43648"/>
    <w:rsid w:val="00E44E6B"/>
    <w:rsid w:val="00E4538D"/>
    <w:rsid w:val="00E45C97"/>
    <w:rsid w:val="00E47615"/>
    <w:rsid w:val="00E50AD8"/>
    <w:rsid w:val="00E524F7"/>
    <w:rsid w:val="00E52CE5"/>
    <w:rsid w:val="00E571C5"/>
    <w:rsid w:val="00E668F3"/>
    <w:rsid w:val="00E70A2F"/>
    <w:rsid w:val="00E71EB8"/>
    <w:rsid w:val="00E804E2"/>
    <w:rsid w:val="00E80601"/>
    <w:rsid w:val="00E80DF4"/>
    <w:rsid w:val="00E82B9C"/>
    <w:rsid w:val="00E83A74"/>
    <w:rsid w:val="00E85178"/>
    <w:rsid w:val="00E85227"/>
    <w:rsid w:val="00E91E1E"/>
    <w:rsid w:val="00E93A2E"/>
    <w:rsid w:val="00E94038"/>
    <w:rsid w:val="00E9565C"/>
    <w:rsid w:val="00E96157"/>
    <w:rsid w:val="00EA1619"/>
    <w:rsid w:val="00EA2056"/>
    <w:rsid w:val="00EA20C9"/>
    <w:rsid w:val="00EA3E72"/>
    <w:rsid w:val="00EA7F2D"/>
    <w:rsid w:val="00EB0AC1"/>
    <w:rsid w:val="00EB18E3"/>
    <w:rsid w:val="00EB5FAF"/>
    <w:rsid w:val="00EB7689"/>
    <w:rsid w:val="00EC0743"/>
    <w:rsid w:val="00EC0C45"/>
    <w:rsid w:val="00EC368A"/>
    <w:rsid w:val="00EC3851"/>
    <w:rsid w:val="00EC4963"/>
    <w:rsid w:val="00EC4E1A"/>
    <w:rsid w:val="00ED4464"/>
    <w:rsid w:val="00ED4A50"/>
    <w:rsid w:val="00ED5C36"/>
    <w:rsid w:val="00ED606A"/>
    <w:rsid w:val="00EE0768"/>
    <w:rsid w:val="00EE3203"/>
    <w:rsid w:val="00EE5AFC"/>
    <w:rsid w:val="00EE7452"/>
    <w:rsid w:val="00EF0160"/>
    <w:rsid w:val="00EF0215"/>
    <w:rsid w:val="00F022F5"/>
    <w:rsid w:val="00F02C6C"/>
    <w:rsid w:val="00F036E7"/>
    <w:rsid w:val="00F0404C"/>
    <w:rsid w:val="00F0417E"/>
    <w:rsid w:val="00F04FC3"/>
    <w:rsid w:val="00F124AD"/>
    <w:rsid w:val="00F1450F"/>
    <w:rsid w:val="00F1503F"/>
    <w:rsid w:val="00F160AA"/>
    <w:rsid w:val="00F16396"/>
    <w:rsid w:val="00F16812"/>
    <w:rsid w:val="00F1735F"/>
    <w:rsid w:val="00F2025C"/>
    <w:rsid w:val="00F219EE"/>
    <w:rsid w:val="00F21D4C"/>
    <w:rsid w:val="00F23EB2"/>
    <w:rsid w:val="00F2494C"/>
    <w:rsid w:val="00F24D02"/>
    <w:rsid w:val="00F2634C"/>
    <w:rsid w:val="00F27AEE"/>
    <w:rsid w:val="00F348AA"/>
    <w:rsid w:val="00F3717B"/>
    <w:rsid w:val="00F4032A"/>
    <w:rsid w:val="00F46148"/>
    <w:rsid w:val="00F469C6"/>
    <w:rsid w:val="00F47DA3"/>
    <w:rsid w:val="00F523BB"/>
    <w:rsid w:val="00F56D26"/>
    <w:rsid w:val="00F620D7"/>
    <w:rsid w:val="00F67A33"/>
    <w:rsid w:val="00F70765"/>
    <w:rsid w:val="00F71A2A"/>
    <w:rsid w:val="00F7363E"/>
    <w:rsid w:val="00F7751E"/>
    <w:rsid w:val="00F80E2B"/>
    <w:rsid w:val="00F83F48"/>
    <w:rsid w:val="00F8420C"/>
    <w:rsid w:val="00F92877"/>
    <w:rsid w:val="00F95917"/>
    <w:rsid w:val="00FA0B06"/>
    <w:rsid w:val="00FA5B9C"/>
    <w:rsid w:val="00FA757C"/>
    <w:rsid w:val="00FB5C69"/>
    <w:rsid w:val="00FC1A7D"/>
    <w:rsid w:val="00FE6454"/>
    <w:rsid w:val="00FE6968"/>
    <w:rsid w:val="00FF1FB1"/>
    <w:rsid w:val="00FF23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08A84B82"/>
  <w15:chartTrackingRefBased/>
  <w15:docId w15:val="{BCE6CACF-2944-49AE-B66E-6F98B0EE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EA"/>
    <w:rPr>
      <w:sz w:val="24"/>
      <w:szCs w:val="24"/>
    </w:rPr>
  </w:style>
  <w:style w:type="paragraph" w:styleId="Heading1">
    <w:name w:val="heading 1"/>
    <w:basedOn w:val="BodyTextIndent3"/>
    <w:next w:val="Normal"/>
    <w:qFormat/>
    <w:rsid w:val="00995A09"/>
    <w:pPr>
      <w:widowControl w:val="0"/>
      <w:numPr>
        <w:numId w:val="21"/>
      </w:numPr>
      <w:spacing w:after="240" w:line="240" w:lineRule="auto"/>
      <w:ind w:left="720"/>
      <w:outlineLvl w:val="0"/>
    </w:pPr>
    <w:rPr>
      <w:b/>
      <w:bCs/>
      <w:szCs w:val="24"/>
    </w:rPr>
  </w:style>
  <w:style w:type="paragraph" w:styleId="Heading2">
    <w:name w:val="heading 2"/>
    <w:basedOn w:val="BodyTextIndent3"/>
    <w:next w:val="Normal"/>
    <w:qFormat/>
    <w:rsid w:val="00A816DC"/>
    <w:pPr>
      <w:widowControl w:val="0"/>
      <w:numPr>
        <w:numId w:val="24"/>
      </w:numPr>
      <w:spacing w:after="240" w:line="240" w:lineRule="auto"/>
      <w:ind w:left="720" w:firstLine="0"/>
      <w:outlineLvl w:val="1"/>
    </w:pPr>
    <w:rPr>
      <w:b/>
      <w:bCs/>
      <w:szCs w:val="24"/>
    </w:rPr>
  </w:style>
  <w:style w:type="paragraph" w:styleId="Heading3">
    <w:name w:val="heading 3"/>
    <w:basedOn w:val="Normal"/>
    <w:next w:val="Normal"/>
    <w:qFormat/>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pPr>
      <w:tabs>
        <w:tab w:val="left" w:pos="0"/>
        <w:tab w:val="left" w:pos="720"/>
        <w:tab w:val="center" w:pos="4320"/>
        <w:tab w:val="right" w:pos="8640"/>
      </w:tabs>
      <w:spacing w:line="480" w:lineRule="auto"/>
    </w:pPr>
  </w:style>
  <w:style w:type="paragraph" w:styleId="BodyText">
    <w:name w:val="Body Text"/>
    <w:basedOn w:val="Normal"/>
    <w:pPr>
      <w:tabs>
        <w:tab w:val="left" w:pos="0"/>
        <w:tab w:val="left" w:pos="720"/>
      </w:tabs>
      <w:spacing w:line="480" w:lineRule="auto"/>
      <w:ind w:firstLine="720"/>
    </w:pPr>
    <w:rPr>
      <w:szCs w:val="20"/>
    </w:rPr>
  </w:style>
  <w:style w:type="paragraph" w:styleId="FootnoteText">
    <w:name w:val="footnote text"/>
    <w:aliases w:val="ALTS FOOTNOTE,Car,Footnote Text Char Char,Footnote Text Char Char Char Char,Footnote Text Char1,Footnote Text Char1 Char Char1,Footnote Text Char1 Char Char1 Char Char Char,Footnote Text Char2 Char Char Char Char1,fn"/>
    <w:basedOn w:val="Normal"/>
    <w:link w:val="FootnoteTextChar"/>
    <w:uiPriority w:val="99"/>
    <w:qFormat/>
    <w:pPr>
      <w:spacing w:before="120"/>
    </w:pPr>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link w:val="BodyTextIndent3Char"/>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tyle>
  <w:style w:type="paragraph" w:styleId="CommentSubject">
    <w:name w:val="annotation subject"/>
    <w:basedOn w:val="CommentText"/>
    <w:next w:val="CommentText"/>
    <w:semiHidden/>
  </w:style>
  <w:style w:type="paragraph" w:styleId="BodyTextIndent2">
    <w:name w:val="Body Text Indent 2"/>
    <w:basedOn w:val="Normal"/>
    <w:pPr>
      <w:spacing w:after="240"/>
      <w:ind w:left="2160" w:hanging="720"/>
    </w:pPr>
    <w:rPr>
      <w:b/>
      <w:bCs/>
    </w:rPr>
  </w:style>
  <w:style w:type="character" w:styleId="Hyperlink">
    <w:name w:val="Hyperlink"/>
    <w:uiPriority w:val="99"/>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uiPriority w:val="99"/>
    <w:locked/>
    <w:rPr>
      <w:sz w:val="24"/>
      <w:szCs w:val="24"/>
      <w:lang w:val="en-US" w:eastAsia="en-US" w:bidi="ar-SA"/>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locked/>
    <w:rPr>
      <w:rFonts w:ascii="Courier New" w:eastAsia="Courier New" w:hAnsi="Courier New" w:cs="Courier New"/>
      <w:lang w:val="en-US" w:eastAsia="en-US" w:bidi="ar-SA"/>
    </w:rPr>
  </w:style>
  <w:style w:type="character" w:customStyle="1" w:styleId="CharChar0">
    <w:name w:val="Char Char"/>
    <w:semiHidden/>
    <w:locked/>
    <w:rPr>
      <w:rFonts w:ascii="Courier New" w:eastAsia="Courier New" w:hAnsi="Courier New" w:cs="Courier New"/>
      <w:lang w:val="en-US" w:eastAsia="en-US" w:bidi="ar-SA"/>
    </w:rPr>
  </w:style>
  <w:style w:type="character" w:customStyle="1" w:styleId="ssleftalign">
    <w:name w:val="ss_leftalign"/>
    <w:rsid w:val="00424902"/>
  </w:style>
  <w:style w:type="character" w:customStyle="1" w:styleId="sssh">
    <w:name w:val="ss_sh"/>
    <w:rsid w:val="00424902"/>
  </w:style>
  <w:style w:type="character" w:customStyle="1" w:styleId="ssit">
    <w:name w:val="ss_it"/>
    <w:rsid w:val="00424902"/>
  </w:style>
  <w:style w:type="character" w:customStyle="1" w:styleId="CommentTextChar">
    <w:name w:val="Comment Text Char"/>
    <w:link w:val="CommentText"/>
    <w:rsid w:val="002C7D60"/>
    <w:rPr>
      <w:sz w:val="24"/>
      <w:szCs w:val="24"/>
    </w:rPr>
  </w:style>
  <w:style w:type="character" w:customStyle="1" w:styleId="UnresolvedMention1">
    <w:name w:val="Unresolved Mention1"/>
    <w:uiPriority w:val="99"/>
    <w:semiHidden/>
    <w:unhideWhenUsed/>
    <w:rsid w:val="003026A8"/>
    <w:rPr>
      <w:color w:val="605E5C"/>
      <w:shd w:val="clear" w:color="auto" w:fill="E1DFDD"/>
    </w:rPr>
  </w:style>
  <w:style w:type="character" w:customStyle="1" w:styleId="BodyTextIndent3Char">
    <w:name w:val="Body Text Indent 3 Char"/>
    <w:basedOn w:val="DefaultParagraphFont"/>
    <w:link w:val="BodyTextIndent3"/>
    <w:rsid w:val="00600468"/>
    <w:rPr>
      <w:sz w:val="24"/>
    </w:rPr>
  </w:style>
  <w:style w:type="paragraph" w:styleId="ListParagraph">
    <w:name w:val="List Paragraph"/>
    <w:basedOn w:val="Normal"/>
    <w:uiPriority w:val="34"/>
    <w:qFormat/>
    <w:rsid w:val="00600468"/>
    <w:pPr>
      <w:ind w:left="720"/>
      <w:contextualSpacing/>
    </w:pPr>
    <w:rPr>
      <w:rFonts w:eastAsiaTheme="minorHAnsi"/>
      <w:bCs/>
      <w:color w:val="000000"/>
      <w:szCs w:val="19"/>
    </w:rPr>
  </w:style>
  <w:style w:type="character" w:customStyle="1" w:styleId="FootnoteTextChar">
    <w:name w:val="Footnote Text Char"/>
    <w:aliases w:val="ALTS FOOTNOTE Char1,Car Char1,Footnote Text Char Char Char Char Char1,Footnote Text Char Char Char1,Footnote Text Char1 Char Char1 Char Char Char Char1,Footnote Text Char1 Char Char1 Char1,Footnote Text Char1 Char1,fn Char"/>
    <w:basedOn w:val="DefaultParagraphFont"/>
    <w:link w:val="FootnoteText"/>
    <w:semiHidden/>
    <w:rsid w:val="00BC7A39"/>
  </w:style>
  <w:style w:type="paragraph" w:customStyle="1" w:styleId="WW-BodyTextIndent3">
    <w:name w:val="WW-Body Text Indent 3"/>
    <w:basedOn w:val="Normal"/>
    <w:rsid w:val="004D14D4"/>
    <w:pPr>
      <w:suppressAutoHyphens/>
      <w:spacing w:line="480" w:lineRule="atLeast"/>
      <w:ind w:firstLine="720"/>
    </w:pPr>
    <w:rPr>
      <w:szCs w:val="20"/>
      <w:lang w:eastAsia="ar-SA"/>
    </w:rPr>
  </w:style>
  <w:style w:type="character" w:customStyle="1" w:styleId="UnresolvedMention2">
    <w:name w:val="Unresolved Mention2"/>
    <w:basedOn w:val="DefaultParagraphFont"/>
    <w:rsid w:val="002E21B0"/>
    <w:rPr>
      <w:color w:val="605E5C"/>
      <w:shd w:val="clear" w:color="auto" w:fill="E1DFDD"/>
    </w:rPr>
  </w:style>
  <w:style w:type="paragraph" w:styleId="Revision">
    <w:name w:val="Revision"/>
    <w:hidden/>
    <w:uiPriority w:val="71"/>
    <w:rsid w:val="006755BB"/>
    <w:rPr>
      <w:sz w:val="24"/>
      <w:szCs w:val="24"/>
    </w:rPr>
  </w:style>
  <w:style w:type="character" w:customStyle="1" w:styleId="UnresolvedMention3">
    <w:name w:val="Unresolved Mention3"/>
    <w:basedOn w:val="DefaultParagraphFont"/>
    <w:rsid w:val="009119FC"/>
    <w:rPr>
      <w:color w:val="605E5C"/>
      <w:shd w:val="clear" w:color="auto" w:fill="E1DFDD"/>
    </w:rPr>
  </w:style>
  <w:style w:type="character" w:customStyle="1" w:styleId="UnresolvedMention">
    <w:name w:val="Unresolved Mention"/>
    <w:basedOn w:val="DefaultParagraphFont"/>
    <w:rsid w:val="00B41BAE"/>
    <w:rPr>
      <w:color w:val="605E5C"/>
      <w:shd w:val="clear" w:color="auto" w:fill="E1DFDD"/>
    </w:rPr>
  </w:style>
  <w:style w:type="character" w:styleId="FollowedHyperlink">
    <w:name w:val="FollowedHyperlink"/>
    <w:basedOn w:val="DefaultParagraphFont"/>
    <w:rsid w:val="00A12B35"/>
    <w:rPr>
      <w:color w:val="954F72" w:themeColor="followedHyperlink"/>
      <w:u w:val="single"/>
    </w:rPr>
  </w:style>
  <w:style w:type="character" w:customStyle="1" w:styleId="FootnoteTextChar2">
    <w:name w:val="Footnote Text Char2"/>
    <w:aliases w:val="ALTS FOOTNOTE Char,Car Char,Footnote Text Char Char Char,Footnote Text Char Char Char Char Char,Footnote Text Char Char1,Footnote Text Char1 Char,Footnote Text Char1 Char Char1 Char,Footnote Text Char1 Char Char1 Char Char Char Char"/>
    <w:uiPriority w:val="99"/>
    <w:locked/>
    <w:rsid w:val="0024759C"/>
    <w:rPr>
      <w:kern w:val="28"/>
    </w:rPr>
  </w:style>
  <w:style w:type="character" w:styleId="Strong">
    <w:name w:val="Strong"/>
    <w:qFormat/>
    <w:rsid w:val="00B95C28"/>
    <w:rPr>
      <w:b/>
      <w:bCs/>
    </w:rPr>
  </w:style>
  <w:style w:type="paragraph" w:styleId="TOC1">
    <w:name w:val="toc 1"/>
    <w:basedOn w:val="Normal"/>
    <w:uiPriority w:val="39"/>
    <w:qFormat/>
    <w:rsid w:val="000B3E2E"/>
    <w:pPr>
      <w:widowControl w:val="0"/>
      <w:tabs>
        <w:tab w:val="decimal" w:leader="dot" w:pos="9360"/>
      </w:tabs>
      <w:autoSpaceDE w:val="0"/>
      <w:autoSpaceDN w:val="0"/>
      <w:spacing w:after="240"/>
      <w:ind w:left="720" w:hanging="720"/>
    </w:pPr>
  </w:style>
  <w:style w:type="paragraph" w:styleId="TOC2">
    <w:name w:val="toc 2"/>
    <w:basedOn w:val="Normal"/>
    <w:uiPriority w:val="39"/>
    <w:qFormat/>
    <w:rsid w:val="00F80E2B"/>
    <w:pPr>
      <w:widowControl w:val="0"/>
      <w:tabs>
        <w:tab w:val="decimal" w:leader="dot" w:pos="8640"/>
      </w:tabs>
      <w:autoSpaceDE w:val="0"/>
      <w:autoSpaceDN w:val="0"/>
      <w:spacing w:after="240"/>
      <w:ind w:left="720"/>
    </w:pPr>
  </w:style>
  <w:style w:type="paragraph" w:styleId="TOC3">
    <w:name w:val="toc 3"/>
    <w:basedOn w:val="Normal"/>
    <w:uiPriority w:val="39"/>
    <w:qFormat/>
    <w:rsid w:val="000B3E2E"/>
    <w:pPr>
      <w:widowControl w:val="0"/>
      <w:tabs>
        <w:tab w:val="decimal" w:leader="dot" w:pos="8640"/>
      </w:tabs>
      <w:autoSpaceDE w:val="0"/>
      <w:autoSpaceDN w:val="0"/>
      <w:spacing w:after="240"/>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yperlink" Target="https://plus.lexis.com/document/teaserdocument/?pdmfid=1530671&amp;crid=81315e8f-0640-404d-a01f-cf0226fe2463&amp;pddocfullpath=%2Fshared%2Fdocument%2Fcases%2Furn%3AcontentItem%3A63VB-65V1-JF75-M279-00000-00&amp;pddocid=urn%3AcontentItem%3A63VB-65V1-JF75-M279-00000-00&amp;pdcontentcomponentid=9249&amp;pdislparesultsdocument=false&amp;pdteaserkey=h&amp;pdteaserid=teaser-dXJuOmNvbnRlbnRJdGVtOjYzVkItNjVWMS1KRjc1LU0yNzktMDAwMDAtMDA%3D-1-PATH-b3RoZXItMTU4&amp;pdsearchterms=what%20makes%20a%20record%20for%20the%20public%20utilities%20commission%20of%20ohio&amp;pdisdocsliderrequired=true&amp;pdpeersearchid=781a5146-aa01-4f59-aadb-c23f2b69f382-1&amp;ecomp=57ttk&amp;earg=pdsf&amp;prid=67bed393-d3d3-4615-9be6-4cb3e5be9a4d" TargetMode="External" /><Relationship Id="rId17" Type="http://schemas.openxmlformats.org/officeDocument/2006/relationships/hyperlink" Target="https://plus.lexis.com/document/documentlink/?pdmfid=1530671&amp;crid=7970a091-20ab-4e38-ad10-ca3f4250a7cf&amp;pddocfullpath=%2Fshared%2Fdocument%2Fcases%2Furn%3AcontentItem%3A4S21-6TP0-TXFV-Y3DB-00000-00&amp;pdcontentcomponentid=9249&amp;pdproductcontenttypeid=urn%3Apct%3A30&amp;pdiskwicview=false&amp;pdpinpoint=&amp;prid=3459a1e8-96f8-4ab2-bb57-f59e12e909cc&amp;ecomp=2gntk" TargetMode="External" /><Relationship Id="rId18" Type="http://schemas.openxmlformats.org/officeDocument/2006/relationships/hyperlink" Target="mailto:david.hicks@puco.ohio.gov" TargetMode="External" /><Relationship Id="rId19" Type="http://schemas.openxmlformats.org/officeDocument/2006/relationships/hyperlink" Target="mailto:greta.see@puco.ohio.gov" TargetMode="External" /><Relationship Id="rId2" Type="http://schemas.openxmlformats.org/officeDocument/2006/relationships/settings" Target="settings.xml" /><Relationship Id="rId20" Type="http://schemas.openxmlformats.org/officeDocument/2006/relationships/hyperlink" Target="mailto:stnourse@aep.com" TargetMode="External" /><Relationship Id="rId21" Type="http://schemas.openxmlformats.org/officeDocument/2006/relationships/hyperlink" Target="mailto:mkurtz@BKLlawfirm.com" TargetMode="External" /><Relationship Id="rId22" Type="http://schemas.openxmlformats.org/officeDocument/2006/relationships/hyperlink" Target="mailto:jkylercohn@BKLlawfirm.com" TargetMode="External" /><Relationship Id="rId23" Type="http://schemas.openxmlformats.org/officeDocument/2006/relationships/hyperlink" Target="mailto:dproano@bakerlaw.com" TargetMode="External" /><Relationship Id="rId24" Type="http://schemas.openxmlformats.org/officeDocument/2006/relationships/hyperlink" Target="mailto:pwillison@bakerlaw.com" TargetMode="External" /><Relationship Id="rId25" Type="http://schemas.openxmlformats.org/officeDocument/2006/relationships/hyperlink" Target="mailto:bojko@carpenterlipps.com" TargetMode="External" /><Relationship Id="rId26" Type="http://schemas.openxmlformats.org/officeDocument/2006/relationships/hyperlink" Target="mailto:easley@carpenterlipps.com" TargetMode="External" /><Relationship Id="rId27" Type="http://schemas.openxmlformats.org/officeDocument/2006/relationships/footer" Target="footer6.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donald.kral@occ.ohio.gov" TargetMode="External" /><Relationship Id="rId7" Type="http://schemas.openxmlformats.org/officeDocument/2006/relationships/hyperlink" Target="mailto:thomas.brodbeck@occ.ohio.gov"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ohiochannel.org/video/ohio-senate-energy-and-public-utilities-committee-4-9-20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5C40-AFBA-4F2A-A6DB-C8C7C71B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4265</Words>
  <Characters>24313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2024-04-19T20:49:35Z</dcterms:created>
  <dcterms:modified xsi:type="dcterms:W3CDTF">2024-04-19T20:49:35Z</dcterms:modified>
</cp:coreProperties>
</file>