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CE2D1" w14:textId="73EE0BD6" w:rsidR="003D76D0" w:rsidRPr="003D3B60" w:rsidRDefault="004373F1" w:rsidP="003D76D0">
      <w:pPr>
        <w:spacing w:after="0" w:line="240" w:lineRule="auto"/>
        <w:jc w:val="center"/>
        <w:rPr>
          <w:rFonts w:cstheme="minorHAnsi"/>
          <w:b/>
          <w:sz w:val="24"/>
          <w:szCs w:val="24"/>
        </w:rPr>
      </w:pPr>
      <w:r w:rsidRPr="003D3B60">
        <w:rPr>
          <w:rFonts w:cstheme="minorHAnsi"/>
          <w:b/>
          <w:sz w:val="24"/>
          <w:szCs w:val="24"/>
        </w:rPr>
        <w:t>BEFORE THE PUBLIC UTILITIES COMMISSION OF OHIO</w:t>
      </w:r>
    </w:p>
    <w:p w14:paraId="58B6DFDD" w14:textId="77777777" w:rsidR="00605355" w:rsidRPr="00DE405B" w:rsidRDefault="00605355" w:rsidP="003D76D0">
      <w:pPr>
        <w:spacing w:after="0" w:line="240" w:lineRule="auto"/>
        <w:jc w:val="center"/>
        <w:rPr>
          <w:rFonts w:cstheme="minorHAnsi"/>
          <w:b/>
          <w:sz w:val="24"/>
          <w:szCs w:val="24"/>
        </w:rPr>
      </w:pPr>
    </w:p>
    <w:p w14:paraId="3C464409" w14:textId="77777777" w:rsidR="00890E9D" w:rsidRPr="00941344" w:rsidRDefault="00890E9D" w:rsidP="003D76D0">
      <w:pPr>
        <w:spacing w:after="0" w:line="240" w:lineRule="auto"/>
        <w:jc w:val="center"/>
        <w:rPr>
          <w:rFonts w:cstheme="minorHAnsi"/>
          <w:b/>
          <w:sz w:val="24"/>
          <w:szCs w:val="24"/>
        </w:rPr>
      </w:pPr>
    </w:p>
    <w:tbl>
      <w:tblPr>
        <w:tblStyle w:val="TableGrid"/>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7"/>
        <w:gridCol w:w="302"/>
        <w:gridCol w:w="4336"/>
      </w:tblGrid>
      <w:tr w:rsidR="006A03EC" w:rsidRPr="00027E7B" w14:paraId="2033C097" w14:textId="77777777" w:rsidTr="00A42C32">
        <w:trPr>
          <w:trHeight w:val="1152"/>
        </w:trPr>
        <w:tc>
          <w:tcPr>
            <w:tcW w:w="4627" w:type="dxa"/>
          </w:tcPr>
          <w:p w14:paraId="5D180900" w14:textId="7611E1A7" w:rsidR="003D76D0" w:rsidRPr="003D3B60" w:rsidRDefault="004373F1" w:rsidP="00972064">
            <w:pPr>
              <w:spacing w:after="0" w:line="240" w:lineRule="auto"/>
              <w:rPr>
                <w:rFonts w:cstheme="minorHAnsi"/>
                <w:sz w:val="24"/>
                <w:szCs w:val="24"/>
              </w:rPr>
            </w:pPr>
            <w:r w:rsidRPr="003D3B60">
              <w:rPr>
                <w:rFonts w:cstheme="minorHAnsi"/>
                <w:sz w:val="24"/>
                <w:szCs w:val="24"/>
              </w:rPr>
              <w:t>In the Matter of the Certification of Northeast Ohio Public Energy Council as Governmental Aggregator</w:t>
            </w:r>
          </w:p>
        </w:tc>
        <w:tc>
          <w:tcPr>
            <w:tcW w:w="302" w:type="dxa"/>
          </w:tcPr>
          <w:p w14:paraId="6552871C" w14:textId="02CF2926" w:rsidR="003D76D0" w:rsidRPr="003D3B60" w:rsidRDefault="004373F1" w:rsidP="00972064">
            <w:pPr>
              <w:spacing w:after="0" w:line="240" w:lineRule="auto"/>
              <w:rPr>
                <w:rFonts w:cstheme="minorHAnsi"/>
                <w:sz w:val="24"/>
                <w:szCs w:val="24"/>
              </w:rPr>
            </w:pPr>
            <w:r w:rsidRPr="003D3B60">
              <w:rPr>
                <w:rFonts w:cstheme="minorHAnsi"/>
                <w:sz w:val="24"/>
                <w:szCs w:val="24"/>
              </w:rPr>
              <w:t>)</w:t>
            </w:r>
          </w:p>
          <w:p w14:paraId="2A16356F" w14:textId="77777777" w:rsidR="003D76D0" w:rsidRPr="003D3B60" w:rsidRDefault="004373F1" w:rsidP="00972064">
            <w:pPr>
              <w:spacing w:after="0" w:line="240" w:lineRule="auto"/>
              <w:rPr>
                <w:rFonts w:cstheme="minorHAnsi"/>
                <w:sz w:val="24"/>
                <w:szCs w:val="24"/>
              </w:rPr>
            </w:pPr>
            <w:r w:rsidRPr="003D3B60">
              <w:rPr>
                <w:rFonts w:cstheme="minorHAnsi"/>
                <w:sz w:val="24"/>
                <w:szCs w:val="24"/>
              </w:rPr>
              <w:t>)</w:t>
            </w:r>
          </w:p>
          <w:p w14:paraId="245A3D91" w14:textId="77777777" w:rsidR="003D76D0" w:rsidRPr="003D3B60" w:rsidRDefault="004373F1" w:rsidP="00972064">
            <w:pPr>
              <w:spacing w:after="0" w:line="240" w:lineRule="auto"/>
              <w:rPr>
                <w:rFonts w:cstheme="minorHAnsi"/>
                <w:sz w:val="24"/>
                <w:szCs w:val="24"/>
              </w:rPr>
            </w:pPr>
            <w:r w:rsidRPr="003D3B60">
              <w:rPr>
                <w:rFonts w:cstheme="minorHAnsi"/>
                <w:sz w:val="24"/>
                <w:szCs w:val="24"/>
              </w:rPr>
              <w:t>)</w:t>
            </w:r>
          </w:p>
          <w:p w14:paraId="4CE2FD98" w14:textId="1AF61119" w:rsidR="00353263" w:rsidRPr="003D3B60" w:rsidRDefault="00353263" w:rsidP="00972064">
            <w:pPr>
              <w:spacing w:after="0" w:line="240" w:lineRule="auto"/>
              <w:rPr>
                <w:rFonts w:cstheme="minorHAnsi"/>
                <w:sz w:val="24"/>
                <w:szCs w:val="24"/>
              </w:rPr>
            </w:pPr>
          </w:p>
        </w:tc>
        <w:tc>
          <w:tcPr>
            <w:tcW w:w="4336" w:type="dxa"/>
          </w:tcPr>
          <w:p w14:paraId="3B278B08" w14:textId="77777777" w:rsidR="003D76D0" w:rsidRPr="003D3B60" w:rsidRDefault="003D76D0" w:rsidP="00972064">
            <w:pPr>
              <w:spacing w:after="0" w:line="240" w:lineRule="auto"/>
              <w:ind w:left="342"/>
              <w:rPr>
                <w:rFonts w:cstheme="minorHAnsi"/>
                <w:sz w:val="24"/>
                <w:szCs w:val="24"/>
              </w:rPr>
            </w:pPr>
          </w:p>
          <w:p w14:paraId="770D9170" w14:textId="66FB917C" w:rsidR="003D76D0" w:rsidRPr="003D3B60" w:rsidRDefault="004373F1" w:rsidP="00A116AC">
            <w:pPr>
              <w:spacing w:after="0" w:line="240" w:lineRule="auto"/>
              <w:ind w:left="342"/>
              <w:rPr>
                <w:rFonts w:cstheme="minorHAnsi"/>
                <w:sz w:val="24"/>
                <w:szCs w:val="24"/>
              </w:rPr>
            </w:pPr>
            <w:r w:rsidRPr="003D3B60">
              <w:rPr>
                <w:rFonts w:cstheme="minorHAnsi"/>
                <w:sz w:val="24"/>
                <w:szCs w:val="24"/>
              </w:rPr>
              <w:t>Case No. 00-2317-EL-GAG</w:t>
            </w:r>
          </w:p>
          <w:p w14:paraId="5E91663A" w14:textId="77777777" w:rsidR="003D76D0" w:rsidRPr="003D3B60" w:rsidRDefault="003D76D0" w:rsidP="00972064">
            <w:pPr>
              <w:spacing w:after="0" w:line="240" w:lineRule="auto"/>
              <w:ind w:left="342"/>
              <w:rPr>
                <w:rFonts w:cstheme="minorHAnsi"/>
                <w:sz w:val="24"/>
                <w:szCs w:val="24"/>
              </w:rPr>
            </w:pPr>
          </w:p>
          <w:p w14:paraId="7B600017" w14:textId="77777777" w:rsidR="003D76D0" w:rsidRPr="003D3B60" w:rsidRDefault="003D76D0" w:rsidP="00737961">
            <w:pPr>
              <w:spacing w:after="0" w:line="240" w:lineRule="auto"/>
              <w:rPr>
                <w:rFonts w:cstheme="minorHAnsi"/>
                <w:b/>
                <w:bCs/>
                <w:sz w:val="24"/>
                <w:szCs w:val="24"/>
                <w:u w:val="single"/>
              </w:rPr>
            </w:pPr>
          </w:p>
          <w:p w14:paraId="2CF077E1" w14:textId="77777777" w:rsidR="003D76D0" w:rsidRPr="003D3B60" w:rsidRDefault="003D76D0" w:rsidP="00972064">
            <w:pPr>
              <w:spacing w:after="0" w:line="240" w:lineRule="auto"/>
              <w:ind w:left="342"/>
              <w:rPr>
                <w:rFonts w:cstheme="minorHAnsi"/>
                <w:b/>
                <w:bCs/>
                <w:sz w:val="24"/>
                <w:szCs w:val="24"/>
              </w:rPr>
            </w:pPr>
          </w:p>
        </w:tc>
      </w:tr>
      <w:tr w:rsidR="006A03EC" w:rsidRPr="00027E7B" w14:paraId="36F9274E" w14:textId="77777777" w:rsidTr="00A42C32">
        <w:trPr>
          <w:trHeight w:val="565"/>
        </w:trPr>
        <w:tc>
          <w:tcPr>
            <w:tcW w:w="9265" w:type="dxa"/>
            <w:gridSpan w:val="3"/>
          </w:tcPr>
          <w:p w14:paraId="06F31855" w14:textId="3CAF1056" w:rsidR="003D76D0" w:rsidRPr="003D3B60" w:rsidRDefault="004373F1" w:rsidP="00ED136F">
            <w:pPr>
              <w:pBdr>
                <w:top w:val="single" w:sz="4" w:space="1" w:color="auto"/>
                <w:bottom w:val="single" w:sz="4" w:space="1" w:color="auto"/>
              </w:pBdr>
              <w:spacing w:after="0" w:line="240" w:lineRule="auto"/>
              <w:jc w:val="center"/>
              <w:rPr>
                <w:rFonts w:cstheme="minorHAnsi"/>
                <w:b/>
                <w:sz w:val="24"/>
                <w:szCs w:val="24"/>
              </w:rPr>
            </w:pPr>
            <w:r w:rsidRPr="003D3B60">
              <w:rPr>
                <w:rFonts w:cstheme="minorHAnsi"/>
                <w:b/>
                <w:sz w:val="24"/>
                <w:szCs w:val="24"/>
              </w:rPr>
              <w:t xml:space="preserve">MEMORANDUM CONTRA </w:t>
            </w:r>
            <w:r w:rsidR="0094740B" w:rsidRPr="003D3B60">
              <w:rPr>
                <w:rFonts w:cstheme="minorHAnsi"/>
                <w:b/>
                <w:sz w:val="24"/>
                <w:szCs w:val="24"/>
              </w:rPr>
              <w:t>OF HARTREE PARTNERS, LP</w:t>
            </w:r>
            <w:r w:rsidR="00565379" w:rsidRPr="003D3B60">
              <w:rPr>
                <w:rFonts w:cstheme="minorHAnsi"/>
                <w:b/>
                <w:sz w:val="24"/>
                <w:szCs w:val="24"/>
              </w:rPr>
              <w:br/>
            </w:r>
            <w:r w:rsidR="0094740B" w:rsidRPr="003D3B60">
              <w:rPr>
                <w:rFonts w:cstheme="minorHAnsi"/>
                <w:b/>
                <w:sz w:val="24"/>
                <w:szCs w:val="24"/>
              </w:rPr>
              <w:t xml:space="preserve">TO THE </w:t>
            </w:r>
            <w:r w:rsidR="00ED136F" w:rsidRPr="003D3B60">
              <w:rPr>
                <w:rFonts w:cstheme="minorHAnsi"/>
                <w:b/>
                <w:sz w:val="24"/>
                <w:szCs w:val="24"/>
              </w:rPr>
              <w:t xml:space="preserve">INTERLOCUTORY APPEAL OF </w:t>
            </w:r>
            <w:r w:rsidR="00565379" w:rsidRPr="003D3B60">
              <w:rPr>
                <w:rFonts w:cstheme="minorHAnsi"/>
                <w:b/>
                <w:sz w:val="24"/>
                <w:szCs w:val="24"/>
              </w:rPr>
              <w:br/>
            </w:r>
            <w:r w:rsidR="00ED136F" w:rsidRPr="003D3B60">
              <w:rPr>
                <w:rFonts w:cstheme="minorHAnsi"/>
                <w:b/>
                <w:sz w:val="24"/>
                <w:szCs w:val="24"/>
              </w:rPr>
              <w:t>THE OFFICE OF THE OHIO CONSUMERS</w:t>
            </w:r>
            <w:r w:rsidR="009405F9" w:rsidRPr="003D3B60">
              <w:rPr>
                <w:rFonts w:cstheme="minorHAnsi"/>
                <w:b/>
                <w:sz w:val="24"/>
                <w:szCs w:val="24"/>
              </w:rPr>
              <w:t>’</w:t>
            </w:r>
            <w:r w:rsidR="00ED136F" w:rsidRPr="003D3B60">
              <w:rPr>
                <w:rFonts w:cstheme="minorHAnsi"/>
                <w:b/>
                <w:sz w:val="24"/>
                <w:szCs w:val="24"/>
              </w:rPr>
              <w:t xml:space="preserve"> COUNSEL</w:t>
            </w:r>
          </w:p>
        </w:tc>
      </w:tr>
    </w:tbl>
    <w:p w14:paraId="0967098C" w14:textId="77777777" w:rsidR="00A42C32" w:rsidRPr="00DE405B" w:rsidRDefault="00A42C32" w:rsidP="00C54C60">
      <w:pPr>
        <w:spacing w:after="0" w:line="480" w:lineRule="auto"/>
        <w:ind w:firstLine="720"/>
        <w:rPr>
          <w:rFonts w:cstheme="minorHAnsi"/>
          <w:b/>
          <w:bCs/>
          <w:sz w:val="24"/>
          <w:szCs w:val="24"/>
        </w:rPr>
      </w:pPr>
    </w:p>
    <w:p w14:paraId="27F06EA4" w14:textId="3A24FC6E" w:rsidR="00ED136F" w:rsidRPr="003D3B60" w:rsidRDefault="00ED136F" w:rsidP="00BF7822">
      <w:pPr>
        <w:pStyle w:val="Heading1"/>
        <w:rPr>
          <w:rFonts w:cstheme="minorHAnsi"/>
          <w:sz w:val="24"/>
          <w:szCs w:val="24"/>
        </w:rPr>
      </w:pPr>
      <w:r w:rsidRPr="003D3B60">
        <w:rPr>
          <w:rFonts w:cstheme="minorHAnsi"/>
          <w:sz w:val="24"/>
          <w:szCs w:val="24"/>
        </w:rPr>
        <w:t>INTRODUCTION</w:t>
      </w:r>
    </w:p>
    <w:p w14:paraId="25D6F385" w14:textId="31990676" w:rsidR="00DB4A7A" w:rsidRPr="00216366" w:rsidRDefault="00BF7822" w:rsidP="001B48BE">
      <w:pPr>
        <w:pStyle w:val="BodyText"/>
        <w:rPr>
          <w:rFonts w:asciiTheme="minorHAnsi" w:hAnsiTheme="minorHAnsi" w:cstheme="minorHAnsi"/>
        </w:rPr>
      </w:pPr>
      <w:r w:rsidRPr="003D3B60">
        <w:rPr>
          <w:rFonts w:asciiTheme="minorHAnsi" w:hAnsiTheme="minorHAnsi" w:cstheme="minorHAnsi"/>
        </w:rPr>
        <w:t xml:space="preserve">The Office of the Ohio Consumers’ Counsel’s (“OCC”) interlocutory </w:t>
      </w:r>
      <w:r w:rsidR="00020405" w:rsidRPr="003D3B60">
        <w:rPr>
          <w:rFonts w:asciiTheme="minorHAnsi" w:hAnsiTheme="minorHAnsi" w:cstheme="minorHAnsi"/>
        </w:rPr>
        <w:t xml:space="preserve">appeal </w:t>
      </w:r>
      <w:r w:rsidR="00090A5A" w:rsidRPr="003D3B60">
        <w:rPr>
          <w:rFonts w:asciiTheme="minorHAnsi" w:hAnsiTheme="minorHAnsi" w:cstheme="minorHAnsi"/>
        </w:rPr>
        <w:t xml:space="preserve">of the </w:t>
      </w:r>
      <w:r w:rsidR="0050306A" w:rsidRPr="003D3B60">
        <w:rPr>
          <w:rFonts w:asciiTheme="minorHAnsi" w:hAnsiTheme="minorHAnsi" w:cstheme="minorHAnsi"/>
        </w:rPr>
        <w:t xml:space="preserve">December 9, 2022 </w:t>
      </w:r>
      <w:r w:rsidR="00734295" w:rsidRPr="003D3B60">
        <w:rPr>
          <w:rFonts w:asciiTheme="minorHAnsi" w:hAnsiTheme="minorHAnsi" w:cstheme="minorHAnsi"/>
        </w:rPr>
        <w:t>Entry</w:t>
      </w:r>
      <w:r w:rsidR="00734295" w:rsidRPr="003D3B60">
        <w:rPr>
          <w:rStyle w:val="FootnoteReference"/>
          <w:rFonts w:asciiTheme="minorHAnsi" w:hAnsiTheme="minorHAnsi" w:cstheme="minorHAnsi"/>
        </w:rPr>
        <w:footnoteReference w:id="1"/>
      </w:r>
      <w:r w:rsidR="00090A5A" w:rsidRPr="003D3B60">
        <w:rPr>
          <w:rFonts w:asciiTheme="minorHAnsi" w:hAnsiTheme="minorHAnsi" w:cstheme="minorHAnsi"/>
        </w:rPr>
        <w:t xml:space="preserve"> </w:t>
      </w:r>
      <w:r w:rsidR="00734295" w:rsidRPr="003D3B60">
        <w:rPr>
          <w:rFonts w:asciiTheme="minorHAnsi" w:hAnsiTheme="minorHAnsi" w:cstheme="minorHAnsi"/>
        </w:rPr>
        <w:t>in the instant proceeding suspending</w:t>
      </w:r>
      <w:r w:rsidR="00090A5A" w:rsidRPr="003D3B60">
        <w:rPr>
          <w:rFonts w:asciiTheme="minorHAnsi" w:hAnsiTheme="minorHAnsi" w:cstheme="minorHAnsi"/>
        </w:rPr>
        <w:t xml:space="preserve"> automatic authorization of </w:t>
      </w:r>
      <w:r w:rsidR="00734295" w:rsidRPr="003D3B60">
        <w:rPr>
          <w:rFonts w:asciiTheme="minorHAnsi" w:hAnsiTheme="minorHAnsi" w:cstheme="minorHAnsi"/>
        </w:rPr>
        <w:t xml:space="preserve">the </w:t>
      </w:r>
      <w:r w:rsidR="00090A5A" w:rsidRPr="003D3B60">
        <w:rPr>
          <w:rFonts w:asciiTheme="minorHAnsi" w:hAnsiTheme="minorHAnsi" w:cstheme="minorHAnsi"/>
        </w:rPr>
        <w:t>Northeast Ohio Public Energy Council’s (“NOPEC”) Competitive Retail Electric Service (“CRES”) governmental aggregator certification</w:t>
      </w:r>
      <w:r w:rsidR="002941B5" w:rsidRPr="003D3B60">
        <w:rPr>
          <w:rStyle w:val="FootnoteReference"/>
          <w:rFonts w:asciiTheme="minorHAnsi" w:hAnsiTheme="minorHAnsi" w:cstheme="minorHAnsi"/>
        </w:rPr>
        <w:footnoteReference w:id="2"/>
      </w:r>
      <w:r w:rsidR="00090A5A" w:rsidRPr="003D3B60">
        <w:rPr>
          <w:rFonts w:asciiTheme="minorHAnsi" w:hAnsiTheme="minorHAnsi" w:cstheme="minorHAnsi"/>
        </w:rPr>
        <w:t xml:space="preserve"> should not be </w:t>
      </w:r>
      <w:r w:rsidRPr="003D3B60">
        <w:rPr>
          <w:rFonts w:asciiTheme="minorHAnsi" w:hAnsiTheme="minorHAnsi" w:cstheme="minorHAnsi"/>
        </w:rPr>
        <w:t>certified to</w:t>
      </w:r>
      <w:r w:rsidR="001C0F17" w:rsidRPr="003D3B60">
        <w:rPr>
          <w:rFonts w:asciiTheme="minorHAnsi" w:hAnsiTheme="minorHAnsi" w:cstheme="minorHAnsi"/>
        </w:rPr>
        <w:t>,</w:t>
      </w:r>
      <w:r w:rsidRPr="003D3B60">
        <w:rPr>
          <w:rFonts w:asciiTheme="minorHAnsi" w:hAnsiTheme="minorHAnsi" w:cstheme="minorHAnsi"/>
        </w:rPr>
        <w:t xml:space="preserve"> nor granted by</w:t>
      </w:r>
      <w:r w:rsidR="00DB2376" w:rsidRPr="003D3B60">
        <w:rPr>
          <w:rFonts w:asciiTheme="minorHAnsi" w:hAnsiTheme="minorHAnsi" w:cstheme="minorHAnsi"/>
        </w:rPr>
        <w:t>,</w:t>
      </w:r>
      <w:r w:rsidRPr="003D3B60">
        <w:rPr>
          <w:rFonts w:asciiTheme="minorHAnsi" w:hAnsiTheme="minorHAnsi" w:cstheme="minorHAnsi"/>
        </w:rPr>
        <w:t xml:space="preserve"> the Public Utilities Commission of Ohio (“Commission”).</w:t>
      </w:r>
      <w:r w:rsidR="00090A5A" w:rsidRPr="003D3B60">
        <w:rPr>
          <w:rFonts w:asciiTheme="minorHAnsi" w:hAnsiTheme="minorHAnsi" w:cstheme="minorHAnsi"/>
        </w:rPr>
        <w:t xml:space="preserve">  </w:t>
      </w:r>
      <w:r w:rsidR="002F1A4A" w:rsidRPr="003D3B60">
        <w:rPr>
          <w:rFonts w:asciiTheme="minorHAnsi" w:hAnsiTheme="minorHAnsi" w:cstheme="minorHAnsi"/>
        </w:rPr>
        <w:t>T</w:t>
      </w:r>
      <w:r w:rsidR="0050047F" w:rsidRPr="00DE405B">
        <w:rPr>
          <w:rFonts w:asciiTheme="minorHAnsi" w:hAnsiTheme="minorHAnsi" w:cstheme="minorHAnsi"/>
        </w:rPr>
        <w:t xml:space="preserve">he Ohio Administrative Code narrowly defines </w:t>
      </w:r>
      <w:r w:rsidR="002F1A4A" w:rsidRPr="00941344">
        <w:rPr>
          <w:rFonts w:asciiTheme="minorHAnsi" w:hAnsiTheme="minorHAnsi" w:cstheme="minorHAnsi"/>
        </w:rPr>
        <w:t xml:space="preserve">the circumstances in which an interlocutory appeal may be certified to the Commission.  The Interlocutory Appeal does not satisfy these requirements. </w:t>
      </w:r>
      <w:r w:rsidR="00100E34" w:rsidRPr="00F51053">
        <w:rPr>
          <w:rFonts w:asciiTheme="minorHAnsi" w:hAnsiTheme="minorHAnsi" w:cstheme="minorHAnsi"/>
        </w:rPr>
        <w:t xml:space="preserve"> </w:t>
      </w:r>
    </w:p>
    <w:p w14:paraId="04543EBB" w14:textId="1ECC3CCE" w:rsidR="002941B5" w:rsidRPr="003D3B60" w:rsidRDefault="00DB4A7A" w:rsidP="00941344">
      <w:pPr>
        <w:pStyle w:val="BodyText"/>
        <w:rPr>
          <w:rFonts w:asciiTheme="minorHAnsi" w:hAnsiTheme="minorHAnsi" w:cstheme="minorHAnsi"/>
        </w:rPr>
      </w:pPr>
      <w:r w:rsidRPr="004134A6">
        <w:rPr>
          <w:rFonts w:asciiTheme="minorHAnsi" w:hAnsiTheme="minorHAnsi" w:cstheme="minorHAnsi"/>
        </w:rPr>
        <w:t xml:space="preserve">The </w:t>
      </w:r>
      <w:r w:rsidRPr="00027E7B">
        <w:rPr>
          <w:rFonts w:cstheme="minorHAnsi"/>
        </w:rPr>
        <w:t xml:space="preserve"> </w:t>
      </w:r>
      <w:r w:rsidR="00DB2376" w:rsidRPr="00027E7B">
        <w:rPr>
          <w:rFonts w:cstheme="minorHAnsi"/>
        </w:rPr>
        <w:t>I</w:t>
      </w:r>
      <w:r w:rsidRPr="00027E7B">
        <w:rPr>
          <w:rFonts w:cstheme="minorHAnsi"/>
        </w:rPr>
        <w:t xml:space="preserve">nterlocutory </w:t>
      </w:r>
      <w:r w:rsidR="00DB2376" w:rsidRPr="00027E7B">
        <w:rPr>
          <w:rFonts w:cstheme="minorHAnsi"/>
        </w:rPr>
        <w:t>A</w:t>
      </w:r>
      <w:r w:rsidRPr="00027E7B">
        <w:rPr>
          <w:rFonts w:cstheme="minorHAnsi"/>
        </w:rPr>
        <w:t>ppeal is premised on the OCC’s position that NOPEC has merely acted to protect ratepayers</w:t>
      </w:r>
      <w:r w:rsidR="00DB2376" w:rsidRPr="00027E7B">
        <w:rPr>
          <w:rFonts w:cstheme="minorHAnsi"/>
        </w:rPr>
        <w:t>,</w:t>
      </w:r>
      <w:r w:rsidRPr="00027E7B">
        <w:rPr>
          <w:rFonts w:cstheme="minorHAnsi"/>
        </w:rPr>
        <w:t xml:space="preserve"> and collaterally attacks the Commission’s Show Cause Order</w:t>
      </w:r>
      <w:r w:rsidR="00DB2376" w:rsidRPr="00DE405B">
        <w:rPr>
          <w:rStyle w:val="FootnoteReference"/>
          <w:rFonts w:asciiTheme="minorHAnsi" w:hAnsiTheme="minorHAnsi" w:cstheme="minorHAnsi"/>
        </w:rPr>
        <w:footnoteReference w:id="3"/>
      </w:r>
      <w:r w:rsidRPr="00DE405B">
        <w:rPr>
          <w:rFonts w:asciiTheme="minorHAnsi" w:hAnsiTheme="minorHAnsi" w:cstheme="minorHAnsi"/>
        </w:rPr>
        <w:t xml:space="preserve"> for the same reason.  The OCC’s position could not be more short-sighted or misguided.  NOPEC’s actions in return</w:t>
      </w:r>
      <w:r w:rsidRPr="00941344">
        <w:rPr>
          <w:rFonts w:asciiTheme="minorHAnsi" w:hAnsiTheme="minorHAnsi" w:cstheme="minorHAnsi"/>
        </w:rPr>
        <w:t xml:space="preserve">ing its customers to their Standard Service Offer (“SSO”) – the “Customer Return” – is what has harmed ratepayers.  NOPEC automatically </w:t>
      </w:r>
      <w:r w:rsidR="006A6A31">
        <w:rPr>
          <w:rFonts w:asciiTheme="minorHAnsi" w:hAnsiTheme="minorHAnsi" w:cstheme="minorHAnsi"/>
        </w:rPr>
        <w:t>as</w:t>
      </w:r>
      <w:r w:rsidRPr="00941344">
        <w:rPr>
          <w:rFonts w:asciiTheme="minorHAnsi" w:hAnsiTheme="minorHAnsi" w:cstheme="minorHAnsi"/>
        </w:rPr>
        <w:t xml:space="preserve">signed its aggregated </w:t>
      </w:r>
      <w:r w:rsidRPr="00941344">
        <w:rPr>
          <w:rFonts w:asciiTheme="minorHAnsi" w:hAnsiTheme="minorHAnsi" w:cstheme="minorHAnsi"/>
        </w:rPr>
        <w:lastRenderedPageBreak/>
        <w:t>customers to its Standard Price Program (“SPP”), which exposed its retail customers to the volatil</w:t>
      </w:r>
      <w:r w:rsidRPr="00F51053">
        <w:rPr>
          <w:rFonts w:asciiTheme="minorHAnsi" w:hAnsiTheme="minorHAnsi" w:cstheme="minorHAnsi"/>
        </w:rPr>
        <w:t xml:space="preserve">ity of the wholesale market, and then failed to ensure that its wholesale supply </w:t>
      </w:r>
      <w:r w:rsidR="0071660B" w:rsidRPr="00216366">
        <w:rPr>
          <w:rFonts w:asciiTheme="minorHAnsi" w:hAnsiTheme="minorHAnsi" w:cstheme="minorHAnsi"/>
        </w:rPr>
        <w:t>was</w:t>
      </w:r>
      <w:r w:rsidR="00DB2376" w:rsidRPr="004134A6">
        <w:rPr>
          <w:rFonts w:asciiTheme="minorHAnsi" w:hAnsiTheme="minorHAnsi" w:cstheme="minorHAnsi"/>
        </w:rPr>
        <w:t xml:space="preserve"> reasonably</w:t>
      </w:r>
      <w:r w:rsidR="0071660B" w:rsidRPr="00027E7B">
        <w:rPr>
          <w:rFonts w:cstheme="minorHAnsi"/>
        </w:rPr>
        <w:t xml:space="preserve"> priced and adequately hedged against such volatility.  NOPEC engaged in the Customer Return to protect its</w:t>
      </w:r>
      <w:r w:rsidR="006A6A31">
        <w:rPr>
          <w:rFonts w:asciiTheme="minorHAnsi" w:hAnsiTheme="minorHAnsi" w:cstheme="minorHAnsi"/>
        </w:rPr>
        <w:t xml:space="preserve"> own</w:t>
      </w:r>
      <w:r w:rsidR="0071660B" w:rsidRPr="006A6A31">
        <w:rPr>
          <w:rFonts w:asciiTheme="minorHAnsi" w:hAnsiTheme="minorHAnsi" w:cstheme="minorHAnsi"/>
        </w:rPr>
        <w:t xml:space="preserve">, and its wholesale supplier </w:t>
      </w:r>
      <w:r w:rsidR="00DB2376" w:rsidRPr="003D3B60">
        <w:rPr>
          <w:rFonts w:asciiTheme="minorHAnsi" w:hAnsiTheme="minorHAnsi" w:cstheme="minorHAnsi"/>
        </w:rPr>
        <w:t>NextEra Energy Services Ohio, LLC’s</w:t>
      </w:r>
      <w:r w:rsidR="0071660B" w:rsidRPr="00027E7B">
        <w:rPr>
          <w:rFonts w:cstheme="minorHAnsi"/>
        </w:rPr>
        <w:t xml:space="preserve">, interests – not its retail customers.  In fact, </w:t>
      </w:r>
      <w:r w:rsidR="00DB2376" w:rsidRPr="00027E7B">
        <w:rPr>
          <w:rFonts w:cstheme="minorHAnsi"/>
        </w:rPr>
        <w:t xml:space="preserve">the </w:t>
      </w:r>
      <w:r w:rsidR="0071660B" w:rsidRPr="00027E7B">
        <w:rPr>
          <w:rFonts w:cstheme="minorHAnsi"/>
        </w:rPr>
        <w:t>OCC’s position</w:t>
      </w:r>
      <w:r w:rsidR="002F1A4A" w:rsidRPr="00027E7B">
        <w:rPr>
          <w:rFonts w:cstheme="minorHAnsi"/>
        </w:rPr>
        <w:t xml:space="preserve"> is premised on unsupported </w:t>
      </w:r>
      <w:r w:rsidR="0071660B" w:rsidRPr="00027E7B">
        <w:rPr>
          <w:rFonts w:cstheme="minorHAnsi"/>
        </w:rPr>
        <w:t xml:space="preserve">and specious </w:t>
      </w:r>
      <w:r w:rsidR="002F1A4A" w:rsidRPr="00027E7B">
        <w:rPr>
          <w:rFonts w:cstheme="minorHAnsi"/>
        </w:rPr>
        <w:t xml:space="preserve">allegations of potential future harm to Ohio retail electric customers but ignores demonstrable evidence of the harms that </w:t>
      </w:r>
      <w:r w:rsidR="00090A5A" w:rsidRPr="00027E7B">
        <w:rPr>
          <w:rFonts w:cstheme="minorHAnsi"/>
        </w:rPr>
        <w:t xml:space="preserve">NOPEC’s </w:t>
      </w:r>
      <w:r w:rsidR="008F7519" w:rsidRPr="00027E7B">
        <w:rPr>
          <w:rFonts w:cstheme="minorHAnsi"/>
        </w:rPr>
        <w:t>Customer Return has already inflicted on these same customers</w:t>
      </w:r>
      <w:r w:rsidR="00057763" w:rsidRPr="00027E7B">
        <w:rPr>
          <w:rFonts w:cstheme="minorHAnsi"/>
        </w:rPr>
        <w:t xml:space="preserve">, the utilities that serve them, the Ohio </w:t>
      </w:r>
      <w:r w:rsidR="0094740B" w:rsidRPr="00027E7B">
        <w:rPr>
          <w:rFonts w:cstheme="minorHAnsi"/>
        </w:rPr>
        <w:t xml:space="preserve">retail </w:t>
      </w:r>
      <w:r w:rsidR="00057763" w:rsidRPr="00027E7B">
        <w:rPr>
          <w:rFonts w:cstheme="minorHAnsi"/>
        </w:rPr>
        <w:t>electricity market</w:t>
      </w:r>
      <w:r w:rsidR="0094740B" w:rsidRPr="00027E7B">
        <w:rPr>
          <w:rFonts w:cstheme="minorHAnsi"/>
        </w:rPr>
        <w:t>,</w:t>
      </w:r>
      <w:r w:rsidR="00057763" w:rsidRPr="00027E7B">
        <w:rPr>
          <w:rFonts w:cstheme="minorHAnsi"/>
        </w:rPr>
        <w:t xml:space="preserve"> and</w:t>
      </w:r>
      <w:r w:rsidR="0094740B" w:rsidRPr="00027E7B">
        <w:rPr>
          <w:rFonts w:cstheme="minorHAnsi"/>
        </w:rPr>
        <w:t xml:space="preserve"> its</w:t>
      </w:r>
      <w:r w:rsidR="00057763" w:rsidRPr="00027E7B">
        <w:rPr>
          <w:rFonts w:cstheme="minorHAnsi"/>
        </w:rPr>
        <w:t xml:space="preserve"> suppliers</w:t>
      </w:r>
      <w:r w:rsidR="008F7519" w:rsidRPr="00027E7B">
        <w:rPr>
          <w:rFonts w:cstheme="minorHAnsi"/>
        </w:rPr>
        <w:t>.  For these reasons, the Interlocutory Appeal should be denied.</w:t>
      </w:r>
      <w:r w:rsidR="009405F9" w:rsidRPr="00DE405B">
        <w:rPr>
          <w:rStyle w:val="FootnoteReference"/>
          <w:rFonts w:asciiTheme="minorHAnsi" w:hAnsiTheme="minorHAnsi" w:cstheme="minorHAnsi"/>
        </w:rPr>
        <w:footnoteReference w:id="4"/>
      </w:r>
      <w:r w:rsidR="008F7519" w:rsidRPr="00DE405B">
        <w:rPr>
          <w:rFonts w:asciiTheme="minorHAnsi" w:hAnsiTheme="minorHAnsi" w:cstheme="minorHAnsi"/>
        </w:rPr>
        <w:t xml:space="preserve"> </w:t>
      </w:r>
    </w:p>
    <w:p w14:paraId="5D484F1C" w14:textId="3EDC992C" w:rsidR="00100E34" w:rsidRPr="003D3B60" w:rsidRDefault="00BD661A" w:rsidP="002941B5">
      <w:pPr>
        <w:pStyle w:val="Heading1"/>
        <w:keepNext/>
        <w:rPr>
          <w:rFonts w:cstheme="minorHAnsi"/>
          <w:sz w:val="24"/>
          <w:szCs w:val="24"/>
        </w:rPr>
      </w:pPr>
      <w:r w:rsidRPr="003D3B60">
        <w:rPr>
          <w:rFonts w:cstheme="minorHAnsi"/>
          <w:sz w:val="24"/>
          <w:szCs w:val="24"/>
        </w:rPr>
        <w:t>BACKGROUND</w:t>
      </w:r>
    </w:p>
    <w:p w14:paraId="01EDC09B" w14:textId="02DA8CBB" w:rsidR="002350BD" w:rsidRPr="003D3B60" w:rsidRDefault="00655579" w:rsidP="002350BD">
      <w:pPr>
        <w:pStyle w:val="BodyText"/>
        <w:rPr>
          <w:rFonts w:asciiTheme="minorHAnsi" w:hAnsiTheme="minorHAnsi" w:cstheme="minorHAnsi"/>
        </w:rPr>
      </w:pPr>
      <w:r w:rsidRPr="003D3B60">
        <w:rPr>
          <w:rFonts w:asciiTheme="minorHAnsi" w:hAnsiTheme="minorHAnsi" w:cstheme="minorHAnsi"/>
        </w:rPr>
        <w:t>On August 24, 2022</w:t>
      </w:r>
      <w:r w:rsidR="00090A5A" w:rsidRPr="003D3B60">
        <w:rPr>
          <w:rFonts w:asciiTheme="minorHAnsi" w:hAnsiTheme="minorHAnsi" w:cstheme="minorHAnsi"/>
        </w:rPr>
        <w:t xml:space="preserve">, </w:t>
      </w:r>
      <w:r w:rsidR="00100E34" w:rsidRPr="003D3B60">
        <w:rPr>
          <w:rFonts w:asciiTheme="minorHAnsi" w:hAnsiTheme="minorHAnsi" w:cstheme="minorHAnsi"/>
        </w:rPr>
        <w:t>NOPEC</w:t>
      </w:r>
      <w:r w:rsidR="00090A5A" w:rsidRPr="003D3B60">
        <w:rPr>
          <w:rFonts w:asciiTheme="minorHAnsi" w:hAnsiTheme="minorHAnsi" w:cstheme="minorHAnsi"/>
        </w:rPr>
        <w:t xml:space="preserve"> informed the Commission of its</w:t>
      </w:r>
      <w:r w:rsidR="00100E34" w:rsidRPr="003D3B60">
        <w:rPr>
          <w:rFonts w:asciiTheme="minorHAnsi" w:hAnsiTheme="minorHAnsi" w:cstheme="minorHAnsi"/>
        </w:rPr>
        <w:t xml:space="preserve"> unilateral decision</w:t>
      </w:r>
      <w:r w:rsidR="00090A5A" w:rsidRPr="003D3B60">
        <w:rPr>
          <w:rFonts w:asciiTheme="minorHAnsi" w:hAnsiTheme="minorHAnsi" w:cstheme="minorHAnsi"/>
        </w:rPr>
        <w:t xml:space="preserve"> </w:t>
      </w:r>
      <w:r w:rsidR="00100E34" w:rsidRPr="003D3B60">
        <w:rPr>
          <w:rFonts w:asciiTheme="minorHAnsi" w:hAnsiTheme="minorHAnsi" w:cstheme="minorHAnsi"/>
        </w:rPr>
        <w:t xml:space="preserve">to return </w:t>
      </w:r>
      <w:r w:rsidR="009405F9" w:rsidRPr="003D3B60">
        <w:rPr>
          <w:rFonts w:asciiTheme="minorHAnsi" w:hAnsiTheme="minorHAnsi" w:cstheme="minorHAnsi"/>
        </w:rPr>
        <w:t xml:space="preserve">all of its </w:t>
      </w:r>
      <w:r w:rsidR="00734295" w:rsidRPr="003D3B60">
        <w:rPr>
          <w:rFonts w:asciiTheme="minorHAnsi" w:hAnsiTheme="minorHAnsi" w:cstheme="minorHAnsi"/>
        </w:rPr>
        <w:t>approximately</w:t>
      </w:r>
      <w:r w:rsidR="00100E34" w:rsidRPr="003D3B60">
        <w:rPr>
          <w:rFonts w:asciiTheme="minorHAnsi" w:hAnsiTheme="minorHAnsi" w:cstheme="minorHAnsi"/>
        </w:rPr>
        <w:t xml:space="preserve"> 5</w:t>
      </w:r>
      <w:r w:rsidR="00734295" w:rsidRPr="003D3B60">
        <w:rPr>
          <w:rFonts w:asciiTheme="minorHAnsi" w:hAnsiTheme="minorHAnsi" w:cstheme="minorHAnsi"/>
        </w:rPr>
        <w:t>50</w:t>
      </w:r>
      <w:r w:rsidR="00100E34" w:rsidRPr="003D3B60">
        <w:rPr>
          <w:rFonts w:asciiTheme="minorHAnsi" w:hAnsiTheme="minorHAnsi" w:cstheme="minorHAnsi"/>
        </w:rPr>
        <w:t>,000</w:t>
      </w:r>
      <w:r w:rsidR="00BD661A" w:rsidRPr="003D3B60">
        <w:rPr>
          <w:rFonts w:asciiTheme="minorHAnsi" w:hAnsiTheme="minorHAnsi" w:cstheme="minorHAnsi"/>
        </w:rPr>
        <w:t xml:space="preserve"> SPP customers to their utilities’ SSO </w:t>
      </w:r>
      <w:r w:rsidRPr="003D3B60">
        <w:rPr>
          <w:rFonts w:asciiTheme="minorHAnsi" w:hAnsiTheme="minorHAnsi" w:cstheme="minorHAnsi"/>
        </w:rPr>
        <w:t>retail electric service</w:t>
      </w:r>
      <w:r w:rsidR="00BD661A" w:rsidRPr="003D3B60">
        <w:rPr>
          <w:rFonts w:asciiTheme="minorHAnsi" w:hAnsiTheme="minorHAnsi" w:cstheme="minorHAnsi"/>
        </w:rPr>
        <w:t>.</w:t>
      </w:r>
      <w:r w:rsidR="00090A5A" w:rsidRPr="003D3B60">
        <w:rPr>
          <w:rStyle w:val="FootnoteReference"/>
          <w:rFonts w:asciiTheme="minorHAnsi" w:hAnsiTheme="minorHAnsi" w:cstheme="minorHAnsi"/>
        </w:rPr>
        <w:footnoteReference w:id="5"/>
      </w:r>
      <w:r w:rsidR="00090A5A" w:rsidRPr="003D3B60">
        <w:rPr>
          <w:rFonts w:asciiTheme="minorHAnsi" w:hAnsiTheme="minorHAnsi" w:cstheme="minorHAnsi"/>
        </w:rPr>
        <w:t xml:space="preserve"> </w:t>
      </w:r>
      <w:r w:rsidR="00BD661A" w:rsidRPr="003D3B60">
        <w:rPr>
          <w:rFonts w:asciiTheme="minorHAnsi" w:hAnsiTheme="minorHAnsi" w:cstheme="minorHAnsi"/>
        </w:rPr>
        <w:t xml:space="preserve">  </w:t>
      </w:r>
      <w:r w:rsidRPr="003D3B60">
        <w:rPr>
          <w:rFonts w:asciiTheme="minorHAnsi" w:hAnsiTheme="minorHAnsi" w:cstheme="minorHAnsi"/>
        </w:rPr>
        <w:t xml:space="preserve">NOPEC sought, and </w:t>
      </w:r>
      <w:r w:rsidR="00057763" w:rsidRPr="003D3B60">
        <w:rPr>
          <w:rFonts w:asciiTheme="minorHAnsi" w:hAnsiTheme="minorHAnsi" w:cstheme="minorHAnsi"/>
        </w:rPr>
        <w:t xml:space="preserve">the </w:t>
      </w:r>
      <w:r w:rsidRPr="003D3B60">
        <w:rPr>
          <w:rFonts w:asciiTheme="minorHAnsi" w:hAnsiTheme="minorHAnsi" w:cstheme="minorHAnsi"/>
        </w:rPr>
        <w:t>Commission</w:t>
      </w:r>
      <w:r w:rsidR="00057763" w:rsidRPr="003D3B60">
        <w:rPr>
          <w:rFonts w:asciiTheme="minorHAnsi" w:hAnsiTheme="minorHAnsi" w:cstheme="minorHAnsi"/>
        </w:rPr>
        <w:t xml:space="preserve"> granted</w:t>
      </w:r>
      <w:r w:rsidRPr="003D3B60">
        <w:rPr>
          <w:rFonts w:asciiTheme="minorHAnsi" w:hAnsiTheme="minorHAnsi" w:cstheme="minorHAnsi"/>
        </w:rPr>
        <w:t xml:space="preserve">, waivers to expedite the process of returning </w:t>
      </w:r>
      <w:r w:rsidR="0094740B" w:rsidRPr="003D3B60">
        <w:rPr>
          <w:rFonts w:asciiTheme="minorHAnsi" w:hAnsiTheme="minorHAnsi" w:cstheme="minorHAnsi"/>
        </w:rPr>
        <w:t>NOPEC’s SPP</w:t>
      </w:r>
      <w:r w:rsidRPr="003D3B60">
        <w:rPr>
          <w:rFonts w:asciiTheme="minorHAnsi" w:hAnsiTheme="minorHAnsi" w:cstheme="minorHAnsi"/>
        </w:rPr>
        <w:t xml:space="preserve"> customers to their SSO services.</w:t>
      </w:r>
      <w:r w:rsidR="00057763" w:rsidRPr="003D3B60">
        <w:rPr>
          <w:rStyle w:val="FootnoteReference"/>
          <w:rFonts w:asciiTheme="minorHAnsi" w:hAnsiTheme="minorHAnsi" w:cstheme="minorHAnsi"/>
        </w:rPr>
        <w:footnoteReference w:id="6"/>
      </w:r>
      <w:r w:rsidRPr="003D3B60">
        <w:rPr>
          <w:rFonts w:asciiTheme="minorHAnsi" w:hAnsiTheme="minorHAnsi" w:cstheme="minorHAnsi"/>
        </w:rPr>
        <w:t xml:space="preserve">  </w:t>
      </w:r>
      <w:r w:rsidR="00331557" w:rsidRPr="003D3B60">
        <w:rPr>
          <w:rFonts w:asciiTheme="minorHAnsi" w:hAnsiTheme="minorHAnsi" w:cstheme="minorHAnsi"/>
        </w:rPr>
        <w:t>The</w:t>
      </w:r>
      <w:r w:rsidR="00BD661A" w:rsidRPr="003D3B60">
        <w:rPr>
          <w:rFonts w:asciiTheme="minorHAnsi" w:hAnsiTheme="minorHAnsi" w:cstheme="minorHAnsi"/>
        </w:rPr>
        <w:t xml:space="preserve"> Customer Return  precipitated a massive, unanticipated shift of risk in the Ohio </w:t>
      </w:r>
      <w:r w:rsidR="00331557" w:rsidRPr="003D3B60">
        <w:rPr>
          <w:rFonts w:asciiTheme="minorHAnsi" w:hAnsiTheme="minorHAnsi" w:cstheme="minorHAnsi"/>
        </w:rPr>
        <w:t xml:space="preserve">retail </w:t>
      </w:r>
      <w:r w:rsidR="00BD661A" w:rsidRPr="003D3B60">
        <w:rPr>
          <w:rFonts w:asciiTheme="minorHAnsi" w:hAnsiTheme="minorHAnsi" w:cstheme="minorHAnsi"/>
        </w:rPr>
        <w:t>electricity market</w:t>
      </w:r>
      <w:r w:rsidRPr="003D3B60">
        <w:rPr>
          <w:rFonts w:asciiTheme="minorHAnsi" w:hAnsiTheme="minorHAnsi" w:cstheme="minorHAnsi"/>
        </w:rPr>
        <w:t xml:space="preserve">.  This volatility </w:t>
      </w:r>
      <w:r w:rsidR="00BD661A" w:rsidRPr="003D3B60">
        <w:rPr>
          <w:rFonts w:asciiTheme="minorHAnsi" w:hAnsiTheme="minorHAnsi" w:cstheme="minorHAnsi"/>
        </w:rPr>
        <w:t>trigger</w:t>
      </w:r>
      <w:r w:rsidRPr="003D3B60">
        <w:rPr>
          <w:rFonts w:asciiTheme="minorHAnsi" w:hAnsiTheme="minorHAnsi" w:cstheme="minorHAnsi"/>
        </w:rPr>
        <w:t>ed</w:t>
      </w:r>
      <w:r w:rsidR="00BD661A" w:rsidRPr="003D3B60">
        <w:rPr>
          <w:rFonts w:asciiTheme="minorHAnsi" w:hAnsiTheme="minorHAnsi" w:cstheme="minorHAnsi"/>
        </w:rPr>
        <w:t xml:space="preserve"> cascading deleterious consequences for Ohio utilities, ratepayers, wholesale suppliers</w:t>
      </w:r>
      <w:r w:rsidR="001C0F17" w:rsidRPr="003D3B60">
        <w:rPr>
          <w:rFonts w:asciiTheme="minorHAnsi" w:hAnsiTheme="minorHAnsi" w:cstheme="minorHAnsi"/>
        </w:rPr>
        <w:t>, and Ohio’s retail electricity markets generally</w:t>
      </w:r>
      <w:r w:rsidR="00BD661A" w:rsidRPr="003D3B60">
        <w:rPr>
          <w:rFonts w:asciiTheme="minorHAnsi" w:hAnsiTheme="minorHAnsi" w:cstheme="minorHAnsi"/>
        </w:rPr>
        <w:t xml:space="preserve">.  </w:t>
      </w:r>
      <w:r w:rsidRPr="003D3B60">
        <w:rPr>
          <w:rFonts w:asciiTheme="minorHAnsi" w:hAnsiTheme="minorHAnsi" w:cstheme="minorHAnsi"/>
        </w:rPr>
        <w:t xml:space="preserve">The </w:t>
      </w:r>
      <w:r w:rsidR="00BD661A" w:rsidRPr="003D3B60">
        <w:rPr>
          <w:rFonts w:asciiTheme="minorHAnsi" w:hAnsiTheme="minorHAnsi" w:cstheme="minorHAnsi"/>
        </w:rPr>
        <w:t>outcome</w:t>
      </w:r>
      <w:r w:rsidR="008522C1" w:rsidRPr="003D3B60">
        <w:rPr>
          <w:rFonts w:asciiTheme="minorHAnsi" w:hAnsiTheme="minorHAnsi" w:cstheme="minorHAnsi"/>
        </w:rPr>
        <w:t>s</w:t>
      </w:r>
      <w:r w:rsidR="00BD661A" w:rsidRPr="003D3B60">
        <w:rPr>
          <w:rFonts w:asciiTheme="minorHAnsi" w:hAnsiTheme="minorHAnsi" w:cstheme="minorHAnsi"/>
        </w:rPr>
        <w:t xml:space="preserve"> of SSO auctions held</w:t>
      </w:r>
      <w:r w:rsidR="001C0F17" w:rsidRPr="003D3B60">
        <w:rPr>
          <w:rFonts w:asciiTheme="minorHAnsi" w:hAnsiTheme="minorHAnsi" w:cstheme="minorHAnsi"/>
        </w:rPr>
        <w:t xml:space="preserve"> in October 2022,</w:t>
      </w:r>
      <w:r w:rsidR="00BD661A" w:rsidRPr="003D3B60">
        <w:rPr>
          <w:rFonts w:asciiTheme="minorHAnsi" w:hAnsiTheme="minorHAnsi" w:cstheme="minorHAnsi"/>
        </w:rPr>
        <w:t xml:space="preserve"> </w:t>
      </w:r>
      <w:r w:rsidR="00220FB9" w:rsidRPr="003D3B60">
        <w:rPr>
          <w:rFonts w:asciiTheme="minorHAnsi" w:hAnsiTheme="minorHAnsi" w:cstheme="minorHAnsi"/>
        </w:rPr>
        <w:t xml:space="preserve">after </w:t>
      </w:r>
      <w:r w:rsidR="00BD661A" w:rsidRPr="003D3B60">
        <w:rPr>
          <w:rFonts w:asciiTheme="minorHAnsi" w:hAnsiTheme="minorHAnsi" w:cstheme="minorHAnsi"/>
        </w:rPr>
        <w:t>the Customer Return</w:t>
      </w:r>
      <w:r w:rsidR="001C0F17" w:rsidRPr="003D3B60">
        <w:rPr>
          <w:rFonts w:asciiTheme="minorHAnsi" w:hAnsiTheme="minorHAnsi" w:cstheme="minorHAnsi"/>
        </w:rPr>
        <w:t>,</w:t>
      </w:r>
      <w:r w:rsidR="00BD661A" w:rsidRPr="003D3B60">
        <w:rPr>
          <w:rFonts w:asciiTheme="minorHAnsi" w:hAnsiTheme="minorHAnsi" w:cstheme="minorHAnsi"/>
        </w:rPr>
        <w:t xml:space="preserve"> show the concrete, dollars</w:t>
      </w:r>
      <w:r w:rsidR="006A6A31">
        <w:rPr>
          <w:rFonts w:asciiTheme="minorHAnsi" w:hAnsiTheme="minorHAnsi" w:cstheme="minorHAnsi"/>
        </w:rPr>
        <w:t>-</w:t>
      </w:r>
      <w:r w:rsidR="00BD661A" w:rsidRPr="003D3B60">
        <w:rPr>
          <w:rFonts w:asciiTheme="minorHAnsi" w:hAnsiTheme="minorHAnsi" w:cstheme="minorHAnsi"/>
        </w:rPr>
        <w:t>and</w:t>
      </w:r>
      <w:r w:rsidR="006A6A31">
        <w:rPr>
          <w:rFonts w:asciiTheme="minorHAnsi" w:hAnsiTheme="minorHAnsi" w:cstheme="minorHAnsi"/>
        </w:rPr>
        <w:t>-</w:t>
      </w:r>
      <w:r w:rsidR="00BD661A" w:rsidRPr="003D3B60">
        <w:rPr>
          <w:rFonts w:asciiTheme="minorHAnsi" w:hAnsiTheme="minorHAnsi" w:cstheme="minorHAnsi"/>
        </w:rPr>
        <w:t xml:space="preserve">cents impact of NOPEC’s abdication of its responsibilities as </w:t>
      </w:r>
      <w:r w:rsidR="00B704E8" w:rsidRPr="003D3B60">
        <w:rPr>
          <w:rFonts w:asciiTheme="minorHAnsi" w:hAnsiTheme="minorHAnsi" w:cstheme="minorHAnsi"/>
        </w:rPr>
        <w:t xml:space="preserve">a </w:t>
      </w:r>
      <w:r w:rsidR="00BD661A" w:rsidRPr="003D3B60">
        <w:rPr>
          <w:rFonts w:asciiTheme="minorHAnsi" w:hAnsiTheme="minorHAnsi" w:cstheme="minorHAnsi"/>
        </w:rPr>
        <w:t xml:space="preserve">CRES governmental aggregator: </w:t>
      </w:r>
      <w:r w:rsidR="002266F2" w:rsidRPr="003D3B60">
        <w:rPr>
          <w:rFonts w:asciiTheme="minorHAnsi" w:hAnsiTheme="minorHAnsi" w:cstheme="minorHAnsi"/>
        </w:rPr>
        <w:br/>
      </w:r>
    </w:p>
    <w:tbl>
      <w:tblPr>
        <w:tblStyle w:val="TableGrid"/>
        <w:tblW w:w="10165" w:type="dxa"/>
        <w:jc w:val="center"/>
        <w:tblLook w:val="04A0" w:firstRow="1" w:lastRow="0" w:firstColumn="1" w:lastColumn="0" w:noHBand="0" w:noVBand="1"/>
      </w:tblPr>
      <w:tblGrid>
        <w:gridCol w:w="10096"/>
        <w:gridCol w:w="222"/>
      </w:tblGrid>
      <w:tr w:rsidR="00B16782" w:rsidRPr="00027E7B" w14:paraId="7F408779" w14:textId="77777777" w:rsidTr="00B16782">
        <w:trPr>
          <w:trHeight w:val="4633"/>
          <w:jc w:val="center"/>
        </w:trPr>
        <w:tc>
          <w:tcPr>
            <w:tcW w:w="9746" w:type="dxa"/>
            <w:tcBorders>
              <w:top w:val="nil"/>
              <w:left w:val="nil"/>
              <w:bottom w:val="nil"/>
              <w:right w:val="nil"/>
            </w:tcBorders>
          </w:tcPr>
          <w:tbl>
            <w:tblPr>
              <w:tblStyle w:val="TableGrid"/>
              <w:tblW w:w="963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776"/>
            </w:tblGrid>
            <w:tr w:rsidR="00B16782" w:rsidRPr="00027E7B" w14:paraId="70E2895F" w14:textId="77777777" w:rsidTr="002266F2">
              <w:tc>
                <w:tcPr>
                  <w:tcW w:w="4860" w:type="dxa"/>
                </w:tcPr>
                <w:p w14:paraId="58465A4C" w14:textId="3D7AFEA5" w:rsidR="00B16782" w:rsidRPr="003D3B60" w:rsidRDefault="00B16782" w:rsidP="00B16782">
                  <w:pPr>
                    <w:pStyle w:val="BodyText"/>
                    <w:ind w:firstLine="0"/>
                    <w:jc w:val="center"/>
                    <w:rPr>
                      <w:rFonts w:asciiTheme="minorHAnsi" w:hAnsiTheme="minorHAnsi" w:cstheme="minorHAnsi"/>
                    </w:rPr>
                  </w:pPr>
                  <w:r w:rsidRPr="003D3B60">
                    <w:rPr>
                      <w:rFonts w:asciiTheme="minorHAnsi" w:hAnsiTheme="minorHAnsi" w:cstheme="minorHAnsi"/>
                      <w:noProof/>
                    </w:rPr>
                    <w:lastRenderedPageBreak/>
                    <w:drawing>
                      <wp:inline distT="0" distB="0" distL="0" distR="0" wp14:anchorId="3287C5C7" wp14:editId="1DBB21DC">
                        <wp:extent cx="2771775" cy="2867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71775" cy="2867025"/>
                                </a:xfrm>
                                <a:prstGeom prst="rect">
                                  <a:avLst/>
                                </a:prstGeom>
                              </pic:spPr>
                            </pic:pic>
                          </a:graphicData>
                        </a:graphic>
                      </wp:inline>
                    </w:drawing>
                  </w:r>
                </w:p>
              </w:tc>
              <w:tc>
                <w:tcPr>
                  <w:tcW w:w="4770" w:type="dxa"/>
                </w:tcPr>
                <w:p w14:paraId="1E02EA48" w14:textId="6B507F44" w:rsidR="00B16782" w:rsidRPr="003D3B60" w:rsidRDefault="00B16782" w:rsidP="00B16782">
                  <w:pPr>
                    <w:pStyle w:val="BodyText"/>
                    <w:spacing w:after="0"/>
                    <w:ind w:firstLine="0"/>
                    <w:contextualSpacing w:val="0"/>
                    <w:rPr>
                      <w:rFonts w:asciiTheme="minorHAnsi" w:hAnsiTheme="minorHAnsi" w:cstheme="minorHAnsi"/>
                    </w:rPr>
                  </w:pPr>
                  <w:r w:rsidRPr="003D3B60">
                    <w:rPr>
                      <w:rFonts w:asciiTheme="minorHAnsi" w:hAnsiTheme="minorHAnsi" w:cstheme="minorHAnsi"/>
                      <w:noProof/>
                    </w:rPr>
                    <w:drawing>
                      <wp:inline distT="0" distB="0" distL="0" distR="0" wp14:anchorId="0A2F4287" wp14:editId="5217DB08">
                        <wp:extent cx="2886075" cy="2905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86075" cy="2905125"/>
                                </a:xfrm>
                                <a:prstGeom prst="rect">
                                  <a:avLst/>
                                </a:prstGeom>
                              </pic:spPr>
                            </pic:pic>
                          </a:graphicData>
                        </a:graphic>
                      </wp:inline>
                    </w:drawing>
                  </w:r>
                </w:p>
              </w:tc>
            </w:tr>
          </w:tbl>
          <w:p w14:paraId="4AB2AB2D" w14:textId="478B609E" w:rsidR="002350BD" w:rsidRPr="003D3B60" w:rsidRDefault="002350BD" w:rsidP="00B16782">
            <w:pPr>
              <w:pStyle w:val="BodyText"/>
              <w:ind w:firstLine="345"/>
              <w:rPr>
                <w:rFonts w:asciiTheme="minorHAnsi" w:hAnsiTheme="minorHAnsi" w:cstheme="minorHAnsi"/>
              </w:rPr>
            </w:pPr>
          </w:p>
        </w:tc>
        <w:tc>
          <w:tcPr>
            <w:tcW w:w="419" w:type="dxa"/>
            <w:tcBorders>
              <w:top w:val="nil"/>
              <w:left w:val="nil"/>
              <w:bottom w:val="nil"/>
              <w:right w:val="nil"/>
            </w:tcBorders>
          </w:tcPr>
          <w:p w14:paraId="435DC44D" w14:textId="51A87B34" w:rsidR="002350BD" w:rsidRPr="003D3B60" w:rsidRDefault="002350BD" w:rsidP="00057763">
            <w:pPr>
              <w:pStyle w:val="BodyText"/>
              <w:ind w:firstLine="0"/>
              <w:jc w:val="center"/>
              <w:rPr>
                <w:rFonts w:asciiTheme="minorHAnsi" w:hAnsiTheme="minorHAnsi" w:cstheme="minorHAnsi"/>
              </w:rPr>
            </w:pPr>
          </w:p>
        </w:tc>
      </w:tr>
    </w:tbl>
    <w:p w14:paraId="0A4C502A" w14:textId="47619EBB" w:rsidR="00BD661A" w:rsidRPr="003D3B60" w:rsidRDefault="001605A0" w:rsidP="00057763">
      <w:pPr>
        <w:pStyle w:val="BodyText"/>
        <w:ind w:firstLine="0"/>
        <w:jc w:val="center"/>
        <w:rPr>
          <w:rFonts w:asciiTheme="minorHAnsi" w:hAnsiTheme="minorHAnsi" w:cstheme="minorHAnsi"/>
        </w:rPr>
      </w:pPr>
      <w:r w:rsidRPr="003D3B60">
        <w:rPr>
          <w:rFonts w:asciiTheme="minorHAnsi" w:hAnsiTheme="minorHAnsi" w:cstheme="minorHAnsi"/>
        </w:rPr>
        <w:t>Fig. 1 (</w:t>
      </w:r>
      <w:r w:rsidR="0094740B" w:rsidRPr="003D3B60">
        <w:rPr>
          <w:rFonts w:asciiTheme="minorHAnsi" w:hAnsiTheme="minorHAnsi" w:cstheme="minorHAnsi"/>
        </w:rPr>
        <w:t xml:space="preserve">Source: </w:t>
      </w:r>
      <w:hyperlink r:id="rId10" w:history="1">
        <w:r w:rsidRPr="003D3B60">
          <w:rPr>
            <w:rStyle w:val="Hyperlink"/>
            <w:rFonts w:asciiTheme="minorHAnsi" w:hAnsiTheme="minorHAnsi" w:cstheme="minorHAnsi"/>
          </w:rPr>
          <w:t>FirstEnergy Ohio SSO CBP Auction Results</w:t>
        </w:r>
      </w:hyperlink>
      <w:r w:rsidRPr="003D3B60">
        <w:rPr>
          <w:rFonts w:asciiTheme="minorHAnsi" w:hAnsiTheme="minorHAnsi" w:cstheme="minorHAnsi"/>
        </w:rPr>
        <w:t>)</w:t>
      </w:r>
    </w:p>
    <w:p w14:paraId="2F67EAD2" w14:textId="5BB6BA02" w:rsidR="001605A0" w:rsidRPr="003D3B60" w:rsidRDefault="009405F9" w:rsidP="00057763">
      <w:pPr>
        <w:pStyle w:val="BodyText"/>
        <w:ind w:firstLine="0"/>
        <w:jc w:val="center"/>
        <w:rPr>
          <w:rFonts w:asciiTheme="minorHAnsi" w:hAnsiTheme="minorHAnsi" w:cstheme="minorHAnsi"/>
        </w:rPr>
      </w:pPr>
      <w:r w:rsidRPr="003D3B60">
        <w:rPr>
          <w:rFonts w:asciiTheme="minorHAnsi" w:hAnsiTheme="minorHAnsi" w:cstheme="minorHAnsi"/>
          <w:noProof/>
        </w:rPr>
        <w:drawing>
          <wp:inline distT="0" distB="0" distL="0" distR="0" wp14:anchorId="0C0AD3B1" wp14:editId="1667F589">
            <wp:extent cx="3877310" cy="1934845"/>
            <wp:effectExtent l="0" t="0" r="889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04415" cy="1948371"/>
                    </a:xfrm>
                    <a:prstGeom prst="rect">
                      <a:avLst/>
                    </a:prstGeom>
                  </pic:spPr>
                </pic:pic>
              </a:graphicData>
            </a:graphic>
          </wp:inline>
        </w:drawing>
      </w:r>
      <w:r w:rsidR="001605A0" w:rsidRPr="003D3B60">
        <w:rPr>
          <w:rFonts w:asciiTheme="minorHAnsi" w:hAnsiTheme="minorHAnsi" w:cstheme="minorHAnsi"/>
          <w:noProof/>
        </w:rPr>
        <w:drawing>
          <wp:inline distT="0" distB="0" distL="0" distR="0" wp14:anchorId="1345AAA9" wp14:editId="72B0D8D4">
            <wp:extent cx="3859923" cy="1826453"/>
            <wp:effectExtent l="0" t="0" r="762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1979" cy="1832158"/>
                    </a:xfrm>
                    <a:prstGeom prst="rect">
                      <a:avLst/>
                    </a:prstGeom>
                  </pic:spPr>
                </pic:pic>
              </a:graphicData>
            </a:graphic>
          </wp:inline>
        </w:drawing>
      </w:r>
    </w:p>
    <w:p w14:paraId="110B9037" w14:textId="62D3BD28" w:rsidR="00655579" w:rsidRPr="003D3B60" w:rsidRDefault="001605A0" w:rsidP="00057763">
      <w:pPr>
        <w:pStyle w:val="BodyText"/>
        <w:ind w:firstLine="0"/>
        <w:jc w:val="center"/>
        <w:rPr>
          <w:rFonts w:asciiTheme="minorHAnsi" w:hAnsiTheme="minorHAnsi" w:cstheme="minorHAnsi"/>
        </w:rPr>
      </w:pPr>
      <w:r w:rsidRPr="003D3B60">
        <w:rPr>
          <w:rFonts w:asciiTheme="minorHAnsi" w:hAnsiTheme="minorHAnsi" w:cstheme="minorHAnsi"/>
        </w:rPr>
        <w:t>Fig. 2 (</w:t>
      </w:r>
      <w:r w:rsidR="0094740B" w:rsidRPr="003D3B60">
        <w:rPr>
          <w:rFonts w:asciiTheme="minorHAnsi" w:hAnsiTheme="minorHAnsi" w:cstheme="minorHAnsi"/>
        </w:rPr>
        <w:t xml:space="preserve">Source: </w:t>
      </w:r>
      <w:hyperlink r:id="rId13" w:history="1">
        <w:r w:rsidRPr="003D3B60">
          <w:rPr>
            <w:rStyle w:val="Hyperlink"/>
            <w:rFonts w:asciiTheme="minorHAnsi" w:hAnsiTheme="minorHAnsi" w:cstheme="minorHAnsi"/>
          </w:rPr>
          <w:t>AEP Ohio SSO CBP Auction Results</w:t>
        </w:r>
      </w:hyperlink>
      <w:r w:rsidRPr="003D3B60">
        <w:rPr>
          <w:rFonts w:asciiTheme="minorHAnsi" w:hAnsiTheme="minorHAnsi" w:cstheme="minorHAnsi"/>
        </w:rPr>
        <w:t>)</w:t>
      </w:r>
    </w:p>
    <w:p w14:paraId="052CF93A" w14:textId="06DFDC10" w:rsidR="001605A0" w:rsidRPr="003D3B60" w:rsidRDefault="009405F9" w:rsidP="00734295">
      <w:pPr>
        <w:pStyle w:val="BodyText"/>
        <w:ind w:firstLine="0"/>
        <w:rPr>
          <w:rFonts w:asciiTheme="minorHAnsi" w:hAnsiTheme="minorHAnsi" w:cstheme="minorHAnsi"/>
        </w:rPr>
      </w:pPr>
      <w:r w:rsidRPr="003D3B60">
        <w:rPr>
          <w:rFonts w:asciiTheme="minorHAnsi" w:hAnsiTheme="minorHAnsi" w:cstheme="minorHAnsi"/>
        </w:rPr>
        <w:lastRenderedPageBreak/>
        <w:t>As the above figures illustrate, i</w:t>
      </w:r>
      <w:r w:rsidR="00B704E8" w:rsidRPr="003D3B60">
        <w:rPr>
          <w:rFonts w:asciiTheme="minorHAnsi" w:hAnsiTheme="minorHAnsi" w:cstheme="minorHAnsi"/>
        </w:rPr>
        <w:t>n</w:t>
      </w:r>
      <w:r w:rsidR="001605A0" w:rsidRPr="003D3B60">
        <w:rPr>
          <w:rFonts w:asciiTheme="minorHAnsi" w:hAnsiTheme="minorHAnsi" w:cstheme="minorHAnsi"/>
        </w:rPr>
        <w:t xml:space="preserve"> the immediate aftermath of the Customer Return, </w:t>
      </w:r>
      <w:r w:rsidR="00220FB9" w:rsidRPr="003D3B60">
        <w:rPr>
          <w:rFonts w:asciiTheme="minorHAnsi" w:hAnsiTheme="minorHAnsi" w:cstheme="minorHAnsi"/>
          <w:i/>
          <w:iCs/>
        </w:rPr>
        <w:t>clearing prices</w:t>
      </w:r>
      <w:r w:rsidR="00B704E8" w:rsidRPr="003D3B60">
        <w:rPr>
          <w:rFonts w:asciiTheme="minorHAnsi" w:hAnsiTheme="minorHAnsi" w:cstheme="minorHAnsi"/>
          <w:i/>
          <w:iCs/>
        </w:rPr>
        <w:t xml:space="preserve"> in SSO auctions</w:t>
      </w:r>
      <w:r w:rsidR="00B704E8" w:rsidRPr="003D3B60">
        <w:rPr>
          <w:rFonts w:asciiTheme="minorHAnsi" w:hAnsiTheme="minorHAnsi" w:cstheme="minorHAnsi"/>
          <w:b/>
          <w:bCs/>
          <w:i/>
          <w:iCs/>
        </w:rPr>
        <w:t xml:space="preserve"> </w:t>
      </w:r>
      <w:r w:rsidR="00B704E8" w:rsidRPr="003D3B60">
        <w:rPr>
          <w:rFonts w:asciiTheme="minorHAnsi" w:hAnsiTheme="minorHAnsi" w:cstheme="minorHAnsi"/>
          <w:i/>
          <w:iCs/>
        </w:rPr>
        <w:t>nearly</w:t>
      </w:r>
      <w:r w:rsidR="00220FB9" w:rsidRPr="003D3B60">
        <w:rPr>
          <w:rFonts w:asciiTheme="minorHAnsi" w:hAnsiTheme="minorHAnsi" w:cstheme="minorHAnsi"/>
          <w:i/>
          <w:iCs/>
        </w:rPr>
        <w:t xml:space="preserve"> </w:t>
      </w:r>
      <w:r w:rsidR="00B704E8" w:rsidRPr="003D3B60">
        <w:rPr>
          <w:rFonts w:asciiTheme="minorHAnsi" w:hAnsiTheme="minorHAnsi" w:cstheme="minorHAnsi"/>
          <w:i/>
          <w:iCs/>
        </w:rPr>
        <w:t>doubled, while the number of rounds and participants in each auction fell by nearly half</w:t>
      </w:r>
      <w:r w:rsidR="00B704E8" w:rsidRPr="003D3B60">
        <w:rPr>
          <w:rFonts w:asciiTheme="minorHAnsi" w:hAnsiTheme="minorHAnsi" w:cstheme="minorHAnsi"/>
        </w:rPr>
        <w:t xml:space="preserve">.  </w:t>
      </w:r>
      <w:r w:rsidRPr="003D3B60">
        <w:rPr>
          <w:rFonts w:asciiTheme="minorHAnsi" w:hAnsiTheme="minorHAnsi" w:cstheme="minorHAnsi"/>
        </w:rPr>
        <w:t>R</w:t>
      </w:r>
      <w:r w:rsidR="00B704E8" w:rsidRPr="003D3B60">
        <w:rPr>
          <w:rFonts w:asciiTheme="minorHAnsi" w:hAnsiTheme="minorHAnsi" w:cstheme="minorHAnsi"/>
        </w:rPr>
        <w:t>educed participation resulted in less competitive auctions</w:t>
      </w:r>
      <w:r w:rsidRPr="003D3B60">
        <w:rPr>
          <w:rFonts w:asciiTheme="minorHAnsi" w:hAnsiTheme="minorHAnsi" w:cstheme="minorHAnsi"/>
        </w:rPr>
        <w:t xml:space="preserve"> and prices skyrocketed</w:t>
      </w:r>
      <w:r w:rsidR="00B704E8" w:rsidRPr="003D3B60">
        <w:rPr>
          <w:rFonts w:asciiTheme="minorHAnsi" w:hAnsiTheme="minorHAnsi" w:cstheme="minorHAnsi"/>
        </w:rPr>
        <w:t xml:space="preserve">. </w:t>
      </w:r>
      <w:r w:rsidR="00220FB9" w:rsidRPr="003D3B60">
        <w:rPr>
          <w:rFonts w:asciiTheme="minorHAnsi" w:hAnsiTheme="minorHAnsi" w:cstheme="minorHAnsi"/>
        </w:rPr>
        <w:t xml:space="preserve"> </w:t>
      </w:r>
      <w:r w:rsidR="0094740B" w:rsidRPr="003D3B60">
        <w:rPr>
          <w:rFonts w:asciiTheme="minorHAnsi" w:hAnsiTheme="minorHAnsi" w:cstheme="minorHAnsi"/>
        </w:rPr>
        <w:t>Put plainly, t</w:t>
      </w:r>
      <w:r w:rsidR="00B704E8" w:rsidRPr="003D3B60">
        <w:rPr>
          <w:rFonts w:asciiTheme="minorHAnsi" w:hAnsiTheme="minorHAnsi" w:cstheme="minorHAnsi"/>
        </w:rPr>
        <w:t xml:space="preserve">here is a direct </w:t>
      </w:r>
      <w:r w:rsidR="001C0F17" w:rsidRPr="003D3B60">
        <w:rPr>
          <w:rFonts w:asciiTheme="minorHAnsi" w:hAnsiTheme="minorHAnsi" w:cstheme="minorHAnsi"/>
        </w:rPr>
        <w:t xml:space="preserve">link </w:t>
      </w:r>
      <w:r w:rsidR="00090A5A" w:rsidRPr="003D3B60">
        <w:rPr>
          <w:rFonts w:asciiTheme="minorHAnsi" w:hAnsiTheme="minorHAnsi" w:cstheme="minorHAnsi"/>
        </w:rPr>
        <w:t>between the Customer Return</w:t>
      </w:r>
      <w:r w:rsidR="00B704E8" w:rsidRPr="003D3B60">
        <w:rPr>
          <w:rFonts w:asciiTheme="minorHAnsi" w:hAnsiTheme="minorHAnsi" w:cstheme="minorHAnsi"/>
        </w:rPr>
        <w:t xml:space="preserve"> </w:t>
      </w:r>
      <w:r w:rsidR="00734295" w:rsidRPr="003D3B60">
        <w:rPr>
          <w:rFonts w:asciiTheme="minorHAnsi" w:hAnsiTheme="minorHAnsi" w:cstheme="minorHAnsi"/>
        </w:rPr>
        <w:t xml:space="preserve">on one hand, </w:t>
      </w:r>
      <w:r w:rsidR="00B704E8" w:rsidRPr="003D3B60">
        <w:rPr>
          <w:rFonts w:asciiTheme="minorHAnsi" w:hAnsiTheme="minorHAnsi" w:cstheme="minorHAnsi"/>
        </w:rPr>
        <w:t xml:space="preserve">and increased prices and decreased </w:t>
      </w:r>
      <w:r w:rsidR="00331557" w:rsidRPr="003D3B60">
        <w:rPr>
          <w:rFonts w:asciiTheme="minorHAnsi" w:hAnsiTheme="minorHAnsi" w:cstheme="minorHAnsi"/>
        </w:rPr>
        <w:t xml:space="preserve">supplier </w:t>
      </w:r>
      <w:r w:rsidR="00B704E8" w:rsidRPr="003D3B60">
        <w:rPr>
          <w:rFonts w:asciiTheme="minorHAnsi" w:hAnsiTheme="minorHAnsi" w:cstheme="minorHAnsi"/>
        </w:rPr>
        <w:t>participation in SSO auctions</w:t>
      </w:r>
      <w:r w:rsidR="00734295" w:rsidRPr="003D3B60">
        <w:rPr>
          <w:rFonts w:asciiTheme="minorHAnsi" w:hAnsiTheme="minorHAnsi" w:cstheme="minorHAnsi"/>
        </w:rPr>
        <w:t xml:space="preserve"> on the other.</w:t>
      </w:r>
      <w:r w:rsidR="00B704E8" w:rsidRPr="003D3B60">
        <w:rPr>
          <w:rFonts w:asciiTheme="minorHAnsi" w:hAnsiTheme="minorHAnsi" w:cstheme="minorHAnsi"/>
        </w:rPr>
        <w:t xml:space="preserve">  </w:t>
      </w:r>
    </w:p>
    <w:p w14:paraId="7BE750A6" w14:textId="596F829A" w:rsidR="00227A60" w:rsidRPr="003D3B60" w:rsidRDefault="009405F9" w:rsidP="001B48BE">
      <w:pPr>
        <w:pStyle w:val="BodyText"/>
        <w:rPr>
          <w:rFonts w:asciiTheme="minorHAnsi" w:hAnsiTheme="minorHAnsi" w:cstheme="minorHAnsi"/>
        </w:rPr>
      </w:pPr>
      <w:r w:rsidRPr="003D3B60">
        <w:rPr>
          <w:rFonts w:asciiTheme="minorHAnsi" w:hAnsiTheme="minorHAnsi" w:cstheme="minorHAnsi"/>
        </w:rPr>
        <w:t>In a September 7, 2022 Entry in this proceeding, t</w:t>
      </w:r>
      <w:r w:rsidR="00220FB9" w:rsidRPr="003D3B60">
        <w:rPr>
          <w:rFonts w:asciiTheme="minorHAnsi" w:hAnsiTheme="minorHAnsi" w:cstheme="minorHAnsi"/>
        </w:rPr>
        <w:t>he Commission found that</w:t>
      </w:r>
      <w:r w:rsidR="00227A60" w:rsidRPr="003D3B60">
        <w:rPr>
          <w:rFonts w:asciiTheme="minorHAnsi" w:hAnsiTheme="minorHAnsi" w:cstheme="minorHAnsi"/>
        </w:rPr>
        <w:t xml:space="preserve"> NOPEC’s</w:t>
      </w:r>
      <w:r w:rsidR="00220FB9" w:rsidRPr="003D3B60">
        <w:rPr>
          <w:rFonts w:asciiTheme="minorHAnsi" w:hAnsiTheme="minorHAnsi" w:cstheme="minorHAnsi"/>
        </w:rPr>
        <w:t xml:space="preserve"> “premature” implementation of the Customer Return and its potential adverse impact on Ohio retail ratepayers, </w:t>
      </w:r>
      <w:r w:rsidR="00331557" w:rsidRPr="003D3B60">
        <w:rPr>
          <w:rFonts w:asciiTheme="minorHAnsi" w:hAnsiTheme="minorHAnsi" w:cstheme="minorHAnsi"/>
        </w:rPr>
        <w:t>utilities, SSO suppliers</w:t>
      </w:r>
      <w:r w:rsidR="00A8369D" w:rsidRPr="003D3B60">
        <w:rPr>
          <w:rFonts w:asciiTheme="minorHAnsi" w:hAnsiTheme="minorHAnsi" w:cstheme="minorHAnsi"/>
        </w:rPr>
        <w:t>,</w:t>
      </w:r>
      <w:r w:rsidR="00331557" w:rsidRPr="003D3B60">
        <w:rPr>
          <w:rFonts w:asciiTheme="minorHAnsi" w:hAnsiTheme="minorHAnsi" w:cstheme="minorHAnsi"/>
        </w:rPr>
        <w:t xml:space="preserve"> and the Ohio retail electricity market </w:t>
      </w:r>
      <w:r w:rsidR="00227A60" w:rsidRPr="003D3B60">
        <w:rPr>
          <w:rFonts w:asciiTheme="minorHAnsi" w:hAnsiTheme="minorHAnsi" w:cstheme="minorHAnsi"/>
        </w:rPr>
        <w:t>“cast doubt upon whether NOPEC continues to demonstrate the managerial, technical, and financial capability to be certified as a CRES governmental aggregator.”</w:t>
      </w:r>
      <w:r w:rsidR="002941B5" w:rsidRPr="003D3B60">
        <w:rPr>
          <w:rStyle w:val="FootnoteReference"/>
          <w:rFonts w:asciiTheme="minorHAnsi" w:hAnsiTheme="minorHAnsi" w:cstheme="minorHAnsi"/>
        </w:rPr>
        <w:footnoteReference w:id="7"/>
      </w:r>
      <w:r w:rsidR="00227A60" w:rsidRPr="003D3B60">
        <w:rPr>
          <w:rFonts w:asciiTheme="minorHAnsi" w:hAnsiTheme="minorHAnsi" w:cstheme="minorHAnsi"/>
        </w:rPr>
        <w:t xml:space="preserve">  Accordingly, the Commission directed </w:t>
      </w:r>
      <w:r w:rsidR="00057763" w:rsidRPr="003D3B60">
        <w:rPr>
          <w:rFonts w:asciiTheme="minorHAnsi" w:hAnsiTheme="minorHAnsi" w:cstheme="minorHAnsi"/>
        </w:rPr>
        <w:t xml:space="preserve">NOPEC </w:t>
      </w:r>
      <w:r w:rsidR="00227A60" w:rsidRPr="003D3B60">
        <w:rPr>
          <w:rFonts w:asciiTheme="minorHAnsi" w:hAnsiTheme="minorHAnsi" w:cstheme="minorHAnsi"/>
        </w:rPr>
        <w:t>to show cause why its CRES certificate should not be suspended.”</w:t>
      </w:r>
      <w:r w:rsidR="002941B5" w:rsidRPr="003D3B60">
        <w:rPr>
          <w:rStyle w:val="FootnoteReference"/>
          <w:rFonts w:asciiTheme="minorHAnsi" w:hAnsiTheme="minorHAnsi" w:cstheme="minorHAnsi"/>
        </w:rPr>
        <w:footnoteReference w:id="8"/>
      </w:r>
      <w:r w:rsidR="00227A60" w:rsidRPr="003D3B60">
        <w:rPr>
          <w:rFonts w:asciiTheme="minorHAnsi" w:hAnsiTheme="minorHAnsi" w:cstheme="minorHAnsi"/>
        </w:rPr>
        <w:t xml:space="preserve">  NOPEC submitted its response to the Commission’s Show Cause Order on September </w:t>
      </w:r>
      <w:r w:rsidR="00057763" w:rsidRPr="003D3B60">
        <w:rPr>
          <w:rFonts w:asciiTheme="minorHAnsi" w:hAnsiTheme="minorHAnsi" w:cstheme="minorHAnsi"/>
        </w:rPr>
        <w:t>28,</w:t>
      </w:r>
      <w:r w:rsidR="00227A60" w:rsidRPr="003D3B60">
        <w:rPr>
          <w:rFonts w:asciiTheme="minorHAnsi" w:hAnsiTheme="minorHAnsi" w:cstheme="minorHAnsi"/>
        </w:rPr>
        <w:t xml:space="preserve"> 2022</w:t>
      </w:r>
      <w:r w:rsidR="0050306A" w:rsidRPr="003D3B60">
        <w:rPr>
          <w:rFonts w:asciiTheme="minorHAnsi" w:hAnsiTheme="minorHAnsi" w:cstheme="minorHAnsi"/>
        </w:rPr>
        <w:t>.</w:t>
      </w:r>
      <w:r w:rsidR="00227A60" w:rsidRPr="003D3B60">
        <w:rPr>
          <w:rFonts w:asciiTheme="minorHAnsi" w:hAnsiTheme="minorHAnsi" w:cstheme="minorHAnsi"/>
        </w:rPr>
        <w:t xml:space="preserve"> </w:t>
      </w:r>
      <w:r w:rsidR="0050306A" w:rsidRPr="003D3B60">
        <w:rPr>
          <w:rFonts w:asciiTheme="minorHAnsi" w:hAnsiTheme="minorHAnsi" w:cstheme="minorHAnsi"/>
        </w:rPr>
        <w:t xml:space="preserve">  The Commission </w:t>
      </w:r>
      <w:r w:rsidR="00734295" w:rsidRPr="003D3B60">
        <w:rPr>
          <w:rFonts w:asciiTheme="minorHAnsi" w:hAnsiTheme="minorHAnsi" w:cstheme="minorHAnsi"/>
        </w:rPr>
        <w:t xml:space="preserve">has </w:t>
      </w:r>
      <w:r w:rsidR="0050306A" w:rsidRPr="003D3B60">
        <w:rPr>
          <w:rFonts w:asciiTheme="minorHAnsi" w:hAnsiTheme="minorHAnsi" w:cstheme="minorHAnsi"/>
        </w:rPr>
        <w:t xml:space="preserve">solicited initial and reply comments from the public, which are </w:t>
      </w:r>
      <w:r w:rsidR="00227A60" w:rsidRPr="003D3B60">
        <w:rPr>
          <w:rFonts w:asciiTheme="minorHAnsi" w:hAnsiTheme="minorHAnsi" w:cstheme="minorHAnsi"/>
        </w:rPr>
        <w:t xml:space="preserve">due </w:t>
      </w:r>
      <w:r w:rsidR="00090A5A" w:rsidRPr="003D3B60">
        <w:rPr>
          <w:rFonts w:asciiTheme="minorHAnsi" w:hAnsiTheme="minorHAnsi" w:cstheme="minorHAnsi"/>
        </w:rPr>
        <w:t>on January 13, 2023 and January 20, 20223, respectively.</w:t>
      </w:r>
    </w:p>
    <w:p w14:paraId="6CF00CED" w14:textId="04A71FD6" w:rsidR="00090A5A" w:rsidRPr="003D3B60" w:rsidRDefault="00090A5A" w:rsidP="001B48BE">
      <w:pPr>
        <w:pStyle w:val="BodyText"/>
        <w:rPr>
          <w:rFonts w:asciiTheme="minorHAnsi" w:hAnsiTheme="minorHAnsi" w:cstheme="minorHAnsi"/>
          <w:i/>
          <w:iCs/>
        </w:rPr>
      </w:pPr>
      <w:r w:rsidRPr="003D3B60">
        <w:rPr>
          <w:rFonts w:asciiTheme="minorHAnsi" w:hAnsiTheme="minorHAnsi" w:cstheme="minorHAnsi"/>
        </w:rPr>
        <w:t xml:space="preserve">Against this </w:t>
      </w:r>
      <w:r w:rsidR="009405F9" w:rsidRPr="003D3B60">
        <w:rPr>
          <w:rFonts w:asciiTheme="minorHAnsi" w:hAnsiTheme="minorHAnsi" w:cstheme="minorHAnsi"/>
        </w:rPr>
        <w:t>tumultuous</w:t>
      </w:r>
      <w:r w:rsidR="00734295" w:rsidRPr="003D3B60">
        <w:rPr>
          <w:rFonts w:asciiTheme="minorHAnsi" w:hAnsiTheme="minorHAnsi" w:cstheme="minorHAnsi"/>
        </w:rPr>
        <w:t xml:space="preserve"> backdrop</w:t>
      </w:r>
      <w:r w:rsidRPr="003D3B60">
        <w:rPr>
          <w:rFonts w:asciiTheme="minorHAnsi" w:hAnsiTheme="minorHAnsi" w:cstheme="minorHAnsi"/>
        </w:rPr>
        <w:t>, NOPEC</w:t>
      </w:r>
      <w:r w:rsidR="00057763" w:rsidRPr="003D3B60">
        <w:rPr>
          <w:rFonts w:asciiTheme="minorHAnsi" w:hAnsiTheme="minorHAnsi" w:cstheme="minorHAnsi"/>
        </w:rPr>
        <w:t xml:space="preserve"> </w:t>
      </w:r>
      <w:r w:rsidRPr="003D3B60">
        <w:rPr>
          <w:rFonts w:asciiTheme="minorHAnsi" w:hAnsiTheme="minorHAnsi" w:cstheme="minorHAnsi"/>
        </w:rPr>
        <w:t xml:space="preserve">filed for renewal </w:t>
      </w:r>
      <w:r w:rsidR="00655579" w:rsidRPr="003D3B60">
        <w:rPr>
          <w:rFonts w:asciiTheme="minorHAnsi" w:hAnsiTheme="minorHAnsi" w:cstheme="minorHAnsi"/>
        </w:rPr>
        <w:t xml:space="preserve">of its CRES government aggregator </w:t>
      </w:r>
      <w:r w:rsidR="00E95152" w:rsidRPr="003D3B60">
        <w:rPr>
          <w:rFonts w:asciiTheme="minorHAnsi" w:hAnsiTheme="minorHAnsi" w:cstheme="minorHAnsi"/>
        </w:rPr>
        <w:t xml:space="preserve">certification on November 22, 2022, </w:t>
      </w:r>
      <w:r w:rsidR="00057763" w:rsidRPr="003D3B60">
        <w:rPr>
          <w:rFonts w:asciiTheme="minorHAnsi" w:hAnsiTheme="minorHAnsi" w:cstheme="minorHAnsi"/>
        </w:rPr>
        <w:t xml:space="preserve">and, incredibly, </w:t>
      </w:r>
      <w:r w:rsidR="00E95152" w:rsidRPr="003D3B60">
        <w:rPr>
          <w:rFonts w:asciiTheme="minorHAnsi" w:hAnsiTheme="minorHAnsi" w:cstheme="minorHAnsi"/>
        </w:rPr>
        <w:t>s</w:t>
      </w:r>
      <w:r w:rsidR="00057763" w:rsidRPr="003D3B60">
        <w:rPr>
          <w:rFonts w:asciiTheme="minorHAnsi" w:hAnsiTheme="minorHAnsi" w:cstheme="minorHAnsi"/>
        </w:rPr>
        <w:t>ought</w:t>
      </w:r>
      <w:r w:rsidR="00E95152" w:rsidRPr="003D3B60">
        <w:rPr>
          <w:rFonts w:asciiTheme="minorHAnsi" w:hAnsiTheme="minorHAnsi" w:cstheme="minorHAnsi"/>
        </w:rPr>
        <w:t xml:space="preserve"> automatic approval of its application pursuant to</w:t>
      </w:r>
      <w:r w:rsidR="009405F9" w:rsidRPr="003D3B60">
        <w:rPr>
          <w:rFonts w:asciiTheme="minorHAnsi" w:hAnsiTheme="minorHAnsi" w:cstheme="minorHAnsi"/>
        </w:rPr>
        <w:t xml:space="preserve"> Ohio</w:t>
      </w:r>
      <w:r w:rsidR="00E95152" w:rsidRPr="003D3B60">
        <w:rPr>
          <w:rFonts w:asciiTheme="minorHAnsi" w:hAnsiTheme="minorHAnsi" w:cstheme="minorHAnsi"/>
        </w:rPr>
        <w:t xml:space="preserve"> R.C.</w:t>
      </w:r>
      <w:r w:rsidR="009405F9" w:rsidRPr="003D3B60">
        <w:rPr>
          <w:rFonts w:asciiTheme="minorHAnsi" w:hAnsiTheme="minorHAnsi" w:cstheme="minorHAnsi"/>
        </w:rPr>
        <w:t xml:space="preserve"> §</w:t>
      </w:r>
      <w:r w:rsidR="00E95152" w:rsidRPr="003D3B60">
        <w:rPr>
          <w:rFonts w:asciiTheme="minorHAnsi" w:hAnsiTheme="minorHAnsi" w:cstheme="minorHAnsi"/>
        </w:rPr>
        <w:t xml:space="preserve"> 4928.08(b). </w:t>
      </w:r>
      <w:r w:rsidR="00057763" w:rsidRPr="003D3B60">
        <w:rPr>
          <w:rFonts w:asciiTheme="minorHAnsi" w:hAnsiTheme="minorHAnsi" w:cstheme="minorHAnsi"/>
        </w:rPr>
        <w:t xml:space="preserve"> </w:t>
      </w:r>
      <w:r w:rsidR="00E95152" w:rsidRPr="003D3B60">
        <w:rPr>
          <w:rFonts w:asciiTheme="minorHAnsi" w:hAnsiTheme="minorHAnsi" w:cstheme="minorHAnsi"/>
        </w:rPr>
        <w:t>On December 9, 202</w:t>
      </w:r>
      <w:r w:rsidR="003D107D" w:rsidRPr="003D3B60">
        <w:rPr>
          <w:rFonts w:asciiTheme="minorHAnsi" w:hAnsiTheme="minorHAnsi" w:cstheme="minorHAnsi"/>
        </w:rPr>
        <w:t xml:space="preserve">2, </w:t>
      </w:r>
      <w:r w:rsidR="009405F9" w:rsidRPr="003D3B60">
        <w:rPr>
          <w:rFonts w:asciiTheme="minorHAnsi" w:hAnsiTheme="minorHAnsi" w:cstheme="minorHAnsi"/>
        </w:rPr>
        <w:t xml:space="preserve">an Entry was issued in this proceeding </w:t>
      </w:r>
      <w:r w:rsidR="003D107D" w:rsidRPr="003D3B60">
        <w:rPr>
          <w:rFonts w:asciiTheme="minorHAnsi" w:hAnsiTheme="minorHAnsi" w:cstheme="minorHAnsi"/>
        </w:rPr>
        <w:t>suspend</w:t>
      </w:r>
      <w:r w:rsidR="0094740B" w:rsidRPr="003D3B60">
        <w:rPr>
          <w:rFonts w:asciiTheme="minorHAnsi" w:hAnsiTheme="minorHAnsi" w:cstheme="minorHAnsi"/>
        </w:rPr>
        <w:t>ing</w:t>
      </w:r>
      <w:r w:rsidR="003D107D" w:rsidRPr="003D3B60">
        <w:rPr>
          <w:rFonts w:asciiTheme="minorHAnsi" w:hAnsiTheme="minorHAnsi" w:cstheme="minorHAnsi"/>
        </w:rPr>
        <w:t xml:space="preserve"> automatic approval of NOPEC’s renewal application, finding “good cause to suspend the automatic approval” in light of  “the unique circumstances of this case and to allow sufficient time for the Commission and Staff to further consider this matter.”</w:t>
      </w:r>
      <w:r w:rsidR="003D107D" w:rsidRPr="003D3B60">
        <w:rPr>
          <w:rStyle w:val="FootnoteReference"/>
          <w:rFonts w:asciiTheme="minorHAnsi" w:hAnsiTheme="minorHAnsi" w:cstheme="minorHAnsi"/>
        </w:rPr>
        <w:footnoteReference w:id="9"/>
      </w:r>
      <w:r w:rsidR="00057763" w:rsidRPr="003D3B60">
        <w:rPr>
          <w:rFonts w:asciiTheme="minorHAnsi" w:hAnsiTheme="minorHAnsi" w:cstheme="minorHAnsi"/>
        </w:rPr>
        <w:t xml:space="preserve"> </w:t>
      </w:r>
    </w:p>
    <w:p w14:paraId="6DB158D0" w14:textId="62DB87BD" w:rsidR="00020405" w:rsidRPr="003D3B60" w:rsidRDefault="00216366" w:rsidP="00020405">
      <w:pPr>
        <w:pStyle w:val="Heading1"/>
        <w:rPr>
          <w:rFonts w:cstheme="minorHAnsi"/>
          <w:sz w:val="24"/>
          <w:szCs w:val="24"/>
        </w:rPr>
      </w:pPr>
      <w:r>
        <w:rPr>
          <w:rFonts w:cstheme="minorHAnsi"/>
          <w:sz w:val="24"/>
          <w:szCs w:val="24"/>
        </w:rPr>
        <w:lastRenderedPageBreak/>
        <w:t>ARGUMENT</w:t>
      </w:r>
    </w:p>
    <w:p w14:paraId="2B538202" w14:textId="3C1E2B84" w:rsidR="00C94169" w:rsidRPr="003D3B60" w:rsidRDefault="00020405" w:rsidP="00020405">
      <w:pPr>
        <w:pStyle w:val="Heading2"/>
        <w:rPr>
          <w:rFonts w:cstheme="minorHAnsi"/>
          <w:sz w:val="24"/>
          <w:szCs w:val="24"/>
        </w:rPr>
      </w:pPr>
      <w:r w:rsidRPr="003D3B60">
        <w:rPr>
          <w:rFonts w:cstheme="minorHAnsi"/>
          <w:sz w:val="24"/>
          <w:szCs w:val="24"/>
        </w:rPr>
        <w:t xml:space="preserve">The Interlocutory Appeal Does Not Satisfy </w:t>
      </w:r>
      <w:r w:rsidR="00C94169" w:rsidRPr="003D3B60">
        <w:rPr>
          <w:rFonts w:cstheme="minorHAnsi"/>
          <w:sz w:val="24"/>
          <w:szCs w:val="24"/>
        </w:rPr>
        <w:t>the Requirements for Certification</w:t>
      </w:r>
    </w:p>
    <w:p w14:paraId="18CC3660" w14:textId="0F60F73F" w:rsidR="00C94169" w:rsidRPr="003D3B60" w:rsidRDefault="00C94169" w:rsidP="003D3B60">
      <w:pPr>
        <w:pStyle w:val="BodyText"/>
        <w:spacing w:after="120"/>
        <w:rPr>
          <w:rFonts w:asciiTheme="minorHAnsi" w:hAnsiTheme="minorHAnsi" w:cstheme="minorHAnsi"/>
        </w:rPr>
      </w:pPr>
      <w:r w:rsidRPr="003D3B60">
        <w:rPr>
          <w:rFonts w:asciiTheme="minorHAnsi" w:hAnsiTheme="minorHAnsi" w:cstheme="minorHAnsi"/>
        </w:rPr>
        <w:t>The Interlocutory Appeal does not satisfy the requirements of the Ohio Administrative Code governing interlocutory appeals and</w:t>
      </w:r>
      <w:r w:rsidR="00D9163B" w:rsidRPr="003D3B60">
        <w:rPr>
          <w:rFonts w:asciiTheme="minorHAnsi" w:hAnsiTheme="minorHAnsi" w:cstheme="minorHAnsi"/>
        </w:rPr>
        <w:t>,</w:t>
      </w:r>
      <w:r w:rsidRPr="003D3B60">
        <w:rPr>
          <w:rFonts w:asciiTheme="minorHAnsi" w:hAnsiTheme="minorHAnsi" w:cstheme="minorHAnsi"/>
        </w:rPr>
        <w:t xml:space="preserve"> as a consequence</w:t>
      </w:r>
      <w:r w:rsidR="00001CD3" w:rsidRPr="003D3B60">
        <w:rPr>
          <w:rFonts w:asciiTheme="minorHAnsi" w:hAnsiTheme="minorHAnsi" w:cstheme="minorHAnsi"/>
        </w:rPr>
        <w:t>,</w:t>
      </w:r>
      <w:r w:rsidRPr="003D3B60">
        <w:rPr>
          <w:rFonts w:asciiTheme="minorHAnsi" w:hAnsiTheme="minorHAnsi" w:cstheme="minorHAnsi"/>
        </w:rPr>
        <w:t xml:space="preserve"> should not be certified to the Commission.  O</w:t>
      </w:r>
      <w:r w:rsidR="009405F9" w:rsidRPr="003D3B60">
        <w:rPr>
          <w:rFonts w:asciiTheme="minorHAnsi" w:hAnsiTheme="minorHAnsi" w:cstheme="minorHAnsi"/>
        </w:rPr>
        <w:t>hio Adm.C</w:t>
      </w:r>
      <w:r w:rsidR="002B04B8">
        <w:rPr>
          <w:rFonts w:asciiTheme="minorHAnsi" w:hAnsiTheme="minorHAnsi" w:cstheme="minorHAnsi"/>
        </w:rPr>
        <w:t>ode</w:t>
      </w:r>
      <w:r w:rsidR="009405F9" w:rsidRPr="003D3B60">
        <w:rPr>
          <w:rFonts w:asciiTheme="minorHAnsi" w:hAnsiTheme="minorHAnsi" w:cstheme="minorHAnsi"/>
        </w:rPr>
        <w:t xml:space="preserve"> §</w:t>
      </w:r>
      <w:r w:rsidRPr="003D3B60">
        <w:rPr>
          <w:rFonts w:asciiTheme="minorHAnsi" w:hAnsiTheme="minorHAnsi" w:cstheme="minorHAnsi"/>
        </w:rPr>
        <w:t xml:space="preserve"> 4901-1-15 prohibits the legal director, deputy legal director, attorney examiner</w:t>
      </w:r>
      <w:r w:rsidR="00DE405B">
        <w:rPr>
          <w:rFonts w:asciiTheme="minorHAnsi" w:hAnsiTheme="minorHAnsi" w:cstheme="minorHAnsi"/>
        </w:rPr>
        <w:t>,</w:t>
      </w:r>
      <w:r w:rsidRPr="003D3B60">
        <w:rPr>
          <w:rFonts w:asciiTheme="minorHAnsi" w:hAnsiTheme="minorHAnsi" w:cstheme="minorHAnsi"/>
        </w:rPr>
        <w:t xml:space="preserve"> or presiding hearing officer from certifying an appeal </w:t>
      </w:r>
      <w:r w:rsidRPr="003D3B60">
        <w:rPr>
          <w:rFonts w:asciiTheme="minorHAnsi" w:hAnsiTheme="minorHAnsi" w:cstheme="minorHAnsi"/>
          <w:b/>
          <w:bCs/>
        </w:rPr>
        <w:t>unless</w:t>
      </w:r>
      <w:r w:rsidRPr="003D3B60">
        <w:rPr>
          <w:rFonts w:asciiTheme="minorHAnsi" w:hAnsiTheme="minorHAnsi" w:cstheme="minorHAnsi"/>
        </w:rPr>
        <w:t>:</w:t>
      </w:r>
    </w:p>
    <w:p w14:paraId="6D4EAEF4" w14:textId="62A32D1B" w:rsidR="00C94169" w:rsidRPr="003D3B60" w:rsidRDefault="00C94169" w:rsidP="00C17A21">
      <w:pPr>
        <w:pStyle w:val="BodyTextIndent3"/>
        <w:ind w:right="1440"/>
        <w:jc w:val="both"/>
        <w:rPr>
          <w:rFonts w:cstheme="minorHAnsi"/>
          <w:sz w:val="24"/>
          <w:szCs w:val="24"/>
        </w:rPr>
      </w:pPr>
      <w:r w:rsidRPr="003D3B60">
        <w:rPr>
          <w:rFonts w:cstheme="minorHAnsi"/>
          <w:sz w:val="24"/>
          <w:szCs w:val="24"/>
        </w:rPr>
        <w:t>[H]e or she finds that the appeal presents a new or novel question of interpretation, law, or policy, or is taken from a ruling which represents a departure from past precedent and an immediate determination by the commission is needed to prevent the likelihood of undue prejudice or expense to one or more of the parties, should the commission ultimately reverse the ruling in question.</w:t>
      </w:r>
      <w:r w:rsidR="0050306A" w:rsidRPr="003D3B60">
        <w:rPr>
          <w:rStyle w:val="FootnoteReference"/>
          <w:rFonts w:cstheme="minorHAnsi"/>
          <w:sz w:val="24"/>
          <w:szCs w:val="24"/>
        </w:rPr>
        <w:footnoteReference w:id="10"/>
      </w:r>
    </w:p>
    <w:p w14:paraId="092B937D" w14:textId="4C242632" w:rsidR="00020405" w:rsidRPr="003D3B60" w:rsidRDefault="00C94169" w:rsidP="00C17A21">
      <w:pPr>
        <w:pStyle w:val="BodyText"/>
        <w:ind w:firstLine="0"/>
        <w:rPr>
          <w:rFonts w:asciiTheme="minorHAnsi" w:hAnsiTheme="minorHAnsi" w:cstheme="minorHAnsi"/>
        </w:rPr>
      </w:pPr>
      <w:r w:rsidRPr="003D3B60">
        <w:rPr>
          <w:rFonts w:asciiTheme="minorHAnsi" w:hAnsiTheme="minorHAnsi" w:cstheme="minorHAnsi"/>
        </w:rPr>
        <w:t>The Interlocutory Appeal does not meet the</w:t>
      </w:r>
      <w:r w:rsidR="00057763" w:rsidRPr="003D3B60">
        <w:rPr>
          <w:rFonts w:asciiTheme="minorHAnsi" w:hAnsiTheme="minorHAnsi" w:cstheme="minorHAnsi"/>
        </w:rPr>
        <w:t>se</w:t>
      </w:r>
      <w:r w:rsidR="005B45D3" w:rsidRPr="003D3B60">
        <w:rPr>
          <w:rFonts w:asciiTheme="minorHAnsi" w:hAnsiTheme="minorHAnsi" w:cstheme="minorHAnsi"/>
        </w:rPr>
        <w:t xml:space="preserve"> </w:t>
      </w:r>
      <w:r w:rsidRPr="003D3B60">
        <w:rPr>
          <w:rFonts w:asciiTheme="minorHAnsi" w:hAnsiTheme="minorHAnsi" w:cstheme="minorHAnsi"/>
        </w:rPr>
        <w:t>requirements for certification</w:t>
      </w:r>
      <w:r w:rsidR="009405F9" w:rsidRPr="003D3B60">
        <w:rPr>
          <w:rFonts w:asciiTheme="minorHAnsi" w:hAnsiTheme="minorHAnsi" w:cstheme="minorHAnsi"/>
        </w:rPr>
        <w:t xml:space="preserve"> to the Commission</w:t>
      </w:r>
      <w:r w:rsidR="00057763" w:rsidRPr="003D3B60">
        <w:rPr>
          <w:rFonts w:asciiTheme="minorHAnsi" w:hAnsiTheme="minorHAnsi" w:cstheme="minorHAnsi"/>
        </w:rPr>
        <w:t>.</w:t>
      </w:r>
    </w:p>
    <w:p w14:paraId="0283C8E7" w14:textId="482F8209" w:rsidR="00C94169" w:rsidRPr="003D3B60" w:rsidRDefault="00C94169" w:rsidP="00C94169">
      <w:pPr>
        <w:pStyle w:val="Heading3"/>
        <w:rPr>
          <w:rFonts w:cstheme="minorHAnsi"/>
          <w:sz w:val="24"/>
          <w:szCs w:val="24"/>
        </w:rPr>
      </w:pPr>
      <w:r w:rsidRPr="003D3B60">
        <w:rPr>
          <w:rFonts w:cstheme="minorHAnsi"/>
          <w:sz w:val="24"/>
          <w:szCs w:val="24"/>
        </w:rPr>
        <w:t>The December 9 Entry is Not a Departure from Past Precedent</w:t>
      </w:r>
    </w:p>
    <w:p w14:paraId="1DF73064" w14:textId="15F9D4BA" w:rsidR="005D2C5C" w:rsidRPr="003D3B60" w:rsidRDefault="00492862" w:rsidP="005D2C5C">
      <w:pPr>
        <w:pStyle w:val="BodyText"/>
        <w:rPr>
          <w:rFonts w:asciiTheme="minorHAnsi" w:hAnsiTheme="minorHAnsi" w:cstheme="minorHAnsi"/>
        </w:rPr>
      </w:pPr>
      <w:r w:rsidRPr="003D3B60">
        <w:rPr>
          <w:rFonts w:asciiTheme="minorHAnsi" w:hAnsiTheme="minorHAnsi" w:cstheme="minorHAnsi"/>
        </w:rPr>
        <w:t>The Attorney Examiner’s decision to suspend the automatic authorization of NOPEC’s CRES governmental aggregator certificate does not present a departure from past precedent</w:t>
      </w:r>
      <w:r w:rsidR="0094740B" w:rsidRPr="003D3B60">
        <w:rPr>
          <w:rFonts w:asciiTheme="minorHAnsi" w:hAnsiTheme="minorHAnsi" w:cstheme="minorHAnsi"/>
        </w:rPr>
        <w:t>, as the OCC asserts</w:t>
      </w:r>
      <w:r w:rsidRPr="003D3B60">
        <w:rPr>
          <w:rFonts w:asciiTheme="minorHAnsi" w:hAnsiTheme="minorHAnsi" w:cstheme="minorHAnsi"/>
        </w:rPr>
        <w:t xml:space="preserve">.  </w:t>
      </w:r>
      <w:r w:rsidR="00100E34" w:rsidRPr="003D3B60">
        <w:rPr>
          <w:rFonts w:asciiTheme="minorHAnsi" w:hAnsiTheme="minorHAnsi" w:cstheme="minorHAnsi"/>
        </w:rPr>
        <w:t>As a threshold issue,</w:t>
      </w:r>
      <w:r w:rsidRPr="003D3B60">
        <w:rPr>
          <w:rFonts w:asciiTheme="minorHAnsi" w:hAnsiTheme="minorHAnsi" w:cstheme="minorHAnsi"/>
        </w:rPr>
        <w:t xml:space="preserve"> the </w:t>
      </w:r>
      <w:r w:rsidR="00A8369D" w:rsidRPr="003D3B60">
        <w:rPr>
          <w:rFonts w:asciiTheme="minorHAnsi" w:hAnsiTheme="minorHAnsi" w:cstheme="minorHAnsi"/>
        </w:rPr>
        <w:t>Ohio Revised Code</w:t>
      </w:r>
      <w:r w:rsidRPr="003D3B60">
        <w:rPr>
          <w:rFonts w:asciiTheme="minorHAnsi" w:hAnsiTheme="minorHAnsi" w:cstheme="minorHAnsi"/>
        </w:rPr>
        <w:t xml:space="preserve"> </w:t>
      </w:r>
      <w:r w:rsidRPr="003D3B60">
        <w:rPr>
          <w:rFonts w:asciiTheme="minorHAnsi" w:hAnsiTheme="minorHAnsi" w:cstheme="minorHAnsi"/>
          <w:i/>
          <w:iCs/>
        </w:rPr>
        <w:t>expressly permit</w:t>
      </w:r>
      <w:r w:rsidR="00001CD3" w:rsidRPr="003D3B60">
        <w:rPr>
          <w:rFonts w:asciiTheme="minorHAnsi" w:hAnsiTheme="minorHAnsi" w:cstheme="minorHAnsi"/>
          <w:i/>
          <w:iCs/>
        </w:rPr>
        <w:t>s</w:t>
      </w:r>
      <w:r w:rsidRPr="003D3B60">
        <w:rPr>
          <w:rFonts w:asciiTheme="minorHAnsi" w:hAnsiTheme="minorHAnsi" w:cstheme="minorHAnsi"/>
          <w:i/>
          <w:iCs/>
        </w:rPr>
        <w:t xml:space="preserve"> suspension</w:t>
      </w:r>
      <w:r w:rsidR="0094740B" w:rsidRPr="003D3B60">
        <w:rPr>
          <w:rFonts w:asciiTheme="minorHAnsi" w:hAnsiTheme="minorHAnsi" w:cstheme="minorHAnsi"/>
          <w:i/>
          <w:iCs/>
        </w:rPr>
        <w:t xml:space="preserve"> of the automatic authorization provision</w:t>
      </w:r>
      <w:r w:rsidRPr="003D3B60">
        <w:rPr>
          <w:rFonts w:asciiTheme="minorHAnsi" w:hAnsiTheme="minorHAnsi" w:cstheme="minorHAnsi"/>
          <w:i/>
          <w:iCs/>
        </w:rPr>
        <w:t xml:space="preserve"> </w:t>
      </w:r>
      <w:r w:rsidR="005D2C5C" w:rsidRPr="003D3B60">
        <w:rPr>
          <w:rFonts w:asciiTheme="minorHAnsi" w:hAnsiTheme="minorHAnsi" w:cstheme="minorHAnsi"/>
          <w:i/>
          <w:iCs/>
        </w:rPr>
        <w:t>for good cause shown</w:t>
      </w:r>
      <w:r w:rsidR="005B45D3" w:rsidRPr="003D3B60">
        <w:rPr>
          <w:rFonts w:asciiTheme="minorHAnsi" w:hAnsiTheme="minorHAnsi" w:cstheme="minorHAnsi"/>
        </w:rPr>
        <w:t>.</w:t>
      </w:r>
      <w:r w:rsidR="002266F2" w:rsidRPr="003D3B60">
        <w:rPr>
          <w:rStyle w:val="FootnoteReference"/>
          <w:rFonts w:asciiTheme="minorHAnsi" w:hAnsiTheme="minorHAnsi" w:cstheme="minorHAnsi"/>
        </w:rPr>
        <w:footnoteReference w:id="11"/>
      </w:r>
      <w:r w:rsidR="005B45D3" w:rsidRPr="003D3B60">
        <w:rPr>
          <w:rFonts w:asciiTheme="minorHAnsi" w:hAnsiTheme="minorHAnsi" w:cstheme="minorHAnsi"/>
        </w:rPr>
        <w:t xml:space="preserve">  It is difficult to see how </w:t>
      </w:r>
      <w:r w:rsidR="006F233C" w:rsidRPr="003D3B60">
        <w:rPr>
          <w:rFonts w:asciiTheme="minorHAnsi" w:hAnsiTheme="minorHAnsi" w:cstheme="minorHAnsi"/>
        </w:rPr>
        <w:t>using the authority</w:t>
      </w:r>
      <w:r w:rsidR="005B45D3" w:rsidRPr="003D3B60">
        <w:rPr>
          <w:rFonts w:asciiTheme="minorHAnsi" w:hAnsiTheme="minorHAnsi" w:cstheme="minorHAnsi"/>
        </w:rPr>
        <w:t xml:space="preserve"> </w:t>
      </w:r>
      <w:r w:rsidR="006F233C" w:rsidRPr="003D3B60">
        <w:rPr>
          <w:rFonts w:asciiTheme="minorHAnsi" w:hAnsiTheme="minorHAnsi" w:cstheme="minorHAnsi"/>
        </w:rPr>
        <w:t xml:space="preserve">expressly </w:t>
      </w:r>
      <w:r w:rsidR="005B45D3" w:rsidRPr="003D3B60">
        <w:rPr>
          <w:rFonts w:asciiTheme="minorHAnsi" w:hAnsiTheme="minorHAnsi" w:cstheme="minorHAnsi"/>
        </w:rPr>
        <w:t xml:space="preserve">granted </w:t>
      </w:r>
      <w:r w:rsidR="006F233C" w:rsidRPr="003D3B60">
        <w:rPr>
          <w:rFonts w:asciiTheme="minorHAnsi" w:hAnsiTheme="minorHAnsi" w:cstheme="minorHAnsi"/>
        </w:rPr>
        <w:t>by</w:t>
      </w:r>
      <w:r w:rsidR="0050306A" w:rsidRPr="003D3B60">
        <w:rPr>
          <w:rFonts w:asciiTheme="minorHAnsi" w:hAnsiTheme="minorHAnsi" w:cstheme="minorHAnsi"/>
        </w:rPr>
        <w:t xml:space="preserve"> the O</w:t>
      </w:r>
      <w:r w:rsidR="006F233C" w:rsidRPr="003D3B60">
        <w:rPr>
          <w:rFonts w:asciiTheme="minorHAnsi" w:hAnsiTheme="minorHAnsi" w:cstheme="minorHAnsi"/>
        </w:rPr>
        <w:t xml:space="preserve">hio </w:t>
      </w:r>
      <w:r w:rsidR="00A8369D" w:rsidRPr="003D3B60">
        <w:rPr>
          <w:rFonts w:asciiTheme="minorHAnsi" w:hAnsiTheme="minorHAnsi" w:cstheme="minorHAnsi"/>
        </w:rPr>
        <w:t>Revised Code</w:t>
      </w:r>
      <w:r w:rsidR="005B45D3" w:rsidRPr="003D3B60">
        <w:rPr>
          <w:rFonts w:asciiTheme="minorHAnsi" w:hAnsiTheme="minorHAnsi" w:cstheme="minorHAnsi"/>
        </w:rPr>
        <w:t xml:space="preserve"> to allow </w:t>
      </w:r>
      <w:r w:rsidR="006F233C" w:rsidRPr="003D3B60">
        <w:rPr>
          <w:rFonts w:asciiTheme="minorHAnsi" w:hAnsiTheme="minorHAnsi" w:cstheme="minorHAnsi"/>
        </w:rPr>
        <w:t>the Commission further time to</w:t>
      </w:r>
      <w:r w:rsidR="005B45D3" w:rsidRPr="003D3B60">
        <w:rPr>
          <w:rFonts w:asciiTheme="minorHAnsi" w:hAnsiTheme="minorHAnsi" w:cstheme="minorHAnsi"/>
        </w:rPr>
        <w:t xml:space="preserve"> consider NOPEC’s CRES governmental aggregator application</w:t>
      </w:r>
      <w:r w:rsidR="005D2C5C" w:rsidRPr="003D3B60">
        <w:rPr>
          <w:rFonts w:asciiTheme="minorHAnsi" w:hAnsiTheme="minorHAnsi" w:cstheme="minorHAnsi"/>
        </w:rPr>
        <w:t xml:space="preserve"> represents a </w:t>
      </w:r>
      <w:r w:rsidR="0094740B" w:rsidRPr="003D3B60">
        <w:rPr>
          <w:rFonts w:asciiTheme="minorHAnsi" w:hAnsiTheme="minorHAnsi" w:cstheme="minorHAnsi"/>
        </w:rPr>
        <w:t>departure from past precedent or a novel question or interpretation of law.</w:t>
      </w:r>
      <w:r w:rsidR="005D2C5C" w:rsidRPr="003D3B60">
        <w:rPr>
          <w:rFonts w:asciiTheme="minorHAnsi" w:hAnsiTheme="minorHAnsi" w:cstheme="minorHAnsi"/>
        </w:rPr>
        <w:t xml:space="preserve"> </w:t>
      </w:r>
      <w:r w:rsidR="005B45D3" w:rsidRPr="003D3B60">
        <w:rPr>
          <w:rFonts w:asciiTheme="minorHAnsi" w:hAnsiTheme="minorHAnsi" w:cstheme="minorHAnsi"/>
        </w:rPr>
        <w:t xml:space="preserve"> </w:t>
      </w:r>
    </w:p>
    <w:p w14:paraId="19ADA4BB" w14:textId="5D40D96B" w:rsidR="005D2C5C" w:rsidRPr="003D3B60" w:rsidRDefault="005D2C5C" w:rsidP="0050306A">
      <w:pPr>
        <w:pStyle w:val="BodyText"/>
        <w:rPr>
          <w:rFonts w:asciiTheme="minorHAnsi" w:hAnsiTheme="minorHAnsi" w:cstheme="minorHAnsi"/>
        </w:rPr>
      </w:pPr>
      <w:r w:rsidRPr="003D3B60">
        <w:rPr>
          <w:rFonts w:asciiTheme="minorHAnsi" w:hAnsiTheme="minorHAnsi" w:cstheme="minorHAnsi"/>
        </w:rPr>
        <w:lastRenderedPageBreak/>
        <w:t>OCC’s</w:t>
      </w:r>
      <w:r w:rsidR="0050306A" w:rsidRPr="003D3B60">
        <w:rPr>
          <w:rFonts w:asciiTheme="minorHAnsi" w:hAnsiTheme="minorHAnsi" w:cstheme="minorHAnsi"/>
        </w:rPr>
        <w:t xml:space="preserve"> </w:t>
      </w:r>
      <w:r w:rsidR="002941B5" w:rsidRPr="003D3B60">
        <w:rPr>
          <w:rFonts w:asciiTheme="minorHAnsi" w:hAnsiTheme="minorHAnsi" w:cstheme="minorHAnsi"/>
        </w:rPr>
        <w:t>claim that</w:t>
      </w:r>
      <w:r w:rsidRPr="003D3B60">
        <w:rPr>
          <w:rFonts w:asciiTheme="minorHAnsi" w:hAnsiTheme="minorHAnsi" w:cstheme="minorHAnsi"/>
        </w:rPr>
        <w:t xml:space="preserve"> </w:t>
      </w:r>
      <w:r w:rsidR="002B04B8">
        <w:rPr>
          <w:rFonts w:asciiTheme="minorHAnsi" w:hAnsiTheme="minorHAnsi" w:cstheme="minorHAnsi"/>
        </w:rPr>
        <w:t xml:space="preserve">the </w:t>
      </w:r>
      <w:r w:rsidRPr="003D3B60">
        <w:rPr>
          <w:rFonts w:asciiTheme="minorHAnsi" w:hAnsiTheme="minorHAnsi" w:cstheme="minorHAnsi"/>
        </w:rPr>
        <w:t xml:space="preserve">December 9 Entry </w:t>
      </w:r>
      <w:r w:rsidR="002941B5" w:rsidRPr="003D3B60">
        <w:rPr>
          <w:rFonts w:asciiTheme="minorHAnsi" w:hAnsiTheme="minorHAnsi" w:cstheme="minorHAnsi"/>
        </w:rPr>
        <w:t>marks “</w:t>
      </w:r>
      <w:r w:rsidRPr="003D3B60">
        <w:rPr>
          <w:rFonts w:asciiTheme="minorHAnsi" w:hAnsiTheme="minorHAnsi" w:cstheme="minorHAnsi"/>
        </w:rPr>
        <w:t>a departure from past precedent where PUCO has routinely and timely renewed NOPEC’s governmental aggregation certificat</w:t>
      </w:r>
      <w:r w:rsidR="002941B5" w:rsidRPr="003D3B60">
        <w:rPr>
          <w:rFonts w:asciiTheme="minorHAnsi" w:hAnsiTheme="minorHAnsi" w:cstheme="minorHAnsi"/>
        </w:rPr>
        <w:t>e</w:t>
      </w:r>
      <w:r w:rsidRPr="003D3B60">
        <w:rPr>
          <w:rFonts w:asciiTheme="minorHAnsi" w:hAnsiTheme="minorHAnsi" w:cstheme="minorHAnsi"/>
        </w:rPr>
        <w:t>”</w:t>
      </w:r>
      <w:r w:rsidR="005B45D3" w:rsidRPr="003D3B60">
        <w:rPr>
          <w:rFonts w:asciiTheme="minorHAnsi" w:hAnsiTheme="minorHAnsi" w:cstheme="minorHAnsi"/>
        </w:rPr>
        <w:t xml:space="preserve"> </w:t>
      </w:r>
      <w:r w:rsidR="002941B5" w:rsidRPr="003D3B60">
        <w:rPr>
          <w:rFonts w:asciiTheme="minorHAnsi" w:hAnsiTheme="minorHAnsi" w:cstheme="minorHAnsi"/>
        </w:rPr>
        <w:t xml:space="preserve">is </w:t>
      </w:r>
      <w:r w:rsidR="00A8369D" w:rsidRPr="003D3B60">
        <w:rPr>
          <w:rFonts w:asciiTheme="minorHAnsi" w:hAnsiTheme="minorHAnsi" w:cstheme="minorHAnsi"/>
        </w:rPr>
        <w:t>incorrect</w:t>
      </w:r>
      <w:r w:rsidR="002941B5" w:rsidRPr="003D3B60">
        <w:rPr>
          <w:rFonts w:asciiTheme="minorHAnsi" w:hAnsiTheme="minorHAnsi" w:cstheme="minorHAnsi"/>
        </w:rPr>
        <w:t xml:space="preserve">.  </w:t>
      </w:r>
      <w:r w:rsidR="00FB093A" w:rsidRPr="003D3B60">
        <w:rPr>
          <w:rFonts w:asciiTheme="minorHAnsi" w:hAnsiTheme="minorHAnsi" w:cstheme="minorHAnsi"/>
        </w:rPr>
        <w:t>The facts are clear –</w:t>
      </w:r>
      <w:r w:rsidRPr="003D3B60">
        <w:rPr>
          <w:rFonts w:asciiTheme="minorHAnsi" w:hAnsiTheme="minorHAnsi" w:cstheme="minorHAnsi"/>
        </w:rPr>
        <w:t xml:space="preserve"> </w:t>
      </w:r>
      <w:r w:rsidR="0050306A" w:rsidRPr="003D3B60">
        <w:rPr>
          <w:rFonts w:asciiTheme="minorHAnsi" w:hAnsiTheme="minorHAnsi" w:cstheme="minorHAnsi"/>
        </w:rPr>
        <w:t>the only</w:t>
      </w:r>
      <w:r w:rsidR="005B45D3" w:rsidRPr="003D3B60">
        <w:rPr>
          <w:rFonts w:asciiTheme="minorHAnsi" w:hAnsiTheme="minorHAnsi" w:cstheme="minorHAnsi"/>
        </w:rPr>
        <w:t xml:space="preserve"> participant in this proceeding that has departed from </w:t>
      </w:r>
      <w:r w:rsidR="00FB093A" w:rsidRPr="003D3B60">
        <w:rPr>
          <w:rFonts w:asciiTheme="minorHAnsi" w:hAnsiTheme="minorHAnsi" w:cstheme="minorHAnsi"/>
        </w:rPr>
        <w:t>“</w:t>
      </w:r>
      <w:r w:rsidR="005B45D3" w:rsidRPr="003D3B60">
        <w:rPr>
          <w:rFonts w:asciiTheme="minorHAnsi" w:hAnsiTheme="minorHAnsi" w:cstheme="minorHAnsi"/>
        </w:rPr>
        <w:t>past precedent</w:t>
      </w:r>
      <w:r w:rsidR="00FB093A" w:rsidRPr="003D3B60">
        <w:rPr>
          <w:rFonts w:asciiTheme="minorHAnsi" w:hAnsiTheme="minorHAnsi" w:cstheme="minorHAnsi"/>
        </w:rPr>
        <w:t>”</w:t>
      </w:r>
      <w:r w:rsidR="005B45D3" w:rsidRPr="003D3B60">
        <w:rPr>
          <w:rFonts w:asciiTheme="minorHAnsi" w:hAnsiTheme="minorHAnsi" w:cstheme="minorHAnsi"/>
        </w:rPr>
        <w:t xml:space="preserve"> is NOPEC</w:t>
      </w:r>
      <w:r w:rsidRPr="003D3B60">
        <w:rPr>
          <w:rFonts w:asciiTheme="minorHAnsi" w:hAnsiTheme="minorHAnsi" w:cstheme="minorHAnsi"/>
        </w:rPr>
        <w:t>.  By implementing the Customer Return,</w:t>
      </w:r>
      <w:r w:rsidR="001B48BE" w:rsidRPr="003D3B60">
        <w:rPr>
          <w:rFonts w:asciiTheme="minorHAnsi" w:hAnsiTheme="minorHAnsi" w:cstheme="minorHAnsi"/>
        </w:rPr>
        <w:t xml:space="preserve"> NOPEC deviated from its 20</w:t>
      </w:r>
      <w:r w:rsidR="002941B5" w:rsidRPr="003D3B60">
        <w:rPr>
          <w:rFonts w:asciiTheme="minorHAnsi" w:hAnsiTheme="minorHAnsi" w:cstheme="minorHAnsi"/>
        </w:rPr>
        <w:t>-</w:t>
      </w:r>
      <w:r w:rsidR="001B48BE" w:rsidRPr="003D3B60">
        <w:rPr>
          <w:rFonts w:asciiTheme="minorHAnsi" w:hAnsiTheme="minorHAnsi" w:cstheme="minorHAnsi"/>
        </w:rPr>
        <w:t xml:space="preserve">year history of serving customers as a CRES governmental aggregator when </w:t>
      </w:r>
      <w:r w:rsidRPr="003D3B60">
        <w:rPr>
          <w:rFonts w:asciiTheme="minorHAnsi" w:hAnsiTheme="minorHAnsi" w:cstheme="minorHAnsi"/>
        </w:rPr>
        <w:t xml:space="preserve">it simply decided </w:t>
      </w:r>
      <w:r w:rsidR="001B48BE" w:rsidRPr="003D3B60">
        <w:rPr>
          <w:rFonts w:asciiTheme="minorHAnsi" w:hAnsiTheme="minorHAnsi" w:cstheme="minorHAnsi"/>
        </w:rPr>
        <w:t>to stop serving its customers and return them (and their load requirements) to their utilities</w:t>
      </w:r>
      <w:r w:rsidRPr="003D3B60">
        <w:rPr>
          <w:rFonts w:asciiTheme="minorHAnsi" w:hAnsiTheme="minorHAnsi" w:cstheme="minorHAnsi"/>
        </w:rPr>
        <w:t>’</w:t>
      </w:r>
      <w:r w:rsidR="001B48BE" w:rsidRPr="003D3B60">
        <w:rPr>
          <w:rFonts w:asciiTheme="minorHAnsi" w:hAnsiTheme="minorHAnsi" w:cstheme="minorHAnsi"/>
        </w:rPr>
        <w:t xml:space="preserve"> SSO programs.  As shown above, the resulting shift of risk in the </w:t>
      </w:r>
      <w:r w:rsidR="008522C1" w:rsidRPr="003D3B60">
        <w:rPr>
          <w:rFonts w:asciiTheme="minorHAnsi" w:hAnsiTheme="minorHAnsi" w:cstheme="minorHAnsi"/>
        </w:rPr>
        <w:t xml:space="preserve">Ohio retail </w:t>
      </w:r>
      <w:r w:rsidR="001B48BE" w:rsidRPr="003D3B60">
        <w:rPr>
          <w:rFonts w:asciiTheme="minorHAnsi" w:hAnsiTheme="minorHAnsi" w:cstheme="minorHAnsi"/>
        </w:rPr>
        <w:t>electricity market has yielded markedly higher SSO clearing prices and markedly lower SSO auction participation.</w:t>
      </w:r>
      <w:r w:rsidRPr="003D3B60">
        <w:rPr>
          <w:rFonts w:asciiTheme="minorHAnsi" w:hAnsiTheme="minorHAnsi" w:cstheme="minorHAnsi"/>
        </w:rPr>
        <w:t xml:space="preserve"> </w:t>
      </w:r>
      <w:r w:rsidR="002941B5" w:rsidRPr="003D3B60">
        <w:rPr>
          <w:rFonts w:asciiTheme="minorHAnsi" w:hAnsiTheme="minorHAnsi" w:cstheme="minorHAnsi"/>
        </w:rPr>
        <w:t xml:space="preserve"> These market forces, driven by </w:t>
      </w:r>
      <w:r w:rsidR="002B04B8">
        <w:rPr>
          <w:rFonts w:asciiTheme="minorHAnsi" w:hAnsiTheme="minorHAnsi" w:cstheme="minorHAnsi"/>
        </w:rPr>
        <w:t>NOPEC’s</w:t>
      </w:r>
      <w:r w:rsidR="002B04B8" w:rsidRPr="003D3B60">
        <w:rPr>
          <w:rFonts w:asciiTheme="minorHAnsi" w:hAnsiTheme="minorHAnsi" w:cstheme="minorHAnsi"/>
        </w:rPr>
        <w:t xml:space="preserve"> </w:t>
      </w:r>
      <w:r w:rsidR="002941B5" w:rsidRPr="003D3B60">
        <w:rPr>
          <w:rFonts w:asciiTheme="minorHAnsi" w:hAnsiTheme="minorHAnsi" w:cstheme="minorHAnsi"/>
        </w:rPr>
        <w:t xml:space="preserve">Customer Return, have </w:t>
      </w:r>
      <w:r w:rsidR="002B04B8">
        <w:rPr>
          <w:rFonts w:asciiTheme="minorHAnsi" w:hAnsiTheme="minorHAnsi" w:cstheme="minorHAnsi"/>
        </w:rPr>
        <w:t xml:space="preserve">harmed </w:t>
      </w:r>
      <w:r w:rsidR="002941B5" w:rsidRPr="003D3B60">
        <w:rPr>
          <w:rFonts w:asciiTheme="minorHAnsi" w:hAnsiTheme="minorHAnsi" w:cstheme="minorHAnsi"/>
        </w:rPr>
        <w:t>and will continue to harm r</w:t>
      </w:r>
      <w:r w:rsidR="0094740B" w:rsidRPr="003D3B60">
        <w:rPr>
          <w:rFonts w:asciiTheme="minorHAnsi" w:hAnsiTheme="minorHAnsi" w:cstheme="minorHAnsi"/>
        </w:rPr>
        <w:t>etail r</w:t>
      </w:r>
      <w:r w:rsidR="002941B5" w:rsidRPr="003D3B60">
        <w:rPr>
          <w:rFonts w:asciiTheme="minorHAnsi" w:hAnsiTheme="minorHAnsi" w:cstheme="minorHAnsi"/>
        </w:rPr>
        <w:t xml:space="preserve">atepayers.  </w:t>
      </w:r>
      <w:r w:rsidRPr="003D3B60">
        <w:rPr>
          <w:rFonts w:asciiTheme="minorHAnsi" w:hAnsiTheme="minorHAnsi" w:cstheme="minorHAnsi"/>
        </w:rPr>
        <w:t>Automatic authorization in the face of these facts would not be consistent with past precedent – it would be an abdication of the Commission’s responsibility “to ensure financial integrity and service reliability in the Ohio utility industry.”</w:t>
      </w:r>
      <w:r w:rsidRPr="003D3B60">
        <w:rPr>
          <w:rStyle w:val="FootnoteReference"/>
          <w:rFonts w:asciiTheme="minorHAnsi" w:hAnsiTheme="minorHAnsi" w:cstheme="minorHAnsi"/>
        </w:rPr>
        <w:footnoteReference w:id="12"/>
      </w:r>
    </w:p>
    <w:p w14:paraId="4836C440" w14:textId="3F1A9E3A" w:rsidR="005B45D3" w:rsidRPr="003D3B60" w:rsidRDefault="000B2901" w:rsidP="0050306A">
      <w:pPr>
        <w:pStyle w:val="BodyText"/>
        <w:rPr>
          <w:rFonts w:asciiTheme="minorHAnsi" w:hAnsiTheme="minorHAnsi" w:cstheme="minorHAnsi"/>
        </w:rPr>
      </w:pPr>
      <w:r w:rsidRPr="003D3B60">
        <w:rPr>
          <w:rFonts w:asciiTheme="minorHAnsi" w:hAnsiTheme="minorHAnsi" w:cstheme="minorHAnsi"/>
        </w:rPr>
        <w:t>The Commission’s Show Cause Order</w:t>
      </w:r>
      <w:r w:rsidR="008E00CB" w:rsidRPr="003D3B60">
        <w:rPr>
          <w:rFonts w:asciiTheme="minorHAnsi" w:hAnsiTheme="minorHAnsi" w:cstheme="minorHAnsi"/>
        </w:rPr>
        <w:t xml:space="preserve"> </w:t>
      </w:r>
      <w:r w:rsidR="001B48BE" w:rsidRPr="003D3B60">
        <w:rPr>
          <w:rFonts w:asciiTheme="minorHAnsi" w:hAnsiTheme="minorHAnsi" w:cstheme="minorHAnsi"/>
        </w:rPr>
        <w:t xml:space="preserve">and the decision </w:t>
      </w:r>
      <w:r w:rsidR="0094740B" w:rsidRPr="003D3B60">
        <w:rPr>
          <w:rFonts w:asciiTheme="minorHAnsi" w:hAnsiTheme="minorHAnsi" w:cstheme="minorHAnsi"/>
        </w:rPr>
        <w:t xml:space="preserve">to </w:t>
      </w:r>
      <w:r w:rsidR="001B48BE" w:rsidRPr="003D3B60">
        <w:rPr>
          <w:rFonts w:asciiTheme="minorHAnsi" w:hAnsiTheme="minorHAnsi" w:cstheme="minorHAnsi"/>
        </w:rPr>
        <w:t xml:space="preserve">suspend the automatic authorization of NOPEC’s CRES certification, when viewed against NOPEC’s </w:t>
      </w:r>
      <w:r w:rsidRPr="003D3B60">
        <w:rPr>
          <w:rFonts w:asciiTheme="minorHAnsi" w:hAnsiTheme="minorHAnsi" w:cstheme="minorHAnsi"/>
        </w:rPr>
        <w:t xml:space="preserve">recent </w:t>
      </w:r>
      <w:r w:rsidR="001B48BE" w:rsidRPr="003D3B60">
        <w:rPr>
          <w:rFonts w:asciiTheme="minorHAnsi" w:hAnsiTheme="minorHAnsi" w:cstheme="minorHAnsi"/>
        </w:rPr>
        <w:t>conduct</w:t>
      </w:r>
      <w:r w:rsidR="002941B5" w:rsidRPr="003D3B60">
        <w:rPr>
          <w:rFonts w:asciiTheme="minorHAnsi" w:hAnsiTheme="minorHAnsi" w:cstheme="minorHAnsi"/>
        </w:rPr>
        <w:t>,</w:t>
      </w:r>
      <w:r w:rsidR="005D2C5C" w:rsidRPr="003D3B60">
        <w:rPr>
          <w:rFonts w:asciiTheme="minorHAnsi" w:hAnsiTheme="minorHAnsi" w:cstheme="minorHAnsi"/>
        </w:rPr>
        <w:t xml:space="preserve"> are not departures from past precedent</w:t>
      </w:r>
      <w:r w:rsidR="001B48BE" w:rsidRPr="003D3B60">
        <w:rPr>
          <w:rFonts w:asciiTheme="minorHAnsi" w:hAnsiTheme="minorHAnsi" w:cstheme="minorHAnsi"/>
        </w:rPr>
        <w:t>.</w:t>
      </w:r>
      <w:r w:rsidR="005D2C5C" w:rsidRPr="003D3B60">
        <w:rPr>
          <w:rFonts w:asciiTheme="minorHAnsi" w:hAnsiTheme="minorHAnsi" w:cstheme="minorHAnsi"/>
        </w:rPr>
        <w:t xml:space="preserve">  </w:t>
      </w:r>
      <w:r w:rsidRPr="003D3B60">
        <w:rPr>
          <w:rFonts w:asciiTheme="minorHAnsi" w:hAnsiTheme="minorHAnsi" w:cstheme="minorHAnsi"/>
        </w:rPr>
        <w:t xml:space="preserve">Rather, these actions reflect a reasonable regulatory response – one that is explicitly provided for in the Ohio </w:t>
      </w:r>
      <w:r w:rsidR="008522C1" w:rsidRPr="003D3B60">
        <w:rPr>
          <w:rFonts w:asciiTheme="minorHAnsi" w:hAnsiTheme="minorHAnsi" w:cstheme="minorHAnsi"/>
        </w:rPr>
        <w:t>Revised</w:t>
      </w:r>
      <w:r w:rsidRPr="003D3B60">
        <w:rPr>
          <w:rFonts w:asciiTheme="minorHAnsi" w:hAnsiTheme="minorHAnsi" w:cstheme="minorHAnsi"/>
        </w:rPr>
        <w:t xml:space="preserve"> Code</w:t>
      </w:r>
      <w:r w:rsidRPr="003D3B60">
        <w:rPr>
          <w:rFonts w:asciiTheme="minorHAnsi" w:hAnsiTheme="minorHAnsi" w:cstheme="minorHAnsi"/>
          <w:i/>
          <w:iCs/>
        </w:rPr>
        <w:t xml:space="preserve"> –</w:t>
      </w:r>
      <w:r w:rsidR="00355B6F">
        <w:rPr>
          <w:rFonts w:asciiTheme="minorHAnsi" w:hAnsiTheme="minorHAnsi" w:cstheme="minorHAnsi"/>
        </w:rPr>
        <w:t xml:space="preserve"> </w:t>
      </w:r>
      <w:r w:rsidRPr="003D3B60">
        <w:rPr>
          <w:rFonts w:asciiTheme="minorHAnsi" w:hAnsiTheme="minorHAnsi" w:cstheme="minorHAnsi"/>
        </w:rPr>
        <w:t xml:space="preserve">to an </w:t>
      </w:r>
      <w:r w:rsidR="0050306A" w:rsidRPr="003D3B60">
        <w:rPr>
          <w:rFonts w:asciiTheme="minorHAnsi" w:hAnsiTheme="minorHAnsi" w:cstheme="minorHAnsi"/>
        </w:rPr>
        <w:t>unprecedented event in the history of the Ohio CRES program – the Customer Return.  Th</w:t>
      </w:r>
      <w:r w:rsidR="002941B5" w:rsidRPr="003D3B60">
        <w:rPr>
          <w:rFonts w:asciiTheme="minorHAnsi" w:hAnsiTheme="minorHAnsi" w:cstheme="minorHAnsi"/>
        </w:rPr>
        <w:t>e actions of the Commission and Attorney Examiner Addison</w:t>
      </w:r>
      <w:r w:rsidR="0050306A" w:rsidRPr="003D3B60">
        <w:rPr>
          <w:rFonts w:asciiTheme="minorHAnsi" w:hAnsiTheme="minorHAnsi" w:cstheme="minorHAnsi"/>
        </w:rPr>
        <w:t xml:space="preserve"> reflect </w:t>
      </w:r>
      <w:r w:rsidR="001B48BE" w:rsidRPr="003D3B60">
        <w:rPr>
          <w:rFonts w:asciiTheme="minorHAnsi" w:hAnsiTheme="minorHAnsi" w:cstheme="minorHAnsi"/>
        </w:rPr>
        <w:t xml:space="preserve">pragmatic regulation that is clearly needed </w:t>
      </w:r>
      <w:r w:rsidR="0050306A" w:rsidRPr="003D3B60">
        <w:rPr>
          <w:rFonts w:asciiTheme="minorHAnsi" w:hAnsiTheme="minorHAnsi" w:cstheme="minorHAnsi"/>
        </w:rPr>
        <w:t>to protect ratepayers from NOPEC</w:t>
      </w:r>
      <w:r w:rsidR="00001CD3" w:rsidRPr="003D3B60">
        <w:rPr>
          <w:rFonts w:asciiTheme="minorHAnsi" w:hAnsiTheme="minorHAnsi" w:cstheme="minorHAnsi"/>
        </w:rPr>
        <w:t>’s actions</w:t>
      </w:r>
      <w:r w:rsidR="0050306A" w:rsidRPr="003D3B60">
        <w:rPr>
          <w:rFonts w:asciiTheme="minorHAnsi" w:hAnsiTheme="minorHAnsi" w:cstheme="minorHAnsi"/>
        </w:rPr>
        <w:t>.</w:t>
      </w:r>
      <w:r w:rsidR="002941B5" w:rsidRPr="003D3B60">
        <w:rPr>
          <w:rFonts w:asciiTheme="minorHAnsi" w:hAnsiTheme="minorHAnsi" w:cstheme="minorHAnsi"/>
        </w:rPr>
        <w:t xml:space="preserve">  Granting the Interlocutory Appeal would frustrate that critical purpose.</w:t>
      </w:r>
    </w:p>
    <w:p w14:paraId="4C047C77" w14:textId="76723F9F" w:rsidR="001B48BE" w:rsidRPr="003D3B60" w:rsidRDefault="000B2901" w:rsidP="00C17A21">
      <w:pPr>
        <w:pStyle w:val="Heading3"/>
        <w:keepNext/>
        <w:ind w:left="2880" w:hanging="720"/>
        <w:rPr>
          <w:rFonts w:cstheme="minorHAnsi"/>
          <w:sz w:val="24"/>
          <w:szCs w:val="24"/>
        </w:rPr>
      </w:pPr>
      <w:r w:rsidRPr="003D3B60">
        <w:rPr>
          <w:rFonts w:cstheme="minorHAnsi"/>
          <w:sz w:val="24"/>
          <w:szCs w:val="24"/>
        </w:rPr>
        <w:lastRenderedPageBreak/>
        <w:t xml:space="preserve">The </w:t>
      </w:r>
      <w:r w:rsidR="00ED136F" w:rsidRPr="003D3B60">
        <w:rPr>
          <w:rFonts w:cstheme="minorHAnsi"/>
          <w:sz w:val="24"/>
          <w:szCs w:val="24"/>
        </w:rPr>
        <w:t xml:space="preserve">OCC’s Claims of Undue </w:t>
      </w:r>
      <w:r w:rsidR="003D107D" w:rsidRPr="003D3B60">
        <w:rPr>
          <w:rFonts w:cstheme="minorHAnsi"/>
          <w:sz w:val="24"/>
          <w:szCs w:val="24"/>
        </w:rPr>
        <w:t xml:space="preserve">Prejudice and Expense </w:t>
      </w:r>
      <w:r w:rsidR="00ED136F" w:rsidRPr="003D3B60">
        <w:rPr>
          <w:rFonts w:cstheme="minorHAnsi"/>
          <w:sz w:val="24"/>
          <w:szCs w:val="24"/>
        </w:rPr>
        <w:t>Are Unsubstantiated</w:t>
      </w:r>
    </w:p>
    <w:p w14:paraId="0BD9C689" w14:textId="10D1DC04" w:rsidR="00644513" w:rsidRPr="003D3B60" w:rsidRDefault="002E6C17" w:rsidP="00C17A21">
      <w:pPr>
        <w:pStyle w:val="BodyText"/>
        <w:keepNext/>
        <w:rPr>
          <w:rFonts w:asciiTheme="minorHAnsi" w:hAnsiTheme="minorHAnsi" w:cstheme="minorHAnsi"/>
        </w:rPr>
      </w:pPr>
      <w:r w:rsidRPr="003D3B60">
        <w:rPr>
          <w:rFonts w:asciiTheme="minorHAnsi" w:hAnsiTheme="minorHAnsi" w:cstheme="minorHAnsi"/>
        </w:rPr>
        <w:t xml:space="preserve">The OCC fails to substantiate claims of undue prejudice and expense in the event that the Interlocutory Appeal is not granted.  </w:t>
      </w:r>
      <w:r w:rsidR="000F094A" w:rsidRPr="003D3B60">
        <w:rPr>
          <w:rFonts w:asciiTheme="minorHAnsi" w:hAnsiTheme="minorHAnsi" w:cstheme="minorHAnsi"/>
        </w:rPr>
        <w:t xml:space="preserve">As a result, the Interlocutory Appeal must fail.  </w:t>
      </w:r>
      <w:r w:rsidRPr="003D3B60">
        <w:rPr>
          <w:rFonts w:asciiTheme="minorHAnsi" w:hAnsiTheme="minorHAnsi" w:cstheme="minorHAnsi"/>
        </w:rPr>
        <w:t xml:space="preserve">The OCC </w:t>
      </w:r>
      <w:r w:rsidR="002E0246" w:rsidRPr="003D3B60">
        <w:rPr>
          <w:rFonts w:asciiTheme="minorHAnsi" w:hAnsiTheme="minorHAnsi" w:cstheme="minorHAnsi"/>
        </w:rPr>
        <w:t xml:space="preserve">asserts </w:t>
      </w:r>
      <w:r w:rsidRPr="003D3B60">
        <w:rPr>
          <w:rFonts w:asciiTheme="minorHAnsi" w:hAnsiTheme="minorHAnsi" w:cstheme="minorHAnsi"/>
        </w:rPr>
        <w:t xml:space="preserve">that the </w:t>
      </w:r>
      <w:r w:rsidR="000F094A" w:rsidRPr="003D3B60">
        <w:rPr>
          <w:rFonts w:asciiTheme="minorHAnsi" w:hAnsiTheme="minorHAnsi" w:cstheme="minorHAnsi"/>
        </w:rPr>
        <w:t>decision</w:t>
      </w:r>
      <w:r w:rsidRPr="003D3B60">
        <w:rPr>
          <w:rFonts w:asciiTheme="minorHAnsi" w:hAnsiTheme="minorHAnsi" w:cstheme="minorHAnsi"/>
        </w:rPr>
        <w:t xml:space="preserve"> to suspend automatic authorization of NOPEC’s CRES certification will result in market uncertainty that </w:t>
      </w:r>
      <w:r w:rsidRPr="003D3B60">
        <w:rPr>
          <w:rFonts w:asciiTheme="minorHAnsi" w:hAnsiTheme="minorHAnsi" w:cstheme="minorHAnsi"/>
          <w:i/>
          <w:iCs/>
        </w:rPr>
        <w:t>could</w:t>
      </w:r>
      <w:r w:rsidRPr="003D3B60">
        <w:rPr>
          <w:rFonts w:asciiTheme="minorHAnsi" w:hAnsiTheme="minorHAnsi" w:cstheme="minorHAnsi"/>
        </w:rPr>
        <w:t xml:space="preserve"> produce higher future electricity prices for FirstEnergy retail customers.</w:t>
      </w:r>
      <w:r w:rsidR="002E0246" w:rsidRPr="003D3B60">
        <w:rPr>
          <w:rStyle w:val="FootnoteReference"/>
          <w:rFonts w:asciiTheme="minorHAnsi" w:hAnsiTheme="minorHAnsi" w:cstheme="minorHAnsi"/>
        </w:rPr>
        <w:footnoteReference w:id="13"/>
      </w:r>
      <w:r w:rsidRPr="003D3B60">
        <w:rPr>
          <w:rFonts w:asciiTheme="minorHAnsi" w:hAnsiTheme="minorHAnsi" w:cstheme="minorHAnsi"/>
        </w:rPr>
        <w:t xml:space="preserve">  The OCC offers no </w:t>
      </w:r>
      <w:r w:rsidR="00ED70CC" w:rsidRPr="003D3B60">
        <w:rPr>
          <w:rFonts w:asciiTheme="minorHAnsi" w:hAnsiTheme="minorHAnsi" w:cstheme="minorHAnsi"/>
        </w:rPr>
        <w:t>factual support for its allegations</w:t>
      </w:r>
      <w:r w:rsidRPr="003D3B60">
        <w:rPr>
          <w:rFonts w:asciiTheme="minorHAnsi" w:hAnsiTheme="minorHAnsi" w:cstheme="minorHAnsi"/>
        </w:rPr>
        <w:t xml:space="preserve"> of hypothetical future price increases, arguing only that the December 9 Entry constitutes such extreme regulatory overreach that </w:t>
      </w:r>
      <w:r w:rsidR="000F094A" w:rsidRPr="003D3B60">
        <w:rPr>
          <w:rFonts w:asciiTheme="minorHAnsi" w:hAnsiTheme="minorHAnsi" w:cstheme="minorHAnsi"/>
        </w:rPr>
        <w:t xml:space="preserve">it will produce </w:t>
      </w:r>
      <w:r w:rsidR="00ED70CC" w:rsidRPr="003D3B60">
        <w:rPr>
          <w:rFonts w:asciiTheme="minorHAnsi" w:hAnsiTheme="minorHAnsi" w:cstheme="minorHAnsi"/>
        </w:rPr>
        <w:t>market uncertainty and “potentially higher electricity prices” for retail customers.</w:t>
      </w:r>
      <w:r w:rsidR="00ED70CC" w:rsidRPr="003D3B60">
        <w:rPr>
          <w:rStyle w:val="FootnoteReference"/>
          <w:rFonts w:asciiTheme="minorHAnsi" w:hAnsiTheme="minorHAnsi" w:cstheme="minorHAnsi"/>
        </w:rPr>
        <w:footnoteReference w:id="14"/>
      </w:r>
      <w:r w:rsidR="00ED70CC" w:rsidRPr="003D3B60">
        <w:rPr>
          <w:rFonts w:asciiTheme="minorHAnsi" w:hAnsiTheme="minorHAnsi" w:cstheme="minorHAnsi"/>
        </w:rPr>
        <w:t xml:space="preserve">  Unfortunately for the OCC, unsupported allegations do not warrant the </w:t>
      </w:r>
      <w:r w:rsidR="00A8369D" w:rsidRPr="003D3B60">
        <w:rPr>
          <w:rFonts w:asciiTheme="minorHAnsi" w:hAnsiTheme="minorHAnsi" w:cstheme="minorHAnsi"/>
        </w:rPr>
        <w:t>extraordinary relief sought in the Interlocutory Appeal.</w:t>
      </w:r>
      <w:r w:rsidR="00027E7B">
        <w:rPr>
          <w:rStyle w:val="FootnoteReference"/>
          <w:rFonts w:asciiTheme="minorHAnsi" w:hAnsiTheme="minorHAnsi" w:cstheme="minorHAnsi"/>
        </w:rPr>
        <w:footnoteReference w:id="15"/>
      </w:r>
      <w:r w:rsidR="00A8369D" w:rsidRPr="003D3B60">
        <w:rPr>
          <w:rFonts w:asciiTheme="minorHAnsi" w:hAnsiTheme="minorHAnsi" w:cstheme="minorHAnsi"/>
        </w:rPr>
        <w:t xml:space="preserve"> </w:t>
      </w:r>
    </w:p>
    <w:p w14:paraId="05419AF3" w14:textId="28C02F2B" w:rsidR="00020405" w:rsidRPr="003D3B60" w:rsidRDefault="00020405" w:rsidP="002E0246">
      <w:pPr>
        <w:pStyle w:val="Heading2"/>
        <w:keepNext/>
        <w:rPr>
          <w:rFonts w:cstheme="minorHAnsi"/>
          <w:sz w:val="24"/>
          <w:szCs w:val="24"/>
        </w:rPr>
      </w:pPr>
      <w:r w:rsidRPr="003D3B60">
        <w:rPr>
          <w:rFonts w:cstheme="minorHAnsi"/>
          <w:sz w:val="24"/>
          <w:szCs w:val="24"/>
        </w:rPr>
        <w:t>Automatic Authorization Threatens Further Harm to Retail Consumers</w:t>
      </w:r>
    </w:p>
    <w:p w14:paraId="015E5418" w14:textId="77777777" w:rsidR="00001CD3" w:rsidRPr="003D3B60" w:rsidRDefault="002E0246" w:rsidP="00765747">
      <w:pPr>
        <w:pStyle w:val="BodyText"/>
        <w:rPr>
          <w:rFonts w:asciiTheme="minorHAnsi" w:hAnsiTheme="minorHAnsi" w:cstheme="minorHAnsi"/>
        </w:rPr>
      </w:pPr>
      <w:r w:rsidRPr="003D3B60">
        <w:rPr>
          <w:rFonts w:asciiTheme="minorHAnsi" w:hAnsiTheme="minorHAnsi" w:cstheme="minorHAnsi"/>
        </w:rPr>
        <w:t xml:space="preserve">The OCC asserts that the Interlocutory Appeal is necessary to prevent harm to retail customers (in the form of potentially higher prices) that </w:t>
      </w:r>
      <w:r w:rsidR="00765747" w:rsidRPr="003D3B60">
        <w:rPr>
          <w:rFonts w:asciiTheme="minorHAnsi" w:hAnsiTheme="minorHAnsi" w:cstheme="minorHAnsi"/>
          <w:i/>
          <w:iCs/>
        </w:rPr>
        <w:t>may</w:t>
      </w:r>
      <w:r w:rsidRPr="003D3B60">
        <w:rPr>
          <w:rFonts w:asciiTheme="minorHAnsi" w:hAnsiTheme="minorHAnsi" w:cstheme="minorHAnsi"/>
        </w:rPr>
        <w:t xml:space="preserve"> occur if NOPEC’s CRES certificate is not automatically authorized.  The OCC is wrong.  </w:t>
      </w:r>
      <w:r w:rsidR="00001CD3" w:rsidRPr="003D3B60">
        <w:rPr>
          <w:rFonts w:asciiTheme="minorHAnsi" w:hAnsiTheme="minorHAnsi" w:cstheme="minorHAnsi"/>
        </w:rPr>
        <w:t xml:space="preserve">In fact, the OCC’s arguments utterly ignore – and ask the Attorney Examiner (and the Commission) to ignore – that </w:t>
      </w:r>
      <w:r w:rsidRPr="003D3B60">
        <w:rPr>
          <w:rFonts w:asciiTheme="minorHAnsi" w:hAnsiTheme="minorHAnsi" w:cstheme="minorHAnsi"/>
        </w:rPr>
        <w:t>NOPEC, through its implementation of the Customer Return, has already harmed retail customer</w:t>
      </w:r>
      <w:r w:rsidR="008C28F8" w:rsidRPr="003D3B60">
        <w:rPr>
          <w:rFonts w:asciiTheme="minorHAnsi" w:hAnsiTheme="minorHAnsi" w:cstheme="minorHAnsi"/>
        </w:rPr>
        <w:t xml:space="preserve">s.  That harm is not theoretical.  </w:t>
      </w:r>
    </w:p>
    <w:p w14:paraId="2E9A7858" w14:textId="4847F839" w:rsidR="00765747" w:rsidRPr="003D3B60" w:rsidRDefault="008C28F8" w:rsidP="00765747">
      <w:pPr>
        <w:pStyle w:val="BodyText"/>
        <w:rPr>
          <w:rFonts w:asciiTheme="minorHAnsi" w:hAnsiTheme="minorHAnsi" w:cstheme="minorHAnsi"/>
        </w:rPr>
      </w:pPr>
      <w:r w:rsidRPr="003D3B60">
        <w:rPr>
          <w:rFonts w:asciiTheme="minorHAnsi" w:hAnsiTheme="minorHAnsi" w:cstheme="minorHAnsi"/>
        </w:rPr>
        <w:lastRenderedPageBreak/>
        <w:t>The clearing price of the first SSO auction FirstEnergy Ohio conducted after the Customer Return was nearly 100% higher than the clearing price of the prior auction.</w:t>
      </w:r>
      <w:r w:rsidR="002266F2" w:rsidRPr="003D3B60">
        <w:rPr>
          <w:rStyle w:val="FootnoteReference"/>
          <w:rFonts w:asciiTheme="minorHAnsi" w:hAnsiTheme="minorHAnsi" w:cstheme="minorHAnsi"/>
        </w:rPr>
        <w:footnoteReference w:id="16"/>
      </w:r>
      <w:r w:rsidRPr="003D3B60">
        <w:rPr>
          <w:rFonts w:asciiTheme="minorHAnsi" w:hAnsiTheme="minorHAnsi" w:cstheme="minorHAnsi"/>
        </w:rPr>
        <w:t xml:space="preserve">  The number of registered bidders</w:t>
      </w:r>
      <w:r w:rsidR="002266F2" w:rsidRPr="003D3B60">
        <w:rPr>
          <w:rFonts w:asciiTheme="minorHAnsi" w:hAnsiTheme="minorHAnsi" w:cstheme="minorHAnsi"/>
        </w:rPr>
        <w:t xml:space="preserve"> fell by nearly half –</w:t>
      </w:r>
      <w:r w:rsidRPr="003D3B60">
        <w:rPr>
          <w:rFonts w:asciiTheme="minorHAnsi" w:hAnsiTheme="minorHAnsi" w:cstheme="minorHAnsi"/>
        </w:rPr>
        <w:t xml:space="preserve"> from seven (7) to eleven (11).</w:t>
      </w:r>
      <w:r w:rsidR="002266F2" w:rsidRPr="003D3B60">
        <w:rPr>
          <w:rStyle w:val="FootnoteReference"/>
          <w:rFonts w:asciiTheme="minorHAnsi" w:hAnsiTheme="minorHAnsi" w:cstheme="minorHAnsi"/>
        </w:rPr>
        <w:footnoteReference w:id="17"/>
      </w:r>
      <w:r w:rsidRPr="003D3B60">
        <w:rPr>
          <w:rFonts w:asciiTheme="minorHAnsi" w:hAnsiTheme="minorHAnsi" w:cstheme="minorHAnsi"/>
        </w:rPr>
        <w:t xml:space="preserve">  Similar results were also seen in AEP Ohio’s first post-Customer Return SSO auction.</w:t>
      </w:r>
      <w:r w:rsidR="002266F2" w:rsidRPr="003D3B60">
        <w:rPr>
          <w:rStyle w:val="FootnoteReference"/>
          <w:rFonts w:asciiTheme="minorHAnsi" w:hAnsiTheme="minorHAnsi" w:cstheme="minorHAnsi"/>
        </w:rPr>
        <w:footnoteReference w:id="18"/>
      </w:r>
      <w:r w:rsidRPr="003D3B60">
        <w:rPr>
          <w:rFonts w:asciiTheme="minorHAnsi" w:hAnsiTheme="minorHAnsi" w:cstheme="minorHAnsi"/>
        </w:rPr>
        <w:t xml:space="preserve">  </w:t>
      </w:r>
      <w:r w:rsidR="00765747" w:rsidRPr="003D3B60">
        <w:rPr>
          <w:rFonts w:asciiTheme="minorHAnsi" w:hAnsiTheme="minorHAnsi" w:cstheme="minorHAnsi"/>
        </w:rPr>
        <w:t>These results establish that t</w:t>
      </w:r>
      <w:r w:rsidRPr="003D3B60">
        <w:rPr>
          <w:rFonts w:asciiTheme="minorHAnsi" w:hAnsiTheme="minorHAnsi" w:cstheme="minorHAnsi"/>
        </w:rPr>
        <w:t xml:space="preserve">here </w:t>
      </w:r>
      <w:r w:rsidRPr="003D3B60">
        <w:rPr>
          <w:rFonts w:asciiTheme="minorHAnsi" w:hAnsiTheme="minorHAnsi" w:cstheme="minorHAnsi"/>
          <w:i/>
          <w:iCs/>
        </w:rPr>
        <w:t>is</w:t>
      </w:r>
      <w:r w:rsidRPr="003D3B60">
        <w:rPr>
          <w:rFonts w:asciiTheme="minorHAnsi" w:hAnsiTheme="minorHAnsi" w:cstheme="minorHAnsi"/>
        </w:rPr>
        <w:t xml:space="preserve"> a part</w:t>
      </w:r>
      <w:r w:rsidR="006F233C" w:rsidRPr="003D3B60">
        <w:rPr>
          <w:rFonts w:asciiTheme="minorHAnsi" w:hAnsiTheme="minorHAnsi" w:cstheme="minorHAnsi"/>
        </w:rPr>
        <w:t>icipant</w:t>
      </w:r>
      <w:r w:rsidRPr="003D3B60">
        <w:rPr>
          <w:rFonts w:asciiTheme="minorHAnsi" w:hAnsiTheme="minorHAnsi" w:cstheme="minorHAnsi"/>
        </w:rPr>
        <w:t xml:space="preserve"> to this proceeding that has injected uncertainty into the Ohio electricity market.  That uncertainty </w:t>
      </w:r>
      <w:r w:rsidR="00765747" w:rsidRPr="003D3B60">
        <w:rPr>
          <w:rFonts w:asciiTheme="minorHAnsi" w:hAnsiTheme="minorHAnsi" w:cstheme="minorHAnsi"/>
        </w:rPr>
        <w:t xml:space="preserve">has </w:t>
      </w:r>
      <w:r w:rsidRPr="003D3B60">
        <w:rPr>
          <w:rFonts w:asciiTheme="minorHAnsi" w:hAnsiTheme="minorHAnsi" w:cstheme="minorHAnsi"/>
        </w:rPr>
        <w:t>chased SSO suppliers from the marketplace and resulted in increased SSO prices</w:t>
      </w:r>
      <w:r w:rsidR="002266F2" w:rsidRPr="003D3B60">
        <w:rPr>
          <w:rFonts w:asciiTheme="minorHAnsi" w:hAnsiTheme="minorHAnsi" w:cstheme="minorHAnsi"/>
        </w:rPr>
        <w:t>,</w:t>
      </w:r>
      <w:r w:rsidRPr="003D3B60">
        <w:rPr>
          <w:rFonts w:asciiTheme="minorHAnsi" w:hAnsiTheme="minorHAnsi" w:cstheme="minorHAnsi"/>
        </w:rPr>
        <w:t xml:space="preserve"> which translates to higher retail prices</w:t>
      </w:r>
      <w:r w:rsidR="004B103B" w:rsidRPr="003D3B60">
        <w:rPr>
          <w:rFonts w:asciiTheme="minorHAnsi" w:hAnsiTheme="minorHAnsi" w:cstheme="minorHAnsi"/>
        </w:rPr>
        <w:t xml:space="preserve"> – for the very SSO service that NOPEC has improperly used as its backstop</w:t>
      </w:r>
      <w:r w:rsidRPr="003D3B60">
        <w:rPr>
          <w:rFonts w:asciiTheme="minorHAnsi" w:hAnsiTheme="minorHAnsi" w:cstheme="minorHAnsi"/>
        </w:rPr>
        <w:t xml:space="preserve">.  </w:t>
      </w:r>
      <w:r w:rsidR="00765747" w:rsidRPr="003D3B60">
        <w:rPr>
          <w:rFonts w:asciiTheme="minorHAnsi" w:hAnsiTheme="minorHAnsi" w:cstheme="minorHAnsi"/>
        </w:rPr>
        <w:t>The part</w:t>
      </w:r>
      <w:r w:rsidR="006F233C" w:rsidRPr="003D3B60">
        <w:rPr>
          <w:rFonts w:asciiTheme="minorHAnsi" w:hAnsiTheme="minorHAnsi" w:cstheme="minorHAnsi"/>
        </w:rPr>
        <w:t>icipant</w:t>
      </w:r>
      <w:r w:rsidR="00765747" w:rsidRPr="003D3B60">
        <w:rPr>
          <w:rFonts w:asciiTheme="minorHAnsi" w:hAnsiTheme="minorHAnsi" w:cstheme="minorHAnsi"/>
        </w:rPr>
        <w:t xml:space="preserve"> responsible for this uncertainty, however, is not the Commissioner or the Attorney Examiner – it is</w:t>
      </w:r>
      <w:r w:rsidRPr="003D3B60">
        <w:rPr>
          <w:rFonts w:asciiTheme="minorHAnsi" w:hAnsiTheme="minorHAnsi" w:cstheme="minorHAnsi"/>
        </w:rPr>
        <w:t xml:space="preserve"> NOPEC.  </w:t>
      </w:r>
    </w:p>
    <w:p w14:paraId="5BCAD417" w14:textId="2A1D3FC0" w:rsidR="002E0246" w:rsidRPr="003D3B60" w:rsidRDefault="008C28F8" w:rsidP="00765747">
      <w:pPr>
        <w:pStyle w:val="BodyText"/>
        <w:rPr>
          <w:rFonts w:asciiTheme="minorHAnsi" w:hAnsiTheme="minorHAnsi" w:cstheme="minorHAnsi"/>
        </w:rPr>
      </w:pPr>
      <w:r w:rsidRPr="003D3B60">
        <w:rPr>
          <w:rFonts w:asciiTheme="minorHAnsi" w:hAnsiTheme="minorHAnsi" w:cstheme="minorHAnsi"/>
        </w:rPr>
        <w:t xml:space="preserve">The precise theoretical harms that the OCC is concerned </w:t>
      </w:r>
      <w:r w:rsidR="00765747" w:rsidRPr="003D3B60">
        <w:rPr>
          <w:rFonts w:asciiTheme="minorHAnsi" w:hAnsiTheme="minorHAnsi" w:cstheme="minorHAnsi"/>
          <w:i/>
          <w:iCs/>
        </w:rPr>
        <w:t xml:space="preserve">may </w:t>
      </w:r>
      <w:r w:rsidRPr="003D3B60">
        <w:rPr>
          <w:rFonts w:asciiTheme="minorHAnsi" w:hAnsiTheme="minorHAnsi" w:cstheme="minorHAnsi"/>
        </w:rPr>
        <w:t xml:space="preserve">result from the “regulatory overreach” of the December 9 Entry </w:t>
      </w:r>
      <w:r w:rsidRPr="003D3B60">
        <w:rPr>
          <w:rFonts w:asciiTheme="minorHAnsi" w:hAnsiTheme="minorHAnsi" w:cstheme="minorHAnsi"/>
          <w:i/>
          <w:iCs/>
        </w:rPr>
        <w:t xml:space="preserve">have </w:t>
      </w:r>
      <w:r w:rsidR="006F233C" w:rsidRPr="003D3B60">
        <w:rPr>
          <w:rFonts w:asciiTheme="minorHAnsi" w:hAnsiTheme="minorHAnsi" w:cstheme="minorHAnsi"/>
        </w:rPr>
        <w:t>resulted from</w:t>
      </w:r>
      <w:r w:rsidR="00765747" w:rsidRPr="003D3B60">
        <w:rPr>
          <w:rFonts w:asciiTheme="minorHAnsi" w:hAnsiTheme="minorHAnsi" w:cstheme="minorHAnsi"/>
        </w:rPr>
        <w:t xml:space="preserve"> the Customer Return</w:t>
      </w:r>
      <w:r w:rsidRPr="003D3B60">
        <w:rPr>
          <w:rFonts w:asciiTheme="minorHAnsi" w:hAnsiTheme="minorHAnsi" w:cstheme="minorHAnsi"/>
        </w:rPr>
        <w:t>.</w:t>
      </w:r>
      <w:r w:rsidR="00765747" w:rsidRPr="003D3B60">
        <w:rPr>
          <w:rFonts w:asciiTheme="minorHAnsi" w:hAnsiTheme="minorHAnsi" w:cstheme="minorHAnsi"/>
        </w:rPr>
        <w:t xml:space="preserve">  SSO auction prices increased </w:t>
      </w:r>
      <w:r w:rsidR="00E20085" w:rsidRPr="003D3B60">
        <w:rPr>
          <w:rFonts w:asciiTheme="minorHAnsi" w:hAnsiTheme="minorHAnsi" w:cstheme="minorHAnsi"/>
        </w:rPr>
        <w:t>dramatically,</w:t>
      </w:r>
      <w:r w:rsidR="00765747" w:rsidRPr="003D3B60">
        <w:rPr>
          <w:rFonts w:asciiTheme="minorHAnsi" w:hAnsiTheme="minorHAnsi" w:cstheme="minorHAnsi"/>
        </w:rPr>
        <w:t xml:space="preserve"> and auction participation plummeted</w:t>
      </w:r>
      <w:r w:rsidR="002350BD" w:rsidRPr="003D3B60">
        <w:rPr>
          <w:rFonts w:asciiTheme="minorHAnsi" w:hAnsiTheme="minorHAnsi" w:cstheme="minorHAnsi"/>
        </w:rPr>
        <w:t xml:space="preserve">.  This happened because </w:t>
      </w:r>
      <w:r w:rsidR="004B103B" w:rsidRPr="003D3B60">
        <w:rPr>
          <w:rFonts w:asciiTheme="minorHAnsi" w:hAnsiTheme="minorHAnsi" w:cstheme="minorHAnsi"/>
        </w:rPr>
        <w:t>potential</w:t>
      </w:r>
      <w:r w:rsidR="00765747" w:rsidRPr="003D3B60">
        <w:rPr>
          <w:rFonts w:asciiTheme="minorHAnsi" w:hAnsiTheme="minorHAnsi" w:cstheme="minorHAnsi"/>
        </w:rPr>
        <w:t xml:space="preserve"> SSO suppliers were uncertain about how </w:t>
      </w:r>
      <w:r w:rsidR="002350BD" w:rsidRPr="003D3B60">
        <w:rPr>
          <w:rFonts w:asciiTheme="minorHAnsi" w:hAnsiTheme="minorHAnsi" w:cstheme="minorHAnsi"/>
        </w:rPr>
        <w:t xml:space="preserve">the Customer Return would impact </w:t>
      </w:r>
      <w:r w:rsidR="004B103B" w:rsidRPr="003D3B60">
        <w:rPr>
          <w:rFonts w:asciiTheme="minorHAnsi" w:hAnsiTheme="minorHAnsi" w:cstheme="minorHAnsi"/>
        </w:rPr>
        <w:t xml:space="preserve">their potential </w:t>
      </w:r>
      <w:r w:rsidR="002350BD" w:rsidRPr="003D3B60">
        <w:rPr>
          <w:rFonts w:asciiTheme="minorHAnsi" w:hAnsiTheme="minorHAnsi" w:cstheme="minorHAnsi"/>
        </w:rPr>
        <w:t xml:space="preserve">SSO load obligations.  The market is still contending with this uncertainty. </w:t>
      </w:r>
      <w:r w:rsidR="00765747" w:rsidRPr="003D3B60">
        <w:rPr>
          <w:rFonts w:asciiTheme="minorHAnsi" w:hAnsiTheme="minorHAnsi" w:cstheme="minorHAnsi"/>
        </w:rPr>
        <w:t xml:space="preserve"> Returning NOPEC to the CRES landscape</w:t>
      </w:r>
      <w:r w:rsidR="002350BD" w:rsidRPr="003D3B60">
        <w:rPr>
          <w:rFonts w:asciiTheme="minorHAnsi" w:hAnsiTheme="minorHAnsi" w:cstheme="minorHAnsi"/>
        </w:rPr>
        <w:t xml:space="preserve"> without allowing the Commission the ti</w:t>
      </w:r>
      <w:r w:rsidR="00E20085" w:rsidRPr="003D3B60">
        <w:rPr>
          <w:rFonts w:asciiTheme="minorHAnsi" w:hAnsiTheme="minorHAnsi" w:cstheme="minorHAnsi"/>
        </w:rPr>
        <w:t xml:space="preserve">me </w:t>
      </w:r>
      <w:r w:rsidR="002266F2" w:rsidRPr="003D3B60">
        <w:rPr>
          <w:rFonts w:asciiTheme="minorHAnsi" w:hAnsiTheme="minorHAnsi" w:cstheme="minorHAnsi"/>
        </w:rPr>
        <w:t>it is expressly permitted under</w:t>
      </w:r>
      <w:r w:rsidR="002350BD" w:rsidRPr="003D3B60">
        <w:rPr>
          <w:rFonts w:asciiTheme="minorHAnsi" w:hAnsiTheme="minorHAnsi" w:cstheme="minorHAnsi"/>
        </w:rPr>
        <w:t xml:space="preserve"> the </w:t>
      </w:r>
      <w:r w:rsidR="002266F2" w:rsidRPr="003D3B60">
        <w:rPr>
          <w:rFonts w:asciiTheme="minorHAnsi" w:hAnsiTheme="minorHAnsi" w:cstheme="minorHAnsi"/>
        </w:rPr>
        <w:t xml:space="preserve">Ohio </w:t>
      </w:r>
      <w:r w:rsidR="008522C1" w:rsidRPr="003D3B60">
        <w:rPr>
          <w:rFonts w:asciiTheme="minorHAnsi" w:hAnsiTheme="minorHAnsi" w:cstheme="minorHAnsi"/>
        </w:rPr>
        <w:t>Revised</w:t>
      </w:r>
      <w:r w:rsidR="002266F2" w:rsidRPr="003D3B60">
        <w:rPr>
          <w:rFonts w:asciiTheme="minorHAnsi" w:hAnsiTheme="minorHAnsi" w:cstheme="minorHAnsi"/>
        </w:rPr>
        <w:t xml:space="preserve"> Code</w:t>
      </w:r>
      <w:r w:rsidR="002350BD" w:rsidRPr="003D3B60">
        <w:rPr>
          <w:rFonts w:asciiTheme="minorHAnsi" w:hAnsiTheme="minorHAnsi" w:cstheme="minorHAnsi"/>
        </w:rPr>
        <w:t xml:space="preserve"> to assess NOPEC’s fitness as a CRE</w:t>
      </w:r>
      <w:r w:rsidR="002266F2" w:rsidRPr="003D3B60">
        <w:rPr>
          <w:rFonts w:asciiTheme="minorHAnsi" w:hAnsiTheme="minorHAnsi" w:cstheme="minorHAnsi"/>
        </w:rPr>
        <w:t>S</w:t>
      </w:r>
      <w:r w:rsidR="002350BD" w:rsidRPr="003D3B60">
        <w:rPr>
          <w:rFonts w:asciiTheme="minorHAnsi" w:hAnsiTheme="minorHAnsi" w:cstheme="minorHAnsi"/>
        </w:rPr>
        <w:t xml:space="preserve"> governmental aggregator </w:t>
      </w:r>
      <w:r w:rsidR="00765747" w:rsidRPr="003D3B60">
        <w:rPr>
          <w:rFonts w:asciiTheme="minorHAnsi" w:hAnsiTheme="minorHAnsi" w:cstheme="minorHAnsi"/>
        </w:rPr>
        <w:t xml:space="preserve">will not resolve this uncertainty.  If anything, </w:t>
      </w:r>
      <w:r w:rsidR="002350BD" w:rsidRPr="003D3B60">
        <w:rPr>
          <w:rFonts w:asciiTheme="minorHAnsi" w:hAnsiTheme="minorHAnsi" w:cstheme="minorHAnsi"/>
          <w:i/>
          <w:iCs/>
        </w:rPr>
        <w:t>automatically authorizing</w:t>
      </w:r>
      <w:r w:rsidR="002350BD" w:rsidRPr="003D3B60">
        <w:rPr>
          <w:rFonts w:asciiTheme="minorHAnsi" w:hAnsiTheme="minorHAnsi" w:cstheme="minorHAnsi"/>
        </w:rPr>
        <w:t xml:space="preserve"> NOPEC</w:t>
      </w:r>
      <w:r w:rsidR="00765747" w:rsidRPr="003D3B60">
        <w:rPr>
          <w:rFonts w:asciiTheme="minorHAnsi" w:hAnsiTheme="minorHAnsi" w:cstheme="minorHAnsi"/>
          <w:i/>
          <w:iCs/>
        </w:rPr>
        <w:t xml:space="preserve"> </w:t>
      </w:r>
      <w:r w:rsidR="00765747" w:rsidRPr="003D3B60">
        <w:rPr>
          <w:rFonts w:asciiTheme="minorHAnsi" w:hAnsiTheme="minorHAnsi" w:cstheme="minorHAnsi"/>
        </w:rPr>
        <w:t xml:space="preserve">to </w:t>
      </w:r>
      <w:r w:rsidR="002350BD" w:rsidRPr="003D3B60">
        <w:rPr>
          <w:rFonts w:asciiTheme="minorHAnsi" w:hAnsiTheme="minorHAnsi" w:cstheme="minorHAnsi"/>
        </w:rPr>
        <w:t xml:space="preserve">return to the </w:t>
      </w:r>
      <w:r w:rsidR="00765747" w:rsidRPr="003D3B60">
        <w:rPr>
          <w:rFonts w:asciiTheme="minorHAnsi" w:hAnsiTheme="minorHAnsi" w:cstheme="minorHAnsi"/>
        </w:rPr>
        <w:t xml:space="preserve">CRES governmental aggregator obligations it unilaterally shed to the tune of over half-a-million customers less than four months </w:t>
      </w:r>
      <w:r w:rsidR="002350BD" w:rsidRPr="003D3B60">
        <w:rPr>
          <w:rFonts w:asciiTheme="minorHAnsi" w:hAnsiTheme="minorHAnsi" w:cstheme="minorHAnsi"/>
        </w:rPr>
        <w:t>ago is likely to</w:t>
      </w:r>
      <w:r w:rsidR="00765747" w:rsidRPr="003D3B60">
        <w:rPr>
          <w:rFonts w:asciiTheme="minorHAnsi" w:hAnsiTheme="minorHAnsi" w:cstheme="minorHAnsi"/>
        </w:rPr>
        <w:t xml:space="preserve"> trigger further uncertainty </w:t>
      </w:r>
      <w:r w:rsidR="002350BD" w:rsidRPr="003D3B60">
        <w:rPr>
          <w:rFonts w:asciiTheme="minorHAnsi" w:hAnsiTheme="minorHAnsi" w:cstheme="minorHAnsi"/>
        </w:rPr>
        <w:t xml:space="preserve">and </w:t>
      </w:r>
      <w:r w:rsidR="002350BD" w:rsidRPr="003D3B60">
        <w:rPr>
          <w:rFonts w:asciiTheme="minorHAnsi" w:hAnsiTheme="minorHAnsi" w:cstheme="minorHAnsi"/>
        </w:rPr>
        <w:lastRenderedPageBreak/>
        <w:t xml:space="preserve">dysfunction </w:t>
      </w:r>
      <w:r w:rsidR="00765747" w:rsidRPr="003D3B60">
        <w:rPr>
          <w:rFonts w:asciiTheme="minorHAnsi" w:hAnsiTheme="minorHAnsi" w:cstheme="minorHAnsi"/>
        </w:rPr>
        <w:t xml:space="preserve">in </w:t>
      </w:r>
      <w:r w:rsidR="00A8369D" w:rsidRPr="003D3B60">
        <w:rPr>
          <w:rFonts w:asciiTheme="minorHAnsi" w:hAnsiTheme="minorHAnsi" w:cstheme="minorHAnsi"/>
        </w:rPr>
        <w:t xml:space="preserve">a market </w:t>
      </w:r>
      <w:r w:rsidR="00765747" w:rsidRPr="003D3B60">
        <w:rPr>
          <w:rFonts w:asciiTheme="minorHAnsi" w:hAnsiTheme="minorHAnsi" w:cstheme="minorHAnsi"/>
        </w:rPr>
        <w:t xml:space="preserve">that </w:t>
      </w:r>
      <w:r w:rsidR="00A8369D" w:rsidRPr="003D3B60">
        <w:rPr>
          <w:rFonts w:asciiTheme="minorHAnsi" w:hAnsiTheme="minorHAnsi" w:cstheme="minorHAnsi"/>
        </w:rPr>
        <w:t>is</w:t>
      </w:r>
      <w:r w:rsidR="002266F2" w:rsidRPr="003D3B60">
        <w:rPr>
          <w:rFonts w:asciiTheme="minorHAnsi" w:hAnsiTheme="minorHAnsi" w:cstheme="minorHAnsi"/>
        </w:rPr>
        <w:t xml:space="preserve"> </w:t>
      </w:r>
      <w:r w:rsidR="00765747" w:rsidRPr="003D3B60">
        <w:rPr>
          <w:rFonts w:asciiTheme="minorHAnsi" w:hAnsiTheme="minorHAnsi" w:cstheme="minorHAnsi"/>
        </w:rPr>
        <w:t xml:space="preserve">only now beginning </w:t>
      </w:r>
      <w:r w:rsidR="00A8369D" w:rsidRPr="003D3B60">
        <w:rPr>
          <w:rFonts w:asciiTheme="minorHAnsi" w:hAnsiTheme="minorHAnsi" w:cstheme="minorHAnsi"/>
        </w:rPr>
        <w:t>to understand, and m</w:t>
      </w:r>
      <w:r w:rsidR="002266F2" w:rsidRPr="003D3B60">
        <w:rPr>
          <w:rFonts w:asciiTheme="minorHAnsi" w:hAnsiTheme="minorHAnsi" w:cstheme="minorHAnsi"/>
        </w:rPr>
        <w:t>itigate</w:t>
      </w:r>
      <w:r w:rsidR="00A8369D" w:rsidRPr="003D3B60">
        <w:rPr>
          <w:rFonts w:asciiTheme="minorHAnsi" w:hAnsiTheme="minorHAnsi" w:cstheme="minorHAnsi"/>
        </w:rPr>
        <w:t>,</w:t>
      </w:r>
      <w:r w:rsidR="00765747" w:rsidRPr="003D3B60">
        <w:rPr>
          <w:rFonts w:asciiTheme="minorHAnsi" w:hAnsiTheme="minorHAnsi" w:cstheme="minorHAnsi"/>
        </w:rPr>
        <w:t xml:space="preserve"> the impact of the Customer Return</w:t>
      </w:r>
      <w:r w:rsidR="002266F2" w:rsidRPr="003D3B60">
        <w:rPr>
          <w:rFonts w:asciiTheme="minorHAnsi" w:hAnsiTheme="minorHAnsi" w:cstheme="minorHAnsi"/>
        </w:rPr>
        <w:t>.</w:t>
      </w:r>
    </w:p>
    <w:p w14:paraId="1C1B1893" w14:textId="0E0CC320" w:rsidR="003633A6" w:rsidRPr="003D3B60" w:rsidRDefault="003633A6" w:rsidP="003633A6">
      <w:pPr>
        <w:pStyle w:val="Heading2"/>
        <w:rPr>
          <w:rFonts w:cstheme="minorHAnsi"/>
          <w:sz w:val="24"/>
          <w:szCs w:val="24"/>
        </w:rPr>
      </w:pPr>
      <w:r w:rsidRPr="003D3B60">
        <w:rPr>
          <w:rFonts w:cstheme="minorHAnsi"/>
          <w:sz w:val="24"/>
          <w:szCs w:val="24"/>
        </w:rPr>
        <w:t xml:space="preserve">“Industry-Wide Generic” Proceedings Will Not </w:t>
      </w:r>
      <w:r w:rsidR="0050306A" w:rsidRPr="003D3B60">
        <w:rPr>
          <w:rFonts w:cstheme="minorHAnsi"/>
          <w:sz w:val="24"/>
          <w:szCs w:val="24"/>
        </w:rPr>
        <w:t>Mitigate the Impact of</w:t>
      </w:r>
      <w:r w:rsidRPr="003D3B60">
        <w:rPr>
          <w:rFonts w:cstheme="minorHAnsi"/>
          <w:sz w:val="24"/>
          <w:szCs w:val="24"/>
        </w:rPr>
        <w:t xml:space="preserve"> NOPEC’s Malfeasance</w:t>
      </w:r>
    </w:p>
    <w:p w14:paraId="7A19CC46" w14:textId="2E33776A" w:rsidR="002266F2" w:rsidRPr="003D3B60" w:rsidRDefault="002266F2" w:rsidP="002266F2">
      <w:pPr>
        <w:pStyle w:val="BodyText"/>
        <w:rPr>
          <w:rFonts w:asciiTheme="minorHAnsi" w:hAnsiTheme="minorHAnsi" w:cstheme="minorHAnsi"/>
        </w:rPr>
      </w:pPr>
      <w:r w:rsidRPr="003D3B60">
        <w:rPr>
          <w:rFonts w:asciiTheme="minorHAnsi" w:hAnsiTheme="minorHAnsi" w:cstheme="minorHAnsi"/>
        </w:rPr>
        <w:t>The OCC suggests that the appropriate venue to assess NOPEC’s fitness as a CRES governmental aggregator is the Commission’s “often-used generic review in industry</w:t>
      </w:r>
      <w:r w:rsidR="00BC3CAA">
        <w:rPr>
          <w:rFonts w:asciiTheme="minorHAnsi" w:hAnsiTheme="minorHAnsi" w:cstheme="minorHAnsi"/>
        </w:rPr>
        <w:t>-</w:t>
      </w:r>
      <w:r w:rsidRPr="003D3B60">
        <w:rPr>
          <w:rFonts w:asciiTheme="minorHAnsi" w:hAnsiTheme="minorHAnsi" w:cstheme="minorHAnsi"/>
        </w:rPr>
        <w:t>wide cases for consumer protection.”</w:t>
      </w:r>
      <w:r w:rsidR="00BC3CAA">
        <w:rPr>
          <w:rStyle w:val="FootnoteReference"/>
          <w:rFonts w:asciiTheme="minorHAnsi" w:hAnsiTheme="minorHAnsi" w:cstheme="minorHAnsi"/>
        </w:rPr>
        <w:footnoteReference w:id="19"/>
      </w:r>
      <w:r w:rsidRPr="003D3B60">
        <w:rPr>
          <w:rFonts w:asciiTheme="minorHAnsi" w:hAnsiTheme="minorHAnsi" w:cstheme="minorHAnsi"/>
        </w:rPr>
        <w:t xml:space="preserve">  The OCC err</w:t>
      </w:r>
      <w:r w:rsidR="00BC3CAA">
        <w:rPr>
          <w:rFonts w:asciiTheme="minorHAnsi" w:hAnsiTheme="minorHAnsi" w:cstheme="minorHAnsi"/>
        </w:rPr>
        <w:t>s yet</w:t>
      </w:r>
      <w:r w:rsidRPr="003D3B60">
        <w:rPr>
          <w:rFonts w:asciiTheme="minorHAnsi" w:hAnsiTheme="minorHAnsi" w:cstheme="minorHAnsi"/>
        </w:rPr>
        <w:t xml:space="preserve"> again. </w:t>
      </w:r>
    </w:p>
    <w:p w14:paraId="21292DCA" w14:textId="14AA4A7B" w:rsidR="00ED136F" w:rsidRPr="003D3B60" w:rsidRDefault="001968AD" w:rsidP="003D3B60">
      <w:pPr>
        <w:pStyle w:val="BodyText"/>
        <w:rPr>
          <w:rFonts w:asciiTheme="minorHAnsi" w:hAnsiTheme="minorHAnsi" w:cstheme="minorHAnsi"/>
        </w:rPr>
      </w:pPr>
      <w:r w:rsidRPr="003D3B60">
        <w:rPr>
          <w:rFonts w:asciiTheme="minorHAnsi" w:hAnsiTheme="minorHAnsi" w:cstheme="minorHAnsi"/>
        </w:rPr>
        <w:t xml:space="preserve">Prior to the Customer Return, NOPEC </w:t>
      </w:r>
      <w:r w:rsidR="008E00CB" w:rsidRPr="003D3B60">
        <w:rPr>
          <w:rFonts w:asciiTheme="minorHAnsi" w:hAnsiTheme="minorHAnsi" w:cstheme="minorHAnsi"/>
        </w:rPr>
        <w:t xml:space="preserve">had </w:t>
      </w:r>
      <w:r w:rsidRPr="003D3B60">
        <w:rPr>
          <w:rFonts w:asciiTheme="minorHAnsi" w:hAnsiTheme="minorHAnsi" w:cstheme="minorHAnsi"/>
        </w:rPr>
        <w:t>neve</w:t>
      </w:r>
      <w:r w:rsidR="008E00CB" w:rsidRPr="003D3B60">
        <w:rPr>
          <w:rFonts w:asciiTheme="minorHAnsi" w:hAnsiTheme="minorHAnsi" w:cstheme="minorHAnsi"/>
        </w:rPr>
        <w:t>r</w:t>
      </w:r>
      <w:r w:rsidRPr="003D3B60">
        <w:rPr>
          <w:rFonts w:asciiTheme="minorHAnsi" w:hAnsiTheme="minorHAnsi" w:cstheme="minorHAnsi"/>
        </w:rPr>
        <w:t xml:space="preserve"> unilaterally discharged its obligation to competitively source electricity for its SPP customers.  In </w:t>
      </w:r>
      <w:r w:rsidR="008E00CB" w:rsidRPr="003D3B60">
        <w:rPr>
          <w:rFonts w:asciiTheme="minorHAnsi" w:hAnsiTheme="minorHAnsi" w:cstheme="minorHAnsi"/>
        </w:rPr>
        <w:t xml:space="preserve">the </w:t>
      </w:r>
      <w:r w:rsidRPr="003D3B60">
        <w:rPr>
          <w:rFonts w:asciiTheme="minorHAnsi" w:hAnsiTheme="minorHAnsi" w:cstheme="minorHAnsi"/>
        </w:rPr>
        <w:t xml:space="preserve">Show Cause Order, the Commission recognized the unprecedented nature of the Customer Return and found that the way in which NOPEC carried out the Customer Return raised </w:t>
      </w:r>
      <w:r w:rsidRPr="003D3B60">
        <w:rPr>
          <w:rFonts w:asciiTheme="minorHAnsi" w:hAnsiTheme="minorHAnsi" w:cstheme="minorHAnsi"/>
          <w:i/>
          <w:iCs/>
        </w:rPr>
        <w:t>prima facie</w:t>
      </w:r>
      <w:r w:rsidRPr="003D3B60">
        <w:rPr>
          <w:rFonts w:asciiTheme="minorHAnsi" w:hAnsiTheme="minorHAnsi" w:cstheme="minorHAnsi"/>
        </w:rPr>
        <w:t xml:space="preserve"> concerns about NOPEC’s continued fitness as a CRES governmental aggregator.  This proceeding does not present the Commission with issues of general interpretation appropriate for industry-wide review.  The issue before the Commission</w:t>
      </w:r>
      <w:r w:rsidR="00E20085" w:rsidRPr="003D3B60">
        <w:rPr>
          <w:rFonts w:asciiTheme="minorHAnsi" w:hAnsiTheme="minorHAnsi" w:cstheme="minorHAnsi"/>
        </w:rPr>
        <w:t xml:space="preserve"> in this proceeding</w:t>
      </w:r>
      <w:r w:rsidRPr="003D3B60">
        <w:rPr>
          <w:rFonts w:asciiTheme="minorHAnsi" w:hAnsiTheme="minorHAnsi" w:cstheme="minorHAnsi"/>
        </w:rPr>
        <w:t xml:space="preserve"> is the technical, commercial, and managerial fitness of </w:t>
      </w:r>
      <w:r w:rsidR="004B103B" w:rsidRPr="003D3B60">
        <w:rPr>
          <w:rFonts w:asciiTheme="minorHAnsi" w:hAnsiTheme="minorHAnsi" w:cstheme="minorHAnsi"/>
        </w:rPr>
        <w:t>one</w:t>
      </w:r>
      <w:r w:rsidR="00E20085" w:rsidRPr="003D3B60">
        <w:rPr>
          <w:rFonts w:asciiTheme="minorHAnsi" w:hAnsiTheme="minorHAnsi" w:cstheme="minorHAnsi"/>
        </w:rPr>
        <w:t xml:space="preserve"> </w:t>
      </w:r>
      <w:r w:rsidRPr="003D3B60">
        <w:rPr>
          <w:rFonts w:asciiTheme="minorHAnsi" w:hAnsiTheme="minorHAnsi" w:cstheme="minorHAnsi"/>
        </w:rPr>
        <w:t>CRES governmental aggregator – NOPEC.</w:t>
      </w:r>
      <w:r w:rsidR="008F67AA" w:rsidRPr="003D3B60">
        <w:rPr>
          <w:rFonts w:asciiTheme="minorHAnsi" w:hAnsiTheme="minorHAnsi" w:cstheme="minorHAnsi"/>
        </w:rPr>
        <w:t xml:space="preserve">  Auction data demonstrates that the Customer Return had an adverse impact on SSO auction clearing prices.  Further,  i</w:t>
      </w:r>
      <w:r w:rsidRPr="003D3B60">
        <w:rPr>
          <w:rFonts w:asciiTheme="minorHAnsi" w:hAnsiTheme="minorHAnsi" w:cstheme="minorHAnsi"/>
        </w:rPr>
        <w:t xml:space="preserve">nformation adduced in this proceeding suggests that NOPEC contemplated using the Customer Return </w:t>
      </w:r>
      <w:r w:rsidR="00BC3CAA">
        <w:rPr>
          <w:rFonts w:asciiTheme="minorHAnsi" w:hAnsiTheme="minorHAnsi" w:cstheme="minorHAnsi"/>
        </w:rPr>
        <w:t>to</w:t>
      </w:r>
      <w:r w:rsidR="00BC3CAA" w:rsidRPr="003D3B60">
        <w:rPr>
          <w:rFonts w:asciiTheme="minorHAnsi" w:hAnsiTheme="minorHAnsi" w:cstheme="minorHAnsi"/>
        </w:rPr>
        <w:t xml:space="preserve"> </w:t>
      </w:r>
      <w:r w:rsidRPr="003D3B60">
        <w:rPr>
          <w:rFonts w:asciiTheme="minorHAnsi" w:hAnsiTheme="minorHAnsi" w:cstheme="minorHAnsi"/>
        </w:rPr>
        <w:t>its own competitive advantage.</w:t>
      </w:r>
      <w:r w:rsidR="008F67AA" w:rsidRPr="003D3B60">
        <w:rPr>
          <w:rFonts w:asciiTheme="minorHAnsi" w:hAnsiTheme="minorHAnsi" w:cstheme="minorHAnsi"/>
        </w:rPr>
        <w:t xml:space="preserve">  NOPEC has an obligation to demonstrate that it should be a CRES governmental aggregator in light of th</w:t>
      </w:r>
      <w:r w:rsidR="00E20085" w:rsidRPr="003D3B60">
        <w:rPr>
          <w:rFonts w:asciiTheme="minorHAnsi" w:hAnsiTheme="minorHAnsi" w:cstheme="minorHAnsi"/>
        </w:rPr>
        <w:t xml:space="preserve">is information and </w:t>
      </w:r>
      <w:r w:rsidR="00DB4A7A" w:rsidRPr="003D3B60">
        <w:rPr>
          <w:rFonts w:asciiTheme="minorHAnsi" w:hAnsiTheme="minorHAnsi" w:cstheme="minorHAnsi"/>
        </w:rPr>
        <w:t xml:space="preserve">the </w:t>
      </w:r>
      <w:r w:rsidR="008F67AA" w:rsidRPr="003D3B60">
        <w:rPr>
          <w:rFonts w:asciiTheme="minorHAnsi" w:hAnsiTheme="minorHAnsi" w:cstheme="minorHAnsi"/>
        </w:rPr>
        <w:t xml:space="preserve">Commission’s stated concerns.  If it cannot, it has no business being a certified CRES governmental aggregator.  The </w:t>
      </w:r>
      <w:r w:rsidR="008F67AA" w:rsidRPr="003D3B60">
        <w:rPr>
          <w:rFonts w:asciiTheme="minorHAnsi" w:hAnsiTheme="minorHAnsi" w:cstheme="minorHAnsi"/>
        </w:rPr>
        <w:lastRenderedPageBreak/>
        <w:t>appropriate forum to make this determination is not a technical, industry</w:t>
      </w:r>
      <w:r w:rsidR="00BC3CAA">
        <w:rPr>
          <w:rFonts w:asciiTheme="minorHAnsi" w:hAnsiTheme="minorHAnsi" w:cstheme="minorHAnsi"/>
        </w:rPr>
        <w:t>-</w:t>
      </w:r>
      <w:r w:rsidR="008F67AA" w:rsidRPr="003D3B60">
        <w:rPr>
          <w:rFonts w:asciiTheme="minorHAnsi" w:hAnsiTheme="minorHAnsi" w:cstheme="minorHAnsi"/>
        </w:rPr>
        <w:t>wide proceeding of general application – it is the current</w:t>
      </w:r>
      <w:r w:rsidR="00E20085" w:rsidRPr="003D3B60">
        <w:rPr>
          <w:rFonts w:asciiTheme="minorHAnsi" w:hAnsiTheme="minorHAnsi" w:cstheme="minorHAnsi"/>
        </w:rPr>
        <w:t>, NOPEC-specific</w:t>
      </w:r>
      <w:r w:rsidR="008F67AA" w:rsidRPr="003D3B60">
        <w:rPr>
          <w:rFonts w:asciiTheme="minorHAnsi" w:hAnsiTheme="minorHAnsi" w:cstheme="minorHAnsi"/>
        </w:rPr>
        <w:t xml:space="preserve"> certification proceeding. </w:t>
      </w:r>
    </w:p>
    <w:p w14:paraId="4DC43B35" w14:textId="0A04F2FC" w:rsidR="003D76D0" w:rsidRPr="003D3B60" w:rsidRDefault="004373F1" w:rsidP="00BF7822">
      <w:pPr>
        <w:pStyle w:val="Heading1"/>
        <w:rPr>
          <w:rFonts w:cstheme="minorHAnsi"/>
          <w:sz w:val="24"/>
          <w:szCs w:val="24"/>
        </w:rPr>
      </w:pPr>
      <w:r w:rsidRPr="003D3B60">
        <w:rPr>
          <w:rFonts w:cstheme="minorHAnsi"/>
          <w:sz w:val="24"/>
          <w:szCs w:val="24"/>
        </w:rPr>
        <w:t>CONCLUSION</w:t>
      </w:r>
    </w:p>
    <w:p w14:paraId="1AB03601" w14:textId="4B4266FB" w:rsidR="00353263" w:rsidRPr="004134A6" w:rsidRDefault="004373F1" w:rsidP="00353263">
      <w:pPr>
        <w:pStyle w:val="Default"/>
        <w:keepNext/>
        <w:spacing w:line="480" w:lineRule="auto"/>
        <w:rPr>
          <w:rFonts w:asciiTheme="minorHAnsi" w:hAnsiTheme="minorHAnsi" w:cstheme="minorHAnsi"/>
          <w:color w:val="auto"/>
        </w:rPr>
      </w:pPr>
      <w:r w:rsidRPr="00DE405B">
        <w:rPr>
          <w:rFonts w:asciiTheme="minorHAnsi" w:hAnsiTheme="minorHAnsi" w:cstheme="minorHAnsi"/>
          <w:color w:val="auto"/>
        </w:rPr>
        <w:tab/>
      </w:r>
      <w:r w:rsidR="00A444A9" w:rsidRPr="00941344">
        <w:rPr>
          <w:rFonts w:asciiTheme="minorHAnsi" w:hAnsiTheme="minorHAnsi" w:cstheme="minorHAnsi"/>
          <w:color w:val="auto"/>
        </w:rPr>
        <w:t xml:space="preserve">For the foregoing reasons, </w:t>
      </w:r>
      <w:r w:rsidRPr="006A6A31">
        <w:rPr>
          <w:rFonts w:asciiTheme="minorHAnsi" w:hAnsiTheme="minorHAnsi" w:cstheme="minorHAnsi"/>
          <w:color w:val="auto"/>
        </w:rPr>
        <w:t xml:space="preserve">Hartree respectfully </w:t>
      </w:r>
      <w:r w:rsidR="00A444A9" w:rsidRPr="006A6A31">
        <w:rPr>
          <w:rFonts w:asciiTheme="minorHAnsi" w:hAnsiTheme="minorHAnsi" w:cstheme="minorHAnsi"/>
          <w:color w:val="auto"/>
        </w:rPr>
        <w:t xml:space="preserve">requests that </w:t>
      </w:r>
      <w:r w:rsidRPr="00F51053">
        <w:rPr>
          <w:rFonts w:asciiTheme="minorHAnsi" w:hAnsiTheme="minorHAnsi" w:cstheme="minorHAnsi"/>
          <w:color w:val="auto"/>
        </w:rPr>
        <w:t>the</w:t>
      </w:r>
      <w:r w:rsidR="008F67AA" w:rsidRPr="00216366">
        <w:rPr>
          <w:rFonts w:asciiTheme="minorHAnsi" w:hAnsiTheme="minorHAnsi" w:cstheme="minorHAnsi"/>
          <w:color w:val="auto"/>
        </w:rPr>
        <w:t xml:space="preserve"> </w:t>
      </w:r>
      <w:r w:rsidR="008F67AA" w:rsidRPr="003D3B60">
        <w:rPr>
          <w:rFonts w:asciiTheme="minorHAnsi" w:hAnsiTheme="minorHAnsi" w:cstheme="minorHAnsi"/>
        </w:rPr>
        <w:t>legal director, deputy legal director, attorney examiner</w:t>
      </w:r>
      <w:r w:rsidR="00941344">
        <w:rPr>
          <w:rFonts w:asciiTheme="minorHAnsi" w:hAnsiTheme="minorHAnsi" w:cstheme="minorHAnsi"/>
        </w:rPr>
        <w:t>,</w:t>
      </w:r>
      <w:r w:rsidR="008F67AA" w:rsidRPr="003D3B60">
        <w:rPr>
          <w:rFonts w:asciiTheme="minorHAnsi" w:hAnsiTheme="minorHAnsi" w:cstheme="minorHAnsi"/>
        </w:rPr>
        <w:t xml:space="preserve"> or presiding hearing officer not certify the Interlocutory Appeal.  If the Interlocutory Appeal is certified, Hartree respectfully requests that the</w:t>
      </w:r>
      <w:r w:rsidRPr="00DE405B">
        <w:rPr>
          <w:rFonts w:asciiTheme="minorHAnsi" w:hAnsiTheme="minorHAnsi" w:cstheme="minorHAnsi"/>
          <w:color w:val="auto"/>
        </w:rPr>
        <w:t xml:space="preserve"> Commission</w:t>
      </w:r>
      <w:r w:rsidR="000B11C9" w:rsidRPr="00941344">
        <w:rPr>
          <w:rFonts w:asciiTheme="minorHAnsi" w:hAnsiTheme="minorHAnsi" w:cstheme="minorHAnsi"/>
          <w:color w:val="auto"/>
        </w:rPr>
        <w:t xml:space="preserve"> </w:t>
      </w:r>
      <w:r w:rsidR="00ED136F" w:rsidRPr="006A6A31">
        <w:rPr>
          <w:rFonts w:asciiTheme="minorHAnsi" w:hAnsiTheme="minorHAnsi" w:cstheme="minorHAnsi"/>
          <w:color w:val="auto"/>
        </w:rPr>
        <w:t xml:space="preserve">deny the </w:t>
      </w:r>
      <w:r w:rsidR="008F67AA" w:rsidRPr="006A6A31">
        <w:rPr>
          <w:rFonts w:asciiTheme="minorHAnsi" w:hAnsiTheme="minorHAnsi" w:cstheme="minorHAnsi"/>
          <w:color w:val="auto"/>
        </w:rPr>
        <w:t>Interlocutory Appeal</w:t>
      </w:r>
      <w:r w:rsidR="00ED136F" w:rsidRPr="00F51053">
        <w:rPr>
          <w:rFonts w:asciiTheme="minorHAnsi" w:hAnsiTheme="minorHAnsi" w:cstheme="minorHAnsi"/>
          <w:color w:val="auto"/>
        </w:rPr>
        <w:t xml:space="preserve"> and </w:t>
      </w:r>
      <w:r w:rsidR="008F67AA" w:rsidRPr="00216366">
        <w:rPr>
          <w:rFonts w:asciiTheme="minorHAnsi" w:hAnsiTheme="minorHAnsi" w:cstheme="minorHAnsi"/>
          <w:color w:val="auto"/>
        </w:rPr>
        <w:t xml:space="preserve">continue to </w:t>
      </w:r>
      <w:r w:rsidR="00ED136F" w:rsidRPr="004134A6">
        <w:rPr>
          <w:rFonts w:asciiTheme="minorHAnsi" w:hAnsiTheme="minorHAnsi" w:cstheme="minorHAnsi"/>
          <w:color w:val="auto"/>
        </w:rPr>
        <w:t xml:space="preserve">suspend certification of NOPEC as a CRES governmental aggregator </w:t>
      </w:r>
      <w:r w:rsidR="008F67AA" w:rsidRPr="004134A6">
        <w:rPr>
          <w:rFonts w:asciiTheme="minorHAnsi" w:hAnsiTheme="minorHAnsi" w:cstheme="minorHAnsi"/>
          <w:color w:val="auto"/>
        </w:rPr>
        <w:t xml:space="preserve">until </w:t>
      </w:r>
      <w:r w:rsidR="00BC3CAA">
        <w:rPr>
          <w:rFonts w:asciiTheme="minorHAnsi" w:hAnsiTheme="minorHAnsi" w:cstheme="minorHAnsi"/>
          <w:color w:val="auto"/>
        </w:rPr>
        <w:t>NOPEC</w:t>
      </w:r>
      <w:r w:rsidR="008F67AA" w:rsidRPr="00027E7B">
        <w:rPr>
          <w:rFonts w:asciiTheme="minorHAnsi" w:hAnsiTheme="minorHAnsi" w:cstheme="minorHAnsi"/>
          <w:color w:val="auto"/>
        </w:rPr>
        <w:t xml:space="preserve"> has demonstrated</w:t>
      </w:r>
      <w:r w:rsidR="00BC3CAA">
        <w:rPr>
          <w:rFonts w:asciiTheme="minorHAnsi" w:hAnsiTheme="minorHAnsi" w:cstheme="minorHAnsi"/>
          <w:color w:val="auto"/>
        </w:rPr>
        <w:t xml:space="preserve"> that</w:t>
      </w:r>
      <w:r w:rsidR="008F67AA" w:rsidRPr="00F51053">
        <w:rPr>
          <w:rFonts w:asciiTheme="minorHAnsi" w:hAnsiTheme="minorHAnsi" w:cstheme="minorHAnsi"/>
          <w:color w:val="auto"/>
        </w:rPr>
        <w:t xml:space="preserve"> it possesses the technical, commercial, and managerial capabilities to be certified as </w:t>
      </w:r>
      <w:r w:rsidR="00CB6F18">
        <w:rPr>
          <w:rFonts w:asciiTheme="minorHAnsi" w:hAnsiTheme="minorHAnsi" w:cstheme="minorHAnsi"/>
          <w:color w:val="auto"/>
        </w:rPr>
        <w:t xml:space="preserve">a </w:t>
      </w:r>
      <w:r w:rsidR="008F67AA" w:rsidRPr="00F51053">
        <w:rPr>
          <w:rFonts w:asciiTheme="minorHAnsi" w:hAnsiTheme="minorHAnsi" w:cstheme="minorHAnsi"/>
          <w:color w:val="auto"/>
        </w:rPr>
        <w:t xml:space="preserve">CRES governmental aggregator. </w:t>
      </w:r>
    </w:p>
    <w:p w14:paraId="17145C54" w14:textId="77777777" w:rsidR="004134A6" w:rsidRPr="004134A6" w:rsidRDefault="004134A6" w:rsidP="003D76D0">
      <w:pPr>
        <w:pStyle w:val="Default"/>
        <w:keepNext/>
        <w:spacing w:line="480" w:lineRule="auto"/>
        <w:jc w:val="both"/>
        <w:rPr>
          <w:rFonts w:asciiTheme="minorHAnsi" w:hAnsiTheme="minorHAnsi" w:cstheme="minorHAnsi"/>
          <w:color w:val="auto"/>
        </w:rPr>
      </w:pPr>
    </w:p>
    <w:p w14:paraId="7D3D070F" w14:textId="1D6F7389" w:rsidR="003D76D0" w:rsidRPr="00027E7B" w:rsidRDefault="004373F1" w:rsidP="003D76D0">
      <w:pPr>
        <w:spacing w:after="0" w:line="480" w:lineRule="auto"/>
        <w:rPr>
          <w:rFonts w:eastAsia="Times New Roman" w:cstheme="minorHAnsi"/>
          <w:sz w:val="24"/>
          <w:szCs w:val="24"/>
        </w:rPr>
      </w:pPr>
      <w:r w:rsidRPr="004134A6">
        <w:rPr>
          <w:rFonts w:eastAsia="Times New Roman" w:cstheme="minorHAnsi"/>
          <w:sz w:val="24"/>
          <w:szCs w:val="24"/>
        </w:rPr>
        <w:t xml:space="preserve">Dated: </w:t>
      </w:r>
      <w:r w:rsidR="00ED136F" w:rsidRPr="004134A6">
        <w:rPr>
          <w:rFonts w:eastAsia="Times New Roman" w:cstheme="minorHAnsi"/>
          <w:sz w:val="24"/>
          <w:szCs w:val="24"/>
        </w:rPr>
        <w:t>December 19</w:t>
      </w:r>
      <w:r w:rsidRPr="00027E7B">
        <w:rPr>
          <w:rFonts w:eastAsia="Times New Roman" w:cstheme="minorHAnsi"/>
          <w:sz w:val="24"/>
          <w:szCs w:val="24"/>
        </w:rPr>
        <w:t>, 2022</w:t>
      </w:r>
      <w:r w:rsidRPr="00027E7B">
        <w:rPr>
          <w:rFonts w:eastAsia="Times New Roman" w:cstheme="minorHAnsi"/>
          <w:sz w:val="24"/>
          <w:szCs w:val="24"/>
        </w:rPr>
        <w:tab/>
      </w:r>
      <w:r w:rsidRPr="00027E7B">
        <w:rPr>
          <w:rFonts w:eastAsia="Times New Roman" w:cstheme="minorHAnsi"/>
          <w:sz w:val="24"/>
          <w:szCs w:val="24"/>
        </w:rPr>
        <w:tab/>
      </w:r>
      <w:r w:rsidRPr="00027E7B">
        <w:rPr>
          <w:rFonts w:eastAsia="Times New Roman" w:cstheme="minorHAnsi"/>
          <w:sz w:val="24"/>
          <w:szCs w:val="24"/>
        </w:rPr>
        <w:tab/>
      </w:r>
      <w:r w:rsidR="008F67AA" w:rsidRPr="00027E7B">
        <w:rPr>
          <w:rFonts w:eastAsia="Times New Roman" w:cstheme="minorHAnsi"/>
          <w:sz w:val="24"/>
          <w:szCs w:val="24"/>
        </w:rPr>
        <w:t xml:space="preserve">         </w:t>
      </w:r>
      <w:r w:rsidRPr="00027E7B">
        <w:rPr>
          <w:rFonts w:eastAsia="Times New Roman" w:cstheme="minorHAnsi"/>
          <w:sz w:val="24"/>
          <w:szCs w:val="24"/>
        </w:rPr>
        <w:t>Respectfully submitted,</w:t>
      </w:r>
    </w:p>
    <w:tbl>
      <w:tblPr>
        <w:tblStyle w:val="TableGrid"/>
        <w:tblpPr w:leftFromText="180" w:rightFromText="180" w:vertAnchor="text" w:horzAnchor="margin" w:tblpY="80"/>
        <w:tblW w:w="9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4721"/>
      </w:tblGrid>
      <w:tr w:rsidR="006A03EC" w:rsidRPr="00027E7B" w14:paraId="148D09C4" w14:textId="77777777" w:rsidTr="00AF63EC">
        <w:trPr>
          <w:trHeight w:val="3182"/>
        </w:trPr>
        <w:tc>
          <w:tcPr>
            <w:tcW w:w="4721" w:type="dxa"/>
          </w:tcPr>
          <w:p w14:paraId="416F31D2" w14:textId="185E41CD" w:rsidR="00AF63EC" w:rsidRPr="00027E7B" w:rsidRDefault="004373F1" w:rsidP="00AF63EC">
            <w:pPr>
              <w:widowControl w:val="0"/>
              <w:tabs>
                <w:tab w:val="left" w:pos="5040"/>
              </w:tabs>
              <w:spacing w:after="0" w:line="240" w:lineRule="auto"/>
              <w:rPr>
                <w:rFonts w:eastAsia="Times New Roman" w:cstheme="minorHAnsi"/>
                <w:sz w:val="24"/>
                <w:szCs w:val="24"/>
                <w:u w:val="single"/>
              </w:rPr>
            </w:pPr>
            <w:r w:rsidRPr="00027E7B">
              <w:rPr>
                <w:rFonts w:eastAsia="Times New Roman" w:cstheme="minorHAnsi"/>
                <w:sz w:val="24"/>
                <w:szCs w:val="24"/>
              </w:rPr>
              <w:t xml:space="preserve"> </w:t>
            </w:r>
          </w:p>
        </w:tc>
        <w:tc>
          <w:tcPr>
            <w:tcW w:w="4721" w:type="dxa"/>
          </w:tcPr>
          <w:p w14:paraId="367140D6" w14:textId="2E7853FC" w:rsidR="00AF63EC" w:rsidRPr="00027E7B" w:rsidRDefault="004373F1" w:rsidP="00AF63EC">
            <w:pPr>
              <w:widowControl w:val="0"/>
              <w:tabs>
                <w:tab w:val="left" w:pos="5040"/>
              </w:tabs>
              <w:spacing w:after="0" w:line="240" w:lineRule="auto"/>
              <w:rPr>
                <w:rFonts w:eastAsia="Times New Roman" w:cstheme="minorHAnsi"/>
                <w:sz w:val="24"/>
                <w:szCs w:val="24"/>
                <w:u w:val="single"/>
              </w:rPr>
            </w:pPr>
            <w:r w:rsidRPr="00027E7B">
              <w:rPr>
                <w:rFonts w:eastAsia="Times New Roman" w:cstheme="minorHAnsi"/>
                <w:sz w:val="24"/>
                <w:szCs w:val="24"/>
                <w:u w:val="single"/>
              </w:rPr>
              <w:t>/s/</w:t>
            </w:r>
            <w:r w:rsidRPr="00027E7B">
              <w:rPr>
                <w:rFonts w:eastAsia="Times New Roman" w:cstheme="minorHAnsi"/>
                <w:b/>
                <w:bCs/>
                <w:sz w:val="24"/>
                <w:szCs w:val="24"/>
                <w:u w:val="single"/>
              </w:rPr>
              <w:t xml:space="preserve"> __</w:t>
            </w:r>
            <w:r w:rsidR="005360A3">
              <w:rPr>
                <w:rFonts w:ascii="Brush Script MT" w:eastAsia="Times New Roman" w:hAnsi="Brush Script MT" w:cstheme="minorHAnsi"/>
                <w:b/>
                <w:bCs/>
                <w:sz w:val="32"/>
                <w:szCs w:val="32"/>
                <w:u w:val="single"/>
              </w:rPr>
              <w:t>Michael D. Dortch</w:t>
            </w:r>
            <w:r w:rsidRPr="00027E7B">
              <w:rPr>
                <w:rFonts w:eastAsia="Times New Roman" w:cstheme="minorHAnsi"/>
                <w:b/>
                <w:bCs/>
                <w:sz w:val="24"/>
                <w:szCs w:val="24"/>
                <w:u w:val="single"/>
              </w:rPr>
              <w:t>______________</w:t>
            </w:r>
          </w:p>
          <w:p w14:paraId="31D118E3" w14:textId="77777777" w:rsidR="00AF63EC" w:rsidRPr="00027E7B" w:rsidRDefault="004373F1" w:rsidP="00AF63EC">
            <w:pPr>
              <w:widowControl w:val="0"/>
              <w:tabs>
                <w:tab w:val="left" w:pos="5040"/>
              </w:tabs>
              <w:spacing w:after="0" w:line="240" w:lineRule="auto"/>
              <w:rPr>
                <w:rFonts w:eastAsia="Times New Roman" w:cstheme="minorHAnsi"/>
                <w:sz w:val="24"/>
                <w:szCs w:val="24"/>
              </w:rPr>
            </w:pPr>
            <w:r w:rsidRPr="00027E7B">
              <w:rPr>
                <w:rFonts w:eastAsia="Times New Roman" w:cstheme="minorHAnsi"/>
                <w:sz w:val="24"/>
                <w:szCs w:val="24"/>
              </w:rPr>
              <w:t>Michael D. Dortch (0043897), Counsel of Record</w:t>
            </w:r>
          </w:p>
          <w:p w14:paraId="3DB49508" w14:textId="77777777" w:rsidR="00AF63EC" w:rsidRPr="00027E7B" w:rsidRDefault="004373F1" w:rsidP="00AF63EC">
            <w:pPr>
              <w:widowControl w:val="0"/>
              <w:tabs>
                <w:tab w:val="left" w:pos="5040"/>
              </w:tabs>
              <w:spacing w:after="0" w:line="240" w:lineRule="auto"/>
              <w:rPr>
                <w:rFonts w:eastAsia="Times New Roman" w:cstheme="minorHAnsi"/>
                <w:sz w:val="24"/>
                <w:szCs w:val="24"/>
              </w:rPr>
            </w:pPr>
            <w:r w:rsidRPr="00027E7B">
              <w:rPr>
                <w:rFonts w:eastAsia="Times New Roman" w:cstheme="minorHAnsi"/>
                <w:sz w:val="24"/>
                <w:szCs w:val="24"/>
              </w:rPr>
              <w:t>Justin M. Dortch 0090048)</w:t>
            </w:r>
          </w:p>
          <w:p w14:paraId="53C62235" w14:textId="77777777" w:rsidR="00AF63EC" w:rsidRPr="00027E7B" w:rsidRDefault="004373F1" w:rsidP="00AF63EC">
            <w:pPr>
              <w:widowControl w:val="0"/>
              <w:tabs>
                <w:tab w:val="left" w:pos="5040"/>
              </w:tabs>
              <w:spacing w:after="0" w:line="240" w:lineRule="auto"/>
              <w:rPr>
                <w:rFonts w:eastAsia="Times New Roman" w:cstheme="minorHAnsi"/>
                <w:sz w:val="24"/>
                <w:szCs w:val="24"/>
              </w:rPr>
            </w:pPr>
            <w:r w:rsidRPr="00027E7B">
              <w:rPr>
                <w:rFonts w:eastAsia="Times New Roman" w:cstheme="minorHAnsi"/>
                <w:sz w:val="24"/>
                <w:szCs w:val="24"/>
              </w:rPr>
              <w:t>Richard R. Parsons (0082270)</w:t>
            </w:r>
          </w:p>
          <w:p w14:paraId="731B1DF9" w14:textId="77777777" w:rsidR="00AF63EC" w:rsidRPr="00027E7B" w:rsidRDefault="004373F1" w:rsidP="00AF63EC">
            <w:pPr>
              <w:widowControl w:val="0"/>
              <w:tabs>
                <w:tab w:val="left" w:pos="5040"/>
              </w:tabs>
              <w:spacing w:after="0" w:line="240" w:lineRule="auto"/>
              <w:rPr>
                <w:rFonts w:eastAsia="Times New Roman" w:cstheme="minorHAnsi"/>
                <w:sz w:val="24"/>
                <w:szCs w:val="24"/>
              </w:rPr>
            </w:pPr>
            <w:r w:rsidRPr="00027E7B">
              <w:rPr>
                <w:rFonts w:eastAsia="Times New Roman" w:cstheme="minorHAnsi"/>
                <w:sz w:val="24"/>
                <w:szCs w:val="24"/>
              </w:rPr>
              <w:t>Kravitz, Brown &amp; Dortch, LLC</w:t>
            </w:r>
          </w:p>
          <w:p w14:paraId="7259C7AC" w14:textId="77777777" w:rsidR="00AF63EC" w:rsidRPr="00027E7B" w:rsidRDefault="004373F1" w:rsidP="00AF63EC">
            <w:pPr>
              <w:widowControl w:val="0"/>
              <w:tabs>
                <w:tab w:val="left" w:pos="5040"/>
              </w:tabs>
              <w:spacing w:after="0" w:line="240" w:lineRule="auto"/>
              <w:rPr>
                <w:rFonts w:eastAsia="Times New Roman" w:cstheme="minorHAnsi"/>
                <w:sz w:val="24"/>
                <w:szCs w:val="24"/>
              </w:rPr>
            </w:pPr>
            <w:r w:rsidRPr="00027E7B">
              <w:rPr>
                <w:rFonts w:eastAsia="Times New Roman" w:cstheme="minorHAnsi"/>
                <w:sz w:val="24"/>
                <w:szCs w:val="24"/>
              </w:rPr>
              <w:t>65 East State Street</w:t>
            </w:r>
          </w:p>
          <w:p w14:paraId="794E192D" w14:textId="77777777" w:rsidR="00AF63EC" w:rsidRPr="00027E7B" w:rsidRDefault="004373F1" w:rsidP="00AF63EC">
            <w:pPr>
              <w:widowControl w:val="0"/>
              <w:tabs>
                <w:tab w:val="left" w:pos="5040"/>
              </w:tabs>
              <w:spacing w:after="0" w:line="240" w:lineRule="auto"/>
              <w:rPr>
                <w:rFonts w:eastAsia="Times New Roman" w:cstheme="minorHAnsi"/>
                <w:sz w:val="24"/>
                <w:szCs w:val="24"/>
              </w:rPr>
            </w:pPr>
            <w:r w:rsidRPr="00027E7B">
              <w:rPr>
                <w:rFonts w:eastAsia="Times New Roman" w:cstheme="minorHAnsi"/>
                <w:sz w:val="24"/>
                <w:szCs w:val="24"/>
              </w:rPr>
              <w:t>Suite 200</w:t>
            </w:r>
          </w:p>
          <w:p w14:paraId="4428D1C0" w14:textId="77777777" w:rsidR="00AF63EC" w:rsidRPr="00027E7B" w:rsidRDefault="004373F1" w:rsidP="00AF63EC">
            <w:pPr>
              <w:widowControl w:val="0"/>
              <w:tabs>
                <w:tab w:val="left" w:pos="5040"/>
              </w:tabs>
              <w:spacing w:after="0" w:line="240" w:lineRule="auto"/>
              <w:rPr>
                <w:rFonts w:eastAsia="Times New Roman" w:cstheme="minorHAnsi"/>
                <w:sz w:val="24"/>
                <w:szCs w:val="24"/>
              </w:rPr>
            </w:pPr>
            <w:r w:rsidRPr="00027E7B">
              <w:rPr>
                <w:rFonts w:eastAsia="Times New Roman" w:cstheme="minorHAnsi"/>
                <w:sz w:val="24"/>
                <w:szCs w:val="24"/>
              </w:rPr>
              <w:t>Columbus, Ohio 43215</w:t>
            </w:r>
          </w:p>
          <w:p w14:paraId="6D039D12" w14:textId="77777777" w:rsidR="00AF63EC" w:rsidRPr="00027E7B" w:rsidRDefault="004373F1" w:rsidP="00AF63EC">
            <w:pPr>
              <w:widowControl w:val="0"/>
              <w:tabs>
                <w:tab w:val="left" w:pos="5040"/>
              </w:tabs>
              <w:spacing w:after="0" w:line="240" w:lineRule="auto"/>
              <w:rPr>
                <w:rFonts w:eastAsia="Times New Roman" w:cstheme="minorHAnsi"/>
                <w:sz w:val="24"/>
                <w:szCs w:val="24"/>
              </w:rPr>
            </w:pPr>
            <w:r w:rsidRPr="00027E7B">
              <w:rPr>
                <w:rFonts w:eastAsia="Times New Roman" w:cstheme="minorHAnsi"/>
                <w:sz w:val="24"/>
                <w:szCs w:val="24"/>
              </w:rPr>
              <w:t>Tel: 614.464.2000</w:t>
            </w:r>
          </w:p>
          <w:p w14:paraId="3EADB213" w14:textId="77777777" w:rsidR="00AF63EC" w:rsidRPr="00027E7B" w:rsidRDefault="004373F1" w:rsidP="00AF63EC">
            <w:pPr>
              <w:widowControl w:val="0"/>
              <w:tabs>
                <w:tab w:val="left" w:pos="5040"/>
              </w:tabs>
              <w:spacing w:after="0" w:line="240" w:lineRule="auto"/>
              <w:rPr>
                <w:rFonts w:eastAsia="Times New Roman" w:cstheme="minorHAnsi"/>
                <w:sz w:val="24"/>
                <w:szCs w:val="24"/>
              </w:rPr>
            </w:pPr>
            <w:r w:rsidRPr="00027E7B">
              <w:rPr>
                <w:rFonts w:eastAsia="Times New Roman" w:cstheme="minorHAnsi"/>
                <w:sz w:val="24"/>
                <w:szCs w:val="24"/>
              </w:rPr>
              <w:t>Fax: 614.464.20023</w:t>
            </w:r>
          </w:p>
          <w:p w14:paraId="28956A88" w14:textId="2EFD71EE" w:rsidR="00AF63EC" w:rsidRPr="00027E7B" w:rsidRDefault="004373F1" w:rsidP="00AF63EC">
            <w:pPr>
              <w:widowControl w:val="0"/>
              <w:tabs>
                <w:tab w:val="left" w:pos="5040"/>
              </w:tabs>
              <w:spacing w:after="0" w:line="240" w:lineRule="auto"/>
              <w:rPr>
                <w:rFonts w:eastAsia="Times New Roman" w:cstheme="minorHAnsi"/>
                <w:sz w:val="24"/>
                <w:szCs w:val="24"/>
              </w:rPr>
            </w:pPr>
            <w:r w:rsidRPr="00027E7B">
              <w:rPr>
                <w:rFonts w:eastAsia="Times New Roman" w:cstheme="minorHAnsi"/>
                <w:sz w:val="24"/>
                <w:szCs w:val="24"/>
              </w:rPr>
              <w:t xml:space="preserve">Email: mdortch@kravitzllc.com </w:t>
            </w:r>
          </w:p>
          <w:p w14:paraId="07249EE7" w14:textId="305C7D2C" w:rsidR="00AF63EC" w:rsidRPr="00027E7B" w:rsidRDefault="004373F1" w:rsidP="00AF63EC">
            <w:pPr>
              <w:widowControl w:val="0"/>
              <w:tabs>
                <w:tab w:val="left" w:pos="5040"/>
              </w:tabs>
              <w:spacing w:after="0" w:line="240" w:lineRule="auto"/>
              <w:rPr>
                <w:rFonts w:eastAsia="Times New Roman" w:cstheme="minorHAnsi"/>
                <w:sz w:val="24"/>
                <w:szCs w:val="24"/>
              </w:rPr>
            </w:pPr>
            <w:r w:rsidRPr="00027E7B">
              <w:rPr>
                <w:rFonts w:eastAsia="Times New Roman" w:cstheme="minorHAnsi"/>
                <w:sz w:val="24"/>
                <w:szCs w:val="24"/>
              </w:rPr>
              <w:t xml:space="preserve">           Jdortch@kravitzllc.com </w:t>
            </w:r>
          </w:p>
          <w:p w14:paraId="2B09B88F" w14:textId="77777777" w:rsidR="00AF63EC" w:rsidRPr="00027E7B" w:rsidRDefault="004373F1" w:rsidP="00AF63EC">
            <w:pPr>
              <w:widowControl w:val="0"/>
              <w:tabs>
                <w:tab w:val="left" w:pos="5040"/>
              </w:tabs>
              <w:spacing w:after="0" w:line="240" w:lineRule="auto"/>
              <w:rPr>
                <w:rFonts w:eastAsia="Times New Roman" w:cstheme="minorHAnsi"/>
                <w:sz w:val="24"/>
                <w:szCs w:val="24"/>
              </w:rPr>
            </w:pPr>
            <w:r w:rsidRPr="00027E7B">
              <w:rPr>
                <w:rFonts w:eastAsia="Times New Roman" w:cstheme="minorHAnsi"/>
                <w:sz w:val="24"/>
                <w:szCs w:val="24"/>
              </w:rPr>
              <w:t xml:space="preserve">           rparsons@kravitzllc.com </w:t>
            </w:r>
          </w:p>
          <w:p w14:paraId="497A9E65" w14:textId="77777777" w:rsidR="00AC1889" w:rsidRPr="00027E7B" w:rsidRDefault="00AC1889" w:rsidP="00AF63EC">
            <w:pPr>
              <w:widowControl w:val="0"/>
              <w:tabs>
                <w:tab w:val="left" w:pos="5040"/>
              </w:tabs>
              <w:spacing w:after="0" w:line="240" w:lineRule="auto"/>
              <w:rPr>
                <w:rFonts w:eastAsia="Times New Roman" w:cstheme="minorHAnsi"/>
                <w:sz w:val="24"/>
                <w:szCs w:val="24"/>
                <w:u w:val="single"/>
              </w:rPr>
            </w:pPr>
          </w:p>
          <w:p w14:paraId="249C6328" w14:textId="77777777" w:rsidR="005360A3" w:rsidRDefault="004373F1" w:rsidP="00AC1889">
            <w:pPr>
              <w:widowControl w:val="0"/>
              <w:tabs>
                <w:tab w:val="left" w:pos="5040"/>
              </w:tabs>
              <w:spacing w:after="0" w:line="240" w:lineRule="auto"/>
              <w:rPr>
                <w:rFonts w:eastAsia="Times New Roman" w:cstheme="minorHAnsi"/>
                <w:b/>
                <w:bCs/>
                <w:sz w:val="24"/>
                <w:szCs w:val="24"/>
                <w:u w:val="single"/>
              </w:rPr>
            </w:pPr>
            <w:r w:rsidRPr="00027E7B">
              <w:rPr>
                <w:rFonts w:eastAsia="Times New Roman" w:cstheme="minorHAnsi"/>
                <w:sz w:val="24"/>
                <w:szCs w:val="24"/>
                <w:u w:val="single"/>
              </w:rPr>
              <w:t>/s/</w:t>
            </w:r>
            <w:r w:rsidRPr="00027E7B">
              <w:rPr>
                <w:rFonts w:eastAsia="Times New Roman" w:cstheme="minorHAnsi"/>
                <w:b/>
                <w:bCs/>
                <w:sz w:val="24"/>
                <w:szCs w:val="24"/>
                <w:u w:val="single"/>
              </w:rPr>
              <w:t>__</w:t>
            </w:r>
            <w:r w:rsidR="005360A3" w:rsidRPr="005360A3">
              <w:rPr>
                <w:rFonts w:ascii="Brush Script MT" w:eastAsia="Times New Roman" w:hAnsi="Brush Script MT" w:cstheme="minorHAnsi"/>
                <w:b/>
                <w:bCs/>
                <w:sz w:val="32"/>
                <w:szCs w:val="32"/>
                <w:u w:val="single"/>
              </w:rPr>
              <w:t xml:space="preserve">Michael A. Yuffee </w:t>
            </w:r>
          </w:p>
          <w:p w14:paraId="001B6934" w14:textId="75D23C45" w:rsidR="00AC1889" w:rsidRPr="00EA48C0" w:rsidRDefault="005360A3" w:rsidP="00AC1889">
            <w:pPr>
              <w:widowControl w:val="0"/>
              <w:tabs>
                <w:tab w:val="left" w:pos="5040"/>
              </w:tabs>
              <w:spacing w:after="0" w:line="240" w:lineRule="auto"/>
              <w:rPr>
                <w:rFonts w:eastAsia="Times New Roman" w:cstheme="minorHAnsi"/>
                <w:sz w:val="24"/>
                <w:szCs w:val="24"/>
                <w:u w:val="single"/>
              </w:rPr>
            </w:pPr>
            <w:r w:rsidRPr="00EA48C0">
              <w:rPr>
                <w:rFonts w:eastAsia="Times New Roman" w:cstheme="minorHAnsi"/>
                <w:sz w:val="24"/>
                <w:szCs w:val="24"/>
                <w:u w:val="single"/>
              </w:rPr>
              <w:t xml:space="preserve">        (</w:t>
            </w:r>
            <w:proofErr w:type="gramStart"/>
            <w:r w:rsidRPr="00EA48C0">
              <w:rPr>
                <w:rFonts w:eastAsia="Times New Roman" w:cstheme="minorHAnsi"/>
                <w:sz w:val="24"/>
                <w:szCs w:val="24"/>
                <w:u w:val="single"/>
              </w:rPr>
              <w:t>by</w:t>
            </w:r>
            <w:proofErr w:type="gramEnd"/>
            <w:r w:rsidRPr="00EA48C0">
              <w:rPr>
                <w:rFonts w:eastAsia="Times New Roman" w:cstheme="minorHAnsi"/>
                <w:sz w:val="24"/>
                <w:szCs w:val="24"/>
                <w:u w:val="single"/>
              </w:rPr>
              <w:t xml:space="preserve"> MDD, w/ permission)</w:t>
            </w:r>
            <w:r w:rsidR="004373F1" w:rsidRPr="00EA48C0">
              <w:rPr>
                <w:rFonts w:eastAsia="Times New Roman" w:cstheme="minorHAnsi"/>
                <w:sz w:val="24"/>
                <w:szCs w:val="24"/>
                <w:u w:val="single"/>
              </w:rPr>
              <w:t>______</w:t>
            </w:r>
          </w:p>
          <w:p w14:paraId="369FA192" w14:textId="7A57A426" w:rsidR="00AC1889" w:rsidRPr="00027E7B" w:rsidRDefault="004373F1" w:rsidP="00AC1889">
            <w:pPr>
              <w:widowControl w:val="0"/>
              <w:tabs>
                <w:tab w:val="left" w:pos="5040"/>
              </w:tabs>
              <w:spacing w:after="0" w:line="240" w:lineRule="auto"/>
              <w:rPr>
                <w:rFonts w:eastAsia="Times New Roman" w:cstheme="minorHAnsi"/>
                <w:sz w:val="24"/>
                <w:szCs w:val="24"/>
              </w:rPr>
            </w:pPr>
            <w:r w:rsidRPr="00027E7B">
              <w:rPr>
                <w:rFonts w:eastAsia="Times New Roman" w:cstheme="minorHAnsi"/>
                <w:sz w:val="24"/>
                <w:szCs w:val="24"/>
              </w:rPr>
              <w:t xml:space="preserve">Michael A. Yuffee </w:t>
            </w:r>
          </w:p>
          <w:p w14:paraId="250621ED" w14:textId="77777777" w:rsidR="00AC1889" w:rsidRPr="00027E7B" w:rsidRDefault="004373F1" w:rsidP="00AC1889">
            <w:pPr>
              <w:widowControl w:val="0"/>
              <w:tabs>
                <w:tab w:val="left" w:pos="5040"/>
              </w:tabs>
              <w:spacing w:after="0" w:line="240" w:lineRule="auto"/>
              <w:rPr>
                <w:rFonts w:eastAsia="Times New Roman" w:cstheme="minorHAnsi"/>
                <w:sz w:val="24"/>
                <w:szCs w:val="24"/>
              </w:rPr>
            </w:pPr>
            <w:r w:rsidRPr="00027E7B">
              <w:rPr>
                <w:rFonts w:eastAsia="Times New Roman" w:cstheme="minorHAnsi"/>
                <w:sz w:val="24"/>
                <w:szCs w:val="24"/>
              </w:rPr>
              <w:t>PHV# 26036-2022</w:t>
            </w:r>
          </w:p>
          <w:p w14:paraId="775058B0" w14:textId="11A4CCF6" w:rsidR="00AC1889" w:rsidRPr="00027E7B" w:rsidRDefault="004373F1" w:rsidP="00AC1889">
            <w:pPr>
              <w:widowControl w:val="0"/>
              <w:tabs>
                <w:tab w:val="left" w:pos="5040"/>
              </w:tabs>
              <w:spacing w:after="0" w:line="240" w:lineRule="auto"/>
              <w:rPr>
                <w:rFonts w:eastAsia="Times New Roman" w:cstheme="minorHAnsi"/>
                <w:sz w:val="24"/>
                <w:szCs w:val="24"/>
              </w:rPr>
            </w:pPr>
            <w:r w:rsidRPr="00027E7B">
              <w:rPr>
                <w:rFonts w:eastAsia="Times New Roman" w:cstheme="minorHAnsi"/>
                <w:sz w:val="24"/>
                <w:szCs w:val="24"/>
              </w:rPr>
              <w:t xml:space="preserve">Ryan Norfolk </w:t>
            </w:r>
          </w:p>
          <w:p w14:paraId="60673EBD" w14:textId="77777777" w:rsidR="00AC1889" w:rsidRPr="00027E7B" w:rsidRDefault="004373F1" w:rsidP="00AC1889">
            <w:pPr>
              <w:widowControl w:val="0"/>
              <w:tabs>
                <w:tab w:val="left" w:pos="5040"/>
              </w:tabs>
              <w:spacing w:after="0" w:line="240" w:lineRule="auto"/>
              <w:rPr>
                <w:rFonts w:eastAsia="Times New Roman" w:cstheme="minorHAnsi"/>
                <w:sz w:val="24"/>
                <w:szCs w:val="24"/>
              </w:rPr>
            </w:pPr>
            <w:r w:rsidRPr="00027E7B">
              <w:rPr>
                <w:rFonts w:eastAsia="Times New Roman" w:cstheme="minorHAnsi"/>
                <w:sz w:val="24"/>
                <w:szCs w:val="24"/>
              </w:rPr>
              <w:t>PHV# 26248-2022</w:t>
            </w:r>
          </w:p>
          <w:p w14:paraId="73DEBA97" w14:textId="77777777" w:rsidR="00AC1889" w:rsidRPr="00027E7B" w:rsidRDefault="004373F1" w:rsidP="00AC1889">
            <w:pPr>
              <w:widowControl w:val="0"/>
              <w:tabs>
                <w:tab w:val="left" w:pos="5040"/>
              </w:tabs>
              <w:spacing w:after="0" w:line="240" w:lineRule="auto"/>
              <w:rPr>
                <w:rFonts w:eastAsia="Times New Roman" w:cstheme="minorHAnsi"/>
                <w:sz w:val="24"/>
                <w:szCs w:val="24"/>
              </w:rPr>
            </w:pPr>
            <w:r w:rsidRPr="00027E7B">
              <w:rPr>
                <w:rFonts w:eastAsia="Times New Roman" w:cstheme="minorHAnsi"/>
                <w:sz w:val="24"/>
                <w:szCs w:val="24"/>
              </w:rPr>
              <w:t>Baker Botts, L.L.P.</w:t>
            </w:r>
          </w:p>
          <w:p w14:paraId="42A91C34" w14:textId="77777777" w:rsidR="00AC1889" w:rsidRPr="00027E7B" w:rsidRDefault="004373F1" w:rsidP="00AC1889">
            <w:pPr>
              <w:widowControl w:val="0"/>
              <w:tabs>
                <w:tab w:val="left" w:pos="5040"/>
              </w:tabs>
              <w:spacing w:after="0" w:line="240" w:lineRule="auto"/>
              <w:rPr>
                <w:rFonts w:eastAsia="Times New Roman" w:cstheme="minorHAnsi"/>
                <w:sz w:val="24"/>
                <w:szCs w:val="24"/>
              </w:rPr>
            </w:pPr>
            <w:r w:rsidRPr="00027E7B">
              <w:rPr>
                <w:rFonts w:eastAsia="Times New Roman" w:cstheme="minorHAnsi"/>
                <w:sz w:val="24"/>
                <w:szCs w:val="24"/>
              </w:rPr>
              <w:t>700 K Street, NW</w:t>
            </w:r>
          </w:p>
          <w:p w14:paraId="6CABDFB7" w14:textId="77777777" w:rsidR="00AC1889" w:rsidRPr="00027E7B" w:rsidRDefault="004373F1" w:rsidP="00AC1889">
            <w:pPr>
              <w:widowControl w:val="0"/>
              <w:tabs>
                <w:tab w:val="left" w:pos="5040"/>
              </w:tabs>
              <w:spacing w:after="0" w:line="240" w:lineRule="auto"/>
              <w:rPr>
                <w:rFonts w:eastAsia="Times New Roman" w:cstheme="minorHAnsi"/>
                <w:sz w:val="24"/>
                <w:szCs w:val="24"/>
              </w:rPr>
            </w:pPr>
            <w:r w:rsidRPr="00027E7B">
              <w:rPr>
                <w:rFonts w:eastAsia="Times New Roman" w:cstheme="minorHAnsi"/>
                <w:sz w:val="24"/>
                <w:szCs w:val="24"/>
              </w:rPr>
              <w:lastRenderedPageBreak/>
              <w:t>Washington DC 20001</w:t>
            </w:r>
          </w:p>
          <w:p w14:paraId="18B24DBE" w14:textId="77777777" w:rsidR="00AC1889" w:rsidRPr="00027E7B" w:rsidRDefault="004373F1" w:rsidP="00AC1889">
            <w:pPr>
              <w:widowControl w:val="0"/>
              <w:tabs>
                <w:tab w:val="left" w:pos="5040"/>
              </w:tabs>
              <w:spacing w:after="0" w:line="240" w:lineRule="auto"/>
              <w:rPr>
                <w:rFonts w:eastAsia="Times New Roman" w:cstheme="minorHAnsi"/>
                <w:sz w:val="24"/>
                <w:szCs w:val="24"/>
              </w:rPr>
            </w:pPr>
            <w:r w:rsidRPr="00027E7B">
              <w:rPr>
                <w:rFonts w:eastAsia="Times New Roman" w:cstheme="minorHAnsi"/>
                <w:sz w:val="24"/>
                <w:szCs w:val="24"/>
              </w:rPr>
              <w:t>Tel: 202.639.1132</w:t>
            </w:r>
          </w:p>
          <w:p w14:paraId="0B5D38FC" w14:textId="1A9DAE9B" w:rsidR="00AC1889" w:rsidRPr="00027E7B" w:rsidRDefault="004373F1" w:rsidP="00AC1889">
            <w:pPr>
              <w:widowControl w:val="0"/>
              <w:tabs>
                <w:tab w:val="left" w:pos="5040"/>
              </w:tabs>
              <w:spacing w:after="0" w:line="240" w:lineRule="auto"/>
              <w:rPr>
                <w:rFonts w:eastAsia="Times New Roman" w:cstheme="minorHAnsi"/>
                <w:sz w:val="24"/>
                <w:szCs w:val="24"/>
              </w:rPr>
            </w:pPr>
            <w:r w:rsidRPr="00027E7B">
              <w:rPr>
                <w:rFonts w:eastAsia="Times New Roman" w:cstheme="minorHAnsi"/>
                <w:sz w:val="24"/>
                <w:szCs w:val="24"/>
              </w:rPr>
              <w:t>F</w:t>
            </w:r>
            <w:r w:rsidR="00767FA8">
              <w:rPr>
                <w:rFonts w:eastAsia="Times New Roman" w:cstheme="minorHAnsi"/>
                <w:sz w:val="24"/>
                <w:szCs w:val="24"/>
              </w:rPr>
              <w:t>ax</w:t>
            </w:r>
            <w:r w:rsidRPr="00767FA8">
              <w:rPr>
                <w:rFonts w:eastAsia="Times New Roman" w:cstheme="minorHAnsi"/>
                <w:sz w:val="24"/>
                <w:szCs w:val="24"/>
              </w:rPr>
              <w:t>: 202.585.1013</w:t>
            </w:r>
          </w:p>
          <w:p w14:paraId="125FCF8D" w14:textId="77777777" w:rsidR="00AC1889" w:rsidRPr="00027E7B" w:rsidRDefault="004373F1" w:rsidP="00AC1889">
            <w:pPr>
              <w:widowControl w:val="0"/>
              <w:tabs>
                <w:tab w:val="left" w:pos="5040"/>
              </w:tabs>
              <w:spacing w:after="0" w:line="240" w:lineRule="auto"/>
              <w:rPr>
                <w:rFonts w:eastAsia="Times New Roman" w:cstheme="minorHAnsi"/>
                <w:sz w:val="24"/>
                <w:szCs w:val="24"/>
              </w:rPr>
            </w:pPr>
            <w:r w:rsidRPr="00027E7B">
              <w:rPr>
                <w:rFonts w:eastAsia="Times New Roman" w:cstheme="minorHAnsi"/>
                <w:sz w:val="24"/>
                <w:szCs w:val="24"/>
              </w:rPr>
              <w:t xml:space="preserve">Email: michael.yuffee@bakerbotts.com </w:t>
            </w:r>
          </w:p>
          <w:p w14:paraId="61D71D54" w14:textId="00AA09F3" w:rsidR="00AC1889" w:rsidRPr="00027E7B" w:rsidRDefault="004373F1" w:rsidP="00AC1889">
            <w:pPr>
              <w:widowControl w:val="0"/>
              <w:tabs>
                <w:tab w:val="left" w:pos="5040"/>
              </w:tabs>
              <w:spacing w:after="0" w:line="240" w:lineRule="auto"/>
              <w:rPr>
                <w:rFonts w:eastAsia="Times New Roman" w:cstheme="minorHAnsi"/>
                <w:sz w:val="24"/>
                <w:szCs w:val="24"/>
                <w:u w:val="single"/>
              </w:rPr>
            </w:pPr>
            <w:r w:rsidRPr="00027E7B">
              <w:rPr>
                <w:rFonts w:eastAsia="Times New Roman" w:cstheme="minorHAnsi"/>
                <w:sz w:val="24"/>
                <w:szCs w:val="24"/>
              </w:rPr>
              <w:t xml:space="preserve">           ryan.norfolk@bakerbotts.com</w:t>
            </w:r>
          </w:p>
        </w:tc>
      </w:tr>
    </w:tbl>
    <w:p w14:paraId="7F591EAB" w14:textId="77777777" w:rsidR="003D76D0" w:rsidRPr="00DE405B" w:rsidRDefault="003D76D0" w:rsidP="003D76D0">
      <w:pPr>
        <w:widowControl w:val="0"/>
        <w:autoSpaceDE w:val="0"/>
        <w:autoSpaceDN w:val="0"/>
        <w:adjustRightInd w:val="0"/>
        <w:spacing w:after="0" w:line="240" w:lineRule="auto"/>
        <w:ind w:left="4320" w:right="-1445"/>
        <w:rPr>
          <w:rFonts w:eastAsia="Times New Roman" w:cstheme="minorHAnsi"/>
          <w:sz w:val="24"/>
          <w:szCs w:val="24"/>
        </w:rPr>
      </w:pPr>
    </w:p>
    <w:p w14:paraId="2C14D252" w14:textId="77777777" w:rsidR="00AA51CD" w:rsidRPr="00F51053" w:rsidRDefault="004373F1" w:rsidP="00AA51CD">
      <w:pPr>
        <w:widowControl w:val="0"/>
        <w:autoSpaceDE w:val="0"/>
        <w:autoSpaceDN w:val="0"/>
        <w:adjustRightInd w:val="0"/>
        <w:spacing w:after="0" w:line="240" w:lineRule="auto"/>
        <w:ind w:left="4320" w:right="-1445"/>
        <w:rPr>
          <w:rFonts w:eastAsia="Times New Roman" w:cstheme="minorHAnsi"/>
          <w:b/>
          <w:bCs/>
          <w:i/>
          <w:sz w:val="24"/>
          <w:szCs w:val="24"/>
        </w:rPr>
      </w:pPr>
      <w:r w:rsidRPr="00941344">
        <w:rPr>
          <w:rFonts w:eastAsia="Times New Roman" w:cstheme="minorHAnsi"/>
          <w:b/>
          <w:bCs/>
          <w:sz w:val="24"/>
          <w:szCs w:val="24"/>
        </w:rPr>
        <w:t>Willing to Accept Service by Email</w:t>
      </w:r>
      <w:r w:rsidRPr="00941344">
        <w:rPr>
          <w:rFonts w:eastAsia="Times New Roman" w:cstheme="minorHAnsi"/>
          <w:sz w:val="24"/>
          <w:szCs w:val="24"/>
        </w:rPr>
        <w:br/>
      </w:r>
    </w:p>
    <w:p w14:paraId="5EAC6823" w14:textId="4C030CF4" w:rsidR="003D76D0" w:rsidRPr="004134A6" w:rsidRDefault="004373F1" w:rsidP="00AA51CD">
      <w:pPr>
        <w:widowControl w:val="0"/>
        <w:autoSpaceDE w:val="0"/>
        <w:autoSpaceDN w:val="0"/>
        <w:adjustRightInd w:val="0"/>
        <w:spacing w:after="0" w:line="240" w:lineRule="auto"/>
        <w:ind w:left="4320" w:right="-1445"/>
        <w:rPr>
          <w:rFonts w:eastAsia="Times New Roman" w:cstheme="minorHAnsi"/>
          <w:b/>
          <w:bCs/>
          <w:i/>
          <w:sz w:val="24"/>
          <w:szCs w:val="24"/>
        </w:rPr>
      </w:pPr>
      <w:r w:rsidRPr="004134A6">
        <w:rPr>
          <w:rFonts w:eastAsia="Times New Roman" w:cstheme="minorHAnsi"/>
          <w:b/>
          <w:bCs/>
          <w:i/>
          <w:sz w:val="24"/>
          <w:szCs w:val="24"/>
        </w:rPr>
        <w:t>COUNSEL FOR HARTREE PARTNERS, LP</w:t>
      </w:r>
    </w:p>
    <w:p w14:paraId="1723FC5B" w14:textId="1A80ED0C" w:rsidR="00AF63EC" w:rsidRPr="004134A6" w:rsidRDefault="004373F1">
      <w:pPr>
        <w:spacing w:after="0" w:line="240" w:lineRule="auto"/>
        <w:rPr>
          <w:rFonts w:cstheme="minorHAnsi"/>
          <w:sz w:val="24"/>
          <w:szCs w:val="24"/>
        </w:rPr>
      </w:pPr>
      <w:r w:rsidRPr="004134A6">
        <w:rPr>
          <w:rFonts w:cstheme="minorHAnsi"/>
          <w:sz w:val="24"/>
          <w:szCs w:val="24"/>
        </w:rPr>
        <w:br w:type="page"/>
      </w:r>
    </w:p>
    <w:p w14:paraId="14CE42B5" w14:textId="77777777" w:rsidR="003D76D0" w:rsidRPr="00027E7B" w:rsidRDefault="004373F1" w:rsidP="003D76D0">
      <w:pPr>
        <w:spacing w:after="0" w:line="240" w:lineRule="auto"/>
        <w:jc w:val="center"/>
        <w:rPr>
          <w:rFonts w:cstheme="minorHAnsi"/>
          <w:b/>
          <w:bCs/>
          <w:sz w:val="24"/>
          <w:szCs w:val="24"/>
          <w:u w:val="single"/>
        </w:rPr>
      </w:pPr>
      <w:r w:rsidRPr="00027E7B">
        <w:rPr>
          <w:rFonts w:cstheme="minorHAnsi"/>
          <w:b/>
          <w:bCs/>
          <w:sz w:val="24"/>
          <w:szCs w:val="24"/>
          <w:u w:val="single"/>
        </w:rPr>
        <w:lastRenderedPageBreak/>
        <w:t>CERTIFICATE OF SERVICE</w:t>
      </w:r>
    </w:p>
    <w:p w14:paraId="47E1E5A8" w14:textId="77777777" w:rsidR="003D76D0" w:rsidRPr="00027E7B" w:rsidRDefault="003D76D0" w:rsidP="003D76D0">
      <w:pPr>
        <w:spacing w:after="0" w:line="240" w:lineRule="auto"/>
        <w:jc w:val="center"/>
        <w:rPr>
          <w:rFonts w:cstheme="minorHAnsi"/>
          <w:b/>
          <w:bCs/>
          <w:sz w:val="24"/>
          <w:szCs w:val="24"/>
          <w:u w:val="single"/>
        </w:rPr>
      </w:pPr>
    </w:p>
    <w:p w14:paraId="2E53178E" w14:textId="7DB8449F" w:rsidR="003D76D0" w:rsidRPr="00027E7B" w:rsidRDefault="004373F1" w:rsidP="003D76D0">
      <w:pPr>
        <w:spacing w:after="0" w:line="480" w:lineRule="auto"/>
        <w:rPr>
          <w:rFonts w:cstheme="minorHAnsi"/>
          <w:sz w:val="24"/>
          <w:szCs w:val="24"/>
        </w:rPr>
      </w:pPr>
      <w:r w:rsidRPr="00027E7B">
        <w:rPr>
          <w:rFonts w:cstheme="minorHAnsi"/>
          <w:sz w:val="24"/>
          <w:szCs w:val="24"/>
        </w:rPr>
        <w:tab/>
        <w:t xml:space="preserve">I certify that the foregoing document was filed using the Commission’s Docketing Information System and was served by electronic mail on </w:t>
      </w:r>
      <w:r w:rsidR="008645D5" w:rsidRPr="00027E7B">
        <w:rPr>
          <w:rFonts w:cstheme="minorHAnsi"/>
          <w:sz w:val="24"/>
          <w:szCs w:val="24"/>
        </w:rPr>
        <w:t>December 19</w:t>
      </w:r>
      <w:r w:rsidRPr="00027E7B">
        <w:rPr>
          <w:rFonts w:cstheme="minorHAnsi"/>
          <w:sz w:val="24"/>
          <w:szCs w:val="24"/>
        </w:rPr>
        <w:t>, 2022, to the following:</w:t>
      </w:r>
    </w:p>
    <w:tbl>
      <w:tblPr>
        <w:tblStyle w:val="TableGrid1"/>
        <w:tblW w:w="83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9"/>
        <w:gridCol w:w="4199"/>
      </w:tblGrid>
      <w:tr w:rsidR="006A03EC" w:rsidRPr="00027E7B" w14:paraId="5CFCD30F" w14:textId="77777777" w:rsidTr="00AC2C3E">
        <w:trPr>
          <w:trHeight w:val="2204"/>
          <w:jc w:val="center"/>
        </w:trPr>
        <w:tc>
          <w:tcPr>
            <w:tcW w:w="4199" w:type="dxa"/>
          </w:tcPr>
          <w:p w14:paraId="211CB343" w14:textId="77777777" w:rsidR="00F5146E" w:rsidRPr="00027E7B" w:rsidRDefault="004373F1" w:rsidP="00F5146E">
            <w:pPr>
              <w:spacing w:after="0" w:line="240" w:lineRule="auto"/>
              <w:rPr>
                <w:rFonts w:cstheme="minorHAnsi"/>
                <w:sz w:val="24"/>
                <w:szCs w:val="24"/>
              </w:rPr>
            </w:pPr>
            <w:r w:rsidRPr="00027E7B">
              <w:rPr>
                <w:rFonts w:cstheme="minorHAnsi"/>
                <w:sz w:val="24"/>
                <w:szCs w:val="24"/>
              </w:rPr>
              <w:t>Dane Stinson</w:t>
            </w:r>
          </w:p>
          <w:p w14:paraId="6515D825" w14:textId="77777777" w:rsidR="00F5146E" w:rsidRPr="00027E7B" w:rsidRDefault="004373F1" w:rsidP="00F5146E">
            <w:pPr>
              <w:spacing w:after="0" w:line="240" w:lineRule="auto"/>
              <w:rPr>
                <w:rFonts w:cstheme="minorHAnsi"/>
                <w:sz w:val="24"/>
                <w:szCs w:val="24"/>
              </w:rPr>
            </w:pPr>
            <w:r w:rsidRPr="00027E7B">
              <w:rPr>
                <w:rFonts w:cstheme="minorHAnsi"/>
                <w:sz w:val="24"/>
                <w:szCs w:val="24"/>
              </w:rPr>
              <w:t>Devin D. Parram</w:t>
            </w:r>
          </w:p>
          <w:p w14:paraId="1211F63C" w14:textId="77777777" w:rsidR="00F5146E" w:rsidRPr="00027E7B" w:rsidRDefault="004373F1" w:rsidP="00F5146E">
            <w:pPr>
              <w:spacing w:after="0" w:line="240" w:lineRule="auto"/>
              <w:rPr>
                <w:rFonts w:cstheme="minorHAnsi"/>
                <w:sz w:val="24"/>
                <w:szCs w:val="24"/>
              </w:rPr>
            </w:pPr>
            <w:r w:rsidRPr="00027E7B">
              <w:rPr>
                <w:rFonts w:cstheme="minorHAnsi"/>
                <w:sz w:val="24"/>
                <w:szCs w:val="24"/>
              </w:rPr>
              <w:t>Bricker &amp; Eckler, LLP</w:t>
            </w:r>
          </w:p>
          <w:p w14:paraId="562019C3" w14:textId="77777777" w:rsidR="00F5146E" w:rsidRPr="00027E7B" w:rsidRDefault="004373F1" w:rsidP="00F5146E">
            <w:pPr>
              <w:spacing w:after="0" w:line="240" w:lineRule="auto"/>
              <w:rPr>
                <w:rFonts w:cstheme="minorHAnsi"/>
                <w:sz w:val="24"/>
                <w:szCs w:val="24"/>
              </w:rPr>
            </w:pPr>
            <w:r w:rsidRPr="00027E7B">
              <w:rPr>
                <w:rFonts w:cstheme="minorHAnsi"/>
                <w:sz w:val="24"/>
                <w:szCs w:val="24"/>
              </w:rPr>
              <w:t>100 S. Third Street</w:t>
            </w:r>
          </w:p>
          <w:p w14:paraId="28892FFF" w14:textId="77777777" w:rsidR="00F5146E" w:rsidRPr="00027E7B" w:rsidRDefault="004373F1" w:rsidP="00F5146E">
            <w:pPr>
              <w:spacing w:after="0" w:line="240" w:lineRule="auto"/>
              <w:rPr>
                <w:rFonts w:cstheme="minorHAnsi"/>
                <w:sz w:val="24"/>
                <w:szCs w:val="24"/>
              </w:rPr>
            </w:pPr>
            <w:r w:rsidRPr="00027E7B">
              <w:rPr>
                <w:rFonts w:cstheme="minorHAnsi"/>
                <w:sz w:val="24"/>
                <w:szCs w:val="24"/>
              </w:rPr>
              <w:t xml:space="preserve">Columbus, Ohio 43215 </w:t>
            </w:r>
          </w:p>
          <w:p w14:paraId="32032187" w14:textId="77777777" w:rsidR="00F5146E" w:rsidRPr="00027E7B" w:rsidRDefault="004373F1" w:rsidP="00F5146E">
            <w:pPr>
              <w:spacing w:after="0" w:line="240" w:lineRule="auto"/>
              <w:rPr>
                <w:rFonts w:cstheme="minorHAnsi"/>
                <w:sz w:val="24"/>
                <w:szCs w:val="24"/>
              </w:rPr>
            </w:pPr>
            <w:r w:rsidRPr="00027E7B">
              <w:rPr>
                <w:rFonts w:cstheme="minorHAnsi"/>
                <w:sz w:val="24"/>
                <w:szCs w:val="24"/>
                <w:u w:val="single"/>
              </w:rPr>
              <w:t>dstinson@bricker.com</w:t>
            </w:r>
          </w:p>
          <w:p w14:paraId="49EEC209" w14:textId="0DA4920E" w:rsidR="00F5146E" w:rsidRPr="00027E7B" w:rsidRDefault="004373F1" w:rsidP="00F5146E">
            <w:pPr>
              <w:spacing w:after="0" w:line="240" w:lineRule="auto"/>
              <w:rPr>
                <w:rFonts w:cstheme="minorHAnsi"/>
                <w:sz w:val="24"/>
                <w:szCs w:val="24"/>
              </w:rPr>
            </w:pPr>
            <w:r w:rsidRPr="00027E7B">
              <w:rPr>
                <w:rFonts w:cstheme="minorHAnsi"/>
                <w:sz w:val="24"/>
                <w:szCs w:val="24"/>
                <w:u w:val="single"/>
              </w:rPr>
              <w:t>dparram@bricker.com</w:t>
            </w:r>
            <w:r w:rsidRPr="00027E7B">
              <w:rPr>
                <w:rFonts w:cstheme="minorHAnsi"/>
                <w:sz w:val="24"/>
                <w:szCs w:val="24"/>
              </w:rPr>
              <w:t xml:space="preserve"> </w:t>
            </w:r>
          </w:p>
          <w:p w14:paraId="63C217B6" w14:textId="00FF1FA6" w:rsidR="00F5146E" w:rsidRPr="00027E7B" w:rsidRDefault="00F5146E" w:rsidP="007E4D4B">
            <w:pPr>
              <w:spacing w:after="0" w:line="240" w:lineRule="auto"/>
              <w:rPr>
                <w:rFonts w:cstheme="minorHAnsi"/>
                <w:sz w:val="24"/>
                <w:szCs w:val="24"/>
              </w:rPr>
            </w:pPr>
          </w:p>
        </w:tc>
        <w:tc>
          <w:tcPr>
            <w:tcW w:w="4199" w:type="dxa"/>
          </w:tcPr>
          <w:p w14:paraId="28147BB5" w14:textId="77777777" w:rsidR="00F5146E" w:rsidRPr="00027E7B" w:rsidRDefault="004373F1" w:rsidP="00F5146E">
            <w:pPr>
              <w:spacing w:after="0" w:line="240" w:lineRule="auto"/>
              <w:rPr>
                <w:rFonts w:cstheme="minorHAnsi"/>
                <w:sz w:val="24"/>
                <w:szCs w:val="24"/>
              </w:rPr>
            </w:pPr>
            <w:r w:rsidRPr="00027E7B">
              <w:rPr>
                <w:rFonts w:cstheme="minorHAnsi"/>
                <w:sz w:val="24"/>
                <w:szCs w:val="24"/>
              </w:rPr>
              <w:t>Steven T. Nourse</w:t>
            </w:r>
          </w:p>
          <w:p w14:paraId="34DA9962" w14:textId="77777777" w:rsidR="00F5146E" w:rsidRPr="00027E7B" w:rsidRDefault="004373F1" w:rsidP="00F5146E">
            <w:pPr>
              <w:spacing w:after="0" w:line="240" w:lineRule="auto"/>
              <w:rPr>
                <w:rFonts w:cstheme="minorHAnsi"/>
                <w:sz w:val="24"/>
                <w:szCs w:val="24"/>
              </w:rPr>
            </w:pPr>
            <w:r w:rsidRPr="00027E7B">
              <w:rPr>
                <w:rFonts w:cstheme="minorHAnsi"/>
                <w:sz w:val="24"/>
                <w:szCs w:val="24"/>
              </w:rPr>
              <w:t>AEP Service Corporation</w:t>
            </w:r>
          </w:p>
          <w:p w14:paraId="413B1B25" w14:textId="77777777" w:rsidR="00F5146E" w:rsidRPr="00027E7B" w:rsidRDefault="004373F1" w:rsidP="00F5146E">
            <w:pPr>
              <w:spacing w:after="0" w:line="240" w:lineRule="auto"/>
              <w:rPr>
                <w:rFonts w:cstheme="minorHAnsi"/>
                <w:sz w:val="24"/>
                <w:szCs w:val="24"/>
              </w:rPr>
            </w:pPr>
            <w:r w:rsidRPr="00027E7B">
              <w:rPr>
                <w:rFonts w:cstheme="minorHAnsi"/>
                <w:sz w:val="24"/>
                <w:szCs w:val="24"/>
              </w:rPr>
              <w:t>1 Riverside Plaza</w:t>
            </w:r>
          </w:p>
          <w:p w14:paraId="138D2C6A" w14:textId="77777777" w:rsidR="00F5146E" w:rsidRPr="00027E7B" w:rsidRDefault="004373F1" w:rsidP="00F5146E">
            <w:pPr>
              <w:spacing w:after="0" w:line="240" w:lineRule="auto"/>
              <w:rPr>
                <w:rFonts w:cstheme="minorHAnsi"/>
                <w:sz w:val="24"/>
                <w:szCs w:val="24"/>
              </w:rPr>
            </w:pPr>
            <w:r w:rsidRPr="00027E7B">
              <w:rPr>
                <w:rFonts w:cstheme="minorHAnsi"/>
                <w:sz w:val="24"/>
                <w:szCs w:val="24"/>
              </w:rPr>
              <w:t>Columbus, Ohio 43215</w:t>
            </w:r>
          </w:p>
          <w:p w14:paraId="4878CA7C" w14:textId="300CA0BF" w:rsidR="00F5146E" w:rsidRPr="00027E7B" w:rsidRDefault="004373F1" w:rsidP="00F5146E">
            <w:pPr>
              <w:spacing w:after="0" w:line="240" w:lineRule="auto"/>
              <w:rPr>
                <w:rFonts w:cstheme="minorHAnsi"/>
                <w:sz w:val="24"/>
                <w:szCs w:val="24"/>
              </w:rPr>
            </w:pPr>
            <w:r w:rsidRPr="00027E7B">
              <w:rPr>
                <w:rFonts w:cstheme="minorHAnsi"/>
                <w:sz w:val="24"/>
                <w:szCs w:val="24"/>
                <w:u w:val="single"/>
              </w:rPr>
              <w:t>stnourse@aep.com</w:t>
            </w:r>
            <w:r w:rsidRPr="00027E7B">
              <w:rPr>
                <w:rFonts w:cstheme="minorHAnsi"/>
                <w:sz w:val="24"/>
                <w:szCs w:val="24"/>
              </w:rPr>
              <w:t xml:space="preserve"> </w:t>
            </w:r>
          </w:p>
        </w:tc>
      </w:tr>
      <w:tr w:rsidR="006A03EC" w:rsidRPr="00027E7B" w14:paraId="49BAF069" w14:textId="77777777" w:rsidTr="00AC2C3E">
        <w:trPr>
          <w:trHeight w:val="1970"/>
          <w:jc w:val="center"/>
        </w:trPr>
        <w:tc>
          <w:tcPr>
            <w:tcW w:w="4199" w:type="dxa"/>
          </w:tcPr>
          <w:p w14:paraId="6A39C262" w14:textId="77777777" w:rsidR="00F5146E" w:rsidRPr="00941344" w:rsidRDefault="004373F1" w:rsidP="00F5146E">
            <w:pPr>
              <w:spacing w:after="0" w:line="240" w:lineRule="auto"/>
              <w:rPr>
                <w:rFonts w:cstheme="minorHAnsi"/>
                <w:sz w:val="24"/>
                <w:szCs w:val="24"/>
              </w:rPr>
            </w:pPr>
            <w:r w:rsidRPr="00DE405B">
              <w:rPr>
                <w:rFonts w:cstheme="minorHAnsi"/>
                <w:sz w:val="24"/>
                <w:szCs w:val="24"/>
              </w:rPr>
              <w:t>Brian Knipe</w:t>
            </w:r>
          </w:p>
          <w:p w14:paraId="44E324EF" w14:textId="77777777" w:rsidR="00F5146E" w:rsidRPr="00F51053" w:rsidRDefault="004373F1" w:rsidP="00F5146E">
            <w:pPr>
              <w:spacing w:after="0" w:line="240" w:lineRule="auto"/>
              <w:rPr>
                <w:rFonts w:cstheme="minorHAnsi"/>
                <w:sz w:val="24"/>
                <w:szCs w:val="24"/>
              </w:rPr>
            </w:pPr>
            <w:r w:rsidRPr="00F51053">
              <w:rPr>
                <w:rFonts w:cstheme="minorHAnsi"/>
                <w:sz w:val="24"/>
                <w:szCs w:val="24"/>
              </w:rPr>
              <w:t>FirstEnergy Corp.</w:t>
            </w:r>
          </w:p>
          <w:p w14:paraId="590CBDEA" w14:textId="77777777" w:rsidR="00F5146E" w:rsidRPr="004134A6" w:rsidRDefault="004373F1" w:rsidP="00F5146E">
            <w:pPr>
              <w:spacing w:after="0" w:line="240" w:lineRule="auto"/>
              <w:rPr>
                <w:rFonts w:cstheme="minorHAnsi"/>
                <w:sz w:val="24"/>
                <w:szCs w:val="24"/>
              </w:rPr>
            </w:pPr>
            <w:r w:rsidRPr="004134A6">
              <w:rPr>
                <w:rFonts w:cstheme="minorHAnsi"/>
                <w:sz w:val="24"/>
                <w:szCs w:val="24"/>
              </w:rPr>
              <w:t>76 S. Main Street</w:t>
            </w:r>
            <w:r w:rsidRPr="004134A6">
              <w:rPr>
                <w:rFonts w:cstheme="minorHAnsi"/>
                <w:sz w:val="24"/>
                <w:szCs w:val="24"/>
              </w:rPr>
              <w:tab/>
              <w:t xml:space="preserve"> </w:t>
            </w:r>
          </w:p>
          <w:p w14:paraId="58DE92B9" w14:textId="77777777" w:rsidR="00F5146E" w:rsidRPr="00027E7B" w:rsidRDefault="004373F1" w:rsidP="00F5146E">
            <w:pPr>
              <w:spacing w:after="0" w:line="240" w:lineRule="auto"/>
              <w:rPr>
                <w:rFonts w:cstheme="minorHAnsi"/>
                <w:sz w:val="24"/>
                <w:szCs w:val="24"/>
              </w:rPr>
            </w:pPr>
            <w:r w:rsidRPr="00027E7B">
              <w:rPr>
                <w:rFonts w:cstheme="minorHAnsi"/>
                <w:sz w:val="24"/>
                <w:szCs w:val="24"/>
              </w:rPr>
              <w:t>Akron, Ohio 44308</w:t>
            </w:r>
          </w:p>
          <w:p w14:paraId="4D0B1915" w14:textId="47521265" w:rsidR="00F5146E" w:rsidRPr="00027E7B" w:rsidRDefault="004373F1" w:rsidP="007E4D4B">
            <w:pPr>
              <w:spacing w:after="0" w:line="240" w:lineRule="auto"/>
              <w:rPr>
                <w:rFonts w:cstheme="minorHAnsi"/>
                <w:sz w:val="24"/>
                <w:szCs w:val="24"/>
              </w:rPr>
            </w:pPr>
            <w:r w:rsidRPr="00027E7B">
              <w:rPr>
                <w:rFonts w:cstheme="minorHAnsi"/>
                <w:sz w:val="24"/>
                <w:szCs w:val="24"/>
                <w:u w:val="single"/>
              </w:rPr>
              <w:t>bknipe@firstenergycorp.com</w:t>
            </w:r>
            <w:r w:rsidRPr="00027E7B">
              <w:rPr>
                <w:rFonts w:cstheme="minorHAnsi"/>
                <w:sz w:val="24"/>
                <w:szCs w:val="24"/>
              </w:rPr>
              <w:tab/>
            </w:r>
          </w:p>
        </w:tc>
        <w:tc>
          <w:tcPr>
            <w:tcW w:w="4199" w:type="dxa"/>
          </w:tcPr>
          <w:p w14:paraId="3DCE2687" w14:textId="77777777" w:rsidR="00F5146E" w:rsidRPr="00027E7B" w:rsidRDefault="004373F1" w:rsidP="00F5146E">
            <w:pPr>
              <w:spacing w:after="0" w:line="240" w:lineRule="auto"/>
              <w:rPr>
                <w:rFonts w:cstheme="minorHAnsi"/>
                <w:sz w:val="24"/>
                <w:szCs w:val="24"/>
              </w:rPr>
            </w:pPr>
            <w:r w:rsidRPr="00027E7B">
              <w:rPr>
                <w:rFonts w:cstheme="minorHAnsi"/>
                <w:sz w:val="24"/>
                <w:szCs w:val="24"/>
              </w:rPr>
              <w:t>Larry Sauer</w:t>
            </w:r>
          </w:p>
          <w:p w14:paraId="28A8D21A" w14:textId="77777777" w:rsidR="00F5146E" w:rsidRPr="00027E7B" w:rsidRDefault="004373F1" w:rsidP="00F5146E">
            <w:pPr>
              <w:spacing w:after="0" w:line="240" w:lineRule="auto"/>
              <w:rPr>
                <w:rFonts w:cstheme="minorHAnsi"/>
                <w:sz w:val="24"/>
                <w:szCs w:val="24"/>
              </w:rPr>
            </w:pPr>
            <w:r w:rsidRPr="00027E7B">
              <w:rPr>
                <w:rFonts w:cstheme="minorHAnsi"/>
                <w:sz w:val="24"/>
                <w:szCs w:val="24"/>
              </w:rPr>
              <w:t>Ohio Consumer’s Counsel</w:t>
            </w:r>
          </w:p>
          <w:p w14:paraId="6F90E6BD" w14:textId="77777777" w:rsidR="00F5146E" w:rsidRPr="00027E7B" w:rsidRDefault="004373F1" w:rsidP="00F5146E">
            <w:pPr>
              <w:spacing w:after="0" w:line="240" w:lineRule="auto"/>
              <w:rPr>
                <w:rFonts w:cstheme="minorHAnsi"/>
                <w:sz w:val="24"/>
                <w:szCs w:val="24"/>
              </w:rPr>
            </w:pPr>
            <w:r w:rsidRPr="00027E7B">
              <w:rPr>
                <w:rFonts w:cstheme="minorHAnsi"/>
                <w:sz w:val="24"/>
                <w:szCs w:val="24"/>
              </w:rPr>
              <w:t>65 E. State Street</w:t>
            </w:r>
          </w:p>
          <w:p w14:paraId="24F0E2D0" w14:textId="77777777" w:rsidR="00F5146E" w:rsidRPr="00027E7B" w:rsidRDefault="004373F1" w:rsidP="00F5146E">
            <w:pPr>
              <w:spacing w:after="0" w:line="240" w:lineRule="auto"/>
              <w:rPr>
                <w:rFonts w:cstheme="minorHAnsi"/>
                <w:sz w:val="24"/>
                <w:szCs w:val="24"/>
              </w:rPr>
            </w:pPr>
            <w:r w:rsidRPr="00027E7B">
              <w:rPr>
                <w:rFonts w:cstheme="minorHAnsi"/>
                <w:sz w:val="24"/>
                <w:szCs w:val="24"/>
              </w:rPr>
              <w:t>Suite 700</w:t>
            </w:r>
          </w:p>
          <w:p w14:paraId="483A0CAB" w14:textId="77777777" w:rsidR="00F5146E" w:rsidRPr="00027E7B" w:rsidRDefault="004373F1" w:rsidP="00F5146E">
            <w:pPr>
              <w:spacing w:after="0" w:line="240" w:lineRule="auto"/>
              <w:rPr>
                <w:rFonts w:cstheme="minorHAnsi"/>
                <w:sz w:val="24"/>
                <w:szCs w:val="24"/>
              </w:rPr>
            </w:pPr>
            <w:r w:rsidRPr="00027E7B">
              <w:rPr>
                <w:rFonts w:cstheme="minorHAnsi"/>
                <w:sz w:val="24"/>
                <w:szCs w:val="24"/>
              </w:rPr>
              <w:t>Columbus, Ohio 43215</w:t>
            </w:r>
          </w:p>
          <w:p w14:paraId="2536FDFF" w14:textId="32989538" w:rsidR="00F5146E" w:rsidRPr="00027E7B" w:rsidRDefault="004373F1" w:rsidP="00F5146E">
            <w:pPr>
              <w:spacing w:after="0" w:line="240" w:lineRule="auto"/>
              <w:rPr>
                <w:rFonts w:cstheme="minorHAnsi"/>
                <w:sz w:val="24"/>
                <w:szCs w:val="24"/>
              </w:rPr>
            </w:pPr>
            <w:r w:rsidRPr="00027E7B">
              <w:rPr>
                <w:rFonts w:cstheme="minorHAnsi"/>
                <w:sz w:val="24"/>
                <w:szCs w:val="24"/>
                <w:u w:val="single"/>
              </w:rPr>
              <w:t>larry.sauer@occ.ohio.gov</w:t>
            </w:r>
            <w:r w:rsidRPr="00027E7B">
              <w:rPr>
                <w:rFonts w:cstheme="minorHAnsi"/>
                <w:sz w:val="24"/>
                <w:szCs w:val="24"/>
              </w:rPr>
              <w:t xml:space="preserve"> </w:t>
            </w:r>
          </w:p>
        </w:tc>
      </w:tr>
      <w:tr w:rsidR="006A03EC" w:rsidRPr="00027E7B" w14:paraId="5E8DD7F9" w14:textId="77777777" w:rsidTr="00AC2C3E">
        <w:trPr>
          <w:trHeight w:val="2870"/>
          <w:jc w:val="center"/>
        </w:trPr>
        <w:tc>
          <w:tcPr>
            <w:tcW w:w="4199" w:type="dxa"/>
          </w:tcPr>
          <w:p w14:paraId="6D798087" w14:textId="77777777" w:rsidR="008E6AF2" w:rsidRPr="00941344" w:rsidRDefault="004373F1" w:rsidP="008E6AF2">
            <w:pPr>
              <w:spacing w:after="0" w:line="240" w:lineRule="auto"/>
              <w:jc w:val="both"/>
              <w:rPr>
                <w:rFonts w:cstheme="minorHAnsi"/>
                <w:sz w:val="24"/>
                <w:szCs w:val="24"/>
              </w:rPr>
            </w:pPr>
            <w:r w:rsidRPr="00DE405B">
              <w:rPr>
                <w:rFonts w:cstheme="minorHAnsi"/>
                <w:sz w:val="24"/>
                <w:szCs w:val="24"/>
              </w:rPr>
              <w:t>Evan Betterton</w:t>
            </w:r>
          </w:p>
          <w:p w14:paraId="6944B10E" w14:textId="77777777" w:rsidR="008E6AF2" w:rsidRPr="00F51053" w:rsidRDefault="004373F1" w:rsidP="008E6AF2">
            <w:pPr>
              <w:spacing w:after="0" w:line="240" w:lineRule="auto"/>
              <w:jc w:val="both"/>
              <w:rPr>
                <w:rFonts w:cstheme="minorHAnsi"/>
                <w:sz w:val="24"/>
                <w:szCs w:val="24"/>
              </w:rPr>
            </w:pPr>
            <w:r w:rsidRPr="00F51053">
              <w:rPr>
                <w:rFonts w:cstheme="minorHAnsi"/>
                <w:sz w:val="24"/>
                <w:szCs w:val="24"/>
              </w:rPr>
              <w:t>Stacie Cathcart</w:t>
            </w:r>
          </w:p>
          <w:p w14:paraId="0B49433A" w14:textId="77777777" w:rsidR="008E6AF2" w:rsidRPr="004134A6" w:rsidRDefault="004373F1" w:rsidP="008E6AF2">
            <w:pPr>
              <w:spacing w:after="0" w:line="240" w:lineRule="auto"/>
              <w:jc w:val="both"/>
              <w:rPr>
                <w:rFonts w:cstheme="minorHAnsi"/>
                <w:sz w:val="24"/>
                <w:szCs w:val="24"/>
              </w:rPr>
            </w:pPr>
            <w:r w:rsidRPr="004134A6">
              <w:rPr>
                <w:rFonts w:cstheme="minorHAnsi"/>
                <w:sz w:val="24"/>
                <w:szCs w:val="24"/>
              </w:rPr>
              <w:t>IGS Energy</w:t>
            </w:r>
          </w:p>
          <w:p w14:paraId="14A4B315" w14:textId="77777777" w:rsidR="008E6AF2" w:rsidRPr="00027E7B" w:rsidRDefault="004373F1" w:rsidP="008E6AF2">
            <w:pPr>
              <w:spacing w:after="0" w:line="240" w:lineRule="auto"/>
              <w:jc w:val="both"/>
              <w:rPr>
                <w:rFonts w:cstheme="minorHAnsi"/>
                <w:sz w:val="24"/>
                <w:szCs w:val="24"/>
              </w:rPr>
            </w:pPr>
            <w:r w:rsidRPr="00027E7B">
              <w:rPr>
                <w:rFonts w:cstheme="minorHAnsi"/>
                <w:sz w:val="24"/>
                <w:szCs w:val="24"/>
              </w:rPr>
              <w:t>6100 Emerald Parkway</w:t>
            </w:r>
          </w:p>
          <w:p w14:paraId="0D76EA26" w14:textId="77777777" w:rsidR="008E6AF2" w:rsidRPr="00027E7B" w:rsidRDefault="004373F1" w:rsidP="008E6AF2">
            <w:pPr>
              <w:spacing w:after="0" w:line="240" w:lineRule="auto"/>
              <w:jc w:val="both"/>
              <w:rPr>
                <w:rFonts w:cstheme="minorHAnsi"/>
                <w:sz w:val="24"/>
                <w:szCs w:val="24"/>
              </w:rPr>
            </w:pPr>
            <w:r w:rsidRPr="00027E7B">
              <w:rPr>
                <w:rFonts w:cstheme="minorHAnsi"/>
                <w:sz w:val="24"/>
                <w:szCs w:val="24"/>
              </w:rPr>
              <w:t>Dublin, Ohio 43016</w:t>
            </w:r>
          </w:p>
          <w:p w14:paraId="26016C27" w14:textId="77777777" w:rsidR="008E6AF2" w:rsidRPr="00027E7B" w:rsidRDefault="004373F1" w:rsidP="008E6AF2">
            <w:pPr>
              <w:spacing w:after="0" w:line="240" w:lineRule="auto"/>
              <w:jc w:val="both"/>
              <w:rPr>
                <w:rFonts w:cstheme="minorHAnsi"/>
                <w:sz w:val="24"/>
                <w:szCs w:val="24"/>
              </w:rPr>
            </w:pPr>
            <w:r w:rsidRPr="00027E7B">
              <w:rPr>
                <w:rFonts w:cstheme="minorHAnsi"/>
                <w:sz w:val="24"/>
                <w:szCs w:val="24"/>
              </w:rPr>
              <w:t>Tel: (614) 659-5000</w:t>
            </w:r>
          </w:p>
          <w:p w14:paraId="1F9EDE6D" w14:textId="77777777" w:rsidR="008E6AF2" w:rsidRPr="00027E7B" w:rsidRDefault="004373F1" w:rsidP="008E6AF2">
            <w:pPr>
              <w:spacing w:after="0" w:line="240" w:lineRule="auto"/>
              <w:jc w:val="both"/>
              <w:rPr>
                <w:rFonts w:cstheme="minorHAnsi"/>
                <w:sz w:val="24"/>
                <w:szCs w:val="24"/>
              </w:rPr>
            </w:pPr>
            <w:r w:rsidRPr="00027E7B">
              <w:rPr>
                <w:rFonts w:cstheme="minorHAnsi"/>
                <w:sz w:val="24"/>
                <w:szCs w:val="24"/>
              </w:rPr>
              <w:t>Fax: (614) 659-5073</w:t>
            </w:r>
          </w:p>
          <w:p w14:paraId="2CC7AF4D" w14:textId="77777777" w:rsidR="008E6AF2" w:rsidRPr="00027E7B" w:rsidRDefault="004373F1" w:rsidP="008E6AF2">
            <w:pPr>
              <w:spacing w:after="0" w:line="240" w:lineRule="auto"/>
              <w:jc w:val="both"/>
              <w:rPr>
                <w:rFonts w:cstheme="minorHAnsi"/>
                <w:sz w:val="24"/>
                <w:szCs w:val="24"/>
              </w:rPr>
            </w:pPr>
            <w:r w:rsidRPr="00027E7B">
              <w:rPr>
                <w:rFonts w:cstheme="minorHAnsi"/>
                <w:sz w:val="24"/>
                <w:szCs w:val="24"/>
                <w:u w:val="single"/>
              </w:rPr>
              <w:t>evan.betterton@igs.com</w:t>
            </w:r>
          </w:p>
          <w:p w14:paraId="039CDD31" w14:textId="77777777" w:rsidR="008E6AF2" w:rsidRPr="00027E7B" w:rsidRDefault="004373F1" w:rsidP="008E6AF2">
            <w:pPr>
              <w:spacing w:after="0" w:line="240" w:lineRule="auto"/>
              <w:jc w:val="both"/>
              <w:rPr>
                <w:rFonts w:cstheme="minorHAnsi"/>
                <w:sz w:val="24"/>
                <w:szCs w:val="24"/>
              </w:rPr>
            </w:pPr>
            <w:r w:rsidRPr="00027E7B">
              <w:rPr>
                <w:rFonts w:cstheme="minorHAnsi"/>
                <w:sz w:val="24"/>
                <w:szCs w:val="24"/>
                <w:u w:val="single"/>
              </w:rPr>
              <w:t>stacie.cathart@igs.com</w:t>
            </w:r>
            <w:r w:rsidRPr="00027E7B">
              <w:rPr>
                <w:rFonts w:cstheme="minorHAnsi"/>
                <w:sz w:val="24"/>
                <w:szCs w:val="24"/>
              </w:rPr>
              <w:t xml:space="preserve"> </w:t>
            </w:r>
          </w:p>
          <w:p w14:paraId="15014CA9" w14:textId="7C54DC9B" w:rsidR="001D53FF" w:rsidRPr="00027E7B" w:rsidRDefault="001D53FF" w:rsidP="008E6AF2">
            <w:pPr>
              <w:spacing w:after="0" w:line="240" w:lineRule="auto"/>
              <w:rPr>
                <w:rFonts w:eastAsia="Times New Roman" w:cstheme="minorHAnsi"/>
                <w:i/>
                <w:iCs/>
                <w:sz w:val="24"/>
                <w:szCs w:val="24"/>
              </w:rPr>
            </w:pPr>
          </w:p>
        </w:tc>
        <w:tc>
          <w:tcPr>
            <w:tcW w:w="4199" w:type="dxa"/>
          </w:tcPr>
          <w:p w14:paraId="6DE6A617" w14:textId="77777777" w:rsidR="00F5146E" w:rsidRPr="00027E7B" w:rsidRDefault="004373F1" w:rsidP="00F5146E">
            <w:pPr>
              <w:spacing w:after="0" w:line="240" w:lineRule="auto"/>
              <w:jc w:val="both"/>
              <w:rPr>
                <w:rFonts w:cstheme="minorHAnsi"/>
                <w:sz w:val="24"/>
                <w:szCs w:val="24"/>
              </w:rPr>
            </w:pPr>
            <w:r w:rsidRPr="00027E7B">
              <w:rPr>
                <w:rFonts w:cstheme="minorHAnsi"/>
                <w:sz w:val="24"/>
                <w:szCs w:val="24"/>
              </w:rPr>
              <w:t>Thomas Lindgren</w:t>
            </w:r>
          </w:p>
          <w:p w14:paraId="447EB11F" w14:textId="77777777" w:rsidR="00F5146E" w:rsidRPr="00027E7B" w:rsidRDefault="004373F1" w:rsidP="00F5146E">
            <w:pPr>
              <w:spacing w:after="0" w:line="240" w:lineRule="auto"/>
              <w:jc w:val="both"/>
              <w:rPr>
                <w:rFonts w:cstheme="minorHAnsi"/>
                <w:sz w:val="24"/>
                <w:szCs w:val="24"/>
              </w:rPr>
            </w:pPr>
            <w:r w:rsidRPr="00027E7B">
              <w:rPr>
                <w:rFonts w:cstheme="minorHAnsi"/>
                <w:sz w:val="24"/>
                <w:szCs w:val="24"/>
              </w:rPr>
              <w:t>Rhiannon Plant</w:t>
            </w:r>
          </w:p>
          <w:p w14:paraId="4B5DDA56" w14:textId="77777777" w:rsidR="00F5146E" w:rsidRPr="00027E7B" w:rsidRDefault="004373F1" w:rsidP="00F5146E">
            <w:pPr>
              <w:spacing w:after="0" w:line="240" w:lineRule="auto"/>
              <w:jc w:val="both"/>
              <w:rPr>
                <w:rFonts w:cstheme="minorHAnsi"/>
                <w:sz w:val="24"/>
                <w:szCs w:val="24"/>
              </w:rPr>
            </w:pPr>
            <w:r w:rsidRPr="00027E7B">
              <w:rPr>
                <w:rFonts w:cstheme="minorHAnsi"/>
                <w:sz w:val="24"/>
                <w:szCs w:val="24"/>
              </w:rPr>
              <w:t>Assistant Ohio Attorneys General</w:t>
            </w:r>
          </w:p>
          <w:p w14:paraId="6A8DFA8B" w14:textId="77777777" w:rsidR="00F5146E" w:rsidRPr="00027E7B" w:rsidRDefault="004373F1" w:rsidP="00F5146E">
            <w:pPr>
              <w:spacing w:after="0" w:line="240" w:lineRule="auto"/>
              <w:jc w:val="both"/>
              <w:rPr>
                <w:rFonts w:cstheme="minorHAnsi"/>
                <w:sz w:val="24"/>
                <w:szCs w:val="24"/>
              </w:rPr>
            </w:pPr>
            <w:r w:rsidRPr="00027E7B">
              <w:rPr>
                <w:rFonts w:cstheme="minorHAnsi"/>
                <w:sz w:val="24"/>
                <w:szCs w:val="24"/>
              </w:rPr>
              <w:t>Public Utilities Section</w:t>
            </w:r>
          </w:p>
          <w:p w14:paraId="63D19683" w14:textId="77777777" w:rsidR="00F5146E" w:rsidRPr="00027E7B" w:rsidRDefault="004373F1" w:rsidP="00F5146E">
            <w:pPr>
              <w:spacing w:after="0" w:line="240" w:lineRule="auto"/>
              <w:jc w:val="both"/>
              <w:rPr>
                <w:rFonts w:cstheme="minorHAnsi"/>
                <w:sz w:val="24"/>
                <w:szCs w:val="24"/>
              </w:rPr>
            </w:pPr>
            <w:r w:rsidRPr="00027E7B">
              <w:rPr>
                <w:rFonts w:cstheme="minorHAnsi"/>
                <w:sz w:val="24"/>
                <w:szCs w:val="24"/>
              </w:rPr>
              <w:t>30 East Broad Street</w:t>
            </w:r>
          </w:p>
          <w:p w14:paraId="7A880EA1" w14:textId="77777777" w:rsidR="00F5146E" w:rsidRPr="00027E7B" w:rsidRDefault="004373F1" w:rsidP="00F5146E">
            <w:pPr>
              <w:spacing w:after="0" w:line="240" w:lineRule="auto"/>
              <w:jc w:val="both"/>
              <w:rPr>
                <w:rFonts w:cstheme="minorHAnsi"/>
                <w:sz w:val="24"/>
                <w:szCs w:val="24"/>
              </w:rPr>
            </w:pPr>
            <w:r w:rsidRPr="00027E7B">
              <w:rPr>
                <w:rFonts w:cstheme="minorHAnsi"/>
                <w:sz w:val="24"/>
                <w:szCs w:val="24"/>
              </w:rPr>
              <w:t>Columbus, Ohio 43215</w:t>
            </w:r>
          </w:p>
          <w:p w14:paraId="50A63E08" w14:textId="77777777" w:rsidR="00F5146E" w:rsidRPr="00027E7B" w:rsidRDefault="004373F1" w:rsidP="00F5146E">
            <w:pPr>
              <w:spacing w:after="0" w:line="240" w:lineRule="auto"/>
              <w:jc w:val="both"/>
              <w:rPr>
                <w:rFonts w:cstheme="minorHAnsi"/>
                <w:sz w:val="24"/>
                <w:szCs w:val="24"/>
              </w:rPr>
            </w:pPr>
            <w:r w:rsidRPr="00027E7B">
              <w:rPr>
                <w:rFonts w:cstheme="minorHAnsi"/>
                <w:sz w:val="24"/>
                <w:szCs w:val="24"/>
                <w:u w:val="single"/>
              </w:rPr>
              <w:t>Thomas.Lindgren@OhioAGO.gov</w:t>
            </w:r>
          </w:p>
          <w:p w14:paraId="14A6A960" w14:textId="77777777" w:rsidR="00F5146E" w:rsidRPr="00027E7B" w:rsidRDefault="004373F1" w:rsidP="00F5146E">
            <w:pPr>
              <w:spacing w:after="0" w:line="240" w:lineRule="auto"/>
              <w:jc w:val="both"/>
              <w:rPr>
                <w:rFonts w:cstheme="minorHAnsi"/>
                <w:sz w:val="24"/>
                <w:szCs w:val="24"/>
              </w:rPr>
            </w:pPr>
            <w:r w:rsidRPr="00027E7B">
              <w:rPr>
                <w:rFonts w:cstheme="minorHAnsi"/>
                <w:sz w:val="24"/>
                <w:szCs w:val="24"/>
                <w:u w:val="single"/>
              </w:rPr>
              <w:t>Rhiannon.Plant@OhioAGO.gov</w:t>
            </w:r>
          </w:p>
          <w:p w14:paraId="4A9C058D" w14:textId="59B00A66" w:rsidR="00F5146E" w:rsidRPr="00027E7B" w:rsidRDefault="00F5146E" w:rsidP="00F5146E">
            <w:pPr>
              <w:spacing w:after="0" w:line="240" w:lineRule="auto"/>
              <w:jc w:val="both"/>
              <w:rPr>
                <w:rFonts w:cstheme="minorHAnsi"/>
                <w:i/>
                <w:iCs/>
                <w:sz w:val="24"/>
                <w:szCs w:val="24"/>
              </w:rPr>
            </w:pPr>
          </w:p>
        </w:tc>
      </w:tr>
      <w:tr w:rsidR="006A03EC" w:rsidRPr="00027E7B" w14:paraId="6ADCB00C" w14:textId="77777777" w:rsidTr="00AC2C3E">
        <w:trPr>
          <w:trHeight w:val="890"/>
          <w:jc w:val="center"/>
        </w:trPr>
        <w:tc>
          <w:tcPr>
            <w:tcW w:w="4199" w:type="dxa"/>
          </w:tcPr>
          <w:p w14:paraId="24D8D244" w14:textId="77777777" w:rsidR="008E6AF2" w:rsidRPr="00941344" w:rsidRDefault="004373F1" w:rsidP="008E6AF2">
            <w:pPr>
              <w:spacing w:after="0" w:line="240" w:lineRule="auto"/>
              <w:rPr>
                <w:rFonts w:cstheme="minorHAnsi"/>
                <w:sz w:val="24"/>
                <w:szCs w:val="24"/>
              </w:rPr>
            </w:pPr>
            <w:r w:rsidRPr="00DE405B">
              <w:rPr>
                <w:rFonts w:cstheme="minorHAnsi"/>
                <w:sz w:val="24"/>
                <w:szCs w:val="24"/>
              </w:rPr>
              <w:t>David Proaño</w:t>
            </w:r>
          </w:p>
          <w:p w14:paraId="2D075033" w14:textId="77777777" w:rsidR="008E6AF2" w:rsidRPr="00F51053" w:rsidRDefault="004373F1" w:rsidP="008E6AF2">
            <w:pPr>
              <w:spacing w:after="0" w:line="240" w:lineRule="auto"/>
              <w:rPr>
                <w:rFonts w:cstheme="minorHAnsi"/>
                <w:sz w:val="24"/>
                <w:szCs w:val="24"/>
              </w:rPr>
            </w:pPr>
            <w:r w:rsidRPr="00F51053">
              <w:rPr>
                <w:rFonts w:cstheme="minorHAnsi"/>
                <w:sz w:val="24"/>
                <w:szCs w:val="24"/>
              </w:rPr>
              <w:t>James H. Rollinson</w:t>
            </w:r>
          </w:p>
          <w:p w14:paraId="0C9C71AC" w14:textId="77777777" w:rsidR="008E6AF2" w:rsidRPr="004134A6" w:rsidRDefault="004373F1" w:rsidP="008E6AF2">
            <w:pPr>
              <w:spacing w:after="0" w:line="240" w:lineRule="auto"/>
              <w:rPr>
                <w:rFonts w:cstheme="minorHAnsi"/>
                <w:sz w:val="24"/>
                <w:szCs w:val="24"/>
              </w:rPr>
            </w:pPr>
            <w:r w:rsidRPr="004134A6">
              <w:rPr>
                <w:rFonts w:cstheme="minorHAnsi"/>
                <w:sz w:val="24"/>
                <w:szCs w:val="24"/>
              </w:rPr>
              <w:t>Patrick T. Lewis</w:t>
            </w:r>
          </w:p>
          <w:p w14:paraId="68C18F5A" w14:textId="77777777" w:rsidR="008E6AF2" w:rsidRPr="00027E7B" w:rsidRDefault="004373F1" w:rsidP="008E6AF2">
            <w:pPr>
              <w:spacing w:after="0" w:line="240" w:lineRule="auto"/>
              <w:rPr>
                <w:rFonts w:cstheme="minorHAnsi"/>
                <w:sz w:val="24"/>
                <w:szCs w:val="24"/>
              </w:rPr>
            </w:pPr>
            <w:r w:rsidRPr="00027E7B">
              <w:rPr>
                <w:rFonts w:cstheme="minorHAnsi"/>
                <w:sz w:val="24"/>
                <w:szCs w:val="24"/>
              </w:rPr>
              <w:t>Kyle T. Cutts</w:t>
            </w:r>
          </w:p>
          <w:p w14:paraId="64A54E8D" w14:textId="77777777" w:rsidR="008E6AF2" w:rsidRPr="00027E7B" w:rsidRDefault="004373F1" w:rsidP="008E6AF2">
            <w:pPr>
              <w:spacing w:after="0" w:line="240" w:lineRule="auto"/>
              <w:rPr>
                <w:rFonts w:cstheme="minorHAnsi"/>
                <w:sz w:val="24"/>
                <w:szCs w:val="24"/>
              </w:rPr>
            </w:pPr>
            <w:r w:rsidRPr="00027E7B">
              <w:rPr>
                <w:rFonts w:cstheme="minorHAnsi"/>
                <w:sz w:val="24"/>
                <w:szCs w:val="24"/>
              </w:rPr>
              <w:t>Taylor M. Thompson</w:t>
            </w:r>
          </w:p>
          <w:p w14:paraId="34C375C7" w14:textId="77777777" w:rsidR="008E6AF2" w:rsidRPr="00027E7B" w:rsidRDefault="004373F1" w:rsidP="008E6AF2">
            <w:pPr>
              <w:spacing w:after="0" w:line="240" w:lineRule="auto"/>
              <w:rPr>
                <w:rFonts w:cstheme="minorHAnsi"/>
                <w:sz w:val="24"/>
                <w:szCs w:val="24"/>
              </w:rPr>
            </w:pPr>
            <w:r w:rsidRPr="00027E7B">
              <w:rPr>
                <w:rFonts w:cstheme="minorHAnsi"/>
                <w:sz w:val="24"/>
                <w:szCs w:val="24"/>
              </w:rPr>
              <w:t>Ali I. Haque</w:t>
            </w:r>
          </w:p>
          <w:p w14:paraId="498A251D" w14:textId="77777777" w:rsidR="008E6AF2" w:rsidRPr="00027E7B" w:rsidRDefault="004373F1" w:rsidP="008E6AF2">
            <w:pPr>
              <w:spacing w:after="0" w:line="240" w:lineRule="auto"/>
              <w:rPr>
                <w:rFonts w:cstheme="minorHAnsi"/>
                <w:sz w:val="24"/>
                <w:szCs w:val="24"/>
              </w:rPr>
            </w:pPr>
            <w:r w:rsidRPr="00027E7B">
              <w:rPr>
                <w:rFonts w:cstheme="minorHAnsi"/>
                <w:sz w:val="24"/>
                <w:szCs w:val="24"/>
              </w:rPr>
              <w:t>BAKER &amp; HOSTETLER, LLP</w:t>
            </w:r>
          </w:p>
          <w:p w14:paraId="53BEB0DC" w14:textId="77777777" w:rsidR="008E6AF2" w:rsidRPr="00027E7B" w:rsidRDefault="004373F1" w:rsidP="008E6AF2">
            <w:pPr>
              <w:spacing w:after="0" w:line="240" w:lineRule="auto"/>
              <w:rPr>
                <w:rFonts w:cstheme="minorHAnsi"/>
                <w:sz w:val="24"/>
                <w:szCs w:val="24"/>
              </w:rPr>
            </w:pPr>
            <w:r w:rsidRPr="00027E7B">
              <w:rPr>
                <w:rFonts w:cstheme="minorHAnsi"/>
                <w:sz w:val="24"/>
                <w:szCs w:val="24"/>
              </w:rPr>
              <w:t>127 Public Square, Suite 2000</w:t>
            </w:r>
          </w:p>
          <w:p w14:paraId="5593D444" w14:textId="77777777" w:rsidR="008E6AF2" w:rsidRPr="00027E7B" w:rsidRDefault="004373F1" w:rsidP="008E6AF2">
            <w:pPr>
              <w:spacing w:after="0" w:line="240" w:lineRule="auto"/>
              <w:rPr>
                <w:rFonts w:cstheme="minorHAnsi"/>
                <w:sz w:val="24"/>
                <w:szCs w:val="24"/>
              </w:rPr>
            </w:pPr>
            <w:r w:rsidRPr="00027E7B">
              <w:rPr>
                <w:rFonts w:cstheme="minorHAnsi"/>
                <w:sz w:val="24"/>
                <w:szCs w:val="24"/>
              </w:rPr>
              <w:t>Cleveland, Ohio 44114</w:t>
            </w:r>
          </w:p>
          <w:p w14:paraId="23432792" w14:textId="77777777" w:rsidR="008E6AF2" w:rsidRPr="00027E7B" w:rsidRDefault="004373F1" w:rsidP="008E6AF2">
            <w:pPr>
              <w:spacing w:after="0" w:line="240" w:lineRule="auto"/>
              <w:rPr>
                <w:rFonts w:cstheme="minorHAnsi"/>
                <w:sz w:val="24"/>
                <w:szCs w:val="24"/>
              </w:rPr>
            </w:pPr>
            <w:r w:rsidRPr="00027E7B">
              <w:rPr>
                <w:rFonts w:cstheme="minorHAnsi"/>
                <w:sz w:val="24"/>
                <w:szCs w:val="24"/>
                <w:u w:val="single"/>
              </w:rPr>
              <w:t>dproano@bakerlaw.com</w:t>
            </w:r>
          </w:p>
          <w:p w14:paraId="6251D0F9" w14:textId="77777777" w:rsidR="008E6AF2" w:rsidRPr="00027E7B" w:rsidRDefault="004373F1" w:rsidP="008E6AF2">
            <w:pPr>
              <w:spacing w:after="0" w:line="240" w:lineRule="auto"/>
              <w:rPr>
                <w:rFonts w:cstheme="minorHAnsi"/>
                <w:sz w:val="24"/>
                <w:szCs w:val="24"/>
              </w:rPr>
            </w:pPr>
            <w:r w:rsidRPr="00027E7B">
              <w:rPr>
                <w:rFonts w:cstheme="minorHAnsi"/>
                <w:sz w:val="24"/>
                <w:szCs w:val="24"/>
                <w:u w:val="single"/>
              </w:rPr>
              <w:t>jrollinson@bakerlaw.com</w:t>
            </w:r>
          </w:p>
          <w:p w14:paraId="77CABE7D" w14:textId="77777777" w:rsidR="008E6AF2" w:rsidRPr="00027E7B" w:rsidRDefault="004373F1" w:rsidP="008E6AF2">
            <w:pPr>
              <w:spacing w:after="0" w:line="240" w:lineRule="auto"/>
              <w:rPr>
                <w:rFonts w:cstheme="minorHAnsi"/>
                <w:sz w:val="24"/>
                <w:szCs w:val="24"/>
                <w:u w:val="single"/>
              </w:rPr>
            </w:pPr>
            <w:r w:rsidRPr="00027E7B">
              <w:rPr>
                <w:rFonts w:cstheme="minorHAnsi"/>
                <w:sz w:val="24"/>
                <w:szCs w:val="24"/>
                <w:u w:val="single"/>
              </w:rPr>
              <w:t>kcutts@bakerlaw.com</w:t>
            </w:r>
            <w:r w:rsidRPr="00027E7B">
              <w:rPr>
                <w:rFonts w:cstheme="minorHAnsi"/>
                <w:sz w:val="24"/>
                <w:szCs w:val="24"/>
              </w:rPr>
              <w:tab/>
            </w:r>
          </w:p>
          <w:p w14:paraId="37FAC00A" w14:textId="77777777" w:rsidR="008E6AF2" w:rsidRPr="00027E7B" w:rsidRDefault="004373F1" w:rsidP="008E6AF2">
            <w:pPr>
              <w:spacing w:after="0" w:line="240" w:lineRule="auto"/>
              <w:rPr>
                <w:rFonts w:cstheme="minorHAnsi"/>
                <w:sz w:val="24"/>
                <w:szCs w:val="24"/>
              </w:rPr>
            </w:pPr>
            <w:r w:rsidRPr="00027E7B">
              <w:rPr>
                <w:rFonts w:cstheme="minorHAnsi"/>
                <w:sz w:val="24"/>
                <w:szCs w:val="24"/>
                <w:u w:val="single"/>
              </w:rPr>
              <w:t>tathompson@bakerlaw.com</w:t>
            </w:r>
            <w:r w:rsidRPr="00027E7B">
              <w:rPr>
                <w:rFonts w:cstheme="minorHAnsi"/>
                <w:sz w:val="24"/>
                <w:szCs w:val="24"/>
              </w:rPr>
              <w:t xml:space="preserve"> </w:t>
            </w:r>
            <w:r w:rsidRPr="00027E7B">
              <w:rPr>
                <w:rFonts w:cstheme="minorHAnsi"/>
                <w:sz w:val="24"/>
                <w:szCs w:val="24"/>
              </w:rPr>
              <w:tab/>
            </w:r>
          </w:p>
          <w:p w14:paraId="1F88CD6F" w14:textId="78C72732" w:rsidR="00AC2C3E" w:rsidRPr="00027E7B" w:rsidRDefault="008E6AF2" w:rsidP="001D53FF">
            <w:pPr>
              <w:spacing w:after="0" w:line="240" w:lineRule="auto"/>
              <w:rPr>
                <w:rFonts w:cstheme="minorHAnsi"/>
                <w:sz w:val="24"/>
                <w:szCs w:val="24"/>
                <w:u w:val="single"/>
              </w:rPr>
            </w:pPr>
            <w:r w:rsidRPr="00027E7B">
              <w:rPr>
                <w:rFonts w:cstheme="minorHAnsi"/>
                <w:sz w:val="24"/>
                <w:szCs w:val="24"/>
                <w:u w:val="single"/>
              </w:rPr>
              <w:t>ahaque@bakerlaw.com</w:t>
            </w:r>
          </w:p>
        </w:tc>
        <w:tc>
          <w:tcPr>
            <w:tcW w:w="4199" w:type="dxa"/>
          </w:tcPr>
          <w:p w14:paraId="038DED56" w14:textId="6A9432FC" w:rsidR="00AC2C3E" w:rsidRPr="00027E7B" w:rsidRDefault="004373F1" w:rsidP="00AC2C3E">
            <w:pPr>
              <w:spacing w:after="0" w:line="240" w:lineRule="auto"/>
              <w:jc w:val="both"/>
              <w:rPr>
                <w:rFonts w:cstheme="minorHAnsi"/>
                <w:sz w:val="24"/>
                <w:szCs w:val="24"/>
              </w:rPr>
            </w:pPr>
            <w:r w:rsidRPr="00027E7B">
              <w:rPr>
                <w:rFonts w:cstheme="minorHAnsi"/>
                <w:sz w:val="24"/>
                <w:szCs w:val="24"/>
              </w:rPr>
              <w:t>John Finnigan</w:t>
            </w:r>
          </w:p>
          <w:p w14:paraId="76D6B928" w14:textId="77777777" w:rsidR="00AC2C3E" w:rsidRPr="00027E7B" w:rsidRDefault="004373F1" w:rsidP="00AC2C3E">
            <w:pPr>
              <w:spacing w:after="0" w:line="240" w:lineRule="auto"/>
              <w:jc w:val="both"/>
              <w:rPr>
                <w:rFonts w:cstheme="minorHAnsi"/>
                <w:sz w:val="24"/>
                <w:szCs w:val="24"/>
              </w:rPr>
            </w:pPr>
            <w:r w:rsidRPr="00027E7B">
              <w:rPr>
                <w:rFonts w:cstheme="minorHAnsi"/>
                <w:sz w:val="24"/>
                <w:szCs w:val="24"/>
              </w:rPr>
              <w:t>Maureen Wills</w:t>
            </w:r>
          </w:p>
          <w:p w14:paraId="268A2739" w14:textId="77777777" w:rsidR="00AC2C3E" w:rsidRPr="00027E7B" w:rsidRDefault="004373F1" w:rsidP="00AC2C3E">
            <w:pPr>
              <w:spacing w:after="0" w:line="240" w:lineRule="auto"/>
              <w:jc w:val="both"/>
              <w:rPr>
                <w:rFonts w:cstheme="minorHAnsi"/>
                <w:sz w:val="24"/>
                <w:szCs w:val="24"/>
              </w:rPr>
            </w:pPr>
            <w:r w:rsidRPr="00027E7B">
              <w:rPr>
                <w:rFonts w:cstheme="minorHAnsi"/>
                <w:sz w:val="24"/>
                <w:szCs w:val="24"/>
              </w:rPr>
              <w:t>Larry Sauer</w:t>
            </w:r>
          </w:p>
          <w:p w14:paraId="1D0F7A92" w14:textId="77777777" w:rsidR="00AC2C3E" w:rsidRPr="00027E7B" w:rsidRDefault="004373F1" w:rsidP="00AC2C3E">
            <w:pPr>
              <w:spacing w:after="0" w:line="240" w:lineRule="auto"/>
              <w:jc w:val="both"/>
              <w:rPr>
                <w:rFonts w:cstheme="minorHAnsi"/>
                <w:sz w:val="24"/>
                <w:szCs w:val="24"/>
              </w:rPr>
            </w:pPr>
            <w:r w:rsidRPr="00027E7B">
              <w:rPr>
                <w:rFonts w:cstheme="minorHAnsi"/>
                <w:sz w:val="24"/>
                <w:szCs w:val="24"/>
              </w:rPr>
              <w:t>Office of the Ohio Consumers’ Counsel</w:t>
            </w:r>
          </w:p>
          <w:p w14:paraId="75DDE3BD" w14:textId="77777777" w:rsidR="00AC2C3E" w:rsidRPr="00027E7B" w:rsidRDefault="004373F1" w:rsidP="00AC2C3E">
            <w:pPr>
              <w:spacing w:after="0" w:line="240" w:lineRule="auto"/>
              <w:jc w:val="both"/>
              <w:rPr>
                <w:rFonts w:cstheme="minorHAnsi"/>
                <w:sz w:val="24"/>
                <w:szCs w:val="24"/>
              </w:rPr>
            </w:pPr>
            <w:r w:rsidRPr="00027E7B">
              <w:rPr>
                <w:rFonts w:cstheme="minorHAnsi"/>
                <w:sz w:val="24"/>
                <w:szCs w:val="24"/>
              </w:rPr>
              <w:t>65 East State Street</w:t>
            </w:r>
          </w:p>
          <w:p w14:paraId="5C76CC69" w14:textId="77777777" w:rsidR="00AC2C3E" w:rsidRPr="00027E7B" w:rsidRDefault="004373F1" w:rsidP="00AC2C3E">
            <w:pPr>
              <w:spacing w:after="0" w:line="240" w:lineRule="auto"/>
              <w:jc w:val="both"/>
              <w:rPr>
                <w:rFonts w:cstheme="minorHAnsi"/>
                <w:sz w:val="24"/>
                <w:szCs w:val="24"/>
              </w:rPr>
            </w:pPr>
            <w:r w:rsidRPr="00027E7B">
              <w:rPr>
                <w:rFonts w:cstheme="minorHAnsi"/>
                <w:sz w:val="24"/>
                <w:szCs w:val="24"/>
              </w:rPr>
              <w:t>Suite 700</w:t>
            </w:r>
          </w:p>
          <w:p w14:paraId="548CB0A2" w14:textId="77777777" w:rsidR="00AC2C3E" w:rsidRPr="00027E7B" w:rsidRDefault="004373F1" w:rsidP="00AC2C3E">
            <w:pPr>
              <w:spacing w:after="0" w:line="240" w:lineRule="auto"/>
              <w:jc w:val="both"/>
              <w:rPr>
                <w:rFonts w:cstheme="minorHAnsi"/>
                <w:sz w:val="24"/>
                <w:szCs w:val="24"/>
              </w:rPr>
            </w:pPr>
            <w:r w:rsidRPr="00027E7B">
              <w:rPr>
                <w:rFonts w:cstheme="minorHAnsi"/>
                <w:sz w:val="24"/>
                <w:szCs w:val="24"/>
              </w:rPr>
              <w:t>Columbus, Ohio 43215</w:t>
            </w:r>
          </w:p>
          <w:p w14:paraId="3461248C" w14:textId="77777777" w:rsidR="00AC2C3E" w:rsidRPr="00027E7B" w:rsidRDefault="004373F1" w:rsidP="00AC2C3E">
            <w:pPr>
              <w:spacing w:after="0" w:line="240" w:lineRule="auto"/>
              <w:jc w:val="both"/>
              <w:rPr>
                <w:rFonts w:cstheme="minorHAnsi"/>
                <w:sz w:val="24"/>
                <w:szCs w:val="24"/>
              </w:rPr>
            </w:pPr>
            <w:r w:rsidRPr="00027E7B">
              <w:rPr>
                <w:rFonts w:cstheme="minorHAnsi"/>
                <w:sz w:val="24"/>
                <w:szCs w:val="24"/>
              </w:rPr>
              <w:t xml:space="preserve">John.Finnigan@occ.ohio.gov  </w:t>
            </w:r>
          </w:p>
          <w:p w14:paraId="0DC3E5B4" w14:textId="77777777" w:rsidR="00AC2C3E" w:rsidRPr="00027E7B" w:rsidRDefault="004373F1" w:rsidP="00AC2C3E">
            <w:pPr>
              <w:spacing w:after="0" w:line="240" w:lineRule="auto"/>
              <w:jc w:val="both"/>
              <w:rPr>
                <w:rFonts w:cstheme="minorHAnsi"/>
                <w:sz w:val="24"/>
                <w:szCs w:val="24"/>
              </w:rPr>
            </w:pPr>
            <w:r w:rsidRPr="00027E7B">
              <w:rPr>
                <w:rFonts w:cstheme="minorHAnsi"/>
                <w:sz w:val="24"/>
                <w:szCs w:val="24"/>
              </w:rPr>
              <w:t xml:space="preserve">Maureen.Willis@occ.ohio.gov </w:t>
            </w:r>
          </w:p>
          <w:p w14:paraId="2F4FF1E0" w14:textId="77777777" w:rsidR="00AC2C3E" w:rsidRPr="00027E7B" w:rsidRDefault="004373F1" w:rsidP="00AC2C3E">
            <w:pPr>
              <w:spacing w:after="0" w:line="240" w:lineRule="auto"/>
              <w:jc w:val="both"/>
              <w:rPr>
                <w:rFonts w:cstheme="minorHAnsi"/>
                <w:sz w:val="24"/>
                <w:szCs w:val="24"/>
              </w:rPr>
            </w:pPr>
            <w:r w:rsidRPr="00027E7B">
              <w:rPr>
                <w:rFonts w:cstheme="minorHAnsi"/>
                <w:sz w:val="24"/>
                <w:szCs w:val="24"/>
              </w:rPr>
              <w:t xml:space="preserve">Larry.Sauer@occ.ohio.gov </w:t>
            </w:r>
          </w:p>
          <w:p w14:paraId="05BE26A1" w14:textId="28FEDCCB" w:rsidR="008E6AF2" w:rsidRPr="00027E7B" w:rsidRDefault="008E6AF2" w:rsidP="001D53FF">
            <w:pPr>
              <w:spacing w:after="0" w:line="240" w:lineRule="auto"/>
              <w:jc w:val="both"/>
              <w:rPr>
                <w:rFonts w:cstheme="minorHAnsi"/>
                <w:sz w:val="24"/>
                <w:szCs w:val="24"/>
              </w:rPr>
            </w:pPr>
          </w:p>
        </w:tc>
      </w:tr>
      <w:tr w:rsidR="006A03EC" w:rsidRPr="00027E7B" w14:paraId="0F7F6A7B" w14:textId="77777777" w:rsidTr="00AC2C3E">
        <w:trPr>
          <w:trHeight w:val="2249"/>
          <w:jc w:val="center"/>
        </w:trPr>
        <w:tc>
          <w:tcPr>
            <w:tcW w:w="4199" w:type="dxa"/>
          </w:tcPr>
          <w:p w14:paraId="39723B74" w14:textId="77777777" w:rsidR="001D53FF" w:rsidRPr="00941344" w:rsidRDefault="004373F1" w:rsidP="001D53FF">
            <w:pPr>
              <w:spacing w:after="0" w:line="240" w:lineRule="auto"/>
              <w:rPr>
                <w:rFonts w:cstheme="minorHAnsi"/>
                <w:sz w:val="24"/>
                <w:szCs w:val="24"/>
              </w:rPr>
            </w:pPr>
            <w:r w:rsidRPr="00DE405B">
              <w:rPr>
                <w:rFonts w:cstheme="minorHAnsi"/>
                <w:sz w:val="24"/>
                <w:szCs w:val="24"/>
              </w:rPr>
              <w:lastRenderedPageBreak/>
              <w:t>Janessa Glenn</w:t>
            </w:r>
          </w:p>
          <w:p w14:paraId="6E5F92B3" w14:textId="77777777" w:rsidR="001D53FF" w:rsidRPr="00F51053" w:rsidRDefault="004373F1" w:rsidP="001D53FF">
            <w:pPr>
              <w:spacing w:after="0" w:line="240" w:lineRule="auto"/>
              <w:rPr>
                <w:rFonts w:cstheme="minorHAnsi"/>
                <w:sz w:val="24"/>
                <w:szCs w:val="24"/>
              </w:rPr>
            </w:pPr>
            <w:r w:rsidRPr="00F51053">
              <w:rPr>
                <w:rFonts w:cstheme="minorHAnsi"/>
                <w:sz w:val="24"/>
                <w:szCs w:val="24"/>
              </w:rPr>
              <w:t>K&amp;L Gates LLP</w:t>
            </w:r>
          </w:p>
          <w:p w14:paraId="638BDAC1" w14:textId="77777777" w:rsidR="001D53FF" w:rsidRPr="004134A6" w:rsidRDefault="004373F1" w:rsidP="001D53FF">
            <w:pPr>
              <w:spacing w:after="0" w:line="240" w:lineRule="auto"/>
              <w:rPr>
                <w:rFonts w:cstheme="minorHAnsi"/>
                <w:sz w:val="24"/>
                <w:szCs w:val="24"/>
              </w:rPr>
            </w:pPr>
            <w:r w:rsidRPr="004134A6">
              <w:rPr>
                <w:rFonts w:cstheme="minorHAnsi"/>
                <w:sz w:val="24"/>
                <w:szCs w:val="24"/>
              </w:rPr>
              <w:t>2801 Via Fortuna, Suite 650</w:t>
            </w:r>
          </w:p>
          <w:p w14:paraId="07541687" w14:textId="77777777" w:rsidR="001D53FF" w:rsidRPr="00027E7B" w:rsidRDefault="004373F1" w:rsidP="001D53FF">
            <w:pPr>
              <w:spacing w:after="0" w:line="240" w:lineRule="auto"/>
              <w:rPr>
                <w:rFonts w:cstheme="minorHAnsi"/>
                <w:sz w:val="24"/>
                <w:szCs w:val="24"/>
              </w:rPr>
            </w:pPr>
            <w:r w:rsidRPr="00027E7B">
              <w:rPr>
                <w:rFonts w:cstheme="minorHAnsi"/>
                <w:sz w:val="24"/>
                <w:szCs w:val="24"/>
              </w:rPr>
              <w:t>Austin, Texas 78746-7568</w:t>
            </w:r>
          </w:p>
          <w:p w14:paraId="3FF0E88C" w14:textId="77777777" w:rsidR="001D53FF" w:rsidRPr="00027E7B" w:rsidRDefault="004373F1" w:rsidP="001D53FF">
            <w:pPr>
              <w:spacing w:after="0" w:line="240" w:lineRule="auto"/>
              <w:rPr>
                <w:rFonts w:cstheme="minorHAnsi"/>
                <w:sz w:val="24"/>
                <w:szCs w:val="24"/>
              </w:rPr>
            </w:pPr>
            <w:r w:rsidRPr="00027E7B">
              <w:rPr>
                <w:rFonts w:cstheme="minorHAnsi"/>
                <w:sz w:val="24"/>
                <w:szCs w:val="24"/>
              </w:rPr>
              <w:t>Tel: 512-482-6866</w:t>
            </w:r>
          </w:p>
          <w:p w14:paraId="181622D8" w14:textId="77777777" w:rsidR="001D53FF" w:rsidRPr="00027E7B" w:rsidRDefault="004373F1" w:rsidP="001D53FF">
            <w:pPr>
              <w:spacing w:after="0" w:line="240" w:lineRule="auto"/>
              <w:rPr>
                <w:rFonts w:cstheme="minorHAnsi"/>
                <w:sz w:val="24"/>
                <w:szCs w:val="24"/>
              </w:rPr>
            </w:pPr>
            <w:r w:rsidRPr="00027E7B">
              <w:rPr>
                <w:rFonts w:cstheme="minorHAnsi"/>
                <w:sz w:val="24"/>
                <w:szCs w:val="24"/>
              </w:rPr>
              <w:t>Fax: 512-482-6859</w:t>
            </w:r>
          </w:p>
          <w:p w14:paraId="7F8A490F" w14:textId="77777777" w:rsidR="001D53FF" w:rsidRPr="00027E7B" w:rsidRDefault="004373F1" w:rsidP="001D53FF">
            <w:pPr>
              <w:spacing w:after="0" w:line="240" w:lineRule="auto"/>
              <w:rPr>
                <w:rFonts w:cstheme="minorHAnsi"/>
                <w:sz w:val="24"/>
                <w:szCs w:val="24"/>
              </w:rPr>
            </w:pPr>
            <w:r w:rsidRPr="00027E7B">
              <w:rPr>
                <w:rFonts w:cstheme="minorHAnsi"/>
                <w:sz w:val="24"/>
                <w:szCs w:val="24"/>
              </w:rPr>
              <w:t xml:space="preserve">janessa.glenn@klgates.com </w:t>
            </w:r>
          </w:p>
          <w:p w14:paraId="40A286C9" w14:textId="274E3D16" w:rsidR="00AC2C3E" w:rsidRPr="00027E7B" w:rsidRDefault="00AC2C3E" w:rsidP="001D53FF">
            <w:pPr>
              <w:spacing w:after="0" w:line="240" w:lineRule="auto"/>
              <w:rPr>
                <w:rFonts w:cstheme="minorHAnsi"/>
                <w:sz w:val="24"/>
                <w:szCs w:val="24"/>
              </w:rPr>
            </w:pPr>
          </w:p>
        </w:tc>
        <w:tc>
          <w:tcPr>
            <w:tcW w:w="4199" w:type="dxa"/>
          </w:tcPr>
          <w:p w14:paraId="10A3E80B" w14:textId="77777777" w:rsidR="00AC2C3E" w:rsidRPr="00027E7B" w:rsidRDefault="004373F1" w:rsidP="00AC2C3E">
            <w:pPr>
              <w:spacing w:after="0" w:line="240" w:lineRule="auto"/>
              <w:jc w:val="both"/>
              <w:rPr>
                <w:rFonts w:cstheme="minorHAnsi"/>
                <w:sz w:val="24"/>
                <w:szCs w:val="24"/>
              </w:rPr>
            </w:pPr>
            <w:r w:rsidRPr="00027E7B">
              <w:rPr>
                <w:rFonts w:cstheme="minorHAnsi"/>
                <w:sz w:val="24"/>
                <w:szCs w:val="24"/>
              </w:rPr>
              <w:t>Dona Seger-Lawson</w:t>
            </w:r>
          </w:p>
          <w:p w14:paraId="7B09A0A5" w14:textId="77777777" w:rsidR="00AC2C3E" w:rsidRPr="00027E7B" w:rsidRDefault="004373F1" w:rsidP="00AC2C3E">
            <w:pPr>
              <w:spacing w:after="0" w:line="240" w:lineRule="auto"/>
              <w:jc w:val="both"/>
              <w:rPr>
                <w:rFonts w:cstheme="minorHAnsi"/>
                <w:sz w:val="24"/>
                <w:szCs w:val="24"/>
              </w:rPr>
            </w:pPr>
            <w:r w:rsidRPr="00027E7B">
              <w:rPr>
                <w:rFonts w:cstheme="minorHAnsi"/>
                <w:sz w:val="24"/>
                <w:szCs w:val="24"/>
              </w:rPr>
              <w:t>AEP Indiana Michigan</w:t>
            </w:r>
          </w:p>
          <w:p w14:paraId="3B64D20D" w14:textId="77777777" w:rsidR="00AC2C3E" w:rsidRPr="00027E7B" w:rsidRDefault="004373F1" w:rsidP="00AC2C3E">
            <w:pPr>
              <w:spacing w:after="0" w:line="240" w:lineRule="auto"/>
              <w:jc w:val="both"/>
              <w:rPr>
                <w:rFonts w:cstheme="minorHAnsi"/>
                <w:sz w:val="24"/>
                <w:szCs w:val="24"/>
              </w:rPr>
            </w:pPr>
            <w:r w:rsidRPr="00027E7B">
              <w:rPr>
                <w:rFonts w:cstheme="minorHAnsi"/>
                <w:sz w:val="24"/>
                <w:szCs w:val="24"/>
              </w:rPr>
              <w:t>110 E. Wayne St.</w:t>
            </w:r>
          </w:p>
          <w:p w14:paraId="25DB1D28" w14:textId="77777777" w:rsidR="00AC2C3E" w:rsidRPr="00027E7B" w:rsidRDefault="004373F1" w:rsidP="00AC2C3E">
            <w:pPr>
              <w:spacing w:after="0" w:line="240" w:lineRule="auto"/>
              <w:jc w:val="both"/>
              <w:rPr>
                <w:rFonts w:cstheme="minorHAnsi"/>
                <w:sz w:val="24"/>
                <w:szCs w:val="24"/>
              </w:rPr>
            </w:pPr>
            <w:r w:rsidRPr="00027E7B">
              <w:rPr>
                <w:rFonts w:cstheme="minorHAnsi"/>
                <w:sz w:val="24"/>
                <w:szCs w:val="24"/>
              </w:rPr>
              <w:t>Fort Wayne, IN 46802</w:t>
            </w:r>
          </w:p>
          <w:p w14:paraId="36199BEC" w14:textId="546916FC" w:rsidR="001D53FF" w:rsidRPr="00027E7B" w:rsidRDefault="00AC2C3E" w:rsidP="001D53FF">
            <w:pPr>
              <w:spacing w:after="0" w:line="240" w:lineRule="auto"/>
              <w:jc w:val="both"/>
              <w:rPr>
                <w:rFonts w:cstheme="minorHAnsi"/>
                <w:sz w:val="24"/>
                <w:szCs w:val="24"/>
              </w:rPr>
            </w:pPr>
            <w:r w:rsidRPr="00027E7B">
              <w:rPr>
                <w:rFonts w:cstheme="minorHAnsi"/>
                <w:sz w:val="24"/>
                <w:szCs w:val="24"/>
              </w:rPr>
              <w:t>Dgseger-lawson@aep.com</w:t>
            </w:r>
          </w:p>
        </w:tc>
      </w:tr>
      <w:tr w:rsidR="006A03EC" w:rsidRPr="00027E7B" w14:paraId="5A77464D" w14:textId="77777777" w:rsidTr="00AC2C3E">
        <w:trPr>
          <w:trHeight w:val="2384"/>
          <w:jc w:val="center"/>
        </w:trPr>
        <w:tc>
          <w:tcPr>
            <w:tcW w:w="4199" w:type="dxa"/>
          </w:tcPr>
          <w:p w14:paraId="2E0C56F8" w14:textId="77777777" w:rsidR="00AC2C3E" w:rsidRPr="00941344" w:rsidRDefault="004373F1" w:rsidP="00AC2C3E">
            <w:pPr>
              <w:spacing w:after="0" w:line="240" w:lineRule="auto"/>
              <w:rPr>
                <w:rFonts w:cstheme="minorHAnsi"/>
                <w:sz w:val="24"/>
                <w:szCs w:val="24"/>
              </w:rPr>
            </w:pPr>
            <w:r w:rsidRPr="00DE405B">
              <w:rPr>
                <w:rFonts w:cstheme="minorHAnsi"/>
                <w:sz w:val="24"/>
                <w:szCs w:val="24"/>
              </w:rPr>
              <w:t>Thomas M. Bellish</w:t>
            </w:r>
          </w:p>
          <w:p w14:paraId="2A71307A" w14:textId="77777777" w:rsidR="00AC2C3E" w:rsidRPr="00F51053" w:rsidRDefault="004373F1" w:rsidP="00AC2C3E">
            <w:pPr>
              <w:spacing w:after="0" w:line="240" w:lineRule="auto"/>
              <w:rPr>
                <w:rFonts w:cstheme="minorHAnsi"/>
                <w:sz w:val="24"/>
                <w:szCs w:val="24"/>
              </w:rPr>
            </w:pPr>
            <w:r w:rsidRPr="00F51053">
              <w:rPr>
                <w:rFonts w:cstheme="minorHAnsi"/>
                <w:sz w:val="24"/>
                <w:szCs w:val="24"/>
              </w:rPr>
              <w:t>Buckeye Energy Brokers, Inc.</w:t>
            </w:r>
          </w:p>
          <w:p w14:paraId="535D7DA1" w14:textId="77777777" w:rsidR="00AC2C3E" w:rsidRPr="004134A6" w:rsidRDefault="004373F1" w:rsidP="00AC2C3E">
            <w:pPr>
              <w:spacing w:after="0" w:line="240" w:lineRule="auto"/>
              <w:rPr>
                <w:rFonts w:cstheme="minorHAnsi"/>
                <w:sz w:val="24"/>
                <w:szCs w:val="24"/>
              </w:rPr>
            </w:pPr>
            <w:r w:rsidRPr="004134A6">
              <w:rPr>
                <w:rFonts w:cstheme="minorHAnsi"/>
                <w:sz w:val="24"/>
                <w:szCs w:val="24"/>
              </w:rPr>
              <w:t>65 East Mill Street</w:t>
            </w:r>
          </w:p>
          <w:p w14:paraId="44A96400" w14:textId="77777777" w:rsidR="00AC2C3E" w:rsidRPr="00027E7B" w:rsidRDefault="004373F1" w:rsidP="00AC2C3E">
            <w:pPr>
              <w:spacing w:after="0" w:line="240" w:lineRule="auto"/>
              <w:rPr>
                <w:rFonts w:cstheme="minorHAnsi"/>
                <w:sz w:val="24"/>
                <w:szCs w:val="24"/>
              </w:rPr>
            </w:pPr>
            <w:r w:rsidRPr="00027E7B">
              <w:rPr>
                <w:rFonts w:cstheme="minorHAnsi"/>
                <w:sz w:val="24"/>
                <w:szCs w:val="24"/>
              </w:rPr>
              <w:t>Akron, OH 44308</w:t>
            </w:r>
          </w:p>
          <w:p w14:paraId="1A5D7D2F" w14:textId="10C7E45C" w:rsidR="001D53FF" w:rsidRPr="00027E7B" w:rsidRDefault="00AC2C3E" w:rsidP="00AC2C3E">
            <w:pPr>
              <w:spacing w:after="0" w:line="240" w:lineRule="auto"/>
              <w:rPr>
                <w:rFonts w:cstheme="minorHAnsi"/>
                <w:sz w:val="24"/>
                <w:szCs w:val="24"/>
              </w:rPr>
            </w:pPr>
            <w:r w:rsidRPr="00027E7B">
              <w:rPr>
                <w:rFonts w:cstheme="minorHAnsi"/>
                <w:sz w:val="24"/>
                <w:szCs w:val="24"/>
              </w:rPr>
              <w:t xml:space="preserve">tb@buckeyeenergybrokers.com </w:t>
            </w:r>
          </w:p>
        </w:tc>
        <w:tc>
          <w:tcPr>
            <w:tcW w:w="4199" w:type="dxa"/>
          </w:tcPr>
          <w:p w14:paraId="09CD4D24" w14:textId="77777777" w:rsidR="00AC2C3E" w:rsidRPr="00027E7B" w:rsidRDefault="004373F1" w:rsidP="00AC2C3E">
            <w:pPr>
              <w:spacing w:after="0" w:line="240" w:lineRule="auto"/>
              <w:jc w:val="both"/>
              <w:rPr>
                <w:rFonts w:cstheme="minorHAnsi"/>
                <w:sz w:val="24"/>
                <w:szCs w:val="24"/>
              </w:rPr>
            </w:pPr>
            <w:r w:rsidRPr="00027E7B">
              <w:rPr>
                <w:rFonts w:cstheme="minorHAnsi"/>
                <w:sz w:val="24"/>
                <w:szCs w:val="24"/>
              </w:rPr>
              <w:t>Christine E. Watchorn</w:t>
            </w:r>
          </w:p>
          <w:p w14:paraId="24150737" w14:textId="77777777" w:rsidR="00AC2C3E" w:rsidRPr="00027E7B" w:rsidRDefault="004373F1" w:rsidP="00AC2C3E">
            <w:pPr>
              <w:spacing w:after="0" w:line="240" w:lineRule="auto"/>
              <w:jc w:val="both"/>
              <w:rPr>
                <w:rFonts w:cstheme="minorHAnsi"/>
                <w:sz w:val="24"/>
                <w:szCs w:val="24"/>
              </w:rPr>
            </w:pPr>
            <w:r w:rsidRPr="00027E7B">
              <w:rPr>
                <w:rFonts w:cstheme="minorHAnsi"/>
                <w:sz w:val="24"/>
                <w:szCs w:val="24"/>
              </w:rPr>
              <w:t>Zachary E. Woltz</w:t>
            </w:r>
          </w:p>
          <w:p w14:paraId="0732F684" w14:textId="77777777" w:rsidR="00AC2C3E" w:rsidRPr="00027E7B" w:rsidRDefault="004373F1" w:rsidP="00AC2C3E">
            <w:pPr>
              <w:spacing w:after="0" w:line="240" w:lineRule="auto"/>
              <w:rPr>
                <w:rFonts w:cstheme="minorHAnsi"/>
                <w:sz w:val="24"/>
                <w:szCs w:val="24"/>
              </w:rPr>
            </w:pPr>
            <w:r w:rsidRPr="00027E7B">
              <w:rPr>
                <w:rFonts w:cstheme="minorHAnsi"/>
                <w:sz w:val="24"/>
                <w:szCs w:val="24"/>
              </w:rPr>
              <w:t xml:space="preserve">FirstEnergy Service Company </w:t>
            </w:r>
          </w:p>
          <w:p w14:paraId="55C2981B" w14:textId="4BDD6330" w:rsidR="00AC2C3E" w:rsidRPr="00027E7B" w:rsidRDefault="004373F1" w:rsidP="00AC2C3E">
            <w:pPr>
              <w:spacing w:after="0" w:line="240" w:lineRule="auto"/>
              <w:rPr>
                <w:rFonts w:cstheme="minorHAnsi"/>
                <w:sz w:val="24"/>
                <w:szCs w:val="24"/>
              </w:rPr>
            </w:pPr>
            <w:r w:rsidRPr="00027E7B">
              <w:rPr>
                <w:rFonts w:cstheme="minorHAnsi"/>
                <w:sz w:val="24"/>
                <w:szCs w:val="24"/>
              </w:rPr>
              <w:t>100 E. Broad Street, Suite 2225 Columbus, Ohio 43215</w:t>
            </w:r>
          </w:p>
          <w:p w14:paraId="25521675" w14:textId="77777777" w:rsidR="00AC2C3E" w:rsidRPr="00027E7B" w:rsidRDefault="004373F1" w:rsidP="00AC2C3E">
            <w:pPr>
              <w:spacing w:after="0" w:line="240" w:lineRule="auto"/>
              <w:jc w:val="both"/>
              <w:rPr>
                <w:rFonts w:cstheme="minorHAnsi"/>
                <w:sz w:val="24"/>
                <w:szCs w:val="24"/>
              </w:rPr>
            </w:pPr>
            <w:r w:rsidRPr="00027E7B">
              <w:rPr>
                <w:rFonts w:cstheme="minorHAnsi"/>
                <w:sz w:val="24"/>
                <w:szCs w:val="24"/>
              </w:rPr>
              <w:t>Tel: (614) 437-0183</w:t>
            </w:r>
          </w:p>
          <w:p w14:paraId="0F9822AF" w14:textId="285D79D5" w:rsidR="001D53FF" w:rsidRPr="00027E7B" w:rsidRDefault="00AC2C3E" w:rsidP="00AC2C3E">
            <w:pPr>
              <w:spacing w:after="0" w:line="240" w:lineRule="auto"/>
              <w:jc w:val="both"/>
              <w:rPr>
                <w:rFonts w:cstheme="minorHAnsi"/>
                <w:sz w:val="24"/>
                <w:szCs w:val="24"/>
              </w:rPr>
            </w:pPr>
            <w:r w:rsidRPr="00027E7B">
              <w:rPr>
                <w:rFonts w:cstheme="minorHAnsi"/>
                <w:sz w:val="24"/>
                <w:szCs w:val="24"/>
              </w:rPr>
              <w:t xml:space="preserve">cwatchorn@firstenergycorp.com  zwoltz@firstenergycorp.com </w:t>
            </w:r>
          </w:p>
        </w:tc>
      </w:tr>
      <w:tr w:rsidR="006A03EC" w:rsidRPr="00027E7B" w14:paraId="4F198580" w14:textId="77777777" w:rsidTr="00AC2C3E">
        <w:trPr>
          <w:trHeight w:val="2384"/>
          <w:jc w:val="center"/>
        </w:trPr>
        <w:tc>
          <w:tcPr>
            <w:tcW w:w="4199" w:type="dxa"/>
          </w:tcPr>
          <w:p w14:paraId="4AF000D3" w14:textId="5CB7AD1F" w:rsidR="00AC2C3E" w:rsidRPr="00941344" w:rsidRDefault="004373F1" w:rsidP="00AC2C3E">
            <w:pPr>
              <w:spacing w:after="0" w:line="240" w:lineRule="auto"/>
              <w:jc w:val="both"/>
              <w:rPr>
                <w:rFonts w:cstheme="minorHAnsi"/>
                <w:sz w:val="24"/>
                <w:szCs w:val="24"/>
              </w:rPr>
            </w:pPr>
            <w:r w:rsidRPr="00DE405B">
              <w:rPr>
                <w:rFonts w:cstheme="minorHAnsi"/>
                <w:sz w:val="24"/>
                <w:szCs w:val="24"/>
              </w:rPr>
              <w:t>Michael R. Gladman</w:t>
            </w:r>
          </w:p>
          <w:p w14:paraId="745C7B69" w14:textId="77777777" w:rsidR="00AC2C3E" w:rsidRPr="00F51053" w:rsidRDefault="004373F1" w:rsidP="00AC2C3E">
            <w:pPr>
              <w:spacing w:after="0" w:line="240" w:lineRule="auto"/>
              <w:jc w:val="both"/>
              <w:rPr>
                <w:rFonts w:cstheme="minorHAnsi"/>
                <w:sz w:val="24"/>
                <w:szCs w:val="24"/>
              </w:rPr>
            </w:pPr>
            <w:r w:rsidRPr="00F51053">
              <w:rPr>
                <w:rFonts w:cstheme="minorHAnsi"/>
                <w:sz w:val="24"/>
                <w:szCs w:val="24"/>
              </w:rPr>
              <w:t>Shalini B. Goyal</w:t>
            </w:r>
          </w:p>
          <w:p w14:paraId="1AF76667" w14:textId="77777777" w:rsidR="00AC2C3E" w:rsidRPr="004134A6" w:rsidRDefault="004373F1" w:rsidP="00AC2C3E">
            <w:pPr>
              <w:spacing w:after="0" w:line="240" w:lineRule="auto"/>
              <w:jc w:val="both"/>
              <w:rPr>
                <w:rFonts w:cstheme="minorHAnsi"/>
                <w:sz w:val="24"/>
                <w:szCs w:val="24"/>
              </w:rPr>
            </w:pPr>
            <w:r w:rsidRPr="004134A6">
              <w:rPr>
                <w:rFonts w:cstheme="minorHAnsi"/>
                <w:sz w:val="24"/>
                <w:szCs w:val="24"/>
              </w:rPr>
              <w:t>Margaret M. Dengler</w:t>
            </w:r>
          </w:p>
          <w:p w14:paraId="20204F9E" w14:textId="77777777" w:rsidR="00AC2C3E" w:rsidRPr="00027E7B" w:rsidRDefault="004373F1" w:rsidP="00AC2C3E">
            <w:pPr>
              <w:spacing w:after="0" w:line="240" w:lineRule="auto"/>
              <w:jc w:val="both"/>
              <w:rPr>
                <w:rFonts w:cstheme="minorHAnsi"/>
                <w:sz w:val="24"/>
                <w:szCs w:val="24"/>
              </w:rPr>
            </w:pPr>
            <w:r w:rsidRPr="00027E7B">
              <w:rPr>
                <w:rFonts w:cstheme="minorHAnsi"/>
                <w:sz w:val="24"/>
                <w:szCs w:val="24"/>
              </w:rPr>
              <w:t>Jones Day</w:t>
            </w:r>
          </w:p>
          <w:p w14:paraId="014D4155" w14:textId="77777777" w:rsidR="00AC2C3E" w:rsidRPr="00027E7B" w:rsidRDefault="004373F1" w:rsidP="00AC2C3E">
            <w:pPr>
              <w:spacing w:after="0" w:line="240" w:lineRule="auto"/>
              <w:jc w:val="both"/>
              <w:rPr>
                <w:rFonts w:cstheme="minorHAnsi"/>
                <w:sz w:val="24"/>
                <w:szCs w:val="24"/>
              </w:rPr>
            </w:pPr>
            <w:r w:rsidRPr="00027E7B">
              <w:rPr>
                <w:rFonts w:cstheme="minorHAnsi"/>
                <w:sz w:val="24"/>
                <w:szCs w:val="24"/>
              </w:rPr>
              <w:t xml:space="preserve">325 John H. McConnell Blvd., </w:t>
            </w:r>
          </w:p>
          <w:p w14:paraId="129B1DD8" w14:textId="5D0AC5A5" w:rsidR="00AC2C3E" w:rsidRPr="00027E7B" w:rsidRDefault="004373F1" w:rsidP="00AC2C3E">
            <w:pPr>
              <w:spacing w:after="0" w:line="240" w:lineRule="auto"/>
              <w:jc w:val="both"/>
              <w:rPr>
                <w:rFonts w:cstheme="minorHAnsi"/>
                <w:sz w:val="24"/>
                <w:szCs w:val="24"/>
              </w:rPr>
            </w:pPr>
            <w:r w:rsidRPr="00027E7B">
              <w:rPr>
                <w:rFonts w:cstheme="minorHAnsi"/>
                <w:sz w:val="24"/>
                <w:szCs w:val="24"/>
              </w:rPr>
              <w:t>Suite 600</w:t>
            </w:r>
          </w:p>
          <w:p w14:paraId="63D498D8" w14:textId="77777777" w:rsidR="00AC2C3E" w:rsidRPr="00027E7B" w:rsidRDefault="004373F1" w:rsidP="00AC2C3E">
            <w:pPr>
              <w:spacing w:after="0" w:line="240" w:lineRule="auto"/>
              <w:jc w:val="both"/>
              <w:rPr>
                <w:rFonts w:cstheme="minorHAnsi"/>
                <w:sz w:val="24"/>
                <w:szCs w:val="24"/>
              </w:rPr>
            </w:pPr>
            <w:r w:rsidRPr="00027E7B">
              <w:rPr>
                <w:rFonts w:cstheme="minorHAnsi"/>
                <w:sz w:val="24"/>
                <w:szCs w:val="24"/>
              </w:rPr>
              <w:t>Columbus, Ohio 43215</w:t>
            </w:r>
          </w:p>
          <w:p w14:paraId="6DF88B34" w14:textId="77777777" w:rsidR="00AC2C3E" w:rsidRPr="00027E7B" w:rsidRDefault="004373F1" w:rsidP="00AC2C3E">
            <w:pPr>
              <w:spacing w:after="0" w:line="240" w:lineRule="auto"/>
              <w:jc w:val="both"/>
              <w:rPr>
                <w:rFonts w:cstheme="minorHAnsi"/>
                <w:sz w:val="24"/>
                <w:szCs w:val="24"/>
              </w:rPr>
            </w:pPr>
            <w:r w:rsidRPr="00027E7B">
              <w:rPr>
                <w:rFonts w:cstheme="minorHAnsi"/>
                <w:sz w:val="24"/>
                <w:szCs w:val="24"/>
              </w:rPr>
              <w:t>Tel: (614) 469-3939</w:t>
            </w:r>
          </w:p>
          <w:p w14:paraId="730149F1" w14:textId="77777777" w:rsidR="00AC2C3E" w:rsidRPr="00027E7B" w:rsidRDefault="004373F1" w:rsidP="00AC2C3E">
            <w:pPr>
              <w:spacing w:after="0" w:line="240" w:lineRule="auto"/>
              <w:jc w:val="both"/>
              <w:rPr>
                <w:rFonts w:cstheme="minorHAnsi"/>
                <w:sz w:val="24"/>
                <w:szCs w:val="24"/>
              </w:rPr>
            </w:pPr>
            <w:r w:rsidRPr="00027E7B">
              <w:rPr>
                <w:rFonts w:cstheme="minorHAnsi"/>
                <w:sz w:val="24"/>
                <w:szCs w:val="24"/>
              </w:rPr>
              <w:t>Fax: (614) 461-4198</w:t>
            </w:r>
          </w:p>
          <w:p w14:paraId="137E8CBA" w14:textId="77777777" w:rsidR="00AC2C3E" w:rsidRPr="00027E7B" w:rsidRDefault="004373F1" w:rsidP="00AC2C3E">
            <w:pPr>
              <w:spacing w:after="0" w:line="240" w:lineRule="auto"/>
              <w:jc w:val="both"/>
              <w:rPr>
                <w:rFonts w:cstheme="minorHAnsi"/>
                <w:sz w:val="24"/>
                <w:szCs w:val="24"/>
              </w:rPr>
            </w:pPr>
            <w:r w:rsidRPr="00027E7B">
              <w:rPr>
                <w:rFonts w:cstheme="minorHAnsi"/>
                <w:sz w:val="24"/>
                <w:szCs w:val="24"/>
              </w:rPr>
              <w:t xml:space="preserve">mrgladman@jonesday.com  </w:t>
            </w:r>
          </w:p>
          <w:p w14:paraId="78E97DE1" w14:textId="77777777" w:rsidR="00AC2C3E" w:rsidRPr="00027E7B" w:rsidRDefault="004373F1" w:rsidP="00AC2C3E">
            <w:pPr>
              <w:spacing w:after="0" w:line="240" w:lineRule="auto"/>
              <w:jc w:val="both"/>
              <w:rPr>
                <w:rFonts w:cstheme="minorHAnsi"/>
                <w:sz w:val="24"/>
                <w:szCs w:val="24"/>
              </w:rPr>
            </w:pPr>
            <w:r w:rsidRPr="00027E7B">
              <w:rPr>
                <w:rFonts w:cstheme="minorHAnsi"/>
                <w:sz w:val="24"/>
                <w:szCs w:val="24"/>
              </w:rPr>
              <w:t xml:space="preserve">sgoyal@jonesday.com  </w:t>
            </w:r>
          </w:p>
          <w:p w14:paraId="308F176D" w14:textId="77777777" w:rsidR="00AC2C3E" w:rsidRPr="00027E7B" w:rsidRDefault="004373F1" w:rsidP="00AC2C3E">
            <w:pPr>
              <w:spacing w:after="0" w:line="240" w:lineRule="auto"/>
              <w:jc w:val="both"/>
              <w:rPr>
                <w:rFonts w:cstheme="minorHAnsi"/>
                <w:sz w:val="24"/>
                <w:szCs w:val="24"/>
              </w:rPr>
            </w:pPr>
            <w:r w:rsidRPr="00027E7B">
              <w:rPr>
                <w:rFonts w:cstheme="minorHAnsi"/>
                <w:sz w:val="24"/>
                <w:szCs w:val="24"/>
              </w:rPr>
              <w:t xml:space="preserve">mdengler@jonesday.com </w:t>
            </w:r>
          </w:p>
          <w:p w14:paraId="47C47E02" w14:textId="7C827FA5" w:rsidR="001D53FF" w:rsidRPr="00027E7B" w:rsidRDefault="001D53FF" w:rsidP="00AC2C3E">
            <w:pPr>
              <w:spacing w:after="0" w:line="240" w:lineRule="auto"/>
              <w:rPr>
                <w:rFonts w:cstheme="minorHAnsi"/>
                <w:sz w:val="24"/>
                <w:szCs w:val="24"/>
              </w:rPr>
            </w:pPr>
          </w:p>
        </w:tc>
        <w:tc>
          <w:tcPr>
            <w:tcW w:w="4199" w:type="dxa"/>
          </w:tcPr>
          <w:p w14:paraId="411399DB" w14:textId="77777777" w:rsidR="00AC2C3E" w:rsidRPr="00027E7B" w:rsidRDefault="00AC2C3E" w:rsidP="00AC2C3E">
            <w:pPr>
              <w:spacing w:after="0" w:line="240" w:lineRule="auto"/>
              <w:jc w:val="both"/>
              <w:rPr>
                <w:rFonts w:cstheme="minorHAnsi"/>
                <w:sz w:val="24"/>
                <w:szCs w:val="24"/>
              </w:rPr>
            </w:pPr>
          </w:p>
          <w:p w14:paraId="0D796691" w14:textId="77777777" w:rsidR="00AC2C3E" w:rsidRPr="00027E7B" w:rsidRDefault="004373F1" w:rsidP="00AC2C3E">
            <w:pPr>
              <w:spacing w:after="0" w:line="240" w:lineRule="auto"/>
              <w:rPr>
                <w:rFonts w:cstheme="minorHAnsi"/>
                <w:sz w:val="24"/>
                <w:szCs w:val="24"/>
              </w:rPr>
            </w:pPr>
            <w:r w:rsidRPr="00027E7B">
              <w:rPr>
                <w:rFonts w:cstheme="minorHAnsi"/>
                <w:sz w:val="24"/>
                <w:szCs w:val="24"/>
              </w:rPr>
              <w:t>Ryan A. Doringo</w:t>
            </w:r>
          </w:p>
          <w:p w14:paraId="05607629" w14:textId="77777777" w:rsidR="00AC2C3E" w:rsidRPr="00027E7B" w:rsidRDefault="004373F1" w:rsidP="00AC2C3E">
            <w:pPr>
              <w:spacing w:after="0" w:line="240" w:lineRule="auto"/>
              <w:rPr>
                <w:rFonts w:cstheme="minorHAnsi"/>
                <w:sz w:val="24"/>
                <w:szCs w:val="24"/>
              </w:rPr>
            </w:pPr>
            <w:r w:rsidRPr="00027E7B">
              <w:rPr>
                <w:rFonts w:cstheme="minorHAnsi"/>
                <w:sz w:val="24"/>
                <w:szCs w:val="24"/>
              </w:rPr>
              <w:t>Jones Day</w:t>
            </w:r>
          </w:p>
          <w:p w14:paraId="60A1C02F" w14:textId="77777777" w:rsidR="00AC2C3E" w:rsidRPr="00027E7B" w:rsidRDefault="004373F1" w:rsidP="00AC2C3E">
            <w:pPr>
              <w:spacing w:after="0" w:line="240" w:lineRule="auto"/>
              <w:rPr>
                <w:rFonts w:cstheme="minorHAnsi"/>
                <w:sz w:val="24"/>
                <w:szCs w:val="24"/>
              </w:rPr>
            </w:pPr>
            <w:r w:rsidRPr="00027E7B">
              <w:rPr>
                <w:rFonts w:cstheme="minorHAnsi"/>
                <w:sz w:val="24"/>
                <w:szCs w:val="24"/>
              </w:rPr>
              <w:t>North Point</w:t>
            </w:r>
          </w:p>
          <w:p w14:paraId="3856BB3E" w14:textId="77777777" w:rsidR="00AC2C3E" w:rsidRPr="00027E7B" w:rsidRDefault="004373F1" w:rsidP="00AC2C3E">
            <w:pPr>
              <w:spacing w:after="0" w:line="240" w:lineRule="auto"/>
              <w:rPr>
                <w:rFonts w:cstheme="minorHAnsi"/>
                <w:sz w:val="24"/>
                <w:szCs w:val="24"/>
              </w:rPr>
            </w:pPr>
            <w:r w:rsidRPr="00027E7B">
              <w:rPr>
                <w:rFonts w:cstheme="minorHAnsi"/>
                <w:sz w:val="24"/>
                <w:szCs w:val="24"/>
              </w:rPr>
              <w:t>901 Lakeside Avenue</w:t>
            </w:r>
          </w:p>
          <w:p w14:paraId="725A1023" w14:textId="77777777" w:rsidR="00AC2C3E" w:rsidRPr="00027E7B" w:rsidRDefault="004373F1" w:rsidP="00AC2C3E">
            <w:pPr>
              <w:spacing w:after="0" w:line="240" w:lineRule="auto"/>
              <w:rPr>
                <w:rFonts w:cstheme="minorHAnsi"/>
                <w:sz w:val="24"/>
                <w:szCs w:val="24"/>
              </w:rPr>
            </w:pPr>
            <w:r w:rsidRPr="00027E7B">
              <w:rPr>
                <w:rFonts w:cstheme="minorHAnsi"/>
                <w:sz w:val="24"/>
                <w:szCs w:val="24"/>
              </w:rPr>
              <w:t>Cleveland, Ohio 44114</w:t>
            </w:r>
          </w:p>
          <w:p w14:paraId="042A0E06" w14:textId="77777777" w:rsidR="00AC2C3E" w:rsidRPr="00027E7B" w:rsidRDefault="004373F1" w:rsidP="00AC2C3E">
            <w:pPr>
              <w:spacing w:after="0" w:line="240" w:lineRule="auto"/>
              <w:rPr>
                <w:rFonts w:cstheme="minorHAnsi"/>
                <w:sz w:val="24"/>
                <w:szCs w:val="24"/>
              </w:rPr>
            </w:pPr>
            <w:r w:rsidRPr="00027E7B">
              <w:rPr>
                <w:rFonts w:cstheme="minorHAnsi"/>
                <w:sz w:val="24"/>
                <w:szCs w:val="24"/>
              </w:rPr>
              <w:t>Tel: (216) 586-3939</w:t>
            </w:r>
          </w:p>
          <w:p w14:paraId="5C68A0AB" w14:textId="77777777" w:rsidR="00AC2C3E" w:rsidRPr="00027E7B" w:rsidRDefault="004373F1" w:rsidP="00AC2C3E">
            <w:pPr>
              <w:spacing w:after="0" w:line="240" w:lineRule="auto"/>
              <w:rPr>
                <w:rFonts w:cstheme="minorHAnsi"/>
                <w:sz w:val="24"/>
                <w:szCs w:val="24"/>
              </w:rPr>
            </w:pPr>
            <w:r w:rsidRPr="00027E7B">
              <w:rPr>
                <w:rFonts w:cstheme="minorHAnsi"/>
                <w:sz w:val="24"/>
                <w:szCs w:val="24"/>
              </w:rPr>
              <w:t>Fax: (216) 579-0212</w:t>
            </w:r>
          </w:p>
          <w:p w14:paraId="5822EE36" w14:textId="34E8AB92" w:rsidR="00AC2C3E" w:rsidRPr="00027E7B" w:rsidRDefault="004373F1" w:rsidP="00AC2C3E">
            <w:pPr>
              <w:spacing w:after="0" w:line="240" w:lineRule="auto"/>
              <w:jc w:val="both"/>
              <w:rPr>
                <w:rFonts w:cstheme="minorHAnsi"/>
                <w:sz w:val="24"/>
                <w:szCs w:val="24"/>
              </w:rPr>
            </w:pPr>
            <w:r w:rsidRPr="00027E7B">
              <w:rPr>
                <w:rFonts w:cstheme="minorHAnsi"/>
                <w:sz w:val="24"/>
                <w:szCs w:val="24"/>
              </w:rPr>
              <w:t>radoringo@jonesday.com</w:t>
            </w:r>
          </w:p>
        </w:tc>
      </w:tr>
      <w:tr w:rsidR="006A03EC" w:rsidRPr="00027E7B" w14:paraId="2E8F75CE" w14:textId="77777777" w:rsidTr="00AC2C3E">
        <w:trPr>
          <w:trHeight w:val="2384"/>
          <w:jc w:val="center"/>
        </w:trPr>
        <w:tc>
          <w:tcPr>
            <w:tcW w:w="4199" w:type="dxa"/>
          </w:tcPr>
          <w:p w14:paraId="26784A32" w14:textId="77777777" w:rsidR="001D53FF" w:rsidRPr="00DE405B" w:rsidRDefault="001D53FF" w:rsidP="008E6AF2">
            <w:pPr>
              <w:spacing w:after="0" w:line="240" w:lineRule="auto"/>
              <w:rPr>
                <w:rFonts w:cstheme="minorHAnsi"/>
                <w:sz w:val="24"/>
                <w:szCs w:val="24"/>
              </w:rPr>
            </w:pPr>
          </w:p>
        </w:tc>
        <w:tc>
          <w:tcPr>
            <w:tcW w:w="4199" w:type="dxa"/>
          </w:tcPr>
          <w:p w14:paraId="4791AE40" w14:textId="77777777" w:rsidR="00AC2C3E" w:rsidRPr="00941344" w:rsidRDefault="00AC2C3E" w:rsidP="001D53FF">
            <w:pPr>
              <w:spacing w:after="0" w:line="240" w:lineRule="auto"/>
              <w:jc w:val="both"/>
              <w:rPr>
                <w:rFonts w:cstheme="minorHAnsi"/>
                <w:sz w:val="24"/>
                <w:szCs w:val="24"/>
              </w:rPr>
            </w:pPr>
          </w:p>
          <w:p w14:paraId="110077BF" w14:textId="0BD00D0F" w:rsidR="001D53FF" w:rsidRPr="00F51053" w:rsidRDefault="004373F1" w:rsidP="001D53FF">
            <w:pPr>
              <w:spacing w:after="0" w:line="240" w:lineRule="auto"/>
              <w:jc w:val="both"/>
              <w:rPr>
                <w:rFonts w:cstheme="minorHAnsi"/>
                <w:sz w:val="24"/>
                <w:szCs w:val="24"/>
              </w:rPr>
            </w:pPr>
            <w:r w:rsidRPr="00F51053">
              <w:rPr>
                <w:rFonts w:cstheme="minorHAnsi"/>
                <w:sz w:val="24"/>
                <w:szCs w:val="24"/>
              </w:rPr>
              <w:t>Respectfully Submitted,</w:t>
            </w:r>
          </w:p>
          <w:p w14:paraId="59FEA46A" w14:textId="77777777" w:rsidR="001D53FF" w:rsidRPr="004134A6" w:rsidRDefault="001D53FF" w:rsidP="001D53FF">
            <w:pPr>
              <w:spacing w:after="0" w:line="240" w:lineRule="auto"/>
              <w:jc w:val="both"/>
              <w:rPr>
                <w:rFonts w:cstheme="minorHAnsi"/>
                <w:sz w:val="24"/>
                <w:szCs w:val="24"/>
              </w:rPr>
            </w:pPr>
          </w:p>
          <w:p w14:paraId="18F66208" w14:textId="77777777" w:rsidR="001D53FF" w:rsidRPr="00027E7B" w:rsidRDefault="001D53FF" w:rsidP="001D53FF">
            <w:pPr>
              <w:spacing w:after="0" w:line="240" w:lineRule="auto"/>
              <w:jc w:val="both"/>
              <w:rPr>
                <w:rFonts w:cstheme="minorHAnsi"/>
                <w:sz w:val="24"/>
                <w:szCs w:val="24"/>
              </w:rPr>
            </w:pPr>
          </w:p>
          <w:p w14:paraId="3F1B997C" w14:textId="7C3078B8" w:rsidR="001D53FF" w:rsidRPr="00027E7B" w:rsidRDefault="004373F1" w:rsidP="001D53FF">
            <w:pPr>
              <w:spacing w:after="0" w:line="240" w:lineRule="auto"/>
              <w:rPr>
                <w:rFonts w:cstheme="minorHAnsi"/>
                <w:sz w:val="24"/>
                <w:szCs w:val="24"/>
                <w:u w:val="single"/>
              </w:rPr>
            </w:pPr>
            <w:r w:rsidRPr="00027E7B">
              <w:rPr>
                <w:rFonts w:cstheme="minorHAnsi"/>
                <w:sz w:val="24"/>
                <w:szCs w:val="24"/>
                <w:u w:val="single"/>
              </w:rPr>
              <w:t xml:space="preserve">/s/   </w:t>
            </w:r>
            <w:r w:rsidR="005360A3">
              <w:rPr>
                <w:rFonts w:ascii="Brush Script MT" w:hAnsi="Brush Script MT" w:cstheme="minorHAnsi"/>
                <w:sz w:val="32"/>
                <w:szCs w:val="32"/>
                <w:u w:val="single"/>
              </w:rPr>
              <w:t xml:space="preserve">Michael </w:t>
            </w:r>
            <w:proofErr w:type="spellStart"/>
            <w:r w:rsidR="005360A3">
              <w:rPr>
                <w:rFonts w:ascii="Brush Script MT" w:hAnsi="Brush Script MT" w:cstheme="minorHAnsi"/>
                <w:sz w:val="32"/>
                <w:szCs w:val="32"/>
                <w:u w:val="single"/>
              </w:rPr>
              <w:t>D.Dortch</w:t>
            </w:r>
            <w:proofErr w:type="spellEnd"/>
            <w:r w:rsidRPr="00027E7B">
              <w:rPr>
                <w:rFonts w:cstheme="minorHAnsi"/>
                <w:sz w:val="24"/>
                <w:szCs w:val="24"/>
                <w:u w:val="single"/>
              </w:rPr>
              <w:t xml:space="preserve">                      </w:t>
            </w:r>
          </w:p>
          <w:p w14:paraId="20DBF5F4" w14:textId="5EB160DD" w:rsidR="001D53FF" w:rsidRPr="00027E7B" w:rsidRDefault="005360A3" w:rsidP="001D53FF">
            <w:pPr>
              <w:spacing w:after="0" w:line="240" w:lineRule="auto"/>
              <w:jc w:val="both"/>
              <w:rPr>
                <w:rFonts w:cstheme="minorHAnsi"/>
                <w:sz w:val="24"/>
                <w:szCs w:val="24"/>
              </w:rPr>
            </w:pPr>
            <w:r>
              <w:rPr>
                <w:rFonts w:cstheme="minorHAnsi"/>
                <w:sz w:val="24"/>
                <w:szCs w:val="24"/>
              </w:rPr>
              <w:t xml:space="preserve">Michael D. Dortch </w:t>
            </w:r>
            <w:r w:rsidR="004373F1" w:rsidRPr="00027E7B">
              <w:rPr>
                <w:rFonts w:cstheme="minorHAnsi"/>
                <w:sz w:val="24"/>
                <w:szCs w:val="24"/>
              </w:rPr>
              <w:t xml:space="preserve"> </w:t>
            </w:r>
          </w:p>
          <w:p w14:paraId="50296152" w14:textId="77777777" w:rsidR="001D53FF" w:rsidRPr="00027E7B" w:rsidRDefault="001D53FF" w:rsidP="001D53FF">
            <w:pPr>
              <w:spacing w:after="0" w:line="240" w:lineRule="auto"/>
              <w:jc w:val="both"/>
              <w:rPr>
                <w:rFonts w:cstheme="minorHAnsi"/>
                <w:sz w:val="24"/>
                <w:szCs w:val="24"/>
              </w:rPr>
            </w:pPr>
          </w:p>
          <w:p w14:paraId="5E875563" w14:textId="77777777" w:rsidR="001D53FF" w:rsidRPr="00027E7B" w:rsidRDefault="001D53FF" w:rsidP="001D53FF">
            <w:pPr>
              <w:spacing w:after="0" w:line="240" w:lineRule="auto"/>
              <w:jc w:val="both"/>
              <w:rPr>
                <w:rFonts w:cstheme="minorHAnsi"/>
                <w:sz w:val="24"/>
                <w:szCs w:val="24"/>
              </w:rPr>
            </w:pPr>
          </w:p>
          <w:p w14:paraId="6FC3332F" w14:textId="77777777" w:rsidR="001D53FF" w:rsidRPr="00027E7B" w:rsidRDefault="001D53FF" w:rsidP="005360A3">
            <w:pPr>
              <w:spacing w:after="0" w:line="240" w:lineRule="auto"/>
              <w:jc w:val="both"/>
              <w:rPr>
                <w:rFonts w:cstheme="minorHAnsi"/>
                <w:sz w:val="24"/>
                <w:szCs w:val="24"/>
              </w:rPr>
            </w:pPr>
          </w:p>
        </w:tc>
      </w:tr>
    </w:tbl>
    <w:p w14:paraId="0B8E064B" w14:textId="64E24C44" w:rsidR="00D557A5" w:rsidRPr="003D3B60" w:rsidRDefault="00D557A5" w:rsidP="001B48BE">
      <w:pPr>
        <w:pStyle w:val="BodyText"/>
        <w:rPr>
          <w:rFonts w:asciiTheme="minorHAnsi" w:hAnsiTheme="minorHAnsi" w:cstheme="minorHAnsi"/>
        </w:rPr>
      </w:pPr>
    </w:p>
    <w:sectPr w:rsidR="00D557A5" w:rsidRPr="003D3B60" w:rsidSect="007944C8">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E8464" w14:textId="77777777" w:rsidR="005265C0" w:rsidRDefault="004373F1">
      <w:pPr>
        <w:spacing w:after="0" w:line="240" w:lineRule="auto"/>
      </w:pPr>
      <w:r>
        <w:separator/>
      </w:r>
    </w:p>
  </w:endnote>
  <w:endnote w:type="continuationSeparator" w:id="0">
    <w:p w14:paraId="31729C57" w14:textId="77777777" w:rsidR="005265C0" w:rsidRDefault="00437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6BF6" w14:textId="1679A5C0" w:rsidR="000613AC" w:rsidRDefault="004373F1" w:rsidP="008448F5">
    <w:pPr>
      <w:pStyle w:val="Footer"/>
    </w:pPr>
    <w:r w:rsidRPr="000613AC">
      <w:rPr>
        <w:rStyle w:val="DocID"/>
      </w:rPr>
      <w:fldChar w:fldCharType="begin"/>
    </w:r>
    <w:r w:rsidRPr="000613AC">
      <w:rPr>
        <w:rStyle w:val="DocID"/>
      </w:rPr>
      <w:instrText xml:space="preserve"> DOCPROPERTY  DocID  \* MERGEFORMAT </w:instrText>
    </w:r>
    <w:r w:rsidRPr="000613AC">
      <w:rPr>
        <w:rStyle w:val="DocID"/>
      </w:rPr>
      <w:fldChar w:fldCharType="separate"/>
    </w:r>
    <w:r w:rsidR="008645D5" w:rsidRPr="008645D5">
      <w:rPr>
        <w:rStyle w:val="DocID"/>
      </w:rPr>
      <w:t>Active 101615748.2</w:t>
    </w:r>
    <w:r w:rsidRPr="000613AC">
      <w:rPr>
        <w:rStyle w:val="DocID"/>
      </w:rPr>
      <w:fldChar w:fldCharType="end"/>
    </w:r>
    <w:r>
      <w:ptab w:relativeTo="margin" w:alignment="center" w:leader="none"/>
    </w:r>
    <w:r w:rsidRPr="000613AC">
      <w:fldChar w:fldCharType="begin"/>
    </w:r>
    <w:r w:rsidRPr="000613AC">
      <w:instrText xml:space="preserve"> PAGE   \* MERGEFORMAT </w:instrText>
    </w:r>
    <w:r w:rsidRPr="000613AC">
      <w:fldChar w:fldCharType="separate"/>
    </w:r>
    <w:r w:rsidR="008448F5">
      <w:rPr>
        <w:noProof/>
      </w:rPr>
      <w:t>13</w:t>
    </w:r>
    <w:r w:rsidRPr="000613AC">
      <w:rPr>
        <w:noProof/>
      </w:rPr>
      <w:fldChar w:fldCharType="end"/>
    </w:r>
    <w:r w:rsidR="008448F5">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3270" w14:textId="54FCD0F4" w:rsidR="00DB51C2" w:rsidRDefault="004373F1">
    <w:pPr>
      <w:pStyle w:val="Footer"/>
    </w:pPr>
    <w:r w:rsidRPr="000613AC">
      <w:rPr>
        <w:rStyle w:val="DocID"/>
      </w:rPr>
      <w:fldChar w:fldCharType="begin"/>
    </w:r>
    <w:r w:rsidRPr="000613AC">
      <w:rPr>
        <w:rStyle w:val="DocID"/>
      </w:rPr>
      <w:instrText xml:space="preserve"> DOCPROPERTY  DocID  \* MERGEFORMAT </w:instrText>
    </w:r>
    <w:r w:rsidRPr="000613AC">
      <w:rPr>
        <w:rStyle w:val="DocID"/>
      </w:rPr>
      <w:fldChar w:fldCharType="separate"/>
    </w:r>
    <w:r w:rsidR="008645D5" w:rsidRPr="008645D5">
      <w:rPr>
        <w:rStyle w:val="DocID"/>
      </w:rPr>
      <w:t>Active 101615748.2</w:t>
    </w:r>
    <w:r w:rsidRPr="000613AC">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A451E" w14:textId="77777777" w:rsidR="00D041AC" w:rsidRDefault="004373F1" w:rsidP="000613AC">
      <w:r>
        <w:separator/>
      </w:r>
    </w:p>
  </w:footnote>
  <w:footnote w:type="continuationSeparator" w:id="0">
    <w:p w14:paraId="6C79C387" w14:textId="77777777" w:rsidR="00D041AC" w:rsidRDefault="004373F1" w:rsidP="000613AC">
      <w:r>
        <w:continuationSeparator/>
      </w:r>
    </w:p>
  </w:footnote>
  <w:footnote w:id="1">
    <w:p w14:paraId="6919614F" w14:textId="5982126F" w:rsidR="00734295" w:rsidRPr="00734295" w:rsidRDefault="00734295" w:rsidP="003D3B60">
      <w:pPr>
        <w:pStyle w:val="FootnoteText"/>
        <w:spacing w:after="120"/>
      </w:pPr>
      <w:r>
        <w:rPr>
          <w:rStyle w:val="FootnoteReference"/>
        </w:rPr>
        <w:footnoteRef/>
      </w:r>
      <w:r>
        <w:t xml:space="preserve"> </w:t>
      </w:r>
      <w:r>
        <w:rPr>
          <w:i/>
          <w:iCs/>
        </w:rPr>
        <w:t>See</w:t>
      </w:r>
      <w:r>
        <w:t xml:space="preserve"> Entry of December 9, 2022 at ¶ 23 (“Decembe</w:t>
      </w:r>
      <w:r w:rsidR="00A8369D">
        <w:t>r</w:t>
      </w:r>
      <w:r>
        <w:t xml:space="preserve"> 9 Entry”). </w:t>
      </w:r>
    </w:p>
  </w:footnote>
  <w:footnote w:id="2">
    <w:p w14:paraId="018CD116" w14:textId="63B9713E" w:rsidR="002941B5" w:rsidRDefault="002941B5" w:rsidP="003D3B60">
      <w:pPr>
        <w:pStyle w:val="FootnoteText"/>
        <w:spacing w:after="120"/>
      </w:pPr>
      <w:r>
        <w:rPr>
          <w:rStyle w:val="FootnoteReference"/>
        </w:rPr>
        <w:footnoteRef/>
      </w:r>
      <w:r>
        <w:t xml:space="preserve"> Interlocutory Appeal, Request for Certification to the PUCO Commissioners and Application for Review by the Office of the Ohio Consumer’s Counsel (filed Dec. 14, 2022)</w:t>
      </w:r>
      <w:r w:rsidR="00E63753">
        <w:t xml:space="preserve"> (“Interlocutory Appeal”)</w:t>
      </w:r>
      <w:r>
        <w:t>.</w:t>
      </w:r>
    </w:p>
  </w:footnote>
  <w:footnote w:id="3">
    <w:p w14:paraId="098672B5" w14:textId="6A723E62" w:rsidR="00DB2376" w:rsidRDefault="00DB2376" w:rsidP="003D3B60">
      <w:pPr>
        <w:pStyle w:val="FootnoteText"/>
        <w:spacing w:after="120"/>
      </w:pPr>
      <w:r>
        <w:rPr>
          <w:rStyle w:val="FootnoteReference"/>
        </w:rPr>
        <w:footnoteRef/>
      </w:r>
      <w:r>
        <w:t xml:space="preserve"> Entry of September 7, 2022 (“Show Cause Order”)</w:t>
      </w:r>
      <w:r w:rsidR="006A6A31">
        <w:t>.</w:t>
      </w:r>
    </w:p>
  </w:footnote>
  <w:footnote w:id="4">
    <w:p w14:paraId="5F1C8F22" w14:textId="1AD64583" w:rsidR="009405F9" w:rsidRDefault="009405F9" w:rsidP="003D3B60">
      <w:pPr>
        <w:pStyle w:val="FootnoteText"/>
        <w:spacing w:after="120"/>
      </w:pPr>
      <w:r>
        <w:rPr>
          <w:rStyle w:val="FootnoteReference"/>
        </w:rPr>
        <w:footnoteRef/>
      </w:r>
      <w:r>
        <w:t xml:space="preserve"> NOPEC submits this memorandum contra to the Interlocutory Appeal in accordance with OAC R. 4901-1-15(D).</w:t>
      </w:r>
    </w:p>
  </w:footnote>
  <w:footnote w:id="5">
    <w:p w14:paraId="7478DA41" w14:textId="77777777" w:rsidR="00090A5A" w:rsidRDefault="00090A5A" w:rsidP="003D3B60">
      <w:pPr>
        <w:pStyle w:val="FootnoteText"/>
        <w:spacing w:after="120"/>
      </w:pPr>
      <w:r>
        <w:rPr>
          <w:rStyle w:val="FootnoteReference"/>
        </w:rPr>
        <w:footnoteRef/>
      </w:r>
      <w:r>
        <w:t xml:space="preserve"> </w:t>
      </w:r>
      <w:r>
        <w:rPr>
          <w:i/>
          <w:iCs/>
        </w:rPr>
        <w:t xml:space="preserve">See </w:t>
      </w:r>
      <w:r>
        <w:t xml:space="preserve">NOPEC Notice of Material Change at 1. </w:t>
      </w:r>
    </w:p>
  </w:footnote>
  <w:footnote w:id="6">
    <w:p w14:paraId="22467F5C" w14:textId="212D8C3D" w:rsidR="00057763" w:rsidRPr="00734295" w:rsidRDefault="00057763" w:rsidP="003D3B60">
      <w:pPr>
        <w:pStyle w:val="FootnoteText"/>
        <w:spacing w:after="120"/>
      </w:pPr>
      <w:r>
        <w:rPr>
          <w:rStyle w:val="FootnoteReference"/>
        </w:rPr>
        <w:footnoteRef/>
      </w:r>
      <w:r>
        <w:t xml:space="preserve"> </w:t>
      </w:r>
      <w:r w:rsidR="00734295">
        <w:rPr>
          <w:i/>
          <w:iCs/>
        </w:rPr>
        <w:t>See</w:t>
      </w:r>
      <w:r w:rsidR="00734295">
        <w:t xml:space="preserve"> Dec</w:t>
      </w:r>
      <w:r w:rsidR="002B04B8">
        <w:t>ember</w:t>
      </w:r>
      <w:r w:rsidR="00734295">
        <w:t xml:space="preserve"> 9 Entry at ¶ 8. </w:t>
      </w:r>
    </w:p>
  </w:footnote>
  <w:footnote w:id="7">
    <w:p w14:paraId="37C4317B" w14:textId="4D4E2851" w:rsidR="002941B5" w:rsidRDefault="002941B5" w:rsidP="003D3B60">
      <w:pPr>
        <w:pStyle w:val="FootnoteText"/>
        <w:spacing w:after="120"/>
      </w:pPr>
      <w:r>
        <w:rPr>
          <w:rStyle w:val="FootnoteReference"/>
        </w:rPr>
        <w:footnoteRef/>
      </w:r>
      <w:r>
        <w:t xml:space="preserve"> </w:t>
      </w:r>
      <w:r w:rsidR="000A2FED">
        <w:t xml:space="preserve">Show Cause Order </w:t>
      </w:r>
      <w:r>
        <w:t>at ¶ 10</w:t>
      </w:r>
      <w:r w:rsidR="002B04B8">
        <w:t>.</w:t>
      </w:r>
    </w:p>
  </w:footnote>
  <w:footnote w:id="8">
    <w:p w14:paraId="42AE6BBB" w14:textId="33D7285D" w:rsidR="002941B5" w:rsidRPr="002941B5" w:rsidRDefault="002941B5" w:rsidP="003D3B60">
      <w:pPr>
        <w:pStyle w:val="FootnoteText"/>
        <w:spacing w:after="120"/>
      </w:pPr>
      <w:r>
        <w:rPr>
          <w:rStyle w:val="FootnoteReference"/>
        </w:rPr>
        <w:footnoteRef/>
      </w:r>
      <w:r>
        <w:t xml:space="preserve"> </w:t>
      </w:r>
      <w:r>
        <w:rPr>
          <w:i/>
          <w:iCs/>
        </w:rPr>
        <w:t>Id.</w:t>
      </w:r>
    </w:p>
  </w:footnote>
  <w:footnote w:id="9">
    <w:p w14:paraId="79971A33" w14:textId="4A6D90CE" w:rsidR="003D107D" w:rsidRPr="003D107D" w:rsidRDefault="003D107D" w:rsidP="003D3B60">
      <w:pPr>
        <w:pStyle w:val="FootnoteText"/>
        <w:spacing w:after="120"/>
      </w:pPr>
      <w:r>
        <w:rPr>
          <w:rStyle w:val="FootnoteReference"/>
        </w:rPr>
        <w:footnoteRef/>
      </w:r>
      <w:r>
        <w:t xml:space="preserve"> Dec</w:t>
      </w:r>
      <w:r w:rsidR="002B04B8">
        <w:t>ember</w:t>
      </w:r>
      <w:r w:rsidR="002941B5">
        <w:t xml:space="preserve"> </w:t>
      </w:r>
      <w:r>
        <w:t xml:space="preserve">9 Entry at ¶ 23. </w:t>
      </w:r>
    </w:p>
  </w:footnote>
  <w:footnote w:id="10">
    <w:p w14:paraId="29064E9C" w14:textId="1B9E060B" w:rsidR="0050306A" w:rsidRDefault="0050306A" w:rsidP="003D3B60">
      <w:pPr>
        <w:pStyle w:val="FootnoteText"/>
        <w:spacing w:after="120"/>
      </w:pPr>
      <w:r>
        <w:rPr>
          <w:rStyle w:val="FootnoteReference"/>
        </w:rPr>
        <w:footnoteRef/>
      </w:r>
      <w:r>
        <w:t xml:space="preserve"> </w:t>
      </w:r>
      <w:r w:rsidR="009405F9">
        <w:t>Ohio Adm.C</w:t>
      </w:r>
      <w:r w:rsidR="002B04B8">
        <w:t>ode</w:t>
      </w:r>
      <w:r>
        <w:t xml:space="preserve"> 4901-1-15(</w:t>
      </w:r>
      <w:r w:rsidR="00DE405B">
        <w:t>B</w:t>
      </w:r>
      <w:r>
        <w:t>).</w:t>
      </w:r>
    </w:p>
  </w:footnote>
  <w:footnote w:id="11">
    <w:p w14:paraId="484E42E8" w14:textId="75A5CA40" w:rsidR="002266F2" w:rsidRDefault="002266F2" w:rsidP="003D3B60">
      <w:pPr>
        <w:pStyle w:val="FootnoteText"/>
        <w:spacing w:after="120"/>
      </w:pPr>
      <w:r>
        <w:rPr>
          <w:rStyle w:val="FootnoteReference"/>
        </w:rPr>
        <w:footnoteRef/>
      </w:r>
      <w:r w:rsidR="00DE405B">
        <w:t xml:space="preserve"> </w:t>
      </w:r>
      <w:r>
        <w:t xml:space="preserve">Ohio R.C. 4928.08(b).  </w:t>
      </w:r>
    </w:p>
  </w:footnote>
  <w:footnote w:id="12">
    <w:p w14:paraId="2530E439" w14:textId="5AD364DA" w:rsidR="005D2C5C" w:rsidRDefault="005D2C5C" w:rsidP="003D3B60">
      <w:pPr>
        <w:pStyle w:val="FootnoteText"/>
        <w:spacing w:after="120"/>
      </w:pPr>
      <w:r>
        <w:rPr>
          <w:rStyle w:val="FootnoteReference"/>
        </w:rPr>
        <w:footnoteRef/>
      </w:r>
      <w:r>
        <w:t xml:space="preserve"> </w:t>
      </w:r>
      <w:hyperlink r:id="rId1" w:history="1">
        <w:r>
          <w:rPr>
            <w:rStyle w:val="Hyperlink"/>
          </w:rPr>
          <w:t>PUCO Mission and Commitments | Public Utilities Commission of Ohio</w:t>
        </w:r>
      </w:hyperlink>
      <w:r w:rsidR="004134A6">
        <w:rPr>
          <w:rStyle w:val="Hyperlink"/>
        </w:rPr>
        <w:t>.</w:t>
      </w:r>
    </w:p>
  </w:footnote>
  <w:footnote w:id="13">
    <w:p w14:paraId="34971F1C" w14:textId="1EE82D88" w:rsidR="002E0246" w:rsidRDefault="002E0246" w:rsidP="003D3B60">
      <w:pPr>
        <w:pStyle w:val="FootnoteText"/>
        <w:spacing w:after="120"/>
      </w:pPr>
      <w:r>
        <w:rPr>
          <w:rStyle w:val="FootnoteReference"/>
        </w:rPr>
        <w:footnoteRef/>
      </w:r>
      <w:r>
        <w:t xml:space="preserve"> Interlocutory Appeal, Memorandum in Support at 1</w:t>
      </w:r>
      <w:r w:rsidR="002266F2">
        <w:t>.</w:t>
      </w:r>
    </w:p>
  </w:footnote>
  <w:footnote w:id="14">
    <w:p w14:paraId="586455E7" w14:textId="54B7E204" w:rsidR="00ED70CC" w:rsidRDefault="00ED70CC" w:rsidP="003D3B60">
      <w:pPr>
        <w:pStyle w:val="FootnoteText"/>
        <w:spacing w:after="120"/>
      </w:pPr>
      <w:r>
        <w:rPr>
          <w:rStyle w:val="FootnoteReference"/>
        </w:rPr>
        <w:footnoteRef/>
      </w:r>
      <w:r>
        <w:t xml:space="preserve"> </w:t>
      </w:r>
      <w:r w:rsidR="002E0246">
        <w:t>Interlocutory Appeal at 4.</w:t>
      </w:r>
    </w:p>
  </w:footnote>
  <w:footnote w:id="15">
    <w:p w14:paraId="5DF25267" w14:textId="6C2B7B4E" w:rsidR="00027E7B" w:rsidRPr="00941344" w:rsidRDefault="00027E7B" w:rsidP="003D3B60">
      <w:pPr>
        <w:pStyle w:val="FootnoteText"/>
        <w:spacing w:after="120"/>
      </w:pPr>
      <w:r>
        <w:rPr>
          <w:rStyle w:val="FootnoteReference"/>
        </w:rPr>
        <w:footnoteRef/>
      </w:r>
      <w:r>
        <w:t xml:space="preserve"> </w:t>
      </w:r>
      <w:r>
        <w:rPr>
          <w:i/>
          <w:iCs/>
        </w:rPr>
        <w:t>See</w:t>
      </w:r>
      <w:r w:rsidR="003D3B60">
        <w:rPr>
          <w:i/>
          <w:iCs/>
        </w:rPr>
        <w:t xml:space="preserve"> </w:t>
      </w:r>
      <w:r>
        <w:rPr>
          <w:i/>
          <w:iCs/>
        </w:rPr>
        <w:t>In the Matter of the Complaint of Ohio Power Co. v. Nationwide Energy Partners, LLC</w:t>
      </w:r>
      <w:r>
        <w:t xml:space="preserve">, Entry at ¶ 54, Case No. 21-990-EL-CSS (July 27, 2022) (denying an interlocutory appeal filed by </w:t>
      </w:r>
      <w:r w:rsidR="006B6D23">
        <w:t xml:space="preserve">the </w:t>
      </w:r>
      <w:r>
        <w:t xml:space="preserve">OCC </w:t>
      </w:r>
      <w:r w:rsidR="006B6D23">
        <w:t xml:space="preserve">because the OCC’s alleged interests were only </w:t>
      </w:r>
      <w:r w:rsidR="006B6D23" w:rsidRPr="003D3B60">
        <w:rPr>
          <w:i/>
          <w:iCs/>
        </w:rPr>
        <w:t>potential</w:t>
      </w:r>
      <w:r w:rsidR="006B6D23">
        <w:t xml:space="preserve"> interests dependent on a determination that the Commission may never reach in the proceeding; thus, the Commission found that</w:t>
      </w:r>
      <w:r>
        <w:t xml:space="preserve"> “the interests </w:t>
      </w:r>
      <w:r w:rsidRPr="00027E7B">
        <w:t xml:space="preserve">advocated by OCC in its </w:t>
      </w:r>
      <w:r>
        <w:t>…</w:t>
      </w:r>
      <w:r w:rsidRPr="00027E7B">
        <w:t xml:space="preserve"> interlocutory appeal are, at best, premature</w:t>
      </w:r>
      <w:r>
        <w:t>.”).</w:t>
      </w:r>
    </w:p>
  </w:footnote>
  <w:footnote w:id="16">
    <w:p w14:paraId="1FD0574A" w14:textId="4F231081" w:rsidR="002266F2" w:rsidRPr="002266F2" w:rsidRDefault="002266F2" w:rsidP="003D3B60">
      <w:pPr>
        <w:pStyle w:val="FootnoteText"/>
        <w:spacing w:after="120"/>
      </w:pPr>
      <w:r>
        <w:rPr>
          <w:rStyle w:val="FootnoteReference"/>
        </w:rPr>
        <w:footnoteRef/>
      </w:r>
      <w:r>
        <w:t xml:space="preserve"> </w:t>
      </w:r>
      <w:r>
        <w:rPr>
          <w:i/>
          <w:iCs/>
        </w:rPr>
        <w:t>See</w:t>
      </w:r>
      <w:r w:rsidR="004134A6">
        <w:rPr>
          <w:i/>
          <w:iCs/>
        </w:rPr>
        <w:t xml:space="preserve"> supra</w:t>
      </w:r>
      <w:r w:rsidR="004134A6">
        <w:t>,</w:t>
      </w:r>
      <w:r>
        <w:t xml:space="preserve"> Fig. 1.</w:t>
      </w:r>
    </w:p>
  </w:footnote>
  <w:footnote w:id="17">
    <w:p w14:paraId="7929D8F0" w14:textId="790F1646" w:rsidR="002266F2" w:rsidRPr="002266F2" w:rsidRDefault="002266F2" w:rsidP="003D3B60">
      <w:pPr>
        <w:pStyle w:val="FootnoteText"/>
        <w:spacing w:after="120"/>
      </w:pPr>
      <w:r>
        <w:rPr>
          <w:rStyle w:val="FootnoteReference"/>
        </w:rPr>
        <w:footnoteRef/>
      </w:r>
      <w:r>
        <w:t xml:space="preserve"> </w:t>
      </w:r>
      <w:r>
        <w:rPr>
          <w:i/>
          <w:iCs/>
        </w:rPr>
        <w:t>Id.</w:t>
      </w:r>
      <w:r>
        <w:t xml:space="preserve"> </w:t>
      </w:r>
    </w:p>
  </w:footnote>
  <w:footnote w:id="18">
    <w:p w14:paraId="06C544E2" w14:textId="0EB6FF0C" w:rsidR="002266F2" w:rsidRPr="002266F2" w:rsidRDefault="002266F2" w:rsidP="003D3B60">
      <w:pPr>
        <w:pStyle w:val="FootnoteText"/>
        <w:spacing w:after="120"/>
      </w:pPr>
      <w:r>
        <w:rPr>
          <w:rStyle w:val="FootnoteReference"/>
        </w:rPr>
        <w:footnoteRef/>
      </w:r>
      <w:r>
        <w:t xml:space="preserve"> </w:t>
      </w:r>
      <w:r>
        <w:rPr>
          <w:i/>
          <w:iCs/>
        </w:rPr>
        <w:t>See</w:t>
      </w:r>
      <w:r w:rsidR="004134A6">
        <w:rPr>
          <w:i/>
          <w:iCs/>
        </w:rPr>
        <w:t xml:space="preserve"> supra</w:t>
      </w:r>
      <w:r w:rsidR="004134A6">
        <w:t>,</w:t>
      </w:r>
      <w:r>
        <w:t xml:space="preserve"> Fig. 2. </w:t>
      </w:r>
    </w:p>
  </w:footnote>
  <w:footnote w:id="19">
    <w:p w14:paraId="31269D27" w14:textId="1CA050E4" w:rsidR="00BC3CAA" w:rsidRDefault="00BC3CAA">
      <w:pPr>
        <w:pStyle w:val="FootnoteText"/>
      </w:pPr>
      <w:r>
        <w:rPr>
          <w:rStyle w:val="FootnoteReference"/>
        </w:rPr>
        <w:footnoteRef/>
      </w:r>
      <w:r>
        <w:t xml:space="preserve"> Interlocutory Appeal at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D4D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C4B5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D2A67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D200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9680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160B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62B8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90E4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1695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689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51B16"/>
    <w:multiLevelType w:val="multilevel"/>
    <w:tmpl w:val="3D1CB24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324F27"/>
    <w:multiLevelType w:val="multilevel"/>
    <w:tmpl w:val="1D06C338"/>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17A71579"/>
    <w:multiLevelType w:val="multilevel"/>
    <w:tmpl w:val="386CFBC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357053A"/>
    <w:multiLevelType w:val="hybridMultilevel"/>
    <w:tmpl w:val="7F76727C"/>
    <w:lvl w:ilvl="0" w:tplc="D4BCD88E">
      <w:start w:val="1"/>
      <w:numFmt w:val="lowerLetter"/>
      <w:lvlText w:val="%1)"/>
      <w:lvlJc w:val="left"/>
      <w:pPr>
        <w:ind w:left="720" w:hanging="360"/>
      </w:pPr>
    </w:lvl>
    <w:lvl w:ilvl="1" w:tplc="4456FB5E" w:tentative="1">
      <w:start w:val="1"/>
      <w:numFmt w:val="lowerLetter"/>
      <w:lvlText w:val="%2."/>
      <w:lvlJc w:val="left"/>
      <w:pPr>
        <w:ind w:left="1440" w:hanging="360"/>
      </w:pPr>
    </w:lvl>
    <w:lvl w:ilvl="2" w:tplc="F69EB482" w:tentative="1">
      <w:start w:val="1"/>
      <w:numFmt w:val="lowerRoman"/>
      <w:lvlText w:val="%3."/>
      <w:lvlJc w:val="right"/>
      <w:pPr>
        <w:ind w:left="2160" w:hanging="180"/>
      </w:pPr>
    </w:lvl>
    <w:lvl w:ilvl="3" w:tplc="5EEA99A8" w:tentative="1">
      <w:start w:val="1"/>
      <w:numFmt w:val="decimal"/>
      <w:lvlText w:val="%4."/>
      <w:lvlJc w:val="left"/>
      <w:pPr>
        <w:ind w:left="2880" w:hanging="360"/>
      </w:pPr>
    </w:lvl>
    <w:lvl w:ilvl="4" w:tplc="41D8546C" w:tentative="1">
      <w:start w:val="1"/>
      <w:numFmt w:val="lowerLetter"/>
      <w:lvlText w:val="%5."/>
      <w:lvlJc w:val="left"/>
      <w:pPr>
        <w:ind w:left="3600" w:hanging="360"/>
      </w:pPr>
    </w:lvl>
    <w:lvl w:ilvl="5" w:tplc="4E101CA2" w:tentative="1">
      <w:start w:val="1"/>
      <w:numFmt w:val="lowerRoman"/>
      <w:lvlText w:val="%6."/>
      <w:lvlJc w:val="right"/>
      <w:pPr>
        <w:ind w:left="4320" w:hanging="180"/>
      </w:pPr>
    </w:lvl>
    <w:lvl w:ilvl="6" w:tplc="C7323DCC" w:tentative="1">
      <w:start w:val="1"/>
      <w:numFmt w:val="decimal"/>
      <w:lvlText w:val="%7."/>
      <w:lvlJc w:val="left"/>
      <w:pPr>
        <w:ind w:left="5040" w:hanging="360"/>
      </w:pPr>
    </w:lvl>
    <w:lvl w:ilvl="7" w:tplc="21681872" w:tentative="1">
      <w:start w:val="1"/>
      <w:numFmt w:val="lowerLetter"/>
      <w:lvlText w:val="%8."/>
      <w:lvlJc w:val="left"/>
      <w:pPr>
        <w:ind w:left="5760" w:hanging="360"/>
      </w:pPr>
    </w:lvl>
    <w:lvl w:ilvl="8" w:tplc="35FC8C70" w:tentative="1">
      <w:start w:val="1"/>
      <w:numFmt w:val="lowerRoman"/>
      <w:lvlText w:val="%9."/>
      <w:lvlJc w:val="right"/>
      <w:pPr>
        <w:ind w:left="6480" w:hanging="180"/>
      </w:pPr>
    </w:lvl>
  </w:abstractNum>
  <w:abstractNum w:abstractNumId="14" w15:restartNumberingAfterBreak="0">
    <w:nsid w:val="301C6B37"/>
    <w:multiLevelType w:val="hybridMultilevel"/>
    <w:tmpl w:val="44FCF5AE"/>
    <w:lvl w:ilvl="0" w:tplc="621A124C">
      <w:start w:val="2"/>
      <w:numFmt w:val="bullet"/>
      <w:lvlText w:val="-"/>
      <w:lvlJc w:val="left"/>
      <w:pPr>
        <w:ind w:left="720" w:hanging="360"/>
      </w:pPr>
      <w:rPr>
        <w:rFonts w:ascii="Times New Roman" w:eastAsiaTheme="minorHAnsi" w:hAnsi="Times New Roman" w:cs="Times New Roman" w:hint="default"/>
      </w:rPr>
    </w:lvl>
    <w:lvl w:ilvl="1" w:tplc="32A08B02" w:tentative="1">
      <w:start w:val="1"/>
      <w:numFmt w:val="bullet"/>
      <w:lvlText w:val="o"/>
      <w:lvlJc w:val="left"/>
      <w:pPr>
        <w:ind w:left="1440" w:hanging="360"/>
      </w:pPr>
      <w:rPr>
        <w:rFonts w:ascii="Courier New" w:hAnsi="Courier New" w:cs="Courier New" w:hint="default"/>
      </w:rPr>
    </w:lvl>
    <w:lvl w:ilvl="2" w:tplc="557A984A" w:tentative="1">
      <w:start w:val="1"/>
      <w:numFmt w:val="bullet"/>
      <w:lvlText w:val=""/>
      <w:lvlJc w:val="left"/>
      <w:pPr>
        <w:ind w:left="2160" w:hanging="360"/>
      </w:pPr>
      <w:rPr>
        <w:rFonts w:ascii="Wingdings" w:hAnsi="Wingdings" w:hint="default"/>
      </w:rPr>
    </w:lvl>
    <w:lvl w:ilvl="3" w:tplc="ECAC360C" w:tentative="1">
      <w:start w:val="1"/>
      <w:numFmt w:val="bullet"/>
      <w:lvlText w:val=""/>
      <w:lvlJc w:val="left"/>
      <w:pPr>
        <w:ind w:left="2880" w:hanging="360"/>
      </w:pPr>
      <w:rPr>
        <w:rFonts w:ascii="Symbol" w:hAnsi="Symbol" w:hint="default"/>
      </w:rPr>
    </w:lvl>
    <w:lvl w:ilvl="4" w:tplc="BDAA97F8" w:tentative="1">
      <w:start w:val="1"/>
      <w:numFmt w:val="bullet"/>
      <w:lvlText w:val="o"/>
      <w:lvlJc w:val="left"/>
      <w:pPr>
        <w:ind w:left="3600" w:hanging="360"/>
      </w:pPr>
      <w:rPr>
        <w:rFonts w:ascii="Courier New" w:hAnsi="Courier New" w:cs="Courier New" w:hint="default"/>
      </w:rPr>
    </w:lvl>
    <w:lvl w:ilvl="5" w:tplc="81FAB486" w:tentative="1">
      <w:start w:val="1"/>
      <w:numFmt w:val="bullet"/>
      <w:lvlText w:val=""/>
      <w:lvlJc w:val="left"/>
      <w:pPr>
        <w:ind w:left="4320" w:hanging="360"/>
      </w:pPr>
      <w:rPr>
        <w:rFonts w:ascii="Wingdings" w:hAnsi="Wingdings" w:hint="default"/>
      </w:rPr>
    </w:lvl>
    <w:lvl w:ilvl="6" w:tplc="192E425E" w:tentative="1">
      <w:start w:val="1"/>
      <w:numFmt w:val="bullet"/>
      <w:lvlText w:val=""/>
      <w:lvlJc w:val="left"/>
      <w:pPr>
        <w:ind w:left="5040" w:hanging="360"/>
      </w:pPr>
      <w:rPr>
        <w:rFonts w:ascii="Symbol" w:hAnsi="Symbol" w:hint="default"/>
      </w:rPr>
    </w:lvl>
    <w:lvl w:ilvl="7" w:tplc="889EBF06" w:tentative="1">
      <w:start w:val="1"/>
      <w:numFmt w:val="bullet"/>
      <w:lvlText w:val="o"/>
      <w:lvlJc w:val="left"/>
      <w:pPr>
        <w:ind w:left="5760" w:hanging="360"/>
      </w:pPr>
      <w:rPr>
        <w:rFonts w:ascii="Courier New" w:hAnsi="Courier New" w:cs="Courier New" w:hint="default"/>
      </w:rPr>
    </w:lvl>
    <w:lvl w:ilvl="8" w:tplc="ED462A2E" w:tentative="1">
      <w:start w:val="1"/>
      <w:numFmt w:val="bullet"/>
      <w:lvlText w:val=""/>
      <w:lvlJc w:val="left"/>
      <w:pPr>
        <w:ind w:left="6480" w:hanging="360"/>
      </w:pPr>
      <w:rPr>
        <w:rFonts w:ascii="Wingdings" w:hAnsi="Wingdings" w:hint="default"/>
      </w:rPr>
    </w:lvl>
  </w:abstractNum>
  <w:abstractNum w:abstractNumId="15" w15:restartNumberingAfterBreak="0">
    <w:nsid w:val="331451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DC62EB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AB61F1C"/>
    <w:multiLevelType w:val="hybridMultilevel"/>
    <w:tmpl w:val="92A06D06"/>
    <w:lvl w:ilvl="0" w:tplc="C15C645C">
      <w:start w:val="2"/>
      <w:numFmt w:val="bullet"/>
      <w:lvlText w:val="-"/>
      <w:lvlJc w:val="left"/>
      <w:pPr>
        <w:ind w:left="1080" w:hanging="360"/>
      </w:pPr>
      <w:rPr>
        <w:rFonts w:ascii="Times New Roman" w:eastAsiaTheme="minorHAnsi" w:hAnsi="Times New Roman" w:cs="Times New Roman" w:hint="default"/>
      </w:rPr>
    </w:lvl>
    <w:lvl w:ilvl="1" w:tplc="7D3AB1CE" w:tentative="1">
      <w:start w:val="1"/>
      <w:numFmt w:val="bullet"/>
      <w:lvlText w:val="o"/>
      <w:lvlJc w:val="left"/>
      <w:pPr>
        <w:ind w:left="1800" w:hanging="360"/>
      </w:pPr>
      <w:rPr>
        <w:rFonts w:ascii="Courier New" w:hAnsi="Courier New" w:cs="Courier New" w:hint="default"/>
      </w:rPr>
    </w:lvl>
    <w:lvl w:ilvl="2" w:tplc="C5EEE2B6" w:tentative="1">
      <w:start w:val="1"/>
      <w:numFmt w:val="bullet"/>
      <w:lvlText w:val=""/>
      <w:lvlJc w:val="left"/>
      <w:pPr>
        <w:ind w:left="2520" w:hanging="360"/>
      </w:pPr>
      <w:rPr>
        <w:rFonts w:ascii="Wingdings" w:hAnsi="Wingdings" w:hint="default"/>
      </w:rPr>
    </w:lvl>
    <w:lvl w:ilvl="3" w:tplc="E70693A8" w:tentative="1">
      <w:start w:val="1"/>
      <w:numFmt w:val="bullet"/>
      <w:lvlText w:val=""/>
      <w:lvlJc w:val="left"/>
      <w:pPr>
        <w:ind w:left="3240" w:hanging="360"/>
      </w:pPr>
      <w:rPr>
        <w:rFonts w:ascii="Symbol" w:hAnsi="Symbol" w:hint="default"/>
      </w:rPr>
    </w:lvl>
    <w:lvl w:ilvl="4" w:tplc="28EEB8DC" w:tentative="1">
      <w:start w:val="1"/>
      <w:numFmt w:val="bullet"/>
      <w:lvlText w:val="o"/>
      <w:lvlJc w:val="left"/>
      <w:pPr>
        <w:ind w:left="3960" w:hanging="360"/>
      </w:pPr>
      <w:rPr>
        <w:rFonts w:ascii="Courier New" w:hAnsi="Courier New" w:cs="Courier New" w:hint="default"/>
      </w:rPr>
    </w:lvl>
    <w:lvl w:ilvl="5" w:tplc="6C00B836" w:tentative="1">
      <w:start w:val="1"/>
      <w:numFmt w:val="bullet"/>
      <w:lvlText w:val=""/>
      <w:lvlJc w:val="left"/>
      <w:pPr>
        <w:ind w:left="4680" w:hanging="360"/>
      </w:pPr>
      <w:rPr>
        <w:rFonts w:ascii="Wingdings" w:hAnsi="Wingdings" w:hint="default"/>
      </w:rPr>
    </w:lvl>
    <w:lvl w:ilvl="6" w:tplc="7B8C1796" w:tentative="1">
      <w:start w:val="1"/>
      <w:numFmt w:val="bullet"/>
      <w:lvlText w:val=""/>
      <w:lvlJc w:val="left"/>
      <w:pPr>
        <w:ind w:left="5400" w:hanging="360"/>
      </w:pPr>
      <w:rPr>
        <w:rFonts w:ascii="Symbol" w:hAnsi="Symbol" w:hint="default"/>
      </w:rPr>
    </w:lvl>
    <w:lvl w:ilvl="7" w:tplc="4B08F2BA" w:tentative="1">
      <w:start w:val="1"/>
      <w:numFmt w:val="bullet"/>
      <w:lvlText w:val="o"/>
      <w:lvlJc w:val="left"/>
      <w:pPr>
        <w:ind w:left="6120" w:hanging="360"/>
      </w:pPr>
      <w:rPr>
        <w:rFonts w:ascii="Courier New" w:hAnsi="Courier New" w:cs="Courier New" w:hint="default"/>
      </w:rPr>
    </w:lvl>
    <w:lvl w:ilvl="8" w:tplc="8D986658" w:tentative="1">
      <w:start w:val="1"/>
      <w:numFmt w:val="bullet"/>
      <w:lvlText w:val=""/>
      <w:lvlJc w:val="left"/>
      <w:pPr>
        <w:ind w:left="6840" w:hanging="360"/>
      </w:pPr>
      <w:rPr>
        <w:rFonts w:ascii="Wingdings" w:hAnsi="Wingdings" w:hint="default"/>
      </w:rPr>
    </w:lvl>
  </w:abstractNum>
  <w:abstractNum w:abstractNumId="18" w15:restartNumberingAfterBreak="0">
    <w:nsid w:val="6FFD07C2"/>
    <w:multiLevelType w:val="hybridMultilevel"/>
    <w:tmpl w:val="FCDC170A"/>
    <w:lvl w:ilvl="0" w:tplc="63646712">
      <w:start w:val="1"/>
      <w:numFmt w:val="upperRoman"/>
      <w:lvlText w:val="%1."/>
      <w:lvlJc w:val="left"/>
      <w:pPr>
        <w:ind w:left="1080" w:hanging="720"/>
      </w:pPr>
      <w:rPr>
        <w:rFonts w:hint="default"/>
        <w:b/>
      </w:rPr>
    </w:lvl>
    <w:lvl w:ilvl="1" w:tplc="B6D4805C">
      <w:start w:val="1"/>
      <w:numFmt w:val="upperLetter"/>
      <w:lvlText w:val="%2."/>
      <w:lvlJc w:val="left"/>
      <w:pPr>
        <w:ind w:left="1440" w:hanging="360"/>
      </w:pPr>
    </w:lvl>
    <w:lvl w:ilvl="2" w:tplc="29AC1994">
      <w:start w:val="1"/>
      <w:numFmt w:val="lowerRoman"/>
      <w:lvlText w:val="%3."/>
      <w:lvlJc w:val="right"/>
      <w:pPr>
        <w:ind w:left="2160" w:hanging="180"/>
      </w:pPr>
    </w:lvl>
    <w:lvl w:ilvl="3" w:tplc="770EC74E" w:tentative="1">
      <w:start w:val="1"/>
      <w:numFmt w:val="decimal"/>
      <w:lvlText w:val="%4."/>
      <w:lvlJc w:val="left"/>
      <w:pPr>
        <w:ind w:left="2880" w:hanging="360"/>
      </w:pPr>
    </w:lvl>
    <w:lvl w:ilvl="4" w:tplc="9336FDBE" w:tentative="1">
      <w:start w:val="1"/>
      <w:numFmt w:val="lowerLetter"/>
      <w:lvlText w:val="%5."/>
      <w:lvlJc w:val="left"/>
      <w:pPr>
        <w:ind w:left="3600" w:hanging="360"/>
      </w:pPr>
    </w:lvl>
    <w:lvl w:ilvl="5" w:tplc="1F6E16E2" w:tentative="1">
      <w:start w:val="1"/>
      <w:numFmt w:val="lowerRoman"/>
      <w:lvlText w:val="%6."/>
      <w:lvlJc w:val="right"/>
      <w:pPr>
        <w:ind w:left="4320" w:hanging="180"/>
      </w:pPr>
    </w:lvl>
    <w:lvl w:ilvl="6" w:tplc="48FC71F2" w:tentative="1">
      <w:start w:val="1"/>
      <w:numFmt w:val="decimal"/>
      <w:lvlText w:val="%7."/>
      <w:lvlJc w:val="left"/>
      <w:pPr>
        <w:ind w:left="5040" w:hanging="360"/>
      </w:pPr>
    </w:lvl>
    <w:lvl w:ilvl="7" w:tplc="E716B3CE" w:tentative="1">
      <w:start w:val="1"/>
      <w:numFmt w:val="lowerLetter"/>
      <w:lvlText w:val="%8."/>
      <w:lvlJc w:val="left"/>
      <w:pPr>
        <w:ind w:left="5760" w:hanging="360"/>
      </w:pPr>
    </w:lvl>
    <w:lvl w:ilvl="8" w:tplc="822C6E18" w:tentative="1">
      <w:start w:val="1"/>
      <w:numFmt w:val="lowerRoman"/>
      <w:lvlText w:val="%9."/>
      <w:lvlJc w:val="right"/>
      <w:pPr>
        <w:ind w:left="6480" w:hanging="180"/>
      </w:pPr>
    </w:lvl>
  </w:abstractNum>
  <w:num w:numId="1" w16cid:durableId="1053962001">
    <w:abstractNumId w:val="9"/>
  </w:num>
  <w:num w:numId="2" w16cid:durableId="523978481">
    <w:abstractNumId w:val="7"/>
  </w:num>
  <w:num w:numId="3" w16cid:durableId="2093118151">
    <w:abstractNumId w:val="6"/>
  </w:num>
  <w:num w:numId="4" w16cid:durableId="236091138">
    <w:abstractNumId w:val="5"/>
  </w:num>
  <w:num w:numId="5" w16cid:durableId="129173216">
    <w:abstractNumId w:val="4"/>
  </w:num>
  <w:num w:numId="6" w16cid:durableId="290287384">
    <w:abstractNumId w:val="8"/>
  </w:num>
  <w:num w:numId="7" w16cid:durableId="1546091991">
    <w:abstractNumId w:val="3"/>
  </w:num>
  <w:num w:numId="8" w16cid:durableId="331224806">
    <w:abstractNumId w:val="2"/>
  </w:num>
  <w:num w:numId="9" w16cid:durableId="1700281814">
    <w:abstractNumId w:val="1"/>
  </w:num>
  <w:num w:numId="10" w16cid:durableId="1428576695">
    <w:abstractNumId w:val="0"/>
  </w:num>
  <w:num w:numId="11" w16cid:durableId="1831948806">
    <w:abstractNumId w:val="12"/>
  </w:num>
  <w:num w:numId="12" w16cid:durableId="1619334004">
    <w:abstractNumId w:val="15"/>
  </w:num>
  <w:num w:numId="13" w16cid:durableId="860514117">
    <w:abstractNumId w:val="16"/>
  </w:num>
  <w:num w:numId="14" w16cid:durableId="1555890550">
    <w:abstractNumId w:val="18"/>
  </w:num>
  <w:num w:numId="15" w16cid:durableId="652762053">
    <w:abstractNumId w:val="14"/>
  </w:num>
  <w:num w:numId="16" w16cid:durableId="1452168698">
    <w:abstractNumId w:val="17"/>
  </w:num>
  <w:num w:numId="17" w16cid:durableId="915240309">
    <w:abstractNumId w:val="10"/>
  </w:num>
  <w:num w:numId="18" w16cid:durableId="1710647625">
    <w:abstractNumId w:val="13"/>
  </w:num>
  <w:num w:numId="19" w16cid:durableId="1817839903">
    <w:abstractNumId w:val="11"/>
  </w:num>
  <w:num w:numId="20" w16cid:durableId="18776149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3D76D0"/>
    <w:rsid w:val="00001CD3"/>
    <w:rsid w:val="00003448"/>
    <w:rsid w:val="000045C8"/>
    <w:rsid w:val="00005A8D"/>
    <w:rsid w:val="00007B25"/>
    <w:rsid w:val="00012205"/>
    <w:rsid w:val="00020405"/>
    <w:rsid w:val="000240E4"/>
    <w:rsid w:val="00027E7B"/>
    <w:rsid w:val="000348E5"/>
    <w:rsid w:val="00035D3D"/>
    <w:rsid w:val="00044362"/>
    <w:rsid w:val="00044755"/>
    <w:rsid w:val="00044EA9"/>
    <w:rsid w:val="00047761"/>
    <w:rsid w:val="00050F5D"/>
    <w:rsid w:val="00053B74"/>
    <w:rsid w:val="00057763"/>
    <w:rsid w:val="00060ACC"/>
    <w:rsid w:val="000613AC"/>
    <w:rsid w:val="00064D7D"/>
    <w:rsid w:val="00074C1E"/>
    <w:rsid w:val="00075889"/>
    <w:rsid w:val="000762B3"/>
    <w:rsid w:val="000821F0"/>
    <w:rsid w:val="000832D5"/>
    <w:rsid w:val="000866A6"/>
    <w:rsid w:val="00086F81"/>
    <w:rsid w:val="00090A5A"/>
    <w:rsid w:val="00091C46"/>
    <w:rsid w:val="00095369"/>
    <w:rsid w:val="000A0E7C"/>
    <w:rsid w:val="000A1825"/>
    <w:rsid w:val="000A2FED"/>
    <w:rsid w:val="000A48ED"/>
    <w:rsid w:val="000B11C9"/>
    <w:rsid w:val="000B2901"/>
    <w:rsid w:val="000B2E47"/>
    <w:rsid w:val="000C0C61"/>
    <w:rsid w:val="000C411E"/>
    <w:rsid w:val="000C5AAC"/>
    <w:rsid w:val="000D1E45"/>
    <w:rsid w:val="000D2CEE"/>
    <w:rsid w:val="000D5644"/>
    <w:rsid w:val="000D75B4"/>
    <w:rsid w:val="000E0179"/>
    <w:rsid w:val="000E1BEE"/>
    <w:rsid w:val="000E3DF5"/>
    <w:rsid w:val="000E61B2"/>
    <w:rsid w:val="000F03A7"/>
    <w:rsid w:val="000F094A"/>
    <w:rsid w:val="000F4A31"/>
    <w:rsid w:val="000F571D"/>
    <w:rsid w:val="00100E34"/>
    <w:rsid w:val="0010282A"/>
    <w:rsid w:val="0010358F"/>
    <w:rsid w:val="0010388F"/>
    <w:rsid w:val="00106F22"/>
    <w:rsid w:val="00116A33"/>
    <w:rsid w:val="00122B0D"/>
    <w:rsid w:val="00134B95"/>
    <w:rsid w:val="00141296"/>
    <w:rsid w:val="00144F8F"/>
    <w:rsid w:val="001509DB"/>
    <w:rsid w:val="0015107F"/>
    <w:rsid w:val="001514B3"/>
    <w:rsid w:val="001525C4"/>
    <w:rsid w:val="001544E3"/>
    <w:rsid w:val="00156E30"/>
    <w:rsid w:val="001605A0"/>
    <w:rsid w:val="00160936"/>
    <w:rsid w:val="0016263A"/>
    <w:rsid w:val="0016358B"/>
    <w:rsid w:val="00165145"/>
    <w:rsid w:val="00171034"/>
    <w:rsid w:val="001718D2"/>
    <w:rsid w:val="00173007"/>
    <w:rsid w:val="00173D14"/>
    <w:rsid w:val="00173D5F"/>
    <w:rsid w:val="001774CF"/>
    <w:rsid w:val="00184346"/>
    <w:rsid w:val="00185AAD"/>
    <w:rsid w:val="001968AD"/>
    <w:rsid w:val="00197C69"/>
    <w:rsid w:val="001A2E9E"/>
    <w:rsid w:val="001A4BF3"/>
    <w:rsid w:val="001A4F35"/>
    <w:rsid w:val="001B08BC"/>
    <w:rsid w:val="001B48BE"/>
    <w:rsid w:val="001B6B50"/>
    <w:rsid w:val="001C0F17"/>
    <w:rsid w:val="001C634D"/>
    <w:rsid w:val="001D226B"/>
    <w:rsid w:val="001D53FF"/>
    <w:rsid w:val="001E120C"/>
    <w:rsid w:val="001E1C00"/>
    <w:rsid w:val="001E2231"/>
    <w:rsid w:val="001E3208"/>
    <w:rsid w:val="001E7CCA"/>
    <w:rsid w:val="001F65DC"/>
    <w:rsid w:val="00202B6F"/>
    <w:rsid w:val="00207C70"/>
    <w:rsid w:val="00207D75"/>
    <w:rsid w:val="00207E81"/>
    <w:rsid w:val="00216366"/>
    <w:rsid w:val="00220FB9"/>
    <w:rsid w:val="002215E5"/>
    <w:rsid w:val="00221C80"/>
    <w:rsid w:val="00225250"/>
    <w:rsid w:val="00225BAB"/>
    <w:rsid w:val="00226093"/>
    <w:rsid w:val="002266F2"/>
    <w:rsid w:val="00227A60"/>
    <w:rsid w:val="00231E80"/>
    <w:rsid w:val="00234E94"/>
    <w:rsid w:val="002350BD"/>
    <w:rsid w:val="00235350"/>
    <w:rsid w:val="002365C9"/>
    <w:rsid w:val="0023708E"/>
    <w:rsid w:val="0024156D"/>
    <w:rsid w:val="0024195D"/>
    <w:rsid w:val="00243758"/>
    <w:rsid w:val="00244927"/>
    <w:rsid w:val="0024674F"/>
    <w:rsid w:val="00247316"/>
    <w:rsid w:val="00247EB1"/>
    <w:rsid w:val="00253B38"/>
    <w:rsid w:val="00255185"/>
    <w:rsid w:val="002612F9"/>
    <w:rsid w:val="00261599"/>
    <w:rsid w:val="00263968"/>
    <w:rsid w:val="00266F5B"/>
    <w:rsid w:val="00267240"/>
    <w:rsid w:val="00274037"/>
    <w:rsid w:val="00275B63"/>
    <w:rsid w:val="002850D8"/>
    <w:rsid w:val="002866B9"/>
    <w:rsid w:val="002941B5"/>
    <w:rsid w:val="00294F61"/>
    <w:rsid w:val="00296699"/>
    <w:rsid w:val="00296B07"/>
    <w:rsid w:val="00296BC5"/>
    <w:rsid w:val="00296E8F"/>
    <w:rsid w:val="002A4958"/>
    <w:rsid w:val="002A4BF7"/>
    <w:rsid w:val="002A7DB4"/>
    <w:rsid w:val="002B04B8"/>
    <w:rsid w:val="002B194E"/>
    <w:rsid w:val="002C0789"/>
    <w:rsid w:val="002C2BD7"/>
    <w:rsid w:val="002C3E58"/>
    <w:rsid w:val="002C7ACA"/>
    <w:rsid w:val="002D0A11"/>
    <w:rsid w:val="002D5047"/>
    <w:rsid w:val="002E0246"/>
    <w:rsid w:val="002E0376"/>
    <w:rsid w:val="002E6C17"/>
    <w:rsid w:val="002E764A"/>
    <w:rsid w:val="002F1A4A"/>
    <w:rsid w:val="002F1B54"/>
    <w:rsid w:val="002F4C85"/>
    <w:rsid w:val="003011CA"/>
    <w:rsid w:val="00301346"/>
    <w:rsid w:val="003042DB"/>
    <w:rsid w:val="00305109"/>
    <w:rsid w:val="00314D03"/>
    <w:rsid w:val="00322CBC"/>
    <w:rsid w:val="0032325C"/>
    <w:rsid w:val="00325967"/>
    <w:rsid w:val="003305D6"/>
    <w:rsid w:val="00331557"/>
    <w:rsid w:val="00332510"/>
    <w:rsid w:val="00340A10"/>
    <w:rsid w:val="00340F8C"/>
    <w:rsid w:val="003414C6"/>
    <w:rsid w:val="0035289A"/>
    <w:rsid w:val="00353263"/>
    <w:rsid w:val="00353B17"/>
    <w:rsid w:val="00355B6F"/>
    <w:rsid w:val="0035673A"/>
    <w:rsid w:val="003633A6"/>
    <w:rsid w:val="003658E1"/>
    <w:rsid w:val="00365ADA"/>
    <w:rsid w:val="003732BD"/>
    <w:rsid w:val="003749AA"/>
    <w:rsid w:val="00382214"/>
    <w:rsid w:val="003845CB"/>
    <w:rsid w:val="00384D9E"/>
    <w:rsid w:val="0038668C"/>
    <w:rsid w:val="00390DC6"/>
    <w:rsid w:val="00395AAE"/>
    <w:rsid w:val="0039656C"/>
    <w:rsid w:val="003A0D3B"/>
    <w:rsid w:val="003A3873"/>
    <w:rsid w:val="003A5ADD"/>
    <w:rsid w:val="003A7A73"/>
    <w:rsid w:val="003A7D13"/>
    <w:rsid w:val="003B3038"/>
    <w:rsid w:val="003B397C"/>
    <w:rsid w:val="003B5BCB"/>
    <w:rsid w:val="003C4F5A"/>
    <w:rsid w:val="003C5E5B"/>
    <w:rsid w:val="003D107D"/>
    <w:rsid w:val="003D2BD5"/>
    <w:rsid w:val="003D2DD8"/>
    <w:rsid w:val="003D3B60"/>
    <w:rsid w:val="003D578B"/>
    <w:rsid w:val="003D6119"/>
    <w:rsid w:val="003D76D0"/>
    <w:rsid w:val="003E19FF"/>
    <w:rsid w:val="003E63DA"/>
    <w:rsid w:val="003E7994"/>
    <w:rsid w:val="003F2CFB"/>
    <w:rsid w:val="003F4817"/>
    <w:rsid w:val="003F5527"/>
    <w:rsid w:val="00403012"/>
    <w:rsid w:val="00412485"/>
    <w:rsid w:val="004134A6"/>
    <w:rsid w:val="0041689D"/>
    <w:rsid w:val="00422118"/>
    <w:rsid w:val="004227F6"/>
    <w:rsid w:val="00423CDC"/>
    <w:rsid w:val="00430D27"/>
    <w:rsid w:val="00432274"/>
    <w:rsid w:val="004324AE"/>
    <w:rsid w:val="004373F1"/>
    <w:rsid w:val="00442A6A"/>
    <w:rsid w:val="00445FDD"/>
    <w:rsid w:val="004467DB"/>
    <w:rsid w:val="00455774"/>
    <w:rsid w:val="004667C5"/>
    <w:rsid w:val="00467984"/>
    <w:rsid w:val="00475378"/>
    <w:rsid w:val="004755F8"/>
    <w:rsid w:val="004811F1"/>
    <w:rsid w:val="0048286E"/>
    <w:rsid w:val="00483BAA"/>
    <w:rsid w:val="00483DFB"/>
    <w:rsid w:val="00484634"/>
    <w:rsid w:val="00484853"/>
    <w:rsid w:val="00484CCC"/>
    <w:rsid w:val="00486124"/>
    <w:rsid w:val="00492862"/>
    <w:rsid w:val="004931BC"/>
    <w:rsid w:val="0049451B"/>
    <w:rsid w:val="00494692"/>
    <w:rsid w:val="00496FE3"/>
    <w:rsid w:val="004A3772"/>
    <w:rsid w:val="004A406D"/>
    <w:rsid w:val="004B103B"/>
    <w:rsid w:val="004B144E"/>
    <w:rsid w:val="004B22C1"/>
    <w:rsid w:val="004B79FE"/>
    <w:rsid w:val="004C2DAE"/>
    <w:rsid w:val="004C4799"/>
    <w:rsid w:val="004D0414"/>
    <w:rsid w:val="004D064E"/>
    <w:rsid w:val="004D3335"/>
    <w:rsid w:val="004D42ED"/>
    <w:rsid w:val="004E03A6"/>
    <w:rsid w:val="004E0A9F"/>
    <w:rsid w:val="004E277C"/>
    <w:rsid w:val="004E467A"/>
    <w:rsid w:val="004E7C56"/>
    <w:rsid w:val="004F055F"/>
    <w:rsid w:val="004F42FF"/>
    <w:rsid w:val="004F439A"/>
    <w:rsid w:val="004F4BDD"/>
    <w:rsid w:val="0050047F"/>
    <w:rsid w:val="00500481"/>
    <w:rsid w:val="0050306A"/>
    <w:rsid w:val="00510FA7"/>
    <w:rsid w:val="00512720"/>
    <w:rsid w:val="00516C3F"/>
    <w:rsid w:val="00525D82"/>
    <w:rsid w:val="005265C0"/>
    <w:rsid w:val="005268D9"/>
    <w:rsid w:val="005360A3"/>
    <w:rsid w:val="00543273"/>
    <w:rsid w:val="00553928"/>
    <w:rsid w:val="005554DE"/>
    <w:rsid w:val="00555CA3"/>
    <w:rsid w:val="005568EF"/>
    <w:rsid w:val="0055732F"/>
    <w:rsid w:val="00557D55"/>
    <w:rsid w:val="005615ED"/>
    <w:rsid w:val="00565379"/>
    <w:rsid w:val="00573B5B"/>
    <w:rsid w:val="00581E9E"/>
    <w:rsid w:val="00584326"/>
    <w:rsid w:val="00584EA0"/>
    <w:rsid w:val="00590E78"/>
    <w:rsid w:val="00591149"/>
    <w:rsid w:val="005A0285"/>
    <w:rsid w:val="005A2E51"/>
    <w:rsid w:val="005B2699"/>
    <w:rsid w:val="005B45D3"/>
    <w:rsid w:val="005B78D8"/>
    <w:rsid w:val="005C2686"/>
    <w:rsid w:val="005C4768"/>
    <w:rsid w:val="005C7775"/>
    <w:rsid w:val="005C7886"/>
    <w:rsid w:val="005D0A90"/>
    <w:rsid w:val="005D19F6"/>
    <w:rsid w:val="005D2C5C"/>
    <w:rsid w:val="005D2C8F"/>
    <w:rsid w:val="005D3A86"/>
    <w:rsid w:val="005D4188"/>
    <w:rsid w:val="005D4DE7"/>
    <w:rsid w:val="005E0B3C"/>
    <w:rsid w:val="005E3754"/>
    <w:rsid w:val="005E55AD"/>
    <w:rsid w:val="005E5AAD"/>
    <w:rsid w:val="005F14D5"/>
    <w:rsid w:val="005F2E44"/>
    <w:rsid w:val="005F33F8"/>
    <w:rsid w:val="005F407D"/>
    <w:rsid w:val="00600516"/>
    <w:rsid w:val="00605355"/>
    <w:rsid w:val="00616662"/>
    <w:rsid w:val="00616B17"/>
    <w:rsid w:val="00625A2F"/>
    <w:rsid w:val="006260CE"/>
    <w:rsid w:val="00636330"/>
    <w:rsid w:val="00641F7B"/>
    <w:rsid w:val="00644513"/>
    <w:rsid w:val="00647A27"/>
    <w:rsid w:val="00650743"/>
    <w:rsid w:val="00650E2C"/>
    <w:rsid w:val="0065421B"/>
    <w:rsid w:val="00655579"/>
    <w:rsid w:val="00657336"/>
    <w:rsid w:val="00665C37"/>
    <w:rsid w:val="00666859"/>
    <w:rsid w:val="00667511"/>
    <w:rsid w:val="00676553"/>
    <w:rsid w:val="00691F03"/>
    <w:rsid w:val="006942FF"/>
    <w:rsid w:val="006A03EC"/>
    <w:rsid w:val="006A63DF"/>
    <w:rsid w:val="006A6588"/>
    <w:rsid w:val="006A6A31"/>
    <w:rsid w:val="006B2DAB"/>
    <w:rsid w:val="006B6D23"/>
    <w:rsid w:val="006B7FA7"/>
    <w:rsid w:val="006C1E85"/>
    <w:rsid w:val="006C61BD"/>
    <w:rsid w:val="006D07F0"/>
    <w:rsid w:val="006D2859"/>
    <w:rsid w:val="006D2B21"/>
    <w:rsid w:val="006D51DD"/>
    <w:rsid w:val="006E4A2F"/>
    <w:rsid w:val="006E7694"/>
    <w:rsid w:val="006F20F4"/>
    <w:rsid w:val="006F233C"/>
    <w:rsid w:val="007100D9"/>
    <w:rsid w:val="0071660B"/>
    <w:rsid w:val="00717ADA"/>
    <w:rsid w:val="007220A3"/>
    <w:rsid w:val="0073105B"/>
    <w:rsid w:val="00734295"/>
    <w:rsid w:val="00737961"/>
    <w:rsid w:val="00740B75"/>
    <w:rsid w:val="007418B7"/>
    <w:rsid w:val="00742522"/>
    <w:rsid w:val="00743AF8"/>
    <w:rsid w:val="007442E7"/>
    <w:rsid w:val="00747128"/>
    <w:rsid w:val="00755315"/>
    <w:rsid w:val="00755DCA"/>
    <w:rsid w:val="00756665"/>
    <w:rsid w:val="00762287"/>
    <w:rsid w:val="00762669"/>
    <w:rsid w:val="00763875"/>
    <w:rsid w:val="00765747"/>
    <w:rsid w:val="00767FA8"/>
    <w:rsid w:val="00771360"/>
    <w:rsid w:val="0077306C"/>
    <w:rsid w:val="00776DBF"/>
    <w:rsid w:val="007820C3"/>
    <w:rsid w:val="00782EF8"/>
    <w:rsid w:val="00783EA0"/>
    <w:rsid w:val="0078720F"/>
    <w:rsid w:val="007944C8"/>
    <w:rsid w:val="00794D29"/>
    <w:rsid w:val="007A140F"/>
    <w:rsid w:val="007A2475"/>
    <w:rsid w:val="007A70A3"/>
    <w:rsid w:val="007B167D"/>
    <w:rsid w:val="007B2AC7"/>
    <w:rsid w:val="007B2C91"/>
    <w:rsid w:val="007C2E6C"/>
    <w:rsid w:val="007C386F"/>
    <w:rsid w:val="007C4092"/>
    <w:rsid w:val="007C4DEE"/>
    <w:rsid w:val="007C6878"/>
    <w:rsid w:val="007E4CDA"/>
    <w:rsid w:val="007E4D4B"/>
    <w:rsid w:val="007E57DA"/>
    <w:rsid w:val="007F1C2F"/>
    <w:rsid w:val="007F3273"/>
    <w:rsid w:val="008004CF"/>
    <w:rsid w:val="008028AB"/>
    <w:rsid w:val="00811D7C"/>
    <w:rsid w:val="00815531"/>
    <w:rsid w:val="00820F77"/>
    <w:rsid w:val="008225C7"/>
    <w:rsid w:val="00822F75"/>
    <w:rsid w:val="00823918"/>
    <w:rsid w:val="008243B4"/>
    <w:rsid w:val="0082506D"/>
    <w:rsid w:val="00830D41"/>
    <w:rsid w:val="0083485C"/>
    <w:rsid w:val="00834F61"/>
    <w:rsid w:val="008362E5"/>
    <w:rsid w:val="00843A61"/>
    <w:rsid w:val="008448F5"/>
    <w:rsid w:val="00845A4F"/>
    <w:rsid w:val="00851FD8"/>
    <w:rsid w:val="008522C1"/>
    <w:rsid w:val="00852D4C"/>
    <w:rsid w:val="008554E8"/>
    <w:rsid w:val="008645D5"/>
    <w:rsid w:val="00871721"/>
    <w:rsid w:val="0087406E"/>
    <w:rsid w:val="00876657"/>
    <w:rsid w:val="0087671E"/>
    <w:rsid w:val="00876848"/>
    <w:rsid w:val="00880C17"/>
    <w:rsid w:val="00882461"/>
    <w:rsid w:val="00882698"/>
    <w:rsid w:val="00885590"/>
    <w:rsid w:val="00885BA1"/>
    <w:rsid w:val="00886862"/>
    <w:rsid w:val="00890E9D"/>
    <w:rsid w:val="008A36E0"/>
    <w:rsid w:val="008B2735"/>
    <w:rsid w:val="008B3594"/>
    <w:rsid w:val="008B63BA"/>
    <w:rsid w:val="008B6D77"/>
    <w:rsid w:val="008B7A9A"/>
    <w:rsid w:val="008C117F"/>
    <w:rsid w:val="008C28F8"/>
    <w:rsid w:val="008C4444"/>
    <w:rsid w:val="008D087A"/>
    <w:rsid w:val="008D1262"/>
    <w:rsid w:val="008D1347"/>
    <w:rsid w:val="008E00CB"/>
    <w:rsid w:val="008E0819"/>
    <w:rsid w:val="008E3D63"/>
    <w:rsid w:val="008E4CC7"/>
    <w:rsid w:val="008E6AF2"/>
    <w:rsid w:val="008F10DD"/>
    <w:rsid w:val="008F19C9"/>
    <w:rsid w:val="008F47E2"/>
    <w:rsid w:val="008F50E2"/>
    <w:rsid w:val="008F60A8"/>
    <w:rsid w:val="008F67AA"/>
    <w:rsid w:val="008F6945"/>
    <w:rsid w:val="008F7519"/>
    <w:rsid w:val="009014AD"/>
    <w:rsid w:val="0090474C"/>
    <w:rsid w:val="00904C25"/>
    <w:rsid w:val="009050FD"/>
    <w:rsid w:val="00911D5F"/>
    <w:rsid w:val="009147DE"/>
    <w:rsid w:val="009156CC"/>
    <w:rsid w:val="00915CA2"/>
    <w:rsid w:val="00917100"/>
    <w:rsid w:val="00924030"/>
    <w:rsid w:val="00924433"/>
    <w:rsid w:val="00925C6A"/>
    <w:rsid w:val="00930153"/>
    <w:rsid w:val="009405F9"/>
    <w:rsid w:val="00941344"/>
    <w:rsid w:val="0094635D"/>
    <w:rsid w:val="0094740B"/>
    <w:rsid w:val="009500A8"/>
    <w:rsid w:val="00951CBB"/>
    <w:rsid w:val="00964601"/>
    <w:rsid w:val="00965D30"/>
    <w:rsid w:val="00965D61"/>
    <w:rsid w:val="00972064"/>
    <w:rsid w:val="009726B4"/>
    <w:rsid w:val="00976823"/>
    <w:rsid w:val="0098333A"/>
    <w:rsid w:val="009836C8"/>
    <w:rsid w:val="00990881"/>
    <w:rsid w:val="00991427"/>
    <w:rsid w:val="00992BEC"/>
    <w:rsid w:val="009A3926"/>
    <w:rsid w:val="009A45BA"/>
    <w:rsid w:val="009A6916"/>
    <w:rsid w:val="009B3797"/>
    <w:rsid w:val="009C76A4"/>
    <w:rsid w:val="009D646A"/>
    <w:rsid w:val="009E13C2"/>
    <w:rsid w:val="009F431E"/>
    <w:rsid w:val="009F6382"/>
    <w:rsid w:val="00A0767B"/>
    <w:rsid w:val="00A116AC"/>
    <w:rsid w:val="00A12252"/>
    <w:rsid w:val="00A1259B"/>
    <w:rsid w:val="00A134B7"/>
    <w:rsid w:val="00A20488"/>
    <w:rsid w:val="00A30490"/>
    <w:rsid w:val="00A40058"/>
    <w:rsid w:val="00A42C32"/>
    <w:rsid w:val="00A444A9"/>
    <w:rsid w:val="00A46638"/>
    <w:rsid w:val="00A557D0"/>
    <w:rsid w:val="00A57FC1"/>
    <w:rsid w:val="00A6149A"/>
    <w:rsid w:val="00A64D53"/>
    <w:rsid w:val="00A65126"/>
    <w:rsid w:val="00A67656"/>
    <w:rsid w:val="00A703C2"/>
    <w:rsid w:val="00A760A1"/>
    <w:rsid w:val="00A770C5"/>
    <w:rsid w:val="00A80355"/>
    <w:rsid w:val="00A82544"/>
    <w:rsid w:val="00A8369D"/>
    <w:rsid w:val="00A843CF"/>
    <w:rsid w:val="00A8602F"/>
    <w:rsid w:val="00A91058"/>
    <w:rsid w:val="00AA4E80"/>
    <w:rsid w:val="00AA51CD"/>
    <w:rsid w:val="00AB270A"/>
    <w:rsid w:val="00AB28A2"/>
    <w:rsid w:val="00AB7559"/>
    <w:rsid w:val="00AC04CA"/>
    <w:rsid w:val="00AC0F11"/>
    <w:rsid w:val="00AC131F"/>
    <w:rsid w:val="00AC1889"/>
    <w:rsid w:val="00AC2C3E"/>
    <w:rsid w:val="00AC7D53"/>
    <w:rsid w:val="00AE180D"/>
    <w:rsid w:val="00AE28F6"/>
    <w:rsid w:val="00AE3DB9"/>
    <w:rsid w:val="00AE4668"/>
    <w:rsid w:val="00AE5E24"/>
    <w:rsid w:val="00AF0EF4"/>
    <w:rsid w:val="00AF1A82"/>
    <w:rsid w:val="00AF51FF"/>
    <w:rsid w:val="00AF62C1"/>
    <w:rsid w:val="00AF63EC"/>
    <w:rsid w:val="00AF6B32"/>
    <w:rsid w:val="00B060F0"/>
    <w:rsid w:val="00B0739E"/>
    <w:rsid w:val="00B075AB"/>
    <w:rsid w:val="00B16782"/>
    <w:rsid w:val="00B21D22"/>
    <w:rsid w:val="00B256AC"/>
    <w:rsid w:val="00B31960"/>
    <w:rsid w:val="00B322B7"/>
    <w:rsid w:val="00B4375B"/>
    <w:rsid w:val="00B461DB"/>
    <w:rsid w:val="00B533BF"/>
    <w:rsid w:val="00B5591D"/>
    <w:rsid w:val="00B569C1"/>
    <w:rsid w:val="00B57ED0"/>
    <w:rsid w:val="00B60638"/>
    <w:rsid w:val="00B67920"/>
    <w:rsid w:val="00B704E8"/>
    <w:rsid w:val="00B70EF7"/>
    <w:rsid w:val="00B71B0D"/>
    <w:rsid w:val="00B72161"/>
    <w:rsid w:val="00B844A5"/>
    <w:rsid w:val="00B97191"/>
    <w:rsid w:val="00B97840"/>
    <w:rsid w:val="00B97D41"/>
    <w:rsid w:val="00BA4D1B"/>
    <w:rsid w:val="00BA5BEF"/>
    <w:rsid w:val="00BB442C"/>
    <w:rsid w:val="00BB74D0"/>
    <w:rsid w:val="00BC252D"/>
    <w:rsid w:val="00BC3CAA"/>
    <w:rsid w:val="00BC4524"/>
    <w:rsid w:val="00BD193E"/>
    <w:rsid w:val="00BD210A"/>
    <w:rsid w:val="00BD507A"/>
    <w:rsid w:val="00BD661A"/>
    <w:rsid w:val="00BD69DF"/>
    <w:rsid w:val="00BE1169"/>
    <w:rsid w:val="00BE7434"/>
    <w:rsid w:val="00BF5ACF"/>
    <w:rsid w:val="00BF67E8"/>
    <w:rsid w:val="00BF7822"/>
    <w:rsid w:val="00BF79BE"/>
    <w:rsid w:val="00C0149B"/>
    <w:rsid w:val="00C03197"/>
    <w:rsid w:val="00C04117"/>
    <w:rsid w:val="00C074EB"/>
    <w:rsid w:val="00C14043"/>
    <w:rsid w:val="00C16C8C"/>
    <w:rsid w:val="00C17A21"/>
    <w:rsid w:val="00C20CE6"/>
    <w:rsid w:val="00C21CB0"/>
    <w:rsid w:val="00C22FCF"/>
    <w:rsid w:val="00C237E6"/>
    <w:rsid w:val="00C2455B"/>
    <w:rsid w:val="00C26122"/>
    <w:rsid w:val="00C26CCF"/>
    <w:rsid w:val="00C31211"/>
    <w:rsid w:val="00C32D5F"/>
    <w:rsid w:val="00C35AE8"/>
    <w:rsid w:val="00C371EC"/>
    <w:rsid w:val="00C40527"/>
    <w:rsid w:val="00C417C3"/>
    <w:rsid w:val="00C47B44"/>
    <w:rsid w:val="00C54C60"/>
    <w:rsid w:val="00C55693"/>
    <w:rsid w:val="00C5754B"/>
    <w:rsid w:val="00C614D5"/>
    <w:rsid w:val="00C61E36"/>
    <w:rsid w:val="00C649CC"/>
    <w:rsid w:val="00C66A53"/>
    <w:rsid w:val="00C70E0F"/>
    <w:rsid w:val="00C714F7"/>
    <w:rsid w:val="00C735F4"/>
    <w:rsid w:val="00C744DD"/>
    <w:rsid w:val="00C77514"/>
    <w:rsid w:val="00C82D80"/>
    <w:rsid w:val="00C83505"/>
    <w:rsid w:val="00C86561"/>
    <w:rsid w:val="00C86A33"/>
    <w:rsid w:val="00C86EA1"/>
    <w:rsid w:val="00C900DB"/>
    <w:rsid w:val="00C90E88"/>
    <w:rsid w:val="00C93890"/>
    <w:rsid w:val="00C93BE9"/>
    <w:rsid w:val="00C94169"/>
    <w:rsid w:val="00CA485D"/>
    <w:rsid w:val="00CB3C12"/>
    <w:rsid w:val="00CB3E7D"/>
    <w:rsid w:val="00CB6030"/>
    <w:rsid w:val="00CB6F18"/>
    <w:rsid w:val="00CB72CD"/>
    <w:rsid w:val="00CB7687"/>
    <w:rsid w:val="00CB7A8D"/>
    <w:rsid w:val="00CD1D84"/>
    <w:rsid w:val="00CD3D00"/>
    <w:rsid w:val="00CE3D71"/>
    <w:rsid w:val="00CE3E9F"/>
    <w:rsid w:val="00CF01F5"/>
    <w:rsid w:val="00CF18AC"/>
    <w:rsid w:val="00CF46C2"/>
    <w:rsid w:val="00CF4C03"/>
    <w:rsid w:val="00D01DF7"/>
    <w:rsid w:val="00D02517"/>
    <w:rsid w:val="00D041AC"/>
    <w:rsid w:val="00D066D9"/>
    <w:rsid w:val="00D21C3A"/>
    <w:rsid w:val="00D231BB"/>
    <w:rsid w:val="00D335B0"/>
    <w:rsid w:val="00D34A64"/>
    <w:rsid w:val="00D34DCB"/>
    <w:rsid w:val="00D35E8C"/>
    <w:rsid w:val="00D371F3"/>
    <w:rsid w:val="00D42D6A"/>
    <w:rsid w:val="00D52CA9"/>
    <w:rsid w:val="00D5541E"/>
    <w:rsid w:val="00D557A5"/>
    <w:rsid w:val="00D56746"/>
    <w:rsid w:val="00D56990"/>
    <w:rsid w:val="00D62609"/>
    <w:rsid w:val="00D67A99"/>
    <w:rsid w:val="00D7186B"/>
    <w:rsid w:val="00D72207"/>
    <w:rsid w:val="00D758DF"/>
    <w:rsid w:val="00D76F5C"/>
    <w:rsid w:val="00D826CB"/>
    <w:rsid w:val="00D83E55"/>
    <w:rsid w:val="00D84FC3"/>
    <w:rsid w:val="00D87787"/>
    <w:rsid w:val="00D87C42"/>
    <w:rsid w:val="00D9163B"/>
    <w:rsid w:val="00D9359F"/>
    <w:rsid w:val="00D93D77"/>
    <w:rsid w:val="00D94524"/>
    <w:rsid w:val="00DA1F27"/>
    <w:rsid w:val="00DA7300"/>
    <w:rsid w:val="00DB2376"/>
    <w:rsid w:val="00DB32B0"/>
    <w:rsid w:val="00DB4A7A"/>
    <w:rsid w:val="00DB51C2"/>
    <w:rsid w:val="00DB6E86"/>
    <w:rsid w:val="00DC206E"/>
    <w:rsid w:val="00DC2E4D"/>
    <w:rsid w:val="00DC67DA"/>
    <w:rsid w:val="00DE1BBF"/>
    <w:rsid w:val="00DE1CBD"/>
    <w:rsid w:val="00DE405B"/>
    <w:rsid w:val="00DE4AF5"/>
    <w:rsid w:val="00DE4CA7"/>
    <w:rsid w:val="00DE5DDF"/>
    <w:rsid w:val="00DE5EF8"/>
    <w:rsid w:val="00DF0CCA"/>
    <w:rsid w:val="00DF2272"/>
    <w:rsid w:val="00DF549F"/>
    <w:rsid w:val="00E005A9"/>
    <w:rsid w:val="00E0362D"/>
    <w:rsid w:val="00E1024D"/>
    <w:rsid w:val="00E104C3"/>
    <w:rsid w:val="00E1098B"/>
    <w:rsid w:val="00E14074"/>
    <w:rsid w:val="00E14788"/>
    <w:rsid w:val="00E20085"/>
    <w:rsid w:val="00E2083C"/>
    <w:rsid w:val="00E24158"/>
    <w:rsid w:val="00E33310"/>
    <w:rsid w:val="00E353A4"/>
    <w:rsid w:val="00E42192"/>
    <w:rsid w:val="00E422DD"/>
    <w:rsid w:val="00E46231"/>
    <w:rsid w:val="00E50F7B"/>
    <w:rsid w:val="00E521A6"/>
    <w:rsid w:val="00E52B84"/>
    <w:rsid w:val="00E531E5"/>
    <w:rsid w:val="00E5511E"/>
    <w:rsid w:val="00E56D61"/>
    <w:rsid w:val="00E576F2"/>
    <w:rsid w:val="00E63753"/>
    <w:rsid w:val="00E646EA"/>
    <w:rsid w:val="00E67593"/>
    <w:rsid w:val="00E711A5"/>
    <w:rsid w:val="00E724FC"/>
    <w:rsid w:val="00E725BC"/>
    <w:rsid w:val="00E839BC"/>
    <w:rsid w:val="00E95152"/>
    <w:rsid w:val="00EA1233"/>
    <w:rsid w:val="00EA3EEA"/>
    <w:rsid w:val="00EA48C0"/>
    <w:rsid w:val="00EA4A57"/>
    <w:rsid w:val="00EA4EDF"/>
    <w:rsid w:val="00EB2F0A"/>
    <w:rsid w:val="00EC27D2"/>
    <w:rsid w:val="00EC28E2"/>
    <w:rsid w:val="00EC28F3"/>
    <w:rsid w:val="00EC394A"/>
    <w:rsid w:val="00EC6731"/>
    <w:rsid w:val="00ED136F"/>
    <w:rsid w:val="00ED1F7B"/>
    <w:rsid w:val="00ED39FA"/>
    <w:rsid w:val="00ED492B"/>
    <w:rsid w:val="00ED70CC"/>
    <w:rsid w:val="00EE2F73"/>
    <w:rsid w:val="00EE4105"/>
    <w:rsid w:val="00EE467C"/>
    <w:rsid w:val="00EE73F0"/>
    <w:rsid w:val="00F003C4"/>
    <w:rsid w:val="00F00CA0"/>
    <w:rsid w:val="00F01DA7"/>
    <w:rsid w:val="00F02CB6"/>
    <w:rsid w:val="00F108E6"/>
    <w:rsid w:val="00F10AD6"/>
    <w:rsid w:val="00F13DB1"/>
    <w:rsid w:val="00F17F42"/>
    <w:rsid w:val="00F33F06"/>
    <w:rsid w:val="00F34982"/>
    <w:rsid w:val="00F4037B"/>
    <w:rsid w:val="00F4696D"/>
    <w:rsid w:val="00F46F69"/>
    <w:rsid w:val="00F47049"/>
    <w:rsid w:val="00F51053"/>
    <w:rsid w:val="00F5146E"/>
    <w:rsid w:val="00F53475"/>
    <w:rsid w:val="00F55A3D"/>
    <w:rsid w:val="00F608E3"/>
    <w:rsid w:val="00F6755A"/>
    <w:rsid w:val="00F7087B"/>
    <w:rsid w:val="00F826DC"/>
    <w:rsid w:val="00F90C11"/>
    <w:rsid w:val="00F90F3F"/>
    <w:rsid w:val="00F91627"/>
    <w:rsid w:val="00FA034A"/>
    <w:rsid w:val="00FA65D7"/>
    <w:rsid w:val="00FB093A"/>
    <w:rsid w:val="00FB215E"/>
    <w:rsid w:val="00FB492B"/>
    <w:rsid w:val="00FD003A"/>
    <w:rsid w:val="00FD2F7A"/>
    <w:rsid w:val="00FD5850"/>
    <w:rsid w:val="00FE1254"/>
    <w:rsid w:val="00FE17D9"/>
    <w:rsid w:val="00FE213E"/>
    <w:rsid w:val="00FE23A9"/>
    <w:rsid w:val="00FE4F83"/>
    <w:rsid w:val="00FE586F"/>
    <w:rsid w:val="00FE6D63"/>
    <w:rsid w:val="00FF5D7F"/>
    <w:rsid w:val="00FF61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3A6"/>
    <w:pPr>
      <w:spacing w:after="160" w:line="259" w:lineRule="auto"/>
    </w:pPr>
    <w:rPr>
      <w:rFonts w:asciiTheme="minorHAnsi" w:hAnsiTheme="minorHAnsi"/>
      <w:sz w:val="22"/>
      <w:szCs w:val="22"/>
    </w:rPr>
  </w:style>
  <w:style w:type="paragraph" w:styleId="Heading1">
    <w:name w:val="heading 1"/>
    <w:basedOn w:val="ListParagraph"/>
    <w:next w:val="BodyText"/>
    <w:link w:val="Heading1Char"/>
    <w:qFormat/>
    <w:rsid w:val="00BF7822"/>
    <w:pPr>
      <w:numPr>
        <w:numId w:val="19"/>
      </w:numPr>
      <w:outlineLvl w:val="0"/>
    </w:pPr>
    <w:rPr>
      <w:b/>
      <w:bCs/>
    </w:rPr>
  </w:style>
  <w:style w:type="paragraph" w:styleId="Heading2">
    <w:name w:val="heading 2"/>
    <w:basedOn w:val="Heading1"/>
    <w:next w:val="BodyText"/>
    <w:link w:val="Heading2Char"/>
    <w:unhideWhenUsed/>
    <w:qFormat/>
    <w:rsid w:val="00020405"/>
    <w:pPr>
      <w:numPr>
        <w:ilvl w:val="1"/>
      </w:numPr>
      <w:spacing w:after="240"/>
      <w:ind w:left="2160" w:hanging="720"/>
      <w:contextualSpacing w:val="0"/>
      <w:outlineLvl w:val="1"/>
    </w:pPr>
  </w:style>
  <w:style w:type="paragraph" w:styleId="Heading3">
    <w:name w:val="heading 3"/>
    <w:basedOn w:val="Heading2"/>
    <w:next w:val="BodyText"/>
    <w:link w:val="Heading3Char"/>
    <w:unhideWhenUsed/>
    <w:qFormat/>
    <w:rsid w:val="00C94169"/>
    <w:pPr>
      <w:numPr>
        <w:ilvl w:val="2"/>
      </w:numPr>
      <w:ind w:firstLine="720"/>
      <w:outlineLvl w:val="2"/>
    </w:pPr>
    <w:rPr>
      <w:i/>
      <w:iCs/>
    </w:rPr>
  </w:style>
  <w:style w:type="paragraph" w:styleId="Heading4">
    <w:name w:val="heading 4"/>
    <w:basedOn w:val="Normal"/>
    <w:next w:val="BodyText"/>
    <w:link w:val="Heading4Char"/>
    <w:semiHidden/>
    <w:unhideWhenUsed/>
    <w:qFormat/>
    <w:rsid w:val="00763875"/>
    <w:pPr>
      <w:keepNext/>
      <w:spacing w:after="240"/>
      <w:outlineLvl w:val="3"/>
    </w:pPr>
    <w:rPr>
      <w:rFonts w:eastAsiaTheme="majorEastAsia" w:cstheme="majorBidi"/>
      <w:bCs/>
      <w:iCs/>
    </w:rPr>
  </w:style>
  <w:style w:type="paragraph" w:styleId="Heading5">
    <w:name w:val="heading 5"/>
    <w:basedOn w:val="Normal"/>
    <w:next w:val="BodyText"/>
    <w:link w:val="Heading5Char"/>
    <w:semiHidden/>
    <w:unhideWhenUsed/>
    <w:qFormat/>
    <w:rsid w:val="00763875"/>
    <w:pPr>
      <w:keepNext/>
      <w:spacing w:after="240"/>
      <w:outlineLvl w:val="4"/>
    </w:pPr>
    <w:rPr>
      <w:rFonts w:eastAsiaTheme="majorEastAsia" w:cstheme="majorBidi"/>
    </w:rPr>
  </w:style>
  <w:style w:type="paragraph" w:styleId="Heading6">
    <w:name w:val="heading 6"/>
    <w:basedOn w:val="Normal"/>
    <w:next w:val="BodyText"/>
    <w:link w:val="Heading6Char"/>
    <w:semiHidden/>
    <w:unhideWhenUsed/>
    <w:qFormat/>
    <w:rsid w:val="00763875"/>
    <w:pPr>
      <w:keepNext/>
      <w:spacing w:after="240"/>
      <w:outlineLvl w:val="5"/>
    </w:pPr>
    <w:rPr>
      <w:rFonts w:eastAsiaTheme="majorEastAsia" w:cstheme="majorBidi"/>
      <w:iCs/>
    </w:rPr>
  </w:style>
  <w:style w:type="paragraph" w:styleId="Heading7">
    <w:name w:val="heading 7"/>
    <w:basedOn w:val="Normal"/>
    <w:next w:val="BodyText"/>
    <w:link w:val="Heading7Char"/>
    <w:semiHidden/>
    <w:unhideWhenUsed/>
    <w:qFormat/>
    <w:rsid w:val="00763875"/>
    <w:pPr>
      <w:keepNext/>
      <w:spacing w:after="240"/>
      <w:outlineLvl w:val="6"/>
    </w:pPr>
    <w:rPr>
      <w:rFonts w:eastAsiaTheme="majorEastAsia" w:cstheme="majorBidi"/>
      <w:iCs/>
    </w:rPr>
  </w:style>
  <w:style w:type="paragraph" w:styleId="Heading8">
    <w:name w:val="heading 8"/>
    <w:basedOn w:val="Normal"/>
    <w:next w:val="BodyText"/>
    <w:link w:val="Heading8Char"/>
    <w:semiHidden/>
    <w:unhideWhenUsed/>
    <w:qFormat/>
    <w:rsid w:val="00763875"/>
    <w:pPr>
      <w:keepNext/>
      <w:spacing w:after="240"/>
      <w:outlineLvl w:val="7"/>
    </w:pPr>
    <w:rPr>
      <w:rFonts w:eastAsiaTheme="majorEastAsia" w:cstheme="majorBidi"/>
      <w:szCs w:val="20"/>
    </w:rPr>
  </w:style>
  <w:style w:type="paragraph" w:styleId="Heading9">
    <w:name w:val="heading 9"/>
    <w:basedOn w:val="Normal"/>
    <w:next w:val="BodyText"/>
    <w:link w:val="Heading9Char"/>
    <w:semiHidden/>
    <w:unhideWhenUsed/>
    <w:qFormat/>
    <w:rsid w:val="00763875"/>
    <w:pPr>
      <w:keepNext/>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613AC"/>
    <w:pPr>
      <w:tabs>
        <w:tab w:val="center" w:pos="4680"/>
        <w:tab w:val="right" w:pos="9360"/>
      </w:tabs>
    </w:pPr>
  </w:style>
  <w:style w:type="character" w:customStyle="1" w:styleId="HeaderChar">
    <w:name w:val="Header Char"/>
    <w:basedOn w:val="DefaultParagraphFont"/>
    <w:link w:val="Header"/>
    <w:uiPriority w:val="99"/>
    <w:semiHidden/>
    <w:rsid w:val="00D87787"/>
  </w:style>
  <w:style w:type="paragraph" w:styleId="Footer">
    <w:name w:val="footer"/>
    <w:basedOn w:val="Normal"/>
    <w:link w:val="FooterChar"/>
    <w:uiPriority w:val="99"/>
    <w:rsid w:val="007944C8"/>
    <w:pPr>
      <w:tabs>
        <w:tab w:val="center" w:pos="4680"/>
        <w:tab w:val="right" w:pos="9360"/>
      </w:tabs>
    </w:pPr>
  </w:style>
  <w:style w:type="character" w:customStyle="1" w:styleId="FooterChar">
    <w:name w:val="Footer Char"/>
    <w:basedOn w:val="DefaultParagraphFont"/>
    <w:link w:val="Footer"/>
    <w:uiPriority w:val="99"/>
    <w:rsid w:val="007944C8"/>
  </w:style>
  <w:style w:type="character" w:customStyle="1" w:styleId="DocID">
    <w:name w:val="DocID"/>
    <w:basedOn w:val="DefaultParagraphFont"/>
    <w:uiPriority w:val="1"/>
    <w:semiHidden/>
    <w:rsid w:val="000613AC"/>
    <w:rPr>
      <w:sz w:val="16"/>
    </w:rPr>
  </w:style>
  <w:style w:type="paragraph" w:styleId="BlockText">
    <w:name w:val="Block Text"/>
    <w:basedOn w:val="Normal"/>
    <w:uiPriority w:val="99"/>
    <w:semiHidden/>
    <w:rsid w:val="00D8778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rPr>
  </w:style>
  <w:style w:type="paragraph" w:styleId="EnvelopeAddress">
    <w:name w:val="envelope address"/>
    <w:basedOn w:val="Normal"/>
    <w:uiPriority w:val="99"/>
    <w:semiHidden/>
    <w:rsid w:val="00D87787"/>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D87787"/>
    <w:rPr>
      <w:rFonts w:eastAsiaTheme="majorEastAsia" w:cstheme="majorBidi"/>
      <w:sz w:val="20"/>
      <w:szCs w:val="20"/>
    </w:rPr>
  </w:style>
  <w:style w:type="paragraph" w:styleId="Index1">
    <w:name w:val="index 1"/>
    <w:basedOn w:val="Normal"/>
    <w:next w:val="Normal"/>
    <w:autoRedefine/>
    <w:uiPriority w:val="99"/>
    <w:semiHidden/>
    <w:rsid w:val="00D87787"/>
    <w:pPr>
      <w:ind w:left="240" w:hanging="240"/>
    </w:pPr>
  </w:style>
  <w:style w:type="paragraph" w:styleId="IndexHeading">
    <w:name w:val="index heading"/>
    <w:basedOn w:val="Normal"/>
    <w:next w:val="Index1"/>
    <w:uiPriority w:val="99"/>
    <w:semiHidden/>
    <w:rsid w:val="00D87787"/>
    <w:rPr>
      <w:rFonts w:eastAsiaTheme="majorEastAsia" w:cstheme="majorBidi"/>
      <w:b/>
      <w:bCs/>
    </w:rPr>
  </w:style>
  <w:style w:type="table" w:styleId="MediumGrid2">
    <w:name w:val="Medium Grid 2"/>
    <w:basedOn w:val="TableNormal"/>
    <w:uiPriority w:val="68"/>
    <w:rsid w:val="00D87787"/>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87787"/>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87787"/>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87787"/>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87787"/>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87787"/>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87787"/>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D87787"/>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87787"/>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87787"/>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87787"/>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87787"/>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87787"/>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87787"/>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D87787"/>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D87787"/>
    <w:rPr>
      <w:rFonts w:eastAsiaTheme="majorEastAsia" w:cstheme="majorBidi"/>
      <w:shd w:val="pct20" w:color="auto" w:fill="auto"/>
    </w:rPr>
  </w:style>
  <w:style w:type="paragraph" w:styleId="Subtitle">
    <w:name w:val="Subtitle"/>
    <w:basedOn w:val="Normal"/>
    <w:next w:val="Normal"/>
    <w:link w:val="SubtitleChar"/>
    <w:uiPriority w:val="11"/>
    <w:semiHidden/>
    <w:qFormat/>
    <w:rsid w:val="00D8778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semiHidden/>
    <w:rsid w:val="00D87787"/>
    <w:rPr>
      <w:rFonts w:eastAsiaTheme="majorEastAsia" w:cstheme="majorBidi"/>
      <w:i/>
      <w:iCs/>
      <w:spacing w:val="15"/>
    </w:rPr>
  </w:style>
  <w:style w:type="paragraph" w:styleId="Title">
    <w:name w:val="Title"/>
    <w:basedOn w:val="Normal"/>
    <w:next w:val="BodyText"/>
    <w:link w:val="TitleChar"/>
    <w:uiPriority w:val="10"/>
    <w:unhideWhenUsed/>
    <w:qFormat/>
    <w:rsid w:val="00B461DB"/>
    <w:pPr>
      <w:keepNext/>
      <w:spacing w:after="240"/>
      <w:contextualSpacing/>
      <w:jc w:val="center"/>
    </w:pPr>
    <w:rPr>
      <w:rFonts w:eastAsiaTheme="majorEastAsia" w:cstheme="majorBidi"/>
      <w:b/>
      <w:sz w:val="32"/>
      <w:szCs w:val="52"/>
    </w:rPr>
  </w:style>
  <w:style w:type="character" w:customStyle="1" w:styleId="TitleChar">
    <w:name w:val="Title Char"/>
    <w:basedOn w:val="DefaultParagraphFont"/>
    <w:link w:val="Title"/>
    <w:uiPriority w:val="10"/>
    <w:rsid w:val="00B461DB"/>
    <w:rPr>
      <w:rFonts w:eastAsiaTheme="majorEastAsia" w:cstheme="majorBidi"/>
      <w:b/>
      <w:sz w:val="32"/>
      <w:szCs w:val="52"/>
    </w:rPr>
  </w:style>
  <w:style w:type="paragraph" w:styleId="TOAHeading">
    <w:name w:val="toa heading"/>
    <w:basedOn w:val="Normal"/>
    <w:next w:val="Normal"/>
    <w:uiPriority w:val="99"/>
    <w:semiHidden/>
    <w:rsid w:val="00D87787"/>
    <w:pPr>
      <w:spacing w:before="120"/>
    </w:pPr>
    <w:rPr>
      <w:rFonts w:eastAsiaTheme="majorEastAsia" w:cstheme="majorBidi"/>
      <w:b/>
      <w:bCs/>
    </w:rPr>
  </w:style>
  <w:style w:type="character" w:customStyle="1" w:styleId="Heading1Char">
    <w:name w:val="Heading 1 Char"/>
    <w:basedOn w:val="DefaultParagraphFont"/>
    <w:link w:val="Heading1"/>
    <w:rsid w:val="00BF7822"/>
    <w:rPr>
      <w:rFonts w:asciiTheme="minorHAnsi" w:hAnsiTheme="minorHAnsi"/>
      <w:b/>
      <w:bCs/>
      <w:sz w:val="22"/>
      <w:szCs w:val="22"/>
    </w:rPr>
  </w:style>
  <w:style w:type="paragraph" w:styleId="TOCHeading">
    <w:name w:val="TOC Heading"/>
    <w:basedOn w:val="Normal"/>
    <w:next w:val="Normal"/>
    <w:uiPriority w:val="39"/>
    <w:semiHidden/>
    <w:rsid w:val="00D87787"/>
  </w:style>
  <w:style w:type="paragraph" w:styleId="BodyText">
    <w:name w:val="Body Text"/>
    <w:basedOn w:val="Normal"/>
    <w:link w:val="BodyTextChar"/>
    <w:qFormat/>
    <w:rsid w:val="001B48BE"/>
    <w:pPr>
      <w:spacing w:after="240" w:line="480" w:lineRule="auto"/>
      <w:ind w:firstLine="720"/>
      <w:contextualSpacing/>
    </w:pPr>
    <w:rPr>
      <w:rFonts w:ascii="Times New Roman" w:hAnsi="Times New Roman"/>
      <w:sz w:val="24"/>
      <w:szCs w:val="24"/>
    </w:rPr>
  </w:style>
  <w:style w:type="character" w:customStyle="1" w:styleId="BodyTextChar">
    <w:name w:val="Body Text Char"/>
    <w:basedOn w:val="DefaultParagraphFont"/>
    <w:link w:val="BodyText"/>
    <w:rsid w:val="001B48BE"/>
  </w:style>
  <w:style w:type="paragraph" w:styleId="BodyText3">
    <w:name w:val="Body Text 3"/>
    <w:basedOn w:val="Normal"/>
    <w:link w:val="BodyText3Char"/>
    <w:qFormat/>
    <w:rsid w:val="00263968"/>
    <w:pPr>
      <w:spacing w:after="240"/>
    </w:pPr>
    <w:rPr>
      <w:szCs w:val="16"/>
    </w:rPr>
  </w:style>
  <w:style w:type="character" w:customStyle="1" w:styleId="BodyText3Char">
    <w:name w:val="Body Text 3 Char"/>
    <w:basedOn w:val="DefaultParagraphFont"/>
    <w:link w:val="BodyText3"/>
    <w:rsid w:val="00636330"/>
    <w:rPr>
      <w:szCs w:val="16"/>
    </w:rPr>
  </w:style>
  <w:style w:type="paragraph" w:styleId="BodyTextFirstIndent">
    <w:name w:val="Body Text First Indent"/>
    <w:basedOn w:val="BodyText"/>
    <w:link w:val="BodyTextFirstIndentChar"/>
    <w:qFormat/>
    <w:rsid w:val="00263968"/>
    <w:pPr>
      <w:ind w:firstLine="1440"/>
    </w:pPr>
  </w:style>
  <w:style w:type="character" w:customStyle="1" w:styleId="BodyTextFirstIndentChar">
    <w:name w:val="Body Text First Indent Char"/>
    <w:basedOn w:val="BodyTextChar"/>
    <w:link w:val="BodyTextFirstIndent"/>
    <w:rsid w:val="00636330"/>
  </w:style>
  <w:style w:type="paragraph" w:styleId="BodyTextIndent">
    <w:name w:val="Body Text Indent"/>
    <w:basedOn w:val="Normal"/>
    <w:link w:val="BodyTextIndentChar"/>
    <w:qFormat/>
    <w:rsid w:val="00263968"/>
    <w:pPr>
      <w:spacing w:after="240"/>
      <w:ind w:left="720"/>
    </w:pPr>
  </w:style>
  <w:style w:type="character" w:customStyle="1" w:styleId="BodyTextIndentChar">
    <w:name w:val="Body Text Indent Char"/>
    <w:basedOn w:val="DefaultParagraphFont"/>
    <w:link w:val="BodyTextIndent"/>
    <w:rsid w:val="00636330"/>
  </w:style>
  <w:style w:type="paragraph" w:styleId="BodyTextFirstIndent2">
    <w:name w:val="Body Text First Indent 2"/>
    <w:basedOn w:val="BodyTextIndent"/>
    <w:link w:val="BodyTextFirstIndent2Char"/>
    <w:qFormat/>
    <w:rsid w:val="00263968"/>
    <w:pPr>
      <w:ind w:firstLine="1440"/>
    </w:pPr>
  </w:style>
  <w:style w:type="character" w:customStyle="1" w:styleId="BodyTextFirstIndent2Char">
    <w:name w:val="Body Text First Indent 2 Char"/>
    <w:basedOn w:val="BodyTextIndentChar"/>
    <w:link w:val="BodyTextFirstIndent2"/>
    <w:rsid w:val="00636330"/>
  </w:style>
  <w:style w:type="paragraph" w:styleId="BodyTextIndent2">
    <w:name w:val="Body Text Indent 2"/>
    <w:basedOn w:val="Normal"/>
    <w:link w:val="BodyTextIndent2Char"/>
    <w:qFormat/>
    <w:rsid w:val="008028AB"/>
    <w:pPr>
      <w:spacing w:after="120" w:line="480" w:lineRule="auto"/>
      <w:ind w:left="720"/>
    </w:pPr>
  </w:style>
  <w:style w:type="character" w:customStyle="1" w:styleId="BodyTextIndent2Char">
    <w:name w:val="Body Text Indent 2 Char"/>
    <w:basedOn w:val="DefaultParagraphFont"/>
    <w:link w:val="BodyTextIndent2"/>
    <w:rsid w:val="00636330"/>
  </w:style>
  <w:style w:type="paragraph" w:styleId="BodyTextIndent3">
    <w:name w:val="Body Text Indent 3"/>
    <w:basedOn w:val="Normal"/>
    <w:link w:val="BodyTextIndent3Char"/>
    <w:qFormat/>
    <w:rsid w:val="00263968"/>
    <w:pPr>
      <w:spacing w:after="240"/>
      <w:ind w:left="720"/>
    </w:pPr>
    <w:rPr>
      <w:szCs w:val="16"/>
    </w:rPr>
  </w:style>
  <w:style w:type="character" w:customStyle="1" w:styleId="BodyTextIndent3Char">
    <w:name w:val="Body Text Indent 3 Char"/>
    <w:basedOn w:val="DefaultParagraphFont"/>
    <w:link w:val="BodyTextIndent3"/>
    <w:rsid w:val="00636330"/>
    <w:rPr>
      <w:szCs w:val="16"/>
    </w:rPr>
  </w:style>
  <w:style w:type="character" w:customStyle="1" w:styleId="Heading2Char">
    <w:name w:val="Heading 2 Char"/>
    <w:basedOn w:val="DefaultParagraphFont"/>
    <w:link w:val="Heading2"/>
    <w:rsid w:val="00020405"/>
    <w:rPr>
      <w:rFonts w:asciiTheme="minorHAnsi" w:hAnsiTheme="minorHAnsi"/>
      <w:b/>
      <w:bCs/>
      <w:sz w:val="22"/>
      <w:szCs w:val="22"/>
    </w:rPr>
  </w:style>
  <w:style w:type="character" w:customStyle="1" w:styleId="Heading3Char">
    <w:name w:val="Heading 3 Char"/>
    <w:basedOn w:val="DefaultParagraphFont"/>
    <w:link w:val="Heading3"/>
    <w:rsid w:val="00C94169"/>
    <w:rPr>
      <w:rFonts w:asciiTheme="minorHAnsi" w:hAnsiTheme="minorHAnsi"/>
      <w:b/>
      <w:bCs/>
      <w:i/>
      <w:iCs/>
      <w:sz w:val="22"/>
      <w:szCs w:val="22"/>
    </w:rPr>
  </w:style>
  <w:style w:type="character" w:customStyle="1" w:styleId="Heading4Char">
    <w:name w:val="Heading 4 Char"/>
    <w:basedOn w:val="DefaultParagraphFont"/>
    <w:link w:val="Heading4"/>
    <w:semiHidden/>
    <w:rsid w:val="00763875"/>
    <w:rPr>
      <w:rFonts w:eastAsiaTheme="majorEastAsia" w:cstheme="majorBidi"/>
      <w:bCs/>
      <w:iCs/>
    </w:rPr>
  </w:style>
  <w:style w:type="character" w:customStyle="1" w:styleId="Heading5Char">
    <w:name w:val="Heading 5 Char"/>
    <w:basedOn w:val="DefaultParagraphFont"/>
    <w:link w:val="Heading5"/>
    <w:semiHidden/>
    <w:rsid w:val="00763875"/>
    <w:rPr>
      <w:rFonts w:eastAsiaTheme="majorEastAsia" w:cstheme="majorBidi"/>
    </w:rPr>
  </w:style>
  <w:style w:type="character" w:customStyle="1" w:styleId="Heading6Char">
    <w:name w:val="Heading 6 Char"/>
    <w:basedOn w:val="DefaultParagraphFont"/>
    <w:link w:val="Heading6"/>
    <w:semiHidden/>
    <w:rsid w:val="00763875"/>
    <w:rPr>
      <w:rFonts w:eastAsiaTheme="majorEastAsia" w:cstheme="majorBidi"/>
      <w:iCs/>
    </w:rPr>
  </w:style>
  <w:style w:type="character" w:customStyle="1" w:styleId="Heading7Char">
    <w:name w:val="Heading 7 Char"/>
    <w:basedOn w:val="DefaultParagraphFont"/>
    <w:link w:val="Heading7"/>
    <w:semiHidden/>
    <w:rsid w:val="00763875"/>
    <w:rPr>
      <w:rFonts w:eastAsiaTheme="majorEastAsia" w:cstheme="majorBidi"/>
      <w:iCs/>
    </w:rPr>
  </w:style>
  <w:style w:type="character" w:customStyle="1" w:styleId="Heading8Char">
    <w:name w:val="Heading 8 Char"/>
    <w:basedOn w:val="DefaultParagraphFont"/>
    <w:link w:val="Heading8"/>
    <w:semiHidden/>
    <w:rsid w:val="00763875"/>
    <w:rPr>
      <w:rFonts w:eastAsiaTheme="majorEastAsia" w:cstheme="majorBidi"/>
      <w:szCs w:val="20"/>
    </w:rPr>
  </w:style>
  <w:style w:type="character" w:customStyle="1" w:styleId="Heading9Char">
    <w:name w:val="Heading 9 Char"/>
    <w:basedOn w:val="DefaultParagraphFont"/>
    <w:link w:val="Heading9"/>
    <w:semiHidden/>
    <w:rsid w:val="00763875"/>
    <w:rPr>
      <w:rFonts w:eastAsiaTheme="majorEastAsia" w:cstheme="majorBidi"/>
      <w:iCs/>
      <w:szCs w:val="20"/>
    </w:rPr>
  </w:style>
  <w:style w:type="paragraph" w:customStyle="1" w:styleId="Address">
    <w:name w:val="Address"/>
    <w:basedOn w:val="BodyText"/>
    <w:qFormat/>
    <w:rsid w:val="00D557A5"/>
  </w:style>
  <w:style w:type="paragraph" w:styleId="FootnoteText">
    <w:name w:val="footnote text"/>
    <w:basedOn w:val="Normal"/>
    <w:link w:val="FootnoteTextChar"/>
    <w:uiPriority w:val="99"/>
    <w:semiHidden/>
    <w:unhideWhenUsed/>
    <w:rsid w:val="003D76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76D0"/>
    <w:rPr>
      <w:rFonts w:asciiTheme="minorHAnsi" w:hAnsiTheme="minorHAnsi"/>
      <w:sz w:val="20"/>
      <w:szCs w:val="20"/>
    </w:rPr>
  </w:style>
  <w:style w:type="character" w:styleId="FootnoteReference">
    <w:name w:val="footnote reference"/>
    <w:basedOn w:val="DefaultParagraphFont"/>
    <w:unhideWhenUsed/>
    <w:rsid w:val="003D76D0"/>
    <w:rPr>
      <w:vertAlign w:val="superscript"/>
    </w:rPr>
  </w:style>
  <w:style w:type="paragraph" w:customStyle="1" w:styleId="Default">
    <w:name w:val="Default"/>
    <w:rsid w:val="003D76D0"/>
    <w:pPr>
      <w:autoSpaceDE w:val="0"/>
      <w:autoSpaceDN w:val="0"/>
      <w:adjustRightInd w:val="0"/>
    </w:pPr>
    <w:rPr>
      <w:rFonts w:cs="Times New Roman"/>
      <w:color w:val="000000"/>
    </w:rPr>
  </w:style>
  <w:style w:type="paragraph" w:styleId="ListParagraph">
    <w:name w:val="List Paragraph"/>
    <w:basedOn w:val="Normal"/>
    <w:uiPriority w:val="34"/>
    <w:qFormat/>
    <w:rsid w:val="003D76D0"/>
    <w:pPr>
      <w:ind w:left="720"/>
      <w:contextualSpacing/>
    </w:pPr>
  </w:style>
  <w:style w:type="character" w:styleId="Hyperlink">
    <w:name w:val="Hyperlink"/>
    <w:basedOn w:val="DefaultParagraphFont"/>
    <w:uiPriority w:val="99"/>
    <w:unhideWhenUsed/>
    <w:rsid w:val="003D76D0"/>
    <w:rPr>
      <w:color w:val="0563C1"/>
      <w:u w:val="single"/>
    </w:rPr>
  </w:style>
  <w:style w:type="table" w:styleId="TableGrid">
    <w:name w:val="Table Grid"/>
    <w:basedOn w:val="TableNormal"/>
    <w:uiPriority w:val="59"/>
    <w:rsid w:val="003D76D0"/>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D76D0"/>
    <w:rPr>
      <w:color w:val="605E5C"/>
      <w:shd w:val="clear" w:color="auto" w:fill="E1DFDD"/>
    </w:rPr>
  </w:style>
  <w:style w:type="table" w:customStyle="1" w:styleId="TableGrid1">
    <w:name w:val="Table Grid1"/>
    <w:basedOn w:val="TableNormal"/>
    <w:next w:val="TableGrid"/>
    <w:uiPriority w:val="59"/>
    <w:rsid w:val="00F51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05D6"/>
    <w:rPr>
      <w:sz w:val="16"/>
      <w:szCs w:val="16"/>
    </w:rPr>
  </w:style>
  <w:style w:type="paragraph" w:styleId="CommentText">
    <w:name w:val="annotation text"/>
    <w:basedOn w:val="Normal"/>
    <w:link w:val="CommentTextChar"/>
    <w:uiPriority w:val="99"/>
    <w:semiHidden/>
    <w:unhideWhenUsed/>
    <w:rsid w:val="003305D6"/>
    <w:pPr>
      <w:spacing w:line="240" w:lineRule="auto"/>
    </w:pPr>
    <w:rPr>
      <w:sz w:val="20"/>
      <w:szCs w:val="20"/>
    </w:rPr>
  </w:style>
  <w:style w:type="character" w:customStyle="1" w:styleId="CommentTextChar">
    <w:name w:val="Comment Text Char"/>
    <w:basedOn w:val="DefaultParagraphFont"/>
    <w:link w:val="CommentText"/>
    <w:uiPriority w:val="99"/>
    <w:semiHidden/>
    <w:rsid w:val="003305D6"/>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305D6"/>
    <w:rPr>
      <w:b/>
      <w:bCs/>
    </w:rPr>
  </w:style>
  <w:style w:type="character" w:customStyle="1" w:styleId="CommentSubjectChar">
    <w:name w:val="Comment Subject Char"/>
    <w:basedOn w:val="CommentTextChar"/>
    <w:link w:val="CommentSubject"/>
    <w:uiPriority w:val="99"/>
    <w:semiHidden/>
    <w:rsid w:val="003305D6"/>
    <w:rPr>
      <w:rFonts w:asciiTheme="minorHAnsi" w:hAnsiTheme="minorHAnsi"/>
      <w:b/>
      <w:bCs/>
      <w:sz w:val="20"/>
      <w:szCs w:val="20"/>
    </w:rPr>
  </w:style>
  <w:style w:type="paragraph" w:styleId="IntenseQuote">
    <w:name w:val="Intense Quote"/>
    <w:basedOn w:val="Normal"/>
    <w:next w:val="Normal"/>
    <w:link w:val="IntenseQuoteChar"/>
    <w:uiPriority w:val="30"/>
    <w:qFormat/>
    <w:rsid w:val="003633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633A6"/>
    <w:rPr>
      <w:rFonts w:asciiTheme="minorHAnsi" w:hAnsiTheme="minorHAnsi"/>
      <w:i/>
      <w:iCs/>
      <w:color w:val="4F81BD" w:themeColor="accent1"/>
      <w:sz w:val="22"/>
      <w:szCs w:val="22"/>
    </w:rPr>
  </w:style>
  <w:style w:type="character" w:styleId="IntenseReference">
    <w:name w:val="Intense Reference"/>
    <w:basedOn w:val="DefaultParagraphFont"/>
    <w:uiPriority w:val="32"/>
    <w:qFormat/>
    <w:rsid w:val="003633A6"/>
    <w:rPr>
      <w:b/>
      <w:bCs/>
      <w:smallCaps/>
      <w:color w:val="4F81BD" w:themeColor="accent1"/>
      <w:spacing w:val="5"/>
    </w:rPr>
  </w:style>
  <w:style w:type="character" w:styleId="Mention">
    <w:name w:val="Mention"/>
    <w:basedOn w:val="DefaultParagraphFont"/>
    <w:uiPriority w:val="99"/>
    <w:rsid w:val="003633A6"/>
    <w:rPr>
      <w:color w:val="2B579A"/>
      <w:shd w:val="clear" w:color="auto" w:fill="E1DFDD"/>
    </w:rPr>
  </w:style>
  <w:style w:type="character" w:styleId="UnresolvedMention">
    <w:name w:val="Unresolved Mention"/>
    <w:basedOn w:val="DefaultParagraphFont"/>
    <w:uiPriority w:val="99"/>
    <w:rsid w:val="00B704E8"/>
    <w:rPr>
      <w:color w:val="605E5C"/>
      <w:shd w:val="clear" w:color="auto" w:fill="E1DFDD"/>
    </w:rPr>
  </w:style>
  <w:style w:type="paragraph" w:styleId="Revision">
    <w:name w:val="Revision"/>
    <w:hidden/>
    <w:uiPriority w:val="99"/>
    <w:semiHidden/>
    <w:rsid w:val="005360A3"/>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epohiocbp.com/index.cfm?s=background&amp;p=previousResults"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irstenergycbp.com/Results.asp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uco.ohio.gov/about-us/resources/mission-and-commi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EFC6F763577B418DF8FE0178B39006" ma:contentTypeVersion="16" ma:contentTypeDescription="Create a new document." ma:contentTypeScope="" ma:versionID="739328762fa14422fee20f5025611ad1">
  <xsd:schema xmlns:xsd="http://www.w3.org/2001/XMLSchema" xmlns:xs="http://www.w3.org/2001/XMLSchema" xmlns:p="http://schemas.microsoft.com/office/2006/metadata/properties" xmlns:ns2="ca30f505-3839-497d-97ae-5564798e3bdf" xmlns:ns3="9bf46961-5452-4baf-bdc3-5c7fa341d75c" targetNamespace="http://schemas.microsoft.com/office/2006/metadata/properties" ma:root="true" ma:fieldsID="9a3ec68f3b01ae3b11dea7fe9bad67cf" ns2:_="" ns3:_="">
    <xsd:import namespace="ca30f505-3839-497d-97ae-5564798e3bdf"/>
    <xsd:import namespace="9bf46961-5452-4baf-bdc3-5c7fa341d7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0f505-3839-497d-97ae-5564798e3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0b0ab0-0505-46c8-abd6-bfa080b35e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46961-5452-4baf-bdc3-5c7fa341d7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3f5fdb-9f45-41e8-8069-032517b92938}" ma:internalName="TaxCatchAll" ma:showField="CatchAllData" ma:web="9bf46961-5452-4baf-bdc3-5c7fa341d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30f505-3839-497d-97ae-5564798e3bdf">
      <Terms xmlns="http://schemas.microsoft.com/office/infopath/2007/PartnerControls"/>
    </lcf76f155ced4ddcb4097134ff3c332f>
    <TaxCatchAll xmlns="9bf46961-5452-4baf-bdc3-5c7fa341d75c" xsi:nil="true"/>
  </documentManagement>
</p:properties>
</file>

<file path=customXml/itemProps1.xml><?xml version="1.0" encoding="utf-8"?>
<ds:datastoreItem xmlns:ds="http://schemas.openxmlformats.org/officeDocument/2006/customXml" ds:itemID="{66455022-D69B-4DB2-84DB-D016EE3FC568}">
  <ds:schemaRefs>
    <ds:schemaRef ds:uri="http://schemas.openxmlformats.org/officeDocument/2006/bibliography"/>
  </ds:schemaRefs>
</ds:datastoreItem>
</file>

<file path=customXml/itemProps2.xml><?xml version="1.0" encoding="utf-8"?>
<ds:datastoreItem xmlns:ds="http://schemas.openxmlformats.org/officeDocument/2006/customXml" ds:itemID="{EED4F54A-5B64-4E2B-8E35-5643C7758375}"/>
</file>

<file path=customXml/itemProps3.xml><?xml version="1.0" encoding="utf-8"?>
<ds:datastoreItem xmlns:ds="http://schemas.openxmlformats.org/officeDocument/2006/customXml" ds:itemID="{1C59453E-1C31-4981-BADC-DD645240DEC1}"/>
</file>

<file path=customXml/itemProps4.xml><?xml version="1.0" encoding="utf-8"?>
<ds:datastoreItem xmlns:ds="http://schemas.openxmlformats.org/officeDocument/2006/customXml" ds:itemID="{1BB71757-F9BC-4E81-9895-D00FBEE724C7}"/>
</file>

<file path=docProps/app.xml><?xml version="1.0" encoding="utf-8"?>
<Properties xmlns="http://schemas.openxmlformats.org/officeDocument/2006/extended-properties" xmlns:vt="http://schemas.openxmlformats.org/officeDocument/2006/docPropsVTypes">
  <Template>Normal.dotm</Template>
  <TotalTime>0</TotalTime>
  <Pages>13</Pages>
  <Words>2570</Words>
  <Characters>14653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1900-01-01T05:00:00Z</cp:lastPrinted>
  <dcterms:created xsi:type="dcterms:W3CDTF">2022-12-19T20:40:00Z</dcterms:created>
  <dcterms:modified xsi:type="dcterms:W3CDTF">2022-12-19T20:41:00Z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 101615748.2</vt:lpwstr>
  </property>
  <property fmtid="{D5CDD505-2E9C-101B-9397-08002B2CF9AE}" pid="3" name="DocumentType">
    <vt:lpwstr>pgBlank</vt:lpwstr>
  </property>
  <property fmtid="{D5CDD505-2E9C-101B-9397-08002B2CF9AE}" pid="4" name="ContentTypeId">
    <vt:lpwstr>0x010100B7EFC6F763577B418DF8FE0178B39006</vt:lpwstr>
  </property>
</Properties>
</file>