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2BB2" w14:textId="77777777" w:rsidR="003F581A" w:rsidRPr="009D71F6" w:rsidRDefault="003F581A" w:rsidP="003F581A">
      <w:pPr>
        <w:pStyle w:val="Title"/>
        <w:widowControl w:val="0"/>
        <w:rPr>
          <w:rFonts w:ascii="Arial" w:hAnsi="Arial" w:cs="Arial"/>
          <w:szCs w:val="24"/>
        </w:rPr>
      </w:pPr>
      <w:bookmarkStart w:id="0" w:name="_Hlk534029762"/>
      <w:r w:rsidRPr="009D71F6">
        <w:rPr>
          <w:rFonts w:ascii="Arial" w:hAnsi="Arial" w:cs="Arial"/>
          <w:szCs w:val="24"/>
        </w:rPr>
        <w:t>BEFORE</w:t>
      </w:r>
    </w:p>
    <w:p w14:paraId="4A2A4460" w14:textId="77777777" w:rsidR="003F581A" w:rsidRPr="009D71F6" w:rsidRDefault="003F581A" w:rsidP="003F581A">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F581A" w:rsidRPr="009D71F6" w14:paraId="3F98E6BB" w14:textId="77777777" w:rsidTr="00831CB6">
        <w:trPr>
          <w:trHeight w:val="873"/>
          <w:jc w:val="center"/>
        </w:trPr>
        <w:tc>
          <w:tcPr>
            <w:tcW w:w="4739" w:type="dxa"/>
          </w:tcPr>
          <w:p w14:paraId="528DE254" w14:textId="77777777" w:rsidR="003F581A" w:rsidRPr="009D71F6" w:rsidRDefault="003F581A" w:rsidP="00831CB6">
            <w:pPr>
              <w:autoSpaceDE w:val="0"/>
              <w:autoSpaceDN w:val="0"/>
              <w:adjustRightInd w:val="0"/>
              <w:spacing w:after="0" w:line="240" w:lineRule="auto"/>
              <w:jc w:val="both"/>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283086FC" w14:textId="77777777" w:rsidR="003F581A" w:rsidRPr="009D71F6" w:rsidRDefault="003F581A" w:rsidP="00831CB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8B73C8C" w14:textId="77777777" w:rsidR="003F581A" w:rsidRPr="009D71F6" w:rsidRDefault="003F581A" w:rsidP="00831CB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89AC03E" w14:textId="77777777" w:rsidR="003F581A" w:rsidRPr="009D71F6" w:rsidRDefault="003F581A" w:rsidP="00831CB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43CDEE41" w14:textId="77777777" w:rsidR="003F581A" w:rsidRPr="009D71F6" w:rsidRDefault="003F581A" w:rsidP="00831CB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4E3A0463" w14:textId="77777777" w:rsidR="003F581A" w:rsidRPr="009D71F6" w:rsidRDefault="003F581A" w:rsidP="00831CB6">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22C71C77" w14:textId="77777777" w:rsidR="003F581A" w:rsidRPr="009D71F6" w:rsidRDefault="003F581A" w:rsidP="00831CB6">
            <w:pPr>
              <w:widowControl w:val="0"/>
              <w:spacing w:after="0" w:line="240" w:lineRule="auto"/>
              <w:rPr>
                <w:rFonts w:ascii="Arial" w:hAnsi="Arial" w:cs="Arial"/>
                <w:sz w:val="24"/>
                <w:szCs w:val="24"/>
              </w:rPr>
            </w:pPr>
          </w:p>
          <w:p w14:paraId="4B9BB42E" w14:textId="77777777" w:rsidR="003F581A" w:rsidRPr="009D71F6" w:rsidRDefault="003F581A" w:rsidP="00831CB6">
            <w:pPr>
              <w:widowControl w:val="0"/>
              <w:spacing w:after="0" w:line="240" w:lineRule="auto"/>
              <w:rPr>
                <w:rFonts w:ascii="Arial" w:hAnsi="Arial" w:cs="Arial"/>
                <w:sz w:val="24"/>
                <w:szCs w:val="24"/>
              </w:rPr>
            </w:pPr>
          </w:p>
          <w:p w14:paraId="2F5C3655" w14:textId="77777777" w:rsidR="003F581A" w:rsidRPr="009D71F6" w:rsidRDefault="003F581A" w:rsidP="00831CB6">
            <w:pPr>
              <w:widowControl w:val="0"/>
              <w:spacing w:after="0" w:line="240" w:lineRule="auto"/>
              <w:rPr>
                <w:rFonts w:ascii="Arial" w:hAnsi="Arial" w:cs="Arial"/>
                <w:sz w:val="24"/>
                <w:szCs w:val="24"/>
              </w:rPr>
            </w:pPr>
            <w:r>
              <w:rPr>
                <w:rFonts w:ascii="Arial" w:hAnsi="Arial" w:cs="Arial"/>
                <w:sz w:val="24"/>
                <w:szCs w:val="24"/>
              </w:rPr>
              <w:t>Case No. 17-0974-EL-UNC</w:t>
            </w:r>
          </w:p>
          <w:p w14:paraId="7F9D2AC0" w14:textId="77777777" w:rsidR="003F581A" w:rsidRPr="009D71F6" w:rsidRDefault="003F581A" w:rsidP="00831CB6">
            <w:pPr>
              <w:widowControl w:val="0"/>
              <w:spacing w:after="0" w:line="240" w:lineRule="auto"/>
              <w:rPr>
                <w:rFonts w:ascii="Arial" w:hAnsi="Arial" w:cs="Arial"/>
                <w:sz w:val="24"/>
                <w:szCs w:val="24"/>
              </w:rPr>
            </w:pPr>
          </w:p>
          <w:p w14:paraId="4B7DF9B7" w14:textId="77777777" w:rsidR="003F581A" w:rsidRDefault="003F581A" w:rsidP="00831CB6">
            <w:pPr>
              <w:widowControl w:val="0"/>
              <w:spacing w:after="0" w:line="240" w:lineRule="auto"/>
              <w:rPr>
                <w:rFonts w:ascii="Arial" w:hAnsi="Arial" w:cs="Arial"/>
                <w:sz w:val="24"/>
                <w:szCs w:val="24"/>
              </w:rPr>
            </w:pPr>
          </w:p>
          <w:p w14:paraId="3AE1C5F6" w14:textId="77777777" w:rsidR="003F581A" w:rsidRDefault="003F581A" w:rsidP="00831CB6">
            <w:pPr>
              <w:widowControl w:val="0"/>
              <w:spacing w:after="0" w:line="240" w:lineRule="auto"/>
              <w:rPr>
                <w:rFonts w:ascii="Arial" w:hAnsi="Arial" w:cs="Arial"/>
                <w:sz w:val="24"/>
                <w:szCs w:val="24"/>
              </w:rPr>
            </w:pPr>
          </w:p>
          <w:p w14:paraId="0274381A" w14:textId="77777777" w:rsidR="003F581A" w:rsidRPr="009D71F6" w:rsidRDefault="003F581A" w:rsidP="00831CB6">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A" w14:textId="07644C13" w:rsidR="00545F29" w:rsidRPr="009D71F6" w:rsidRDefault="005F0155">
      <w:pPr>
        <w:widowControl w:val="0"/>
        <w:spacing w:after="0" w:line="240" w:lineRule="auto"/>
        <w:jc w:val="center"/>
        <w:rPr>
          <w:rFonts w:ascii="Arial" w:hAnsi="Arial" w:cs="Arial"/>
          <w:b/>
          <w:bCs/>
          <w:sz w:val="24"/>
          <w:szCs w:val="24"/>
        </w:rPr>
      </w:pPr>
      <w:r>
        <w:rPr>
          <w:rFonts w:ascii="Arial" w:hAnsi="Arial" w:cs="Arial"/>
          <w:b/>
          <w:bCs/>
          <w:sz w:val="24"/>
          <w:szCs w:val="24"/>
        </w:rPr>
        <w:t>COMMENTS OF</w:t>
      </w:r>
      <w:r w:rsidR="00AA75B4">
        <w:rPr>
          <w:rFonts w:ascii="Arial" w:hAnsi="Arial" w:cs="Arial"/>
          <w:b/>
          <w:bCs/>
          <w:sz w:val="24"/>
          <w:szCs w:val="24"/>
        </w:rPr>
        <w:t xml:space="preserve"> IGS ENERGY</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52435621" w14:textId="05D96CA1"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bookmarkEnd w:id="0"/>
    <w:p w14:paraId="01292326" w14:textId="2236274C"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128E54D2" w14:textId="7958C2D5"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bookmarkStart w:id="1" w:name="_GoBack"/>
      <w:bookmarkEnd w:id="1"/>
    </w:p>
    <w:p w14:paraId="5D3752F6" w14:textId="2E76870D"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1427D5D7" w14:textId="574363F5"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4F5E9973" w14:textId="7B31BCBF"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69B230A2" w14:textId="4BA737BC" w:rsidR="00E66CC2" w:rsidRPr="00D156B6" w:rsidRDefault="00E66CC2" w:rsidP="00D156B6">
      <w:pPr>
        <w:autoSpaceDE w:val="0"/>
        <w:autoSpaceDN w:val="0"/>
        <w:adjustRightInd w:val="0"/>
        <w:spacing w:after="120" w:line="480" w:lineRule="auto"/>
        <w:jc w:val="both"/>
        <w:rPr>
          <w:rFonts w:ascii="Arial" w:hAnsi="Arial" w:cs="Arial"/>
          <w:b/>
          <w:sz w:val="24"/>
          <w:szCs w:val="24"/>
        </w:rPr>
      </w:pPr>
    </w:p>
    <w:p w14:paraId="549B5C1D"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Joseph Oliker (0086088)</w:t>
      </w:r>
    </w:p>
    <w:p w14:paraId="67299CCC"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 xml:space="preserve">Email: </w:t>
      </w:r>
      <w:hyperlink r:id="rId11" w:history="1">
        <w:r w:rsidRPr="00E66CC2">
          <w:rPr>
            <w:rFonts w:ascii="Arial" w:eastAsiaTheme="minorHAnsi" w:hAnsi="Arial" w:cs="Arial"/>
            <w:sz w:val="24"/>
            <w:szCs w:val="24"/>
          </w:rPr>
          <w:t>joliker@igsenergy.com</w:t>
        </w:r>
      </w:hyperlink>
    </w:p>
    <w:p w14:paraId="42713D43" w14:textId="77777777" w:rsidR="00D156B6" w:rsidRDefault="00D156B6" w:rsidP="00D156B6">
      <w:pPr>
        <w:spacing w:after="0" w:line="240" w:lineRule="auto"/>
        <w:ind w:left="5040"/>
        <w:jc w:val="both"/>
        <w:rPr>
          <w:rFonts w:ascii="Arial" w:eastAsiaTheme="minorHAnsi" w:hAnsi="Arial" w:cs="Arial"/>
          <w:sz w:val="24"/>
          <w:szCs w:val="24"/>
        </w:rPr>
      </w:pPr>
      <w:r>
        <w:rPr>
          <w:rFonts w:ascii="Arial" w:eastAsiaTheme="minorHAnsi" w:hAnsi="Arial" w:cs="Arial"/>
          <w:sz w:val="24"/>
          <w:szCs w:val="24"/>
        </w:rPr>
        <w:t>Michael Nugent (0090408)</w:t>
      </w:r>
    </w:p>
    <w:p w14:paraId="0D48168C"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 xml:space="preserve">Email: </w:t>
      </w:r>
      <w:r>
        <w:rPr>
          <w:rFonts w:ascii="Arial" w:eastAsiaTheme="minorHAnsi" w:hAnsi="Arial" w:cs="Arial"/>
          <w:sz w:val="24"/>
          <w:szCs w:val="24"/>
        </w:rPr>
        <w:t>mnugent</w:t>
      </w:r>
      <w:r w:rsidRPr="00E66CC2">
        <w:rPr>
          <w:rFonts w:ascii="Arial" w:eastAsiaTheme="minorHAnsi" w:hAnsi="Arial" w:cs="Arial"/>
          <w:sz w:val="24"/>
          <w:szCs w:val="24"/>
        </w:rPr>
        <w:t>@igsenergy.com</w:t>
      </w:r>
    </w:p>
    <w:p w14:paraId="2195BF38"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IGS Energy</w:t>
      </w:r>
    </w:p>
    <w:p w14:paraId="08D59054"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6100 Emerald Parkway</w:t>
      </w:r>
    </w:p>
    <w:p w14:paraId="040E96D9"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Dublin, Ohio 43016</w:t>
      </w:r>
    </w:p>
    <w:p w14:paraId="3EBDBC61"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Telephone:</w:t>
      </w:r>
      <w:r w:rsidRPr="00E66CC2">
        <w:rPr>
          <w:rFonts w:ascii="Arial" w:eastAsiaTheme="minorHAnsi" w:hAnsi="Arial" w:cs="Arial"/>
          <w:sz w:val="24"/>
          <w:szCs w:val="24"/>
        </w:rPr>
        <w:tab/>
        <w:t>(614) 659-5000</w:t>
      </w:r>
    </w:p>
    <w:p w14:paraId="0FF09BE6" w14:textId="77777777" w:rsidR="00D156B6" w:rsidRPr="00E66CC2" w:rsidRDefault="00D156B6" w:rsidP="00D156B6">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Facsimile:</w:t>
      </w:r>
      <w:r w:rsidRPr="00E66CC2">
        <w:rPr>
          <w:rFonts w:ascii="Arial" w:eastAsiaTheme="minorHAnsi" w:hAnsi="Arial" w:cs="Arial"/>
          <w:sz w:val="24"/>
          <w:szCs w:val="24"/>
        </w:rPr>
        <w:tab/>
        <w:t>(614) 659-5073</w:t>
      </w:r>
    </w:p>
    <w:p w14:paraId="5A7B65C2" w14:textId="4AFB9D04"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31C37E9E" w14:textId="33DD36E9"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4890555F" w14:textId="6427F759"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2BF4CA03" w14:textId="77777777" w:rsidR="00D156B6" w:rsidRDefault="00D156B6" w:rsidP="00D156B6">
      <w:pPr>
        <w:autoSpaceDE w:val="0"/>
        <w:autoSpaceDN w:val="0"/>
        <w:adjustRightInd w:val="0"/>
        <w:spacing w:after="120" w:line="480" w:lineRule="auto"/>
        <w:jc w:val="center"/>
        <w:rPr>
          <w:rFonts w:ascii="Arial" w:hAnsi="Arial" w:cs="Arial"/>
          <w:b/>
          <w:sz w:val="24"/>
          <w:szCs w:val="24"/>
        </w:rPr>
      </w:pPr>
    </w:p>
    <w:p w14:paraId="74A16537" w14:textId="71A04144" w:rsidR="00D156B6" w:rsidRPr="00D161CB" w:rsidRDefault="00D156B6" w:rsidP="00D156B6">
      <w:pPr>
        <w:autoSpaceDE w:val="0"/>
        <w:autoSpaceDN w:val="0"/>
        <w:adjustRightInd w:val="0"/>
        <w:spacing w:after="120" w:line="480" w:lineRule="auto"/>
        <w:jc w:val="center"/>
        <w:rPr>
          <w:rFonts w:ascii="Arial" w:hAnsi="Arial" w:cs="Arial"/>
          <w:b/>
          <w:sz w:val="24"/>
          <w:szCs w:val="24"/>
          <w:u w:val="single"/>
        </w:rPr>
      </w:pPr>
      <w:r w:rsidRPr="00D161CB">
        <w:rPr>
          <w:rFonts w:ascii="Arial" w:hAnsi="Arial" w:cs="Arial"/>
          <w:b/>
          <w:sz w:val="24"/>
          <w:szCs w:val="24"/>
          <w:u w:val="single"/>
        </w:rPr>
        <w:lastRenderedPageBreak/>
        <w:t>Table of Contents</w:t>
      </w:r>
    </w:p>
    <w:p w14:paraId="48E21E12" w14:textId="312D26B0" w:rsidR="00D156B6" w:rsidRPr="00D161CB" w:rsidRDefault="00D156B6" w:rsidP="00D156B6">
      <w:pPr>
        <w:pStyle w:val="TOCHeading"/>
        <w:numPr>
          <w:ilvl w:val="0"/>
          <w:numId w:val="28"/>
        </w:numPr>
        <w:rPr>
          <w:rFonts w:ascii="Arial" w:hAnsi="Arial" w:cs="Arial"/>
          <w:color w:val="auto"/>
          <w:sz w:val="24"/>
          <w:szCs w:val="24"/>
        </w:rPr>
      </w:pPr>
      <w:r w:rsidRPr="00D161CB">
        <w:rPr>
          <w:rFonts w:ascii="Arial" w:hAnsi="Arial" w:cs="Arial"/>
          <w:color w:val="auto"/>
          <w:sz w:val="24"/>
          <w:szCs w:val="24"/>
        </w:rPr>
        <w:t>INTRODUCTION</w:t>
      </w:r>
      <w:r w:rsidR="00D161CB">
        <w:rPr>
          <w:rFonts w:ascii="Arial" w:hAnsi="Arial" w:cs="Arial"/>
          <w:color w:val="auto"/>
          <w:sz w:val="24"/>
          <w:szCs w:val="24"/>
        </w:rPr>
        <w:t xml:space="preserve"> ………………………………………………………………3</w:t>
      </w:r>
    </w:p>
    <w:p w14:paraId="418B748D" w14:textId="1E032954" w:rsidR="00D156B6" w:rsidRPr="00D161CB" w:rsidRDefault="00D156B6" w:rsidP="00D156B6">
      <w:pPr>
        <w:rPr>
          <w:rFonts w:ascii="Arial" w:hAnsi="Arial" w:cs="Arial"/>
          <w:sz w:val="24"/>
          <w:szCs w:val="24"/>
        </w:rPr>
      </w:pPr>
    </w:p>
    <w:p w14:paraId="1F97839A" w14:textId="25F87B6B" w:rsidR="00D156B6" w:rsidRPr="00D161CB" w:rsidRDefault="00D156B6" w:rsidP="00D156B6">
      <w:pPr>
        <w:pStyle w:val="ListParagraph"/>
        <w:numPr>
          <w:ilvl w:val="0"/>
          <w:numId w:val="28"/>
        </w:numPr>
        <w:rPr>
          <w:rFonts w:ascii="Arial" w:hAnsi="Arial" w:cs="Arial"/>
          <w:sz w:val="24"/>
          <w:szCs w:val="24"/>
        </w:rPr>
      </w:pPr>
      <w:r w:rsidRPr="00D161CB">
        <w:rPr>
          <w:rFonts w:ascii="Arial" w:hAnsi="Arial" w:cs="Arial"/>
          <w:sz w:val="24"/>
          <w:szCs w:val="24"/>
        </w:rPr>
        <w:t>BACKGROUND</w:t>
      </w:r>
      <w:r w:rsidR="00D161CB">
        <w:rPr>
          <w:rFonts w:ascii="Arial" w:hAnsi="Arial" w:cs="Arial"/>
          <w:sz w:val="24"/>
          <w:szCs w:val="24"/>
        </w:rPr>
        <w:t>…………………………………………………………………5</w:t>
      </w:r>
    </w:p>
    <w:p w14:paraId="44E03EC9" w14:textId="77777777" w:rsidR="00D156B6" w:rsidRPr="00D161CB" w:rsidRDefault="00D156B6" w:rsidP="00D156B6">
      <w:pPr>
        <w:pStyle w:val="ListParagraph"/>
        <w:rPr>
          <w:rFonts w:ascii="Arial" w:hAnsi="Arial" w:cs="Arial"/>
          <w:sz w:val="24"/>
          <w:szCs w:val="24"/>
        </w:rPr>
      </w:pPr>
    </w:p>
    <w:p w14:paraId="5425B010" w14:textId="5FEC8561" w:rsidR="00D156B6" w:rsidRDefault="00D156B6" w:rsidP="00D156B6">
      <w:pPr>
        <w:pStyle w:val="ListParagraph"/>
        <w:numPr>
          <w:ilvl w:val="0"/>
          <w:numId w:val="29"/>
        </w:numPr>
        <w:rPr>
          <w:rFonts w:ascii="Arial" w:hAnsi="Arial" w:cs="Arial"/>
          <w:sz w:val="24"/>
          <w:szCs w:val="24"/>
        </w:rPr>
      </w:pPr>
      <w:r w:rsidRPr="00D161CB">
        <w:rPr>
          <w:rFonts w:ascii="Arial" w:hAnsi="Arial" w:cs="Arial"/>
          <w:sz w:val="24"/>
          <w:szCs w:val="24"/>
        </w:rPr>
        <w:t>Procedural and Factual Background</w:t>
      </w:r>
      <w:r w:rsidR="00D161CB">
        <w:rPr>
          <w:rFonts w:ascii="Arial" w:hAnsi="Arial" w:cs="Arial"/>
          <w:sz w:val="24"/>
          <w:szCs w:val="24"/>
        </w:rPr>
        <w:t>………………………………………….5</w:t>
      </w:r>
    </w:p>
    <w:p w14:paraId="0FC5B355" w14:textId="77777777" w:rsidR="00D161CB" w:rsidRPr="00D161CB" w:rsidRDefault="00D161CB" w:rsidP="00D161CB">
      <w:pPr>
        <w:pStyle w:val="ListParagraph"/>
        <w:ind w:left="1080"/>
        <w:rPr>
          <w:rFonts w:ascii="Arial" w:hAnsi="Arial" w:cs="Arial"/>
          <w:sz w:val="24"/>
          <w:szCs w:val="24"/>
        </w:rPr>
      </w:pPr>
    </w:p>
    <w:p w14:paraId="6FCB9EDA" w14:textId="0867E620" w:rsidR="00D161CB" w:rsidRPr="00D161CB" w:rsidRDefault="00D161CB" w:rsidP="00D161CB">
      <w:pPr>
        <w:pStyle w:val="ListParagraph"/>
        <w:numPr>
          <w:ilvl w:val="0"/>
          <w:numId w:val="29"/>
        </w:numPr>
        <w:rPr>
          <w:rFonts w:ascii="Arial" w:hAnsi="Arial" w:cs="Arial"/>
          <w:sz w:val="24"/>
          <w:szCs w:val="24"/>
        </w:rPr>
      </w:pPr>
      <w:r w:rsidRPr="00D161CB">
        <w:rPr>
          <w:rFonts w:ascii="Arial" w:hAnsi="Arial" w:cs="Arial"/>
          <w:sz w:val="24"/>
          <w:szCs w:val="24"/>
        </w:rPr>
        <w:t>Corporate Separation Requirements and the Audit Report’s Recommendations</w:t>
      </w:r>
      <w:r>
        <w:rPr>
          <w:rFonts w:ascii="Arial" w:hAnsi="Arial" w:cs="Arial"/>
          <w:sz w:val="24"/>
          <w:szCs w:val="24"/>
        </w:rPr>
        <w:t>………………………………………………………………9</w:t>
      </w:r>
    </w:p>
    <w:p w14:paraId="4380448C" w14:textId="77777777" w:rsidR="00D156B6" w:rsidRPr="00D161CB" w:rsidRDefault="00D156B6" w:rsidP="00D156B6">
      <w:pPr>
        <w:pStyle w:val="ListParagraph"/>
        <w:rPr>
          <w:rFonts w:ascii="Arial" w:hAnsi="Arial" w:cs="Arial"/>
          <w:sz w:val="24"/>
          <w:szCs w:val="24"/>
        </w:rPr>
      </w:pPr>
    </w:p>
    <w:p w14:paraId="7A8460BE" w14:textId="412F624A" w:rsidR="00D156B6" w:rsidRDefault="00D156B6" w:rsidP="00D156B6">
      <w:pPr>
        <w:pStyle w:val="ListParagraph"/>
        <w:numPr>
          <w:ilvl w:val="0"/>
          <w:numId w:val="28"/>
        </w:numPr>
        <w:rPr>
          <w:rFonts w:ascii="Arial" w:hAnsi="Arial" w:cs="Arial"/>
          <w:sz w:val="24"/>
          <w:szCs w:val="24"/>
        </w:rPr>
      </w:pPr>
      <w:r w:rsidRPr="00D161CB">
        <w:rPr>
          <w:rFonts w:ascii="Arial" w:hAnsi="Arial" w:cs="Arial"/>
          <w:sz w:val="24"/>
          <w:szCs w:val="24"/>
        </w:rPr>
        <w:t>COMMENTS</w:t>
      </w:r>
      <w:r w:rsidR="00D161CB">
        <w:rPr>
          <w:rFonts w:ascii="Arial" w:hAnsi="Arial" w:cs="Arial"/>
          <w:sz w:val="24"/>
          <w:szCs w:val="24"/>
        </w:rPr>
        <w:t>……………………………………………………………………..14</w:t>
      </w:r>
    </w:p>
    <w:p w14:paraId="03A70600" w14:textId="77777777" w:rsidR="00D161CB" w:rsidRPr="00D161CB" w:rsidRDefault="00D161CB" w:rsidP="00D161CB">
      <w:pPr>
        <w:pStyle w:val="ListParagraph"/>
        <w:ind w:left="1080"/>
        <w:rPr>
          <w:rFonts w:ascii="Arial" w:hAnsi="Arial" w:cs="Arial"/>
          <w:sz w:val="24"/>
          <w:szCs w:val="24"/>
        </w:rPr>
      </w:pPr>
    </w:p>
    <w:p w14:paraId="1CE29958" w14:textId="77777777" w:rsidR="00D161CB" w:rsidRDefault="00D161CB" w:rsidP="00D161CB">
      <w:pPr>
        <w:pStyle w:val="ListParagraph"/>
        <w:numPr>
          <w:ilvl w:val="0"/>
          <w:numId w:val="31"/>
        </w:numPr>
        <w:rPr>
          <w:rFonts w:ascii="Arial" w:hAnsi="Arial" w:cs="Arial"/>
          <w:sz w:val="24"/>
          <w:szCs w:val="24"/>
        </w:rPr>
      </w:pPr>
      <w:r w:rsidRPr="00D161CB">
        <w:rPr>
          <w:rFonts w:ascii="Arial" w:hAnsi="Arial" w:cs="Arial"/>
          <w:sz w:val="24"/>
          <w:szCs w:val="24"/>
        </w:rPr>
        <w:t xml:space="preserve">The Audit Report’s Failure to Evaluate FirstEnergy’s provision of </w:t>
      </w:r>
    </w:p>
    <w:p w14:paraId="70788480" w14:textId="4F08B834" w:rsidR="00D161CB" w:rsidRDefault="00D161CB" w:rsidP="00D161CB">
      <w:pPr>
        <w:pStyle w:val="ListParagraph"/>
        <w:ind w:left="1080"/>
        <w:rPr>
          <w:rFonts w:ascii="Arial" w:hAnsi="Arial" w:cs="Arial"/>
          <w:sz w:val="24"/>
          <w:szCs w:val="24"/>
        </w:rPr>
      </w:pPr>
      <w:r w:rsidRPr="00D161CB">
        <w:rPr>
          <w:rFonts w:ascii="Arial" w:hAnsi="Arial" w:cs="Arial"/>
          <w:sz w:val="24"/>
          <w:szCs w:val="24"/>
        </w:rPr>
        <w:t>Non-Electric Services</w:t>
      </w:r>
      <w:r>
        <w:rPr>
          <w:rFonts w:ascii="Arial" w:hAnsi="Arial" w:cs="Arial"/>
          <w:sz w:val="24"/>
          <w:szCs w:val="24"/>
        </w:rPr>
        <w:t>……………………………………………………………14</w:t>
      </w:r>
    </w:p>
    <w:p w14:paraId="422BAD25" w14:textId="77777777" w:rsidR="00D161CB" w:rsidRPr="00D161CB" w:rsidRDefault="00D161CB" w:rsidP="00D161CB">
      <w:pPr>
        <w:pStyle w:val="ListParagraph"/>
        <w:ind w:left="1080"/>
        <w:rPr>
          <w:rFonts w:ascii="Arial" w:hAnsi="Arial" w:cs="Arial"/>
          <w:sz w:val="24"/>
          <w:szCs w:val="24"/>
        </w:rPr>
      </w:pPr>
    </w:p>
    <w:p w14:paraId="6C611036" w14:textId="77777777" w:rsidR="00D161CB" w:rsidRDefault="00D161CB" w:rsidP="00D161CB">
      <w:pPr>
        <w:pStyle w:val="ListParagraph"/>
        <w:numPr>
          <w:ilvl w:val="0"/>
          <w:numId w:val="31"/>
        </w:numPr>
        <w:rPr>
          <w:rFonts w:ascii="Arial" w:hAnsi="Arial" w:cs="Arial"/>
          <w:sz w:val="24"/>
          <w:szCs w:val="24"/>
        </w:rPr>
      </w:pPr>
      <w:r w:rsidRPr="00D161CB">
        <w:rPr>
          <w:rFonts w:ascii="Arial" w:hAnsi="Arial" w:cs="Arial"/>
          <w:sz w:val="24"/>
          <w:szCs w:val="24"/>
        </w:rPr>
        <w:t xml:space="preserve">The Audit Report’s Recommendation to separate FES from the FEP </w:t>
      </w:r>
    </w:p>
    <w:p w14:paraId="49A01C59" w14:textId="4F73A10D" w:rsidR="00D161CB" w:rsidRDefault="00D161CB" w:rsidP="00D161CB">
      <w:pPr>
        <w:pStyle w:val="ListParagraph"/>
        <w:ind w:left="1080"/>
        <w:rPr>
          <w:rFonts w:ascii="Arial" w:hAnsi="Arial" w:cs="Arial"/>
          <w:sz w:val="24"/>
          <w:szCs w:val="24"/>
        </w:rPr>
      </w:pPr>
      <w:r w:rsidRPr="00D161CB">
        <w:rPr>
          <w:rFonts w:ascii="Arial" w:hAnsi="Arial" w:cs="Arial"/>
          <w:sz w:val="24"/>
          <w:szCs w:val="24"/>
        </w:rPr>
        <w:t>Group is Insufficient to Comply with the Law</w:t>
      </w:r>
      <w:r>
        <w:rPr>
          <w:rFonts w:ascii="Arial" w:hAnsi="Arial" w:cs="Arial"/>
          <w:sz w:val="24"/>
          <w:szCs w:val="24"/>
        </w:rPr>
        <w:t>…………………………………15</w:t>
      </w:r>
    </w:p>
    <w:p w14:paraId="72383CC8" w14:textId="77777777" w:rsidR="00D161CB" w:rsidRPr="00D161CB" w:rsidRDefault="00D161CB" w:rsidP="00D161CB">
      <w:pPr>
        <w:pStyle w:val="ListParagraph"/>
        <w:ind w:left="1080"/>
        <w:rPr>
          <w:rFonts w:ascii="Arial" w:hAnsi="Arial" w:cs="Arial"/>
          <w:sz w:val="24"/>
          <w:szCs w:val="24"/>
        </w:rPr>
      </w:pPr>
    </w:p>
    <w:p w14:paraId="4FE4EAEA" w14:textId="77777777" w:rsidR="00D161CB" w:rsidRDefault="00D161CB" w:rsidP="00D161CB">
      <w:pPr>
        <w:pStyle w:val="ListParagraph"/>
        <w:numPr>
          <w:ilvl w:val="0"/>
          <w:numId w:val="31"/>
        </w:numPr>
        <w:rPr>
          <w:rFonts w:ascii="Arial" w:hAnsi="Arial" w:cs="Arial"/>
          <w:sz w:val="24"/>
          <w:szCs w:val="24"/>
        </w:rPr>
      </w:pPr>
      <w:r w:rsidRPr="00D161CB">
        <w:rPr>
          <w:rFonts w:ascii="Arial" w:hAnsi="Arial" w:cs="Arial"/>
          <w:sz w:val="24"/>
          <w:szCs w:val="24"/>
        </w:rPr>
        <w:t xml:space="preserve">IGS Supports the Audit Report’s Recommendation to Remove a Link </w:t>
      </w:r>
    </w:p>
    <w:p w14:paraId="6A1F8EE1" w14:textId="6EC3155B" w:rsidR="00D161CB" w:rsidRDefault="00D161CB" w:rsidP="00D161CB">
      <w:pPr>
        <w:pStyle w:val="ListParagraph"/>
        <w:ind w:left="1080"/>
        <w:rPr>
          <w:rFonts w:ascii="Arial" w:hAnsi="Arial" w:cs="Arial"/>
          <w:sz w:val="24"/>
          <w:szCs w:val="24"/>
        </w:rPr>
      </w:pPr>
      <w:r w:rsidRPr="00D161CB">
        <w:rPr>
          <w:rFonts w:ascii="Arial" w:hAnsi="Arial" w:cs="Arial"/>
          <w:sz w:val="24"/>
          <w:szCs w:val="24"/>
        </w:rPr>
        <w:t>to FES</w:t>
      </w:r>
      <w:r w:rsidR="009C1A2E">
        <w:rPr>
          <w:rFonts w:ascii="Arial" w:hAnsi="Arial" w:cs="Arial"/>
          <w:sz w:val="24"/>
          <w:szCs w:val="24"/>
        </w:rPr>
        <w:t xml:space="preserve"> from the FirstEnergy Website, B</w:t>
      </w:r>
      <w:r w:rsidRPr="00D161CB">
        <w:rPr>
          <w:rFonts w:ascii="Arial" w:hAnsi="Arial" w:cs="Arial"/>
          <w:sz w:val="24"/>
          <w:szCs w:val="24"/>
        </w:rPr>
        <w:t xml:space="preserve">ut this Recommendation Should </w:t>
      </w:r>
    </w:p>
    <w:p w14:paraId="60EE4ACA" w14:textId="1551D56B" w:rsidR="00D161CB" w:rsidRDefault="00D161CB" w:rsidP="00D161CB">
      <w:pPr>
        <w:pStyle w:val="ListParagraph"/>
        <w:ind w:left="1080"/>
        <w:rPr>
          <w:rFonts w:ascii="Arial" w:hAnsi="Arial" w:cs="Arial"/>
          <w:sz w:val="24"/>
          <w:szCs w:val="24"/>
        </w:rPr>
      </w:pPr>
      <w:r w:rsidRPr="00D161CB">
        <w:rPr>
          <w:rFonts w:ascii="Arial" w:hAnsi="Arial" w:cs="Arial"/>
          <w:sz w:val="24"/>
          <w:szCs w:val="24"/>
        </w:rPr>
        <w:t>be Equally Applicable to Smart Mart</w:t>
      </w:r>
      <w:r>
        <w:rPr>
          <w:rFonts w:ascii="Arial" w:hAnsi="Arial" w:cs="Arial"/>
          <w:sz w:val="24"/>
          <w:szCs w:val="24"/>
        </w:rPr>
        <w:t>…………………………………………</w:t>
      </w:r>
      <w:r w:rsidR="00A114E4">
        <w:rPr>
          <w:rFonts w:ascii="Arial" w:hAnsi="Arial" w:cs="Arial"/>
          <w:sz w:val="24"/>
          <w:szCs w:val="24"/>
        </w:rPr>
        <w:t>...</w:t>
      </w:r>
      <w:r>
        <w:rPr>
          <w:rFonts w:ascii="Arial" w:hAnsi="Arial" w:cs="Arial"/>
          <w:sz w:val="24"/>
          <w:szCs w:val="24"/>
        </w:rPr>
        <w:t>16</w:t>
      </w:r>
    </w:p>
    <w:p w14:paraId="7AD32983" w14:textId="77777777" w:rsidR="00D161CB" w:rsidRPr="00D161CB" w:rsidRDefault="00D161CB" w:rsidP="00D161CB">
      <w:pPr>
        <w:pStyle w:val="ListParagraph"/>
        <w:ind w:left="1080"/>
        <w:rPr>
          <w:rFonts w:ascii="Arial" w:hAnsi="Arial" w:cs="Arial"/>
          <w:sz w:val="24"/>
          <w:szCs w:val="24"/>
        </w:rPr>
      </w:pPr>
    </w:p>
    <w:p w14:paraId="6331F0AA" w14:textId="77777777" w:rsidR="009C1A2E" w:rsidRDefault="00D161CB" w:rsidP="009C1A2E">
      <w:pPr>
        <w:pStyle w:val="ListParagraph"/>
        <w:numPr>
          <w:ilvl w:val="0"/>
          <w:numId w:val="31"/>
        </w:numPr>
        <w:rPr>
          <w:rFonts w:ascii="Arial" w:hAnsi="Arial" w:cs="Arial"/>
          <w:sz w:val="24"/>
          <w:szCs w:val="24"/>
        </w:rPr>
      </w:pPr>
      <w:r w:rsidRPr="00D161CB">
        <w:rPr>
          <w:rFonts w:ascii="Arial" w:hAnsi="Arial" w:cs="Arial"/>
          <w:sz w:val="24"/>
          <w:szCs w:val="24"/>
        </w:rPr>
        <w:t>IGS Supports the Audit Report’s Recommendation to Eliminate the FirstEnergy name from FES, But this Recommendation Should</w:t>
      </w:r>
      <w:r w:rsidR="009C1A2E">
        <w:rPr>
          <w:rFonts w:ascii="Arial" w:hAnsi="Arial" w:cs="Arial"/>
          <w:sz w:val="24"/>
          <w:szCs w:val="24"/>
        </w:rPr>
        <w:t xml:space="preserve"> Equally</w:t>
      </w:r>
    </w:p>
    <w:p w14:paraId="223D4A5C" w14:textId="626C6EC4" w:rsidR="00D161CB" w:rsidRPr="009C1A2E" w:rsidRDefault="00D161CB" w:rsidP="009C1A2E">
      <w:pPr>
        <w:pStyle w:val="ListParagraph"/>
        <w:ind w:left="1080"/>
        <w:rPr>
          <w:rFonts w:ascii="Arial" w:hAnsi="Arial" w:cs="Arial"/>
          <w:sz w:val="24"/>
          <w:szCs w:val="24"/>
        </w:rPr>
      </w:pPr>
      <w:r w:rsidRPr="009C1A2E">
        <w:rPr>
          <w:rFonts w:ascii="Arial" w:hAnsi="Arial" w:cs="Arial"/>
          <w:sz w:val="24"/>
          <w:szCs w:val="24"/>
        </w:rPr>
        <w:t>Apply to All Unregulated</w:t>
      </w:r>
      <w:r w:rsidR="009C1A2E">
        <w:rPr>
          <w:rFonts w:ascii="Arial" w:hAnsi="Arial" w:cs="Arial"/>
          <w:sz w:val="24"/>
          <w:szCs w:val="24"/>
        </w:rPr>
        <w:t xml:space="preserve"> </w:t>
      </w:r>
      <w:r w:rsidRPr="009C1A2E">
        <w:rPr>
          <w:rFonts w:ascii="Arial" w:hAnsi="Arial" w:cs="Arial"/>
          <w:sz w:val="24"/>
          <w:szCs w:val="24"/>
        </w:rPr>
        <w:t>Businesses………………</w:t>
      </w:r>
      <w:r w:rsidR="009C1A2E">
        <w:rPr>
          <w:rFonts w:ascii="Arial" w:hAnsi="Arial" w:cs="Arial"/>
          <w:sz w:val="24"/>
          <w:szCs w:val="24"/>
        </w:rPr>
        <w:t>…………</w:t>
      </w:r>
      <w:r w:rsidRPr="009C1A2E">
        <w:rPr>
          <w:rFonts w:ascii="Arial" w:hAnsi="Arial" w:cs="Arial"/>
          <w:sz w:val="24"/>
          <w:szCs w:val="24"/>
        </w:rPr>
        <w:t>………………..17</w:t>
      </w:r>
    </w:p>
    <w:p w14:paraId="1D265A99" w14:textId="77777777" w:rsidR="00D156B6" w:rsidRPr="00D161CB" w:rsidRDefault="00D156B6" w:rsidP="00D156B6">
      <w:pPr>
        <w:pStyle w:val="ListParagraph"/>
        <w:rPr>
          <w:rFonts w:ascii="Arial" w:hAnsi="Arial" w:cs="Arial"/>
          <w:sz w:val="24"/>
          <w:szCs w:val="24"/>
        </w:rPr>
      </w:pPr>
    </w:p>
    <w:p w14:paraId="34A0F010" w14:textId="1457DB4E" w:rsidR="00D156B6" w:rsidRPr="00D161CB" w:rsidRDefault="00D156B6" w:rsidP="00D156B6">
      <w:pPr>
        <w:pStyle w:val="ListParagraph"/>
        <w:numPr>
          <w:ilvl w:val="0"/>
          <w:numId w:val="28"/>
        </w:numPr>
        <w:rPr>
          <w:rFonts w:ascii="Arial" w:hAnsi="Arial" w:cs="Arial"/>
          <w:sz w:val="24"/>
          <w:szCs w:val="24"/>
        </w:rPr>
      </w:pPr>
      <w:r w:rsidRPr="00D161CB">
        <w:rPr>
          <w:rFonts w:ascii="Arial" w:hAnsi="Arial" w:cs="Arial"/>
          <w:sz w:val="24"/>
          <w:szCs w:val="24"/>
        </w:rPr>
        <w:t>CONCLUSION</w:t>
      </w:r>
      <w:r w:rsidR="00D161CB">
        <w:rPr>
          <w:rFonts w:ascii="Arial" w:hAnsi="Arial" w:cs="Arial"/>
          <w:sz w:val="24"/>
          <w:szCs w:val="24"/>
        </w:rPr>
        <w:t>…………………………………………………………………….17</w:t>
      </w:r>
    </w:p>
    <w:p w14:paraId="3D8CA015" w14:textId="56E62C81" w:rsidR="00D156B6" w:rsidRDefault="00D156B6" w:rsidP="00D156B6"/>
    <w:p w14:paraId="574639C3" w14:textId="772E52DE" w:rsidR="00D156B6" w:rsidRPr="00D156B6" w:rsidRDefault="00D156B6" w:rsidP="00D156B6">
      <w:pPr>
        <w:ind w:left="360"/>
      </w:pPr>
    </w:p>
    <w:p w14:paraId="57747537" w14:textId="29C1A03E"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042D2C2A" w14:textId="5403FF3A" w:rsidR="00E66CC2" w:rsidRDefault="00E66CC2" w:rsidP="00E66CC2">
      <w:pPr>
        <w:pStyle w:val="ListParagraph"/>
        <w:autoSpaceDE w:val="0"/>
        <w:autoSpaceDN w:val="0"/>
        <w:adjustRightInd w:val="0"/>
        <w:spacing w:after="120" w:line="480" w:lineRule="auto"/>
        <w:ind w:left="1080"/>
        <w:jc w:val="both"/>
        <w:rPr>
          <w:rFonts w:ascii="Arial" w:hAnsi="Arial" w:cs="Arial"/>
          <w:b/>
          <w:sz w:val="24"/>
          <w:szCs w:val="24"/>
        </w:rPr>
      </w:pPr>
    </w:p>
    <w:p w14:paraId="4E03146D" w14:textId="40B850C9" w:rsidR="00D156B6" w:rsidRDefault="00D156B6" w:rsidP="00D161CB">
      <w:pPr>
        <w:autoSpaceDE w:val="0"/>
        <w:autoSpaceDN w:val="0"/>
        <w:adjustRightInd w:val="0"/>
        <w:spacing w:after="120" w:line="480" w:lineRule="auto"/>
        <w:jc w:val="both"/>
        <w:rPr>
          <w:rFonts w:ascii="Arial" w:hAnsi="Arial" w:cs="Arial"/>
          <w:b/>
          <w:sz w:val="24"/>
          <w:szCs w:val="24"/>
        </w:rPr>
      </w:pPr>
    </w:p>
    <w:p w14:paraId="79FFFD64" w14:textId="77777777" w:rsidR="00D161CB" w:rsidRPr="00D161CB" w:rsidRDefault="00D161CB" w:rsidP="00D161CB">
      <w:pPr>
        <w:autoSpaceDE w:val="0"/>
        <w:autoSpaceDN w:val="0"/>
        <w:adjustRightInd w:val="0"/>
        <w:spacing w:after="120" w:line="480" w:lineRule="auto"/>
        <w:jc w:val="both"/>
        <w:rPr>
          <w:rFonts w:ascii="Arial" w:hAnsi="Arial" w:cs="Arial"/>
          <w:b/>
          <w:sz w:val="24"/>
          <w:szCs w:val="24"/>
        </w:rPr>
      </w:pPr>
    </w:p>
    <w:p w14:paraId="6989369E" w14:textId="77777777" w:rsidR="00D161CB" w:rsidRPr="009D71F6" w:rsidRDefault="00D161CB" w:rsidP="00D161CB">
      <w:pPr>
        <w:pStyle w:val="Title"/>
        <w:widowControl w:val="0"/>
        <w:rPr>
          <w:rFonts w:ascii="Arial" w:hAnsi="Arial" w:cs="Arial"/>
          <w:szCs w:val="24"/>
        </w:rPr>
      </w:pPr>
      <w:r w:rsidRPr="009D71F6">
        <w:rPr>
          <w:rFonts w:ascii="Arial" w:hAnsi="Arial" w:cs="Arial"/>
          <w:szCs w:val="24"/>
        </w:rPr>
        <w:lastRenderedPageBreak/>
        <w:t>BEFORE</w:t>
      </w:r>
    </w:p>
    <w:p w14:paraId="500134D2" w14:textId="77777777" w:rsidR="00D161CB" w:rsidRPr="009D71F6" w:rsidRDefault="00D161CB" w:rsidP="00D161CB">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D161CB" w:rsidRPr="009D71F6" w14:paraId="13007A6B" w14:textId="77777777" w:rsidTr="00C93826">
        <w:trPr>
          <w:trHeight w:val="873"/>
          <w:jc w:val="center"/>
        </w:trPr>
        <w:tc>
          <w:tcPr>
            <w:tcW w:w="4739" w:type="dxa"/>
          </w:tcPr>
          <w:p w14:paraId="59544BEE" w14:textId="77777777" w:rsidR="00D161CB" w:rsidRPr="009D71F6" w:rsidRDefault="00D161CB" w:rsidP="00C93826">
            <w:pPr>
              <w:autoSpaceDE w:val="0"/>
              <w:autoSpaceDN w:val="0"/>
              <w:adjustRightInd w:val="0"/>
              <w:spacing w:after="0" w:line="240" w:lineRule="auto"/>
              <w:jc w:val="both"/>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11F1DC08" w14:textId="77777777" w:rsidR="00D161CB" w:rsidRPr="009D71F6" w:rsidRDefault="00D161CB" w:rsidP="00C9382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692C7F9" w14:textId="77777777" w:rsidR="00D161CB" w:rsidRPr="009D71F6" w:rsidRDefault="00D161CB" w:rsidP="00C9382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480E3D40" w14:textId="77777777" w:rsidR="00D161CB" w:rsidRPr="009D71F6" w:rsidRDefault="00D161CB" w:rsidP="00C9382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5509704" w14:textId="77777777" w:rsidR="00D161CB" w:rsidRPr="009D71F6" w:rsidRDefault="00D161CB" w:rsidP="00C93826">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FBE5B54" w14:textId="77777777" w:rsidR="00D161CB" w:rsidRPr="009D71F6" w:rsidRDefault="00D161CB" w:rsidP="00C93826">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24C28E6B" w14:textId="77777777" w:rsidR="00D161CB" w:rsidRPr="009D71F6" w:rsidRDefault="00D161CB" w:rsidP="00C93826">
            <w:pPr>
              <w:widowControl w:val="0"/>
              <w:spacing w:after="0" w:line="240" w:lineRule="auto"/>
              <w:rPr>
                <w:rFonts w:ascii="Arial" w:hAnsi="Arial" w:cs="Arial"/>
                <w:sz w:val="24"/>
                <w:szCs w:val="24"/>
              </w:rPr>
            </w:pPr>
          </w:p>
          <w:p w14:paraId="56DE5DBC" w14:textId="77777777" w:rsidR="00D161CB" w:rsidRPr="009D71F6" w:rsidRDefault="00D161CB" w:rsidP="00C93826">
            <w:pPr>
              <w:widowControl w:val="0"/>
              <w:spacing w:after="0" w:line="240" w:lineRule="auto"/>
              <w:rPr>
                <w:rFonts w:ascii="Arial" w:hAnsi="Arial" w:cs="Arial"/>
                <w:sz w:val="24"/>
                <w:szCs w:val="24"/>
              </w:rPr>
            </w:pPr>
          </w:p>
          <w:p w14:paraId="2BBEDE59" w14:textId="77777777" w:rsidR="00D161CB" w:rsidRPr="009D71F6" w:rsidRDefault="00D161CB" w:rsidP="00C93826">
            <w:pPr>
              <w:widowControl w:val="0"/>
              <w:spacing w:after="0" w:line="240" w:lineRule="auto"/>
              <w:rPr>
                <w:rFonts w:ascii="Arial" w:hAnsi="Arial" w:cs="Arial"/>
                <w:sz w:val="24"/>
                <w:szCs w:val="24"/>
              </w:rPr>
            </w:pPr>
            <w:r>
              <w:rPr>
                <w:rFonts w:ascii="Arial" w:hAnsi="Arial" w:cs="Arial"/>
                <w:sz w:val="24"/>
                <w:szCs w:val="24"/>
              </w:rPr>
              <w:t>Case No. 17-0974-EL-UNC</w:t>
            </w:r>
          </w:p>
          <w:p w14:paraId="5464C922" w14:textId="77777777" w:rsidR="00D161CB" w:rsidRPr="009D71F6" w:rsidRDefault="00D161CB" w:rsidP="00C93826">
            <w:pPr>
              <w:widowControl w:val="0"/>
              <w:spacing w:after="0" w:line="240" w:lineRule="auto"/>
              <w:rPr>
                <w:rFonts w:ascii="Arial" w:hAnsi="Arial" w:cs="Arial"/>
                <w:sz w:val="24"/>
                <w:szCs w:val="24"/>
              </w:rPr>
            </w:pPr>
          </w:p>
          <w:p w14:paraId="3984FE29" w14:textId="77777777" w:rsidR="00D161CB" w:rsidRDefault="00D161CB" w:rsidP="00C93826">
            <w:pPr>
              <w:widowControl w:val="0"/>
              <w:spacing w:after="0" w:line="240" w:lineRule="auto"/>
              <w:rPr>
                <w:rFonts w:ascii="Arial" w:hAnsi="Arial" w:cs="Arial"/>
                <w:sz w:val="24"/>
                <w:szCs w:val="24"/>
              </w:rPr>
            </w:pPr>
          </w:p>
          <w:p w14:paraId="3E173872" w14:textId="77777777" w:rsidR="00D161CB" w:rsidRDefault="00D161CB" w:rsidP="00C93826">
            <w:pPr>
              <w:widowControl w:val="0"/>
              <w:spacing w:after="0" w:line="240" w:lineRule="auto"/>
              <w:rPr>
                <w:rFonts w:ascii="Arial" w:hAnsi="Arial" w:cs="Arial"/>
                <w:sz w:val="24"/>
                <w:szCs w:val="24"/>
              </w:rPr>
            </w:pPr>
          </w:p>
          <w:p w14:paraId="1BDD472E" w14:textId="77777777" w:rsidR="00D161CB" w:rsidRPr="009D71F6" w:rsidRDefault="00D161CB" w:rsidP="00C93826">
            <w:pPr>
              <w:widowControl w:val="0"/>
              <w:spacing w:after="0" w:line="240" w:lineRule="auto"/>
              <w:rPr>
                <w:rFonts w:ascii="Arial" w:hAnsi="Arial" w:cs="Arial"/>
                <w:sz w:val="24"/>
                <w:szCs w:val="24"/>
              </w:rPr>
            </w:pPr>
          </w:p>
        </w:tc>
      </w:tr>
    </w:tbl>
    <w:p w14:paraId="14651205" w14:textId="77777777" w:rsidR="00D161CB" w:rsidRPr="009D71F6" w:rsidRDefault="00D161CB" w:rsidP="00D161CB">
      <w:pPr>
        <w:widowControl w:val="0"/>
        <w:pBdr>
          <w:bottom w:val="single" w:sz="12" w:space="0" w:color="auto"/>
        </w:pBdr>
        <w:spacing w:after="0" w:line="240" w:lineRule="auto"/>
        <w:rPr>
          <w:rFonts w:ascii="Arial" w:hAnsi="Arial" w:cs="Arial"/>
          <w:sz w:val="24"/>
          <w:szCs w:val="24"/>
        </w:rPr>
      </w:pPr>
    </w:p>
    <w:p w14:paraId="047117AC" w14:textId="77777777" w:rsidR="00D161CB" w:rsidRPr="009D71F6" w:rsidRDefault="00D161CB" w:rsidP="00D161CB">
      <w:pPr>
        <w:widowControl w:val="0"/>
        <w:spacing w:after="0" w:line="240" w:lineRule="auto"/>
        <w:jc w:val="center"/>
        <w:rPr>
          <w:rFonts w:ascii="Arial" w:hAnsi="Arial" w:cs="Arial"/>
          <w:b/>
          <w:bCs/>
          <w:sz w:val="24"/>
          <w:szCs w:val="24"/>
        </w:rPr>
      </w:pPr>
    </w:p>
    <w:p w14:paraId="01A5CA66" w14:textId="77777777" w:rsidR="00D161CB" w:rsidRPr="009D71F6" w:rsidRDefault="00D161CB" w:rsidP="00D161CB">
      <w:pPr>
        <w:widowControl w:val="0"/>
        <w:spacing w:after="0" w:line="240" w:lineRule="auto"/>
        <w:jc w:val="center"/>
        <w:rPr>
          <w:rFonts w:ascii="Arial" w:hAnsi="Arial" w:cs="Arial"/>
          <w:b/>
          <w:bCs/>
          <w:sz w:val="24"/>
          <w:szCs w:val="24"/>
        </w:rPr>
      </w:pPr>
      <w:r>
        <w:rPr>
          <w:rFonts w:ascii="Arial" w:hAnsi="Arial" w:cs="Arial"/>
          <w:b/>
          <w:bCs/>
          <w:sz w:val="24"/>
          <w:szCs w:val="24"/>
        </w:rPr>
        <w:t>COMMENTS OF IGS ENERGY</w:t>
      </w:r>
    </w:p>
    <w:p w14:paraId="50526546" w14:textId="77777777" w:rsidR="00D161CB" w:rsidRPr="009D71F6" w:rsidRDefault="00D161CB" w:rsidP="00D161CB">
      <w:pPr>
        <w:widowControl w:val="0"/>
        <w:pBdr>
          <w:bottom w:val="single" w:sz="12" w:space="1" w:color="auto"/>
        </w:pBdr>
        <w:tabs>
          <w:tab w:val="left" w:pos="6461"/>
        </w:tabs>
        <w:spacing w:after="0" w:line="240" w:lineRule="auto"/>
        <w:jc w:val="center"/>
        <w:rPr>
          <w:rFonts w:ascii="Arial" w:hAnsi="Arial" w:cs="Arial"/>
          <w:sz w:val="24"/>
          <w:szCs w:val="24"/>
        </w:rPr>
      </w:pPr>
    </w:p>
    <w:p w14:paraId="30ECD370" w14:textId="5ADF612E" w:rsidR="00E66CC2" w:rsidRPr="00D161CB" w:rsidRDefault="00E66CC2" w:rsidP="00D161CB">
      <w:pPr>
        <w:autoSpaceDE w:val="0"/>
        <w:autoSpaceDN w:val="0"/>
        <w:adjustRightInd w:val="0"/>
        <w:spacing w:after="120" w:line="480" w:lineRule="auto"/>
        <w:jc w:val="both"/>
        <w:rPr>
          <w:rFonts w:ascii="Arial" w:hAnsi="Arial" w:cs="Arial"/>
          <w:b/>
          <w:sz w:val="24"/>
          <w:szCs w:val="24"/>
        </w:rPr>
      </w:pPr>
    </w:p>
    <w:p w14:paraId="7D434B1A" w14:textId="27DC8768" w:rsidR="00237730" w:rsidRDefault="008F554F" w:rsidP="008F554F">
      <w:pPr>
        <w:pStyle w:val="ListParagraph"/>
        <w:numPr>
          <w:ilvl w:val="0"/>
          <w:numId w:val="22"/>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57B2A7B8" w14:textId="35884762" w:rsidR="00B23873" w:rsidRDefault="0070066B" w:rsidP="00B2387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When the General Assembly restructured the</w:t>
      </w:r>
      <w:r w:rsidR="0083294E">
        <w:rPr>
          <w:rFonts w:ascii="Arial" w:hAnsi="Arial" w:cs="Arial"/>
          <w:sz w:val="24"/>
          <w:szCs w:val="24"/>
        </w:rPr>
        <w:t xml:space="preserve"> Ohio retail</w:t>
      </w:r>
      <w:r>
        <w:rPr>
          <w:rFonts w:ascii="Arial" w:hAnsi="Arial" w:cs="Arial"/>
          <w:sz w:val="24"/>
          <w:szCs w:val="24"/>
        </w:rPr>
        <w:t xml:space="preserve"> electric</w:t>
      </w:r>
      <w:r w:rsidR="0083294E">
        <w:rPr>
          <w:rFonts w:ascii="Arial" w:hAnsi="Arial" w:cs="Arial"/>
          <w:sz w:val="24"/>
          <w:szCs w:val="24"/>
        </w:rPr>
        <w:t>ity</w:t>
      </w:r>
      <w:r>
        <w:rPr>
          <w:rFonts w:ascii="Arial" w:hAnsi="Arial" w:cs="Arial"/>
          <w:sz w:val="24"/>
          <w:szCs w:val="24"/>
        </w:rPr>
        <w:t xml:space="preserve"> market, it recogniz</w:t>
      </w:r>
      <w:r w:rsidR="00B23873">
        <w:rPr>
          <w:rFonts w:ascii="Arial" w:hAnsi="Arial" w:cs="Arial"/>
          <w:sz w:val="24"/>
          <w:szCs w:val="24"/>
        </w:rPr>
        <w:t>ed that it must establish a level playing f</w:t>
      </w:r>
      <w:r w:rsidR="00A413F6">
        <w:rPr>
          <w:rFonts w:ascii="Arial" w:hAnsi="Arial" w:cs="Arial"/>
          <w:sz w:val="24"/>
          <w:szCs w:val="24"/>
        </w:rPr>
        <w:t>ield</w:t>
      </w:r>
      <w:r w:rsidR="0083294E">
        <w:rPr>
          <w:rFonts w:ascii="Arial" w:hAnsi="Arial" w:cs="Arial"/>
          <w:sz w:val="24"/>
          <w:szCs w:val="24"/>
        </w:rPr>
        <w:t xml:space="preserve">.  To that end, </w:t>
      </w:r>
      <w:r>
        <w:rPr>
          <w:rFonts w:ascii="Arial" w:hAnsi="Arial" w:cs="Arial"/>
          <w:sz w:val="24"/>
          <w:szCs w:val="24"/>
        </w:rPr>
        <w:t>Amended Substitute Senate Bill 3 (“SB 3”) required</w:t>
      </w:r>
      <w:r w:rsidR="00B23873">
        <w:rPr>
          <w:rFonts w:ascii="Arial" w:hAnsi="Arial" w:cs="Arial"/>
          <w:sz w:val="24"/>
          <w:szCs w:val="24"/>
        </w:rPr>
        <w:t xml:space="preserve"> electric distribution utilities (“EDU”) to</w:t>
      </w:r>
      <w:r>
        <w:rPr>
          <w:rFonts w:ascii="Arial" w:hAnsi="Arial" w:cs="Arial"/>
          <w:sz w:val="24"/>
          <w:szCs w:val="24"/>
        </w:rPr>
        <w:t xml:space="preserve"> structural</w:t>
      </w:r>
      <w:r w:rsidR="00B23873">
        <w:rPr>
          <w:rFonts w:ascii="Arial" w:hAnsi="Arial" w:cs="Arial"/>
          <w:sz w:val="24"/>
          <w:szCs w:val="24"/>
        </w:rPr>
        <w:t>ly</w:t>
      </w:r>
      <w:r>
        <w:rPr>
          <w:rFonts w:ascii="Arial" w:hAnsi="Arial" w:cs="Arial"/>
          <w:sz w:val="24"/>
          <w:szCs w:val="24"/>
        </w:rPr>
        <w:t xml:space="preserve"> s</w:t>
      </w:r>
      <w:r w:rsidR="00B23873">
        <w:rPr>
          <w:rFonts w:ascii="Arial" w:hAnsi="Arial" w:cs="Arial"/>
          <w:sz w:val="24"/>
          <w:szCs w:val="24"/>
        </w:rPr>
        <w:t>eparate their</w:t>
      </w:r>
      <w:r w:rsidR="0083294E">
        <w:rPr>
          <w:rFonts w:ascii="Arial" w:hAnsi="Arial" w:cs="Arial"/>
          <w:sz w:val="24"/>
          <w:szCs w:val="24"/>
        </w:rPr>
        <w:t xml:space="preserve"> unregulated businesses</w:t>
      </w:r>
      <w:r w:rsidR="00DC5C9C">
        <w:rPr>
          <w:rFonts w:ascii="Arial" w:hAnsi="Arial" w:cs="Arial"/>
          <w:sz w:val="24"/>
          <w:szCs w:val="24"/>
        </w:rPr>
        <w:t xml:space="preserve"> from regulated businesses</w:t>
      </w:r>
      <w:r w:rsidR="0083294E">
        <w:rPr>
          <w:rFonts w:ascii="Arial" w:hAnsi="Arial" w:cs="Arial"/>
          <w:sz w:val="24"/>
          <w:szCs w:val="24"/>
        </w:rPr>
        <w:t>.  Moreover, the law required each EDU to implement</w:t>
      </w:r>
      <w:r w:rsidR="00B23873">
        <w:rPr>
          <w:rFonts w:ascii="Arial" w:hAnsi="Arial" w:cs="Arial"/>
          <w:sz w:val="24"/>
          <w:szCs w:val="24"/>
        </w:rPr>
        <w:t xml:space="preserve"> a </w:t>
      </w:r>
      <w:r w:rsidR="0083294E">
        <w:rPr>
          <w:rFonts w:ascii="Arial" w:hAnsi="Arial" w:cs="Arial"/>
          <w:sz w:val="24"/>
          <w:szCs w:val="24"/>
        </w:rPr>
        <w:t xml:space="preserve">formal </w:t>
      </w:r>
      <w:r w:rsidR="00B23873">
        <w:rPr>
          <w:rFonts w:ascii="Arial" w:hAnsi="Arial" w:cs="Arial"/>
          <w:sz w:val="24"/>
          <w:szCs w:val="24"/>
        </w:rPr>
        <w:t xml:space="preserve">corporate separation plan that ensures that the EDU will not use its regulated </w:t>
      </w:r>
      <w:r w:rsidR="00FE7130">
        <w:rPr>
          <w:rFonts w:ascii="Arial" w:hAnsi="Arial" w:cs="Arial"/>
          <w:sz w:val="24"/>
          <w:szCs w:val="24"/>
        </w:rPr>
        <w:t xml:space="preserve">non-competitive </w:t>
      </w:r>
      <w:r w:rsidR="00B23873">
        <w:rPr>
          <w:rFonts w:ascii="Arial" w:hAnsi="Arial" w:cs="Arial"/>
          <w:sz w:val="24"/>
          <w:szCs w:val="24"/>
        </w:rPr>
        <w:t>services to provide an advantage, preference, or subsidy for the benefit of</w:t>
      </w:r>
      <w:r w:rsidR="00FE7130">
        <w:rPr>
          <w:rFonts w:ascii="Arial" w:hAnsi="Arial" w:cs="Arial"/>
          <w:sz w:val="24"/>
          <w:szCs w:val="24"/>
        </w:rPr>
        <w:t xml:space="preserve"> an</w:t>
      </w:r>
      <w:r w:rsidR="00B23873">
        <w:rPr>
          <w:rFonts w:ascii="Arial" w:hAnsi="Arial" w:cs="Arial"/>
          <w:sz w:val="24"/>
          <w:szCs w:val="24"/>
        </w:rPr>
        <w:t xml:space="preserve"> affi</w:t>
      </w:r>
      <w:r w:rsidR="00FE7130">
        <w:rPr>
          <w:rFonts w:ascii="Arial" w:hAnsi="Arial" w:cs="Arial"/>
          <w:sz w:val="24"/>
          <w:szCs w:val="24"/>
        </w:rPr>
        <w:t>liate or business unit</w:t>
      </w:r>
      <w:r w:rsidR="0083294E">
        <w:rPr>
          <w:rFonts w:ascii="Arial" w:hAnsi="Arial" w:cs="Arial"/>
          <w:sz w:val="24"/>
          <w:szCs w:val="24"/>
        </w:rPr>
        <w:t xml:space="preserve"> that </w:t>
      </w:r>
      <w:r w:rsidR="002537F3">
        <w:rPr>
          <w:rFonts w:ascii="Arial" w:hAnsi="Arial" w:cs="Arial"/>
          <w:sz w:val="24"/>
          <w:szCs w:val="24"/>
        </w:rPr>
        <w:t>provide</w:t>
      </w:r>
      <w:r w:rsidR="00FE7130">
        <w:rPr>
          <w:rFonts w:ascii="Arial" w:hAnsi="Arial" w:cs="Arial"/>
          <w:sz w:val="24"/>
          <w:szCs w:val="24"/>
        </w:rPr>
        <w:t>s</w:t>
      </w:r>
      <w:r w:rsidR="002537F3">
        <w:rPr>
          <w:rFonts w:ascii="Arial" w:hAnsi="Arial" w:cs="Arial"/>
          <w:sz w:val="24"/>
          <w:szCs w:val="24"/>
        </w:rPr>
        <w:t xml:space="preserve"> unregulated services.  </w:t>
      </w:r>
    </w:p>
    <w:p w14:paraId="41349B45" w14:textId="4BD6F534" w:rsidR="00A15284" w:rsidRDefault="00B23873" w:rsidP="00A1528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w:t>
      </w:r>
      <w:r w:rsidR="00AC59A6" w:rsidRPr="00AC59A6">
        <w:rPr>
          <w:rFonts w:ascii="Arial" w:hAnsi="Arial" w:cs="Arial"/>
          <w:sz w:val="24"/>
          <w:szCs w:val="24"/>
        </w:rPr>
        <w:t xml:space="preserve"> purpose</w:t>
      </w:r>
      <w:r>
        <w:rPr>
          <w:rFonts w:ascii="Arial" w:hAnsi="Arial" w:cs="Arial"/>
          <w:sz w:val="24"/>
          <w:szCs w:val="24"/>
        </w:rPr>
        <w:t xml:space="preserve"> of this proceeding is to audit and verify</w:t>
      </w:r>
      <w:r w:rsidR="00AC59A6" w:rsidRPr="00AC59A6">
        <w:rPr>
          <w:rFonts w:ascii="Arial" w:hAnsi="Arial" w:cs="Arial"/>
          <w:sz w:val="24"/>
          <w:szCs w:val="24"/>
        </w:rPr>
        <w:t xml:space="preserve"> that </w:t>
      </w:r>
      <w:r>
        <w:rPr>
          <w:rFonts w:ascii="Arial" w:hAnsi="Arial" w:cs="Arial"/>
          <w:sz w:val="24"/>
          <w:szCs w:val="24"/>
        </w:rPr>
        <w:t xml:space="preserve">the corporate separation plan </w:t>
      </w:r>
      <w:r w:rsidR="0083294E">
        <w:rPr>
          <w:rFonts w:ascii="Arial" w:hAnsi="Arial" w:cs="Arial"/>
          <w:sz w:val="24"/>
          <w:szCs w:val="24"/>
        </w:rPr>
        <w:t xml:space="preserve">of </w:t>
      </w:r>
      <w:r w:rsidR="00AC59A6" w:rsidRPr="00AC59A6">
        <w:rPr>
          <w:rFonts w:ascii="Arial" w:hAnsi="Arial" w:cs="Arial"/>
          <w:sz w:val="24"/>
          <w:szCs w:val="24"/>
        </w:rPr>
        <w:t xml:space="preserve">Ohio Edison Company, Toledo Edison Company, and Cleveland Electric Illuminating Company (collectively “FirstEnergy”) </w:t>
      </w:r>
      <w:r>
        <w:rPr>
          <w:rFonts w:ascii="Arial" w:hAnsi="Arial" w:cs="Arial"/>
          <w:sz w:val="24"/>
          <w:szCs w:val="24"/>
        </w:rPr>
        <w:t>is working</w:t>
      </w:r>
      <w:r w:rsidR="00A15284">
        <w:rPr>
          <w:rFonts w:ascii="Arial" w:hAnsi="Arial" w:cs="Arial"/>
          <w:sz w:val="24"/>
          <w:szCs w:val="24"/>
        </w:rPr>
        <w:t xml:space="preserve">.  In order to assist the Commission, after a request for proposal, the Commission selected an auditor, </w:t>
      </w:r>
      <w:r w:rsidR="00A15284" w:rsidRPr="00A15284">
        <w:rPr>
          <w:rFonts w:ascii="Arial" w:hAnsi="Arial" w:cs="Arial"/>
          <w:sz w:val="24"/>
          <w:szCs w:val="24"/>
        </w:rPr>
        <w:t>Sage Management Consultants, LLC</w:t>
      </w:r>
      <w:r w:rsidR="00A15284">
        <w:rPr>
          <w:rFonts w:ascii="Arial" w:hAnsi="Arial" w:cs="Arial"/>
          <w:sz w:val="24"/>
          <w:szCs w:val="24"/>
        </w:rPr>
        <w:t xml:space="preserve"> (“Sage”), t</w:t>
      </w:r>
      <w:r>
        <w:rPr>
          <w:rFonts w:ascii="Arial" w:hAnsi="Arial" w:cs="Arial"/>
          <w:sz w:val="24"/>
          <w:szCs w:val="24"/>
        </w:rPr>
        <w:t xml:space="preserve">o </w:t>
      </w:r>
      <w:r w:rsidR="00DC5C9C">
        <w:rPr>
          <w:rFonts w:ascii="Arial" w:hAnsi="Arial" w:cs="Arial"/>
          <w:sz w:val="24"/>
          <w:szCs w:val="24"/>
        </w:rPr>
        <w:t>draft</w:t>
      </w:r>
      <w:r w:rsidR="00A15284">
        <w:rPr>
          <w:rFonts w:ascii="Arial" w:hAnsi="Arial" w:cs="Arial"/>
          <w:sz w:val="24"/>
          <w:szCs w:val="24"/>
        </w:rPr>
        <w:t xml:space="preserve"> a report evaluating whether FirstEnergy has</w:t>
      </w:r>
      <w:r w:rsidR="00AC59A6" w:rsidRPr="00AC59A6">
        <w:rPr>
          <w:rFonts w:ascii="Arial" w:hAnsi="Arial" w:cs="Arial"/>
          <w:sz w:val="24"/>
          <w:szCs w:val="24"/>
        </w:rPr>
        <w:t xml:space="preserve"> complied with R.C. 4928.17 and Chapter 4901:1-37, ie, Ohio’s corporate separation </w:t>
      </w:r>
      <w:r w:rsidR="00AC59A6" w:rsidRPr="00AC59A6">
        <w:rPr>
          <w:rFonts w:ascii="Arial" w:hAnsi="Arial" w:cs="Arial"/>
          <w:sz w:val="24"/>
          <w:szCs w:val="24"/>
        </w:rPr>
        <w:lastRenderedPageBreak/>
        <w:t>laws and rules.</w:t>
      </w:r>
      <w:r w:rsidR="00AC59A6">
        <w:rPr>
          <w:rFonts w:ascii="Arial" w:hAnsi="Arial" w:cs="Arial"/>
          <w:sz w:val="24"/>
          <w:szCs w:val="24"/>
        </w:rPr>
        <w:t xml:space="preserve"> </w:t>
      </w:r>
      <w:r w:rsidR="00A15284">
        <w:rPr>
          <w:rFonts w:ascii="Arial" w:hAnsi="Arial" w:cs="Arial"/>
          <w:sz w:val="24"/>
          <w:szCs w:val="24"/>
        </w:rPr>
        <w:t xml:space="preserve">  </w:t>
      </w:r>
      <w:r w:rsidR="008F554F">
        <w:rPr>
          <w:rFonts w:ascii="Arial" w:hAnsi="Arial" w:cs="Arial"/>
          <w:sz w:val="24"/>
          <w:szCs w:val="24"/>
        </w:rPr>
        <w:t>On May 14, 2018,</w:t>
      </w:r>
      <w:r w:rsidR="00A15284">
        <w:rPr>
          <w:rFonts w:ascii="Arial" w:hAnsi="Arial" w:cs="Arial"/>
          <w:sz w:val="24"/>
          <w:szCs w:val="24"/>
        </w:rPr>
        <w:t xml:space="preserve"> Sage issued its Audit Report assessing FirstEnergy’s</w:t>
      </w:r>
      <w:r w:rsidR="008F554F">
        <w:rPr>
          <w:rFonts w:ascii="Arial" w:hAnsi="Arial" w:cs="Arial"/>
          <w:sz w:val="24"/>
          <w:szCs w:val="24"/>
        </w:rPr>
        <w:t xml:space="preserve"> </w:t>
      </w:r>
      <w:r w:rsidR="008F554F" w:rsidRPr="008F554F">
        <w:rPr>
          <w:rFonts w:ascii="Arial" w:hAnsi="Arial" w:cs="Arial"/>
          <w:sz w:val="24"/>
          <w:szCs w:val="24"/>
        </w:rPr>
        <w:t>compliance with Ohio’s the corporate separation law</w:t>
      </w:r>
      <w:r w:rsidR="00FE7130">
        <w:rPr>
          <w:rFonts w:ascii="Arial" w:hAnsi="Arial" w:cs="Arial"/>
          <w:sz w:val="24"/>
          <w:szCs w:val="24"/>
        </w:rPr>
        <w:t>s and rules</w:t>
      </w:r>
      <w:r w:rsidR="008F554F">
        <w:rPr>
          <w:rFonts w:ascii="Arial" w:hAnsi="Arial" w:cs="Arial"/>
          <w:sz w:val="24"/>
          <w:szCs w:val="24"/>
        </w:rPr>
        <w:t>.</w:t>
      </w:r>
    </w:p>
    <w:p w14:paraId="20D79CE3" w14:textId="457B04CC" w:rsidR="00DF5B51" w:rsidRPr="00DC5C9C" w:rsidRDefault="00AC59A6" w:rsidP="00A15284">
      <w:pPr>
        <w:autoSpaceDE w:val="0"/>
        <w:autoSpaceDN w:val="0"/>
        <w:adjustRightInd w:val="0"/>
        <w:spacing w:after="120" w:line="480" w:lineRule="auto"/>
        <w:ind w:firstLine="720"/>
        <w:jc w:val="both"/>
        <w:rPr>
          <w:rFonts w:ascii="Arial" w:hAnsi="Arial" w:cs="Arial"/>
          <w:sz w:val="24"/>
          <w:szCs w:val="24"/>
        </w:rPr>
      </w:pPr>
      <w:r w:rsidRPr="00AC59A6">
        <w:rPr>
          <w:rFonts w:ascii="Arial" w:hAnsi="Arial" w:cs="Arial"/>
          <w:sz w:val="24"/>
          <w:szCs w:val="24"/>
        </w:rPr>
        <w:t>Interstate Gas Supply, Inc.</w:t>
      </w:r>
      <w:r w:rsidR="00DC5C9C">
        <w:rPr>
          <w:rFonts w:ascii="Arial" w:hAnsi="Arial" w:cs="Arial"/>
          <w:sz w:val="24"/>
          <w:szCs w:val="24"/>
        </w:rPr>
        <w:t xml:space="preserve"> (“IGS”)</w:t>
      </w:r>
      <w:r w:rsidRPr="00AC59A6">
        <w:rPr>
          <w:rFonts w:ascii="Arial" w:hAnsi="Arial" w:cs="Arial"/>
          <w:sz w:val="24"/>
          <w:szCs w:val="24"/>
        </w:rPr>
        <w:t xml:space="preserve"> supports many of the re</w:t>
      </w:r>
      <w:r w:rsidR="00A15284">
        <w:rPr>
          <w:rFonts w:ascii="Arial" w:hAnsi="Arial" w:cs="Arial"/>
          <w:sz w:val="24"/>
          <w:szCs w:val="24"/>
        </w:rPr>
        <w:t>commendations contained in the Audit R</w:t>
      </w:r>
      <w:r w:rsidRPr="00AC59A6">
        <w:rPr>
          <w:rFonts w:ascii="Arial" w:hAnsi="Arial" w:cs="Arial"/>
          <w:sz w:val="24"/>
          <w:szCs w:val="24"/>
        </w:rPr>
        <w:t>eport, which identify anticompetitive advantages that the FirstEnergy utilities have extended to their affiliate, FirstEnergy Solutions</w:t>
      </w:r>
      <w:r w:rsidR="00DC5C9C">
        <w:rPr>
          <w:rFonts w:ascii="Arial" w:hAnsi="Arial" w:cs="Arial"/>
          <w:sz w:val="24"/>
          <w:szCs w:val="24"/>
        </w:rPr>
        <w:t xml:space="preserve"> (“FES”)</w:t>
      </w:r>
      <w:r w:rsidRPr="00AC59A6">
        <w:rPr>
          <w:rFonts w:ascii="Arial" w:hAnsi="Arial" w:cs="Arial"/>
          <w:sz w:val="24"/>
          <w:szCs w:val="24"/>
        </w:rPr>
        <w:t>.  While the audit report correctly identified inappropriate behavior betwee</w:t>
      </w:r>
      <w:r w:rsidR="00FE7130">
        <w:rPr>
          <w:rFonts w:ascii="Arial" w:hAnsi="Arial" w:cs="Arial"/>
          <w:sz w:val="24"/>
          <w:szCs w:val="24"/>
        </w:rPr>
        <w:t>n FirstEnergy and its affiliate</w:t>
      </w:r>
      <w:r w:rsidRPr="00AC59A6">
        <w:rPr>
          <w:rFonts w:ascii="Arial" w:hAnsi="Arial" w:cs="Arial"/>
          <w:sz w:val="24"/>
          <w:szCs w:val="24"/>
        </w:rPr>
        <w:t>,</w:t>
      </w:r>
      <w:r>
        <w:rPr>
          <w:rFonts w:ascii="Arial" w:hAnsi="Arial" w:cs="Arial"/>
          <w:sz w:val="24"/>
          <w:szCs w:val="24"/>
        </w:rPr>
        <w:t xml:space="preserve"> the audit report</w:t>
      </w:r>
      <w:r w:rsidRPr="00AC59A6">
        <w:rPr>
          <w:rFonts w:ascii="Arial" w:hAnsi="Arial" w:cs="Arial"/>
          <w:sz w:val="24"/>
          <w:szCs w:val="24"/>
        </w:rPr>
        <w:t xml:space="preserve"> contains a critical structural flaw—it fail</w:t>
      </w:r>
      <w:r w:rsidR="0083294E">
        <w:rPr>
          <w:rFonts w:ascii="Arial" w:hAnsi="Arial" w:cs="Arial"/>
          <w:sz w:val="24"/>
          <w:szCs w:val="24"/>
        </w:rPr>
        <w:t>ed to evaluate</w:t>
      </w:r>
      <w:r w:rsidRPr="00AC59A6">
        <w:rPr>
          <w:rFonts w:ascii="Arial" w:hAnsi="Arial" w:cs="Arial"/>
          <w:sz w:val="24"/>
          <w:szCs w:val="24"/>
        </w:rPr>
        <w:t xml:space="preserve"> FirstEnergy</w:t>
      </w:r>
      <w:r w:rsidR="0083294E">
        <w:rPr>
          <w:rFonts w:ascii="Arial" w:hAnsi="Arial" w:cs="Arial"/>
          <w:sz w:val="24"/>
          <w:szCs w:val="24"/>
        </w:rPr>
        <w:t xml:space="preserve">’s provision of products and services </w:t>
      </w:r>
      <w:r w:rsidRPr="00AC59A6">
        <w:rPr>
          <w:rFonts w:ascii="Arial" w:hAnsi="Arial" w:cs="Arial"/>
          <w:sz w:val="24"/>
          <w:szCs w:val="24"/>
        </w:rPr>
        <w:t xml:space="preserve">other than retail electric services, ie </w:t>
      </w:r>
      <w:r w:rsidR="00FE7130">
        <w:rPr>
          <w:rFonts w:ascii="Arial" w:hAnsi="Arial" w:cs="Arial"/>
          <w:sz w:val="24"/>
          <w:szCs w:val="24"/>
        </w:rPr>
        <w:t xml:space="preserve">unregulated </w:t>
      </w:r>
      <w:r w:rsidRPr="00AC59A6">
        <w:rPr>
          <w:rFonts w:ascii="Arial" w:hAnsi="Arial" w:cs="Arial"/>
          <w:sz w:val="24"/>
          <w:szCs w:val="24"/>
        </w:rPr>
        <w:t>non-electric services</w:t>
      </w:r>
      <w:r w:rsidR="0083294E">
        <w:rPr>
          <w:rFonts w:ascii="Arial" w:hAnsi="Arial" w:cs="Arial"/>
          <w:sz w:val="24"/>
          <w:szCs w:val="24"/>
        </w:rPr>
        <w:t xml:space="preserve"> and whether additional action is needed to bring FirstEnergy’s practices into</w:t>
      </w:r>
      <w:r w:rsidRPr="00AC59A6">
        <w:rPr>
          <w:rFonts w:ascii="Arial" w:hAnsi="Arial" w:cs="Arial"/>
          <w:sz w:val="24"/>
          <w:szCs w:val="24"/>
        </w:rPr>
        <w:t xml:space="preserve"> compliance with Ohio law and Commission precede</w:t>
      </w:r>
      <w:r w:rsidRPr="00DC5C9C">
        <w:rPr>
          <w:rFonts w:ascii="Arial" w:hAnsi="Arial" w:cs="Arial"/>
          <w:sz w:val="24"/>
          <w:szCs w:val="24"/>
        </w:rPr>
        <w:t>nt.</w:t>
      </w:r>
      <w:r w:rsidR="00A15284" w:rsidRPr="00DC5C9C">
        <w:rPr>
          <w:rFonts w:ascii="Arial" w:hAnsi="Arial" w:cs="Arial"/>
          <w:sz w:val="24"/>
          <w:szCs w:val="24"/>
        </w:rPr>
        <w:t xml:space="preserve">  </w:t>
      </w:r>
    </w:p>
    <w:p w14:paraId="552C2598" w14:textId="77777777" w:rsidR="00DC5C9C" w:rsidRDefault="00DC5C9C" w:rsidP="00DF5B5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w:t>
      </w:r>
      <w:r w:rsidR="00A15284" w:rsidRPr="00DC5C9C">
        <w:rPr>
          <w:rFonts w:ascii="Arial" w:hAnsi="Arial" w:cs="Arial"/>
          <w:sz w:val="24"/>
          <w:szCs w:val="24"/>
        </w:rPr>
        <w:t>t is apparent that the Audit R</w:t>
      </w:r>
      <w:r w:rsidR="00AC59A6" w:rsidRPr="00DC5C9C">
        <w:rPr>
          <w:rFonts w:ascii="Arial" w:hAnsi="Arial" w:cs="Arial"/>
          <w:sz w:val="24"/>
          <w:szCs w:val="24"/>
        </w:rPr>
        <w:t>eport simply accepts</w:t>
      </w:r>
      <w:r w:rsidRPr="00DC5C9C">
        <w:rPr>
          <w:rFonts w:ascii="Arial" w:hAnsi="Arial" w:cs="Arial"/>
          <w:sz w:val="24"/>
          <w:szCs w:val="24"/>
        </w:rPr>
        <w:t xml:space="preserve"> without question</w:t>
      </w:r>
      <w:r w:rsidR="00AC59A6" w:rsidRPr="00DC5C9C">
        <w:rPr>
          <w:rFonts w:ascii="Arial" w:hAnsi="Arial" w:cs="Arial"/>
          <w:sz w:val="24"/>
          <w:szCs w:val="24"/>
        </w:rPr>
        <w:t xml:space="preserve"> th</w:t>
      </w:r>
      <w:r w:rsidR="00AC59A6">
        <w:rPr>
          <w:rFonts w:ascii="Arial" w:hAnsi="Arial" w:cs="Arial"/>
          <w:sz w:val="24"/>
          <w:szCs w:val="24"/>
        </w:rPr>
        <w:t>at FirstEnergy provides these products under the umbrella of the monopoly utility without evaluating</w:t>
      </w:r>
      <w:r>
        <w:rPr>
          <w:rFonts w:ascii="Arial" w:hAnsi="Arial" w:cs="Arial"/>
          <w:sz w:val="24"/>
          <w:szCs w:val="24"/>
        </w:rPr>
        <w:t xml:space="preserve"> how this</w:t>
      </w:r>
      <w:r w:rsidR="00AC59A6">
        <w:rPr>
          <w:rFonts w:ascii="Arial" w:hAnsi="Arial" w:cs="Arial"/>
          <w:sz w:val="24"/>
          <w:szCs w:val="24"/>
        </w:rPr>
        <w:t xml:space="preserve"> practice</w:t>
      </w:r>
      <w:r>
        <w:rPr>
          <w:rFonts w:ascii="Arial" w:hAnsi="Arial" w:cs="Arial"/>
          <w:sz w:val="24"/>
          <w:szCs w:val="24"/>
        </w:rPr>
        <w:t xml:space="preserve"> came to be or whether it</w:t>
      </w:r>
      <w:r w:rsidR="00AC59A6">
        <w:rPr>
          <w:rFonts w:ascii="Arial" w:hAnsi="Arial" w:cs="Arial"/>
          <w:sz w:val="24"/>
          <w:szCs w:val="24"/>
        </w:rPr>
        <w:t xml:space="preserve"> is appropriate under Ohio law.</w:t>
      </w:r>
      <w:r w:rsidR="00A15284">
        <w:rPr>
          <w:rFonts w:ascii="Arial" w:hAnsi="Arial" w:cs="Arial"/>
          <w:sz w:val="24"/>
          <w:szCs w:val="24"/>
        </w:rPr>
        <w:t xml:space="preserve">  It did not evaluate why FirstEnergy provides </w:t>
      </w:r>
      <w:r>
        <w:rPr>
          <w:rFonts w:ascii="Arial" w:hAnsi="Arial" w:cs="Arial"/>
          <w:sz w:val="24"/>
          <w:szCs w:val="24"/>
        </w:rPr>
        <w:t>these products through the EDU—</w:t>
      </w:r>
      <w:r w:rsidR="00A15284">
        <w:rPr>
          <w:rFonts w:ascii="Arial" w:hAnsi="Arial" w:cs="Arial"/>
          <w:sz w:val="24"/>
          <w:szCs w:val="24"/>
        </w:rPr>
        <w:t>rather than</w:t>
      </w:r>
      <w:r>
        <w:rPr>
          <w:rFonts w:ascii="Arial" w:hAnsi="Arial" w:cs="Arial"/>
          <w:sz w:val="24"/>
          <w:szCs w:val="24"/>
        </w:rPr>
        <w:t xml:space="preserve"> an</w:t>
      </w:r>
      <w:r w:rsidR="00A15284">
        <w:rPr>
          <w:rFonts w:ascii="Arial" w:hAnsi="Arial" w:cs="Arial"/>
          <w:sz w:val="24"/>
          <w:szCs w:val="24"/>
        </w:rPr>
        <w:t xml:space="preserve"> affil</w:t>
      </w:r>
      <w:r>
        <w:rPr>
          <w:rFonts w:ascii="Arial" w:hAnsi="Arial" w:cs="Arial"/>
          <w:sz w:val="24"/>
          <w:szCs w:val="24"/>
        </w:rPr>
        <w:t xml:space="preserve">iate as required by the law.  </w:t>
      </w:r>
    </w:p>
    <w:p w14:paraId="76E55FF7" w14:textId="31A59821" w:rsidR="00AC59A6" w:rsidRPr="00AC59A6" w:rsidRDefault="00DC5C9C" w:rsidP="00DF5B5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w:t>
      </w:r>
      <w:r w:rsidR="00A15284">
        <w:rPr>
          <w:rFonts w:ascii="Arial" w:hAnsi="Arial" w:cs="Arial"/>
          <w:sz w:val="24"/>
          <w:szCs w:val="24"/>
        </w:rPr>
        <w:t xml:space="preserve"> glaring hole in the Audit Report is particularly troubling, given </w:t>
      </w:r>
      <w:r w:rsidR="00FE7130">
        <w:rPr>
          <w:rFonts w:ascii="Arial" w:hAnsi="Arial" w:cs="Arial"/>
          <w:sz w:val="24"/>
          <w:szCs w:val="24"/>
        </w:rPr>
        <w:t xml:space="preserve">that the Retail Energy Supply Association recently filed a </w:t>
      </w:r>
      <w:r w:rsidR="00F926AA">
        <w:rPr>
          <w:rFonts w:ascii="Arial" w:hAnsi="Arial" w:cs="Arial"/>
          <w:sz w:val="24"/>
          <w:szCs w:val="24"/>
        </w:rPr>
        <w:t>corporate separa</w:t>
      </w:r>
      <w:r w:rsidR="00FE7130">
        <w:rPr>
          <w:rFonts w:ascii="Arial" w:hAnsi="Arial" w:cs="Arial"/>
          <w:sz w:val="24"/>
          <w:szCs w:val="24"/>
        </w:rPr>
        <w:t>tion complaint against</w:t>
      </w:r>
      <w:r w:rsidR="00F926AA">
        <w:rPr>
          <w:rFonts w:ascii="Arial" w:hAnsi="Arial" w:cs="Arial"/>
          <w:sz w:val="24"/>
          <w:szCs w:val="24"/>
        </w:rPr>
        <w:t xml:space="preserve"> FirstEnergy</w:t>
      </w:r>
      <w:r w:rsidR="00DF5B51">
        <w:rPr>
          <w:rFonts w:ascii="Arial" w:hAnsi="Arial" w:cs="Arial"/>
          <w:sz w:val="24"/>
          <w:szCs w:val="24"/>
        </w:rPr>
        <w:t xml:space="preserve"> a</w:t>
      </w:r>
      <w:r w:rsidR="00A15284">
        <w:rPr>
          <w:rFonts w:ascii="Arial" w:hAnsi="Arial" w:cs="Arial"/>
          <w:sz w:val="24"/>
          <w:szCs w:val="24"/>
        </w:rPr>
        <w:t>ll</w:t>
      </w:r>
      <w:r w:rsidR="00DF5B51">
        <w:rPr>
          <w:rFonts w:ascii="Arial" w:hAnsi="Arial" w:cs="Arial"/>
          <w:sz w:val="24"/>
          <w:szCs w:val="24"/>
        </w:rPr>
        <w:t>eging</w:t>
      </w:r>
      <w:r w:rsidR="00A15284">
        <w:rPr>
          <w:rFonts w:ascii="Arial" w:hAnsi="Arial" w:cs="Arial"/>
          <w:sz w:val="24"/>
          <w:szCs w:val="24"/>
        </w:rPr>
        <w:t xml:space="preserve"> that</w:t>
      </w:r>
      <w:r w:rsidR="00F926AA">
        <w:rPr>
          <w:rFonts w:ascii="Arial" w:hAnsi="Arial" w:cs="Arial"/>
          <w:sz w:val="24"/>
          <w:szCs w:val="24"/>
        </w:rPr>
        <w:t xml:space="preserve"> it provides non-electric services</w:t>
      </w:r>
      <w:r w:rsidR="00A15284">
        <w:rPr>
          <w:rFonts w:ascii="Arial" w:hAnsi="Arial" w:cs="Arial"/>
          <w:sz w:val="24"/>
          <w:szCs w:val="24"/>
        </w:rPr>
        <w:t xml:space="preserve"> in a manner </w:t>
      </w:r>
      <w:r w:rsidR="00FE7130">
        <w:rPr>
          <w:rFonts w:ascii="Arial" w:hAnsi="Arial" w:cs="Arial"/>
          <w:sz w:val="24"/>
          <w:szCs w:val="24"/>
        </w:rPr>
        <w:t>that extends FirstEnergy’s unregulated business unit with an undue preference and</w:t>
      </w:r>
      <w:r w:rsidR="00A15284">
        <w:rPr>
          <w:rFonts w:ascii="Arial" w:hAnsi="Arial" w:cs="Arial"/>
          <w:sz w:val="24"/>
          <w:szCs w:val="24"/>
        </w:rPr>
        <w:t xml:space="preserve"> competitive advantage—all while discriminating against other market participants</w:t>
      </w:r>
      <w:r w:rsidR="00DF5B51">
        <w:rPr>
          <w:rFonts w:ascii="Arial" w:hAnsi="Arial" w:cs="Arial"/>
          <w:sz w:val="24"/>
          <w:szCs w:val="24"/>
        </w:rPr>
        <w:t>.</w:t>
      </w:r>
      <w:r w:rsidR="00A15284">
        <w:rPr>
          <w:rFonts w:ascii="Arial" w:hAnsi="Arial" w:cs="Arial"/>
          <w:sz w:val="24"/>
          <w:szCs w:val="24"/>
        </w:rPr>
        <w:t xml:space="preserve"> </w:t>
      </w:r>
      <w:r w:rsidR="00AC59A6">
        <w:rPr>
          <w:rFonts w:ascii="Arial" w:hAnsi="Arial" w:cs="Arial"/>
          <w:sz w:val="24"/>
          <w:szCs w:val="24"/>
        </w:rPr>
        <w:t xml:space="preserve"> Based upon the undisputabl</w:t>
      </w:r>
      <w:r w:rsidR="0083294E">
        <w:rPr>
          <w:rFonts w:ascii="Arial" w:hAnsi="Arial" w:cs="Arial"/>
          <w:sz w:val="24"/>
          <w:szCs w:val="24"/>
        </w:rPr>
        <w:t>e facts, FirstEnergy provides</w:t>
      </w:r>
      <w:r w:rsidR="00AC59A6">
        <w:rPr>
          <w:rFonts w:ascii="Arial" w:hAnsi="Arial" w:cs="Arial"/>
          <w:sz w:val="24"/>
          <w:szCs w:val="24"/>
        </w:rPr>
        <w:t xml:space="preserve"> unregulated non-electric products and services in violation of Ohio law, precedent, and in a fashion that discriminates against other suppliers of similar products.  Therefore, IGS urges the Commission to direct FirstEnergy </w:t>
      </w:r>
      <w:r w:rsidR="00AC59A6">
        <w:rPr>
          <w:rFonts w:ascii="Arial" w:hAnsi="Arial" w:cs="Arial"/>
          <w:sz w:val="24"/>
          <w:szCs w:val="24"/>
        </w:rPr>
        <w:lastRenderedPageBreak/>
        <w:t>to modify its corporate separation plan to require all non-electric products to be provided through a fully separate affiliate, as required by Ohio law.</w:t>
      </w:r>
    </w:p>
    <w:p w14:paraId="3A99B6BE" w14:textId="0A5A893C" w:rsidR="00822B87" w:rsidRDefault="00D156B6" w:rsidP="00E0672C">
      <w:pPr>
        <w:pStyle w:val="ListParagraph"/>
        <w:numPr>
          <w:ilvl w:val="0"/>
          <w:numId w:val="22"/>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BACKGROUND</w:t>
      </w:r>
    </w:p>
    <w:p w14:paraId="303A6DDF" w14:textId="5B2657A1" w:rsidR="008F554F" w:rsidRPr="00822B87" w:rsidRDefault="00D156B6" w:rsidP="00822B87">
      <w:pPr>
        <w:pStyle w:val="ListParagraph"/>
        <w:numPr>
          <w:ilvl w:val="0"/>
          <w:numId w:val="24"/>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Procedural and Factual Background</w:t>
      </w:r>
    </w:p>
    <w:p w14:paraId="57E4AB21" w14:textId="118BCABC" w:rsidR="00AC194E" w:rsidRDefault="003D4E59" w:rsidP="00AC194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Following the passage of SB 3</w:t>
      </w:r>
      <w:r w:rsidR="00017D09">
        <w:rPr>
          <w:rFonts w:ascii="Arial" w:hAnsi="Arial" w:cs="Arial"/>
          <w:sz w:val="24"/>
          <w:szCs w:val="24"/>
        </w:rPr>
        <w:t xml:space="preserve"> in 1999, FirstEnergy filed an </w:t>
      </w:r>
      <w:r>
        <w:rPr>
          <w:rFonts w:ascii="Arial" w:hAnsi="Arial" w:cs="Arial"/>
          <w:sz w:val="24"/>
          <w:szCs w:val="24"/>
        </w:rPr>
        <w:t xml:space="preserve">electric transition plan (“ETP”) to separate and unbundle competitive and non-competitive </w:t>
      </w:r>
      <w:r w:rsidR="00017D09">
        <w:rPr>
          <w:rFonts w:ascii="Arial" w:hAnsi="Arial" w:cs="Arial"/>
          <w:sz w:val="24"/>
          <w:szCs w:val="24"/>
        </w:rPr>
        <w:t xml:space="preserve">services.  As part of its ETP, </w:t>
      </w:r>
      <w:r>
        <w:rPr>
          <w:rFonts w:ascii="Arial" w:hAnsi="Arial" w:cs="Arial"/>
          <w:sz w:val="24"/>
          <w:szCs w:val="24"/>
        </w:rPr>
        <w:t>FirstEnergy was req</w:t>
      </w:r>
      <w:r w:rsidR="00946E9A">
        <w:rPr>
          <w:rFonts w:ascii="Arial" w:hAnsi="Arial" w:cs="Arial"/>
          <w:sz w:val="24"/>
          <w:szCs w:val="24"/>
        </w:rPr>
        <w:t>uired to implement a corporate s</w:t>
      </w:r>
      <w:r w:rsidR="00017D09">
        <w:rPr>
          <w:rFonts w:ascii="Arial" w:hAnsi="Arial" w:cs="Arial"/>
          <w:sz w:val="24"/>
          <w:szCs w:val="24"/>
        </w:rPr>
        <w:t>eparation plan, which complied with</w:t>
      </w:r>
      <w:r w:rsidR="00946E9A">
        <w:rPr>
          <w:rFonts w:ascii="Arial" w:hAnsi="Arial" w:cs="Arial"/>
          <w:sz w:val="24"/>
          <w:szCs w:val="24"/>
        </w:rPr>
        <w:t xml:space="preserve"> the</w:t>
      </w:r>
      <w:r w:rsidR="00E35EAB">
        <w:rPr>
          <w:rFonts w:ascii="Arial" w:hAnsi="Arial" w:cs="Arial"/>
          <w:sz w:val="24"/>
          <w:szCs w:val="24"/>
        </w:rPr>
        <w:t xml:space="preserve"> requirements of R.C. 4928.17.</w:t>
      </w:r>
      <w:r w:rsidR="00017D09">
        <w:rPr>
          <w:rFonts w:ascii="Arial" w:hAnsi="Arial" w:cs="Arial"/>
          <w:sz w:val="24"/>
          <w:szCs w:val="24"/>
        </w:rPr>
        <w:t xml:space="preserve">  That section—specifically, R.C. 4928.17(A)(1)—required full structural separation of all unregulated services and businesses from the EDU, although the law permitted a temporary exception from that requirement based upon a finding of good cause.</w:t>
      </w:r>
      <w:r w:rsidR="00E35EAB">
        <w:rPr>
          <w:rFonts w:ascii="Arial" w:hAnsi="Arial" w:cs="Arial"/>
          <w:sz w:val="24"/>
          <w:szCs w:val="24"/>
        </w:rPr>
        <w:t xml:space="preserve">  Li</w:t>
      </w:r>
      <w:r w:rsidR="00017D09">
        <w:rPr>
          <w:rFonts w:ascii="Arial" w:hAnsi="Arial" w:cs="Arial"/>
          <w:sz w:val="24"/>
          <w:szCs w:val="24"/>
        </w:rPr>
        <w:t>ke many utilities</w:t>
      </w:r>
      <w:r w:rsidR="00E35EAB">
        <w:rPr>
          <w:rFonts w:ascii="Arial" w:hAnsi="Arial" w:cs="Arial"/>
          <w:sz w:val="24"/>
          <w:szCs w:val="24"/>
        </w:rPr>
        <w:t>, d</w:t>
      </w:r>
      <w:r w:rsidR="00946E9A">
        <w:rPr>
          <w:rFonts w:ascii="Arial" w:hAnsi="Arial" w:cs="Arial"/>
          <w:sz w:val="24"/>
          <w:szCs w:val="24"/>
        </w:rPr>
        <w:t xml:space="preserve">ue to financial entanglements related to the financing of its competitive, unregulated assets, FirstEnergy </w:t>
      </w:r>
      <w:r w:rsidR="00AC194E">
        <w:rPr>
          <w:rFonts w:ascii="Arial" w:hAnsi="Arial" w:cs="Arial"/>
          <w:sz w:val="24"/>
          <w:szCs w:val="24"/>
        </w:rPr>
        <w:t>sought and received, based upon a finding of good cause, an exception from the requirement to fully separate its unregulated businesses.</w:t>
      </w:r>
      <w:r w:rsidR="00FE7130">
        <w:rPr>
          <w:rStyle w:val="FootnoteReference"/>
          <w:rFonts w:ascii="Arial" w:hAnsi="Arial" w:cs="Arial"/>
          <w:sz w:val="24"/>
          <w:szCs w:val="24"/>
        </w:rPr>
        <w:footnoteReference w:id="1"/>
      </w:r>
      <w:r w:rsidR="00AC194E">
        <w:rPr>
          <w:rFonts w:ascii="Arial" w:hAnsi="Arial" w:cs="Arial"/>
          <w:sz w:val="24"/>
          <w:szCs w:val="24"/>
        </w:rPr>
        <w:t xml:space="preserve"> </w:t>
      </w:r>
    </w:p>
    <w:p w14:paraId="4C1C97BB" w14:textId="6FC4B932" w:rsidR="003D4E59" w:rsidRDefault="00421525" w:rsidP="00AC194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Although FirstEnergy</w:t>
      </w:r>
      <w:r w:rsidR="00F926AA">
        <w:rPr>
          <w:rFonts w:ascii="Arial" w:hAnsi="Arial" w:cs="Arial"/>
          <w:sz w:val="24"/>
          <w:szCs w:val="24"/>
        </w:rPr>
        <w:t xml:space="preserve"> subsequently</w:t>
      </w:r>
      <w:r>
        <w:rPr>
          <w:rFonts w:ascii="Arial" w:hAnsi="Arial" w:cs="Arial"/>
          <w:sz w:val="24"/>
          <w:szCs w:val="24"/>
        </w:rPr>
        <w:t xml:space="preserve"> amended its corporate separation plan from time to time, including the ultimate transfer of its generating assets</w:t>
      </w:r>
      <w:r w:rsidR="00AC194E">
        <w:rPr>
          <w:rFonts w:ascii="Arial" w:hAnsi="Arial" w:cs="Arial"/>
          <w:sz w:val="24"/>
          <w:szCs w:val="24"/>
        </w:rPr>
        <w:t xml:space="preserve"> to an affiliate</w:t>
      </w:r>
      <w:r>
        <w:rPr>
          <w:rFonts w:ascii="Arial" w:hAnsi="Arial" w:cs="Arial"/>
          <w:sz w:val="24"/>
          <w:szCs w:val="24"/>
        </w:rPr>
        <w:t xml:space="preserve">, FirstEnergy never again received an exception based upon a finding of good cause </w:t>
      </w:r>
      <w:r w:rsidR="00A567A8">
        <w:rPr>
          <w:rFonts w:ascii="Arial" w:hAnsi="Arial" w:cs="Arial"/>
          <w:sz w:val="24"/>
          <w:szCs w:val="24"/>
        </w:rPr>
        <w:t xml:space="preserve">from the requirement to provide non-electric services </w:t>
      </w:r>
      <w:r>
        <w:rPr>
          <w:rFonts w:ascii="Arial" w:hAnsi="Arial" w:cs="Arial"/>
          <w:sz w:val="24"/>
          <w:szCs w:val="24"/>
        </w:rPr>
        <w:t>through a separate affiliate.</w:t>
      </w:r>
      <w:r w:rsidR="00AC194E">
        <w:rPr>
          <w:rFonts w:ascii="Arial" w:hAnsi="Arial" w:cs="Arial"/>
          <w:sz w:val="24"/>
          <w:szCs w:val="24"/>
        </w:rPr>
        <w:t xml:space="preserve"> </w:t>
      </w:r>
      <w:r w:rsidR="00F926AA">
        <w:rPr>
          <w:rFonts w:ascii="Arial" w:hAnsi="Arial" w:cs="Arial"/>
          <w:sz w:val="24"/>
          <w:szCs w:val="24"/>
        </w:rPr>
        <w:t xml:space="preserve"> FirstEnergy </w:t>
      </w:r>
      <w:r w:rsidR="00AC194E">
        <w:rPr>
          <w:rFonts w:ascii="Arial" w:hAnsi="Arial" w:cs="Arial"/>
          <w:sz w:val="24"/>
          <w:szCs w:val="24"/>
        </w:rPr>
        <w:t>never sought additional approvals to offer non-electric services, rather it has continued to offer them under the umbrella of tariff language authorized as part of its ETP case.</w:t>
      </w:r>
      <w:r>
        <w:rPr>
          <w:rFonts w:ascii="Arial" w:hAnsi="Arial" w:cs="Arial"/>
          <w:sz w:val="24"/>
          <w:szCs w:val="24"/>
        </w:rPr>
        <w:t xml:space="preserve"> </w:t>
      </w:r>
    </w:p>
    <w:p w14:paraId="7D32278C" w14:textId="6901A966" w:rsidR="00A505E2" w:rsidRPr="00A505E2" w:rsidRDefault="00A505E2" w:rsidP="00A505E2">
      <w:pPr>
        <w:autoSpaceDE w:val="0"/>
        <w:autoSpaceDN w:val="0"/>
        <w:adjustRightInd w:val="0"/>
        <w:spacing w:after="120" w:line="480" w:lineRule="auto"/>
        <w:ind w:firstLine="720"/>
        <w:jc w:val="both"/>
        <w:rPr>
          <w:rFonts w:ascii="Arial" w:hAnsi="Arial" w:cs="Arial"/>
          <w:sz w:val="24"/>
          <w:szCs w:val="24"/>
        </w:rPr>
      </w:pPr>
      <w:r w:rsidRPr="00A505E2">
        <w:rPr>
          <w:rFonts w:ascii="Arial" w:hAnsi="Arial" w:cs="Arial"/>
          <w:sz w:val="24"/>
          <w:szCs w:val="24"/>
        </w:rPr>
        <w:lastRenderedPageBreak/>
        <w:t>On December 12, 2012, the Commission initiated an investigation into the development of the retail electric service market.</w:t>
      </w:r>
      <w:r>
        <w:rPr>
          <w:rStyle w:val="FootnoteReference"/>
          <w:rFonts w:ascii="Arial" w:hAnsi="Arial" w:cs="Arial"/>
          <w:sz w:val="24"/>
          <w:szCs w:val="24"/>
        </w:rPr>
        <w:footnoteReference w:id="2"/>
      </w:r>
      <w:r w:rsidRPr="00A505E2">
        <w:rPr>
          <w:rFonts w:ascii="Arial" w:hAnsi="Arial" w:cs="Arial"/>
          <w:sz w:val="24"/>
          <w:szCs w:val="24"/>
        </w:rPr>
        <w:t xml:space="preserve">  In that entry, the Commission stated, “[a]s Ohio electric utilities are making the transition from functional to structural separation, the Commission finds it appropriate to evaluate the vitality of the competitive retail electric service markets supported by these legislative mandates now that the mandates have been in place sufficient time to assess the results.”</w:t>
      </w:r>
      <w:r>
        <w:rPr>
          <w:rStyle w:val="FootnoteReference"/>
          <w:rFonts w:ascii="Arial" w:hAnsi="Arial" w:cs="Arial"/>
          <w:sz w:val="24"/>
          <w:szCs w:val="24"/>
        </w:rPr>
        <w:footnoteReference w:id="3"/>
      </w:r>
      <w:r w:rsidRPr="00A505E2">
        <w:rPr>
          <w:rFonts w:ascii="Arial" w:hAnsi="Arial" w:cs="Arial"/>
          <w:sz w:val="24"/>
          <w:szCs w:val="24"/>
        </w:rPr>
        <w:t xml:space="preserve"> </w:t>
      </w:r>
      <w:r w:rsidR="00A567A8">
        <w:rPr>
          <w:rFonts w:ascii="Arial" w:hAnsi="Arial" w:cs="Arial"/>
          <w:sz w:val="24"/>
          <w:szCs w:val="24"/>
        </w:rPr>
        <w:t xml:space="preserve"> </w:t>
      </w:r>
      <w:r w:rsidRPr="00A505E2">
        <w:rPr>
          <w:rFonts w:ascii="Arial" w:hAnsi="Arial" w:cs="Arial"/>
          <w:sz w:val="24"/>
          <w:szCs w:val="24"/>
        </w:rPr>
        <w:t>In furtherance of its evaluation, the Commission solicited comments regarding several subjects and questions, including matters related to utilities’ corporate separation practices and their impact on the competitive market.</w:t>
      </w:r>
      <w:r>
        <w:rPr>
          <w:rStyle w:val="FootnoteReference"/>
          <w:rFonts w:ascii="Arial" w:hAnsi="Arial" w:cs="Arial"/>
          <w:sz w:val="24"/>
          <w:szCs w:val="24"/>
        </w:rPr>
        <w:footnoteReference w:id="4"/>
      </w:r>
      <w:r w:rsidRPr="00A505E2">
        <w:rPr>
          <w:rFonts w:ascii="Arial" w:hAnsi="Arial" w:cs="Arial"/>
          <w:sz w:val="24"/>
          <w:szCs w:val="24"/>
        </w:rPr>
        <w:t xml:space="preserve">  </w:t>
      </w:r>
    </w:p>
    <w:p w14:paraId="08242A56" w14:textId="77777777" w:rsidR="00A505E2" w:rsidRPr="00A505E2" w:rsidRDefault="00A505E2" w:rsidP="00A505E2">
      <w:pPr>
        <w:autoSpaceDE w:val="0"/>
        <w:autoSpaceDN w:val="0"/>
        <w:adjustRightInd w:val="0"/>
        <w:spacing w:after="120" w:line="480" w:lineRule="auto"/>
        <w:ind w:firstLine="720"/>
        <w:jc w:val="both"/>
        <w:rPr>
          <w:rFonts w:ascii="Arial" w:hAnsi="Arial" w:cs="Arial"/>
          <w:sz w:val="24"/>
          <w:szCs w:val="24"/>
        </w:rPr>
      </w:pPr>
      <w:r w:rsidRPr="00A505E2">
        <w:rPr>
          <w:rFonts w:ascii="Arial" w:hAnsi="Arial" w:cs="Arial"/>
          <w:sz w:val="24"/>
          <w:szCs w:val="24"/>
        </w:rPr>
        <w:t>On January 16, 2014, following the submission of comments, Commission Staff issued a Market Development Work Plan finding, among other things, that “Staff fully believes it is imperative that utility and its affiliate activities should be vigilantly monitored to ensure compliance with section 4928.17, O.R.C. and Chapter 4901:1-37, O.A.C. Furthermore, alignment of cost causation with cost recovery is important in order to further Ohio's policy goals pursuant to Section 4928.02, O.R.C.”</w:t>
      </w:r>
      <w:r>
        <w:rPr>
          <w:rStyle w:val="FootnoteReference"/>
          <w:rFonts w:ascii="Arial" w:hAnsi="Arial" w:cs="Arial"/>
          <w:sz w:val="24"/>
          <w:szCs w:val="24"/>
        </w:rPr>
        <w:footnoteReference w:id="5"/>
      </w:r>
      <w:r w:rsidRPr="00A505E2">
        <w:rPr>
          <w:rFonts w:ascii="Arial" w:hAnsi="Arial" w:cs="Arial"/>
          <w:sz w:val="24"/>
          <w:szCs w:val="24"/>
        </w:rPr>
        <w:t xml:space="preserve">  To that end, “Staff recommends that each utility's policy and procedures pertaining to compliance with the Code of Conduct rules between affiliates be audited at a minimum, every four years by </w:t>
      </w:r>
      <w:r w:rsidRPr="00A505E2">
        <w:rPr>
          <w:rFonts w:ascii="Arial" w:hAnsi="Arial" w:cs="Arial"/>
          <w:sz w:val="24"/>
          <w:szCs w:val="24"/>
        </w:rPr>
        <w:lastRenderedPageBreak/>
        <w:t>the Staff of the Commission or by a third party auditor chosen by the Commission and under the direction of Staff.”</w:t>
      </w:r>
      <w:r>
        <w:rPr>
          <w:rStyle w:val="FootnoteReference"/>
          <w:rFonts w:ascii="Arial" w:hAnsi="Arial" w:cs="Arial"/>
          <w:sz w:val="24"/>
          <w:szCs w:val="24"/>
        </w:rPr>
        <w:footnoteReference w:id="6"/>
      </w:r>
      <w:r w:rsidRPr="00A505E2">
        <w:rPr>
          <w:rFonts w:ascii="Arial" w:hAnsi="Arial" w:cs="Arial"/>
          <w:sz w:val="24"/>
          <w:szCs w:val="24"/>
        </w:rPr>
        <w:t xml:space="preserve">  </w:t>
      </w:r>
    </w:p>
    <w:p w14:paraId="6E78DE1C" w14:textId="77777777" w:rsidR="00A505E2" w:rsidRPr="00A505E2" w:rsidRDefault="00A505E2" w:rsidP="00A505E2">
      <w:pPr>
        <w:autoSpaceDE w:val="0"/>
        <w:autoSpaceDN w:val="0"/>
        <w:adjustRightInd w:val="0"/>
        <w:spacing w:after="120" w:line="480" w:lineRule="auto"/>
        <w:ind w:firstLine="720"/>
        <w:jc w:val="both"/>
        <w:rPr>
          <w:rFonts w:ascii="Arial" w:hAnsi="Arial" w:cs="Arial"/>
          <w:sz w:val="24"/>
          <w:szCs w:val="24"/>
        </w:rPr>
      </w:pPr>
      <w:r w:rsidRPr="00A505E2">
        <w:rPr>
          <w:rFonts w:ascii="Arial" w:hAnsi="Arial" w:cs="Arial"/>
          <w:sz w:val="24"/>
          <w:szCs w:val="24"/>
        </w:rPr>
        <w:t xml:space="preserve">On March 26, 2014, the Commission issued its order in the </w:t>
      </w:r>
      <w:r w:rsidRPr="00A505E2">
        <w:rPr>
          <w:rFonts w:ascii="Arial" w:hAnsi="Arial" w:cs="Arial"/>
          <w:i/>
          <w:sz w:val="24"/>
          <w:szCs w:val="24"/>
        </w:rPr>
        <w:t>RMI Docket</w:t>
      </w:r>
      <w:r w:rsidRPr="00A505E2">
        <w:rPr>
          <w:rFonts w:ascii="Arial" w:hAnsi="Arial" w:cs="Arial"/>
          <w:sz w:val="24"/>
          <w:szCs w:val="24"/>
        </w:rPr>
        <w:t>, holding that “in light of the importance of vigilant monitoring of utility and affiliate activities, the Commission adopts Staff’s recommended audit schedule, unless the Commission subsequently orders otherwise, with the recovery of the cost of the audit as a normal operating expense.”</w:t>
      </w:r>
      <w:r>
        <w:rPr>
          <w:rStyle w:val="FootnoteReference"/>
          <w:rFonts w:ascii="Arial" w:hAnsi="Arial" w:cs="Arial"/>
          <w:sz w:val="24"/>
          <w:szCs w:val="24"/>
        </w:rPr>
        <w:footnoteReference w:id="7"/>
      </w:r>
      <w:r w:rsidRPr="00A505E2">
        <w:rPr>
          <w:rFonts w:ascii="Arial" w:hAnsi="Arial" w:cs="Arial"/>
          <w:sz w:val="24"/>
          <w:szCs w:val="24"/>
        </w:rPr>
        <w:t xml:space="preserve">  </w:t>
      </w:r>
    </w:p>
    <w:p w14:paraId="48EEFC2C" w14:textId="7D9B2DD6" w:rsidR="00A90341" w:rsidRPr="00660996" w:rsidRDefault="00A505E2" w:rsidP="00360A6C">
      <w:pPr>
        <w:autoSpaceDE w:val="0"/>
        <w:autoSpaceDN w:val="0"/>
        <w:adjustRightInd w:val="0"/>
        <w:spacing w:after="120" w:line="480" w:lineRule="auto"/>
        <w:ind w:firstLine="720"/>
        <w:jc w:val="both"/>
        <w:rPr>
          <w:rFonts w:ascii="Arial" w:hAnsi="Arial" w:cs="Arial"/>
          <w:sz w:val="24"/>
          <w:szCs w:val="24"/>
        </w:rPr>
      </w:pPr>
      <w:r w:rsidRPr="00A505E2">
        <w:rPr>
          <w:rFonts w:ascii="Arial" w:hAnsi="Arial" w:cs="Arial"/>
          <w:sz w:val="24"/>
          <w:szCs w:val="24"/>
        </w:rPr>
        <w:t xml:space="preserve">On April 12, 2017, the Commission opened this docket to initiate an audit of FirstEnergy’s compliance with R.C. 4928.17 and OAC 4901:1-37.  On July 5, 2017, the Commission selected Sage Management Consultants, LLC to provide audit services to </w:t>
      </w:r>
      <w:r w:rsidRPr="00660996">
        <w:rPr>
          <w:rFonts w:ascii="Arial" w:hAnsi="Arial" w:cs="Arial"/>
          <w:sz w:val="24"/>
          <w:szCs w:val="24"/>
        </w:rPr>
        <w:t>assist the Commission in its review.</w:t>
      </w:r>
      <w:r w:rsidRPr="00660996">
        <w:rPr>
          <w:rStyle w:val="FootnoteReference"/>
          <w:rFonts w:ascii="Arial" w:hAnsi="Arial" w:cs="Arial"/>
          <w:sz w:val="24"/>
          <w:szCs w:val="24"/>
        </w:rPr>
        <w:footnoteReference w:id="8"/>
      </w:r>
    </w:p>
    <w:p w14:paraId="19BEBC76" w14:textId="1BB85567" w:rsidR="00360A6C" w:rsidRPr="00660996" w:rsidRDefault="00360A6C" w:rsidP="008F554F">
      <w:pPr>
        <w:autoSpaceDE w:val="0"/>
        <w:autoSpaceDN w:val="0"/>
        <w:adjustRightInd w:val="0"/>
        <w:spacing w:after="120" w:line="480" w:lineRule="auto"/>
        <w:ind w:firstLine="720"/>
        <w:jc w:val="both"/>
        <w:rPr>
          <w:rFonts w:ascii="Arial" w:hAnsi="Arial" w:cs="Arial"/>
          <w:sz w:val="24"/>
          <w:szCs w:val="24"/>
        </w:rPr>
      </w:pPr>
      <w:r w:rsidRPr="00660996">
        <w:rPr>
          <w:rFonts w:ascii="Arial" w:hAnsi="Arial" w:cs="Arial"/>
          <w:sz w:val="24"/>
          <w:szCs w:val="24"/>
        </w:rPr>
        <w:t>On January 4, 2018, the Retail Energy Supply Association submitted a letter requesting that FirstEnergy’s Chief Ethics</w:t>
      </w:r>
      <w:r w:rsidR="00A567A8">
        <w:rPr>
          <w:rFonts w:ascii="Arial" w:hAnsi="Arial" w:cs="Arial"/>
          <w:sz w:val="24"/>
          <w:szCs w:val="24"/>
        </w:rPr>
        <w:t xml:space="preserve"> Officer “investigate probable</w:t>
      </w:r>
      <w:r w:rsidRPr="00660996">
        <w:rPr>
          <w:rFonts w:ascii="Arial" w:hAnsi="Arial" w:cs="Arial"/>
          <w:sz w:val="24"/>
          <w:szCs w:val="24"/>
        </w:rPr>
        <w:t xml:space="preserve"> violations of the FirstEnergy Ohio electric utilities’ (EDUs) Corporate Separation Plan.”</w:t>
      </w:r>
      <w:r w:rsidRPr="00660996">
        <w:rPr>
          <w:rStyle w:val="FootnoteReference"/>
          <w:rFonts w:ascii="Arial" w:hAnsi="Arial" w:cs="Arial"/>
          <w:sz w:val="24"/>
          <w:szCs w:val="24"/>
        </w:rPr>
        <w:footnoteReference w:id="9"/>
      </w:r>
      <w:r w:rsidR="008460F9" w:rsidRPr="00660996">
        <w:rPr>
          <w:rFonts w:ascii="Arial" w:hAnsi="Arial" w:cs="Arial"/>
          <w:sz w:val="24"/>
          <w:szCs w:val="24"/>
        </w:rPr>
        <w:t xml:space="preserve">  The letter identif</w:t>
      </w:r>
      <w:r w:rsidR="00147142">
        <w:rPr>
          <w:rFonts w:ascii="Arial" w:hAnsi="Arial" w:cs="Arial"/>
          <w:sz w:val="24"/>
          <w:szCs w:val="24"/>
        </w:rPr>
        <w:t xml:space="preserve">ied that FirstEnergy </w:t>
      </w:r>
      <w:r w:rsidR="008460F9" w:rsidRPr="00660996">
        <w:rPr>
          <w:rFonts w:ascii="Arial" w:hAnsi="Arial" w:cs="Arial"/>
          <w:sz w:val="24"/>
          <w:szCs w:val="24"/>
        </w:rPr>
        <w:t>offer</w:t>
      </w:r>
      <w:r w:rsidR="00147142">
        <w:rPr>
          <w:rFonts w:ascii="Arial" w:hAnsi="Arial" w:cs="Arial"/>
          <w:sz w:val="24"/>
          <w:szCs w:val="24"/>
        </w:rPr>
        <w:t>s</w:t>
      </w:r>
      <w:r w:rsidR="008460F9" w:rsidRPr="00660996">
        <w:rPr>
          <w:rFonts w:ascii="Arial" w:hAnsi="Arial" w:cs="Arial"/>
          <w:sz w:val="24"/>
          <w:szCs w:val="24"/>
        </w:rPr>
        <w:t xml:space="preserve"> products and services other than retail electric service (non-electric services) in </w:t>
      </w:r>
      <w:r w:rsidR="00147142">
        <w:rPr>
          <w:rFonts w:ascii="Arial" w:hAnsi="Arial" w:cs="Arial"/>
          <w:sz w:val="24"/>
          <w:szCs w:val="24"/>
        </w:rPr>
        <w:t>a manner that violates</w:t>
      </w:r>
      <w:r w:rsidR="008460F9" w:rsidRPr="00660996">
        <w:rPr>
          <w:rFonts w:ascii="Arial" w:hAnsi="Arial" w:cs="Arial"/>
          <w:sz w:val="24"/>
          <w:szCs w:val="24"/>
        </w:rPr>
        <w:t xml:space="preserve"> of it</w:t>
      </w:r>
      <w:r w:rsidR="00147142">
        <w:rPr>
          <w:rFonts w:ascii="Arial" w:hAnsi="Arial" w:cs="Arial"/>
          <w:sz w:val="24"/>
          <w:szCs w:val="24"/>
        </w:rPr>
        <w:t xml:space="preserve">s corporate separation plan, </w:t>
      </w:r>
      <w:r w:rsidR="008460F9" w:rsidRPr="00660996">
        <w:rPr>
          <w:rFonts w:ascii="Arial" w:hAnsi="Arial" w:cs="Arial"/>
          <w:sz w:val="24"/>
          <w:szCs w:val="24"/>
        </w:rPr>
        <w:t xml:space="preserve">R.C. </w:t>
      </w:r>
      <w:r w:rsidR="008460F9" w:rsidRPr="00660996">
        <w:rPr>
          <w:rFonts w:ascii="Arial" w:hAnsi="Arial" w:cs="Arial"/>
          <w:sz w:val="24"/>
          <w:szCs w:val="24"/>
        </w:rPr>
        <w:lastRenderedPageBreak/>
        <w:t>4928.17</w:t>
      </w:r>
      <w:r w:rsidR="00147142">
        <w:rPr>
          <w:rFonts w:ascii="Arial" w:hAnsi="Arial" w:cs="Arial"/>
          <w:sz w:val="24"/>
          <w:szCs w:val="24"/>
        </w:rPr>
        <w:t>, and filed tariffs</w:t>
      </w:r>
      <w:r w:rsidR="008460F9" w:rsidRPr="00660996">
        <w:rPr>
          <w:rFonts w:ascii="Arial" w:hAnsi="Arial" w:cs="Arial"/>
          <w:sz w:val="24"/>
          <w:szCs w:val="24"/>
        </w:rPr>
        <w:t>.  On February 8, 2018, FirstEnergy submitted a letter to RESA stating that:</w:t>
      </w:r>
    </w:p>
    <w:p w14:paraId="198C5371" w14:textId="46DA9970" w:rsidR="008460F9" w:rsidRDefault="008460F9" w:rsidP="00660996">
      <w:pPr>
        <w:autoSpaceDE w:val="0"/>
        <w:autoSpaceDN w:val="0"/>
        <w:adjustRightInd w:val="0"/>
        <w:spacing w:after="0" w:line="240" w:lineRule="auto"/>
        <w:ind w:left="720" w:right="864"/>
        <w:jc w:val="both"/>
        <w:rPr>
          <w:rFonts w:ascii="Arial" w:hAnsi="Arial" w:cs="Arial"/>
          <w:sz w:val="24"/>
          <w:szCs w:val="24"/>
        </w:rPr>
      </w:pPr>
      <w:r w:rsidRPr="00660996">
        <w:rPr>
          <w:rFonts w:ascii="Arial" w:hAnsi="Arial" w:cs="Arial"/>
          <w:sz w:val="24"/>
          <w:szCs w:val="24"/>
        </w:rPr>
        <w:t>1) the EDUs are permitted to offer certain products and services other than retail electric servi</w:t>
      </w:r>
      <w:r w:rsidR="00147142">
        <w:rPr>
          <w:rFonts w:ascii="Arial" w:hAnsi="Arial" w:cs="Arial"/>
          <w:sz w:val="24"/>
          <w:szCs w:val="24"/>
        </w:rPr>
        <w:t>ce under their corporate separati</w:t>
      </w:r>
      <w:r w:rsidRPr="00660996">
        <w:rPr>
          <w:rFonts w:ascii="Arial" w:hAnsi="Arial" w:cs="Arial"/>
          <w:sz w:val="24"/>
          <w:szCs w:val="24"/>
        </w:rPr>
        <w:t>on plan and existing tariff provisions, including the programs and services currently being offered by the EDUs in the Smartmart program; 2) that the probable violations alleged in RESA’s January 4, 2018 letter appear to be unfounded; and 3) that the EDUs’ offering of these programs and services are not in violation of RC 4928.17 or RC 4905.30.</w:t>
      </w:r>
      <w:r w:rsidR="00660996" w:rsidRPr="00660996">
        <w:rPr>
          <w:rStyle w:val="FootnoteReference"/>
          <w:rFonts w:ascii="Arial" w:hAnsi="Arial" w:cs="Arial"/>
          <w:sz w:val="24"/>
          <w:szCs w:val="24"/>
        </w:rPr>
        <w:footnoteReference w:id="10"/>
      </w:r>
    </w:p>
    <w:p w14:paraId="223B342E" w14:textId="77777777" w:rsidR="00660996" w:rsidRPr="00660996" w:rsidRDefault="00660996" w:rsidP="00660996">
      <w:pPr>
        <w:autoSpaceDE w:val="0"/>
        <w:autoSpaceDN w:val="0"/>
        <w:adjustRightInd w:val="0"/>
        <w:spacing w:after="0" w:line="240" w:lineRule="auto"/>
        <w:ind w:left="720" w:right="864"/>
        <w:jc w:val="both"/>
        <w:rPr>
          <w:rFonts w:ascii="Arial" w:hAnsi="Arial" w:cs="Arial"/>
          <w:sz w:val="24"/>
          <w:szCs w:val="24"/>
        </w:rPr>
      </w:pPr>
    </w:p>
    <w:p w14:paraId="3BDDCDAB" w14:textId="24B2A617" w:rsidR="00660996" w:rsidRPr="00660996" w:rsidRDefault="00660996" w:rsidP="00660996">
      <w:pPr>
        <w:autoSpaceDE w:val="0"/>
        <w:autoSpaceDN w:val="0"/>
        <w:adjustRightInd w:val="0"/>
        <w:spacing w:after="0" w:line="480" w:lineRule="auto"/>
        <w:jc w:val="both"/>
        <w:rPr>
          <w:rFonts w:ascii="Arial" w:hAnsi="Arial" w:cs="Arial"/>
          <w:sz w:val="24"/>
          <w:szCs w:val="24"/>
        </w:rPr>
      </w:pPr>
      <w:r w:rsidRPr="00660996">
        <w:rPr>
          <w:rFonts w:ascii="Arial" w:hAnsi="Arial" w:cs="Arial"/>
          <w:sz w:val="24"/>
          <w:szCs w:val="24"/>
        </w:rPr>
        <w:t>On April 25, 2018, RESA filed a complaint against FirstEnergy at the Commission</w:t>
      </w:r>
      <w:r>
        <w:rPr>
          <w:rFonts w:ascii="Arial" w:hAnsi="Arial" w:cs="Arial"/>
          <w:sz w:val="24"/>
          <w:szCs w:val="24"/>
        </w:rPr>
        <w:t>, alleging several violations of R.C. 4928.17 and o</w:t>
      </w:r>
      <w:r w:rsidR="00EC2A4C">
        <w:rPr>
          <w:rFonts w:ascii="Arial" w:hAnsi="Arial" w:cs="Arial"/>
          <w:sz w:val="24"/>
          <w:szCs w:val="24"/>
        </w:rPr>
        <w:t>ther</w:t>
      </w:r>
      <w:r>
        <w:rPr>
          <w:rFonts w:ascii="Arial" w:hAnsi="Arial" w:cs="Arial"/>
          <w:sz w:val="24"/>
          <w:szCs w:val="24"/>
        </w:rPr>
        <w:t xml:space="preserve"> Ohio statutes prohibiting</w:t>
      </w:r>
      <w:r w:rsidR="00EC2A4C">
        <w:rPr>
          <w:rFonts w:ascii="Arial" w:hAnsi="Arial" w:cs="Arial"/>
          <w:sz w:val="24"/>
          <w:szCs w:val="24"/>
        </w:rPr>
        <w:t xml:space="preserve"> regulated entities from discriminating or providing</w:t>
      </w:r>
      <w:r>
        <w:rPr>
          <w:rFonts w:ascii="Arial" w:hAnsi="Arial" w:cs="Arial"/>
          <w:sz w:val="24"/>
          <w:szCs w:val="24"/>
        </w:rPr>
        <w:t xml:space="preserve"> undue preferen</w:t>
      </w:r>
      <w:r w:rsidR="00EC2A4C">
        <w:rPr>
          <w:rFonts w:ascii="Arial" w:hAnsi="Arial" w:cs="Arial"/>
          <w:sz w:val="24"/>
          <w:szCs w:val="24"/>
        </w:rPr>
        <w:t>ces in the provision of services</w:t>
      </w:r>
      <w:r w:rsidRPr="00660996">
        <w:rPr>
          <w:rFonts w:ascii="Arial" w:hAnsi="Arial" w:cs="Arial"/>
          <w:sz w:val="24"/>
          <w:szCs w:val="24"/>
        </w:rPr>
        <w:t>.</w:t>
      </w:r>
      <w:r w:rsidR="002537F3">
        <w:rPr>
          <w:rStyle w:val="FootnoteReference"/>
          <w:rFonts w:ascii="Arial" w:hAnsi="Arial" w:cs="Arial"/>
          <w:sz w:val="24"/>
          <w:szCs w:val="24"/>
        </w:rPr>
        <w:footnoteReference w:id="11"/>
      </w:r>
      <w:r w:rsidRPr="00660996">
        <w:rPr>
          <w:rFonts w:ascii="Arial" w:hAnsi="Arial" w:cs="Arial"/>
          <w:sz w:val="24"/>
          <w:szCs w:val="24"/>
        </w:rPr>
        <w:t xml:space="preserve">  Among other things, the complaint alleges that FirstEnergy utilizes non-competitive assets and resources, including the utility bill, to invoice a</w:t>
      </w:r>
      <w:r w:rsidR="0083294E">
        <w:rPr>
          <w:rFonts w:ascii="Arial" w:hAnsi="Arial" w:cs="Arial"/>
          <w:sz w:val="24"/>
          <w:szCs w:val="24"/>
        </w:rPr>
        <w:t>nd collect for</w:t>
      </w:r>
      <w:r w:rsidRPr="00660996">
        <w:rPr>
          <w:rFonts w:ascii="Arial" w:hAnsi="Arial" w:cs="Arial"/>
          <w:sz w:val="24"/>
          <w:szCs w:val="24"/>
        </w:rPr>
        <w:t xml:space="preserve"> non-electric products </w:t>
      </w:r>
      <w:r w:rsidR="0083294E">
        <w:rPr>
          <w:rFonts w:ascii="Arial" w:hAnsi="Arial" w:cs="Arial"/>
          <w:sz w:val="24"/>
          <w:szCs w:val="24"/>
        </w:rPr>
        <w:t xml:space="preserve">and services </w:t>
      </w:r>
      <w:r w:rsidRPr="00660996">
        <w:rPr>
          <w:rFonts w:ascii="Arial" w:hAnsi="Arial" w:cs="Arial"/>
          <w:sz w:val="24"/>
          <w:szCs w:val="24"/>
        </w:rPr>
        <w:t>while denying non-affiliated third parties from using the same assets to provide the same or similar products:</w:t>
      </w:r>
    </w:p>
    <w:p w14:paraId="61B8EE4B" w14:textId="3AD6D432" w:rsidR="00660996" w:rsidRPr="00660996" w:rsidRDefault="00660996" w:rsidP="00660996">
      <w:pPr>
        <w:autoSpaceDE w:val="0"/>
        <w:autoSpaceDN w:val="0"/>
        <w:adjustRightInd w:val="0"/>
        <w:spacing w:after="0" w:line="240" w:lineRule="auto"/>
        <w:ind w:left="720" w:right="720"/>
        <w:jc w:val="both"/>
        <w:rPr>
          <w:rFonts w:ascii="Arial" w:hAnsi="Arial" w:cs="Arial"/>
          <w:sz w:val="24"/>
          <w:szCs w:val="24"/>
        </w:rPr>
      </w:pPr>
      <w:r w:rsidRPr="00660996">
        <w:rPr>
          <w:rFonts w:ascii="Arial" w:hAnsi="Arial" w:cs="Arial"/>
          <w:sz w:val="24"/>
          <w:szCs w:val="24"/>
        </w:rPr>
        <w:t>16. The FirstEnergy EDUs utilize, or permit their affiliate(s) and/or third-party</w:t>
      </w:r>
      <w:r>
        <w:rPr>
          <w:rFonts w:ascii="Arial" w:hAnsi="Arial" w:cs="Arial"/>
          <w:sz w:val="24"/>
          <w:szCs w:val="24"/>
        </w:rPr>
        <w:t xml:space="preserve"> </w:t>
      </w:r>
      <w:r w:rsidRPr="00660996">
        <w:rPr>
          <w:rFonts w:ascii="Arial" w:hAnsi="Arial" w:cs="Arial"/>
          <w:sz w:val="24"/>
          <w:szCs w:val="24"/>
        </w:rPr>
        <w:t>partner(s) to utilize, utility assets and resources for the marketing, advertising, promotion, financing and/or billing of Smartmart and HomeServe nonelectric products and services.</w:t>
      </w:r>
    </w:p>
    <w:p w14:paraId="3DDA3717" w14:textId="77777777" w:rsidR="00660996" w:rsidRPr="00660996" w:rsidRDefault="00660996" w:rsidP="00660996">
      <w:pPr>
        <w:autoSpaceDE w:val="0"/>
        <w:autoSpaceDN w:val="0"/>
        <w:adjustRightInd w:val="0"/>
        <w:spacing w:after="0" w:line="240" w:lineRule="auto"/>
        <w:ind w:left="720" w:right="720"/>
        <w:jc w:val="both"/>
        <w:rPr>
          <w:rFonts w:ascii="Arial" w:hAnsi="Arial" w:cs="Arial"/>
          <w:sz w:val="24"/>
          <w:szCs w:val="24"/>
        </w:rPr>
      </w:pPr>
    </w:p>
    <w:p w14:paraId="19EACCA2" w14:textId="36340AD5" w:rsidR="008460F9" w:rsidRDefault="00660996" w:rsidP="00EC2A4C">
      <w:pPr>
        <w:autoSpaceDE w:val="0"/>
        <w:autoSpaceDN w:val="0"/>
        <w:adjustRightInd w:val="0"/>
        <w:spacing w:after="0" w:line="240" w:lineRule="auto"/>
        <w:ind w:left="720" w:right="720"/>
        <w:jc w:val="both"/>
        <w:rPr>
          <w:rFonts w:ascii="Arial" w:hAnsi="Arial" w:cs="Arial"/>
          <w:sz w:val="24"/>
          <w:szCs w:val="24"/>
        </w:rPr>
      </w:pPr>
      <w:r w:rsidRPr="00660996">
        <w:rPr>
          <w:rFonts w:ascii="Arial" w:hAnsi="Arial" w:cs="Arial"/>
          <w:sz w:val="24"/>
          <w:szCs w:val="24"/>
        </w:rPr>
        <w:t>17. The FirstEnergy EDUs do not permit non-affiliated competitors to utilize the</w:t>
      </w:r>
      <w:r>
        <w:rPr>
          <w:rFonts w:ascii="Arial" w:hAnsi="Arial" w:cs="Arial"/>
          <w:sz w:val="24"/>
          <w:szCs w:val="24"/>
        </w:rPr>
        <w:t xml:space="preserve"> </w:t>
      </w:r>
      <w:r w:rsidRPr="00660996">
        <w:rPr>
          <w:rFonts w:ascii="Arial" w:hAnsi="Arial" w:cs="Arial"/>
          <w:sz w:val="24"/>
          <w:szCs w:val="24"/>
        </w:rPr>
        <w:t>same utility assets and resources for the marketing, advertising, promotion, financing and/or billing of similar nonelectric services and products to the FirstEnergy EDUs’ customers.</w:t>
      </w:r>
      <w:r w:rsidR="002537F3">
        <w:rPr>
          <w:rStyle w:val="FootnoteReference"/>
          <w:rFonts w:ascii="Arial" w:hAnsi="Arial" w:cs="Arial"/>
          <w:sz w:val="24"/>
          <w:szCs w:val="24"/>
        </w:rPr>
        <w:footnoteReference w:id="12"/>
      </w:r>
    </w:p>
    <w:p w14:paraId="73955C19" w14:textId="77777777" w:rsidR="00EC2A4C" w:rsidRPr="008460F9" w:rsidRDefault="00EC2A4C" w:rsidP="00EC2A4C">
      <w:pPr>
        <w:autoSpaceDE w:val="0"/>
        <w:autoSpaceDN w:val="0"/>
        <w:adjustRightInd w:val="0"/>
        <w:spacing w:after="0" w:line="240" w:lineRule="auto"/>
        <w:ind w:left="720" w:right="720"/>
        <w:jc w:val="both"/>
        <w:rPr>
          <w:rFonts w:ascii="Arial" w:hAnsi="Arial" w:cs="Arial"/>
          <w:sz w:val="24"/>
          <w:szCs w:val="24"/>
        </w:rPr>
      </w:pPr>
    </w:p>
    <w:p w14:paraId="14D26B9E" w14:textId="49B113D0" w:rsidR="00EC2A4C" w:rsidRDefault="00A505E2" w:rsidP="008F554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May 14, 2018, Sage Management Consultants, LLC issued an audit report assessing Ohio Edison Company’s, Cleveland Electric Illuminating Company’s, Toledo </w:t>
      </w:r>
      <w:r>
        <w:rPr>
          <w:rFonts w:ascii="Arial" w:hAnsi="Arial" w:cs="Arial"/>
          <w:sz w:val="24"/>
          <w:szCs w:val="24"/>
        </w:rPr>
        <w:lastRenderedPageBreak/>
        <w:t xml:space="preserve">Edison Company’s (collectively, “FirstEnergy”) </w:t>
      </w:r>
      <w:r w:rsidRPr="008F554F">
        <w:rPr>
          <w:rFonts w:ascii="Arial" w:hAnsi="Arial" w:cs="Arial"/>
          <w:sz w:val="24"/>
          <w:szCs w:val="24"/>
        </w:rPr>
        <w:t>compliance with Ohio’s the corporate separation law</w:t>
      </w:r>
      <w:r w:rsidR="00B72549">
        <w:rPr>
          <w:rFonts w:ascii="Arial" w:hAnsi="Arial" w:cs="Arial"/>
          <w:sz w:val="24"/>
          <w:szCs w:val="24"/>
        </w:rPr>
        <w:t xml:space="preserve">.  </w:t>
      </w:r>
    </w:p>
    <w:p w14:paraId="4575F122" w14:textId="2E5133DC" w:rsidR="00B72549" w:rsidRDefault="00EC2A4C" w:rsidP="00B7254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May 15, 2018, FirstEnergy filed an answer, admitting and denying certain aspects of RESA’s complaint.</w:t>
      </w:r>
      <w:r w:rsidR="002537F3">
        <w:rPr>
          <w:rStyle w:val="FootnoteReference"/>
          <w:rFonts w:ascii="Arial" w:hAnsi="Arial" w:cs="Arial"/>
          <w:sz w:val="24"/>
          <w:szCs w:val="24"/>
        </w:rPr>
        <w:footnoteReference w:id="13"/>
      </w:r>
      <w:r w:rsidR="00B72549">
        <w:rPr>
          <w:rFonts w:ascii="Arial" w:hAnsi="Arial" w:cs="Arial"/>
          <w:sz w:val="24"/>
          <w:szCs w:val="24"/>
        </w:rPr>
        <w:t xml:space="preserve">  The complaint remains pending.</w:t>
      </w:r>
    </w:p>
    <w:p w14:paraId="62F672AA" w14:textId="4A167EDF" w:rsidR="00A505E2" w:rsidRDefault="00564D59" w:rsidP="00147142">
      <w:pPr>
        <w:pStyle w:val="ListParagraph"/>
        <w:numPr>
          <w:ilvl w:val="0"/>
          <w:numId w:val="24"/>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Corporate Separation </w:t>
      </w:r>
      <w:r w:rsidR="00B849B2">
        <w:rPr>
          <w:rFonts w:ascii="Arial" w:hAnsi="Arial" w:cs="Arial"/>
          <w:b/>
          <w:sz w:val="24"/>
          <w:szCs w:val="24"/>
        </w:rPr>
        <w:t>Requirements and the Audit Report’s Recommendations</w:t>
      </w:r>
    </w:p>
    <w:p w14:paraId="08A5F2F2" w14:textId="50E8CE9A" w:rsidR="00B849B2" w:rsidRDefault="00564D59" w:rsidP="00B849B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Ohio’s corporate separation requirements ar</w:t>
      </w:r>
      <w:r w:rsidR="00B849B2">
        <w:rPr>
          <w:rFonts w:ascii="Arial" w:hAnsi="Arial" w:cs="Arial"/>
          <w:sz w:val="24"/>
          <w:szCs w:val="24"/>
        </w:rPr>
        <w:t>e set forth in</w:t>
      </w:r>
      <w:r>
        <w:rPr>
          <w:rFonts w:ascii="Arial" w:hAnsi="Arial" w:cs="Arial"/>
          <w:sz w:val="24"/>
          <w:szCs w:val="24"/>
        </w:rPr>
        <w:t xml:space="preserve"> R.C. 4928.17 and OAC Rule 4901:1-37</w:t>
      </w:r>
      <w:r w:rsidR="00B849B2">
        <w:rPr>
          <w:rFonts w:ascii="Arial" w:hAnsi="Arial" w:cs="Arial"/>
          <w:sz w:val="24"/>
          <w:szCs w:val="24"/>
        </w:rPr>
        <w:t>.  Specifically, the corporate separation plan must comply with the following:</w:t>
      </w:r>
    </w:p>
    <w:p w14:paraId="0E4AD9D1" w14:textId="30A037AA" w:rsidR="00B849B2" w:rsidRDefault="00B849B2" w:rsidP="00B849B2">
      <w:pPr>
        <w:pStyle w:val="ListParagraph"/>
        <w:numPr>
          <w:ilvl w:val="0"/>
          <w:numId w:val="25"/>
        </w:numPr>
        <w:autoSpaceDE w:val="0"/>
        <w:autoSpaceDN w:val="0"/>
        <w:adjustRightInd w:val="0"/>
        <w:spacing w:after="120" w:line="240" w:lineRule="auto"/>
        <w:jc w:val="both"/>
        <w:rPr>
          <w:rFonts w:ascii="Arial" w:hAnsi="Arial" w:cs="Arial"/>
          <w:sz w:val="24"/>
          <w:szCs w:val="24"/>
        </w:rPr>
      </w:pPr>
      <w:r w:rsidRPr="00B849B2">
        <w:rPr>
          <w:rFonts w:ascii="Arial" w:hAnsi="Arial" w:cs="Arial"/>
          <w:sz w:val="24"/>
          <w:szCs w:val="24"/>
        </w:rPr>
        <w:t>The plan provides, at minimum,</w:t>
      </w:r>
      <w:r>
        <w:rPr>
          <w:rFonts w:ascii="Arial" w:hAnsi="Arial" w:cs="Arial"/>
          <w:sz w:val="24"/>
          <w:szCs w:val="24"/>
        </w:rPr>
        <w:t xml:space="preserve"> </w:t>
      </w:r>
      <w:r w:rsidRPr="00B849B2">
        <w:rPr>
          <w:rFonts w:ascii="Arial" w:hAnsi="Arial" w:cs="Arial"/>
          <w:sz w:val="24"/>
          <w:szCs w:val="24"/>
        </w:rPr>
        <w:t xml:space="preserve">provision of the competitive retail electric service </w:t>
      </w:r>
      <w:r w:rsidRPr="00147142">
        <w:rPr>
          <w:rFonts w:ascii="Arial" w:hAnsi="Arial" w:cs="Arial"/>
          <w:i/>
          <w:sz w:val="24"/>
          <w:szCs w:val="24"/>
        </w:rPr>
        <w:t>or the nonelectric product or service through a fully separated affiliate of the utility</w:t>
      </w:r>
      <w:r w:rsidR="00147142">
        <w:rPr>
          <w:rFonts w:ascii="Arial" w:hAnsi="Arial" w:cs="Arial"/>
          <w:i/>
          <w:sz w:val="24"/>
          <w:szCs w:val="24"/>
        </w:rPr>
        <w:t>.</w:t>
      </w:r>
      <w:r w:rsidR="00147142">
        <w:rPr>
          <w:rFonts w:ascii="Arial" w:hAnsi="Arial" w:cs="Arial"/>
          <w:sz w:val="24"/>
          <w:szCs w:val="24"/>
        </w:rPr>
        <w:t xml:space="preserve"> (emphasis added)</w:t>
      </w:r>
    </w:p>
    <w:p w14:paraId="73419F13" w14:textId="77777777" w:rsidR="00147142" w:rsidRDefault="00147142" w:rsidP="00147142">
      <w:pPr>
        <w:pStyle w:val="ListParagraph"/>
        <w:autoSpaceDE w:val="0"/>
        <w:autoSpaceDN w:val="0"/>
        <w:adjustRightInd w:val="0"/>
        <w:spacing w:after="120" w:line="240" w:lineRule="auto"/>
        <w:ind w:left="1440"/>
        <w:jc w:val="both"/>
        <w:rPr>
          <w:rFonts w:ascii="Arial" w:hAnsi="Arial" w:cs="Arial"/>
          <w:sz w:val="24"/>
          <w:szCs w:val="24"/>
        </w:rPr>
      </w:pPr>
    </w:p>
    <w:p w14:paraId="7DA6F7DC" w14:textId="2839D162" w:rsidR="00147142" w:rsidRPr="002537F3" w:rsidRDefault="00B849B2" w:rsidP="002537F3">
      <w:pPr>
        <w:pStyle w:val="ListParagraph"/>
        <w:numPr>
          <w:ilvl w:val="0"/>
          <w:numId w:val="25"/>
        </w:numPr>
        <w:autoSpaceDE w:val="0"/>
        <w:autoSpaceDN w:val="0"/>
        <w:adjustRightInd w:val="0"/>
        <w:spacing w:after="120" w:line="240" w:lineRule="auto"/>
        <w:jc w:val="both"/>
        <w:rPr>
          <w:rFonts w:ascii="Arial" w:hAnsi="Arial" w:cs="Arial"/>
          <w:sz w:val="24"/>
          <w:szCs w:val="24"/>
        </w:rPr>
      </w:pPr>
      <w:r w:rsidRPr="00B849B2">
        <w:rPr>
          <w:rFonts w:ascii="Arial" w:hAnsi="Arial" w:cs="Arial"/>
          <w:sz w:val="24"/>
          <w:szCs w:val="24"/>
        </w:rPr>
        <w:t>The plan satisfies the public interest in preventing unfair competitive advantage and preventing the abuse of market power.</w:t>
      </w:r>
    </w:p>
    <w:p w14:paraId="5C3F2623" w14:textId="77777777" w:rsidR="00147142" w:rsidRDefault="00147142" w:rsidP="00147142">
      <w:pPr>
        <w:pStyle w:val="ListParagraph"/>
        <w:autoSpaceDE w:val="0"/>
        <w:autoSpaceDN w:val="0"/>
        <w:adjustRightInd w:val="0"/>
        <w:spacing w:after="120" w:line="240" w:lineRule="auto"/>
        <w:ind w:left="1440"/>
        <w:jc w:val="both"/>
        <w:rPr>
          <w:rFonts w:ascii="Arial" w:hAnsi="Arial" w:cs="Arial"/>
          <w:sz w:val="24"/>
          <w:szCs w:val="24"/>
        </w:rPr>
      </w:pPr>
    </w:p>
    <w:p w14:paraId="511E42FA" w14:textId="5C0E0F6C" w:rsidR="00B849B2" w:rsidRDefault="00B849B2" w:rsidP="00B849B2">
      <w:pPr>
        <w:pStyle w:val="ListParagraph"/>
        <w:numPr>
          <w:ilvl w:val="0"/>
          <w:numId w:val="25"/>
        </w:numPr>
        <w:autoSpaceDE w:val="0"/>
        <w:autoSpaceDN w:val="0"/>
        <w:adjustRightInd w:val="0"/>
        <w:spacing w:after="120" w:line="240" w:lineRule="auto"/>
        <w:jc w:val="both"/>
        <w:rPr>
          <w:rFonts w:ascii="Arial" w:hAnsi="Arial" w:cs="Arial"/>
          <w:sz w:val="24"/>
          <w:szCs w:val="24"/>
        </w:rPr>
      </w:pPr>
      <w:r w:rsidRPr="00B849B2">
        <w:rPr>
          <w:rFonts w:ascii="Arial" w:hAnsi="Arial" w:cs="Arial"/>
          <w:sz w:val="24"/>
          <w:szCs w:val="24"/>
        </w:rPr>
        <w:t>The plan is sufficient to ensure that the utility will not extend any undue preference or advantage to any affiliate, division, or part of its own business engaged in the business of supplying the competitive retail electric service or nonelectric product or service, including, but not limited to, utility resources such as trucks, tools, office equipment, office space, supplies, customer and marketing information, advertising, billing and mailing systems, personnel, and training, without compensation based upon fully loaded embedded costs charged to the affiliate; and to ensure that any such affiliate, division, or part will not receive undue preference or advantage from any affiliate, division, or part of the business engaged in business of supplying the noncompetitive retail electric service. No such utility, affiliate, division, or part shall extend such undue preference.</w:t>
      </w:r>
    </w:p>
    <w:p w14:paraId="25F44932" w14:textId="4D2260DC" w:rsidR="00B849B2" w:rsidRPr="00B849B2" w:rsidRDefault="009937E1" w:rsidP="00B02097">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Regarding the first requirements—structural separation—the law permitted a temporary exception, based upon a finding of good cause for an interim period provided in the </w:t>
      </w:r>
      <w:r w:rsidR="00B02097">
        <w:rPr>
          <w:rFonts w:ascii="Arial" w:hAnsi="Arial" w:cs="Arial"/>
          <w:sz w:val="24"/>
          <w:szCs w:val="24"/>
        </w:rPr>
        <w:t xml:space="preserve">order.  </w:t>
      </w:r>
      <w:r w:rsidR="00B02097">
        <w:rPr>
          <w:rFonts w:ascii="Arial" w:hAnsi="Arial" w:cs="Arial"/>
          <w:sz w:val="24"/>
          <w:szCs w:val="24"/>
        </w:rPr>
        <w:lastRenderedPageBreak/>
        <w:t>T</w:t>
      </w:r>
      <w:r>
        <w:rPr>
          <w:rFonts w:ascii="Arial" w:hAnsi="Arial" w:cs="Arial"/>
          <w:sz w:val="24"/>
          <w:szCs w:val="24"/>
        </w:rPr>
        <w:t>he Commission</w:t>
      </w:r>
      <w:r w:rsidR="00B02097">
        <w:rPr>
          <w:rFonts w:ascii="Arial" w:hAnsi="Arial" w:cs="Arial"/>
          <w:sz w:val="24"/>
          <w:szCs w:val="24"/>
        </w:rPr>
        <w:t xml:space="preserve"> has</w:t>
      </w:r>
      <w:r>
        <w:rPr>
          <w:rFonts w:ascii="Arial" w:hAnsi="Arial" w:cs="Arial"/>
          <w:sz w:val="24"/>
          <w:szCs w:val="24"/>
        </w:rPr>
        <w:t xml:space="preserve"> determined that the exception is not available to permit a utility to move backward in the restructuring process.</w:t>
      </w:r>
      <w:r w:rsidR="00BF6BC1">
        <w:rPr>
          <w:rStyle w:val="FootnoteReference"/>
          <w:rFonts w:ascii="Arial" w:hAnsi="Arial" w:cs="Arial"/>
          <w:sz w:val="24"/>
          <w:szCs w:val="24"/>
        </w:rPr>
        <w:footnoteReference w:id="14"/>
      </w:r>
      <w:r>
        <w:rPr>
          <w:rFonts w:ascii="Arial" w:hAnsi="Arial" w:cs="Arial"/>
          <w:sz w:val="24"/>
          <w:szCs w:val="24"/>
        </w:rPr>
        <w:t xml:space="preserve">  </w:t>
      </w:r>
      <w:r w:rsidR="002147CB">
        <w:rPr>
          <w:rFonts w:ascii="Arial" w:hAnsi="Arial" w:cs="Arial"/>
          <w:sz w:val="24"/>
          <w:szCs w:val="24"/>
        </w:rPr>
        <w:tab/>
      </w:r>
    </w:p>
    <w:p w14:paraId="21D733E4" w14:textId="3278B573" w:rsidR="00B02097" w:rsidRDefault="00B02097" w:rsidP="00B0209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evaluating FirstEnergy’s compliance with these requirements, t</w:t>
      </w:r>
      <w:r w:rsidR="00421525">
        <w:rPr>
          <w:rFonts w:ascii="Arial" w:hAnsi="Arial" w:cs="Arial"/>
          <w:sz w:val="24"/>
          <w:szCs w:val="24"/>
        </w:rPr>
        <w:t>he Audit Report largely focuses on FirstEnergy’s relationship with its affiliate, FES, recommending that FirstEnergy modify several practices which provide FES with a</w:t>
      </w:r>
      <w:r w:rsidR="00147142">
        <w:rPr>
          <w:rFonts w:ascii="Arial" w:hAnsi="Arial" w:cs="Arial"/>
          <w:sz w:val="24"/>
          <w:szCs w:val="24"/>
        </w:rPr>
        <w:t>n undue</w:t>
      </w:r>
      <w:r w:rsidR="00421525">
        <w:rPr>
          <w:rFonts w:ascii="Arial" w:hAnsi="Arial" w:cs="Arial"/>
          <w:sz w:val="24"/>
          <w:szCs w:val="24"/>
        </w:rPr>
        <w:t xml:space="preserve"> preference and competitive advantage.</w:t>
      </w:r>
      <w:r>
        <w:rPr>
          <w:rFonts w:ascii="Arial" w:hAnsi="Arial" w:cs="Arial"/>
          <w:sz w:val="24"/>
          <w:szCs w:val="24"/>
        </w:rPr>
        <w:t xml:space="preserve">  The Audit Re</w:t>
      </w:r>
      <w:r w:rsidR="00147142">
        <w:rPr>
          <w:rFonts w:ascii="Arial" w:hAnsi="Arial" w:cs="Arial"/>
          <w:sz w:val="24"/>
          <w:szCs w:val="24"/>
        </w:rPr>
        <w:t>port concludes that FES receives</w:t>
      </w:r>
      <w:r>
        <w:rPr>
          <w:rFonts w:ascii="Arial" w:hAnsi="Arial" w:cs="Arial"/>
          <w:sz w:val="24"/>
          <w:szCs w:val="24"/>
        </w:rPr>
        <w:t xml:space="preserve"> a competitive advantage from inappropriate changes made to the Retail Operations group.  Specifically, in 2016, FES’ responsibilities and FirstEnergy’s management of non-electric products and services were transferred to the service company.  “</w:t>
      </w:r>
      <w:r w:rsidRPr="00E22678">
        <w:rPr>
          <w:rFonts w:ascii="Arial" w:hAnsi="Arial" w:cs="Arial"/>
          <w:sz w:val="24"/>
          <w:szCs w:val="24"/>
        </w:rPr>
        <w:t>The Retail Sales and Marketing group formerly reported to the President of FES. The</w:t>
      </w:r>
      <w:r>
        <w:rPr>
          <w:rFonts w:ascii="Arial" w:hAnsi="Arial" w:cs="Arial"/>
          <w:sz w:val="24"/>
          <w:szCs w:val="24"/>
        </w:rPr>
        <w:t xml:space="preserve"> </w:t>
      </w:r>
      <w:r w:rsidRPr="00E22678">
        <w:rPr>
          <w:rFonts w:ascii="Arial" w:hAnsi="Arial" w:cs="Arial"/>
          <w:sz w:val="24"/>
          <w:szCs w:val="24"/>
        </w:rPr>
        <w:t>reporting relationship was transferred to the Service Company in 2016 when the</w:t>
      </w:r>
      <w:r>
        <w:rPr>
          <w:rFonts w:ascii="Arial" w:hAnsi="Arial" w:cs="Arial"/>
          <w:sz w:val="24"/>
          <w:szCs w:val="24"/>
        </w:rPr>
        <w:t xml:space="preserve"> </w:t>
      </w:r>
      <w:r w:rsidRPr="00E22678">
        <w:rPr>
          <w:rFonts w:ascii="Arial" w:hAnsi="Arial" w:cs="Arial"/>
          <w:sz w:val="24"/>
          <w:szCs w:val="24"/>
        </w:rPr>
        <w:t>responsibility for the FirstEnergy Products (FEP) back office was assigned to it.</w:t>
      </w:r>
      <w:r>
        <w:rPr>
          <w:rFonts w:ascii="Arial" w:hAnsi="Arial" w:cs="Arial"/>
          <w:sz w:val="24"/>
          <w:szCs w:val="24"/>
        </w:rPr>
        <w:t>”</w:t>
      </w:r>
      <w:r w:rsidR="00147142">
        <w:rPr>
          <w:rStyle w:val="FootnoteReference"/>
          <w:rFonts w:ascii="Arial" w:hAnsi="Arial" w:cs="Arial"/>
          <w:sz w:val="24"/>
          <w:szCs w:val="24"/>
        </w:rPr>
        <w:footnoteReference w:id="15"/>
      </w:r>
      <w:r>
        <w:rPr>
          <w:rFonts w:ascii="Arial" w:hAnsi="Arial" w:cs="Arial"/>
          <w:sz w:val="24"/>
          <w:szCs w:val="24"/>
        </w:rPr>
        <w:t xml:space="preserve">  “In 2016,</w:t>
      </w:r>
      <w:r w:rsidRPr="00261C82">
        <w:t xml:space="preserve"> </w:t>
      </w:r>
      <w:r>
        <w:rPr>
          <w:rFonts w:ascii="Arial" w:hAnsi="Arial" w:cs="Arial"/>
          <w:sz w:val="24"/>
          <w:szCs w:val="24"/>
        </w:rPr>
        <w:t xml:space="preserve">responsibilities were added </w:t>
      </w:r>
      <w:r w:rsidRPr="00261C82">
        <w:rPr>
          <w:rFonts w:ascii="Arial" w:hAnsi="Arial" w:cs="Arial"/>
          <w:sz w:val="24"/>
          <w:szCs w:val="24"/>
        </w:rPr>
        <w:t>to this unit and it became a Service Company unit with both FES u</w:t>
      </w:r>
      <w:r>
        <w:rPr>
          <w:rFonts w:ascii="Arial" w:hAnsi="Arial" w:cs="Arial"/>
          <w:sz w:val="24"/>
          <w:szCs w:val="24"/>
        </w:rPr>
        <w:t xml:space="preserve">nregulated and FEP </w:t>
      </w:r>
      <w:r w:rsidRPr="00E8416D">
        <w:rPr>
          <w:rFonts w:ascii="Arial" w:hAnsi="Arial" w:cs="Arial"/>
          <w:sz w:val="24"/>
          <w:szCs w:val="24"/>
        </w:rPr>
        <w:t>regulated functions.</w:t>
      </w:r>
      <w:r>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Critical to this recommendation is</w:t>
      </w:r>
      <w:r w:rsidR="00147142">
        <w:rPr>
          <w:rFonts w:ascii="Arial" w:hAnsi="Arial" w:cs="Arial"/>
          <w:sz w:val="24"/>
          <w:szCs w:val="24"/>
        </w:rPr>
        <w:t xml:space="preserve"> the</w:t>
      </w:r>
      <w:r>
        <w:rPr>
          <w:rFonts w:ascii="Arial" w:hAnsi="Arial" w:cs="Arial"/>
          <w:sz w:val="24"/>
          <w:szCs w:val="24"/>
        </w:rPr>
        <w:t xml:space="preserve"> fact that the FEP Group is considered a component of EDU and thus has access to information and resources not available to other market participants.</w:t>
      </w:r>
    </w:p>
    <w:p w14:paraId="0063679C" w14:textId="1095C5CE" w:rsidR="00421525" w:rsidRDefault="00B02097" w:rsidP="0029129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Audit Report also reco</w:t>
      </w:r>
      <w:r w:rsidR="00631D80">
        <w:rPr>
          <w:rFonts w:ascii="Arial" w:hAnsi="Arial" w:cs="Arial"/>
          <w:sz w:val="24"/>
          <w:szCs w:val="24"/>
        </w:rPr>
        <w:t>mmends that FES remove</w:t>
      </w:r>
      <w:r w:rsidR="00147142">
        <w:rPr>
          <w:rFonts w:ascii="Arial" w:hAnsi="Arial" w:cs="Arial"/>
          <w:sz w:val="24"/>
          <w:szCs w:val="24"/>
        </w:rPr>
        <w:t xml:space="preserve"> the words</w:t>
      </w:r>
      <w:r w:rsidR="00631D80">
        <w:rPr>
          <w:rFonts w:ascii="Arial" w:hAnsi="Arial" w:cs="Arial"/>
          <w:sz w:val="24"/>
          <w:szCs w:val="24"/>
        </w:rPr>
        <w:t xml:space="preserve"> FirstEnergy from </w:t>
      </w:r>
      <w:r w:rsidR="00147142">
        <w:rPr>
          <w:rFonts w:ascii="Arial" w:hAnsi="Arial" w:cs="Arial"/>
          <w:sz w:val="24"/>
          <w:szCs w:val="24"/>
        </w:rPr>
        <w:t xml:space="preserve">the name </w:t>
      </w:r>
      <w:r w:rsidR="00631D80">
        <w:rPr>
          <w:rFonts w:ascii="Arial" w:hAnsi="Arial" w:cs="Arial"/>
          <w:sz w:val="24"/>
          <w:szCs w:val="24"/>
        </w:rPr>
        <w:t xml:space="preserve">FirstEnergy Solutions. The Audit Report notes that Executives in the FEP Group, “tout the </w:t>
      </w:r>
      <w:r w:rsidR="00631D80" w:rsidRPr="00631D80">
        <w:rPr>
          <w:rFonts w:ascii="Arial" w:hAnsi="Arial" w:cs="Arial"/>
          <w:sz w:val="24"/>
          <w:szCs w:val="24"/>
        </w:rPr>
        <w:t xml:space="preserve">importance of using the FirstEnergy name with FirstEnergy Products, </w:t>
      </w:r>
      <w:r w:rsidR="00631D80" w:rsidRPr="00631D80">
        <w:rPr>
          <w:rFonts w:ascii="Arial" w:hAnsi="Arial" w:cs="Arial"/>
          <w:sz w:val="24"/>
          <w:szCs w:val="24"/>
        </w:rPr>
        <w:lastRenderedPageBreak/>
        <w:t>saying FirstEnergy</w:t>
      </w:r>
      <w:r w:rsidR="00631D80">
        <w:rPr>
          <w:rFonts w:ascii="Arial" w:hAnsi="Arial" w:cs="Arial"/>
          <w:sz w:val="24"/>
          <w:szCs w:val="24"/>
        </w:rPr>
        <w:t xml:space="preserve"> is a ‘trusted supplier’ and the ‘FirstEnergy brand is prominent.’’</w:t>
      </w:r>
      <w:r w:rsidR="00147142">
        <w:rPr>
          <w:rStyle w:val="FootnoteReference"/>
          <w:rFonts w:ascii="Arial" w:hAnsi="Arial" w:cs="Arial"/>
          <w:sz w:val="24"/>
          <w:szCs w:val="24"/>
        </w:rPr>
        <w:footnoteReference w:id="17"/>
      </w:r>
      <w:r w:rsidR="00147142">
        <w:rPr>
          <w:rFonts w:ascii="Arial" w:hAnsi="Arial" w:cs="Arial"/>
          <w:sz w:val="24"/>
          <w:szCs w:val="24"/>
        </w:rPr>
        <w:t xml:space="preserve"> </w:t>
      </w:r>
      <w:r w:rsidR="00631D80">
        <w:rPr>
          <w:rFonts w:ascii="Arial" w:hAnsi="Arial" w:cs="Arial"/>
          <w:sz w:val="24"/>
          <w:szCs w:val="24"/>
        </w:rPr>
        <w:t xml:space="preserve"> </w:t>
      </w:r>
      <w:r w:rsidR="00147142">
        <w:rPr>
          <w:rFonts w:ascii="Arial" w:hAnsi="Arial" w:cs="Arial"/>
          <w:sz w:val="24"/>
          <w:szCs w:val="24"/>
        </w:rPr>
        <w:t xml:space="preserve">Based </w:t>
      </w:r>
      <w:r w:rsidR="00631D80">
        <w:rPr>
          <w:rFonts w:ascii="Arial" w:hAnsi="Arial" w:cs="Arial"/>
          <w:sz w:val="24"/>
          <w:szCs w:val="24"/>
        </w:rPr>
        <w:t>upon this same reasoning, the Audit Report concludes that “[i]</w:t>
      </w:r>
      <w:r w:rsidR="00631D80" w:rsidRPr="00631D80">
        <w:rPr>
          <w:rFonts w:ascii="Arial" w:hAnsi="Arial" w:cs="Arial"/>
          <w:sz w:val="24"/>
          <w:szCs w:val="24"/>
        </w:rPr>
        <w:t xml:space="preserve">t is natural that some would infer that FirstEnergy </w:t>
      </w:r>
      <w:r w:rsidR="00631D80">
        <w:rPr>
          <w:rFonts w:ascii="Arial" w:hAnsi="Arial" w:cs="Arial"/>
          <w:sz w:val="24"/>
          <w:szCs w:val="24"/>
        </w:rPr>
        <w:t>Solutions is the same as their ‘</w:t>
      </w:r>
      <w:r w:rsidR="00631D80" w:rsidRPr="00631D80">
        <w:rPr>
          <w:rFonts w:ascii="Arial" w:hAnsi="Arial" w:cs="Arial"/>
          <w:sz w:val="24"/>
          <w:szCs w:val="24"/>
        </w:rPr>
        <w:t>tr</w:t>
      </w:r>
      <w:r w:rsidR="00631D80">
        <w:rPr>
          <w:rFonts w:ascii="Arial" w:hAnsi="Arial" w:cs="Arial"/>
          <w:sz w:val="24"/>
          <w:szCs w:val="24"/>
        </w:rPr>
        <w:t>usted utility supplier’</w:t>
      </w:r>
      <w:r w:rsidR="00631D80" w:rsidRPr="00631D80">
        <w:rPr>
          <w:rFonts w:ascii="Arial" w:hAnsi="Arial" w:cs="Arial"/>
          <w:sz w:val="24"/>
          <w:szCs w:val="24"/>
        </w:rPr>
        <w:t xml:space="preserve"> and give greater consideration to FES in making their CRES supplier</w:t>
      </w:r>
      <w:r w:rsidR="00631D80">
        <w:rPr>
          <w:rFonts w:ascii="Arial" w:hAnsi="Arial" w:cs="Arial"/>
          <w:sz w:val="24"/>
          <w:szCs w:val="24"/>
        </w:rPr>
        <w:t xml:space="preserve"> </w:t>
      </w:r>
      <w:r w:rsidR="00631D80" w:rsidRPr="00631D80">
        <w:rPr>
          <w:rFonts w:ascii="Arial" w:hAnsi="Arial" w:cs="Arial"/>
          <w:sz w:val="24"/>
          <w:szCs w:val="24"/>
        </w:rPr>
        <w:t>decisions.</w:t>
      </w:r>
      <w:r w:rsidR="00631D80">
        <w:rPr>
          <w:rFonts w:ascii="Arial" w:hAnsi="Arial" w:cs="Arial"/>
          <w:sz w:val="24"/>
          <w:szCs w:val="24"/>
        </w:rPr>
        <w:t>”</w:t>
      </w:r>
      <w:r w:rsidR="00147142">
        <w:rPr>
          <w:rStyle w:val="FootnoteReference"/>
          <w:rFonts w:ascii="Arial" w:hAnsi="Arial" w:cs="Arial"/>
          <w:sz w:val="24"/>
          <w:szCs w:val="24"/>
        </w:rPr>
        <w:footnoteReference w:id="18"/>
      </w:r>
      <w:r w:rsidR="00631D80">
        <w:rPr>
          <w:rFonts w:ascii="Arial" w:hAnsi="Arial" w:cs="Arial"/>
          <w:sz w:val="24"/>
          <w:szCs w:val="24"/>
        </w:rPr>
        <w:t xml:space="preserve">  Therefore, “</w:t>
      </w:r>
      <w:r w:rsidR="00631D80" w:rsidRPr="00631D80">
        <w:rPr>
          <w:rFonts w:ascii="Arial" w:hAnsi="Arial" w:cs="Arial"/>
          <w:sz w:val="24"/>
          <w:szCs w:val="24"/>
        </w:rPr>
        <w:t>Should FES</w:t>
      </w:r>
      <w:r w:rsidR="00631D80">
        <w:rPr>
          <w:rFonts w:ascii="Arial" w:hAnsi="Arial" w:cs="Arial"/>
          <w:sz w:val="24"/>
          <w:szCs w:val="24"/>
        </w:rPr>
        <w:t xml:space="preserve"> </w:t>
      </w:r>
      <w:r w:rsidR="00631D80" w:rsidRPr="00631D80">
        <w:rPr>
          <w:rFonts w:ascii="Arial" w:hAnsi="Arial" w:cs="Arial"/>
          <w:sz w:val="24"/>
          <w:szCs w:val="24"/>
        </w:rPr>
        <w:t>continue to be a CRES provider in Ohio, it should have</w:t>
      </w:r>
      <w:r w:rsidR="00631D80">
        <w:rPr>
          <w:rFonts w:ascii="Arial" w:hAnsi="Arial" w:cs="Arial"/>
          <w:sz w:val="24"/>
          <w:szCs w:val="24"/>
        </w:rPr>
        <w:t xml:space="preserve"> a different name that does not </w:t>
      </w:r>
      <w:r w:rsidR="00631D80" w:rsidRPr="00631D80">
        <w:rPr>
          <w:rFonts w:ascii="Arial" w:hAnsi="Arial" w:cs="Arial"/>
          <w:sz w:val="24"/>
          <w:szCs w:val="24"/>
        </w:rPr>
        <w:t>include “FirstEnergy” or any other name that implies a connection to the Ohio Companies.</w:t>
      </w:r>
      <w:r w:rsidR="00631D80">
        <w:rPr>
          <w:rFonts w:ascii="Arial" w:hAnsi="Arial" w:cs="Arial"/>
          <w:sz w:val="24"/>
          <w:szCs w:val="24"/>
        </w:rPr>
        <w:t>”</w:t>
      </w:r>
      <w:r w:rsidR="00147142">
        <w:rPr>
          <w:rStyle w:val="FootnoteReference"/>
          <w:rFonts w:ascii="Arial" w:hAnsi="Arial" w:cs="Arial"/>
          <w:sz w:val="24"/>
          <w:szCs w:val="24"/>
        </w:rPr>
        <w:footnoteReference w:id="19"/>
      </w:r>
      <w:r w:rsidR="00631D80">
        <w:rPr>
          <w:rFonts w:ascii="Arial" w:hAnsi="Arial" w:cs="Arial"/>
          <w:sz w:val="24"/>
          <w:szCs w:val="24"/>
        </w:rPr>
        <w:t xml:space="preserve"> </w:t>
      </w:r>
    </w:p>
    <w:p w14:paraId="512B41AC" w14:textId="048F078B" w:rsidR="00AC7EB7" w:rsidRDefault="00291291" w:rsidP="0029129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Interestingly, although the Audit Report identifies wrongdoing involving FES’ relationship with the division within FirstEnergy that provides non-electric services (FEP), t</w:t>
      </w:r>
      <w:r w:rsidR="00AC7EB7">
        <w:rPr>
          <w:rFonts w:ascii="Arial" w:hAnsi="Arial" w:cs="Arial"/>
          <w:sz w:val="24"/>
          <w:szCs w:val="24"/>
        </w:rPr>
        <w:t xml:space="preserve">he Audit Report </w:t>
      </w:r>
      <w:r w:rsidR="00660996">
        <w:rPr>
          <w:rFonts w:ascii="Arial" w:hAnsi="Arial" w:cs="Arial"/>
          <w:sz w:val="24"/>
          <w:szCs w:val="24"/>
        </w:rPr>
        <w:t>does not mention or discuss either (1) the letter RESA sent to FirstEnergy alleging corporate separation violations, or (2) the complaint filed against FirstEnergy prior to the issuance of the Audit Report.</w:t>
      </w:r>
      <w:r w:rsidR="00B72549">
        <w:rPr>
          <w:rFonts w:ascii="Arial" w:hAnsi="Arial" w:cs="Arial"/>
          <w:sz w:val="24"/>
          <w:szCs w:val="24"/>
        </w:rPr>
        <w:t xml:space="preserve">  It is not terribly surprising that the auditor does not appear to be aware of the complaint, given that the cost allocat</w:t>
      </w:r>
      <w:r w:rsidR="00147142">
        <w:rPr>
          <w:rFonts w:ascii="Arial" w:hAnsi="Arial" w:cs="Arial"/>
          <w:sz w:val="24"/>
          <w:szCs w:val="24"/>
        </w:rPr>
        <w:t xml:space="preserve">ion manual does not contain all </w:t>
      </w:r>
      <w:r w:rsidR="00B72549">
        <w:rPr>
          <w:rFonts w:ascii="Arial" w:hAnsi="Arial" w:cs="Arial"/>
          <w:sz w:val="24"/>
          <w:szCs w:val="24"/>
        </w:rPr>
        <w:t>of the requirements detailed in the Commission’s rules, including the requirement to keep “[a]</w:t>
      </w:r>
      <w:r w:rsidR="00B72549" w:rsidRPr="00B72549">
        <w:rPr>
          <w:rFonts w:ascii="Arial" w:hAnsi="Arial" w:cs="Arial"/>
          <w:sz w:val="24"/>
          <w:szCs w:val="24"/>
        </w:rPr>
        <w:t xml:space="preserve"> log of all complaints brought to the electric utility regarding this chapter.”</w:t>
      </w:r>
      <w:r w:rsidR="00147142">
        <w:rPr>
          <w:rStyle w:val="FootnoteReference"/>
          <w:rFonts w:ascii="Arial" w:hAnsi="Arial" w:cs="Arial"/>
          <w:sz w:val="24"/>
          <w:szCs w:val="24"/>
        </w:rPr>
        <w:footnoteReference w:id="20"/>
      </w:r>
      <w:r w:rsidR="00B72549" w:rsidRPr="00B72549">
        <w:rPr>
          <w:rFonts w:ascii="Arial" w:hAnsi="Arial" w:cs="Arial"/>
          <w:sz w:val="24"/>
          <w:szCs w:val="24"/>
        </w:rPr>
        <w:t xml:space="preserve">  </w:t>
      </w:r>
    </w:p>
    <w:p w14:paraId="731799F4" w14:textId="7A3EBBC6" w:rsidR="00B72549" w:rsidRDefault="00B72549" w:rsidP="00B7254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What does come as a surprise is that the </w:t>
      </w:r>
      <w:r w:rsidR="00EC2A4C">
        <w:rPr>
          <w:rFonts w:ascii="Arial" w:hAnsi="Arial" w:cs="Arial"/>
          <w:sz w:val="24"/>
          <w:szCs w:val="24"/>
        </w:rPr>
        <w:t xml:space="preserve">Audit Report makes no conclusions one way or the other whether FirstEnergy’s provision of non-electric products is in conformity with </w:t>
      </w:r>
      <w:r w:rsidR="00AC7EB7">
        <w:rPr>
          <w:rFonts w:ascii="Arial" w:hAnsi="Arial" w:cs="Arial"/>
          <w:sz w:val="24"/>
          <w:szCs w:val="24"/>
        </w:rPr>
        <w:t>Ohio’s corporate separation law.</w:t>
      </w:r>
      <w:r>
        <w:rPr>
          <w:rFonts w:ascii="Arial" w:hAnsi="Arial" w:cs="Arial"/>
          <w:sz w:val="24"/>
          <w:szCs w:val="24"/>
        </w:rPr>
        <w:t xml:space="preserve">  As discussed further below, the Audit Report </w:t>
      </w:r>
      <w:r>
        <w:rPr>
          <w:rFonts w:ascii="Arial" w:hAnsi="Arial" w:cs="Arial"/>
          <w:sz w:val="24"/>
          <w:szCs w:val="24"/>
        </w:rPr>
        <w:lastRenderedPageBreak/>
        <w:t xml:space="preserve">accepts that FirstEnergy offers these products and treats them as a service to regulated customers.   </w:t>
      </w:r>
    </w:p>
    <w:p w14:paraId="186A8B69" w14:textId="7F8DF6FF" w:rsidR="00527F60" w:rsidRDefault="00445A0D" w:rsidP="00B7254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various places of t</w:t>
      </w:r>
      <w:r w:rsidR="00B168A9">
        <w:rPr>
          <w:rFonts w:ascii="Arial" w:hAnsi="Arial" w:cs="Arial"/>
          <w:sz w:val="24"/>
          <w:szCs w:val="24"/>
        </w:rPr>
        <w:t>he</w:t>
      </w:r>
      <w:r>
        <w:rPr>
          <w:rFonts w:ascii="Arial" w:hAnsi="Arial" w:cs="Arial"/>
          <w:sz w:val="24"/>
          <w:szCs w:val="24"/>
        </w:rPr>
        <w:t xml:space="preserve"> Audit Report identifies that FirstEnergy provides non-electric</w:t>
      </w:r>
      <w:r w:rsidR="00B168A9">
        <w:rPr>
          <w:rFonts w:ascii="Arial" w:hAnsi="Arial" w:cs="Arial"/>
          <w:sz w:val="24"/>
          <w:szCs w:val="24"/>
        </w:rPr>
        <w:t xml:space="preserve"> services</w:t>
      </w:r>
      <w:r>
        <w:rPr>
          <w:rFonts w:ascii="Arial" w:hAnsi="Arial" w:cs="Arial"/>
          <w:sz w:val="24"/>
          <w:szCs w:val="24"/>
        </w:rPr>
        <w:t xml:space="preserve"> through </w:t>
      </w:r>
      <w:r w:rsidR="00291291">
        <w:rPr>
          <w:rFonts w:ascii="Arial" w:hAnsi="Arial" w:cs="Arial"/>
          <w:sz w:val="24"/>
          <w:szCs w:val="24"/>
        </w:rPr>
        <w:t>the FirstEnergy Products (FEP</w:t>
      </w:r>
      <w:r w:rsidR="005D0F12">
        <w:rPr>
          <w:rFonts w:ascii="Arial" w:hAnsi="Arial" w:cs="Arial"/>
          <w:sz w:val="24"/>
          <w:szCs w:val="24"/>
        </w:rPr>
        <w:t>) group</w:t>
      </w:r>
      <w:r w:rsidR="00B168A9">
        <w:rPr>
          <w:rFonts w:ascii="Arial" w:hAnsi="Arial" w:cs="Arial"/>
          <w:sz w:val="24"/>
          <w:szCs w:val="24"/>
        </w:rPr>
        <w:t xml:space="preserve">: </w:t>
      </w:r>
    </w:p>
    <w:p w14:paraId="0909B202" w14:textId="6654C605" w:rsidR="00B168A9" w:rsidRDefault="00B168A9" w:rsidP="003513D8">
      <w:pPr>
        <w:autoSpaceDE w:val="0"/>
        <w:autoSpaceDN w:val="0"/>
        <w:adjustRightInd w:val="0"/>
        <w:spacing w:after="120" w:line="240" w:lineRule="auto"/>
        <w:ind w:left="720" w:right="720"/>
        <w:jc w:val="both"/>
        <w:rPr>
          <w:rFonts w:ascii="Arial" w:hAnsi="Arial" w:cs="Arial"/>
          <w:sz w:val="24"/>
          <w:szCs w:val="24"/>
        </w:rPr>
      </w:pPr>
      <w:r w:rsidRPr="00B168A9">
        <w:rPr>
          <w:rFonts w:ascii="Arial" w:hAnsi="Arial" w:cs="Arial"/>
          <w:sz w:val="24"/>
          <w:szCs w:val="24"/>
        </w:rPr>
        <w:t>The only products and services other than retail electric service sold to the Ohio Companies’ customers by a FirstEnergy legal entity are provided by the Ohio Companies themselves as jobbing and contracting services or through the FirstEnergy Products (FEP) function. Jobbing and contracting services are provided by the Ohio Companies employees under a Public Utilities Commission of Ohio (PUCO) approved tariff. FEP is not a legal entity. It is a business unit operated by the FirstEnergy Service Company (Service Company) on behalf of the Ohio Companies and other FirstEnergy utility operating companies. There are no non-regulated competitive affiliates involved. The FEP function is described in Chapter V, Public Representation Disclosures. Service Company cost accounting and allocations, including for the FEP function, are governed by the FirstEnergy Cost Allocation Manual, which is covered in Chapter VI.</w:t>
      </w:r>
      <w:r>
        <w:rPr>
          <w:rStyle w:val="FootnoteReference"/>
          <w:rFonts w:ascii="Arial" w:hAnsi="Arial" w:cs="Arial"/>
          <w:sz w:val="24"/>
          <w:szCs w:val="24"/>
        </w:rPr>
        <w:footnoteReference w:id="21"/>
      </w:r>
    </w:p>
    <w:p w14:paraId="73082671" w14:textId="5871CB6E" w:rsidR="000128AE" w:rsidRDefault="005D0F12" w:rsidP="00EC2A4C">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“FEP back office operation has Ohio Companies’ regulated customer information . . . .”</w:t>
      </w:r>
      <w:r w:rsidR="00445A0D">
        <w:rPr>
          <w:rStyle w:val="FootnoteReference"/>
          <w:rFonts w:ascii="Arial" w:hAnsi="Arial" w:cs="Arial"/>
          <w:sz w:val="24"/>
          <w:szCs w:val="24"/>
        </w:rPr>
        <w:footnoteReference w:id="22"/>
      </w:r>
      <w:r w:rsidR="00445A0D">
        <w:rPr>
          <w:rFonts w:ascii="Arial" w:hAnsi="Arial" w:cs="Arial"/>
          <w:sz w:val="24"/>
          <w:szCs w:val="24"/>
        </w:rPr>
        <w:t xml:space="preserve"> </w:t>
      </w:r>
      <w:r>
        <w:rPr>
          <w:rFonts w:ascii="Arial" w:hAnsi="Arial" w:cs="Arial"/>
          <w:sz w:val="24"/>
          <w:szCs w:val="24"/>
        </w:rPr>
        <w:t xml:space="preserve"> </w:t>
      </w:r>
      <w:r w:rsidR="000128AE">
        <w:rPr>
          <w:rFonts w:ascii="Arial" w:hAnsi="Arial" w:cs="Arial"/>
          <w:sz w:val="24"/>
          <w:szCs w:val="24"/>
        </w:rPr>
        <w:t>These services are often provided through a website known as Smart Mart:</w:t>
      </w:r>
    </w:p>
    <w:p w14:paraId="17706B41" w14:textId="42AC0CC7" w:rsidR="000128AE" w:rsidRDefault="000128AE" w:rsidP="000128AE">
      <w:pPr>
        <w:autoSpaceDE w:val="0"/>
        <w:autoSpaceDN w:val="0"/>
        <w:adjustRightInd w:val="0"/>
        <w:spacing w:after="120" w:line="240" w:lineRule="auto"/>
        <w:ind w:left="720" w:right="720"/>
        <w:jc w:val="both"/>
        <w:rPr>
          <w:rFonts w:ascii="Arial" w:hAnsi="Arial" w:cs="Arial"/>
          <w:sz w:val="24"/>
          <w:szCs w:val="24"/>
        </w:rPr>
      </w:pPr>
      <w:r w:rsidRPr="00B168A9">
        <w:rPr>
          <w:rFonts w:ascii="Arial" w:hAnsi="Arial" w:cs="Arial"/>
          <w:sz w:val="24"/>
          <w:szCs w:val="24"/>
        </w:rPr>
        <w:t>The Marketing and Product Development group is responsible for the FirstEnergy Products (FEP) business unit and the FEP web-based Smart Mart. For clarity, it is also referred to as the FEP Business Unit in this report. Smart Mart sells products and services to the Ohio Companies’ and other FirstEnergy utility operating companies’ “regulated customers.”</w:t>
      </w:r>
      <w:r>
        <w:rPr>
          <w:rStyle w:val="FootnoteReference"/>
          <w:rFonts w:ascii="Arial" w:hAnsi="Arial" w:cs="Arial"/>
          <w:sz w:val="24"/>
          <w:szCs w:val="24"/>
        </w:rPr>
        <w:footnoteReference w:id="23"/>
      </w:r>
    </w:p>
    <w:p w14:paraId="458C0C4F" w14:textId="47C3A9F2" w:rsidR="00445A0D" w:rsidRDefault="005D0F12" w:rsidP="00EC2A4C">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services provided by FEP on behalf of FirstEnergy are</w:t>
      </w:r>
      <w:r w:rsidR="00822B87">
        <w:rPr>
          <w:rFonts w:ascii="Arial" w:hAnsi="Arial" w:cs="Arial"/>
          <w:sz w:val="24"/>
          <w:szCs w:val="24"/>
        </w:rPr>
        <w:t xml:space="preserve"> the same or similar services identified in the complaint filed by RESA.</w:t>
      </w:r>
      <w:r>
        <w:rPr>
          <w:rFonts w:ascii="Arial" w:hAnsi="Arial" w:cs="Arial"/>
          <w:sz w:val="24"/>
          <w:szCs w:val="24"/>
        </w:rPr>
        <w:t xml:space="preserve"> </w:t>
      </w:r>
    </w:p>
    <w:p w14:paraId="2C529BA9" w14:textId="5CA4E72E" w:rsidR="003513D8" w:rsidRPr="00B168A9" w:rsidRDefault="005D0F12" w:rsidP="00EC2A4C">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lastRenderedPageBreak/>
        <w:t xml:space="preserve"> </w:t>
      </w:r>
      <w:r w:rsidR="00445A0D">
        <w:rPr>
          <w:rFonts w:ascii="Arial" w:hAnsi="Arial" w:cs="Arial"/>
          <w:sz w:val="24"/>
          <w:szCs w:val="24"/>
        </w:rPr>
        <w:tab/>
        <w:t>The Audit Report assumes that FirstEnergy has authority</w:t>
      </w:r>
      <w:r w:rsidR="003513D8">
        <w:rPr>
          <w:rFonts w:ascii="Arial" w:hAnsi="Arial" w:cs="Arial"/>
          <w:sz w:val="24"/>
          <w:szCs w:val="24"/>
        </w:rPr>
        <w:t xml:space="preserve"> to provide non-electric products and services under its tariff to “regulated customers”:</w:t>
      </w:r>
    </w:p>
    <w:p w14:paraId="782A7C4E" w14:textId="614A74AE" w:rsidR="003513D8" w:rsidRDefault="003513D8" w:rsidP="003513D8">
      <w:pPr>
        <w:autoSpaceDE w:val="0"/>
        <w:autoSpaceDN w:val="0"/>
        <w:adjustRightInd w:val="0"/>
        <w:spacing w:after="120" w:line="240" w:lineRule="auto"/>
        <w:ind w:left="720" w:right="720"/>
        <w:jc w:val="both"/>
        <w:rPr>
          <w:rFonts w:ascii="Arial" w:hAnsi="Arial" w:cs="Arial"/>
          <w:sz w:val="24"/>
          <w:szCs w:val="24"/>
        </w:rPr>
      </w:pPr>
      <w:r w:rsidRPr="00B168A9">
        <w:rPr>
          <w:rFonts w:ascii="Arial" w:hAnsi="Arial" w:cs="Arial"/>
          <w:sz w:val="24"/>
          <w:szCs w:val="24"/>
        </w:rPr>
        <w:t>The ability to sell products to the Ohio Companies’ regulated customers is through a PUCO tariff which specifies types of products and services which can be sold, but does not specify individual products and prices. Example FEP Smart Mart products include smart thermostats and smart light bulbs (with cameras, speakers, or Wi-Fi boosters). Example services include appliance warrantees and electrician referrals.</w:t>
      </w:r>
      <w:r>
        <w:rPr>
          <w:rStyle w:val="FootnoteReference"/>
          <w:rFonts w:ascii="Arial" w:hAnsi="Arial" w:cs="Arial"/>
          <w:sz w:val="24"/>
          <w:szCs w:val="24"/>
        </w:rPr>
        <w:footnoteReference w:id="24"/>
      </w:r>
    </w:p>
    <w:p w14:paraId="07738BD8" w14:textId="75779EBC" w:rsidR="00B72549" w:rsidRDefault="00B72549" w:rsidP="00DF5B51">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Further, the Audit Report identifies that “Executives in this program tout the important of using the FirstEnergy name with FirstEnergy products, saying FirstEnergy is a ‘trusted supplier’ and the ‘FirstEnergy brand is prominent.’’</w:t>
      </w:r>
      <w:r w:rsidR="000128AE">
        <w:rPr>
          <w:rStyle w:val="FootnoteReference"/>
          <w:rFonts w:ascii="Arial" w:hAnsi="Arial" w:cs="Arial"/>
          <w:sz w:val="24"/>
          <w:szCs w:val="24"/>
        </w:rPr>
        <w:footnoteReference w:id="25"/>
      </w:r>
      <w:r>
        <w:rPr>
          <w:rFonts w:ascii="Arial" w:hAnsi="Arial" w:cs="Arial"/>
          <w:sz w:val="24"/>
          <w:szCs w:val="24"/>
        </w:rPr>
        <w:t xml:space="preserve"> </w:t>
      </w:r>
    </w:p>
    <w:p w14:paraId="739A2DD7" w14:textId="7E711799" w:rsidR="00DF5B51" w:rsidRDefault="00DF5B51" w:rsidP="007F245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Audit Report further identifies that FEP and Smart Mart provides services to FES upon request.  Indeed, “this group will respond to an FES request for a product to bundle for a CRES sales offering.”</w:t>
      </w:r>
      <w:r w:rsidR="000128AE">
        <w:rPr>
          <w:rStyle w:val="FootnoteReference"/>
          <w:rFonts w:ascii="Arial" w:hAnsi="Arial" w:cs="Arial"/>
          <w:sz w:val="24"/>
          <w:szCs w:val="24"/>
        </w:rPr>
        <w:footnoteReference w:id="26"/>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25C0F6CC" w14:textId="2331B71F" w:rsidR="007F2452" w:rsidRPr="007F2452" w:rsidRDefault="00DF5B51" w:rsidP="007F245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While the Audit Report does not go into detail how these products are invoiced or billed, that information is readily available on the Smart Mart website and acknowledged by FirstEnergy in the complaint filed by RESA.</w:t>
      </w:r>
      <w:r w:rsidR="002C4302">
        <w:rPr>
          <w:rStyle w:val="FootnoteReference"/>
          <w:rFonts w:ascii="Arial" w:hAnsi="Arial" w:cs="Arial"/>
          <w:sz w:val="24"/>
          <w:szCs w:val="24"/>
        </w:rPr>
        <w:footnoteReference w:id="27"/>
      </w:r>
      <w:r>
        <w:rPr>
          <w:rFonts w:ascii="Arial" w:hAnsi="Arial" w:cs="Arial"/>
          <w:sz w:val="24"/>
          <w:szCs w:val="24"/>
        </w:rPr>
        <w:t xml:space="preserve">  Specifically, FirstEnergy uses its consolidated utility bill to invoice customers for non-electric services</w:t>
      </w:r>
      <w:r w:rsidR="007F2452">
        <w:rPr>
          <w:rFonts w:ascii="Arial" w:hAnsi="Arial" w:cs="Arial"/>
          <w:sz w:val="24"/>
          <w:szCs w:val="24"/>
        </w:rPr>
        <w:t>.</w:t>
      </w:r>
      <w:r w:rsidR="007F2452">
        <w:rPr>
          <w:rStyle w:val="FootnoteReference"/>
          <w:rFonts w:ascii="Arial" w:hAnsi="Arial" w:cs="Arial"/>
          <w:sz w:val="24"/>
          <w:szCs w:val="24"/>
        </w:rPr>
        <w:footnoteReference w:id="28"/>
      </w:r>
      <w:r w:rsidR="007F2452">
        <w:rPr>
          <w:rFonts w:ascii="Arial" w:hAnsi="Arial" w:cs="Arial"/>
          <w:sz w:val="24"/>
          <w:szCs w:val="24"/>
        </w:rPr>
        <w:t xml:space="preserve">  It may also provide this service for its affiliate, FES, as well when it responds to a request to bundle a “CRES sales offering.”</w:t>
      </w:r>
      <w:r w:rsidR="000128AE">
        <w:rPr>
          <w:rStyle w:val="FootnoteReference"/>
          <w:rFonts w:ascii="Arial" w:hAnsi="Arial" w:cs="Arial"/>
          <w:sz w:val="24"/>
          <w:szCs w:val="24"/>
        </w:rPr>
        <w:footnoteReference w:id="29"/>
      </w:r>
      <w:r w:rsidR="007F2452">
        <w:rPr>
          <w:rFonts w:ascii="Arial" w:hAnsi="Arial" w:cs="Arial"/>
          <w:sz w:val="24"/>
          <w:szCs w:val="24"/>
        </w:rPr>
        <w:t xml:space="preserve"> FirstEnergy, however, refuses to permit other market </w:t>
      </w:r>
      <w:r w:rsidR="007F2452">
        <w:rPr>
          <w:rFonts w:ascii="Arial" w:hAnsi="Arial" w:cs="Arial"/>
          <w:sz w:val="24"/>
          <w:szCs w:val="24"/>
        </w:rPr>
        <w:lastRenderedPageBreak/>
        <w:t>participants, such as IGS or the members of the Retail Energy Supply Association to use the consolidated utility bill to invoice and collect non-electric services.</w:t>
      </w:r>
    </w:p>
    <w:p w14:paraId="77962E92" w14:textId="535337B8" w:rsidR="00822B87" w:rsidRDefault="003513D8" w:rsidP="00836FD6">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While the Audit Report identifies that FirstEnergy’s provision of non-electric products and services is “governed by the FirstEnerg</w:t>
      </w:r>
      <w:r w:rsidR="00EC2A4C">
        <w:rPr>
          <w:rFonts w:ascii="Arial" w:hAnsi="Arial" w:cs="Arial"/>
          <w:sz w:val="24"/>
          <w:szCs w:val="24"/>
        </w:rPr>
        <w:t>y Cost Allocation Manual”</w:t>
      </w:r>
      <w:r w:rsidR="00822B87">
        <w:rPr>
          <w:rFonts w:ascii="Arial" w:hAnsi="Arial" w:cs="Arial"/>
          <w:sz w:val="24"/>
          <w:szCs w:val="24"/>
        </w:rPr>
        <w:t>,</w:t>
      </w:r>
      <w:r w:rsidR="00EC2A4C">
        <w:rPr>
          <w:rFonts w:ascii="Arial" w:hAnsi="Arial" w:cs="Arial"/>
          <w:sz w:val="24"/>
          <w:szCs w:val="24"/>
        </w:rPr>
        <w:t xml:space="preserve"> the</w:t>
      </w:r>
      <w:r>
        <w:rPr>
          <w:rFonts w:ascii="Arial" w:hAnsi="Arial" w:cs="Arial"/>
          <w:sz w:val="24"/>
          <w:szCs w:val="24"/>
        </w:rPr>
        <w:t xml:space="preserve"> Audit Report does not specifically discuss how FirstEnergy allocates costs and revenues to the FEP group or whether such products are subsidized through non-competitive distribution rates.</w:t>
      </w:r>
      <w:r w:rsidR="002C4302">
        <w:rPr>
          <w:rFonts w:ascii="Arial" w:hAnsi="Arial" w:cs="Arial"/>
          <w:sz w:val="24"/>
          <w:szCs w:val="24"/>
        </w:rPr>
        <w:t xml:space="preserve">  Moreover, the Audit Report does not evaluate</w:t>
      </w:r>
      <w:r w:rsidR="002F6384">
        <w:rPr>
          <w:rFonts w:ascii="Arial" w:hAnsi="Arial" w:cs="Arial"/>
          <w:sz w:val="24"/>
          <w:szCs w:val="24"/>
        </w:rPr>
        <w:t xml:space="preserve"> how</w:t>
      </w:r>
      <w:r w:rsidR="009C1A2E">
        <w:rPr>
          <w:rFonts w:ascii="Arial" w:hAnsi="Arial" w:cs="Arial"/>
          <w:sz w:val="24"/>
          <w:szCs w:val="24"/>
        </w:rPr>
        <w:t xml:space="preserve"> or if</w:t>
      </w:r>
      <w:r w:rsidR="002F6384">
        <w:rPr>
          <w:rFonts w:ascii="Arial" w:hAnsi="Arial" w:cs="Arial"/>
          <w:sz w:val="24"/>
          <w:szCs w:val="24"/>
        </w:rPr>
        <w:t xml:space="preserve"> Homeserve </w:t>
      </w:r>
      <w:r w:rsidR="009C1A2E">
        <w:rPr>
          <w:rFonts w:ascii="Arial" w:hAnsi="Arial" w:cs="Arial"/>
          <w:sz w:val="24"/>
          <w:szCs w:val="24"/>
        </w:rPr>
        <w:t xml:space="preserve">is charged </w:t>
      </w:r>
      <w:r w:rsidR="002F6384">
        <w:rPr>
          <w:rFonts w:ascii="Arial" w:hAnsi="Arial" w:cs="Arial"/>
          <w:sz w:val="24"/>
          <w:szCs w:val="24"/>
        </w:rPr>
        <w:t xml:space="preserve">for services provided by FirstEnergy—such as billing—or the manner in which FirstEnergy and/or its parent company accounts for revenue or royalties received </w:t>
      </w:r>
      <w:r w:rsidR="009C1A2E">
        <w:rPr>
          <w:rFonts w:ascii="Arial" w:hAnsi="Arial" w:cs="Arial"/>
          <w:sz w:val="24"/>
          <w:szCs w:val="24"/>
        </w:rPr>
        <w:t>from Homeserve.  In general, the Audit Report failed to evaluate whether FirstEnergy’s provision of non-electric services complies with R.C. 4928.17 and the Commission’s rules.</w:t>
      </w:r>
    </w:p>
    <w:p w14:paraId="5809E2AC" w14:textId="03CF3FF6" w:rsidR="00877285" w:rsidRPr="00405A1D" w:rsidRDefault="00291291" w:rsidP="00405A1D">
      <w:pPr>
        <w:pStyle w:val="ListParagraph"/>
        <w:numPr>
          <w:ilvl w:val="0"/>
          <w:numId w:val="22"/>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COMMENTS</w:t>
      </w:r>
    </w:p>
    <w:p w14:paraId="3D74FB4C" w14:textId="77777777" w:rsidR="008E765E" w:rsidRPr="008E765E" w:rsidRDefault="008E765E" w:rsidP="008E765E">
      <w:pPr>
        <w:pStyle w:val="ListParagraph"/>
        <w:numPr>
          <w:ilvl w:val="0"/>
          <w:numId w:val="26"/>
        </w:numPr>
        <w:rPr>
          <w:rFonts w:ascii="Arial" w:hAnsi="Arial" w:cs="Arial"/>
          <w:b/>
          <w:sz w:val="24"/>
          <w:szCs w:val="24"/>
        </w:rPr>
      </w:pPr>
      <w:r w:rsidRPr="008E765E">
        <w:rPr>
          <w:rFonts w:ascii="Arial" w:hAnsi="Arial" w:cs="Arial"/>
          <w:b/>
          <w:sz w:val="24"/>
          <w:szCs w:val="24"/>
        </w:rPr>
        <w:t>The Audit Report’s Failure to Evaluate FirstEnergy’s provision of non-electric services</w:t>
      </w:r>
    </w:p>
    <w:p w14:paraId="09632D2D" w14:textId="6B4BF137" w:rsidR="008E765E" w:rsidRDefault="008E765E" w:rsidP="00405A1D">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is disappointed that the Audit</w:t>
      </w:r>
      <w:r w:rsidR="00405A1D">
        <w:rPr>
          <w:rFonts w:ascii="Arial" w:hAnsi="Arial" w:cs="Arial"/>
          <w:sz w:val="24"/>
          <w:szCs w:val="24"/>
        </w:rPr>
        <w:t xml:space="preserve"> Report failed to consider or evaluate whether FirstEnergy’s provision of non-electric services complies with Ohio law.  The existence of a nearly two-decade old tariff does not provide a rubber stamp to evade R.C. 4928.17.  Moreover, the complaint filed by RESA raised a host of questions that the Audit Report simply failed to address.  Specifically, whether FirstEnergy has utilized non-competitive assets to provide an undue preference and competitive advantage to its internal business units that provides non-electric services.  Such behavior clearly runs afoul of R.C. 4828.17(A)(2) and (3). </w:t>
      </w:r>
      <w:r w:rsidR="002F6384">
        <w:rPr>
          <w:rFonts w:ascii="Arial" w:hAnsi="Arial" w:cs="Arial"/>
          <w:sz w:val="24"/>
          <w:szCs w:val="24"/>
        </w:rPr>
        <w:t xml:space="preserve">  </w:t>
      </w:r>
      <w:r w:rsidR="00405A1D">
        <w:rPr>
          <w:rFonts w:ascii="Arial" w:hAnsi="Arial" w:cs="Arial"/>
          <w:sz w:val="24"/>
          <w:szCs w:val="24"/>
        </w:rPr>
        <w:t xml:space="preserve"> </w:t>
      </w:r>
    </w:p>
    <w:p w14:paraId="45AA6230" w14:textId="400D3FCB" w:rsidR="00527C7A" w:rsidRDefault="00527C7A" w:rsidP="00527C7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Moreover, as detailed in the complaint filed by RE</w:t>
      </w:r>
      <w:r w:rsidR="00A40FD9">
        <w:rPr>
          <w:rFonts w:ascii="Arial" w:hAnsi="Arial" w:cs="Arial"/>
          <w:sz w:val="24"/>
          <w:szCs w:val="24"/>
        </w:rPr>
        <w:t>SA and demonstrated further in A</w:t>
      </w:r>
      <w:r>
        <w:rPr>
          <w:rFonts w:ascii="Arial" w:hAnsi="Arial" w:cs="Arial"/>
          <w:sz w:val="24"/>
          <w:szCs w:val="24"/>
        </w:rPr>
        <w:t>tt</w:t>
      </w:r>
      <w:r w:rsidR="00A40FD9">
        <w:rPr>
          <w:rFonts w:ascii="Arial" w:hAnsi="Arial" w:cs="Arial"/>
          <w:sz w:val="24"/>
          <w:szCs w:val="24"/>
        </w:rPr>
        <w:t>achment C</w:t>
      </w:r>
      <w:r>
        <w:rPr>
          <w:rFonts w:ascii="Arial" w:hAnsi="Arial" w:cs="Arial"/>
          <w:sz w:val="24"/>
          <w:szCs w:val="24"/>
        </w:rPr>
        <w:t>, FirstEnergy is providing non-electric products and services in a discriminatory manner.  Specifically, FirstEnergy utilizes non-competitive assets such as the consolidated utility bill to invoice and collect for non-electric services, while prohibiting CRES providers from using the same assets to provide the same or similar services.  Again, this practice clearly violates R.C. 4928.17(A)(2) and (3).</w:t>
      </w:r>
    </w:p>
    <w:p w14:paraId="7A83741B" w14:textId="5E86A7D5" w:rsidR="00405A1D" w:rsidRDefault="002F6384" w:rsidP="00527C7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Making matters worse, t</w:t>
      </w:r>
      <w:r w:rsidR="00405A1D">
        <w:rPr>
          <w:rFonts w:ascii="Arial" w:hAnsi="Arial" w:cs="Arial"/>
          <w:sz w:val="24"/>
          <w:szCs w:val="24"/>
        </w:rPr>
        <w:t>he Audit Report acknowledges that the FEP group has access to restricted utility customer information.  This clearly provides a competitive advantage and preference in violation of the purpose and letter of the law.</w:t>
      </w:r>
    </w:p>
    <w:p w14:paraId="6EE1704A" w14:textId="656EFAC7" w:rsidR="002F6384" w:rsidRPr="00405A1D" w:rsidRDefault="002F6384" w:rsidP="00527C7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Finally, the Audit Report fails to provide an evaluation of the manner in which FirstEnergy accounts for costs and revenues related to the provision of non-electric services</w:t>
      </w:r>
      <w:r w:rsidR="00475049">
        <w:rPr>
          <w:rFonts w:ascii="Arial" w:hAnsi="Arial" w:cs="Arial"/>
          <w:sz w:val="24"/>
          <w:szCs w:val="24"/>
        </w:rPr>
        <w:t>, as well as costs and revenues related to its third party partner, Homeserve. While the Commission may prospectively mitigate this failure by requiring all non-electric services be provided by a separate affiliate, the Audit Report missed an important opportunity.</w:t>
      </w:r>
    </w:p>
    <w:p w14:paraId="20070B98" w14:textId="40B2CF8D" w:rsidR="00291291" w:rsidRDefault="00291291" w:rsidP="005F1591">
      <w:pPr>
        <w:pStyle w:val="ListParagraph"/>
        <w:numPr>
          <w:ilvl w:val="0"/>
          <w:numId w:val="26"/>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The Audit Report’s </w:t>
      </w:r>
      <w:r w:rsidR="00D161CB">
        <w:rPr>
          <w:rFonts w:ascii="Arial" w:hAnsi="Arial" w:cs="Arial"/>
          <w:b/>
          <w:sz w:val="24"/>
          <w:szCs w:val="24"/>
        </w:rPr>
        <w:t>R</w:t>
      </w:r>
      <w:r>
        <w:rPr>
          <w:rFonts w:ascii="Arial" w:hAnsi="Arial" w:cs="Arial"/>
          <w:b/>
          <w:sz w:val="24"/>
          <w:szCs w:val="24"/>
        </w:rPr>
        <w:t xml:space="preserve">ecommendation to </w:t>
      </w:r>
      <w:r w:rsidR="00D161CB">
        <w:rPr>
          <w:rFonts w:ascii="Arial" w:hAnsi="Arial" w:cs="Arial"/>
          <w:b/>
          <w:sz w:val="24"/>
          <w:szCs w:val="24"/>
        </w:rPr>
        <w:t>S</w:t>
      </w:r>
      <w:r>
        <w:rPr>
          <w:rFonts w:ascii="Arial" w:hAnsi="Arial" w:cs="Arial"/>
          <w:b/>
          <w:sz w:val="24"/>
          <w:szCs w:val="24"/>
        </w:rPr>
        <w:t xml:space="preserve">eparate FES from the FEP </w:t>
      </w:r>
      <w:r w:rsidR="00D161CB">
        <w:rPr>
          <w:rFonts w:ascii="Arial" w:hAnsi="Arial" w:cs="Arial"/>
          <w:b/>
          <w:sz w:val="24"/>
          <w:szCs w:val="24"/>
        </w:rPr>
        <w:t>G</w:t>
      </w:r>
      <w:r>
        <w:rPr>
          <w:rFonts w:ascii="Arial" w:hAnsi="Arial" w:cs="Arial"/>
          <w:b/>
          <w:sz w:val="24"/>
          <w:szCs w:val="24"/>
        </w:rPr>
        <w:t xml:space="preserve">roup is </w:t>
      </w:r>
      <w:r w:rsidR="00D161CB">
        <w:rPr>
          <w:rFonts w:ascii="Arial" w:hAnsi="Arial" w:cs="Arial"/>
          <w:b/>
          <w:sz w:val="24"/>
          <w:szCs w:val="24"/>
        </w:rPr>
        <w:t>I</w:t>
      </w:r>
      <w:r>
        <w:rPr>
          <w:rFonts w:ascii="Arial" w:hAnsi="Arial" w:cs="Arial"/>
          <w:b/>
          <w:sz w:val="24"/>
          <w:szCs w:val="24"/>
        </w:rPr>
        <w:t xml:space="preserve">nsufficient to </w:t>
      </w:r>
      <w:r w:rsidR="00D161CB">
        <w:rPr>
          <w:rFonts w:ascii="Arial" w:hAnsi="Arial" w:cs="Arial"/>
          <w:b/>
          <w:sz w:val="24"/>
          <w:szCs w:val="24"/>
        </w:rPr>
        <w:t>Comply with the L</w:t>
      </w:r>
      <w:r>
        <w:rPr>
          <w:rFonts w:ascii="Arial" w:hAnsi="Arial" w:cs="Arial"/>
          <w:b/>
          <w:sz w:val="24"/>
          <w:szCs w:val="24"/>
        </w:rPr>
        <w:t>aw</w:t>
      </w:r>
    </w:p>
    <w:p w14:paraId="64821B22" w14:textId="1CD5A516" w:rsidR="00291291" w:rsidRDefault="006E09D0" w:rsidP="006E09D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Audit Report senses that something is not right with the FirstEnergy structure, though it did not quite contemplate the extent of the wrongdoing.  Specifically, the Audit Report identifies that inappropriate changes we</w:t>
      </w:r>
      <w:r w:rsidR="00475049">
        <w:rPr>
          <w:rFonts w:ascii="Arial" w:hAnsi="Arial" w:cs="Arial"/>
          <w:sz w:val="24"/>
          <w:szCs w:val="24"/>
        </w:rPr>
        <w:t>re</w:t>
      </w:r>
      <w:r>
        <w:rPr>
          <w:rFonts w:ascii="Arial" w:hAnsi="Arial" w:cs="Arial"/>
          <w:sz w:val="24"/>
          <w:szCs w:val="24"/>
        </w:rPr>
        <w:t xml:space="preserve"> made to the Retail Operations group when FEP and FES were brought under the same corporate structure.  The problem stems fro</w:t>
      </w:r>
      <w:r w:rsidR="00761A6C">
        <w:rPr>
          <w:rFonts w:ascii="Arial" w:hAnsi="Arial" w:cs="Arial"/>
          <w:sz w:val="24"/>
          <w:szCs w:val="24"/>
        </w:rPr>
        <w:t>m the</w:t>
      </w:r>
      <w:r w:rsidR="00475049">
        <w:rPr>
          <w:rFonts w:ascii="Arial" w:hAnsi="Arial" w:cs="Arial"/>
          <w:sz w:val="24"/>
          <w:szCs w:val="24"/>
        </w:rPr>
        <w:t xml:space="preserve"> sharing of employees and </w:t>
      </w:r>
      <w:r w:rsidR="00761A6C">
        <w:rPr>
          <w:rFonts w:ascii="Arial" w:hAnsi="Arial" w:cs="Arial"/>
          <w:sz w:val="24"/>
          <w:szCs w:val="24"/>
        </w:rPr>
        <w:t>comingling regulated and unregulated businesses when the former has access to “regulated customer information”</w:t>
      </w:r>
      <w:r>
        <w:rPr>
          <w:rFonts w:ascii="Arial" w:hAnsi="Arial" w:cs="Arial"/>
          <w:sz w:val="24"/>
          <w:szCs w:val="24"/>
        </w:rPr>
        <w:t>:</w:t>
      </w:r>
    </w:p>
    <w:p w14:paraId="54772738" w14:textId="1EA2E9E5" w:rsidR="006E09D0" w:rsidRPr="00761A6C" w:rsidRDefault="006E09D0" w:rsidP="00761A6C">
      <w:pPr>
        <w:autoSpaceDE w:val="0"/>
        <w:autoSpaceDN w:val="0"/>
        <w:adjustRightInd w:val="0"/>
        <w:spacing w:after="0" w:line="240" w:lineRule="auto"/>
        <w:ind w:left="720" w:right="720"/>
        <w:jc w:val="both"/>
        <w:rPr>
          <w:rFonts w:ascii="Arial" w:hAnsi="Arial" w:cs="Arial"/>
          <w:sz w:val="24"/>
          <w:szCs w:val="24"/>
        </w:rPr>
      </w:pPr>
      <w:r w:rsidRPr="00761A6C">
        <w:rPr>
          <w:rFonts w:ascii="Arial" w:hAnsi="Arial" w:cs="Arial"/>
          <w:sz w:val="24"/>
          <w:szCs w:val="24"/>
        </w:rPr>
        <w:lastRenderedPageBreak/>
        <w:t>The FEP back office operation has Ohio Companies’ regulated customer information</w:t>
      </w:r>
      <w:r w:rsidR="00761A6C" w:rsidRPr="00761A6C">
        <w:rPr>
          <w:rFonts w:ascii="Arial" w:hAnsi="Arial" w:cs="Arial"/>
          <w:sz w:val="24"/>
          <w:szCs w:val="24"/>
        </w:rPr>
        <w:t xml:space="preserve"> </w:t>
      </w:r>
      <w:r w:rsidRPr="00761A6C">
        <w:rPr>
          <w:rFonts w:ascii="Arial" w:hAnsi="Arial" w:cs="Arial"/>
          <w:sz w:val="24"/>
          <w:szCs w:val="24"/>
        </w:rPr>
        <w:t>which the FES back office is prohibited from having. It is inappropriate for the FEP and</w:t>
      </w:r>
      <w:r w:rsidR="00761A6C" w:rsidRPr="00761A6C">
        <w:rPr>
          <w:rFonts w:ascii="Arial" w:hAnsi="Arial" w:cs="Arial"/>
          <w:sz w:val="24"/>
          <w:szCs w:val="24"/>
        </w:rPr>
        <w:t xml:space="preserve"> </w:t>
      </w:r>
      <w:r w:rsidRPr="00761A6C">
        <w:rPr>
          <w:rFonts w:ascii="Arial" w:hAnsi="Arial" w:cs="Arial"/>
          <w:sz w:val="24"/>
          <w:szCs w:val="24"/>
        </w:rPr>
        <w:t>FES back office operations to report to the same director. Further, the FES Retail Sales</w:t>
      </w:r>
      <w:r w:rsidR="00761A6C" w:rsidRPr="00761A6C">
        <w:rPr>
          <w:rFonts w:ascii="Arial" w:hAnsi="Arial" w:cs="Arial"/>
          <w:sz w:val="24"/>
          <w:szCs w:val="24"/>
        </w:rPr>
        <w:t xml:space="preserve"> </w:t>
      </w:r>
      <w:r w:rsidRPr="00761A6C">
        <w:rPr>
          <w:rFonts w:ascii="Arial" w:hAnsi="Arial" w:cs="Arial"/>
          <w:sz w:val="24"/>
          <w:szCs w:val="24"/>
        </w:rPr>
        <w:t>Vice President routinely participates in management meetings with other Service</w:t>
      </w:r>
      <w:r w:rsidR="00761A6C">
        <w:rPr>
          <w:rFonts w:ascii="Arial" w:hAnsi="Arial" w:cs="Arial"/>
          <w:sz w:val="24"/>
          <w:szCs w:val="24"/>
        </w:rPr>
        <w:t xml:space="preserve"> </w:t>
      </w:r>
      <w:r w:rsidRPr="00761A6C">
        <w:rPr>
          <w:rFonts w:ascii="Arial" w:hAnsi="Arial" w:cs="Arial"/>
          <w:sz w:val="24"/>
          <w:szCs w:val="24"/>
        </w:rPr>
        <w:t>Company executives.</w:t>
      </w:r>
    </w:p>
    <w:p w14:paraId="7B314960" w14:textId="77777777" w:rsidR="006E09D0" w:rsidRPr="00761A6C" w:rsidRDefault="006E09D0" w:rsidP="00761A6C">
      <w:pPr>
        <w:autoSpaceDE w:val="0"/>
        <w:autoSpaceDN w:val="0"/>
        <w:adjustRightInd w:val="0"/>
        <w:spacing w:after="0" w:line="240" w:lineRule="auto"/>
        <w:ind w:left="720" w:right="720"/>
        <w:jc w:val="both"/>
        <w:rPr>
          <w:rFonts w:ascii="Arial" w:hAnsi="Arial" w:cs="Arial"/>
          <w:sz w:val="24"/>
          <w:szCs w:val="24"/>
        </w:rPr>
      </w:pPr>
    </w:p>
    <w:p w14:paraId="759F6607" w14:textId="4213DCAD" w:rsidR="00761A6C" w:rsidRDefault="006E09D0" w:rsidP="00877285">
      <w:pPr>
        <w:autoSpaceDE w:val="0"/>
        <w:autoSpaceDN w:val="0"/>
        <w:adjustRightInd w:val="0"/>
        <w:spacing w:after="0" w:line="240" w:lineRule="auto"/>
        <w:ind w:left="720" w:right="720"/>
        <w:jc w:val="both"/>
        <w:rPr>
          <w:rFonts w:ascii="Arial" w:hAnsi="Arial" w:cs="Arial"/>
          <w:sz w:val="24"/>
          <w:szCs w:val="24"/>
        </w:rPr>
      </w:pPr>
      <w:r w:rsidRPr="00761A6C">
        <w:rPr>
          <w:rFonts w:ascii="Arial" w:hAnsi="Arial" w:cs="Arial"/>
          <w:sz w:val="24"/>
          <w:szCs w:val="24"/>
        </w:rPr>
        <w:t>The placement of the FES CRES Retail Sales organization under the Service Company</w:t>
      </w:r>
      <w:r w:rsidR="00761A6C" w:rsidRPr="00761A6C">
        <w:rPr>
          <w:rFonts w:ascii="Arial" w:hAnsi="Arial" w:cs="Arial"/>
          <w:sz w:val="24"/>
          <w:szCs w:val="24"/>
        </w:rPr>
        <w:t xml:space="preserve"> </w:t>
      </w:r>
      <w:r w:rsidRPr="00761A6C">
        <w:rPr>
          <w:rFonts w:ascii="Arial" w:hAnsi="Arial" w:cs="Arial"/>
          <w:sz w:val="24"/>
          <w:szCs w:val="24"/>
        </w:rPr>
        <w:t>Marketing and Branding group makes the FES CRES Retail Sales Vice President part of the senior leadership team for a Service Company group that primarily serves the</w:t>
      </w:r>
      <w:r w:rsidR="00761A6C" w:rsidRPr="00761A6C">
        <w:rPr>
          <w:rFonts w:ascii="Arial" w:hAnsi="Arial" w:cs="Arial"/>
          <w:sz w:val="24"/>
          <w:szCs w:val="24"/>
        </w:rPr>
        <w:t xml:space="preserve"> </w:t>
      </w:r>
      <w:r w:rsidRPr="00761A6C">
        <w:rPr>
          <w:rFonts w:ascii="Arial" w:hAnsi="Arial" w:cs="Arial"/>
          <w:sz w:val="24"/>
          <w:szCs w:val="24"/>
        </w:rPr>
        <w:t>FirstEnergy regulated operating companies. Attendance by the FES CRES retail sales</w:t>
      </w:r>
      <w:r w:rsidR="00761A6C" w:rsidRPr="00761A6C">
        <w:rPr>
          <w:rFonts w:ascii="Arial" w:hAnsi="Arial" w:cs="Arial"/>
          <w:sz w:val="24"/>
          <w:szCs w:val="24"/>
        </w:rPr>
        <w:t xml:space="preserve"> </w:t>
      </w:r>
      <w:r w:rsidRPr="00761A6C">
        <w:rPr>
          <w:rFonts w:ascii="Arial" w:hAnsi="Arial" w:cs="Arial"/>
          <w:sz w:val="24"/>
          <w:szCs w:val="24"/>
        </w:rPr>
        <w:t>executive at meetings with other Service Company executives focused on regulated utility operations is problematic. It makes separation of regulated and competitive information highly challenging.</w:t>
      </w:r>
      <w:r w:rsidR="00CF5C36">
        <w:rPr>
          <w:rStyle w:val="FootnoteReference"/>
          <w:rFonts w:ascii="Arial" w:hAnsi="Arial" w:cs="Arial"/>
          <w:sz w:val="24"/>
          <w:szCs w:val="24"/>
        </w:rPr>
        <w:footnoteReference w:id="30"/>
      </w:r>
    </w:p>
    <w:p w14:paraId="549238AC" w14:textId="77777777" w:rsidR="00877285" w:rsidRDefault="00877285" w:rsidP="00877285">
      <w:pPr>
        <w:autoSpaceDE w:val="0"/>
        <w:autoSpaceDN w:val="0"/>
        <w:adjustRightInd w:val="0"/>
        <w:spacing w:after="0" w:line="240" w:lineRule="auto"/>
        <w:ind w:left="720" w:right="720"/>
        <w:jc w:val="both"/>
        <w:rPr>
          <w:rFonts w:ascii="Arial" w:hAnsi="Arial" w:cs="Arial"/>
          <w:sz w:val="24"/>
          <w:szCs w:val="24"/>
        </w:rPr>
      </w:pPr>
    </w:p>
    <w:p w14:paraId="7EF0E660" w14:textId="22D560D2" w:rsidR="00877285" w:rsidRDefault="00761A6C" w:rsidP="00475049">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It is concerning that the FEP group may be a conduit to transfer sensitive regulated utility information to FES.  But it is more concerning that the FEP group has access to that information in the first place—</w:t>
      </w:r>
      <w:r>
        <w:rPr>
          <w:rFonts w:ascii="Arial" w:hAnsi="Arial" w:cs="Arial"/>
          <w:b/>
          <w:i/>
          <w:sz w:val="24"/>
          <w:szCs w:val="24"/>
        </w:rPr>
        <w:t>the FEP group provides unregulated services</w:t>
      </w:r>
      <w:r>
        <w:rPr>
          <w:rFonts w:ascii="Arial" w:hAnsi="Arial" w:cs="Arial"/>
          <w:sz w:val="24"/>
          <w:szCs w:val="24"/>
        </w:rPr>
        <w:t xml:space="preserve">.  It should have no access to any </w:t>
      </w:r>
      <w:r w:rsidR="00877285">
        <w:rPr>
          <w:rFonts w:ascii="Arial" w:hAnsi="Arial" w:cs="Arial"/>
          <w:sz w:val="24"/>
          <w:szCs w:val="24"/>
        </w:rPr>
        <w:t>sensitive customer information.  Such access would provide an undue preference and competitive advantage in violation</w:t>
      </w:r>
      <w:r w:rsidR="008E765E">
        <w:rPr>
          <w:rFonts w:ascii="Arial" w:hAnsi="Arial" w:cs="Arial"/>
          <w:sz w:val="24"/>
          <w:szCs w:val="24"/>
        </w:rPr>
        <w:t xml:space="preserve"> of R.C. 4928.17(A)(2) and (3).  </w:t>
      </w:r>
    </w:p>
    <w:p w14:paraId="3A9B25CF" w14:textId="7140A99A" w:rsidR="00291291" w:rsidRDefault="00877285" w:rsidP="00475049">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Rather than separating FES from the FEP group, the more appropriate course of action is to</w:t>
      </w:r>
      <w:r w:rsidR="008E765E">
        <w:rPr>
          <w:rFonts w:ascii="Arial" w:hAnsi="Arial" w:cs="Arial"/>
          <w:sz w:val="24"/>
          <w:szCs w:val="24"/>
        </w:rPr>
        <w:t xml:space="preserve"> separate FEP from FirstEnergy and to cease offering non-electric services through the regulated utility as required by</w:t>
      </w:r>
      <w:r>
        <w:rPr>
          <w:rFonts w:ascii="Arial" w:hAnsi="Arial" w:cs="Arial"/>
          <w:sz w:val="24"/>
          <w:szCs w:val="24"/>
        </w:rPr>
        <w:t xml:space="preserve"> R.C. 4928.17(A)(1)</w:t>
      </w:r>
      <w:r w:rsidR="008E765E">
        <w:rPr>
          <w:rFonts w:ascii="Arial" w:hAnsi="Arial" w:cs="Arial"/>
          <w:sz w:val="24"/>
          <w:szCs w:val="24"/>
        </w:rPr>
        <w:t>.  That section requires FirstEnergy to provide non-electric products and services through a fully separate affiliate.  Indeed, by transferring the provision of all non-electric services away from FirstEnergy to an affiliate no change to the curre</w:t>
      </w:r>
      <w:r>
        <w:rPr>
          <w:rFonts w:ascii="Arial" w:hAnsi="Arial" w:cs="Arial"/>
          <w:sz w:val="24"/>
          <w:szCs w:val="24"/>
        </w:rPr>
        <w:t>nt structure</w:t>
      </w:r>
      <w:r w:rsidR="008E765E">
        <w:rPr>
          <w:rFonts w:ascii="Arial" w:hAnsi="Arial" w:cs="Arial"/>
          <w:sz w:val="24"/>
          <w:szCs w:val="24"/>
        </w:rPr>
        <w:t xml:space="preserve"> of the Retail Operations Group would be necessary.</w:t>
      </w:r>
      <w:r w:rsidR="008E765E">
        <w:rPr>
          <w:rFonts w:ascii="Arial" w:hAnsi="Arial" w:cs="Arial"/>
          <w:sz w:val="24"/>
          <w:szCs w:val="24"/>
        </w:rPr>
        <w:tab/>
      </w:r>
    </w:p>
    <w:p w14:paraId="7D49E852" w14:textId="4D66F634" w:rsidR="00405A1D" w:rsidRPr="00527C7A" w:rsidRDefault="00D161CB" w:rsidP="00405A1D">
      <w:pPr>
        <w:pStyle w:val="ListParagraph"/>
        <w:numPr>
          <w:ilvl w:val="0"/>
          <w:numId w:val="26"/>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IGS S</w:t>
      </w:r>
      <w:r w:rsidR="00405A1D">
        <w:rPr>
          <w:rFonts w:ascii="Arial" w:hAnsi="Arial" w:cs="Arial"/>
          <w:b/>
          <w:sz w:val="24"/>
          <w:szCs w:val="24"/>
        </w:rPr>
        <w:t xml:space="preserve">upports the Audit Report’s </w:t>
      </w:r>
      <w:r>
        <w:rPr>
          <w:rFonts w:ascii="Arial" w:hAnsi="Arial" w:cs="Arial"/>
          <w:b/>
          <w:sz w:val="24"/>
          <w:szCs w:val="24"/>
        </w:rPr>
        <w:t>Recommendation to Remove a L</w:t>
      </w:r>
      <w:r w:rsidR="00405A1D">
        <w:rPr>
          <w:rFonts w:ascii="Arial" w:hAnsi="Arial" w:cs="Arial"/>
          <w:b/>
          <w:sz w:val="24"/>
          <w:szCs w:val="24"/>
        </w:rPr>
        <w:t>i</w:t>
      </w:r>
      <w:r>
        <w:rPr>
          <w:rFonts w:ascii="Arial" w:hAnsi="Arial" w:cs="Arial"/>
          <w:b/>
          <w:sz w:val="24"/>
          <w:szCs w:val="24"/>
        </w:rPr>
        <w:t>nk to FES</w:t>
      </w:r>
      <w:r w:rsidR="009C1A2E">
        <w:rPr>
          <w:rFonts w:ascii="Arial" w:hAnsi="Arial" w:cs="Arial"/>
          <w:b/>
          <w:sz w:val="24"/>
          <w:szCs w:val="24"/>
        </w:rPr>
        <w:t xml:space="preserve"> from the FirstEnergy Website, B</w:t>
      </w:r>
      <w:r>
        <w:rPr>
          <w:rFonts w:ascii="Arial" w:hAnsi="Arial" w:cs="Arial"/>
          <w:b/>
          <w:sz w:val="24"/>
          <w:szCs w:val="24"/>
        </w:rPr>
        <w:t>ut this Recommendation Should be Equally A</w:t>
      </w:r>
      <w:r w:rsidR="00405A1D">
        <w:rPr>
          <w:rFonts w:ascii="Arial" w:hAnsi="Arial" w:cs="Arial"/>
          <w:b/>
          <w:sz w:val="24"/>
          <w:szCs w:val="24"/>
        </w:rPr>
        <w:t>pplicable to Smart Mart</w:t>
      </w:r>
    </w:p>
    <w:p w14:paraId="6C6ED618" w14:textId="724D1ED2" w:rsidR="00405A1D" w:rsidRPr="00405A1D" w:rsidRDefault="00405A1D" w:rsidP="00527C7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The Audit Report identifies that it is inappropriate for the FirstEnergy website to include a link to the FES website.</w:t>
      </w:r>
      <w:r w:rsidR="00475049">
        <w:rPr>
          <w:rStyle w:val="FootnoteReference"/>
          <w:rFonts w:ascii="Arial" w:hAnsi="Arial" w:cs="Arial"/>
          <w:sz w:val="24"/>
          <w:szCs w:val="24"/>
        </w:rPr>
        <w:footnoteReference w:id="31"/>
      </w:r>
      <w:r>
        <w:rPr>
          <w:rFonts w:ascii="Arial" w:hAnsi="Arial" w:cs="Arial"/>
          <w:sz w:val="24"/>
          <w:szCs w:val="24"/>
        </w:rPr>
        <w:t xml:space="preserve">  IGS agrees.  But it is equally inappro</w:t>
      </w:r>
      <w:r w:rsidR="00527C7A">
        <w:rPr>
          <w:rFonts w:ascii="Arial" w:hAnsi="Arial" w:cs="Arial"/>
          <w:sz w:val="24"/>
          <w:szCs w:val="24"/>
        </w:rPr>
        <w:t>priate that FirstEnergy advertises non-electric services and includes a link to the Smart Mart website.</w:t>
      </w:r>
      <w:r w:rsidR="00475049">
        <w:rPr>
          <w:rStyle w:val="FootnoteReference"/>
          <w:rFonts w:ascii="Arial" w:hAnsi="Arial" w:cs="Arial"/>
          <w:sz w:val="24"/>
          <w:szCs w:val="24"/>
        </w:rPr>
        <w:footnoteReference w:id="32"/>
      </w:r>
      <w:r w:rsidR="00527C7A">
        <w:rPr>
          <w:rFonts w:ascii="Arial" w:hAnsi="Arial" w:cs="Arial"/>
          <w:sz w:val="24"/>
          <w:szCs w:val="24"/>
        </w:rPr>
        <w:t xml:space="preserve">  This is clearly an undue preference and competitive advantage to an internal business unit that provides unregulated services. </w:t>
      </w:r>
    </w:p>
    <w:p w14:paraId="1B49EA4E" w14:textId="39B31E42" w:rsidR="00405A1D" w:rsidRDefault="00405A1D" w:rsidP="00405A1D">
      <w:pPr>
        <w:pStyle w:val="ListParagraph"/>
        <w:numPr>
          <w:ilvl w:val="0"/>
          <w:numId w:val="26"/>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IGS Supports the Audit </w:t>
      </w:r>
      <w:r w:rsidR="00D161CB">
        <w:rPr>
          <w:rFonts w:ascii="Arial" w:hAnsi="Arial" w:cs="Arial"/>
          <w:b/>
          <w:sz w:val="24"/>
          <w:szCs w:val="24"/>
        </w:rPr>
        <w:t>Report’s Recommendation to E</w:t>
      </w:r>
      <w:r>
        <w:rPr>
          <w:rFonts w:ascii="Arial" w:hAnsi="Arial" w:cs="Arial"/>
          <w:b/>
          <w:sz w:val="24"/>
          <w:szCs w:val="24"/>
        </w:rPr>
        <w:t>liminate the FirstEnergy name from FES</w:t>
      </w:r>
      <w:r w:rsidR="00D161CB">
        <w:rPr>
          <w:rFonts w:ascii="Arial" w:hAnsi="Arial" w:cs="Arial"/>
          <w:b/>
          <w:sz w:val="24"/>
          <w:szCs w:val="24"/>
        </w:rPr>
        <w:t>, But this Recommendation Should Apply to All Unregulated Businesses</w:t>
      </w:r>
    </w:p>
    <w:p w14:paraId="7DAE6EA6" w14:textId="5FE51578" w:rsidR="00405A1D" w:rsidRPr="00877285" w:rsidRDefault="00405A1D" w:rsidP="00405A1D">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IGS supports the Audit Report’s recommendation that FES cease using the FirstEnergy name.</w:t>
      </w:r>
      <w:r w:rsidR="00425F6A">
        <w:rPr>
          <w:rStyle w:val="FootnoteReference"/>
          <w:rFonts w:ascii="Arial" w:hAnsi="Arial" w:cs="Arial"/>
          <w:sz w:val="24"/>
          <w:szCs w:val="24"/>
        </w:rPr>
        <w:footnoteReference w:id="33"/>
      </w:r>
      <w:r>
        <w:rPr>
          <w:rFonts w:ascii="Arial" w:hAnsi="Arial" w:cs="Arial"/>
          <w:sz w:val="24"/>
          <w:szCs w:val="24"/>
        </w:rPr>
        <w:t xml:space="preserve">  Prohibitions against competitive entities leveraging the brand of the monopoly affiliate are commonplace other states such as Texas and Illinois.</w:t>
      </w:r>
      <w:r w:rsidR="00425F6A">
        <w:rPr>
          <w:rStyle w:val="FootnoteReference"/>
          <w:rFonts w:ascii="Arial" w:hAnsi="Arial" w:cs="Arial"/>
          <w:sz w:val="24"/>
          <w:szCs w:val="24"/>
        </w:rPr>
        <w:footnoteReference w:id="34"/>
      </w:r>
      <w:r>
        <w:rPr>
          <w:rFonts w:ascii="Arial" w:hAnsi="Arial" w:cs="Arial"/>
          <w:sz w:val="24"/>
          <w:szCs w:val="24"/>
        </w:rPr>
        <w:t xml:space="preserve">  This recommendation, however, should be carried through to apply to all FirstEnergy entities that provide unregulated services.  </w:t>
      </w:r>
    </w:p>
    <w:p w14:paraId="598D42D6" w14:textId="499A671D" w:rsidR="00405A1D" w:rsidRDefault="008A748F" w:rsidP="008A748F">
      <w:pPr>
        <w:pStyle w:val="ListParagraph"/>
        <w:numPr>
          <w:ilvl w:val="0"/>
          <w:numId w:val="22"/>
        </w:numPr>
        <w:autoSpaceDE w:val="0"/>
        <w:autoSpaceDN w:val="0"/>
        <w:adjustRightInd w:val="0"/>
        <w:spacing w:after="120" w:line="480" w:lineRule="auto"/>
        <w:ind w:right="720"/>
        <w:jc w:val="both"/>
        <w:rPr>
          <w:rFonts w:ascii="Arial" w:hAnsi="Arial" w:cs="Arial"/>
          <w:b/>
          <w:sz w:val="24"/>
          <w:szCs w:val="24"/>
        </w:rPr>
      </w:pPr>
      <w:r>
        <w:rPr>
          <w:rFonts w:ascii="Arial" w:hAnsi="Arial" w:cs="Arial"/>
          <w:b/>
          <w:sz w:val="24"/>
          <w:szCs w:val="24"/>
        </w:rPr>
        <w:t>CONCLUSION</w:t>
      </w:r>
    </w:p>
    <w:p w14:paraId="4372AFA8" w14:textId="76E83F86" w:rsidR="008A748F" w:rsidRPr="008A748F" w:rsidRDefault="008A748F" w:rsidP="008A748F">
      <w:pPr>
        <w:autoSpaceDE w:val="0"/>
        <w:autoSpaceDN w:val="0"/>
        <w:adjustRightInd w:val="0"/>
        <w:spacing w:after="120" w:line="480" w:lineRule="auto"/>
        <w:ind w:right="720" w:firstLine="720"/>
        <w:jc w:val="both"/>
        <w:rPr>
          <w:rFonts w:ascii="Arial" w:hAnsi="Arial" w:cs="Arial"/>
          <w:sz w:val="24"/>
          <w:szCs w:val="24"/>
        </w:rPr>
      </w:pPr>
      <w:r>
        <w:rPr>
          <w:rFonts w:ascii="Arial" w:hAnsi="Arial" w:cs="Arial"/>
          <w:sz w:val="24"/>
          <w:szCs w:val="24"/>
        </w:rPr>
        <w:t xml:space="preserve">For the reasons stated herein, IGS urges the Commission to take action to bring FirstEnergy’s practices into conformity with R.C. 4928.17.  </w:t>
      </w:r>
    </w:p>
    <w:p w14:paraId="0B125978" w14:textId="39D30682" w:rsidR="00D156B6" w:rsidRDefault="00D156B6" w:rsidP="00E66CC2">
      <w:pPr>
        <w:spacing w:after="0" w:line="240" w:lineRule="auto"/>
        <w:ind w:left="5040"/>
        <w:jc w:val="both"/>
        <w:rPr>
          <w:rFonts w:ascii="Arial" w:eastAsiaTheme="minorHAnsi" w:hAnsi="Arial" w:cs="Arial"/>
          <w:sz w:val="24"/>
          <w:szCs w:val="24"/>
        </w:rPr>
      </w:pPr>
      <w:r>
        <w:rPr>
          <w:rFonts w:ascii="Arial" w:eastAsiaTheme="minorHAnsi" w:hAnsi="Arial" w:cs="Arial"/>
          <w:sz w:val="24"/>
          <w:szCs w:val="24"/>
        </w:rPr>
        <w:t>Respectfully submitted,</w:t>
      </w:r>
    </w:p>
    <w:p w14:paraId="6FAD737A" w14:textId="6C340FBF" w:rsidR="00D156B6" w:rsidRDefault="00D156B6" w:rsidP="00E66CC2">
      <w:pPr>
        <w:spacing w:after="0" w:line="240" w:lineRule="auto"/>
        <w:ind w:left="5040"/>
        <w:jc w:val="both"/>
        <w:rPr>
          <w:rFonts w:ascii="Arial" w:eastAsiaTheme="minorHAnsi" w:hAnsi="Arial" w:cs="Arial"/>
          <w:sz w:val="24"/>
          <w:szCs w:val="24"/>
        </w:rPr>
      </w:pPr>
    </w:p>
    <w:p w14:paraId="25987BCE" w14:textId="3EDA3397" w:rsidR="00D156B6" w:rsidRPr="00D156B6" w:rsidRDefault="00D156B6" w:rsidP="00D156B6">
      <w:pPr>
        <w:spacing w:after="0" w:line="240" w:lineRule="auto"/>
        <w:ind w:left="5040"/>
        <w:jc w:val="both"/>
        <w:rPr>
          <w:rFonts w:ascii="Arial" w:eastAsiaTheme="minorHAnsi" w:hAnsi="Arial" w:cs="Arial"/>
          <w:i/>
          <w:sz w:val="24"/>
          <w:szCs w:val="24"/>
          <w:u w:val="single"/>
        </w:rPr>
      </w:pPr>
      <w:r>
        <w:rPr>
          <w:rFonts w:ascii="Arial" w:eastAsiaTheme="minorHAnsi" w:hAnsi="Arial" w:cs="Arial"/>
          <w:i/>
          <w:sz w:val="24"/>
          <w:szCs w:val="24"/>
          <w:u w:val="single"/>
        </w:rPr>
        <w:t>/s/ Joseph Oliker</w:t>
      </w:r>
    </w:p>
    <w:p w14:paraId="33B92791" w14:textId="59FEF8B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lastRenderedPageBreak/>
        <w:t>Joseph Oliker (0086088)</w:t>
      </w:r>
    </w:p>
    <w:p w14:paraId="612FB0FA" w14:textId="7777777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 xml:space="preserve">Email: </w:t>
      </w:r>
      <w:hyperlink r:id="rId12" w:history="1">
        <w:r w:rsidRPr="00E66CC2">
          <w:rPr>
            <w:rFonts w:ascii="Arial" w:eastAsiaTheme="minorHAnsi" w:hAnsi="Arial" w:cs="Arial"/>
            <w:sz w:val="24"/>
            <w:szCs w:val="24"/>
          </w:rPr>
          <w:t>joliker@igsenergy.com</w:t>
        </w:r>
      </w:hyperlink>
    </w:p>
    <w:p w14:paraId="23219B2C" w14:textId="00D20418" w:rsidR="00D156B6" w:rsidRDefault="00D156B6" w:rsidP="00E66CC2">
      <w:pPr>
        <w:spacing w:after="0" w:line="240" w:lineRule="auto"/>
        <w:ind w:left="5040"/>
        <w:jc w:val="both"/>
        <w:rPr>
          <w:rFonts w:ascii="Arial" w:eastAsiaTheme="minorHAnsi" w:hAnsi="Arial" w:cs="Arial"/>
          <w:sz w:val="24"/>
          <w:szCs w:val="24"/>
        </w:rPr>
      </w:pPr>
      <w:r>
        <w:rPr>
          <w:rFonts w:ascii="Arial" w:eastAsiaTheme="minorHAnsi" w:hAnsi="Arial" w:cs="Arial"/>
          <w:sz w:val="24"/>
          <w:szCs w:val="24"/>
        </w:rPr>
        <w:t>Michael Nugent (0090408)</w:t>
      </w:r>
    </w:p>
    <w:p w14:paraId="13B251EB" w14:textId="11B4DD53"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 xml:space="preserve">Email: </w:t>
      </w:r>
      <w:r w:rsidR="00D156B6">
        <w:rPr>
          <w:rFonts w:ascii="Arial" w:eastAsiaTheme="minorHAnsi" w:hAnsi="Arial" w:cs="Arial"/>
          <w:sz w:val="24"/>
          <w:szCs w:val="24"/>
        </w:rPr>
        <w:t>mnugent</w:t>
      </w:r>
      <w:r w:rsidRPr="00E66CC2">
        <w:rPr>
          <w:rFonts w:ascii="Arial" w:eastAsiaTheme="minorHAnsi" w:hAnsi="Arial" w:cs="Arial"/>
          <w:sz w:val="24"/>
          <w:szCs w:val="24"/>
        </w:rPr>
        <w:t>@igsenergy.com</w:t>
      </w:r>
    </w:p>
    <w:p w14:paraId="3AFD6FC0" w14:textId="7777777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IGS Energy</w:t>
      </w:r>
    </w:p>
    <w:p w14:paraId="27B4E840" w14:textId="7777777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6100 Emerald Parkway</w:t>
      </w:r>
    </w:p>
    <w:p w14:paraId="623EAE5F" w14:textId="7777777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Dublin, Ohio 43016</w:t>
      </w:r>
    </w:p>
    <w:p w14:paraId="19B46B86" w14:textId="7777777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Telephone:</w:t>
      </w:r>
      <w:r w:rsidRPr="00E66CC2">
        <w:rPr>
          <w:rFonts w:ascii="Arial" w:eastAsiaTheme="minorHAnsi" w:hAnsi="Arial" w:cs="Arial"/>
          <w:sz w:val="24"/>
          <w:szCs w:val="24"/>
        </w:rPr>
        <w:tab/>
        <w:t>(614) 659-5000</w:t>
      </w:r>
    </w:p>
    <w:p w14:paraId="398DB491" w14:textId="77777777" w:rsidR="00E66CC2" w:rsidRPr="00E66CC2" w:rsidRDefault="00E66CC2" w:rsidP="00E66CC2">
      <w:pPr>
        <w:spacing w:after="0" w:line="240" w:lineRule="auto"/>
        <w:ind w:left="5040"/>
        <w:jc w:val="both"/>
        <w:rPr>
          <w:rFonts w:ascii="Arial" w:eastAsiaTheme="minorHAnsi" w:hAnsi="Arial" w:cs="Arial"/>
          <w:sz w:val="24"/>
          <w:szCs w:val="24"/>
        </w:rPr>
      </w:pPr>
      <w:r w:rsidRPr="00E66CC2">
        <w:rPr>
          <w:rFonts w:ascii="Arial" w:eastAsiaTheme="minorHAnsi" w:hAnsi="Arial" w:cs="Arial"/>
          <w:sz w:val="24"/>
          <w:szCs w:val="24"/>
        </w:rPr>
        <w:t>Facsimile:</w:t>
      </w:r>
      <w:r w:rsidRPr="00E66CC2">
        <w:rPr>
          <w:rFonts w:ascii="Arial" w:eastAsiaTheme="minorHAnsi" w:hAnsi="Arial" w:cs="Arial"/>
          <w:sz w:val="24"/>
          <w:szCs w:val="24"/>
        </w:rPr>
        <w:tab/>
        <w:t>(614) 659-5073</w:t>
      </w:r>
    </w:p>
    <w:p w14:paraId="246F7BCD" w14:textId="77777777" w:rsidR="007866CD" w:rsidRDefault="007866CD" w:rsidP="007866CD">
      <w:pPr>
        <w:spacing w:line="240" w:lineRule="auto"/>
        <w:rPr>
          <w:rFonts w:ascii="Arial" w:eastAsia="Arial" w:hAnsi="Arial" w:cs="Arial"/>
          <w:sz w:val="24"/>
          <w:szCs w:val="24"/>
        </w:rPr>
      </w:pPr>
    </w:p>
    <w:p w14:paraId="63ED401D" w14:textId="77777777" w:rsidR="007866CD" w:rsidRDefault="007866CD" w:rsidP="007866CD">
      <w:pPr>
        <w:spacing w:line="240" w:lineRule="auto"/>
        <w:rPr>
          <w:rFonts w:ascii="Arial" w:eastAsia="Arial" w:hAnsi="Arial" w:cs="Arial"/>
          <w:sz w:val="24"/>
          <w:szCs w:val="24"/>
        </w:rPr>
      </w:pPr>
    </w:p>
    <w:p w14:paraId="1FC184CF" w14:textId="53F9EB5D" w:rsidR="007866CD" w:rsidRDefault="007866CD" w:rsidP="007866CD">
      <w:pPr>
        <w:spacing w:line="240" w:lineRule="auto"/>
        <w:rPr>
          <w:rFonts w:ascii="Arial" w:eastAsia="Arial" w:hAnsi="Arial" w:cs="Arial"/>
          <w:sz w:val="24"/>
          <w:szCs w:val="24"/>
        </w:rPr>
      </w:pPr>
    </w:p>
    <w:p w14:paraId="35C741E0" w14:textId="4E239B0F" w:rsidR="00D156B6" w:rsidRDefault="00D156B6" w:rsidP="007866CD">
      <w:pPr>
        <w:spacing w:line="240" w:lineRule="auto"/>
        <w:rPr>
          <w:rFonts w:ascii="Arial" w:eastAsia="Arial" w:hAnsi="Arial" w:cs="Arial"/>
          <w:sz w:val="24"/>
          <w:szCs w:val="24"/>
        </w:rPr>
      </w:pPr>
    </w:p>
    <w:p w14:paraId="47005CAD" w14:textId="73F02499" w:rsidR="00D156B6" w:rsidRDefault="00D156B6" w:rsidP="007866CD">
      <w:pPr>
        <w:spacing w:line="240" w:lineRule="auto"/>
        <w:rPr>
          <w:rFonts w:ascii="Arial" w:eastAsia="Arial" w:hAnsi="Arial" w:cs="Arial"/>
          <w:sz w:val="24"/>
          <w:szCs w:val="24"/>
        </w:rPr>
      </w:pPr>
    </w:p>
    <w:p w14:paraId="5EB8F3EC" w14:textId="787285C3" w:rsidR="00D156B6" w:rsidRDefault="00D156B6" w:rsidP="007866CD">
      <w:pPr>
        <w:spacing w:line="240" w:lineRule="auto"/>
        <w:rPr>
          <w:rFonts w:ascii="Arial" w:eastAsia="Arial" w:hAnsi="Arial" w:cs="Arial"/>
          <w:sz w:val="24"/>
          <w:szCs w:val="24"/>
        </w:rPr>
      </w:pPr>
    </w:p>
    <w:p w14:paraId="5C8292A8" w14:textId="18412AF3" w:rsidR="00D156B6" w:rsidRDefault="00D156B6" w:rsidP="007866CD">
      <w:pPr>
        <w:spacing w:line="240" w:lineRule="auto"/>
        <w:rPr>
          <w:rFonts w:ascii="Arial" w:eastAsia="Arial" w:hAnsi="Arial" w:cs="Arial"/>
          <w:sz w:val="24"/>
          <w:szCs w:val="24"/>
        </w:rPr>
      </w:pPr>
    </w:p>
    <w:p w14:paraId="17195FAE" w14:textId="437860EA" w:rsidR="00D156B6" w:rsidRDefault="00D156B6" w:rsidP="007866CD">
      <w:pPr>
        <w:spacing w:line="240" w:lineRule="auto"/>
        <w:rPr>
          <w:rFonts w:ascii="Arial" w:eastAsia="Arial" w:hAnsi="Arial" w:cs="Arial"/>
          <w:sz w:val="24"/>
          <w:szCs w:val="24"/>
        </w:rPr>
      </w:pPr>
    </w:p>
    <w:p w14:paraId="7C2ACE84" w14:textId="1141922C" w:rsidR="00D156B6" w:rsidRDefault="00D156B6" w:rsidP="007866CD">
      <w:pPr>
        <w:spacing w:line="240" w:lineRule="auto"/>
        <w:rPr>
          <w:rFonts w:ascii="Arial" w:eastAsia="Arial" w:hAnsi="Arial" w:cs="Arial"/>
          <w:sz w:val="24"/>
          <w:szCs w:val="24"/>
        </w:rPr>
      </w:pPr>
    </w:p>
    <w:p w14:paraId="1B914AF9" w14:textId="77777777" w:rsidR="00D156B6" w:rsidRDefault="00D156B6" w:rsidP="007866CD">
      <w:pPr>
        <w:spacing w:line="240" w:lineRule="auto"/>
        <w:rPr>
          <w:rFonts w:ascii="Arial" w:eastAsia="Arial" w:hAnsi="Arial" w:cs="Arial"/>
          <w:sz w:val="24"/>
          <w:szCs w:val="24"/>
        </w:rPr>
      </w:pPr>
    </w:p>
    <w:p w14:paraId="5E10BEBB" w14:textId="6CA8E561" w:rsidR="007866CD" w:rsidRDefault="007866CD" w:rsidP="007866CD">
      <w:pPr>
        <w:spacing w:line="240" w:lineRule="auto"/>
        <w:rPr>
          <w:rFonts w:ascii="Arial" w:eastAsia="Arial" w:hAnsi="Arial" w:cs="Arial"/>
          <w:sz w:val="24"/>
          <w:szCs w:val="24"/>
        </w:rPr>
      </w:pPr>
    </w:p>
    <w:p w14:paraId="2674A46A" w14:textId="63D438D1" w:rsidR="00D161CB" w:rsidRDefault="00D161CB" w:rsidP="007866CD">
      <w:pPr>
        <w:spacing w:line="240" w:lineRule="auto"/>
        <w:rPr>
          <w:rFonts w:ascii="Arial" w:eastAsia="Arial" w:hAnsi="Arial" w:cs="Arial"/>
          <w:sz w:val="24"/>
          <w:szCs w:val="24"/>
        </w:rPr>
      </w:pPr>
    </w:p>
    <w:p w14:paraId="5F94A09C" w14:textId="63E27615" w:rsidR="00D161CB" w:rsidRDefault="00D161CB" w:rsidP="007866CD">
      <w:pPr>
        <w:spacing w:line="240" w:lineRule="auto"/>
        <w:rPr>
          <w:rFonts w:ascii="Arial" w:eastAsia="Arial" w:hAnsi="Arial" w:cs="Arial"/>
          <w:sz w:val="24"/>
          <w:szCs w:val="24"/>
        </w:rPr>
      </w:pPr>
    </w:p>
    <w:p w14:paraId="01D8F5AD" w14:textId="7B558C7D" w:rsidR="00D161CB" w:rsidRDefault="00D161CB" w:rsidP="007866CD">
      <w:pPr>
        <w:spacing w:line="240" w:lineRule="auto"/>
        <w:rPr>
          <w:rFonts w:ascii="Arial" w:eastAsia="Arial" w:hAnsi="Arial" w:cs="Arial"/>
          <w:sz w:val="24"/>
          <w:szCs w:val="24"/>
        </w:rPr>
      </w:pPr>
    </w:p>
    <w:p w14:paraId="1BFBA2C8" w14:textId="1FA09785" w:rsidR="00D161CB" w:rsidRDefault="00D161CB" w:rsidP="007866CD">
      <w:pPr>
        <w:spacing w:line="240" w:lineRule="auto"/>
        <w:rPr>
          <w:rFonts w:ascii="Arial" w:eastAsia="Arial" w:hAnsi="Arial" w:cs="Arial"/>
          <w:sz w:val="24"/>
          <w:szCs w:val="24"/>
        </w:rPr>
      </w:pPr>
    </w:p>
    <w:p w14:paraId="6EE17A04" w14:textId="5B12EE34" w:rsidR="00D161CB" w:rsidRDefault="00D161CB" w:rsidP="007866CD">
      <w:pPr>
        <w:spacing w:line="240" w:lineRule="auto"/>
        <w:rPr>
          <w:rFonts w:ascii="Arial" w:eastAsia="Arial" w:hAnsi="Arial" w:cs="Arial"/>
          <w:sz w:val="24"/>
          <w:szCs w:val="24"/>
        </w:rPr>
      </w:pPr>
    </w:p>
    <w:p w14:paraId="00491963" w14:textId="0F5F8BF0" w:rsidR="00D161CB" w:rsidRDefault="00D161CB" w:rsidP="007866CD">
      <w:pPr>
        <w:spacing w:line="240" w:lineRule="auto"/>
        <w:rPr>
          <w:rFonts w:ascii="Arial" w:eastAsia="Arial" w:hAnsi="Arial" w:cs="Arial"/>
          <w:sz w:val="24"/>
          <w:szCs w:val="24"/>
        </w:rPr>
      </w:pPr>
    </w:p>
    <w:p w14:paraId="5F8826AA" w14:textId="054043F9" w:rsidR="00D161CB" w:rsidRDefault="00D161CB" w:rsidP="007866CD">
      <w:pPr>
        <w:spacing w:line="240" w:lineRule="auto"/>
        <w:rPr>
          <w:rFonts w:ascii="Arial" w:eastAsia="Arial" w:hAnsi="Arial" w:cs="Arial"/>
          <w:sz w:val="24"/>
          <w:szCs w:val="24"/>
        </w:rPr>
      </w:pPr>
    </w:p>
    <w:p w14:paraId="0D7C68F3" w14:textId="78D2DC4F" w:rsidR="00D161CB" w:rsidRDefault="00D161CB" w:rsidP="007866CD">
      <w:pPr>
        <w:spacing w:line="240" w:lineRule="auto"/>
        <w:rPr>
          <w:rFonts w:ascii="Arial" w:eastAsia="Arial" w:hAnsi="Arial" w:cs="Arial"/>
          <w:sz w:val="24"/>
          <w:szCs w:val="24"/>
        </w:rPr>
      </w:pPr>
    </w:p>
    <w:p w14:paraId="4C5ABF14" w14:textId="5061502F" w:rsidR="00D161CB" w:rsidRDefault="00D161CB" w:rsidP="007866CD">
      <w:pPr>
        <w:spacing w:line="240" w:lineRule="auto"/>
        <w:rPr>
          <w:rFonts w:ascii="Arial" w:eastAsia="Arial" w:hAnsi="Arial" w:cs="Arial"/>
          <w:sz w:val="24"/>
          <w:szCs w:val="24"/>
        </w:rPr>
      </w:pPr>
    </w:p>
    <w:p w14:paraId="404E06D2" w14:textId="0C6887C6" w:rsidR="00D161CB" w:rsidRDefault="00D161CB" w:rsidP="007866CD">
      <w:pPr>
        <w:spacing w:line="240" w:lineRule="auto"/>
        <w:rPr>
          <w:rFonts w:ascii="Arial" w:eastAsia="Arial" w:hAnsi="Arial" w:cs="Arial"/>
          <w:sz w:val="24"/>
          <w:szCs w:val="24"/>
        </w:rPr>
      </w:pPr>
    </w:p>
    <w:p w14:paraId="4371FB5A" w14:textId="46B5C60B" w:rsidR="007866CD" w:rsidRDefault="007866CD" w:rsidP="007866CD">
      <w:pPr>
        <w:spacing w:line="240" w:lineRule="auto"/>
        <w:rPr>
          <w:rFonts w:ascii="Arial" w:eastAsia="Arial" w:hAnsi="Arial" w:cs="Arial"/>
          <w:sz w:val="24"/>
          <w:szCs w:val="24"/>
        </w:rPr>
      </w:pPr>
    </w:p>
    <w:p w14:paraId="15F24D24" w14:textId="75397542" w:rsidR="007866CD" w:rsidRDefault="007866CD" w:rsidP="00672797">
      <w:pPr>
        <w:spacing w:after="0" w:line="240" w:lineRule="auto"/>
        <w:rPr>
          <w:rFonts w:ascii="Arial" w:eastAsia="Arial" w:hAnsi="Arial" w:cs="Arial"/>
          <w:b/>
          <w:sz w:val="24"/>
          <w:szCs w:val="24"/>
          <w:u w:val="single"/>
        </w:rPr>
      </w:pP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4A08707D"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certifies that a copy of the foregoing</w:t>
      </w:r>
      <w:r w:rsidR="006B2DE5">
        <w:rPr>
          <w:rFonts w:ascii="Arial" w:eastAsia="Calibri" w:hAnsi="Arial" w:cs="Arial"/>
          <w:sz w:val="24"/>
          <w:szCs w:val="24"/>
        </w:rPr>
        <w:t xml:space="preserve"> </w:t>
      </w:r>
      <w:r w:rsidR="00322588">
        <w:rPr>
          <w:rFonts w:ascii="Arial" w:eastAsia="Calibri" w:hAnsi="Arial" w:cs="Arial"/>
          <w:i/>
          <w:sz w:val="24"/>
          <w:szCs w:val="24"/>
        </w:rPr>
        <w:t xml:space="preserve">Comments of IGS Energy </w:t>
      </w:r>
      <w:r w:rsidRPr="009D71F6">
        <w:rPr>
          <w:rFonts w:ascii="Arial" w:eastAsia="Calibri" w:hAnsi="Arial" w:cs="Arial"/>
          <w:sz w:val="24"/>
          <w:szCs w:val="24"/>
        </w:rPr>
        <w:t xml:space="preserve">was served this </w:t>
      </w:r>
      <w:r w:rsidR="004F1DA9">
        <w:rPr>
          <w:rFonts w:ascii="Arial" w:eastAsia="Calibri" w:hAnsi="Arial" w:cs="Arial"/>
          <w:sz w:val="24"/>
          <w:szCs w:val="24"/>
        </w:rPr>
        <w:t>31</w:t>
      </w:r>
      <w:r w:rsidR="004F1DA9" w:rsidRPr="004F1DA9">
        <w:rPr>
          <w:rFonts w:ascii="Arial" w:eastAsia="Calibri" w:hAnsi="Arial" w:cs="Arial"/>
          <w:sz w:val="24"/>
          <w:szCs w:val="24"/>
          <w:vertAlign w:val="superscript"/>
        </w:rPr>
        <w:t>st</w:t>
      </w:r>
      <w:r w:rsidR="004F1DA9">
        <w:rPr>
          <w:rFonts w:ascii="Arial" w:eastAsia="Calibri" w:hAnsi="Arial" w:cs="Arial"/>
          <w:sz w:val="24"/>
          <w:szCs w:val="24"/>
        </w:rPr>
        <w:t xml:space="preserve"> day of December </w:t>
      </w:r>
      <w:r w:rsidR="007866CD">
        <w:rPr>
          <w:rFonts w:ascii="Arial" w:eastAsia="Calibri" w:hAnsi="Arial" w:cs="Arial"/>
          <w:sz w:val="24"/>
          <w:szCs w:val="24"/>
        </w:rPr>
        <w:t>2018</w:t>
      </w:r>
      <w:r w:rsidRPr="009D71F6">
        <w:rPr>
          <w:rFonts w:ascii="Arial" w:eastAsia="Calibri" w:hAnsi="Arial" w:cs="Arial"/>
          <w:sz w:val="24"/>
          <w:szCs w:val="24"/>
        </w:rPr>
        <w:t xml:space="preserve"> via electronic mail upon the following:</w:t>
      </w:r>
    </w:p>
    <w:p w14:paraId="7176D30D" w14:textId="77777777" w:rsidR="00545F29" w:rsidRDefault="00545F29">
      <w:pPr>
        <w:spacing w:after="0" w:line="240" w:lineRule="auto"/>
        <w:jc w:val="both"/>
        <w:rPr>
          <w:rFonts w:ascii="Arial" w:eastAsia="Calibri" w:hAnsi="Arial" w:cs="Arial"/>
          <w:sz w:val="24"/>
          <w:szCs w:val="24"/>
        </w:rPr>
      </w:pPr>
    </w:p>
    <w:p w14:paraId="63DAA94B" w14:textId="77777777" w:rsidR="006B2DE5" w:rsidRPr="00F46354" w:rsidRDefault="006B2DE5" w:rsidP="006B2DE5">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03"/>
        <w:gridCol w:w="4647"/>
      </w:tblGrid>
      <w:tr w:rsidR="00F46354" w:rsidRPr="00F46354" w14:paraId="67411E9E" w14:textId="77777777" w:rsidTr="00C60639">
        <w:tc>
          <w:tcPr>
            <w:tcW w:w="4788" w:type="dxa"/>
          </w:tcPr>
          <w:p w14:paraId="6D679D8E" w14:textId="47D92CBC" w:rsidR="007866CD" w:rsidRPr="007866CD" w:rsidRDefault="008929CA" w:rsidP="00580D16">
            <w:pPr>
              <w:rPr>
                <w:rFonts w:ascii="Arial" w:hAnsi="Arial" w:cs="Arial"/>
                <w:sz w:val="24"/>
                <w:szCs w:val="24"/>
              </w:rPr>
            </w:pPr>
            <w:hyperlink r:id="rId13" w:history="1">
              <w:r w:rsidR="007866CD" w:rsidRPr="007866CD">
                <w:rPr>
                  <w:rStyle w:val="Hyperlink"/>
                  <w:rFonts w:ascii="Arial" w:hAnsi="Arial" w:cs="Arial"/>
                  <w:color w:val="auto"/>
                  <w:sz w:val="24"/>
                  <w:szCs w:val="24"/>
                  <w:u w:val="none"/>
                </w:rPr>
                <w:t>Maureen.willis@occ.ohio.gov</w:t>
              </w:r>
            </w:hyperlink>
          </w:p>
          <w:p w14:paraId="502CAF9D" w14:textId="61C7E1B2" w:rsidR="007866CD" w:rsidRPr="007866CD" w:rsidRDefault="00580D16" w:rsidP="007866CD">
            <w:r w:rsidRPr="007866CD">
              <w:rPr>
                <w:rFonts w:ascii="Arial" w:hAnsi="Arial" w:cs="Arial"/>
                <w:sz w:val="24"/>
                <w:szCs w:val="24"/>
              </w:rPr>
              <w:t xml:space="preserve">Thomas.lindgren@puc.state.oh.us </w:t>
            </w:r>
          </w:p>
          <w:p w14:paraId="09285063" w14:textId="10B96C02" w:rsidR="00F46354" w:rsidRPr="007866CD" w:rsidRDefault="00F46354" w:rsidP="00F46354">
            <w:pPr>
              <w:rPr>
                <w:rFonts w:ascii="Arial" w:hAnsi="Arial" w:cs="Arial"/>
                <w:sz w:val="24"/>
                <w:szCs w:val="24"/>
              </w:rPr>
            </w:pPr>
          </w:p>
        </w:tc>
        <w:tc>
          <w:tcPr>
            <w:tcW w:w="4788" w:type="dxa"/>
          </w:tcPr>
          <w:p w14:paraId="4184ABA0" w14:textId="5FD5A3BF" w:rsidR="007866CD" w:rsidRPr="00F46354" w:rsidRDefault="00322588" w:rsidP="007866CD">
            <w:pPr>
              <w:rPr>
                <w:rFonts w:ascii="Arial" w:hAnsi="Arial" w:cs="Arial"/>
                <w:sz w:val="24"/>
                <w:szCs w:val="24"/>
              </w:rPr>
            </w:pPr>
            <w:r>
              <w:rPr>
                <w:rFonts w:ascii="Arial" w:hAnsi="Arial" w:cs="Arial"/>
                <w:sz w:val="24"/>
                <w:szCs w:val="24"/>
              </w:rPr>
              <w:t>scasto</w:t>
            </w:r>
            <w:r w:rsidR="00580D16" w:rsidRPr="00F46354">
              <w:rPr>
                <w:rFonts w:ascii="Arial" w:hAnsi="Arial" w:cs="Arial"/>
                <w:sz w:val="24"/>
                <w:szCs w:val="24"/>
              </w:rPr>
              <w:t xml:space="preserve">@firstenergycorp.com </w:t>
            </w:r>
          </w:p>
          <w:p w14:paraId="5063F9F0" w14:textId="77777777" w:rsidR="00F46354" w:rsidRPr="00F46354" w:rsidRDefault="00F46354" w:rsidP="00F46354">
            <w:pPr>
              <w:rPr>
                <w:rFonts w:ascii="Arial" w:hAnsi="Arial" w:cs="Arial"/>
                <w:sz w:val="24"/>
                <w:szCs w:val="24"/>
              </w:rPr>
            </w:pPr>
          </w:p>
          <w:p w14:paraId="26785337" w14:textId="77777777" w:rsidR="00F46354" w:rsidRPr="00F46354" w:rsidRDefault="00F46354" w:rsidP="00F46354">
            <w:pPr>
              <w:rPr>
                <w:rFonts w:ascii="Arial" w:hAnsi="Arial" w:cs="Arial"/>
                <w:sz w:val="24"/>
                <w:szCs w:val="24"/>
              </w:rPr>
            </w:pPr>
          </w:p>
          <w:p w14:paraId="0946413B" w14:textId="5477F626" w:rsidR="00F46354" w:rsidRPr="00F46354" w:rsidRDefault="00F46354" w:rsidP="00F46354">
            <w:pPr>
              <w:rPr>
                <w:rFonts w:ascii="Arial" w:hAnsi="Arial" w:cs="Arial"/>
                <w:sz w:val="24"/>
                <w:szCs w:val="24"/>
              </w:rPr>
            </w:pPr>
          </w:p>
        </w:tc>
      </w:tr>
    </w:tbl>
    <w:p w14:paraId="10E07618" w14:textId="77777777" w:rsidR="006B2DE5" w:rsidRDefault="006B2DE5">
      <w:pPr>
        <w:spacing w:after="0" w:line="240" w:lineRule="auto"/>
        <w:jc w:val="both"/>
        <w:rPr>
          <w:rFonts w:ascii="Arial" w:eastAsia="Calibri" w:hAnsi="Arial" w:cs="Arial"/>
          <w:sz w:val="24"/>
          <w:szCs w:val="24"/>
        </w:rPr>
      </w:pPr>
    </w:p>
    <w:p w14:paraId="3E7686EF" w14:textId="77777777" w:rsidR="006B2DE5" w:rsidRDefault="006B2DE5">
      <w:pPr>
        <w:spacing w:after="0" w:line="240" w:lineRule="auto"/>
        <w:jc w:val="both"/>
        <w:rPr>
          <w:rFonts w:ascii="Arial" w:eastAsia="Calibri" w:hAnsi="Arial" w:cs="Arial"/>
          <w:sz w:val="24"/>
          <w:szCs w:val="24"/>
        </w:rPr>
      </w:pPr>
    </w:p>
    <w:p w14:paraId="0E29322D" w14:textId="77777777" w:rsidR="006B2DE5" w:rsidRPr="009D71F6" w:rsidRDefault="006B2DE5">
      <w:pPr>
        <w:spacing w:after="0" w:line="240" w:lineRule="auto"/>
        <w:jc w:val="both"/>
        <w:rPr>
          <w:rFonts w:ascii="Arial" w:eastAsia="Calibri" w:hAnsi="Arial" w:cs="Arial"/>
          <w:sz w:val="24"/>
          <w:szCs w:val="24"/>
        </w:rPr>
      </w:pPr>
    </w:p>
    <w:sectPr w:rsidR="006B2DE5" w:rsidRPr="009D71F6">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D0C4" w14:textId="77777777" w:rsidR="00042B98" w:rsidRDefault="00042B98">
      <w:pPr>
        <w:spacing w:after="0" w:line="240" w:lineRule="auto"/>
      </w:pPr>
      <w:r>
        <w:separator/>
      </w:r>
    </w:p>
  </w:endnote>
  <w:endnote w:type="continuationSeparator" w:id="0">
    <w:p w14:paraId="7A5380DC" w14:textId="77777777" w:rsidR="00042B98" w:rsidRDefault="0004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59193"/>
      <w:docPartObj>
        <w:docPartGallery w:val="Page Numbers (Bottom of Page)"/>
        <w:docPartUnique/>
      </w:docPartObj>
    </w:sdtPr>
    <w:sdtEndPr>
      <w:rPr>
        <w:noProof/>
      </w:rPr>
    </w:sdtEndPr>
    <w:sdtContent>
      <w:p w14:paraId="52214FAC" w14:textId="3AD6AC3E" w:rsidR="00D161CB" w:rsidRDefault="00D16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6D32F" w14:textId="77777777" w:rsidR="0098338B" w:rsidRDefault="0098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6E2F" w14:textId="77777777" w:rsidR="00042B98" w:rsidRDefault="00042B98">
      <w:pPr>
        <w:spacing w:after="0" w:line="240" w:lineRule="auto"/>
      </w:pPr>
      <w:r>
        <w:separator/>
      </w:r>
    </w:p>
  </w:footnote>
  <w:footnote w:type="continuationSeparator" w:id="0">
    <w:p w14:paraId="272BCD11" w14:textId="77777777" w:rsidR="00042B98" w:rsidRDefault="00042B98">
      <w:pPr>
        <w:spacing w:after="0" w:line="240" w:lineRule="auto"/>
      </w:pPr>
      <w:r>
        <w:continuationSeparator/>
      </w:r>
    </w:p>
  </w:footnote>
  <w:footnote w:id="1">
    <w:p w14:paraId="3AED5362" w14:textId="78E7D272" w:rsidR="00FE7130" w:rsidRPr="00E66CC2" w:rsidRDefault="00FE7130"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In the Matter of the Application </w:t>
      </w:r>
      <w:r w:rsidR="00A567A8" w:rsidRPr="00E66CC2">
        <w:rPr>
          <w:rFonts w:ascii="Arial" w:hAnsi="Arial" w:cs="Arial"/>
          <w:i/>
        </w:rPr>
        <w:t>of FirstEnergy Corp. on behalf of Ohio Edison Company, the Cleveland Electric Illuminating Company, and the Toledo Edison Company for Approval of their Electric Transition Plans and for Authorization to Collect Transition Revenues</w:t>
      </w:r>
      <w:r w:rsidR="00A567A8" w:rsidRPr="00E66CC2">
        <w:rPr>
          <w:rFonts w:ascii="Arial" w:hAnsi="Arial" w:cs="Arial"/>
        </w:rPr>
        <w:t>,</w:t>
      </w:r>
      <w:r w:rsidR="00A567A8" w:rsidRPr="00E66CC2">
        <w:rPr>
          <w:rFonts w:ascii="Arial" w:hAnsi="Arial" w:cs="Arial"/>
          <w:i/>
        </w:rPr>
        <w:t xml:space="preserve"> </w:t>
      </w:r>
      <w:r w:rsidRPr="00E66CC2">
        <w:rPr>
          <w:rFonts w:ascii="Arial" w:hAnsi="Arial" w:cs="Arial"/>
        </w:rPr>
        <w:t>Case</w:t>
      </w:r>
      <w:r w:rsidR="00A567A8" w:rsidRPr="00E66CC2">
        <w:rPr>
          <w:rFonts w:ascii="Arial" w:hAnsi="Arial" w:cs="Arial"/>
        </w:rPr>
        <w:t xml:space="preserve"> No. 99-1212-ETP Order at 23-27 (Jul. 19, 2000).</w:t>
      </w:r>
    </w:p>
  </w:footnote>
  <w:footnote w:id="2">
    <w:p w14:paraId="17CC559F" w14:textId="77777777" w:rsidR="00A505E2" w:rsidRPr="00E66CC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In the Matter of the Commission's Investigation of Ohio’s Retail Electric Service Market</w:t>
      </w:r>
      <w:r w:rsidRPr="00E66CC2">
        <w:rPr>
          <w:rFonts w:ascii="Arial" w:hAnsi="Arial" w:cs="Arial"/>
        </w:rPr>
        <w:t>, Case No. 12-3151-EL-COI, Entry (Dec. 12, 2012) (hereinafter referred to as the “</w:t>
      </w:r>
      <w:r w:rsidRPr="00E66CC2">
        <w:rPr>
          <w:rFonts w:ascii="Arial" w:hAnsi="Arial" w:cs="Arial"/>
          <w:i/>
        </w:rPr>
        <w:t>RMI Docket</w:t>
      </w:r>
      <w:r w:rsidRPr="00E66CC2">
        <w:rPr>
          <w:rFonts w:ascii="Arial" w:hAnsi="Arial" w:cs="Arial"/>
        </w:rPr>
        <w:t>”).</w:t>
      </w:r>
    </w:p>
    <w:p w14:paraId="14FD858A" w14:textId="77777777" w:rsidR="00A505E2" w:rsidRPr="00E66CC2" w:rsidRDefault="00A505E2" w:rsidP="00E66CC2">
      <w:pPr>
        <w:pStyle w:val="FootnoteText"/>
        <w:jc w:val="both"/>
        <w:rPr>
          <w:rFonts w:ascii="Arial" w:hAnsi="Arial" w:cs="Arial"/>
        </w:rPr>
      </w:pPr>
    </w:p>
  </w:footnote>
  <w:footnote w:id="3">
    <w:p w14:paraId="5CF8AB44" w14:textId="77777777" w:rsidR="00A505E2" w:rsidRPr="00E66CC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 xml:space="preserve">at 1. </w:t>
      </w:r>
    </w:p>
    <w:p w14:paraId="4ACF2904" w14:textId="77777777" w:rsidR="00A505E2" w:rsidRPr="00E66CC2" w:rsidRDefault="00A505E2" w:rsidP="00E66CC2">
      <w:pPr>
        <w:pStyle w:val="FootnoteText"/>
        <w:jc w:val="both"/>
        <w:rPr>
          <w:rFonts w:ascii="Arial" w:hAnsi="Arial" w:cs="Arial"/>
        </w:rPr>
      </w:pPr>
    </w:p>
  </w:footnote>
  <w:footnote w:id="4">
    <w:p w14:paraId="08656C14" w14:textId="77777777" w:rsidR="00A505E2" w:rsidRPr="00E66CC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 xml:space="preserve">at 3-5. </w:t>
      </w:r>
    </w:p>
    <w:p w14:paraId="35EFE4C7" w14:textId="77777777" w:rsidR="00A505E2" w:rsidRPr="00E66CC2" w:rsidRDefault="00A505E2" w:rsidP="00E66CC2">
      <w:pPr>
        <w:pStyle w:val="FootnoteText"/>
        <w:jc w:val="both"/>
        <w:rPr>
          <w:rFonts w:ascii="Arial" w:hAnsi="Arial" w:cs="Arial"/>
        </w:rPr>
      </w:pPr>
    </w:p>
  </w:footnote>
  <w:footnote w:id="5">
    <w:p w14:paraId="4F2871E5" w14:textId="18CC12FB" w:rsidR="00A505E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RMI Docket</w:t>
      </w:r>
      <w:r w:rsidRPr="00E66CC2">
        <w:rPr>
          <w:rFonts w:ascii="Arial" w:hAnsi="Arial" w:cs="Arial"/>
        </w:rPr>
        <w:t xml:space="preserve">, Market Development Work Plan at 12 (Jan. 16, 2014) (hereinafter “Staff Report”). </w:t>
      </w:r>
    </w:p>
    <w:p w14:paraId="6800F422" w14:textId="77777777" w:rsidR="00D156B6" w:rsidRPr="00E66CC2" w:rsidRDefault="00D156B6" w:rsidP="00E66CC2">
      <w:pPr>
        <w:pStyle w:val="FootnoteText"/>
        <w:jc w:val="both"/>
        <w:rPr>
          <w:rFonts w:ascii="Arial" w:hAnsi="Arial" w:cs="Arial"/>
        </w:rPr>
      </w:pPr>
    </w:p>
  </w:footnote>
  <w:footnote w:id="6">
    <w:p w14:paraId="5DA64298" w14:textId="77777777" w:rsidR="00A505E2" w:rsidRPr="00E66CC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RMI Docket</w:t>
      </w:r>
      <w:r w:rsidRPr="00E66CC2">
        <w:rPr>
          <w:rFonts w:ascii="Arial" w:hAnsi="Arial" w:cs="Arial"/>
        </w:rPr>
        <w:t>, Staff Report at 13.</w:t>
      </w:r>
    </w:p>
    <w:p w14:paraId="4E55AA58" w14:textId="77777777" w:rsidR="00A505E2" w:rsidRPr="00E66CC2" w:rsidRDefault="00A505E2" w:rsidP="00E66CC2">
      <w:pPr>
        <w:pStyle w:val="FootnoteText"/>
        <w:jc w:val="both"/>
        <w:rPr>
          <w:rFonts w:ascii="Arial" w:hAnsi="Arial" w:cs="Arial"/>
        </w:rPr>
      </w:pPr>
    </w:p>
  </w:footnote>
  <w:footnote w:id="7">
    <w:p w14:paraId="4774C5BD" w14:textId="77777777" w:rsidR="00A505E2" w:rsidRPr="00E66CC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RMI Docket</w:t>
      </w:r>
      <w:r w:rsidRPr="00E66CC2">
        <w:rPr>
          <w:rFonts w:ascii="Arial" w:hAnsi="Arial" w:cs="Arial"/>
        </w:rPr>
        <w:t>, Finding and Order at 16.</w:t>
      </w:r>
    </w:p>
    <w:p w14:paraId="65D2C058" w14:textId="77777777" w:rsidR="00A505E2" w:rsidRPr="00E66CC2" w:rsidRDefault="00A505E2" w:rsidP="00E66CC2">
      <w:pPr>
        <w:pStyle w:val="FootnoteText"/>
        <w:jc w:val="both"/>
        <w:rPr>
          <w:rFonts w:ascii="Arial" w:hAnsi="Arial" w:cs="Arial"/>
        </w:rPr>
      </w:pPr>
    </w:p>
  </w:footnote>
  <w:footnote w:id="8">
    <w:p w14:paraId="6129E441" w14:textId="31B1EA50" w:rsidR="00A505E2" w:rsidRPr="00E66CC2" w:rsidRDefault="00A505E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Entry at 1 (Jul. 5, 2017).</w:t>
      </w:r>
    </w:p>
    <w:p w14:paraId="1176DC80" w14:textId="77777777" w:rsidR="00147142" w:rsidRPr="00E66CC2" w:rsidRDefault="00147142" w:rsidP="00E66CC2">
      <w:pPr>
        <w:pStyle w:val="FootnoteText"/>
        <w:jc w:val="both"/>
        <w:rPr>
          <w:rFonts w:ascii="Arial" w:hAnsi="Arial" w:cs="Arial"/>
        </w:rPr>
      </w:pPr>
    </w:p>
  </w:footnote>
  <w:footnote w:id="9">
    <w:p w14:paraId="3B071BAD" w14:textId="7FCE3420" w:rsidR="00360A6C" w:rsidRPr="00E66CC2" w:rsidRDefault="00360A6C"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Complaint of the Retail Energy Supply Association vs. Ohio Edison Company, Cleveland Electric Illuminating Company, and the Toledo Edison Company</w:t>
      </w:r>
      <w:r w:rsidRPr="00E66CC2">
        <w:rPr>
          <w:rFonts w:ascii="Arial" w:hAnsi="Arial" w:cs="Arial"/>
        </w:rPr>
        <w:t>, Case No. 18-0736-EL-CS</w:t>
      </w:r>
      <w:r w:rsidR="008460F9" w:rsidRPr="00E66CC2">
        <w:rPr>
          <w:rFonts w:ascii="Arial" w:hAnsi="Arial" w:cs="Arial"/>
        </w:rPr>
        <w:t>S at Ex. A, p.</w:t>
      </w:r>
      <w:r w:rsidR="002537F3" w:rsidRPr="00E66CC2">
        <w:rPr>
          <w:rFonts w:ascii="Arial" w:hAnsi="Arial" w:cs="Arial"/>
        </w:rPr>
        <w:t xml:space="preserve"> 1 (Apr. 25, 2018) (Attachment A</w:t>
      </w:r>
      <w:r w:rsidR="008460F9" w:rsidRPr="00E66CC2">
        <w:rPr>
          <w:rFonts w:ascii="Arial" w:hAnsi="Arial" w:cs="Arial"/>
        </w:rPr>
        <w:t>).</w:t>
      </w:r>
    </w:p>
    <w:p w14:paraId="4A3D6DB3" w14:textId="77777777" w:rsidR="008460F9" w:rsidRPr="00E66CC2" w:rsidRDefault="008460F9" w:rsidP="00E66CC2">
      <w:pPr>
        <w:pStyle w:val="FootnoteText"/>
        <w:jc w:val="both"/>
        <w:rPr>
          <w:rFonts w:ascii="Arial" w:hAnsi="Arial" w:cs="Arial"/>
        </w:rPr>
      </w:pPr>
    </w:p>
  </w:footnote>
  <w:footnote w:id="10">
    <w:p w14:paraId="76C7C1F7" w14:textId="7F5D33F5" w:rsidR="00660996" w:rsidRPr="00E66CC2" w:rsidRDefault="00660996"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 xml:space="preserve">at Ex. B. </w:t>
      </w:r>
    </w:p>
    <w:p w14:paraId="359F2AA7" w14:textId="77777777" w:rsidR="002537F3" w:rsidRPr="00E66CC2" w:rsidRDefault="002537F3" w:rsidP="00E66CC2">
      <w:pPr>
        <w:pStyle w:val="FootnoteText"/>
        <w:jc w:val="both"/>
        <w:rPr>
          <w:rFonts w:ascii="Arial" w:hAnsi="Arial" w:cs="Arial"/>
        </w:rPr>
      </w:pPr>
    </w:p>
  </w:footnote>
  <w:footnote w:id="11">
    <w:p w14:paraId="77630F5C" w14:textId="77777777" w:rsidR="002537F3" w:rsidRPr="00E66CC2" w:rsidRDefault="002537F3" w:rsidP="00E66CC2">
      <w:pPr>
        <w:pStyle w:val="FootnoteText"/>
        <w:jc w:val="both"/>
        <w:rPr>
          <w:rFonts w:ascii="Arial" w:hAnsi="Arial" w:cs="Arial"/>
          <w:i/>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Id.</w:t>
      </w:r>
    </w:p>
    <w:p w14:paraId="749A7A92" w14:textId="2E2C5FC7" w:rsidR="002537F3" w:rsidRPr="00E66CC2" w:rsidRDefault="002537F3" w:rsidP="00E66CC2">
      <w:pPr>
        <w:pStyle w:val="FootnoteText"/>
        <w:jc w:val="both"/>
        <w:rPr>
          <w:rFonts w:ascii="Arial" w:hAnsi="Arial" w:cs="Arial"/>
          <w:i/>
        </w:rPr>
      </w:pPr>
      <w:r w:rsidRPr="00E66CC2">
        <w:rPr>
          <w:rFonts w:ascii="Arial" w:hAnsi="Arial" w:cs="Arial"/>
          <w:i/>
        </w:rPr>
        <w:t xml:space="preserve"> </w:t>
      </w:r>
    </w:p>
  </w:footnote>
  <w:footnote w:id="12">
    <w:p w14:paraId="05904FC5" w14:textId="471FE8A2" w:rsidR="002537F3" w:rsidRPr="00E66CC2" w:rsidRDefault="002537F3"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at para. 16 and 17.</w:t>
      </w:r>
    </w:p>
  </w:footnote>
  <w:footnote w:id="13">
    <w:p w14:paraId="7C3F4713" w14:textId="3F7CCA40" w:rsidR="002537F3" w:rsidRPr="00E66CC2" w:rsidRDefault="002537F3"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Attachment B.</w:t>
      </w:r>
    </w:p>
  </w:footnote>
  <w:footnote w:id="14">
    <w:p w14:paraId="3AEAC3F8" w14:textId="05DCB034" w:rsidR="00BF6BC1" w:rsidRPr="00E66CC2" w:rsidRDefault="00BF6BC1"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In the Matter of the Application of Duke Energy Ohio, Inc. for Approval of its Fourth Amended Corporate Separation Plan Under R.C. 4928.17 and Ohio Adm. Code 4901:1-37</w:t>
      </w:r>
      <w:r w:rsidRPr="00E66CC2">
        <w:rPr>
          <w:rFonts w:ascii="Arial" w:hAnsi="Arial" w:cs="Arial"/>
        </w:rPr>
        <w:t xml:space="preserve">, Case Nos. 14-689-EL-UNC, </w:t>
      </w:r>
      <w:r w:rsidRPr="00E66CC2">
        <w:rPr>
          <w:rFonts w:ascii="Arial" w:hAnsi="Arial" w:cs="Arial"/>
          <w:i/>
        </w:rPr>
        <w:t>et al.</w:t>
      </w:r>
      <w:r w:rsidRPr="00E66CC2">
        <w:rPr>
          <w:rFonts w:ascii="Arial" w:hAnsi="Arial" w:cs="Arial"/>
        </w:rPr>
        <w:t xml:space="preserve">, </w:t>
      </w:r>
      <w:r w:rsidR="002C4302" w:rsidRPr="00E66CC2">
        <w:rPr>
          <w:rFonts w:ascii="Arial" w:hAnsi="Arial" w:cs="Arial"/>
        </w:rPr>
        <w:t xml:space="preserve">Order on Remand at 2-4 (Jun. 14, 2017). </w:t>
      </w:r>
    </w:p>
    <w:p w14:paraId="3B14E6A2" w14:textId="77777777" w:rsidR="00BF6BC1" w:rsidRPr="00E66CC2" w:rsidRDefault="00BF6BC1" w:rsidP="00E66CC2">
      <w:pPr>
        <w:pStyle w:val="FootnoteText"/>
        <w:jc w:val="both"/>
        <w:rPr>
          <w:rFonts w:ascii="Arial" w:hAnsi="Arial" w:cs="Arial"/>
          <w:i/>
        </w:rPr>
      </w:pPr>
    </w:p>
  </w:footnote>
  <w:footnote w:id="15">
    <w:p w14:paraId="431716E0" w14:textId="09B631DB" w:rsidR="00147142" w:rsidRPr="00E66CC2" w:rsidRDefault="0014714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13.</w:t>
      </w:r>
    </w:p>
    <w:p w14:paraId="2DA34213" w14:textId="77777777" w:rsidR="00147142" w:rsidRPr="00E66CC2" w:rsidRDefault="00147142" w:rsidP="00E66CC2">
      <w:pPr>
        <w:pStyle w:val="FootnoteText"/>
        <w:jc w:val="both"/>
        <w:rPr>
          <w:rFonts w:ascii="Arial" w:hAnsi="Arial" w:cs="Arial"/>
        </w:rPr>
      </w:pPr>
    </w:p>
  </w:footnote>
  <w:footnote w:id="16">
    <w:p w14:paraId="57EE6D18" w14:textId="271EABF9" w:rsidR="00B02097" w:rsidRPr="00E66CC2" w:rsidRDefault="00B02097" w:rsidP="00E66CC2">
      <w:pPr>
        <w:pStyle w:val="FootnoteText"/>
        <w:jc w:val="both"/>
        <w:rPr>
          <w:rFonts w:ascii="Arial" w:hAnsi="Arial" w:cs="Arial"/>
          <w:i/>
        </w:rPr>
      </w:pPr>
      <w:r w:rsidRPr="00E66CC2">
        <w:rPr>
          <w:rStyle w:val="FootnoteReference"/>
          <w:rFonts w:ascii="Arial" w:hAnsi="Arial" w:cs="Arial"/>
        </w:rPr>
        <w:footnoteRef/>
      </w:r>
      <w:r w:rsidR="00147142" w:rsidRPr="00E66CC2">
        <w:rPr>
          <w:rFonts w:ascii="Arial" w:hAnsi="Arial" w:cs="Arial"/>
        </w:rPr>
        <w:t xml:space="preserve"> </w:t>
      </w:r>
      <w:r w:rsidR="00147142" w:rsidRPr="00E66CC2">
        <w:rPr>
          <w:rFonts w:ascii="Arial" w:hAnsi="Arial" w:cs="Arial"/>
          <w:i/>
        </w:rPr>
        <w:t>Id.</w:t>
      </w:r>
    </w:p>
    <w:p w14:paraId="5EB849D2" w14:textId="77777777" w:rsidR="00147142" w:rsidRPr="00E66CC2" w:rsidRDefault="00147142" w:rsidP="00E66CC2">
      <w:pPr>
        <w:pStyle w:val="FootnoteText"/>
        <w:jc w:val="both"/>
        <w:rPr>
          <w:rFonts w:ascii="Arial" w:hAnsi="Arial" w:cs="Arial"/>
          <w:i/>
        </w:rPr>
      </w:pPr>
    </w:p>
  </w:footnote>
  <w:footnote w:id="17">
    <w:p w14:paraId="16F97DF5" w14:textId="2E1939CA" w:rsidR="00147142" w:rsidRPr="00E66CC2" w:rsidRDefault="0014714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002537F3" w:rsidRPr="00E66CC2">
        <w:rPr>
          <w:rFonts w:ascii="Arial" w:hAnsi="Arial" w:cs="Arial"/>
        </w:rPr>
        <w:t>Audit Report at 98.</w:t>
      </w:r>
    </w:p>
    <w:p w14:paraId="18CAD127" w14:textId="77777777" w:rsidR="00425F6A" w:rsidRPr="00E66CC2" w:rsidRDefault="00425F6A" w:rsidP="00E66CC2">
      <w:pPr>
        <w:pStyle w:val="FootnoteText"/>
        <w:jc w:val="both"/>
        <w:rPr>
          <w:rFonts w:ascii="Arial" w:hAnsi="Arial" w:cs="Arial"/>
        </w:rPr>
      </w:pPr>
    </w:p>
  </w:footnote>
  <w:footnote w:id="18">
    <w:p w14:paraId="72441AC7" w14:textId="7621EB4E" w:rsidR="00147142" w:rsidRPr="00E66CC2" w:rsidRDefault="00147142" w:rsidP="00E66CC2">
      <w:pPr>
        <w:pStyle w:val="FootnoteText"/>
        <w:jc w:val="both"/>
        <w:rPr>
          <w:rFonts w:ascii="Arial" w:hAnsi="Arial" w:cs="Arial"/>
          <w:i/>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Id.</w:t>
      </w:r>
    </w:p>
    <w:p w14:paraId="0E4D0DE5" w14:textId="77777777" w:rsidR="002537F3" w:rsidRPr="00E66CC2" w:rsidRDefault="002537F3" w:rsidP="00E66CC2">
      <w:pPr>
        <w:pStyle w:val="FootnoteText"/>
        <w:jc w:val="both"/>
        <w:rPr>
          <w:rFonts w:ascii="Arial" w:hAnsi="Arial" w:cs="Arial"/>
          <w:i/>
        </w:rPr>
      </w:pPr>
    </w:p>
  </w:footnote>
  <w:footnote w:id="19">
    <w:p w14:paraId="7F3CF26E" w14:textId="135E7A3E" w:rsidR="00147142" w:rsidRPr="00E66CC2" w:rsidRDefault="0014714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at 98-99.</w:t>
      </w:r>
    </w:p>
    <w:p w14:paraId="146B7A47" w14:textId="77777777" w:rsidR="00147142" w:rsidRPr="00E66CC2" w:rsidRDefault="00147142" w:rsidP="00E66CC2">
      <w:pPr>
        <w:pStyle w:val="FootnoteText"/>
        <w:jc w:val="both"/>
        <w:rPr>
          <w:rFonts w:ascii="Arial" w:hAnsi="Arial" w:cs="Arial"/>
        </w:rPr>
      </w:pPr>
    </w:p>
  </w:footnote>
  <w:footnote w:id="20">
    <w:p w14:paraId="7E2117EA" w14:textId="6AE060E0" w:rsidR="00147142" w:rsidRPr="00E66CC2" w:rsidRDefault="0014714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120.</w:t>
      </w:r>
    </w:p>
  </w:footnote>
  <w:footnote w:id="21">
    <w:p w14:paraId="6DF0C63F" w14:textId="5F29CEC0" w:rsidR="00B168A9" w:rsidRPr="00E66CC2" w:rsidRDefault="00B168A9"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65.</w:t>
      </w:r>
    </w:p>
    <w:p w14:paraId="61ED74FD" w14:textId="77777777" w:rsidR="00445A0D" w:rsidRPr="00E66CC2" w:rsidRDefault="00445A0D" w:rsidP="00E66CC2">
      <w:pPr>
        <w:pStyle w:val="FootnoteText"/>
        <w:jc w:val="both"/>
        <w:rPr>
          <w:rFonts w:ascii="Arial" w:hAnsi="Arial" w:cs="Arial"/>
        </w:rPr>
      </w:pPr>
    </w:p>
  </w:footnote>
  <w:footnote w:id="22">
    <w:p w14:paraId="343C1919" w14:textId="53F0DDC4" w:rsidR="00445A0D" w:rsidRPr="00E66CC2" w:rsidRDefault="00445A0D"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34.</w:t>
      </w:r>
    </w:p>
    <w:p w14:paraId="5A789646" w14:textId="77777777" w:rsidR="00445A0D" w:rsidRPr="00E66CC2" w:rsidRDefault="00445A0D" w:rsidP="00E66CC2">
      <w:pPr>
        <w:pStyle w:val="FootnoteText"/>
        <w:jc w:val="both"/>
        <w:rPr>
          <w:rFonts w:ascii="Arial" w:hAnsi="Arial" w:cs="Arial"/>
        </w:rPr>
      </w:pPr>
    </w:p>
  </w:footnote>
  <w:footnote w:id="23">
    <w:p w14:paraId="3F627C66" w14:textId="652EF121" w:rsidR="000128AE" w:rsidRPr="00E66CC2" w:rsidRDefault="000128AE"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at 94.</w:t>
      </w:r>
    </w:p>
    <w:p w14:paraId="54E56D48" w14:textId="77777777" w:rsidR="000128AE" w:rsidRPr="00E66CC2" w:rsidRDefault="000128AE" w:rsidP="00E66CC2">
      <w:pPr>
        <w:pStyle w:val="FootnoteText"/>
        <w:jc w:val="both"/>
        <w:rPr>
          <w:rFonts w:ascii="Arial" w:hAnsi="Arial" w:cs="Arial"/>
        </w:rPr>
      </w:pPr>
    </w:p>
  </w:footnote>
  <w:footnote w:id="24">
    <w:p w14:paraId="10EFBB58" w14:textId="41ABE7A9" w:rsidR="003513D8" w:rsidRPr="00E66CC2" w:rsidRDefault="003513D8"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94.</w:t>
      </w:r>
    </w:p>
    <w:p w14:paraId="7AE30E44" w14:textId="77777777" w:rsidR="002537F3" w:rsidRPr="00E66CC2" w:rsidRDefault="002537F3" w:rsidP="00E66CC2">
      <w:pPr>
        <w:pStyle w:val="FootnoteText"/>
        <w:jc w:val="both"/>
        <w:rPr>
          <w:rFonts w:ascii="Arial" w:hAnsi="Arial" w:cs="Arial"/>
        </w:rPr>
      </w:pPr>
    </w:p>
  </w:footnote>
  <w:footnote w:id="25">
    <w:p w14:paraId="091197F9" w14:textId="5ACC0F8F" w:rsidR="000128AE" w:rsidRPr="00E66CC2" w:rsidRDefault="000128AE"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98.</w:t>
      </w:r>
    </w:p>
    <w:p w14:paraId="617DB95D" w14:textId="77777777" w:rsidR="000128AE" w:rsidRPr="00E66CC2" w:rsidRDefault="000128AE" w:rsidP="00E66CC2">
      <w:pPr>
        <w:pStyle w:val="FootnoteText"/>
        <w:jc w:val="both"/>
        <w:rPr>
          <w:rFonts w:ascii="Arial" w:hAnsi="Arial" w:cs="Arial"/>
        </w:rPr>
      </w:pPr>
    </w:p>
  </w:footnote>
  <w:footnote w:id="26">
    <w:p w14:paraId="53A342CA" w14:textId="73A738AB" w:rsidR="000128AE" w:rsidRPr="00E66CC2" w:rsidRDefault="000128AE"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94.</w:t>
      </w:r>
    </w:p>
    <w:p w14:paraId="7135DC99" w14:textId="77777777" w:rsidR="002537F3" w:rsidRPr="00E66CC2" w:rsidRDefault="002537F3" w:rsidP="00E66CC2">
      <w:pPr>
        <w:pStyle w:val="FootnoteText"/>
        <w:jc w:val="both"/>
        <w:rPr>
          <w:rFonts w:ascii="Arial" w:hAnsi="Arial" w:cs="Arial"/>
        </w:rPr>
      </w:pPr>
    </w:p>
  </w:footnote>
  <w:footnote w:id="27">
    <w:p w14:paraId="454ADF6D" w14:textId="494F6C06" w:rsidR="002C4302" w:rsidRPr="00E66CC2" w:rsidRDefault="002C4302"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Attachment B at paras. 15 and 16.</w:t>
      </w:r>
    </w:p>
    <w:p w14:paraId="47D81FF9" w14:textId="77777777" w:rsidR="002C4302" w:rsidRPr="00E66CC2" w:rsidRDefault="002C4302" w:rsidP="00E66CC2">
      <w:pPr>
        <w:pStyle w:val="FootnoteText"/>
        <w:jc w:val="both"/>
        <w:rPr>
          <w:rFonts w:ascii="Arial" w:hAnsi="Arial" w:cs="Arial"/>
        </w:rPr>
      </w:pPr>
    </w:p>
  </w:footnote>
  <w:footnote w:id="28">
    <w:p w14:paraId="41848949" w14:textId="365E3B73" w:rsidR="007F2452" w:rsidRPr="00E66CC2" w:rsidRDefault="007F2452" w:rsidP="00E66CC2">
      <w:pPr>
        <w:pStyle w:val="FootnoteText"/>
        <w:jc w:val="both"/>
        <w:rPr>
          <w:rFonts w:ascii="Arial" w:hAnsi="Arial" w:cs="Arial"/>
        </w:rPr>
      </w:pPr>
      <w:r w:rsidRPr="00E66CC2">
        <w:rPr>
          <w:rStyle w:val="FootnoteReference"/>
          <w:rFonts w:ascii="Arial" w:hAnsi="Arial" w:cs="Arial"/>
        </w:rPr>
        <w:footnoteRef/>
      </w:r>
      <w:r w:rsidR="00A40FD9" w:rsidRPr="00E66CC2">
        <w:rPr>
          <w:rFonts w:ascii="Arial" w:hAnsi="Arial" w:cs="Arial"/>
        </w:rPr>
        <w:t xml:space="preserve"> Attachment</w:t>
      </w:r>
      <w:r w:rsidR="002537F3" w:rsidRPr="00E66CC2">
        <w:rPr>
          <w:rFonts w:ascii="Arial" w:hAnsi="Arial" w:cs="Arial"/>
        </w:rPr>
        <w:t xml:space="preserve"> C (containing the product offerings of several non-electric services offered by FirstEnergy and added to the monthly utility bill).</w:t>
      </w:r>
    </w:p>
    <w:p w14:paraId="14B4A172" w14:textId="77777777" w:rsidR="002537F3" w:rsidRPr="00E66CC2" w:rsidRDefault="002537F3" w:rsidP="00E66CC2">
      <w:pPr>
        <w:pStyle w:val="FootnoteText"/>
        <w:jc w:val="both"/>
        <w:rPr>
          <w:rFonts w:ascii="Arial" w:hAnsi="Arial" w:cs="Arial"/>
        </w:rPr>
      </w:pPr>
    </w:p>
  </w:footnote>
  <w:footnote w:id="29">
    <w:p w14:paraId="61BBDE7A" w14:textId="27FF51FA" w:rsidR="000128AE" w:rsidRPr="00E66CC2" w:rsidRDefault="000128AE"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94.</w:t>
      </w:r>
    </w:p>
  </w:footnote>
  <w:footnote w:id="30">
    <w:p w14:paraId="0F05B41D" w14:textId="469AB660" w:rsidR="00CF5C36" w:rsidRPr="00E66CC2" w:rsidRDefault="00CF5C36"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 Re</w:t>
      </w:r>
      <w:r w:rsidR="00AE7341" w:rsidRPr="00E66CC2">
        <w:rPr>
          <w:rFonts w:ascii="Arial" w:hAnsi="Arial" w:cs="Arial"/>
        </w:rPr>
        <w:t>port at 34.</w:t>
      </w:r>
    </w:p>
    <w:p w14:paraId="385364C1" w14:textId="77777777" w:rsidR="00475049" w:rsidRPr="00E66CC2" w:rsidRDefault="00475049" w:rsidP="00E66CC2">
      <w:pPr>
        <w:pStyle w:val="FootnoteText"/>
        <w:jc w:val="both"/>
        <w:rPr>
          <w:rFonts w:ascii="Arial" w:hAnsi="Arial" w:cs="Arial"/>
        </w:rPr>
      </w:pPr>
    </w:p>
  </w:footnote>
  <w:footnote w:id="31">
    <w:p w14:paraId="4C137BE2" w14:textId="00891822" w:rsidR="00475049" w:rsidRDefault="00475049"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r w:rsidRPr="00E66CC2">
        <w:rPr>
          <w:rFonts w:ascii="Arial" w:hAnsi="Arial" w:cs="Arial"/>
          <w:i/>
        </w:rPr>
        <w:t xml:space="preserve">Id. </w:t>
      </w:r>
      <w:r w:rsidRPr="00E66CC2">
        <w:rPr>
          <w:rFonts w:ascii="Arial" w:hAnsi="Arial" w:cs="Arial"/>
        </w:rPr>
        <w:t>at 98-99.</w:t>
      </w:r>
    </w:p>
    <w:p w14:paraId="266F7152" w14:textId="77777777" w:rsidR="00882A1B" w:rsidRPr="00E66CC2" w:rsidRDefault="00882A1B" w:rsidP="00E66CC2">
      <w:pPr>
        <w:pStyle w:val="FootnoteText"/>
        <w:jc w:val="both"/>
        <w:rPr>
          <w:rFonts w:ascii="Arial" w:hAnsi="Arial" w:cs="Arial"/>
        </w:rPr>
      </w:pPr>
    </w:p>
  </w:footnote>
  <w:footnote w:id="32">
    <w:p w14:paraId="13A44EE9" w14:textId="60C787C9" w:rsidR="00475049" w:rsidRPr="00E66CC2" w:rsidRDefault="00475049"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w:t>
      </w:r>
      <w:hyperlink r:id="rId1" w:history="1">
        <w:r w:rsidR="00425F6A" w:rsidRPr="00E66CC2">
          <w:rPr>
            <w:rStyle w:val="Hyperlink"/>
            <w:rFonts w:ascii="Arial" w:hAnsi="Arial" w:cs="Arial"/>
          </w:rPr>
          <w:t>https://www.firstenergycorp.com/content/customer/products/smartmart.html</w:t>
        </w:r>
      </w:hyperlink>
      <w:r w:rsidR="00425F6A" w:rsidRPr="00E66CC2">
        <w:rPr>
          <w:rFonts w:ascii="Arial" w:hAnsi="Arial" w:cs="Arial"/>
        </w:rPr>
        <w:t xml:space="preserve">.  (accessible from the Ohio Edison home page).  </w:t>
      </w:r>
      <w:r w:rsidRPr="00E66CC2">
        <w:rPr>
          <w:rFonts w:ascii="Arial" w:hAnsi="Arial" w:cs="Arial"/>
          <w:i/>
        </w:rPr>
        <w:t>See</w:t>
      </w:r>
      <w:r w:rsidR="00425F6A" w:rsidRPr="00E66CC2">
        <w:rPr>
          <w:rFonts w:ascii="Arial" w:hAnsi="Arial" w:cs="Arial"/>
          <w:i/>
        </w:rPr>
        <w:t xml:space="preserve"> also</w:t>
      </w:r>
      <w:r w:rsidRPr="00E66CC2">
        <w:rPr>
          <w:rFonts w:ascii="Arial" w:hAnsi="Arial" w:cs="Arial"/>
          <w:i/>
        </w:rPr>
        <w:t xml:space="preserve"> </w:t>
      </w:r>
      <w:r w:rsidRPr="00E66CC2">
        <w:rPr>
          <w:rFonts w:ascii="Arial" w:hAnsi="Arial" w:cs="Arial"/>
        </w:rPr>
        <w:t>Attachment C.</w:t>
      </w:r>
    </w:p>
    <w:p w14:paraId="61B10A4D" w14:textId="77777777" w:rsidR="00425F6A" w:rsidRPr="00E66CC2" w:rsidRDefault="00425F6A" w:rsidP="00E66CC2">
      <w:pPr>
        <w:pStyle w:val="FootnoteText"/>
        <w:jc w:val="both"/>
        <w:rPr>
          <w:rFonts w:ascii="Arial" w:hAnsi="Arial" w:cs="Arial"/>
        </w:rPr>
      </w:pPr>
    </w:p>
  </w:footnote>
  <w:footnote w:id="33">
    <w:p w14:paraId="56034D1C" w14:textId="653A813D" w:rsidR="00425F6A" w:rsidRPr="00E66CC2" w:rsidRDefault="00425F6A" w:rsidP="00E66CC2">
      <w:pPr>
        <w:pStyle w:val="FootnoteText"/>
        <w:jc w:val="both"/>
        <w:rPr>
          <w:rFonts w:ascii="Arial" w:hAnsi="Arial" w:cs="Arial"/>
        </w:rPr>
      </w:pPr>
      <w:r w:rsidRPr="00E66CC2">
        <w:rPr>
          <w:rStyle w:val="FootnoteReference"/>
          <w:rFonts w:ascii="Arial" w:hAnsi="Arial" w:cs="Arial"/>
        </w:rPr>
        <w:footnoteRef/>
      </w:r>
      <w:r w:rsidRPr="00E66CC2">
        <w:rPr>
          <w:rFonts w:ascii="Arial" w:hAnsi="Arial" w:cs="Arial"/>
        </w:rPr>
        <w:t xml:space="preserve"> Audit Report at 98-99.</w:t>
      </w:r>
    </w:p>
    <w:p w14:paraId="107CFD8B" w14:textId="77777777" w:rsidR="00425F6A" w:rsidRPr="00E66CC2" w:rsidRDefault="00425F6A" w:rsidP="00E66CC2">
      <w:pPr>
        <w:pStyle w:val="FootnoteText"/>
        <w:jc w:val="both"/>
        <w:rPr>
          <w:rFonts w:ascii="Arial" w:hAnsi="Arial" w:cs="Arial"/>
          <w:i/>
        </w:rPr>
      </w:pPr>
    </w:p>
  </w:footnote>
  <w:footnote w:id="34">
    <w:p w14:paraId="72759334" w14:textId="0C55040F" w:rsidR="00425F6A" w:rsidRPr="00425F6A" w:rsidRDefault="00425F6A" w:rsidP="00E66CC2">
      <w:pPr>
        <w:pStyle w:val="FootnoteText"/>
        <w:jc w:val="both"/>
        <w:rPr>
          <w:i/>
        </w:rPr>
      </w:pPr>
      <w:r w:rsidRPr="00E66CC2">
        <w:rPr>
          <w:rStyle w:val="FootnoteReference"/>
          <w:rFonts w:ascii="Arial" w:hAnsi="Arial" w:cs="Arial"/>
        </w:rPr>
        <w:footnoteRef/>
      </w:r>
      <w:r w:rsidRPr="00E66CC2">
        <w:rPr>
          <w:rFonts w:ascii="Arial" w:hAnsi="Arial" w:cs="Arial"/>
          <w:i/>
        </w:rPr>
        <w:t xml:space="preserve"> The Southern Company, AGL Resources Inc., and Northern Illinois Gas Company d/b/a Nicor Gas Company, </w:t>
      </w:r>
      <w:r w:rsidRPr="00E66CC2">
        <w:rPr>
          <w:rFonts w:ascii="Arial" w:hAnsi="Arial" w:cs="Arial"/>
        </w:rPr>
        <w:t>Case No. 15-</w:t>
      </w:r>
      <w:r w:rsidR="00E66CC2">
        <w:rPr>
          <w:rFonts w:ascii="Arial" w:hAnsi="Arial" w:cs="Arial"/>
        </w:rPr>
        <w:t>0</w:t>
      </w:r>
      <w:r w:rsidRPr="00E66CC2">
        <w:rPr>
          <w:rFonts w:ascii="Arial" w:hAnsi="Arial" w:cs="Arial"/>
        </w:rPr>
        <w:t xml:space="preserve">558 at 16 (Jun. 7, 2016) (authorizing a merger agreement and terminating Nicor Advanced Energy’s authority to use the word “Nicor” in the provision of competitive retail natural gas service); AEP Texas Commercial </w:t>
      </w:r>
      <w:r w:rsidR="00E66CC2" w:rsidRPr="00E66CC2">
        <w:rPr>
          <w:rFonts w:ascii="Arial" w:hAnsi="Arial" w:cs="Arial"/>
        </w:rPr>
        <w:t xml:space="preserve">&amp; Industrial Retail Limited Partnership v. Pub. Util. Commission of Texas, </w:t>
      </w:r>
      <w:r w:rsidRPr="00E66CC2">
        <w:rPr>
          <w:rFonts w:ascii="Arial" w:hAnsi="Arial" w:cs="Arial"/>
        </w:rPr>
        <w:t>No. 03–13–00358–CV</w:t>
      </w:r>
      <w:r w:rsidR="00E66CC2" w:rsidRPr="00E66CC2">
        <w:rPr>
          <w:rFonts w:ascii="Arial" w:hAnsi="Arial" w:cs="Arial"/>
        </w:rPr>
        <w:t>, Court of Appeals, Austin (Jul. 17, 2014) (affirming Commission prohibition against utilization of name “AEP” in conjunction with the provision of competitive retail electric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04E7"/>
    <w:multiLevelType w:val="hybridMultilevel"/>
    <w:tmpl w:val="EF589186"/>
    <w:lvl w:ilvl="0" w:tplc="0DD630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631AB"/>
    <w:multiLevelType w:val="hybridMultilevel"/>
    <w:tmpl w:val="FCB2D8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06DF0"/>
    <w:multiLevelType w:val="hybridMultilevel"/>
    <w:tmpl w:val="5A2E0A68"/>
    <w:lvl w:ilvl="0" w:tplc="CC325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3491D"/>
    <w:multiLevelType w:val="hybridMultilevel"/>
    <w:tmpl w:val="9BDE0C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20D03"/>
    <w:multiLevelType w:val="hybridMultilevel"/>
    <w:tmpl w:val="7E308140"/>
    <w:lvl w:ilvl="0" w:tplc="00EEE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7429F"/>
    <w:multiLevelType w:val="hybridMultilevel"/>
    <w:tmpl w:val="DD4C63B6"/>
    <w:lvl w:ilvl="0" w:tplc="ACF0209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52789"/>
    <w:multiLevelType w:val="hybridMultilevel"/>
    <w:tmpl w:val="43EE9836"/>
    <w:lvl w:ilvl="0" w:tplc="A6C44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727A7"/>
    <w:multiLevelType w:val="multilevel"/>
    <w:tmpl w:val="EFB200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355959"/>
    <w:multiLevelType w:val="hybridMultilevel"/>
    <w:tmpl w:val="0E02DC12"/>
    <w:lvl w:ilvl="0" w:tplc="97D09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BC16CF"/>
    <w:multiLevelType w:val="hybridMultilevel"/>
    <w:tmpl w:val="FA4CE9DE"/>
    <w:lvl w:ilvl="0" w:tplc="CC325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2446D"/>
    <w:multiLevelType w:val="multilevel"/>
    <w:tmpl w:val="BD96BC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C0777"/>
    <w:multiLevelType w:val="multilevel"/>
    <w:tmpl w:val="281053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17678E"/>
    <w:multiLevelType w:val="hybridMultilevel"/>
    <w:tmpl w:val="F9549B54"/>
    <w:lvl w:ilvl="0" w:tplc="95602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6303C4"/>
    <w:multiLevelType w:val="hybridMultilevel"/>
    <w:tmpl w:val="A36E24C4"/>
    <w:lvl w:ilvl="0" w:tplc="03B48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4B5359"/>
    <w:multiLevelType w:val="multilevel"/>
    <w:tmpl w:val="8B06CC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E82A9E"/>
    <w:multiLevelType w:val="hybridMultilevel"/>
    <w:tmpl w:val="35BCFB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021716"/>
    <w:multiLevelType w:val="multilevel"/>
    <w:tmpl w:val="BA6A0344"/>
    <w:lvl w:ilvl="0">
      <w:start w:val="1"/>
      <w:numFmt w:val="decimal"/>
      <w:lvlText w:val="%1."/>
      <w:lvlJc w:val="left"/>
      <w:pPr>
        <w:ind w:left="525" w:hanging="52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044D5"/>
    <w:multiLevelType w:val="hybridMultilevel"/>
    <w:tmpl w:val="4408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914E6"/>
    <w:multiLevelType w:val="hybridMultilevel"/>
    <w:tmpl w:val="65FE3218"/>
    <w:lvl w:ilvl="0" w:tplc="2466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509C9"/>
    <w:multiLevelType w:val="hybridMultilevel"/>
    <w:tmpl w:val="D3D8B4CA"/>
    <w:lvl w:ilvl="0" w:tplc="24D0A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EF4054"/>
    <w:multiLevelType w:val="hybridMultilevel"/>
    <w:tmpl w:val="D3CE146E"/>
    <w:lvl w:ilvl="0" w:tplc="A552A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9265E7"/>
    <w:multiLevelType w:val="hybridMultilevel"/>
    <w:tmpl w:val="35CC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A4F8C"/>
    <w:multiLevelType w:val="hybridMultilevel"/>
    <w:tmpl w:val="5DE241C6"/>
    <w:lvl w:ilvl="0" w:tplc="1CFEB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42399"/>
    <w:multiLevelType w:val="hybridMultilevel"/>
    <w:tmpl w:val="97088158"/>
    <w:lvl w:ilvl="0" w:tplc="04F68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23"/>
  </w:num>
  <w:num w:numId="4">
    <w:abstractNumId w:val="14"/>
  </w:num>
  <w:num w:numId="5">
    <w:abstractNumId w:val="8"/>
  </w:num>
  <w:num w:numId="6">
    <w:abstractNumId w:val="15"/>
  </w:num>
  <w:num w:numId="7">
    <w:abstractNumId w:val="4"/>
  </w:num>
  <w:num w:numId="8">
    <w:abstractNumId w:val="29"/>
  </w:num>
  <w:num w:numId="9">
    <w:abstractNumId w:val="13"/>
  </w:num>
  <w:num w:numId="10">
    <w:abstractNumId w:val="27"/>
  </w:num>
  <w:num w:numId="11">
    <w:abstractNumId w:val="10"/>
  </w:num>
  <w:num w:numId="12">
    <w:abstractNumId w:val="19"/>
  </w:num>
  <w:num w:numId="13">
    <w:abstractNumId w:val="17"/>
  </w:num>
  <w:num w:numId="14">
    <w:abstractNumId w:val="6"/>
  </w:num>
  <w:num w:numId="15">
    <w:abstractNumId w:val="18"/>
  </w:num>
  <w:num w:numId="16">
    <w:abstractNumId w:val="16"/>
  </w:num>
  <w:num w:numId="17">
    <w:abstractNumId w:val="7"/>
  </w:num>
  <w:num w:numId="18">
    <w:abstractNumId w:val="2"/>
  </w:num>
  <w:num w:numId="19">
    <w:abstractNumId w:val="24"/>
  </w:num>
  <w:num w:numId="20">
    <w:abstractNumId w:val="21"/>
  </w:num>
  <w:num w:numId="21">
    <w:abstractNumId w:val="30"/>
  </w:num>
  <w:num w:numId="22">
    <w:abstractNumId w:val="9"/>
  </w:num>
  <w:num w:numId="23">
    <w:abstractNumId w:val="11"/>
  </w:num>
  <w:num w:numId="24">
    <w:abstractNumId w:val="20"/>
  </w:num>
  <w:num w:numId="25">
    <w:abstractNumId w:val="28"/>
  </w:num>
  <w:num w:numId="26">
    <w:abstractNumId w:val="3"/>
  </w:num>
  <w:num w:numId="27">
    <w:abstractNumId w:val="12"/>
  </w:num>
  <w:num w:numId="28">
    <w:abstractNumId w:val="1"/>
  </w:num>
  <w:num w:numId="29">
    <w:abstractNumId w:val="25"/>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4E6B"/>
    <w:rsid w:val="000128AE"/>
    <w:rsid w:val="00013137"/>
    <w:rsid w:val="00017D09"/>
    <w:rsid w:val="00041FD1"/>
    <w:rsid w:val="00042B98"/>
    <w:rsid w:val="00067D1D"/>
    <w:rsid w:val="000A76E4"/>
    <w:rsid w:val="000B223F"/>
    <w:rsid w:val="000D43DB"/>
    <w:rsid w:val="001144C4"/>
    <w:rsid w:val="00121836"/>
    <w:rsid w:val="001260BB"/>
    <w:rsid w:val="00147142"/>
    <w:rsid w:val="001A4632"/>
    <w:rsid w:val="001B629B"/>
    <w:rsid w:val="001C5C94"/>
    <w:rsid w:val="001D3B5A"/>
    <w:rsid w:val="002077D0"/>
    <w:rsid w:val="002147CB"/>
    <w:rsid w:val="00227C04"/>
    <w:rsid w:val="00231B62"/>
    <w:rsid w:val="00237730"/>
    <w:rsid w:val="002410B3"/>
    <w:rsid w:val="002537F3"/>
    <w:rsid w:val="0025719F"/>
    <w:rsid w:val="0026046D"/>
    <w:rsid w:val="00261C82"/>
    <w:rsid w:val="0026372B"/>
    <w:rsid w:val="00291291"/>
    <w:rsid w:val="002B468E"/>
    <w:rsid w:val="002C4302"/>
    <w:rsid w:val="002F05DC"/>
    <w:rsid w:val="002F1D0C"/>
    <w:rsid w:val="002F6384"/>
    <w:rsid w:val="003005D8"/>
    <w:rsid w:val="00322588"/>
    <w:rsid w:val="003427CD"/>
    <w:rsid w:val="003513D8"/>
    <w:rsid w:val="00355B90"/>
    <w:rsid w:val="00360A6C"/>
    <w:rsid w:val="00363316"/>
    <w:rsid w:val="0036693E"/>
    <w:rsid w:val="003A41BF"/>
    <w:rsid w:val="003A51CC"/>
    <w:rsid w:val="003D01DA"/>
    <w:rsid w:val="003D4E59"/>
    <w:rsid w:val="003D7E88"/>
    <w:rsid w:val="003F581A"/>
    <w:rsid w:val="00402DA7"/>
    <w:rsid w:val="0040390B"/>
    <w:rsid w:val="00405A1D"/>
    <w:rsid w:val="00413918"/>
    <w:rsid w:val="00413EE0"/>
    <w:rsid w:val="00421525"/>
    <w:rsid w:val="00425F6A"/>
    <w:rsid w:val="0043516D"/>
    <w:rsid w:val="00443D14"/>
    <w:rsid w:val="00445A0D"/>
    <w:rsid w:val="00457D04"/>
    <w:rsid w:val="004671B7"/>
    <w:rsid w:val="00474257"/>
    <w:rsid w:val="00475049"/>
    <w:rsid w:val="00483963"/>
    <w:rsid w:val="00492AD6"/>
    <w:rsid w:val="004D43DC"/>
    <w:rsid w:val="004F0080"/>
    <w:rsid w:val="004F1DA9"/>
    <w:rsid w:val="0051216C"/>
    <w:rsid w:val="00527C7A"/>
    <w:rsid w:val="00527F60"/>
    <w:rsid w:val="00542A3B"/>
    <w:rsid w:val="00545F29"/>
    <w:rsid w:val="0056270F"/>
    <w:rsid w:val="0056412B"/>
    <w:rsid w:val="00564D59"/>
    <w:rsid w:val="00580D16"/>
    <w:rsid w:val="005B37CC"/>
    <w:rsid w:val="005B63F0"/>
    <w:rsid w:val="005D0F12"/>
    <w:rsid w:val="005E48C2"/>
    <w:rsid w:val="005F0155"/>
    <w:rsid w:val="005F1591"/>
    <w:rsid w:val="005F3574"/>
    <w:rsid w:val="00613140"/>
    <w:rsid w:val="0061450C"/>
    <w:rsid w:val="00623213"/>
    <w:rsid w:val="00631D80"/>
    <w:rsid w:val="00660996"/>
    <w:rsid w:val="00672797"/>
    <w:rsid w:val="00696B83"/>
    <w:rsid w:val="006B2DE5"/>
    <w:rsid w:val="006E09D0"/>
    <w:rsid w:val="0070066B"/>
    <w:rsid w:val="0071471B"/>
    <w:rsid w:val="00761A6C"/>
    <w:rsid w:val="007866CD"/>
    <w:rsid w:val="007972B2"/>
    <w:rsid w:val="007A0222"/>
    <w:rsid w:val="007B3399"/>
    <w:rsid w:val="007C2CF7"/>
    <w:rsid w:val="007D2210"/>
    <w:rsid w:val="007E03CB"/>
    <w:rsid w:val="007F2452"/>
    <w:rsid w:val="00805B31"/>
    <w:rsid w:val="00813BFB"/>
    <w:rsid w:val="00822B87"/>
    <w:rsid w:val="0082422E"/>
    <w:rsid w:val="0083294E"/>
    <w:rsid w:val="008361FD"/>
    <w:rsid w:val="00836FD6"/>
    <w:rsid w:val="008460F9"/>
    <w:rsid w:val="00877285"/>
    <w:rsid w:val="00882A1B"/>
    <w:rsid w:val="008929CA"/>
    <w:rsid w:val="008A748F"/>
    <w:rsid w:val="008E765E"/>
    <w:rsid w:val="008F554F"/>
    <w:rsid w:val="00914094"/>
    <w:rsid w:val="009217A1"/>
    <w:rsid w:val="009272EC"/>
    <w:rsid w:val="00940DEA"/>
    <w:rsid w:val="00946E9A"/>
    <w:rsid w:val="00955F86"/>
    <w:rsid w:val="00972956"/>
    <w:rsid w:val="00976CF5"/>
    <w:rsid w:val="0098338B"/>
    <w:rsid w:val="0098755F"/>
    <w:rsid w:val="009937E1"/>
    <w:rsid w:val="009B4EBD"/>
    <w:rsid w:val="009C1A2E"/>
    <w:rsid w:val="009D5434"/>
    <w:rsid w:val="009D71F6"/>
    <w:rsid w:val="009F4632"/>
    <w:rsid w:val="009F6674"/>
    <w:rsid w:val="00A114E4"/>
    <w:rsid w:val="00A15284"/>
    <w:rsid w:val="00A36FC4"/>
    <w:rsid w:val="00A40FD9"/>
    <w:rsid w:val="00A413F6"/>
    <w:rsid w:val="00A505E2"/>
    <w:rsid w:val="00A55948"/>
    <w:rsid w:val="00A567A8"/>
    <w:rsid w:val="00A71E20"/>
    <w:rsid w:val="00A806E5"/>
    <w:rsid w:val="00A90341"/>
    <w:rsid w:val="00A940AD"/>
    <w:rsid w:val="00AA75B4"/>
    <w:rsid w:val="00AC194E"/>
    <w:rsid w:val="00AC59A6"/>
    <w:rsid w:val="00AC7EB7"/>
    <w:rsid w:val="00AD5E1E"/>
    <w:rsid w:val="00AE7341"/>
    <w:rsid w:val="00AF4157"/>
    <w:rsid w:val="00B02097"/>
    <w:rsid w:val="00B0764F"/>
    <w:rsid w:val="00B168A9"/>
    <w:rsid w:val="00B23873"/>
    <w:rsid w:val="00B270B3"/>
    <w:rsid w:val="00B72549"/>
    <w:rsid w:val="00B7742E"/>
    <w:rsid w:val="00B849B2"/>
    <w:rsid w:val="00B92A76"/>
    <w:rsid w:val="00BA18DF"/>
    <w:rsid w:val="00BF6BC1"/>
    <w:rsid w:val="00C10C22"/>
    <w:rsid w:val="00C20F96"/>
    <w:rsid w:val="00C221DB"/>
    <w:rsid w:val="00C23FD1"/>
    <w:rsid w:val="00C25624"/>
    <w:rsid w:val="00C379AF"/>
    <w:rsid w:val="00C84BD1"/>
    <w:rsid w:val="00CB17AB"/>
    <w:rsid w:val="00CF5C36"/>
    <w:rsid w:val="00D13280"/>
    <w:rsid w:val="00D156B6"/>
    <w:rsid w:val="00D161CB"/>
    <w:rsid w:val="00D51948"/>
    <w:rsid w:val="00D5699E"/>
    <w:rsid w:val="00D57E21"/>
    <w:rsid w:val="00DA7931"/>
    <w:rsid w:val="00DC2FAF"/>
    <w:rsid w:val="00DC5C9C"/>
    <w:rsid w:val="00DE4973"/>
    <w:rsid w:val="00DF5B51"/>
    <w:rsid w:val="00E0672C"/>
    <w:rsid w:val="00E22678"/>
    <w:rsid w:val="00E35EAB"/>
    <w:rsid w:val="00E66CC2"/>
    <w:rsid w:val="00E75040"/>
    <w:rsid w:val="00E8416D"/>
    <w:rsid w:val="00E86999"/>
    <w:rsid w:val="00E87DC1"/>
    <w:rsid w:val="00EA0C60"/>
    <w:rsid w:val="00EB47D3"/>
    <w:rsid w:val="00EC019F"/>
    <w:rsid w:val="00EC2A4C"/>
    <w:rsid w:val="00F10F9B"/>
    <w:rsid w:val="00F111C7"/>
    <w:rsid w:val="00F155A6"/>
    <w:rsid w:val="00F46354"/>
    <w:rsid w:val="00F5720A"/>
    <w:rsid w:val="00F926AA"/>
    <w:rsid w:val="00FA4A29"/>
    <w:rsid w:val="00FA7914"/>
    <w:rsid w:val="00FB063F"/>
    <w:rsid w:val="00FE2DE0"/>
    <w:rsid w:val="00FE7130"/>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93E"/>
  </w:style>
  <w:style w:type="paragraph" w:styleId="Heading1">
    <w:name w:val="heading 1"/>
    <w:basedOn w:val="Normal"/>
    <w:next w:val="Normal"/>
    <w:link w:val="Heading1Char"/>
    <w:uiPriority w:val="9"/>
    <w:qFormat/>
    <w:rsid w:val="00D156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Revision">
    <w:name w:val="Revision"/>
    <w:hidden/>
    <w:uiPriority w:val="99"/>
    <w:semiHidden/>
    <w:rsid w:val="002537F3"/>
    <w:pPr>
      <w:spacing w:after="0" w:line="240" w:lineRule="auto"/>
    </w:pPr>
  </w:style>
  <w:style w:type="character" w:styleId="UnresolvedMention">
    <w:name w:val="Unresolved Mention"/>
    <w:basedOn w:val="DefaultParagraphFont"/>
    <w:uiPriority w:val="99"/>
    <w:semiHidden/>
    <w:unhideWhenUsed/>
    <w:rsid w:val="00425F6A"/>
    <w:rPr>
      <w:color w:val="808080"/>
      <w:shd w:val="clear" w:color="auto" w:fill="E6E6E6"/>
    </w:rPr>
  </w:style>
  <w:style w:type="character" w:customStyle="1" w:styleId="Heading1Char">
    <w:name w:val="Heading 1 Char"/>
    <w:basedOn w:val="DefaultParagraphFont"/>
    <w:link w:val="Heading1"/>
    <w:uiPriority w:val="9"/>
    <w:rsid w:val="00D156B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156B6"/>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ureen.willis@occ.ohi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liker@igsenerg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iker@igsenerg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rstenergycorp.com/content/customer/products/smartm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4" ma:contentTypeDescription="Create a new document." ma:contentTypeScope="" ma:versionID="d918d5c27cec337b8aa5c8d3e9b6675c">
  <xsd:schema xmlns:xsd="http://www.w3.org/2001/XMLSchema" xmlns:xs="http://www.w3.org/2001/XMLSchema" xmlns:p="http://schemas.microsoft.com/office/2006/metadata/properties" xmlns:ns2="7b65a839-91ea-4ae8-a3e7-aa2e1fd1ecb0" targetNamespace="http://schemas.microsoft.com/office/2006/metadata/properties" ma:root="true" ma:fieldsID="6e25d13ed8ab8316a9153911676548a6" ns2:_="">
    <xsd:import namespace="7b65a839-91ea-4ae8-a3e7-aa2e1fd1ecb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E92C6-D34D-4616-9023-2876A7D4D5B3}">
  <ds:schemaRefs>
    <ds:schemaRef ds:uri="http://purl.org/dc/term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8B6C4B-D65F-40C7-A198-8FEFB8A9D2CD}">
  <ds:schemaRefs>
    <ds:schemaRef ds:uri="http://schemas.microsoft.com/sharepoint/v3/contenttype/forms"/>
  </ds:schemaRefs>
</ds:datastoreItem>
</file>

<file path=customXml/itemProps3.xml><?xml version="1.0" encoding="utf-8"?>
<ds:datastoreItem xmlns:ds="http://schemas.openxmlformats.org/officeDocument/2006/customXml" ds:itemID="{6ACCE6F5-C97C-4398-9375-73574837E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512A3-420A-4235-9CEB-31097983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3809</Words>
  <Characters>22518</Characters>
  <Application>Microsoft Office Word</Application>
  <DocSecurity>0</DocSecurity>
  <Lines>489</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2018-12-31T19:48:00Z</dcterms:created>
  <dcterms:modified xsi:type="dcterms:W3CDTF">2018-12-31T19:48:00Z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