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4A" w:rsidRPr="00570D1F" w:rsidRDefault="0038774A" w:rsidP="0038774A">
      <w:pPr>
        <w:spacing w:line="240" w:lineRule="auto"/>
        <w:jc w:val="center"/>
        <w:rPr>
          <w:rFonts w:ascii="Times New Roman" w:hAnsi="Times New Roman"/>
          <w:b/>
          <w:bCs/>
          <w:sz w:val="26"/>
          <w:szCs w:val="26"/>
        </w:rPr>
      </w:pPr>
      <w:r w:rsidRPr="00570D1F">
        <w:rPr>
          <w:rFonts w:ascii="Times New Roman" w:hAnsi="Times New Roman"/>
          <w:b/>
          <w:bCs/>
          <w:sz w:val="26"/>
          <w:szCs w:val="26"/>
        </w:rPr>
        <w:t xml:space="preserve">Before the </w:t>
      </w:r>
    </w:p>
    <w:p w:rsidR="0038774A" w:rsidRPr="00570D1F" w:rsidRDefault="0038774A" w:rsidP="0038774A">
      <w:pPr>
        <w:spacing w:line="240" w:lineRule="auto"/>
        <w:jc w:val="center"/>
        <w:rPr>
          <w:rFonts w:ascii="Times New Roman" w:hAnsi="Times New Roman"/>
          <w:b/>
          <w:bCs/>
          <w:sz w:val="26"/>
          <w:szCs w:val="26"/>
        </w:rPr>
      </w:pPr>
      <w:r w:rsidRPr="00570D1F">
        <w:rPr>
          <w:rFonts w:ascii="Times New Roman" w:hAnsi="Times New Roman"/>
          <w:b/>
          <w:bCs/>
          <w:sz w:val="26"/>
          <w:szCs w:val="26"/>
        </w:rPr>
        <w:t>Federal Communications Commission</w:t>
      </w:r>
    </w:p>
    <w:p w:rsidR="0038774A" w:rsidRDefault="0038774A" w:rsidP="0038774A">
      <w:pPr>
        <w:spacing w:line="240" w:lineRule="auto"/>
        <w:jc w:val="center"/>
        <w:rPr>
          <w:rFonts w:ascii="Times New Roman" w:hAnsi="Times New Roman"/>
          <w:b/>
          <w:bCs/>
          <w:sz w:val="26"/>
          <w:szCs w:val="26"/>
        </w:rPr>
      </w:pPr>
      <w:r w:rsidRPr="00570D1F">
        <w:rPr>
          <w:rFonts w:ascii="Times New Roman" w:hAnsi="Times New Roman"/>
          <w:b/>
          <w:bCs/>
          <w:sz w:val="26"/>
          <w:szCs w:val="26"/>
        </w:rPr>
        <w:t>Washington, D.C. 20554</w:t>
      </w:r>
    </w:p>
    <w:p w:rsidR="00570D1F" w:rsidRPr="00570D1F" w:rsidRDefault="00570D1F" w:rsidP="0038774A">
      <w:pPr>
        <w:spacing w:line="240" w:lineRule="auto"/>
        <w:jc w:val="center"/>
        <w:rPr>
          <w:rFonts w:ascii="Times New Roman" w:hAnsi="Times New Roman"/>
          <w:bCs/>
          <w:sz w:val="26"/>
          <w:szCs w:val="26"/>
        </w:rPr>
      </w:pPr>
    </w:p>
    <w:tbl>
      <w:tblPr>
        <w:tblW w:w="0" w:type="auto"/>
        <w:tblLook w:val="04A0"/>
      </w:tblPr>
      <w:tblGrid>
        <w:gridCol w:w="4788"/>
        <w:gridCol w:w="360"/>
        <w:gridCol w:w="4428"/>
      </w:tblGrid>
      <w:tr w:rsidR="001D0793" w:rsidRPr="009C60BC" w:rsidTr="009C60BC">
        <w:tc>
          <w:tcPr>
            <w:tcW w:w="4788" w:type="dxa"/>
          </w:tcPr>
          <w:p w:rsidR="00570D1F" w:rsidRPr="009C60BC" w:rsidRDefault="00570D1F" w:rsidP="009C60BC">
            <w:pPr>
              <w:spacing w:line="240" w:lineRule="auto"/>
              <w:rPr>
                <w:rFonts w:ascii="Times New Roman" w:hAnsi="Times New Roman"/>
                <w:bCs/>
                <w:sz w:val="26"/>
                <w:szCs w:val="26"/>
              </w:rPr>
            </w:pPr>
            <w:r w:rsidRPr="009C60BC">
              <w:rPr>
                <w:rFonts w:ascii="Times New Roman" w:hAnsi="Times New Roman"/>
                <w:bCs/>
                <w:sz w:val="26"/>
                <w:szCs w:val="26"/>
              </w:rPr>
              <w:t xml:space="preserve">In the Matter of </w:t>
            </w:r>
          </w:p>
          <w:p w:rsidR="00570D1F" w:rsidRPr="009C60BC" w:rsidRDefault="00570D1F" w:rsidP="009C60BC">
            <w:pPr>
              <w:spacing w:line="240" w:lineRule="auto"/>
              <w:rPr>
                <w:rFonts w:ascii="Times New Roman" w:hAnsi="Times New Roman"/>
                <w:bCs/>
                <w:sz w:val="26"/>
                <w:szCs w:val="26"/>
              </w:rPr>
            </w:pPr>
            <w:r w:rsidRPr="009C60BC">
              <w:rPr>
                <w:rFonts w:ascii="Times New Roman" w:hAnsi="Times New Roman"/>
                <w:bCs/>
                <w:sz w:val="26"/>
                <w:szCs w:val="26"/>
              </w:rPr>
              <w:t>Implementation of Section 224 of the Act</w:t>
            </w:r>
          </w:p>
          <w:p w:rsidR="00570D1F" w:rsidRPr="009C60BC" w:rsidRDefault="00570D1F" w:rsidP="009C60BC">
            <w:pPr>
              <w:spacing w:line="240" w:lineRule="auto"/>
              <w:rPr>
                <w:rFonts w:ascii="Times New Roman" w:hAnsi="Times New Roman"/>
                <w:bCs/>
                <w:sz w:val="26"/>
                <w:szCs w:val="26"/>
              </w:rPr>
            </w:pPr>
            <w:r w:rsidRPr="009C60BC">
              <w:rPr>
                <w:rFonts w:ascii="Times New Roman" w:hAnsi="Times New Roman"/>
                <w:bCs/>
                <w:sz w:val="26"/>
                <w:szCs w:val="26"/>
              </w:rPr>
              <w:t>A National Broadband Plan for Our Future</w:t>
            </w:r>
          </w:p>
        </w:tc>
        <w:tc>
          <w:tcPr>
            <w:tcW w:w="360" w:type="dxa"/>
          </w:tcPr>
          <w:p w:rsidR="00570D1F" w:rsidRPr="009C60BC" w:rsidRDefault="00570D1F" w:rsidP="009C60BC">
            <w:pPr>
              <w:spacing w:line="240" w:lineRule="auto"/>
              <w:jc w:val="center"/>
              <w:rPr>
                <w:rFonts w:ascii="Times New Roman" w:hAnsi="Times New Roman"/>
                <w:bCs/>
                <w:sz w:val="26"/>
                <w:szCs w:val="26"/>
              </w:rPr>
            </w:pPr>
            <w:r w:rsidRPr="009C60BC">
              <w:rPr>
                <w:rFonts w:ascii="Times New Roman" w:hAnsi="Times New Roman"/>
                <w:bCs/>
                <w:sz w:val="26"/>
                <w:szCs w:val="26"/>
              </w:rPr>
              <w:t>:</w:t>
            </w:r>
          </w:p>
          <w:p w:rsidR="00570D1F" w:rsidRPr="009C60BC" w:rsidRDefault="00570D1F" w:rsidP="009C60BC">
            <w:pPr>
              <w:spacing w:line="240" w:lineRule="auto"/>
              <w:jc w:val="center"/>
              <w:rPr>
                <w:rFonts w:ascii="Times New Roman" w:hAnsi="Times New Roman"/>
                <w:bCs/>
                <w:sz w:val="26"/>
                <w:szCs w:val="26"/>
              </w:rPr>
            </w:pPr>
            <w:r w:rsidRPr="009C60BC">
              <w:rPr>
                <w:rFonts w:ascii="Times New Roman" w:hAnsi="Times New Roman"/>
                <w:bCs/>
                <w:sz w:val="26"/>
                <w:szCs w:val="26"/>
              </w:rPr>
              <w:t>:</w:t>
            </w:r>
          </w:p>
          <w:p w:rsidR="00570D1F" w:rsidRPr="009C60BC" w:rsidRDefault="00570D1F" w:rsidP="009C60BC">
            <w:pPr>
              <w:spacing w:line="240" w:lineRule="auto"/>
              <w:jc w:val="center"/>
              <w:rPr>
                <w:rFonts w:ascii="Times New Roman" w:hAnsi="Times New Roman"/>
                <w:bCs/>
                <w:sz w:val="26"/>
                <w:szCs w:val="26"/>
              </w:rPr>
            </w:pPr>
            <w:r w:rsidRPr="009C60BC">
              <w:rPr>
                <w:rFonts w:ascii="Times New Roman" w:hAnsi="Times New Roman"/>
                <w:bCs/>
                <w:sz w:val="26"/>
                <w:szCs w:val="26"/>
              </w:rPr>
              <w:t>:</w:t>
            </w:r>
          </w:p>
        </w:tc>
        <w:tc>
          <w:tcPr>
            <w:tcW w:w="4428" w:type="dxa"/>
          </w:tcPr>
          <w:p w:rsidR="00570D1F" w:rsidRPr="009C60BC" w:rsidRDefault="00570D1F" w:rsidP="009C60BC">
            <w:pPr>
              <w:spacing w:line="240" w:lineRule="auto"/>
              <w:jc w:val="center"/>
              <w:rPr>
                <w:rFonts w:ascii="Times New Roman" w:hAnsi="Times New Roman"/>
                <w:bCs/>
                <w:sz w:val="26"/>
                <w:szCs w:val="26"/>
              </w:rPr>
            </w:pPr>
          </w:p>
          <w:p w:rsidR="00570D1F" w:rsidRPr="009C60BC" w:rsidRDefault="00570D1F" w:rsidP="009C60BC">
            <w:pPr>
              <w:spacing w:line="240" w:lineRule="auto"/>
              <w:rPr>
                <w:rFonts w:ascii="Times New Roman" w:hAnsi="Times New Roman"/>
                <w:bCs/>
                <w:sz w:val="26"/>
                <w:szCs w:val="26"/>
              </w:rPr>
            </w:pPr>
            <w:r w:rsidRPr="009C60BC">
              <w:rPr>
                <w:rFonts w:ascii="Times New Roman" w:hAnsi="Times New Roman"/>
                <w:bCs/>
                <w:sz w:val="26"/>
                <w:szCs w:val="26"/>
              </w:rPr>
              <w:t>WC Docket No. 07-245</w:t>
            </w:r>
          </w:p>
          <w:p w:rsidR="00570D1F" w:rsidRPr="009C60BC" w:rsidRDefault="00570D1F" w:rsidP="009C60BC">
            <w:pPr>
              <w:spacing w:line="240" w:lineRule="auto"/>
              <w:rPr>
                <w:rFonts w:ascii="Times New Roman" w:hAnsi="Times New Roman"/>
                <w:bCs/>
                <w:sz w:val="26"/>
                <w:szCs w:val="26"/>
              </w:rPr>
            </w:pPr>
            <w:r w:rsidRPr="009C60BC">
              <w:rPr>
                <w:rFonts w:ascii="Times New Roman" w:hAnsi="Times New Roman"/>
                <w:bCs/>
                <w:sz w:val="26"/>
                <w:szCs w:val="26"/>
              </w:rPr>
              <w:t>GN Docket No. 09-51</w:t>
            </w:r>
          </w:p>
        </w:tc>
      </w:tr>
    </w:tbl>
    <w:p w:rsidR="00570D1F" w:rsidRPr="00570D1F" w:rsidRDefault="00570D1F" w:rsidP="0038774A">
      <w:pPr>
        <w:spacing w:line="240" w:lineRule="auto"/>
        <w:jc w:val="center"/>
        <w:rPr>
          <w:rFonts w:ascii="Times New Roman" w:hAnsi="Times New Roman"/>
          <w:b/>
          <w:bCs/>
          <w:sz w:val="26"/>
          <w:szCs w:val="26"/>
        </w:rPr>
      </w:pPr>
    </w:p>
    <w:p w:rsidR="00570D1F" w:rsidRPr="00570D1F" w:rsidRDefault="00570D1F" w:rsidP="00570D1F">
      <w:pPr>
        <w:tabs>
          <w:tab w:val="left" w:pos="9360"/>
        </w:tabs>
        <w:spacing w:line="240" w:lineRule="auto"/>
        <w:rPr>
          <w:rFonts w:ascii="Times New Roman" w:hAnsi="Times New Roman"/>
          <w:sz w:val="26"/>
          <w:szCs w:val="26"/>
          <w:u w:val="single"/>
        </w:rPr>
      </w:pPr>
      <w:r>
        <w:rPr>
          <w:rFonts w:ascii="Times New Roman" w:hAnsi="Times New Roman"/>
          <w:sz w:val="26"/>
          <w:szCs w:val="26"/>
          <w:u w:val="single"/>
        </w:rPr>
        <w:tab/>
      </w:r>
    </w:p>
    <w:p w:rsidR="00570D1F" w:rsidRDefault="005C3528" w:rsidP="00570D1F">
      <w:pPr>
        <w:spacing w:after="0" w:line="240" w:lineRule="auto"/>
        <w:jc w:val="center"/>
        <w:rPr>
          <w:rFonts w:ascii="Times New Roman" w:hAnsi="Times New Roman"/>
          <w:b/>
          <w:sz w:val="26"/>
          <w:szCs w:val="26"/>
        </w:rPr>
      </w:pPr>
      <w:r>
        <w:rPr>
          <w:rFonts w:ascii="Times New Roman" w:hAnsi="Times New Roman"/>
          <w:b/>
          <w:sz w:val="28"/>
          <w:szCs w:val="28"/>
        </w:rPr>
        <w:t>CORRECTED</w:t>
      </w:r>
      <w:r w:rsidR="008A3C83">
        <w:rPr>
          <w:rFonts w:ascii="Times New Roman" w:hAnsi="Times New Roman"/>
          <w:b/>
          <w:sz w:val="28"/>
          <w:szCs w:val="28"/>
        </w:rPr>
        <w:t xml:space="preserve"> </w:t>
      </w:r>
      <w:r w:rsidR="0038774A" w:rsidRPr="00570D1F">
        <w:rPr>
          <w:rFonts w:ascii="Times New Roman" w:hAnsi="Times New Roman"/>
          <w:b/>
          <w:sz w:val="28"/>
          <w:szCs w:val="28"/>
        </w:rPr>
        <w:t>COMMENTS</w:t>
      </w:r>
      <w:r w:rsidR="00570D1F">
        <w:rPr>
          <w:rFonts w:ascii="Times New Roman" w:hAnsi="Times New Roman"/>
          <w:b/>
          <w:sz w:val="26"/>
          <w:szCs w:val="26"/>
        </w:rPr>
        <w:br/>
        <w:t>SUBMITTED ON BEHALF O</w:t>
      </w:r>
      <w:r w:rsidR="0038774A" w:rsidRPr="00570D1F">
        <w:rPr>
          <w:rFonts w:ascii="Times New Roman" w:hAnsi="Times New Roman"/>
          <w:b/>
          <w:sz w:val="26"/>
          <w:szCs w:val="26"/>
        </w:rPr>
        <w:t>F</w:t>
      </w:r>
      <w:r w:rsidR="00570D1F">
        <w:rPr>
          <w:rFonts w:ascii="Times New Roman" w:hAnsi="Times New Roman"/>
          <w:b/>
          <w:sz w:val="26"/>
          <w:szCs w:val="26"/>
        </w:rPr>
        <w:br/>
      </w:r>
      <w:r w:rsidR="0038774A" w:rsidRPr="00570D1F">
        <w:rPr>
          <w:rFonts w:ascii="Times New Roman" w:hAnsi="Times New Roman"/>
          <w:b/>
          <w:sz w:val="26"/>
          <w:szCs w:val="26"/>
        </w:rPr>
        <w:t>THE PUBLIC UTILITIES COMMISSION OF OHIO</w:t>
      </w:r>
    </w:p>
    <w:p w:rsidR="00570D1F" w:rsidRPr="00570D1F" w:rsidRDefault="00570D1F" w:rsidP="00570D1F">
      <w:pPr>
        <w:tabs>
          <w:tab w:val="left" w:pos="9360"/>
        </w:tabs>
        <w:spacing w:line="240" w:lineRule="auto"/>
        <w:rPr>
          <w:rFonts w:ascii="Times New Roman" w:hAnsi="Times New Roman"/>
          <w:sz w:val="26"/>
          <w:szCs w:val="26"/>
          <w:u w:val="single"/>
        </w:rPr>
      </w:pPr>
      <w:r>
        <w:rPr>
          <w:rFonts w:ascii="Times New Roman" w:hAnsi="Times New Roman"/>
          <w:sz w:val="26"/>
          <w:szCs w:val="26"/>
          <w:u w:val="single"/>
        </w:rPr>
        <w:tab/>
      </w:r>
    </w:p>
    <w:p w:rsidR="00570D1F" w:rsidRPr="00570D1F" w:rsidRDefault="00570D1F" w:rsidP="00570D1F">
      <w:pPr>
        <w:spacing w:line="240" w:lineRule="auto"/>
        <w:jc w:val="center"/>
        <w:rPr>
          <w:rFonts w:ascii="Times New Roman" w:hAnsi="Times New Roman"/>
          <w:b/>
          <w:sz w:val="26"/>
          <w:szCs w:val="26"/>
        </w:rPr>
      </w:pPr>
    </w:p>
    <w:p w:rsidR="0038774A" w:rsidRPr="00570D1F" w:rsidRDefault="0038774A" w:rsidP="007361DF">
      <w:pPr>
        <w:spacing w:line="240" w:lineRule="auto"/>
        <w:jc w:val="center"/>
        <w:rPr>
          <w:rFonts w:ascii="Times New Roman" w:hAnsi="Times New Roman"/>
          <w:b/>
          <w:bCs/>
          <w:sz w:val="26"/>
          <w:szCs w:val="26"/>
        </w:rPr>
      </w:pPr>
    </w:p>
    <w:p w:rsidR="0038774A" w:rsidRPr="00570D1F" w:rsidRDefault="0038774A" w:rsidP="007361DF">
      <w:pPr>
        <w:spacing w:line="240" w:lineRule="auto"/>
        <w:jc w:val="center"/>
        <w:rPr>
          <w:rFonts w:ascii="Times New Roman" w:hAnsi="Times New Roman"/>
          <w:bCs/>
          <w:sz w:val="26"/>
          <w:szCs w:val="26"/>
        </w:rPr>
      </w:pPr>
    </w:p>
    <w:p w:rsidR="0038774A" w:rsidRPr="00570D1F" w:rsidRDefault="0038774A" w:rsidP="007361DF">
      <w:pPr>
        <w:spacing w:line="240" w:lineRule="auto"/>
        <w:jc w:val="center"/>
        <w:rPr>
          <w:rFonts w:ascii="Times New Roman" w:hAnsi="Times New Roman"/>
          <w:b/>
          <w:bCs/>
          <w:sz w:val="26"/>
          <w:szCs w:val="26"/>
        </w:rPr>
      </w:pPr>
    </w:p>
    <w:p w:rsidR="009E4D37" w:rsidRDefault="009E4D37" w:rsidP="007361DF">
      <w:pPr>
        <w:spacing w:line="240" w:lineRule="auto"/>
        <w:jc w:val="center"/>
        <w:rPr>
          <w:rFonts w:ascii="Times New Roman" w:hAnsi="Times New Roman"/>
          <w:b/>
          <w:bCs/>
          <w:sz w:val="26"/>
          <w:szCs w:val="26"/>
        </w:rPr>
      </w:pPr>
    </w:p>
    <w:p w:rsidR="009C60BC" w:rsidRDefault="009C60BC" w:rsidP="007361DF">
      <w:pPr>
        <w:spacing w:line="240" w:lineRule="auto"/>
        <w:jc w:val="center"/>
        <w:rPr>
          <w:rFonts w:ascii="Times New Roman" w:hAnsi="Times New Roman"/>
          <w:b/>
          <w:bCs/>
          <w:sz w:val="26"/>
          <w:szCs w:val="26"/>
        </w:rPr>
      </w:pPr>
    </w:p>
    <w:p w:rsidR="009C60BC" w:rsidRDefault="009C60BC" w:rsidP="007361DF">
      <w:pPr>
        <w:spacing w:line="240" w:lineRule="auto"/>
        <w:jc w:val="center"/>
        <w:rPr>
          <w:rFonts w:ascii="Times New Roman" w:hAnsi="Times New Roman"/>
          <w:b/>
          <w:bCs/>
          <w:sz w:val="26"/>
          <w:szCs w:val="26"/>
        </w:rPr>
      </w:pPr>
    </w:p>
    <w:p w:rsidR="009C60BC" w:rsidRDefault="009C60BC" w:rsidP="007361DF">
      <w:pPr>
        <w:spacing w:line="240" w:lineRule="auto"/>
        <w:jc w:val="center"/>
        <w:rPr>
          <w:rFonts w:ascii="Times New Roman" w:hAnsi="Times New Roman"/>
          <w:b/>
          <w:bCs/>
          <w:sz w:val="26"/>
          <w:szCs w:val="26"/>
        </w:rPr>
      </w:pPr>
    </w:p>
    <w:p w:rsidR="009C60BC" w:rsidRPr="00570D1F" w:rsidRDefault="009C60BC" w:rsidP="007361DF">
      <w:pPr>
        <w:spacing w:line="240" w:lineRule="auto"/>
        <w:jc w:val="center"/>
        <w:rPr>
          <w:rFonts w:ascii="Times New Roman" w:hAnsi="Times New Roman"/>
          <w:b/>
          <w:bCs/>
          <w:sz w:val="26"/>
          <w:szCs w:val="26"/>
        </w:rPr>
      </w:pPr>
    </w:p>
    <w:p w:rsidR="009E4D37" w:rsidRPr="00570D1F" w:rsidRDefault="009E4D37" w:rsidP="007361DF">
      <w:pPr>
        <w:spacing w:line="240" w:lineRule="auto"/>
        <w:jc w:val="center"/>
        <w:rPr>
          <w:rFonts w:ascii="Times New Roman" w:hAnsi="Times New Roman"/>
          <w:b/>
          <w:bCs/>
          <w:sz w:val="26"/>
          <w:szCs w:val="26"/>
        </w:rPr>
      </w:pPr>
    </w:p>
    <w:p w:rsidR="009E4D37" w:rsidRPr="00570D1F" w:rsidRDefault="009E4D37" w:rsidP="007361DF">
      <w:pPr>
        <w:spacing w:line="240" w:lineRule="auto"/>
        <w:jc w:val="center"/>
        <w:rPr>
          <w:rFonts w:ascii="Times New Roman" w:hAnsi="Times New Roman"/>
          <w:b/>
          <w:bCs/>
          <w:sz w:val="26"/>
          <w:szCs w:val="26"/>
        </w:rPr>
      </w:pPr>
    </w:p>
    <w:p w:rsidR="009E4D37" w:rsidRPr="00570D1F" w:rsidRDefault="009E4D37" w:rsidP="007361DF">
      <w:pPr>
        <w:spacing w:line="240" w:lineRule="auto"/>
        <w:jc w:val="center"/>
        <w:rPr>
          <w:rFonts w:ascii="Times New Roman" w:hAnsi="Times New Roman"/>
          <w:b/>
          <w:bCs/>
          <w:sz w:val="26"/>
          <w:szCs w:val="26"/>
        </w:rPr>
      </w:pPr>
    </w:p>
    <w:p w:rsidR="009E4D37" w:rsidRPr="00570D1F" w:rsidRDefault="009E4D37" w:rsidP="007361DF">
      <w:pPr>
        <w:spacing w:line="240" w:lineRule="auto"/>
        <w:jc w:val="center"/>
        <w:rPr>
          <w:rFonts w:ascii="Times New Roman" w:hAnsi="Times New Roman"/>
          <w:b/>
          <w:bCs/>
          <w:sz w:val="26"/>
          <w:szCs w:val="26"/>
        </w:rPr>
      </w:pPr>
    </w:p>
    <w:p w:rsidR="0038774A" w:rsidRPr="009C60BC" w:rsidRDefault="0038774A" w:rsidP="009C60BC">
      <w:pPr>
        <w:spacing w:after="0" w:line="240" w:lineRule="auto"/>
        <w:rPr>
          <w:rFonts w:ascii="Times New Roman" w:hAnsi="Times New Roman"/>
          <w:bCs/>
          <w:sz w:val="26"/>
          <w:szCs w:val="26"/>
        </w:rPr>
      </w:pPr>
      <w:r w:rsidRPr="00570D1F">
        <w:rPr>
          <w:rFonts w:ascii="Times New Roman" w:hAnsi="Times New Roman"/>
          <w:bCs/>
          <w:sz w:val="26"/>
          <w:szCs w:val="26"/>
        </w:rPr>
        <w:t xml:space="preserve">Dated:  August </w:t>
      </w:r>
      <w:r w:rsidR="008A3C83">
        <w:rPr>
          <w:rFonts w:ascii="Times New Roman" w:hAnsi="Times New Roman"/>
          <w:bCs/>
          <w:sz w:val="26"/>
          <w:szCs w:val="26"/>
        </w:rPr>
        <w:t>1</w:t>
      </w:r>
      <w:r w:rsidR="00856A03">
        <w:rPr>
          <w:rFonts w:ascii="Times New Roman" w:hAnsi="Times New Roman"/>
          <w:bCs/>
          <w:sz w:val="26"/>
          <w:szCs w:val="26"/>
        </w:rPr>
        <w:t>9</w:t>
      </w:r>
      <w:r w:rsidRPr="00570D1F">
        <w:rPr>
          <w:rFonts w:ascii="Times New Roman" w:hAnsi="Times New Roman"/>
          <w:bCs/>
          <w:sz w:val="26"/>
          <w:szCs w:val="26"/>
        </w:rPr>
        <w:t>, 2010</w:t>
      </w:r>
    </w:p>
    <w:p w:rsidR="00EC7927" w:rsidRPr="00570D1F" w:rsidRDefault="00EC7927" w:rsidP="007361DF">
      <w:pPr>
        <w:spacing w:line="240" w:lineRule="auto"/>
        <w:jc w:val="center"/>
        <w:rPr>
          <w:rFonts w:ascii="Times New Roman" w:hAnsi="Times New Roman"/>
          <w:b/>
          <w:bCs/>
          <w:sz w:val="26"/>
          <w:szCs w:val="26"/>
        </w:rPr>
        <w:sectPr w:rsidR="00EC7927" w:rsidRPr="00570D1F" w:rsidSect="00EC7927">
          <w:footerReference w:type="default" r:id="rId8"/>
          <w:pgSz w:w="12240" w:h="15840"/>
          <w:pgMar w:top="1440" w:right="1440" w:bottom="1440" w:left="1440" w:header="720" w:footer="720" w:gutter="0"/>
          <w:pgNumType w:fmt="lowerRoman" w:start="1"/>
          <w:cols w:space="720"/>
          <w:titlePg/>
          <w:docGrid w:linePitch="360"/>
        </w:sectPr>
      </w:pPr>
    </w:p>
    <w:p w:rsidR="008A3C83" w:rsidRDefault="004C351B">
      <w:pPr>
        <w:pStyle w:val="TOC1"/>
        <w:rPr>
          <w:rFonts w:asciiTheme="minorHAnsi" w:eastAsiaTheme="minorEastAsia" w:hAnsiTheme="minorHAnsi" w:cstheme="minorBidi"/>
          <w:noProof/>
          <w:sz w:val="22"/>
        </w:rPr>
      </w:pPr>
      <w:r>
        <w:rPr>
          <w:b/>
          <w:bCs/>
          <w:szCs w:val="26"/>
        </w:rPr>
        <w:lastRenderedPageBreak/>
        <w:fldChar w:fldCharType="begin"/>
      </w:r>
      <w:r w:rsidR="009C60BC">
        <w:rPr>
          <w:b/>
          <w:bCs/>
          <w:szCs w:val="26"/>
        </w:rPr>
        <w:instrText xml:space="preserve"> TOC \o "1-4" \u </w:instrText>
      </w:r>
      <w:r>
        <w:rPr>
          <w:b/>
          <w:bCs/>
          <w:szCs w:val="26"/>
        </w:rPr>
        <w:fldChar w:fldCharType="separate"/>
      </w:r>
      <w:r w:rsidR="008A3C83">
        <w:rPr>
          <w:noProof/>
        </w:rPr>
        <w:t>INTRODUCTION AND SUMMARY</w:t>
      </w:r>
      <w:r w:rsidR="008A3C83">
        <w:rPr>
          <w:noProof/>
        </w:rPr>
        <w:tab/>
      </w:r>
      <w:r>
        <w:rPr>
          <w:noProof/>
        </w:rPr>
        <w:fldChar w:fldCharType="begin"/>
      </w:r>
      <w:r w:rsidR="008A3C83">
        <w:rPr>
          <w:noProof/>
        </w:rPr>
        <w:instrText xml:space="preserve"> PAGEREF _Toc269900419 \h </w:instrText>
      </w:r>
      <w:r>
        <w:rPr>
          <w:noProof/>
        </w:rPr>
      </w:r>
      <w:r>
        <w:rPr>
          <w:noProof/>
        </w:rPr>
        <w:fldChar w:fldCharType="separate"/>
      </w:r>
      <w:r w:rsidR="00B376F2">
        <w:rPr>
          <w:noProof/>
        </w:rPr>
        <w:t>1</w:t>
      </w:r>
      <w:r>
        <w:rPr>
          <w:noProof/>
        </w:rPr>
        <w:fldChar w:fldCharType="end"/>
      </w:r>
    </w:p>
    <w:p w:rsidR="008A3C83" w:rsidRDefault="008A3C83">
      <w:pPr>
        <w:pStyle w:val="TOC1"/>
        <w:rPr>
          <w:rFonts w:asciiTheme="minorHAnsi" w:eastAsiaTheme="minorEastAsia" w:hAnsiTheme="minorHAnsi" w:cstheme="minorBidi"/>
          <w:noProof/>
          <w:sz w:val="22"/>
        </w:rPr>
      </w:pPr>
      <w:r>
        <w:rPr>
          <w:noProof/>
        </w:rPr>
        <w:t>DISCUSSION</w:t>
      </w:r>
      <w:r>
        <w:rPr>
          <w:noProof/>
        </w:rPr>
        <w:tab/>
      </w:r>
      <w:r w:rsidR="004C351B">
        <w:rPr>
          <w:noProof/>
        </w:rPr>
        <w:fldChar w:fldCharType="begin"/>
      </w:r>
      <w:r>
        <w:rPr>
          <w:noProof/>
        </w:rPr>
        <w:instrText xml:space="preserve"> PAGEREF _Toc269900420 \h </w:instrText>
      </w:r>
      <w:r w:rsidR="004C351B">
        <w:rPr>
          <w:noProof/>
        </w:rPr>
      </w:r>
      <w:r w:rsidR="004C351B">
        <w:rPr>
          <w:noProof/>
        </w:rPr>
        <w:fldChar w:fldCharType="separate"/>
      </w:r>
      <w:r w:rsidR="00B376F2">
        <w:rPr>
          <w:noProof/>
        </w:rPr>
        <w:t>2</w:t>
      </w:r>
      <w:r w:rsidR="004C351B">
        <w:rPr>
          <w:noProof/>
        </w:rPr>
        <w:fldChar w:fldCharType="end"/>
      </w:r>
    </w:p>
    <w:p w:rsidR="008A3C83" w:rsidRDefault="008A3C83">
      <w:pPr>
        <w:pStyle w:val="TOC2"/>
        <w:tabs>
          <w:tab w:val="left" w:pos="1440"/>
        </w:tabs>
        <w:rPr>
          <w:rFonts w:asciiTheme="minorHAnsi" w:eastAsiaTheme="minorEastAsia" w:hAnsiTheme="minorHAnsi" w:cstheme="minorBidi"/>
          <w:noProof/>
          <w:sz w:val="22"/>
        </w:rPr>
      </w:pPr>
      <w:r>
        <w:rPr>
          <w:noProof/>
        </w:rPr>
        <w:t>I.</w:t>
      </w:r>
      <w:r>
        <w:rPr>
          <w:rFonts w:asciiTheme="minorHAnsi" w:eastAsiaTheme="minorEastAsia" w:hAnsiTheme="minorHAnsi" w:cstheme="minorBidi"/>
          <w:noProof/>
          <w:sz w:val="22"/>
        </w:rPr>
        <w:tab/>
      </w:r>
      <w:r>
        <w:rPr>
          <w:noProof/>
        </w:rPr>
        <w:t>Dispute Resolution Processes</w:t>
      </w:r>
      <w:r>
        <w:rPr>
          <w:noProof/>
        </w:rPr>
        <w:tab/>
      </w:r>
      <w:r w:rsidR="004C351B">
        <w:rPr>
          <w:noProof/>
        </w:rPr>
        <w:fldChar w:fldCharType="begin"/>
      </w:r>
      <w:r>
        <w:rPr>
          <w:noProof/>
        </w:rPr>
        <w:instrText xml:space="preserve"> PAGEREF _Toc269900421 \h </w:instrText>
      </w:r>
      <w:r w:rsidR="004C351B">
        <w:rPr>
          <w:noProof/>
        </w:rPr>
      </w:r>
      <w:r w:rsidR="004C351B">
        <w:rPr>
          <w:noProof/>
        </w:rPr>
        <w:fldChar w:fldCharType="separate"/>
      </w:r>
      <w:r w:rsidR="00B376F2">
        <w:rPr>
          <w:noProof/>
        </w:rPr>
        <w:t>2</w:t>
      </w:r>
      <w:r w:rsidR="004C351B">
        <w:rPr>
          <w:noProof/>
        </w:rPr>
        <w:fldChar w:fldCharType="end"/>
      </w:r>
    </w:p>
    <w:p w:rsidR="008A3C83" w:rsidRDefault="008A3C83">
      <w:pPr>
        <w:pStyle w:val="TOC2"/>
        <w:tabs>
          <w:tab w:val="left" w:pos="1440"/>
        </w:tabs>
        <w:rPr>
          <w:rFonts w:asciiTheme="minorHAnsi" w:eastAsiaTheme="minorEastAsia" w:hAnsiTheme="minorHAnsi" w:cstheme="minorBidi"/>
          <w:noProof/>
          <w:sz w:val="22"/>
        </w:rPr>
      </w:pPr>
      <w:r>
        <w:rPr>
          <w:noProof/>
        </w:rPr>
        <w:t>II.</w:t>
      </w:r>
      <w:r>
        <w:rPr>
          <w:rFonts w:asciiTheme="minorHAnsi" w:eastAsiaTheme="minorEastAsia" w:hAnsiTheme="minorHAnsi" w:cstheme="minorBidi"/>
          <w:noProof/>
          <w:sz w:val="22"/>
        </w:rPr>
        <w:tab/>
      </w:r>
      <w:r>
        <w:rPr>
          <w:noProof/>
        </w:rPr>
        <w:t>Uniform Pole Attachment Rate</w:t>
      </w:r>
      <w:r>
        <w:rPr>
          <w:noProof/>
        </w:rPr>
        <w:tab/>
      </w:r>
      <w:r w:rsidR="004C351B">
        <w:rPr>
          <w:noProof/>
        </w:rPr>
        <w:fldChar w:fldCharType="begin"/>
      </w:r>
      <w:r>
        <w:rPr>
          <w:noProof/>
        </w:rPr>
        <w:instrText xml:space="preserve"> PAGEREF _Toc269900422 \h </w:instrText>
      </w:r>
      <w:r w:rsidR="004C351B">
        <w:rPr>
          <w:noProof/>
        </w:rPr>
      </w:r>
      <w:r w:rsidR="004C351B">
        <w:rPr>
          <w:noProof/>
        </w:rPr>
        <w:fldChar w:fldCharType="separate"/>
      </w:r>
      <w:r w:rsidR="00B376F2">
        <w:rPr>
          <w:noProof/>
        </w:rPr>
        <w:t>4</w:t>
      </w:r>
      <w:r w:rsidR="004C351B">
        <w:rPr>
          <w:noProof/>
        </w:rPr>
        <w:fldChar w:fldCharType="end"/>
      </w:r>
    </w:p>
    <w:p w:rsidR="008A3C83" w:rsidRDefault="008A3C83">
      <w:pPr>
        <w:pStyle w:val="TOC2"/>
        <w:tabs>
          <w:tab w:val="left" w:pos="1440"/>
        </w:tabs>
        <w:rPr>
          <w:rFonts w:asciiTheme="minorHAnsi" w:eastAsiaTheme="minorEastAsia" w:hAnsiTheme="minorHAnsi" w:cstheme="minorBidi"/>
          <w:noProof/>
          <w:sz w:val="22"/>
        </w:rPr>
      </w:pPr>
      <w:r>
        <w:rPr>
          <w:noProof/>
        </w:rPr>
        <w:t>III.</w:t>
      </w:r>
      <w:r>
        <w:rPr>
          <w:rFonts w:asciiTheme="minorHAnsi" w:eastAsiaTheme="minorEastAsia" w:hAnsiTheme="minorHAnsi" w:cstheme="minorBidi"/>
          <w:noProof/>
          <w:sz w:val="22"/>
        </w:rPr>
        <w:tab/>
      </w:r>
      <w:r>
        <w:rPr>
          <w:noProof/>
        </w:rPr>
        <w:t>Modification to the Telecommunications Service Rate Formula</w:t>
      </w:r>
      <w:r>
        <w:rPr>
          <w:noProof/>
        </w:rPr>
        <w:tab/>
      </w:r>
      <w:r w:rsidR="004C351B">
        <w:rPr>
          <w:noProof/>
        </w:rPr>
        <w:fldChar w:fldCharType="begin"/>
      </w:r>
      <w:r>
        <w:rPr>
          <w:noProof/>
        </w:rPr>
        <w:instrText xml:space="preserve"> PAGEREF _Toc269900423 \h </w:instrText>
      </w:r>
      <w:r w:rsidR="004C351B">
        <w:rPr>
          <w:noProof/>
        </w:rPr>
      </w:r>
      <w:r w:rsidR="004C351B">
        <w:rPr>
          <w:noProof/>
        </w:rPr>
        <w:fldChar w:fldCharType="separate"/>
      </w:r>
      <w:r w:rsidR="00B376F2">
        <w:rPr>
          <w:noProof/>
        </w:rPr>
        <w:t>9</w:t>
      </w:r>
      <w:r w:rsidR="004C351B">
        <w:rPr>
          <w:noProof/>
        </w:rPr>
        <w:fldChar w:fldCharType="end"/>
      </w:r>
    </w:p>
    <w:p w:rsidR="008A3C83" w:rsidRDefault="008A3C83">
      <w:pPr>
        <w:pStyle w:val="TOC2"/>
        <w:tabs>
          <w:tab w:val="left" w:pos="1440"/>
        </w:tabs>
        <w:rPr>
          <w:rFonts w:asciiTheme="minorHAnsi" w:eastAsiaTheme="minorEastAsia" w:hAnsiTheme="minorHAnsi" w:cstheme="minorBidi"/>
          <w:noProof/>
          <w:sz w:val="22"/>
        </w:rPr>
      </w:pPr>
      <w:r>
        <w:rPr>
          <w:noProof/>
        </w:rPr>
        <w:t>IV.</w:t>
      </w:r>
      <w:r>
        <w:rPr>
          <w:rFonts w:asciiTheme="minorHAnsi" w:eastAsiaTheme="minorEastAsia" w:hAnsiTheme="minorHAnsi" w:cstheme="minorBidi"/>
          <w:noProof/>
          <w:sz w:val="22"/>
        </w:rPr>
        <w:tab/>
      </w:r>
      <w:r>
        <w:rPr>
          <w:noProof/>
        </w:rPr>
        <w:t>Timelines for Completing Pole Attachments</w:t>
      </w:r>
      <w:r>
        <w:rPr>
          <w:noProof/>
        </w:rPr>
        <w:tab/>
      </w:r>
      <w:r w:rsidR="004C351B">
        <w:rPr>
          <w:noProof/>
        </w:rPr>
        <w:fldChar w:fldCharType="begin"/>
      </w:r>
      <w:r>
        <w:rPr>
          <w:noProof/>
        </w:rPr>
        <w:instrText xml:space="preserve"> PAGEREF _Toc269900424 \h </w:instrText>
      </w:r>
      <w:r w:rsidR="004C351B">
        <w:rPr>
          <w:noProof/>
        </w:rPr>
      </w:r>
      <w:r w:rsidR="004C351B">
        <w:rPr>
          <w:noProof/>
        </w:rPr>
        <w:fldChar w:fldCharType="separate"/>
      </w:r>
      <w:r w:rsidR="00B376F2">
        <w:rPr>
          <w:noProof/>
        </w:rPr>
        <w:t>13</w:t>
      </w:r>
      <w:r w:rsidR="004C351B">
        <w:rPr>
          <w:noProof/>
        </w:rPr>
        <w:fldChar w:fldCharType="end"/>
      </w:r>
    </w:p>
    <w:p w:rsidR="008A3C83" w:rsidRDefault="008A3C83">
      <w:pPr>
        <w:pStyle w:val="TOC1"/>
        <w:rPr>
          <w:rFonts w:asciiTheme="minorHAnsi" w:eastAsiaTheme="minorEastAsia" w:hAnsiTheme="minorHAnsi" w:cstheme="minorBidi"/>
          <w:noProof/>
          <w:sz w:val="22"/>
        </w:rPr>
      </w:pPr>
      <w:r>
        <w:rPr>
          <w:noProof/>
        </w:rPr>
        <w:t>CONCLUSION</w:t>
      </w:r>
      <w:r>
        <w:rPr>
          <w:noProof/>
        </w:rPr>
        <w:tab/>
      </w:r>
      <w:r w:rsidR="004C351B">
        <w:rPr>
          <w:noProof/>
        </w:rPr>
        <w:fldChar w:fldCharType="begin"/>
      </w:r>
      <w:r>
        <w:rPr>
          <w:noProof/>
        </w:rPr>
        <w:instrText xml:space="preserve"> PAGEREF _Toc269900425 \h </w:instrText>
      </w:r>
      <w:r w:rsidR="004C351B">
        <w:rPr>
          <w:noProof/>
        </w:rPr>
      </w:r>
      <w:r w:rsidR="004C351B">
        <w:rPr>
          <w:noProof/>
        </w:rPr>
        <w:fldChar w:fldCharType="separate"/>
      </w:r>
      <w:r w:rsidR="00B376F2">
        <w:rPr>
          <w:noProof/>
        </w:rPr>
        <w:t>15</w:t>
      </w:r>
      <w:r w:rsidR="004C351B">
        <w:rPr>
          <w:noProof/>
        </w:rPr>
        <w:fldChar w:fldCharType="end"/>
      </w:r>
    </w:p>
    <w:p w:rsidR="0038774A" w:rsidRPr="00570D1F" w:rsidRDefault="004C351B" w:rsidP="007361DF">
      <w:pPr>
        <w:spacing w:line="240" w:lineRule="auto"/>
        <w:jc w:val="center"/>
        <w:rPr>
          <w:rFonts w:ascii="Times New Roman" w:hAnsi="Times New Roman"/>
          <w:b/>
          <w:bCs/>
          <w:sz w:val="26"/>
          <w:szCs w:val="26"/>
        </w:rPr>
      </w:pPr>
      <w:r>
        <w:rPr>
          <w:rFonts w:ascii="Times New Roman" w:hAnsi="Times New Roman"/>
          <w:b/>
          <w:bCs/>
          <w:sz w:val="26"/>
          <w:szCs w:val="26"/>
        </w:rPr>
        <w:fldChar w:fldCharType="end"/>
      </w:r>
    </w:p>
    <w:p w:rsidR="008902F6" w:rsidRPr="00570D1F" w:rsidRDefault="008902F6" w:rsidP="008902F6">
      <w:pPr>
        <w:spacing w:line="240" w:lineRule="auto"/>
        <w:jc w:val="center"/>
        <w:rPr>
          <w:rFonts w:ascii="Times New Roman" w:hAnsi="Times New Roman"/>
          <w:b/>
          <w:bCs/>
          <w:sz w:val="26"/>
          <w:szCs w:val="26"/>
        </w:rPr>
        <w:sectPr w:rsidR="008902F6" w:rsidRPr="00570D1F" w:rsidSect="008902F6">
          <w:headerReference w:type="default" r:id="rId9"/>
          <w:footerReference w:type="default" r:id="rId10"/>
          <w:pgSz w:w="12240" w:h="15840"/>
          <w:pgMar w:top="1440" w:right="1440" w:bottom="1440" w:left="1440" w:header="720" w:footer="720" w:gutter="0"/>
          <w:pgNumType w:fmt="lowerRoman" w:start="1"/>
          <w:cols w:space="720"/>
          <w:docGrid w:linePitch="360"/>
        </w:sectPr>
      </w:pPr>
    </w:p>
    <w:p w:rsidR="00570D1F" w:rsidRPr="00570D1F" w:rsidRDefault="00570D1F" w:rsidP="00570D1F">
      <w:pPr>
        <w:spacing w:line="240" w:lineRule="auto"/>
        <w:jc w:val="center"/>
        <w:rPr>
          <w:rFonts w:ascii="Times New Roman" w:hAnsi="Times New Roman"/>
          <w:b/>
          <w:bCs/>
          <w:sz w:val="26"/>
          <w:szCs w:val="26"/>
        </w:rPr>
      </w:pPr>
      <w:r w:rsidRPr="00570D1F">
        <w:rPr>
          <w:rFonts w:ascii="Times New Roman" w:hAnsi="Times New Roman"/>
          <w:b/>
          <w:bCs/>
          <w:sz w:val="26"/>
          <w:szCs w:val="26"/>
        </w:rPr>
        <w:lastRenderedPageBreak/>
        <w:t xml:space="preserve">Before the </w:t>
      </w:r>
    </w:p>
    <w:p w:rsidR="00570D1F" w:rsidRPr="00570D1F" w:rsidRDefault="00570D1F" w:rsidP="00570D1F">
      <w:pPr>
        <w:spacing w:line="240" w:lineRule="auto"/>
        <w:jc w:val="center"/>
        <w:rPr>
          <w:rFonts w:ascii="Times New Roman" w:hAnsi="Times New Roman"/>
          <w:b/>
          <w:bCs/>
          <w:sz w:val="26"/>
          <w:szCs w:val="26"/>
        </w:rPr>
      </w:pPr>
      <w:r w:rsidRPr="00570D1F">
        <w:rPr>
          <w:rFonts w:ascii="Times New Roman" w:hAnsi="Times New Roman"/>
          <w:b/>
          <w:bCs/>
          <w:sz w:val="26"/>
          <w:szCs w:val="26"/>
        </w:rPr>
        <w:t>Federal Communications Commission</w:t>
      </w:r>
    </w:p>
    <w:p w:rsidR="00570D1F" w:rsidRDefault="00570D1F" w:rsidP="00570D1F">
      <w:pPr>
        <w:spacing w:line="240" w:lineRule="auto"/>
        <w:jc w:val="center"/>
        <w:rPr>
          <w:rFonts w:ascii="Times New Roman" w:hAnsi="Times New Roman"/>
          <w:b/>
          <w:bCs/>
          <w:sz w:val="26"/>
          <w:szCs w:val="26"/>
        </w:rPr>
      </w:pPr>
      <w:r w:rsidRPr="00570D1F">
        <w:rPr>
          <w:rFonts w:ascii="Times New Roman" w:hAnsi="Times New Roman"/>
          <w:b/>
          <w:bCs/>
          <w:sz w:val="26"/>
          <w:szCs w:val="26"/>
        </w:rPr>
        <w:t>Washington, D.C. 20554</w:t>
      </w:r>
    </w:p>
    <w:p w:rsidR="00570D1F" w:rsidRPr="00570D1F" w:rsidRDefault="00570D1F" w:rsidP="00570D1F">
      <w:pPr>
        <w:spacing w:line="240" w:lineRule="auto"/>
        <w:jc w:val="center"/>
        <w:rPr>
          <w:rFonts w:ascii="Times New Roman" w:hAnsi="Times New Roman"/>
          <w:bCs/>
          <w:sz w:val="26"/>
          <w:szCs w:val="26"/>
        </w:rPr>
      </w:pPr>
    </w:p>
    <w:tbl>
      <w:tblPr>
        <w:tblW w:w="0" w:type="auto"/>
        <w:tblLook w:val="04A0"/>
      </w:tblPr>
      <w:tblGrid>
        <w:gridCol w:w="4788"/>
        <w:gridCol w:w="360"/>
        <w:gridCol w:w="4428"/>
      </w:tblGrid>
      <w:tr w:rsidR="001D0793" w:rsidRPr="009C60BC" w:rsidTr="009C60BC">
        <w:tc>
          <w:tcPr>
            <w:tcW w:w="4788" w:type="dxa"/>
          </w:tcPr>
          <w:p w:rsidR="00570D1F" w:rsidRPr="009C60BC" w:rsidRDefault="00570D1F" w:rsidP="009C60BC">
            <w:pPr>
              <w:spacing w:line="240" w:lineRule="auto"/>
              <w:rPr>
                <w:rFonts w:ascii="Times New Roman" w:hAnsi="Times New Roman"/>
                <w:bCs/>
                <w:sz w:val="26"/>
                <w:szCs w:val="26"/>
              </w:rPr>
            </w:pPr>
            <w:r w:rsidRPr="009C60BC">
              <w:rPr>
                <w:rFonts w:ascii="Times New Roman" w:hAnsi="Times New Roman"/>
                <w:bCs/>
                <w:sz w:val="26"/>
                <w:szCs w:val="26"/>
              </w:rPr>
              <w:t xml:space="preserve">In the Matter of </w:t>
            </w:r>
          </w:p>
          <w:p w:rsidR="00570D1F" w:rsidRPr="009C60BC" w:rsidRDefault="00570D1F" w:rsidP="009C60BC">
            <w:pPr>
              <w:spacing w:line="240" w:lineRule="auto"/>
              <w:rPr>
                <w:rFonts w:ascii="Times New Roman" w:hAnsi="Times New Roman"/>
                <w:bCs/>
                <w:sz w:val="26"/>
                <w:szCs w:val="26"/>
              </w:rPr>
            </w:pPr>
            <w:r w:rsidRPr="009C60BC">
              <w:rPr>
                <w:rFonts w:ascii="Times New Roman" w:hAnsi="Times New Roman"/>
                <w:bCs/>
                <w:sz w:val="26"/>
                <w:szCs w:val="26"/>
              </w:rPr>
              <w:t>Implementation of Section 224 of the Act</w:t>
            </w:r>
          </w:p>
          <w:p w:rsidR="00570D1F" w:rsidRPr="009C60BC" w:rsidRDefault="00570D1F" w:rsidP="009C60BC">
            <w:pPr>
              <w:spacing w:line="240" w:lineRule="auto"/>
              <w:rPr>
                <w:rFonts w:ascii="Times New Roman" w:hAnsi="Times New Roman"/>
                <w:bCs/>
                <w:sz w:val="26"/>
                <w:szCs w:val="26"/>
              </w:rPr>
            </w:pPr>
            <w:r w:rsidRPr="009C60BC">
              <w:rPr>
                <w:rFonts w:ascii="Times New Roman" w:hAnsi="Times New Roman"/>
                <w:bCs/>
                <w:sz w:val="26"/>
                <w:szCs w:val="26"/>
              </w:rPr>
              <w:t>A National Broadband Plan for Our Future</w:t>
            </w:r>
          </w:p>
        </w:tc>
        <w:tc>
          <w:tcPr>
            <w:tcW w:w="360" w:type="dxa"/>
          </w:tcPr>
          <w:p w:rsidR="00570D1F" w:rsidRPr="009C60BC" w:rsidRDefault="00570D1F" w:rsidP="009C60BC">
            <w:pPr>
              <w:spacing w:line="240" w:lineRule="auto"/>
              <w:jc w:val="center"/>
              <w:rPr>
                <w:rFonts w:ascii="Times New Roman" w:hAnsi="Times New Roman"/>
                <w:bCs/>
                <w:sz w:val="26"/>
                <w:szCs w:val="26"/>
              </w:rPr>
            </w:pPr>
            <w:r w:rsidRPr="009C60BC">
              <w:rPr>
                <w:rFonts w:ascii="Times New Roman" w:hAnsi="Times New Roman"/>
                <w:bCs/>
                <w:sz w:val="26"/>
                <w:szCs w:val="26"/>
              </w:rPr>
              <w:t>:</w:t>
            </w:r>
          </w:p>
          <w:p w:rsidR="00570D1F" w:rsidRPr="009C60BC" w:rsidRDefault="00570D1F" w:rsidP="009C60BC">
            <w:pPr>
              <w:spacing w:line="240" w:lineRule="auto"/>
              <w:jc w:val="center"/>
              <w:rPr>
                <w:rFonts w:ascii="Times New Roman" w:hAnsi="Times New Roman"/>
                <w:bCs/>
                <w:sz w:val="26"/>
                <w:szCs w:val="26"/>
              </w:rPr>
            </w:pPr>
            <w:r w:rsidRPr="009C60BC">
              <w:rPr>
                <w:rFonts w:ascii="Times New Roman" w:hAnsi="Times New Roman"/>
                <w:bCs/>
                <w:sz w:val="26"/>
                <w:szCs w:val="26"/>
              </w:rPr>
              <w:t>:</w:t>
            </w:r>
          </w:p>
          <w:p w:rsidR="00570D1F" w:rsidRPr="009C60BC" w:rsidRDefault="00570D1F" w:rsidP="009C60BC">
            <w:pPr>
              <w:spacing w:line="240" w:lineRule="auto"/>
              <w:jc w:val="center"/>
              <w:rPr>
                <w:rFonts w:ascii="Times New Roman" w:hAnsi="Times New Roman"/>
                <w:bCs/>
                <w:sz w:val="26"/>
                <w:szCs w:val="26"/>
              </w:rPr>
            </w:pPr>
            <w:r w:rsidRPr="009C60BC">
              <w:rPr>
                <w:rFonts w:ascii="Times New Roman" w:hAnsi="Times New Roman"/>
                <w:bCs/>
                <w:sz w:val="26"/>
                <w:szCs w:val="26"/>
              </w:rPr>
              <w:t>:</w:t>
            </w:r>
          </w:p>
        </w:tc>
        <w:tc>
          <w:tcPr>
            <w:tcW w:w="4428" w:type="dxa"/>
          </w:tcPr>
          <w:p w:rsidR="00570D1F" w:rsidRPr="009C60BC" w:rsidRDefault="00570D1F" w:rsidP="009C60BC">
            <w:pPr>
              <w:spacing w:line="240" w:lineRule="auto"/>
              <w:jc w:val="center"/>
              <w:rPr>
                <w:rFonts w:ascii="Times New Roman" w:hAnsi="Times New Roman"/>
                <w:bCs/>
                <w:sz w:val="26"/>
                <w:szCs w:val="26"/>
              </w:rPr>
            </w:pPr>
          </w:p>
          <w:p w:rsidR="00570D1F" w:rsidRPr="009C60BC" w:rsidRDefault="00570D1F" w:rsidP="009C60BC">
            <w:pPr>
              <w:spacing w:line="240" w:lineRule="auto"/>
              <w:rPr>
                <w:rFonts w:ascii="Times New Roman" w:hAnsi="Times New Roman"/>
                <w:bCs/>
                <w:sz w:val="26"/>
                <w:szCs w:val="26"/>
              </w:rPr>
            </w:pPr>
            <w:r w:rsidRPr="009C60BC">
              <w:rPr>
                <w:rFonts w:ascii="Times New Roman" w:hAnsi="Times New Roman"/>
                <w:bCs/>
                <w:sz w:val="26"/>
                <w:szCs w:val="26"/>
              </w:rPr>
              <w:t>WC Docket No. 07-245</w:t>
            </w:r>
          </w:p>
          <w:p w:rsidR="00570D1F" w:rsidRPr="009C60BC" w:rsidRDefault="00570D1F" w:rsidP="009C60BC">
            <w:pPr>
              <w:spacing w:line="240" w:lineRule="auto"/>
              <w:rPr>
                <w:rFonts w:ascii="Times New Roman" w:hAnsi="Times New Roman"/>
                <w:bCs/>
                <w:sz w:val="26"/>
                <w:szCs w:val="26"/>
              </w:rPr>
            </w:pPr>
            <w:r w:rsidRPr="009C60BC">
              <w:rPr>
                <w:rFonts w:ascii="Times New Roman" w:hAnsi="Times New Roman"/>
                <w:bCs/>
                <w:sz w:val="26"/>
                <w:szCs w:val="26"/>
              </w:rPr>
              <w:t>GN Docket No. 09-51</w:t>
            </w:r>
          </w:p>
        </w:tc>
      </w:tr>
    </w:tbl>
    <w:p w:rsidR="00570D1F" w:rsidRPr="00570D1F" w:rsidRDefault="00570D1F" w:rsidP="00570D1F">
      <w:pPr>
        <w:spacing w:line="240" w:lineRule="auto"/>
        <w:jc w:val="center"/>
        <w:rPr>
          <w:rFonts w:ascii="Times New Roman" w:hAnsi="Times New Roman"/>
          <w:b/>
          <w:bCs/>
          <w:sz w:val="26"/>
          <w:szCs w:val="26"/>
        </w:rPr>
      </w:pPr>
    </w:p>
    <w:p w:rsidR="00570D1F" w:rsidRPr="00570D1F" w:rsidRDefault="00570D1F" w:rsidP="00570D1F">
      <w:pPr>
        <w:tabs>
          <w:tab w:val="left" w:pos="9360"/>
        </w:tabs>
        <w:spacing w:line="240" w:lineRule="auto"/>
        <w:rPr>
          <w:rFonts w:ascii="Times New Roman" w:hAnsi="Times New Roman"/>
          <w:sz w:val="26"/>
          <w:szCs w:val="26"/>
          <w:u w:val="single"/>
        </w:rPr>
      </w:pPr>
      <w:r>
        <w:rPr>
          <w:rFonts w:ascii="Times New Roman" w:hAnsi="Times New Roman"/>
          <w:sz w:val="26"/>
          <w:szCs w:val="26"/>
          <w:u w:val="single"/>
        </w:rPr>
        <w:tab/>
      </w:r>
    </w:p>
    <w:p w:rsidR="00570D1F" w:rsidRDefault="00570D1F" w:rsidP="00570D1F">
      <w:pPr>
        <w:spacing w:after="0" w:line="240" w:lineRule="auto"/>
        <w:jc w:val="center"/>
        <w:rPr>
          <w:rFonts w:ascii="Times New Roman" w:hAnsi="Times New Roman"/>
          <w:b/>
          <w:sz w:val="26"/>
          <w:szCs w:val="26"/>
        </w:rPr>
      </w:pPr>
      <w:r w:rsidRPr="00570D1F">
        <w:rPr>
          <w:rFonts w:ascii="Times New Roman" w:hAnsi="Times New Roman"/>
          <w:b/>
          <w:sz w:val="28"/>
          <w:szCs w:val="28"/>
        </w:rPr>
        <w:t>COMMENTS</w:t>
      </w:r>
      <w:r>
        <w:rPr>
          <w:rFonts w:ascii="Times New Roman" w:hAnsi="Times New Roman"/>
          <w:b/>
          <w:sz w:val="26"/>
          <w:szCs w:val="26"/>
        </w:rPr>
        <w:br/>
        <w:t>SUBMITTED ON BEHALF O</w:t>
      </w:r>
      <w:r w:rsidRPr="00570D1F">
        <w:rPr>
          <w:rFonts w:ascii="Times New Roman" w:hAnsi="Times New Roman"/>
          <w:b/>
          <w:sz w:val="26"/>
          <w:szCs w:val="26"/>
        </w:rPr>
        <w:t>F</w:t>
      </w:r>
      <w:r>
        <w:rPr>
          <w:rFonts w:ascii="Times New Roman" w:hAnsi="Times New Roman"/>
          <w:b/>
          <w:sz w:val="26"/>
          <w:szCs w:val="26"/>
        </w:rPr>
        <w:br/>
      </w:r>
      <w:r w:rsidRPr="00570D1F">
        <w:rPr>
          <w:rFonts w:ascii="Times New Roman" w:hAnsi="Times New Roman"/>
          <w:b/>
          <w:sz w:val="26"/>
          <w:szCs w:val="26"/>
        </w:rPr>
        <w:t>THE PUBLIC UTILITIES COMMISSION OF OHIO</w:t>
      </w:r>
    </w:p>
    <w:p w:rsidR="00570D1F" w:rsidRPr="00570D1F" w:rsidRDefault="00570D1F" w:rsidP="00570D1F">
      <w:pPr>
        <w:tabs>
          <w:tab w:val="left" w:pos="9360"/>
        </w:tabs>
        <w:spacing w:line="240" w:lineRule="auto"/>
        <w:rPr>
          <w:rFonts w:ascii="Times New Roman" w:hAnsi="Times New Roman"/>
          <w:sz w:val="26"/>
          <w:szCs w:val="26"/>
          <w:u w:val="single"/>
        </w:rPr>
      </w:pPr>
      <w:r>
        <w:rPr>
          <w:rFonts w:ascii="Times New Roman" w:hAnsi="Times New Roman"/>
          <w:sz w:val="26"/>
          <w:szCs w:val="26"/>
          <w:u w:val="single"/>
        </w:rPr>
        <w:tab/>
      </w:r>
    </w:p>
    <w:p w:rsidR="007361DF" w:rsidRPr="00570D1F" w:rsidRDefault="007361DF" w:rsidP="00570D1F">
      <w:pPr>
        <w:pStyle w:val="Heading1"/>
      </w:pPr>
      <w:bookmarkStart w:id="0" w:name="_Toc269900419"/>
      <w:r w:rsidRPr="00570D1F">
        <w:t>INTRODUCTION AND SUMMARY</w:t>
      </w:r>
      <w:bookmarkEnd w:id="0"/>
    </w:p>
    <w:p w:rsidR="00C350CA" w:rsidRPr="00570D1F" w:rsidRDefault="00570D1F" w:rsidP="000A0E1A">
      <w:pPr>
        <w:pStyle w:val="Textstyle"/>
      </w:pPr>
      <w:r>
        <w:tab/>
      </w:r>
      <w:r w:rsidR="007361DF" w:rsidRPr="00570D1F">
        <w:t>On May 20, 2010, the Federal Communications Commission (</w:t>
      </w:r>
      <w:r w:rsidR="009E7166" w:rsidRPr="00570D1F">
        <w:t>“</w:t>
      </w:r>
      <w:r w:rsidR="007361DF" w:rsidRPr="00570D1F">
        <w:t>FCC</w:t>
      </w:r>
      <w:r w:rsidR="009E7166" w:rsidRPr="00570D1F">
        <w:t>”</w:t>
      </w:r>
      <w:r w:rsidR="007361DF" w:rsidRPr="00570D1F">
        <w:t>) issued a</w:t>
      </w:r>
      <w:r w:rsidR="00834AA5" w:rsidRPr="00570D1F">
        <w:t>n Order and</w:t>
      </w:r>
      <w:r w:rsidR="007361DF" w:rsidRPr="00570D1F">
        <w:t xml:space="preserve"> </w:t>
      </w:r>
      <w:r w:rsidR="00B73756" w:rsidRPr="00570D1F">
        <w:t xml:space="preserve">Further </w:t>
      </w:r>
      <w:r w:rsidR="007361DF" w:rsidRPr="00570D1F">
        <w:t>Notice of Proposed Rulemaking (</w:t>
      </w:r>
      <w:r w:rsidR="009E7166" w:rsidRPr="00570D1F">
        <w:t>“</w:t>
      </w:r>
      <w:r w:rsidR="00703EEB" w:rsidRPr="00570D1F">
        <w:t>F</w:t>
      </w:r>
      <w:r w:rsidR="007361DF" w:rsidRPr="00570D1F">
        <w:t>NPR</w:t>
      </w:r>
      <w:r w:rsidR="00703EEB" w:rsidRPr="00570D1F">
        <w:t>M</w:t>
      </w:r>
      <w:r w:rsidR="009E7166" w:rsidRPr="00570D1F">
        <w:t>”</w:t>
      </w:r>
      <w:r w:rsidR="007361DF" w:rsidRPr="00570D1F">
        <w:t>) in the above captioned proceeding</w:t>
      </w:r>
      <w:r w:rsidR="00E32496" w:rsidRPr="00570D1F">
        <w:t>s</w:t>
      </w:r>
      <w:r w:rsidR="007361DF" w:rsidRPr="00570D1F">
        <w:t xml:space="preserve">.  </w:t>
      </w:r>
      <w:r w:rsidR="00A53246" w:rsidRPr="00570D1F">
        <w:t>The FNPRM</w:t>
      </w:r>
      <w:r w:rsidR="001962A5" w:rsidRPr="00570D1F">
        <w:t xml:space="preserve"> </w:t>
      </w:r>
      <w:r w:rsidR="00E32496" w:rsidRPr="00570D1F">
        <w:t>considers revisions to</w:t>
      </w:r>
      <w:r w:rsidR="001962A5" w:rsidRPr="00570D1F">
        <w:t xml:space="preserve"> </w:t>
      </w:r>
      <w:r w:rsidR="00C969E7" w:rsidRPr="00570D1F">
        <w:t xml:space="preserve">its </w:t>
      </w:r>
      <w:r w:rsidR="001962A5" w:rsidRPr="00570D1F">
        <w:t>pole attachment rules in order to lower the costs of telecommunications, cable, and broadband deployment and to promote competition, as recommended in the National Broadband Plan (</w:t>
      </w:r>
      <w:r w:rsidR="009E7166" w:rsidRPr="00570D1F">
        <w:t>“</w:t>
      </w:r>
      <w:r w:rsidR="001962A5" w:rsidRPr="00570D1F">
        <w:t>NBP</w:t>
      </w:r>
      <w:r w:rsidR="009E7166" w:rsidRPr="00570D1F">
        <w:t>”</w:t>
      </w:r>
      <w:r w:rsidR="001962A5" w:rsidRPr="00570D1F">
        <w:t>).</w:t>
      </w:r>
      <w:r w:rsidR="00834AA5" w:rsidRPr="00570D1F">
        <w:t xml:space="preserve">  </w:t>
      </w:r>
      <w:r w:rsidR="006442E4" w:rsidRPr="00570D1F">
        <w:t>In particular</w:t>
      </w:r>
      <w:r w:rsidR="00834AA5" w:rsidRPr="00570D1F">
        <w:t xml:space="preserve">, the FCC proposes timelines to obtain pole attachments in order to </w:t>
      </w:r>
      <w:r w:rsidR="0017733C" w:rsidRPr="00570D1F">
        <w:t xml:space="preserve">reduce </w:t>
      </w:r>
      <w:r w:rsidR="00834AA5" w:rsidRPr="00570D1F">
        <w:t xml:space="preserve">the time </w:t>
      </w:r>
      <w:r w:rsidR="00C969E7" w:rsidRPr="00570D1F">
        <w:t>required</w:t>
      </w:r>
      <w:r w:rsidR="00834AA5" w:rsidRPr="00570D1F">
        <w:t xml:space="preserve"> to prepare a pole for </w:t>
      </w:r>
      <w:r w:rsidR="00CF0D47" w:rsidRPr="00570D1F">
        <w:t>access and</w:t>
      </w:r>
      <w:r w:rsidR="00834AA5" w:rsidRPr="00570D1F">
        <w:t xml:space="preserve"> seeks comment on ways to improve communi</w:t>
      </w:r>
      <w:r w:rsidR="000A0E1A">
        <w:softHyphen/>
      </w:r>
      <w:r w:rsidR="00834AA5" w:rsidRPr="00570D1F">
        <w:t>cations between attachers and pole owners and improve dispute resolution</w:t>
      </w:r>
      <w:r w:rsidR="0017733C" w:rsidRPr="00570D1F">
        <w:t xml:space="preserve"> processes</w:t>
      </w:r>
      <w:r w:rsidR="00834AA5" w:rsidRPr="00570D1F">
        <w:t>.</w:t>
      </w:r>
      <w:r w:rsidR="00BA3396" w:rsidRPr="00570D1F">
        <w:t xml:space="preserve">  </w:t>
      </w:r>
      <w:r w:rsidR="006442E4" w:rsidRPr="00570D1F">
        <w:t>T</w:t>
      </w:r>
      <w:r w:rsidR="00BA3396" w:rsidRPr="00570D1F">
        <w:t xml:space="preserve">he FCC </w:t>
      </w:r>
      <w:r w:rsidR="006442E4" w:rsidRPr="00570D1F">
        <w:t xml:space="preserve">also </w:t>
      </w:r>
      <w:r w:rsidR="00BA3396" w:rsidRPr="00570D1F">
        <w:t>seeks comment on suggested ways to reduce the variation between the tel</w:t>
      </w:r>
      <w:r w:rsidR="000A0E1A">
        <w:softHyphen/>
      </w:r>
      <w:r w:rsidR="00BA3396" w:rsidRPr="00570D1F">
        <w:t>ecommunication and cable pole access rates</w:t>
      </w:r>
      <w:r w:rsidR="000A0E1A">
        <w:t>,</w:t>
      </w:r>
      <w:r w:rsidR="0017733C" w:rsidRPr="00570D1F">
        <w:t xml:space="preserve"> as well as its authority under section 224 of the Telecommunications Act (</w:t>
      </w:r>
      <w:r w:rsidR="009E7166" w:rsidRPr="00570D1F">
        <w:t>“</w:t>
      </w:r>
      <w:r w:rsidR="0017733C" w:rsidRPr="00570D1F">
        <w:t>Act</w:t>
      </w:r>
      <w:r w:rsidR="009E7166" w:rsidRPr="00570D1F">
        <w:t>”</w:t>
      </w:r>
      <w:r w:rsidR="0017733C" w:rsidRPr="00570D1F">
        <w:t xml:space="preserve">) to implement a blended pole attachment rate for </w:t>
      </w:r>
      <w:r w:rsidR="00DC65DF" w:rsidRPr="00570D1F">
        <w:lastRenderedPageBreak/>
        <w:t>commingled</w:t>
      </w:r>
      <w:r w:rsidR="0017733C" w:rsidRPr="00570D1F">
        <w:t xml:space="preserve"> services</w:t>
      </w:r>
      <w:r w:rsidR="00BA3396" w:rsidRPr="00570D1F">
        <w:t xml:space="preserve">.  The FCC believes the </w:t>
      </w:r>
      <w:r w:rsidR="00E32496" w:rsidRPr="00570D1F">
        <w:t>proposed revisions</w:t>
      </w:r>
      <w:r w:rsidR="00BA3396" w:rsidRPr="00570D1F">
        <w:t xml:space="preserve"> will lower costs and provide faster access </w:t>
      </w:r>
      <w:r w:rsidR="005404DA" w:rsidRPr="00570D1F">
        <w:t>to pole</w:t>
      </w:r>
      <w:r w:rsidR="00BA3396" w:rsidRPr="00570D1F">
        <w:t xml:space="preserve"> attachments</w:t>
      </w:r>
      <w:r w:rsidR="00E32496" w:rsidRPr="00570D1F">
        <w:t xml:space="preserve">, </w:t>
      </w:r>
      <w:r w:rsidR="005404DA" w:rsidRPr="00570D1F">
        <w:t>which will</w:t>
      </w:r>
      <w:r w:rsidR="00E32496" w:rsidRPr="00570D1F">
        <w:t>, in turn,</w:t>
      </w:r>
      <w:r w:rsidR="00F167F9" w:rsidRPr="00570D1F">
        <w:t xml:space="preserve"> </w:t>
      </w:r>
      <w:r w:rsidR="00BA3396" w:rsidRPr="00570D1F">
        <w:t xml:space="preserve">benefit customers </w:t>
      </w:r>
      <w:r w:rsidR="00BE0C18" w:rsidRPr="00570D1F">
        <w:t>in terms of</w:t>
      </w:r>
      <w:r w:rsidR="00E32496" w:rsidRPr="00570D1F">
        <w:t xml:space="preserve"> </w:t>
      </w:r>
      <w:r w:rsidR="00F167F9" w:rsidRPr="00570D1F">
        <w:t>broadband availability under the NBP.</w:t>
      </w:r>
      <w:r w:rsidR="004E404E" w:rsidRPr="00570D1F">
        <w:t xml:space="preserve">  The Public Utilities Commission of Ohio (</w:t>
      </w:r>
      <w:r w:rsidR="009E7166" w:rsidRPr="00570D1F">
        <w:t>“</w:t>
      </w:r>
      <w:r w:rsidR="004E404E" w:rsidRPr="00570D1F">
        <w:t>Ohio Commission</w:t>
      </w:r>
      <w:r w:rsidR="009E7166" w:rsidRPr="00570D1F">
        <w:t>"</w:t>
      </w:r>
      <w:r w:rsidR="004E404E" w:rsidRPr="00570D1F">
        <w:t>) hereby submits its comments and recommendations.</w:t>
      </w:r>
    </w:p>
    <w:p w:rsidR="00EA1793" w:rsidRPr="00570D1F" w:rsidRDefault="00EA1793" w:rsidP="00570D1F">
      <w:pPr>
        <w:pStyle w:val="Heading1"/>
      </w:pPr>
      <w:bookmarkStart w:id="1" w:name="_Toc269900420"/>
      <w:r w:rsidRPr="00570D1F">
        <w:t>DISCUSSION</w:t>
      </w:r>
      <w:bookmarkEnd w:id="1"/>
    </w:p>
    <w:p w:rsidR="002D2FBA" w:rsidRPr="00570D1F" w:rsidRDefault="00570D1F" w:rsidP="00570D1F">
      <w:pPr>
        <w:pStyle w:val="Heading2"/>
      </w:pPr>
      <w:bookmarkStart w:id="2" w:name="_Toc269900421"/>
      <w:r>
        <w:t>I.</w:t>
      </w:r>
      <w:r>
        <w:tab/>
      </w:r>
      <w:r w:rsidR="002D2FBA" w:rsidRPr="00570D1F">
        <w:t>Dispute Resolution</w:t>
      </w:r>
      <w:r w:rsidR="00EA1793" w:rsidRPr="00570D1F">
        <w:t xml:space="preserve"> Processes</w:t>
      </w:r>
      <w:bookmarkEnd w:id="2"/>
    </w:p>
    <w:p w:rsidR="002D2FBA" w:rsidRPr="00570D1F" w:rsidRDefault="00570D1F" w:rsidP="000A0E1A">
      <w:pPr>
        <w:pStyle w:val="Textstyle"/>
      </w:pPr>
      <w:r>
        <w:tab/>
      </w:r>
      <w:r w:rsidR="00703EEB" w:rsidRPr="00570D1F">
        <w:t>In the FNPRM</w:t>
      </w:r>
      <w:r w:rsidR="005404DA" w:rsidRPr="00570D1F">
        <w:t>,</w:t>
      </w:r>
      <w:r w:rsidR="00703EEB" w:rsidRPr="00570D1F">
        <w:t xml:space="preserve"> the FCC </w:t>
      </w:r>
      <w:r w:rsidR="00BE0C18" w:rsidRPr="00570D1F">
        <w:t xml:space="preserve">requests </w:t>
      </w:r>
      <w:r w:rsidR="002D2FBA" w:rsidRPr="00570D1F">
        <w:t xml:space="preserve">comment </w:t>
      </w:r>
      <w:r w:rsidR="000A0E1A">
        <w:t>on</w:t>
      </w:r>
      <w:r w:rsidR="00BE0C18" w:rsidRPr="00570D1F">
        <w:t xml:space="preserve"> the</w:t>
      </w:r>
      <w:r w:rsidR="002D2FBA" w:rsidRPr="00570D1F">
        <w:t xml:space="preserve"> </w:t>
      </w:r>
      <w:r w:rsidR="00BE0C18" w:rsidRPr="00570D1F">
        <w:t xml:space="preserve">adoption of </w:t>
      </w:r>
      <w:r w:rsidR="002D2FBA" w:rsidRPr="00570D1F">
        <w:t xml:space="preserve">additional rules or procedures to address formal complaints </w:t>
      </w:r>
      <w:r w:rsidR="00C206F8" w:rsidRPr="00570D1F">
        <w:t xml:space="preserve">and dispute resolution processes </w:t>
      </w:r>
      <w:r w:rsidR="00E32496" w:rsidRPr="00570D1F">
        <w:t xml:space="preserve">pertaining to </w:t>
      </w:r>
      <w:r w:rsidR="00C206F8" w:rsidRPr="00570D1F">
        <w:t>pole attachments</w:t>
      </w:r>
      <w:r w:rsidR="00BE0C18" w:rsidRPr="00570D1F">
        <w:t>.</w:t>
      </w:r>
      <w:r w:rsidR="00CF0D47" w:rsidRPr="00570D1F">
        <w:rPr>
          <w:rStyle w:val="FootnoteReference"/>
        </w:rPr>
        <w:footnoteReference w:id="1"/>
      </w:r>
      <w:r w:rsidR="002D2FBA" w:rsidRPr="00570D1F">
        <w:t xml:space="preserve"> </w:t>
      </w:r>
      <w:r w:rsidR="002F5772" w:rsidRPr="00570D1F">
        <w:t xml:space="preserve"> </w:t>
      </w:r>
      <w:r w:rsidR="002D2FBA" w:rsidRPr="00570D1F">
        <w:t>Th</w:t>
      </w:r>
      <w:r w:rsidR="006442E4" w:rsidRPr="00570D1F">
        <w:t>rough its experience, the</w:t>
      </w:r>
      <w:r w:rsidR="002D2FBA" w:rsidRPr="00570D1F">
        <w:t xml:space="preserve"> </w:t>
      </w:r>
      <w:r w:rsidR="002F5772" w:rsidRPr="00570D1F">
        <w:t xml:space="preserve">Ohio Commission </w:t>
      </w:r>
      <w:r w:rsidR="006442E4" w:rsidRPr="00570D1F">
        <w:t xml:space="preserve">has </w:t>
      </w:r>
      <w:r w:rsidR="00D97A8D" w:rsidRPr="00570D1F">
        <w:t xml:space="preserve">found </w:t>
      </w:r>
      <w:r w:rsidR="00C969E7" w:rsidRPr="00570D1F">
        <w:t xml:space="preserve">that </w:t>
      </w:r>
      <w:r w:rsidR="00D97A8D" w:rsidRPr="00570D1F">
        <w:t>it is</w:t>
      </w:r>
      <w:r w:rsidR="00C969E7" w:rsidRPr="00570D1F">
        <w:t xml:space="preserve"> </w:t>
      </w:r>
      <w:r w:rsidR="001D5B63" w:rsidRPr="00570D1F">
        <w:t xml:space="preserve">often </w:t>
      </w:r>
      <w:r w:rsidR="00C969E7" w:rsidRPr="00570D1F">
        <w:t>in the best position to handle complaints between carriers</w:t>
      </w:r>
      <w:r w:rsidR="0020074B" w:rsidRPr="00570D1F">
        <w:t xml:space="preserve">, including complaints regarding pole </w:t>
      </w:r>
      <w:r w:rsidR="006442E4" w:rsidRPr="00570D1F">
        <w:t xml:space="preserve">attachments. </w:t>
      </w:r>
      <w:r w:rsidR="00422B3D" w:rsidRPr="00570D1F">
        <w:t xml:space="preserve"> </w:t>
      </w:r>
      <w:r w:rsidR="006442E4" w:rsidRPr="00570D1F">
        <w:t>Pursuant</w:t>
      </w:r>
      <w:r w:rsidR="009E7166" w:rsidRPr="00570D1F">
        <w:t xml:space="preserve"> to the authority granted to the states in section 224 of the Act</w:t>
      </w:r>
      <w:r w:rsidR="006442E4" w:rsidRPr="00570D1F">
        <w:t>, the Ohio Commission</w:t>
      </w:r>
      <w:r w:rsidR="009E7166" w:rsidRPr="00570D1F">
        <w:t xml:space="preserve"> </w:t>
      </w:r>
      <w:r w:rsidR="00C969E7" w:rsidRPr="00570D1F">
        <w:t>has</w:t>
      </w:r>
      <w:r w:rsidR="00D97A8D" w:rsidRPr="00570D1F">
        <w:t xml:space="preserve"> promulgated an administrative rule</w:t>
      </w:r>
      <w:r w:rsidR="00C969E7" w:rsidRPr="00570D1F">
        <w:t xml:space="preserve"> implement</w:t>
      </w:r>
      <w:r w:rsidR="00D97A8D" w:rsidRPr="00570D1F">
        <w:t>ing</w:t>
      </w:r>
      <w:r w:rsidR="00C969E7" w:rsidRPr="00570D1F">
        <w:t xml:space="preserve"> an expedited carrier-to-carrier complaint process</w:t>
      </w:r>
      <w:r w:rsidR="001D5B63" w:rsidRPr="00570D1F">
        <w:t xml:space="preserve"> for this </w:t>
      </w:r>
      <w:r w:rsidR="00D97A8D" w:rsidRPr="00570D1F">
        <w:t>purpose</w:t>
      </w:r>
      <w:r w:rsidR="001D5B63" w:rsidRPr="00570D1F">
        <w:t>.</w:t>
      </w:r>
      <w:r w:rsidR="009E7166" w:rsidRPr="00570D1F">
        <w:rPr>
          <w:rStyle w:val="FootnoteReference"/>
        </w:rPr>
        <w:footnoteReference w:id="2"/>
      </w:r>
      <w:r w:rsidR="001D5B63" w:rsidRPr="00570D1F">
        <w:t xml:space="preserve">  Under </w:t>
      </w:r>
      <w:r w:rsidR="00E32496" w:rsidRPr="00570D1F">
        <w:t xml:space="preserve">Ohio’s </w:t>
      </w:r>
      <w:r w:rsidR="00D97A8D" w:rsidRPr="00570D1F">
        <w:t>rule</w:t>
      </w:r>
      <w:r w:rsidR="001D5B63" w:rsidRPr="00570D1F">
        <w:t>, a requesting carrier may</w:t>
      </w:r>
      <w:r w:rsidR="00C969E7" w:rsidRPr="00570D1F">
        <w:t xml:space="preserve"> petition the Ohio Commission for an expedited ruling when dis</w:t>
      </w:r>
      <w:r w:rsidR="000A0E1A">
        <w:softHyphen/>
      </w:r>
      <w:r w:rsidR="00C969E7" w:rsidRPr="00570D1F">
        <w:t xml:space="preserve">putes arise that directly affect </w:t>
      </w:r>
      <w:r w:rsidR="00E32496" w:rsidRPr="00570D1F">
        <w:t xml:space="preserve">the carrier’s </w:t>
      </w:r>
      <w:r w:rsidR="00C969E7" w:rsidRPr="00570D1F">
        <w:t>ability to offer uninterrupted service or other</w:t>
      </w:r>
      <w:r w:rsidR="000A0E1A">
        <w:softHyphen/>
      </w:r>
      <w:r w:rsidR="00C969E7" w:rsidRPr="00570D1F">
        <w:t xml:space="preserve">wise prevent </w:t>
      </w:r>
      <w:r w:rsidR="00E32496" w:rsidRPr="00570D1F">
        <w:t>t</w:t>
      </w:r>
      <w:r w:rsidR="00C969E7" w:rsidRPr="00570D1F">
        <w:t>he carrier from provisioning any service</w:t>
      </w:r>
      <w:r w:rsidR="001D5B63" w:rsidRPr="00570D1F">
        <w:t>.</w:t>
      </w:r>
      <w:r w:rsidR="00C969E7" w:rsidRPr="00570D1F">
        <w:rPr>
          <w:rStyle w:val="FootnoteReference"/>
        </w:rPr>
        <w:footnoteReference w:id="3"/>
      </w:r>
      <w:r w:rsidR="00C969E7" w:rsidRPr="00570D1F">
        <w:t xml:space="preserve">  </w:t>
      </w:r>
      <w:r w:rsidR="00DB0B5A" w:rsidRPr="00570D1F">
        <w:t xml:space="preserve">A hearing is then held no later </w:t>
      </w:r>
      <w:r w:rsidR="00DB0B5A" w:rsidRPr="00570D1F">
        <w:lastRenderedPageBreak/>
        <w:t>than 30 days from the filing of the complaint, and the attorney examiner is required to draft a written decision for consideration by the Ohio Commission no later than 30 days following the close of a hearing or the filing of briefs, if requested.</w:t>
      </w:r>
      <w:r w:rsidR="005757E1" w:rsidRPr="00570D1F">
        <w:t xml:space="preserve">  The Ohio Commis</w:t>
      </w:r>
      <w:r w:rsidR="000A0E1A">
        <w:softHyphen/>
      </w:r>
      <w:r w:rsidR="005757E1" w:rsidRPr="00570D1F">
        <w:t xml:space="preserve">sion has found its dispute resolution process to be effective in handling and resolving </w:t>
      </w:r>
      <w:r w:rsidR="00E32496" w:rsidRPr="00570D1F">
        <w:t>pole attachment</w:t>
      </w:r>
      <w:r w:rsidR="005757E1" w:rsidRPr="00570D1F">
        <w:t xml:space="preserve"> disputes and believes that </w:t>
      </w:r>
      <w:r w:rsidR="006442E4" w:rsidRPr="00570D1F">
        <w:t xml:space="preserve">the FCC would meet with </w:t>
      </w:r>
      <w:r w:rsidR="00706C39" w:rsidRPr="00570D1F">
        <w:t>comparable</w:t>
      </w:r>
      <w:r w:rsidR="006442E4" w:rsidRPr="00570D1F">
        <w:t xml:space="preserve"> success if it</w:t>
      </w:r>
      <w:r w:rsidR="005757E1" w:rsidRPr="00570D1F">
        <w:t xml:space="preserve"> implemented </w:t>
      </w:r>
      <w:r w:rsidR="004C3724" w:rsidRPr="00570D1F">
        <w:t xml:space="preserve">a </w:t>
      </w:r>
      <w:r w:rsidR="00E32496" w:rsidRPr="00570D1F">
        <w:t>similar</w:t>
      </w:r>
      <w:r w:rsidR="005404DA" w:rsidRPr="00570D1F">
        <w:t xml:space="preserve"> </w:t>
      </w:r>
      <w:r w:rsidR="005757E1" w:rsidRPr="00570D1F">
        <w:t xml:space="preserve">process.  </w:t>
      </w:r>
      <w:r w:rsidR="004C3724" w:rsidRPr="00570D1F">
        <w:t xml:space="preserve">Accordingly, the Ohio Commission believes that the FCC should consider revising its </w:t>
      </w:r>
      <w:r w:rsidR="007335DF" w:rsidRPr="00570D1F">
        <w:t>dispute resolution process for pole attachment com</w:t>
      </w:r>
      <w:r w:rsidR="000A0E1A">
        <w:softHyphen/>
      </w:r>
      <w:r w:rsidR="007335DF" w:rsidRPr="00570D1F">
        <w:t>plaints accordingly for use as a default dispute resolution process.</w:t>
      </w:r>
    </w:p>
    <w:p w:rsidR="002D2FBA" w:rsidRPr="00570D1F" w:rsidRDefault="00570D1F" w:rsidP="000A0E1A">
      <w:pPr>
        <w:pStyle w:val="Textstyle"/>
      </w:pPr>
      <w:r>
        <w:tab/>
      </w:r>
      <w:r w:rsidR="00B20A35" w:rsidRPr="00570D1F">
        <w:t>T</w:t>
      </w:r>
      <w:r w:rsidR="002D2FBA" w:rsidRPr="00570D1F">
        <w:t xml:space="preserve">he </w:t>
      </w:r>
      <w:r w:rsidR="00FC7E5B" w:rsidRPr="00570D1F">
        <w:t xml:space="preserve">FCC </w:t>
      </w:r>
      <w:r w:rsidR="00652939" w:rsidRPr="00570D1F">
        <w:t>seeks</w:t>
      </w:r>
      <w:r w:rsidR="002D2FBA" w:rsidRPr="00570D1F">
        <w:t xml:space="preserve"> comment on the </w:t>
      </w:r>
      <w:r w:rsidR="00B20A35" w:rsidRPr="00570D1F">
        <w:t>use</w:t>
      </w:r>
      <w:r w:rsidR="002D2FBA" w:rsidRPr="00570D1F">
        <w:t xml:space="preserve"> of dispute resolution forums for</w:t>
      </w:r>
      <w:r w:rsidR="00B20A35" w:rsidRPr="00570D1F">
        <w:t xml:space="preserve"> issues and complaint</w:t>
      </w:r>
      <w:r w:rsidR="00251F7E" w:rsidRPr="00570D1F">
        <w:t>s</w:t>
      </w:r>
      <w:r w:rsidR="00B20A35" w:rsidRPr="00570D1F">
        <w:t xml:space="preserve"> relating to</w:t>
      </w:r>
      <w:r w:rsidR="002D2FBA" w:rsidRPr="00570D1F">
        <w:t xml:space="preserve"> pole attachments, </w:t>
      </w:r>
      <w:r w:rsidR="00BE0C18" w:rsidRPr="00570D1F">
        <w:t>the role of the FCC and/or its staff</w:t>
      </w:r>
      <w:r w:rsidR="00703EEB" w:rsidRPr="00570D1F">
        <w:t xml:space="preserve"> in that process</w:t>
      </w:r>
      <w:r w:rsidR="002D2FBA" w:rsidRPr="00570D1F">
        <w:t>, and whether the forums should engage in mediation of such disputes.</w:t>
      </w:r>
      <w:r w:rsidR="00CF0D47" w:rsidRPr="00570D1F">
        <w:rPr>
          <w:rStyle w:val="FootnoteReference"/>
        </w:rPr>
        <w:footnoteReference w:id="4"/>
      </w:r>
      <w:r w:rsidR="002D2FBA" w:rsidRPr="00570D1F">
        <w:t xml:space="preserve"> </w:t>
      </w:r>
      <w:r w:rsidR="00703EEB" w:rsidRPr="00570D1F">
        <w:t xml:space="preserve"> </w:t>
      </w:r>
      <w:r w:rsidR="002D2FBA" w:rsidRPr="00570D1F">
        <w:t xml:space="preserve">The </w:t>
      </w:r>
      <w:r w:rsidR="00FC7E5B" w:rsidRPr="00570D1F">
        <w:t xml:space="preserve">Ohio Commission </w:t>
      </w:r>
      <w:r w:rsidR="002D2FBA" w:rsidRPr="00570D1F">
        <w:t xml:space="preserve">supports the </w:t>
      </w:r>
      <w:r w:rsidR="00703EEB" w:rsidRPr="00570D1F">
        <w:t>idea</w:t>
      </w:r>
      <w:r w:rsidR="002D2FBA" w:rsidRPr="00570D1F">
        <w:t xml:space="preserve"> of alternative dispute resolution forums </w:t>
      </w:r>
      <w:r w:rsidR="00703EEB" w:rsidRPr="00570D1F">
        <w:t xml:space="preserve">for </w:t>
      </w:r>
      <w:r w:rsidR="00D97A8D" w:rsidRPr="00570D1F">
        <w:t xml:space="preserve">resolving </w:t>
      </w:r>
      <w:r w:rsidR="002D2FBA" w:rsidRPr="00570D1F">
        <w:t>pole attachments</w:t>
      </w:r>
      <w:r w:rsidR="00703EEB" w:rsidRPr="00570D1F">
        <w:t xml:space="preserve"> </w:t>
      </w:r>
      <w:r w:rsidR="00D97A8D" w:rsidRPr="00570D1F">
        <w:t>disputes</w:t>
      </w:r>
      <w:r w:rsidR="00D427F5" w:rsidRPr="00570D1F">
        <w:t xml:space="preserve"> </w:t>
      </w:r>
      <w:r w:rsidR="00A53246" w:rsidRPr="00570D1F">
        <w:t>and has</w:t>
      </w:r>
      <w:r w:rsidR="00B20A35" w:rsidRPr="00570D1F">
        <w:t xml:space="preserve"> found </w:t>
      </w:r>
      <w:r w:rsidR="00A7352F" w:rsidRPr="00570D1F">
        <w:t xml:space="preserve">that </w:t>
      </w:r>
      <w:r w:rsidR="002D2FBA" w:rsidRPr="00570D1F">
        <w:t xml:space="preserve">using alternative dispute resolution forums </w:t>
      </w:r>
      <w:r w:rsidR="00251F7E" w:rsidRPr="00570D1F">
        <w:t>is</w:t>
      </w:r>
      <w:r w:rsidR="00D427F5" w:rsidRPr="00570D1F">
        <w:t xml:space="preserve"> </w:t>
      </w:r>
      <w:r w:rsidR="00703EEB" w:rsidRPr="00570D1F">
        <w:t xml:space="preserve">a </w:t>
      </w:r>
      <w:r w:rsidR="002D2FBA" w:rsidRPr="00570D1F">
        <w:t>useful, efficient</w:t>
      </w:r>
      <w:r w:rsidR="00703EEB" w:rsidRPr="00570D1F">
        <w:t>,</w:t>
      </w:r>
      <w:r w:rsidR="002D2FBA" w:rsidRPr="00570D1F">
        <w:t xml:space="preserve"> and successful </w:t>
      </w:r>
      <w:r w:rsidR="00D427F5" w:rsidRPr="00570D1F">
        <w:t xml:space="preserve">means </w:t>
      </w:r>
      <w:r w:rsidR="00703EEB" w:rsidRPr="00570D1F">
        <w:t xml:space="preserve">of resolving </w:t>
      </w:r>
      <w:r w:rsidR="00D427F5" w:rsidRPr="00570D1F">
        <w:t xml:space="preserve">pole attachment </w:t>
      </w:r>
      <w:r w:rsidR="00703EEB" w:rsidRPr="00570D1F">
        <w:t>issues in a timely manner</w:t>
      </w:r>
      <w:r w:rsidR="007A78D7" w:rsidRPr="00570D1F">
        <w:t xml:space="preserve">.  </w:t>
      </w:r>
      <w:r w:rsidR="00D97A8D" w:rsidRPr="00570D1F">
        <w:t>T</w:t>
      </w:r>
      <w:r w:rsidR="00A7352F" w:rsidRPr="00570D1F">
        <w:t xml:space="preserve">he Ohio Commission </w:t>
      </w:r>
      <w:r w:rsidR="006C5114" w:rsidRPr="00570D1F">
        <w:t>s</w:t>
      </w:r>
      <w:r w:rsidR="00A7352F" w:rsidRPr="00570D1F">
        <w:t>taff</w:t>
      </w:r>
      <w:r w:rsidR="002D2FBA" w:rsidRPr="00570D1F">
        <w:t xml:space="preserve"> </w:t>
      </w:r>
      <w:r w:rsidR="00D97A8D" w:rsidRPr="00570D1F">
        <w:t xml:space="preserve">has played, and continues to play, </w:t>
      </w:r>
      <w:r w:rsidR="00A7352F" w:rsidRPr="00570D1F">
        <w:t>a significant</w:t>
      </w:r>
      <w:r w:rsidR="002D2FBA" w:rsidRPr="00570D1F">
        <w:t xml:space="preserve"> role in</w:t>
      </w:r>
      <w:r w:rsidR="006C5114" w:rsidRPr="00570D1F">
        <w:t xml:space="preserve"> </w:t>
      </w:r>
      <w:r w:rsidR="002D2FBA" w:rsidRPr="00570D1F">
        <w:t xml:space="preserve">mediating and </w:t>
      </w:r>
      <w:r w:rsidR="00A7352F" w:rsidRPr="00570D1F">
        <w:t xml:space="preserve">settling </w:t>
      </w:r>
      <w:r w:rsidR="00D97A8D" w:rsidRPr="00570D1F">
        <w:t xml:space="preserve">these </w:t>
      </w:r>
      <w:r w:rsidR="00A7352F" w:rsidRPr="00570D1F">
        <w:t>disputes</w:t>
      </w:r>
      <w:r w:rsidR="005404DA" w:rsidRPr="00570D1F">
        <w:t>.</w:t>
      </w:r>
      <w:r w:rsidR="006C5114" w:rsidRPr="00570D1F">
        <w:t xml:space="preserve">  </w:t>
      </w:r>
      <w:r w:rsidR="003D7A0E" w:rsidRPr="00570D1F">
        <w:t>T</w:t>
      </w:r>
      <w:r w:rsidR="006C5114" w:rsidRPr="00570D1F">
        <w:t>he Ohio Commission believes that the FCC</w:t>
      </w:r>
      <w:r w:rsidR="003D7A0E" w:rsidRPr="00570D1F">
        <w:t xml:space="preserve"> should consider dispute resolution forums for pole attachment complaints for those states that have not established their own dispute resolution process and believes that, like the Ohio Commission staff, the FCC staff could play an important role in mediating settle</w:t>
      </w:r>
      <w:r w:rsidR="000A0E1A">
        <w:softHyphen/>
      </w:r>
      <w:r w:rsidR="003D7A0E" w:rsidRPr="00570D1F">
        <w:t>ments of disputes.</w:t>
      </w:r>
      <w:r w:rsidR="00ED74CF" w:rsidRPr="00570D1F">
        <w:t xml:space="preserve">  </w:t>
      </w:r>
    </w:p>
    <w:p w:rsidR="00B814A4" w:rsidRDefault="00B814A4" w:rsidP="00B814A4">
      <w:pPr>
        <w:pStyle w:val="Heading2"/>
      </w:pPr>
      <w:bookmarkStart w:id="3" w:name="_Toc269900422"/>
      <w:r>
        <w:lastRenderedPageBreak/>
        <w:t>II.</w:t>
      </w:r>
      <w:r>
        <w:tab/>
        <w:t>Uniform Pole Attachment Rate</w:t>
      </w:r>
      <w:bookmarkEnd w:id="3"/>
    </w:p>
    <w:p w:rsidR="0061356C" w:rsidRPr="00570D1F" w:rsidRDefault="00FD1928" w:rsidP="000A0E1A">
      <w:pPr>
        <w:pStyle w:val="Textstyle"/>
      </w:pPr>
      <w:r w:rsidRPr="00570D1F">
        <w:rPr>
          <w:b/>
        </w:rPr>
        <w:t xml:space="preserve"> </w:t>
      </w:r>
      <w:r w:rsidR="00E967A2" w:rsidRPr="00570D1F">
        <w:rPr>
          <w:b/>
        </w:rPr>
        <w:tab/>
      </w:r>
      <w:r w:rsidR="0061356C" w:rsidRPr="00570D1F">
        <w:t>As noted in the FNPRM, AT&amp;T/Verizon and USTelecom have proposed rate for</w:t>
      </w:r>
      <w:r w:rsidR="000A0E1A">
        <w:softHyphen/>
      </w:r>
      <w:r w:rsidR="0061356C" w:rsidRPr="00570D1F">
        <w:t>mulas that are different from the formulas set forth in section 224 of the Act.</w:t>
      </w:r>
      <w:r w:rsidR="0061356C" w:rsidRPr="00570D1F">
        <w:rPr>
          <w:rStyle w:val="FootnoteReference"/>
        </w:rPr>
        <w:footnoteReference w:id="5"/>
      </w:r>
      <w:r w:rsidR="0061356C" w:rsidRPr="00570D1F">
        <w:t xml:space="preserve">  In doing so, </w:t>
      </w:r>
      <w:r w:rsidR="00E32496" w:rsidRPr="00570D1F">
        <w:t xml:space="preserve">it is </w:t>
      </w:r>
      <w:r w:rsidR="0061356C" w:rsidRPr="00570D1F">
        <w:t>argue</w:t>
      </w:r>
      <w:r w:rsidR="00E32496" w:rsidRPr="00570D1F">
        <w:t>d</w:t>
      </w:r>
      <w:r w:rsidR="0061356C" w:rsidRPr="00570D1F">
        <w:t xml:space="preserve"> that the FCC “</w:t>
      </w:r>
      <w:r w:rsidR="002B772D" w:rsidRPr="00570D1F">
        <w:t>‘</w:t>
      </w:r>
      <w:r w:rsidR="0061356C" w:rsidRPr="00570D1F">
        <w:t>is not limited to the particular rate formulas…in [s]ection 224(d) and (e)….’”</w:t>
      </w:r>
      <w:r w:rsidR="0061356C" w:rsidRPr="00570D1F">
        <w:rPr>
          <w:rStyle w:val="FootnoteReference"/>
        </w:rPr>
        <w:footnoteReference w:id="6"/>
      </w:r>
      <w:r w:rsidR="0061356C" w:rsidRPr="00570D1F">
        <w:t xml:space="preserve">  In particular, USTelecom argues that the FCC may develop its own view of what constitutes a just and reasonable pole attachment rate.</w:t>
      </w:r>
      <w:r w:rsidR="0061356C" w:rsidRPr="00570D1F">
        <w:rPr>
          <w:rStyle w:val="FootnoteReference"/>
        </w:rPr>
        <w:footnoteReference w:id="7"/>
      </w:r>
      <w:r w:rsidR="0061356C" w:rsidRPr="00570D1F">
        <w:t xml:space="preserve">  The FCC seeks com</w:t>
      </w:r>
      <w:r w:rsidR="000A0E1A">
        <w:softHyphen/>
      </w:r>
      <w:r w:rsidR="0061356C" w:rsidRPr="00570D1F">
        <w:t xml:space="preserve">ment on its authority under </w:t>
      </w:r>
      <w:r w:rsidR="0064549E" w:rsidRPr="00570D1F">
        <w:t>s</w:t>
      </w:r>
      <w:r w:rsidR="0061356C" w:rsidRPr="00570D1F">
        <w:t xml:space="preserve">ection 224 of the Act, particularly in the context </w:t>
      </w:r>
      <w:r w:rsidR="00A24972" w:rsidRPr="00570D1F">
        <w:t xml:space="preserve">of </w:t>
      </w:r>
      <w:r w:rsidR="0061356C" w:rsidRPr="00570D1F">
        <w:t xml:space="preserve">the </w:t>
      </w:r>
      <w:r w:rsidR="0061356C" w:rsidRPr="00570D1F">
        <w:rPr>
          <w:i/>
        </w:rPr>
        <w:t xml:space="preserve">Gulf Power </w:t>
      </w:r>
      <w:r w:rsidR="0061356C" w:rsidRPr="00570D1F">
        <w:t>case,</w:t>
      </w:r>
      <w:r w:rsidR="0061356C" w:rsidRPr="00570D1F">
        <w:rPr>
          <w:rStyle w:val="FootnoteReference"/>
          <w:i/>
        </w:rPr>
        <w:footnoteReference w:id="8"/>
      </w:r>
      <w:r w:rsidR="0061356C" w:rsidRPr="00570D1F">
        <w:t xml:space="preserve"> to establish a uniform rate for all pole attachments used to provide broad</w:t>
      </w:r>
      <w:r w:rsidR="000A0E1A">
        <w:softHyphen/>
      </w:r>
      <w:r w:rsidR="0061356C" w:rsidRPr="00570D1F">
        <w:t>band internet access service, including those by telecommunications service pro</w:t>
      </w:r>
      <w:r w:rsidR="000A0E1A">
        <w:softHyphen/>
      </w:r>
      <w:r w:rsidR="0061356C" w:rsidRPr="00570D1F">
        <w:t>viders.</w:t>
      </w:r>
      <w:r w:rsidR="0061356C" w:rsidRPr="00570D1F">
        <w:rPr>
          <w:rStyle w:val="FootnoteReference"/>
        </w:rPr>
        <w:footnoteReference w:id="9"/>
      </w:r>
      <w:r w:rsidR="0061356C" w:rsidRPr="00570D1F">
        <w:t xml:space="preserve">  The Ohio Commission believes that under </w:t>
      </w:r>
      <w:r w:rsidR="0061356C" w:rsidRPr="00570D1F">
        <w:rPr>
          <w:i/>
        </w:rPr>
        <w:t>Gulf Power</w:t>
      </w:r>
      <w:r w:rsidR="0061356C" w:rsidRPr="00570D1F">
        <w:t xml:space="preserve">, the FCC has </w:t>
      </w:r>
      <w:r w:rsidR="00251F7E" w:rsidRPr="00570D1F">
        <w:t xml:space="preserve">the </w:t>
      </w:r>
      <w:r w:rsidR="0061356C" w:rsidRPr="00570D1F">
        <w:t>flex</w:t>
      </w:r>
      <w:r w:rsidR="000A0E1A">
        <w:softHyphen/>
      </w:r>
      <w:r w:rsidR="0061356C" w:rsidRPr="00570D1F">
        <w:t>ibility pursuant to section 224 to determine “just and reasonable” pole attachment rates and establish a uniform rate; however, this flexibility is not unlimited and is bound by the plain language of section 224 (d) and (e).</w:t>
      </w:r>
    </w:p>
    <w:p w:rsidR="0061356C" w:rsidRPr="00570D1F" w:rsidRDefault="0061356C" w:rsidP="000A0E1A">
      <w:pPr>
        <w:pStyle w:val="Textstyle"/>
      </w:pPr>
      <w:r w:rsidRPr="00570D1F">
        <w:tab/>
        <w:t xml:space="preserve">Among other matters, at issue in </w:t>
      </w:r>
      <w:r w:rsidRPr="00570D1F">
        <w:rPr>
          <w:i/>
        </w:rPr>
        <w:t>Gulf Power</w:t>
      </w:r>
      <w:r w:rsidRPr="00570D1F">
        <w:t xml:space="preserve"> was the question of whether or not the Act, specifically Section 224, applies to </w:t>
      </w:r>
      <w:r w:rsidR="00F05F95" w:rsidRPr="00570D1F">
        <w:t>attaching facilities</w:t>
      </w:r>
      <w:r w:rsidR="00D97A8D" w:rsidRPr="00570D1F">
        <w:t xml:space="preserve"> </w:t>
      </w:r>
      <w:r w:rsidRPr="00570D1F">
        <w:t xml:space="preserve">that provide high-speed internet </w:t>
      </w:r>
      <w:r w:rsidR="00D97A8D" w:rsidRPr="00570D1F">
        <w:t>access to pole</w:t>
      </w:r>
      <w:r w:rsidR="00F05F95" w:rsidRPr="00570D1F">
        <w:t>s</w:t>
      </w:r>
      <w:r w:rsidR="00D97A8D" w:rsidRPr="00570D1F">
        <w:t xml:space="preserve"> </w:t>
      </w:r>
      <w:r w:rsidRPr="00570D1F">
        <w:t>at the same time as cable television.</w:t>
      </w:r>
      <w:r w:rsidRPr="00570D1F">
        <w:rPr>
          <w:rStyle w:val="FootnoteReference"/>
        </w:rPr>
        <w:footnoteReference w:id="10"/>
      </w:r>
      <w:r w:rsidRPr="00570D1F">
        <w:t xml:space="preserve">  While the Court found that </w:t>
      </w:r>
      <w:r w:rsidRPr="00570D1F">
        <w:lastRenderedPageBreak/>
        <w:t>adding a service to an attachment does not change the character of the entity attaching the service – noting the use of the word “by” rather than “of” – the Court also chose to address an interpretation of Section 223 not raised by the respondents before the Court of Appeals.</w:t>
      </w:r>
      <w:r w:rsidRPr="00570D1F">
        <w:rPr>
          <w:rStyle w:val="FootnoteReference"/>
        </w:rPr>
        <w:footnoteReference w:id="11"/>
      </w:r>
      <w:r w:rsidRPr="00570D1F">
        <w:t xml:space="preserve">  </w:t>
      </w:r>
      <w:r w:rsidR="00F2764E" w:rsidRPr="00570D1F">
        <w:t>In doing so</w:t>
      </w:r>
      <w:r w:rsidRPr="00570D1F">
        <w:t xml:space="preserve">, the </w:t>
      </w:r>
      <w:r w:rsidR="005404DA" w:rsidRPr="00570D1F">
        <w:t>Court addressed</w:t>
      </w:r>
      <w:r w:rsidRPr="00570D1F">
        <w:t xml:space="preserve"> the question of what the attachment actually is intended to do and whether </w:t>
      </w:r>
      <w:r w:rsidR="00F2764E" w:rsidRPr="00570D1F">
        <w:t xml:space="preserve">this </w:t>
      </w:r>
      <w:r w:rsidRPr="00570D1F">
        <w:t>is covered by section 224.</w:t>
      </w:r>
      <w:r w:rsidRPr="00570D1F">
        <w:rPr>
          <w:rStyle w:val="FootnoteReference"/>
        </w:rPr>
        <w:footnoteReference w:id="12"/>
      </w:r>
      <w:r w:rsidRPr="00570D1F">
        <w:t xml:space="preserve">  The Court found that </w:t>
      </w:r>
      <w:r w:rsidR="00DC65DF" w:rsidRPr="00570D1F">
        <w:t>commingled</w:t>
      </w:r>
      <w:r w:rsidRPr="00570D1F">
        <w:t xml:space="preserve"> services – that is, services that are not telecommunications services or </w:t>
      </w:r>
      <w:r w:rsidR="000A0E1A">
        <w:t>ser</w:t>
      </w:r>
      <w:r w:rsidR="000A0E1A">
        <w:softHyphen/>
        <w:t xml:space="preserve">vices </w:t>
      </w:r>
      <w:r w:rsidRPr="00570D1F">
        <w:t>solely to provide cable television services – are, in fact, covered by section 224.</w:t>
      </w:r>
      <w:r w:rsidRPr="00570D1F">
        <w:rPr>
          <w:rStyle w:val="FootnoteReference"/>
        </w:rPr>
        <w:footnoteReference w:id="13"/>
      </w:r>
      <w:r w:rsidRPr="00570D1F">
        <w:t xml:space="preserve">  </w:t>
      </w:r>
    </w:p>
    <w:p w:rsidR="0061356C" w:rsidRPr="00570D1F" w:rsidRDefault="0061356C" w:rsidP="000A0E1A">
      <w:pPr>
        <w:pStyle w:val="Textstyle"/>
      </w:pPr>
      <w:r w:rsidRPr="00570D1F">
        <w:tab/>
        <w:t xml:space="preserve">In recognizing section 224 as applying to </w:t>
      </w:r>
      <w:r w:rsidR="00DC65DF" w:rsidRPr="00570D1F">
        <w:t>commingled</w:t>
      </w:r>
      <w:r w:rsidRPr="00570D1F">
        <w:t xml:space="preserve"> </w:t>
      </w:r>
      <w:r w:rsidR="00F2764E" w:rsidRPr="00570D1F">
        <w:t>services</w:t>
      </w:r>
      <w:r w:rsidRPr="00570D1F">
        <w:t xml:space="preserve">, the </w:t>
      </w:r>
      <w:r w:rsidRPr="00570D1F">
        <w:rPr>
          <w:i/>
        </w:rPr>
        <w:t>Gulf Power</w:t>
      </w:r>
      <w:r w:rsidRPr="00570D1F">
        <w:t xml:space="preserve"> Court disagreed with Court</w:t>
      </w:r>
      <w:r w:rsidR="00D863C9" w:rsidRPr="00570D1F">
        <w:t xml:space="preserve"> of Appeals’ reasoning that “</w:t>
      </w:r>
      <w:r w:rsidRPr="00570D1F">
        <w:t>[t]he straightforward language of subsections (d) and (e) directs the FCC to establish two specific just and reasonable rates</w:t>
      </w:r>
      <w:r w:rsidR="00D863C9" w:rsidRPr="00570D1F">
        <w:t>…no other rates are authorized.</w:t>
      </w:r>
      <w:r w:rsidRPr="00570D1F">
        <w:t>”</w:t>
      </w:r>
      <w:r w:rsidRPr="00570D1F">
        <w:rPr>
          <w:rStyle w:val="FootnoteReference"/>
        </w:rPr>
        <w:footnoteReference w:id="14"/>
      </w:r>
      <w:r w:rsidRPr="00570D1F">
        <w:t xml:space="preserve">  Rather, the Court found that while section 224 does set forth two very specific rate formulas for two specific categories </w:t>
      </w:r>
      <w:r w:rsidR="00251F7E" w:rsidRPr="00570D1F">
        <w:t xml:space="preserve">set forth </w:t>
      </w:r>
      <w:r w:rsidRPr="00570D1F">
        <w:t>in sub</w:t>
      </w:r>
      <w:r w:rsidR="000A0E1A">
        <w:softHyphen/>
      </w:r>
      <w:r w:rsidRPr="00570D1F">
        <w:t>sections (d) and (e), there was nothing in the Act to suggest that these are the only pole attachment rates permitted.</w:t>
      </w:r>
      <w:r w:rsidRPr="00570D1F">
        <w:rPr>
          <w:rStyle w:val="FootnoteReference"/>
        </w:rPr>
        <w:footnoteReference w:id="15"/>
      </w:r>
      <w:r w:rsidRPr="00570D1F">
        <w:t xml:space="preserve">  Further, the Court found that the 1996 amendments to the Act</w:t>
      </w:r>
      <w:r w:rsidRPr="00570D1F">
        <w:rPr>
          <w:rStyle w:val="FootnoteReference"/>
        </w:rPr>
        <w:footnoteReference w:id="16"/>
      </w:r>
      <w:r w:rsidRPr="00570D1F">
        <w:t xml:space="preserve"> did not limit or decrease the FCC’s jurisdiction under subsections (a)(4) and (b).</w:t>
      </w:r>
      <w:r w:rsidRPr="00570D1F">
        <w:rPr>
          <w:rStyle w:val="FootnoteReference"/>
        </w:rPr>
        <w:footnoteReference w:id="17"/>
      </w:r>
      <w:r w:rsidRPr="00570D1F">
        <w:t xml:space="preserve">  </w:t>
      </w:r>
      <w:r w:rsidRPr="00570D1F">
        <w:lastRenderedPageBreak/>
        <w:t xml:space="preserve">While subsection 224(d) </w:t>
      </w:r>
      <w:r w:rsidR="00F2764E" w:rsidRPr="00570D1F">
        <w:t xml:space="preserve">is </w:t>
      </w:r>
      <w:r w:rsidRPr="00570D1F">
        <w:t xml:space="preserve">limited to attachments used solely to provide cable service, attachments of </w:t>
      </w:r>
      <w:r w:rsidR="00DC65DF" w:rsidRPr="00570D1F">
        <w:t>commingled</w:t>
      </w:r>
      <w:r w:rsidRPr="00570D1F">
        <w:t xml:space="preserve"> services such as cable </w:t>
      </w:r>
      <w:r w:rsidR="00F2764E" w:rsidRPr="00570D1F">
        <w:t xml:space="preserve">service </w:t>
      </w:r>
      <w:r w:rsidRPr="00570D1F">
        <w:t>and internet service remain covered by subsections 224(a)(4) and (b).</w:t>
      </w:r>
      <w:r w:rsidRPr="00570D1F">
        <w:rPr>
          <w:rStyle w:val="FootnoteReference"/>
        </w:rPr>
        <w:footnoteReference w:id="18"/>
      </w:r>
      <w:r w:rsidRPr="00570D1F">
        <w:t xml:space="preserve">  Under these subsections, the FCC is obli</w:t>
      </w:r>
      <w:r w:rsidR="000A0E1A">
        <w:softHyphen/>
      </w:r>
      <w:r w:rsidRPr="00570D1F">
        <w:t>gated to determine “just and reasonable” pole attachment rates for services that do not fall under the rate formulas of subsections (d)(1) and (e)(3).</w:t>
      </w:r>
      <w:r w:rsidRPr="00570D1F">
        <w:rPr>
          <w:rStyle w:val="FootnoteReference"/>
        </w:rPr>
        <w:footnoteReference w:id="19"/>
      </w:r>
      <w:r w:rsidRPr="00570D1F">
        <w:t xml:space="preserve"> </w:t>
      </w:r>
      <w:r w:rsidR="00AD7BC9" w:rsidRPr="00570D1F">
        <w:t xml:space="preserve"> </w:t>
      </w:r>
      <w:r w:rsidR="00E15153" w:rsidRPr="00570D1F">
        <w:t xml:space="preserve">The Court recognized that Congress, </w:t>
      </w:r>
      <w:r w:rsidR="00AD7BC9" w:rsidRPr="00570D1F">
        <w:t>unsure of the</w:t>
      </w:r>
      <w:r w:rsidR="00E15153" w:rsidRPr="00570D1F">
        <w:t xml:space="preserve"> direction </w:t>
      </w:r>
      <w:r w:rsidR="00AD7BC9" w:rsidRPr="00570D1F">
        <w:t xml:space="preserve">in which </w:t>
      </w:r>
      <w:r w:rsidR="00E15153" w:rsidRPr="00570D1F">
        <w:t xml:space="preserve">these </w:t>
      </w:r>
      <w:r w:rsidR="00DC65DF" w:rsidRPr="00570D1F">
        <w:t>commingled</w:t>
      </w:r>
      <w:r w:rsidR="00E15153" w:rsidRPr="00570D1F">
        <w:t xml:space="preserve"> service offerings would evolve, may have thought it prudent </w:t>
      </w:r>
      <w:r w:rsidR="00AD7BC9" w:rsidRPr="00570D1F">
        <w:t xml:space="preserve">not </w:t>
      </w:r>
      <w:r w:rsidR="00E15153" w:rsidRPr="00570D1F">
        <w:t>to modify the FCC’s discretion in calculating “just and reasonable” pole attachment rate</w:t>
      </w:r>
      <w:r w:rsidR="00AD7BC9" w:rsidRPr="00570D1F">
        <w:t>s</w:t>
      </w:r>
      <w:r w:rsidR="00E15153" w:rsidRPr="00570D1F">
        <w:t xml:space="preserve"> for commingled services.</w:t>
      </w:r>
      <w:r w:rsidR="00E15153" w:rsidRPr="00570D1F">
        <w:rPr>
          <w:rStyle w:val="FootnoteReference"/>
        </w:rPr>
        <w:footnoteReference w:id="20"/>
      </w:r>
      <w:r w:rsidR="00E15153" w:rsidRPr="00570D1F">
        <w:t xml:space="preserve">  With the antic</w:t>
      </w:r>
      <w:r w:rsidR="000A0E1A">
        <w:softHyphen/>
      </w:r>
      <w:r w:rsidR="00E15153" w:rsidRPr="00570D1F">
        <w:t xml:space="preserve">ipated convergence of technologies and services in an IP-based network, this foresight seems all the more prescient  as the lines between telecommunications service providers, cable TV operators, and broadband service providers are blurred </w:t>
      </w:r>
      <w:r w:rsidR="00AD7BC9" w:rsidRPr="00570D1F">
        <w:t xml:space="preserve">often </w:t>
      </w:r>
      <w:r w:rsidR="00E15153" w:rsidRPr="00570D1F">
        <w:t xml:space="preserve">to the point </w:t>
      </w:r>
      <w:r w:rsidR="00AD7BC9" w:rsidRPr="00570D1F">
        <w:t xml:space="preserve">of being </w:t>
      </w:r>
      <w:r w:rsidR="00E15153" w:rsidRPr="00570D1F">
        <w:t>indistinguishable.</w:t>
      </w:r>
    </w:p>
    <w:p w:rsidR="000B68B9" w:rsidRPr="00570D1F" w:rsidRDefault="00570D1F" w:rsidP="000A0E1A">
      <w:pPr>
        <w:pStyle w:val="Textstyle"/>
      </w:pPr>
      <w:r>
        <w:tab/>
      </w:r>
      <w:r w:rsidR="00E15153" w:rsidRPr="00570D1F">
        <w:t>Recognizing this convergence, the impetus for the FCC establishing a uniform pole attachment rate would be the NBP’s goal of ubiquitous broadband deployment and access</w:t>
      </w:r>
      <w:r w:rsidR="007A78D7" w:rsidRPr="00570D1F">
        <w:t xml:space="preserve">.  </w:t>
      </w:r>
      <w:r w:rsidR="00E15153" w:rsidRPr="00570D1F">
        <w:t>A uniform broadband pole attachment rate would likely prove to be an important part of this process</w:t>
      </w:r>
      <w:r w:rsidR="000A0E1A">
        <w:t>,</w:t>
      </w:r>
      <w:r w:rsidR="00E15153" w:rsidRPr="00570D1F">
        <w:t xml:space="preserve"> as it would help eliminate barriers to market entry in unserved areas.  </w:t>
      </w:r>
      <w:r w:rsidR="000B68B9" w:rsidRPr="00570D1F">
        <w:t>If broadband  service is reclassified as a telecommunications service</w:t>
      </w:r>
      <w:r w:rsidR="00200501" w:rsidRPr="00570D1F">
        <w:t>,</w:t>
      </w:r>
      <w:r w:rsidR="000B68B9" w:rsidRPr="00570D1F">
        <w:t xml:space="preserve"> as pro</w:t>
      </w:r>
      <w:r w:rsidR="000B3092" w:rsidRPr="00570D1F">
        <w:t xml:space="preserve">ffered in the </w:t>
      </w:r>
      <w:r w:rsidR="000B3092" w:rsidRPr="00570D1F">
        <w:lastRenderedPageBreak/>
        <w:t>FCC’s recent Noti</w:t>
      </w:r>
      <w:r w:rsidR="000B68B9" w:rsidRPr="00570D1F">
        <w:t>ce of Inquiry (NOI),</w:t>
      </w:r>
      <w:r w:rsidR="000B68B9" w:rsidRPr="00570D1F">
        <w:rPr>
          <w:rStyle w:val="FootnoteReference"/>
        </w:rPr>
        <w:footnoteReference w:id="21"/>
      </w:r>
      <w:r w:rsidR="000B68B9" w:rsidRPr="00570D1F">
        <w:t xml:space="preserve"> then it would appear</w:t>
      </w:r>
      <w:r w:rsidR="00200501" w:rsidRPr="00570D1F">
        <w:t>, as alluded to in the FNPRM,</w:t>
      </w:r>
      <w:r w:rsidR="000B68B9" w:rsidRPr="00570D1F">
        <w:t xml:space="preserve"> that </w:t>
      </w:r>
      <w:r w:rsidR="00200501" w:rsidRPr="00570D1F">
        <w:t>a uniform rate could not be applied to broadband pole attachment</w:t>
      </w:r>
      <w:r w:rsidR="00C8313E" w:rsidRPr="00570D1F">
        <w:t>s</w:t>
      </w:r>
      <w:r w:rsidR="000A0E1A">
        <w:t>, as</w:t>
      </w:r>
      <w:r w:rsidR="00200501" w:rsidRPr="00570D1F">
        <w:t xml:space="preserve"> sub</w:t>
      </w:r>
      <w:r w:rsidR="000A0E1A">
        <w:softHyphen/>
      </w:r>
      <w:r w:rsidR="00200501" w:rsidRPr="00570D1F">
        <w:t>section(e)(3)’s rate formula would apply.</w:t>
      </w:r>
      <w:r w:rsidR="00200501" w:rsidRPr="00570D1F">
        <w:rPr>
          <w:rStyle w:val="FootnoteReference"/>
        </w:rPr>
        <w:footnoteReference w:id="22"/>
      </w:r>
      <w:r w:rsidR="00200501" w:rsidRPr="00570D1F">
        <w:t xml:space="preserve">  </w:t>
      </w:r>
      <w:r w:rsidR="00C6507A" w:rsidRPr="00570D1F">
        <w:t>Considering the “self-described scope” of sub</w:t>
      </w:r>
      <w:r w:rsidR="000A0E1A">
        <w:softHyphen/>
      </w:r>
      <w:r w:rsidR="00C6507A" w:rsidRPr="00570D1F">
        <w:t xml:space="preserve">section (e)(3) and  </w:t>
      </w:r>
      <w:r w:rsidR="00200501" w:rsidRPr="00570D1F">
        <w:t xml:space="preserve">the </w:t>
      </w:r>
      <w:r w:rsidR="00200501" w:rsidRPr="00570D1F">
        <w:rPr>
          <w:i/>
        </w:rPr>
        <w:t>Gulf Power</w:t>
      </w:r>
      <w:r w:rsidR="00200501" w:rsidRPr="00570D1F">
        <w:t xml:space="preserve"> Court</w:t>
      </w:r>
      <w:r w:rsidR="00C6507A" w:rsidRPr="00570D1F">
        <w:t>’s silence on the issue</w:t>
      </w:r>
      <w:r w:rsidR="00AD7BC9" w:rsidRPr="00570D1F">
        <w:t xml:space="preserve"> of</w:t>
      </w:r>
      <w:r w:rsidR="00200501" w:rsidRPr="00570D1F">
        <w:t xml:space="preserve"> telecommunications services </w:t>
      </w:r>
      <w:r w:rsidR="00DC65DF" w:rsidRPr="00570D1F">
        <w:t>commingled</w:t>
      </w:r>
      <w:r w:rsidR="00200501" w:rsidRPr="00570D1F">
        <w:t xml:space="preserve"> with non-telecommunications services, the establishment</w:t>
      </w:r>
      <w:r w:rsidR="002A07AD" w:rsidRPr="00570D1F">
        <w:t xml:space="preserve"> of a uni</w:t>
      </w:r>
      <w:r w:rsidR="000A0E1A">
        <w:softHyphen/>
      </w:r>
      <w:r w:rsidR="002A07AD" w:rsidRPr="00570D1F">
        <w:t>form broadband rate that includes telecommunications services is clearly open to chal</w:t>
      </w:r>
      <w:r w:rsidR="000A0E1A">
        <w:softHyphen/>
      </w:r>
      <w:r w:rsidR="002A07AD" w:rsidRPr="00570D1F">
        <w:t>lenge.</w:t>
      </w:r>
    </w:p>
    <w:p w:rsidR="00200501" w:rsidRPr="00570D1F" w:rsidRDefault="00570D1F" w:rsidP="000A0E1A">
      <w:pPr>
        <w:pStyle w:val="Textstyle"/>
      </w:pPr>
      <w:r>
        <w:tab/>
      </w:r>
      <w:r w:rsidR="00200501" w:rsidRPr="00570D1F">
        <w:t>If the Title I information services classification is maintained, the Ohio Commis</w:t>
      </w:r>
      <w:r w:rsidR="000A0E1A">
        <w:softHyphen/>
      </w:r>
      <w:r w:rsidR="00200501" w:rsidRPr="00570D1F">
        <w:t xml:space="preserve">sion believes that a uniform broadband </w:t>
      </w:r>
      <w:r w:rsidR="00E1651E" w:rsidRPr="00570D1F">
        <w:t>rate could be established depending upon whether broadband itself is the only service being attached</w:t>
      </w:r>
      <w:r w:rsidR="00AD7BC9" w:rsidRPr="00570D1F">
        <w:t>,</w:t>
      </w:r>
      <w:r w:rsidR="00E1651E" w:rsidRPr="00570D1F">
        <w:t xml:space="preserve"> or if it is simply one of several </w:t>
      </w:r>
      <w:r w:rsidR="00DC65DF" w:rsidRPr="00570D1F">
        <w:t>commingled</w:t>
      </w:r>
      <w:r w:rsidR="00E1651E" w:rsidRPr="00570D1F">
        <w:t xml:space="preserve"> services being attached.  The NBP implies that broadband connectivity ser</w:t>
      </w:r>
      <w:r w:rsidR="000A0E1A">
        <w:softHyphen/>
      </w:r>
      <w:r w:rsidR="00E1651E" w:rsidRPr="00570D1F">
        <w:t>vice is the sole service to be provided by broadband service providers with other tradi</w:t>
      </w:r>
      <w:r w:rsidR="000A0E1A">
        <w:softHyphen/>
      </w:r>
      <w:r w:rsidR="00E1651E" w:rsidRPr="00570D1F">
        <w:t>tional services</w:t>
      </w:r>
      <w:r w:rsidR="00AD7BC9" w:rsidRPr="00570D1F">
        <w:t>,</w:t>
      </w:r>
      <w:r w:rsidR="00E1651E" w:rsidRPr="00570D1F">
        <w:t xml:space="preserve"> such as voice service and video service</w:t>
      </w:r>
      <w:r w:rsidR="00AD7BC9" w:rsidRPr="00570D1F">
        <w:t>,</w:t>
      </w:r>
      <w:r w:rsidR="00E1651E" w:rsidRPr="00570D1F">
        <w:t xml:space="preserve"> being applications </w:t>
      </w:r>
      <w:r w:rsidR="009C60BC">
        <w:br w:type="page"/>
      </w:r>
      <w:r w:rsidR="00E1651E" w:rsidRPr="00570D1F">
        <w:lastRenderedPageBreak/>
        <w:t>accessed through this service.</w:t>
      </w:r>
      <w:r w:rsidR="00E1651E" w:rsidRPr="00570D1F">
        <w:rPr>
          <w:rStyle w:val="FootnoteReference"/>
        </w:rPr>
        <w:footnoteReference w:id="23"/>
      </w:r>
      <w:r w:rsidR="000A0E1A">
        <w:t xml:space="preserve">  </w:t>
      </w:r>
      <w:r w:rsidR="00E1651E" w:rsidRPr="00570D1F">
        <w:t xml:space="preserve">If this view of broadband service is adopted, then a single rate for broadband service could be established under subsection (b).  </w:t>
      </w:r>
      <w:r w:rsidR="0064549E" w:rsidRPr="00570D1F">
        <w:t>However, i</w:t>
      </w:r>
      <w:r w:rsidR="00E1651E" w:rsidRPr="00570D1F">
        <w:t>f th</w:t>
      </w:r>
      <w:r w:rsidR="004174B7" w:rsidRPr="00570D1F">
        <w:t>e</w:t>
      </w:r>
      <w:r w:rsidR="00E1651E" w:rsidRPr="00570D1F">
        <w:t xml:space="preserve"> latter view prevails, broadband would be </w:t>
      </w:r>
      <w:r w:rsidR="00DC65DF" w:rsidRPr="00570D1F">
        <w:t>commingled</w:t>
      </w:r>
      <w:r w:rsidR="00E1651E" w:rsidRPr="00570D1F">
        <w:t xml:space="preserve"> with other services.  If one pre</w:t>
      </w:r>
      <w:r w:rsidR="000A0E1A">
        <w:softHyphen/>
      </w:r>
      <w:r w:rsidR="00E1651E" w:rsidRPr="00570D1F">
        <w:t>sumes that these services</w:t>
      </w:r>
      <w:r w:rsidR="004174B7" w:rsidRPr="00570D1F">
        <w:t xml:space="preserve"> </w:t>
      </w:r>
      <w:r w:rsidR="00E1651E" w:rsidRPr="00570D1F">
        <w:t>include</w:t>
      </w:r>
      <w:r w:rsidR="004174B7" w:rsidRPr="00570D1F">
        <w:t xml:space="preserve"> any </w:t>
      </w:r>
      <w:r w:rsidR="00E1651E" w:rsidRPr="00570D1F">
        <w:t>telecommunications</w:t>
      </w:r>
      <w:r w:rsidR="004174B7" w:rsidRPr="00570D1F">
        <w:t xml:space="preserve"> services, then once again sub</w:t>
      </w:r>
      <w:r w:rsidR="000A0E1A">
        <w:softHyphen/>
      </w:r>
      <w:r w:rsidR="004174B7" w:rsidRPr="00570D1F">
        <w:t>section (e)(3)’s rate formula would apply.</w:t>
      </w:r>
      <w:r w:rsidR="004174B7" w:rsidRPr="00570D1F">
        <w:rPr>
          <w:rStyle w:val="FootnoteReference"/>
        </w:rPr>
        <w:footnoteReference w:id="24"/>
      </w:r>
    </w:p>
    <w:p w:rsidR="00702B89" w:rsidRPr="00570D1F" w:rsidRDefault="00702B89" w:rsidP="000A0E1A">
      <w:pPr>
        <w:pStyle w:val="Textstyle"/>
      </w:pPr>
      <w:r w:rsidRPr="00570D1F">
        <w:tab/>
      </w:r>
      <w:r w:rsidR="0061356C" w:rsidRPr="00570D1F">
        <w:t>While the Ohio Commission supports the FCC’s Third Way proposal, with caveats, it has also expressed its belief that broadband reclassification will be chal</w:t>
      </w:r>
      <w:r w:rsidR="000A0E1A">
        <w:softHyphen/>
      </w:r>
      <w:r w:rsidR="0061356C" w:rsidRPr="00570D1F">
        <w:t>lenged.</w:t>
      </w:r>
      <w:r w:rsidR="0061356C" w:rsidRPr="00570D1F">
        <w:rPr>
          <w:rStyle w:val="FootnoteReference"/>
        </w:rPr>
        <w:footnoteReference w:id="25"/>
      </w:r>
      <w:r w:rsidR="0061356C" w:rsidRPr="00570D1F">
        <w:t xml:space="preserve">  Potential challenges to a uniform pole attachment </w:t>
      </w:r>
      <w:r w:rsidR="00F2764E" w:rsidRPr="00570D1F">
        <w:t xml:space="preserve">rate </w:t>
      </w:r>
      <w:r w:rsidR="00AD7BC9" w:rsidRPr="00570D1F">
        <w:t xml:space="preserve">if </w:t>
      </w:r>
      <w:r w:rsidR="0061356C" w:rsidRPr="00570D1F">
        <w:t>broadband connectiv</w:t>
      </w:r>
      <w:r w:rsidR="000A0E1A">
        <w:softHyphen/>
      </w:r>
      <w:r w:rsidR="0061356C" w:rsidRPr="00570D1F">
        <w:t xml:space="preserve">ity service </w:t>
      </w:r>
      <w:r w:rsidR="00AD7BC9" w:rsidRPr="00570D1F">
        <w:t xml:space="preserve">is </w:t>
      </w:r>
      <w:r w:rsidR="0061356C" w:rsidRPr="00570D1F">
        <w:t>reclassified further underscore the need for Congress to take action to definitively address broadband service and the numerous issues surrounding it.</w:t>
      </w:r>
    </w:p>
    <w:p w:rsidR="002D2FBA" w:rsidRPr="00570D1F" w:rsidRDefault="007A78D7" w:rsidP="007A78D7">
      <w:pPr>
        <w:pStyle w:val="Heading2"/>
      </w:pPr>
      <w:bookmarkStart w:id="4" w:name="_Toc269900423"/>
      <w:r>
        <w:lastRenderedPageBreak/>
        <w:t>I</w:t>
      </w:r>
      <w:r w:rsidR="008A3C83">
        <w:t>I</w:t>
      </w:r>
      <w:r>
        <w:t>I.</w:t>
      </w:r>
      <w:r>
        <w:tab/>
      </w:r>
      <w:r w:rsidR="00335F3E" w:rsidRPr="00570D1F">
        <w:t>Modification to the Telecommunications Service Rate Formula</w:t>
      </w:r>
      <w:bookmarkEnd w:id="4"/>
    </w:p>
    <w:p w:rsidR="00D90771" w:rsidRPr="00570D1F" w:rsidRDefault="007A78D7" w:rsidP="000A0E1A">
      <w:pPr>
        <w:pStyle w:val="Textstyle"/>
      </w:pPr>
      <w:r>
        <w:tab/>
      </w:r>
      <w:r w:rsidR="00F2764E" w:rsidRPr="00570D1F">
        <w:t>As an alternative approach to a uniform rate, t</w:t>
      </w:r>
      <w:r w:rsidR="006779EE" w:rsidRPr="00570D1F">
        <w:t xml:space="preserve">he </w:t>
      </w:r>
      <w:r w:rsidR="00284147" w:rsidRPr="00570D1F">
        <w:t>FCC has requested comments regarding the current pole rental rates and ways to minimize the differences between them, including a reinterpretation of the telecommunications rate formula.</w:t>
      </w:r>
      <w:r w:rsidR="00284147" w:rsidRPr="00570D1F">
        <w:rPr>
          <w:rStyle w:val="FootnoteReference"/>
        </w:rPr>
        <w:footnoteReference w:id="26"/>
      </w:r>
      <w:r w:rsidR="00284147" w:rsidRPr="00570D1F">
        <w:t xml:space="preserve">  </w:t>
      </w:r>
      <w:r w:rsidR="00F2764E" w:rsidRPr="00570D1F">
        <w:t>As noted, the current p</w:t>
      </w:r>
      <w:r w:rsidR="00D962EA" w:rsidRPr="00570D1F">
        <w:t>ole attachment rate formulas</w:t>
      </w:r>
      <w:r w:rsidR="00284147" w:rsidRPr="00570D1F">
        <w:t xml:space="preserve"> are set forth in section 224 of the Act.</w:t>
      </w:r>
      <w:r w:rsidR="00284147" w:rsidRPr="00570D1F">
        <w:rPr>
          <w:rStyle w:val="FootnoteReference"/>
        </w:rPr>
        <w:footnoteReference w:id="27"/>
      </w:r>
      <w:r w:rsidR="00284147" w:rsidRPr="00570D1F">
        <w:t xml:space="preserve">  </w:t>
      </w:r>
      <w:r w:rsidR="00D962EA" w:rsidRPr="00570D1F">
        <w:t>Under this section</w:t>
      </w:r>
      <w:r w:rsidR="00296A4D" w:rsidRPr="00570D1F">
        <w:t>,</w:t>
      </w:r>
      <w:r w:rsidR="00D962EA" w:rsidRPr="00570D1F">
        <w:t xml:space="preserve"> there is</w:t>
      </w:r>
      <w:r w:rsidR="00F2764E" w:rsidRPr="00570D1F">
        <w:t xml:space="preserve"> a</w:t>
      </w:r>
      <w:r w:rsidR="00D962EA" w:rsidRPr="00570D1F">
        <w:t xml:space="preserve"> rate formula for use by telecommunications carriers to provide tel</w:t>
      </w:r>
      <w:r w:rsidR="000A0E1A">
        <w:softHyphen/>
      </w:r>
      <w:r w:rsidR="00D962EA" w:rsidRPr="00570D1F">
        <w:t>ecommunications service and a rate formula for use by cable television systems solely to provide cable service</w:t>
      </w:r>
      <w:r w:rsidR="00D90771" w:rsidRPr="00570D1F">
        <w:t>, with the resulting rate for telecommunications service being the significantly higher of the two</w:t>
      </w:r>
      <w:r w:rsidR="00D962EA" w:rsidRPr="00570D1F">
        <w:t>.</w:t>
      </w:r>
      <w:r w:rsidR="00D962EA" w:rsidRPr="00570D1F">
        <w:rPr>
          <w:rStyle w:val="FootnoteReference"/>
        </w:rPr>
        <w:footnoteReference w:id="28"/>
      </w:r>
      <w:r w:rsidR="00CA0080" w:rsidRPr="00570D1F">
        <w:t xml:space="preserve">  </w:t>
      </w:r>
    </w:p>
    <w:p w:rsidR="0076779E" w:rsidRPr="00570D1F" w:rsidRDefault="007A78D7" w:rsidP="000A0E1A">
      <w:pPr>
        <w:pStyle w:val="Textstyle"/>
      </w:pPr>
      <w:r>
        <w:tab/>
      </w:r>
      <w:r w:rsidR="00296A4D" w:rsidRPr="00570D1F">
        <w:t>The pole attachment rate for telecommunications service is seen by ma</w:t>
      </w:r>
      <w:r w:rsidR="00EC42FB" w:rsidRPr="00570D1F">
        <w:t>n</w:t>
      </w:r>
      <w:r w:rsidR="00296A4D" w:rsidRPr="00570D1F">
        <w:t>y, especially in the cable TV industry, as an impediment to broadband deployment.</w:t>
      </w:r>
      <w:r w:rsidR="00296A4D" w:rsidRPr="00570D1F">
        <w:rPr>
          <w:rStyle w:val="FootnoteReference"/>
        </w:rPr>
        <w:footnoteReference w:id="29"/>
      </w:r>
      <w:r w:rsidR="00296A4D" w:rsidRPr="00570D1F">
        <w:t xml:space="preserve">  To promote deployment of broadband service, the NBP recommends the establishment of pole attachment rates that are “as low and close to uniform as possible.”</w:t>
      </w:r>
      <w:r w:rsidR="00296A4D" w:rsidRPr="00570D1F">
        <w:rPr>
          <w:rStyle w:val="FootnoteReference"/>
        </w:rPr>
        <w:footnoteReference w:id="30"/>
      </w:r>
      <w:r w:rsidR="00296A4D" w:rsidRPr="00570D1F">
        <w:t xml:space="preserve">  The</w:t>
      </w:r>
      <w:r w:rsidR="00CA0080" w:rsidRPr="00570D1F">
        <w:t xml:space="preserve"> Ohio Com</w:t>
      </w:r>
      <w:r w:rsidR="000A0E1A">
        <w:softHyphen/>
      </w:r>
      <w:r w:rsidR="00CA0080" w:rsidRPr="00570D1F">
        <w:t>mission generally</w:t>
      </w:r>
      <w:r w:rsidR="006779EE" w:rsidRPr="00570D1F">
        <w:t xml:space="preserve"> agrees with the notion that lowering the telecom</w:t>
      </w:r>
      <w:r w:rsidR="00171A6B" w:rsidRPr="00570D1F">
        <w:t>munications ser</w:t>
      </w:r>
      <w:r w:rsidR="000A0E1A">
        <w:softHyphen/>
      </w:r>
      <w:r w:rsidR="00171A6B" w:rsidRPr="00570D1F">
        <w:t>vice</w:t>
      </w:r>
      <w:r w:rsidR="006779EE" w:rsidRPr="00570D1F">
        <w:t xml:space="preserve"> rate would spur an increase in the deployment of broadband services</w:t>
      </w:r>
      <w:r w:rsidR="000A0E1A">
        <w:t>,</w:t>
      </w:r>
      <w:r w:rsidR="006779EE" w:rsidRPr="00570D1F">
        <w:t xml:space="preserve"> as this would allow the broadband service providers to provide telecommunications services over their n</w:t>
      </w:r>
      <w:r w:rsidR="00B53C43" w:rsidRPr="00570D1F">
        <w:t xml:space="preserve">etworks without incurring </w:t>
      </w:r>
      <w:r w:rsidR="00C007A1" w:rsidRPr="00570D1F">
        <w:t>an incremental increase</w:t>
      </w:r>
      <w:r w:rsidR="006779EE" w:rsidRPr="00570D1F">
        <w:t xml:space="preserve"> in the cost for pole attachments.  The </w:t>
      </w:r>
      <w:r w:rsidR="00296A4D" w:rsidRPr="00570D1F">
        <w:lastRenderedPageBreak/>
        <w:t xml:space="preserve">Ohio Commission </w:t>
      </w:r>
      <w:r w:rsidR="006779EE" w:rsidRPr="00570D1F">
        <w:t xml:space="preserve">also understands that cable </w:t>
      </w:r>
      <w:r w:rsidR="00171A6B" w:rsidRPr="00570D1F">
        <w:t xml:space="preserve">operators </w:t>
      </w:r>
      <w:r w:rsidR="006779EE" w:rsidRPr="00570D1F">
        <w:t>may be deterred from offering new services with telecommunications element</w:t>
      </w:r>
      <w:r w:rsidR="001E56B8" w:rsidRPr="00570D1F">
        <w:t>s</w:t>
      </w:r>
      <w:r w:rsidR="006779EE" w:rsidRPr="00570D1F">
        <w:t xml:space="preserve"> b</w:t>
      </w:r>
      <w:r w:rsidR="00B53C43" w:rsidRPr="00570D1F">
        <w:t xml:space="preserve">ased on the possible </w:t>
      </w:r>
      <w:r w:rsidR="00171A6B" w:rsidRPr="00570D1F">
        <w:t xml:space="preserve">negative </w:t>
      </w:r>
      <w:r w:rsidR="00B53C43" w:rsidRPr="00570D1F">
        <w:t xml:space="preserve">financial </w:t>
      </w:r>
      <w:r w:rsidR="006779EE" w:rsidRPr="00570D1F">
        <w:t>impact</w:t>
      </w:r>
      <w:r w:rsidR="00171A6B" w:rsidRPr="00570D1F">
        <w:t xml:space="preserve"> </w:t>
      </w:r>
      <w:r w:rsidR="006779EE" w:rsidRPr="00570D1F">
        <w:t xml:space="preserve">if they </w:t>
      </w:r>
      <w:r w:rsidR="001E56B8" w:rsidRPr="00570D1F">
        <w:t xml:space="preserve">are </w:t>
      </w:r>
      <w:r w:rsidR="006779EE" w:rsidRPr="00570D1F">
        <w:t>required to pay the difference between the telecom</w:t>
      </w:r>
      <w:r w:rsidR="00296A4D" w:rsidRPr="00570D1F">
        <w:t>munications</w:t>
      </w:r>
      <w:r w:rsidR="006779EE" w:rsidRPr="00570D1F">
        <w:t xml:space="preserve"> rate and the cable</w:t>
      </w:r>
      <w:r w:rsidR="00296A4D" w:rsidRPr="00570D1F">
        <w:t xml:space="preserve"> </w:t>
      </w:r>
      <w:r w:rsidR="00171A6B" w:rsidRPr="00570D1F">
        <w:t xml:space="preserve">service </w:t>
      </w:r>
      <w:r w:rsidR="006779EE" w:rsidRPr="00570D1F">
        <w:t xml:space="preserve">rate.  </w:t>
      </w:r>
      <w:r w:rsidR="0076779E" w:rsidRPr="00570D1F">
        <w:t xml:space="preserve">From purely </w:t>
      </w:r>
      <w:r w:rsidR="001E56B8" w:rsidRPr="00570D1F">
        <w:t xml:space="preserve">a </w:t>
      </w:r>
      <w:r w:rsidR="0076779E" w:rsidRPr="00570D1F">
        <w:t xml:space="preserve">cost standpoint, the Ohio Commission </w:t>
      </w:r>
      <w:r w:rsidR="00EC42FB" w:rsidRPr="00570D1F">
        <w:t xml:space="preserve">also </w:t>
      </w:r>
      <w:r w:rsidR="0076779E" w:rsidRPr="00570D1F">
        <w:t>agrees that the telecommunications</w:t>
      </w:r>
      <w:r w:rsidR="00757D7A" w:rsidRPr="00570D1F">
        <w:t xml:space="preserve"> pole </w:t>
      </w:r>
      <w:r w:rsidR="0076779E" w:rsidRPr="00570D1F">
        <w:t xml:space="preserve">attachment rate and the cable </w:t>
      </w:r>
      <w:r w:rsidR="00757D7A" w:rsidRPr="00570D1F">
        <w:t xml:space="preserve">pole </w:t>
      </w:r>
      <w:r w:rsidR="0076779E" w:rsidRPr="00570D1F">
        <w:t xml:space="preserve">attachment rate </w:t>
      </w:r>
      <w:r w:rsidR="001E56B8" w:rsidRPr="00570D1F">
        <w:t>sh</w:t>
      </w:r>
      <w:r w:rsidR="0076779E" w:rsidRPr="00570D1F">
        <w:t>ould be similar</w:t>
      </w:r>
      <w:r w:rsidR="005A00B9" w:rsidRPr="00570D1F">
        <w:t>,</w:t>
      </w:r>
      <w:r w:rsidR="0076779E" w:rsidRPr="00570D1F">
        <w:t xml:space="preserve"> as the difference in the actual cost to the pole owner of providing these two types of attachments would be negligible or even non-existent.  The Ohio Commis</w:t>
      </w:r>
      <w:r w:rsidR="000A0E1A">
        <w:softHyphen/>
      </w:r>
      <w:r w:rsidR="0076779E" w:rsidRPr="00570D1F">
        <w:t xml:space="preserve">sion further </w:t>
      </w:r>
      <w:r w:rsidR="00EC42FB" w:rsidRPr="00570D1F">
        <w:t>recognizes</w:t>
      </w:r>
      <w:r w:rsidR="0076779E" w:rsidRPr="00570D1F">
        <w:t xml:space="preserve"> that lowering the telecommunications rate would likely promote the NBP’s objective of ubiquitous broadband deployment in the short-run.  However</w:t>
      </w:r>
      <w:r w:rsidR="001E56B8" w:rsidRPr="00570D1F">
        <w:t>,</w:t>
      </w:r>
      <w:r w:rsidR="0076779E" w:rsidRPr="00570D1F">
        <w:t xml:space="preserve"> the Ohio Commission does not necessarily agree that the </w:t>
      </w:r>
      <w:r w:rsidR="001E56B8" w:rsidRPr="00570D1F">
        <w:t>t</w:t>
      </w:r>
      <w:r w:rsidR="0076779E" w:rsidRPr="00570D1F">
        <w:t>elecommunications rate should be set at the cable TV rate.</w:t>
      </w:r>
    </w:p>
    <w:p w:rsidR="006779EE" w:rsidRPr="00570D1F" w:rsidRDefault="007A78D7" w:rsidP="000A0E1A">
      <w:pPr>
        <w:pStyle w:val="Textstyle"/>
      </w:pPr>
      <w:r>
        <w:tab/>
      </w:r>
      <w:r w:rsidR="006779EE" w:rsidRPr="00570D1F">
        <w:t xml:space="preserve">While there is some anecdotal evidence that cable </w:t>
      </w:r>
      <w:r w:rsidR="00C671F9" w:rsidRPr="00570D1F">
        <w:t>TV provider</w:t>
      </w:r>
      <w:r w:rsidR="001E56B8" w:rsidRPr="00570D1F">
        <w:t>s</w:t>
      </w:r>
      <w:r w:rsidR="00C671F9" w:rsidRPr="00570D1F">
        <w:t xml:space="preserve"> </w:t>
      </w:r>
      <w:r w:rsidR="006779EE" w:rsidRPr="00570D1F">
        <w:t xml:space="preserve">have chosen not to offer services </w:t>
      </w:r>
      <w:r w:rsidR="00DC65DF" w:rsidRPr="00570D1F">
        <w:t>commingled</w:t>
      </w:r>
      <w:r w:rsidR="00C671F9" w:rsidRPr="00570D1F">
        <w:t xml:space="preserve"> </w:t>
      </w:r>
      <w:r w:rsidR="006779EE" w:rsidRPr="00570D1F">
        <w:t>with telecommunications components because of the differ</w:t>
      </w:r>
      <w:r w:rsidR="000A0E1A">
        <w:softHyphen/>
      </w:r>
      <w:r w:rsidR="006779EE" w:rsidRPr="00570D1F">
        <w:t xml:space="preserve">ence between the cable </w:t>
      </w:r>
      <w:r w:rsidR="00C671F9" w:rsidRPr="00570D1F">
        <w:t xml:space="preserve">service pole attachment </w:t>
      </w:r>
      <w:r w:rsidR="006779EE" w:rsidRPr="00570D1F">
        <w:t xml:space="preserve">rate and the </w:t>
      </w:r>
      <w:r w:rsidR="00171A6B" w:rsidRPr="00570D1F">
        <w:t xml:space="preserve">much higher </w:t>
      </w:r>
      <w:r w:rsidR="006779EE" w:rsidRPr="00570D1F">
        <w:t>telecom</w:t>
      </w:r>
      <w:r w:rsidR="00C671F9" w:rsidRPr="00570D1F">
        <w:t>muni</w:t>
      </w:r>
      <w:r w:rsidR="000A0E1A">
        <w:softHyphen/>
      </w:r>
      <w:r w:rsidR="00C671F9" w:rsidRPr="00570D1F">
        <w:t>cations service pole attachment</w:t>
      </w:r>
      <w:r w:rsidR="006779EE" w:rsidRPr="00570D1F">
        <w:t xml:space="preserve"> rate, if the cable </w:t>
      </w:r>
      <w:r w:rsidR="00C671F9" w:rsidRPr="00570D1F">
        <w:t xml:space="preserve">service </w:t>
      </w:r>
      <w:r w:rsidR="006779EE" w:rsidRPr="00570D1F">
        <w:t xml:space="preserve">rate was </w:t>
      </w:r>
      <w:r w:rsidR="00C671F9" w:rsidRPr="00570D1F">
        <w:t xml:space="preserve">increased </w:t>
      </w:r>
      <w:r w:rsidR="006779EE" w:rsidRPr="00570D1F">
        <w:t xml:space="preserve">to the </w:t>
      </w:r>
      <w:r w:rsidR="00C671F9" w:rsidRPr="00570D1F">
        <w:t>tele</w:t>
      </w:r>
      <w:r w:rsidR="000A0E1A">
        <w:softHyphen/>
      </w:r>
      <w:r w:rsidR="00C671F9" w:rsidRPr="00570D1F">
        <w:t>communications service</w:t>
      </w:r>
      <w:r w:rsidR="006779EE" w:rsidRPr="00570D1F">
        <w:t xml:space="preserve"> rate, there would be no incremental cost associated with pole attachments should the cable </w:t>
      </w:r>
      <w:r w:rsidR="00171A6B" w:rsidRPr="00570D1F">
        <w:t>operator</w:t>
      </w:r>
      <w:r w:rsidR="006779EE" w:rsidRPr="00570D1F">
        <w:t xml:space="preserve"> begin offering telecommunications service.  </w:t>
      </w:r>
      <w:r w:rsidR="00171A6B" w:rsidRPr="00570D1F">
        <w:t>Cer</w:t>
      </w:r>
      <w:r w:rsidR="000A0E1A">
        <w:softHyphen/>
      </w:r>
      <w:r w:rsidR="00171A6B" w:rsidRPr="00570D1F">
        <w:t>tainly, t</w:t>
      </w:r>
      <w:r w:rsidR="00C671F9" w:rsidRPr="00570D1F">
        <w:t>he Ohio Commission</w:t>
      </w:r>
      <w:r w:rsidR="006779EE" w:rsidRPr="00570D1F">
        <w:t xml:space="preserve"> does not advocate raising the cable </w:t>
      </w:r>
      <w:r w:rsidR="00CF0D47" w:rsidRPr="00570D1F">
        <w:t>service rate</w:t>
      </w:r>
      <w:r w:rsidR="006779EE" w:rsidRPr="00570D1F">
        <w:t xml:space="preserve"> to th</w:t>
      </w:r>
      <w:r w:rsidR="00C671F9" w:rsidRPr="00570D1F">
        <w:t>at of the</w:t>
      </w:r>
      <w:r w:rsidR="006779EE" w:rsidRPr="00570D1F">
        <w:t xml:space="preserve"> telecom</w:t>
      </w:r>
      <w:r w:rsidR="00C671F9" w:rsidRPr="00570D1F">
        <w:t>munications</w:t>
      </w:r>
      <w:r w:rsidR="00171A6B" w:rsidRPr="00570D1F">
        <w:t xml:space="preserve"> service</w:t>
      </w:r>
      <w:r w:rsidR="00C671F9" w:rsidRPr="00570D1F">
        <w:t xml:space="preserve"> rate</w:t>
      </w:r>
      <w:r w:rsidR="006779EE" w:rsidRPr="00570D1F">
        <w:t>,</w:t>
      </w:r>
      <w:r w:rsidR="00C671F9" w:rsidRPr="00570D1F">
        <w:t xml:space="preserve"> but</w:t>
      </w:r>
      <w:r w:rsidR="006779EE" w:rsidRPr="00570D1F">
        <w:t xml:space="preserve"> the </w:t>
      </w:r>
      <w:r w:rsidR="00C671F9" w:rsidRPr="00570D1F">
        <w:t xml:space="preserve">Ohio Commission </w:t>
      </w:r>
      <w:r w:rsidR="00171A6B" w:rsidRPr="00570D1F">
        <w:t xml:space="preserve">does </w:t>
      </w:r>
      <w:r w:rsidR="006779EE" w:rsidRPr="00570D1F">
        <w:t xml:space="preserve">believe </w:t>
      </w:r>
      <w:r w:rsidR="00171A6B" w:rsidRPr="00570D1F">
        <w:t xml:space="preserve">that </w:t>
      </w:r>
      <w:r w:rsidR="006779EE" w:rsidRPr="00570D1F">
        <w:t xml:space="preserve">the FCC should consider the reasons the cable </w:t>
      </w:r>
      <w:r w:rsidR="00C671F9" w:rsidRPr="00570D1F">
        <w:t xml:space="preserve">service </w:t>
      </w:r>
      <w:r w:rsidR="006779EE" w:rsidRPr="00570D1F">
        <w:t xml:space="preserve">rate is lower before </w:t>
      </w:r>
      <w:r w:rsidR="002556DE" w:rsidRPr="00570D1F">
        <w:t xml:space="preserve">moving  </w:t>
      </w:r>
      <w:r w:rsidR="006779EE" w:rsidRPr="00570D1F">
        <w:t>the telecom</w:t>
      </w:r>
      <w:r w:rsidR="000A0E1A">
        <w:softHyphen/>
      </w:r>
      <w:r w:rsidR="00C671F9" w:rsidRPr="00570D1F">
        <w:t>munications</w:t>
      </w:r>
      <w:r w:rsidR="006779EE" w:rsidRPr="00570D1F">
        <w:t xml:space="preserve"> rate </w:t>
      </w:r>
      <w:r w:rsidR="002556DE" w:rsidRPr="00570D1F">
        <w:t>in that direction</w:t>
      </w:r>
      <w:r w:rsidR="006779EE" w:rsidRPr="00570D1F">
        <w:t>.</w:t>
      </w:r>
    </w:p>
    <w:p w:rsidR="006779EE" w:rsidRPr="00570D1F" w:rsidRDefault="007A78D7" w:rsidP="000A0E1A">
      <w:pPr>
        <w:pStyle w:val="Textstyle"/>
      </w:pPr>
      <w:r>
        <w:lastRenderedPageBreak/>
        <w:tab/>
      </w:r>
      <w:r w:rsidR="00C671F9" w:rsidRPr="00570D1F">
        <w:t xml:space="preserve">At the time </w:t>
      </w:r>
      <w:r w:rsidR="006779EE" w:rsidRPr="00570D1F">
        <w:t>the cable</w:t>
      </w:r>
      <w:r w:rsidR="00C671F9" w:rsidRPr="00570D1F">
        <w:t xml:space="preserve"> service</w:t>
      </w:r>
      <w:r w:rsidR="006779EE" w:rsidRPr="00570D1F">
        <w:t xml:space="preserve"> rate was established, cable companies were not direct competitors of utilities</w:t>
      </w:r>
      <w:r w:rsidR="005A00B9" w:rsidRPr="00570D1F">
        <w:t>, which</w:t>
      </w:r>
      <w:r w:rsidR="006779EE" w:rsidRPr="00570D1F">
        <w:t xml:space="preserve"> </w:t>
      </w:r>
      <w:r w:rsidR="005A00B9" w:rsidRPr="00570D1F">
        <w:t>are</w:t>
      </w:r>
      <w:r w:rsidR="006779EE" w:rsidRPr="00570D1F">
        <w:t xml:space="preserve"> required to allow access to their poles</w:t>
      </w:r>
      <w:r w:rsidR="00171A6B" w:rsidRPr="00570D1F">
        <w:t xml:space="preserve">.  Consequently, </w:t>
      </w:r>
      <w:r w:rsidR="006779EE" w:rsidRPr="00570D1F">
        <w:t xml:space="preserve">a utility providing cable attachments to </w:t>
      </w:r>
      <w:r w:rsidR="00BE0C18" w:rsidRPr="00570D1F">
        <w:t xml:space="preserve">its </w:t>
      </w:r>
      <w:r w:rsidR="006779EE" w:rsidRPr="00570D1F">
        <w:t>pol</w:t>
      </w:r>
      <w:r w:rsidR="00171A6B" w:rsidRPr="00570D1F">
        <w:t>e</w:t>
      </w:r>
      <w:r w:rsidR="006779EE" w:rsidRPr="00570D1F">
        <w:t>s would not be at a disadvantage if</w:t>
      </w:r>
      <w:r w:rsidR="00171A6B" w:rsidRPr="00570D1F">
        <w:t xml:space="preserve"> </w:t>
      </w:r>
      <w:r w:rsidR="00BE0C18" w:rsidRPr="00570D1F">
        <w:t>it</w:t>
      </w:r>
      <w:r w:rsidR="006779EE" w:rsidRPr="00570D1F">
        <w:t xml:space="preserve"> recovered </w:t>
      </w:r>
      <w:r w:rsidR="00C671F9" w:rsidRPr="00570D1F">
        <w:t xml:space="preserve">only </w:t>
      </w:r>
      <w:r w:rsidR="006779EE" w:rsidRPr="00570D1F">
        <w:t xml:space="preserve">the incremental cost of providing that attachment.  </w:t>
      </w:r>
      <w:r w:rsidR="00C671F9" w:rsidRPr="00570D1F">
        <w:t>On the other hand, it was recognized with the establishment of t</w:t>
      </w:r>
      <w:r w:rsidR="006779EE" w:rsidRPr="00570D1F">
        <w:t>he telecom</w:t>
      </w:r>
      <w:r w:rsidR="00C671F9" w:rsidRPr="00570D1F">
        <w:t>munications service</w:t>
      </w:r>
      <w:r w:rsidR="006779EE" w:rsidRPr="00570D1F">
        <w:t xml:space="preserve"> rate formula that attachers providing telecommunications </w:t>
      </w:r>
      <w:r w:rsidR="00171A6B" w:rsidRPr="00570D1F">
        <w:t xml:space="preserve">services </w:t>
      </w:r>
      <w:r w:rsidR="00C671F9" w:rsidRPr="00570D1F">
        <w:t xml:space="preserve">would be </w:t>
      </w:r>
      <w:r w:rsidR="006779EE" w:rsidRPr="00570D1F">
        <w:t xml:space="preserve">direct competitors of </w:t>
      </w:r>
      <w:r w:rsidR="00C671F9" w:rsidRPr="00570D1F">
        <w:t xml:space="preserve">the </w:t>
      </w:r>
      <w:r w:rsidR="00171A6B" w:rsidRPr="00570D1F">
        <w:t>incumbe</w:t>
      </w:r>
      <w:r w:rsidR="005404DA" w:rsidRPr="00570D1F">
        <w:t>nt</w:t>
      </w:r>
      <w:r w:rsidR="00171A6B" w:rsidRPr="00570D1F">
        <w:t xml:space="preserve"> local exchange carriers (</w:t>
      </w:r>
      <w:r w:rsidR="006779EE" w:rsidRPr="00570D1F">
        <w:t>ILECs</w:t>
      </w:r>
      <w:r w:rsidR="00171A6B" w:rsidRPr="00570D1F">
        <w:t>)</w:t>
      </w:r>
      <w:r w:rsidR="005A00B9" w:rsidRPr="00570D1F">
        <w:t xml:space="preserve">. </w:t>
      </w:r>
      <w:r w:rsidR="006779EE" w:rsidRPr="00570D1F">
        <w:t xml:space="preserve"> </w:t>
      </w:r>
      <w:r w:rsidR="005A00B9" w:rsidRPr="00570D1F">
        <w:t>Consequently,</w:t>
      </w:r>
      <w:r w:rsidR="006779EE" w:rsidRPr="00570D1F">
        <w:t xml:space="preserve"> a generally higher allocation of the unusable space on a pole was allocated among all attachers</w:t>
      </w:r>
      <w:r w:rsidR="00C671F9" w:rsidRPr="00570D1F">
        <w:t xml:space="preserve"> to account for this</w:t>
      </w:r>
      <w:r w:rsidR="006779EE" w:rsidRPr="00570D1F">
        <w:t xml:space="preserve">.  </w:t>
      </w:r>
      <w:r w:rsidR="00C671F9" w:rsidRPr="00570D1F">
        <w:t xml:space="preserve">Decreasing </w:t>
      </w:r>
      <w:r w:rsidR="006779EE" w:rsidRPr="00570D1F">
        <w:t>the telecom</w:t>
      </w:r>
      <w:r w:rsidR="00C671F9" w:rsidRPr="00570D1F">
        <w:t>munications service</w:t>
      </w:r>
      <w:r w:rsidR="006779EE" w:rsidRPr="00570D1F">
        <w:t xml:space="preserve"> rate to </w:t>
      </w:r>
      <w:r w:rsidR="00171A6B" w:rsidRPr="00570D1F">
        <w:t xml:space="preserve">approximate </w:t>
      </w:r>
      <w:r w:rsidR="006779EE" w:rsidRPr="00570D1F">
        <w:t xml:space="preserve">the cable </w:t>
      </w:r>
      <w:r w:rsidR="008A68B5" w:rsidRPr="00570D1F">
        <w:t xml:space="preserve">service </w:t>
      </w:r>
      <w:r w:rsidR="006779EE" w:rsidRPr="00570D1F">
        <w:t xml:space="preserve">rate would allow the </w:t>
      </w:r>
      <w:r w:rsidR="008A68B5" w:rsidRPr="00570D1F">
        <w:t xml:space="preserve">telecommunications service provider </w:t>
      </w:r>
      <w:r w:rsidR="006779EE" w:rsidRPr="00570D1F">
        <w:t>to recover</w:t>
      </w:r>
      <w:r w:rsidR="008A68B5" w:rsidRPr="00570D1F">
        <w:t xml:space="preserve"> only</w:t>
      </w:r>
      <w:r w:rsidR="006779EE" w:rsidRPr="00570D1F">
        <w:t xml:space="preserve"> the incremental cost of the attachment</w:t>
      </w:r>
      <w:r w:rsidR="005A00B9" w:rsidRPr="00570D1F">
        <w:t>,</w:t>
      </w:r>
      <w:r w:rsidR="006779EE" w:rsidRPr="00570D1F">
        <w:t xml:space="preserve"> </w:t>
      </w:r>
      <w:r w:rsidR="00CF0D47" w:rsidRPr="00570D1F">
        <w:t>which</w:t>
      </w:r>
      <w:r w:rsidR="00347E09" w:rsidRPr="00570D1F">
        <w:t xml:space="preserve"> </w:t>
      </w:r>
      <w:r w:rsidR="006779EE" w:rsidRPr="00570D1F">
        <w:t xml:space="preserve">may put the </w:t>
      </w:r>
      <w:r w:rsidR="008A68B5" w:rsidRPr="00570D1F">
        <w:t xml:space="preserve">telecommunications service provider </w:t>
      </w:r>
      <w:r w:rsidR="00491F7B" w:rsidRPr="00570D1F">
        <w:t>a</w:t>
      </w:r>
      <w:r w:rsidR="006779EE" w:rsidRPr="00570D1F">
        <w:t>t a com</w:t>
      </w:r>
      <w:r w:rsidR="000A0E1A">
        <w:softHyphen/>
      </w:r>
      <w:r w:rsidR="006779EE" w:rsidRPr="00570D1F">
        <w:t xml:space="preserve">petitive disadvantage to attachers who are </w:t>
      </w:r>
      <w:r w:rsidR="000A0E1A">
        <w:t>its</w:t>
      </w:r>
      <w:r w:rsidR="008A68B5" w:rsidRPr="00570D1F">
        <w:t xml:space="preserve"> </w:t>
      </w:r>
      <w:r w:rsidR="006779EE" w:rsidRPr="00570D1F">
        <w:t xml:space="preserve">direct competitors.  For instance, a </w:t>
      </w:r>
      <w:r w:rsidR="00171A6B" w:rsidRPr="00570D1F">
        <w:t>compet</w:t>
      </w:r>
      <w:r w:rsidR="000A0E1A">
        <w:softHyphen/>
      </w:r>
      <w:r w:rsidR="00171A6B" w:rsidRPr="00570D1F">
        <w:t xml:space="preserve">itive </w:t>
      </w:r>
      <w:r w:rsidR="006779EE" w:rsidRPr="00570D1F">
        <w:t xml:space="preserve">telecommunications </w:t>
      </w:r>
      <w:r w:rsidR="008A68B5" w:rsidRPr="00570D1F">
        <w:t xml:space="preserve">service </w:t>
      </w:r>
      <w:r w:rsidR="006779EE" w:rsidRPr="00570D1F">
        <w:t>provider in direct competition with an ILEC that pays a rate equivalent to the cable rate</w:t>
      </w:r>
      <w:r w:rsidR="008A68B5" w:rsidRPr="00570D1F">
        <w:t xml:space="preserve"> </w:t>
      </w:r>
      <w:r w:rsidR="006779EE" w:rsidRPr="00570D1F">
        <w:t>would pay approximately 7.4% of the fully distributed annual cost of the pole.</w:t>
      </w:r>
      <w:r w:rsidR="00CF0D47" w:rsidRPr="00570D1F">
        <w:rPr>
          <w:rStyle w:val="FootnoteReference"/>
        </w:rPr>
        <w:footnoteReference w:id="31"/>
      </w:r>
      <w:r w:rsidR="006779EE" w:rsidRPr="00570D1F">
        <w:t xml:space="preserve">  If there is only one attacher other than the ILEC, </w:t>
      </w:r>
      <w:r w:rsidR="00171A6B" w:rsidRPr="00570D1F">
        <w:t xml:space="preserve">then </w:t>
      </w:r>
      <w:r w:rsidR="006779EE" w:rsidRPr="00570D1F">
        <w:t>the ILEC would be responsible for the remaining 92.6% of the fully distributed cost of the pole.</w:t>
      </w:r>
      <w:r w:rsidR="00CF0D47" w:rsidRPr="00570D1F">
        <w:rPr>
          <w:rStyle w:val="FootnoteReference"/>
        </w:rPr>
        <w:footnoteReference w:id="32"/>
      </w:r>
      <w:r w:rsidR="006779EE" w:rsidRPr="00570D1F">
        <w:t xml:space="preserve">  From this perspective</w:t>
      </w:r>
      <w:r w:rsidR="008A68B5" w:rsidRPr="00570D1F">
        <w:t>,</w:t>
      </w:r>
      <w:r w:rsidR="006779EE" w:rsidRPr="00570D1F">
        <w:t xml:space="preserve"> one could </w:t>
      </w:r>
      <w:r w:rsidR="008A68B5" w:rsidRPr="00570D1F">
        <w:t xml:space="preserve">argue that the </w:t>
      </w:r>
      <w:r w:rsidR="00171A6B" w:rsidRPr="00570D1F">
        <w:t xml:space="preserve">competitive </w:t>
      </w:r>
      <w:r w:rsidR="008A68B5" w:rsidRPr="00570D1F">
        <w:t>telecommunications service provider attaching to the ILEC’s pole</w:t>
      </w:r>
      <w:r w:rsidR="006779EE" w:rsidRPr="00570D1F">
        <w:t xml:space="preserve"> has a competitive advantage over </w:t>
      </w:r>
      <w:r w:rsidR="008A68B5" w:rsidRPr="00570D1F">
        <w:t xml:space="preserve">the </w:t>
      </w:r>
      <w:r w:rsidR="006779EE" w:rsidRPr="00570D1F">
        <w:t>ILEC with respect to the cost of pole attachments.  While the same scenario occurs when the tele</w:t>
      </w:r>
      <w:r w:rsidR="000A0E1A">
        <w:softHyphen/>
      </w:r>
      <w:r w:rsidR="006779EE" w:rsidRPr="00570D1F">
        <w:lastRenderedPageBreak/>
        <w:t>com</w:t>
      </w:r>
      <w:r w:rsidR="008A68B5" w:rsidRPr="00570D1F">
        <w:t>munications service</w:t>
      </w:r>
      <w:r w:rsidR="006779EE" w:rsidRPr="00570D1F">
        <w:t xml:space="preserve"> rate formula is used, the magnitude of the </w:t>
      </w:r>
      <w:r w:rsidR="008A68B5" w:rsidRPr="00570D1F">
        <w:t xml:space="preserve">disparity </w:t>
      </w:r>
      <w:r w:rsidR="006779EE" w:rsidRPr="00570D1F">
        <w:t>between the portion of the fully</w:t>
      </w:r>
      <w:r w:rsidR="000A0E1A">
        <w:t>-</w:t>
      </w:r>
      <w:r w:rsidR="006779EE" w:rsidRPr="00570D1F">
        <w:t xml:space="preserve">distributed cost </w:t>
      </w:r>
      <w:r w:rsidR="008A68B5" w:rsidRPr="00570D1F">
        <w:t xml:space="preserve">the </w:t>
      </w:r>
      <w:r w:rsidR="006779EE" w:rsidRPr="00570D1F">
        <w:t xml:space="preserve">attacher would pay and </w:t>
      </w:r>
      <w:r w:rsidR="008A68B5" w:rsidRPr="00570D1F">
        <w:t xml:space="preserve">the portion </w:t>
      </w:r>
      <w:r w:rsidR="005A00B9" w:rsidRPr="00570D1F">
        <w:t xml:space="preserve">for which </w:t>
      </w:r>
      <w:r w:rsidR="006779EE" w:rsidRPr="00570D1F">
        <w:t xml:space="preserve">the pole owner would be responsible is much smaller.  </w:t>
      </w:r>
    </w:p>
    <w:p w:rsidR="00724E3D" w:rsidRPr="00570D1F" w:rsidRDefault="007A78D7" w:rsidP="000A0E1A">
      <w:pPr>
        <w:pStyle w:val="Textstyle"/>
      </w:pPr>
      <w:r>
        <w:tab/>
      </w:r>
      <w:r w:rsidR="00491F7B" w:rsidRPr="00570D1F">
        <w:t xml:space="preserve">The Ohio Commission also recognizes </w:t>
      </w:r>
      <w:r w:rsidR="005A00B9" w:rsidRPr="00570D1F">
        <w:t>the</w:t>
      </w:r>
      <w:r w:rsidR="00491F7B" w:rsidRPr="00570D1F">
        <w:t xml:space="preserve"> argument that the ILECs are, in fact, made whole through the rates assessed to their end</w:t>
      </w:r>
      <w:r w:rsidR="005A00B9" w:rsidRPr="00570D1F">
        <w:t>-</w:t>
      </w:r>
      <w:r w:rsidR="00491F7B" w:rsidRPr="00570D1F">
        <w:t>use customers, both retail and whole</w:t>
      </w:r>
      <w:r w:rsidR="000A0E1A">
        <w:softHyphen/>
      </w:r>
      <w:r w:rsidR="00491F7B" w:rsidRPr="00570D1F">
        <w:t xml:space="preserve">sale.  </w:t>
      </w:r>
      <w:r w:rsidR="00FC3EA2" w:rsidRPr="00570D1F">
        <w:t>Under incremental costing model</w:t>
      </w:r>
      <w:r w:rsidR="00491F7B" w:rsidRPr="00570D1F">
        <w:t>s</w:t>
      </w:r>
      <w:r w:rsidR="00FC3EA2" w:rsidRPr="00570D1F">
        <w:t>,</w:t>
      </w:r>
      <w:r w:rsidR="00491F7B" w:rsidRPr="00570D1F">
        <w:t xml:space="preserve"> </w:t>
      </w:r>
      <w:r w:rsidR="00FC3EA2" w:rsidRPr="00570D1F">
        <w:t xml:space="preserve">the cost of poles is </w:t>
      </w:r>
      <w:r w:rsidR="00491F7B" w:rsidRPr="00570D1F">
        <w:t>includ</w:t>
      </w:r>
      <w:r w:rsidR="00F05F95" w:rsidRPr="00570D1F">
        <w:t>e</w:t>
      </w:r>
      <w:r w:rsidR="00FC3EA2" w:rsidRPr="00570D1F">
        <w:t>d</w:t>
      </w:r>
      <w:r w:rsidR="00F05F95" w:rsidRPr="00570D1F">
        <w:t xml:space="preserve"> </w:t>
      </w:r>
      <w:r w:rsidR="00491F7B" w:rsidRPr="00570D1F">
        <w:t xml:space="preserve">as </w:t>
      </w:r>
      <w:r w:rsidR="00FC3EA2" w:rsidRPr="00570D1F">
        <w:t>a shared cost</w:t>
      </w:r>
      <w:r w:rsidR="00491F7B" w:rsidRPr="00570D1F">
        <w:t>.  Under these m</w:t>
      </w:r>
      <w:r w:rsidR="00757D7A" w:rsidRPr="00570D1F">
        <w:t xml:space="preserve">odels, the only </w:t>
      </w:r>
      <w:r w:rsidR="00491F7B" w:rsidRPr="00570D1F">
        <w:t xml:space="preserve">cost </w:t>
      </w:r>
      <w:r w:rsidR="005A00B9" w:rsidRPr="00570D1F">
        <w:t xml:space="preserve">that is </w:t>
      </w:r>
      <w:r w:rsidR="00491F7B" w:rsidRPr="00570D1F">
        <w:t xml:space="preserve">not recovered is the incremental cost of the </w:t>
      </w:r>
      <w:r w:rsidR="00757D7A" w:rsidRPr="00570D1F">
        <w:t xml:space="preserve">pole </w:t>
      </w:r>
      <w:r w:rsidR="00491F7B" w:rsidRPr="00570D1F">
        <w:t xml:space="preserve">attachment, which, arguably, does not place the utility at a disadvantage and is the </w:t>
      </w:r>
      <w:r w:rsidR="00F05F95" w:rsidRPr="00570D1F">
        <w:t xml:space="preserve">only </w:t>
      </w:r>
      <w:r w:rsidR="00757D7A" w:rsidRPr="00570D1F">
        <w:t xml:space="preserve">additional </w:t>
      </w:r>
      <w:r w:rsidR="00F05F95" w:rsidRPr="00570D1F">
        <w:t>cost it should recover.  Instead, since the ILECs’ end</w:t>
      </w:r>
      <w:r w:rsidR="005A00B9" w:rsidRPr="00570D1F">
        <w:t>-</w:t>
      </w:r>
      <w:r w:rsidR="00F05F95" w:rsidRPr="00570D1F">
        <w:t>use customers</w:t>
      </w:r>
      <w:r w:rsidR="00FC3EA2" w:rsidRPr="00570D1F">
        <w:t xml:space="preserve"> – retail and wholesale –</w:t>
      </w:r>
      <w:r w:rsidR="00F05F95" w:rsidRPr="00570D1F">
        <w:t xml:space="preserve"> are making the ILECs whole </w:t>
      </w:r>
      <w:r w:rsidR="00757D7A" w:rsidRPr="00570D1F">
        <w:t xml:space="preserve">through assessed rates </w:t>
      </w:r>
      <w:r w:rsidR="00F05F95" w:rsidRPr="00570D1F">
        <w:t xml:space="preserve">for the cost of the poles used by the ILECs’ </w:t>
      </w:r>
      <w:r w:rsidR="00FC3EA2" w:rsidRPr="00570D1F">
        <w:t>cable competitors, these</w:t>
      </w:r>
      <w:r w:rsidR="00F05F95" w:rsidRPr="00570D1F">
        <w:t xml:space="preserve"> </w:t>
      </w:r>
      <w:r w:rsidR="00FC3EA2" w:rsidRPr="00570D1F">
        <w:t xml:space="preserve">customers </w:t>
      </w:r>
      <w:r w:rsidR="00F05F95" w:rsidRPr="00570D1F">
        <w:t xml:space="preserve">are the </w:t>
      </w:r>
      <w:r w:rsidR="00706C39" w:rsidRPr="00570D1F">
        <w:t xml:space="preserve">parties </w:t>
      </w:r>
      <w:r w:rsidR="00F05F95" w:rsidRPr="00570D1F">
        <w:t xml:space="preserve">that may, in fact, be placed at a disadvantage.  </w:t>
      </w:r>
      <w:r w:rsidR="00757D7A" w:rsidRPr="00570D1F">
        <w:t xml:space="preserve">The Ohio </w:t>
      </w:r>
      <w:r w:rsidR="00422B3D" w:rsidRPr="00570D1F">
        <w:t xml:space="preserve">Commission </w:t>
      </w:r>
      <w:r w:rsidR="00757D7A" w:rsidRPr="00570D1F">
        <w:t>believes that i</w:t>
      </w:r>
      <w:r w:rsidR="00F05F95" w:rsidRPr="00570D1F">
        <w:t xml:space="preserve">f the </w:t>
      </w:r>
      <w:r w:rsidR="00491F7B" w:rsidRPr="00570D1F">
        <w:t>current tele</w:t>
      </w:r>
      <w:r w:rsidR="000A0E1A">
        <w:softHyphen/>
      </w:r>
      <w:r w:rsidR="00491F7B" w:rsidRPr="00570D1F">
        <w:t xml:space="preserve">communications </w:t>
      </w:r>
      <w:r w:rsidR="00757D7A" w:rsidRPr="00570D1F">
        <w:t xml:space="preserve">pole attachment </w:t>
      </w:r>
      <w:r w:rsidR="00491F7B" w:rsidRPr="00570D1F">
        <w:t xml:space="preserve">rate </w:t>
      </w:r>
      <w:r w:rsidR="00F05F95" w:rsidRPr="00570D1F">
        <w:t xml:space="preserve">is maintained, </w:t>
      </w:r>
      <w:r w:rsidR="00491F7B" w:rsidRPr="00570D1F">
        <w:t xml:space="preserve">the objectives of the NBP </w:t>
      </w:r>
      <w:r w:rsidR="00081B1B" w:rsidRPr="00570D1F">
        <w:t>would likely be frustrated</w:t>
      </w:r>
      <w:r w:rsidR="000A0E1A">
        <w:t>,</w:t>
      </w:r>
      <w:r w:rsidR="00081B1B" w:rsidRPr="00570D1F">
        <w:t xml:space="preserve"> as </w:t>
      </w:r>
      <w:r w:rsidR="00491F7B" w:rsidRPr="00570D1F">
        <w:t>broadband deployment</w:t>
      </w:r>
      <w:r w:rsidR="00081B1B" w:rsidRPr="00570D1F">
        <w:t xml:space="preserve"> would be discouraged</w:t>
      </w:r>
      <w:r w:rsidR="00491F7B" w:rsidRPr="00570D1F">
        <w:t xml:space="preserve">.  </w:t>
      </w:r>
      <w:r w:rsidR="00724E3D" w:rsidRPr="00570D1F">
        <w:t>However,</w:t>
      </w:r>
      <w:r w:rsidR="00757D7A" w:rsidRPr="00570D1F">
        <w:t xml:space="preserve"> </w:t>
      </w:r>
      <w:r w:rsidR="00491F7B" w:rsidRPr="00570D1F">
        <w:t xml:space="preserve">one may argue that </w:t>
      </w:r>
      <w:r w:rsidR="00757D7A" w:rsidRPr="00570D1F">
        <w:t>any</w:t>
      </w:r>
      <w:r w:rsidR="00491F7B" w:rsidRPr="00570D1F">
        <w:t xml:space="preserve"> </w:t>
      </w:r>
      <w:r w:rsidR="00757D7A" w:rsidRPr="00570D1F">
        <w:t xml:space="preserve">pole </w:t>
      </w:r>
      <w:r w:rsidR="00491F7B" w:rsidRPr="00570D1F">
        <w:t>cost recovery</w:t>
      </w:r>
      <w:r w:rsidR="00FC3EA2" w:rsidRPr="00570D1F">
        <w:t xml:space="preserve"> </w:t>
      </w:r>
      <w:r w:rsidR="00757D7A" w:rsidRPr="00570D1F">
        <w:t xml:space="preserve">received under the current rate </w:t>
      </w:r>
      <w:r w:rsidR="00FC3EA2" w:rsidRPr="00570D1F">
        <w:t>should be accounted for in any incremental cost model</w:t>
      </w:r>
      <w:r w:rsidR="00491F7B" w:rsidRPr="00570D1F">
        <w:t xml:space="preserve"> to prevent a double recovery by the ILEC.  </w:t>
      </w:r>
    </w:p>
    <w:p w:rsidR="00DD3760" w:rsidRPr="00570D1F" w:rsidRDefault="007A78D7" w:rsidP="000A0E1A">
      <w:pPr>
        <w:pStyle w:val="Textstyle"/>
      </w:pPr>
      <w:r>
        <w:tab/>
      </w:r>
      <w:r w:rsidR="006779EE" w:rsidRPr="00570D1F">
        <w:t xml:space="preserve">The </w:t>
      </w:r>
      <w:r w:rsidR="00673DDA" w:rsidRPr="00570D1F">
        <w:t xml:space="preserve">Ohio Commission </w:t>
      </w:r>
      <w:r w:rsidR="006779EE" w:rsidRPr="00570D1F">
        <w:t xml:space="preserve">agrees that </w:t>
      </w:r>
      <w:r w:rsidR="00673DDA" w:rsidRPr="00570D1F">
        <w:t>the FCC</w:t>
      </w:r>
      <w:r w:rsidR="006779EE" w:rsidRPr="00570D1F">
        <w:t xml:space="preserve"> has the discretion to interpret the term “cost” in </w:t>
      </w:r>
      <w:r w:rsidR="00673DDA" w:rsidRPr="00570D1F">
        <w:t>sub</w:t>
      </w:r>
      <w:r w:rsidR="006779EE" w:rsidRPr="00570D1F">
        <w:t>section 224(e) and modify the cost methodology underlying the telecom</w:t>
      </w:r>
      <w:r w:rsidR="000A0E1A">
        <w:softHyphen/>
      </w:r>
      <w:r w:rsidR="00673DDA" w:rsidRPr="00570D1F">
        <w:t>munications</w:t>
      </w:r>
      <w:r w:rsidR="006779EE" w:rsidRPr="00570D1F">
        <w:t xml:space="preserve"> rate formula.  However, the </w:t>
      </w:r>
      <w:r w:rsidR="00673DDA" w:rsidRPr="00570D1F">
        <w:t>Ohio Commission urges</w:t>
      </w:r>
      <w:r w:rsidR="006779EE" w:rsidRPr="00570D1F">
        <w:t xml:space="preserve"> the </w:t>
      </w:r>
      <w:r w:rsidR="00673DDA" w:rsidRPr="00570D1F">
        <w:t>FCC</w:t>
      </w:r>
      <w:r w:rsidR="006779EE" w:rsidRPr="00570D1F">
        <w:t xml:space="preserve">, should it decide to </w:t>
      </w:r>
      <w:r w:rsidR="00673DDA" w:rsidRPr="00570D1F">
        <w:t>modify this cost methodology</w:t>
      </w:r>
      <w:r w:rsidR="006779EE" w:rsidRPr="00570D1F">
        <w:t xml:space="preserve">, </w:t>
      </w:r>
      <w:r w:rsidR="00673DDA" w:rsidRPr="00570D1F">
        <w:t xml:space="preserve">to </w:t>
      </w:r>
      <w:r w:rsidR="006779EE" w:rsidRPr="00570D1F">
        <w:t xml:space="preserve">carefully consider whether doing so will allow certain attachers to have an unfair competitive advantage over pole owners with respect to pole attachment costs.  </w:t>
      </w:r>
      <w:r w:rsidR="00335F3E" w:rsidRPr="00570D1F">
        <w:t xml:space="preserve">The Ohio Commission believes that this result may, in fact, </w:t>
      </w:r>
      <w:r w:rsidR="00335F3E" w:rsidRPr="00570D1F">
        <w:lastRenderedPageBreak/>
        <w:t>have the effect of deterring the deployment of broadband service in presently unserved areas.</w:t>
      </w:r>
    </w:p>
    <w:p w:rsidR="00DD3760" w:rsidRPr="00570D1F" w:rsidRDefault="008A3C83" w:rsidP="007A78D7">
      <w:pPr>
        <w:pStyle w:val="Heading2"/>
      </w:pPr>
      <w:bookmarkStart w:id="5" w:name="_Toc269900424"/>
      <w:r>
        <w:t>IV</w:t>
      </w:r>
      <w:r w:rsidR="00DD3760" w:rsidRPr="00570D1F">
        <w:t>.</w:t>
      </w:r>
      <w:r w:rsidR="00DD3760" w:rsidRPr="00570D1F">
        <w:tab/>
        <w:t>Timelines for Completing Pole Attachments</w:t>
      </w:r>
      <w:bookmarkEnd w:id="5"/>
    </w:p>
    <w:p w:rsidR="00DD3760" w:rsidRPr="00570D1F" w:rsidRDefault="007A78D7" w:rsidP="000A0E1A">
      <w:pPr>
        <w:pStyle w:val="Textstyle"/>
      </w:pPr>
      <w:r>
        <w:tab/>
      </w:r>
      <w:r w:rsidR="00DD3760" w:rsidRPr="00570D1F">
        <w:t>The Ohio Commission agrees with the FCC’s assertion that delays in obtaining access to poles may not only affect a communications provider’s ability to serve particu</w:t>
      </w:r>
      <w:r w:rsidR="000A0E1A">
        <w:softHyphen/>
      </w:r>
      <w:r w:rsidR="00DD3760" w:rsidRPr="00570D1F">
        <w:t>lar customers, but may also affect the provider’s decision to serve a particular market at all.</w:t>
      </w:r>
      <w:r w:rsidR="00DD3760" w:rsidRPr="00570D1F">
        <w:rPr>
          <w:rStyle w:val="FootnoteReference"/>
        </w:rPr>
        <w:footnoteReference w:id="33"/>
      </w:r>
      <w:r w:rsidR="00DD3760" w:rsidRPr="00570D1F">
        <w:t xml:space="preserve">  Accordingly, the Ohio Commission supports the idea of establishing a timeline to manage the pole access process for attachers and finds the FCC’s five-stage timeline to be a reasonable approach to addressing this issue.</w:t>
      </w:r>
      <w:r w:rsidR="00DD3760" w:rsidRPr="00570D1F">
        <w:rPr>
          <w:rStyle w:val="FootnoteReference"/>
        </w:rPr>
        <w:footnoteReference w:id="34"/>
      </w:r>
      <w:r w:rsidR="000A0E1A">
        <w:t xml:space="preserve">  </w:t>
      </w:r>
      <w:r w:rsidR="00DD3760" w:rsidRPr="00570D1F">
        <w:t xml:space="preserve">Nonetheless, the Ohio Commission believes that the proposed timeline will be very difficult to follow and </w:t>
      </w:r>
      <w:r w:rsidR="000A0E1A">
        <w:t>limitedly effective</w:t>
      </w:r>
      <w:r w:rsidR="00DD3760" w:rsidRPr="00570D1F">
        <w:t xml:space="preserve"> if the communication and notification process among prospective attachers and pole owners is not improved as well.</w:t>
      </w:r>
    </w:p>
    <w:p w:rsidR="00DD3760" w:rsidRPr="00570D1F" w:rsidRDefault="007A78D7" w:rsidP="000A0E1A">
      <w:pPr>
        <w:pStyle w:val="Textstyle"/>
      </w:pPr>
      <w:r>
        <w:tab/>
      </w:r>
      <w:r w:rsidR="00DD3760" w:rsidRPr="00570D1F">
        <w:t>In recent years, the Ohio Commission noticed an increase in “two-pole” situations.  That is, a protracted pole transfer and old pole removal process th</w:t>
      </w:r>
      <w:r w:rsidR="00422B3D" w:rsidRPr="00570D1F">
        <w:t>at</w:t>
      </w:r>
      <w:r w:rsidR="00DD3760" w:rsidRPr="00570D1F">
        <w:t xml:space="preserve"> results in two poles being in a </w:t>
      </w:r>
      <w:r w:rsidR="007B7E54" w:rsidRPr="00570D1F">
        <w:t xml:space="preserve">particular </w:t>
      </w:r>
      <w:r w:rsidR="00DD3760" w:rsidRPr="00570D1F">
        <w:t xml:space="preserve">location for an extended period of time.  </w:t>
      </w:r>
      <w:r w:rsidR="003E6843" w:rsidRPr="00570D1F">
        <w:t>In 2005, the Ohio Commis</w:t>
      </w:r>
      <w:r w:rsidR="000A0E1A">
        <w:softHyphen/>
      </w:r>
      <w:r w:rsidR="003E6843" w:rsidRPr="00570D1F">
        <w:t>sion staff, together with representatives from the regulated telephone and electric com</w:t>
      </w:r>
      <w:r w:rsidR="000A0E1A">
        <w:softHyphen/>
      </w:r>
      <w:r w:rsidR="003E6843" w:rsidRPr="00570D1F">
        <w:t xml:space="preserve">panies, the cable TV companies, the Ohio Cable Telecommunications Association, and the rural electric cooperatives, </w:t>
      </w:r>
      <w:r w:rsidR="00DD3760" w:rsidRPr="00570D1F">
        <w:t xml:space="preserve">established </w:t>
      </w:r>
      <w:r w:rsidR="003E6843" w:rsidRPr="00570D1F">
        <w:t xml:space="preserve">the </w:t>
      </w:r>
      <w:r w:rsidR="00DD3760" w:rsidRPr="00570D1F">
        <w:t xml:space="preserve">Pole Transfer and Removal Task Force </w:t>
      </w:r>
      <w:r w:rsidR="00081B1B" w:rsidRPr="00570D1F">
        <w:t>(“Task Force”)</w:t>
      </w:r>
      <w:r w:rsidR="000A0E1A">
        <w:t xml:space="preserve"> </w:t>
      </w:r>
      <w:r w:rsidR="00DD3760" w:rsidRPr="00570D1F">
        <w:t>to address th</w:t>
      </w:r>
      <w:r w:rsidR="007B7E54" w:rsidRPr="00570D1F">
        <w:t>is</w:t>
      </w:r>
      <w:r w:rsidR="00DD3760" w:rsidRPr="00570D1F">
        <w:t xml:space="preserve"> issue.  With few exceptions, the </w:t>
      </w:r>
      <w:r w:rsidR="00081B1B" w:rsidRPr="00570D1F">
        <w:t>T</w:t>
      </w:r>
      <w:r w:rsidR="00DD3760" w:rsidRPr="00570D1F">
        <w:t xml:space="preserve">ask </w:t>
      </w:r>
      <w:r w:rsidR="00081B1B" w:rsidRPr="00570D1F">
        <w:t>F</w:t>
      </w:r>
      <w:r w:rsidR="00DD3760" w:rsidRPr="00570D1F">
        <w:t xml:space="preserve">orce found that the </w:t>
      </w:r>
      <w:r w:rsidR="00DD3760" w:rsidRPr="00570D1F">
        <w:lastRenderedPageBreak/>
        <w:t xml:space="preserve">electric and telephone industries </w:t>
      </w:r>
      <w:r w:rsidR="007B7E54" w:rsidRPr="00570D1F">
        <w:t xml:space="preserve">were </w:t>
      </w:r>
      <w:r w:rsidR="00DD3760" w:rsidRPr="00570D1F">
        <w:t xml:space="preserve">generally </w:t>
      </w:r>
      <w:r w:rsidR="007B7E54" w:rsidRPr="00570D1F">
        <w:t>unaware of</w:t>
      </w:r>
      <w:r w:rsidR="00DD3760" w:rsidRPr="00570D1F">
        <w:t xml:space="preserve"> the status of their poles, including </w:t>
      </w:r>
      <w:r w:rsidR="000A0E1A">
        <w:t>which</w:t>
      </w:r>
      <w:r w:rsidR="00C8313E" w:rsidRPr="00570D1F">
        <w:t xml:space="preserve"> service provider</w:t>
      </w:r>
      <w:r w:rsidR="000A0E1A">
        <w:t>s</w:t>
      </w:r>
      <w:r w:rsidR="00C8313E" w:rsidRPr="00570D1F">
        <w:t xml:space="preserve"> </w:t>
      </w:r>
      <w:r w:rsidR="00DD3760" w:rsidRPr="00570D1F">
        <w:t>w</w:t>
      </w:r>
      <w:r w:rsidR="00C8313E" w:rsidRPr="00570D1F">
        <w:t>ere</w:t>
      </w:r>
      <w:r w:rsidR="00DD3760" w:rsidRPr="00570D1F">
        <w:t xml:space="preserve"> attached to them.  This resulted largely from the lack of a uniform tracking and notification system</w:t>
      </w:r>
      <w:r w:rsidRPr="00570D1F">
        <w:t xml:space="preserve">.  </w:t>
      </w:r>
      <w:r w:rsidR="00DD3760" w:rsidRPr="00570D1F">
        <w:t xml:space="preserve">Most </w:t>
      </w:r>
      <w:r w:rsidR="007B7E54" w:rsidRPr="00570D1F">
        <w:t xml:space="preserve">pole owners </w:t>
      </w:r>
      <w:r w:rsidR="00DD3760" w:rsidRPr="00570D1F">
        <w:t>were using a paper notification process</w:t>
      </w:r>
      <w:r w:rsidR="000A0E1A">
        <w:t>,</w:t>
      </w:r>
      <w:r w:rsidR="00DD3760" w:rsidRPr="00570D1F">
        <w:t xml:space="preserve"> rather than an automated electronic process, to notify attachers of needed transfer and pole removal activity.  </w:t>
      </w:r>
    </w:p>
    <w:p w:rsidR="00DD3760" w:rsidRPr="00570D1F" w:rsidRDefault="007A78D7" w:rsidP="000A0E1A">
      <w:pPr>
        <w:pStyle w:val="Textstyle"/>
      </w:pPr>
      <w:r>
        <w:tab/>
      </w:r>
      <w:r w:rsidR="00DD3760" w:rsidRPr="00570D1F">
        <w:t>The Ohio Commission believes the efficiency</w:t>
      </w:r>
      <w:r w:rsidR="00702B89" w:rsidRPr="00570D1F">
        <w:t xml:space="preserve"> </w:t>
      </w:r>
      <w:r w:rsidR="00DD3760" w:rsidRPr="00570D1F">
        <w:t>and integrity of joint use communica</w:t>
      </w:r>
      <w:r w:rsidR="000A0E1A">
        <w:softHyphen/>
      </w:r>
      <w:r w:rsidR="00DD3760" w:rsidRPr="00570D1F">
        <w:t>tion and management would be greatly enhanced by the use of an electronic notification system rather than the paper notification process</w:t>
      </w:r>
      <w:r w:rsidR="000A0E1A">
        <w:t>.  S</w:t>
      </w:r>
      <w:r w:rsidR="00DD3760" w:rsidRPr="00570D1F">
        <w:t xml:space="preserve">ome </w:t>
      </w:r>
      <w:r w:rsidR="00422B3D" w:rsidRPr="00570D1F">
        <w:t xml:space="preserve">Ohio </w:t>
      </w:r>
      <w:r w:rsidR="00DD3760" w:rsidRPr="00570D1F">
        <w:t xml:space="preserve">companies have begun using such a system.  It seems that the FCC recognizes </w:t>
      </w:r>
      <w:r w:rsidR="00DC65DF" w:rsidRPr="00570D1F">
        <w:t xml:space="preserve">this </w:t>
      </w:r>
      <w:r w:rsidR="000A0E1A">
        <w:t xml:space="preserve">concept </w:t>
      </w:r>
      <w:r w:rsidR="00DC65DF" w:rsidRPr="00570D1F">
        <w:t>as well</w:t>
      </w:r>
      <w:r w:rsidR="00DD3760" w:rsidRPr="00570D1F">
        <w:t>, but rather than directly requiring a</w:t>
      </w:r>
      <w:r w:rsidR="00DC65DF" w:rsidRPr="00570D1F">
        <w:t>n electronic notification</w:t>
      </w:r>
      <w:r w:rsidR="00DD3760" w:rsidRPr="00570D1F">
        <w:t xml:space="preserve"> system in its rules, </w:t>
      </w:r>
      <w:r w:rsidR="00422B3D" w:rsidRPr="00570D1F">
        <w:t xml:space="preserve">it </w:t>
      </w:r>
      <w:r w:rsidR="00DD3760" w:rsidRPr="00570D1F">
        <w:t xml:space="preserve">has </w:t>
      </w:r>
      <w:r w:rsidR="00DC65DF" w:rsidRPr="00570D1F">
        <w:t>pro</w:t>
      </w:r>
      <w:r w:rsidR="000A0E1A">
        <w:softHyphen/>
      </w:r>
      <w:r w:rsidR="00DC65DF" w:rsidRPr="00570D1F">
        <w:t>posed</w:t>
      </w:r>
      <w:r w:rsidR="00DD3760" w:rsidRPr="00570D1F">
        <w:t xml:space="preserve"> timelines that will likely </w:t>
      </w:r>
      <w:r w:rsidR="00DC65DF" w:rsidRPr="00570D1F">
        <w:t xml:space="preserve">be </w:t>
      </w:r>
      <w:r w:rsidR="00DD3760" w:rsidRPr="00570D1F">
        <w:t>difficult to meet through the paper notification system</w:t>
      </w:r>
      <w:r w:rsidR="000A0E1A">
        <w:t>.  These difficulties may</w:t>
      </w:r>
      <w:r w:rsidR="00C8313E" w:rsidRPr="00570D1F">
        <w:t xml:space="preserve"> </w:t>
      </w:r>
      <w:r w:rsidR="00DD3760" w:rsidRPr="00570D1F">
        <w:t>necessitat</w:t>
      </w:r>
      <w:r w:rsidR="00C8313E" w:rsidRPr="00570D1F">
        <w:t>e</w:t>
      </w:r>
      <w:r w:rsidR="00DD3760" w:rsidRPr="00570D1F">
        <w:t xml:space="preserve"> the </w:t>
      </w:r>
      <w:r w:rsidR="00C8313E" w:rsidRPr="00570D1F">
        <w:t>implementation</w:t>
      </w:r>
      <w:r w:rsidR="00DD3760" w:rsidRPr="00570D1F">
        <w:t xml:space="preserve"> of an electronic system.  The Ohio Commission is hopeful that electronic notification systems will result from the FCC’s proposed pole attachment timelines and believes that, if </w:t>
      </w:r>
      <w:r w:rsidR="00422B3D" w:rsidRPr="00570D1F">
        <w:t>so</w:t>
      </w:r>
      <w:r w:rsidR="00DD3760" w:rsidRPr="00570D1F">
        <w:t>, the pole attachment process</w:t>
      </w:r>
      <w:r w:rsidR="000A0E1A">
        <w:t xml:space="preserve"> will</w:t>
      </w:r>
      <w:r w:rsidR="00DD3760" w:rsidRPr="00570D1F">
        <w:t xml:space="preserve"> become more efficient for the traditional regulated industries, </w:t>
      </w:r>
      <w:r w:rsidR="000A0E1A">
        <w:t>and achievement of</w:t>
      </w:r>
      <w:r w:rsidR="00DD3760" w:rsidRPr="00570D1F">
        <w:t xml:space="preserve"> the NBP’s objective of hastening broadband deployment</w:t>
      </w:r>
      <w:r w:rsidR="000A0E1A">
        <w:t xml:space="preserve"> will be significantly advanced</w:t>
      </w:r>
      <w:r w:rsidR="00DD3760" w:rsidRPr="00570D1F">
        <w:t>.</w:t>
      </w:r>
    </w:p>
    <w:p w:rsidR="00CF0D47" w:rsidRPr="00570D1F" w:rsidRDefault="009C60BC" w:rsidP="007A78D7">
      <w:pPr>
        <w:pStyle w:val="Heading1"/>
      </w:pPr>
      <w:r>
        <w:br w:type="page"/>
      </w:r>
      <w:bookmarkStart w:id="6" w:name="_Toc269900425"/>
      <w:r w:rsidR="00CF0D47" w:rsidRPr="00570D1F">
        <w:lastRenderedPageBreak/>
        <w:t>CONCLUSION</w:t>
      </w:r>
      <w:bookmarkEnd w:id="6"/>
    </w:p>
    <w:p w:rsidR="00D3094A" w:rsidRDefault="007A78D7" w:rsidP="000A0E1A">
      <w:pPr>
        <w:pStyle w:val="Textstyle"/>
      </w:pPr>
      <w:r>
        <w:tab/>
      </w:r>
      <w:r w:rsidR="0019595E" w:rsidRPr="00570D1F">
        <w:t>Universal broadband deployment and access is a</w:t>
      </w:r>
      <w:r w:rsidR="00C8313E" w:rsidRPr="00570D1F">
        <w:t>n</w:t>
      </w:r>
      <w:r w:rsidR="0019595E" w:rsidRPr="00570D1F">
        <w:t xml:space="preserve"> </w:t>
      </w:r>
      <w:r w:rsidR="00C8313E" w:rsidRPr="00570D1F">
        <w:t xml:space="preserve">important </w:t>
      </w:r>
      <w:r w:rsidR="0019595E" w:rsidRPr="00570D1F">
        <w:t>goal</w:t>
      </w:r>
      <w:r w:rsidR="00DF2900" w:rsidRPr="00570D1F">
        <w:t xml:space="preserve"> that involves many challenges, </w:t>
      </w:r>
      <w:r w:rsidR="00C8313E" w:rsidRPr="00570D1F">
        <w:t>including those</w:t>
      </w:r>
      <w:r w:rsidR="00DF2900" w:rsidRPr="00570D1F">
        <w:t xml:space="preserve"> </w:t>
      </w:r>
      <w:r w:rsidR="005404DA" w:rsidRPr="00570D1F">
        <w:t>pertain</w:t>
      </w:r>
      <w:r w:rsidR="00C8313E" w:rsidRPr="00570D1F">
        <w:t>ing</w:t>
      </w:r>
      <w:r w:rsidR="00DF2900" w:rsidRPr="00570D1F">
        <w:t xml:space="preserve"> to pole attachments.  </w:t>
      </w:r>
      <w:r w:rsidR="00D3094A" w:rsidRPr="00570D1F">
        <w:t>The Ohio Commission believes that addressing issues such as pole attachment access, dispute resolution</w:t>
      </w:r>
      <w:r w:rsidR="000A0E1A">
        <w:t>,</w:t>
      </w:r>
      <w:r w:rsidR="00D3094A" w:rsidRPr="00570D1F">
        <w:t xml:space="preserve"> and rates, as the FCC has done in the FNPRM, is imperative to removing barriers to entry that would hinder broadband deployment and frustrate the implementation of the NBP.  As such, the Ohio Commission </w:t>
      </w:r>
      <w:r w:rsidR="00436470" w:rsidRPr="00570D1F">
        <w:t xml:space="preserve">has made recommendations </w:t>
      </w:r>
      <w:r w:rsidR="001C73C5" w:rsidRPr="00570D1F">
        <w:t xml:space="preserve">and provided its thoughts </w:t>
      </w:r>
      <w:r w:rsidR="00436470" w:rsidRPr="00570D1F">
        <w:t>regarding a pole attachment dispute resolution process, a uniform pole attachment rate, modification of the telecommunications pole attachment rate</w:t>
      </w:r>
      <w:r w:rsidR="000A0E1A">
        <w:t>,</w:t>
      </w:r>
      <w:r w:rsidR="00436470" w:rsidRPr="00570D1F">
        <w:t xml:space="preserve"> and an electronic notifica</w:t>
      </w:r>
      <w:r w:rsidR="000A0E1A">
        <w:softHyphen/>
      </w:r>
      <w:r w:rsidR="00436470" w:rsidRPr="00570D1F">
        <w:t xml:space="preserve">tion system in the context of the FCC’s proposed timelines.  The Ohio Commission </w:t>
      </w:r>
      <w:r w:rsidR="00D3094A" w:rsidRPr="00570D1F">
        <w:t xml:space="preserve">appreciates the opportunity that the FCC has given </w:t>
      </w:r>
      <w:r w:rsidR="00081B1B" w:rsidRPr="00570D1F">
        <w:t xml:space="preserve">it </w:t>
      </w:r>
      <w:r w:rsidR="00D3094A" w:rsidRPr="00570D1F">
        <w:t>to share its thoughts on these mat</w:t>
      </w:r>
      <w:r w:rsidR="000A0E1A">
        <w:softHyphen/>
      </w:r>
      <w:r w:rsidR="00D3094A" w:rsidRPr="00570D1F">
        <w:t>ters and is pleased to submit its comments for consideration.</w:t>
      </w:r>
    </w:p>
    <w:p w:rsidR="007A78D7" w:rsidRPr="007A78D7" w:rsidRDefault="007A78D7" w:rsidP="007A78D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Respectfully submitted,</w:t>
      </w:r>
    </w:p>
    <w:p w:rsidR="007A78D7" w:rsidRPr="007A78D7" w:rsidRDefault="007A78D7" w:rsidP="007A78D7">
      <w:pPr>
        <w:tabs>
          <w:tab w:val="left" w:pos="9360"/>
        </w:tabs>
        <w:spacing w:after="0" w:line="240" w:lineRule="auto"/>
        <w:ind w:left="4320"/>
        <w:rPr>
          <w:rFonts w:ascii="Times New Roman" w:hAnsi="Times New Roman"/>
          <w:sz w:val="26"/>
          <w:szCs w:val="26"/>
        </w:rPr>
      </w:pPr>
    </w:p>
    <w:p w:rsidR="007A78D7" w:rsidRPr="007A78D7" w:rsidRDefault="007A78D7" w:rsidP="007A78D7">
      <w:pPr>
        <w:tabs>
          <w:tab w:val="left" w:pos="9360"/>
        </w:tabs>
        <w:spacing w:after="0" w:line="240" w:lineRule="auto"/>
        <w:ind w:left="4320"/>
        <w:rPr>
          <w:rFonts w:ascii="Times New Roman" w:hAnsi="Times New Roman"/>
          <w:sz w:val="26"/>
          <w:szCs w:val="26"/>
        </w:rPr>
      </w:pPr>
    </w:p>
    <w:p w:rsidR="007A78D7" w:rsidRPr="007A78D7" w:rsidRDefault="007A78D7" w:rsidP="007A78D7">
      <w:pPr>
        <w:tabs>
          <w:tab w:val="left" w:pos="9360"/>
        </w:tabs>
        <w:spacing w:after="0" w:line="240" w:lineRule="auto"/>
        <w:ind w:left="4320"/>
        <w:rPr>
          <w:rFonts w:ascii="Brush Script MT" w:hAnsi="Brush Script MT"/>
          <w:sz w:val="36"/>
          <w:szCs w:val="36"/>
          <w:u w:val="single"/>
        </w:rPr>
      </w:pPr>
      <w:r w:rsidRPr="007A78D7">
        <w:rPr>
          <w:rFonts w:ascii="Brush Script MT" w:hAnsi="Brush Script MT"/>
          <w:sz w:val="36"/>
          <w:szCs w:val="36"/>
          <w:u w:val="single"/>
        </w:rPr>
        <w:t>/s/ R</w:t>
      </w:r>
      <w:r>
        <w:rPr>
          <w:rFonts w:ascii="Brush Script MT" w:hAnsi="Brush Script MT"/>
          <w:sz w:val="36"/>
          <w:szCs w:val="36"/>
          <w:u w:val="single"/>
        </w:rPr>
        <w:t>ebecca L</w:t>
      </w:r>
      <w:r w:rsidRPr="007A78D7">
        <w:rPr>
          <w:rFonts w:ascii="Brush Script MT" w:hAnsi="Brush Script MT"/>
          <w:sz w:val="36"/>
          <w:szCs w:val="36"/>
          <w:u w:val="single"/>
        </w:rPr>
        <w:t>.  Hussey</w:t>
      </w:r>
      <w:r w:rsidRPr="007A78D7">
        <w:rPr>
          <w:rFonts w:ascii="Brush Script MT" w:hAnsi="Brush Script MT"/>
          <w:sz w:val="36"/>
          <w:szCs w:val="36"/>
          <w:u w:val="single"/>
        </w:rPr>
        <w:tab/>
      </w:r>
    </w:p>
    <w:p w:rsidR="007A78D7" w:rsidRPr="007A78D7" w:rsidRDefault="007A78D7" w:rsidP="007A78D7">
      <w:pPr>
        <w:tabs>
          <w:tab w:val="left" w:pos="9360"/>
        </w:tabs>
        <w:spacing w:after="0" w:line="240" w:lineRule="auto"/>
        <w:ind w:left="4320"/>
        <w:rPr>
          <w:rFonts w:ascii="Times New Roman" w:hAnsi="Times New Roman"/>
          <w:b/>
          <w:sz w:val="26"/>
          <w:szCs w:val="26"/>
        </w:rPr>
      </w:pPr>
      <w:r>
        <w:rPr>
          <w:rFonts w:ascii="Times New Roman" w:hAnsi="Times New Roman"/>
          <w:b/>
          <w:sz w:val="26"/>
          <w:szCs w:val="26"/>
        </w:rPr>
        <w:t>Rebecca L. Hussey</w:t>
      </w:r>
    </w:p>
    <w:p w:rsidR="007A78D7" w:rsidRPr="007A78D7" w:rsidRDefault="007A78D7" w:rsidP="007A78D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180 East Broad Street, 6</w:t>
      </w:r>
      <w:r w:rsidRPr="007A78D7">
        <w:rPr>
          <w:rFonts w:ascii="Times New Roman" w:hAnsi="Times New Roman"/>
          <w:sz w:val="26"/>
          <w:szCs w:val="26"/>
          <w:vertAlign w:val="superscript"/>
        </w:rPr>
        <w:t>th</w:t>
      </w:r>
      <w:r w:rsidRPr="007A78D7">
        <w:rPr>
          <w:rFonts w:ascii="Times New Roman" w:hAnsi="Times New Roman"/>
          <w:sz w:val="26"/>
          <w:szCs w:val="26"/>
        </w:rPr>
        <w:t xml:space="preserve"> Floor</w:t>
      </w:r>
    </w:p>
    <w:p w:rsidR="007A78D7" w:rsidRPr="007A78D7" w:rsidRDefault="007A78D7" w:rsidP="007A78D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Columbus, OH  43215-3793</w:t>
      </w:r>
    </w:p>
    <w:p w:rsidR="007A78D7" w:rsidRPr="007A78D7" w:rsidRDefault="007A78D7" w:rsidP="007A78D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614.466.4397 (telephone)</w:t>
      </w:r>
    </w:p>
    <w:p w:rsidR="007A78D7" w:rsidRPr="007A78D7" w:rsidRDefault="007A78D7" w:rsidP="007A78D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614.644.8764 (fax)</w:t>
      </w:r>
    </w:p>
    <w:p w:rsidR="007A78D7" w:rsidRPr="007A78D7" w:rsidRDefault="004C351B" w:rsidP="007A78D7">
      <w:pPr>
        <w:tabs>
          <w:tab w:val="left" w:pos="9360"/>
        </w:tabs>
        <w:spacing w:after="0" w:line="240" w:lineRule="auto"/>
        <w:ind w:left="4320"/>
        <w:rPr>
          <w:rFonts w:ascii="Times New Roman" w:hAnsi="Times New Roman"/>
          <w:sz w:val="26"/>
          <w:szCs w:val="26"/>
        </w:rPr>
      </w:pPr>
      <w:hyperlink r:id="rId11" w:history="1">
        <w:r w:rsidR="007A78D7" w:rsidRPr="00652C6F">
          <w:rPr>
            <w:rStyle w:val="Hyperlink"/>
            <w:rFonts w:ascii="Times New Roman" w:hAnsi="Times New Roman"/>
            <w:sz w:val="26"/>
            <w:szCs w:val="26"/>
          </w:rPr>
          <w:t>rebecca.hussey@puc.state.oh.us</w:t>
        </w:r>
      </w:hyperlink>
    </w:p>
    <w:p w:rsidR="007A78D7" w:rsidRPr="007A78D7" w:rsidRDefault="007A78D7" w:rsidP="007A78D7">
      <w:pPr>
        <w:tabs>
          <w:tab w:val="left" w:pos="9360"/>
        </w:tabs>
        <w:spacing w:after="0" w:line="240" w:lineRule="auto"/>
        <w:ind w:left="4320"/>
        <w:rPr>
          <w:rFonts w:ascii="Times New Roman" w:hAnsi="Times New Roman"/>
          <w:sz w:val="26"/>
          <w:szCs w:val="26"/>
        </w:rPr>
      </w:pPr>
    </w:p>
    <w:p w:rsidR="007A78D7" w:rsidRPr="007A78D7" w:rsidRDefault="007A78D7" w:rsidP="007A78D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 xml:space="preserve">Counsel for </w:t>
      </w:r>
    </w:p>
    <w:p w:rsidR="007A78D7" w:rsidRPr="007A78D7" w:rsidRDefault="007A78D7" w:rsidP="007A78D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The Public Utilities Commission of Ohio</w:t>
      </w:r>
    </w:p>
    <w:p w:rsidR="007A78D7" w:rsidRPr="007A78D7" w:rsidRDefault="007A78D7" w:rsidP="007A78D7">
      <w:pPr>
        <w:tabs>
          <w:tab w:val="left" w:pos="9360"/>
        </w:tabs>
        <w:spacing w:after="0" w:line="240" w:lineRule="auto"/>
        <w:ind w:left="4320"/>
        <w:rPr>
          <w:rFonts w:ascii="Times New Roman" w:hAnsi="Times New Roman"/>
          <w:sz w:val="26"/>
          <w:szCs w:val="26"/>
        </w:rPr>
      </w:pPr>
    </w:p>
    <w:p w:rsidR="007A78D7" w:rsidRDefault="007A78D7" w:rsidP="000A0E1A">
      <w:pPr>
        <w:pStyle w:val="Textstyle"/>
      </w:pPr>
    </w:p>
    <w:p w:rsidR="007A78D7" w:rsidRPr="00570D1F" w:rsidRDefault="007A78D7" w:rsidP="000A0E1A">
      <w:pPr>
        <w:pStyle w:val="Textstyle"/>
      </w:pPr>
      <w:r>
        <w:t>Dated:  August 1</w:t>
      </w:r>
      <w:r w:rsidR="00856A03">
        <w:t>9</w:t>
      </w:r>
      <w:r>
        <w:t>, 2010</w:t>
      </w:r>
    </w:p>
    <w:sectPr w:rsidR="007A78D7" w:rsidRPr="00570D1F" w:rsidSect="00EC7927">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83" w:rsidRDefault="008A3C83" w:rsidP="00C969E7">
      <w:pPr>
        <w:spacing w:after="0" w:line="240" w:lineRule="auto"/>
      </w:pPr>
      <w:r>
        <w:separator/>
      </w:r>
    </w:p>
  </w:endnote>
  <w:endnote w:type="continuationSeparator" w:id="0">
    <w:p w:rsidR="008A3C83" w:rsidRDefault="008A3C83" w:rsidP="00C96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83" w:rsidRDefault="004C351B">
    <w:pPr>
      <w:pStyle w:val="Footer"/>
      <w:jc w:val="center"/>
    </w:pPr>
    <w:fldSimple w:instr=" PAGE   \* MERGEFORMAT ">
      <w:r w:rsidR="008A3C83">
        <w:rPr>
          <w:noProof/>
        </w:rPr>
        <w:t>ii</w:t>
      </w:r>
    </w:fldSimple>
  </w:p>
  <w:p w:rsidR="008A3C83" w:rsidRDefault="008A3C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83" w:rsidRPr="009C60BC" w:rsidRDefault="004C351B">
    <w:pPr>
      <w:pStyle w:val="Footer"/>
      <w:jc w:val="center"/>
      <w:rPr>
        <w:rFonts w:ascii="Times New Roman" w:hAnsi="Times New Roman"/>
        <w:sz w:val="26"/>
        <w:szCs w:val="26"/>
      </w:rPr>
    </w:pPr>
    <w:r w:rsidRPr="009C60BC">
      <w:rPr>
        <w:rFonts w:ascii="Times New Roman" w:hAnsi="Times New Roman"/>
        <w:sz w:val="26"/>
        <w:szCs w:val="26"/>
      </w:rPr>
      <w:fldChar w:fldCharType="begin"/>
    </w:r>
    <w:r w:rsidR="008A3C83" w:rsidRPr="009C60BC">
      <w:rPr>
        <w:rFonts w:ascii="Times New Roman" w:hAnsi="Times New Roman"/>
        <w:sz w:val="26"/>
        <w:szCs w:val="26"/>
      </w:rPr>
      <w:instrText xml:space="preserve"> PAGE   \* MERGEFORMAT </w:instrText>
    </w:r>
    <w:r w:rsidRPr="009C60BC">
      <w:rPr>
        <w:rFonts w:ascii="Times New Roman" w:hAnsi="Times New Roman"/>
        <w:sz w:val="26"/>
        <w:szCs w:val="26"/>
      </w:rPr>
      <w:fldChar w:fldCharType="separate"/>
    </w:r>
    <w:r w:rsidR="00B376F2">
      <w:rPr>
        <w:rFonts w:ascii="Times New Roman" w:hAnsi="Times New Roman"/>
        <w:noProof/>
        <w:sz w:val="26"/>
        <w:szCs w:val="26"/>
      </w:rPr>
      <w:t>i</w:t>
    </w:r>
    <w:r w:rsidRPr="009C60BC">
      <w:rPr>
        <w:rFonts w:ascii="Times New Roman" w:hAnsi="Times New Roman"/>
        <w:sz w:val="26"/>
        <w:szCs w:val="2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83" w:rsidRPr="009C60BC" w:rsidRDefault="004C351B">
    <w:pPr>
      <w:pStyle w:val="Footer"/>
      <w:jc w:val="center"/>
      <w:rPr>
        <w:rFonts w:ascii="Times New Roman" w:hAnsi="Times New Roman"/>
        <w:sz w:val="26"/>
        <w:szCs w:val="26"/>
      </w:rPr>
    </w:pPr>
    <w:r w:rsidRPr="009C60BC">
      <w:rPr>
        <w:rFonts w:ascii="Times New Roman" w:hAnsi="Times New Roman"/>
        <w:sz w:val="26"/>
        <w:szCs w:val="26"/>
      </w:rPr>
      <w:fldChar w:fldCharType="begin"/>
    </w:r>
    <w:r w:rsidR="008A3C83" w:rsidRPr="009C60BC">
      <w:rPr>
        <w:rFonts w:ascii="Times New Roman" w:hAnsi="Times New Roman"/>
        <w:sz w:val="26"/>
        <w:szCs w:val="26"/>
      </w:rPr>
      <w:instrText xml:space="preserve"> PAGE   \* MERGEFORMAT </w:instrText>
    </w:r>
    <w:r w:rsidRPr="009C60BC">
      <w:rPr>
        <w:rFonts w:ascii="Times New Roman" w:hAnsi="Times New Roman"/>
        <w:sz w:val="26"/>
        <w:szCs w:val="26"/>
      </w:rPr>
      <w:fldChar w:fldCharType="separate"/>
    </w:r>
    <w:r w:rsidR="00B376F2">
      <w:rPr>
        <w:rFonts w:ascii="Times New Roman" w:hAnsi="Times New Roman"/>
        <w:noProof/>
        <w:sz w:val="26"/>
        <w:szCs w:val="26"/>
      </w:rPr>
      <w:t>15</w:t>
    </w:r>
    <w:r w:rsidRPr="009C60BC">
      <w:rPr>
        <w:rFonts w:ascii="Times New Roman" w:hAnsi="Times New Roman"/>
        <w:sz w:val="26"/>
        <w:szCs w:val="2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83" w:rsidRDefault="008A3C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83" w:rsidRDefault="008A3C83" w:rsidP="00C969E7">
      <w:pPr>
        <w:spacing w:after="0" w:line="240" w:lineRule="auto"/>
      </w:pPr>
      <w:r>
        <w:separator/>
      </w:r>
    </w:p>
  </w:footnote>
  <w:footnote w:type="continuationSeparator" w:id="0">
    <w:p w:rsidR="008A3C83" w:rsidRDefault="008A3C83" w:rsidP="00C969E7">
      <w:pPr>
        <w:spacing w:after="0" w:line="240" w:lineRule="auto"/>
      </w:pPr>
      <w:r>
        <w:continuationSeparator/>
      </w:r>
    </w:p>
  </w:footnote>
  <w:footnote w:id="1">
    <w:p w:rsidR="008A3C83" w:rsidRPr="00570D1F" w:rsidRDefault="008A3C83" w:rsidP="00570D1F">
      <w:pPr>
        <w:pStyle w:val="FootnoteText"/>
        <w:rPr>
          <w:b/>
          <w:szCs w:val="24"/>
        </w:rPr>
      </w:pPr>
      <w:r w:rsidRPr="006146E2">
        <w:rPr>
          <w:rStyle w:val="FootnoteReference"/>
        </w:rPr>
        <w:footnoteRef/>
      </w:r>
      <w:r w:rsidRPr="006146E2">
        <w:t xml:space="preserve"> </w:t>
      </w:r>
      <w:r>
        <w:tab/>
      </w:r>
      <w:r>
        <w:tab/>
      </w:r>
      <w:r w:rsidRPr="00570D1F">
        <w:rPr>
          <w:i/>
          <w:szCs w:val="24"/>
        </w:rPr>
        <w:t>Implementation of Section 224 of the Act, A National Broadband Plan for Our Future</w:t>
      </w:r>
      <w:r w:rsidRPr="00570D1F">
        <w:rPr>
          <w:szCs w:val="24"/>
        </w:rPr>
        <w:t>, WC Docket No. 07-245, GN Docket No. 09-51, Order and Further Notice of Proposed Rulemaking, FCC 10-84 (“FNPRM</w:t>
      </w:r>
      <w:r w:rsidRPr="00570D1F">
        <w:rPr>
          <w:i/>
          <w:szCs w:val="24"/>
        </w:rPr>
        <w:t>”)</w:t>
      </w:r>
      <w:r>
        <w:rPr>
          <w:szCs w:val="24"/>
        </w:rPr>
        <w:t xml:space="preserve"> at 35, ¶79</w:t>
      </w:r>
      <w:r w:rsidRPr="00570D1F">
        <w:rPr>
          <w:szCs w:val="24"/>
        </w:rPr>
        <w:t xml:space="preserve"> (rel. May 20, 2010)</w:t>
      </w:r>
      <w:r w:rsidRPr="00570D1F">
        <w:rPr>
          <w:i/>
          <w:szCs w:val="24"/>
        </w:rPr>
        <w:t>.</w:t>
      </w:r>
    </w:p>
  </w:footnote>
  <w:footnote w:id="2">
    <w:p w:rsidR="008A3C83" w:rsidRDefault="008A3C83" w:rsidP="00570D1F">
      <w:pPr>
        <w:pStyle w:val="FootnoteText"/>
      </w:pPr>
      <w:r>
        <w:rPr>
          <w:rStyle w:val="FootnoteReference"/>
        </w:rPr>
        <w:footnoteRef/>
      </w:r>
      <w:r>
        <w:t xml:space="preserve"> </w:t>
      </w:r>
      <w:r>
        <w:tab/>
      </w:r>
      <w:r>
        <w:tab/>
      </w:r>
      <w:r w:rsidRPr="00570D1F">
        <w:t>See</w:t>
      </w:r>
      <w:r>
        <w:t xml:space="preserve"> </w:t>
      </w:r>
      <w:r w:rsidRPr="00570D1F">
        <w:rPr>
          <w:i/>
        </w:rPr>
        <w:t>The Establishment of Carrier-to-Carrier Rules</w:t>
      </w:r>
      <w:r>
        <w:t>, Case No. 06-1344-TP-ORD (Opinion and Order) (2007).</w:t>
      </w:r>
    </w:p>
  </w:footnote>
  <w:footnote w:id="3">
    <w:p w:rsidR="008A3C83" w:rsidRDefault="008A3C83">
      <w:pPr>
        <w:pStyle w:val="FootnoteText"/>
      </w:pPr>
      <w:r>
        <w:rPr>
          <w:rStyle w:val="FootnoteReference"/>
        </w:rPr>
        <w:footnoteRef/>
      </w:r>
      <w:r>
        <w:t xml:space="preserve"> </w:t>
      </w:r>
      <w:r>
        <w:tab/>
      </w:r>
      <w:r>
        <w:tab/>
      </w:r>
      <w:r w:rsidRPr="009E7166">
        <w:rPr>
          <w:i/>
        </w:rPr>
        <w:t>See</w:t>
      </w:r>
      <w:r>
        <w:t xml:space="preserve"> Ohio Admin. Code § 4901:1-7-28 (West 2010).</w:t>
      </w:r>
    </w:p>
  </w:footnote>
  <w:footnote w:id="4">
    <w:p w:rsidR="008A3C83" w:rsidRDefault="008A3C83">
      <w:pPr>
        <w:pStyle w:val="FootnoteText"/>
      </w:pPr>
      <w:r>
        <w:rPr>
          <w:rStyle w:val="FootnoteReference"/>
        </w:rPr>
        <w:footnoteRef/>
      </w:r>
      <w:r>
        <w:t xml:space="preserve"> </w:t>
      </w:r>
      <w:r>
        <w:tab/>
      </w:r>
      <w:r>
        <w:tab/>
        <w:t>FNPRM at 35, ¶ 80.</w:t>
      </w:r>
    </w:p>
  </w:footnote>
  <w:footnote w:id="5">
    <w:p w:rsidR="008A3C83" w:rsidRDefault="008A3C83" w:rsidP="0061356C">
      <w:pPr>
        <w:pStyle w:val="FootnoteText"/>
      </w:pPr>
      <w:r>
        <w:rPr>
          <w:rStyle w:val="FootnoteReference"/>
        </w:rPr>
        <w:footnoteRef/>
      </w:r>
      <w:r>
        <w:t xml:space="preserve"> </w:t>
      </w:r>
      <w:r>
        <w:tab/>
      </w:r>
      <w:r>
        <w:tab/>
        <w:t>FNPRM at 50-51, ¶¶ 119-120.</w:t>
      </w:r>
    </w:p>
  </w:footnote>
  <w:footnote w:id="6">
    <w:p w:rsidR="008A3C83" w:rsidRDefault="008A3C83" w:rsidP="0061356C">
      <w:pPr>
        <w:pStyle w:val="FootnoteText"/>
      </w:pPr>
      <w:r>
        <w:rPr>
          <w:rStyle w:val="FootnoteReference"/>
        </w:rPr>
        <w:footnoteRef/>
      </w:r>
      <w:r>
        <w:t xml:space="preserve"> </w:t>
      </w:r>
      <w:r>
        <w:tab/>
      </w:r>
      <w:r>
        <w:tab/>
      </w:r>
      <w:r w:rsidRPr="00966222">
        <w:rPr>
          <w:i/>
        </w:rPr>
        <w:t>Id</w:t>
      </w:r>
      <w:r>
        <w:t>. at 51, ¶ 120.</w:t>
      </w:r>
    </w:p>
  </w:footnote>
  <w:footnote w:id="7">
    <w:p w:rsidR="008A3C83" w:rsidRDefault="008A3C83" w:rsidP="0061356C">
      <w:pPr>
        <w:pStyle w:val="FootnoteText"/>
      </w:pPr>
      <w:r>
        <w:rPr>
          <w:rStyle w:val="FootnoteReference"/>
        </w:rPr>
        <w:footnoteRef/>
      </w:r>
      <w:r>
        <w:t xml:space="preserve"> </w:t>
      </w:r>
      <w:r>
        <w:tab/>
      </w:r>
      <w:r>
        <w:tab/>
      </w:r>
      <w:r w:rsidRPr="00966222">
        <w:rPr>
          <w:i/>
        </w:rPr>
        <w:t>Id</w:t>
      </w:r>
      <w:r>
        <w:t>.</w:t>
      </w:r>
    </w:p>
  </w:footnote>
  <w:footnote w:id="8">
    <w:p w:rsidR="008A3C83" w:rsidRDefault="008A3C83" w:rsidP="0061356C">
      <w:pPr>
        <w:pStyle w:val="FootnoteText"/>
      </w:pPr>
      <w:r>
        <w:rPr>
          <w:rStyle w:val="FootnoteReference"/>
        </w:rPr>
        <w:footnoteRef/>
      </w:r>
      <w:r>
        <w:t xml:space="preserve"> </w:t>
      </w:r>
      <w:r>
        <w:tab/>
      </w:r>
      <w:r>
        <w:tab/>
      </w:r>
      <w:r>
        <w:rPr>
          <w:i/>
        </w:rPr>
        <w:t>Nat’</w:t>
      </w:r>
      <w:r w:rsidRPr="00823C7D">
        <w:rPr>
          <w:i/>
        </w:rPr>
        <w:t>l Cable &amp; Telecomm</w:t>
      </w:r>
      <w:r>
        <w:rPr>
          <w:i/>
        </w:rPr>
        <w:t>.</w:t>
      </w:r>
      <w:r w:rsidRPr="00823C7D">
        <w:rPr>
          <w:i/>
        </w:rPr>
        <w:t xml:space="preserve"> Ass</w:t>
      </w:r>
      <w:r>
        <w:rPr>
          <w:i/>
        </w:rPr>
        <w:t>’n</w:t>
      </w:r>
      <w:r w:rsidRPr="00823C7D">
        <w:rPr>
          <w:i/>
        </w:rPr>
        <w:t xml:space="preserve"> v. Gulf P</w:t>
      </w:r>
      <w:r>
        <w:rPr>
          <w:i/>
        </w:rPr>
        <w:t>ower</w:t>
      </w:r>
      <w:r w:rsidRPr="00823C7D">
        <w:rPr>
          <w:i/>
        </w:rPr>
        <w:t xml:space="preserve"> Co</w:t>
      </w:r>
      <w:r>
        <w:t xml:space="preserve">., </w:t>
      </w:r>
      <w:r w:rsidRPr="00F83FFF">
        <w:rPr>
          <w:i/>
        </w:rPr>
        <w:t>et al</w:t>
      </w:r>
      <w:r>
        <w:t>., 534 U.S. 327, 151 L. Ed.2d 794, (2002).</w:t>
      </w:r>
    </w:p>
  </w:footnote>
  <w:footnote w:id="9">
    <w:p w:rsidR="008A3C83" w:rsidRDefault="008A3C83" w:rsidP="0061356C">
      <w:pPr>
        <w:pStyle w:val="FootnoteText"/>
      </w:pPr>
      <w:r>
        <w:rPr>
          <w:rStyle w:val="FootnoteReference"/>
        </w:rPr>
        <w:footnoteRef/>
      </w:r>
      <w:r>
        <w:t xml:space="preserve"> </w:t>
      </w:r>
      <w:r>
        <w:tab/>
      </w:r>
      <w:r>
        <w:tab/>
        <w:t>FNPRM at 50-51, ¶ 119-120.</w:t>
      </w:r>
    </w:p>
  </w:footnote>
  <w:footnote w:id="10">
    <w:p w:rsidR="008A3C83" w:rsidRDefault="008A3C83" w:rsidP="0061356C">
      <w:pPr>
        <w:pStyle w:val="FootnoteText"/>
      </w:pPr>
      <w:r>
        <w:rPr>
          <w:rStyle w:val="FootnoteReference"/>
        </w:rPr>
        <w:footnoteRef/>
      </w:r>
      <w:r>
        <w:t xml:space="preserve"> </w:t>
      </w:r>
      <w:r>
        <w:tab/>
      </w:r>
      <w:r>
        <w:tab/>
      </w:r>
      <w:r>
        <w:rPr>
          <w:i/>
        </w:rPr>
        <w:t xml:space="preserve">Gulf Power, </w:t>
      </w:r>
      <w:r>
        <w:t>534 U.S. at 333.</w:t>
      </w:r>
    </w:p>
  </w:footnote>
  <w:footnote w:id="11">
    <w:p w:rsidR="008A3C83" w:rsidRDefault="008A3C83" w:rsidP="0061356C">
      <w:pPr>
        <w:pStyle w:val="FootnoteText"/>
      </w:pPr>
      <w:r>
        <w:rPr>
          <w:rStyle w:val="FootnoteReference"/>
        </w:rPr>
        <w:footnoteRef/>
      </w:r>
      <w:r>
        <w:t xml:space="preserve"> </w:t>
      </w:r>
      <w:r>
        <w:tab/>
      </w:r>
      <w:r>
        <w:tab/>
      </w:r>
      <w:r>
        <w:rPr>
          <w:i/>
        </w:rPr>
        <w:t xml:space="preserve">Gulf Power, </w:t>
      </w:r>
      <w:r>
        <w:t>534 U.S. at 333-335.</w:t>
      </w:r>
    </w:p>
  </w:footnote>
  <w:footnote w:id="12">
    <w:p w:rsidR="008A3C83" w:rsidRDefault="008A3C83" w:rsidP="0061356C">
      <w:pPr>
        <w:pStyle w:val="FootnoteText"/>
      </w:pPr>
      <w:r>
        <w:rPr>
          <w:rStyle w:val="FootnoteReference"/>
        </w:rPr>
        <w:footnoteRef/>
      </w:r>
      <w:r>
        <w:t xml:space="preserve"> </w:t>
      </w:r>
      <w:r>
        <w:tab/>
      </w:r>
      <w:r>
        <w:tab/>
      </w:r>
      <w:r w:rsidRPr="00A8356F">
        <w:rPr>
          <w:i/>
        </w:rPr>
        <w:t>Id.</w:t>
      </w:r>
      <w:r>
        <w:t xml:space="preserve"> at 333.</w:t>
      </w:r>
    </w:p>
  </w:footnote>
  <w:footnote w:id="13">
    <w:p w:rsidR="008A3C83" w:rsidRDefault="008A3C83" w:rsidP="0061356C">
      <w:pPr>
        <w:pStyle w:val="FootnoteText"/>
      </w:pPr>
      <w:r>
        <w:rPr>
          <w:rStyle w:val="FootnoteReference"/>
        </w:rPr>
        <w:footnoteRef/>
      </w:r>
      <w:r>
        <w:t xml:space="preserve"> </w:t>
      </w:r>
      <w:r>
        <w:tab/>
      </w:r>
      <w:r>
        <w:tab/>
      </w:r>
      <w:r w:rsidRPr="00C3453D">
        <w:rPr>
          <w:i/>
        </w:rPr>
        <w:t>Id</w:t>
      </w:r>
      <w:r>
        <w:t>. at 334-338.</w:t>
      </w:r>
    </w:p>
  </w:footnote>
  <w:footnote w:id="14">
    <w:p w:rsidR="008A3C83" w:rsidRDefault="008A3C83" w:rsidP="0061356C">
      <w:pPr>
        <w:pStyle w:val="FootnoteText"/>
      </w:pPr>
      <w:r>
        <w:rPr>
          <w:rStyle w:val="FootnoteReference"/>
        </w:rPr>
        <w:footnoteRef/>
      </w:r>
      <w:r>
        <w:t xml:space="preserve"> </w:t>
      </w:r>
      <w:r>
        <w:tab/>
      </w:r>
      <w:r>
        <w:tab/>
      </w:r>
      <w:r w:rsidRPr="00BB51FA">
        <w:rPr>
          <w:i/>
        </w:rPr>
        <w:t>Id</w:t>
      </w:r>
      <w:r>
        <w:t xml:space="preserve">. at 335 quoting </w:t>
      </w:r>
      <w:r w:rsidRPr="00BB51FA">
        <w:rPr>
          <w:i/>
        </w:rPr>
        <w:t>Gulf Power Co. v. FCC</w:t>
      </w:r>
      <w:r>
        <w:t>, 208 F.3d 1263, 1276, n. 29 (11</w:t>
      </w:r>
      <w:r w:rsidRPr="004C3724">
        <w:t xml:space="preserve">th </w:t>
      </w:r>
      <w:r>
        <w:t>Cir. 2000).</w:t>
      </w:r>
    </w:p>
  </w:footnote>
  <w:footnote w:id="15">
    <w:p w:rsidR="008A3C83" w:rsidRDefault="008A3C83" w:rsidP="0061356C">
      <w:pPr>
        <w:pStyle w:val="FootnoteText"/>
      </w:pPr>
      <w:r>
        <w:rPr>
          <w:rStyle w:val="FootnoteReference"/>
        </w:rPr>
        <w:footnoteRef/>
      </w:r>
      <w:r>
        <w:t xml:space="preserve"> </w:t>
      </w:r>
      <w:r>
        <w:tab/>
      </w:r>
      <w:r>
        <w:tab/>
      </w:r>
      <w:r>
        <w:rPr>
          <w:i/>
        </w:rPr>
        <w:t>Id</w:t>
      </w:r>
      <w:r>
        <w:t>. at 335.</w:t>
      </w:r>
    </w:p>
  </w:footnote>
  <w:footnote w:id="16">
    <w:p w:rsidR="008A3C83" w:rsidRDefault="008A3C83" w:rsidP="0061356C">
      <w:pPr>
        <w:pStyle w:val="FootnoteText"/>
      </w:pPr>
      <w:r>
        <w:rPr>
          <w:rStyle w:val="FootnoteReference"/>
        </w:rPr>
        <w:footnoteRef/>
      </w:r>
      <w:r>
        <w:t xml:space="preserve"> </w:t>
      </w:r>
      <w:r>
        <w:tab/>
      </w:r>
      <w:r>
        <w:tab/>
        <w:t>Among other things, the 1996 amendments expanded the Act to cover pole attach</w:t>
      </w:r>
      <w:r>
        <w:softHyphen/>
        <w:t xml:space="preserve">ments by providers of telecommunications services.  </w:t>
      </w:r>
      <w:r>
        <w:rPr>
          <w:i/>
        </w:rPr>
        <w:t>I</w:t>
      </w:r>
      <w:r w:rsidRPr="00AB3C6D">
        <w:rPr>
          <w:i/>
        </w:rPr>
        <w:t>d.</w:t>
      </w:r>
      <w:r>
        <w:t xml:space="preserve"> at 331.</w:t>
      </w:r>
    </w:p>
  </w:footnote>
  <w:footnote w:id="17">
    <w:p w:rsidR="008A3C83" w:rsidRDefault="008A3C83" w:rsidP="0061356C">
      <w:pPr>
        <w:pStyle w:val="FootnoteText"/>
      </w:pPr>
      <w:r>
        <w:rPr>
          <w:rStyle w:val="FootnoteReference"/>
        </w:rPr>
        <w:footnoteRef/>
      </w:r>
      <w:r>
        <w:t xml:space="preserve"> </w:t>
      </w:r>
      <w:r>
        <w:tab/>
      </w:r>
      <w:r>
        <w:tab/>
      </w:r>
      <w:r>
        <w:rPr>
          <w:i/>
        </w:rPr>
        <w:t xml:space="preserve">Gulf Power, </w:t>
      </w:r>
      <w:r>
        <w:t>534 U.S. at 336.</w:t>
      </w:r>
    </w:p>
  </w:footnote>
  <w:footnote w:id="18">
    <w:p w:rsidR="008A3C83" w:rsidRDefault="008A3C83" w:rsidP="0061356C">
      <w:pPr>
        <w:pStyle w:val="FootnoteText"/>
      </w:pPr>
      <w:r>
        <w:rPr>
          <w:rStyle w:val="FootnoteReference"/>
        </w:rPr>
        <w:footnoteRef/>
      </w:r>
      <w:r>
        <w:t xml:space="preserve"> </w:t>
      </w:r>
      <w:r>
        <w:tab/>
      </w:r>
      <w:r>
        <w:tab/>
      </w:r>
      <w:r w:rsidR="00856A03">
        <w:rPr>
          <w:i/>
        </w:rPr>
        <w:t>Id</w:t>
      </w:r>
      <w:r>
        <w:t>.</w:t>
      </w:r>
    </w:p>
  </w:footnote>
  <w:footnote w:id="19">
    <w:p w:rsidR="008A3C83" w:rsidRDefault="008A3C83" w:rsidP="0061356C">
      <w:pPr>
        <w:pStyle w:val="FootnoteText"/>
      </w:pPr>
      <w:r>
        <w:rPr>
          <w:rStyle w:val="FootnoteReference"/>
        </w:rPr>
        <w:footnoteRef/>
      </w:r>
      <w:r>
        <w:t xml:space="preserve"> </w:t>
      </w:r>
      <w:r>
        <w:tab/>
      </w:r>
      <w:r>
        <w:tab/>
      </w:r>
      <w:r w:rsidRPr="00FD1CAA">
        <w:rPr>
          <w:i/>
        </w:rPr>
        <w:t>See id</w:t>
      </w:r>
      <w:r>
        <w:t>. at 337-338.</w:t>
      </w:r>
    </w:p>
  </w:footnote>
  <w:footnote w:id="20">
    <w:p w:rsidR="008A3C83" w:rsidRDefault="008A3C83" w:rsidP="00E15153">
      <w:pPr>
        <w:pStyle w:val="FootnoteText"/>
      </w:pPr>
      <w:r>
        <w:rPr>
          <w:rStyle w:val="FootnoteReference"/>
        </w:rPr>
        <w:footnoteRef/>
      </w:r>
      <w:r>
        <w:t xml:space="preserve"> </w:t>
      </w:r>
      <w:r>
        <w:tab/>
      </w:r>
      <w:r>
        <w:tab/>
      </w:r>
      <w:r w:rsidRPr="00DC61DB">
        <w:rPr>
          <w:i/>
        </w:rPr>
        <w:t>Id</w:t>
      </w:r>
      <w:r>
        <w:t>. at 338.</w:t>
      </w:r>
    </w:p>
  </w:footnote>
  <w:footnote w:id="21">
    <w:p w:rsidR="008A3C83" w:rsidRDefault="008A3C83">
      <w:pPr>
        <w:pStyle w:val="FootnoteText"/>
      </w:pPr>
      <w:r>
        <w:rPr>
          <w:rStyle w:val="FootnoteReference"/>
        </w:rPr>
        <w:footnoteRef/>
      </w:r>
      <w:r>
        <w:t xml:space="preserve"> </w:t>
      </w:r>
      <w:r>
        <w:tab/>
      </w:r>
      <w:r>
        <w:tab/>
      </w:r>
      <w:r w:rsidRPr="00787C00">
        <w:rPr>
          <w:i/>
        </w:rPr>
        <w:t>Framework for Broadband Internet Service</w:t>
      </w:r>
      <w:r>
        <w:t>, GN Docket No. 10-127, Notice of Inquiry, FCC 10-114 at 33, ¶ 67 (rel. June 17, 2010).</w:t>
      </w:r>
    </w:p>
  </w:footnote>
  <w:footnote w:id="22">
    <w:p w:rsidR="008A3C83" w:rsidRDefault="008A3C83">
      <w:pPr>
        <w:pStyle w:val="FootnoteText"/>
      </w:pPr>
      <w:r>
        <w:rPr>
          <w:rStyle w:val="FootnoteReference"/>
        </w:rPr>
        <w:footnoteRef/>
      </w:r>
      <w:r>
        <w:t xml:space="preserve"> </w:t>
      </w:r>
      <w:r>
        <w:tab/>
      </w:r>
      <w:r>
        <w:tab/>
      </w:r>
      <w:r w:rsidRPr="00200501">
        <w:rPr>
          <w:i/>
        </w:rPr>
        <w:t>See</w:t>
      </w:r>
      <w:r>
        <w:t xml:space="preserve"> FNPRM at 51, ¶ 120.</w:t>
      </w:r>
    </w:p>
  </w:footnote>
  <w:footnote w:id="23">
    <w:p w:rsidR="008A3C83" w:rsidRDefault="008A3C83" w:rsidP="00E1651E">
      <w:pPr>
        <w:pStyle w:val="FootnoteText"/>
      </w:pPr>
      <w:r>
        <w:rPr>
          <w:rStyle w:val="FootnoteReference"/>
        </w:rPr>
        <w:footnoteRef/>
      </w:r>
      <w:r>
        <w:t xml:space="preserve"> </w:t>
      </w:r>
      <w:r>
        <w:tab/>
      </w:r>
      <w:r>
        <w:tab/>
        <w:t>Omnibus Broadband Initiative, Federal Communications Commission, Connect</w:t>
      </w:r>
      <w:r>
        <w:softHyphen/>
        <w:t>ing America: The National Broadband Plan, at 16 (“Users benefit directly from the appli</w:t>
      </w:r>
      <w:r>
        <w:softHyphen/>
        <w:t>cations and content they access through broadband networks.”), at 135 (“Everyone in the United States should have access to broadband services supporting a basic set of applica</w:t>
      </w:r>
      <w:r>
        <w:softHyphen/>
        <w:t>tions that include sending and receiving e-mail, downloading Web pages, photos and video, and using simple video conferencing.”), at 143 (“The federal government should…provide financial support…for broadband platforms that enable many applica</w:t>
      </w:r>
      <w:r>
        <w:softHyphen/>
        <w:t xml:space="preserve">tions, including voice.”) (2010), </w:t>
      </w:r>
      <w:r w:rsidRPr="00D93A5B">
        <w:rPr>
          <w:i/>
        </w:rPr>
        <w:t>available at</w:t>
      </w:r>
      <w:r>
        <w:t xml:space="preserve"> </w:t>
      </w:r>
      <w:hyperlink r:id="rId1" w:history="1">
        <w:r w:rsidRPr="00D93A5B">
          <w:rPr>
            <w:rStyle w:val="Hyperlink"/>
            <w:color w:val="auto"/>
          </w:rPr>
          <w:t>http://download.broadband.gov/plan/national-broadband-plan.pdf</w:t>
        </w:r>
      </w:hyperlink>
      <w:r>
        <w:t xml:space="preserve"> (“NBP”).</w:t>
      </w:r>
    </w:p>
  </w:footnote>
  <w:footnote w:id="24">
    <w:p w:rsidR="008A3C83" w:rsidRDefault="008A3C83">
      <w:pPr>
        <w:pStyle w:val="FootnoteText"/>
      </w:pPr>
      <w:r>
        <w:rPr>
          <w:rStyle w:val="FootnoteReference"/>
        </w:rPr>
        <w:footnoteRef/>
      </w:r>
      <w:r>
        <w:t xml:space="preserve"> </w:t>
      </w:r>
      <w:r>
        <w:tab/>
      </w:r>
      <w:r>
        <w:tab/>
        <w:t xml:space="preserve">The NBP indicates that broadband platforms must provide voice service.  </w:t>
      </w:r>
      <w:r w:rsidRPr="00C048EE">
        <w:rPr>
          <w:i/>
        </w:rPr>
        <w:t>See id</w:t>
      </w:r>
      <w:r>
        <w:t xml:space="preserve">. at 143.  The FCC has declined to classify VOIP service as a telecommunications service.  </w:t>
      </w:r>
      <w:r w:rsidRPr="00BB3DDE">
        <w:rPr>
          <w:i/>
        </w:rPr>
        <w:t>See</w:t>
      </w:r>
      <w:r>
        <w:rPr>
          <w:i/>
        </w:rPr>
        <w:t>, e.g.,</w:t>
      </w:r>
      <w:r>
        <w:t xml:space="preserve"> </w:t>
      </w:r>
      <w:r w:rsidRPr="00BB3DDE">
        <w:rPr>
          <w:i/>
        </w:rPr>
        <w:t>IP-Enabled Service</w:t>
      </w:r>
      <w:r>
        <w:t>, WC Docket No. 04-36, Report and Order, 24 FCC Rcd. 6039, 6051, n. 21 (2009).  Consequently, as VOIP service would be the voice component of a broadband service offering, it is debatable whether any telecommunications service would actually be included in any commingled service offering.</w:t>
      </w:r>
    </w:p>
  </w:footnote>
  <w:footnote w:id="25">
    <w:p w:rsidR="008A3C83" w:rsidRDefault="008A3C83" w:rsidP="0061356C">
      <w:pPr>
        <w:pStyle w:val="FootnoteText"/>
      </w:pPr>
      <w:r>
        <w:rPr>
          <w:rStyle w:val="FootnoteReference"/>
        </w:rPr>
        <w:footnoteRef/>
      </w:r>
      <w:r>
        <w:t xml:space="preserve"> </w:t>
      </w:r>
      <w:r>
        <w:tab/>
      </w:r>
      <w:r>
        <w:tab/>
      </w:r>
      <w:r w:rsidRPr="00C67FB7">
        <w:rPr>
          <w:i/>
        </w:rPr>
        <w:t>Framework for Broadband Internet Service,</w:t>
      </w:r>
      <w:r>
        <w:t xml:space="preserve"> Comments Submitted on Behalf of the Public Utilities Commission of Ohio at 10 (filed July 14, 2010).</w:t>
      </w:r>
    </w:p>
  </w:footnote>
  <w:footnote w:id="26">
    <w:p w:rsidR="008A3C83" w:rsidRDefault="008A3C83">
      <w:pPr>
        <w:pStyle w:val="FootnoteText"/>
      </w:pPr>
      <w:r>
        <w:rPr>
          <w:rStyle w:val="FootnoteReference"/>
        </w:rPr>
        <w:footnoteRef/>
      </w:r>
      <w:r>
        <w:t xml:space="preserve"> </w:t>
      </w:r>
      <w:r>
        <w:tab/>
      </w:r>
      <w:r>
        <w:tab/>
        <w:t>FNPRM at 46, 52, ¶¶ 110, 122.</w:t>
      </w:r>
    </w:p>
  </w:footnote>
  <w:footnote w:id="27">
    <w:p w:rsidR="008A3C83" w:rsidRDefault="008A3C83">
      <w:pPr>
        <w:pStyle w:val="FootnoteText"/>
      </w:pPr>
      <w:r>
        <w:rPr>
          <w:rStyle w:val="FootnoteReference"/>
        </w:rPr>
        <w:footnoteRef/>
      </w:r>
      <w:r>
        <w:t xml:space="preserve"> </w:t>
      </w:r>
      <w:r>
        <w:tab/>
      </w:r>
      <w:r>
        <w:tab/>
      </w:r>
      <w:r w:rsidRPr="00284147">
        <w:rPr>
          <w:i/>
        </w:rPr>
        <w:t>See</w:t>
      </w:r>
      <w:r>
        <w:t xml:space="preserve"> 47 U.S.C. § 224(d)(1), (e)(3) (2010).</w:t>
      </w:r>
    </w:p>
  </w:footnote>
  <w:footnote w:id="28">
    <w:p w:rsidR="008A3C83" w:rsidRDefault="008A3C83">
      <w:pPr>
        <w:pStyle w:val="FootnoteText"/>
      </w:pPr>
      <w:r>
        <w:rPr>
          <w:rStyle w:val="FootnoteReference"/>
        </w:rPr>
        <w:footnoteRef/>
      </w:r>
      <w:r>
        <w:t xml:space="preserve"> </w:t>
      </w:r>
      <w:r>
        <w:tab/>
      </w:r>
      <w:r>
        <w:tab/>
        <w:t>47 U.S.C. § 224(a)(4), (d)(1)(3), (e)(1)(2)(3) (2010).</w:t>
      </w:r>
    </w:p>
  </w:footnote>
  <w:footnote w:id="29">
    <w:p w:rsidR="008A3C83" w:rsidRDefault="008A3C83">
      <w:pPr>
        <w:pStyle w:val="FootnoteText"/>
      </w:pPr>
      <w:r>
        <w:rPr>
          <w:rStyle w:val="FootnoteReference"/>
        </w:rPr>
        <w:footnoteRef/>
      </w:r>
      <w:r>
        <w:t xml:space="preserve"> </w:t>
      </w:r>
      <w:r>
        <w:tab/>
      </w:r>
      <w:r>
        <w:tab/>
        <w:t>FNPRM at 48-49, ¶¶ 115-116.</w:t>
      </w:r>
    </w:p>
  </w:footnote>
  <w:footnote w:id="30">
    <w:p w:rsidR="008A3C83" w:rsidRDefault="008A3C83">
      <w:pPr>
        <w:pStyle w:val="FootnoteText"/>
      </w:pPr>
      <w:r>
        <w:rPr>
          <w:rStyle w:val="FootnoteReference"/>
        </w:rPr>
        <w:footnoteRef/>
      </w:r>
      <w:r>
        <w:t xml:space="preserve"> </w:t>
      </w:r>
      <w:r>
        <w:tab/>
      </w:r>
      <w:r>
        <w:tab/>
      </w:r>
      <w:r w:rsidRPr="00296A4D">
        <w:rPr>
          <w:i/>
        </w:rPr>
        <w:t>Id.</w:t>
      </w:r>
      <w:r>
        <w:t xml:space="preserve"> at 115.</w:t>
      </w:r>
    </w:p>
  </w:footnote>
  <w:footnote w:id="31">
    <w:p w:rsidR="008A3C83" w:rsidRDefault="008A3C83">
      <w:pPr>
        <w:pStyle w:val="FootnoteText"/>
      </w:pPr>
      <w:r>
        <w:rPr>
          <w:rStyle w:val="FootnoteReference"/>
        </w:rPr>
        <w:footnoteRef/>
      </w:r>
      <w:r>
        <w:t xml:space="preserve"> </w:t>
      </w:r>
      <w:r>
        <w:tab/>
      </w:r>
      <w:r>
        <w:tab/>
      </w:r>
      <w:r w:rsidRPr="00BF37A7">
        <w:rPr>
          <w:i/>
        </w:rPr>
        <w:t>See</w:t>
      </w:r>
      <w:r>
        <w:t xml:space="preserve"> 47 C.F.R. §§1.1409(e)(1)(2)(3), 1.1418 (2010).</w:t>
      </w:r>
    </w:p>
  </w:footnote>
  <w:footnote w:id="32">
    <w:p w:rsidR="008A3C83" w:rsidRDefault="008A3C83">
      <w:pPr>
        <w:pStyle w:val="FootnoteText"/>
      </w:pPr>
      <w:r>
        <w:rPr>
          <w:rStyle w:val="FootnoteReference"/>
        </w:rPr>
        <w:footnoteRef/>
      </w:r>
      <w:r>
        <w:t xml:space="preserve"> </w:t>
      </w:r>
      <w:r>
        <w:tab/>
      </w:r>
      <w:r>
        <w:tab/>
      </w:r>
      <w:r w:rsidRPr="00F7791F">
        <w:rPr>
          <w:i/>
        </w:rPr>
        <w:t>See</w:t>
      </w:r>
      <w:r>
        <w:t xml:space="preserve"> </w:t>
      </w:r>
      <w:r>
        <w:rPr>
          <w:i/>
        </w:rPr>
        <w:t>i</w:t>
      </w:r>
      <w:r w:rsidRPr="00BF37A7">
        <w:rPr>
          <w:i/>
        </w:rPr>
        <w:t>d.</w:t>
      </w:r>
    </w:p>
  </w:footnote>
  <w:footnote w:id="33">
    <w:p w:rsidR="008A3C83" w:rsidRDefault="008A3C83" w:rsidP="00DD3760">
      <w:pPr>
        <w:pStyle w:val="FootnoteText"/>
      </w:pPr>
      <w:r>
        <w:rPr>
          <w:rStyle w:val="FootnoteReference"/>
        </w:rPr>
        <w:footnoteRef/>
      </w:r>
      <w:r>
        <w:t xml:space="preserve"> </w:t>
      </w:r>
      <w:r>
        <w:tab/>
      </w:r>
      <w:r>
        <w:tab/>
      </w:r>
      <w:r w:rsidRPr="00B17827">
        <w:rPr>
          <w:i/>
        </w:rPr>
        <w:t>See</w:t>
      </w:r>
      <w:r>
        <w:t xml:space="preserve"> FNPRM at 13-14, ¶¶ 26.</w:t>
      </w:r>
    </w:p>
  </w:footnote>
  <w:footnote w:id="34">
    <w:p w:rsidR="008A3C83" w:rsidRDefault="008A3C83" w:rsidP="00DD3760">
      <w:pPr>
        <w:pStyle w:val="FootnoteText"/>
      </w:pPr>
      <w:r>
        <w:rPr>
          <w:rStyle w:val="FootnoteReference"/>
        </w:rPr>
        <w:footnoteRef/>
      </w:r>
      <w:r>
        <w:t xml:space="preserve"> </w:t>
      </w:r>
      <w:r>
        <w:tab/>
      </w:r>
      <w:r>
        <w:tab/>
      </w:r>
      <w:r w:rsidRPr="00DD3E1A">
        <w:rPr>
          <w:i/>
        </w:rPr>
        <w:t>See</w:t>
      </w:r>
      <w:r>
        <w:t xml:space="preserve"> </w:t>
      </w:r>
      <w:r>
        <w:rPr>
          <w:i/>
        </w:rPr>
        <w:t>id</w:t>
      </w:r>
      <w:r>
        <w:t>. at 11-22, ¶¶ 21-45.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83" w:rsidRDefault="008A3C83" w:rsidP="009C60BC">
    <w:pPr>
      <w:pStyle w:val="Header"/>
      <w:jc w:val="center"/>
      <w:rPr>
        <w:rFonts w:ascii="Times New Roman" w:hAnsi="Times New Roman"/>
        <w:b/>
        <w:sz w:val="28"/>
        <w:szCs w:val="28"/>
      </w:rPr>
    </w:pPr>
    <w:r>
      <w:rPr>
        <w:rFonts w:ascii="Times New Roman" w:hAnsi="Times New Roman"/>
        <w:b/>
        <w:sz w:val="28"/>
        <w:szCs w:val="28"/>
      </w:rPr>
      <w:t>TABLE OF CONTENTS</w:t>
    </w:r>
  </w:p>
  <w:p w:rsidR="008A3C83" w:rsidRPr="009C60BC" w:rsidRDefault="008A3C83" w:rsidP="009C60BC">
    <w:pPr>
      <w:pStyle w:val="Header"/>
      <w:jc w:val="right"/>
      <w:rPr>
        <w:rFonts w:ascii="Times New Roman" w:hAnsi="Times New Roman"/>
        <w:b/>
        <w:sz w:val="28"/>
        <w:szCs w:val="28"/>
      </w:rPr>
    </w:pPr>
    <w:r>
      <w:rPr>
        <w:rFonts w:ascii="Times New Roman" w:hAnsi="Times New Roman"/>
        <w:b/>
        <w:sz w:val="28"/>
        <w:szCs w:val="28"/>
      </w:rPr>
      <w:t>Page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83" w:rsidRPr="002C529F" w:rsidRDefault="008A3C83" w:rsidP="002C529F">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83" w:rsidRPr="002C529F" w:rsidRDefault="008A3C83" w:rsidP="002C529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F40494"/>
    <w:lvl w:ilvl="0">
      <w:start w:val="1"/>
      <w:numFmt w:val="decimal"/>
      <w:lvlText w:val="%1."/>
      <w:lvlJc w:val="left"/>
      <w:pPr>
        <w:tabs>
          <w:tab w:val="num" w:pos="1800"/>
        </w:tabs>
        <w:ind w:left="1800" w:hanging="360"/>
      </w:pPr>
    </w:lvl>
  </w:abstractNum>
  <w:abstractNum w:abstractNumId="1">
    <w:nsid w:val="FFFFFF7D"/>
    <w:multiLevelType w:val="singleLevel"/>
    <w:tmpl w:val="72E64524"/>
    <w:lvl w:ilvl="0">
      <w:start w:val="1"/>
      <w:numFmt w:val="decimal"/>
      <w:lvlText w:val="%1."/>
      <w:lvlJc w:val="left"/>
      <w:pPr>
        <w:tabs>
          <w:tab w:val="num" w:pos="1440"/>
        </w:tabs>
        <w:ind w:left="1440" w:hanging="360"/>
      </w:pPr>
    </w:lvl>
  </w:abstractNum>
  <w:abstractNum w:abstractNumId="2">
    <w:nsid w:val="FFFFFF7E"/>
    <w:multiLevelType w:val="singleLevel"/>
    <w:tmpl w:val="5C246F0A"/>
    <w:lvl w:ilvl="0">
      <w:start w:val="1"/>
      <w:numFmt w:val="decimal"/>
      <w:lvlText w:val="%1."/>
      <w:lvlJc w:val="left"/>
      <w:pPr>
        <w:tabs>
          <w:tab w:val="num" w:pos="1080"/>
        </w:tabs>
        <w:ind w:left="1080" w:hanging="360"/>
      </w:pPr>
    </w:lvl>
  </w:abstractNum>
  <w:abstractNum w:abstractNumId="3">
    <w:nsid w:val="FFFFFF7F"/>
    <w:multiLevelType w:val="singleLevel"/>
    <w:tmpl w:val="34E21E9A"/>
    <w:lvl w:ilvl="0">
      <w:start w:val="1"/>
      <w:numFmt w:val="decimal"/>
      <w:lvlText w:val="%1."/>
      <w:lvlJc w:val="left"/>
      <w:pPr>
        <w:tabs>
          <w:tab w:val="num" w:pos="720"/>
        </w:tabs>
        <w:ind w:left="720" w:hanging="360"/>
      </w:pPr>
    </w:lvl>
  </w:abstractNum>
  <w:abstractNum w:abstractNumId="4">
    <w:nsid w:val="FFFFFF80"/>
    <w:multiLevelType w:val="singleLevel"/>
    <w:tmpl w:val="0A8843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2229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86F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4E34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08617C"/>
    <w:lvl w:ilvl="0">
      <w:start w:val="1"/>
      <w:numFmt w:val="decimal"/>
      <w:lvlText w:val="%1."/>
      <w:lvlJc w:val="left"/>
      <w:pPr>
        <w:tabs>
          <w:tab w:val="num" w:pos="360"/>
        </w:tabs>
        <w:ind w:left="360" w:hanging="360"/>
      </w:pPr>
    </w:lvl>
  </w:abstractNum>
  <w:abstractNum w:abstractNumId="9">
    <w:nsid w:val="FFFFFF89"/>
    <w:multiLevelType w:val="singleLevel"/>
    <w:tmpl w:val="1DD60314"/>
    <w:lvl w:ilvl="0">
      <w:start w:val="1"/>
      <w:numFmt w:val="bullet"/>
      <w:lvlText w:val=""/>
      <w:lvlJc w:val="left"/>
      <w:pPr>
        <w:tabs>
          <w:tab w:val="num" w:pos="360"/>
        </w:tabs>
        <w:ind w:left="360" w:hanging="360"/>
      </w:pPr>
      <w:rPr>
        <w:rFonts w:ascii="Symbol" w:hAnsi="Symbol" w:hint="default"/>
      </w:rPr>
    </w:lvl>
  </w:abstractNum>
  <w:abstractNum w:abstractNumId="10">
    <w:nsid w:val="1BD20591"/>
    <w:multiLevelType w:val="hybridMultilevel"/>
    <w:tmpl w:val="58320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692C46"/>
    <w:multiLevelType w:val="hybridMultilevel"/>
    <w:tmpl w:val="E7B48B10"/>
    <w:lvl w:ilvl="0" w:tplc="9B048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A5030"/>
    <w:multiLevelType w:val="hybridMultilevel"/>
    <w:tmpl w:val="DA9AF082"/>
    <w:lvl w:ilvl="0" w:tplc="811EE86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36575D"/>
    <w:multiLevelType w:val="hybridMultilevel"/>
    <w:tmpl w:val="C0B8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01157F"/>
    <w:multiLevelType w:val="hybridMultilevel"/>
    <w:tmpl w:val="EC923E38"/>
    <w:lvl w:ilvl="0" w:tplc="17A0D5A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A83C28"/>
    <w:multiLevelType w:val="hybridMultilevel"/>
    <w:tmpl w:val="1F56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5C41D4"/>
    <w:multiLevelType w:val="hybridMultilevel"/>
    <w:tmpl w:val="EAB0239E"/>
    <w:lvl w:ilvl="0" w:tplc="45543E6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11"/>
  </w:num>
  <w:num w:numId="5">
    <w:abstractNumId w:val="14"/>
  </w:num>
  <w:num w:numId="6">
    <w:abstractNumId w:val="12"/>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61DF"/>
    <w:rsid w:val="00006152"/>
    <w:rsid w:val="000125BC"/>
    <w:rsid w:val="000356FC"/>
    <w:rsid w:val="000372B9"/>
    <w:rsid w:val="00081B1B"/>
    <w:rsid w:val="00097070"/>
    <w:rsid w:val="000A0E1A"/>
    <w:rsid w:val="000A7EE7"/>
    <w:rsid w:val="000B3092"/>
    <w:rsid w:val="000B68B9"/>
    <w:rsid w:val="000D2445"/>
    <w:rsid w:val="00135A0C"/>
    <w:rsid w:val="001446BC"/>
    <w:rsid w:val="00147D63"/>
    <w:rsid w:val="00171981"/>
    <w:rsid w:val="00171A6B"/>
    <w:rsid w:val="001762FC"/>
    <w:rsid w:val="0017733C"/>
    <w:rsid w:val="00193651"/>
    <w:rsid w:val="001947A7"/>
    <w:rsid w:val="0019595E"/>
    <w:rsid w:val="001962A5"/>
    <w:rsid w:val="001A5522"/>
    <w:rsid w:val="001C73C5"/>
    <w:rsid w:val="001D0793"/>
    <w:rsid w:val="001D5B63"/>
    <w:rsid w:val="001E2C47"/>
    <w:rsid w:val="001E56B8"/>
    <w:rsid w:val="00200501"/>
    <w:rsid w:val="0020074B"/>
    <w:rsid w:val="0020371F"/>
    <w:rsid w:val="00233887"/>
    <w:rsid w:val="002403D3"/>
    <w:rsid w:val="0025172C"/>
    <w:rsid w:val="00251F7E"/>
    <w:rsid w:val="00252C0F"/>
    <w:rsid w:val="002556DE"/>
    <w:rsid w:val="00282DB7"/>
    <w:rsid w:val="00284147"/>
    <w:rsid w:val="002856D5"/>
    <w:rsid w:val="00296A4D"/>
    <w:rsid w:val="002A07AD"/>
    <w:rsid w:val="002B772D"/>
    <w:rsid w:val="002B7A3D"/>
    <w:rsid w:val="002C37DF"/>
    <w:rsid w:val="002C529F"/>
    <w:rsid w:val="002D2FBA"/>
    <w:rsid w:val="002F5772"/>
    <w:rsid w:val="002F6D18"/>
    <w:rsid w:val="00335EB5"/>
    <w:rsid w:val="00335F3E"/>
    <w:rsid w:val="00347E09"/>
    <w:rsid w:val="0035628C"/>
    <w:rsid w:val="0038774A"/>
    <w:rsid w:val="00397EAA"/>
    <w:rsid w:val="003A3644"/>
    <w:rsid w:val="003C5DFD"/>
    <w:rsid w:val="003D7A0E"/>
    <w:rsid w:val="003E6843"/>
    <w:rsid w:val="00402E65"/>
    <w:rsid w:val="00404A5C"/>
    <w:rsid w:val="004174B7"/>
    <w:rsid w:val="00422B3D"/>
    <w:rsid w:val="00436470"/>
    <w:rsid w:val="00441F4A"/>
    <w:rsid w:val="00456960"/>
    <w:rsid w:val="00465BC3"/>
    <w:rsid w:val="00491F7B"/>
    <w:rsid w:val="004C24F0"/>
    <w:rsid w:val="004C351B"/>
    <w:rsid w:val="004C3724"/>
    <w:rsid w:val="004E404E"/>
    <w:rsid w:val="00501573"/>
    <w:rsid w:val="00505464"/>
    <w:rsid w:val="00517E90"/>
    <w:rsid w:val="005404DA"/>
    <w:rsid w:val="00570CA3"/>
    <w:rsid w:val="00570D1F"/>
    <w:rsid w:val="005757E1"/>
    <w:rsid w:val="005A00B9"/>
    <w:rsid w:val="005C3528"/>
    <w:rsid w:val="005E0D24"/>
    <w:rsid w:val="00602455"/>
    <w:rsid w:val="006047CC"/>
    <w:rsid w:val="0061356C"/>
    <w:rsid w:val="006146E2"/>
    <w:rsid w:val="006442E4"/>
    <w:rsid w:val="0064549E"/>
    <w:rsid w:val="00652939"/>
    <w:rsid w:val="00673DDA"/>
    <w:rsid w:val="00676C2A"/>
    <w:rsid w:val="006779EE"/>
    <w:rsid w:val="006A0996"/>
    <w:rsid w:val="006C5114"/>
    <w:rsid w:val="006E030A"/>
    <w:rsid w:val="00701E19"/>
    <w:rsid w:val="00702B89"/>
    <w:rsid w:val="00703EEB"/>
    <w:rsid w:val="00706C39"/>
    <w:rsid w:val="00724E3D"/>
    <w:rsid w:val="007312C8"/>
    <w:rsid w:val="007335DF"/>
    <w:rsid w:val="007361DF"/>
    <w:rsid w:val="007441AB"/>
    <w:rsid w:val="00757D7A"/>
    <w:rsid w:val="0076779E"/>
    <w:rsid w:val="00773886"/>
    <w:rsid w:val="007A78D7"/>
    <w:rsid w:val="007B7E54"/>
    <w:rsid w:val="00814FBA"/>
    <w:rsid w:val="00834AA5"/>
    <w:rsid w:val="008412F1"/>
    <w:rsid w:val="00846679"/>
    <w:rsid w:val="00856A03"/>
    <w:rsid w:val="00861D44"/>
    <w:rsid w:val="008748FB"/>
    <w:rsid w:val="008902F6"/>
    <w:rsid w:val="008A3C83"/>
    <w:rsid w:val="008A55B6"/>
    <w:rsid w:val="008A68B5"/>
    <w:rsid w:val="008B7996"/>
    <w:rsid w:val="008C15C1"/>
    <w:rsid w:val="008C7FEA"/>
    <w:rsid w:val="008D5C65"/>
    <w:rsid w:val="00912901"/>
    <w:rsid w:val="00912FF4"/>
    <w:rsid w:val="009C60BC"/>
    <w:rsid w:val="009D47EA"/>
    <w:rsid w:val="009E4D37"/>
    <w:rsid w:val="009E7166"/>
    <w:rsid w:val="009F5750"/>
    <w:rsid w:val="00A17F51"/>
    <w:rsid w:val="00A23620"/>
    <w:rsid w:val="00A24972"/>
    <w:rsid w:val="00A53246"/>
    <w:rsid w:val="00A7352F"/>
    <w:rsid w:val="00AB7A67"/>
    <w:rsid w:val="00AD7BC9"/>
    <w:rsid w:val="00B03A4C"/>
    <w:rsid w:val="00B17827"/>
    <w:rsid w:val="00B20A35"/>
    <w:rsid w:val="00B376F2"/>
    <w:rsid w:val="00B43EB1"/>
    <w:rsid w:val="00B53C43"/>
    <w:rsid w:val="00B64E95"/>
    <w:rsid w:val="00B71C90"/>
    <w:rsid w:val="00B73756"/>
    <w:rsid w:val="00B814A4"/>
    <w:rsid w:val="00B944F9"/>
    <w:rsid w:val="00BA3396"/>
    <w:rsid w:val="00BB3DDE"/>
    <w:rsid w:val="00BD78F4"/>
    <w:rsid w:val="00BE0C18"/>
    <w:rsid w:val="00BF37A7"/>
    <w:rsid w:val="00C007A1"/>
    <w:rsid w:val="00C048EE"/>
    <w:rsid w:val="00C206F8"/>
    <w:rsid w:val="00C350CA"/>
    <w:rsid w:val="00C5728F"/>
    <w:rsid w:val="00C5742A"/>
    <w:rsid w:val="00C6507A"/>
    <w:rsid w:val="00C671F9"/>
    <w:rsid w:val="00C8313E"/>
    <w:rsid w:val="00C969E7"/>
    <w:rsid w:val="00CA0080"/>
    <w:rsid w:val="00CC134D"/>
    <w:rsid w:val="00CD7B96"/>
    <w:rsid w:val="00CF0D47"/>
    <w:rsid w:val="00CF1E4D"/>
    <w:rsid w:val="00CF5440"/>
    <w:rsid w:val="00D3094A"/>
    <w:rsid w:val="00D427F5"/>
    <w:rsid w:val="00D55F25"/>
    <w:rsid w:val="00D66669"/>
    <w:rsid w:val="00D863C9"/>
    <w:rsid w:val="00D90771"/>
    <w:rsid w:val="00D90D9E"/>
    <w:rsid w:val="00D93A5B"/>
    <w:rsid w:val="00D962EA"/>
    <w:rsid w:val="00D97A8D"/>
    <w:rsid w:val="00DA240E"/>
    <w:rsid w:val="00DB0B5A"/>
    <w:rsid w:val="00DC4676"/>
    <w:rsid w:val="00DC65DF"/>
    <w:rsid w:val="00DD3760"/>
    <w:rsid w:val="00DD3E1A"/>
    <w:rsid w:val="00DF0FF3"/>
    <w:rsid w:val="00DF2900"/>
    <w:rsid w:val="00E15153"/>
    <w:rsid w:val="00E1651E"/>
    <w:rsid w:val="00E3224C"/>
    <w:rsid w:val="00E32496"/>
    <w:rsid w:val="00E82C44"/>
    <w:rsid w:val="00E967A2"/>
    <w:rsid w:val="00EA1793"/>
    <w:rsid w:val="00EB1C60"/>
    <w:rsid w:val="00EC42FB"/>
    <w:rsid w:val="00EC60BE"/>
    <w:rsid w:val="00EC7927"/>
    <w:rsid w:val="00ED6557"/>
    <w:rsid w:val="00ED74CF"/>
    <w:rsid w:val="00EE136F"/>
    <w:rsid w:val="00F01740"/>
    <w:rsid w:val="00F05F95"/>
    <w:rsid w:val="00F10C56"/>
    <w:rsid w:val="00F12F72"/>
    <w:rsid w:val="00F167F9"/>
    <w:rsid w:val="00F2764E"/>
    <w:rsid w:val="00F321A0"/>
    <w:rsid w:val="00F7791F"/>
    <w:rsid w:val="00F815A4"/>
    <w:rsid w:val="00F83FFF"/>
    <w:rsid w:val="00F85DC6"/>
    <w:rsid w:val="00F91E08"/>
    <w:rsid w:val="00FA3F33"/>
    <w:rsid w:val="00FC3EA2"/>
    <w:rsid w:val="00FC7E5B"/>
    <w:rsid w:val="00FD170F"/>
    <w:rsid w:val="00FD1928"/>
    <w:rsid w:val="00FF67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DF"/>
    <w:pPr>
      <w:spacing w:after="200" w:line="276" w:lineRule="auto"/>
    </w:pPr>
    <w:rPr>
      <w:sz w:val="22"/>
      <w:szCs w:val="22"/>
    </w:rPr>
  </w:style>
  <w:style w:type="paragraph" w:styleId="Heading1">
    <w:name w:val="heading 1"/>
    <w:basedOn w:val="Normal"/>
    <w:next w:val="Normal"/>
    <w:link w:val="Heading1Char"/>
    <w:autoRedefine/>
    <w:uiPriority w:val="9"/>
    <w:qFormat/>
    <w:rsid w:val="00570D1F"/>
    <w:pPr>
      <w:keepNext/>
      <w:spacing w:before="360" w:after="240" w:line="240" w:lineRule="auto"/>
      <w:jc w:val="center"/>
      <w:outlineLvl w:val="0"/>
    </w:pPr>
    <w:rPr>
      <w:rFonts w:ascii="Times New Roman" w:hAnsi="Times New Roman"/>
      <w:b/>
      <w:bCs/>
      <w:kern w:val="32"/>
      <w:sz w:val="28"/>
      <w:szCs w:val="32"/>
    </w:rPr>
  </w:style>
  <w:style w:type="paragraph" w:styleId="Heading2">
    <w:name w:val="heading 2"/>
    <w:basedOn w:val="Normal"/>
    <w:next w:val="Normal"/>
    <w:link w:val="Heading2Char"/>
    <w:autoRedefine/>
    <w:uiPriority w:val="9"/>
    <w:unhideWhenUsed/>
    <w:qFormat/>
    <w:rsid w:val="00570D1F"/>
    <w:pPr>
      <w:keepNext/>
      <w:spacing w:before="360" w:after="240" w:line="240" w:lineRule="auto"/>
      <w:ind w:left="720" w:hanging="720"/>
      <w:outlineLvl w:val="1"/>
    </w:pPr>
    <w:rPr>
      <w:rFonts w:ascii="Times New Roman" w:hAnsi="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FBA"/>
    <w:pPr>
      <w:ind w:left="720"/>
      <w:contextualSpacing/>
    </w:pPr>
  </w:style>
  <w:style w:type="paragraph" w:styleId="BalloonText">
    <w:name w:val="Balloon Text"/>
    <w:basedOn w:val="Normal"/>
    <w:link w:val="BalloonTextChar"/>
    <w:uiPriority w:val="99"/>
    <w:semiHidden/>
    <w:unhideWhenUsed/>
    <w:rsid w:val="00BE0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C18"/>
    <w:rPr>
      <w:rFonts w:ascii="Tahoma" w:hAnsi="Tahoma" w:cs="Tahoma"/>
      <w:sz w:val="16"/>
      <w:szCs w:val="16"/>
    </w:rPr>
  </w:style>
  <w:style w:type="character" w:styleId="Hyperlink">
    <w:name w:val="Hyperlink"/>
    <w:basedOn w:val="DefaultParagraphFont"/>
    <w:uiPriority w:val="99"/>
    <w:unhideWhenUsed/>
    <w:rsid w:val="008412F1"/>
    <w:rPr>
      <w:color w:val="0000FF"/>
      <w:u w:val="single"/>
    </w:rPr>
  </w:style>
  <w:style w:type="paragraph" w:styleId="FootnoteText">
    <w:name w:val="footnote text"/>
    <w:basedOn w:val="Normal"/>
    <w:link w:val="FootnoteTextChar"/>
    <w:autoRedefine/>
    <w:uiPriority w:val="99"/>
    <w:unhideWhenUsed/>
    <w:rsid w:val="00570D1F"/>
    <w:pPr>
      <w:spacing w:before="240" w:after="240" w:line="240" w:lineRule="auto"/>
      <w:ind w:left="720" w:hanging="720"/>
    </w:pPr>
    <w:rPr>
      <w:rFonts w:ascii="Times New Roman" w:hAnsi="Times New Roman"/>
      <w:sz w:val="24"/>
      <w:szCs w:val="20"/>
    </w:rPr>
  </w:style>
  <w:style w:type="character" w:customStyle="1" w:styleId="FootnoteTextChar">
    <w:name w:val="Footnote Text Char"/>
    <w:basedOn w:val="DefaultParagraphFont"/>
    <w:link w:val="FootnoteText"/>
    <w:uiPriority w:val="99"/>
    <w:rsid w:val="00570D1F"/>
    <w:rPr>
      <w:rFonts w:ascii="Times New Roman" w:hAnsi="Times New Roman"/>
      <w:sz w:val="24"/>
    </w:rPr>
  </w:style>
  <w:style w:type="character" w:styleId="FootnoteReference">
    <w:name w:val="footnote reference"/>
    <w:basedOn w:val="DefaultParagraphFont"/>
    <w:uiPriority w:val="99"/>
    <w:semiHidden/>
    <w:unhideWhenUsed/>
    <w:rsid w:val="00C969E7"/>
    <w:rPr>
      <w:vertAlign w:val="superscript"/>
    </w:rPr>
  </w:style>
  <w:style w:type="paragraph" w:styleId="Header">
    <w:name w:val="header"/>
    <w:basedOn w:val="Normal"/>
    <w:link w:val="HeaderChar"/>
    <w:uiPriority w:val="99"/>
    <w:unhideWhenUsed/>
    <w:rsid w:val="008748FB"/>
    <w:pPr>
      <w:tabs>
        <w:tab w:val="center" w:pos="4680"/>
        <w:tab w:val="right" w:pos="9360"/>
      </w:tabs>
    </w:pPr>
  </w:style>
  <w:style w:type="character" w:customStyle="1" w:styleId="HeaderChar">
    <w:name w:val="Header Char"/>
    <w:basedOn w:val="DefaultParagraphFont"/>
    <w:link w:val="Header"/>
    <w:uiPriority w:val="99"/>
    <w:rsid w:val="008748FB"/>
    <w:rPr>
      <w:sz w:val="22"/>
      <w:szCs w:val="22"/>
    </w:rPr>
  </w:style>
  <w:style w:type="paragraph" w:styleId="Footer">
    <w:name w:val="footer"/>
    <w:basedOn w:val="Normal"/>
    <w:link w:val="FooterChar"/>
    <w:uiPriority w:val="99"/>
    <w:unhideWhenUsed/>
    <w:rsid w:val="008748FB"/>
    <w:pPr>
      <w:tabs>
        <w:tab w:val="center" w:pos="4680"/>
        <w:tab w:val="right" w:pos="9360"/>
      </w:tabs>
    </w:pPr>
  </w:style>
  <w:style w:type="character" w:customStyle="1" w:styleId="FooterChar">
    <w:name w:val="Footer Char"/>
    <w:basedOn w:val="DefaultParagraphFont"/>
    <w:link w:val="Footer"/>
    <w:uiPriority w:val="99"/>
    <w:rsid w:val="008748FB"/>
    <w:rPr>
      <w:sz w:val="22"/>
      <w:szCs w:val="22"/>
    </w:rPr>
  </w:style>
  <w:style w:type="paragraph" w:styleId="NoSpacing">
    <w:name w:val="No Spacing"/>
    <w:uiPriority w:val="1"/>
    <w:qFormat/>
    <w:rsid w:val="00D3094A"/>
    <w:rPr>
      <w:sz w:val="22"/>
      <w:szCs w:val="22"/>
    </w:rPr>
  </w:style>
  <w:style w:type="table" w:styleId="TableGrid">
    <w:name w:val="Table Grid"/>
    <w:basedOn w:val="TableNormal"/>
    <w:uiPriority w:val="59"/>
    <w:rsid w:val="00570D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70D1F"/>
    <w:rPr>
      <w:rFonts w:ascii="Times New Roman" w:eastAsia="Times New Roman" w:hAnsi="Times New Roman" w:cs="Times New Roman"/>
      <w:b/>
      <w:bCs/>
      <w:kern w:val="32"/>
      <w:sz w:val="28"/>
      <w:szCs w:val="32"/>
    </w:rPr>
  </w:style>
  <w:style w:type="paragraph" w:customStyle="1" w:styleId="Textstyle">
    <w:name w:val="Text style"/>
    <w:basedOn w:val="Normal"/>
    <w:autoRedefine/>
    <w:rsid w:val="000A0E1A"/>
    <w:pPr>
      <w:spacing w:after="0" w:line="480" w:lineRule="auto"/>
      <w:jc w:val="both"/>
    </w:pPr>
    <w:rPr>
      <w:rFonts w:ascii="Times New Roman" w:hAnsi="Times New Roman"/>
      <w:sz w:val="26"/>
      <w:szCs w:val="26"/>
    </w:rPr>
  </w:style>
  <w:style w:type="character" w:customStyle="1" w:styleId="Heading2Char">
    <w:name w:val="Heading 2 Char"/>
    <w:basedOn w:val="DefaultParagraphFont"/>
    <w:link w:val="Heading2"/>
    <w:uiPriority w:val="9"/>
    <w:rsid w:val="00570D1F"/>
    <w:rPr>
      <w:rFonts w:ascii="Times New Roman" w:eastAsia="Times New Roman" w:hAnsi="Times New Roman" w:cs="Times New Roman"/>
      <w:b/>
      <w:bCs/>
      <w:iCs/>
      <w:sz w:val="28"/>
      <w:szCs w:val="28"/>
    </w:rPr>
  </w:style>
  <w:style w:type="paragraph" w:styleId="TOC1">
    <w:name w:val="toc 1"/>
    <w:basedOn w:val="Normal"/>
    <w:next w:val="Normal"/>
    <w:autoRedefine/>
    <w:uiPriority w:val="39"/>
    <w:unhideWhenUsed/>
    <w:rsid w:val="009C60BC"/>
    <w:pPr>
      <w:tabs>
        <w:tab w:val="right" w:leader="dot" w:pos="9346"/>
      </w:tabs>
      <w:spacing w:before="240" w:after="240" w:line="240" w:lineRule="auto"/>
      <w:ind w:right="1440"/>
    </w:pPr>
    <w:rPr>
      <w:rFonts w:ascii="Times New Roman" w:hAnsi="Times New Roman"/>
      <w:sz w:val="26"/>
    </w:rPr>
  </w:style>
  <w:style w:type="paragraph" w:styleId="TOC2">
    <w:name w:val="toc 2"/>
    <w:basedOn w:val="Normal"/>
    <w:next w:val="Normal"/>
    <w:autoRedefine/>
    <w:uiPriority w:val="39"/>
    <w:unhideWhenUsed/>
    <w:rsid w:val="009C60BC"/>
    <w:pPr>
      <w:tabs>
        <w:tab w:val="left" w:pos="720"/>
        <w:tab w:val="right" w:leader="dot" w:pos="9350"/>
      </w:tabs>
      <w:spacing w:before="240" w:after="240" w:line="240" w:lineRule="auto"/>
      <w:ind w:left="1440" w:right="1440" w:hanging="720"/>
    </w:pPr>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425691826">
      <w:bodyDiv w:val="1"/>
      <w:marLeft w:val="0"/>
      <w:marRight w:val="0"/>
      <w:marTop w:val="0"/>
      <w:marBottom w:val="0"/>
      <w:divBdr>
        <w:top w:val="none" w:sz="0" w:space="0" w:color="auto"/>
        <w:left w:val="none" w:sz="0" w:space="0" w:color="auto"/>
        <w:bottom w:val="none" w:sz="0" w:space="0" w:color="auto"/>
        <w:right w:val="none" w:sz="0" w:space="0" w:color="auto"/>
      </w:divBdr>
    </w:div>
    <w:div w:id="14498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ecca.hussey@puc.state.oh.u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ownload.broadband.gov/plan/national-broadband-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307A4-C1A0-4FF1-8F46-0C130821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21507</CharactersWithSpaces>
  <SharedDoc>false</SharedDoc>
  <HLinks>
    <vt:vector size="12" baseType="variant">
      <vt:variant>
        <vt:i4>2490461</vt:i4>
      </vt:variant>
      <vt:variant>
        <vt:i4>21</vt:i4>
      </vt:variant>
      <vt:variant>
        <vt:i4>0</vt:i4>
      </vt:variant>
      <vt:variant>
        <vt:i4>5</vt:i4>
      </vt:variant>
      <vt:variant>
        <vt:lpwstr>mailto:rebecca.hussey@puc.state.oh.us</vt:lpwstr>
      </vt:variant>
      <vt:variant>
        <vt:lpwstr/>
      </vt:variant>
      <vt:variant>
        <vt:i4>7798909</vt:i4>
      </vt:variant>
      <vt:variant>
        <vt:i4>0</vt:i4>
      </vt:variant>
      <vt:variant>
        <vt:i4>0</vt:i4>
      </vt:variant>
      <vt:variant>
        <vt:i4>5</vt:i4>
      </vt:variant>
      <vt:variant>
        <vt:lpwstr>http://download.broadband.gov/plan/national-broadband-plan.pdf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dc:creator>
  <cp:keywords/>
  <cp:lastModifiedBy>Kimberly L Keeton</cp:lastModifiedBy>
  <cp:revision>8</cp:revision>
  <cp:lastPrinted>2010-08-19T13:35:00Z</cp:lastPrinted>
  <dcterms:created xsi:type="dcterms:W3CDTF">2010-08-18T17:03:00Z</dcterms:created>
  <dcterms:modified xsi:type="dcterms:W3CDTF">2010-08-19T13:37:00Z</dcterms:modified>
</cp:coreProperties>
</file>