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92188" w14:textId="789EE57C" w:rsidR="004552C9" w:rsidRDefault="009E752A">
      <w:pPr>
        <w:jc w:val="right"/>
        <w:rPr>
          <w:b/>
          <w:bCs/>
          <w:i/>
          <w:iCs/>
        </w:rPr>
      </w:pPr>
      <w:bookmarkStart w:id="0" w:name="_GoBack"/>
      <w:bookmarkEnd w:id="0"/>
      <w:r>
        <w:rPr>
          <w:b/>
          <w:bCs/>
          <w:i/>
          <w:iCs/>
        </w:rPr>
        <w:t>OCC EXHIBIT</w:t>
      </w:r>
      <w:r w:rsidR="00D03445">
        <w:rPr>
          <w:b/>
          <w:bCs/>
          <w:i/>
          <w:iCs/>
        </w:rPr>
        <w:t xml:space="preserve"> NO.</w:t>
      </w:r>
      <w:r>
        <w:rPr>
          <w:b/>
          <w:bCs/>
          <w:i/>
          <w:iCs/>
        </w:rPr>
        <w:t>_______</w:t>
      </w:r>
    </w:p>
    <w:p w14:paraId="73D82DFA" w14:textId="77777777" w:rsidR="004552C9" w:rsidRDefault="004552C9"/>
    <w:p w14:paraId="4768CC47" w14:textId="77777777" w:rsidR="004552C9" w:rsidRDefault="004552C9">
      <w:pPr>
        <w:jc w:val="center"/>
      </w:pPr>
    </w:p>
    <w:p w14:paraId="1A718E65" w14:textId="77777777" w:rsidR="004552C9" w:rsidRDefault="009E752A">
      <w:pPr>
        <w:pStyle w:val="HTMLPreformatted"/>
        <w:jc w:val="center"/>
        <w:rPr>
          <w:rFonts w:ascii="Times New Roman" w:hAnsi="Times New Roman" w:cs="Times New Roman"/>
          <w:b/>
          <w:bCs/>
          <w:sz w:val="24"/>
          <w:szCs w:val="24"/>
        </w:rPr>
      </w:pPr>
      <w:r>
        <w:rPr>
          <w:rFonts w:ascii="Times New Roman" w:hAnsi="Times New Roman" w:cs="Times New Roman"/>
          <w:b/>
          <w:bCs/>
          <w:sz w:val="24"/>
          <w:szCs w:val="24"/>
        </w:rPr>
        <w:t>BEFORE</w:t>
      </w:r>
    </w:p>
    <w:p w14:paraId="117080ED" w14:textId="77777777" w:rsidR="004552C9" w:rsidRDefault="009E752A">
      <w:pPr>
        <w:pStyle w:val="HTMLPreformatted"/>
        <w:jc w:val="center"/>
        <w:rPr>
          <w:rFonts w:ascii="Times New Roman" w:hAnsi="Times New Roman" w:cs="Times New Roman"/>
          <w:sz w:val="24"/>
          <w:szCs w:val="24"/>
        </w:rPr>
      </w:pPr>
      <w:r>
        <w:rPr>
          <w:rFonts w:ascii="Times New Roman" w:hAnsi="Times New Roman" w:cs="Times New Roman"/>
          <w:b/>
          <w:bCs/>
          <w:sz w:val="24"/>
          <w:szCs w:val="24"/>
        </w:rPr>
        <w:t>THE PUBLIC UTILITIES COMMISSION OF OHIO</w:t>
      </w:r>
    </w:p>
    <w:p w14:paraId="240EBB79" w14:textId="77777777" w:rsidR="004552C9" w:rsidRDefault="004552C9">
      <w:pPr>
        <w:pStyle w:val="HTMLPreformatted"/>
        <w:jc w:val="center"/>
        <w:rPr>
          <w:rFonts w:ascii="Times New Roman" w:hAnsi="Times New Roman" w:cs="Times New Roman"/>
          <w:sz w:val="24"/>
          <w:szCs w:val="24"/>
        </w:rPr>
      </w:pPr>
    </w:p>
    <w:tbl>
      <w:tblPr>
        <w:tblW w:w="9092" w:type="dxa"/>
        <w:tblInd w:w="-106" w:type="dxa"/>
        <w:tblLook w:val="01E0" w:firstRow="1" w:lastRow="1" w:firstColumn="1" w:lastColumn="1" w:noHBand="0" w:noVBand="0"/>
      </w:tblPr>
      <w:tblGrid>
        <w:gridCol w:w="4326"/>
        <w:gridCol w:w="376"/>
        <w:gridCol w:w="4390"/>
      </w:tblGrid>
      <w:tr w:rsidR="004552C9" w14:paraId="4D064410" w14:textId="77777777">
        <w:trPr>
          <w:trHeight w:val="807"/>
        </w:trPr>
        <w:tc>
          <w:tcPr>
            <w:tcW w:w="4326" w:type="dxa"/>
          </w:tcPr>
          <w:p w14:paraId="643ACD59" w14:textId="77777777" w:rsidR="004552C9" w:rsidRDefault="009E752A">
            <w:pPr>
              <w:autoSpaceDE w:val="0"/>
              <w:autoSpaceDN w:val="0"/>
              <w:adjustRightInd w:val="0"/>
            </w:pPr>
            <w:r>
              <w:t>In the Matter of the Application of</w:t>
            </w:r>
          </w:p>
          <w:p w14:paraId="3EE4B89B" w14:textId="77777777" w:rsidR="004552C9" w:rsidRDefault="00C17348" w:rsidP="00C17348">
            <w:pPr>
              <w:pStyle w:val="HTMLPreformatted"/>
              <w:rPr>
                <w:rFonts w:ascii="Times New Roman" w:hAnsi="Times New Roman" w:cs="Times New Roman"/>
                <w:sz w:val="24"/>
                <w:szCs w:val="24"/>
              </w:rPr>
            </w:pPr>
            <w:r>
              <w:rPr>
                <w:rFonts w:ascii="Times New Roman" w:hAnsi="Times New Roman" w:cs="Times New Roman"/>
                <w:sz w:val="24"/>
                <w:szCs w:val="24"/>
              </w:rPr>
              <w:t>Duke Energy Ohio</w:t>
            </w:r>
            <w:r w:rsidR="009E752A">
              <w:rPr>
                <w:rFonts w:ascii="Times New Roman" w:hAnsi="Times New Roman" w:cs="Times New Roman"/>
                <w:sz w:val="24"/>
                <w:szCs w:val="24"/>
              </w:rPr>
              <w:t xml:space="preserve"> for Authority to Establish a Standard Service Offer Pursuant to Section 4928.143, Rev</w:t>
            </w:r>
            <w:r>
              <w:rPr>
                <w:rFonts w:ascii="Times New Roman" w:hAnsi="Times New Roman" w:cs="Times New Roman"/>
                <w:sz w:val="24"/>
                <w:szCs w:val="24"/>
              </w:rPr>
              <w:t xml:space="preserve">ised </w:t>
            </w:r>
            <w:r w:rsidR="009E752A">
              <w:rPr>
                <w:rFonts w:ascii="Times New Roman" w:hAnsi="Times New Roman" w:cs="Times New Roman"/>
                <w:sz w:val="24"/>
                <w:szCs w:val="24"/>
              </w:rPr>
              <w:t>Code, in the Form of an Electric Security Plan</w:t>
            </w:r>
            <w:r>
              <w:rPr>
                <w:rFonts w:ascii="Times New Roman" w:hAnsi="Times New Roman" w:cs="Times New Roman"/>
                <w:sz w:val="24"/>
                <w:szCs w:val="24"/>
              </w:rPr>
              <w:t>, Accounting Modifications and Tariffs for Generation Service</w:t>
            </w:r>
            <w:r w:rsidR="009E752A">
              <w:rPr>
                <w:rFonts w:ascii="Times New Roman" w:hAnsi="Times New Roman" w:cs="Times New Roman"/>
                <w:sz w:val="24"/>
                <w:szCs w:val="24"/>
              </w:rPr>
              <w:t>.</w:t>
            </w:r>
          </w:p>
        </w:tc>
        <w:tc>
          <w:tcPr>
            <w:tcW w:w="376" w:type="dxa"/>
          </w:tcPr>
          <w:p w14:paraId="678AF403" w14:textId="77777777" w:rsidR="004552C9" w:rsidRDefault="009E752A">
            <w:pPr>
              <w:pStyle w:val="HTMLPreformatted"/>
              <w:jc w:val="center"/>
              <w:rPr>
                <w:rFonts w:ascii="Times New Roman" w:hAnsi="Times New Roman" w:cs="Times New Roman"/>
                <w:sz w:val="24"/>
                <w:szCs w:val="24"/>
              </w:rPr>
            </w:pPr>
            <w:r>
              <w:rPr>
                <w:rFonts w:ascii="Times New Roman" w:hAnsi="Times New Roman" w:cs="Times New Roman"/>
                <w:sz w:val="24"/>
                <w:szCs w:val="24"/>
              </w:rPr>
              <w:t>)</w:t>
            </w:r>
          </w:p>
          <w:p w14:paraId="58C011E5" w14:textId="77777777" w:rsidR="004552C9" w:rsidRDefault="009E752A">
            <w:pPr>
              <w:pStyle w:val="HTMLPreformatted"/>
              <w:jc w:val="center"/>
              <w:rPr>
                <w:rFonts w:ascii="Times New Roman" w:hAnsi="Times New Roman" w:cs="Times New Roman"/>
                <w:sz w:val="24"/>
                <w:szCs w:val="24"/>
              </w:rPr>
            </w:pPr>
            <w:r>
              <w:rPr>
                <w:rFonts w:ascii="Times New Roman" w:hAnsi="Times New Roman" w:cs="Times New Roman"/>
                <w:sz w:val="24"/>
                <w:szCs w:val="24"/>
              </w:rPr>
              <w:t>)</w:t>
            </w:r>
          </w:p>
          <w:p w14:paraId="5B7B733A" w14:textId="77777777" w:rsidR="004552C9" w:rsidRDefault="009E752A">
            <w:pPr>
              <w:pStyle w:val="HTMLPreformatted"/>
              <w:jc w:val="center"/>
              <w:rPr>
                <w:rFonts w:ascii="Times New Roman" w:hAnsi="Times New Roman" w:cs="Times New Roman"/>
                <w:sz w:val="24"/>
                <w:szCs w:val="24"/>
              </w:rPr>
            </w:pPr>
            <w:r>
              <w:rPr>
                <w:rFonts w:ascii="Times New Roman" w:hAnsi="Times New Roman" w:cs="Times New Roman"/>
                <w:sz w:val="24"/>
                <w:szCs w:val="24"/>
              </w:rPr>
              <w:t>)</w:t>
            </w:r>
          </w:p>
          <w:p w14:paraId="2A006DA2" w14:textId="77777777" w:rsidR="004552C9" w:rsidRDefault="009E752A">
            <w:pPr>
              <w:pStyle w:val="HTMLPreformatted"/>
              <w:jc w:val="center"/>
              <w:rPr>
                <w:rFonts w:ascii="Times New Roman" w:hAnsi="Times New Roman" w:cs="Times New Roman"/>
                <w:sz w:val="24"/>
                <w:szCs w:val="24"/>
              </w:rPr>
            </w:pPr>
            <w:r>
              <w:rPr>
                <w:rFonts w:ascii="Times New Roman" w:hAnsi="Times New Roman" w:cs="Times New Roman"/>
                <w:sz w:val="24"/>
                <w:szCs w:val="24"/>
              </w:rPr>
              <w:t>)</w:t>
            </w:r>
          </w:p>
          <w:p w14:paraId="6D7AB977" w14:textId="77777777" w:rsidR="004552C9" w:rsidRDefault="009E752A">
            <w:pPr>
              <w:pStyle w:val="HTMLPreformatted"/>
              <w:jc w:val="center"/>
              <w:rPr>
                <w:rFonts w:ascii="Times New Roman" w:hAnsi="Times New Roman" w:cs="Times New Roman"/>
                <w:sz w:val="24"/>
                <w:szCs w:val="24"/>
              </w:rPr>
            </w:pPr>
            <w:r>
              <w:rPr>
                <w:rFonts w:ascii="Times New Roman" w:hAnsi="Times New Roman" w:cs="Times New Roman"/>
                <w:sz w:val="24"/>
                <w:szCs w:val="24"/>
              </w:rPr>
              <w:t>)</w:t>
            </w:r>
          </w:p>
          <w:p w14:paraId="1829ED5D" w14:textId="77777777" w:rsidR="004552C9" w:rsidRDefault="009E752A">
            <w:pPr>
              <w:pStyle w:val="HTMLPreformatted"/>
              <w:jc w:val="center"/>
              <w:rPr>
                <w:rFonts w:ascii="Times New Roman" w:hAnsi="Times New Roman" w:cs="Times New Roman"/>
                <w:sz w:val="24"/>
                <w:szCs w:val="24"/>
              </w:rPr>
            </w:pPr>
            <w:r>
              <w:rPr>
                <w:rFonts w:ascii="Times New Roman" w:hAnsi="Times New Roman" w:cs="Times New Roman"/>
                <w:sz w:val="24"/>
                <w:szCs w:val="24"/>
              </w:rPr>
              <w:t>)</w:t>
            </w:r>
          </w:p>
          <w:p w14:paraId="1B83C841" w14:textId="77777777" w:rsidR="004552C9" w:rsidRDefault="009E752A">
            <w:pPr>
              <w:pStyle w:val="HTMLPreformatted"/>
              <w:jc w:val="center"/>
              <w:rPr>
                <w:rFonts w:ascii="Times New Roman" w:hAnsi="Times New Roman" w:cs="Times New Roman"/>
                <w:sz w:val="24"/>
                <w:szCs w:val="24"/>
              </w:rPr>
            </w:pPr>
            <w:r>
              <w:rPr>
                <w:rFonts w:ascii="Times New Roman" w:hAnsi="Times New Roman" w:cs="Times New Roman"/>
                <w:sz w:val="24"/>
                <w:szCs w:val="24"/>
              </w:rPr>
              <w:t>)</w:t>
            </w:r>
          </w:p>
        </w:tc>
        <w:tc>
          <w:tcPr>
            <w:tcW w:w="4390" w:type="dxa"/>
          </w:tcPr>
          <w:p w14:paraId="29A61352" w14:textId="77777777" w:rsidR="004552C9" w:rsidRDefault="004552C9">
            <w:pPr>
              <w:pStyle w:val="HTMLPreformatted"/>
              <w:jc w:val="center"/>
              <w:rPr>
                <w:rFonts w:ascii="Times New Roman" w:hAnsi="Times New Roman" w:cs="Times New Roman"/>
              </w:rPr>
            </w:pPr>
          </w:p>
          <w:p w14:paraId="335FF443" w14:textId="77777777" w:rsidR="00B8057D" w:rsidRDefault="00B8057D">
            <w:pPr>
              <w:pStyle w:val="HTMLPreformatted"/>
              <w:jc w:val="center"/>
              <w:rPr>
                <w:rFonts w:ascii="Times New Roman" w:hAnsi="Times New Roman" w:cs="Times New Roman"/>
                <w:sz w:val="24"/>
                <w:szCs w:val="24"/>
              </w:rPr>
            </w:pPr>
          </w:p>
          <w:p w14:paraId="032A8184" w14:textId="77777777" w:rsidR="00B8057D" w:rsidRDefault="00B8057D">
            <w:pPr>
              <w:pStyle w:val="HTMLPreformatted"/>
              <w:jc w:val="center"/>
              <w:rPr>
                <w:rFonts w:ascii="Times New Roman" w:hAnsi="Times New Roman" w:cs="Times New Roman"/>
                <w:sz w:val="24"/>
                <w:szCs w:val="24"/>
              </w:rPr>
            </w:pPr>
          </w:p>
          <w:p w14:paraId="634002FC" w14:textId="77777777" w:rsidR="004552C9" w:rsidRDefault="009E752A">
            <w:pPr>
              <w:pStyle w:val="HTMLPreformatted"/>
              <w:jc w:val="center"/>
              <w:rPr>
                <w:rFonts w:ascii="Times New Roman" w:hAnsi="Times New Roman" w:cs="Times New Roman"/>
                <w:sz w:val="24"/>
                <w:szCs w:val="24"/>
              </w:rPr>
            </w:pPr>
            <w:r>
              <w:rPr>
                <w:rFonts w:ascii="Times New Roman" w:hAnsi="Times New Roman" w:cs="Times New Roman"/>
                <w:sz w:val="24"/>
                <w:szCs w:val="24"/>
              </w:rPr>
              <w:t>Case No. 1</w:t>
            </w:r>
            <w:r w:rsidR="00C17348">
              <w:rPr>
                <w:rFonts w:ascii="Times New Roman" w:hAnsi="Times New Roman" w:cs="Times New Roman"/>
                <w:sz w:val="24"/>
                <w:szCs w:val="24"/>
              </w:rPr>
              <w:t>4</w:t>
            </w:r>
            <w:r>
              <w:rPr>
                <w:rFonts w:ascii="Times New Roman" w:hAnsi="Times New Roman" w:cs="Times New Roman"/>
                <w:sz w:val="24"/>
                <w:szCs w:val="24"/>
              </w:rPr>
              <w:t>-</w:t>
            </w:r>
            <w:r w:rsidR="00C17348">
              <w:rPr>
                <w:rFonts w:ascii="Times New Roman" w:hAnsi="Times New Roman" w:cs="Times New Roman"/>
                <w:sz w:val="24"/>
                <w:szCs w:val="24"/>
              </w:rPr>
              <w:t>841</w:t>
            </w:r>
            <w:r>
              <w:rPr>
                <w:rFonts w:ascii="Times New Roman" w:hAnsi="Times New Roman" w:cs="Times New Roman"/>
                <w:sz w:val="24"/>
                <w:szCs w:val="24"/>
              </w:rPr>
              <w:t>-EL-SSO</w:t>
            </w:r>
          </w:p>
          <w:p w14:paraId="29BF615A" w14:textId="77777777" w:rsidR="004552C9" w:rsidRDefault="004552C9">
            <w:pPr>
              <w:pStyle w:val="HTMLPreformatted"/>
              <w:jc w:val="center"/>
              <w:rPr>
                <w:rFonts w:ascii="Times New Roman" w:hAnsi="Times New Roman" w:cs="Times New Roman"/>
                <w:sz w:val="24"/>
                <w:szCs w:val="24"/>
              </w:rPr>
            </w:pPr>
          </w:p>
          <w:p w14:paraId="2E069170" w14:textId="77777777" w:rsidR="004552C9" w:rsidRDefault="004552C9">
            <w:pPr>
              <w:pStyle w:val="HTMLPreformatted"/>
              <w:jc w:val="center"/>
              <w:rPr>
                <w:rFonts w:ascii="Times New Roman" w:hAnsi="Times New Roman" w:cs="Times New Roman"/>
              </w:rPr>
            </w:pPr>
          </w:p>
        </w:tc>
      </w:tr>
    </w:tbl>
    <w:p w14:paraId="046DF381" w14:textId="77777777" w:rsidR="004552C9" w:rsidRDefault="004552C9">
      <w:pPr>
        <w:pStyle w:val="HTMLPreformatted"/>
        <w:jc w:val="center"/>
        <w:rPr>
          <w:rFonts w:ascii="Times New Roman" w:hAnsi="Times New Roman" w:cs="Times New Roman"/>
          <w:b/>
          <w:bCs/>
          <w:sz w:val="24"/>
          <w:szCs w:val="24"/>
        </w:rPr>
      </w:pPr>
    </w:p>
    <w:tbl>
      <w:tblPr>
        <w:tblW w:w="9092" w:type="dxa"/>
        <w:tblInd w:w="-106" w:type="dxa"/>
        <w:tblLook w:val="01E0" w:firstRow="1" w:lastRow="1" w:firstColumn="1" w:lastColumn="1" w:noHBand="0" w:noVBand="0"/>
      </w:tblPr>
      <w:tblGrid>
        <w:gridCol w:w="4326"/>
        <w:gridCol w:w="376"/>
        <w:gridCol w:w="4390"/>
      </w:tblGrid>
      <w:tr w:rsidR="004552C9" w14:paraId="632FC7C1" w14:textId="77777777">
        <w:trPr>
          <w:trHeight w:val="807"/>
        </w:trPr>
        <w:tc>
          <w:tcPr>
            <w:tcW w:w="4326" w:type="dxa"/>
          </w:tcPr>
          <w:p w14:paraId="09235F9A" w14:textId="77777777" w:rsidR="004552C9" w:rsidRDefault="009E752A">
            <w:pPr>
              <w:autoSpaceDE w:val="0"/>
              <w:autoSpaceDN w:val="0"/>
              <w:adjustRightInd w:val="0"/>
            </w:pPr>
            <w:r>
              <w:t>In the Matter of the Application of</w:t>
            </w:r>
          </w:p>
          <w:p w14:paraId="2D175237" w14:textId="77777777" w:rsidR="004552C9" w:rsidRDefault="00C17348" w:rsidP="00C17348">
            <w:pPr>
              <w:pStyle w:val="HTMLPreformatted"/>
              <w:rPr>
                <w:rFonts w:ascii="Times New Roman" w:hAnsi="Times New Roman" w:cs="Times New Roman"/>
                <w:sz w:val="24"/>
                <w:szCs w:val="24"/>
              </w:rPr>
            </w:pPr>
            <w:r>
              <w:rPr>
                <w:rFonts w:ascii="Times New Roman" w:hAnsi="Times New Roman" w:cs="Times New Roman"/>
                <w:sz w:val="24"/>
                <w:szCs w:val="24"/>
              </w:rPr>
              <w:t xml:space="preserve">Duke Energy Ohio </w:t>
            </w:r>
            <w:r w:rsidR="009E752A">
              <w:rPr>
                <w:rFonts w:ascii="Times New Roman" w:hAnsi="Times New Roman" w:cs="Times New Roman"/>
                <w:sz w:val="24"/>
                <w:szCs w:val="24"/>
              </w:rPr>
              <w:t>for A</w:t>
            </w:r>
            <w:r>
              <w:rPr>
                <w:rFonts w:ascii="Times New Roman" w:hAnsi="Times New Roman" w:cs="Times New Roman"/>
                <w:sz w:val="24"/>
                <w:szCs w:val="24"/>
              </w:rPr>
              <w:t>uthority to Amend its Certified Supplier Tariff, P.U.C.O. No. 20.</w:t>
            </w:r>
          </w:p>
        </w:tc>
        <w:tc>
          <w:tcPr>
            <w:tcW w:w="376" w:type="dxa"/>
          </w:tcPr>
          <w:p w14:paraId="72B9D574" w14:textId="77777777" w:rsidR="004552C9" w:rsidRDefault="009E752A">
            <w:pPr>
              <w:pStyle w:val="HTMLPreformatted"/>
              <w:jc w:val="center"/>
              <w:rPr>
                <w:rFonts w:ascii="Times New Roman" w:hAnsi="Times New Roman" w:cs="Times New Roman"/>
                <w:sz w:val="24"/>
                <w:szCs w:val="24"/>
              </w:rPr>
            </w:pPr>
            <w:r>
              <w:rPr>
                <w:rFonts w:ascii="Times New Roman" w:hAnsi="Times New Roman" w:cs="Times New Roman"/>
                <w:sz w:val="24"/>
                <w:szCs w:val="24"/>
              </w:rPr>
              <w:t>)</w:t>
            </w:r>
          </w:p>
          <w:p w14:paraId="5E3EBC4C" w14:textId="77777777" w:rsidR="004552C9" w:rsidRDefault="009E752A">
            <w:pPr>
              <w:pStyle w:val="HTMLPreformatted"/>
              <w:jc w:val="center"/>
              <w:rPr>
                <w:rFonts w:ascii="Times New Roman" w:hAnsi="Times New Roman" w:cs="Times New Roman"/>
                <w:sz w:val="24"/>
                <w:szCs w:val="24"/>
              </w:rPr>
            </w:pPr>
            <w:r>
              <w:rPr>
                <w:rFonts w:ascii="Times New Roman" w:hAnsi="Times New Roman" w:cs="Times New Roman"/>
                <w:sz w:val="24"/>
                <w:szCs w:val="24"/>
              </w:rPr>
              <w:t>)</w:t>
            </w:r>
          </w:p>
          <w:p w14:paraId="27CAA4E0" w14:textId="77777777" w:rsidR="004552C9" w:rsidRDefault="009E752A">
            <w:pPr>
              <w:pStyle w:val="HTMLPreformatted"/>
              <w:jc w:val="center"/>
              <w:rPr>
                <w:rFonts w:ascii="Times New Roman" w:hAnsi="Times New Roman" w:cs="Times New Roman"/>
                <w:sz w:val="24"/>
                <w:szCs w:val="24"/>
              </w:rPr>
            </w:pPr>
            <w:r>
              <w:rPr>
                <w:rFonts w:ascii="Times New Roman" w:hAnsi="Times New Roman" w:cs="Times New Roman"/>
                <w:sz w:val="24"/>
                <w:szCs w:val="24"/>
              </w:rPr>
              <w:t>)</w:t>
            </w:r>
          </w:p>
          <w:p w14:paraId="43CFB3A3" w14:textId="018A5809" w:rsidR="004552C9" w:rsidRDefault="009E752A" w:rsidP="00B8057D">
            <w:pPr>
              <w:pStyle w:val="HTMLPreformatted"/>
              <w:jc w:val="center"/>
              <w:rPr>
                <w:rFonts w:ascii="Times New Roman" w:hAnsi="Times New Roman" w:cs="Times New Roman"/>
                <w:sz w:val="24"/>
                <w:szCs w:val="24"/>
              </w:rPr>
            </w:pPr>
            <w:r>
              <w:rPr>
                <w:rFonts w:ascii="Times New Roman" w:hAnsi="Times New Roman" w:cs="Times New Roman"/>
                <w:sz w:val="24"/>
                <w:szCs w:val="24"/>
              </w:rPr>
              <w:t>)</w:t>
            </w:r>
          </w:p>
        </w:tc>
        <w:tc>
          <w:tcPr>
            <w:tcW w:w="4390" w:type="dxa"/>
          </w:tcPr>
          <w:p w14:paraId="122B503B" w14:textId="77777777" w:rsidR="004552C9" w:rsidRDefault="004552C9">
            <w:pPr>
              <w:pStyle w:val="HTMLPreformatted"/>
              <w:jc w:val="center"/>
              <w:rPr>
                <w:rFonts w:ascii="Times New Roman" w:hAnsi="Times New Roman" w:cs="Times New Roman"/>
              </w:rPr>
            </w:pPr>
          </w:p>
          <w:p w14:paraId="22B19D02" w14:textId="77777777" w:rsidR="004552C9" w:rsidRDefault="009E752A">
            <w:pPr>
              <w:pStyle w:val="HTMLPreformatted"/>
              <w:jc w:val="center"/>
              <w:rPr>
                <w:rFonts w:ascii="Times New Roman" w:hAnsi="Times New Roman" w:cs="Times New Roman"/>
                <w:sz w:val="24"/>
                <w:szCs w:val="24"/>
              </w:rPr>
            </w:pPr>
            <w:r>
              <w:rPr>
                <w:rFonts w:ascii="Times New Roman" w:hAnsi="Times New Roman" w:cs="Times New Roman"/>
                <w:sz w:val="24"/>
                <w:szCs w:val="24"/>
              </w:rPr>
              <w:t>Case No. 1</w:t>
            </w:r>
            <w:r w:rsidR="00C17348">
              <w:rPr>
                <w:rFonts w:ascii="Times New Roman" w:hAnsi="Times New Roman" w:cs="Times New Roman"/>
                <w:sz w:val="24"/>
                <w:szCs w:val="24"/>
              </w:rPr>
              <w:t>4</w:t>
            </w:r>
            <w:r>
              <w:rPr>
                <w:rFonts w:ascii="Times New Roman" w:hAnsi="Times New Roman" w:cs="Times New Roman"/>
                <w:sz w:val="24"/>
                <w:szCs w:val="24"/>
              </w:rPr>
              <w:t>-</w:t>
            </w:r>
            <w:r w:rsidR="00C17348">
              <w:rPr>
                <w:rFonts w:ascii="Times New Roman" w:hAnsi="Times New Roman" w:cs="Times New Roman"/>
                <w:sz w:val="24"/>
                <w:szCs w:val="24"/>
              </w:rPr>
              <w:t>842</w:t>
            </w:r>
            <w:r>
              <w:rPr>
                <w:rFonts w:ascii="Times New Roman" w:hAnsi="Times New Roman" w:cs="Times New Roman"/>
                <w:sz w:val="24"/>
                <w:szCs w:val="24"/>
              </w:rPr>
              <w:t>-EL-AAM</w:t>
            </w:r>
          </w:p>
          <w:p w14:paraId="12E12AB3" w14:textId="77777777" w:rsidR="004552C9" w:rsidRDefault="004552C9">
            <w:pPr>
              <w:pStyle w:val="HTMLPreformatted"/>
              <w:jc w:val="center"/>
              <w:rPr>
                <w:rFonts w:ascii="Times New Roman" w:hAnsi="Times New Roman" w:cs="Times New Roman"/>
              </w:rPr>
            </w:pPr>
          </w:p>
        </w:tc>
      </w:tr>
    </w:tbl>
    <w:p w14:paraId="3B0F0FD4" w14:textId="77777777" w:rsidR="004552C9" w:rsidRDefault="004552C9">
      <w:pPr>
        <w:pStyle w:val="HTMLPreformatted"/>
        <w:jc w:val="center"/>
        <w:rPr>
          <w:rFonts w:ascii="Times New Roman" w:hAnsi="Times New Roman" w:cs="Times New Roman"/>
          <w:b/>
          <w:bCs/>
          <w:sz w:val="24"/>
          <w:szCs w:val="24"/>
        </w:rPr>
      </w:pPr>
    </w:p>
    <w:p w14:paraId="4BDF1441" w14:textId="77777777" w:rsidR="004552C9" w:rsidRDefault="004552C9">
      <w:pPr>
        <w:pStyle w:val="HTMLPreformatted"/>
        <w:jc w:val="center"/>
        <w:rPr>
          <w:rFonts w:ascii="Times New Roman" w:hAnsi="Times New Roman" w:cs="Times New Roman"/>
          <w:b/>
          <w:bCs/>
          <w:sz w:val="24"/>
          <w:szCs w:val="24"/>
        </w:rPr>
      </w:pPr>
    </w:p>
    <w:p w14:paraId="4818CC18" w14:textId="77777777" w:rsidR="004552C9" w:rsidRDefault="004552C9">
      <w:pPr>
        <w:pStyle w:val="HTMLPreformatted"/>
        <w:jc w:val="center"/>
        <w:rPr>
          <w:rFonts w:ascii="Times New Roman" w:hAnsi="Times New Roman" w:cs="Times New Roman"/>
          <w:b/>
          <w:bCs/>
          <w:sz w:val="24"/>
          <w:szCs w:val="24"/>
        </w:rPr>
      </w:pPr>
    </w:p>
    <w:p w14:paraId="7A5A7D52" w14:textId="77777777" w:rsidR="004552C9" w:rsidRDefault="004552C9">
      <w:pPr>
        <w:pStyle w:val="HTMLPreformatted"/>
        <w:jc w:val="center"/>
        <w:rPr>
          <w:rFonts w:ascii="Times New Roman" w:hAnsi="Times New Roman" w:cs="Times New Roman"/>
          <w:b/>
          <w:bCs/>
          <w:sz w:val="24"/>
          <w:szCs w:val="24"/>
        </w:rPr>
      </w:pPr>
    </w:p>
    <w:p w14:paraId="7C86B35D" w14:textId="77777777" w:rsidR="004552C9" w:rsidRDefault="004552C9">
      <w:pPr>
        <w:pStyle w:val="HTMLPreformatted"/>
        <w:jc w:val="center"/>
        <w:rPr>
          <w:rFonts w:ascii="Times New Roman" w:hAnsi="Times New Roman" w:cs="Times New Roman"/>
          <w:b/>
          <w:bCs/>
          <w:sz w:val="24"/>
          <w:szCs w:val="24"/>
        </w:rPr>
      </w:pPr>
    </w:p>
    <w:p w14:paraId="569BEB4C" w14:textId="77777777" w:rsidR="004552C9" w:rsidRDefault="004552C9">
      <w:pPr>
        <w:pStyle w:val="HTMLPreformatted"/>
        <w:jc w:val="center"/>
        <w:rPr>
          <w:rFonts w:ascii="Times New Roman" w:hAnsi="Times New Roman" w:cs="Times New Roman"/>
          <w:b/>
          <w:bCs/>
          <w:sz w:val="24"/>
          <w:szCs w:val="24"/>
        </w:rPr>
      </w:pPr>
    </w:p>
    <w:p w14:paraId="369EADD5" w14:textId="77777777" w:rsidR="004552C9" w:rsidRDefault="004552C9">
      <w:pPr>
        <w:pStyle w:val="HTMLPreformatted"/>
        <w:jc w:val="center"/>
        <w:rPr>
          <w:rFonts w:ascii="Times New Roman" w:hAnsi="Times New Roman" w:cs="Times New Roman"/>
          <w:b/>
          <w:bCs/>
          <w:sz w:val="24"/>
          <w:szCs w:val="24"/>
        </w:rPr>
      </w:pPr>
    </w:p>
    <w:p w14:paraId="007F9B73" w14:textId="77777777" w:rsidR="004552C9" w:rsidRDefault="004552C9">
      <w:pPr>
        <w:pStyle w:val="HTMLPreformatted"/>
        <w:jc w:val="center"/>
        <w:rPr>
          <w:rFonts w:ascii="Times New Roman" w:hAnsi="Times New Roman" w:cs="Times New Roman"/>
          <w:b/>
          <w:bCs/>
          <w:sz w:val="24"/>
          <w:szCs w:val="24"/>
        </w:rPr>
      </w:pPr>
    </w:p>
    <w:p w14:paraId="3A7B40CD" w14:textId="77777777" w:rsidR="004552C9" w:rsidRDefault="009E752A">
      <w:pPr>
        <w:jc w:val="center"/>
        <w:rPr>
          <w:b/>
          <w:bCs/>
        </w:rPr>
      </w:pPr>
      <w:r>
        <w:rPr>
          <w:b/>
          <w:bCs/>
        </w:rPr>
        <w:t>DIRECT TESTIMONY</w:t>
      </w:r>
    </w:p>
    <w:p w14:paraId="2571D0E4" w14:textId="77777777" w:rsidR="004552C9" w:rsidRDefault="009E752A">
      <w:pPr>
        <w:jc w:val="center"/>
      </w:pPr>
      <w:r>
        <w:t>of</w:t>
      </w:r>
    </w:p>
    <w:p w14:paraId="1A6786A8" w14:textId="77777777" w:rsidR="004552C9" w:rsidRDefault="009E752A">
      <w:pPr>
        <w:jc w:val="center"/>
        <w:rPr>
          <w:b/>
          <w:bCs/>
        </w:rPr>
      </w:pPr>
      <w:r>
        <w:rPr>
          <w:b/>
          <w:bCs/>
        </w:rPr>
        <w:t>JAMES D. WILLIAMS</w:t>
      </w:r>
    </w:p>
    <w:p w14:paraId="10A5ADFB" w14:textId="77777777" w:rsidR="004552C9" w:rsidRDefault="004552C9">
      <w:pPr>
        <w:jc w:val="center"/>
        <w:rPr>
          <w:b/>
          <w:bCs/>
        </w:rPr>
      </w:pPr>
    </w:p>
    <w:p w14:paraId="3F102C95" w14:textId="77777777" w:rsidR="004552C9" w:rsidRDefault="004552C9">
      <w:pPr>
        <w:jc w:val="center"/>
        <w:rPr>
          <w:b/>
          <w:bCs/>
        </w:rPr>
      </w:pPr>
    </w:p>
    <w:p w14:paraId="6A8B2505" w14:textId="77777777" w:rsidR="004552C9" w:rsidRDefault="004552C9"/>
    <w:p w14:paraId="7718294C" w14:textId="77777777" w:rsidR="004552C9" w:rsidRDefault="009E752A">
      <w:pPr>
        <w:jc w:val="center"/>
        <w:rPr>
          <w:b/>
          <w:bCs/>
        </w:rPr>
      </w:pPr>
      <w:r>
        <w:rPr>
          <w:b/>
          <w:bCs/>
        </w:rPr>
        <w:t>On Behalf of</w:t>
      </w:r>
    </w:p>
    <w:p w14:paraId="74F54BCE" w14:textId="77777777" w:rsidR="004552C9" w:rsidRDefault="009E752A">
      <w:pPr>
        <w:jc w:val="center"/>
        <w:rPr>
          <w:b/>
          <w:bCs/>
          <w:caps/>
        </w:rPr>
      </w:pPr>
      <w:r>
        <w:rPr>
          <w:b/>
          <w:bCs/>
        </w:rPr>
        <w:t>The Office of the Ohio Consumers' Counsel</w:t>
      </w:r>
    </w:p>
    <w:p w14:paraId="016A2024" w14:textId="77777777" w:rsidR="004552C9" w:rsidRDefault="009E752A">
      <w:pPr>
        <w:jc w:val="center"/>
        <w:rPr>
          <w:i/>
          <w:iCs/>
        </w:rPr>
      </w:pPr>
      <w:r>
        <w:rPr>
          <w:i/>
          <w:iCs/>
        </w:rPr>
        <w:t>10 West Broad Street, Suite 1800</w:t>
      </w:r>
    </w:p>
    <w:p w14:paraId="5F5FB3C2" w14:textId="77777777" w:rsidR="004552C9" w:rsidRDefault="009E752A">
      <w:pPr>
        <w:jc w:val="center"/>
        <w:rPr>
          <w:i/>
          <w:iCs/>
        </w:rPr>
      </w:pPr>
      <w:r>
        <w:rPr>
          <w:i/>
          <w:iCs/>
        </w:rPr>
        <w:t>Columbus, Ohio 43215-3485</w:t>
      </w:r>
    </w:p>
    <w:p w14:paraId="757FF988" w14:textId="77777777" w:rsidR="004552C9" w:rsidRDefault="004552C9">
      <w:pPr>
        <w:jc w:val="center"/>
      </w:pPr>
    </w:p>
    <w:p w14:paraId="4994DCD4" w14:textId="77777777" w:rsidR="004552C9" w:rsidRDefault="004552C9">
      <w:pPr>
        <w:jc w:val="center"/>
      </w:pPr>
    </w:p>
    <w:p w14:paraId="6EE885C2" w14:textId="77777777" w:rsidR="004552C9" w:rsidRDefault="004552C9">
      <w:pPr>
        <w:jc w:val="center"/>
      </w:pPr>
    </w:p>
    <w:p w14:paraId="69604E06" w14:textId="77777777" w:rsidR="004552C9" w:rsidRDefault="004552C9">
      <w:pPr>
        <w:jc w:val="center"/>
      </w:pPr>
    </w:p>
    <w:p w14:paraId="2E9E2169" w14:textId="77777777" w:rsidR="004552C9" w:rsidRDefault="00C17348">
      <w:pPr>
        <w:jc w:val="center"/>
        <w:rPr>
          <w:b/>
          <w:bCs/>
          <w:i/>
          <w:iCs/>
        </w:rPr>
        <w:sectPr w:rsidR="004552C9" w:rsidSect="00F95936">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00" w:header="720" w:footer="720" w:gutter="0"/>
          <w:cols w:space="720"/>
          <w:titlePg/>
          <w:docGrid w:linePitch="360"/>
        </w:sectPr>
      </w:pPr>
      <w:r>
        <w:rPr>
          <w:b/>
          <w:bCs/>
          <w:i/>
          <w:iCs/>
        </w:rPr>
        <w:t>September 26, 2014</w:t>
      </w:r>
    </w:p>
    <w:p w14:paraId="03747BD6" w14:textId="77777777" w:rsidR="004552C9" w:rsidRDefault="009E752A">
      <w:pPr>
        <w:jc w:val="center"/>
        <w:rPr>
          <w:b/>
          <w:bCs/>
          <w:u w:val="single"/>
        </w:rPr>
      </w:pPr>
      <w:r>
        <w:rPr>
          <w:b/>
          <w:bCs/>
          <w:u w:val="single"/>
        </w:rPr>
        <w:lastRenderedPageBreak/>
        <w:t>TABLE OF CONTENTS</w:t>
      </w:r>
    </w:p>
    <w:p w14:paraId="26BF672F" w14:textId="77777777" w:rsidR="004552C9" w:rsidRDefault="004552C9"/>
    <w:p w14:paraId="17E63085" w14:textId="77777777" w:rsidR="004552C9" w:rsidRPr="005E465D" w:rsidRDefault="009E752A">
      <w:pPr>
        <w:jc w:val="right"/>
        <w:rPr>
          <w:b/>
        </w:rPr>
      </w:pPr>
      <w:r w:rsidRPr="005E465D">
        <w:rPr>
          <w:b/>
        </w:rPr>
        <w:t>Page</w:t>
      </w:r>
    </w:p>
    <w:p w14:paraId="74E02BDD" w14:textId="77777777" w:rsidR="004552C9" w:rsidRDefault="004552C9">
      <w:pPr>
        <w:tabs>
          <w:tab w:val="left" w:pos="720"/>
          <w:tab w:val="left" w:pos="1440"/>
          <w:tab w:val="left" w:leader="dot" w:pos="8640"/>
        </w:tabs>
      </w:pPr>
    </w:p>
    <w:p w14:paraId="3C4E4E12" w14:textId="77777777" w:rsidR="00D21BFB" w:rsidRDefault="00495AB7">
      <w:pPr>
        <w:pStyle w:val="TOC1"/>
        <w:rPr>
          <w:rFonts w:asciiTheme="minorHAnsi" w:eastAsiaTheme="minorEastAsia" w:hAnsiTheme="minorHAnsi" w:cstheme="minorBidi"/>
          <w:caps w:val="0"/>
          <w:sz w:val="22"/>
          <w:szCs w:val="22"/>
        </w:rPr>
      </w:pPr>
      <w:r>
        <w:fldChar w:fldCharType="begin"/>
      </w:r>
      <w:r>
        <w:instrText xml:space="preserve"> TOC \o "1-2" \h \z \u </w:instrText>
      </w:r>
      <w:r>
        <w:fldChar w:fldCharType="separate"/>
      </w:r>
      <w:hyperlink w:anchor="_Toc399406368" w:history="1">
        <w:r w:rsidR="00D21BFB" w:rsidRPr="00FF6E76">
          <w:rPr>
            <w:rStyle w:val="Hyperlink"/>
          </w:rPr>
          <w:t>I.</w:t>
        </w:r>
        <w:r w:rsidR="00D21BFB">
          <w:rPr>
            <w:rFonts w:asciiTheme="minorHAnsi" w:eastAsiaTheme="minorEastAsia" w:hAnsiTheme="minorHAnsi" w:cstheme="minorBidi"/>
            <w:caps w:val="0"/>
            <w:sz w:val="22"/>
            <w:szCs w:val="22"/>
          </w:rPr>
          <w:tab/>
        </w:r>
        <w:r w:rsidR="00D21BFB" w:rsidRPr="00FF6E76">
          <w:rPr>
            <w:rStyle w:val="Hyperlink"/>
          </w:rPr>
          <w:t>INTRODUCTION</w:t>
        </w:r>
        <w:r w:rsidR="00D21BFB">
          <w:rPr>
            <w:webHidden/>
          </w:rPr>
          <w:tab/>
        </w:r>
        <w:r w:rsidR="00D21BFB">
          <w:rPr>
            <w:webHidden/>
          </w:rPr>
          <w:fldChar w:fldCharType="begin"/>
        </w:r>
        <w:r w:rsidR="00D21BFB">
          <w:rPr>
            <w:webHidden/>
          </w:rPr>
          <w:instrText xml:space="preserve"> PAGEREF _Toc399406368 \h </w:instrText>
        </w:r>
        <w:r w:rsidR="00D21BFB">
          <w:rPr>
            <w:webHidden/>
          </w:rPr>
        </w:r>
        <w:r w:rsidR="00D21BFB">
          <w:rPr>
            <w:webHidden/>
          </w:rPr>
          <w:fldChar w:fldCharType="separate"/>
        </w:r>
        <w:r w:rsidR="007C21E1">
          <w:rPr>
            <w:webHidden/>
          </w:rPr>
          <w:t>1</w:t>
        </w:r>
        <w:r w:rsidR="00D21BFB">
          <w:rPr>
            <w:webHidden/>
          </w:rPr>
          <w:fldChar w:fldCharType="end"/>
        </w:r>
      </w:hyperlink>
    </w:p>
    <w:p w14:paraId="2315EA2C" w14:textId="77777777" w:rsidR="00D21BFB" w:rsidRDefault="002937CF">
      <w:pPr>
        <w:pStyle w:val="TOC1"/>
        <w:rPr>
          <w:rFonts w:asciiTheme="minorHAnsi" w:eastAsiaTheme="minorEastAsia" w:hAnsiTheme="minorHAnsi" w:cstheme="minorBidi"/>
          <w:caps w:val="0"/>
          <w:sz w:val="22"/>
          <w:szCs w:val="22"/>
        </w:rPr>
      </w:pPr>
      <w:hyperlink w:anchor="_Toc399406369" w:history="1">
        <w:r w:rsidR="00D21BFB" w:rsidRPr="00FF6E76">
          <w:rPr>
            <w:rStyle w:val="Hyperlink"/>
          </w:rPr>
          <w:t>II.</w:t>
        </w:r>
        <w:r w:rsidR="00D21BFB">
          <w:rPr>
            <w:rFonts w:asciiTheme="minorHAnsi" w:eastAsiaTheme="minorEastAsia" w:hAnsiTheme="minorHAnsi" w:cstheme="minorBidi"/>
            <w:caps w:val="0"/>
            <w:sz w:val="22"/>
            <w:szCs w:val="22"/>
          </w:rPr>
          <w:tab/>
        </w:r>
        <w:r w:rsidR="00D21BFB" w:rsidRPr="00FF6E76">
          <w:rPr>
            <w:rStyle w:val="Hyperlink"/>
          </w:rPr>
          <w:t>PURPOSE OF MY TESTIMONY</w:t>
        </w:r>
        <w:r w:rsidR="00D21BFB">
          <w:rPr>
            <w:webHidden/>
          </w:rPr>
          <w:tab/>
        </w:r>
        <w:r w:rsidR="00D21BFB">
          <w:rPr>
            <w:webHidden/>
          </w:rPr>
          <w:fldChar w:fldCharType="begin"/>
        </w:r>
        <w:r w:rsidR="00D21BFB">
          <w:rPr>
            <w:webHidden/>
          </w:rPr>
          <w:instrText xml:space="preserve"> PAGEREF _Toc399406369 \h </w:instrText>
        </w:r>
        <w:r w:rsidR="00D21BFB">
          <w:rPr>
            <w:webHidden/>
          </w:rPr>
        </w:r>
        <w:r w:rsidR="00D21BFB">
          <w:rPr>
            <w:webHidden/>
          </w:rPr>
          <w:fldChar w:fldCharType="separate"/>
        </w:r>
        <w:r w:rsidR="007C21E1">
          <w:rPr>
            <w:webHidden/>
          </w:rPr>
          <w:t>3</w:t>
        </w:r>
        <w:r w:rsidR="00D21BFB">
          <w:rPr>
            <w:webHidden/>
          </w:rPr>
          <w:fldChar w:fldCharType="end"/>
        </w:r>
      </w:hyperlink>
    </w:p>
    <w:p w14:paraId="1AC56776" w14:textId="77777777" w:rsidR="00D21BFB" w:rsidRDefault="002937CF">
      <w:pPr>
        <w:pStyle w:val="TOC1"/>
        <w:rPr>
          <w:rFonts w:asciiTheme="minorHAnsi" w:eastAsiaTheme="minorEastAsia" w:hAnsiTheme="minorHAnsi" w:cstheme="minorBidi"/>
          <w:caps w:val="0"/>
          <w:sz w:val="22"/>
          <w:szCs w:val="22"/>
        </w:rPr>
      </w:pPr>
      <w:hyperlink w:anchor="_Toc399406370" w:history="1">
        <w:r w:rsidR="00D21BFB" w:rsidRPr="00FF6E76">
          <w:rPr>
            <w:rStyle w:val="Hyperlink"/>
          </w:rPr>
          <w:t>iii.</w:t>
        </w:r>
        <w:r w:rsidR="00D21BFB">
          <w:rPr>
            <w:rFonts w:asciiTheme="minorHAnsi" w:eastAsiaTheme="minorEastAsia" w:hAnsiTheme="minorHAnsi" w:cstheme="minorBidi"/>
            <w:caps w:val="0"/>
            <w:sz w:val="22"/>
            <w:szCs w:val="22"/>
          </w:rPr>
          <w:tab/>
        </w:r>
        <w:r w:rsidR="00D21BFB" w:rsidRPr="00FF6E76">
          <w:rPr>
            <w:rStyle w:val="Hyperlink"/>
          </w:rPr>
          <w:t>AFFORDABILITY OF RETAIL ELECTRIC SERVICE</w:t>
        </w:r>
        <w:r w:rsidR="00D21BFB">
          <w:rPr>
            <w:webHidden/>
          </w:rPr>
          <w:tab/>
        </w:r>
        <w:r w:rsidR="00D21BFB">
          <w:rPr>
            <w:webHidden/>
          </w:rPr>
          <w:fldChar w:fldCharType="begin"/>
        </w:r>
        <w:r w:rsidR="00D21BFB">
          <w:rPr>
            <w:webHidden/>
          </w:rPr>
          <w:instrText xml:space="preserve"> PAGEREF _Toc399406370 \h </w:instrText>
        </w:r>
        <w:r w:rsidR="00D21BFB">
          <w:rPr>
            <w:webHidden/>
          </w:rPr>
        </w:r>
        <w:r w:rsidR="00D21BFB">
          <w:rPr>
            <w:webHidden/>
          </w:rPr>
          <w:fldChar w:fldCharType="separate"/>
        </w:r>
        <w:r w:rsidR="007C21E1">
          <w:rPr>
            <w:webHidden/>
          </w:rPr>
          <w:t>4</w:t>
        </w:r>
        <w:r w:rsidR="00D21BFB">
          <w:rPr>
            <w:webHidden/>
          </w:rPr>
          <w:fldChar w:fldCharType="end"/>
        </w:r>
      </w:hyperlink>
    </w:p>
    <w:p w14:paraId="221EECAA" w14:textId="77777777" w:rsidR="00D21BFB" w:rsidRDefault="002937CF">
      <w:pPr>
        <w:pStyle w:val="TOC1"/>
        <w:rPr>
          <w:rFonts w:asciiTheme="minorHAnsi" w:eastAsiaTheme="minorEastAsia" w:hAnsiTheme="minorHAnsi" w:cstheme="minorBidi"/>
          <w:caps w:val="0"/>
          <w:sz w:val="22"/>
          <w:szCs w:val="22"/>
        </w:rPr>
      </w:pPr>
      <w:hyperlink w:anchor="_Toc399406371" w:history="1">
        <w:r w:rsidR="00D21BFB" w:rsidRPr="00FF6E76">
          <w:rPr>
            <w:rStyle w:val="Hyperlink"/>
          </w:rPr>
          <w:t>IV.</w:t>
        </w:r>
        <w:r w:rsidR="00D21BFB">
          <w:rPr>
            <w:rFonts w:asciiTheme="minorHAnsi" w:eastAsiaTheme="minorEastAsia" w:hAnsiTheme="minorHAnsi" w:cstheme="minorBidi"/>
            <w:caps w:val="0"/>
            <w:sz w:val="22"/>
            <w:szCs w:val="22"/>
          </w:rPr>
          <w:tab/>
        </w:r>
        <w:r w:rsidR="00D21BFB" w:rsidRPr="00FF6E76">
          <w:rPr>
            <w:rStyle w:val="Hyperlink"/>
          </w:rPr>
          <w:t>Distribution Capital Investment Rider</w:t>
        </w:r>
        <w:r w:rsidR="00D21BFB">
          <w:rPr>
            <w:webHidden/>
          </w:rPr>
          <w:tab/>
        </w:r>
        <w:r w:rsidR="00D21BFB">
          <w:rPr>
            <w:webHidden/>
          </w:rPr>
          <w:fldChar w:fldCharType="begin"/>
        </w:r>
        <w:r w:rsidR="00D21BFB">
          <w:rPr>
            <w:webHidden/>
          </w:rPr>
          <w:instrText xml:space="preserve"> PAGEREF _Toc399406371 \h </w:instrText>
        </w:r>
        <w:r w:rsidR="00D21BFB">
          <w:rPr>
            <w:webHidden/>
          </w:rPr>
        </w:r>
        <w:r w:rsidR="00D21BFB">
          <w:rPr>
            <w:webHidden/>
          </w:rPr>
          <w:fldChar w:fldCharType="separate"/>
        </w:r>
        <w:r w:rsidR="007C21E1">
          <w:rPr>
            <w:webHidden/>
          </w:rPr>
          <w:t>14</w:t>
        </w:r>
        <w:r w:rsidR="00D21BFB">
          <w:rPr>
            <w:webHidden/>
          </w:rPr>
          <w:fldChar w:fldCharType="end"/>
        </w:r>
      </w:hyperlink>
    </w:p>
    <w:p w14:paraId="176A0496" w14:textId="77777777" w:rsidR="00D21BFB" w:rsidRDefault="002937CF">
      <w:pPr>
        <w:pStyle w:val="TOC1"/>
        <w:rPr>
          <w:rFonts w:asciiTheme="minorHAnsi" w:eastAsiaTheme="minorEastAsia" w:hAnsiTheme="minorHAnsi" w:cstheme="minorBidi"/>
          <w:caps w:val="0"/>
          <w:sz w:val="22"/>
          <w:szCs w:val="22"/>
        </w:rPr>
      </w:pPr>
      <w:hyperlink w:anchor="_Toc399406372" w:history="1">
        <w:r w:rsidR="00D21BFB" w:rsidRPr="00FF6E76">
          <w:rPr>
            <w:rStyle w:val="Hyperlink"/>
          </w:rPr>
          <w:t>v.</w:t>
        </w:r>
        <w:r w:rsidR="00D21BFB">
          <w:rPr>
            <w:rFonts w:asciiTheme="minorHAnsi" w:eastAsiaTheme="minorEastAsia" w:hAnsiTheme="minorHAnsi" w:cstheme="minorBidi"/>
            <w:caps w:val="0"/>
            <w:sz w:val="22"/>
            <w:szCs w:val="22"/>
          </w:rPr>
          <w:tab/>
        </w:r>
        <w:r w:rsidR="00D21BFB" w:rsidRPr="00FF6E76">
          <w:rPr>
            <w:rStyle w:val="Hyperlink"/>
          </w:rPr>
          <w:t>CONCLUSION</w:t>
        </w:r>
        <w:r w:rsidR="00D21BFB">
          <w:rPr>
            <w:webHidden/>
          </w:rPr>
          <w:tab/>
        </w:r>
        <w:r w:rsidR="00D21BFB">
          <w:rPr>
            <w:webHidden/>
          </w:rPr>
          <w:fldChar w:fldCharType="begin"/>
        </w:r>
        <w:r w:rsidR="00D21BFB">
          <w:rPr>
            <w:webHidden/>
          </w:rPr>
          <w:instrText xml:space="preserve"> PAGEREF _Toc399406372 \h </w:instrText>
        </w:r>
        <w:r w:rsidR="00D21BFB">
          <w:rPr>
            <w:webHidden/>
          </w:rPr>
        </w:r>
        <w:r w:rsidR="00D21BFB">
          <w:rPr>
            <w:webHidden/>
          </w:rPr>
          <w:fldChar w:fldCharType="separate"/>
        </w:r>
        <w:r w:rsidR="007C21E1">
          <w:rPr>
            <w:webHidden/>
          </w:rPr>
          <w:t>26</w:t>
        </w:r>
        <w:r w:rsidR="00D21BFB">
          <w:rPr>
            <w:webHidden/>
          </w:rPr>
          <w:fldChar w:fldCharType="end"/>
        </w:r>
      </w:hyperlink>
    </w:p>
    <w:p w14:paraId="3FE968A1" w14:textId="77777777" w:rsidR="00870871" w:rsidRDefault="00495AB7" w:rsidP="009E1D7D">
      <w:pPr>
        <w:pStyle w:val="TOC1"/>
      </w:pPr>
      <w:r>
        <w:fldChar w:fldCharType="end"/>
      </w:r>
    </w:p>
    <w:p w14:paraId="04179990" w14:textId="785FCA4E" w:rsidR="004552C9" w:rsidRPr="009E1D7D" w:rsidRDefault="009E752A" w:rsidP="009E1D7D">
      <w:pPr>
        <w:pStyle w:val="TOC1"/>
        <w:rPr>
          <w:b/>
        </w:rPr>
      </w:pPr>
      <w:r w:rsidRPr="009E1D7D">
        <w:rPr>
          <w:b/>
        </w:rPr>
        <w:t>ATTACHMENTS</w:t>
      </w:r>
    </w:p>
    <w:p w14:paraId="56FE1F0B" w14:textId="77777777" w:rsidR="004552C9" w:rsidRDefault="009E752A">
      <w:pPr>
        <w:tabs>
          <w:tab w:val="left" w:pos="720"/>
          <w:tab w:val="left" w:pos="1440"/>
          <w:tab w:val="left" w:leader="dot" w:pos="8640"/>
        </w:tabs>
      </w:pPr>
      <w:r>
        <w:t>JDW-1</w:t>
      </w:r>
      <w:r>
        <w:tab/>
      </w:r>
      <w:r>
        <w:tab/>
        <w:t>List of Previous Testimony Filed at the PUCO by James Williams</w:t>
      </w:r>
    </w:p>
    <w:p w14:paraId="121FADFC" w14:textId="06A9BC75" w:rsidR="004B63E0" w:rsidRDefault="004B63E0" w:rsidP="004B63E0">
      <w:pPr>
        <w:tabs>
          <w:tab w:val="left" w:pos="720"/>
          <w:tab w:val="left" w:pos="1440"/>
          <w:tab w:val="left" w:leader="dot" w:pos="8640"/>
        </w:tabs>
        <w:ind w:left="1440" w:hanging="1440"/>
      </w:pPr>
      <w:r>
        <w:t>JDW-</w:t>
      </w:r>
      <w:r w:rsidR="00D32601">
        <w:t>2</w:t>
      </w:r>
      <w:r>
        <w:tab/>
      </w:r>
      <w:r w:rsidR="00B94C29">
        <w:tab/>
      </w:r>
      <w:r>
        <w:t>Duke Response to OCC-INT-11-304</w:t>
      </w:r>
    </w:p>
    <w:p w14:paraId="2E08E0CC" w14:textId="49704F8C" w:rsidR="004B63E0" w:rsidRDefault="004B63E0" w:rsidP="004B63E0">
      <w:pPr>
        <w:tabs>
          <w:tab w:val="left" w:pos="720"/>
          <w:tab w:val="left" w:pos="1440"/>
          <w:tab w:val="left" w:leader="dot" w:pos="8640"/>
        </w:tabs>
        <w:ind w:left="1440" w:hanging="1440"/>
      </w:pPr>
      <w:r>
        <w:t>JDW-</w:t>
      </w:r>
      <w:r w:rsidR="00D32601">
        <w:t>3</w:t>
      </w:r>
      <w:r>
        <w:tab/>
      </w:r>
      <w:r>
        <w:tab/>
        <w:t>Duke Response to OCC-INT-11-242</w:t>
      </w:r>
    </w:p>
    <w:p w14:paraId="3B9618F4" w14:textId="74A884EC" w:rsidR="004B63E0" w:rsidRDefault="004B63E0" w:rsidP="004B63E0">
      <w:pPr>
        <w:tabs>
          <w:tab w:val="left" w:pos="720"/>
          <w:tab w:val="left" w:pos="1440"/>
          <w:tab w:val="left" w:leader="dot" w:pos="8640"/>
        </w:tabs>
        <w:ind w:left="1440" w:hanging="1440"/>
        <w:rPr>
          <w:bCs/>
        </w:rPr>
      </w:pPr>
      <w:r>
        <w:t>JDW-</w:t>
      </w:r>
      <w:r w:rsidR="00D32601">
        <w:t>4</w:t>
      </w:r>
      <w:r>
        <w:tab/>
      </w:r>
      <w:r>
        <w:tab/>
      </w:r>
      <w:r>
        <w:rPr>
          <w:bCs/>
        </w:rPr>
        <w:t>Duke Response to OCC-INT-11-246</w:t>
      </w:r>
    </w:p>
    <w:p w14:paraId="51DB604E" w14:textId="0000547D" w:rsidR="004B63E0" w:rsidRDefault="004B63E0" w:rsidP="004B63E0">
      <w:pPr>
        <w:tabs>
          <w:tab w:val="left" w:pos="720"/>
          <w:tab w:val="left" w:pos="1440"/>
          <w:tab w:val="left" w:leader="dot" w:pos="8640"/>
        </w:tabs>
        <w:ind w:left="1440" w:hanging="1440"/>
        <w:rPr>
          <w:bCs/>
        </w:rPr>
      </w:pPr>
      <w:r>
        <w:rPr>
          <w:bCs/>
        </w:rPr>
        <w:t>JDW-</w:t>
      </w:r>
      <w:r w:rsidR="00D32601">
        <w:rPr>
          <w:bCs/>
        </w:rPr>
        <w:t>5</w:t>
      </w:r>
      <w:r>
        <w:rPr>
          <w:bCs/>
        </w:rPr>
        <w:tab/>
      </w:r>
      <w:r>
        <w:rPr>
          <w:bCs/>
        </w:rPr>
        <w:tab/>
        <w:t>Duke Response to OCC-INT-11-243</w:t>
      </w:r>
    </w:p>
    <w:p w14:paraId="723096AC" w14:textId="27B5F18A" w:rsidR="004B63E0" w:rsidRDefault="004B63E0" w:rsidP="004B63E0">
      <w:pPr>
        <w:tabs>
          <w:tab w:val="left" w:pos="720"/>
          <w:tab w:val="left" w:pos="1440"/>
          <w:tab w:val="left" w:leader="dot" w:pos="8640"/>
        </w:tabs>
        <w:ind w:left="1440" w:hanging="1440"/>
        <w:rPr>
          <w:bCs/>
        </w:rPr>
      </w:pPr>
      <w:r>
        <w:rPr>
          <w:bCs/>
        </w:rPr>
        <w:t>JDW-</w:t>
      </w:r>
      <w:r w:rsidR="00D32601">
        <w:rPr>
          <w:bCs/>
        </w:rPr>
        <w:t>6</w:t>
      </w:r>
      <w:r>
        <w:rPr>
          <w:bCs/>
        </w:rPr>
        <w:tab/>
      </w:r>
      <w:r>
        <w:rPr>
          <w:bCs/>
        </w:rPr>
        <w:tab/>
        <w:t>Duke Response to OCC-INT-14-390</w:t>
      </w:r>
    </w:p>
    <w:p w14:paraId="29B02F42" w14:textId="3D6B73DC" w:rsidR="004B63E0" w:rsidRDefault="004B63E0" w:rsidP="004B63E0">
      <w:pPr>
        <w:tabs>
          <w:tab w:val="left" w:pos="720"/>
          <w:tab w:val="left" w:pos="1440"/>
          <w:tab w:val="left" w:leader="dot" w:pos="8640"/>
        </w:tabs>
        <w:ind w:left="1440" w:hanging="1440"/>
        <w:rPr>
          <w:bCs/>
        </w:rPr>
      </w:pPr>
      <w:r>
        <w:rPr>
          <w:bCs/>
        </w:rPr>
        <w:t>JDW-</w:t>
      </w:r>
      <w:r w:rsidR="00D32601">
        <w:rPr>
          <w:bCs/>
        </w:rPr>
        <w:t>7</w:t>
      </w:r>
      <w:r>
        <w:rPr>
          <w:bCs/>
        </w:rPr>
        <w:tab/>
      </w:r>
      <w:r>
        <w:rPr>
          <w:bCs/>
        </w:rPr>
        <w:tab/>
        <w:t>Duke Response to OCC-INT-11-2</w:t>
      </w:r>
      <w:r w:rsidR="00EC0B54">
        <w:rPr>
          <w:bCs/>
        </w:rPr>
        <w:t>53</w:t>
      </w:r>
    </w:p>
    <w:p w14:paraId="04DE4149" w14:textId="401F7626" w:rsidR="004B63E0" w:rsidRDefault="004B63E0" w:rsidP="004B63E0">
      <w:pPr>
        <w:tabs>
          <w:tab w:val="left" w:pos="720"/>
          <w:tab w:val="left" w:pos="1440"/>
          <w:tab w:val="left" w:leader="dot" w:pos="8640"/>
        </w:tabs>
        <w:ind w:left="1440" w:hanging="1440"/>
        <w:rPr>
          <w:bCs/>
        </w:rPr>
      </w:pPr>
      <w:r>
        <w:rPr>
          <w:bCs/>
        </w:rPr>
        <w:t>JDW-</w:t>
      </w:r>
      <w:r w:rsidR="00D32601">
        <w:rPr>
          <w:bCs/>
        </w:rPr>
        <w:t>8</w:t>
      </w:r>
      <w:r>
        <w:rPr>
          <w:bCs/>
        </w:rPr>
        <w:tab/>
      </w:r>
      <w:r>
        <w:rPr>
          <w:bCs/>
        </w:rPr>
        <w:tab/>
        <w:t>Duke Response to OCC-INT-1</w:t>
      </w:r>
      <w:r w:rsidR="00EC0B54">
        <w:rPr>
          <w:bCs/>
        </w:rPr>
        <w:t>1</w:t>
      </w:r>
      <w:r>
        <w:rPr>
          <w:bCs/>
        </w:rPr>
        <w:t>-</w:t>
      </w:r>
      <w:r w:rsidR="00EC0B54">
        <w:rPr>
          <w:bCs/>
        </w:rPr>
        <w:t>274</w:t>
      </w:r>
    </w:p>
    <w:p w14:paraId="5E2874E8" w14:textId="417C144B" w:rsidR="004B63E0" w:rsidRDefault="004B63E0" w:rsidP="004B63E0">
      <w:pPr>
        <w:tabs>
          <w:tab w:val="left" w:pos="720"/>
          <w:tab w:val="left" w:pos="1440"/>
          <w:tab w:val="left" w:leader="dot" w:pos="8640"/>
        </w:tabs>
        <w:ind w:left="1440" w:hanging="1440"/>
        <w:rPr>
          <w:bCs/>
        </w:rPr>
      </w:pPr>
      <w:r>
        <w:rPr>
          <w:bCs/>
        </w:rPr>
        <w:t>JDW-</w:t>
      </w:r>
      <w:r w:rsidR="00D32601">
        <w:rPr>
          <w:bCs/>
        </w:rPr>
        <w:t>9</w:t>
      </w:r>
      <w:r w:rsidR="00B94C29">
        <w:rPr>
          <w:bCs/>
        </w:rPr>
        <w:tab/>
      </w:r>
      <w:r w:rsidR="00B94C29">
        <w:rPr>
          <w:bCs/>
        </w:rPr>
        <w:tab/>
      </w:r>
      <w:r>
        <w:rPr>
          <w:bCs/>
        </w:rPr>
        <w:t>Duke Response to OCC-INT-1</w:t>
      </w:r>
      <w:r w:rsidR="00EC0B54">
        <w:rPr>
          <w:bCs/>
        </w:rPr>
        <w:t>4</w:t>
      </w:r>
      <w:r>
        <w:rPr>
          <w:bCs/>
        </w:rPr>
        <w:t>-</w:t>
      </w:r>
      <w:r w:rsidR="00EC0B54">
        <w:rPr>
          <w:bCs/>
        </w:rPr>
        <w:t>393</w:t>
      </w:r>
    </w:p>
    <w:p w14:paraId="6940B6FE" w14:textId="77777777" w:rsidR="00EC0B54" w:rsidRDefault="00EC0B54" w:rsidP="004B63E0">
      <w:pPr>
        <w:tabs>
          <w:tab w:val="left" w:pos="720"/>
          <w:tab w:val="left" w:pos="1440"/>
          <w:tab w:val="left" w:leader="dot" w:pos="8640"/>
        </w:tabs>
        <w:ind w:left="1440" w:hanging="1440"/>
        <w:rPr>
          <w:bCs/>
        </w:rPr>
      </w:pPr>
      <w:r>
        <w:rPr>
          <w:bCs/>
        </w:rPr>
        <w:t>JDW-10</w:t>
      </w:r>
      <w:r>
        <w:rPr>
          <w:bCs/>
        </w:rPr>
        <w:tab/>
        <w:t>Duke Response to OCC-INT-14-376</w:t>
      </w:r>
    </w:p>
    <w:p w14:paraId="446F990C" w14:textId="77777777" w:rsidR="00EC0B54" w:rsidRDefault="00EC0B54" w:rsidP="004B63E0">
      <w:pPr>
        <w:tabs>
          <w:tab w:val="left" w:pos="720"/>
          <w:tab w:val="left" w:pos="1440"/>
          <w:tab w:val="left" w:leader="dot" w:pos="8640"/>
        </w:tabs>
        <w:ind w:left="1440" w:hanging="1440"/>
        <w:rPr>
          <w:bCs/>
        </w:rPr>
      </w:pPr>
      <w:r>
        <w:rPr>
          <w:bCs/>
        </w:rPr>
        <w:t>JDW-11</w:t>
      </w:r>
      <w:r>
        <w:rPr>
          <w:bCs/>
        </w:rPr>
        <w:tab/>
        <w:t>Duke Response to OCC-INT-14-379</w:t>
      </w:r>
    </w:p>
    <w:p w14:paraId="5FCA85CA" w14:textId="77777777" w:rsidR="00EC0B54" w:rsidRDefault="00EC0B54" w:rsidP="004B63E0">
      <w:pPr>
        <w:tabs>
          <w:tab w:val="left" w:pos="720"/>
          <w:tab w:val="left" w:pos="1440"/>
          <w:tab w:val="left" w:leader="dot" w:pos="8640"/>
        </w:tabs>
        <w:ind w:left="1440" w:hanging="1440"/>
        <w:rPr>
          <w:bCs/>
        </w:rPr>
      </w:pPr>
      <w:r>
        <w:rPr>
          <w:bCs/>
        </w:rPr>
        <w:t>JDW-12</w:t>
      </w:r>
      <w:r>
        <w:rPr>
          <w:bCs/>
        </w:rPr>
        <w:tab/>
        <w:t>Duke Response to OCC-INT-14-382</w:t>
      </w:r>
    </w:p>
    <w:p w14:paraId="55E34880" w14:textId="7F2B1A66" w:rsidR="00EC0B54" w:rsidRDefault="00EC0B54" w:rsidP="004B63E0">
      <w:pPr>
        <w:tabs>
          <w:tab w:val="left" w:pos="720"/>
          <w:tab w:val="left" w:pos="1440"/>
          <w:tab w:val="left" w:leader="dot" w:pos="8640"/>
        </w:tabs>
        <w:ind w:left="1440" w:hanging="1440"/>
        <w:rPr>
          <w:bCs/>
        </w:rPr>
      </w:pPr>
      <w:r>
        <w:rPr>
          <w:bCs/>
        </w:rPr>
        <w:t>JDW-13</w:t>
      </w:r>
      <w:r>
        <w:rPr>
          <w:bCs/>
        </w:rPr>
        <w:tab/>
        <w:t>Duke Response to OCC-INT-</w:t>
      </w:r>
      <w:r w:rsidR="00034A5A">
        <w:rPr>
          <w:bCs/>
        </w:rPr>
        <w:t>14-</w:t>
      </w:r>
      <w:r>
        <w:rPr>
          <w:bCs/>
        </w:rPr>
        <w:t>385</w:t>
      </w:r>
    </w:p>
    <w:p w14:paraId="292F5ACC" w14:textId="77777777" w:rsidR="00EC0B54" w:rsidRDefault="00EC0B54" w:rsidP="004B63E0">
      <w:pPr>
        <w:tabs>
          <w:tab w:val="left" w:pos="720"/>
          <w:tab w:val="left" w:pos="1440"/>
          <w:tab w:val="left" w:leader="dot" w:pos="8640"/>
        </w:tabs>
        <w:ind w:left="1440" w:hanging="1440"/>
        <w:rPr>
          <w:bCs/>
        </w:rPr>
      </w:pPr>
      <w:r>
        <w:rPr>
          <w:bCs/>
        </w:rPr>
        <w:t>JDW-14</w:t>
      </w:r>
      <w:r>
        <w:rPr>
          <w:bCs/>
        </w:rPr>
        <w:tab/>
        <w:t>Duke Response to OCC-INT-</w:t>
      </w:r>
      <w:r w:rsidR="004C2B49">
        <w:rPr>
          <w:bCs/>
        </w:rPr>
        <w:t>11-</w:t>
      </w:r>
      <w:r>
        <w:rPr>
          <w:bCs/>
        </w:rPr>
        <w:t>203</w:t>
      </w:r>
    </w:p>
    <w:p w14:paraId="5CC68CF7" w14:textId="2CFD9ED0" w:rsidR="008216BE" w:rsidRDefault="008216BE" w:rsidP="004B63E0">
      <w:pPr>
        <w:tabs>
          <w:tab w:val="left" w:pos="720"/>
          <w:tab w:val="left" w:pos="1440"/>
          <w:tab w:val="left" w:leader="dot" w:pos="8640"/>
        </w:tabs>
        <w:ind w:left="1440" w:hanging="1440"/>
        <w:rPr>
          <w:bCs/>
        </w:rPr>
      </w:pPr>
      <w:r>
        <w:rPr>
          <w:bCs/>
        </w:rPr>
        <w:t>JDW-1</w:t>
      </w:r>
      <w:r w:rsidR="00EC0B54">
        <w:rPr>
          <w:bCs/>
        </w:rPr>
        <w:t>5</w:t>
      </w:r>
      <w:r>
        <w:rPr>
          <w:bCs/>
        </w:rPr>
        <w:tab/>
        <w:t>Ohio PUC Reliability Residential Survey Results Q1-13 Update</w:t>
      </w:r>
    </w:p>
    <w:p w14:paraId="48083CC6" w14:textId="18C24BA2" w:rsidR="004B63E0" w:rsidRDefault="004B63E0" w:rsidP="004B63E0">
      <w:pPr>
        <w:tabs>
          <w:tab w:val="left" w:pos="720"/>
          <w:tab w:val="left" w:pos="1440"/>
          <w:tab w:val="left" w:leader="dot" w:pos="8640"/>
        </w:tabs>
        <w:ind w:left="1440" w:hanging="1440"/>
        <w:rPr>
          <w:bCs/>
        </w:rPr>
      </w:pPr>
      <w:r>
        <w:rPr>
          <w:bCs/>
        </w:rPr>
        <w:t>JDW-1</w:t>
      </w:r>
      <w:r w:rsidR="00EC0B54">
        <w:rPr>
          <w:bCs/>
        </w:rPr>
        <w:t>6</w:t>
      </w:r>
      <w:r>
        <w:rPr>
          <w:bCs/>
        </w:rPr>
        <w:tab/>
        <w:t>Duke Response to OCC-INT-14-388</w:t>
      </w:r>
    </w:p>
    <w:p w14:paraId="31FAEEC5" w14:textId="70DC56EC" w:rsidR="00585817" w:rsidRDefault="004B63E0" w:rsidP="004B63E0">
      <w:pPr>
        <w:tabs>
          <w:tab w:val="left" w:pos="720"/>
          <w:tab w:val="left" w:pos="1440"/>
          <w:tab w:val="left" w:leader="dot" w:pos="8640"/>
        </w:tabs>
        <w:ind w:left="1440" w:hanging="1440"/>
        <w:rPr>
          <w:bCs/>
        </w:rPr>
      </w:pPr>
      <w:r>
        <w:rPr>
          <w:bCs/>
        </w:rPr>
        <w:t>JDW-1</w:t>
      </w:r>
      <w:r w:rsidR="00EC0B54">
        <w:rPr>
          <w:bCs/>
        </w:rPr>
        <w:t>7</w:t>
      </w:r>
      <w:r>
        <w:rPr>
          <w:bCs/>
        </w:rPr>
        <w:tab/>
        <w:t>Duke Response to OCC-INT-11-308</w:t>
      </w:r>
    </w:p>
    <w:p w14:paraId="02A6DB67" w14:textId="77777777" w:rsidR="005B4DE7" w:rsidRDefault="005B4DE7" w:rsidP="004B63E0">
      <w:pPr>
        <w:tabs>
          <w:tab w:val="left" w:pos="720"/>
          <w:tab w:val="left" w:pos="1440"/>
          <w:tab w:val="left" w:leader="dot" w:pos="8640"/>
        </w:tabs>
        <w:ind w:left="1440" w:hanging="1440"/>
        <w:rPr>
          <w:bCs/>
        </w:rPr>
      </w:pPr>
      <w:r>
        <w:rPr>
          <w:bCs/>
        </w:rPr>
        <w:tab/>
      </w:r>
    </w:p>
    <w:p w14:paraId="563BBE1B" w14:textId="77777777" w:rsidR="005B4DE7" w:rsidRDefault="005B4DE7">
      <w:pPr>
        <w:tabs>
          <w:tab w:val="left" w:pos="720"/>
          <w:tab w:val="left" w:pos="1440"/>
          <w:tab w:val="left" w:leader="dot" w:pos="8640"/>
        </w:tabs>
        <w:ind w:left="1440" w:hanging="1440"/>
      </w:pPr>
    </w:p>
    <w:p w14:paraId="4CF8FAC9" w14:textId="77777777" w:rsidR="004552C9" w:rsidRDefault="004552C9" w:rsidP="00783A02">
      <w:pPr>
        <w:tabs>
          <w:tab w:val="left" w:pos="720"/>
          <w:tab w:val="left" w:pos="1440"/>
          <w:tab w:val="left" w:leader="dot" w:pos="8640"/>
        </w:tabs>
        <w:sectPr w:rsidR="004552C9" w:rsidSect="00F95936">
          <w:headerReference w:type="even" r:id="rId14"/>
          <w:headerReference w:type="default" r:id="rId15"/>
          <w:footerReference w:type="default" r:id="rId16"/>
          <w:headerReference w:type="first" r:id="rId17"/>
          <w:pgSz w:w="12240" w:h="15840" w:code="1"/>
          <w:pgMar w:top="1440" w:right="1800" w:bottom="1440" w:left="1800" w:header="720" w:footer="720" w:gutter="0"/>
          <w:pgNumType w:fmt="lowerRoman" w:start="1"/>
          <w:cols w:space="720"/>
          <w:docGrid w:linePitch="360"/>
        </w:sectPr>
      </w:pPr>
    </w:p>
    <w:p w14:paraId="06B9CDDC" w14:textId="77777777" w:rsidR="004552C9" w:rsidRDefault="009E752A">
      <w:pPr>
        <w:pStyle w:val="Heading1"/>
        <w:numPr>
          <w:ilvl w:val="0"/>
          <w:numId w:val="0"/>
        </w:numPr>
      </w:pPr>
      <w:bookmarkStart w:id="1" w:name="_Toc317859570"/>
      <w:bookmarkStart w:id="2" w:name="_Toc386462073"/>
      <w:bookmarkStart w:id="3" w:name="_Toc399406368"/>
      <w:r>
        <w:lastRenderedPageBreak/>
        <w:t>I.</w:t>
      </w:r>
      <w:r>
        <w:tab/>
        <w:t>INTRODUCTION</w:t>
      </w:r>
      <w:bookmarkEnd w:id="1"/>
      <w:bookmarkEnd w:id="2"/>
      <w:bookmarkEnd w:id="3"/>
    </w:p>
    <w:p w14:paraId="211B266C" w14:textId="77777777" w:rsidR="004552C9" w:rsidRDefault="004552C9">
      <w:pPr>
        <w:spacing w:line="480" w:lineRule="auto"/>
      </w:pPr>
    </w:p>
    <w:p w14:paraId="299DCB3D" w14:textId="77777777" w:rsidR="004552C9" w:rsidRDefault="009E752A">
      <w:pPr>
        <w:tabs>
          <w:tab w:val="left" w:pos="720"/>
          <w:tab w:val="left" w:pos="1440"/>
          <w:tab w:val="left" w:leader="dot" w:pos="8640"/>
        </w:tabs>
        <w:spacing w:line="480" w:lineRule="auto"/>
        <w:rPr>
          <w:b/>
          <w:bCs/>
          <w:i/>
          <w:iCs/>
        </w:rPr>
      </w:pPr>
      <w:r w:rsidRPr="00F95936">
        <w:rPr>
          <w:b/>
          <w:bCs/>
          <w:i/>
          <w:iCs/>
        </w:rPr>
        <w:t>Q1.</w:t>
      </w:r>
      <w:r>
        <w:rPr>
          <w:b/>
          <w:bCs/>
          <w:i/>
          <w:iCs/>
        </w:rPr>
        <w:tab/>
        <w:t>PLEASE STATE YOUR NAME, BUSINESS ADDRESS, AND POSITION.</w:t>
      </w:r>
    </w:p>
    <w:p w14:paraId="258A9A02" w14:textId="77777777" w:rsidR="004552C9" w:rsidRDefault="009E752A">
      <w:pPr>
        <w:tabs>
          <w:tab w:val="left" w:pos="720"/>
          <w:tab w:val="left" w:pos="1440"/>
          <w:tab w:val="left" w:leader="dot" w:pos="8640"/>
        </w:tabs>
        <w:spacing w:line="480" w:lineRule="auto"/>
        <w:ind w:left="720" w:hanging="720"/>
      </w:pPr>
      <w:r w:rsidRPr="00F95936">
        <w:rPr>
          <w:b/>
          <w:bCs/>
          <w:i/>
          <w:iCs/>
        </w:rPr>
        <w:t>A1</w:t>
      </w:r>
      <w:r>
        <w:rPr>
          <w:b/>
          <w:bCs/>
          <w:iCs/>
        </w:rPr>
        <w:t>.</w:t>
      </w:r>
      <w:r>
        <w:tab/>
        <w:t>My name is James D. Williams.  My business address is 10 West Broad Street, 18</w:t>
      </w:r>
      <w:r>
        <w:rPr>
          <w:vertAlign w:val="superscript"/>
        </w:rPr>
        <w:t>th</w:t>
      </w:r>
      <w:r w:rsidR="00470F27">
        <w:t xml:space="preserve"> Floor, Columbus,</w:t>
      </w:r>
      <w:r>
        <w:t xml:space="preserve"> Ohio</w:t>
      </w:r>
      <w:r w:rsidR="00F2078A">
        <w:t>,</w:t>
      </w:r>
      <w:r>
        <w:t xml:space="preserve"> 43215-3485.  I am employed by the Office of the Ohio Consumers’ Counsel (“OCC”) as a Senior Consumer Protection Research Analyst.</w:t>
      </w:r>
    </w:p>
    <w:p w14:paraId="51431711" w14:textId="77777777" w:rsidR="004552C9" w:rsidRDefault="004552C9">
      <w:pPr>
        <w:tabs>
          <w:tab w:val="left" w:pos="720"/>
          <w:tab w:val="left" w:pos="1440"/>
          <w:tab w:val="left" w:leader="dot" w:pos="8640"/>
        </w:tabs>
        <w:spacing w:line="480" w:lineRule="auto"/>
      </w:pPr>
    </w:p>
    <w:p w14:paraId="15D8C6F0" w14:textId="77777777" w:rsidR="004552C9" w:rsidRDefault="009E752A">
      <w:pPr>
        <w:tabs>
          <w:tab w:val="left" w:pos="720"/>
          <w:tab w:val="left" w:pos="1440"/>
          <w:tab w:val="left" w:leader="dot" w:pos="8640"/>
        </w:tabs>
        <w:spacing w:line="480" w:lineRule="auto"/>
        <w:ind w:left="720" w:hanging="720"/>
        <w:rPr>
          <w:b/>
          <w:bCs/>
          <w:i/>
          <w:iCs/>
        </w:rPr>
      </w:pPr>
      <w:r w:rsidRPr="00F95936">
        <w:rPr>
          <w:b/>
          <w:bCs/>
          <w:i/>
          <w:iCs/>
        </w:rPr>
        <w:t>Q2.</w:t>
      </w:r>
      <w:r>
        <w:rPr>
          <w:b/>
          <w:bCs/>
          <w:i/>
          <w:iCs/>
        </w:rPr>
        <w:tab/>
        <w:t>PLEASE BRIEFLY SUMMARIZE YOUR EDUCATION AND PROFESSIONAL EXPERIENCE</w:t>
      </w:r>
      <w:r w:rsidR="00DE71D6">
        <w:rPr>
          <w:b/>
          <w:bCs/>
          <w:i/>
          <w:iCs/>
        </w:rPr>
        <w:t>.</w:t>
      </w:r>
    </w:p>
    <w:p w14:paraId="38549DE9" w14:textId="16DEBECF" w:rsidR="004552C9" w:rsidRDefault="009E752A" w:rsidP="000842BD">
      <w:pPr>
        <w:tabs>
          <w:tab w:val="left" w:pos="720"/>
          <w:tab w:val="left" w:pos="1440"/>
          <w:tab w:val="left" w:leader="dot" w:pos="8640"/>
        </w:tabs>
        <w:spacing w:line="480" w:lineRule="auto"/>
        <w:ind w:left="720" w:hanging="720"/>
      </w:pPr>
      <w:r w:rsidRPr="00F95936">
        <w:rPr>
          <w:b/>
          <w:bCs/>
          <w:i/>
          <w:iCs/>
        </w:rPr>
        <w:t>A2.</w:t>
      </w:r>
      <w:r>
        <w:tab/>
        <w:t>I am a 1994 graduate of Webster University, in St. Louis, Missouri, with a Master in Business Administration, and a 1978 graduate of Franklin University, in Columbus, Ohio, with a Bachelor of Science, Engineering Technology.  My professional experience includes a career in the Air Force and over 18 years of utility regulatory experience with the OCC.</w:t>
      </w:r>
    </w:p>
    <w:p w14:paraId="213ABA61" w14:textId="77777777" w:rsidR="005500F6" w:rsidRDefault="005500F6" w:rsidP="000842BD">
      <w:pPr>
        <w:tabs>
          <w:tab w:val="left" w:pos="720"/>
          <w:tab w:val="left" w:pos="1440"/>
          <w:tab w:val="left" w:leader="dot" w:pos="8640"/>
        </w:tabs>
        <w:spacing w:line="480" w:lineRule="auto"/>
        <w:ind w:left="720" w:hanging="720"/>
      </w:pPr>
    </w:p>
    <w:p w14:paraId="650CE0B2" w14:textId="26D3AF52" w:rsidR="00A32017" w:rsidRDefault="009E752A" w:rsidP="00C367F9">
      <w:pPr>
        <w:tabs>
          <w:tab w:val="left" w:pos="720"/>
          <w:tab w:val="left" w:pos="1440"/>
          <w:tab w:val="left" w:leader="dot" w:pos="8640"/>
        </w:tabs>
        <w:spacing w:line="480" w:lineRule="auto"/>
        <w:ind w:left="720"/>
      </w:pPr>
      <w:r>
        <w:t>Initially, I served as a compliance specialist with the OCC and my duties included the development of compliance programs for electric, natural gas</w:t>
      </w:r>
      <w:r w:rsidR="009B04BF">
        <w:t>,</w:t>
      </w:r>
      <w:r>
        <w:t xml:space="preserve"> and water industries.  Later, I was appointed to manage all of the agency compliance specialists who were developing compliance programs in each of the utility industries.  My role evolved into the management of the OCC consumer hotline, the direct service provided to consumers to resolve complaints</w:t>
      </w:r>
      <w:r w:rsidR="00E108C1">
        <w:t>,</w:t>
      </w:r>
      <w:r>
        <w:t xml:space="preserve"> and inquiries that involve Ohio utilities.  More recently</w:t>
      </w:r>
      <w:r w:rsidR="00E108C1">
        <w:t>,</w:t>
      </w:r>
      <w:r>
        <w:t xml:space="preserve"> as a Senior Consumer Protection Research </w:t>
      </w:r>
      <w:r>
        <w:lastRenderedPageBreak/>
        <w:t xml:space="preserve">Analyst, I am responsible for </w:t>
      </w:r>
      <w:r w:rsidR="009B04BF">
        <w:t>investigating</w:t>
      </w:r>
      <w:r w:rsidR="009B04BF" w:rsidDel="009B04BF">
        <w:t xml:space="preserve"> </w:t>
      </w:r>
      <w:r>
        <w:t>and recommending policy positions on issues that affect residential consumers.</w:t>
      </w:r>
    </w:p>
    <w:p w14:paraId="3A14F51D" w14:textId="3C670E91" w:rsidR="00A32017" w:rsidRDefault="00A32017" w:rsidP="00F2078A">
      <w:pPr>
        <w:tabs>
          <w:tab w:val="left" w:pos="720"/>
          <w:tab w:val="left" w:pos="1440"/>
          <w:tab w:val="left" w:leader="dot" w:pos="8640"/>
        </w:tabs>
        <w:spacing w:line="480" w:lineRule="auto"/>
        <w:ind w:left="720" w:hanging="720"/>
      </w:pPr>
    </w:p>
    <w:p w14:paraId="510C3B51" w14:textId="7296C535" w:rsidR="004552C9" w:rsidRDefault="009E752A" w:rsidP="00C367F9">
      <w:pPr>
        <w:tabs>
          <w:tab w:val="left" w:pos="720"/>
          <w:tab w:val="left" w:pos="1440"/>
          <w:tab w:val="left" w:leader="dot" w:pos="8640"/>
        </w:tabs>
        <w:spacing w:line="480" w:lineRule="auto"/>
        <w:ind w:left="720"/>
      </w:pPr>
      <w:r>
        <w:t xml:space="preserve">I have been directly involved in the development of comments in various rulemaking proceedings at the Public Utilities Commission of Ohio (“PUCO”) and the Ohio Development </w:t>
      </w:r>
      <w:r w:rsidR="00010099">
        <w:t xml:space="preserve">Services Agency (“ODSA”) </w:t>
      </w:r>
      <w:r>
        <w:t>advocating consumer protections, utility affordability, and the provision of reasonable access to essential utility services for residential consumers.</w:t>
      </w:r>
      <w:r w:rsidR="00A32017">
        <w:t xml:space="preserve">  Specifically related to my testimony in this proceeding, I helped formulate OCC positions in the Establishment of Credit Rules and the Disconnection of Gas, Natural Gas, or Electric Service for Residential Customers,</w:t>
      </w:r>
      <w:r w:rsidR="00A32017">
        <w:rPr>
          <w:rStyle w:val="FootnoteReference"/>
        </w:rPr>
        <w:footnoteReference w:id="1"/>
      </w:r>
      <w:r w:rsidR="00A32017">
        <w:t xml:space="preserve"> set forth in Ohio Admin. Code 4901:1-17 and 4901:1-18.</w:t>
      </w:r>
      <w:r w:rsidR="00D236D4">
        <w:t xml:space="preserve">  I routinely review various reports related to the poverty conditions in Ohio and in advocacy for utility bill payment assistance for low-income consumers.</w:t>
      </w:r>
    </w:p>
    <w:p w14:paraId="5D4C6DD6" w14:textId="77777777" w:rsidR="00F95936" w:rsidRDefault="00F95936" w:rsidP="00F2078A">
      <w:pPr>
        <w:tabs>
          <w:tab w:val="left" w:pos="720"/>
          <w:tab w:val="left" w:pos="1440"/>
          <w:tab w:val="left" w:leader="dot" w:pos="8640"/>
        </w:tabs>
        <w:spacing w:line="480" w:lineRule="auto"/>
        <w:ind w:left="720" w:hanging="720"/>
      </w:pPr>
    </w:p>
    <w:p w14:paraId="581E9BA8" w14:textId="037D3323" w:rsidR="00F2078A" w:rsidRDefault="00A32017" w:rsidP="00C367F9">
      <w:pPr>
        <w:tabs>
          <w:tab w:val="left" w:pos="720"/>
          <w:tab w:val="left" w:pos="1440"/>
          <w:tab w:val="left" w:leader="dot" w:pos="8640"/>
        </w:tabs>
        <w:spacing w:line="480" w:lineRule="auto"/>
        <w:ind w:left="720"/>
      </w:pPr>
      <w:r>
        <w:t xml:space="preserve">Also </w:t>
      </w:r>
      <w:r w:rsidR="00C00AE8">
        <w:t>regarding</w:t>
      </w:r>
      <w:r w:rsidR="009E752A">
        <w:t xml:space="preserve"> </w:t>
      </w:r>
      <w:r>
        <w:t xml:space="preserve">my testimony in </w:t>
      </w:r>
      <w:r w:rsidR="009E752A">
        <w:t>this proceeding, my experience has involved helping formulate OCC positions in rulemakings such as the Electric Service Safety Standards,</w:t>
      </w:r>
      <w:r w:rsidR="009E752A">
        <w:rPr>
          <w:rStyle w:val="FootnoteReference"/>
        </w:rPr>
        <w:footnoteReference w:id="2"/>
      </w:r>
      <w:r w:rsidR="009E752A">
        <w:t xml:space="preserve"> set forth in Ohio Admin. Code 4901:1-10</w:t>
      </w:r>
      <w:r w:rsidR="00D43057">
        <w:t xml:space="preserve">.  </w:t>
      </w:r>
      <w:r w:rsidR="009E752A">
        <w:t xml:space="preserve">I </w:t>
      </w:r>
      <w:r>
        <w:t xml:space="preserve">routinely review </w:t>
      </w:r>
      <w:r w:rsidR="00F439BA">
        <w:t>inspection, repair</w:t>
      </w:r>
      <w:r w:rsidR="00E108C1">
        <w:t>,</w:t>
      </w:r>
      <w:r w:rsidR="00F439BA">
        <w:t xml:space="preserve"> and replacement of distribution facilities plans filed by the Utilities pursuant to Ohio Admin. Code 4901:1-10-27 including </w:t>
      </w:r>
      <w:r w:rsidR="00AA1D03">
        <w:t xml:space="preserve">the most recent </w:t>
      </w:r>
      <w:r w:rsidR="00F439BA">
        <w:t xml:space="preserve">revisions </w:t>
      </w:r>
      <w:r w:rsidR="00AA1D03">
        <w:t xml:space="preserve">to such </w:t>
      </w:r>
      <w:r w:rsidR="00DE71D6">
        <w:t xml:space="preserve">a </w:t>
      </w:r>
      <w:r w:rsidR="00F439BA">
        <w:t>plan filed by Duke.</w:t>
      </w:r>
      <w:r w:rsidR="00F439BA">
        <w:rPr>
          <w:rStyle w:val="FootnoteReference"/>
        </w:rPr>
        <w:footnoteReference w:id="3"/>
      </w:r>
      <w:r w:rsidR="00F439BA">
        <w:t xml:space="preserve">  Finally, I have </w:t>
      </w:r>
      <w:r w:rsidR="009E752A">
        <w:t xml:space="preserve">participated in </w:t>
      </w:r>
      <w:r w:rsidR="00F42F41">
        <w:t xml:space="preserve">the review of </w:t>
      </w:r>
      <w:r w:rsidR="009E752A">
        <w:t>OCC case team</w:t>
      </w:r>
      <w:r w:rsidR="000C7826">
        <w:t>s</w:t>
      </w:r>
      <w:r w:rsidR="009E752A">
        <w:t xml:space="preserve"> assigned to review the reasonableness of reliability performance standards proposed by </w:t>
      </w:r>
      <w:r w:rsidR="00D43057">
        <w:t>Duke Energy Ohio</w:t>
      </w:r>
      <w:r w:rsidR="001D789F">
        <w:t xml:space="preserve"> (“D</w:t>
      </w:r>
      <w:r w:rsidR="00C00AE8">
        <w:t>uke</w:t>
      </w:r>
      <w:r w:rsidR="001D789F">
        <w:t>”</w:t>
      </w:r>
      <w:r w:rsidR="00044705">
        <w:t xml:space="preserve"> or “Utility”</w:t>
      </w:r>
      <w:r w:rsidR="001D789F">
        <w:t>)</w:t>
      </w:r>
      <w:r w:rsidR="009E752A">
        <w:t>.</w:t>
      </w:r>
      <w:r w:rsidR="009E752A">
        <w:rPr>
          <w:rStyle w:val="FootnoteReference"/>
        </w:rPr>
        <w:footnoteReference w:id="4"/>
      </w:r>
    </w:p>
    <w:p w14:paraId="294671F8" w14:textId="77777777" w:rsidR="005500F6" w:rsidRDefault="005500F6" w:rsidP="000842BD">
      <w:pPr>
        <w:tabs>
          <w:tab w:val="left" w:pos="720"/>
          <w:tab w:val="left" w:pos="1440"/>
          <w:tab w:val="left" w:leader="dot" w:pos="8640"/>
        </w:tabs>
        <w:spacing w:line="480" w:lineRule="auto"/>
        <w:ind w:left="720" w:hanging="720"/>
      </w:pPr>
    </w:p>
    <w:p w14:paraId="0E8F0D31" w14:textId="77777777" w:rsidR="004552C9" w:rsidRDefault="009E752A">
      <w:pPr>
        <w:tabs>
          <w:tab w:val="left" w:pos="720"/>
          <w:tab w:val="left" w:pos="1440"/>
          <w:tab w:val="left" w:leader="dot" w:pos="8640"/>
        </w:tabs>
        <w:spacing w:line="480" w:lineRule="auto"/>
        <w:ind w:left="720" w:hanging="720"/>
        <w:rPr>
          <w:b/>
          <w:bCs/>
          <w:i/>
          <w:iCs/>
        </w:rPr>
      </w:pPr>
      <w:r w:rsidRPr="00F95936">
        <w:rPr>
          <w:b/>
          <w:bCs/>
          <w:i/>
          <w:iCs/>
        </w:rPr>
        <w:t>Q3.</w:t>
      </w:r>
      <w:r>
        <w:rPr>
          <w:b/>
          <w:bCs/>
          <w:i/>
          <w:iCs/>
        </w:rPr>
        <w:tab/>
        <w:t>HAVE YOU PREVIOUSLY SUBMITTED TESTIMONY OR TESTIFIED BEFORE TH</w:t>
      </w:r>
      <w:r w:rsidR="00C00AE8">
        <w:rPr>
          <w:b/>
          <w:bCs/>
          <w:i/>
          <w:iCs/>
        </w:rPr>
        <w:t>E PU</w:t>
      </w:r>
      <w:r w:rsidR="001C0BA4">
        <w:rPr>
          <w:b/>
          <w:bCs/>
          <w:i/>
          <w:iCs/>
        </w:rPr>
        <w:t>C</w:t>
      </w:r>
      <w:r w:rsidR="00C00AE8">
        <w:rPr>
          <w:b/>
          <w:bCs/>
          <w:i/>
          <w:iCs/>
        </w:rPr>
        <w:t>O</w:t>
      </w:r>
      <w:r>
        <w:rPr>
          <w:b/>
          <w:bCs/>
          <w:i/>
          <w:iCs/>
        </w:rPr>
        <w:t>?</w:t>
      </w:r>
    </w:p>
    <w:p w14:paraId="20F9B8F7" w14:textId="4C9FDF6F" w:rsidR="004552C9" w:rsidRDefault="009E752A" w:rsidP="005500F6">
      <w:pPr>
        <w:autoSpaceDE w:val="0"/>
        <w:autoSpaceDN w:val="0"/>
        <w:adjustRightInd w:val="0"/>
        <w:spacing w:line="480" w:lineRule="auto"/>
        <w:ind w:left="720" w:hanging="720"/>
        <w:rPr>
          <w:i/>
          <w:iCs/>
        </w:rPr>
      </w:pPr>
      <w:r w:rsidRPr="00F95936">
        <w:rPr>
          <w:b/>
          <w:bCs/>
          <w:i/>
          <w:iCs/>
        </w:rPr>
        <w:t>A3</w:t>
      </w:r>
      <w:r>
        <w:rPr>
          <w:b/>
          <w:bCs/>
          <w:iCs/>
        </w:rPr>
        <w:t>.</w:t>
      </w:r>
      <w:r>
        <w:tab/>
        <w:t xml:space="preserve">Yes.  The cases in which I have submitted testimony and/or have testified before the </w:t>
      </w:r>
      <w:r w:rsidR="00C00AE8">
        <w:t>PUCO</w:t>
      </w:r>
      <w:r>
        <w:t xml:space="preserve"> ca</w:t>
      </w:r>
      <w:r w:rsidR="00C367F9">
        <w:t>n be found in attachment JDW-1.</w:t>
      </w:r>
    </w:p>
    <w:p w14:paraId="27399CFF" w14:textId="77777777" w:rsidR="004552C9" w:rsidRDefault="004552C9" w:rsidP="005500F6">
      <w:pPr>
        <w:spacing w:line="480" w:lineRule="auto"/>
      </w:pPr>
      <w:bookmarkStart w:id="4" w:name="_Toc317859571"/>
    </w:p>
    <w:p w14:paraId="68489E21" w14:textId="77777777" w:rsidR="004552C9" w:rsidRDefault="009E752A" w:rsidP="005500F6">
      <w:pPr>
        <w:pStyle w:val="Heading1"/>
        <w:numPr>
          <w:ilvl w:val="0"/>
          <w:numId w:val="0"/>
        </w:numPr>
      </w:pPr>
      <w:bookmarkStart w:id="5" w:name="_Toc386462074"/>
      <w:bookmarkStart w:id="6" w:name="_Toc399406369"/>
      <w:r>
        <w:t>II.</w:t>
      </w:r>
      <w:r>
        <w:tab/>
        <w:t>PURPOSE</w:t>
      </w:r>
      <w:bookmarkEnd w:id="4"/>
      <w:r>
        <w:t xml:space="preserve"> OF MY TESTIMONY</w:t>
      </w:r>
      <w:bookmarkEnd w:id="5"/>
      <w:bookmarkEnd w:id="6"/>
    </w:p>
    <w:p w14:paraId="44E73A5F" w14:textId="77777777" w:rsidR="004552C9" w:rsidRDefault="004552C9" w:rsidP="005500F6">
      <w:pPr>
        <w:spacing w:line="480" w:lineRule="auto"/>
      </w:pPr>
    </w:p>
    <w:p w14:paraId="75B714F1" w14:textId="77777777" w:rsidR="004552C9" w:rsidRDefault="009E752A">
      <w:pPr>
        <w:tabs>
          <w:tab w:val="left" w:pos="720"/>
          <w:tab w:val="left" w:pos="1440"/>
          <w:tab w:val="left" w:leader="dot" w:pos="8640"/>
        </w:tabs>
        <w:spacing w:line="480" w:lineRule="auto"/>
        <w:ind w:left="720" w:hanging="720"/>
        <w:rPr>
          <w:b/>
          <w:bCs/>
          <w:i/>
          <w:iCs/>
        </w:rPr>
      </w:pPr>
      <w:r w:rsidRPr="00F95936">
        <w:rPr>
          <w:b/>
          <w:bCs/>
          <w:i/>
          <w:iCs/>
        </w:rPr>
        <w:t>Q4</w:t>
      </w:r>
      <w:r>
        <w:rPr>
          <w:b/>
          <w:bCs/>
          <w:iCs/>
        </w:rPr>
        <w:t>.</w:t>
      </w:r>
      <w:r>
        <w:rPr>
          <w:b/>
          <w:bCs/>
          <w:i/>
          <w:iCs/>
        </w:rPr>
        <w:tab/>
        <w:t>WHAT IS THE PURPOSE OF YOUR TESTIMONY IN THIS PROCEEDING?</w:t>
      </w:r>
    </w:p>
    <w:p w14:paraId="0BAB57DE" w14:textId="77777777" w:rsidR="001C0BA4" w:rsidRDefault="009E752A" w:rsidP="00045DDA">
      <w:pPr>
        <w:spacing w:line="480" w:lineRule="auto"/>
        <w:ind w:left="720" w:right="720" w:hanging="720"/>
      </w:pPr>
      <w:r w:rsidRPr="005D475F">
        <w:rPr>
          <w:b/>
          <w:bCs/>
          <w:i/>
          <w:iCs/>
        </w:rPr>
        <w:t>A4</w:t>
      </w:r>
      <w:r w:rsidRPr="005D475F">
        <w:rPr>
          <w:i/>
          <w:iCs/>
        </w:rPr>
        <w:t>.</w:t>
      </w:r>
      <w:r w:rsidRPr="005D475F">
        <w:rPr>
          <w:i/>
          <w:iCs/>
        </w:rPr>
        <w:tab/>
      </w:r>
      <w:r>
        <w:t>I am recommend</w:t>
      </w:r>
      <w:r w:rsidR="001C0BA4">
        <w:t xml:space="preserve">ing </w:t>
      </w:r>
      <w:r>
        <w:t xml:space="preserve">that the PUCO consider customer affordability and the impact on at-risk populations </w:t>
      </w:r>
      <w:r w:rsidR="001C0BA4">
        <w:t xml:space="preserve">of Duke’s </w:t>
      </w:r>
      <w:r>
        <w:t>proposed electric security plan (“ESP III”)</w:t>
      </w:r>
      <w:r w:rsidR="001C0BA4">
        <w:t>.</w:t>
      </w:r>
    </w:p>
    <w:p w14:paraId="47568BEE" w14:textId="77777777" w:rsidR="001C0BA4" w:rsidRDefault="001C0BA4" w:rsidP="00045DDA">
      <w:pPr>
        <w:spacing w:line="480" w:lineRule="auto"/>
        <w:ind w:left="720" w:right="720" w:hanging="720"/>
      </w:pPr>
    </w:p>
    <w:p w14:paraId="5E4310B6" w14:textId="3D494384" w:rsidR="00F95936" w:rsidRDefault="001C0BA4" w:rsidP="00C367F9">
      <w:pPr>
        <w:spacing w:line="480" w:lineRule="auto"/>
        <w:ind w:left="720" w:right="720"/>
      </w:pPr>
      <w:r>
        <w:t xml:space="preserve">In this regard I have identified charges proposed by the Utility that will unreasonably increase the costs of electric service to customers.  </w:t>
      </w:r>
      <w:r w:rsidR="0077693F">
        <w:t>On</w:t>
      </w:r>
      <w:r w:rsidR="00C00AE8">
        <w:t xml:space="preserve">e </w:t>
      </w:r>
      <w:r>
        <w:t>charge</w:t>
      </w:r>
      <w:r w:rsidR="00C00AE8">
        <w:t xml:space="preserve"> that will negatively </w:t>
      </w:r>
      <w:r>
        <w:t xml:space="preserve">impact </w:t>
      </w:r>
      <w:r w:rsidR="00C00AE8">
        <w:t>affordability is the proposed Distribution Capital Investment Rider (“Rider DCI”)</w:t>
      </w:r>
      <w:r w:rsidR="00334446">
        <w:t>.</w:t>
      </w:r>
      <w:r w:rsidR="00C00AE8">
        <w:t xml:space="preserve">  </w:t>
      </w:r>
      <w:r w:rsidR="00334446">
        <w:t>Because of the DCI’s impact on customer</w:t>
      </w:r>
      <w:r w:rsidR="00E108C1">
        <w:t>s</w:t>
      </w:r>
      <w:r w:rsidR="00334446">
        <w:t xml:space="preserve">’ electric service affordability, </w:t>
      </w:r>
      <w:r w:rsidR="00780811">
        <w:t xml:space="preserve">I </w:t>
      </w:r>
      <w:r w:rsidR="00334446">
        <w:t xml:space="preserve">specifically </w:t>
      </w:r>
      <w:r w:rsidR="00780811">
        <w:t xml:space="preserve">recommend that </w:t>
      </w:r>
      <w:r w:rsidR="00F947BC">
        <w:t xml:space="preserve">the </w:t>
      </w:r>
      <w:r w:rsidR="006C0E0E">
        <w:t>PUCO</w:t>
      </w:r>
      <w:r w:rsidR="001A3F9B">
        <w:t xml:space="preserve"> reject the </w:t>
      </w:r>
      <w:r>
        <w:t xml:space="preserve">Rider </w:t>
      </w:r>
      <w:r w:rsidR="00334446">
        <w:t>DCI</w:t>
      </w:r>
      <w:r w:rsidR="001A3F9B">
        <w:t>.</w:t>
      </w:r>
      <w:bookmarkStart w:id="7" w:name="_Toc317859572"/>
      <w:r w:rsidR="00DE71D6">
        <w:t xml:space="preserve">  I also recommend that the DCI rider be rejected because it does not appear to constitute an infrastructure modernization program that is eligible for funding under an electric security plan.</w:t>
      </w:r>
    </w:p>
    <w:p w14:paraId="4DE4FB7F" w14:textId="77777777" w:rsidR="00585817" w:rsidRPr="00C367F9" w:rsidRDefault="00585817" w:rsidP="00C367F9">
      <w:pPr>
        <w:spacing w:line="480" w:lineRule="auto"/>
      </w:pPr>
      <w:bookmarkStart w:id="8" w:name="_Toc386462075"/>
    </w:p>
    <w:p w14:paraId="649107C2" w14:textId="77777777" w:rsidR="004552C9" w:rsidRDefault="009E752A" w:rsidP="00C367F9">
      <w:pPr>
        <w:pStyle w:val="Heading1"/>
        <w:numPr>
          <w:ilvl w:val="0"/>
          <w:numId w:val="0"/>
        </w:numPr>
      </w:pPr>
      <w:bookmarkStart w:id="9" w:name="_Toc399406370"/>
      <w:r>
        <w:t>iii.</w:t>
      </w:r>
      <w:r>
        <w:tab/>
        <w:t>AFFORDABILITY</w:t>
      </w:r>
      <w:bookmarkEnd w:id="7"/>
      <w:r>
        <w:t xml:space="preserve"> OF RETAIL ELECTRIC SERVICE</w:t>
      </w:r>
      <w:bookmarkEnd w:id="8"/>
      <w:bookmarkEnd w:id="9"/>
    </w:p>
    <w:p w14:paraId="2AE38867" w14:textId="77777777" w:rsidR="004552C9" w:rsidRDefault="009E752A" w:rsidP="00C367F9">
      <w:pPr>
        <w:spacing w:line="480" w:lineRule="auto"/>
        <w:ind w:left="720"/>
      </w:pPr>
      <w:r>
        <w:t xml:space="preserve"> </w:t>
      </w:r>
    </w:p>
    <w:p w14:paraId="75F4929C" w14:textId="77777777" w:rsidR="004552C9" w:rsidRDefault="009E752A">
      <w:pPr>
        <w:spacing w:line="480" w:lineRule="auto"/>
        <w:ind w:left="720" w:hanging="720"/>
        <w:rPr>
          <w:b/>
          <w:bCs/>
          <w:i/>
          <w:iCs/>
        </w:rPr>
      </w:pPr>
      <w:r w:rsidRPr="00F95936">
        <w:rPr>
          <w:b/>
          <w:bCs/>
          <w:i/>
          <w:iCs/>
        </w:rPr>
        <w:t>Q</w:t>
      </w:r>
      <w:r w:rsidR="007F53F0" w:rsidRPr="00F95936">
        <w:rPr>
          <w:b/>
          <w:bCs/>
          <w:i/>
          <w:iCs/>
        </w:rPr>
        <w:t>5</w:t>
      </w:r>
      <w:r w:rsidRPr="00F95936">
        <w:rPr>
          <w:b/>
          <w:bCs/>
          <w:i/>
          <w:iCs/>
        </w:rPr>
        <w:t>.</w:t>
      </w:r>
      <w:r>
        <w:rPr>
          <w:b/>
          <w:bCs/>
          <w:i/>
          <w:iCs/>
        </w:rPr>
        <w:tab/>
        <w:t>DO THE STATE</w:t>
      </w:r>
      <w:r w:rsidR="001E6E5C">
        <w:rPr>
          <w:b/>
          <w:bCs/>
          <w:i/>
          <w:iCs/>
        </w:rPr>
        <w:t>’S</w:t>
      </w:r>
      <w:r>
        <w:rPr>
          <w:b/>
          <w:bCs/>
          <w:i/>
          <w:iCs/>
        </w:rPr>
        <w:t xml:space="preserve"> ELECTRIC SERVICE POLICIES REQUIRE THE PUCO TO CONSIDER CUSTOMER AFFORDABILITY IN APPROVING AN ESP?</w:t>
      </w:r>
    </w:p>
    <w:p w14:paraId="42A9578B" w14:textId="53B68764" w:rsidR="004552C9" w:rsidRDefault="009E752A">
      <w:pPr>
        <w:spacing w:line="480" w:lineRule="auto"/>
        <w:ind w:left="720" w:hanging="720"/>
      </w:pPr>
      <w:r w:rsidRPr="00F95936">
        <w:rPr>
          <w:b/>
          <w:bCs/>
          <w:i/>
          <w:iCs/>
        </w:rPr>
        <w:t>A</w:t>
      </w:r>
      <w:r w:rsidR="007F53F0" w:rsidRPr="00F95936">
        <w:rPr>
          <w:b/>
          <w:bCs/>
          <w:i/>
          <w:iCs/>
        </w:rPr>
        <w:t>5</w:t>
      </w:r>
      <w:r w:rsidRPr="00F95936">
        <w:rPr>
          <w:b/>
          <w:bCs/>
          <w:i/>
          <w:iCs/>
        </w:rPr>
        <w:t>.</w:t>
      </w:r>
      <w:r>
        <w:rPr>
          <w:b/>
          <w:bCs/>
          <w:i/>
          <w:iCs/>
        </w:rPr>
        <w:tab/>
      </w:r>
      <w:r w:rsidRPr="007F53F0">
        <w:rPr>
          <w:bCs/>
          <w:iCs/>
        </w:rPr>
        <w:t xml:space="preserve">Yes. </w:t>
      </w:r>
      <w:r w:rsidR="00C367F9">
        <w:rPr>
          <w:bCs/>
          <w:iCs/>
        </w:rPr>
        <w:t xml:space="preserve"> </w:t>
      </w:r>
      <w:r>
        <w:t>It is my understanding that</w:t>
      </w:r>
      <w:r>
        <w:rPr>
          <w:b/>
          <w:bCs/>
          <w:i/>
          <w:iCs/>
        </w:rPr>
        <w:t xml:space="preserve"> </w:t>
      </w:r>
      <w:r>
        <w:t>R.C. 4928.02(A) and (L) set forth State polic</w:t>
      </w:r>
      <w:r w:rsidR="00DE71D6">
        <w:t>ies</w:t>
      </w:r>
      <w:r>
        <w:t xml:space="preserve"> concerning reasonably price</w:t>
      </w:r>
      <w:r w:rsidR="001C0BA4">
        <w:t>d</w:t>
      </w:r>
      <w:r>
        <w:t xml:space="preserve"> retail electric service:</w:t>
      </w:r>
    </w:p>
    <w:p w14:paraId="7590467C" w14:textId="7DBC0DF6" w:rsidR="00DE71D6" w:rsidRPr="00C367F9" w:rsidRDefault="00304A88" w:rsidP="00C367F9">
      <w:pPr>
        <w:spacing w:line="480" w:lineRule="auto"/>
        <w:ind w:left="1440" w:right="720"/>
        <w:rPr>
          <w:i/>
          <w:iCs/>
        </w:rPr>
      </w:pPr>
      <w:r w:rsidRPr="00C367F9">
        <w:rPr>
          <w:i/>
          <w:color w:val="000000"/>
          <w:shd w:val="clear" w:color="auto" w:fill="FFFFFF"/>
        </w:rPr>
        <w:t>It is the policy of this state to do the f</w:t>
      </w:r>
      <w:r w:rsidR="00C367F9">
        <w:rPr>
          <w:i/>
          <w:color w:val="000000"/>
          <w:shd w:val="clear" w:color="auto" w:fill="FFFFFF"/>
        </w:rPr>
        <w:t>ollowing throughout this state:</w:t>
      </w:r>
    </w:p>
    <w:p w14:paraId="30F8E78E" w14:textId="56871F6E" w:rsidR="004552C9" w:rsidRPr="0008069A" w:rsidRDefault="00B94C29" w:rsidP="0008069A">
      <w:pPr>
        <w:pStyle w:val="ListParagraph"/>
        <w:numPr>
          <w:ilvl w:val="0"/>
          <w:numId w:val="32"/>
        </w:numPr>
        <w:spacing w:line="480" w:lineRule="auto"/>
        <w:ind w:right="720"/>
        <w:rPr>
          <w:i/>
          <w:iCs/>
        </w:rPr>
      </w:pPr>
      <w:r w:rsidRPr="0008069A">
        <w:rPr>
          <w:i/>
          <w:color w:val="000000"/>
          <w:shd w:val="clear" w:color="auto" w:fill="FFFFFF"/>
        </w:rPr>
        <w:t xml:space="preserve">Ensure the availability to consumers of adequate, reliable, safe, efficient, nondiscriminatory, and </w:t>
      </w:r>
      <w:r w:rsidRPr="0008069A">
        <w:rPr>
          <w:b/>
          <w:i/>
          <w:color w:val="000000"/>
          <w:shd w:val="clear" w:color="auto" w:fill="FFFFFF"/>
        </w:rPr>
        <w:t>reasonably priced</w:t>
      </w:r>
      <w:r w:rsidRPr="0008069A">
        <w:rPr>
          <w:i/>
          <w:color w:val="000000"/>
          <w:shd w:val="clear" w:color="auto" w:fill="FFFFFF"/>
        </w:rPr>
        <w:t xml:space="preserve"> retail electric service;</w:t>
      </w:r>
    </w:p>
    <w:p w14:paraId="1281CFE4" w14:textId="7DEFC332" w:rsidR="004552C9" w:rsidRDefault="009B04BF" w:rsidP="00C367F9">
      <w:pPr>
        <w:spacing w:line="480" w:lineRule="auto"/>
        <w:ind w:left="2160" w:right="720" w:hanging="720"/>
      </w:pPr>
      <w:r>
        <w:t>a</w:t>
      </w:r>
      <w:r w:rsidR="00C367F9">
        <w:t>nd</w:t>
      </w:r>
    </w:p>
    <w:p w14:paraId="1911132E" w14:textId="45C4C16C" w:rsidR="004552C9" w:rsidRDefault="00B94C29" w:rsidP="00C367F9">
      <w:pPr>
        <w:numPr>
          <w:ilvl w:val="0"/>
          <w:numId w:val="25"/>
        </w:numPr>
        <w:spacing w:line="480" w:lineRule="auto"/>
        <w:ind w:right="720"/>
        <w:rPr>
          <w:i/>
          <w:iCs/>
        </w:rPr>
      </w:pPr>
      <w:r w:rsidRPr="00B94C29">
        <w:rPr>
          <w:b/>
          <w:i/>
          <w:color w:val="000000"/>
          <w:shd w:val="clear" w:color="auto" w:fill="FFFFFF"/>
        </w:rPr>
        <w:t>Protect at-risk populations</w:t>
      </w:r>
      <w:r w:rsidRPr="00B94C29">
        <w:rPr>
          <w:i/>
          <w:color w:val="000000"/>
          <w:shd w:val="clear" w:color="auto" w:fill="FFFFFF"/>
        </w:rPr>
        <w:t>, including, but not limited to, when considering the implementation of any new advanced energy or renewable energy resource</w:t>
      </w:r>
      <w:r>
        <w:rPr>
          <w:rFonts w:ascii="Verdana" w:hAnsi="Verdana"/>
          <w:color w:val="000000"/>
          <w:sz w:val="20"/>
          <w:szCs w:val="20"/>
          <w:shd w:val="clear" w:color="auto" w:fill="FFFFFF"/>
        </w:rPr>
        <w:t xml:space="preserve">; </w:t>
      </w:r>
      <w:r w:rsidR="009E752A" w:rsidRPr="00751394">
        <w:rPr>
          <w:iCs/>
        </w:rPr>
        <w:t>(</w:t>
      </w:r>
      <w:r w:rsidR="00AB5459" w:rsidRPr="00751394">
        <w:rPr>
          <w:iCs/>
        </w:rPr>
        <w:t>e</w:t>
      </w:r>
      <w:r w:rsidR="009E752A" w:rsidRPr="00751394">
        <w:rPr>
          <w:iCs/>
        </w:rPr>
        <w:t>mphasis added)</w:t>
      </w:r>
      <w:r w:rsidR="00751394">
        <w:rPr>
          <w:iCs/>
        </w:rPr>
        <w:t>.</w:t>
      </w:r>
    </w:p>
    <w:p w14:paraId="52141062" w14:textId="77777777" w:rsidR="00E96FA6" w:rsidRDefault="009E752A" w:rsidP="000842BD">
      <w:pPr>
        <w:spacing w:line="480" w:lineRule="auto"/>
        <w:ind w:left="720"/>
      </w:pPr>
      <w:r>
        <w:t xml:space="preserve">From this, I conclude that the PUCO has a duty to ensure that the policies specified under this section of the </w:t>
      </w:r>
      <w:r w:rsidR="000842BD">
        <w:t xml:space="preserve">Revised </w:t>
      </w:r>
      <w:r>
        <w:t xml:space="preserve">Code are being implemented through the </w:t>
      </w:r>
      <w:r w:rsidR="00DE71D6">
        <w:t xml:space="preserve">utility’s </w:t>
      </w:r>
      <w:r>
        <w:t>proposed ESP.  My understanding has been confirmed by counsel.</w:t>
      </w:r>
    </w:p>
    <w:p w14:paraId="66C55731" w14:textId="77777777" w:rsidR="005500F6" w:rsidRDefault="005500F6" w:rsidP="000842BD">
      <w:pPr>
        <w:spacing w:line="480" w:lineRule="auto"/>
        <w:ind w:left="720"/>
      </w:pPr>
    </w:p>
    <w:p w14:paraId="3BAED99A" w14:textId="77777777" w:rsidR="004552C9" w:rsidRPr="005500F6" w:rsidRDefault="009E752A">
      <w:pPr>
        <w:spacing w:line="480" w:lineRule="auto"/>
        <w:ind w:left="720" w:hanging="720"/>
        <w:rPr>
          <w:b/>
          <w:i/>
        </w:rPr>
      </w:pPr>
      <w:r w:rsidRPr="00F95936">
        <w:rPr>
          <w:b/>
          <w:i/>
        </w:rPr>
        <w:t>Q</w:t>
      </w:r>
      <w:r w:rsidR="00BD5085" w:rsidRPr="00F95936">
        <w:rPr>
          <w:b/>
          <w:i/>
        </w:rPr>
        <w:t>6</w:t>
      </w:r>
      <w:r w:rsidRPr="00F95936">
        <w:rPr>
          <w:b/>
          <w:i/>
        </w:rPr>
        <w:t>.</w:t>
      </w:r>
      <w:r>
        <w:rPr>
          <w:b/>
        </w:rPr>
        <w:tab/>
      </w:r>
      <w:r w:rsidRPr="005500F6">
        <w:rPr>
          <w:b/>
          <w:i/>
        </w:rPr>
        <w:t xml:space="preserve">HAS </w:t>
      </w:r>
      <w:r w:rsidR="00C30719">
        <w:rPr>
          <w:b/>
          <w:i/>
        </w:rPr>
        <w:t>D</w:t>
      </w:r>
      <w:r w:rsidR="00334446">
        <w:rPr>
          <w:b/>
          <w:i/>
        </w:rPr>
        <w:t>UKE</w:t>
      </w:r>
      <w:r w:rsidRPr="005500F6">
        <w:rPr>
          <w:b/>
          <w:i/>
        </w:rPr>
        <w:t xml:space="preserve"> DEMONSTRATED THAT ITS PROPOSED ESP WILL COMPLY WITH STATE POLICIES OF PROMOTING AFFORDABLE ELECTRIC SERVICE AND PROTECTING AT-RISK POPULATIONS?</w:t>
      </w:r>
    </w:p>
    <w:p w14:paraId="3DDECAE1" w14:textId="1E1FB5AF" w:rsidR="004552C9" w:rsidRDefault="009E752A" w:rsidP="00E96FA6">
      <w:pPr>
        <w:spacing w:line="480" w:lineRule="auto"/>
        <w:ind w:left="720" w:hanging="720"/>
      </w:pPr>
      <w:r w:rsidRPr="00F95936">
        <w:rPr>
          <w:b/>
          <w:i/>
        </w:rPr>
        <w:t>A</w:t>
      </w:r>
      <w:r w:rsidR="00BD5085" w:rsidRPr="00F95936">
        <w:rPr>
          <w:b/>
          <w:i/>
        </w:rPr>
        <w:t>6</w:t>
      </w:r>
      <w:r>
        <w:t>.</w:t>
      </w:r>
      <w:r>
        <w:tab/>
        <w:t xml:space="preserve">No.  Nothing in the </w:t>
      </w:r>
      <w:r w:rsidR="00C30719">
        <w:t>D</w:t>
      </w:r>
      <w:r w:rsidR="00334446">
        <w:t>uke</w:t>
      </w:r>
      <w:r>
        <w:t xml:space="preserve"> ESP III Application addresses the affordability of rates</w:t>
      </w:r>
      <w:r w:rsidR="00DE71D6">
        <w:t xml:space="preserve"> for customers.</w:t>
      </w:r>
      <w:r>
        <w:t xml:space="preserve">  To the contrary, </w:t>
      </w:r>
      <w:r w:rsidR="00C30719">
        <w:t>D</w:t>
      </w:r>
      <w:r w:rsidR="00334446">
        <w:t>uke</w:t>
      </w:r>
      <w:r w:rsidR="001D789F">
        <w:t xml:space="preserve"> </w:t>
      </w:r>
      <w:r>
        <w:t xml:space="preserve">appears to be using the </w:t>
      </w:r>
      <w:r w:rsidR="00DE71D6">
        <w:t>D</w:t>
      </w:r>
      <w:r w:rsidR="00304A88">
        <w:t>C</w:t>
      </w:r>
      <w:r w:rsidR="00DE71D6">
        <w:t>I</w:t>
      </w:r>
      <w:r w:rsidR="00304A88">
        <w:t xml:space="preserve"> Rider </w:t>
      </w:r>
      <w:r>
        <w:t xml:space="preserve">as a </w:t>
      </w:r>
      <w:r w:rsidR="00C30719">
        <w:t xml:space="preserve">way to </w:t>
      </w:r>
      <w:r w:rsidR="00DE71D6">
        <w:t xml:space="preserve">collect routine maintenance expenses from its customers on an expedited basis </w:t>
      </w:r>
      <w:r w:rsidR="001D789F">
        <w:t>without considering the impact on affordability</w:t>
      </w:r>
      <w:r w:rsidR="008216C5">
        <w:t xml:space="preserve">. </w:t>
      </w:r>
      <w:r w:rsidR="0008069A">
        <w:t xml:space="preserve"> </w:t>
      </w:r>
      <w:r w:rsidR="001D789F">
        <w:t xml:space="preserve">This </w:t>
      </w:r>
      <w:r>
        <w:t xml:space="preserve">will ultimately increase the cost of electricity for </w:t>
      </w:r>
      <w:r w:rsidR="00AC5DE7">
        <w:t xml:space="preserve">all residential </w:t>
      </w:r>
      <w:r>
        <w:t>consumers</w:t>
      </w:r>
      <w:r w:rsidR="00DE71D6">
        <w:t xml:space="preserve">, especially the </w:t>
      </w:r>
      <w:r w:rsidR="0008069A">
        <w:t>at-risk populations.</w:t>
      </w:r>
    </w:p>
    <w:p w14:paraId="2719DCBA" w14:textId="77777777" w:rsidR="00F95936" w:rsidRDefault="00F95936" w:rsidP="00E96FA6">
      <w:pPr>
        <w:spacing w:line="480" w:lineRule="auto"/>
        <w:ind w:left="720" w:hanging="720"/>
      </w:pPr>
    </w:p>
    <w:p w14:paraId="26358DE2" w14:textId="77777777" w:rsidR="004552C9" w:rsidRPr="005500F6" w:rsidRDefault="009E752A">
      <w:pPr>
        <w:spacing w:line="480" w:lineRule="auto"/>
        <w:ind w:left="720" w:hanging="720"/>
        <w:rPr>
          <w:b/>
          <w:bCs/>
          <w:i/>
        </w:rPr>
      </w:pPr>
      <w:r w:rsidRPr="00F95936">
        <w:rPr>
          <w:b/>
          <w:bCs/>
          <w:i/>
        </w:rPr>
        <w:t>Q</w:t>
      </w:r>
      <w:r w:rsidR="005D475F">
        <w:rPr>
          <w:b/>
          <w:bCs/>
          <w:i/>
        </w:rPr>
        <w:t>7</w:t>
      </w:r>
      <w:r w:rsidRPr="00F95936">
        <w:rPr>
          <w:b/>
          <w:bCs/>
          <w:i/>
        </w:rPr>
        <w:t>.</w:t>
      </w:r>
      <w:r>
        <w:rPr>
          <w:b/>
          <w:bCs/>
        </w:rPr>
        <w:tab/>
      </w:r>
      <w:r w:rsidRPr="005500F6">
        <w:rPr>
          <w:b/>
          <w:bCs/>
          <w:i/>
        </w:rPr>
        <w:t>CAN YOU BRIEFLY DESCRIBE THE AT-RISK POPULATIONS</w:t>
      </w:r>
      <w:r w:rsidR="00C628BE">
        <w:rPr>
          <w:b/>
          <w:bCs/>
          <w:i/>
        </w:rPr>
        <w:t xml:space="preserve"> OF </w:t>
      </w:r>
      <w:r w:rsidR="00334446">
        <w:rPr>
          <w:b/>
          <w:bCs/>
          <w:i/>
        </w:rPr>
        <w:t xml:space="preserve">DUKE’S </w:t>
      </w:r>
      <w:r w:rsidR="00C628BE">
        <w:rPr>
          <w:b/>
          <w:bCs/>
          <w:i/>
        </w:rPr>
        <w:t>OHIO CUSTOMERS</w:t>
      </w:r>
      <w:r w:rsidRPr="005500F6">
        <w:rPr>
          <w:b/>
          <w:bCs/>
          <w:i/>
        </w:rPr>
        <w:t xml:space="preserve"> THAT ARE </w:t>
      </w:r>
      <w:r w:rsidR="00DE71D6">
        <w:rPr>
          <w:b/>
          <w:bCs/>
          <w:i/>
        </w:rPr>
        <w:t xml:space="preserve">LIKELY TO BE </w:t>
      </w:r>
      <w:r w:rsidR="002C1056">
        <w:rPr>
          <w:b/>
          <w:bCs/>
          <w:i/>
        </w:rPr>
        <w:t xml:space="preserve">NEGATIVELY </w:t>
      </w:r>
      <w:r w:rsidRPr="005500F6">
        <w:rPr>
          <w:b/>
          <w:bCs/>
          <w:i/>
        </w:rPr>
        <w:t>AFFECTED BY THE ESP III?</w:t>
      </w:r>
    </w:p>
    <w:p w14:paraId="6F90E76C" w14:textId="77777777" w:rsidR="004552C9" w:rsidRDefault="009E752A">
      <w:pPr>
        <w:spacing w:line="480" w:lineRule="auto"/>
        <w:ind w:left="720" w:hanging="720"/>
        <w:rPr>
          <w:bCs/>
        </w:rPr>
      </w:pPr>
      <w:r w:rsidRPr="00F95936">
        <w:rPr>
          <w:b/>
          <w:bCs/>
          <w:i/>
        </w:rPr>
        <w:t>A</w:t>
      </w:r>
      <w:r w:rsidR="00042488">
        <w:rPr>
          <w:b/>
          <w:bCs/>
          <w:i/>
        </w:rPr>
        <w:t>7</w:t>
      </w:r>
      <w:r w:rsidRPr="00F95936">
        <w:rPr>
          <w:b/>
          <w:bCs/>
          <w:i/>
        </w:rPr>
        <w:t>.</w:t>
      </w:r>
      <w:r>
        <w:rPr>
          <w:bCs/>
        </w:rPr>
        <w:tab/>
        <w:t>The at-risk population</w:t>
      </w:r>
      <w:r w:rsidR="0087461C">
        <w:rPr>
          <w:bCs/>
        </w:rPr>
        <w:t>s</w:t>
      </w:r>
      <w:r>
        <w:rPr>
          <w:bCs/>
        </w:rPr>
        <w:t xml:space="preserve"> that </w:t>
      </w:r>
      <w:r w:rsidR="00C07387">
        <w:rPr>
          <w:bCs/>
        </w:rPr>
        <w:t xml:space="preserve">are </w:t>
      </w:r>
      <w:r>
        <w:rPr>
          <w:bCs/>
        </w:rPr>
        <w:t xml:space="preserve">affected by </w:t>
      </w:r>
      <w:r w:rsidR="00044705">
        <w:rPr>
          <w:bCs/>
        </w:rPr>
        <w:t xml:space="preserve">the </w:t>
      </w:r>
      <w:r w:rsidR="00334446">
        <w:rPr>
          <w:bCs/>
        </w:rPr>
        <w:t>Utility’s</w:t>
      </w:r>
      <w:r>
        <w:rPr>
          <w:bCs/>
        </w:rPr>
        <w:t xml:space="preserve"> proposed ESP III are Ohioans living in the </w:t>
      </w:r>
      <w:r w:rsidR="00334446">
        <w:rPr>
          <w:bCs/>
        </w:rPr>
        <w:t>Duke</w:t>
      </w:r>
      <w:r>
        <w:rPr>
          <w:bCs/>
        </w:rPr>
        <w:t xml:space="preserve"> service territory with incomes that are at or below the federal poverty guidelines (“FPL”).  A single-person household with a gross annual income of $11,</w:t>
      </w:r>
      <w:r w:rsidR="00CE7D60">
        <w:rPr>
          <w:bCs/>
        </w:rPr>
        <w:t>670</w:t>
      </w:r>
      <w:r>
        <w:rPr>
          <w:bCs/>
        </w:rPr>
        <w:t xml:space="preserve"> would qualify at 100 percent of the FPL.</w:t>
      </w:r>
      <w:r>
        <w:rPr>
          <w:rStyle w:val="FootnoteReference"/>
          <w:bCs/>
        </w:rPr>
        <w:footnoteReference w:id="5"/>
      </w:r>
      <w:r>
        <w:rPr>
          <w:bCs/>
        </w:rPr>
        <w:t xml:space="preserve">  A household of three persons with a gross annual household income of $19,</w:t>
      </w:r>
      <w:r w:rsidR="00CE7D60">
        <w:rPr>
          <w:bCs/>
        </w:rPr>
        <w:t>790</w:t>
      </w:r>
      <w:r>
        <w:rPr>
          <w:bCs/>
        </w:rPr>
        <w:t xml:space="preserve"> would qualify at 100 percent of the FPL.</w:t>
      </w:r>
      <w:r>
        <w:rPr>
          <w:rStyle w:val="FootnoteReference"/>
          <w:bCs/>
        </w:rPr>
        <w:footnoteReference w:id="6"/>
      </w:r>
    </w:p>
    <w:p w14:paraId="250B0FA6" w14:textId="34FC69DA" w:rsidR="00304A88" w:rsidRDefault="00304A88">
      <w:pPr>
        <w:spacing w:line="480" w:lineRule="auto"/>
        <w:ind w:left="720" w:hanging="720"/>
        <w:rPr>
          <w:bCs/>
        </w:rPr>
      </w:pPr>
    </w:p>
    <w:p w14:paraId="34641F0F" w14:textId="6A69B29F" w:rsidR="004552C9" w:rsidRDefault="006E0733" w:rsidP="00B94C29">
      <w:pPr>
        <w:spacing w:line="480" w:lineRule="auto"/>
        <w:ind w:left="720"/>
        <w:rPr>
          <w:bCs/>
        </w:rPr>
      </w:pPr>
      <w:r>
        <w:rPr>
          <w:bCs/>
        </w:rPr>
        <w:t>A</w:t>
      </w:r>
      <w:r w:rsidR="009E752A">
        <w:rPr>
          <w:bCs/>
        </w:rPr>
        <w:t xml:space="preserve"> review of The </w:t>
      </w:r>
      <w:r w:rsidR="00CE7D60">
        <w:rPr>
          <w:bCs/>
        </w:rPr>
        <w:t xml:space="preserve">2014 </w:t>
      </w:r>
      <w:r w:rsidR="009E752A">
        <w:rPr>
          <w:bCs/>
        </w:rPr>
        <w:t>Ohio Poverty Report</w:t>
      </w:r>
      <w:r w:rsidR="00CE7D60">
        <w:rPr>
          <w:rStyle w:val="FootnoteReference"/>
          <w:bCs/>
        </w:rPr>
        <w:footnoteReference w:id="7"/>
      </w:r>
      <w:r w:rsidR="009E752A">
        <w:rPr>
          <w:bCs/>
        </w:rPr>
        <w:t xml:space="preserve"> indicates that there are </w:t>
      </w:r>
      <w:r w:rsidR="00044705">
        <w:rPr>
          <w:bCs/>
        </w:rPr>
        <w:t xml:space="preserve">a </w:t>
      </w:r>
      <w:r w:rsidR="009E752A">
        <w:rPr>
          <w:bCs/>
        </w:rPr>
        <w:t xml:space="preserve">significant number of individuals and Ohio families who are living in poverty.  </w:t>
      </w:r>
      <w:r w:rsidR="00E108C1">
        <w:rPr>
          <w:bCs/>
        </w:rPr>
        <w:t>T</w:t>
      </w:r>
      <w:r w:rsidR="009E752A">
        <w:rPr>
          <w:bCs/>
        </w:rPr>
        <w:t xml:space="preserve">he number of Ohio families living in poverty is also higher than the national average.  </w:t>
      </w:r>
      <w:r w:rsidR="00E108C1">
        <w:rPr>
          <w:bCs/>
        </w:rPr>
        <w:t>Specifically, a</w:t>
      </w:r>
      <w:r w:rsidR="00E96FA6">
        <w:rPr>
          <w:bCs/>
        </w:rPr>
        <w:t>pproximatel</w:t>
      </w:r>
      <w:r w:rsidR="00470F27">
        <w:rPr>
          <w:bCs/>
        </w:rPr>
        <w:t>y</w:t>
      </w:r>
      <w:r w:rsidR="009E752A">
        <w:rPr>
          <w:bCs/>
        </w:rPr>
        <w:t xml:space="preserve"> 16.3 percent of Ohioans were in poverty compared with a 15.9 percent nationwide.</w:t>
      </w:r>
      <w:r w:rsidR="009E752A">
        <w:rPr>
          <w:rStyle w:val="FootnoteReference"/>
          <w:bCs/>
        </w:rPr>
        <w:footnoteReference w:id="8"/>
      </w:r>
      <w:r w:rsidR="009E752A">
        <w:rPr>
          <w:bCs/>
        </w:rPr>
        <w:t xml:space="preserve">  Even more alarming, the at-risk population of Ohioans living in poverty has increased from 10.6 percent since 1999.</w:t>
      </w:r>
      <w:r w:rsidR="009E752A">
        <w:rPr>
          <w:rStyle w:val="FootnoteReference"/>
          <w:bCs/>
        </w:rPr>
        <w:footnoteReference w:id="9"/>
      </w:r>
      <w:r w:rsidR="009E752A">
        <w:rPr>
          <w:bCs/>
        </w:rPr>
        <w:t xml:space="preserve">  Family poverty has also increased dramatically from </w:t>
      </w:r>
      <w:r w:rsidR="002128EA">
        <w:rPr>
          <w:bCs/>
        </w:rPr>
        <w:t>8.3</w:t>
      </w:r>
      <w:r w:rsidR="009E752A">
        <w:rPr>
          <w:bCs/>
        </w:rPr>
        <w:t xml:space="preserve"> percent in 1999 to 12.0 percent in 2012.</w:t>
      </w:r>
      <w:r w:rsidR="009E752A">
        <w:rPr>
          <w:rStyle w:val="FootnoteReference"/>
          <w:bCs/>
        </w:rPr>
        <w:footnoteReference w:id="10"/>
      </w:r>
    </w:p>
    <w:p w14:paraId="00084E6E" w14:textId="77777777" w:rsidR="00F95936" w:rsidRDefault="00F95936">
      <w:pPr>
        <w:spacing w:line="480" w:lineRule="auto"/>
        <w:ind w:left="720" w:hanging="720"/>
        <w:rPr>
          <w:bCs/>
        </w:rPr>
      </w:pPr>
    </w:p>
    <w:p w14:paraId="59B58C7B" w14:textId="44149650" w:rsidR="00E9652B" w:rsidRDefault="009E752A" w:rsidP="00F2078A">
      <w:pPr>
        <w:spacing w:line="480" w:lineRule="auto"/>
        <w:ind w:left="720"/>
        <w:rPr>
          <w:bCs/>
        </w:rPr>
      </w:pPr>
      <w:r>
        <w:rPr>
          <w:bCs/>
        </w:rPr>
        <w:t xml:space="preserve">The at-risk population of </w:t>
      </w:r>
      <w:r w:rsidR="000537BB">
        <w:rPr>
          <w:bCs/>
        </w:rPr>
        <w:t>D</w:t>
      </w:r>
      <w:r w:rsidR="00334446">
        <w:rPr>
          <w:bCs/>
        </w:rPr>
        <w:t>uke’s</w:t>
      </w:r>
      <w:r w:rsidR="000537BB">
        <w:rPr>
          <w:bCs/>
        </w:rPr>
        <w:t xml:space="preserve"> customers</w:t>
      </w:r>
      <w:r>
        <w:rPr>
          <w:bCs/>
        </w:rPr>
        <w:t xml:space="preserve"> who live in counties where the poverty levels exceed the state average </w:t>
      </w:r>
      <w:r w:rsidR="0051494A">
        <w:rPr>
          <w:bCs/>
        </w:rPr>
        <w:t>should be a</w:t>
      </w:r>
      <w:r>
        <w:rPr>
          <w:bCs/>
        </w:rPr>
        <w:t xml:space="preserve"> concern</w:t>
      </w:r>
      <w:r w:rsidR="0051494A">
        <w:rPr>
          <w:bCs/>
        </w:rPr>
        <w:t xml:space="preserve"> for the PUCO</w:t>
      </w:r>
      <w:r>
        <w:rPr>
          <w:bCs/>
        </w:rPr>
        <w:t xml:space="preserve">.  </w:t>
      </w:r>
      <w:r w:rsidR="00ED43BF">
        <w:rPr>
          <w:bCs/>
        </w:rPr>
        <w:t>For example, the p</w:t>
      </w:r>
      <w:r>
        <w:rPr>
          <w:bCs/>
        </w:rPr>
        <w:t>overty level</w:t>
      </w:r>
      <w:r w:rsidR="00ED43BF">
        <w:rPr>
          <w:bCs/>
        </w:rPr>
        <w:t xml:space="preserve"> in Hamilton County</w:t>
      </w:r>
      <w:r w:rsidR="00334446">
        <w:rPr>
          <w:bCs/>
        </w:rPr>
        <w:t xml:space="preserve"> -- the most populous county in Duke’s service territory --</w:t>
      </w:r>
      <w:r w:rsidR="00ED43BF">
        <w:rPr>
          <w:bCs/>
        </w:rPr>
        <w:t xml:space="preserve"> is 17.1 percent</w:t>
      </w:r>
      <w:r w:rsidR="00334446">
        <w:rPr>
          <w:bCs/>
        </w:rPr>
        <w:t>,</w:t>
      </w:r>
      <w:r w:rsidR="00ED43BF">
        <w:rPr>
          <w:bCs/>
        </w:rPr>
        <w:t xml:space="preserve"> </w:t>
      </w:r>
      <w:r>
        <w:rPr>
          <w:bCs/>
        </w:rPr>
        <w:t>well in excess of the statewide poverty level</w:t>
      </w:r>
      <w:r w:rsidR="00334446">
        <w:rPr>
          <w:bCs/>
        </w:rPr>
        <w:t xml:space="preserve"> of 16.3 percent</w:t>
      </w:r>
      <w:r w:rsidR="00E9652B">
        <w:rPr>
          <w:bCs/>
        </w:rPr>
        <w:t xml:space="preserve">.  </w:t>
      </w:r>
      <w:r>
        <w:rPr>
          <w:bCs/>
        </w:rPr>
        <w:t xml:space="preserve">The at-risk population of </w:t>
      </w:r>
      <w:r w:rsidR="00ED43BF">
        <w:rPr>
          <w:bCs/>
        </w:rPr>
        <w:t>D</w:t>
      </w:r>
      <w:r w:rsidR="00334446">
        <w:rPr>
          <w:bCs/>
        </w:rPr>
        <w:t>uke’s</w:t>
      </w:r>
      <w:r w:rsidR="00ED43BF">
        <w:rPr>
          <w:bCs/>
        </w:rPr>
        <w:t xml:space="preserve"> </w:t>
      </w:r>
      <w:r>
        <w:rPr>
          <w:bCs/>
        </w:rPr>
        <w:t xml:space="preserve">customers who live in cities </w:t>
      </w:r>
      <w:r w:rsidR="001578D1">
        <w:rPr>
          <w:bCs/>
        </w:rPr>
        <w:t>should also be</w:t>
      </w:r>
      <w:r>
        <w:rPr>
          <w:bCs/>
        </w:rPr>
        <w:t xml:space="preserve"> of concern </w:t>
      </w:r>
      <w:r w:rsidR="001578D1">
        <w:rPr>
          <w:bCs/>
        </w:rPr>
        <w:t xml:space="preserve">to the PUCO </w:t>
      </w:r>
      <w:r>
        <w:rPr>
          <w:bCs/>
        </w:rPr>
        <w:t xml:space="preserve">because the level of poverty in urban areas has increased over the last 15 years in Ohio.  For example, </w:t>
      </w:r>
      <w:r w:rsidR="00893625">
        <w:rPr>
          <w:bCs/>
        </w:rPr>
        <w:t xml:space="preserve">Cincinnati, </w:t>
      </w:r>
      <w:r>
        <w:rPr>
          <w:bCs/>
        </w:rPr>
        <w:t>the largest cit</w:t>
      </w:r>
      <w:r w:rsidR="00893625">
        <w:rPr>
          <w:bCs/>
        </w:rPr>
        <w:t>y</w:t>
      </w:r>
      <w:r>
        <w:rPr>
          <w:bCs/>
        </w:rPr>
        <w:t xml:space="preserve"> served by </w:t>
      </w:r>
      <w:r w:rsidR="00ED43BF">
        <w:rPr>
          <w:bCs/>
        </w:rPr>
        <w:t>D</w:t>
      </w:r>
      <w:r w:rsidR="00334446">
        <w:rPr>
          <w:bCs/>
        </w:rPr>
        <w:t>uke</w:t>
      </w:r>
      <w:r>
        <w:rPr>
          <w:bCs/>
        </w:rPr>
        <w:t xml:space="preserve"> has a population of </w:t>
      </w:r>
      <w:r w:rsidR="000537BB">
        <w:rPr>
          <w:bCs/>
        </w:rPr>
        <w:t>285,778 residents</w:t>
      </w:r>
      <w:r>
        <w:rPr>
          <w:bCs/>
        </w:rPr>
        <w:t xml:space="preserve"> and a poverty level of 2</w:t>
      </w:r>
      <w:r w:rsidR="00042488">
        <w:rPr>
          <w:bCs/>
        </w:rPr>
        <w:t>9.4</w:t>
      </w:r>
      <w:r>
        <w:rPr>
          <w:bCs/>
        </w:rPr>
        <w:t xml:space="preserve"> percent in 2012</w:t>
      </w:r>
      <w:r w:rsidR="0087461C">
        <w:rPr>
          <w:bCs/>
        </w:rPr>
        <w:t>,</w:t>
      </w:r>
      <w:r>
        <w:rPr>
          <w:bCs/>
        </w:rPr>
        <w:t xml:space="preserve"> compared </w:t>
      </w:r>
      <w:r w:rsidR="0087461C">
        <w:rPr>
          <w:bCs/>
        </w:rPr>
        <w:t xml:space="preserve">to </w:t>
      </w:r>
      <w:r w:rsidR="00042488">
        <w:rPr>
          <w:bCs/>
        </w:rPr>
        <w:t xml:space="preserve">24.3 </w:t>
      </w:r>
      <w:r>
        <w:rPr>
          <w:bCs/>
        </w:rPr>
        <w:t>percent in 1999.</w:t>
      </w:r>
      <w:r>
        <w:rPr>
          <w:rStyle w:val="FootnoteReference"/>
          <w:bCs/>
        </w:rPr>
        <w:footnoteReference w:id="11"/>
      </w:r>
      <w:r>
        <w:rPr>
          <w:bCs/>
        </w:rPr>
        <w:t xml:space="preserve">  </w:t>
      </w:r>
      <w:r w:rsidR="00334446">
        <w:rPr>
          <w:bCs/>
        </w:rPr>
        <w:t xml:space="preserve">Another city, </w:t>
      </w:r>
      <w:r w:rsidR="00042488">
        <w:rPr>
          <w:bCs/>
        </w:rPr>
        <w:t>Middletown</w:t>
      </w:r>
      <w:r w:rsidR="00893625">
        <w:rPr>
          <w:bCs/>
        </w:rPr>
        <w:t>,</w:t>
      </w:r>
      <w:r w:rsidR="00042488">
        <w:rPr>
          <w:bCs/>
        </w:rPr>
        <w:t xml:space="preserve"> </w:t>
      </w:r>
      <w:r>
        <w:rPr>
          <w:bCs/>
        </w:rPr>
        <w:t xml:space="preserve">has a population of </w:t>
      </w:r>
      <w:r w:rsidR="00042488">
        <w:rPr>
          <w:bCs/>
        </w:rPr>
        <w:t xml:space="preserve">49,919 </w:t>
      </w:r>
      <w:r>
        <w:rPr>
          <w:bCs/>
        </w:rPr>
        <w:t xml:space="preserve">and a poverty level of </w:t>
      </w:r>
      <w:r w:rsidR="00042488">
        <w:rPr>
          <w:bCs/>
        </w:rPr>
        <w:t>23</w:t>
      </w:r>
      <w:r>
        <w:rPr>
          <w:bCs/>
        </w:rPr>
        <w:t>.8 percent in 2012</w:t>
      </w:r>
      <w:r w:rsidR="00E108C1">
        <w:rPr>
          <w:bCs/>
        </w:rPr>
        <w:t>,</w:t>
      </w:r>
      <w:r>
        <w:rPr>
          <w:bCs/>
        </w:rPr>
        <w:t xml:space="preserve"> compared </w:t>
      </w:r>
      <w:r w:rsidR="0087461C">
        <w:rPr>
          <w:bCs/>
        </w:rPr>
        <w:t xml:space="preserve">to </w:t>
      </w:r>
      <w:r w:rsidR="00893625">
        <w:rPr>
          <w:bCs/>
        </w:rPr>
        <w:t xml:space="preserve">a </w:t>
      </w:r>
      <w:r w:rsidR="00042488">
        <w:rPr>
          <w:bCs/>
        </w:rPr>
        <w:t>15.4</w:t>
      </w:r>
      <w:r w:rsidR="00334446">
        <w:rPr>
          <w:bCs/>
        </w:rPr>
        <w:t xml:space="preserve"> </w:t>
      </w:r>
      <w:r>
        <w:rPr>
          <w:bCs/>
        </w:rPr>
        <w:t xml:space="preserve">percent </w:t>
      </w:r>
      <w:r w:rsidR="001578D1">
        <w:rPr>
          <w:bCs/>
        </w:rPr>
        <w:t xml:space="preserve">poverty level reflected </w:t>
      </w:r>
      <w:r>
        <w:rPr>
          <w:bCs/>
        </w:rPr>
        <w:t>in 1999.</w:t>
      </w:r>
      <w:r>
        <w:rPr>
          <w:rStyle w:val="FootnoteReference"/>
          <w:bCs/>
        </w:rPr>
        <w:footnoteReference w:id="12"/>
      </w:r>
    </w:p>
    <w:p w14:paraId="24DB1F35" w14:textId="77777777" w:rsidR="00E9652B" w:rsidRDefault="00E9652B" w:rsidP="00F2078A">
      <w:pPr>
        <w:spacing w:line="480" w:lineRule="auto"/>
        <w:ind w:left="720"/>
        <w:rPr>
          <w:bCs/>
        </w:rPr>
      </w:pPr>
    </w:p>
    <w:p w14:paraId="0548F12D" w14:textId="3BECAD9B" w:rsidR="004552C9" w:rsidRDefault="009E752A" w:rsidP="00F2078A">
      <w:pPr>
        <w:spacing w:line="480" w:lineRule="auto"/>
        <w:ind w:left="720"/>
        <w:rPr>
          <w:bCs/>
        </w:rPr>
      </w:pPr>
      <w:r>
        <w:rPr>
          <w:bCs/>
        </w:rPr>
        <w:t xml:space="preserve">The extreme financial hardship </w:t>
      </w:r>
      <w:r w:rsidR="00893625">
        <w:rPr>
          <w:bCs/>
        </w:rPr>
        <w:t>currently faced by</w:t>
      </w:r>
      <w:r>
        <w:rPr>
          <w:bCs/>
        </w:rPr>
        <w:t xml:space="preserve"> many customers in these cities and counties</w:t>
      </w:r>
      <w:r w:rsidR="007C4305">
        <w:rPr>
          <w:bCs/>
        </w:rPr>
        <w:t xml:space="preserve"> </w:t>
      </w:r>
      <w:r>
        <w:rPr>
          <w:bCs/>
        </w:rPr>
        <w:t xml:space="preserve">must be considered by the PUCO prior to allowing </w:t>
      </w:r>
      <w:r w:rsidR="00042488">
        <w:rPr>
          <w:bCs/>
        </w:rPr>
        <w:t>D</w:t>
      </w:r>
      <w:r w:rsidR="00FC6AED">
        <w:rPr>
          <w:bCs/>
        </w:rPr>
        <w:t>uke</w:t>
      </w:r>
      <w:r w:rsidR="00042488">
        <w:rPr>
          <w:bCs/>
        </w:rPr>
        <w:t xml:space="preserve"> </w:t>
      </w:r>
      <w:r>
        <w:rPr>
          <w:bCs/>
        </w:rPr>
        <w:t xml:space="preserve">to </w:t>
      </w:r>
      <w:r w:rsidR="001578D1">
        <w:rPr>
          <w:bCs/>
        </w:rPr>
        <w:t xml:space="preserve">impose even more </w:t>
      </w:r>
      <w:r w:rsidR="00FC6AED">
        <w:rPr>
          <w:bCs/>
        </w:rPr>
        <w:t xml:space="preserve">electric service </w:t>
      </w:r>
      <w:r w:rsidR="001578D1">
        <w:rPr>
          <w:bCs/>
        </w:rPr>
        <w:t>increases on</w:t>
      </w:r>
      <w:r>
        <w:rPr>
          <w:bCs/>
        </w:rPr>
        <w:t xml:space="preserve"> these at-risk population</w:t>
      </w:r>
      <w:r w:rsidR="001578D1">
        <w:rPr>
          <w:bCs/>
        </w:rPr>
        <w:t>s.</w:t>
      </w:r>
      <w:r w:rsidR="006E02AE">
        <w:rPr>
          <w:bCs/>
        </w:rPr>
        <w:t xml:space="preserve"> </w:t>
      </w:r>
      <w:r>
        <w:rPr>
          <w:bCs/>
        </w:rPr>
        <w:t xml:space="preserve"> </w:t>
      </w:r>
      <w:r w:rsidR="001578D1">
        <w:rPr>
          <w:bCs/>
        </w:rPr>
        <w:t>But t</w:t>
      </w:r>
      <w:r>
        <w:rPr>
          <w:bCs/>
        </w:rPr>
        <w:t>here is simply no indica</w:t>
      </w:r>
      <w:r w:rsidR="00470F27">
        <w:rPr>
          <w:bCs/>
        </w:rPr>
        <w:t>tion in the ESP III Application</w:t>
      </w:r>
      <w:r>
        <w:rPr>
          <w:bCs/>
        </w:rPr>
        <w:t xml:space="preserve"> that </w:t>
      </w:r>
      <w:r w:rsidR="00042488">
        <w:rPr>
          <w:bCs/>
        </w:rPr>
        <w:t>D</w:t>
      </w:r>
      <w:r w:rsidR="00FC6AED">
        <w:rPr>
          <w:bCs/>
        </w:rPr>
        <w:t>uke</w:t>
      </w:r>
      <w:r w:rsidR="00042488">
        <w:rPr>
          <w:bCs/>
        </w:rPr>
        <w:t xml:space="preserve"> </w:t>
      </w:r>
      <w:r w:rsidR="00BE548A">
        <w:rPr>
          <w:bCs/>
        </w:rPr>
        <w:t xml:space="preserve">is </w:t>
      </w:r>
      <w:r w:rsidR="006E02AE">
        <w:rPr>
          <w:bCs/>
        </w:rPr>
        <w:t>protecting the at-</w:t>
      </w:r>
      <w:r w:rsidR="00DE71D6">
        <w:rPr>
          <w:bCs/>
        </w:rPr>
        <w:t xml:space="preserve">risk population from </w:t>
      </w:r>
      <w:r>
        <w:rPr>
          <w:bCs/>
        </w:rPr>
        <w:t xml:space="preserve">the </w:t>
      </w:r>
      <w:r w:rsidR="00DE71D6">
        <w:rPr>
          <w:bCs/>
        </w:rPr>
        <w:t xml:space="preserve">brunt of </w:t>
      </w:r>
      <w:r>
        <w:rPr>
          <w:bCs/>
        </w:rPr>
        <w:t>the proposed ESP</w:t>
      </w:r>
      <w:r w:rsidR="0087461C">
        <w:rPr>
          <w:bCs/>
        </w:rPr>
        <w:t xml:space="preserve"> III</w:t>
      </w:r>
      <w:r>
        <w:rPr>
          <w:bCs/>
        </w:rPr>
        <w:t xml:space="preserve"> </w:t>
      </w:r>
      <w:r w:rsidR="00DE71D6">
        <w:rPr>
          <w:bCs/>
        </w:rPr>
        <w:t>rate increases.</w:t>
      </w:r>
    </w:p>
    <w:p w14:paraId="5A58F24F" w14:textId="77777777" w:rsidR="005500F6" w:rsidRDefault="005500F6" w:rsidP="00F2078A">
      <w:pPr>
        <w:spacing w:line="480" w:lineRule="auto"/>
        <w:ind w:left="720"/>
        <w:rPr>
          <w:bCs/>
        </w:rPr>
      </w:pPr>
    </w:p>
    <w:p w14:paraId="2154ABEC" w14:textId="77777777" w:rsidR="004552C9" w:rsidRPr="005500F6" w:rsidRDefault="009E752A">
      <w:pPr>
        <w:spacing w:line="480" w:lineRule="auto"/>
        <w:ind w:left="720" w:hanging="720"/>
        <w:rPr>
          <w:b/>
          <w:bCs/>
          <w:i/>
        </w:rPr>
      </w:pPr>
      <w:r w:rsidRPr="00F95936">
        <w:rPr>
          <w:b/>
          <w:bCs/>
          <w:i/>
        </w:rPr>
        <w:t>Q</w:t>
      </w:r>
      <w:r w:rsidR="00234986">
        <w:rPr>
          <w:b/>
          <w:bCs/>
          <w:i/>
        </w:rPr>
        <w:t>8</w:t>
      </w:r>
      <w:r>
        <w:rPr>
          <w:b/>
          <w:bCs/>
        </w:rPr>
        <w:t>.</w:t>
      </w:r>
      <w:r>
        <w:rPr>
          <w:b/>
          <w:bCs/>
        </w:rPr>
        <w:tab/>
      </w:r>
      <w:r w:rsidRPr="005500F6">
        <w:rPr>
          <w:b/>
          <w:bCs/>
          <w:i/>
        </w:rPr>
        <w:t>ARE THERE OTHER AT-RISK POPULATION CONCERNS THAT THE PUCO SHOULD CONSIDER PRIOR TO APPROVING THE PROPOSED ESP?</w:t>
      </w:r>
    </w:p>
    <w:p w14:paraId="485453CD" w14:textId="77777777" w:rsidR="00F4574B" w:rsidRDefault="009E752A" w:rsidP="00F95936">
      <w:pPr>
        <w:spacing w:line="480" w:lineRule="auto"/>
        <w:ind w:left="720" w:hanging="720"/>
        <w:rPr>
          <w:bCs/>
        </w:rPr>
      </w:pPr>
      <w:r w:rsidRPr="00F95936">
        <w:rPr>
          <w:b/>
          <w:bCs/>
          <w:i/>
        </w:rPr>
        <w:t>A</w:t>
      </w:r>
      <w:r w:rsidR="00234986">
        <w:rPr>
          <w:b/>
          <w:bCs/>
          <w:i/>
        </w:rPr>
        <w:t>8</w:t>
      </w:r>
      <w:r w:rsidRPr="00F95936">
        <w:rPr>
          <w:b/>
          <w:bCs/>
          <w:i/>
        </w:rPr>
        <w:t>.</w:t>
      </w:r>
      <w:r>
        <w:rPr>
          <w:bCs/>
        </w:rPr>
        <w:tab/>
        <w:t xml:space="preserve">Yes.  While high poverty rates throughout </w:t>
      </w:r>
      <w:r w:rsidR="00234986">
        <w:rPr>
          <w:bCs/>
        </w:rPr>
        <w:t>D</w:t>
      </w:r>
      <w:r w:rsidR="00FC6AED">
        <w:rPr>
          <w:bCs/>
        </w:rPr>
        <w:t>uke’s</w:t>
      </w:r>
      <w:r w:rsidR="00234986">
        <w:rPr>
          <w:bCs/>
        </w:rPr>
        <w:t xml:space="preserve"> </w:t>
      </w:r>
      <w:r>
        <w:rPr>
          <w:bCs/>
        </w:rPr>
        <w:t xml:space="preserve">service territory raise serious concerns regarding the viability of additional rate increases, the PUCO should also consider the affordability </w:t>
      </w:r>
      <w:r w:rsidR="001578D1">
        <w:rPr>
          <w:bCs/>
        </w:rPr>
        <w:t>in a broader sense.  For instance</w:t>
      </w:r>
      <w:r w:rsidR="0087461C">
        <w:rPr>
          <w:bCs/>
        </w:rPr>
        <w:t>,</w:t>
      </w:r>
      <w:r w:rsidR="001578D1">
        <w:rPr>
          <w:bCs/>
        </w:rPr>
        <w:t xml:space="preserve"> the PUCO should consider the effect of the</w:t>
      </w:r>
      <w:r w:rsidR="00470F27">
        <w:rPr>
          <w:bCs/>
        </w:rPr>
        <w:t xml:space="preserve"> proposed</w:t>
      </w:r>
      <w:r>
        <w:rPr>
          <w:bCs/>
        </w:rPr>
        <w:t xml:space="preserve"> ESP III </w:t>
      </w:r>
      <w:r w:rsidR="001578D1">
        <w:rPr>
          <w:bCs/>
        </w:rPr>
        <w:t>on those customers whose</w:t>
      </w:r>
      <w:r>
        <w:rPr>
          <w:bCs/>
        </w:rPr>
        <w:t xml:space="preserve"> </w:t>
      </w:r>
      <w:r w:rsidR="00A8700C">
        <w:rPr>
          <w:bCs/>
        </w:rPr>
        <w:t>incomes are</w:t>
      </w:r>
      <w:r w:rsidR="001578D1">
        <w:rPr>
          <w:bCs/>
        </w:rPr>
        <w:t xml:space="preserve"> </w:t>
      </w:r>
      <w:r>
        <w:rPr>
          <w:bCs/>
        </w:rPr>
        <w:t xml:space="preserve">close and slightly above the federal poverty level.  </w:t>
      </w:r>
      <w:r w:rsidR="001578D1">
        <w:rPr>
          <w:bCs/>
        </w:rPr>
        <w:t xml:space="preserve">This is also an at-risk population.  </w:t>
      </w:r>
      <w:r>
        <w:rPr>
          <w:bCs/>
        </w:rPr>
        <w:t>I refer to this at-risk population as the “</w:t>
      </w:r>
      <w:r w:rsidR="00234986">
        <w:rPr>
          <w:bCs/>
        </w:rPr>
        <w:t>close to poverty level population</w:t>
      </w:r>
      <w:r w:rsidR="0087461C">
        <w:rPr>
          <w:bCs/>
        </w:rPr>
        <w:t>.</w:t>
      </w:r>
      <w:r>
        <w:rPr>
          <w:bCs/>
        </w:rPr>
        <w:t xml:space="preserve">”  This </w:t>
      </w:r>
      <w:r w:rsidR="000537BB">
        <w:rPr>
          <w:bCs/>
        </w:rPr>
        <w:t>population can</w:t>
      </w:r>
      <w:r>
        <w:rPr>
          <w:bCs/>
        </w:rPr>
        <w:t xml:space="preserve"> be especially adversely</w:t>
      </w:r>
      <w:r w:rsidR="001578D1">
        <w:rPr>
          <w:bCs/>
        </w:rPr>
        <w:t xml:space="preserve"> a</w:t>
      </w:r>
      <w:r>
        <w:rPr>
          <w:bCs/>
        </w:rPr>
        <w:t>ffected by the high costs of electric services (i.e. the lack of affordability for electric service) because they may not qualify for income-based assistance programs as explained later in this testimon</w:t>
      </w:r>
      <w:r w:rsidR="001578D1">
        <w:rPr>
          <w:bCs/>
        </w:rPr>
        <w:t>y</w:t>
      </w:r>
      <w:r>
        <w:rPr>
          <w:bCs/>
        </w:rPr>
        <w:t xml:space="preserve">.  Table 1 provides a summary of the number of Ohioans with incomes close to the poverty level living in </w:t>
      </w:r>
      <w:r w:rsidR="00FC6AED">
        <w:rPr>
          <w:bCs/>
        </w:rPr>
        <w:t xml:space="preserve">the largest </w:t>
      </w:r>
      <w:r>
        <w:rPr>
          <w:bCs/>
        </w:rPr>
        <w:t xml:space="preserve">counties served by </w:t>
      </w:r>
      <w:r w:rsidR="00234986">
        <w:rPr>
          <w:bCs/>
        </w:rPr>
        <w:t>D</w:t>
      </w:r>
      <w:r w:rsidR="00FC6AED">
        <w:rPr>
          <w:bCs/>
        </w:rPr>
        <w:t>uke</w:t>
      </w:r>
      <w:r>
        <w:rPr>
          <w:bCs/>
        </w:rPr>
        <w:t>.</w:t>
      </w:r>
    </w:p>
    <w:p w14:paraId="661FBBDB" w14:textId="77777777" w:rsidR="00F4574B" w:rsidRDefault="00F4574B">
      <w:pPr>
        <w:spacing w:line="480" w:lineRule="auto"/>
        <w:ind w:left="720" w:hanging="720"/>
        <w:jc w:val="center"/>
        <w:rPr>
          <w:b/>
          <w:bCs/>
        </w:rPr>
      </w:pPr>
    </w:p>
    <w:p w14:paraId="6A76BF56" w14:textId="524DBEED" w:rsidR="004552C9" w:rsidRDefault="009E752A" w:rsidP="00710C96">
      <w:pPr>
        <w:spacing w:line="480" w:lineRule="auto"/>
        <w:ind w:left="720"/>
        <w:jc w:val="center"/>
        <w:rPr>
          <w:bCs/>
        </w:rPr>
      </w:pPr>
      <w:r w:rsidRPr="00EB5472">
        <w:rPr>
          <w:b/>
          <w:bCs/>
        </w:rPr>
        <w:t xml:space="preserve">Table 1: Ratio of Income to Poverty level for Counties Served by </w:t>
      </w:r>
      <w:r w:rsidR="00234986">
        <w:rPr>
          <w:b/>
          <w:bCs/>
        </w:rPr>
        <w:t>D</w:t>
      </w:r>
      <w:r w:rsidR="004C2B49">
        <w:rPr>
          <w:b/>
          <w:bCs/>
        </w:rPr>
        <w:t>uke</w:t>
      </w:r>
      <w:r>
        <w:rPr>
          <w:rStyle w:val="FootnoteReference"/>
          <w:bCs/>
        </w:rPr>
        <w:footnoteReference w:id="13"/>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417"/>
        <w:gridCol w:w="1049"/>
        <w:gridCol w:w="1050"/>
        <w:gridCol w:w="1050"/>
        <w:gridCol w:w="1050"/>
        <w:gridCol w:w="1050"/>
      </w:tblGrid>
      <w:tr w:rsidR="004552C9" w14:paraId="674478FA" w14:textId="77777777" w:rsidTr="00234986">
        <w:tc>
          <w:tcPr>
            <w:tcW w:w="1123" w:type="dxa"/>
            <w:shd w:val="clear" w:color="auto" w:fill="auto"/>
          </w:tcPr>
          <w:p w14:paraId="68972CF7" w14:textId="77777777" w:rsidR="004552C9" w:rsidRDefault="009E752A">
            <w:pPr>
              <w:jc w:val="center"/>
              <w:rPr>
                <w:bCs/>
              </w:rPr>
            </w:pPr>
            <w:r>
              <w:rPr>
                <w:bCs/>
              </w:rPr>
              <w:t>Ohio County</w:t>
            </w:r>
          </w:p>
        </w:tc>
        <w:tc>
          <w:tcPr>
            <w:tcW w:w="1417" w:type="dxa"/>
            <w:shd w:val="clear" w:color="auto" w:fill="auto"/>
          </w:tcPr>
          <w:p w14:paraId="0AA5010F" w14:textId="77777777" w:rsidR="004552C9" w:rsidRDefault="009E752A">
            <w:pPr>
              <w:jc w:val="center"/>
              <w:rPr>
                <w:bCs/>
              </w:rPr>
            </w:pPr>
            <w:r>
              <w:rPr>
                <w:bCs/>
              </w:rPr>
              <w:t>Population</w:t>
            </w:r>
            <w:r>
              <w:rPr>
                <w:rStyle w:val="FootnoteReference"/>
                <w:bCs/>
              </w:rPr>
              <w:footnoteReference w:id="14"/>
            </w:r>
          </w:p>
        </w:tc>
        <w:tc>
          <w:tcPr>
            <w:tcW w:w="1074" w:type="dxa"/>
            <w:shd w:val="clear" w:color="auto" w:fill="auto"/>
          </w:tcPr>
          <w:p w14:paraId="7726638E" w14:textId="77777777" w:rsidR="004552C9" w:rsidRDefault="009E752A">
            <w:pPr>
              <w:jc w:val="center"/>
              <w:rPr>
                <w:bCs/>
              </w:rPr>
            </w:pPr>
            <w:r>
              <w:rPr>
                <w:bCs/>
              </w:rPr>
              <w:t>100% Poverty</w:t>
            </w:r>
          </w:p>
        </w:tc>
        <w:tc>
          <w:tcPr>
            <w:tcW w:w="1074" w:type="dxa"/>
            <w:shd w:val="clear" w:color="auto" w:fill="auto"/>
          </w:tcPr>
          <w:p w14:paraId="16C626E4" w14:textId="77777777" w:rsidR="004552C9" w:rsidRDefault="009E752A">
            <w:pPr>
              <w:jc w:val="center"/>
              <w:rPr>
                <w:bCs/>
              </w:rPr>
            </w:pPr>
            <w:r>
              <w:rPr>
                <w:bCs/>
              </w:rPr>
              <w:t>125% Poverty</w:t>
            </w:r>
          </w:p>
        </w:tc>
        <w:tc>
          <w:tcPr>
            <w:tcW w:w="1074" w:type="dxa"/>
            <w:shd w:val="clear" w:color="auto" w:fill="auto"/>
          </w:tcPr>
          <w:p w14:paraId="4ACEA64F" w14:textId="77777777" w:rsidR="004552C9" w:rsidRDefault="009E752A">
            <w:pPr>
              <w:jc w:val="center"/>
              <w:rPr>
                <w:bCs/>
              </w:rPr>
            </w:pPr>
            <w:r>
              <w:rPr>
                <w:bCs/>
              </w:rPr>
              <w:t>150% Poverty</w:t>
            </w:r>
          </w:p>
        </w:tc>
        <w:tc>
          <w:tcPr>
            <w:tcW w:w="1074" w:type="dxa"/>
            <w:shd w:val="clear" w:color="auto" w:fill="auto"/>
          </w:tcPr>
          <w:p w14:paraId="74CF085A" w14:textId="77777777" w:rsidR="004552C9" w:rsidRDefault="009E752A">
            <w:pPr>
              <w:jc w:val="center"/>
              <w:rPr>
                <w:bCs/>
              </w:rPr>
            </w:pPr>
            <w:r>
              <w:rPr>
                <w:bCs/>
              </w:rPr>
              <w:t>185% Poverty</w:t>
            </w:r>
          </w:p>
        </w:tc>
        <w:tc>
          <w:tcPr>
            <w:tcW w:w="1074" w:type="dxa"/>
            <w:shd w:val="clear" w:color="auto" w:fill="auto"/>
          </w:tcPr>
          <w:p w14:paraId="458054DD" w14:textId="77777777" w:rsidR="004552C9" w:rsidRDefault="009E752A">
            <w:pPr>
              <w:jc w:val="center"/>
              <w:rPr>
                <w:bCs/>
              </w:rPr>
            </w:pPr>
            <w:r>
              <w:rPr>
                <w:bCs/>
              </w:rPr>
              <w:t>200% Poverty</w:t>
            </w:r>
          </w:p>
        </w:tc>
      </w:tr>
      <w:tr w:rsidR="004552C9" w14:paraId="30BA210B" w14:textId="77777777" w:rsidTr="00234986">
        <w:tc>
          <w:tcPr>
            <w:tcW w:w="1123" w:type="dxa"/>
            <w:shd w:val="clear" w:color="auto" w:fill="auto"/>
          </w:tcPr>
          <w:p w14:paraId="48E1EEBA" w14:textId="77777777" w:rsidR="004552C9" w:rsidRDefault="00234986">
            <w:pPr>
              <w:jc w:val="center"/>
              <w:rPr>
                <w:bCs/>
              </w:rPr>
            </w:pPr>
            <w:r>
              <w:rPr>
                <w:bCs/>
              </w:rPr>
              <w:t>Brown</w:t>
            </w:r>
          </w:p>
        </w:tc>
        <w:tc>
          <w:tcPr>
            <w:tcW w:w="1417" w:type="dxa"/>
            <w:shd w:val="clear" w:color="auto" w:fill="auto"/>
          </w:tcPr>
          <w:p w14:paraId="1E904298" w14:textId="77777777" w:rsidR="004552C9" w:rsidRDefault="00234986">
            <w:pPr>
              <w:jc w:val="center"/>
              <w:rPr>
                <w:bCs/>
              </w:rPr>
            </w:pPr>
            <w:r>
              <w:rPr>
                <w:bCs/>
              </w:rPr>
              <w:t>43,969</w:t>
            </w:r>
          </w:p>
        </w:tc>
        <w:tc>
          <w:tcPr>
            <w:tcW w:w="1074" w:type="dxa"/>
            <w:shd w:val="clear" w:color="auto" w:fill="auto"/>
          </w:tcPr>
          <w:p w14:paraId="1F577FB6" w14:textId="77777777" w:rsidR="004552C9" w:rsidRDefault="00234986">
            <w:pPr>
              <w:jc w:val="center"/>
              <w:rPr>
                <w:bCs/>
              </w:rPr>
            </w:pPr>
            <w:r>
              <w:rPr>
                <w:bCs/>
              </w:rPr>
              <w:t>12.8</w:t>
            </w:r>
          </w:p>
        </w:tc>
        <w:tc>
          <w:tcPr>
            <w:tcW w:w="1074" w:type="dxa"/>
            <w:shd w:val="clear" w:color="auto" w:fill="auto"/>
          </w:tcPr>
          <w:p w14:paraId="7ACB2F52" w14:textId="77777777" w:rsidR="004552C9" w:rsidRDefault="00234986">
            <w:pPr>
              <w:jc w:val="center"/>
              <w:rPr>
                <w:bCs/>
              </w:rPr>
            </w:pPr>
            <w:r>
              <w:rPr>
                <w:bCs/>
              </w:rPr>
              <w:t>18.9</w:t>
            </w:r>
          </w:p>
        </w:tc>
        <w:tc>
          <w:tcPr>
            <w:tcW w:w="1074" w:type="dxa"/>
            <w:shd w:val="clear" w:color="auto" w:fill="auto"/>
          </w:tcPr>
          <w:p w14:paraId="5FE3648F" w14:textId="77777777" w:rsidR="004552C9" w:rsidRDefault="00234986">
            <w:pPr>
              <w:jc w:val="center"/>
              <w:rPr>
                <w:bCs/>
              </w:rPr>
            </w:pPr>
            <w:r>
              <w:rPr>
                <w:bCs/>
              </w:rPr>
              <w:t>24.3</w:t>
            </w:r>
          </w:p>
        </w:tc>
        <w:tc>
          <w:tcPr>
            <w:tcW w:w="1074" w:type="dxa"/>
            <w:shd w:val="clear" w:color="auto" w:fill="auto"/>
          </w:tcPr>
          <w:p w14:paraId="3195A0E2" w14:textId="77777777" w:rsidR="004552C9" w:rsidRDefault="00234986">
            <w:pPr>
              <w:jc w:val="center"/>
              <w:rPr>
                <w:bCs/>
              </w:rPr>
            </w:pPr>
            <w:r>
              <w:rPr>
                <w:bCs/>
              </w:rPr>
              <w:t>32.8</w:t>
            </w:r>
          </w:p>
        </w:tc>
        <w:tc>
          <w:tcPr>
            <w:tcW w:w="1074" w:type="dxa"/>
            <w:shd w:val="clear" w:color="auto" w:fill="auto"/>
          </w:tcPr>
          <w:p w14:paraId="5449DD42" w14:textId="77777777" w:rsidR="004552C9" w:rsidRDefault="00234986">
            <w:pPr>
              <w:jc w:val="center"/>
              <w:rPr>
                <w:bCs/>
              </w:rPr>
            </w:pPr>
            <w:r>
              <w:rPr>
                <w:bCs/>
              </w:rPr>
              <w:t>37.5</w:t>
            </w:r>
          </w:p>
        </w:tc>
      </w:tr>
      <w:tr w:rsidR="004552C9" w14:paraId="4DDAD616" w14:textId="77777777" w:rsidTr="00234986">
        <w:tc>
          <w:tcPr>
            <w:tcW w:w="1123" w:type="dxa"/>
            <w:shd w:val="clear" w:color="auto" w:fill="auto"/>
          </w:tcPr>
          <w:p w14:paraId="6F926455" w14:textId="77777777" w:rsidR="004552C9" w:rsidRDefault="00234986">
            <w:pPr>
              <w:jc w:val="center"/>
              <w:rPr>
                <w:bCs/>
              </w:rPr>
            </w:pPr>
            <w:r>
              <w:rPr>
                <w:bCs/>
              </w:rPr>
              <w:t>Butler</w:t>
            </w:r>
          </w:p>
        </w:tc>
        <w:tc>
          <w:tcPr>
            <w:tcW w:w="1417" w:type="dxa"/>
            <w:shd w:val="clear" w:color="auto" w:fill="auto"/>
          </w:tcPr>
          <w:p w14:paraId="5E1FF9B4" w14:textId="77777777" w:rsidR="004552C9" w:rsidRDefault="00234986">
            <w:pPr>
              <w:jc w:val="center"/>
              <w:rPr>
                <w:bCs/>
              </w:rPr>
            </w:pPr>
            <w:r>
              <w:rPr>
                <w:bCs/>
              </w:rPr>
              <w:t>355,778</w:t>
            </w:r>
          </w:p>
        </w:tc>
        <w:tc>
          <w:tcPr>
            <w:tcW w:w="1074" w:type="dxa"/>
            <w:shd w:val="clear" w:color="auto" w:fill="auto"/>
          </w:tcPr>
          <w:p w14:paraId="0BBB4CBB" w14:textId="77777777" w:rsidR="004552C9" w:rsidRDefault="00234986">
            <w:pPr>
              <w:jc w:val="center"/>
              <w:rPr>
                <w:bCs/>
              </w:rPr>
            </w:pPr>
            <w:r>
              <w:rPr>
                <w:bCs/>
              </w:rPr>
              <w:t>13.6</w:t>
            </w:r>
          </w:p>
        </w:tc>
        <w:tc>
          <w:tcPr>
            <w:tcW w:w="1074" w:type="dxa"/>
            <w:shd w:val="clear" w:color="auto" w:fill="auto"/>
          </w:tcPr>
          <w:p w14:paraId="2B7B4959" w14:textId="77777777" w:rsidR="004552C9" w:rsidRDefault="00234986">
            <w:pPr>
              <w:jc w:val="center"/>
              <w:rPr>
                <w:bCs/>
              </w:rPr>
            </w:pPr>
            <w:r>
              <w:rPr>
                <w:bCs/>
              </w:rPr>
              <w:t>17.7</w:t>
            </w:r>
          </w:p>
        </w:tc>
        <w:tc>
          <w:tcPr>
            <w:tcW w:w="1074" w:type="dxa"/>
            <w:shd w:val="clear" w:color="auto" w:fill="auto"/>
          </w:tcPr>
          <w:p w14:paraId="33B9A3A4" w14:textId="77777777" w:rsidR="004552C9" w:rsidRDefault="00234986">
            <w:pPr>
              <w:jc w:val="center"/>
              <w:rPr>
                <w:bCs/>
              </w:rPr>
            </w:pPr>
            <w:r>
              <w:rPr>
                <w:bCs/>
              </w:rPr>
              <w:t>21.5</w:t>
            </w:r>
          </w:p>
        </w:tc>
        <w:tc>
          <w:tcPr>
            <w:tcW w:w="1074" w:type="dxa"/>
            <w:shd w:val="clear" w:color="auto" w:fill="auto"/>
          </w:tcPr>
          <w:p w14:paraId="73C788EA" w14:textId="77777777" w:rsidR="004552C9" w:rsidRDefault="00234986">
            <w:pPr>
              <w:jc w:val="center"/>
              <w:rPr>
                <w:bCs/>
              </w:rPr>
            </w:pPr>
            <w:r>
              <w:rPr>
                <w:bCs/>
              </w:rPr>
              <w:t>27.1</w:t>
            </w:r>
          </w:p>
        </w:tc>
        <w:tc>
          <w:tcPr>
            <w:tcW w:w="1074" w:type="dxa"/>
            <w:shd w:val="clear" w:color="auto" w:fill="auto"/>
          </w:tcPr>
          <w:p w14:paraId="48DC7E01" w14:textId="77777777" w:rsidR="004552C9" w:rsidRDefault="00234986">
            <w:pPr>
              <w:jc w:val="center"/>
              <w:rPr>
                <w:bCs/>
              </w:rPr>
            </w:pPr>
            <w:r>
              <w:rPr>
                <w:bCs/>
              </w:rPr>
              <w:t>29.2</w:t>
            </w:r>
          </w:p>
        </w:tc>
      </w:tr>
      <w:tr w:rsidR="004552C9" w14:paraId="396F4BEB" w14:textId="77777777" w:rsidTr="00234986">
        <w:tc>
          <w:tcPr>
            <w:tcW w:w="1123" w:type="dxa"/>
            <w:shd w:val="clear" w:color="auto" w:fill="auto"/>
          </w:tcPr>
          <w:p w14:paraId="5F53EF25" w14:textId="77777777" w:rsidR="004552C9" w:rsidRDefault="00234986" w:rsidP="00234986">
            <w:pPr>
              <w:jc w:val="center"/>
              <w:rPr>
                <w:bCs/>
              </w:rPr>
            </w:pPr>
            <w:r>
              <w:rPr>
                <w:bCs/>
              </w:rPr>
              <w:t xml:space="preserve">Clermont </w:t>
            </w:r>
          </w:p>
        </w:tc>
        <w:tc>
          <w:tcPr>
            <w:tcW w:w="1417" w:type="dxa"/>
            <w:shd w:val="clear" w:color="auto" w:fill="auto"/>
          </w:tcPr>
          <w:p w14:paraId="320A4086" w14:textId="77777777" w:rsidR="004552C9" w:rsidRDefault="00234986">
            <w:pPr>
              <w:jc w:val="center"/>
              <w:rPr>
                <w:bCs/>
              </w:rPr>
            </w:pPr>
            <w:r>
              <w:rPr>
                <w:bCs/>
              </w:rPr>
              <w:t>195,403</w:t>
            </w:r>
          </w:p>
        </w:tc>
        <w:tc>
          <w:tcPr>
            <w:tcW w:w="1074" w:type="dxa"/>
            <w:shd w:val="clear" w:color="auto" w:fill="auto"/>
          </w:tcPr>
          <w:p w14:paraId="4E5A259A" w14:textId="77777777" w:rsidR="004552C9" w:rsidRDefault="00234986">
            <w:pPr>
              <w:jc w:val="center"/>
              <w:rPr>
                <w:bCs/>
              </w:rPr>
            </w:pPr>
            <w:r>
              <w:rPr>
                <w:bCs/>
              </w:rPr>
              <w:t>10.3</w:t>
            </w:r>
          </w:p>
        </w:tc>
        <w:tc>
          <w:tcPr>
            <w:tcW w:w="1074" w:type="dxa"/>
            <w:shd w:val="clear" w:color="auto" w:fill="auto"/>
          </w:tcPr>
          <w:p w14:paraId="73616560" w14:textId="77777777" w:rsidR="004552C9" w:rsidRDefault="00234986">
            <w:pPr>
              <w:jc w:val="center"/>
              <w:rPr>
                <w:bCs/>
              </w:rPr>
            </w:pPr>
            <w:r>
              <w:rPr>
                <w:bCs/>
              </w:rPr>
              <w:t>13.8</w:t>
            </w:r>
          </w:p>
        </w:tc>
        <w:tc>
          <w:tcPr>
            <w:tcW w:w="1074" w:type="dxa"/>
            <w:shd w:val="clear" w:color="auto" w:fill="auto"/>
          </w:tcPr>
          <w:p w14:paraId="7A7B0B4F" w14:textId="77777777" w:rsidR="004552C9" w:rsidRDefault="00234986">
            <w:pPr>
              <w:jc w:val="center"/>
              <w:rPr>
                <w:bCs/>
              </w:rPr>
            </w:pPr>
            <w:r>
              <w:rPr>
                <w:bCs/>
              </w:rPr>
              <w:t>17.5</w:t>
            </w:r>
          </w:p>
        </w:tc>
        <w:tc>
          <w:tcPr>
            <w:tcW w:w="1074" w:type="dxa"/>
            <w:shd w:val="clear" w:color="auto" w:fill="auto"/>
          </w:tcPr>
          <w:p w14:paraId="5D6DC438" w14:textId="77777777" w:rsidR="004552C9" w:rsidRDefault="00234986">
            <w:pPr>
              <w:jc w:val="center"/>
              <w:rPr>
                <w:bCs/>
              </w:rPr>
            </w:pPr>
            <w:r>
              <w:rPr>
                <w:bCs/>
              </w:rPr>
              <w:t>22.5</w:t>
            </w:r>
          </w:p>
        </w:tc>
        <w:tc>
          <w:tcPr>
            <w:tcW w:w="1074" w:type="dxa"/>
            <w:shd w:val="clear" w:color="auto" w:fill="auto"/>
          </w:tcPr>
          <w:p w14:paraId="570D6F2F" w14:textId="77777777" w:rsidR="004552C9" w:rsidRDefault="00234986">
            <w:pPr>
              <w:jc w:val="center"/>
              <w:rPr>
                <w:bCs/>
              </w:rPr>
            </w:pPr>
            <w:r>
              <w:rPr>
                <w:bCs/>
              </w:rPr>
              <w:t>25.2</w:t>
            </w:r>
          </w:p>
        </w:tc>
      </w:tr>
      <w:tr w:rsidR="008216C5" w14:paraId="13680A9D" w14:textId="77777777" w:rsidTr="00234986">
        <w:tc>
          <w:tcPr>
            <w:tcW w:w="1123" w:type="dxa"/>
            <w:shd w:val="clear" w:color="auto" w:fill="auto"/>
          </w:tcPr>
          <w:p w14:paraId="7DC05B25" w14:textId="77777777" w:rsidR="008216C5" w:rsidRDefault="008216C5" w:rsidP="00234986">
            <w:pPr>
              <w:jc w:val="center"/>
              <w:rPr>
                <w:bCs/>
              </w:rPr>
            </w:pPr>
            <w:r>
              <w:rPr>
                <w:bCs/>
              </w:rPr>
              <w:t>Clinton</w:t>
            </w:r>
          </w:p>
        </w:tc>
        <w:tc>
          <w:tcPr>
            <w:tcW w:w="1417" w:type="dxa"/>
            <w:shd w:val="clear" w:color="auto" w:fill="auto"/>
          </w:tcPr>
          <w:p w14:paraId="5775A668" w14:textId="77777777" w:rsidR="008216C5" w:rsidRDefault="003A4314">
            <w:pPr>
              <w:jc w:val="center"/>
              <w:rPr>
                <w:bCs/>
              </w:rPr>
            </w:pPr>
            <w:r>
              <w:rPr>
                <w:bCs/>
              </w:rPr>
              <w:t>40,990</w:t>
            </w:r>
          </w:p>
        </w:tc>
        <w:tc>
          <w:tcPr>
            <w:tcW w:w="1074" w:type="dxa"/>
            <w:shd w:val="clear" w:color="auto" w:fill="auto"/>
          </w:tcPr>
          <w:p w14:paraId="577DC94F" w14:textId="77777777" w:rsidR="008216C5" w:rsidRDefault="003A4314">
            <w:pPr>
              <w:jc w:val="center"/>
              <w:rPr>
                <w:bCs/>
              </w:rPr>
            </w:pPr>
            <w:r>
              <w:rPr>
                <w:bCs/>
              </w:rPr>
              <w:t>15.4</w:t>
            </w:r>
          </w:p>
        </w:tc>
        <w:tc>
          <w:tcPr>
            <w:tcW w:w="1074" w:type="dxa"/>
            <w:shd w:val="clear" w:color="auto" w:fill="auto"/>
          </w:tcPr>
          <w:p w14:paraId="0FA0BA43" w14:textId="77777777" w:rsidR="008216C5" w:rsidRDefault="003A4314">
            <w:pPr>
              <w:jc w:val="center"/>
              <w:rPr>
                <w:bCs/>
              </w:rPr>
            </w:pPr>
            <w:r>
              <w:rPr>
                <w:bCs/>
              </w:rPr>
              <w:t>20.0</w:t>
            </w:r>
          </w:p>
        </w:tc>
        <w:tc>
          <w:tcPr>
            <w:tcW w:w="1074" w:type="dxa"/>
            <w:shd w:val="clear" w:color="auto" w:fill="auto"/>
          </w:tcPr>
          <w:p w14:paraId="241658A9" w14:textId="77777777" w:rsidR="008216C5" w:rsidRDefault="003A4314">
            <w:pPr>
              <w:jc w:val="center"/>
              <w:rPr>
                <w:bCs/>
              </w:rPr>
            </w:pPr>
            <w:r>
              <w:rPr>
                <w:bCs/>
              </w:rPr>
              <w:t>25.8</w:t>
            </w:r>
          </w:p>
        </w:tc>
        <w:tc>
          <w:tcPr>
            <w:tcW w:w="1074" w:type="dxa"/>
            <w:shd w:val="clear" w:color="auto" w:fill="auto"/>
          </w:tcPr>
          <w:p w14:paraId="08540757" w14:textId="77777777" w:rsidR="008216C5" w:rsidRDefault="003A4314">
            <w:pPr>
              <w:jc w:val="center"/>
              <w:rPr>
                <w:bCs/>
              </w:rPr>
            </w:pPr>
            <w:r>
              <w:rPr>
                <w:bCs/>
              </w:rPr>
              <w:t>33.6</w:t>
            </w:r>
          </w:p>
        </w:tc>
        <w:tc>
          <w:tcPr>
            <w:tcW w:w="1074" w:type="dxa"/>
            <w:shd w:val="clear" w:color="auto" w:fill="auto"/>
          </w:tcPr>
          <w:p w14:paraId="1AAA5413" w14:textId="77777777" w:rsidR="008216C5" w:rsidRDefault="003A4314">
            <w:pPr>
              <w:jc w:val="center"/>
              <w:rPr>
                <w:bCs/>
              </w:rPr>
            </w:pPr>
            <w:r>
              <w:rPr>
                <w:bCs/>
              </w:rPr>
              <w:t>36.3</w:t>
            </w:r>
          </w:p>
        </w:tc>
      </w:tr>
      <w:tr w:rsidR="004552C9" w14:paraId="0D16CB00" w14:textId="77777777" w:rsidTr="00234986">
        <w:tc>
          <w:tcPr>
            <w:tcW w:w="1123" w:type="dxa"/>
            <w:shd w:val="clear" w:color="auto" w:fill="auto"/>
          </w:tcPr>
          <w:p w14:paraId="196BD4DF" w14:textId="77777777" w:rsidR="004552C9" w:rsidRDefault="00234986">
            <w:pPr>
              <w:jc w:val="center"/>
              <w:rPr>
                <w:bCs/>
              </w:rPr>
            </w:pPr>
            <w:r>
              <w:rPr>
                <w:bCs/>
              </w:rPr>
              <w:t>Hamilton</w:t>
            </w:r>
          </w:p>
        </w:tc>
        <w:tc>
          <w:tcPr>
            <w:tcW w:w="1417" w:type="dxa"/>
            <w:shd w:val="clear" w:color="auto" w:fill="auto"/>
          </w:tcPr>
          <w:p w14:paraId="58D22C74" w14:textId="77777777" w:rsidR="004552C9" w:rsidRDefault="00234986">
            <w:pPr>
              <w:jc w:val="center"/>
              <w:rPr>
                <w:bCs/>
              </w:rPr>
            </w:pPr>
            <w:r>
              <w:rPr>
                <w:bCs/>
              </w:rPr>
              <w:t>783,912</w:t>
            </w:r>
          </w:p>
        </w:tc>
        <w:tc>
          <w:tcPr>
            <w:tcW w:w="1074" w:type="dxa"/>
            <w:shd w:val="clear" w:color="auto" w:fill="auto"/>
          </w:tcPr>
          <w:p w14:paraId="120035E3" w14:textId="77777777" w:rsidR="004552C9" w:rsidRDefault="00234986">
            <w:pPr>
              <w:jc w:val="center"/>
              <w:rPr>
                <w:bCs/>
              </w:rPr>
            </w:pPr>
            <w:r>
              <w:rPr>
                <w:bCs/>
              </w:rPr>
              <w:t>17.1</w:t>
            </w:r>
          </w:p>
        </w:tc>
        <w:tc>
          <w:tcPr>
            <w:tcW w:w="1074" w:type="dxa"/>
            <w:shd w:val="clear" w:color="auto" w:fill="auto"/>
          </w:tcPr>
          <w:p w14:paraId="2D1FED7A" w14:textId="77777777" w:rsidR="004552C9" w:rsidRDefault="00234986">
            <w:pPr>
              <w:jc w:val="center"/>
              <w:rPr>
                <w:bCs/>
              </w:rPr>
            </w:pPr>
            <w:r>
              <w:rPr>
                <w:bCs/>
              </w:rPr>
              <w:t>21.3</w:t>
            </w:r>
          </w:p>
        </w:tc>
        <w:tc>
          <w:tcPr>
            <w:tcW w:w="1074" w:type="dxa"/>
            <w:shd w:val="clear" w:color="auto" w:fill="auto"/>
          </w:tcPr>
          <w:p w14:paraId="3CE63B03" w14:textId="77777777" w:rsidR="004552C9" w:rsidRDefault="00234986">
            <w:pPr>
              <w:jc w:val="center"/>
              <w:rPr>
                <w:bCs/>
              </w:rPr>
            </w:pPr>
            <w:r>
              <w:rPr>
                <w:bCs/>
              </w:rPr>
              <w:t>25.3</w:t>
            </w:r>
          </w:p>
        </w:tc>
        <w:tc>
          <w:tcPr>
            <w:tcW w:w="1074" w:type="dxa"/>
            <w:shd w:val="clear" w:color="auto" w:fill="auto"/>
          </w:tcPr>
          <w:p w14:paraId="6772A5D3" w14:textId="77777777" w:rsidR="004552C9" w:rsidRDefault="00234986">
            <w:pPr>
              <w:jc w:val="center"/>
              <w:rPr>
                <w:bCs/>
              </w:rPr>
            </w:pPr>
            <w:r>
              <w:rPr>
                <w:bCs/>
              </w:rPr>
              <w:t>30.9</w:t>
            </w:r>
          </w:p>
        </w:tc>
        <w:tc>
          <w:tcPr>
            <w:tcW w:w="1074" w:type="dxa"/>
            <w:shd w:val="clear" w:color="auto" w:fill="auto"/>
          </w:tcPr>
          <w:p w14:paraId="34507149" w14:textId="77777777" w:rsidR="004552C9" w:rsidRDefault="00234986">
            <w:pPr>
              <w:jc w:val="center"/>
              <w:rPr>
                <w:bCs/>
              </w:rPr>
            </w:pPr>
            <w:r>
              <w:rPr>
                <w:bCs/>
              </w:rPr>
              <w:t>33.2</w:t>
            </w:r>
          </w:p>
        </w:tc>
      </w:tr>
      <w:tr w:rsidR="008216C5" w14:paraId="2C802289" w14:textId="77777777" w:rsidTr="00234986">
        <w:tc>
          <w:tcPr>
            <w:tcW w:w="1123" w:type="dxa"/>
            <w:shd w:val="clear" w:color="auto" w:fill="auto"/>
          </w:tcPr>
          <w:p w14:paraId="3E766B6F" w14:textId="77777777" w:rsidR="008216C5" w:rsidRDefault="008216C5">
            <w:pPr>
              <w:jc w:val="center"/>
              <w:rPr>
                <w:bCs/>
              </w:rPr>
            </w:pPr>
            <w:r>
              <w:rPr>
                <w:bCs/>
              </w:rPr>
              <w:t>Highland</w:t>
            </w:r>
          </w:p>
        </w:tc>
        <w:tc>
          <w:tcPr>
            <w:tcW w:w="1417" w:type="dxa"/>
            <w:shd w:val="clear" w:color="auto" w:fill="auto"/>
          </w:tcPr>
          <w:p w14:paraId="60045026" w14:textId="77777777" w:rsidR="008216C5" w:rsidRDefault="003A4314">
            <w:pPr>
              <w:jc w:val="center"/>
              <w:rPr>
                <w:bCs/>
              </w:rPr>
            </w:pPr>
            <w:r>
              <w:rPr>
                <w:bCs/>
              </w:rPr>
              <w:t>42,859</w:t>
            </w:r>
          </w:p>
        </w:tc>
        <w:tc>
          <w:tcPr>
            <w:tcW w:w="1074" w:type="dxa"/>
            <w:shd w:val="clear" w:color="auto" w:fill="auto"/>
          </w:tcPr>
          <w:p w14:paraId="20839EF1" w14:textId="77777777" w:rsidR="008216C5" w:rsidRDefault="003A4314">
            <w:pPr>
              <w:jc w:val="center"/>
              <w:rPr>
                <w:bCs/>
              </w:rPr>
            </w:pPr>
            <w:r>
              <w:rPr>
                <w:bCs/>
              </w:rPr>
              <w:t>17.6</w:t>
            </w:r>
          </w:p>
        </w:tc>
        <w:tc>
          <w:tcPr>
            <w:tcW w:w="1074" w:type="dxa"/>
            <w:shd w:val="clear" w:color="auto" w:fill="auto"/>
          </w:tcPr>
          <w:p w14:paraId="747554EC" w14:textId="77777777" w:rsidR="008216C5" w:rsidRDefault="003A4314">
            <w:pPr>
              <w:jc w:val="center"/>
              <w:rPr>
                <w:bCs/>
              </w:rPr>
            </w:pPr>
            <w:r>
              <w:rPr>
                <w:bCs/>
              </w:rPr>
              <w:t>24.7</w:t>
            </w:r>
          </w:p>
        </w:tc>
        <w:tc>
          <w:tcPr>
            <w:tcW w:w="1074" w:type="dxa"/>
            <w:shd w:val="clear" w:color="auto" w:fill="auto"/>
          </w:tcPr>
          <w:p w14:paraId="5447C59D" w14:textId="77777777" w:rsidR="008216C5" w:rsidRDefault="003A4314">
            <w:pPr>
              <w:jc w:val="center"/>
              <w:rPr>
                <w:bCs/>
              </w:rPr>
            </w:pPr>
            <w:r>
              <w:rPr>
                <w:bCs/>
              </w:rPr>
              <w:t>31.9</w:t>
            </w:r>
          </w:p>
        </w:tc>
        <w:tc>
          <w:tcPr>
            <w:tcW w:w="1074" w:type="dxa"/>
            <w:shd w:val="clear" w:color="auto" w:fill="auto"/>
          </w:tcPr>
          <w:p w14:paraId="6074F6D1" w14:textId="77777777" w:rsidR="008216C5" w:rsidRDefault="003A4314">
            <w:pPr>
              <w:jc w:val="center"/>
              <w:rPr>
                <w:bCs/>
              </w:rPr>
            </w:pPr>
            <w:r>
              <w:rPr>
                <w:bCs/>
              </w:rPr>
              <w:t>41.5</w:t>
            </w:r>
          </w:p>
        </w:tc>
        <w:tc>
          <w:tcPr>
            <w:tcW w:w="1074" w:type="dxa"/>
            <w:shd w:val="clear" w:color="auto" w:fill="auto"/>
          </w:tcPr>
          <w:p w14:paraId="022DA784" w14:textId="77777777" w:rsidR="008216C5" w:rsidRDefault="003A4314">
            <w:pPr>
              <w:jc w:val="center"/>
              <w:rPr>
                <w:bCs/>
              </w:rPr>
            </w:pPr>
            <w:r>
              <w:rPr>
                <w:bCs/>
              </w:rPr>
              <w:t>44.2</w:t>
            </w:r>
          </w:p>
        </w:tc>
      </w:tr>
      <w:tr w:rsidR="008216C5" w14:paraId="66EFE1AE" w14:textId="77777777" w:rsidTr="00234986">
        <w:tc>
          <w:tcPr>
            <w:tcW w:w="1123" w:type="dxa"/>
            <w:shd w:val="clear" w:color="auto" w:fill="auto"/>
          </w:tcPr>
          <w:p w14:paraId="4AB9A25C" w14:textId="77777777" w:rsidR="008216C5" w:rsidRDefault="008216C5">
            <w:pPr>
              <w:jc w:val="center"/>
              <w:rPr>
                <w:bCs/>
              </w:rPr>
            </w:pPr>
            <w:r>
              <w:rPr>
                <w:bCs/>
              </w:rPr>
              <w:t>Montgomery</w:t>
            </w:r>
          </w:p>
        </w:tc>
        <w:tc>
          <w:tcPr>
            <w:tcW w:w="1417" w:type="dxa"/>
            <w:shd w:val="clear" w:color="auto" w:fill="auto"/>
          </w:tcPr>
          <w:p w14:paraId="4E9683EE" w14:textId="77777777" w:rsidR="008216C5" w:rsidRDefault="003A4314">
            <w:pPr>
              <w:jc w:val="center"/>
              <w:rPr>
                <w:bCs/>
              </w:rPr>
            </w:pPr>
            <w:r>
              <w:rPr>
                <w:bCs/>
              </w:rPr>
              <w:t>514,957</w:t>
            </w:r>
          </w:p>
        </w:tc>
        <w:tc>
          <w:tcPr>
            <w:tcW w:w="1074" w:type="dxa"/>
            <w:shd w:val="clear" w:color="auto" w:fill="auto"/>
          </w:tcPr>
          <w:p w14:paraId="7F501980" w14:textId="77777777" w:rsidR="008216C5" w:rsidRDefault="003A4314">
            <w:pPr>
              <w:jc w:val="center"/>
              <w:rPr>
                <w:bCs/>
              </w:rPr>
            </w:pPr>
            <w:r>
              <w:rPr>
                <w:bCs/>
              </w:rPr>
              <w:t>16.8</w:t>
            </w:r>
          </w:p>
        </w:tc>
        <w:tc>
          <w:tcPr>
            <w:tcW w:w="1074" w:type="dxa"/>
            <w:shd w:val="clear" w:color="auto" w:fill="auto"/>
          </w:tcPr>
          <w:p w14:paraId="3EEF2DC0" w14:textId="77777777" w:rsidR="008216C5" w:rsidRDefault="003A4314">
            <w:pPr>
              <w:jc w:val="center"/>
              <w:rPr>
                <w:bCs/>
              </w:rPr>
            </w:pPr>
            <w:r>
              <w:rPr>
                <w:bCs/>
              </w:rPr>
              <w:t>21.7</w:t>
            </w:r>
          </w:p>
        </w:tc>
        <w:tc>
          <w:tcPr>
            <w:tcW w:w="1074" w:type="dxa"/>
            <w:shd w:val="clear" w:color="auto" w:fill="auto"/>
          </w:tcPr>
          <w:p w14:paraId="78BAE81A" w14:textId="77777777" w:rsidR="008216C5" w:rsidRDefault="003A4314">
            <w:pPr>
              <w:jc w:val="center"/>
              <w:rPr>
                <w:bCs/>
              </w:rPr>
            </w:pPr>
            <w:r>
              <w:rPr>
                <w:bCs/>
              </w:rPr>
              <w:t>26.8</w:t>
            </w:r>
          </w:p>
        </w:tc>
        <w:tc>
          <w:tcPr>
            <w:tcW w:w="1074" w:type="dxa"/>
            <w:shd w:val="clear" w:color="auto" w:fill="auto"/>
          </w:tcPr>
          <w:p w14:paraId="356726FB" w14:textId="77777777" w:rsidR="008216C5" w:rsidRDefault="003A4314">
            <w:pPr>
              <w:jc w:val="center"/>
              <w:rPr>
                <w:bCs/>
              </w:rPr>
            </w:pPr>
            <w:r>
              <w:rPr>
                <w:bCs/>
              </w:rPr>
              <w:t>33.7</w:t>
            </w:r>
          </w:p>
        </w:tc>
        <w:tc>
          <w:tcPr>
            <w:tcW w:w="1074" w:type="dxa"/>
            <w:shd w:val="clear" w:color="auto" w:fill="auto"/>
          </w:tcPr>
          <w:p w14:paraId="514F36A3" w14:textId="77777777" w:rsidR="008216C5" w:rsidRDefault="003A4314">
            <w:pPr>
              <w:jc w:val="center"/>
              <w:rPr>
                <w:bCs/>
              </w:rPr>
            </w:pPr>
            <w:r>
              <w:rPr>
                <w:bCs/>
              </w:rPr>
              <w:t>36.5</w:t>
            </w:r>
          </w:p>
        </w:tc>
      </w:tr>
      <w:tr w:rsidR="004552C9" w14:paraId="0DFDA739" w14:textId="77777777" w:rsidTr="00234986">
        <w:tc>
          <w:tcPr>
            <w:tcW w:w="1123" w:type="dxa"/>
            <w:shd w:val="clear" w:color="auto" w:fill="auto"/>
          </w:tcPr>
          <w:p w14:paraId="1BB1C194" w14:textId="77777777" w:rsidR="004552C9" w:rsidRDefault="00234986">
            <w:pPr>
              <w:jc w:val="center"/>
              <w:rPr>
                <w:bCs/>
              </w:rPr>
            </w:pPr>
            <w:r>
              <w:rPr>
                <w:bCs/>
              </w:rPr>
              <w:t>Warren</w:t>
            </w:r>
          </w:p>
        </w:tc>
        <w:tc>
          <w:tcPr>
            <w:tcW w:w="1417" w:type="dxa"/>
            <w:shd w:val="clear" w:color="auto" w:fill="auto"/>
          </w:tcPr>
          <w:p w14:paraId="0D5C1DCA" w14:textId="77777777" w:rsidR="004552C9" w:rsidRDefault="00234986">
            <w:pPr>
              <w:jc w:val="center"/>
              <w:rPr>
                <w:bCs/>
              </w:rPr>
            </w:pPr>
            <w:r>
              <w:rPr>
                <w:bCs/>
              </w:rPr>
              <w:t>207,350</w:t>
            </w:r>
          </w:p>
        </w:tc>
        <w:tc>
          <w:tcPr>
            <w:tcW w:w="1074" w:type="dxa"/>
            <w:shd w:val="clear" w:color="auto" w:fill="auto"/>
          </w:tcPr>
          <w:p w14:paraId="21EF8BC0" w14:textId="77777777" w:rsidR="004552C9" w:rsidRDefault="00234986">
            <w:pPr>
              <w:jc w:val="center"/>
              <w:rPr>
                <w:bCs/>
              </w:rPr>
            </w:pPr>
            <w:r>
              <w:rPr>
                <w:bCs/>
              </w:rPr>
              <w:t>6.4</w:t>
            </w:r>
          </w:p>
        </w:tc>
        <w:tc>
          <w:tcPr>
            <w:tcW w:w="1074" w:type="dxa"/>
            <w:shd w:val="clear" w:color="auto" w:fill="auto"/>
          </w:tcPr>
          <w:p w14:paraId="7DD11585" w14:textId="77777777" w:rsidR="004552C9" w:rsidRDefault="00234986">
            <w:pPr>
              <w:jc w:val="center"/>
              <w:rPr>
                <w:bCs/>
              </w:rPr>
            </w:pPr>
            <w:r>
              <w:rPr>
                <w:bCs/>
              </w:rPr>
              <w:t>8.8</w:t>
            </w:r>
          </w:p>
        </w:tc>
        <w:tc>
          <w:tcPr>
            <w:tcW w:w="1074" w:type="dxa"/>
            <w:shd w:val="clear" w:color="auto" w:fill="auto"/>
          </w:tcPr>
          <w:p w14:paraId="5933882D" w14:textId="77777777" w:rsidR="004552C9" w:rsidRDefault="00234986">
            <w:pPr>
              <w:jc w:val="center"/>
              <w:rPr>
                <w:bCs/>
              </w:rPr>
            </w:pPr>
            <w:r>
              <w:rPr>
                <w:bCs/>
              </w:rPr>
              <w:t>11.4</w:t>
            </w:r>
          </w:p>
        </w:tc>
        <w:tc>
          <w:tcPr>
            <w:tcW w:w="1074" w:type="dxa"/>
            <w:shd w:val="clear" w:color="auto" w:fill="auto"/>
          </w:tcPr>
          <w:p w14:paraId="28FBFFBD" w14:textId="77777777" w:rsidR="004552C9" w:rsidRDefault="00234986">
            <w:pPr>
              <w:jc w:val="center"/>
              <w:rPr>
                <w:bCs/>
              </w:rPr>
            </w:pPr>
            <w:r>
              <w:rPr>
                <w:bCs/>
              </w:rPr>
              <w:t>15.5</w:t>
            </w:r>
          </w:p>
        </w:tc>
        <w:tc>
          <w:tcPr>
            <w:tcW w:w="1074" w:type="dxa"/>
            <w:shd w:val="clear" w:color="auto" w:fill="auto"/>
          </w:tcPr>
          <w:p w14:paraId="668EC3E2" w14:textId="77777777" w:rsidR="004552C9" w:rsidRDefault="00234986">
            <w:pPr>
              <w:jc w:val="center"/>
              <w:rPr>
                <w:bCs/>
              </w:rPr>
            </w:pPr>
            <w:r>
              <w:rPr>
                <w:bCs/>
              </w:rPr>
              <w:t>17.1</w:t>
            </w:r>
          </w:p>
        </w:tc>
      </w:tr>
    </w:tbl>
    <w:p w14:paraId="5704DB52" w14:textId="77777777" w:rsidR="004552C9" w:rsidRDefault="009E752A">
      <w:pPr>
        <w:spacing w:line="480" w:lineRule="auto"/>
        <w:ind w:left="720" w:hanging="720"/>
        <w:jc w:val="center"/>
        <w:rPr>
          <w:bCs/>
        </w:rPr>
      </w:pPr>
      <w:r>
        <w:rPr>
          <w:bCs/>
        </w:rPr>
        <w:t xml:space="preserve">  </w:t>
      </w:r>
    </w:p>
    <w:p w14:paraId="33A3F538" w14:textId="215AF9F7" w:rsidR="00B8057D" w:rsidRDefault="009E752A" w:rsidP="006E02AE">
      <w:pPr>
        <w:spacing w:line="480" w:lineRule="auto"/>
        <w:ind w:left="720"/>
        <w:rPr>
          <w:bCs/>
        </w:rPr>
      </w:pPr>
      <w:r>
        <w:rPr>
          <w:bCs/>
        </w:rPr>
        <w:t>As can be seen in Table 1, a significant number of Ohioans liv</w:t>
      </w:r>
      <w:r w:rsidR="00893625">
        <w:rPr>
          <w:bCs/>
        </w:rPr>
        <w:t>ing</w:t>
      </w:r>
      <w:r w:rsidR="00234986">
        <w:rPr>
          <w:bCs/>
        </w:rPr>
        <w:t xml:space="preserve"> </w:t>
      </w:r>
      <w:r>
        <w:rPr>
          <w:bCs/>
        </w:rPr>
        <w:t>in counties</w:t>
      </w:r>
      <w:r w:rsidR="00893625">
        <w:rPr>
          <w:bCs/>
        </w:rPr>
        <w:t xml:space="preserve"> </w:t>
      </w:r>
      <w:r>
        <w:rPr>
          <w:bCs/>
        </w:rPr>
        <w:t xml:space="preserve">served by </w:t>
      </w:r>
      <w:r w:rsidR="00234986">
        <w:rPr>
          <w:bCs/>
        </w:rPr>
        <w:t>D</w:t>
      </w:r>
      <w:r w:rsidR="00FC6AED">
        <w:rPr>
          <w:bCs/>
        </w:rPr>
        <w:t>uke</w:t>
      </w:r>
      <w:r w:rsidR="00234986">
        <w:rPr>
          <w:bCs/>
        </w:rPr>
        <w:t xml:space="preserve"> </w:t>
      </w:r>
      <w:r>
        <w:rPr>
          <w:bCs/>
        </w:rPr>
        <w:t xml:space="preserve">have incomes that are close to the poverty level.  </w:t>
      </w:r>
      <w:r w:rsidR="00C91EB2">
        <w:rPr>
          <w:bCs/>
        </w:rPr>
        <w:t>A third of the population of Hamilton County is designated as close to the poverty level.  For the second largest county served by D</w:t>
      </w:r>
      <w:r w:rsidR="00FC6AED">
        <w:rPr>
          <w:bCs/>
        </w:rPr>
        <w:t>uke</w:t>
      </w:r>
      <w:r w:rsidR="00C91EB2">
        <w:rPr>
          <w:bCs/>
        </w:rPr>
        <w:t xml:space="preserve"> (</w:t>
      </w:r>
      <w:r w:rsidR="003A4314">
        <w:rPr>
          <w:bCs/>
        </w:rPr>
        <w:t xml:space="preserve">Montgomery </w:t>
      </w:r>
      <w:r w:rsidR="00C91EB2">
        <w:rPr>
          <w:bCs/>
        </w:rPr>
        <w:t xml:space="preserve">County), </w:t>
      </w:r>
      <w:r w:rsidR="003A4314">
        <w:rPr>
          <w:bCs/>
        </w:rPr>
        <w:t>36.5</w:t>
      </w:r>
      <w:r w:rsidR="00C91EB2">
        <w:rPr>
          <w:bCs/>
        </w:rPr>
        <w:t xml:space="preserve"> percent of the population is designated close to poverty level.  </w:t>
      </w:r>
      <w:r>
        <w:rPr>
          <w:bCs/>
        </w:rPr>
        <w:t xml:space="preserve">While the incomes of </w:t>
      </w:r>
      <w:r w:rsidR="00C91EB2">
        <w:rPr>
          <w:bCs/>
        </w:rPr>
        <w:t xml:space="preserve">some of </w:t>
      </w:r>
      <w:r>
        <w:rPr>
          <w:bCs/>
        </w:rPr>
        <w:t xml:space="preserve">these Ohioans may be slightly above the federal poverty level, these </w:t>
      </w:r>
      <w:r w:rsidR="00FC6AED">
        <w:rPr>
          <w:bCs/>
        </w:rPr>
        <w:t>individuals</w:t>
      </w:r>
      <w:r>
        <w:rPr>
          <w:bCs/>
        </w:rPr>
        <w:t xml:space="preserve"> are already facing significant drains on their incomes for basic living expenses such as shelter, food, transportation, health and safety.  Increases in the cost of electric service have to be absorbed in budgets that are already stretched thin.  There is no indica</w:t>
      </w:r>
      <w:r w:rsidR="00470F27">
        <w:rPr>
          <w:bCs/>
        </w:rPr>
        <w:t>tion in the ESP III Application</w:t>
      </w:r>
      <w:r>
        <w:rPr>
          <w:bCs/>
        </w:rPr>
        <w:t xml:space="preserve"> that </w:t>
      </w:r>
      <w:r w:rsidR="00C91EB2">
        <w:rPr>
          <w:bCs/>
        </w:rPr>
        <w:t>D</w:t>
      </w:r>
      <w:r w:rsidR="00FC6AED">
        <w:rPr>
          <w:bCs/>
        </w:rPr>
        <w:t>uke</w:t>
      </w:r>
      <w:r w:rsidR="00C91EB2">
        <w:rPr>
          <w:bCs/>
        </w:rPr>
        <w:t xml:space="preserve"> </w:t>
      </w:r>
      <w:r w:rsidR="00FC6AED">
        <w:rPr>
          <w:bCs/>
        </w:rPr>
        <w:t xml:space="preserve">took steps to </w:t>
      </w:r>
      <w:r>
        <w:rPr>
          <w:bCs/>
        </w:rPr>
        <w:t xml:space="preserve">moderate the financial impact of the proposed </w:t>
      </w:r>
      <w:r w:rsidR="006E02AE">
        <w:rPr>
          <w:bCs/>
        </w:rPr>
        <w:t>ESP on this at-risk population.</w:t>
      </w:r>
    </w:p>
    <w:p w14:paraId="4E78E984" w14:textId="77777777" w:rsidR="00B8057D" w:rsidRDefault="00B8057D" w:rsidP="00F95936">
      <w:pPr>
        <w:spacing w:line="480" w:lineRule="auto"/>
        <w:ind w:left="720" w:hanging="720"/>
        <w:rPr>
          <w:bCs/>
        </w:rPr>
      </w:pPr>
    </w:p>
    <w:p w14:paraId="7D05D000" w14:textId="77777777" w:rsidR="004552C9" w:rsidRPr="005500F6" w:rsidRDefault="009E752A">
      <w:pPr>
        <w:spacing w:line="480" w:lineRule="auto"/>
        <w:ind w:left="720" w:hanging="720"/>
        <w:rPr>
          <w:b/>
          <w:bCs/>
          <w:i/>
        </w:rPr>
      </w:pPr>
      <w:r w:rsidRPr="00F95936">
        <w:rPr>
          <w:b/>
          <w:bCs/>
          <w:i/>
        </w:rPr>
        <w:t>Q</w:t>
      </w:r>
      <w:r w:rsidR="00E9652B">
        <w:rPr>
          <w:b/>
          <w:bCs/>
          <w:i/>
        </w:rPr>
        <w:t>9</w:t>
      </w:r>
      <w:r w:rsidRPr="00F95936">
        <w:rPr>
          <w:b/>
          <w:bCs/>
          <w:i/>
        </w:rPr>
        <w:t>.</w:t>
      </w:r>
      <w:r>
        <w:rPr>
          <w:b/>
          <w:bCs/>
        </w:rPr>
        <w:tab/>
      </w:r>
      <w:r w:rsidRPr="005500F6">
        <w:rPr>
          <w:b/>
          <w:bCs/>
          <w:i/>
        </w:rPr>
        <w:t>H</w:t>
      </w:r>
      <w:r w:rsidR="00AB0BF9">
        <w:rPr>
          <w:b/>
          <w:bCs/>
          <w:i/>
        </w:rPr>
        <w:t>AVE INCREASES IN D</w:t>
      </w:r>
      <w:r w:rsidR="00FC6AED">
        <w:rPr>
          <w:b/>
          <w:bCs/>
          <w:i/>
        </w:rPr>
        <w:t>UKE’S CUSTOMERS’</w:t>
      </w:r>
      <w:r w:rsidR="00AB0BF9">
        <w:rPr>
          <w:b/>
          <w:bCs/>
          <w:i/>
        </w:rPr>
        <w:t xml:space="preserve"> ELECTRIC BILLS </w:t>
      </w:r>
      <w:r w:rsidR="002B38A2">
        <w:rPr>
          <w:b/>
          <w:bCs/>
          <w:i/>
        </w:rPr>
        <w:t xml:space="preserve">REMAINED </w:t>
      </w:r>
      <w:r w:rsidR="00AB0BF9">
        <w:rPr>
          <w:b/>
          <w:bCs/>
          <w:i/>
        </w:rPr>
        <w:t xml:space="preserve">CONSISTENT WITH INCREASES IN INFLATION </w:t>
      </w:r>
      <w:r w:rsidRPr="005500F6">
        <w:rPr>
          <w:b/>
          <w:bCs/>
          <w:i/>
        </w:rPr>
        <w:t>OVER THE LAST DECADE.</w:t>
      </w:r>
    </w:p>
    <w:p w14:paraId="7C789AC3" w14:textId="6F0E3ED4" w:rsidR="006E02AE" w:rsidRDefault="009E752A" w:rsidP="006E02AE">
      <w:pPr>
        <w:spacing w:line="480" w:lineRule="auto"/>
        <w:ind w:left="720" w:hanging="720"/>
        <w:rPr>
          <w:b/>
          <w:bCs/>
          <w:i/>
        </w:rPr>
      </w:pPr>
      <w:r w:rsidRPr="00F95936">
        <w:rPr>
          <w:b/>
          <w:bCs/>
          <w:i/>
        </w:rPr>
        <w:t>A</w:t>
      </w:r>
      <w:r w:rsidR="00E9652B">
        <w:rPr>
          <w:b/>
          <w:bCs/>
          <w:i/>
        </w:rPr>
        <w:t>9</w:t>
      </w:r>
      <w:r w:rsidRPr="00F95936">
        <w:rPr>
          <w:bCs/>
          <w:i/>
        </w:rPr>
        <w:t>.</w:t>
      </w:r>
      <w:r>
        <w:rPr>
          <w:bCs/>
        </w:rPr>
        <w:tab/>
      </w:r>
      <w:r w:rsidR="00AB0BF9">
        <w:rPr>
          <w:bCs/>
        </w:rPr>
        <w:t>No.  D</w:t>
      </w:r>
      <w:r w:rsidR="00FC6AED">
        <w:rPr>
          <w:bCs/>
        </w:rPr>
        <w:t>uke’s customers’ electric</w:t>
      </w:r>
      <w:r w:rsidR="00AB0BF9">
        <w:rPr>
          <w:bCs/>
        </w:rPr>
        <w:t xml:space="preserve"> bills have increased at a level of twice the rate of inflation over the last decade.  </w:t>
      </w:r>
      <w:r w:rsidR="00775BDB">
        <w:rPr>
          <w:bCs/>
        </w:rPr>
        <w:t>In July 2014, a</w:t>
      </w:r>
      <w:r w:rsidR="00AB0BF9">
        <w:rPr>
          <w:bCs/>
        </w:rPr>
        <w:t xml:space="preserve"> residential customer bill </w:t>
      </w:r>
      <w:r w:rsidR="00775BDB">
        <w:rPr>
          <w:bCs/>
        </w:rPr>
        <w:t>(</w:t>
      </w:r>
      <w:r w:rsidR="00FC6AED">
        <w:rPr>
          <w:bCs/>
        </w:rPr>
        <w:t>based on</w:t>
      </w:r>
      <w:r w:rsidR="00AB0BF9">
        <w:rPr>
          <w:bCs/>
        </w:rPr>
        <w:t xml:space="preserve"> 750 KWH</w:t>
      </w:r>
      <w:r w:rsidR="00775BDB">
        <w:rPr>
          <w:bCs/>
        </w:rPr>
        <w:t>)</w:t>
      </w:r>
      <w:r w:rsidR="00AB0BF9">
        <w:rPr>
          <w:bCs/>
        </w:rPr>
        <w:t xml:space="preserve"> is $93.82</w:t>
      </w:r>
      <w:r w:rsidR="00775BDB">
        <w:rPr>
          <w:bCs/>
        </w:rPr>
        <w:t>.</w:t>
      </w:r>
      <w:r w:rsidR="00E9652B">
        <w:rPr>
          <w:rStyle w:val="FootnoteReference"/>
          <w:bCs/>
        </w:rPr>
        <w:footnoteReference w:id="15"/>
      </w:r>
      <w:r w:rsidR="00775BDB">
        <w:rPr>
          <w:bCs/>
        </w:rPr>
        <w:t xml:space="preserve">  In July 2004, a residential customer bill (</w:t>
      </w:r>
      <w:r w:rsidR="00FC6AED">
        <w:rPr>
          <w:bCs/>
        </w:rPr>
        <w:t>based on</w:t>
      </w:r>
      <w:r w:rsidR="00775BDB">
        <w:rPr>
          <w:bCs/>
        </w:rPr>
        <w:t xml:space="preserve"> 750 KWH) was $60.71.</w:t>
      </w:r>
      <w:r w:rsidR="00E9652B">
        <w:rPr>
          <w:rStyle w:val="FootnoteReference"/>
          <w:bCs/>
        </w:rPr>
        <w:footnoteReference w:id="16"/>
      </w:r>
      <w:r w:rsidR="00775BDB">
        <w:rPr>
          <w:bCs/>
        </w:rPr>
        <w:t xml:space="preserve">  Therefore, </w:t>
      </w:r>
      <w:r w:rsidR="00930F4C">
        <w:rPr>
          <w:bCs/>
        </w:rPr>
        <w:t xml:space="preserve">Duke’s </w:t>
      </w:r>
      <w:r w:rsidR="00775BDB">
        <w:rPr>
          <w:bCs/>
        </w:rPr>
        <w:t>customer</w:t>
      </w:r>
      <w:r w:rsidR="00930F4C">
        <w:rPr>
          <w:bCs/>
        </w:rPr>
        <w:t>s’</w:t>
      </w:r>
      <w:r w:rsidR="00775BDB">
        <w:rPr>
          <w:bCs/>
        </w:rPr>
        <w:t xml:space="preserve"> electric bills</w:t>
      </w:r>
      <w:r w:rsidR="002B38A2">
        <w:rPr>
          <w:bCs/>
        </w:rPr>
        <w:t xml:space="preserve"> have increased by </w:t>
      </w:r>
      <w:r w:rsidR="00775BDB">
        <w:rPr>
          <w:bCs/>
        </w:rPr>
        <w:t xml:space="preserve">54.5 percent </w:t>
      </w:r>
      <w:r w:rsidR="002B38A2">
        <w:rPr>
          <w:bCs/>
        </w:rPr>
        <w:t xml:space="preserve">in just the last </w:t>
      </w:r>
      <w:r w:rsidR="00775BDB">
        <w:rPr>
          <w:bCs/>
        </w:rPr>
        <w:t>ten years</w:t>
      </w:r>
      <w:r w:rsidR="002B38A2">
        <w:rPr>
          <w:bCs/>
        </w:rPr>
        <w:t xml:space="preserve">.  </w:t>
      </w:r>
      <w:r w:rsidR="00FC6AED">
        <w:rPr>
          <w:bCs/>
        </w:rPr>
        <w:t>In contrast</w:t>
      </w:r>
      <w:r w:rsidR="002B38A2">
        <w:rPr>
          <w:bCs/>
        </w:rPr>
        <w:t>, the cumulative rate of inflation increased by only 26.1 percent during the same ten years.</w:t>
      </w:r>
      <w:r w:rsidR="002B38A2">
        <w:rPr>
          <w:rStyle w:val="FootnoteReference"/>
          <w:bCs/>
        </w:rPr>
        <w:footnoteReference w:id="17"/>
      </w:r>
      <w:r w:rsidR="002B38A2">
        <w:rPr>
          <w:bCs/>
        </w:rPr>
        <w:t xml:space="preserve">  </w:t>
      </w:r>
      <w:r w:rsidR="00E66E14">
        <w:rPr>
          <w:bCs/>
        </w:rPr>
        <w:t>Had D</w:t>
      </w:r>
      <w:r w:rsidR="00FC6AED">
        <w:rPr>
          <w:bCs/>
        </w:rPr>
        <w:t>uke’s</w:t>
      </w:r>
      <w:r w:rsidR="00E66E14">
        <w:rPr>
          <w:bCs/>
        </w:rPr>
        <w:t xml:space="preserve"> rate increases remained consistent with </w:t>
      </w:r>
      <w:r w:rsidR="00E24B9F">
        <w:rPr>
          <w:bCs/>
        </w:rPr>
        <w:t xml:space="preserve">the </w:t>
      </w:r>
      <w:r w:rsidR="00E66E14">
        <w:rPr>
          <w:bCs/>
        </w:rPr>
        <w:t>inflation</w:t>
      </w:r>
      <w:r w:rsidR="00E24B9F">
        <w:rPr>
          <w:bCs/>
        </w:rPr>
        <w:t xml:space="preserve"> rates</w:t>
      </w:r>
      <w:r w:rsidR="00E66E14">
        <w:rPr>
          <w:bCs/>
        </w:rPr>
        <w:t xml:space="preserve">, the July 2014 bill would have been $76.57 </w:t>
      </w:r>
      <w:r w:rsidR="00FC6AED">
        <w:rPr>
          <w:bCs/>
        </w:rPr>
        <w:t>instead of</w:t>
      </w:r>
      <w:r w:rsidR="00E66E14">
        <w:rPr>
          <w:bCs/>
        </w:rPr>
        <w:t xml:space="preserve"> $93.82.  This example further demonstrates the </w:t>
      </w:r>
      <w:r w:rsidR="00DE71D6">
        <w:rPr>
          <w:bCs/>
        </w:rPr>
        <w:t xml:space="preserve">negative </w:t>
      </w:r>
      <w:r w:rsidR="00E66E14">
        <w:rPr>
          <w:bCs/>
        </w:rPr>
        <w:t>impact that D</w:t>
      </w:r>
      <w:r w:rsidR="00FC6AED">
        <w:rPr>
          <w:bCs/>
        </w:rPr>
        <w:t>uke’s</w:t>
      </w:r>
      <w:r w:rsidR="00E66E14">
        <w:rPr>
          <w:bCs/>
        </w:rPr>
        <w:t xml:space="preserve"> electric </w:t>
      </w:r>
      <w:r w:rsidR="00FC6AED">
        <w:rPr>
          <w:bCs/>
        </w:rPr>
        <w:t>rates</w:t>
      </w:r>
      <w:r w:rsidR="00E66E14">
        <w:rPr>
          <w:bCs/>
        </w:rPr>
        <w:t xml:space="preserve"> are having on the at-risk populations.</w:t>
      </w:r>
      <w:r w:rsidR="006E02AE">
        <w:rPr>
          <w:b/>
          <w:bCs/>
          <w:i/>
        </w:rPr>
        <w:br w:type="page"/>
      </w:r>
    </w:p>
    <w:p w14:paraId="2334DFB3" w14:textId="20912D03" w:rsidR="004552C9" w:rsidRDefault="009E752A">
      <w:pPr>
        <w:spacing w:line="480" w:lineRule="auto"/>
        <w:ind w:left="720" w:hanging="720"/>
        <w:rPr>
          <w:b/>
          <w:bCs/>
        </w:rPr>
      </w:pPr>
      <w:r w:rsidRPr="00F95936">
        <w:rPr>
          <w:b/>
          <w:bCs/>
          <w:i/>
        </w:rPr>
        <w:t>Q1</w:t>
      </w:r>
      <w:r w:rsidR="00E9652B">
        <w:rPr>
          <w:b/>
          <w:bCs/>
          <w:i/>
        </w:rPr>
        <w:t>0</w:t>
      </w:r>
      <w:r w:rsidRPr="00F95936">
        <w:rPr>
          <w:b/>
          <w:bCs/>
          <w:i/>
        </w:rPr>
        <w:t>.</w:t>
      </w:r>
      <w:r>
        <w:rPr>
          <w:b/>
          <w:bCs/>
        </w:rPr>
        <w:tab/>
      </w:r>
      <w:r w:rsidRPr="005500F6">
        <w:rPr>
          <w:b/>
          <w:bCs/>
          <w:i/>
        </w:rPr>
        <w:t xml:space="preserve">ARE THERE OTHER INDICATIONS THAT AFFORDABILITY OF RETAIL ELECTRIC SERVICE FOR RESIDENTIAL CUSTOMERS IN </w:t>
      </w:r>
      <w:r w:rsidR="009A70A4">
        <w:rPr>
          <w:b/>
          <w:bCs/>
          <w:i/>
        </w:rPr>
        <w:t>DUKE</w:t>
      </w:r>
      <w:r w:rsidRPr="005500F6">
        <w:rPr>
          <w:b/>
          <w:bCs/>
          <w:i/>
        </w:rPr>
        <w:t>’S SERVICE TERRITORY IS AN ISSUE THAT</w:t>
      </w:r>
      <w:r w:rsidR="00E66E14">
        <w:rPr>
          <w:b/>
          <w:bCs/>
          <w:i/>
        </w:rPr>
        <w:t xml:space="preserve"> </w:t>
      </w:r>
      <w:r w:rsidR="00A17EFD">
        <w:rPr>
          <w:b/>
          <w:bCs/>
          <w:i/>
        </w:rPr>
        <w:t xml:space="preserve">SHOULD BE </w:t>
      </w:r>
      <w:r w:rsidR="00E66E14">
        <w:rPr>
          <w:b/>
          <w:bCs/>
          <w:i/>
        </w:rPr>
        <w:t>CONSIDERED IN DETERMINING RATES IN THIS CASE</w:t>
      </w:r>
      <w:r w:rsidRPr="005500F6">
        <w:rPr>
          <w:b/>
          <w:bCs/>
          <w:i/>
        </w:rPr>
        <w:t>?</w:t>
      </w:r>
    </w:p>
    <w:p w14:paraId="3E768B27" w14:textId="08A2C1EF" w:rsidR="00930F4C" w:rsidRDefault="009E752A">
      <w:pPr>
        <w:spacing w:line="480" w:lineRule="auto"/>
        <w:ind w:left="720" w:hanging="720"/>
      </w:pPr>
      <w:r w:rsidRPr="00F95936">
        <w:rPr>
          <w:b/>
          <w:i/>
        </w:rPr>
        <w:t>A1</w:t>
      </w:r>
      <w:r w:rsidR="00E9652B">
        <w:rPr>
          <w:b/>
          <w:i/>
        </w:rPr>
        <w:t>0</w:t>
      </w:r>
      <w:r w:rsidRPr="00F95936">
        <w:rPr>
          <w:b/>
          <w:i/>
        </w:rPr>
        <w:t>.</w:t>
      </w:r>
      <w:r w:rsidRPr="00F95936">
        <w:rPr>
          <w:i/>
        </w:rPr>
        <w:tab/>
      </w:r>
      <w:r>
        <w:t xml:space="preserve">Yes.  As can be seen on Table </w:t>
      </w:r>
      <w:r w:rsidR="008656AE">
        <w:t>2</w:t>
      </w:r>
      <w:r>
        <w:t xml:space="preserve"> below, a significant number of </w:t>
      </w:r>
      <w:r w:rsidR="008656AE">
        <w:t>D</w:t>
      </w:r>
      <w:r w:rsidR="00716DC3">
        <w:t>uke’s</w:t>
      </w:r>
      <w:r w:rsidR="008656AE">
        <w:t xml:space="preserve"> </w:t>
      </w:r>
      <w:r>
        <w:t xml:space="preserve">residential customers are already struggling to afford electric service under existing ESP II rates.  The proposed </w:t>
      </w:r>
      <w:r w:rsidR="004718B7">
        <w:t>rates under</w:t>
      </w:r>
      <w:r w:rsidR="008656AE">
        <w:t xml:space="preserve"> D</w:t>
      </w:r>
      <w:r w:rsidR="00716DC3">
        <w:t>uke’s</w:t>
      </w:r>
      <w:r w:rsidR="008656AE">
        <w:t xml:space="preserve"> </w:t>
      </w:r>
      <w:r>
        <w:t>ESP III Application will cause customers’ rates to increase even more.</w:t>
      </w:r>
    </w:p>
    <w:p w14:paraId="64C53713" w14:textId="77777777" w:rsidR="00930F4C" w:rsidRDefault="00930F4C">
      <w:pPr>
        <w:spacing w:line="480" w:lineRule="auto"/>
        <w:ind w:left="720" w:hanging="720"/>
      </w:pPr>
    </w:p>
    <w:p w14:paraId="7CDEC0EB" w14:textId="795F0AEC" w:rsidR="00A94AFC" w:rsidRDefault="009E752A" w:rsidP="002D0DCD">
      <w:pPr>
        <w:spacing w:line="480" w:lineRule="auto"/>
        <w:ind w:left="720"/>
      </w:pPr>
      <w:r>
        <w:t xml:space="preserve">Table </w:t>
      </w:r>
      <w:r w:rsidR="008656AE">
        <w:t>2</w:t>
      </w:r>
      <w:r>
        <w:t xml:space="preserve"> provides a summary based on 2013 data of the number of </w:t>
      </w:r>
      <w:r w:rsidR="008656AE">
        <w:t>D</w:t>
      </w:r>
      <w:r w:rsidR="00716DC3">
        <w:t>uke’s</w:t>
      </w:r>
      <w:r w:rsidR="008656AE">
        <w:t xml:space="preserve"> </w:t>
      </w:r>
      <w:r>
        <w:t xml:space="preserve">customers who were disconnected for non-payment, customers on the low-income Percentage Income Payment Plan (“PIPP”) Plus, </w:t>
      </w:r>
      <w:r w:rsidR="009E61ED">
        <w:t xml:space="preserve">and </w:t>
      </w:r>
      <w:r>
        <w:t>the average number of customers on a monthly basis who were on another payment plan compared with 2011</w:t>
      </w:r>
      <w:r w:rsidR="008656AE">
        <w:t xml:space="preserve"> when the rates for the D</w:t>
      </w:r>
      <w:r w:rsidR="00716DC3">
        <w:t>uke</w:t>
      </w:r>
      <w:r w:rsidR="008656AE">
        <w:t xml:space="preserve"> ESP II went into effect.</w:t>
      </w:r>
      <w:r w:rsidR="008656AE">
        <w:rPr>
          <w:rStyle w:val="FootnoteReference"/>
        </w:rPr>
        <w:footnoteReference w:id="18"/>
      </w:r>
      <w:r w:rsidR="008656AE">
        <w:t xml:space="preserve">  </w:t>
      </w:r>
      <w:r>
        <w:t xml:space="preserve">I define these customers as part of the at-risk population </w:t>
      </w:r>
      <w:r w:rsidR="00DE71D6">
        <w:t xml:space="preserve">under </w:t>
      </w:r>
      <w:r>
        <w:t>the statute</w:t>
      </w:r>
      <w:r w:rsidR="00B01162">
        <w:t xml:space="preserve">, </w:t>
      </w:r>
      <w:r w:rsidR="004C38A7">
        <w:t>R.</w:t>
      </w:r>
      <w:r w:rsidR="003341F0">
        <w:t>C</w:t>
      </w:r>
      <w:r w:rsidR="004C38A7">
        <w:t>.</w:t>
      </w:r>
      <w:r w:rsidR="003341F0">
        <w:t xml:space="preserve"> 4928.02(L)</w:t>
      </w:r>
      <w:r w:rsidR="00DE71D6">
        <w:t>.</w:t>
      </w:r>
    </w:p>
    <w:p w14:paraId="089C0297" w14:textId="77777777" w:rsidR="00045DDA" w:rsidRDefault="00045DDA">
      <w:pPr>
        <w:spacing w:line="480" w:lineRule="auto"/>
        <w:ind w:left="720" w:hanging="720"/>
      </w:pPr>
    </w:p>
    <w:p w14:paraId="4A75B163" w14:textId="77777777" w:rsidR="00B8057D" w:rsidRDefault="003341F0" w:rsidP="00045DDA">
      <w:pPr>
        <w:spacing w:line="480" w:lineRule="auto"/>
        <w:ind w:left="720"/>
      </w:pPr>
      <w:r>
        <w:t xml:space="preserve">To </w:t>
      </w:r>
      <w:r w:rsidR="009E752A">
        <w:t>qualify for PIPP Plus, customers must have a household income not exceeding 150 percent of the Federal Poverty Guidelines.</w:t>
      </w:r>
      <w:r w:rsidR="009E752A">
        <w:rPr>
          <w:rStyle w:val="FootnoteReference"/>
        </w:rPr>
        <w:footnoteReference w:id="19"/>
      </w:r>
      <w:r w:rsidR="009E752A">
        <w:t xml:space="preserve">  Rather than paying the actual bill, PIPP Plus customers </w:t>
      </w:r>
      <w:r w:rsidR="00A34485">
        <w:t xml:space="preserve">are billed </w:t>
      </w:r>
      <w:r w:rsidR="009E61ED">
        <w:t xml:space="preserve">six </w:t>
      </w:r>
      <w:r w:rsidR="009E752A">
        <w:t>percent of their monthly household income for electric</w:t>
      </w:r>
      <w:r w:rsidR="00A94AFC">
        <w:t>ity</w:t>
      </w:r>
      <w:r w:rsidR="009E752A">
        <w:t xml:space="preserve"> (ten percent if all-electric), and the difference from the actual bill accrues as an arrearage.</w:t>
      </w:r>
      <w:r w:rsidR="009E752A">
        <w:rPr>
          <w:rStyle w:val="FootnoteReference"/>
        </w:rPr>
        <w:footnoteReference w:id="20"/>
      </w:r>
      <w:r w:rsidR="009E752A">
        <w:t xml:space="preserve">  Customers who have household incomes that exceed the PIPP guidelines can apply for another payment plan such as the one-ninth, one-sixth, and one-third payment plans set forth in Ohi</w:t>
      </w:r>
      <w:r w:rsidR="00B8057D">
        <w:t>o Admin. Code 4901:1-18-05(B).</w:t>
      </w:r>
    </w:p>
    <w:p w14:paraId="263303F6" w14:textId="77777777" w:rsidR="004552C9" w:rsidRDefault="009E752A" w:rsidP="005E33D9">
      <w:pPr>
        <w:spacing w:line="480" w:lineRule="auto"/>
        <w:ind w:left="720" w:hanging="720"/>
        <w:jc w:val="center"/>
        <w:rPr>
          <w:b/>
          <w:bCs/>
        </w:rPr>
      </w:pPr>
      <w:r>
        <w:rPr>
          <w:b/>
          <w:bCs/>
        </w:rPr>
        <w:t xml:space="preserve">Table </w:t>
      </w:r>
      <w:r w:rsidR="003A4314">
        <w:rPr>
          <w:b/>
          <w:bCs/>
        </w:rPr>
        <w:t>2</w:t>
      </w:r>
      <w:r>
        <w:rPr>
          <w:b/>
          <w:bCs/>
        </w:rPr>
        <w:t>: Disconnections, PIPP Plus, Payment Plans</w:t>
      </w:r>
      <w:r>
        <w:rPr>
          <w:rStyle w:val="FootnoteReference"/>
          <w:b/>
          <w:bCs/>
        </w:rPr>
        <w:footnoteReference w:id="21"/>
      </w:r>
      <w:r>
        <w:rPr>
          <w:b/>
          <w:bCs/>
        </w:rPr>
        <w:t xml:space="preserve"> (2011 - 2013)</w:t>
      </w:r>
    </w:p>
    <w:tbl>
      <w:tblPr>
        <w:tblW w:w="7752" w:type="dxa"/>
        <w:jc w:val="center"/>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1638"/>
        <w:gridCol w:w="1376"/>
        <w:gridCol w:w="1280"/>
        <w:gridCol w:w="1403"/>
      </w:tblGrid>
      <w:tr w:rsidR="004552C9" w14:paraId="51C6B4EF" w14:textId="77777777" w:rsidTr="00B8057D">
        <w:trPr>
          <w:jc w:val="center"/>
        </w:trPr>
        <w:tc>
          <w:tcPr>
            <w:tcW w:w="2055" w:type="dxa"/>
          </w:tcPr>
          <w:p w14:paraId="4119DE5C" w14:textId="77777777" w:rsidR="004552C9" w:rsidRDefault="009E752A">
            <w:pPr>
              <w:jc w:val="center"/>
            </w:pPr>
            <w:r>
              <w:t>Metrics</w:t>
            </w:r>
          </w:p>
        </w:tc>
        <w:tc>
          <w:tcPr>
            <w:tcW w:w="1638" w:type="dxa"/>
          </w:tcPr>
          <w:p w14:paraId="18743615" w14:textId="77777777" w:rsidR="004552C9" w:rsidRDefault="009E752A">
            <w:pPr>
              <w:jc w:val="center"/>
            </w:pPr>
            <w:r>
              <w:t>2011</w:t>
            </w:r>
          </w:p>
        </w:tc>
        <w:tc>
          <w:tcPr>
            <w:tcW w:w="1376" w:type="dxa"/>
          </w:tcPr>
          <w:p w14:paraId="3D4B821F" w14:textId="77777777" w:rsidR="004552C9" w:rsidRDefault="009E752A">
            <w:pPr>
              <w:jc w:val="center"/>
            </w:pPr>
            <w:r>
              <w:t>2013</w:t>
            </w:r>
          </w:p>
        </w:tc>
        <w:tc>
          <w:tcPr>
            <w:tcW w:w="1280" w:type="dxa"/>
          </w:tcPr>
          <w:p w14:paraId="14CBA579" w14:textId="77777777" w:rsidR="004552C9" w:rsidRDefault="009E752A">
            <w:pPr>
              <w:jc w:val="center"/>
            </w:pPr>
            <w:r>
              <w:t>Percentage Change</w:t>
            </w:r>
          </w:p>
        </w:tc>
        <w:tc>
          <w:tcPr>
            <w:tcW w:w="1403" w:type="dxa"/>
          </w:tcPr>
          <w:p w14:paraId="6397CE00" w14:textId="77777777" w:rsidR="004552C9" w:rsidRDefault="009E752A">
            <w:pPr>
              <w:jc w:val="center"/>
            </w:pPr>
            <w:r>
              <w:t>Percentage of Total Customers</w:t>
            </w:r>
            <w:r>
              <w:rPr>
                <w:rStyle w:val="FootnoteReference"/>
              </w:rPr>
              <w:footnoteReference w:id="22"/>
            </w:r>
          </w:p>
        </w:tc>
      </w:tr>
      <w:tr w:rsidR="004552C9" w14:paraId="3D9A5C00" w14:textId="77777777" w:rsidTr="00B8057D">
        <w:trPr>
          <w:jc w:val="center"/>
        </w:trPr>
        <w:tc>
          <w:tcPr>
            <w:tcW w:w="2055" w:type="dxa"/>
          </w:tcPr>
          <w:p w14:paraId="4F1813FC" w14:textId="77777777" w:rsidR="004C38A7" w:rsidRDefault="004C38A7">
            <w:pPr>
              <w:jc w:val="center"/>
            </w:pPr>
          </w:p>
          <w:p w14:paraId="69C3783F" w14:textId="77777777" w:rsidR="004552C9" w:rsidRDefault="009E752A">
            <w:pPr>
              <w:jc w:val="center"/>
            </w:pPr>
            <w:r>
              <w:t>Disconnections for Non-payment</w:t>
            </w:r>
          </w:p>
        </w:tc>
        <w:tc>
          <w:tcPr>
            <w:tcW w:w="1638" w:type="dxa"/>
          </w:tcPr>
          <w:p w14:paraId="0AE8F097" w14:textId="77777777" w:rsidR="004552C9" w:rsidRDefault="004552C9">
            <w:pPr>
              <w:jc w:val="center"/>
            </w:pPr>
          </w:p>
          <w:p w14:paraId="25629352" w14:textId="77777777" w:rsidR="004552C9" w:rsidRDefault="00517F61" w:rsidP="0075487E">
            <w:pPr>
              <w:jc w:val="center"/>
            </w:pPr>
            <w:r>
              <w:t>6</w:t>
            </w:r>
            <w:r w:rsidR="0075487E">
              <w:t>9,844</w:t>
            </w:r>
            <w:r>
              <w:rPr>
                <w:rStyle w:val="FootnoteReference"/>
              </w:rPr>
              <w:footnoteReference w:id="23"/>
            </w:r>
          </w:p>
        </w:tc>
        <w:tc>
          <w:tcPr>
            <w:tcW w:w="1376" w:type="dxa"/>
          </w:tcPr>
          <w:p w14:paraId="51BA68AF" w14:textId="77777777" w:rsidR="004552C9" w:rsidRDefault="004552C9">
            <w:pPr>
              <w:jc w:val="center"/>
            </w:pPr>
          </w:p>
          <w:p w14:paraId="774EEEBE" w14:textId="77777777" w:rsidR="004552C9" w:rsidRDefault="008656AE" w:rsidP="008656AE">
            <w:pPr>
              <w:jc w:val="center"/>
            </w:pPr>
            <w:r>
              <w:t>83,199</w:t>
            </w:r>
            <w:r w:rsidR="00517F61">
              <w:rPr>
                <w:rStyle w:val="FootnoteReference"/>
              </w:rPr>
              <w:footnoteReference w:id="24"/>
            </w:r>
          </w:p>
        </w:tc>
        <w:tc>
          <w:tcPr>
            <w:tcW w:w="1280" w:type="dxa"/>
          </w:tcPr>
          <w:p w14:paraId="2A29E1D1" w14:textId="77777777" w:rsidR="004552C9" w:rsidRDefault="004552C9">
            <w:pPr>
              <w:jc w:val="center"/>
            </w:pPr>
          </w:p>
          <w:p w14:paraId="23C8CCE5" w14:textId="77777777" w:rsidR="004552C9" w:rsidRDefault="0075487E">
            <w:pPr>
              <w:jc w:val="center"/>
            </w:pPr>
            <w:r>
              <w:t>19.1</w:t>
            </w:r>
            <w:r w:rsidR="009E752A">
              <w:t>%</w:t>
            </w:r>
          </w:p>
        </w:tc>
        <w:tc>
          <w:tcPr>
            <w:tcW w:w="1403" w:type="dxa"/>
          </w:tcPr>
          <w:p w14:paraId="696928FB" w14:textId="77777777" w:rsidR="004552C9" w:rsidRDefault="004552C9">
            <w:pPr>
              <w:jc w:val="center"/>
            </w:pPr>
          </w:p>
          <w:p w14:paraId="02562371" w14:textId="77777777" w:rsidR="004552C9" w:rsidRDefault="0075487E" w:rsidP="00780D08">
            <w:pPr>
              <w:jc w:val="center"/>
            </w:pPr>
            <w:r>
              <w:t>13.</w:t>
            </w:r>
            <w:r w:rsidR="00780D08">
              <w:t>5</w:t>
            </w:r>
            <w:r w:rsidR="009E752A">
              <w:t>%</w:t>
            </w:r>
          </w:p>
        </w:tc>
      </w:tr>
      <w:tr w:rsidR="004552C9" w14:paraId="5BF01F2E" w14:textId="77777777" w:rsidTr="00B8057D">
        <w:trPr>
          <w:jc w:val="center"/>
        </w:trPr>
        <w:tc>
          <w:tcPr>
            <w:tcW w:w="2055" w:type="dxa"/>
          </w:tcPr>
          <w:p w14:paraId="65C83D73" w14:textId="77777777" w:rsidR="004C38A7" w:rsidRDefault="004C38A7">
            <w:pPr>
              <w:jc w:val="center"/>
            </w:pPr>
          </w:p>
          <w:p w14:paraId="4DEA4044" w14:textId="77777777" w:rsidR="004552C9" w:rsidRDefault="009E752A">
            <w:pPr>
              <w:jc w:val="center"/>
            </w:pPr>
            <w:r>
              <w:t>Average Number on PIPP Plus</w:t>
            </w:r>
          </w:p>
        </w:tc>
        <w:tc>
          <w:tcPr>
            <w:tcW w:w="1638" w:type="dxa"/>
          </w:tcPr>
          <w:p w14:paraId="2EB0423A" w14:textId="77777777" w:rsidR="004552C9" w:rsidRDefault="004552C9">
            <w:pPr>
              <w:jc w:val="center"/>
            </w:pPr>
          </w:p>
          <w:p w14:paraId="3AE97686" w14:textId="77777777" w:rsidR="004552C9" w:rsidRDefault="00E6512F" w:rsidP="004B63E0">
            <w:pPr>
              <w:jc w:val="center"/>
            </w:pPr>
            <w:r>
              <w:t>2</w:t>
            </w:r>
            <w:r w:rsidR="004B63E0">
              <w:t>7</w:t>
            </w:r>
            <w:r>
              <w:t>,</w:t>
            </w:r>
            <w:r w:rsidR="004B63E0">
              <w:t>161</w:t>
            </w:r>
          </w:p>
        </w:tc>
        <w:tc>
          <w:tcPr>
            <w:tcW w:w="1376" w:type="dxa"/>
          </w:tcPr>
          <w:p w14:paraId="2974C926" w14:textId="77777777" w:rsidR="004552C9" w:rsidRDefault="004552C9">
            <w:pPr>
              <w:jc w:val="center"/>
            </w:pPr>
          </w:p>
          <w:p w14:paraId="005581D0" w14:textId="77777777" w:rsidR="004552C9" w:rsidRDefault="00E6512F" w:rsidP="00EA5E90">
            <w:pPr>
              <w:jc w:val="center"/>
            </w:pPr>
            <w:r>
              <w:t>2</w:t>
            </w:r>
            <w:r w:rsidR="00EA5E90">
              <w:t>8,468</w:t>
            </w:r>
          </w:p>
        </w:tc>
        <w:tc>
          <w:tcPr>
            <w:tcW w:w="1280" w:type="dxa"/>
          </w:tcPr>
          <w:p w14:paraId="6B61B538" w14:textId="77777777" w:rsidR="004552C9" w:rsidRDefault="004552C9">
            <w:pPr>
              <w:jc w:val="center"/>
            </w:pPr>
          </w:p>
          <w:p w14:paraId="1E720914" w14:textId="77777777" w:rsidR="004552C9" w:rsidRDefault="004B63E0" w:rsidP="004B63E0">
            <w:pPr>
              <w:jc w:val="center"/>
            </w:pPr>
            <w:r w:rsidRPr="004B63E0">
              <w:t>4.8</w:t>
            </w:r>
            <w:r w:rsidR="009E752A" w:rsidRPr="004B63E0">
              <w:t>%</w:t>
            </w:r>
          </w:p>
        </w:tc>
        <w:tc>
          <w:tcPr>
            <w:tcW w:w="1403" w:type="dxa"/>
          </w:tcPr>
          <w:p w14:paraId="17D2FD24" w14:textId="77777777" w:rsidR="004552C9" w:rsidRDefault="004552C9">
            <w:pPr>
              <w:jc w:val="center"/>
            </w:pPr>
          </w:p>
          <w:p w14:paraId="1445FC63" w14:textId="77777777" w:rsidR="004552C9" w:rsidRDefault="00E6512F" w:rsidP="00780D08">
            <w:pPr>
              <w:jc w:val="center"/>
            </w:pPr>
            <w:r>
              <w:t>4</w:t>
            </w:r>
            <w:r w:rsidR="009E752A">
              <w:t>.</w:t>
            </w:r>
            <w:r w:rsidR="00780D08">
              <w:t>6</w:t>
            </w:r>
            <w:r w:rsidR="009E752A">
              <w:t>%</w:t>
            </w:r>
          </w:p>
        </w:tc>
      </w:tr>
      <w:tr w:rsidR="004552C9" w14:paraId="08AA2D92" w14:textId="77777777" w:rsidTr="00B8057D">
        <w:trPr>
          <w:jc w:val="center"/>
        </w:trPr>
        <w:tc>
          <w:tcPr>
            <w:tcW w:w="2055" w:type="dxa"/>
          </w:tcPr>
          <w:p w14:paraId="25E910EA" w14:textId="77777777" w:rsidR="004C38A7" w:rsidRDefault="004C38A7">
            <w:pPr>
              <w:jc w:val="center"/>
            </w:pPr>
          </w:p>
          <w:p w14:paraId="793A9561" w14:textId="77777777" w:rsidR="004552C9" w:rsidRDefault="009E752A">
            <w:pPr>
              <w:jc w:val="center"/>
            </w:pPr>
            <w:r>
              <w:t>Average Number of Customers on Payment Plans</w:t>
            </w:r>
          </w:p>
        </w:tc>
        <w:tc>
          <w:tcPr>
            <w:tcW w:w="1638" w:type="dxa"/>
          </w:tcPr>
          <w:p w14:paraId="5781A92A" w14:textId="77777777" w:rsidR="004552C9" w:rsidRDefault="004552C9">
            <w:pPr>
              <w:jc w:val="center"/>
            </w:pPr>
          </w:p>
          <w:p w14:paraId="2443A513" w14:textId="77777777" w:rsidR="004552C9" w:rsidRDefault="004B63E0" w:rsidP="004B63E0">
            <w:pPr>
              <w:jc w:val="center"/>
            </w:pPr>
            <w:r>
              <w:t>6,160</w:t>
            </w:r>
          </w:p>
        </w:tc>
        <w:tc>
          <w:tcPr>
            <w:tcW w:w="1376" w:type="dxa"/>
          </w:tcPr>
          <w:p w14:paraId="52208432" w14:textId="77777777" w:rsidR="004552C9" w:rsidRDefault="004552C9">
            <w:pPr>
              <w:jc w:val="center"/>
            </w:pPr>
          </w:p>
          <w:p w14:paraId="447C5824" w14:textId="77777777" w:rsidR="004552C9" w:rsidRDefault="00EA5E90" w:rsidP="00EA5E90">
            <w:pPr>
              <w:jc w:val="center"/>
            </w:pPr>
            <w:r>
              <w:t>13,193</w:t>
            </w:r>
          </w:p>
        </w:tc>
        <w:tc>
          <w:tcPr>
            <w:tcW w:w="1280" w:type="dxa"/>
          </w:tcPr>
          <w:p w14:paraId="714E3F15" w14:textId="77777777" w:rsidR="004552C9" w:rsidRDefault="004552C9">
            <w:pPr>
              <w:jc w:val="center"/>
            </w:pPr>
          </w:p>
          <w:p w14:paraId="61D6F8F2" w14:textId="77777777" w:rsidR="004552C9" w:rsidRDefault="004B63E0" w:rsidP="004B63E0">
            <w:pPr>
              <w:jc w:val="center"/>
            </w:pPr>
            <w:r w:rsidRPr="00654F80">
              <w:t>1</w:t>
            </w:r>
            <w:r w:rsidR="00780D08" w:rsidRPr="00654F80">
              <w:t>14.</w:t>
            </w:r>
            <w:r w:rsidRPr="00654F80">
              <w:t>5</w:t>
            </w:r>
            <w:r w:rsidR="009C72DE" w:rsidRPr="00654F80">
              <w:t>%</w:t>
            </w:r>
          </w:p>
        </w:tc>
        <w:tc>
          <w:tcPr>
            <w:tcW w:w="1403" w:type="dxa"/>
          </w:tcPr>
          <w:p w14:paraId="0F19408C" w14:textId="77777777" w:rsidR="004C38A7" w:rsidRDefault="004C38A7">
            <w:pPr>
              <w:jc w:val="center"/>
            </w:pPr>
          </w:p>
          <w:p w14:paraId="56CDEC29" w14:textId="77777777" w:rsidR="004552C9" w:rsidRDefault="00780D08">
            <w:pPr>
              <w:jc w:val="center"/>
            </w:pPr>
            <w:r>
              <w:t>2.1</w:t>
            </w:r>
            <w:r w:rsidR="009E752A">
              <w:t>%</w:t>
            </w:r>
          </w:p>
          <w:p w14:paraId="34E9CEAA" w14:textId="77777777" w:rsidR="004552C9" w:rsidRDefault="004552C9">
            <w:pPr>
              <w:jc w:val="center"/>
            </w:pPr>
          </w:p>
        </w:tc>
      </w:tr>
    </w:tbl>
    <w:p w14:paraId="03A2FD67" w14:textId="77777777" w:rsidR="004552C9" w:rsidRDefault="004552C9">
      <w:pPr>
        <w:spacing w:line="480" w:lineRule="auto"/>
        <w:ind w:left="720" w:hanging="720"/>
        <w:jc w:val="center"/>
      </w:pPr>
    </w:p>
    <w:p w14:paraId="1EE01736" w14:textId="27563A57" w:rsidR="004552C9" w:rsidRDefault="009E752A" w:rsidP="00B8057D">
      <w:pPr>
        <w:spacing w:line="480" w:lineRule="auto"/>
        <w:ind w:left="720"/>
      </w:pPr>
      <w:r>
        <w:t xml:space="preserve">Table </w:t>
      </w:r>
      <w:r w:rsidR="00780D08">
        <w:t>2</w:t>
      </w:r>
      <w:r>
        <w:t xml:space="preserve"> demonstrates that approximately </w:t>
      </w:r>
      <w:r w:rsidR="00E6512F">
        <w:t>83,199</w:t>
      </w:r>
      <w:r>
        <w:t xml:space="preserve"> (</w:t>
      </w:r>
      <w:r w:rsidR="00E6512F">
        <w:t>13.</w:t>
      </w:r>
      <w:r w:rsidR="00780D08">
        <w:t>5</w:t>
      </w:r>
      <w:r>
        <w:t xml:space="preserve">%) of </w:t>
      </w:r>
      <w:r w:rsidR="000537BB">
        <w:t>D</w:t>
      </w:r>
      <w:r w:rsidR="00716DC3">
        <w:t>uke’s</w:t>
      </w:r>
      <w:r w:rsidR="000537BB">
        <w:t xml:space="preserve"> customers</w:t>
      </w:r>
      <w:r>
        <w:t xml:space="preserve"> were disconnected for non-payment in 2013.  This is a </w:t>
      </w:r>
      <w:r w:rsidR="000537BB">
        <w:t>19.1 percent</w:t>
      </w:r>
      <w:r>
        <w:t xml:space="preserve"> increase from the number of disconnections in 2011.  This is a strong indicator that </w:t>
      </w:r>
      <w:r w:rsidR="00E6512F">
        <w:t>D</w:t>
      </w:r>
      <w:r w:rsidR="00716DC3">
        <w:t>uke’s</w:t>
      </w:r>
      <w:r w:rsidR="00E6512F">
        <w:t xml:space="preserve"> </w:t>
      </w:r>
      <w:r>
        <w:t xml:space="preserve">customers are experiencing increasing difficulty paying their electric bills.  In addition, approximately </w:t>
      </w:r>
      <w:r w:rsidR="00E6512F">
        <w:t>2</w:t>
      </w:r>
      <w:r w:rsidR="00780D08">
        <w:t>8</w:t>
      </w:r>
      <w:r w:rsidR="00E6512F">
        <w:t>,</w:t>
      </w:r>
      <w:r w:rsidR="00780D08">
        <w:t>468</w:t>
      </w:r>
      <w:r>
        <w:t xml:space="preserve"> (</w:t>
      </w:r>
      <w:r w:rsidR="00E6512F">
        <w:t>4.</w:t>
      </w:r>
      <w:r w:rsidR="00780D08">
        <w:t>6</w:t>
      </w:r>
      <w:r>
        <w:t xml:space="preserve">%) of </w:t>
      </w:r>
      <w:r w:rsidR="00716DC3">
        <w:t xml:space="preserve">Duke’s </w:t>
      </w:r>
      <w:r>
        <w:t>low-income</w:t>
      </w:r>
      <w:r w:rsidR="00E6512F">
        <w:t xml:space="preserve"> </w:t>
      </w:r>
      <w:r>
        <w:t>customers were on the specialized PIPP Plus payment programs to avoid loss of service.</w:t>
      </w:r>
      <w:r>
        <w:rPr>
          <w:rStyle w:val="FootnoteReference"/>
        </w:rPr>
        <w:footnoteReference w:id="25"/>
      </w:r>
      <w:r>
        <w:t xml:space="preserve">  This is another strong indicator of the magnitude of </w:t>
      </w:r>
      <w:r w:rsidR="00E6512F">
        <w:t>D</w:t>
      </w:r>
      <w:r w:rsidR="00716DC3">
        <w:t>uke</w:t>
      </w:r>
      <w:r w:rsidR="00E6512F">
        <w:t xml:space="preserve"> </w:t>
      </w:r>
      <w:r>
        <w:t xml:space="preserve">customers who need special assistance </w:t>
      </w:r>
      <w:r w:rsidR="00716DC3">
        <w:t xml:space="preserve">just </w:t>
      </w:r>
      <w:r>
        <w:t xml:space="preserve">to maintain electric service.  Another </w:t>
      </w:r>
      <w:r w:rsidR="00780D08">
        <w:t>13,193</w:t>
      </w:r>
      <w:r>
        <w:t xml:space="preserve"> (</w:t>
      </w:r>
      <w:r w:rsidR="00780D08">
        <w:t>2.1</w:t>
      </w:r>
      <w:r>
        <w:t xml:space="preserve">%) of </w:t>
      </w:r>
      <w:r w:rsidR="000537BB">
        <w:t>D</w:t>
      </w:r>
      <w:r w:rsidR="00716DC3">
        <w:t>uke’s</w:t>
      </w:r>
      <w:r w:rsidR="000537BB">
        <w:t xml:space="preserve"> customers</w:t>
      </w:r>
      <w:r>
        <w:t xml:space="preserve"> were on other payment plans during an average month in an attempt to avoid disconnection of service.</w:t>
      </w:r>
      <w:r>
        <w:rPr>
          <w:rStyle w:val="FootnoteReference"/>
        </w:rPr>
        <w:footnoteReference w:id="26"/>
      </w:r>
    </w:p>
    <w:p w14:paraId="15E72E57" w14:textId="77777777" w:rsidR="00F95936" w:rsidRDefault="00F95936">
      <w:pPr>
        <w:spacing w:line="480" w:lineRule="auto"/>
        <w:ind w:left="720" w:hanging="720"/>
      </w:pPr>
    </w:p>
    <w:p w14:paraId="2BE910B7" w14:textId="4BBE6D54" w:rsidR="006E02AE" w:rsidRDefault="009E752A" w:rsidP="006E02AE">
      <w:pPr>
        <w:spacing w:line="480" w:lineRule="auto"/>
        <w:ind w:left="720"/>
        <w:rPr>
          <w:b/>
          <w:i/>
        </w:rPr>
      </w:pPr>
      <w:r>
        <w:t xml:space="preserve">Thus, in total approximately </w:t>
      </w:r>
      <w:r w:rsidR="00E6512F">
        <w:t>1</w:t>
      </w:r>
      <w:r w:rsidR="00780D08">
        <w:t>25</w:t>
      </w:r>
      <w:r w:rsidR="00E6512F">
        <w:t>,000</w:t>
      </w:r>
      <w:r>
        <w:t xml:space="preserve"> of </w:t>
      </w:r>
      <w:r w:rsidR="00E6512F">
        <w:t>D</w:t>
      </w:r>
      <w:r w:rsidR="00716DC3">
        <w:t>uke</w:t>
      </w:r>
      <w:r w:rsidR="00E6512F">
        <w:t xml:space="preserve">’s </w:t>
      </w:r>
      <w:r>
        <w:t xml:space="preserve">approximate </w:t>
      </w:r>
      <w:r w:rsidR="000537BB">
        <w:t>6</w:t>
      </w:r>
      <w:r w:rsidR="00780D08">
        <w:t>15</w:t>
      </w:r>
      <w:r w:rsidR="000537BB">
        <w:t>,000 residential</w:t>
      </w:r>
      <w:r>
        <w:t xml:space="preserve"> customers are struggling to pay their current electric bills.  This represents approximately 2</w:t>
      </w:r>
      <w:r w:rsidR="00780D08">
        <w:t>0.3</w:t>
      </w:r>
      <w:r>
        <w:t xml:space="preserve"> percent of the total residential customers.  These numbers </w:t>
      </w:r>
      <w:r w:rsidR="001578D1">
        <w:t>show that</w:t>
      </w:r>
      <w:r>
        <w:t xml:space="preserve"> affordability is a serious issue that the PUCO must address as it determines whether to accept or modify the proposed ESP III.  The proposed ESP III will raise rates even higher and may make electric service unaffordable for many</w:t>
      </w:r>
      <w:r w:rsidR="00E6512F">
        <w:t xml:space="preserve"> </w:t>
      </w:r>
      <w:r>
        <w:t xml:space="preserve">customers.  Such a result would be inconsistent with the policies of </w:t>
      </w:r>
      <w:r w:rsidR="006E02AE">
        <w:t>the state, discussed above.</w:t>
      </w:r>
      <w:r w:rsidR="006E02AE">
        <w:rPr>
          <w:b/>
          <w:i/>
        </w:rPr>
        <w:br w:type="page"/>
      </w:r>
    </w:p>
    <w:p w14:paraId="4A06305F" w14:textId="4FDEA83D" w:rsidR="001F47B2" w:rsidRPr="000163E8" w:rsidRDefault="001F47B2" w:rsidP="001F47B2">
      <w:pPr>
        <w:spacing w:line="480" w:lineRule="auto"/>
        <w:ind w:left="720" w:hanging="720"/>
        <w:rPr>
          <w:b/>
          <w:i/>
        </w:rPr>
      </w:pPr>
      <w:r w:rsidRPr="000163E8">
        <w:rPr>
          <w:b/>
          <w:i/>
        </w:rPr>
        <w:t>Q11.</w:t>
      </w:r>
      <w:r w:rsidRPr="000163E8">
        <w:rPr>
          <w:b/>
          <w:i/>
        </w:rPr>
        <w:tab/>
        <w:t>HOW DOES THE NUMBER OF DUKE CUSTOMERS WHO ARE BEING DISCONNECTED FOR NON-PAYMENT COMPARE WITH THE NUMBER OF CUSTOMERS BEING DISCONNECTED BY OTHER OHIO ELECTRIC UTILITIES?</w:t>
      </w:r>
    </w:p>
    <w:p w14:paraId="6A7A9B07" w14:textId="5131D2C2" w:rsidR="001F47B2" w:rsidRDefault="001F47B2" w:rsidP="001F47B2">
      <w:pPr>
        <w:spacing w:line="480" w:lineRule="auto"/>
        <w:ind w:left="720" w:hanging="720"/>
      </w:pPr>
      <w:r w:rsidRPr="000163E8">
        <w:rPr>
          <w:b/>
          <w:i/>
        </w:rPr>
        <w:t>A11.</w:t>
      </w:r>
      <w:r>
        <w:tab/>
        <w:t xml:space="preserve">During the period June 1, 2013 through May 31, 2014, </w:t>
      </w:r>
      <w:r w:rsidRPr="00896B00">
        <w:t xml:space="preserve">Duke </w:t>
      </w:r>
      <w:r>
        <w:t xml:space="preserve">residential </w:t>
      </w:r>
      <w:r w:rsidRPr="00896B00">
        <w:t xml:space="preserve">customers </w:t>
      </w:r>
      <w:r>
        <w:t xml:space="preserve">were </w:t>
      </w:r>
      <w:r w:rsidRPr="00896B00">
        <w:t xml:space="preserve">twice as likely to be disconnected for non-payment than the residential customers of </w:t>
      </w:r>
      <w:r>
        <w:t xml:space="preserve">practically every </w:t>
      </w:r>
      <w:r w:rsidRPr="00896B00">
        <w:t>other electric utilit</w:t>
      </w:r>
      <w:r>
        <w:t xml:space="preserve">y </w:t>
      </w:r>
      <w:r w:rsidRPr="00896B00">
        <w:t xml:space="preserve">in the state.  Table 3 provides a summary of the number of Duke customers who </w:t>
      </w:r>
      <w:r>
        <w:t xml:space="preserve">were </w:t>
      </w:r>
      <w:r w:rsidRPr="00896B00">
        <w:t xml:space="preserve">disconnected for non-payment compared with the disconnection data for the other Ohio electric </w:t>
      </w:r>
      <w:r>
        <w:t xml:space="preserve">distribution </w:t>
      </w:r>
      <w:r w:rsidRPr="00896B00">
        <w:t>utilities</w:t>
      </w:r>
      <w:r>
        <w:t xml:space="preserve"> (“EDU’s”)</w:t>
      </w:r>
      <w:r w:rsidRPr="00896B00">
        <w:t>.</w:t>
      </w:r>
    </w:p>
    <w:p w14:paraId="7C9A58AB" w14:textId="2AAB7FC5" w:rsidR="001F47B2" w:rsidRDefault="001F47B2" w:rsidP="00C367F9">
      <w:pPr>
        <w:spacing w:line="480" w:lineRule="auto"/>
        <w:ind w:left="630"/>
        <w:jc w:val="center"/>
      </w:pPr>
      <w:r w:rsidRPr="00BB1E7C">
        <w:rPr>
          <w:b/>
        </w:rPr>
        <w:t>Table 3: Disconnection of Duke Customers Compared to Other Ohio EDU’s</w:t>
      </w:r>
      <w:r>
        <w:rPr>
          <w:rStyle w:val="FootnoteReference"/>
        </w:rPr>
        <w:footnoteReference w:id="27"/>
      </w:r>
    </w:p>
    <w:tbl>
      <w:tblPr>
        <w:tblStyle w:val="TableGrid"/>
        <w:tblW w:w="0" w:type="auto"/>
        <w:tblInd w:w="720" w:type="dxa"/>
        <w:tblLook w:val="04A0" w:firstRow="1" w:lastRow="0" w:firstColumn="1" w:lastColumn="0" w:noHBand="0" w:noVBand="1"/>
      </w:tblPr>
      <w:tblGrid>
        <w:gridCol w:w="1925"/>
        <w:gridCol w:w="2413"/>
        <w:gridCol w:w="1713"/>
        <w:gridCol w:w="87"/>
        <w:gridCol w:w="1998"/>
      </w:tblGrid>
      <w:tr w:rsidR="001F47B2" w14:paraId="5960C1DE" w14:textId="77777777" w:rsidTr="00F87D52">
        <w:tc>
          <w:tcPr>
            <w:tcW w:w="1925" w:type="dxa"/>
          </w:tcPr>
          <w:p w14:paraId="4848A55C" w14:textId="77777777" w:rsidR="001F47B2" w:rsidRPr="00BB1E7C" w:rsidRDefault="001F47B2" w:rsidP="00F87D52">
            <w:pPr>
              <w:jc w:val="center"/>
              <w:rPr>
                <w:i/>
              </w:rPr>
            </w:pPr>
            <w:r w:rsidRPr="00BB1E7C">
              <w:rPr>
                <w:i/>
              </w:rPr>
              <w:t>Utility</w:t>
            </w:r>
          </w:p>
        </w:tc>
        <w:tc>
          <w:tcPr>
            <w:tcW w:w="2413" w:type="dxa"/>
          </w:tcPr>
          <w:p w14:paraId="25FCA366" w14:textId="77777777" w:rsidR="001F47B2" w:rsidRPr="00BB1E7C" w:rsidRDefault="001F47B2" w:rsidP="00F87D52">
            <w:pPr>
              <w:jc w:val="center"/>
              <w:rPr>
                <w:i/>
              </w:rPr>
            </w:pPr>
            <w:r w:rsidRPr="00BB1E7C">
              <w:rPr>
                <w:i/>
              </w:rPr>
              <w:t>Number of Residential Customers</w:t>
            </w:r>
          </w:p>
        </w:tc>
        <w:tc>
          <w:tcPr>
            <w:tcW w:w="1800" w:type="dxa"/>
            <w:gridSpan w:val="2"/>
          </w:tcPr>
          <w:p w14:paraId="681545E3" w14:textId="77777777" w:rsidR="001F47B2" w:rsidRPr="00BB1E7C" w:rsidRDefault="001F47B2" w:rsidP="00F87D52">
            <w:pPr>
              <w:jc w:val="center"/>
              <w:rPr>
                <w:i/>
              </w:rPr>
            </w:pPr>
            <w:r w:rsidRPr="00BB1E7C">
              <w:rPr>
                <w:i/>
              </w:rPr>
              <w:t>Number of Disconnections</w:t>
            </w:r>
          </w:p>
        </w:tc>
        <w:tc>
          <w:tcPr>
            <w:tcW w:w="1998" w:type="dxa"/>
          </w:tcPr>
          <w:p w14:paraId="1326FA65" w14:textId="77777777" w:rsidR="001F47B2" w:rsidRPr="00BB1E7C" w:rsidRDefault="001F47B2" w:rsidP="00F87D52">
            <w:pPr>
              <w:jc w:val="center"/>
              <w:rPr>
                <w:i/>
              </w:rPr>
            </w:pPr>
            <w:r w:rsidRPr="00BB1E7C">
              <w:rPr>
                <w:i/>
              </w:rPr>
              <w:t>Disconnection Rate</w:t>
            </w:r>
          </w:p>
        </w:tc>
      </w:tr>
      <w:tr w:rsidR="001F47B2" w14:paraId="5097BD98" w14:textId="77777777" w:rsidTr="00F87D52">
        <w:tc>
          <w:tcPr>
            <w:tcW w:w="1925" w:type="dxa"/>
          </w:tcPr>
          <w:p w14:paraId="6FFA3EEE" w14:textId="77777777" w:rsidR="001F47B2" w:rsidRPr="00BB1E7C" w:rsidRDefault="001F47B2" w:rsidP="00F87D52">
            <w:pPr>
              <w:jc w:val="center"/>
              <w:rPr>
                <w:b/>
              </w:rPr>
            </w:pPr>
            <w:r w:rsidRPr="00BB1E7C">
              <w:rPr>
                <w:b/>
              </w:rPr>
              <w:t>Duke</w:t>
            </w:r>
          </w:p>
        </w:tc>
        <w:tc>
          <w:tcPr>
            <w:tcW w:w="2413" w:type="dxa"/>
          </w:tcPr>
          <w:p w14:paraId="6E4D3621" w14:textId="77777777" w:rsidR="001F47B2" w:rsidRPr="00BB1E7C" w:rsidRDefault="001F47B2" w:rsidP="00F87D52">
            <w:pPr>
              <w:jc w:val="center"/>
              <w:rPr>
                <w:b/>
              </w:rPr>
            </w:pPr>
            <w:r w:rsidRPr="00BB1E7C">
              <w:rPr>
                <w:b/>
              </w:rPr>
              <w:t>615,738</w:t>
            </w:r>
          </w:p>
        </w:tc>
        <w:tc>
          <w:tcPr>
            <w:tcW w:w="1713" w:type="dxa"/>
          </w:tcPr>
          <w:p w14:paraId="232291FE" w14:textId="787F8046" w:rsidR="001F47B2" w:rsidRPr="00BB1E7C" w:rsidRDefault="001F47B2" w:rsidP="00DF1A7E">
            <w:pPr>
              <w:jc w:val="center"/>
              <w:rPr>
                <w:b/>
              </w:rPr>
            </w:pPr>
            <w:r w:rsidRPr="00BB1E7C">
              <w:rPr>
                <w:b/>
              </w:rPr>
              <w:t>88,</w:t>
            </w:r>
            <w:r w:rsidR="00DF1A7E">
              <w:rPr>
                <w:b/>
              </w:rPr>
              <w:t>199</w:t>
            </w:r>
          </w:p>
        </w:tc>
        <w:tc>
          <w:tcPr>
            <w:tcW w:w="2085" w:type="dxa"/>
            <w:gridSpan w:val="2"/>
          </w:tcPr>
          <w:p w14:paraId="00477673" w14:textId="77777777" w:rsidR="001F47B2" w:rsidRPr="00BB1E7C" w:rsidRDefault="001F47B2" w:rsidP="00F87D52">
            <w:pPr>
              <w:jc w:val="center"/>
              <w:rPr>
                <w:b/>
              </w:rPr>
            </w:pPr>
            <w:r w:rsidRPr="00BB1E7C">
              <w:rPr>
                <w:b/>
              </w:rPr>
              <w:t>14.3</w:t>
            </w:r>
          </w:p>
        </w:tc>
      </w:tr>
      <w:tr w:rsidR="001F47B2" w14:paraId="558E3DAA" w14:textId="77777777" w:rsidTr="00F87D52">
        <w:tc>
          <w:tcPr>
            <w:tcW w:w="1925" w:type="dxa"/>
          </w:tcPr>
          <w:p w14:paraId="68514350" w14:textId="77777777" w:rsidR="001F47B2" w:rsidRDefault="001F47B2" w:rsidP="00F87D52">
            <w:pPr>
              <w:jc w:val="center"/>
            </w:pPr>
            <w:r>
              <w:t>DP&amp;L</w:t>
            </w:r>
          </w:p>
        </w:tc>
        <w:tc>
          <w:tcPr>
            <w:tcW w:w="2413" w:type="dxa"/>
          </w:tcPr>
          <w:p w14:paraId="10904D26" w14:textId="77777777" w:rsidR="001F47B2" w:rsidRDefault="001F47B2" w:rsidP="00F87D52">
            <w:pPr>
              <w:jc w:val="center"/>
            </w:pPr>
            <w:r>
              <w:t>297,455</w:t>
            </w:r>
          </w:p>
        </w:tc>
        <w:tc>
          <w:tcPr>
            <w:tcW w:w="1713" w:type="dxa"/>
          </w:tcPr>
          <w:p w14:paraId="0AEC72AA" w14:textId="77777777" w:rsidR="001F47B2" w:rsidRDefault="001F47B2" w:rsidP="00F87D52">
            <w:pPr>
              <w:jc w:val="center"/>
            </w:pPr>
            <w:r>
              <w:t>31,288</w:t>
            </w:r>
          </w:p>
        </w:tc>
        <w:tc>
          <w:tcPr>
            <w:tcW w:w="2085" w:type="dxa"/>
            <w:gridSpan w:val="2"/>
          </w:tcPr>
          <w:p w14:paraId="2BF79EA7" w14:textId="77777777" w:rsidR="001F47B2" w:rsidRDefault="001F47B2" w:rsidP="00F87D52">
            <w:pPr>
              <w:jc w:val="center"/>
            </w:pPr>
            <w:r>
              <w:t>10.5</w:t>
            </w:r>
          </w:p>
        </w:tc>
      </w:tr>
      <w:tr w:rsidR="001F47B2" w14:paraId="1D13DC66" w14:textId="77777777" w:rsidTr="00F87D52">
        <w:tc>
          <w:tcPr>
            <w:tcW w:w="1925" w:type="dxa"/>
          </w:tcPr>
          <w:p w14:paraId="4CE08A29" w14:textId="77777777" w:rsidR="001F47B2" w:rsidRDefault="001F47B2" w:rsidP="00F87D52">
            <w:pPr>
              <w:jc w:val="center"/>
            </w:pPr>
            <w:r>
              <w:t>AEP Ohio</w:t>
            </w:r>
          </w:p>
        </w:tc>
        <w:tc>
          <w:tcPr>
            <w:tcW w:w="2413" w:type="dxa"/>
          </w:tcPr>
          <w:p w14:paraId="5D2113D8" w14:textId="77777777" w:rsidR="001F47B2" w:rsidRDefault="001F47B2" w:rsidP="00F87D52">
            <w:pPr>
              <w:jc w:val="center"/>
            </w:pPr>
            <w:r>
              <w:t>1,273,602</w:t>
            </w:r>
          </w:p>
        </w:tc>
        <w:tc>
          <w:tcPr>
            <w:tcW w:w="1713" w:type="dxa"/>
          </w:tcPr>
          <w:p w14:paraId="59033436" w14:textId="77777777" w:rsidR="001F47B2" w:rsidRDefault="001F47B2" w:rsidP="00F87D52">
            <w:pPr>
              <w:jc w:val="center"/>
            </w:pPr>
            <w:r>
              <w:t>88,390</w:t>
            </w:r>
          </w:p>
        </w:tc>
        <w:tc>
          <w:tcPr>
            <w:tcW w:w="2085" w:type="dxa"/>
            <w:gridSpan w:val="2"/>
          </w:tcPr>
          <w:p w14:paraId="6AF6E749" w14:textId="77777777" w:rsidR="001F47B2" w:rsidRDefault="001F47B2" w:rsidP="00F87D52">
            <w:pPr>
              <w:jc w:val="center"/>
            </w:pPr>
            <w:r>
              <w:t>6.9</w:t>
            </w:r>
          </w:p>
        </w:tc>
      </w:tr>
      <w:tr w:rsidR="001F47B2" w14:paraId="3A70956F" w14:textId="77777777" w:rsidTr="00F87D52">
        <w:tc>
          <w:tcPr>
            <w:tcW w:w="1925" w:type="dxa"/>
          </w:tcPr>
          <w:p w14:paraId="1DFAF8B8" w14:textId="77777777" w:rsidR="001F47B2" w:rsidRDefault="001F47B2" w:rsidP="00F87D52">
            <w:pPr>
              <w:jc w:val="center"/>
            </w:pPr>
            <w:r>
              <w:t>Ohio Edison</w:t>
            </w:r>
          </w:p>
        </w:tc>
        <w:tc>
          <w:tcPr>
            <w:tcW w:w="2413" w:type="dxa"/>
          </w:tcPr>
          <w:p w14:paraId="40245F25" w14:textId="77777777" w:rsidR="001F47B2" w:rsidRDefault="001F47B2" w:rsidP="00F87D52">
            <w:pPr>
              <w:jc w:val="center"/>
            </w:pPr>
            <w:r>
              <w:t>919,344</w:t>
            </w:r>
          </w:p>
        </w:tc>
        <w:tc>
          <w:tcPr>
            <w:tcW w:w="1713" w:type="dxa"/>
          </w:tcPr>
          <w:p w14:paraId="4E62E00A" w14:textId="77777777" w:rsidR="001F47B2" w:rsidRDefault="001F47B2" w:rsidP="00F87D52">
            <w:pPr>
              <w:jc w:val="center"/>
            </w:pPr>
            <w:r>
              <w:t>45,124</w:t>
            </w:r>
          </w:p>
        </w:tc>
        <w:tc>
          <w:tcPr>
            <w:tcW w:w="2085" w:type="dxa"/>
            <w:gridSpan w:val="2"/>
          </w:tcPr>
          <w:p w14:paraId="4239B20E" w14:textId="77777777" w:rsidR="001F47B2" w:rsidRDefault="001F47B2" w:rsidP="00F87D52">
            <w:pPr>
              <w:jc w:val="center"/>
            </w:pPr>
            <w:r>
              <w:t>4.9</w:t>
            </w:r>
          </w:p>
        </w:tc>
      </w:tr>
      <w:tr w:rsidR="001F47B2" w14:paraId="38FF25C5" w14:textId="77777777" w:rsidTr="00F87D52">
        <w:tc>
          <w:tcPr>
            <w:tcW w:w="1925" w:type="dxa"/>
          </w:tcPr>
          <w:p w14:paraId="0C218EB5" w14:textId="77777777" w:rsidR="001F47B2" w:rsidRDefault="001F47B2" w:rsidP="00F87D52">
            <w:pPr>
              <w:jc w:val="center"/>
            </w:pPr>
            <w:r>
              <w:t>Toledo Edison</w:t>
            </w:r>
          </w:p>
        </w:tc>
        <w:tc>
          <w:tcPr>
            <w:tcW w:w="2413" w:type="dxa"/>
          </w:tcPr>
          <w:p w14:paraId="7E6C5EE3" w14:textId="77777777" w:rsidR="001F47B2" w:rsidRDefault="001F47B2" w:rsidP="00F87D52">
            <w:pPr>
              <w:jc w:val="center"/>
            </w:pPr>
            <w:r>
              <w:t>271,717</w:t>
            </w:r>
          </w:p>
        </w:tc>
        <w:tc>
          <w:tcPr>
            <w:tcW w:w="1713" w:type="dxa"/>
          </w:tcPr>
          <w:p w14:paraId="1E811FF4" w14:textId="77777777" w:rsidR="001F47B2" w:rsidRDefault="001F47B2" w:rsidP="00F87D52">
            <w:pPr>
              <w:jc w:val="center"/>
            </w:pPr>
            <w:r>
              <w:t>9,717</w:t>
            </w:r>
          </w:p>
        </w:tc>
        <w:tc>
          <w:tcPr>
            <w:tcW w:w="2085" w:type="dxa"/>
            <w:gridSpan w:val="2"/>
          </w:tcPr>
          <w:p w14:paraId="5AB3A649" w14:textId="77777777" w:rsidR="001F47B2" w:rsidRDefault="001F47B2" w:rsidP="00F87D52">
            <w:pPr>
              <w:jc w:val="center"/>
            </w:pPr>
            <w:r>
              <w:t>3.6</w:t>
            </w:r>
          </w:p>
        </w:tc>
      </w:tr>
      <w:tr w:rsidR="001F47B2" w14:paraId="0174BA61" w14:textId="77777777" w:rsidTr="00F87D52">
        <w:tc>
          <w:tcPr>
            <w:tcW w:w="1925" w:type="dxa"/>
          </w:tcPr>
          <w:p w14:paraId="2F58DBF2" w14:textId="77777777" w:rsidR="001F47B2" w:rsidRDefault="001F47B2" w:rsidP="00F87D52">
            <w:pPr>
              <w:jc w:val="center"/>
            </w:pPr>
            <w:r>
              <w:t>CEI</w:t>
            </w:r>
          </w:p>
        </w:tc>
        <w:tc>
          <w:tcPr>
            <w:tcW w:w="2413" w:type="dxa"/>
          </w:tcPr>
          <w:p w14:paraId="7EFAA389" w14:textId="77777777" w:rsidR="001F47B2" w:rsidRDefault="001F47B2" w:rsidP="00F87D52">
            <w:pPr>
              <w:jc w:val="center"/>
            </w:pPr>
            <w:r>
              <w:t>660,648</w:t>
            </w:r>
          </w:p>
        </w:tc>
        <w:tc>
          <w:tcPr>
            <w:tcW w:w="1713" w:type="dxa"/>
          </w:tcPr>
          <w:p w14:paraId="7060A9B1" w14:textId="77777777" w:rsidR="001F47B2" w:rsidRDefault="001F47B2" w:rsidP="00F87D52">
            <w:pPr>
              <w:jc w:val="center"/>
            </w:pPr>
            <w:r>
              <w:t>14,736</w:t>
            </w:r>
          </w:p>
        </w:tc>
        <w:tc>
          <w:tcPr>
            <w:tcW w:w="2085" w:type="dxa"/>
            <w:gridSpan w:val="2"/>
          </w:tcPr>
          <w:p w14:paraId="475ACCEF" w14:textId="77777777" w:rsidR="001F47B2" w:rsidRDefault="001F47B2" w:rsidP="00F87D52">
            <w:pPr>
              <w:jc w:val="center"/>
            </w:pPr>
            <w:r>
              <w:t>2.2</w:t>
            </w:r>
          </w:p>
        </w:tc>
      </w:tr>
    </w:tbl>
    <w:p w14:paraId="761ECEA3" w14:textId="77777777" w:rsidR="001F47B2" w:rsidRDefault="001F47B2" w:rsidP="001F47B2">
      <w:pPr>
        <w:spacing w:line="480" w:lineRule="auto"/>
        <w:ind w:left="720"/>
        <w:jc w:val="center"/>
      </w:pPr>
    </w:p>
    <w:p w14:paraId="660DD42F" w14:textId="77777777" w:rsidR="005E33D9" w:rsidRDefault="001F47B2" w:rsidP="00C367F9">
      <w:pPr>
        <w:spacing w:line="480" w:lineRule="auto"/>
        <w:ind w:left="720"/>
      </w:pPr>
      <w:r>
        <w:t>The extraordinarily high number of residential customers who are being disconnected for non-payment in the Duke service territory provides yet further evidence of the affordability issues that Duke customers are experiencing.  Customers face serious health, safety, and financial consequences when their electric service is terminated for non-payment.</w:t>
      </w:r>
      <w:r>
        <w:rPr>
          <w:rStyle w:val="FootnoteReference"/>
        </w:rPr>
        <w:footnoteReference w:id="28"/>
      </w:r>
      <w:r>
        <w:t xml:space="preserve">  Any additional increase in electric rates can have an adverse impact </w:t>
      </w:r>
      <w:r w:rsidR="00DE71D6">
        <w:t>by</w:t>
      </w:r>
      <w:r>
        <w:t xml:space="preserve"> further increasing the number of Duke residential customers who are disconnected – including the at-risk customers.</w:t>
      </w:r>
    </w:p>
    <w:p w14:paraId="368A6528" w14:textId="77777777" w:rsidR="005E33D9" w:rsidRDefault="005E33D9" w:rsidP="00C367F9">
      <w:pPr>
        <w:spacing w:line="480" w:lineRule="auto"/>
        <w:ind w:left="720"/>
      </w:pPr>
    </w:p>
    <w:p w14:paraId="298C78EE" w14:textId="72296B5C" w:rsidR="00553695" w:rsidRDefault="00BC0507" w:rsidP="009E1D7D">
      <w:pPr>
        <w:pStyle w:val="Heading1"/>
      </w:pPr>
      <w:bookmarkStart w:id="10" w:name="_Toc399406371"/>
      <w:r>
        <w:t>D</w:t>
      </w:r>
      <w:r w:rsidR="00D47F10">
        <w:t xml:space="preserve">istribution </w:t>
      </w:r>
      <w:r>
        <w:t>C</w:t>
      </w:r>
      <w:r w:rsidR="00D47F10">
        <w:t xml:space="preserve">apital </w:t>
      </w:r>
      <w:r>
        <w:t>I</w:t>
      </w:r>
      <w:r w:rsidR="00D47F10">
        <w:t xml:space="preserve">nvestment </w:t>
      </w:r>
      <w:r>
        <w:t>Rider</w:t>
      </w:r>
      <w:bookmarkEnd w:id="10"/>
      <w:r w:rsidR="00D47F10">
        <w:t xml:space="preserve"> </w:t>
      </w:r>
    </w:p>
    <w:p w14:paraId="0D07F8CA" w14:textId="77777777" w:rsidR="009F4202" w:rsidRDefault="009F4202" w:rsidP="009E1D7D">
      <w:pPr>
        <w:spacing w:line="480" w:lineRule="auto"/>
        <w:ind w:left="720" w:hanging="720"/>
        <w:rPr>
          <w:b/>
        </w:rPr>
      </w:pPr>
    </w:p>
    <w:p w14:paraId="05E004F3" w14:textId="77777777" w:rsidR="00BC0507" w:rsidRPr="00045DDA" w:rsidRDefault="009F4202" w:rsidP="00297D4E">
      <w:pPr>
        <w:spacing w:line="480" w:lineRule="auto"/>
        <w:ind w:left="720" w:hanging="720"/>
        <w:rPr>
          <w:b/>
          <w:i/>
        </w:rPr>
      </w:pPr>
      <w:r w:rsidRPr="00045DDA">
        <w:rPr>
          <w:b/>
          <w:i/>
        </w:rPr>
        <w:t>Q1</w:t>
      </w:r>
      <w:r w:rsidR="00A3522C">
        <w:rPr>
          <w:b/>
          <w:i/>
        </w:rPr>
        <w:t>2</w:t>
      </w:r>
      <w:r w:rsidRPr="00045DDA">
        <w:rPr>
          <w:b/>
          <w:i/>
        </w:rPr>
        <w:t>.</w:t>
      </w:r>
      <w:r w:rsidRPr="00045DDA">
        <w:rPr>
          <w:b/>
          <w:i/>
        </w:rPr>
        <w:tab/>
      </w:r>
      <w:r w:rsidR="00264472" w:rsidRPr="00045DDA">
        <w:rPr>
          <w:b/>
          <w:i/>
        </w:rPr>
        <w:t xml:space="preserve">PLEASE DESCRIBE THE </w:t>
      </w:r>
      <w:r w:rsidR="006E7222" w:rsidRPr="00045DDA">
        <w:rPr>
          <w:b/>
          <w:i/>
        </w:rPr>
        <w:t xml:space="preserve">PROPOSED </w:t>
      </w:r>
      <w:r w:rsidR="0085315F">
        <w:rPr>
          <w:b/>
          <w:i/>
        </w:rPr>
        <w:t xml:space="preserve">RIDER </w:t>
      </w:r>
      <w:r w:rsidR="00BC0507" w:rsidRPr="00045DDA">
        <w:rPr>
          <w:b/>
          <w:i/>
        </w:rPr>
        <w:t>DCI</w:t>
      </w:r>
      <w:r w:rsidR="006E7222" w:rsidRPr="00045DDA">
        <w:rPr>
          <w:b/>
          <w:i/>
        </w:rPr>
        <w:t>?</w:t>
      </w:r>
    </w:p>
    <w:p w14:paraId="7E2A8E27" w14:textId="2DE0187D" w:rsidR="00F4574B" w:rsidRDefault="00BC0507" w:rsidP="00F4574B">
      <w:pPr>
        <w:spacing w:line="480" w:lineRule="auto"/>
        <w:ind w:left="720" w:hanging="720"/>
      </w:pPr>
      <w:r w:rsidRPr="00045DDA">
        <w:rPr>
          <w:b/>
          <w:i/>
        </w:rPr>
        <w:t>A1</w:t>
      </w:r>
      <w:r w:rsidR="00A3522C">
        <w:rPr>
          <w:b/>
          <w:i/>
        </w:rPr>
        <w:t>2</w:t>
      </w:r>
      <w:r w:rsidRPr="00045DDA">
        <w:rPr>
          <w:b/>
          <w:i/>
        </w:rPr>
        <w:t>.</w:t>
      </w:r>
      <w:r>
        <w:rPr>
          <w:b/>
        </w:rPr>
        <w:tab/>
      </w:r>
      <w:r w:rsidRPr="006E7222">
        <w:t xml:space="preserve">The </w:t>
      </w:r>
      <w:r w:rsidR="006E7222" w:rsidRPr="006E7222">
        <w:t xml:space="preserve">proposed </w:t>
      </w:r>
      <w:r w:rsidR="0085315F">
        <w:t xml:space="preserve">Rider </w:t>
      </w:r>
      <w:r w:rsidRPr="006E7222">
        <w:t xml:space="preserve">DCI </w:t>
      </w:r>
      <w:r w:rsidR="00DE71D6">
        <w:t xml:space="preserve">allows </w:t>
      </w:r>
      <w:r w:rsidR="00FE1289">
        <w:t xml:space="preserve">Duke </w:t>
      </w:r>
      <w:r w:rsidR="00DE71D6">
        <w:t>to collect incremental distribution costs from customers sooner than it would otherwise</w:t>
      </w:r>
      <w:r w:rsidR="00833778">
        <w:t xml:space="preserve"> be able to, through a distribution rate case.</w:t>
      </w:r>
      <w:r w:rsidR="00FE1289">
        <w:t xml:space="preserve"> </w:t>
      </w:r>
      <w:r w:rsidR="006E7222" w:rsidRPr="006E7222">
        <w:t xml:space="preserve"> D</w:t>
      </w:r>
      <w:r w:rsidR="00716DC3">
        <w:t>uke</w:t>
      </w:r>
      <w:r w:rsidR="006E7222" w:rsidRPr="006E7222">
        <w:t xml:space="preserve"> claims </w:t>
      </w:r>
      <w:r w:rsidR="00FE1289">
        <w:t xml:space="preserve">that </w:t>
      </w:r>
      <w:r w:rsidR="00304A88">
        <w:t xml:space="preserve">with </w:t>
      </w:r>
      <w:r w:rsidR="00FE1289">
        <w:t xml:space="preserve">such </w:t>
      </w:r>
      <w:r w:rsidR="00304A88">
        <w:t xml:space="preserve">cost recovery </w:t>
      </w:r>
      <w:r w:rsidR="00DE71D6">
        <w:t>through the D</w:t>
      </w:r>
      <w:r w:rsidR="00833778">
        <w:t>CI, it</w:t>
      </w:r>
      <w:r w:rsidR="00FE1289">
        <w:t xml:space="preserve"> </w:t>
      </w:r>
      <w:r w:rsidR="00833778">
        <w:t>will be able to</w:t>
      </w:r>
      <w:r w:rsidR="006E7222" w:rsidRPr="006E7222">
        <w:t xml:space="preserve"> maintain and/or enhance the safety and reliability of </w:t>
      </w:r>
      <w:r w:rsidR="00716DC3">
        <w:t>it</w:t>
      </w:r>
      <w:r w:rsidR="006E7222" w:rsidRPr="006E7222">
        <w:t>s distribution system.</w:t>
      </w:r>
      <w:r w:rsidR="006E7222">
        <w:rPr>
          <w:rStyle w:val="FootnoteReference"/>
        </w:rPr>
        <w:footnoteReference w:id="29"/>
      </w:r>
      <w:r w:rsidRPr="006E7222">
        <w:t xml:space="preserve"> </w:t>
      </w:r>
      <w:r w:rsidR="00716DC3">
        <w:t xml:space="preserve"> </w:t>
      </w:r>
      <w:r w:rsidR="002356B1">
        <w:t xml:space="preserve">The </w:t>
      </w:r>
      <w:r w:rsidR="00716DC3">
        <w:t>Utilit</w:t>
      </w:r>
      <w:r w:rsidR="002356B1">
        <w:t xml:space="preserve">y has proposed a </w:t>
      </w:r>
      <w:r w:rsidR="007E6221">
        <w:t>disjointed array</w:t>
      </w:r>
      <w:r w:rsidR="002356B1">
        <w:t xml:space="preserve"> of </w:t>
      </w:r>
      <w:r w:rsidR="00B2555E">
        <w:t xml:space="preserve">nineteen </w:t>
      </w:r>
      <w:r w:rsidR="002356B1">
        <w:t>different programs that are to be included in its infrastructure modernization plan</w:t>
      </w:r>
      <w:r w:rsidR="000F5630">
        <w:t xml:space="preserve"> and funded through the </w:t>
      </w:r>
      <w:r w:rsidR="0085315F">
        <w:t xml:space="preserve">Rider </w:t>
      </w:r>
      <w:r w:rsidR="000F5630">
        <w:t>DCI</w:t>
      </w:r>
      <w:r w:rsidR="002356B1">
        <w:t>.</w:t>
      </w:r>
      <w:r w:rsidR="002356B1">
        <w:rPr>
          <w:rStyle w:val="FootnoteReference"/>
        </w:rPr>
        <w:footnoteReference w:id="30"/>
      </w:r>
      <w:r w:rsidR="000F5630">
        <w:t xml:space="preserve">  However, the </w:t>
      </w:r>
      <w:r w:rsidR="00716DC3">
        <w:t>Utilit</w:t>
      </w:r>
      <w:r w:rsidR="000F5630">
        <w:t xml:space="preserve">y has proposed that the </w:t>
      </w:r>
      <w:r w:rsidR="0085315F">
        <w:t xml:space="preserve">Rider </w:t>
      </w:r>
      <w:r w:rsidR="000F5630">
        <w:t>DCI evolve over time to enable additional programs or revisions and modifications to be made based on technological advancements or changes in field conditions.</w:t>
      </w:r>
      <w:r w:rsidR="000F5630">
        <w:rPr>
          <w:rStyle w:val="FootnoteReference"/>
        </w:rPr>
        <w:footnoteReference w:id="31"/>
      </w:r>
      <w:r w:rsidR="000F5630">
        <w:t xml:space="preserve"> </w:t>
      </w:r>
      <w:r w:rsidR="00716DC3">
        <w:t xml:space="preserve"> </w:t>
      </w:r>
      <w:r w:rsidR="00714DB8">
        <w:t>D</w:t>
      </w:r>
      <w:r w:rsidR="00716DC3">
        <w:t>uke</w:t>
      </w:r>
      <w:r w:rsidR="00E840E3">
        <w:t xml:space="preserve"> </w:t>
      </w:r>
      <w:r w:rsidR="00714DB8">
        <w:t xml:space="preserve">claims that even though customers appear to be satisfied with the </w:t>
      </w:r>
      <w:r w:rsidR="00716DC3">
        <w:t>Utility</w:t>
      </w:r>
      <w:r w:rsidR="00714DB8">
        <w:t>’s reliability and power quality, customer expectations can change.</w:t>
      </w:r>
      <w:r w:rsidR="00264472">
        <w:rPr>
          <w:rStyle w:val="FootnoteReference"/>
        </w:rPr>
        <w:footnoteReference w:id="32"/>
      </w:r>
      <w:r w:rsidR="00714DB8">
        <w:t xml:space="preserve"> </w:t>
      </w:r>
      <w:r w:rsidR="000E51B7">
        <w:t xml:space="preserve"> </w:t>
      </w:r>
      <w:r w:rsidR="00714DB8">
        <w:t xml:space="preserve">The </w:t>
      </w:r>
      <w:r w:rsidR="00716DC3">
        <w:t>Utilit</w:t>
      </w:r>
      <w:r w:rsidR="00714DB8">
        <w:t>y further c</w:t>
      </w:r>
      <w:r w:rsidR="000E51B7">
        <w:t xml:space="preserve">ontends </w:t>
      </w:r>
      <w:r w:rsidR="00714DB8">
        <w:t xml:space="preserve">that there is a challenge to fund </w:t>
      </w:r>
      <w:r w:rsidR="00264472">
        <w:t xml:space="preserve">new </w:t>
      </w:r>
      <w:r w:rsidR="00714DB8">
        <w:t xml:space="preserve">programs to meet customer expectations when resources are limited to </w:t>
      </w:r>
      <w:r w:rsidR="00D47F10">
        <w:t xml:space="preserve">revenues obtained through </w:t>
      </w:r>
      <w:r w:rsidR="00714DB8">
        <w:t>base rates</w:t>
      </w:r>
      <w:r w:rsidR="00264472">
        <w:t>.</w:t>
      </w:r>
      <w:r w:rsidR="00264472">
        <w:rPr>
          <w:rStyle w:val="FootnoteReference"/>
        </w:rPr>
        <w:footnoteReference w:id="33"/>
      </w:r>
      <w:r w:rsidR="00264472">
        <w:t xml:space="preserve">  </w:t>
      </w:r>
      <w:r w:rsidR="00F4574B">
        <w:t>There is no indication that Duke has performed a cost</w:t>
      </w:r>
      <w:r w:rsidR="00E108C1">
        <w:t>-</w:t>
      </w:r>
      <w:r w:rsidR="00F4574B">
        <w:t>benefit analysis</w:t>
      </w:r>
      <w:r w:rsidR="00E108C1">
        <w:t>,</w:t>
      </w:r>
      <w:r w:rsidR="00F4574B">
        <w:t xml:space="preserve"> or intends to perform a cost benefit analysis to determine the effectiveness of any of the programs that are included in the Rider DCI.</w:t>
      </w:r>
    </w:p>
    <w:p w14:paraId="1B8CE7B2" w14:textId="77777777" w:rsidR="005E33D9" w:rsidRDefault="005E33D9" w:rsidP="00F4574B">
      <w:pPr>
        <w:spacing w:line="480" w:lineRule="auto"/>
        <w:ind w:left="720" w:hanging="720"/>
      </w:pPr>
    </w:p>
    <w:p w14:paraId="29A79FCF" w14:textId="77777777" w:rsidR="00045DDA" w:rsidRPr="00C367F9" w:rsidRDefault="00A3522C" w:rsidP="00264472">
      <w:pPr>
        <w:spacing w:line="480" w:lineRule="auto"/>
        <w:ind w:left="720" w:hanging="720"/>
        <w:rPr>
          <w:b/>
          <w:i/>
        </w:rPr>
      </w:pPr>
      <w:r w:rsidRPr="00C367F9">
        <w:rPr>
          <w:b/>
          <w:i/>
        </w:rPr>
        <w:t>Q13.</w:t>
      </w:r>
      <w:r w:rsidRPr="00C367F9">
        <w:rPr>
          <w:b/>
          <w:i/>
        </w:rPr>
        <w:tab/>
      </w:r>
      <w:r w:rsidR="002368B8" w:rsidRPr="00C367F9">
        <w:rPr>
          <w:b/>
          <w:i/>
        </w:rPr>
        <w:t>HOW WILL THE DCI RIDER IMPACT CUSTOMER RATES AND AFFORDABILITY?</w:t>
      </w:r>
    </w:p>
    <w:p w14:paraId="1EAA9261" w14:textId="4A2348C9" w:rsidR="00154B03" w:rsidRDefault="002368B8" w:rsidP="00264472">
      <w:pPr>
        <w:spacing w:line="480" w:lineRule="auto"/>
        <w:ind w:left="720" w:hanging="720"/>
      </w:pPr>
      <w:r w:rsidRPr="000163E8">
        <w:rPr>
          <w:b/>
          <w:i/>
        </w:rPr>
        <w:t>A13.</w:t>
      </w:r>
      <w:r w:rsidRPr="002368B8">
        <w:tab/>
      </w:r>
      <w:r>
        <w:t>As explained in the Direct Testimony of OCC Witness Mierzwa, the proposed DCI rider would impact the average residential customer through an increase in rates of nearly $100 per year by 2018.</w:t>
      </w:r>
      <w:r>
        <w:rPr>
          <w:rStyle w:val="FootnoteReference"/>
        </w:rPr>
        <w:footnoteReference w:id="34"/>
      </w:r>
      <w:r>
        <w:t xml:space="preserve">  </w:t>
      </w:r>
      <w:r w:rsidR="00154B03">
        <w:t xml:space="preserve">Affordability of electric bills is already an issue in the Duke service territory.  An increase of $100 per year can result in even more customers being disconnected for non-payment, more customers </w:t>
      </w:r>
      <w:r w:rsidR="0052759C">
        <w:t xml:space="preserve">ending up </w:t>
      </w:r>
      <w:r w:rsidR="00154B03">
        <w:t xml:space="preserve">on PIPP Plus and other payment plans, and more at-risk customers </w:t>
      </w:r>
      <w:r w:rsidR="0052759C">
        <w:t xml:space="preserve">being at-risk for </w:t>
      </w:r>
      <w:r w:rsidR="00154B03">
        <w:t>potential health and safety issues.</w:t>
      </w:r>
    </w:p>
    <w:p w14:paraId="10BE6656" w14:textId="34E9D5D1" w:rsidR="002368B8" w:rsidRPr="002368B8" w:rsidRDefault="00C367F9" w:rsidP="00264472">
      <w:pPr>
        <w:spacing w:line="480" w:lineRule="auto"/>
        <w:ind w:left="720" w:hanging="720"/>
      </w:pPr>
      <w:r>
        <w:t xml:space="preserve"> </w:t>
      </w:r>
    </w:p>
    <w:p w14:paraId="7368B593" w14:textId="77777777" w:rsidR="00264472" w:rsidRPr="00045DDA" w:rsidRDefault="00264472" w:rsidP="00264472">
      <w:pPr>
        <w:spacing w:line="480" w:lineRule="auto"/>
        <w:ind w:left="720" w:hanging="720"/>
        <w:rPr>
          <w:b/>
          <w:i/>
        </w:rPr>
      </w:pPr>
      <w:r w:rsidRPr="00045DDA">
        <w:rPr>
          <w:b/>
          <w:i/>
        </w:rPr>
        <w:t>Q1</w:t>
      </w:r>
      <w:r w:rsidR="00154B03">
        <w:rPr>
          <w:b/>
          <w:i/>
        </w:rPr>
        <w:t>4</w:t>
      </w:r>
      <w:r w:rsidRPr="00045DDA">
        <w:rPr>
          <w:b/>
          <w:i/>
        </w:rPr>
        <w:t>.</w:t>
      </w:r>
      <w:r w:rsidRPr="00045DDA">
        <w:rPr>
          <w:b/>
          <w:i/>
        </w:rPr>
        <w:tab/>
        <w:t>DOES D</w:t>
      </w:r>
      <w:r w:rsidR="00716DC3">
        <w:rPr>
          <w:b/>
          <w:i/>
        </w:rPr>
        <w:t>UKE</w:t>
      </w:r>
      <w:r w:rsidRPr="00045DDA">
        <w:rPr>
          <w:b/>
          <w:i/>
        </w:rPr>
        <w:t xml:space="preserve"> CLAIM </w:t>
      </w:r>
      <w:r w:rsidR="00765A72" w:rsidRPr="00045DDA">
        <w:rPr>
          <w:b/>
          <w:i/>
        </w:rPr>
        <w:t xml:space="preserve">THAT </w:t>
      </w:r>
      <w:r w:rsidRPr="00045DDA">
        <w:rPr>
          <w:b/>
          <w:i/>
        </w:rPr>
        <w:t xml:space="preserve">THERE WILL BE A RELIABILITY BENEFIT </w:t>
      </w:r>
      <w:r w:rsidR="00D47F10" w:rsidRPr="00045DDA">
        <w:rPr>
          <w:b/>
          <w:i/>
        </w:rPr>
        <w:t xml:space="preserve">TO CUSTOMERS </w:t>
      </w:r>
      <w:r w:rsidRPr="00045DDA">
        <w:rPr>
          <w:b/>
          <w:i/>
        </w:rPr>
        <w:t xml:space="preserve">ASSOCIATED WITH THE </w:t>
      </w:r>
      <w:r w:rsidR="0085315F">
        <w:rPr>
          <w:b/>
          <w:i/>
        </w:rPr>
        <w:t xml:space="preserve">RIDER </w:t>
      </w:r>
      <w:r w:rsidRPr="00045DDA">
        <w:rPr>
          <w:b/>
          <w:i/>
        </w:rPr>
        <w:t>DCI?</w:t>
      </w:r>
    </w:p>
    <w:p w14:paraId="1DC4CAD2" w14:textId="7607ABC8" w:rsidR="00BF3E7C" w:rsidRDefault="00264472" w:rsidP="00264472">
      <w:pPr>
        <w:spacing w:line="480" w:lineRule="auto"/>
        <w:ind w:left="720" w:hanging="720"/>
      </w:pPr>
      <w:r w:rsidRPr="00045DDA">
        <w:rPr>
          <w:b/>
          <w:i/>
        </w:rPr>
        <w:t>A1</w:t>
      </w:r>
      <w:r w:rsidR="00154B03">
        <w:rPr>
          <w:b/>
          <w:i/>
        </w:rPr>
        <w:t>4</w:t>
      </w:r>
      <w:r w:rsidRPr="00045DDA">
        <w:rPr>
          <w:b/>
          <w:i/>
        </w:rPr>
        <w:t>.</w:t>
      </w:r>
      <w:r w:rsidRPr="00264472">
        <w:tab/>
        <w:t xml:space="preserve">No.  </w:t>
      </w:r>
      <w:r w:rsidR="00765A72">
        <w:t>T</w:t>
      </w:r>
      <w:r w:rsidRPr="00264472">
        <w:t>o the contrary</w:t>
      </w:r>
      <w:r w:rsidR="00817B54">
        <w:t>,</w:t>
      </w:r>
      <w:r w:rsidRPr="00264472">
        <w:t xml:space="preserve"> D</w:t>
      </w:r>
      <w:r w:rsidR="00716DC3">
        <w:t>uke</w:t>
      </w:r>
      <w:r w:rsidRPr="00264472">
        <w:t xml:space="preserve"> </w:t>
      </w:r>
      <w:r w:rsidR="00716DC3">
        <w:t>acknowledges</w:t>
      </w:r>
      <w:r w:rsidRPr="00264472">
        <w:t xml:space="preserve"> that </w:t>
      </w:r>
      <w:r w:rsidR="00716DC3">
        <w:t>it</w:t>
      </w:r>
      <w:r w:rsidRPr="00264472">
        <w:t xml:space="preserve"> cannot guarantee that system reliability or customer satisfaction will improve as a result of the </w:t>
      </w:r>
      <w:r w:rsidR="00716DC3">
        <w:t xml:space="preserve">imposition of the </w:t>
      </w:r>
      <w:r w:rsidRPr="00264472">
        <w:t>DCI Rider.</w:t>
      </w:r>
      <w:r w:rsidR="00765A72">
        <w:rPr>
          <w:rStyle w:val="FootnoteReference"/>
        </w:rPr>
        <w:footnoteReference w:id="35"/>
      </w:r>
      <w:r w:rsidRPr="00264472">
        <w:t xml:space="preserve"> </w:t>
      </w:r>
      <w:r w:rsidR="00716DC3">
        <w:t xml:space="preserve"> </w:t>
      </w:r>
      <w:r w:rsidR="001C1F7E">
        <w:t xml:space="preserve">Yet elsewhere in </w:t>
      </w:r>
      <w:r w:rsidR="00716DC3">
        <w:t>his</w:t>
      </w:r>
      <w:r w:rsidR="001C1F7E">
        <w:t xml:space="preserve"> Direct Testimony</w:t>
      </w:r>
      <w:r w:rsidR="00716DC3">
        <w:t>,</w:t>
      </w:r>
      <w:r w:rsidR="001C1F7E">
        <w:t xml:space="preserve"> Mr. Arnold claim</w:t>
      </w:r>
      <w:r w:rsidR="00716DC3">
        <w:t>s</w:t>
      </w:r>
      <w:r w:rsidR="001C1F7E">
        <w:t xml:space="preserve"> that the </w:t>
      </w:r>
      <w:r w:rsidR="00304E8C">
        <w:t xml:space="preserve">Rider </w:t>
      </w:r>
      <w:r w:rsidR="001C1F7E">
        <w:t xml:space="preserve">DCI will allow the </w:t>
      </w:r>
      <w:r w:rsidR="00716DC3">
        <w:t>Utility</w:t>
      </w:r>
      <w:r w:rsidR="001C1F7E">
        <w:t xml:space="preserve"> to maintain or improve </w:t>
      </w:r>
      <w:r w:rsidR="00455257">
        <w:t xml:space="preserve">the </w:t>
      </w:r>
      <w:r w:rsidR="00455257" w:rsidRPr="00D47F10">
        <w:t>Customer Average Interruption Duration Index</w:t>
      </w:r>
      <w:r w:rsidR="00455257">
        <w:t xml:space="preserve"> (“</w:t>
      </w:r>
      <w:r w:rsidR="001C1F7E">
        <w:t>CAIDI</w:t>
      </w:r>
      <w:r w:rsidR="00455257">
        <w:t>”)</w:t>
      </w:r>
      <w:r w:rsidR="001C1F7E">
        <w:t xml:space="preserve">, </w:t>
      </w:r>
      <w:r w:rsidR="00455257" w:rsidRPr="00D47F10">
        <w:t xml:space="preserve">System Average Interruption Frequency Index </w:t>
      </w:r>
      <w:r w:rsidR="00455257">
        <w:t>(“</w:t>
      </w:r>
      <w:r w:rsidR="001C1F7E">
        <w:t>SAIFI</w:t>
      </w:r>
      <w:r w:rsidR="00455257">
        <w:t>”)</w:t>
      </w:r>
      <w:r w:rsidR="001C1F7E">
        <w:t xml:space="preserve">, and </w:t>
      </w:r>
      <w:r w:rsidR="00455257">
        <w:t>System Average Interruption Duration Index (“</w:t>
      </w:r>
      <w:r w:rsidR="001C1F7E">
        <w:t>SAIDI</w:t>
      </w:r>
      <w:r w:rsidR="00455257">
        <w:t>”)</w:t>
      </w:r>
      <w:r w:rsidR="001C1F7E">
        <w:t>.  In response to discovery about which of the DCI programs will maintain reliability and which programs will improve reliability</w:t>
      </w:r>
      <w:r w:rsidR="003F6028">
        <w:t>,</w:t>
      </w:r>
      <w:r w:rsidR="001C1F7E">
        <w:rPr>
          <w:rStyle w:val="FootnoteReference"/>
        </w:rPr>
        <w:footnoteReference w:id="36"/>
      </w:r>
      <w:r w:rsidR="001C1F7E">
        <w:t xml:space="preserve"> the </w:t>
      </w:r>
      <w:r w:rsidR="003F6028">
        <w:t>Utilit</w:t>
      </w:r>
      <w:r w:rsidR="001C1F7E">
        <w:t xml:space="preserve">y </w:t>
      </w:r>
      <w:r w:rsidR="003F6028">
        <w:t>changed its position</w:t>
      </w:r>
      <w:r w:rsidR="00E108C1">
        <w:t xml:space="preserve"> as follows</w:t>
      </w:r>
      <w:r w:rsidR="00BF3E7C">
        <w:t>:</w:t>
      </w:r>
    </w:p>
    <w:p w14:paraId="20983960" w14:textId="6BCB3100" w:rsidR="00B25600" w:rsidRDefault="00BF3E7C" w:rsidP="00B25600">
      <w:pPr>
        <w:spacing w:line="480" w:lineRule="auto"/>
        <w:ind w:left="1440" w:right="720"/>
      </w:pPr>
      <w:r>
        <w:t xml:space="preserve">The programs proposed for Rider DCI are system integrity-based programs proposed to </w:t>
      </w:r>
      <w:r w:rsidRPr="00585817">
        <w:rPr>
          <w:b/>
        </w:rPr>
        <w:t>maintain the current level</w:t>
      </w:r>
      <w:r>
        <w:t xml:space="preserve"> of system asset condition.  The focus is on </w:t>
      </w:r>
      <w:r w:rsidRPr="00585817">
        <w:rPr>
          <w:b/>
        </w:rPr>
        <w:t>maintaining the serviceable condition of the asset</w:t>
      </w:r>
      <w:r>
        <w:t xml:space="preserve"> and not specifically on improvements to reliability indices.  The program may result in incidental improvement to reliability indices but the effect of such improvement cannot be measured.</w:t>
      </w:r>
      <w:r w:rsidR="003F6028">
        <w:rPr>
          <w:rStyle w:val="FootnoteReference"/>
        </w:rPr>
        <w:footnoteReference w:id="37"/>
      </w:r>
      <w:r w:rsidR="00F4574B">
        <w:t xml:space="preserve"> (</w:t>
      </w:r>
      <w:r w:rsidR="002E3AB6">
        <w:t>E</w:t>
      </w:r>
      <w:r w:rsidR="00F4574B">
        <w:t>mphasis added</w:t>
      </w:r>
      <w:r w:rsidR="002E3AB6">
        <w:t>.</w:t>
      </w:r>
      <w:r w:rsidR="00F4574B">
        <w:t>)</w:t>
      </w:r>
    </w:p>
    <w:p w14:paraId="327522FE" w14:textId="77777777" w:rsidR="004729B5" w:rsidRDefault="004729B5" w:rsidP="00B25600">
      <w:pPr>
        <w:spacing w:line="480" w:lineRule="auto"/>
        <w:ind w:left="1440" w:right="720"/>
        <w:rPr>
          <w:b/>
          <w:i/>
        </w:rPr>
      </w:pPr>
    </w:p>
    <w:p w14:paraId="6070B180" w14:textId="2CAA6959" w:rsidR="00CE6CEF" w:rsidRPr="000163E8" w:rsidRDefault="00CE6CEF" w:rsidP="00CE6CEF">
      <w:pPr>
        <w:spacing w:line="480" w:lineRule="auto"/>
        <w:ind w:left="720" w:hanging="720"/>
        <w:rPr>
          <w:b/>
          <w:i/>
        </w:rPr>
      </w:pPr>
      <w:r w:rsidRPr="000163E8">
        <w:rPr>
          <w:b/>
          <w:i/>
        </w:rPr>
        <w:t>Q15.</w:t>
      </w:r>
      <w:r w:rsidRPr="000163E8">
        <w:rPr>
          <w:b/>
          <w:i/>
        </w:rPr>
        <w:tab/>
      </w:r>
      <w:r w:rsidR="009575EE" w:rsidRPr="000163E8">
        <w:rPr>
          <w:b/>
          <w:i/>
        </w:rPr>
        <w:t xml:space="preserve">SHOULD THE </w:t>
      </w:r>
      <w:r w:rsidR="00F87D52" w:rsidRPr="000163E8">
        <w:rPr>
          <w:b/>
          <w:i/>
        </w:rPr>
        <w:t>PUCO PERMIT THE UTILITY TO CHARGE CUSTOMERS IN AN ESP PROCEEDING FOR EXPENSES ASSOCIATED WITH M</w:t>
      </w:r>
      <w:r w:rsidRPr="000163E8">
        <w:rPr>
          <w:b/>
          <w:i/>
        </w:rPr>
        <w:t>AINTAIN</w:t>
      </w:r>
      <w:r w:rsidR="00585817" w:rsidRPr="000163E8">
        <w:rPr>
          <w:b/>
          <w:i/>
        </w:rPr>
        <w:t>ING</w:t>
      </w:r>
      <w:r w:rsidRPr="000163E8">
        <w:rPr>
          <w:b/>
          <w:i/>
        </w:rPr>
        <w:t xml:space="preserve"> THE </w:t>
      </w:r>
      <w:r w:rsidR="00F87D52" w:rsidRPr="000163E8">
        <w:rPr>
          <w:b/>
          <w:i/>
        </w:rPr>
        <w:t>UTILITYS’S DISTRIBUTION SYSTEM?</w:t>
      </w:r>
    </w:p>
    <w:p w14:paraId="5E565856" w14:textId="0208DF78" w:rsidR="00B2555E" w:rsidRDefault="00CE6CEF" w:rsidP="00CE6CEF">
      <w:pPr>
        <w:spacing w:line="480" w:lineRule="auto"/>
        <w:ind w:left="720" w:hanging="720"/>
      </w:pPr>
      <w:r w:rsidRPr="000163E8">
        <w:rPr>
          <w:b/>
          <w:i/>
        </w:rPr>
        <w:t>A15.</w:t>
      </w:r>
      <w:r w:rsidRPr="00CE6CEF">
        <w:tab/>
      </w:r>
      <w:r>
        <w:t xml:space="preserve">No.  </w:t>
      </w:r>
      <w:r w:rsidR="00F87D52">
        <w:t>Duke</w:t>
      </w:r>
      <w:r w:rsidR="009575EE">
        <w:t xml:space="preserve"> </w:t>
      </w:r>
      <w:r w:rsidR="00B2555E">
        <w:t xml:space="preserve">claims that the </w:t>
      </w:r>
      <w:r w:rsidR="009575EE">
        <w:t xml:space="preserve">proposed DCI Rider </w:t>
      </w:r>
      <w:r w:rsidR="00B2555E">
        <w:t xml:space="preserve">is </w:t>
      </w:r>
      <w:r w:rsidR="009575EE">
        <w:t xml:space="preserve">an infrastructure plan and recovery mechanism </w:t>
      </w:r>
      <w:r w:rsidR="00833778">
        <w:t>permitted under</w:t>
      </w:r>
      <w:r w:rsidR="009575EE">
        <w:t xml:space="preserve"> </w:t>
      </w:r>
      <w:r w:rsidR="00525A24">
        <w:t>R.C.</w:t>
      </w:r>
      <w:r w:rsidR="009575EE">
        <w:t xml:space="preserve"> 4928.143(B)(2)(a).</w:t>
      </w:r>
      <w:r w:rsidR="008E63BF">
        <w:rPr>
          <w:rStyle w:val="FootnoteReference"/>
        </w:rPr>
        <w:footnoteReference w:id="38"/>
      </w:r>
      <w:r w:rsidR="009575EE">
        <w:t xml:space="preserve">  </w:t>
      </w:r>
      <w:r w:rsidR="00B2555E">
        <w:t>However, it’s m</w:t>
      </w:r>
      <w:r w:rsidR="009575EE">
        <w:t xml:space="preserve">y understanding that this statute </w:t>
      </w:r>
      <w:r w:rsidR="00F87D52">
        <w:t xml:space="preserve">permits distribution expenses to be collected as part of an ESP if the distribution expenses relate to </w:t>
      </w:r>
      <w:r w:rsidR="009575EE">
        <w:t>infrastructure modernization</w:t>
      </w:r>
      <w:r w:rsidR="00F87D52">
        <w:t>.</w:t>
      </w:r>
      <w:r w:rsidR="009575EE">
        <w:t xml:space="preserve"> </w:t>
      </w:r>
      <w:r w:rsidR="00F87D52">
        <w:t xml:space="preserve">Infrastructure modernization is different from maintaining a utility’s distribution system. </w:t>
      </w:r>
      <w:r w:rsidR="00252386">
        <w:t xml:space="preserve"> </w:t>
      </w:r>
      <w:r w:rsidR="00F87D52">
        <w:t>Expenses associated with maint</w:t>
      </w:r>
      <w:r w:rsidR="000F00E8">
        <w:t>a</w:t>
      </w:r>
      <w:r w:rsidR="00F87D52">
        <w:t xml:space="preserve">ining a utility’s distribution system are those which are generally considered </w:t>
      </w:r>
      <w:r w:rsidR="00AC1EA8">
        <w:t>to be included within existing base distribution rate</w:t>
      </w:r>
      <w:r w:rsidR="00833778">
        <w:t xml:space="preserve">s </w:t>
      </w:r>
      <w:r w:rsidR="00AC1EA8">
        <w:t xml:space="preserve">or </w:t>
      </w:r>
      <w:r w:rsidR="00F87D52">
        <w:t xml:space="preserve">as part of a distribution rate case, which is governed by </w:t>
      </w:r>
      <w:r w:rsidR="00525A24">
        <w:t xml:space="preserve">R.C. </w:t>
      </w:r>
      <w:r w:rsidR="00F87D52">
        <w:t xml:space="preserve">Chapter 4909.  </w:t>
      </w:r>
      <w:r w:rsidR="00833778">
        <w:t>In fact, utilities are required to</w:t>
      </w:r>
      <w:r w:rsidR="000F00E8">
        <w:t xml:space="preserve"> maintain</w:t>
      </w:r>
      <w:r w:rsidR="00833778">
        <w:t xml:space="preserve"> </w:t>
      </w:r>
      <w:r w:rsidR="000F00E8">
        <w:t>necessary and adequate distribution facilities under R.C.</w:t>
      </w:r>
      <w:r w:rsidR="008E63BF">
        <w:t xml:space="preserve"> 4905.22</w:t>
      </w:r>
      <w:r w:rsidR="000F00E8">
        <w:t>.</w:t>
      </w:r>
      <w:r w:rsidR="00417580">
        <w:t xml:space="preserve">  </w:t>
      </w:r>
      <w:r w:rsidR="00B2555E">
        <w:t>My understanding has been confirmed by counsel.</w:t>
      </w:r>
    </w:p>
    <w:p w14:paraId="3187B71B" w14:textId="77777777" w:rsidR="00926760" w:rsidRDefault="00926760" w:rsidP="00CE6CEF">
      <w:pPr>
        <w:spacing w:line="480" w:lineRule="auto"/>
        <w:ind w:left="720" w:hanging="720"/>
        <w:rPr>
          <w:b/>
        </w:rPr>
      </w:pPr>
    </w:p>
    <w:p w14:paraId="3E8854CF" w14:textId="77777777" w:rsidR="00293429" w:rsidRPr="000163E8" w:rsidRDefault="00061A5B" w:rsidP="00CE6CEF">
      <w:pPr>
        <w:spacing w:line="480" w:lineRule="auto"/>
        <w:ind w:left="720" w:hanging="720"/>
        <w:rPr>
          <w:b/>
          <w:i/>
        </w:rPr>
      </w:pPr>
      <w:r w:rsidRPr="000163E8">
        <w:rPr>
          <w:b/>
          <w:i/>
        </w:rPr>
        <w:t>Q16.</w:t>
      </w:r>
      <w:r w:rsidRPr="000163E8">
        <w:rPr>
          <w:b/>
          <w:i/>
        </w:rPr>
        <w:tab/>
      </w:r>
      <w:r w:rsidR="00926760" w:rsidRPr="000163E8">
        <w:rPr>
          <w:b/>
          <w:i/>
        </w:rPr>
        <w:t>CAN YOU</w:t>
      </w:r>
      <w:r w:rsidR="00B2555E" w:rsidRPr="000163E8">
        <w:rPr>
          <w:b/>
          <w:i/>
        </w:rPr>
        <w:t xml:space="preserve"> </w:t>
      </w:r>
      <w:r w:rsidR="00926760" w:rsidRPr="000163E8">
        <w:rPr>
          <w:b/>
          <w:i/>
        </w:rPr>
        <w:t xml:space="preserve">PROVIDE A FEW EXAMPLES OF PROGRAMS THAT DUKE HAS PROPOSED TO </w:t>
      </w:r>
      <w:r w:rsidR="00293429" w:rsidRPr="000163E8">
        <w:rPr>
          <w:b/>
          <w:i/>
        </w:rPr>
        <w:t>INCLUDE IN THE DCI RIDER WH</w:t>
      </w:r>
      <w:r w:rsidR="000F00E8" w:rsidRPr="000163E8">
        <w:rPr>
          <w:b/>
          <w:i/>
        </w:rPr>
        <w:t>ICH APPEAR TO BE MAINTENANCE ACTIVITIES INSTEAD OF INFRASTRUCTURE MODERNIZATION</w:t>
      </w:r>
      <w:r w:rsidR="003A572A" w:rsidRPr="000163E8">
        <w:rPr>
          <w:b/>
          <w:i/>
        </w:rPr>
        <w:t>?</w:t>
      </w:r>
    </w:p>
    <w:p w14:paraId="0F2A666A" w14:textId="15987EA1" w:rsidR="00927856" w:rsidRDefault="00293429">
      <w:pPr>
        <w:spacing w:line="480" w:lineRule="auto"/>
        <w:ind w:left="720" w:hanging="720"/>
      </w:pPr>
      <w:r w:rsidRPr="000163E8">
        <w:rPr>
          <w:b/>
          <w:i/>
        </w:rPr>
        <w:t>A16.</w:t>
      </w:r>
      <w:r>
        <w:tab/>
      </w:r>
      <w:r w:rsidR="003A572A">
        <w:t xml:space="preserve">Yes.  </w:t>
      </w:r>
      <w:r w:rsidR="00927856">
        <w:t xml:space="preserve">I believe all of the programs that were proposed by Duke are more maintenance types of programs </w:t>
      </w:r>
      <w:r w:rsidR="0052759C">
        <w:t xml:space="preserve">rather than </w:t>
      </w:r>
      <w:r w:rsidR="00927856">
        <w:t>infrastructure modernization that might qualify for incentive ratemaking</w:t>
      </w:r>
      <w:r w:rsidR="00AC1EA8">
        <w:t xml:space="preserve"> through the DCI Rider</w:t>
      </w:r>
      <w:r w:rsidR="00927856">
        <w:t xml:space="preserve">.  For example, </w:t>
      </w:r>
      <w:r>
        <w:t>Duke claims that the Vegetation Clearing/ Right-of-Way Acquisition/ Facility Modification Program is intended to identify dead or high risk tree’s or vegetation within or along the right-of-way that pose a risk to overhead lines.</w:t>
      </w:r>
      <w:r>
        <w:rPr>
          <w:rStyle w:val="FootnoteReference"/>
        </w:rPr>
        <w:footnoteReference w:id="39"/>
      </w:r>
      <w:r>
        <w:t xml:space="preserve"> </w:t>
      </w:r>
      <w:r w:rsidR="00C61C5C">
        <w:t xml:space="preserve"> </w:t>
      </w:r>
      <w:r w:rsidR="000A45AE">
        <w:t xml:space="preserve">Yet </w:t>
      </w:r>
      <w:r w:rsidR="00EA725E">
        <w:t>in response to OCC INT-11-242 (attached herein as JDW-</w:t>
      </w:r>
      <w:r w:rsidR="00DF1A7E">
        <w:t>3</w:t>
      </w:r>
      <w:r w:rsidR="00EA725E">
        <w:t xml:space="preserve">), the </w:t>
      </w:r>
      <w:r w:rsidR="004C2B49">
        <w:t xml:space="preserve">Utility </w:t>
      </w:r>
      <w:r w:rsidR="00EA725E">
        <w:t xml:space="preserve">claims that it already removes dead or high risk tree’s or vegetation within or along the right of way that can pose a danger for overhead lines as part of its on-going vegetation management program.  </w:t>
      </w:r>
      <w:r w:rsidR="00BC4F86">
        <w:t xml:space="preserve">Duke acknowledges that this program is a system-integrity-based program being proposed to </w:t>
      </w:r>
      <w:r w:rsidR="00BC4F86" w:rsidRPr="00B94C29">
        <w:rPr>
          <w:i/>
        </w:rPr>
        <w:t>maintain</w:t>
      </w:r>
      <w:r w:rsidR="00BC4F86">
        <w:t xml:space="preserve"> the current level of system asset condition.</w:t>
      </w:r>
      <w:r w:rsidR="00BC4F86">
        <w:rPr>
          <w:rStyle w:val="FootnoteReference"/>
        </w:rPr>
        <w:footnoteReference w:id="40"/>
      </w:r>
      <w:r w:rsidR="00BC4F86">
        <w:t xml:space="preserve">  </w:t>
      </w:r>
      <w:r w:rsidR="00EA725E">
        <w:t>Th</w:t>
      </w:r>
      <w:r w:rsidR="00BC4F86">
        <w:t xml:space="preserve">ere is nothing new in this program other than Dukes </w:t>
      </w:r>
      <w:r w:rsidR="00EA725E">
        <w:t xml:space="preserve">proposal to expand </w:t>
      </w:r>
      <w:r w:rsidR="00224E0D">
        <w:t xml:space="preserve">the program to </w:t>
      </w:r>
      <w:r w:rsidR="00EA725E">
        <w:t>include the removal of emerald ash borer trees that are outside the annual cycle-based</w:t>
      </w:r>
      <w:r w:rsidR="00E108C1">
        <w:t>,</w:t>
      </w:r>
      <w:r w:rsidR="00EA725E">
        <w:t xml:space="preserve"> tree-trimming schedule</w:t>
      </w:r>
      <w:r w:rsidR="00224E0D">
        <w:t xml:space="preserve"> and that are outside of the 20’ wide clearing area</w:t>
      </w:r>
      <w:r w:rsidR="00EA725E">
        <w:t>.</w:t>
      </w:r>
      <w:r w:rsidR="00224E0D">
        <w:rPr>
          <w:rStyle w:val="FootnoteReference"/>
        </w:rPr>
        <w:footnoteReference w:id="41"/>
      </w:r>
    </w:p>
    <w:p w14:paraId="68A7A27C" w14:textId="77777777" w:rsidR="00AC1EA8" w:rsidRDefault="00AC1EA8" w:rsidP="008216BE">
      <w:pPr>
        <w:spacing w:line="480" w:lineRule="auto"/>
        <w:ind w:left="720"/>
      </w:pPr>
    </w:p>
    <w:p w14:paraId="02114ECF" w14:textId="4D760926" w:rsidR="00A54731" w:rsidRDefault="00BC4F86" w:rsidP="008216BE">
      <w:pPr>
        <w:spacing w:line="480" w:lineRule="auto"/>
        <w:ind w:left="720"/>
      </w:pPr>
      <w:r>
        <w:t xml:space="preserve">The proposed Underground Cable Replacement Program is another example of Duke seeking to obtain incentive ratemaking to fund a replacement program that </w:t>
      </w:r>
      <w:r w:rsidR="00AC1EA8">
        <w:t>the Utility</w:t>
      </w:r>
      <w:r>
        <w:t xml:space="preserve"> is already required to provide.  </w:t>
      </w:r>
      <w:r w:rsidR="0057798D">
        <w:t>Duke is required to establish and maintain programs related to the inspection, maintenance, repair and replacement of distribution circuits and equipment such that it can provide safe and reliable service.</w:t>
      </w:r>
      <w:r w:rsidR="0057798D">
        <w:rPr>
          <w:rStyle w:val="FootnoteReference"/>
        </w:rPr>
        <w:footnoteReference w:id="42"/>
      </w:r>
      <w:r w:rsidR="0057798D">
        <w:t xml:space="preserve">  </w:t>
      </w:r>
      <w:r>
        <w:t>This program involves the replacement of underground cab</w:t>
      </w:r>
      <w:r w:rsidR="00927856">
        <w:t xml:space="preserve">le </w:t>
      </w:r>
      <w:r>
        <w:t xml:space="preserve">that the </w:t>
      </w:r>
      <w:r w:rsidR="0052759C">
        <w:t xml:space="preserve">Utility </w:t>
      </w:r>
      <w:r>
        <w:t>determines has reached the end of its useful life.</w:t>
      </w:r>
      <w:r>
        <w:rPr>
          <w:rStyle w:val="FootnoteReference"/>
        </w:rPr>
        <w:footnoteReference w:id="43"/>
      </w:r>
      <w:r>
        <w:t xml:space="preserve">  </w:t>
      </w:r>
      <w:r w:rsidR="00927856">
        <w:t>In response to OCC-INT-11-253 (Attached herein as JDW-</w:t>
      </w:r>
      <w:r w:rsidR="00EB45CB">
        <w:t>7</w:t>
      </w:r>
      <w:r w:rsidR="00927856">
        <w:t xml:space="preserve">), Duke acknowledges that this is system-integrity based program proposed to </w:t>
      </w:r>
      <w:r w:rsidR="00927856" w:rsidRPr="00B94C29">
        <w:rPr>
          <w:i/>
        </w:rPr>
        <w:t>maintain</w:t>
      </w:r>
      <w:r w:rsidR="00927856">
        <w:t xml:space="preserve"> the current level of system asset</w:t>
      </w:r>
      <w:r w:rsidR="00833778">
        <w:t>s.</w:t>
      </w:r>
    </w:p>
    <w:p w14:paraId="6D0913EB" w14:textId="77777777" w:rsidR="001726FB" w:rsidRDefault="001726FB" w:rsidP="008216BE">
      <w:pPr>
        <w:spacing w:line="480" w:lineRule="auto"/>
        <w:ind w:left="720"/>
      </w:pPr>
    </w:p>
    <w:p w14:paraId="104E0B79" w14:textId="6EEB5964" w:rsidR="001726FB" w:rsidRDefault="00A54731" w:rsidP="008216BE">
      <w:pPr>
        <w:spacing w:line="480" w:lineRule="auto"/>
        <w:ind w:left="720"/>
      </w:pPr>
      <w:r>
        <w:t xml:space="preserve">Another example is the Distribution Substation Protection Program that is intended to </w:t>
      </w:r>
      <w:r w:rsidR="000F00E8">
        <w:t>“</w:t>
      </w:r>
      <w:r>
        <w:t>upgrade</w:t>
      </w:r>
      <w:r w:rsidR="000F00E8">
        <w:t>”</w:t>
      </w:r>
      <w:r>
        <w:t xml:space="preserve"> security measures at substations through the installation of cameras, higher fences, and other theft deterrents.  However, according to the </w:t>
      </w:r>
      <w:r w:rsidR="0052759C">
        <w:t xml:space="preserve">Utility </w:t>
      </w:r>
      <w:r>
        <w:t>response to OCC-INT-11-274 (Attached herein as JDW-</w:t>
      </w:r>
      <w:r w:rsidR="00DA6420">
        <w:t>8</w:t>
      </w:r>
      <w:r>
        <w:t>), this is a system</w:t>
      </w:r>
      <w:r w:rsidR="00E108C1">
        <w:t>-</w:t>
      </w:r>
      <w:r>
        <w:t>integrity</w:t>
      </w:r>
      <w:r w:rsidR="00E108C1">
        <w:t>-</w:t>
      </w:r>
      <w:r>
        <w:t xml:space="preserve">based program proposed to </w:t>
      </w:r>
      <w:r w:rsidRPr="00B94C29">
        <w:rPr>
          <w:i/>
        </w:rPr>
        <w:t xml:space="preserve">maintain </w:t>
      </w:r>
      <w:r>
        <w:t xml:space="preserve">the current level of system asset condition.  The current maintenance provisions that the </w:t>
      </w:r>
      <w:r w:rsidR="0052759C">
        <w:t xml:space="preserve">Utility </w:t>
      </w:r>
      <w:r>
        <w:t>is using to protect these facilities appear to be working well considering there have been no customer interruptions due to theft or vandalism in four of the last five years.</w:t>
      </w:r>
      <w:r>
        <w:rPr>
          <w:rStyle w:val="FootnoteReference"/>
        </w:rPr>
        <w:footnoteReference w:id="44"/>
      </w:r>
    </w:p>
    <w:p w14:paraId="1D1AD722" w14:textId="77777777" w:rsidR="003A5192" w:rsidRDefault="003A5192" w:rsidP="00CE6CEF">
      <w:pPr>
        <w:spacing w:line="480" w:lineRule="auto"/>
        <w:ind w:left="720" w:hanging="720"/>
      </w:pPr>
    </w:p>
    <w:p w14:paraId="16B8005A" w14:textId="77777777" w:rsidR="009A03C3" w:rsidRDefault="00AF67DA" w:rsidP="00C367F9">
      <w:pPr>
        <w:spacing w:line="480" w:lineRule="auto"/>
        <w:ind w:left="720"/>
      </w:pPr>
      <w:r>
        <w:t xml:space="preserve">Mr. </w:t>
      </w:r>
      <w:r w:rsidR="004C2B49">
        <w:t>Arnold</w:t>
      </w:r>
      <w:r w:rsidR="0052759C">
        <w:t xml:space="preserve"> </w:t>
      </w:r>
      <w:r w:rsidR="00833778">
        <w:t xml:space="preserve">also </w:t>
      </w:r>
      <w:r w:rsidR="0052759C">
        <w:t xml:space="preserve">testified that </w:t>
      </w:r>
      <w:r>
        <w:t xml:space="preserve">some </w:t>
      </w:r>
      <w:r w:rsidR="000C1F96">
        <w:t xml:space="preserve">components </w:t>
      </w:r>
      <w:r>
        <w:t xml:space="preserve">of the distribution facilities </w:t>
      </w:r>
      <w:r w:rsidR="00833778">
        <w:t xml:space="preserve">were </w:t>
      </w:r>
      <w:r>
        <w:t xml:space="preserve">installed in the </w:t>
      </w:r>
      <w:r w:rsidR="000C1F96">
        <w:t>70’s and 80’s.</w:t>
      </w:r>
      <w:r w:rsidR="000C1F96">
        <w:rPr>
          <w:rStyle w:val="FootnoteReference"/>
        </w:rPr>
        <w:footnoteReference w:id="45"/>
      </w:r>
      <w:r w:rsidR="000C1F96">
        <w:t xml:space="preserve">  However, i</w:t>
      </w:r>
      <w:r>
        <w:t xml:space="preserve">n response to </w:t>
      </w:r>
      <w:r w:rsidR="000C1F96">
        <w:t xml:space="preserve">follow-up discovery, there </w:t>
      </w:r>
      <w:r w:rsidR="00833778">
        <w:t xml:space="preserve">Duke did not indicate that it </w:t>
      </w:r>
      <w:r w:rsidR="000C1F96">
        <w:t xml:space="preserve">is unable to provide safe and reliable service if the PUCO does not approve the </w:t>
      </w:r>
      <w:r w:rsidR="00417580">
        <w:t xml:space="preserve">Rider </w:t>
      </w:r>
      <w:r w:rsidR="000C1F96">
        <w:t>DCI.  For example, in response to OCC-INT-14-376 (Attached herein as JDW-</w:t>
      </w:r>
      <w:r w:rsidR="00DA6420">
        <w:t>10</w:t>
      </w:r>
      <w:r w:rsidR="000C1F96">
        <w:t xml:space="preserve">), Duke was unaware of any distribution wood poles that need to be replaced where the replacement was </w:t>
      </w:r>
      <w:r w:rsidR="00AA195F">
        <w:t xml:space="preserve">to be made only if the </w:t>
      </w:r>
      <w:r w:rsidR="000C1F96">
        <w:t>PUCO approv</w:t>
      </w:r>
      <w:r w:rsidR="00AA195F">
        <w:t>ed</w:t>
      </w:r>
      <w:r w:rsidR="000C1F96">
        <w:t xml:space="preserve"> Rider DCI.  Similarly, Duke was unaware of any overhead or underground transformers that </w:t>
      </w:r>
      <w:r w:rsidR="0052759C">
        <w:t xml:space="preserve">need to be replaced </w:t>
      </w:r>
      <w:r w:rsidR="000C1F96">
        <w:t xml:space="preserve">in order for Duke to </w:t>
      </w:r>
      <w:r w:rsidR="009772F3">
        <w:t>provide safe and reliable service</w:t>
      </w:r>
      <w:r w:rsidR="0052759C">
        <w:t xml:space="preserve"> where the replacement was contingent upon PUCO approval of the Rider DCI</w:t>
      </w:r>
      <w:r w:rsidR="009772F3">
        <w:t>.</w:t>
      </w:r>
      <w:r w:rsidR="009772F3">
        <w:rPr>
          <w:rStyle w:val="FootnoteReference"/>
        </w:rPr>
        <w:footnoteReference w:id="46"/>
      </w:r>
      <w:r w:rsidR="009772F3">
        <w:t xml:space="preserve">  In response to OCC-INT-14-385 (attached herein as JDW-1</w:t>
      </w:r>
      <w:r w:rsidR="00DA6420">
        <w:t>3</w:t>
      </w:r>
      <w:r w:rsidR="009772F3">
        <w:t>), Duke was unaware of any switchgear that needs to be replaced in order for the Utility to provide safe and reliable service</w:t>
      </w:r>
      <w:r w:rsidR="0052759C">
        <w:t xml:space="preserve"> where the replacement was contingent upon PUCO approval of the Rider DCI</w:t>
      </w:r>
      <w:r w:rsidR="009772F3">
        <w:t>.</w:t>
      </w:r>
    </w:p>
    <w:p w14:paraId="0FBCBC92" w14:textId="77777777" w:rsidR="009A03C3" w:rsidRDefault="009A03C3" w:rsidP="00C367F9">
      <w:pPr>
        <w:spacing w:line="480" w:lineRule="auto"/>
        <w:ind w:left="720"/>
      </w:pPr>
    </w:p>
    <w:p w14:paraId="1FE26112" w14:textId="07136FC5" w:rsidR="005A4EC9" w:rsidRPr="00045DDA" w:rsidRDefault="005A4EC9" w:rsidP="002D0DCD">
      <w:pPr>
        <w:spacing w:line="480" w:lineRule="auto"/>
        <w:ind w:left="720" w:hanging="720"/>
        <w:rPr>
          <w:b/>
          <w:i/>
        </w:rPr>
      </w:pPr>
      <w:r w:rsidRPr="00045DDA">
        <w:rPr>
          <w:b/>
          <w:i/>
        </w:rPr>
        <w:t>Q1</w:t>
      </w:r>
      <w:r w:rsidR="000163E8">
        <w:rPr>
          <w:b/>
          <w:i/>
        </w:rPr>
        <w:t>7</w:t>
      </w:r>
      <w:r w:rsidRPr="00045DDA">
        <w:rPr>
          <w:b/>
          <w:i/>
        </w:rPr>
        <w:t>.</w:t>
      </w:r>
      <w:r w:rsidRPr="00045DDA">
        <w:rPr>
          <w:b/>
          <w:i/>
        </w:rPr>
        <w:tab/>
        <w:t xml:space="preserve">DOES </w:t>
      </w:r>
      <w:r w:rsidR="003F6028">
        <w:rPr>
          <w:b/>
          <w:i/>
        </w:rPr>
        <w:t>DUKE</w:t>
      </w:r>
      <w:r w:rsidRPr="00045DDA">
        <w:rPr>
          <w:b/>
          <w:i/>
        </w:rPr>
        <w:t xml:space="preserve"> </w:t>
      </w:r>
      <w:r w:rsidR="00A71BD3">
        <w:rPr>
          <w:b/>
          <w:i/>
        </w:rPr>
        <w:t xml:space="preserve">CLAIM </w:t>
      </w:r>
      <w:r w:rsidRPr="00045DDA">
        <w:rPr>
          <w:b/>
          <w:i/>
        </w:rPr>
        <w:t xml:space="preserve">THAT THE </w:t>
      </w:r>
      <w:r w:rsidR="002058F7">
        <w:rPr>
          <w:b/>
          <w:i/>
        </w:rPr>
        <w:t xml:space="preserve">RIDER </w:t>
      </w:r>
      <w:r w:rsidRPr="00045DDA">
        <w:rPr>
          <w:b/>
          <w:i/>
        </w:rPr>
        <w:t>DCI WILL RESULT</w:t>
      </w:r>
      <w:r w:rsidR="003F6028">
        <w:rPr>
          <w:b/>
          <w:i/>
        </w:rPr>
        <w:t xml:space="preserve"> </w:t>
      </w:r>
      <w:r w:rsidRPr="00045DDA">
        <w:rPr>
          <w:b/>
          <w:i/>
        </w:rPr>
        <w:t>IN REDUCTIONS IN OPERATIONS AND MAINTENANCE COSTS?</w:t>
      </w:r>
    </w:p>
    <w:p w14:paraId="04F671B0" w14:textId="7A6D562B" w:rsidR="009A03C3" w:rsidRDefault="005A4EC9" w:rsidP="009A03C3">
      <w:pPr>
        <w:spacing w:line="480" w:lineRule="auto"/>
        <w:ind w:left="720" w:hanging="720"/>
      </w:pPr>
      <w:r w:rsidRPr="00045DDA">
        <w:rPr>
          <w:b/>
          <w:i/>
        </w:rPr>
        <w:t>A1</w:t>
      </w:r>
      <w:r w:rsidR="000163E8">
        <w:rPr>
          <w:b/>
          <w:i/>
        </w:rPr>
        <w:t>7</w:t>
      </w:r>
      <w:r w:rsidRPr="00045DDA">
        <w:rPr>
          <w:b/>
          <w:i/>
        </w:rPr>
        <w:t>.</w:t>
      </w:r>
      <w:r>
        <w:tab/>
        <w:t>Yes</w:t>
      </w:r>
      <w:r w:rsidR="003F6028">
        <w:t xml:space="preserve">, Duke </w:t>
      </w:r>
      <w:r w:rsidR="00A71BD3">
        <w:t xml:space="preserve">claims </w:t>
      </w:r>
      <w:r>
        <w:t xml:space="preserve">that the replacement of </w:t>
      </w:r>
      <w:r w:rsidR="00A50F5E">
        <w:t xml:space="preserve">obsolete and aging infrastructure </w:t>
      </w:r>
      <w:r>
        <w:t xml:space="preserve">will eventually reduce outages and therefore reduce operating and maintenance </w:t>
      </w:r>
      <w:r w:rsidR="003F6028">
        <w:t xml:space="preserve">(“O&amp;M”) </w:t>
      </w:r>
      <w:r>
        <w:t>costs.</w:t>
      </w:r>
      <w:r>
        <w:rPr>
          <w:rStyle w:val="FootnoteReference"/>
        </w:rPr>
        <w:footnoteReference w:id="47"/>
      </w:r>
      <w:r>
        <w:t xml:space="preserve">  </w:t>
      </w:r>
      <w:r w:rsidR="00936E2A">
        <w:t xml:space="preserve">However, </w:t>
      </w:r>
      <w:r w:rsidR="003F6028">
        <w:t>D</w:t>
      </w:r>
      <w:r w:rsidR="002058F7">
        <w:t>uke</w:t>
      </w:r>
      <w:r w:rsidR="00936E2A">
        <w:t xml:space="preserve"> has not been able to identify the number of outages that are attributed to aged infrastructure and</w:t>
      </w:r>
      <w:r w:rsidR="00E108C1">
        <w:t>,</w:t>
      </w:r>
      <w:r w:rsidR="00936E2A">
        <w:t xml:space="preserve"> therefore, the </w:t>
      </w:r>
      <w:r w:rsidR="00AA195F">
        <w:t>potential</w:t>
      </w:r>
      <w:r w:rsidR="00936E2A">
        <w:t xml:space="preserve"> reductions in O&amp;M </w:t>
      </w:r>
      <w:r w:rsidR="00AA195F">
        <w:t xml:space="preserve">expenses </w:t>
      </w:r>
      <w:r w:rsidR="00936E2A">
        <w:t>are speculative</w:t>
      </w:r>
      <w:r w:rsidR="003F6028">
        <w:t>.</w:t>
      </w:r>
      <w:r w:rsidR="00936E2A">
        <w:rPr>
          <w:rStyle w:val="FootnoteReference"/>
        </w:rPr>
        <w:footnoteReference w:id="48"/>
      </w:r>
      <w:r w:rsidR="00936E2A">
        <w:t xml:space="preserve">  </w:t>
      </w:r>
      <w:r w:rsidR="00A71BD3">
        <w:t xml:space="preserve">Moreover, as noted by OCC Witness Mierzwa, Duke has indicated that these reductions to O&amp;M will not flow through to customers until </w:t>
      </w:r>
      <w:r w:rsidR="00AA195F">
        <w:t xml:space="preserve">(and unless) </w:t>
      </w:r>
      <w:r w:rsidR="00A71BD3">
        <w:t>the Utility files a distribution rate case.</w:t>
      </w:r>
    </w:p>
    <w:p w14:paraId="764B943A" w14:textId="77777777" w:rsidR="004729B5" w:rsidRDefault="004729B5" w:rsidP="009A03C3">
      <w:pPr>
        <w:spacing w:line="480" w:lineRule="auto"/>
        <w:ind w:left="720" w:hanging="720"/>
        <w:rPr>
          <w:b/>
          <w:i/>
        </w:rPr>
      </w:pPr>
    </w:p>
    <w:p w14:paraId="0847B7FE" w14:textId="0C827CB2" w:rsidR="00442A0A" w:rsidRPr="003F6028" w:rsidRDefault="00817B54" w:rsidP="003F6028">
      <w:pPr>
        <w:spacing w:line="480" w:lineRule="auto"/>
        <w:ind w:left="720" w:hanging="720"/>
      </w:pPr>
      <w:r w:rsidRPr="00045DDA">
        <w:rPr>
          <w:b/>
          <w:i/>
        </w:rPr>
        <w:t>Q1</w:t>
      </w:r>
      <w:r w:rsidR="000163E8">
        <w:rPr>
          <w:b/>
          <w:i/>
        </w:rPr>
        <w:t>8</w:t>
      </w:r>
      <w:r w:rsidRPr="00045DDA">
        <w:rPr>
          <w:b/>
          <w:i/>
        </w:rPr>
        <w:t>.</w:t>
      </w:r>
      <w:r w:rsidRPr="00045DDA">
        <w:rPr>
          <w:b/>
          <w:i/>
        </w:rPr>
        <w:tab/>
      </w:r>
      <w:r w:rsidR="004533DD" w:rsidRPr="00045DDA">
        <w:rPr>
          <w:b/>
          <w:i/>
        </w:rPr>
        <w:t xml:space="preserve">CAN YOU BRIEFLY DESCRIBE </w:t>
      </w:r>
      <w:r w:rsidR="00442A0A" w:rsidRPr="00045DDA">
        <w:rPr>
          <w:b/>
          <w:i/>
        </w:rPr>
        <w:t>D</w:t>
      </w:r>
      <w:r w:rsidR="003F6028">
        <w:rPr>
          <w:b/>
          <w:i/>
        </w:rPr>
        <w:t>UKE</w:t>
      </w:r>
      <w:r w:rsidR="00442A0A" w:rsidRPr="00045DDA">
        <w:rPr>
          <w:b/>
          <w:i/>
        </w:rPr>
        <w:t xml:space="preserve">’S RELIABILITY </w:t>
      </w:r>
      <w:r w:rsidR="00BF3E7C" w:rsidRPr="00045DDA">
        <w:rPr>
          <w:b/>
          <w:i/>
        </w:rPr>
        <w:t xml:space="preserve">INDICES </w:t>
      </w:r>
      <w:r w:rsidR="00442A0A" w:rsidRPr="00045DDA">
        <w:rPr>
          <w:b/>
          <w:i/>
        </w:rPr>
        <w:t>AND HOW THESE STANDARDS WERE ESTABLISHED?</w:t>
      </w:r>
    </w:p>
    <w:p w14:paraId="426A4D96" w14:textId="107C8E90" w:rsidR="00605CE2" w:rsidRPr="00D47F10" w:rsidRDefault="00442A0A" w:rsidP="003F6028">
      <w:pPr>
        <w:spacing w:line="480" w:lineRule="auto"/>
        <w:ind w:left="720" w:hanging="720"/>
      </w:pPr>
      <w:r w:rsidRPr="00045DDA">
        <w:rPr>
          <w:b/>
          <w:i/>
        </w:rPr>
        <w:t>A1</w:t>
      </w:r>
      <w:r w:rsidR="000163E8">
        <w:rPr>
          <w:b/>
          <w:i/>
        </w:rPr>
        <w:t>8</w:t>
      </w:r>
      <w:r w:rsidRPr="00045DDA">
        <w:rPr>
          <w:b/>
          <w:i/>
        </w:rPr>
        <w:t>.</w:t>
      </w:r>
      <w:r w:rsidRPr="00D47F10">
        <w:tab/>
        <w:t xml:space="preserve">Yes.  </w:t>
      </w:r>
      <w:r w:rsidR="00484499">
        <w:t xml:space="preserve">Under </w:t>
      </w:r>
      <w:r w:rsidR="000A054D">
        <w:t>R.C.</w:t>
      </w:r>
      <w:r w:rsidR="00592EEB">
        <w:t xml:space="preserve"> 4928.11(A) the PUCO </w:t>
      </w:r>
      <w:r w:rsidR="000A054D">
        <w:t xml:space="preserve">is required </w:t>
      </w:r>
      <w:r w:rsidR="00592EEB">
        <w:t xml:space="preserve">to adopt rules that include prescriptive standards for the inspection, maintenance, repair, and replacement of distribution equipment and specific standards for reliability.  The PUCO has adopted rules in Ohio Admin. Code 4910:1-10-10 that require each electric utility to maintain a </w:t>
      </w:r>
      <w:r w:rsidRPr="00D47F10">
        <w:t xml:space="preserve">SAIFI </w:t>
      </w:r>
      <w:r w:rsidR="00592EEB">
        <w:t xml:space="preserve">standard </w:t>
      </w:r>
      <w:r w:rsidRPr="00D47F10">
        <w:t xml:space="preserve">and a CAIDI </w:t>
      </w:r>
      <w:r w:rsidR="00592EEB">
        <w:t xml:space="preserve">standard.  SAIFI is a measure of the average number of outages that customers experience on an annual basis.  CAIDI is a measure of the average duration of the outage.  </w:t>
      </w:r>
      <w:r w:rsidR="00574D34">
        <w:t xml:space="preserve">In addition, the PUCO rules require electric utilities to report on an annual basis the eight percent worst performing circuits based upon </w:t>
      </w:r>
      <w:r w:rsidR="001A0878">
        <w:t xml:space="preserve">SAIFI, CAIDI, and </w:t>
      </w:r>
      <w:r w:rsidR="00574D34">
        <w:t>SAIDI performance</w:t>
      </w:r>
      <w:r w:rsidR="001A0878">
        <w:t xml:space="preserve"> data</w:t>
      </w:r>
      <w:r w:rsidR="00574D34">
        <w:t>.</w:t>
      </w:r>
      <w:r w:rsidR="00574D34">
        <w:rPr>
          <w:rStyle w:val="FootnoteReference"/>
        </w:rPr>
        <w:footnoteReference w:id="49"/>
      </w:r>
      <w:r w:rsidR="00574D34">
        <w:t xml:space="preserve">  SAIDI</w:t>
      </w:r>
      <w:r w:rsidR="00E108C1">
        <w:t>,</w:t>
      </w:r>
      <w:r w:rsidR="00574D34">
        <w:t xml:space="preserve"> the System Average Interruption Duration Index</w:t>
      </w:r>
      <w:r w:rsidR="00E108C1">
        <w:t>,</w:t>
      </w:r>
      <w:r w:rsidR="00574D34">
        <w:t xml:space="preserve"> is a measure of the </w:t>
      </w:r>
      <w:r w:rsidR="001A0878">
        <w:t xml:space="preserve">average duration of outages at the system level.  </w:t>
      </w:r>
      <w:r w:rsidR="00605CE2">
        <w:t xml:space="preserve">In a reliability proceeding, the electric utility </w:t>
      </w:r>
      <w:r w:rsidR="00771CAE">
        <w:t xml:space="preserve">has the burden of proof </w:t>
      </w:r>
      <w:r w:rsidR="00605CE2">
        <w:t xml:space="preserve">to justify standards based </w:t>
      </w:r>
      <w:r w:rsidR="00605CE2" w:rsidRPr="003F6028">
        <w:t xml:space="preserve">on </w:t>
      </w:r>
      <w:r w:rsidR="00605CE2" w:rsidRPr="002D0DCD">
        <w:t>historical system performance, system design, technological advancements, service area geography, customer perception survey results and other relevant factors.</w:t>
      </w:r>
      <w:r w:rsidR="00605CE2" w:rsidRPr="002D0DCD">
        <w:rPr>
          <w:rStyle w:val="FootnoteReference"/>
        </w:rPr>
        <w:footnoteReference w:id="50"/>
      </w:r>
    </w:p>
    <w:p w14:paraId="032F43D2" w14:textId="77777777" w:rsidR="00592EEB" w:rsidRDefault="00592EEB" w:rsidP="00297D4E">
      <w:pPr>
        <w:spacing w:line="480" w:lineRule="auto"/>
        <w:ind w:left="720" w:hanging="720"/>
      </w:pPr>
    </w:p>
    <w:p w14:paraId="041DA649" w14:textId="54C8F40C" w:rsidR="004729B5" w:rsidRDefault="00B07865" w:rsidP="004729B5">
      <w:pPr>
        <w:spacing w:line="480" w:lineRule="auto"/>
        <w:ind w:left="720"/>
        <w:rPr>
          <w:b/>
          <w:i/>
        </w:rPr>
      </w:pPr>
      <w:r>
        <w:t>D</w:t>
      </w:r>
      <w:r w:rsidR="003F6028">
        <w:t>uke’s</w:t>
      </w:r>
      <w:r>
        <w:t xml:space="preserve"> reliability standards for 2014 are a SAIFI of 1.1 and a CAIDI of 121.25 minutes.</w:t>
      </w:r>
      <w:r w:rsidR="00251D39">
        <w:rPr>
          <w:rStyle w:val="FootnoteReference"/>
        </w:rPr>
        <w:footnoteReference w:id="51"/>
      </w:r>
      <w:r w:rsidR="00D47F10">
        <w:t xml:space="preserve">  For 2015 and 2016, the reliability standards are a SAIFI of 1.05 and a CAIDI of 122.81.</w:t>
      </w:r>
      <w:r w:rsidR="00251D39">
        <w:rPr>
          <w:rStyle w:val="FootnoteReference"/>
        </w:rPr>
        <w:footnoteReference w:id="52"/>
      </w:r>
      <w:r w:rsidR="00442A0A" w:rsidRPr="00D47F10">
        <w:t xml:space="preserve"> </w:t>
      </w:r>
      <w:r>
        <w:t xml:space="preserve"> </w:t>
      </w:r>
      <w:r w:rsidR="003F6028">
        <w:t>It is important to note that t</w:t>
      </w:r>
      <w:r>
        <w:t xml:space="preserve">hese standards exclude outages that are associated with major events, transmission/generation outages, and </w:t>
      </w:r>
      <w:r w:rsidR="00605CE2">
        <w:t xml:space="preserve">those </w:t>
      </w:r>
      <w:r>
        <w:t>outages that have duration</w:t>
      </w:r>
      <w:r w:rsidR="00E108C1">
        <w:t>s</w:t>
      </w:r>
      <w:r>
        <w:t xml:space="preserve"> of less than five minutes.  </w:t>
      </w:r>
      <w:r w:rsidR="003F6028">
        <w:t xml:space="preserve">Thus the standards are </w:t>
      </w:r>
      <w:r w:rsidR="001A0878">
        <w:t xml:space="preserve">applied to the normal performance of the distribution system when there are no other significant </w:t>
      </w:r>
      <w:r w:rsidR="008216BE">
        <w:t xml:space="preserve">major </w:t>
      </w:r>
      <w:r w:rsidR="001A0878">
        <w:t xml:space="preserve">events that can impact </w:t>
      </w:r>
      <w:r w:rsidR="008216BE">
        <w:t xml:space="preserve">system </w:t>
      </w:r>
      <w:r w:rsidR="001A0878">
        <w:t xml:space="preserve">reliability. </w:t>
      </w:r>
      <w:r w:rsidR="003F6028">
        <w:t xml:space="preserve"> </w:t>
      </w:r>
      <w:r w:rsidR="00455257">
        <w:t xml:space="preserve">Based on these standards, </w:t>
      </w:r>
      <w:r w:rsidR="00592EEB">
        <w:t>D</w:t>
      </w:r>
      <w:r w:rsidR="00455257">
        <w:t>uke</w:t>
      </w:r>
      <w:r w:rsidR="00592EEB">
        <w:t xml:space="preserve"> has met or exceeded the reliability standards for each year since 201</w:t>
      </w:r>
      <w:r w:rsidR="00771CAE">
        <w:t>1</w:t>
      </w:r>
      <w:r w:rsidR="001035E8">
        <w:t>.</w:t>
      </w:r>
      <w:r w:rsidR="004729B5">
        <w:rPr>
          <w:b/>
          <w:i/>
        </w:rPr>
        <w:br w:type="page"/>
      </w:r>
    </w:p>
    <w:p w14:paraId="70B77382" w14:textId="22A3E1E4" w:rsidR="003C6BC8" w:rsidRPr="00045DDA" w:rsidRDefault="00605CE2" w:rsidP="00297D4E">
      <w:pPr>
        <w:spacing w:line="480" w:lineRule="auto"/>
        <w:ind w:left="720" w:hanging="720"/>
        <w:rPr>
          <w:b/>
          <w:i/>
        </w:rPr>
      </w:pPr>
      <w:r w:rsidRPr="00045DDA">
        <w:rPr>
          <w:b/>
          <w:i/>
        </w:rPr>
        <w:t>Q1</w:t>
      </w:r>
      <w:r w:rsidR="000163E8">
        <w:rPr>
          <w:b/>
          <w:i/>
        </w:rPr>
        <w:t>9</w:t>
      </w:r>
      <w:r w:rsidRPr="00045DDA">
        <w:rPr>
          <w:b/>
          <w:i/>
        </w:rPr>
        <w:t>.</w:t>
      </w:r>
      <w:r w:rsidRPr="00045DDA">
        <w:rPr>
          <w:b/>
          <w:i/>
        </w:rPr>
        <w:tab/>
      </w:r>
      <w:r w:rsidR="003C6BC8" w:rsidRPr="00045DDA">
        <w:rPr>
          <w:b/>
          <w:i/>
        </w:rPr>
        <w:t xml:space="preserve">IS THE </w:t>
      </w:r>
      <w:r w:rsidR="00817B54" w:rsidRPr="00045DDA">
        <w:rPr>
          <w:b/>
          <w:i/>
        </w:rPr>
        <w:t>CUSTOMER PERCEPTION</w:t>
      </w:r>
      <w:r w:rsidR="003C6BC8" w:rsidRPr="00045DDA">
        <w:rPr>
          <w:b/>
          <w:i/>
        </w:rPr>
        <w:t xml:space="preserve"> SURVEY THAT IS USED AS AN INPUT IN CALCULATING RELIABILITY PERFORMANCE STANDARDS A REASONABLE WAY TO </w:t>
      </w:r>
      <w:r w:rsidR="009D2B51" w:rsidRPr="00045DDA">
        <w:rPr>
          <w:b/>
          <w:i/>
        </w:rPr>
        <w:t xml:space="preserve">MEASURE </w:t>
      </w:r>
      <w:r w:rsidR="003C6BC8" w:rsidRPr="00045DDA">
        <w:rPr>
          <w:b/>
          <w:i/>
        </w:rPr>
        <w:t>CUSTOMER EXPECTATIONS CONCERNING RELI</w:t>
      </w:r>
      <w:r w:rsidR="009D2B51" w:rsidRPr="00045DDA">
        <w:rPr>
          <w:b/>
          <w:i/>
        </w:rPr>
        <w:t>A</w:t>
      </w:r>
      <w:r w:rsidR="003C6BC8" w:rsidRPr="00045DDA">
        <w:rPr>
          <w:b/>
          <w:i/>
        </w:rPr>
        <w:t>BILITY?</w:t>
      </w:r>
    </w:p>
    <w:p w14:paraId="48D74487" w14:textId="17A83977" w:rsidR="00E35A83" w:rsidRDefault="003C6BC8" w:rsidP="00297D4E">
      <w:pPr>
        <w:spacing w:line="480" w:lineRule="auto"/>
        <w:ind w:left="720" w:hanging="720"/>
      </w:pPr>
      <w:r w:rsidRPr="00045DDA">
        <w:rPr>
          <w:b/>
          <w:i/>
        </w:rPr>
        <w:t>A1</w:t>
      </w:r>
      <w:r w:rsidR="000163E8">
        <w:rPr>
          <w:b/>
          <w:i/>
        </w:rPr>
        <w:t>9</w:t>
      </w:r>
      <w:r w:rsidRPr="00045DDA">
        <w:rPr>
          <w:b/>
          <w:i/>
        </w:rPr>
        <w:t>.</w:t>
      </w:r>
      <w:r w:rsidRPr="003C6BC8">
        <w:tab/>
      </w:r>
      <w:r>
        <w:t xml:space="preserve">I believe so.  </w:t>
      </w:r>
      <w:r w:rsidR="00654F80">
        <w:t>Attached herein as JDW-1</w:t>
      </w:r>
      <w:r w:rsidR="00DA6420">
        <w:t>5</w:t>
      </w:r>
      <w:r w:rsidR="00654F80">
        <w:t xml:space="preserve"> is a copy of the PUC</w:t>
      </w:r>
      <w:r w:rsidR="00E108C1">
        <w:t>O’s</w:t>
      </w:r>
      <w:r w:rsidR="00654F80">
        <w:t xml:space="preserve"> Reliability Residential Survey Results that were used in establishing the current Duke reliability standards.</w:t>
      </w:r>
      <w:r w:rsidR="00654F80">
        <w:rPr>
          <w:rStyle w:val="FootnoteReference"/>
        </w:rPr>
        <w:footnoteReference w:id="53"/>
      </w:r>
      <w:r w:rsidR="00654F80">
        <w:t xml:space="preserve">  </w:t>
      </w:r>
      <w:r>
        <w:t>The customer perception survey asks customers how many momentary and sustained interruptions they would find acceptable in a 12</w:t>
      </w:r>
      <w:r w:rsidR="00E108C1">
        <w:t>-</w:t>
      </w:r>
      <w:r>
        <w:t xml:space="preserve">month period and then </w:t>
      </w:r>
      <w:r w:rsidR="009D2B51">
        <w:t xml:space="preserve">inquires about how many momentary and sustained outages were actually experienced in the past 12 months.  The vast majority of respondents would find three (or fewer) momentary outages </w:t>
      </w:r>
      <w:r w:rsidR="00E35A83">
        <w:t>(i</w:t>
      </w:r>
      <w:r w:rsidR="000537BB">
        <w:t xml:space="preserve">.e., </w:t>
      </w:r>
      <w:r w:rsidR="00E35A83">
        <w:t xml:space="preserve">outages with durations of less than 5 minutes) in </w:t>
      </w:r>
      <w:r w:rsidR="009D2B51">
        <w:t>the previous 12 months to be acceptable.</w:t>
      </w:r>
      <w:r w:rsidR="00993593">
        <w:rPr>
          <w:rStyle w:val="FootnoteReference"/>
        </w:rPr>
        <w:footnoteReference w:id="54"/>
      </w:r>
      <w:r w:rsidR="009D2B51">
        <w:t xml:space="preserve">  When asked about the number of momentary outages that were experienced in the previous 12 months, the vast majority of respondents reported having two (or fewer) momentary outages.  </w:t>
      </w:r>
      <w:r w:rsidR="00E35A83">
        <w:t>These results indicate that D</w:t>
      </w:r>
      <w:r w:rsidR="00993593">
        <w:t>uke’s</w:t>
      </w:r>
      <w:r w:rsidR="00E35A83">
        <w:t xml:space="preserve"> customers are generally satisfied with the level of momentary outages that are being experienced.</w:t>
      </w:r>
      <w:r w:rsidR="00993593">
        <w:rPr>
          <w:rStyle w:val="FootnoteReference"/>
        </w:rPr>
        <w:footnoteReference w:id="55"/>
      </w:r>
    </w:p>
    <w:p w14:paraId="38AB600D" w14:textId="04EC57E7" w:rsidR="00E35A83" w:rsidRDefault="00E35A83" w:rsidP="00D50326">
      <w:pPr>
        <w:spacing w:line="480" w:lineRule="auto"/>
        <w:ind w:left="720"/>
      </w:pPr>
      <w:r>
        <w:t>Regarding sustained outages (i</w:t>
      </w:r>
      <w:r w:rsidR="000537BB">
        <w:t xml:space="preserve">.e., </w:t>
      </w:r>
      <w:r>
        <w:t xml:space="preserve">outages with durations greater than </w:t>
      </w:r>
      <w:r w:rsidR="003A75F1">
        <w:t xml:space="preserve">five </w:t>
      </w:r>
      <w:r>
        <w:t>minutes), the vast majority of respondents would consider two (or fewer) sustained outages in a 12 month period to be acceptable.</w:t>
      </w:r>
      <w:r w:rsidR="00993593">
        <w:rPr>
          <w:rStyle w:val="FootnoteReference"/>
        </w:rPr>
        <w:footnoteReference w:id="56"/>
      </w:r>
      <w:r>
        <w:t xml:space="preserve">  The majority of respondents reported having either no outages or only one outage in the previous 12 months.</w:t>
      </w:r>
      <w:r w:rsidR="00993593">
        <w:rPr>
          <w:rStyle w:val="FootnoteReference"/>
        </w:rPr>
        <w:footnoteReference w:id="57"/>
      </w:r>
      <w:r>
        <w:t xml:space="preserve">  These results indicate that D</w:t>
      </w:r>
      <w:r w:rsidR="00993593">
        <w:t>uke’s</w:t>
      </w:r>
      <w:r>
        <w:t xml:space="preserve"> customers are generally satisfied with the number of sustained outages </w:t>
      </w:r>
      <w:r w:rsidR="00D50326">
        <w:t>in the last 12 months.</w:t>
      </w:r>
    </w:p>
    <w:p w14:paraId="2190A752" w14:textId="77777777" w:rsidR="00D50326" w:rsidRDefault="00D50326" w:rsidP="00D50326">
      <w:pPr>
        <w:spacing w:line="480" w:lineRule="auto"/>
        <w:ind w:left="720"/>
      </w:pPr>
    </w:p>
    <w:p w14:paraId="456FAB0A" w14:textId="29F572DB" w:rsidR="00AD0887" w:rsidRDefault="00D50326" w:rsidP="00D50326">
      <w:pPr>
        <w:spacing w:line="480" w:lineRule="auto"/>
        <w:ind w:left="720"/>
      </w:pPr>
      <w:r>
        <w:t xml:space="preserve">The customer perception survey also </w:t>
      </w:r>
      <w:r w:rsidR="0052759C">
        <w:t xml:space="preserve">asks </w:t>
      </w:r>
      <w:r>
        <w:t xml:space="preserve">customers the maximum amount of money </w:t>
      </w:r>
      <w:r w:rsidR="00AD0887">
        <w:t xml:space="preserve">that </w:t>
      </w:r>
      <w:r w:rsidR="003A75F1">
        <w:t xml:space="preserve">they </w:t>
      </w:r>
      <w:r w:rsidR="00AD0887">
        <w:t>would be willing to have included on their electric bill to avoid a one-hour or two-hour electric outage.</w:t>
      </w:r>
      <w:r w:rsidR="00993593">
        <w:rPr>
          <w:rStyle w:val="FootnoteReference"/>
        </w:rPr>
        <w:footnoteReference w:id="58"/>
      </w:r>
      <w:r w:rsidR="00AD0887">
        <w:t xml:space="preserve">  The vast majority of respondents were unwilling to have any additional charge added to their bill to avoid outage durations of up to two hours.</w:t>
      </w:r>
      <w:r w:rsidR="00993593">
        <w:rPr>
          <w:rStyle w:val="FootnoteReference"/>
        </w:rPr>
        <w:footnoteReference w:id="59"/>
      </w:r>
      <w:r w:rsidR="00E35A83">
        <w:t xml:space="preserve"> </w:t>
      </w:r>
      <w:r w:rsidR="00CB4978">
        <w:t xml:space="preserve"> </w:t>
      </w:r>
      <w:r w:rsidR="00AD0887">
        <w:t xml:space="preserve">These results indicate that customers are unwilling to pay for a level of reliability that exceeds the reliability that customers are </w:t>
      </w:r>
      <w:r w:rsidR="00C0337B">
        <w:t xml:space="preserve">already </w:t>
      </w:r>
      <w:r w:rsidR="00AD0887">
        <w:t>receiving.</w:t>
      </w:r>
    </w:p>
    <w:p w14:paraId="07519A2D" w14:textId="77777777" w:rsidR="004729B5" w:rsidRDefault="004729B5" w:rsidP="00D50326">
      <w:pPr>
        <w:spacing w:line="480" w:lineRule="auto"/>
        <w:ind w:left="720"/>
      </w:pPr>
    </w:p>
    <w:p w14:paraId="18A32C39" w14:textId="3F083EA9" w:rsidR="00646C46" w:rsidRPr="00045DDA" w:rsidRDefault="00646C46" w:rsidP="00646C46">
      <w:pPr>
        <w:spacing w:line="480" w:lineRule="auto"/>
        <w:ind w:left="720" w:hanging="720"/>
        <w:rPr>
          <w:b/>
          <w:i/>
        </w:rPr>
      </w:pPr>
      <w:r w:rsidRPr="00045DDA">
        <w:rPr>
          <w:b/>
          <w:i/>
        </w:rPr>
        <w:t>Q</w:t>
      </w:r>
      <w:r w:rsidR="000163E8">
        <w:rPr>
          <w:b/>
          <w:i/>
        </w:rPr>
        <w:t>20</w:t>
      </w:r>
      <w:r w:rsidRPr="00045DDA">
        <w:rPr>
          <w:b/>
          <w:i/>
        </w:rPr>
        <w:t>.</w:t>
      </w:r>
      <w:r w:rsidRPr="00045DDA">
        <w:rPr>
          <w:b/>
          <w:i/>
        </w:rPr>
        <w:tab/>
        <w:t>DOES D</w:t>
      </w:r>
      <w:r w:rsidR="00993593">
        <w:rPr>
          <w:b/>
          <w:i/>
        </w:rPr>
        <w:t>UKE</w:t>
      </w:r>
      <w:r w:rsidRPr="00045DDA">
        <w:rPr>
          <w:b/>
          <w:i/>
        </w:rPr>
        <w:t xml:space="preserve"> RELY UPON THE CUSTOMER PERCEPTION SURVEY </w:t>
      </w:r>
      <w:r w:rsidR="003C6BC8" w:rsidRPr="00045DDA">
        <w:rPr>
          <w:b/>
          <w:i/>
        </w:rPr>
        <w:t xml:space="preserve">TO </w:t>
      </w:r>
      <w:r w:rsidRPr="00045DDA">
        <w:rPr>
          <w:b/>
          <w:i/>
        </w:rPr>
        <w:t>DETERMINE CUSTOMER RELIABILITY EXPECTATIONS?</w:t>
      </w:r>
    </w:p>
    <w:p w14:paraId="46E43C6E" w14:textId="2811AFB2" w:rsidR="00045DDA" w:rsidRDefault="00646C46" w:rsidP="00646C46">
      <w:pPr>
        <w:spacing w:line="480" w:lineRule="auto"/>
        <w:ind w:left="720" w:hanging="720"/>
      </w:pPr>
      <w:r w:rsidRPr="00045DDA">
        <w:rPr>
          <w:b/>
          <w:i/>
        </w:rPr>
        <w:t>A</w:t>
      </w:r>
      <w:r w:rsidR="000163E8">
        <w:rPr>
          <w:b/>
          <w:i/>
        </w:rPr>
        <w:t>20</w:t>
      </w:r>
      <w:r w:rsidRPr="00045DDA">
        <w:rPr>
          <w:b/>
          <w:i/>
        </w:rPr>
        <w:t>.</w:t>
      </w:r>
      <w:r>
        <w:tab/>
        <w:t xml:space="preserve">No.  </w:t>
      </w:r>
      <w:r w:rsidR="00993593">
        <w:t>Duke</w:t>
      </w:r>
      <w:r>
        <w:t xml:space="preserve"> claims that the surveys are not used for planning purposes</w:t>
      </w:r>
      <w:r w:rsidR="00CE3A8F">
        <w:t>.</w:t>
      </w:r>
      <w:r w:rsidR="00CE3A8F">
        <w:rPr>
          <w:rStyle w:val="FootnoteReference"/>
        </w:rPr>
        <w:footnoteReference w:id="60"/>
      </w:r>
      <w:r w:rsidR="00CE3A8F">
        <w:t xml:space="preserve"> </w:t>
      </w:r>
      <w:r w:rsidR="00444780">
        <w:t xml:space="preserve"> </w:t>
      </w:r>
      <w:r w:rsidR="001A0878">
        <w:t xml:space="preserve">Yet these are the </w:t>
      </w:r>
      <w:r w:rsidR="00FB5D44">
        <w:t xml:space="preserve">very </w:t>
      </w:r>
      <w:r w:rsidR="001A0878">
        <w:t xml:space="preserve">same surveys that Duke is required to use </w:t>
      </w:r>
      <w:r w:rsidR="00FB5D44">
        <w:t>as an input for calculating new reliability performance standards.</w:t>
      </w:r>
      <w:r w:rsidR="00FB5D44">
        <w:rPr>
          <w:rStyle w:val="FootnoteReference"/>
        </w:rPr>
        <w:footnoteReference w:id="61"/>
      </w:r>
      <w:r w:rsidR="00FB5D44">
        <w:t xml:space="preserve">  </w:t>
      </w:r>
      <w:r w:rsidR="00CE3A8F">
        <w:t xml:space="preserve">Based on follow-up discovery concerning why the surveys were not the basis for planning customer expectations the </w:t>
      </w:r>
      <w:r w:rsidR="00993593">
        <w:t>Utilit</w:t>
      </w:r>
      <w:r w:rsidR="00CE3A8F">
        <w:t>y claimed that the surveys do not meet Duke</w:t>
      </w:r>
      <w:r w:rsidR="00E840E3">
        <w:t>’s</w:t>
      </w:r>
      <w:r w:rsidR="00CE3A8F">
        <w:t xml:space="preserve"> standards.</w:t>
      </w:r>
      <w:r w:rsidR="00FB5D44">
        <w:rPr>
          <w:rStyle w:val="FootnoteReference"/>
        </w:rPr>
        <w:footnoteReference w:id="62"/>
      </w:r>
      <w:r w:rsidR="00CE3A8F">
        <w:t xml:space="preserve">  </w:t>
      </w:r>
      <w:r w:rsidR="00654F80">
        <w:t>But the Duke standards are not defined</w:t>
      </w:r>
      <w:r w:rsidR="00E108C1">
        <w:t>.</w:t>
      </w:r>
      <w:r w:rsidR="00FD386E">
        <w:t xml:space="preserve"> </w:t>
      </w:r>
      <w:r w:rsidR="00444780">
        <w:t xml:space="preserve"> </w:t>
      </w:r>
      <w:r w:rsidR="00E108C1">
        <w:t>T</w:t>
      </w:r>
      <w:r w:rsidR="00CE3A8F">
        <w:t xml:space="preserve">he </w:t>
      </w:r>
      <w:r w:rsidR="00993593">
        <w:t>Utilit</w:t>
      </w:r>
      <w:r w:rsidR="00CE3A8F">
        <w:t>y claim</w:t>
      </w:r>
      <w:r w:rsidR="00654F80">
        <w:t>s</w:t>
      </w:r>
      <w:r w:rsidR="00CE3A8F">
        <w:t xml:space="preserve"> that it only relies upon a J.D. Power and Associates survey fo</w:t>
      </w:r>
      <w:r w:rsidR="00B1662D">
        <w:t>r the purposes of consistenc</w:t>
      </w:r>
      <w:r w:rsidR="00861098">
        <w:t>y</w:t>
      </w:r>
      <w:r w:rsidR="00FB5D44">
        <w:t>.</w:t>
      </w:r>
      <w:r w:rsidR="00F12AAF">
        <w:rPr>
          <w:rStyle w:val="FootnoteReference"/>
        </w:rPr>
        <w:footnoteReference w:id="63"/>
      </w:r>
      <w:r w:rsidR="00FB5D44">
        <w:t xml:space="preserve">  However, these</w:t>
      </w:r>
      <w:r w:rsidR="00087C09">
        <w:t xml:space="preserve"> J.D. Power and Associates </w:t>
      </w:r>
      <w:r w:rsidR="00FB5D44">
        <w:t xml:space="preserve">customer satisfaction results </w:t>
      </w:r>
      <w:r w:rsidR="00E108C1">
        <w:t>involve</w:t>
      </w:r>
      <w:r w:rsidR="00FB5D44">
        <w:t xml:space="preserve"> Ohio </w:t>
      </w:r>
      <w:r w:rsidR="00171029">
        <w:t xml:space="preserve">and Kentucky and are part of a Midwest Summary Presentation that </w:t>
      </w:r>
      <w:r w:rsidR="00087C09">
        <w:t xml:space="preserve">is </w:t>
      </w:r>
      <w:r w:rsidR="00171029">
        <w:t xml:space="preserve">not </w:t>
      </w:r>
      <w:r w:rsidR="00087C09">
        <w:t xml:space="preserve">Duke </w:t>
      </w:r>
      <w:r w:rsidR="00FB5D44">
        <w:t>Ohio</w:t>
      </w:r>
      <w:r w:rsidR="00171029">
        <w:t xml:space="preserve"> </w:t>
      </w:r>
      <w:r w:rsidR="00087C09">
        <w:t xml:space="preserve">customer </w:t>
      </w:r>
      <w:r w:rsidR="00171029">
        <w:t>specific</w:t>
      </w:r>
      <w:r w:rsidR="00FB5D44">
        <w:t>.</w:t>
      </w:r>
      <w:r w:rsidR="00171029">
        <w:rPr>
          <w:rStyle w:val="FootnoteReference"/>
        </w:rPr>
        <w:footnoteReference w:id="64"/>
      </w:r>
    </w:p>
    <w:p w14:paraId="3CEF2ADE" w14:textId="77777777" w:rsidR="00087C09" w:rsidRDefault="00087C09" w:rsidP="00171029">
      <w:pPr>
        <w:spacing w:line="480" w:lineRule="auto"/>
        <w:ind w:left="720"/>
      </w:pPr>
    </w:p>
    <w:p w14:paraId="3E4C577F" w14:textId="66FBCC26" w:rsidR="00F12AAF" w:rsidRDefault="00AA195F" w:rsidP="00417580">
      <w:pPr>
        <w:spacing w:line="480" w:lineRule="auto"/>
        <w:ind w:left="720"/>
      </w:pPr>
      <w:r>
        <w:t>T</w:t>
      </w:r>
      <w:r w:rsidR="00C0337B">
        <w:t xml:space="preserve">he J.D. Power and Associates survey may </w:t>
      </w:r>
      <w:r w:rsidR="00993593">
        <w:t xml:space="preserve">have some </w:t>
      </w:r>
      <w:r w:rsidR="00171029">
        <w:t xml:space="preserve">broad company-wide </w:t>
      </w:r>
      <w:r w:rsidR="00993593">
        <w:t>uses</w:t>
      </w:r>
      <w:r w:rsidR="00171029">
        <w:t xml:space="preserve"> for Duke related to its services in several states</w:t>
      </w:r>
      <w:r>
        <w:t xml:space="preserve">.  But </w:t>
      </w:r>
      <w:r w:rsidR="00C0337B">
        <w:t>the customer perception survey</w:t>
      </w:r>
      <w:r w:rsidR="00E108C1">
        <w:t>, which</w:t>
      </w:r>
      <w:r w:rsidR="00C0337B">
        <w:t xml:space="preserve"> </w:t>
      </w:r>
      <w:r w:rsidR="00171029">
        <w:t>is required pursuant to the PUCO rules</w:t>
      </w:r>
      <w:r w:rsidR="00E108C1">
        <w:t>,</w:t>
      </w:r>
      <w:r w:rsidR="00F12AAF">
        <w:rPr>
          <w:rStyle w:val="FootnoteReference"/>
        </w:rPr>
        <w:footnoteReference w:id="65"/>
      </w:r>
      <w:r w:rsidR="00171029">
        <w:t xml:space="preserve"> should be </w:t>
      </w:r>
      <w:r w:rsidR="00C0337B">
        <w:t>used to help develop reliability performance standards for any distribution infrastructure improvements that impact reliability</w:t>
      </w:r>
      <w:r w:rsidR="00087C09">
        <w:t xml:space="preserve"> for Duke Ohio customers</w:t>
      </w:r>
      <w:r w:rsidR="00C0337B">
        <w:t>.</w:t>
      </w:r>
      <w:r w:rsidR="00B1662D">
        <w:t xml:space="preserve"> </w:t>
      </w:r>
      <w:r w:rsidR="00444780">
        <w:t xml:space="preserve"> </w:t>
      </w:r>
      <w:r w:rsidR="00676519">
        <w:t xml:space="preserve">The customer perception survey is conducted by polling </w:t>
      </w:r>
      <w:r w:rsidR="00087C09">
        <w:t xml:space="preserve">actual </w:t>
      </w:r>
      <w:r w:rsidR="00676519">
        <w:t>Duke’s customers.  The J.D. Power survey is not based on Duke customer</w:t>
      </w:r>
      <w:r w:rsidR="00861098">
        <w:t xml:space="preserve"> responses</w:t>
      </w:r>
      <w:r w:rsidR="00676519">
        <w:t xml:space="preserve">, but on </w:t>
      </w:r>
      <w:r w:rsidR="00171029">
        <w:t xml:space="preserve">a more regional basis.  </w:t>
      </w:r>
      <w:r w:rsidR="00087C09">
        <w:t xml:space="preserve">The Ohio customer focus is </w:t>
      </w:r>
      <w:r w:rsidR="00B1662D">
        <w:t xml:space="preserve">especially important in determining </w:t>
      </w:r>
      <w:r>
        <w:t xml:space="preserve">whether </w:t>
      </w:r>
      <w:r w:rsidR="00B1662D">
        <w:t>D</w:t>
      </w:r>
      <w:r w:rsidR="00993593">
        <w:t>uke’s</w:t>
      </w:r>
      <w:r w:rsidR="00B1662D">
        <w:t xml:space="preserve"> customers are </w:t>
      </w:r>
      <w:r>
        <w:t xml:space="preserve">willing or able </w:t>
      </w:r>
      <w:r w:rsidR="00B1662D">
        <w:t>to pay higher electric bills for additional reliability</w:t>
      </w:r>
      <w:r>
        <w:t>.</w:t>
      </w:r>
      <w:r w:rsidR="00B1662D">
        <w:t xml:space="preserve">  </w:t>
      </w:r>
      <w:r w:rsidR="00171029">
        <w:t>In response to OCC-INT-11-308 (Attached herein as JDW-1</w:t>
      </w:r>
      <w:r w:rsidR="00EC0B54">
        <w:t>7</w:t>
      </w:r>
      <w:r w:rsidR="00171029">
        <w:t xml:space="preserve">), the </w:t>
      </w:r>
      <w:r w:rsidR="00E108C1">
        <w:t xml:space="preserve">Utility </w:t>
      </w:r>
      <w:r w:rsidR="00171029">
        <w:t xml:space="preserve">stated that it has conducted no customer surveys to determine to what extent customers are willing to pay higher rates in order to get better service quality.  </w:t>
      </w:r>
      <w:r w:rsidR="00693A9E">
        <w:t>However, the PUCO required survey that was mentioned earlier in this testimony demonstrates an unwillingness by customers to pay more to avoid many of the non-major outages.</w:t>
      </w:r>
    </w:p>
    <w:p w14:paraId="57BAB758" w14:textId="77777777" w:rsidR="004729B5" w:rsidRDefault="006334B2" w:rsidP="00444780">
      <w:pPr>
        <w:spacing w:line="480" w:lineRule="auto"/>
        <w:ind w:left="720"/>
      </w:pPr>
      <w:r>
        <w:t>It’s my understanding that Ohio law requires the PUCO Commission to examine the reliability of an electric distribution system to determine if the custome</w:t>
      </w:r>
      <w:r w:rsidR="00AA195F">
        <w:t>rs’</w:t>
      </w:r>
      <w:r>
        <w:t xml:space="preserve"> and </w:t>
      </w:r>
      <w:r w:rsidR="00AA195F">
        <w:t>u</w:t>
      </w:r>
      <w:r>
        <w:t>tilitie</w:t>
      </w:r>
      <w:r w:rsidR="00AA195F">
        <w:t>s’</w:t>
      </w:r>
      <w:r>
        <w:t xml:space="preserve"> expectations concerning reliability are aligned prior to approving </w:t>
      </w:r>
      <w:r w:rsidR="004E0E7E">
        <w:t>an</w:t>
      </w:r>
      <w:r>
        <w:t xml:space="preserve"> infrastructure modernization plan.</w:t>
      </w:r>
      <w:r>
        <w:rPr>
          <w:rStyle w:val="FootnoteReference"/>
        </w:rPr>
        <w:footnoteReference w:id="66"/>
      </w:r>
      <w:r>
        <w:t xml:space="preserve">  To the extent that </w:t>
      </w:r>
      <w:r w:rsidR="00087C09">
        <w:t xml:space="preserve">Dukes’ </w:t>
      </w:r>
      <w:r>
        <w:t xml:space="preserve">PUCO customer perception survey indicates </w:t>
      </w:r>
      <w:r w:rsidR="00D32601">
        <w:t xml:space="preserve">that </w:t>
      </w:r>
      <w:r w:rsidR="00087C09">
        <w:t xml:space="preserve">the Utility </w:t>
      </w:r>
      <w:r w:rsidR="00D32601">
        <w:t>customers are unwilling to pay more to avoid non-major outages</w:t>
      </w:r>
      <w:r w:rsidR="00417580">
        <w:t xml:space="preserve">, </w:t>
      </w:r>
      <w:r w:rsidR="00D32601">
        <w:t>customer</w:t>
      </w:r>
      <w:r w:rsidR="00087C09">
        <w:t>s’</w:t>
      </w:r>
      <w:r w:rsidR="00D32601">
        <w:t xml:space="preserve"> and Duke</w:t>
      </w:r>
      <w:r w:rsidR="00087C09">
        <w:t>s</w:t>
      </w:r>
      <w:r w:rsidR="00D32601">
        <w:t>’ expectations concerning reliability</w:t>
      </w:r>
      <w:r w:rsidR="00AA195F">
        <w:t xml:space="preserve"> are not aligned</w:t>
      </w:r>
      <w:r w:rsidR="00D32601">
        <w:t>.  Approval of the Rider DCI</w:t>
      </w:r>
      <w:r w:rsidR="00AA195F">
        <w:t>, as proposed by Duke</w:t>
      </w:r>
      <w:r w:rsidR="00417580">
        <w:t>,</w:t>
      </w:r>
      <w:r w:rsidR="00D32601">
        <w:t xml:space="preserve"> </w:t>
      </w:r>
      <w:r w:rsidR="00AA195F">
        <w:t xml:space="preserve">appears to </w:t>
      </w:r>
      <w:r w:rsidR="00D32601">
        <w:t>contradict Ohio law.</w:t>
      </w:r>
    </w:p>
    <w:p w14:paraId="66CA3B04" w14:textId="77777777" w:rsidR="004729B5" w:rsidRDefault="004729B5" w:rsidP="00444780">
      <w:pPr>
        <w:spacing w:line="480" w:lineRule="auto"/>
        <w:ind w:left="720"/>
      </w:pPr>
    </w:p>
    <w:p w14:paraId="223C6B79" w14:textId="7691A617" w:rsidR="00B1662D" w:rsidRPr="00045DDA" w:rsidRDefault="00B1662D" w:rsidP="003F3E3C">
      <w:pPr>
        <w:spacing w:line="480" w:lineRule="auto"/>
        <w:ind w:left="720" w:hanging="720"/>
        <w:rPr>
          <w:b/>
          <w:i/>
        </w:rPr>
      </w:pPr>
      <w:r w:rsidRPr="00045DDA">
        <w:rPr>
          <w:b/>
          <w:i/>
        </w:rPr>
        <w:t>Q</w:t>
      </w:r>
      <w:r w:rsidR="000163E8">
        <w:rPr>
          <w:b/>
          <w:i/>
        </w:rPr>
        <w:t>21</w:t>
      </w:r>
      <w:r w:rsidRPr="00045DDA">
        <w:rPr>
          <w:b/>
          <w:i/>
        </w:rPr>
        <w:t>.</w:t>
      </w:r>
      <w:r w:rsidRPr="00045DDA">
        <w:rPr>
          <w:b/>
          <w:i/>
        </w:rPr>
        <w:tab/>
        <w:t xml:space="preserve">WHAT IS YOUR RECOMMENDATION CONCERNING THE </w:t>
      </w:r>
      <w:r w:rsidR="00861098">
        <w:rPr>
          <w:b/>
          <w:i/>
        </w:rPr>
        <w:t xml:space="preserve">RIDER </w:t>
      </w:r>
      <w:r w:rsidRPr="00045DDA">
        <w:rPr>
          <w:b/>
          <w:i/>
        </w:rPr>
        <w:t>DCI</w:t>
      </w:r>
      <w:r w:rsidR="003F3E3C" w:rsidRPr="00045DDA">
        <w:rPr>
          <w:b/>
          <w:i/>
        </w:rPr>
        <w:t>?</w:t>
      </w:r>
    </w:p>
    <w:p w14:paraId="02F3B7F5" w14:textId="7AD8C362" w:rsidR="00FF5A49" w:rsidRDefault="00297D4E" w:rsidP="003F3E3C">
      <w:pPr>
        <w:spacing w:line="480" w:lineRule="auto"/>
        <w:ind w:left="720" w:hanging="720"/>
      </w:pPr>
      <w:r w:rsidRPr="00F95936">
        <w:rPr>
          <w:b/>
          <w:i/>
        </w:rPr>
        <w:t>A</w:t>
      </w:r>
      <w:r w:rsidR="000163E8">
        <w:rPr>
          <w:b/>
          <w:i/>
        </w:rPr>
        <w:t>21</w:t>
      </w:r>
      <w:r w:rsidRPr="00F95936">
        <w:rPr>
          <w:i/>
        </w:rPr>
        <w:t>.</w:t>
      </w:r>
      <w:r>
        <w:tab/>
      </w:r>
      <w:r w:rsidR="003F3E3C">
        <w:t>Based upon the large number of at-risk customers in D</w:t>
      </w:r>
      <w:r w:rsidR="00E840E3">
        <w:t>uke’s</w:t>
      </w:r>
      <w:r w:rsidR="003F3E3C">
        <w:t xml:space="preserve"> service territory who would be </w:t>
      </w:r>
      <w:r w:rsidR="00FF5A49">
        <w:t xml:space="preserve">hurt by </w:t>
      </w:r>
      <w:r w:rsidR="003A75F1">
        <w:t xml:space="preserve">unreasonable price </w:t>
      </w:r>
      <w:r w:rsidR="003F3E3C">
        <w:t>increases in electric bills</w:t>
      </w:r>
      <w:r w:rsidR="00FF5A49">
        <w:t xml:space="preserve"> I recommend that the DCI rider be rejected.  Additionally, I conclude that</w:t>
      </w:r>
      <w:r w:rsidR="00693A9E">
        <w:t xml:space="preserve"> Duke has not demonstrated that the proposed rider DCI is an infrastructure modernization program as required by law</w:t>
      </w:r>
      <w:r w:rsidR="00FF5A49">
        <w:t xml:space="preserve">.  This is another reason for the </w:t>
      </w:r>
      <w:r w:rsidR="003F3E3C">
        <w:t xml:space="preserve">PUCO </w:t>
      </w:r>
      <w:r w:rsidR="00FF5A49">
        <w:t xml:space="preserve">to </w:t>
      </w:r>
      <w:r w:rsidR="003F3E3C">
        <w:t>reject the proposed DCI Rider</w:t>
      </w:r>
      <w:r w:rsidR="00FF5A49">
        <w:t xml:space="preserve">.  Finally, I conclude that customers’ interests and the utilities’ interests are not aligned, which is a requirement under the statute. </w:t>
      </w:r>
      <w:r w:rsidR="00484499">
        <w:t xml:space="preserve"> </w:t>
      </w:r>
      <w:r w:rsidR="00FF5A49">
        <w:t>All of these conclusions lead me to recommend that the PUCO reject the DCI rider.</w:t>
      </w:r>
    </w:p>
    <w:p w14:paraId="5AE4F1EB" w14:textId="77777777" w:rsidR="00FF5A49" w:rsidRDefault="00FF5A49" w:rsidP="00B94C29">
      <w:pPr>
        <w:spacing w:line="480" w:lineRule="auto"/>
        <w:ind w:left="720"/>
        <w:rPr>
          <w:b/>
          <w:i/>
        </w:rPr>
      </w:pPr>
    </w:p>
    <w:p w14:paraId="1C219BE4" w14:textId="14F24496" w:rsidR="002D4FB4" w:rsidRDefault="003F3E3C" w:rsidP="00B94C29">
      <w:pPr>
        <w:spacing w:line="480" w:lineRule="auto"/>
        <w:ind w:left="720"/>
      </w:pPr>
      <w:bookmarkStart w:id="11" w:name="_Toc200862193"/>
      <w:bookmarkStart w:id="12" w:name="_Toc200862239"/>
      <w:bookmarkStart w:id="13" w:name="_Toc200862280"/>
      <w:bookmarkStart w:id="14" w:name="_Toc250355738"/>
      <w:bookmarkStart w:id="15" w:name="_Toc264032016"/>
      <w:bookmarkStart w:id="16" w:name="_Toc317859577"/>
      <w:bookmarkStart w:id="17" w:name="_Toc317859765"/>
      <w:bookmarkStart w:id="18" w:name="_Toc386462076"/>
      <w:r>
        <w:t>In the alternative</w:t>
      </w:r>
      <w:r w:rsidR="003A75F1">
        <w:t>, if</w:t>
      </w:r>
      <w:r>
        <w:t xml:space="preserve"> the PUCO chooses to approve the </w:t>
      </w:r>
      <w:r w:rsidR="00861098">
        <w:t xml:space="preserve">Rider </w:t>
      </w:r>
      <w:r>
        <w:t xml:space="preserve">DCI, </w:t>
      </w:r>
      <w:r w:rsidR="00FF5A49">
        <w:t xml:space="preserve">contrary to my recommendation otherwise, </w:t>
      </w:r>
      <w:r>
        <w:t>I recommend that the</w:t>
      </w:r>
      <w:r w:rsidR="00E840E3">
        <w:t xml:space="preserve"> PUCO</w:t>
      </w:r>
      <w:r>
        <w:t xml:space="preserve"> require D</w:t>
      </w:r>
      <w:r w:rsidR="00E840E3">
        <w:t>uke</w:t>
      </w:r>
      <w:r>
        <w:t xml:space="preserve"> to conduct </w:t>
      </w:r>
      <w:r w:rsidR="00893EDA">
        <w:t xml:space="preserve">a </w:t>
      </w:r>
      <w:r>
        <w:t>cost</w:t>
      </w:r>
      <w:r w:rsidR="003A75F1">
        <w:t>-</w:t>
      </w:r>
      <w:r>
        <w:t xml:space="preserve"> benefit analysis for each of the DCI programs </w:t>
      </w:r>
      <w:r w:rsidR="000A17E2">
        <w:t>to justify going forward</w:t>
      </w:r>
      <w:r w:rsidR="00FF5A49">
        <w:t xml:space="preserve"> </w:t>
      </w:r>
      <w:r w:rsidR="000A17E2">
        <w:t xml:space="preserve">with the </w:t>
      </w:r>
      <w:r w:rsidR="00FF5A49">
        <w:t xml:space="preserve">program.  I also recommend that </w:t>
      </w:r>
      <w:r w:rsidR="000A17E2">
        <w:t xml:space="preserve">for those programs that pass a cost benefit analysis, and are implemented, </w:t>
      </w:r>
      <w:r>
        <w:t xml:space="preserve">the </w:t>
      </w:r>
      <w:r w:rsidR="00E840E3">
        <w:t>Utilit</w:t>
      </w:r>
      <w:r>
        <w:t xml:space="preserve">y </w:t>
      </w:r>
      <w:r w:rsidR="00A00B77">
        <w:t xml:space="preserve">should annually </w:t>
      </w:r>
      <w:r>
        <w:t>quantify</w:t>
      </w:r>
      <w:r w:rsidR="00A00B77">
        <w:t xml:space="preserve"> the improvements in reliability from the program </w:t>
      </w:r>
      <w:r>
        <w:t xml:space="preserve">prior to spending </w:t>
      </w:r>
      <w:r w:rsidR="003A75F1">
        <w:t xml:space="preserve">any additional </w:t>
      </w:r>
      <w:r>
        <w:t>customer money</w:t>
      </w:r>
      <w:r w:rsidR="00A00B77">
        <w:t xml:space="preserve"> on the program</w:t>
      </w:r>
      <w:r>
        <w:t>.</w:t>
      </w:r>
    </w:p>
    <w:p w14:paraId="61D66248" w14:textId="77777777" w:rsidR="00417580" w:rsidRPr="003B7D10" w:rsidRDefault="00417580" w:rsidP="00B94C29">
      <w:pPr>
        <w:spacing w:line="480" w:lineRule="auto"/>
        <w:ind w:left="720"/>
      </w:pPr>
    </w:p>
    <w:p w14:paraId="50664A4D" w14:textId="77777777" w:rsidR="004552C9" w:rsidRDefault="0027799D" w:rsidP="005500F6">
      <w:pPr>
        <w:pStyle w:val="Heading1"/>
        <w:numPr>
          <w:ilvl w:val="0"/>
          <w:numId w:val="0"/>
        </w:numPr>
      </w:pPr>
      <w:bookmarkStart w:id="19" w:name="_Toc399406372"/>
      <w:r>
        <w:t>v</w:t>
      </w:r>
      <w:r w:rsidR="009E752A">
        <w:t>.</w:t>
      </w:r>
      <w:r w:rsidR="009E752A">
        <w:tab/>
        <w:t>CONCLUSION</w:t>
      </w:r>
      <w:bookmarkEnd w:id="11"/>
      <w:bookmarkEnd w:id="12"/>
      <w:bookmarkEnd w:id="13"/>
      <w:bookmarkEnd w:id="14"/>
      <w:bookmarkEnd w:id="15"/>
      <w:bookmarkEnd w:id="16"/>
      <w:bookmarkEnd w:id="17"/>
      <w:bookmarkEnd w:id="18"/>
      <w:bookmarkEnd w:id="19"/>
    </w:p>
    <w:p w14:paraId="7F3D48F5" w14:textId="77777777" w:rsidR="005500F6" w:rsidRPr="005500F6" w:rsidRDefault="005500F6" w:rsidP="005500F6">
      <w:pPr>
        <w:spacing w:line="480" w:lineRule="auto"/>
      </w:pPr>
    </w:p>
    <w:p w14:paraId="6D24C8CD" w14:textId="7E95F194" w:rsidR="004552C9" w:rsidRPr="005500F6" w:rsidRDefault="009E752A" w:rsidP="005500F6">
      <w:pPr>
        <w:pStyle w:val="ANSWER"/>
        <w:ind w:left="720"/>
        <w:rPr>
          <w:b/>
          <w:bCs/>
          <w:i/>
          <w:iCs/>
        </w:rPr>
      </w:pPr>
      <w:r w:rsidRPr="005500F6">
        <w:rPr>
          <w:b/>
          <w:bCs/>
          <w:i/>
          <w:iCs/>
        </w:rPr>
        <w:t>Q</w:t>
      </w:r>
      <w:r w:rsidR="000163E8">
        <w:rPr>
          <w:b/>
          <w:bCs/>
          <w:i/>
          <w:iCs/>
        </w:rPr>
        <w:t>22</w:t>
      </w:r>
      <w:r w:rsidRPr="005500F6">
        <w:rPr>
          <w:b/>
          <w:bCs/>
          <w:i/>
          <w:iCs/>
        </w:rPr>
        <w:t>.</w:t>
      </w:r>
      <w:r w:rsidRPr="005500F6">
        <w:rPr>
          <w:b/>
          <w:bCs/>
          <w:i/>
          <w:iCs/>
        </w:rPr>
        <w:tab/>
        <w:t>DOES THIS CONCLUDE YOUR TESTIMONY?</w:t>
      </w:r>
      <w:r w:rsidRPr="005500F6">
        <w:rPr>
          <w:b/>
          <w:bCs/>
          <w:i/>
          <w:iCs/>
        </w:rPr>
        <w:tab/>
      </w:r>
    </w:p>
    <w:p w14:paraId="37384C98" w14:textId="6BC472F4" w:rsidR="004552C9" w:rsidRDefault="009E752A">
      <w:pPr>
        <w:pStyle w:val="BodyTextIndent3"/>
        <w:ind w:left="720" w:hanging="720"/>
        <w:sectPr w:rsidR="004552C9" w:rsidSect="00F95936">
          <w:headerReference w:type="even" r:id="rId18"/>
          <w:headerReference w:type="default" r:id="rId19"/>
          <w:footerReference w:type="default" r:id="rId20"/>
          <w:headerReference w:type="first" r:id="rId21"/>
          <w:pgSz w:w="12240" w:h="15840" w:code="1"/>
          <w:pgMar w:top="1440" w:right="1800" w:bottom="1440" w:left="1800" w:header="720" w:footer="720" w:gutter="0"/>
          <w:lnNumType w:countBy="1"/>
          <w:pgNumType w:start="1"/>
          <w:cols w:space="720"/>
        </w:sectPr>
      </w:pPr>
      <w:r w:rsidRPr="005500F6">
        <w:rPr>
          <w:b/>
          <w:bCs/>
          <w:i/>
          <w:iCs/>
        </w:rPr>
        <w:t>A</w:t>
      </w:r>
      <w:r w:rsidR="000163E8">
        <w:rPr>
          <w:b/>
          <w:bCs/>
          <w:i/>
          <w:iCs/>
        </w:rPr>
        <w:t>22</w:t>
      </w:r>
      <w:r w:rsidRPr="005500F6">
        <w:rPr>
          <w:b/>
          <w:bCs/>
          <w:i/>
          <w:iCs/>
        </w:rPr>
        <w:t>.</w:t>
      </w:r>
      <w:r>
        <w:rPr>
          <w:b/>
          <w:bCs/>
          <w:i/>
          <w:iCs/>
        </w:rPr>
        <w:tab/>
      </w:r>
      <w:r>
        <w:t>Yes.  However, I reserve the right to incorporate new information that may subsequently become available through outst</w:t>
      </w:r>
      <w:r w:rsidR="00C65CFE">
        <w:t>anding discovery or otherwise.</w:t>
      </w:r>
    </w:p>
    <w:p w14:paraId="05DF4142" w14:textId="77777777" w:rsidR="004552C9" w:rsidRDefault="009E752A">
      <w:pPr>
        <w:spacing w:line="480" w:lineRule="auto"/>
        <w:jc w:val="center"/>
      </w:pPr>
      <w:r>
        <w:rPr>
          <w:b/>
          <w:bCs/>
          <w:u w:val="single"/>
        </w:rPr>
        <w:t>CERTIFICATE OF SERVICE</w:t>
      </w:r>
    </w:p>
    <w:p w14:paraId="60D732E1" w14:textId="5494BAAC" w:rsidR="004552C9" w:rsidRDefault="009E752A">
      <w:pPr>
        <w:suppressAutoHyphens/>
        <w:spacing w:line="480" w:lineRule="auto"/>
        <w:ind w:firstLine="720"/>
        <w:rPr>
          <w:spacing w:val="-3"/>
        </w:rPr>
      </w:pPr>
      <w:r>
        <w:rPr>
          <w:spacing w:val="-3"/>
        </w:rPr>
        <w:t xml:space="preserve">It is hereby certified that a true copy of the foregoing </w:t>
      </w:r>
      <w:r w:rsidR="00D03445" w:rsidRPr="00D03445">
        <w:rPr>
          <w:i/>
          <w:spacing w:val="-3"/>
        </w:rPr>
        <w:t>Direct</w:t>
      </w:r>
      <w:r w:rsidR="00D03445">
        <w:rPr>
          <w:spacing w:val="-3"/>
        </w:rPr>
        <w:t xml:space="preserve"> </w:t>
      </w:r>
      <w:r>
        <w:rPr>
          <w:i/>
          <w:iCs/>
          <w:spacing w:val="-3"/>
        </w:rPr>
        <w:t xml:space="preserve">Testimony of James D. Williams on Behalf of the Office of the Ohio Consumers’ Counsel </w:t>
      </w:r>
      <w:r>
        <w:rPr>
          <w:spacing w:val="-3"/>
        </w:rPr>
        <w:t xml:space="preserve">has been served via </w:t>
      </w:r>
      <w:r w:rsidR="005500F6">
        <w:rPr>
          <w:spacing w:val="-3"/>
        </w:rPr>
        <w:t xml:space="preserve">electronic transmission </w:t>
      </w:r>
      <w:r>
        <w:rPr>
          <w:spacing w:val="-3"/>
        </w:rPr>
        <w:t xml:space="preserve">this </w:t>
      </w:r>
      <w:r w:rsidR="003F3E3C">
        <w:rPr>
          <w:spacing w:val="-3"/>
        </w:rPr>
        <w:t>2</w:t>
      </w:r>
      <w:r>
        <w:rPr>
          <w:spacing w:val="-3"/>
        </w:rPr>
        <w:t xml:space="preserve">6th day of </w:t>
      </w:r>
      <w:r w:rsidR="003F3E3C">
        <w:rPr>
          <w:spacing w:val="-3"/>
        </w:rPr>
        <w:t xml:space="preserve">September </w:t>
      </w:r>
      <w:r>
        <w:rPr>
          <w:spacing w:val="-3"/>
        </w:rPr>
        <w:t>2014.</w:t>
      </w:r>
    </w:p>
    <w:p w14:paraId="3AC7BA87" w14:textId="77777777" w:rsidR="004552C9" w:rsidRDefault="004552C9">
      <w:pPr>
        <w:pStyle w:val="EndnoteText"/>
        <w:widowControl/>
        <w:tabs>
          <w:tab w:val="left" w:pos="-720"/>
        </w:tabs>
        <w:suppressAutoHyphens/>
        <w:rPr>
          <w:spacing w:val="-3"/>
        </w:rPr>
      </w:pPr>
    </w:p>
    <w:p w14:paraId="1B4BB040" w14:textId="77777777" w:rsidR="004552C9" w:rsidRDefault="004552C9">
      <w:pPr>
        <w:pStyle w:val="EndnoteText"/>
        <w:widowControl/>
        <w:tabs>
          <w:tab w:val="left" w:pos="-720"/>
        </w:tabs>
        <w:suppressAutoHyphens/>
        <w:rPr>
          <w:spacing w:val="-3"/>
        </w:rPr>
      </w:pPr>
    </w:p>
    <w:p w14:paraId="41B54D9C" w14:textId="77777777" w:rsidR="004552C9" w:rsidRPr="005500F6" w:rsidRDefault="009E752A">
      <w:pPr>
        <w:pStyle w:val="EndnoteText"/>
        <w:widowControl/>
        <w:rPr>
          <w:sz w:val="24"/>
          <w:szCs w:val="24"/>
          <w:u w:val="single"/>
        </w:rPr>
      </w:pPr>
      <w:r>
        <w:tab/>
      </w:r>
      <w:r>
        <w:tab/>
      </w:r>
      <w:r>
        <w:tab/>
      </w:r>
      <w:r>
        <w:tab/>
      </w:r>
      <w:r>
        <w:tab/>
      </w:r>
      <w:r w:rsidRPr="005500F6">
        <w:rPr>
          <w:sz w:val="24"/>
          <w:szCs w:val="24"/>
        </w:rPr>
        <w:tab/>
      </w:r>
      <w:r w:rsidR="005500F6" w:rsidRPr="005500F6">
        <w:rPr>
          <w:i/>
          <w:sz w:val="24"/>
          <w:szCs w:val="24"/>
          <w:u w:val="single"/>
        </w:rPr>
        <w:t>/s/ Maureen R. Grady</w:t>
      </w:r>
      <w:r w:rsidRPr="005500F6">
        <w:rPr>
          <w:sz w:val="24"/>
          <w:szCs w:val="24"/>
        </w:rPr>
        <w:t>________________</w:t>
      </w:r>
    </w:p>
    <w:p w14:paraId="636F22A6" w14:textId="77777777" w:rsidR="004552C9" w:rsidRDefault="009E752A">
      <w:pPr>
        <w:pStyle w:val="EndnoteText"/>
        <w:widowControl/>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Maureen </w:t>
      </w:r>
      <w:r w:rsidR="005500F6">
        <w:rPr>
          <w:sz w:val="24"/>
          <w:szCs w:val="24"/>
        </w:rPr>
        <w:t xml:space="preserve">R. </w:t>
      </w:r>
      <w:r>
        <w:rPr>
          <w:sz w:val="24"/>
          <w:szCs w:val="24"/>
        </w:rPr>
        <w:t>Grady</w:t>
      </w:r>
    </w:p>
    <w:p w14:paraId="3991375C" w14:textId="77777777" w:rsidR="004552C9" w:rsidRDefault="009E752A">
      <w:pPr>
        <w:pStyle w:val="EndnoteText"/>
        <w:widowControl/>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Assistant Consumers’ Counsel</w:t>
      </w:r>
    </w:p>
    <w:p w14:paraId="1305A455" w14:textId="77777777" w:rsidR="004552C9" w:rsidRDefault="004552C9">
      <w:pPr>
        <w:pStyle w:val="EndnoteText"/>
        <w:widowControl/>
      </w:pPr>
    </w:p>
    <w:p w14:paraId="5A7E1789" w14:textId="77777777" w:rsidR="00045DDA" w:rsidRPr="00AE69F4" w:rsidRDefault="00045DDA" w:rsidP="00045DDA">
      <w:pPr>
        <w:tabs>
          <w:tab w:val="left" w:pos="-720"/>
        </w:tabs>
        <w:suppressAutoHyphens/>
        <w:spacing w:line="240" w:lineRule="atLeast"/>
        <w:jc w:val="center"/>
        <w:rPr>
          <w:b/>
          <w:color w:val="000000"/>
          <w:u w:val="single"/>
        </w:rPr>
      </w:pPr>
    </w:p>
    <w:p w14:paraId="3259C7A0" w14:textId="77777777" w:rsidR="00045DDA" w:rsidRPr="00AE69F4" w:rsidRDefault="00045DDA" w:rsidP="00045DDA">
      <w:pPr>
        <w:jc w:val="center"/>
        <w:rPr>
          <w:b/>
          <w:u w:val="single"/>
        </w:rPr>
      </w:pPr>
      <w:r w:rsidRPr="00AE69F4">
        <w:rPr>
          <w:b/>
          <w:u w:val="single"/>
        </w:rPr>
        <w:t>SERVICE LIST</w:t>
      </w:r>
    </w:p>
    <w:p w14:paraId="394C0B55" w14:textId="77777777" w:rsidR="00045DDA" w:rsidRPr="00AE69F4" w:rsidRDefault="00045DDA" w:rsidP="00045DDA">
      <w:pPr>
        <w:jc w:val="both"/>
        <w:rPr>
          <w:rFonts w:eastAsia="Calibri"/>
          <w:b/>
          <w:bCs/>
        </w:rPr>
      </w:pPr>
    </w:p>
    <w:tbl>
      <w:tblPr>
        <w:tblW w:w="0" w:type="auto"/>
        <w:tblLook w:val="01E0" w:firstRow="1" w:lastRow="1" w:firstColumn="1" w:lastColumn="1" w:noHBand="0" w:noVBand="0"/>
      </w:tblPr>
      <w:tblGrid>
        <w:gridCol w:w="4428"/>
        <w:gridCol w:w="4428"/>
      </w:tblGrid>
      <w:tr w:rsidR="00045DDA" w:rsidRPr="00AE69F4" w14:paraId="000221CD" w14:textId="77777777" w:rsidTr="00334446">
        <w:tc>
          <w:tcPr>
            <w:tcW w:w="4428" w:type="dxa"/>
            <w:shd w:val="clear" w:color="auto" w:fill="auto"/>
          </w:tcPr>
          <w:p w14:paraId="355B9D49" w14:textId="77777777" w:rsidR="00045DDA" w:rsidRPr="00AE69F4" w:rsidRDefault="00045DDA" w:rsidP="00334446">
            <w:pPr>
              <w:rPr>
                <w:rFonts w:eastAsia="Calibri"/>
              </w:rPr>
            </w:pPr>
            <w:r w:rsidRPr="00AE69F4">
              <w:rPr>
                <w:rFonts w:eastAsia="Calibri"/>
                <w:color w:val="0000FF"/>
                <w:u w:val="single"/>
              </w:rPr>
              <w:t>Steven.beeler@puc.state.oh.us</w:t>
            </w:r>
          </w:p>
          <w:p w14:paraId="16ADD875" w14:textId="77777777" w:rsidR="00045DDA" w:rsidRPr="00AE69F4" w:rsidRDefault="00045DDA" w:rsidP="00334446">
            <w:pPr>
              <w:rPr>
                <w:rFonts w:eastAsia="Calibri"/>
              </w:rPr>
            </w:pPr>
            <w:r w:rsidRPr="00AE69F4">
              <w:rPr>
                <w:rFonts w:eastAsia="Calibri"/>
                <w:color w:val="0000FF"/>
                <w:u w:val="single"/>
              </w:rPr>
              <w:t>Thomas.lindgren@puc.state.oh.us</w:t>
            </w:r>
          </w:p>
          <w:p w14:paraId="2655B94D" w14:textId="77777777" w:rsidR="00045DDA" w:rsidRPr="00AE69F4" w:rsidRDefault="00045DDA" w:rsidP="00334446">
            <w:pPr>
              <w:rPr>
                <w:rFonts w:eastAsia="Calibri"/>
              </w:rPr>
            </w:pPr>
            <w:r w:rsidRPr="00AE69F4">
              <w:rPr>
                <w:rFonts w:eastAsia="Calibri"/>
                <w:color w:val="0000FF"/>
                <w:u w:val="single"/>
              </w:rPr>
              <w:t>Ryan.orourke@puc.state.oh.us</w:t>
            </w:r>
          </w:p>
          <w:p w14:paraId="41B28CAC" w14:textId="77777777" w:rsidR="00045DDA" w:rsidRPr="00AE69F4" w:rsidRDefault="00045DDA" w:rsidP="00334446">
            <w:pPr>
              <w:rPr>
                <w:rFonts w:eastAsia="Calibri"/>
              </w:rPr>
            </w:pPr>
            <w:r w:rsidRPr="00AE69F4">
              <w:rPr>
                <w:rFonts w:eastAsia="Calibri"/>
                <w:color w:val="0000FF"/>
                <w:u w:val="single"/>
              </w:rPr>
              <w:t>dboehm@BKLlawfirm.com</w:t>
            </w:r>
          </w:p>
          <w:p w14:paraId="79CB8A2F" w14:textId="77777777" w:rsidR="00045DDA" w:rsidRPr="00AE69F4" w:rsidRDefault="00045DDA" w:rsidP="00334446">
            <w:pPr>
              <w:rPr>
                <w:rFonts w:eastAsia="Calibri"/>
              </w:rPr>
            </w:pPr>
            <w:r w:rsidRPr="00AE69F4">
              <w:rPr>
                <w:rFonts w:eastAsia="Calibri"/>
                <w:color w:val="0000FF"/>
                <w:u w:val="single"/>
              </w:rPr>
              <w:t>mkurtz@BKLlawfirm.com</w:t>
            </w:r>
          </w:p>
          <w:p w14:paraId="108115E7" w14:textId="77777777" w:rsidR="00045DDA" w:rsidRPr="00AE69F4" w:rsidRDefault="00045DDA" w:rsidP="00334446">
            <w:pPr>
              <w:rPr>
                <w:rFonts w:eastAsia="Calibri"/>
              </w:rPr>
            </w:pPr>
            <w:r w:rsidRPr="00AE69F4">
              <w:rPr>
                <w:rFonts w:eastAsia="Calibri"/>
                <w:color w:val="0000FF"/>
                <w:u w:val="single"/>
              </w:rPr>
              <w:t>jkylercohn@BKLlawfirm.com</w:t>
            </w:r>
          </w:p>
          <w:p w14:paraId="4331F6E4" w14:textId="77777777" w:rsidR="00045DDA" w:rsidRPr="00AE69F4" w:rsidRDefault="00045DDA" w:rsidP="00334446">
            <w:pPr>
              <w:rPr>
                <w:rFonts w:eastAsia="Calibri"/>
                <w:color w:val="0000FF"/>
                <w:u w:val="single"/>
              </w:rPr>
            </w:pPr>
            <w:r w:rsidRPr="00AE69F4">
              <w:rPr>
                <w:rFonts w:eastAsia="Calibri"/>
                <w:color w:val="0000FF"/>
                <w:u w:val="single"/>
              </w:rPr>
              <w:t>Schmidt@sppgrp.com</w:t>
            </w:r>
          </w:p>
          <w:p w14:paraId="6ED9569A" w14:textId="77777777" w:rsidR="00045DDA" w:rsidRPr="00AE69F4" w:rsidRDefault="00045DDA" w:rsidP="00334446">
            <w:pPr>
              <w:rPr>
                <w:rFonts w:eastAsia="Calibri"/>
                <w:color w:val="0000FF"/>
                <w:u w:val="single"/>
              </w:rPr>
            </w:pPr>
            <w:r w:rsidRPr="00AE69F4">
              <w:rPr>
                <w:rFonts w:eastAsia="Calibri"/>
                <w:color w:val="0000FF"/>
                <w:u w:val="single"/>
              </w:rPr>
              <w:t>Judi.sobecki@aes.com</w:t>
            </w:r>
          </w:p>
          <w:p w14:paraId="22DC409E" w14:textId="77777777" w:rsidR="00045DDA" w:rsidRPr="00AE69F4" w:rsidRDefault="00045DDA" w:rsidP="00334446">
            <w:pPr>
              <w:rPr>
                <w:rFonts w:eastAsia="Calibri"/>
                <w:color w:val="0000FF"/>
                <w:u w:val="single"/>
              </w:rPr>
            </w:pPr>
            <w:r w:rsidRPr="00AE69F4">
              <w:rPr>
                <w:rFonts w:eastAsia="Calibri"/>
                <w:color w:val="0000FF"/>
                <w:u w:val="single"/>
              </w:rPr>
              <w:t>Bojko@carpenterlipps.com</w:t>
            </w:r>
          </w:p>
          <w:p w14:paraId="76A7ABD0" w14:textId="77777777" w:rsidR="00045DDA" w:rsidRPr="00AE69F4" w:rsidRDefault="00045DDA" w:rsidP="00334446">
            <w:pPr>
              <w:rPr>
                <w:rFonts w:eastAsia="Calibri"/>
                <w:color w:val="0000FF"/>
                <w:u w:val="single"/>
              </w:rPr>
            </w:pPr>
            <w:r w:rsidRPr="00AE69F4">
              <w:rPr>
                <w:rFonts w:eastAsia="Calibri"/>
                <w:color w:val="0000FF"/>
                <w:u w:val="single"/>
              </w:rPr>
              <w:t>Allison@carpenterlipps.com</w:t>
            </w:r>
          </w:p>
          <w:p w14:paraId="1977302B" w14:textId="77777777" w:rsidR="00045DDA" w:rsidRPr="00AE69F4" w:rsidRDefault="00045DDA" w:rsidP="00334446">
            <w:pPr>
              <w:rPr>
                <w:rFonts w:eastAsia="Calibri"/>
                <w:color w:val="0000FF"/>
              </w:rPr>
            </w:pPr>
            <w:r w:rsidRPr="00AE69F4">
              <w:rPr>
                <w:rFonts w:eastAsia="Calibri"/>
                <w:color w:val="0000FF"/>
                <w:u w:val="single"/>
              </w:rPr>
              <w:t>cmooney@ohiopartners.org</w:t>
            </w:r>
          </w:p>
          <w:p w14:paraId="0C7FA0CA" w14:textId="77777777" w:rsidR="00045DDA" w:rsidRPr="00AE69F4" w:rsidRDefault="00045DDA" w:rsidP="00334446">
            <w:pPr>
              <w:rPr>
                <w:rFonts w:eastAsia="Calibri"/>
              </w:rPr>
            </w:pPr>
            <w:r w:rsidRPr="00AE69F4">
              <w:rPr>
                <w:rFonts w:eastAsia="Calibri"/>
                <w:color w:val="0000FF"/>
                <w:u w:val="single"/>
              </w:rPr>
              <w:t>stnourse@aep.com</w:t>
            </w:r>
          </w:p>
          <w:p w14:paraId="17481D95" w14:textId="77777777" w:rsidR="00045DDA" w:rsidRPr="00AE69F4" w:rsidRDefault="00045DDA" w:rsidP="00334446">
            <w:pPr>
              <w:rPr>
                <w:rFonts w:eastAsia="Calibri"/>
              </w:rPr>
            </w:pPr>
            <w:r w:rsidRPr="00AE69F4">
              <w:rPr>
                <w:rFonts w:eastAsia="Calibri"/>
                <w:color w:val="0000FF"/>
                <w:u w:val="single"/>
              </w:rPr>
              <w:t>mjsatterwhite@aep.com</w:t>
            </w:r>
          </w:p>
          <w:p w14:paraId="44A39972" w14:textId="77777777" w:rsidR="00045DDA" w:rsidRPr="00AE69F4" w:rsidRDefault="00045DDA" w:rsidP="00334446">
            <w:pPr>
              <w:rPr>
                <w:rFonts w:eastAsia="Calibri"/>
              </w:rPr>
            </w:pPr>
            <w:r w:rsidRPr="00AE69F4">
              <w:rPr>
                <w:rFonts w:eastAsia="Calibri"/>
                <w:color w:val="0000FF"/>
                <w:u w:val="single"/>
              </w:rPr>
              <w:t>yalami@aep.com</w:t>
            </w:r>
          </w:p>
          <w:p w14:paraId="53428CB8" w14:textId="77777777" w:rsidR="00045DDA" w:rsidRPr="00AE69F4" w:rsidRDefault="00045DDA" w:rsidP="00334446">
            <w:pPr>
              <w:rPr>
                <w:rFonts w:eastAsia="Calibri"/>
              </w:rPr>
            </w:pPr>
            <w:r w:rsidRPr="00AE69F4">
              <w:rPr>
                <w:rFonts w:eastAsia="Calibri"/>
                <w:color w:val="0000FF"/>
                <w:u w:val="single"/>
              </w:rPr>
              <w:t>asonderman@keglerbrown.com</w:t>
            </w:r>
          </w:p>
          <w:p w14:paraId="3B1D54AC" w14:textId="77777777" w:rsidR="00045DDA" w:rsidRPr="00AE69F4" w:rsidRDefault="00045DDA" w:rsidP="00334446">
            <w:pPr>
              <w:rPr>
                <w:rFonts w:eastAsia="Calibri"/>
              </w:rPr>
            </w:pPr>
            <w:r w:rsidRPr="00AE69F4">
              <w:rPr>
                <w:rFonts w:eastAsia="Calibri"/>
                <w:color w:val="0000FF"/>
                <w:u w:val="single"/>
              </w:rPr>
              <w:t>mkimbrough@keglerbrown.com</w:t>
            </w:r>
          </w:p>
          <w:p w14:paraId="6F461E8D" w14:textId="77777777" w:rsidR="00045DDA" w:rsidRPr="00AE69F4" w:rsidRDefault="00045DDA" w:rsidP="00334446">
            <w:pPr>
              <w:rPr>
                <w:rFonts w:eastAsia="Calibri"/>
              </w:rPr>
            </w:pPr>
            <w:r w:rsidRPr="00AE69F4">
              <w:rPr>
                <w:rFonts w:eastAsia="Calibri"/>
                <w:color w:val="0000FF"/>
                <w:u w:val="single"/>
              </w:rPr>
              <w:t>hussey@carpenterlipps.com</w:t>
            </w:r>
          </w:p>
          <w:p w14:paraId="700EFFC8" w14:textId="77777777" w:rsidR="00045DDA" w:rsidRPr="00AE69F4" w:rsidRDefault="00045DDA" w:rsidP="00334446">
            <w:pPr>
              <w:rPr>
                <w:rFonts w:eastAsia="Calibri"/>
              </w:rPr>
            </w:pPr>
            <w:r w:rsidRPr="00AE69F4">
              <w:rPr>
                <w:rFonts w:eastAsia="Calibri"/>
                <w:color w:val="0000FF"/>
                <w:u w:val="single"/>
              </w:rPr>
              <w:t>mhpetricoff@vorys.com</w:t>
            </w:r>
          </w:p>
          <w:p w14:paraId="0A777F8A" w14:textId="77777777" w:rsidR="00045DDA" w:rsidRPr="00AE69F4" w:rsidRDefault="00045DDA" w:rsidP="00334446">
            <w:pPr>
              <w:rPr>
                <w:rFonts w:eastAsia="Calibri"/>
              </w:rPr>
            </w:pPr>
            <w:r w:rsidRPr="00AE69F4">
              <w:rPr>
                <w:rFonts w:eastAsia="Calibri"/>
                <w:color w:val="0000FF"/>
                <w:u w:val="single"/>
              </w:rPr>
              <w:t>mjsettineri@vorys.com</w:t>
            </w:r>
          </w:p>
          <w:p w14:paraId="2564898E" w14:textId="77777777" w:rsidR="00045DDA" w:rsidRPr="00AE69F4" w:rsidRDefault="00045DDA" w:rsidP="00334446">
            <w:pPr>
              <w:rPr>
                <w:rFonts w:eastAsia="Calibri"/>
              </w:rPr>
            </w:pPr>
            <w:r w:rsidRPr="00AE69F4">
              <w:rPr>
                <w:rFonts w:eastAsia="Calibri"/>
                <w:color w:val="0000FF"/>
                <w:u w:val="single"/>
              </w:rPr>
              <w:t>glpetrucci@vorys.com</w:t>
            </w:r>
          </w:p>
          <w:p w14:paraId="1CFDDDD0" w14:textId="77777777" w:rsidR="00045DDA" w:rsidRPr="00AE69F4" w:rsidRDefault="00045DDA" w:rsidP="00334446">
            <w:pPr>
              <w:rPr>
                <w:rFonts w:eastAsia="Calibri"/>
              </w:rPr>
            </w:pPr>
            <w:r w:rsidRPr="00AE69F4">
              <w:rPr>
                <w:rFonts w:eastAsia="Calibri"/>
                <w:color w:val="0000FF"/>
                <w:u w:val="single"/>
              </w:rPr>
              <w:t>dmason@ralaw.com</w:t>
            </w:r>
          </w:p>
          <w:p w14:paraId="52332424" w14:textId="77777777" w:rsidR="00045DDA" w:rsidRPr="00AE69F4" w:rsidRDefault="00045DDA" w:rsidP="00334446">
            <w:pPr>
              <w:rPr>
                <w:rFonts w:eastAsia="Calibri"/>
              </w:rPr>
            </w:pPr>
            <w:r w:rsidRPr="00AE69F4">
              <w:rPr>
                <w:rFonts w:eastAsia="Calibri"/>
                <w:color w:val="0000FF"/>
                <w:u w:val="single"/>
              </w:rPr>
              <w:t>mtraven@ralaw.com</w:t>
            </w:r>
          </w:p>
          <w:p w14:paraId="0EFE6008" w14:textId="77777777" w:rsidR="00045DDA" w:rsidRPr="00AE69F4" w:rsidRDefault="00045DDA" w:rsidP="00334446">
            <w:r w:rsidRPr="00AE69F4">
              <w:rPr>
                <w:color w:val="0000FF"/>
                <w:u w:val="single"/>
              </w:rPr>
              <w:t>rchamberlain@okenergylaw.com</w:t>
            </w:r>
          </w:p>
          <w:p w14:paraId="4FB6DC69" w14:textId="77777777" w:rsidR="00045DDA" w:rsidRPr="00AE69F4" w:rsidRDefault="00045DDA" w:rsidP="00334446"/>
          <w:p w14:paraId="7C34E4EC" w14:textId="2CD4FA3A" w:rsidR="00C65CFE" w:rsidRDefault="00AB696F" w:rsidP="00334446">
            <w:pPr>
              <w:rPr>
                <w:rFonts w:eastAsia="Calibri"/>
              </w:rPr>
            </w:pPr>
            <w:r w:rsidRPr="007C21E1">
              <w:rPr>
                <w:rFonts w:eastAsia="Calibri"/>
              </w:rPr>
              <w:t>christime.pirik@puc.state.oh.us</w:t>
            </w:r>
          </w:p>
          <w:p w14:paraId="6EC845AC" w14:textId="18E1D87C" w:rsidR="00045DDA" w:rsidRDefault="00AB696F" w:rsidP="00334446">
            <w:pPr>
              <w:rPr>
                <w:rFonts w:eastAsia="Calibri"/>
              </w:rPr>
            </w:pPr>
            <w:r w:rsidRPr="007C21E1">
              <w:rPr>
                <w:rFonts w:eastAsia="Calibri"/>
              </w:rPr>
              <w:t>Nicholas.wastra@puc.state.oh.us</w:t>
            </w:r>
          </w:p>
          <w:p w14:paraId="08550958" w14:textId="77777777" w:rsidR="00045DDA" w:rsidRPr="00AE69F4" w:rsidRDefault="00045DDA" w:rsidP="00334446">
            <w:pPr>
              <w:pBdr>
                <w:top w:val="nil"/>
                <w:left w:val="nil"/>
                <w:bottom w:val="nil"/>
                <w:right w:val="nil"/>
                <w:between w:val="nil"/>
                <w:bar w:val="nil"/>
              </w:pBdr>
              <w:rPr>
                <w:rFonts w:eastAsia="Calibri"/>
                <w:bCs/>
              </w:rPr>
            </w:pPr>
          </w:p>
        </w:tc>
        <w:tc>
          <w:tcPr>
            <w:tcW w:w="4428" w:type="dxa"/>
            <w:shd w:val="clear" w:color="auto" w:fill="auto"/>
          </w:tcPr>
          <w:p w14:paraId="41542BF7" w14:textId="77777777" w:rsidR="00045DDA" w:rsidRPr="00AE69F4" w:rsidRDefault="00045DDA" w:rsidP="00334446">
            <w:pPr>
              <w:jc w:val="both"/>
              <w:rPr>
                <w:rFonts w:eastAsia="Calibri"/>
              </w:rPr>
            </w:pPr>
            <w:r w:rsidRPr="00AE69F4">
              <w:rPr>
                <w:rFonts w:eastAsia="Calibri"/>
                <w:color w:val="0000FF"/>
                <w:u w:val="single"/>
              </w:rPr>
              <w:t>Amy.Spiller@duke-energy.com</w:t>
            </w:r>
          </w:p>
          <w:p w14:paraId="55278902" w14:textId="77777777" w:rsidR="00045DDA" w:rsidRPr="00AE69F4" w:rsidRDefault="00045DDA" w:rsidP="00334446">
            <w:pPr>
              <w:jc w:val="both"/>
              <w:rPr>
                <w:rFonts w:eastAsia="Calibri"/>
              </w:rPr>
            </w:pPr>
            <w:r w:rsidRPr="00AE69F4">
              <w:rPr>
                <w:rFonts w:eastAsia="Calibri"/>
                <w:color w:val="0000FF"/>
                <w:u w:val="single"/>
              </w:rPr>
              <w:t>Elizabeth.watts@duke-energy.com</w:t>
            </w:r>
          </w:p>
          <w:p w14:paraId="68BFE93E" w14:textId="77777777" w:rsidR="00045DDA" w:rsidRPr="00AE69F4" w:rsidRDefault="00045DDA" w:rsidP="00334446">
            <w:pPr>
              <w:jc w:val="both"/>
              <w:rPr>
                <w:rFonts w:eastAsia="Calibri"/>
                <w:color w:val="0000FF"/>
                <w:u w:val="single"/>
              </w:rPr>
            </w:pPr>
            <w:r w:rsidRPr="00AE69F4">
              <w:rPr>
                <w:rFonts w:eastAsia="Calibri"/>
                <w:color w:val="0000FF"/>
                <w:u w:val="single"/>
              </w:rPr>
              <w:t>Rocco.dascenzo@duke-energy.com</w:t>
            </w:r>
          </w:p>
          <w:p w14:paraId="2563CF5C" w14:textId="77777777" w:rsidR="00045DDA" w:rsidRPr="00AE69F4" w:rsidRDefault="00045DDA" w:rsidP="00334446">
            <w:pPr>
              <w:jc w:val="both"/>
              <w:rPr>
                <w:rFonts w:eastAsia="Calibri"/>
              </w:rPr>
            </w:pPr>
            <w:r w:rsidRPr="00AE69F4">
              <w:rPr>
                <w:rFonts w:eastAsia="Calibri"/>
                <w:color w:val="0000FF"/>
                <w:u w:val="single"/>
              </w:rPr>
              <w:t>Jeanne.Kingery@duke-energy.com</w:t>
            </w:r>
          </w:p>
          <w:p w14:paraId="0116BC1D" w14:textId="77777777" w:rsidR="00045DDA" w:rsidRPr="00AE69F4" w:rsidRDefault="00045DDA" w:rsidP="00334446">
            <w:pPr>
              <w:rPr>
                <w:rFonts w:eastAsia="Calibri"/>
                <w:bCs/>
              </w:rPr>
            </w:pPr>
            <w:r w:rsidRPr="00AE69F4">
              <w:rPr>
                <w:rFonts w:eastAsia="Calibri"/>
                <w:bCs/>
                <w:color w:val="0000FF"/>
                <w:u w:val="single"/>
              </w:rPr>
              <w:t>haydenm@firstenergycorp.com</w:t>
            </w:r>
          </w:p>
          <w:p w14:paraId="603B6725" w14:textId="77777777" w:rsidR="00045DDA" w:rsidRPr="00AE69F4" w:rsidRDefault="00045DDA" w:rsidP="00334446">
            <w:pPr>
              <w:rPr>
                <w:rFonts w:eastAsia="Calibri"/>
                <w:bCs/>
              </w:rPr>
            </w:pPr>
            <w:r w:rsidRPr="00AE69F4">
              <w:rPr>
                <w:rFonts w:eastAsia="Calibri"/>
                <w:bCs/>
                <w:color w:val="0000FF"/>
                <w:u w:val="single"/>
              </w:rPr>
              <w:t>jmcdermott@firstenergycorp.com</w:t>
            </w:r>
          </w:p>
          <w:p w14:paraId="61F0E2A3" w14:textId="77777777" w:rsidR="00045DDA" w:rsidRPr="00AE69F4" w:rsidRDefault="00045DDA" w:rsidP="00334446">
            <w:pPr>
              <w:rPr>
                <w:rFonts w:eastAsia="Calibri"/>
                <w:bCs/>
              </w:rPr>
            </w:pPr>
            <w:r w:rsidRPr="00AE69F4">
              <w:rPr>
                <w:rFonts w:eastAsia="Calibri"/>
                <w:bCs/>
                <w:color w:val="0000FF"/>
                <w:u w:val="single"/>
              </w:rPr>
              <w:t>scasto@firstenergycorp.com</w:t>
            </w:r>
          </w:p>
          <w:p w14:paraId="7133779B" w14:textId="77777777" w:rsidR="00045DDA" w:rsidRPr="00AE69F4" w:rsidRDefault="00045DDA" w:rsidP="00334446">
            <w:pPr>
              <w:rPr>
                <w:rFonts w:eastAsia="Calibri"/>
              </w:rPr>
            </w:pPr>
            <w:r w:rsidRPr="00AE69F4">
              <w:rPr>
                <w:rFonts w:eastAsia="Calibri"/>
                <w:color w:val="0000FF"/>
                <w:u w:val="single"/>
              </w:rPr>
              <w:t>joliker@igsenergy.com</w:t>
            </w:r>
          </w:p>
          <w:p w14:paraId="5E8060D4" w14:textId="77777777" w:rsidR="00045DDA" w:rsidRPr="00AE69F4" w:rsidRDefault="00045DDA" w:rsidP="00334446">
            <w:pPr>
              <w:rPr>
                <w:rFonts w:eastAsia="Calibri"/>
              </w:rPr>
            </w:pPr>
            <w:r w:rsidRPr="00AE69F4">
              <w:rPr>
                <w:rFonts w:eastAsia="Calibri"/>
                <w:color w:val="0000FF"/>
                <w:u w:val="single"/>
              </w:rPr>
              <w:t>mswhite@igsenergy.com</w:t>
            </w:r>
          </w:p>
          <w:p w14:paraId="7E0F9807" w14:textId="77777777" w:rsidR="00045DDA" w:rsidRPr="00AE69F4" w:rsidRDefault="00045DDA" w:rsidP="00334446">
            <w:pPr>
              <w:rPr>
                <w:rFonts w:eastAsia="Calibri"/>
                <w:color w:val="0000FF"/>
              </w:rPr>
            </w:pPr>
            <w:r w:rsidRPr="00AE69F4">
              <w:rPr>
                <w:rFonts w:eastAsia="Calibri"/>
                <w:color w:val="0000FF"/>
                <w:u w:val="single"/>
              </w:rPr>
              <w:t>joseph.clark@directenergy.com</w:t>
            </w:r>
          </w:p>
          <w:p w14:paraId="37483DC7" w14:textId="77777777" w:rsidR="00045DDA" w:rsidRPr="00AE69F4" w:rsidRDefault="00045DDA" w:rsidP="00334446">
            <w:pPr>
              <w:rPr>
                <w:rFonts w:eastAsia="Calibri"/>
              </w:rPr>
            </w:pPr>
            <w:r w:rsidRPr="00AE69F4">
              <w:rPr>
                <w:rFonts w:eastAsia="Calibri"/>
                <w:color w:val="0000FF"/>
                <w:u w:val="single"/>
              </w:rPr>
              <w:t>sam@mwncmh.com</w:t>
            </w:r>
          </w:p>
          <w:p w14:paraId="6976D13C" w14:textId="77777777" w:rsidR="00045DDA" w:rsidRPr="00AE69F4" w:rsidRDefault="00045DDA" w:rsidP="00334446">
            <w:pPr>
              <w:rPr>
                <w:rFonts w:eastAsia="Calibri"/>
              </w:rPr>
            </w:pPr>
            <w:r w:rsidRPr="00AE69F4">
              <w:rPr>
                <w:rFonts w:eastAsia="Calibri"/>
                <w:color w:val="0000FF"/>
                <w:u w:val="single"/>
              </w:rPr>
              <w:t>fdarr@mwncmh.com</w:t>
            </w:r>
          </w:p>
          <w:p w14:paraId="0E45D1C0" w14:textId="77777777" w:rsidR="00045DDA" w:rsidRPr="00AE69F4" w:rsidRDefault="00045DDA" w:rsidP="00334446">
            <w:pPr>
              <w:jc w:val="both"/>
              <w:rPr>
                <w:rFonts w:eastAsia="Calibri"/>
              </w:rPr>
            </w:pPr>
            <w:r w:rsidRPr="00AE69F4">
              <w:rPr>
                <w:rFonts w:eastAsia="Calibri"/>
                <w:color w:val="0000FF"/>
                <w:u w:val="single"/>
              </w:rPr>
              <w:t>mpritchard@mwncmh.com</w:t>
            </w:r>
          </w:p>
          <w:p w14:paraId="278C7C42" w14:textId="77777777" w:rsidR="00045DDA" w:rsidRPr="00AE69F4" w:rsidRDefault="00045DDA" w:rsidP="00334446">
            <w:pPr>
              <w:jc w:val="both"/>
              <w:rPr>
                <w:rFonts w:eastAsia="Calibri"/>
                <w:color w:val="0000FF"/>
                <w:u w:val="single"/>
              </w:rPr>
            </w:pPr>
            <w:r w:rsidRPr="00AE69F4">
              <w:rPr>
                <w:rFonts w:eastAsia="Calibri"/>
                <w:color w:val="0000FF"/>
                <w:u w:val="single"/>
              </w:rPr>
              <w:t>callwein@wamenergylaw.com</w:t>
            </w:r>
          </w:p>
          <w:p w14:paraId="5387AAB8" w14:textId="77777777" w:rsidR="00045DDA" w:rsidRPr="00AE69F4" w:rsidRDefault="00045DDA" w:rsidP="00334446">
            <w:pPr>
              <w:jc w:val="both"/>
              <w:rPr>
                <w:rFonts w:eastAsia="Calibri"/>
                <w:color w:val="0000FF"/>
              </w:rPr>
            </w:pPr>
            <w:r w:rsidRPr="00AE69F4">
              <w:rPr>
                <w:rFonts w:eastAsia="Calibri"/>
                <w:color w:val="0000FF"/>
                <w:u w:val="single"/>
              </w:rPr>
              <w:t>tdougherty@theOEC.org</w:t>
            </w:r>
          </w:p>
          <w:p w14:paraId="16AD3E45" w14:textId="77777777" w:rsidR="00045DDA" w:rsidRPr="00AE69F4" w:rsidRDefault="00045DDA" w:rsidP="00334446">
            <w:pPr>
              <w:jc w:val="both"/>
              <w:rPr>
                <w:rFonts w:eastAsia="Calibri"/>
                <w:color w:val="0000FF"/>
              </w:rPr>
            </w:pPr>
            <w:r w:rsidRPr="00AE69F4">
              <w:rPr>
                <w:rFonts w:eastAsia="Calibri"/>
                <w:color w:val="0000FF"/>
                <w:u w:val="single"/>
              </w:rPr>
              <w:t>dhart@douglasehart.com</w:t>
            </w:r>
          </w:p>
          <w:p w14:paraId="0F3AA659" w14:textId="77777777" w:rsidR="00045DDA" w:rsidRPr="00AE69F4" w:rsidRDefault="00045DDA" w:rsidP="00334446">
            <w:pPr>
              <w:jc w:val="both"/>
              <w:rPr>
                <w:rFonts w:eastAsia="Calibri"/>
                <w:color w:val="0000FF"/>
              </w:rPr>
            </w:pPr>
            <w:r w:rsidRPr="00AE69F4">
              <w:rPr>
                <w:rFonts w:eastAsia="Calibri"/>
                <w:color w:val="0000FF"/>
                <w:u w:val="single"/>
              </w:rPr>
              <w:t>cloucas@ohiopartners.org</w:t>
            </w:r>
          </w:p>
          <w:p w14:paraId="580C7088" w14:textId="77777777" w:rsidR="00045DDA" w:rsidRPr="00AE69F4" w:rsidRDefault="00045DDA" w:rsidP="00334446">
            <w:pPr>
              <w:jc w:val="both"/>
              <w:rPr>
                <w:rFonts w:eastAsia="Calibri"/>
                <w:color w:val="0000FF"/>
              </w:rPr>
            </w:pPr>
            <w:r w:rsidRPr="00AE69F4">
              <w:rPr>
                <w:rFonts w:eastAsia="Calibri"/>
                <w:color w:val="0000FF"/>
                <w:u w:val="single"/>
              </w:rPr>
              <w:t>gpoulos@enernoc.com</w:t>
            </w:r>
          </w:p>
          <w:p w14:paraId="70460731" w14:textId="77777777" w:rsidR="00045DDA" w:rsidRPr="00AE69F4" w:rsidRDefault="00045DDA" w:rsidP="00334446">
            <w:pPr>
              <w:jc w:val="both"/>
              <w:rPr>
                <w:rFonts w:eastAsia="Calibri"/>
                <w:color w:val="0000FF"/>
              </w:rPr>
            </w:pPr>
            <w:r w:rsidRPr="00AE69F4">
              <w:rPr>
                <w:rFonts w:eastAsia="Calibri"/>
                <w:color w:val="0000FF"/>
                <w:u w:val="single"/>
              </w:rPr>
              <w:t>swilliams@nrdc.org</w:t>
            </w:r>
          </w:p>
          <w:p w14:paraId="498ED152" w14:textId="77777777" w:rsidR="00045DDA" w:rsidRPr="00AE69F4" w:rsidRDefault="00045DDA" w:rsidP="00334446">
            <w:pPr>
              <w:jc w:val="both"/>
              <w:rPr>
                <w:rFonts w:eastAsia="Calibri"/>
              </w:rPr>
            </w:pPr>
            <w:r w:rsidRPr="00AE69F4">
              <w:rPr>
                <w:rFonts w:eastAsia="Calibri"/>
                <w:color w:val="0000FF"/>
                <w:u w:val="single"/>
              </w:rPr>
              <w:t>tobrien@bricker.com</w:t>
            </w:r>
          </w:p>
          <w:p w14:paraId="07010DA2" w14:textId="77777777" w:rsidR="00045DDA" w:rsidRPr="00AE69F4" w:rsidRDefault="00045DDA" w:rsidP="00334446">
            <w:pPr>
              <w:jc w:val="both"/>
              <w:rPr>
                <w:rFonts w:eastAsia="Calibri"/>
              </w:rPr>
            </w:pPr>
            <w:r w:rsidRPr="00AE69F4">
              <w:rPr>
                <w:rFonts w:eastAsia="Calibri"/>
                <w:color w:val="0000FF"/>
                <w:u w:val="single"/>
              </w:rPr>
              <w:t>ghull@eckertseamans.com</w:t>
            </w:r>
          </w:p>
          <w:p w14:paraId="4E74C755" w14:textId="77777777" w:rsidR="00045DDA" w:rsidRPr="00AE69F4" w:rsidRDefault="00045DDA" w:rsidP="00334446">
            <w:r w:rsidRPr="00AE69F4">
              <w:rPr>
                <w:color w:val="0000FF"/>
                <w:u w:val="single"/>
              </w:rPr>
              <w:t>jvickers@elpc.org</w:t>
            </w:r>
          </w:p>
          <w:p w14:paraId="710FECA8" w14:textId="77777777" w:rsidR="00045DDA" w:rsidRPr="00AE69F4" w:rsidRDefault="00045DDA" w:rsidP="00334446"/>
          <w:p w14:paraId="0AF6CEA3" w14:textId="77777777" w:rsidR="00045DDA" w:rsidRPr="00AE69F4" w:rsidRDefault="00045DDA" w:rsidP="00334446">
            <w:pPr>
              <w:rPr>
                <w:rFonts w:eastAsia="Calibri"/>
              </w:rPr>
            </w:pPr>
          </w:p>
          <w:p w14:paraId="39620261" w14:textId="77777777" w:rsidR="00045DDA" w:rsidRPr="00AE69F4" w:rsidRDefault="00045DDA" w:rsidP="00334446">
            <w:pPr>
              <w:jc w:val="both"/>
              <w:rPr>
                <w:rFonts w:eastAsia="Calibri"/>
                <w:bCs/>
              </w:rPr>
            </w:pPr>
          </w:p>
        </w:tc>
      </w:tr>
    </w:tbl>
    <w:p w14:paraId="6CD771CA" w14:textId="77777777" w:rsidR="004552C9" w:rsidRDefault="004552C9">
      <w:pPr>
        <w:tabs>
          <w:tab w:val="left" w:pos="4320"/>
        </w:tabs>
        <w:jc w:val="center"/>
        <w:rPr>
          <w:b/>
          <w:bCs/>
          <w:u w:val="single"/>
        </w:rPr>
      </w:pPr>
    </w:p>
    <w:sectPr w:rsidR="004552C9" w:rsidSect="00F95936">
      <w:headerReference w:type="even" r:id="rId22"/>
      <w:headerReference w:type="default" r:id="rId23"/>
      <w:headerReference w:type="first" r:id="rId24"/>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0BA8F" w14:textId="77777777" w:rsidR="000B0889" w:rsidRDefault="000B0889">
      <w:r>
        <w:separator/>
      </w:r>
    </w:p>
  </w:endnote>
  <w:endnote w:type="continuationSeparator" w:id="0">
    <w:p w14:paraId="32BB3CC1" w14:textId="77777777" w:rsidR="000B0889" w:rsidRDefault="000B0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66A64" w14:textId="77777777" w:rsidR="007C21E1" w:rsidRDefault="007C21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7797B" w14:textId="77777777" w:rsidR="007C21E1" w:rsidRDefault="007C21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13B64" w14:textId="77777777" w:rsidR="007C21E1" w:rsidRDefault="007C21E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63B1A" w14:textId="77777777" w:rsidR="000B0889" w:rsidRDefault="000B0889">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37CF">
      <w:rPr>
        <w:rStyle w:val="PageNumber"/>
        <w:noProof/>
      </w:rPr>
      <w:t>i</w:t>
    </w:r>
    <w:r>
      <w:rPr>
        <w:rStyle w:val="PageNumber"/>
      </w:rPr>
      <w:fldChar w:fldCharType="end"/>
    </w:r>
  </w:p>
  <w:p w14:paraId="5E562C42" w14:textId="77777777" w:rsidR="000B0889" w:rsidRDefault="000B088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5B4F6" w14:textId="77777777" w:rsidR="000B0889" w:rsidRDefault="000B0889">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37CF">
      <w:rPr>
        <w:rStyle w:val="PageNumber"/>
        <w:noProof/>
      </w:rPr>
      <w:t>1</w:t>
    </w:r>
    <w:r>
      <w:rPr>
        <w:rStyle w:val="PageNumber"/>
      </w:rPr>
      <w:fldChar w:fldCharType="end"/>
    </w:r>
  </w:p>
  <w:p w14:paraId="5ADC2F96" w14:textId="77777777" w:rsidR="000B0889" w:rsidRDefault="000B08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86E8FF" w14:textId="77777777" w:rsidR="000B0889" w:rsidRDefault="000B0889">
      <w:r>
        <w:separator/>
      </w:r>
    </w:p>
  </w:footnote>
  <w:footnote w:type="continuationSeparator" w:id="0">
    <w:p w14:paraId="1512C21B" w14:textId="77777777" w:rsidR="000B0889" w:rsidRDefault="000B0889">
      <w:r>
        <w:continuationSeparator/>
      </w:r>
    </w:p>
  </w:footnote>
  <w:footnote w:id="1">
    <w:p w14:paraId="14C2EE07" w14:textId="26A3EE12" w:rsidR="000B0889" w:rsidRPr="00E90CCB" w:rsidRDefault="000B0889" w:rsidP="00E90CCB">
      <w:pPr>
        <w:autoSpaceDE w:val="0"/>
        <w:autoSpaceDN w:val="0"/>
        <w:adjustRightInd w:val="0"/>
        <w:spacing w:after="120"/>
        <w:rPr>
          <w:sz w:val="20"/>
          <w:szCs w:val="20"/>
        </w:rPr>
      </w:pPr>
      <w:r w:rsidRPr="00E90CCB">
        <w:rPr>
          <w:rStyle w:val="FootnoteReference"/>
          <w:i/>
          <w:sz w:val="20"/>
          <w:szCs w:val="20"/>
        </w:rPr>
        <w:footnoteRef/>
      </w:r>
      <w:r w:rsidRPr="00E90CCB">
        <w:rPr>
          <w:i/>
          <w:sz w:val="20"/>
          <w:szCs w:val="20"/>
        </w:rPr>
        <w:t xml:space="preserve"> In the Matter of the Commission’s Review of Its Rules for the Establishment of Credit for Residential Utility Services and the Disconnection of Gas, Natural Gas or Electric Services to Residential Customers Contained in Chapters 4901:1-17 and 4901:1-18 of the Ohio Administrative Code, </w:t>
      </w:r>
      <w:r w:rsidRPr="00E90CCB">
        <w:rPr>
          <w:sz w:val="20"/>
          <w:szCs w:val="20"/>
        </w:rPr>
        <w:t>Case No. 13-274-AU-ORD.</w:t>
      </w:r>
    </w:p>
  </w:footnote>
  <w:footnote w:id="2">
    <w:p w14:paraId="45152F8B" w14:textId="2C0C6AE6" w:rsidR="000B0889" w:rsidRPr="00E90CCB" w:rsidRDefault="000B0889" w:rsidP="00E90CCB">
      <w:pPr>
        <w:pStyle w:val="FootnoteText"/>
        <w:spacing w:after="120"/>
      </w:pPr>
      <w:r w:rsidRPr="00E90CCB">
        <w:rPr>
          <w:rStyle w:val="FootnoteReference"/>
        </w:rPr>
        <w:footnoteRef/>
      </w:r>
      <w:r w:rsidRPr="00E90CCB">
        <w:t xml:space="preserve"> </w:t>
      </w:r>
      <w:r w:rsidRPr="00E90CCB">
        <w:rPr>
          <w:i/>
          <w:iCs/>
        </w:rPr>
        <w:t xml:space="preserve">In the Matter of the Commission’s Review of Chapters 4901:1-10  of the Ohio Administrative Code Regarding Electric Companies, </w:t>
      </w:r>
      <w:r w:rsidRPr="00E90CCB">
        <w:t>Case No. 12-2050-EL-ORD.</w:t>
      </w:r>
    </w:p>
  </w:footnote>
  <w:footnote w:id="3">
    <w:p w14:paraId="6B1C93C7" w14:textId="4CA232FD" w:rsidR="000B0889" w:rsidRPr="00E90CCB" w:rsidRDefault="000B0889" w:rsidP="00E90CCB">
      <w:pPr>
        <w:pStyle w:val="FootnoteText"/>
        <w:spacing w:after="120"/>
      </w:pPr>
      <w:r w:rsidRPr="00E90CCB">
        <w:rPr>
          <w:rStyle w:val="FootnoteReference"/>
        </w:rPr>
        <w:footnoteRef/>
      </w:r>
      <w:r w:rsidRPr="00E90CCB">
        <w:t xml:space="preserve"> </w:t>
      </w:r>
      <w:r w:rsidRPr="00E90CCB">
        <w:rPr>
          <w:i/>
        </w:rPr>
        <w:t xml:space="preserve">In the Matter of the Application of Duke Energy Ohio, Inc. to Revise and Amend its Circuit Inspection Program, </w:t>
      </w:r>
      <w:r w:rsidRPr="00E90CCB">
        <w:t>Case No. 12-1679-EL-ESS, Application (May 29, 2012).</w:t>
      </w:r>
    </w:p>
  </w:footnote>
  <w:footnote w:id="4">
    <w:p w14:paraId="425E37EC" w14:textId="3CDE3B49" w:rsidR="000B0889" w:rsidRPr="00E90CCB" w:rsidRDefault="000B0889" w:rsidP="00E90CCB">
      <w:pPr>
        <w:pStyle w:val="FootnoteText"/>
        <w:spacing w:after="120"/>
      </w:pPr>
      <w:r w:rsidRPr="00E90CCB">
        <w:rPr>
          <w:rStyle w:val="FootnoteReference"/>
        </w:rPr>
        <w:footnoteRef/>
      </w:r>
      <w:r w:rsidRPr="00E90CCB">
        <w:t xml:space="preserve"> </w:t>
      </w:r>
      <w:r w:rsidRPr="00E90CCB">
        <w:rPr>
          <w:i/>
          <w:iCs/>
        </w:rPr>
        <w:t>In the Matter of the Application of the Duke Energy Ohio, Inc. to Establish Minimum Reliability Performance Standards Pursuant to Chapter 4901:</w:t>
      </w:r>
      <w:r w:rsidR="000F368A">
        <w:rPr>
          <w:i/>
          <w:iCs/>
        </w:rPr>
        <w:t>1-10, Ohio Administrative Code,</w:t>
      </w:r>
      <w:r w:rsidRPr="00E90CCB">
        <w:rPr>
          <w:i/>
          <w:iCs/>
        </w:rPr>
        <w:t xml:space="preserve"> </w:t>
      </w:r>
      <w:r w:rsidRPr="00E90CCB">
        <w:t>Case No. 09-757-EL-ESS and Case No. 13-1539-EL-ESS.</w:t>
      </w:r>
    </w:p>
  </w:footnote>
  <w:footnote w:id="5">
    <w:p w14:paraId="339431AD" w14:textId="4EBBB6D1" w:rsidR="000B0889" w:rsidRPr="00E90CCB" w:rsidRDefault="000B0889" w:rsidP="00E90CCB">
      <w:pPr>
        <w:pStyle w:val="FootnoteText"/>
        <w:spacing w:after="120"/>
      </w:pPr>
      <w:r w:rsidRPr="00E90CCB">
        <w:rPr>
          <w:rStyle w:val="FootnoteReference"/>
        </w:rPr>
        <w:footnoteRef/>
      </w:r>
      <w:r w:rsidRPr="00E90CCB">
        <w:t xml:space="preserve"> http://aspe.hhs.gov/poverty/14poverty.cfm</w:t>
      </w:r>
      <w:r w:rsidR="00E90CCB">
        <w:t>.</w:t>
      </w:r>
    </w:p>
  </w:footnote>
  <w:footnote w:id="6">
    <w:p w14:paraId="574284A0" w14:textId="77777777" w:rsidR="000B0889" w:rsidRPr="00E90CCB" w:rsidRDefault="000B0889" w:rsidP="00E90CCB">
      <w:pPr>
        <w:pStyle w:val="FootnoteText"/>
        <w:spacing w:after="120"/>
      </w:pPr>
      <w:r w:rsidRPr="00E90CCB">
        <w:rPr>
          <w:rStyle w:val="FootnoteReference"/>
        </w:rPr>
        <w:footnoteRef/>
      </w:r>
      <w:r w:rsidRPr="00E90CCB">
        <w:t xml:space="preserve"> Id.</w:t>
      </w:r>
    </w:p>
  </w:footnote>
  <w:footnote w:id="7">
    <w:p w14:paraId="2DE6D29B" w14:textId="3B969C03" w:rsidR="000B0889" w:rsidRPr="00E90CCB" w:rsidRDefault="000B0889" w:rsidP="00E90CCB">
      <w:pPr>
        <w:pStyle w:val="FootnoteText"/>
        <w:spacing w:after="120"/>
      </w:pPr>
      <w:r w:rsidRPr="00E90CCB">
        <w:rPr>
          <w:rStyle w:val="FootnoteReference"/>
        </w:rPr>
        <w:footnoteRef/>
      </w:r>
      <w:r w:rsidRPr="00E90CCB">
        <w:t xml:space="preserve"> http://www.development.ohio.gov/files/research/P7005.pdf</w:t>
      </w:r>
      <w:r w:rsidR="00E90CCB">
        <w:t>.</w:t>
      </w:r>
    </w:p>
  </w:footnote>
  <w:footnote w:id="8">
    <w:p w14:paraId="0B2A4E0B" w14:textId="5BD78F51" w:rsidR="000B0889" w:rsidRPr="00E90CCB" w:rsidRDefault="000B0889" w:rsidP="00E90CCB">
      <w:pPr>
        <w:pStyle w:val="FootnoteText"/>
        <w:spacing w:after="120"/>
      </w:pPr>
      <w:r w:rsidRPr="00E90CCB">
        <w:rPr>
          <w:rStyle w:val="FootnoteReference"/>
        </w:rPr>
        <w:footnoteRef/>
      </w:r>
      <w:r w:rsidR="000F368A">
        <w:t xml:space="preserve"> Ohio Poverty Report</w:t>
      </w:r>
      <w:r w:rsidRPr="00E90CCB">
        <w:t xml:space="preserve"> at Table A1.</w:t>
      </w:r>
    </w:p>
  </w:footnote>
  <w:footnote w:id="9">
    <w:p w14:paraId="7100A547" w14:textId="43DF74FB" w:rsidR="000B0889" w:rsidRPr="00E90CCB" w:rsidRDefault="000B0889" w:rsidP="00E90CCB">
      <w:pPr>
        <w:pStyle w:val="FootnoteText"/>
        <w:spacing w:after="120"/>
      </w:pPr>
      <w:r w:rsidRPr="00E90CCB">
        <w:rPr>
          <w:rStyle w:val="FootnoteReference"/>
        </w:rPr>
        <w:footnoteRef/>
      </w:r>
      <w:r w:rsidR="00E90CCB">
        <w:t xml:space="preserve"> Ohio Poverty Report at page 6.</w:t>
      </w:r>
    </w:p>
  </w:footnote>
  <w:footnote w:id="10">
    <w:p w14:paraId="40D19838" w14:textId="77777777" w:rsidR="000B0889" w:rsidRPr="00E90CCB" w:rsidRDefault="000B0889" w:rsidP="00E90CCB">
      <w:pPr>
        <w:pStyle w:val="FootnoteText"/>
        <w:spacing w:after="120"/>
      </w:pPr>
      <w:r w:rsidRPr="00E90CCB">
        <w:rPr>
          <w:rStyle w:val="FootnoteReference"/>
        </w:rPr>
        <w:footnoteRef/>
      </w:r>
      <w:r w:rsidRPr="00E90CCB">
        <w:t xml:space="preserve"> Ohio Poverty Report at page 8.</w:t>
      </w:r>
    </w:p>
  </w:footnote>
  <w:footnote w:id="11">
    <w:p w14:paraId="43C966E6" w14:textId="77777777" w:rsidR="000B0889" w:rsidRPr="00E90CCB" w:rsidRDefault="000B0889" w:rsidP="00E90CCB">
      <w:pPr>
        <w:pStyle w:val="FootnoteText"/>
        <w:spacing w:after="120"/>
      </w:pPr>
      <w:r w:rsidRPr="00E90CCB">
        <w:rPr>
          <w:rStyle w:val="FootnoteReference"/>
        </w:rPr>
        <w:footnoteRef/>
      </w:r>
      <w:r w:rsidRPr="00E90CCB">
        <w:t xml:space="preserve"> Ohio Poverty Report at Table A6.</w:t>
      </w:r>
    </w:p>
  </w:footnote>
  <w:footnote w:id="12">
    <w:p w14:paraId="207D5521" w14:textId="77777777" w:rsidR="000B0889" w:rsidRPr="00E90CCB" w:rsidRDefault="000B0889" w:rsidP="00E90CCB">
      <w:pPr>
        <w:pStyle w:val="FootnoteText"/>
        <w:spacing w:after="120"/>
      </w:pPr>
      <w:r w:rsidRPr="00E90CCB">
        <w:rPr>
          <w:rStyle w:val="FootnoteReference"/>
        </w:rPr>
        <w:footnoteRef/>
      </w:r>
      <w:r w:rsidRPr="00E90CCB">
        <w:t xml:space="preserve"> Id.</w:t>
      </w:r>
    </w:p>
  </w:footnote>
  <w:footnote w:id="13">
    <w:p w14:paraId="0337A916" w14:textId="77777777" w:rsidR="000B0889" w:rsidRPr="00E90CCB" w:rsidRDefault="000B0889" w:rsidP="00E90CCB">
      <w:pPr>
        <w:pStyle w:val="FootnoteText"/>
        <w:spacing w:after="120"/>
      </w:pPr>
      <w:r w:rsidRPr="00E90CCB">
        <w:rPr>
          <w:rStyle w:val="FootnoteReference"/>
        </w:rPr>
        <w:footnoteRef/>
      </w:r>
      <w:r w:rsidRPr="00E90CCB">
        <w:t xml:space="preserve"> Ohio Poverty Report at Table A7.</w:t>
      </w:r>
    </w:p>
  </w:footnote>
  <w:footnote w:id="14">
    <w:p w14:paraId="095E5928" w14:textId="77777777" w:rsidR="000B0889" w:rsidRPr="00E90CCB" w:rsidRDefault="000B0889" w:rsidP="00E90CCB">
      <w:pPr>
        <w:pStyle w:val="FootnoteText"/>
        <w:spacing w:after="120"/>
      </w:pPr>
      <w:r w:rsidRPr="00E90CCB">
        <w:rPr>
          <w:rStyle w:val="FootnoteReference"/>
        </w:rPr>
        <w:footnoteRef/>
      </w:r>
      <w:r w:rsidRPr="00E90CCB">
        <w:t xml:space="preserve"> Persons for Whom Poverty Status was Determined.</w:t>
      </w:r>
    </w:p>
  </w:footnote>
  <w:footnote w:id="15">
    <w:p w14:paraId="038F14CD" w14:textId="5A5EB301" w:rsidR="000B0889" w:rsidRPr="00E90CCB" w:rsidRDefault="000B0889" w:rsidP="00E90CCB">
      <w:pPr>
        <w:pStyle w:val="FootnoteText"/>
        <w:spacing w:after="120"/>
      </w:pPr>
      <w:r w:rsidRPr="00E90CCB">
        <w:rPr>
          <w:rStyle w:val="FootnoteReference"/>
        </w:rPr>
        <w:footnoteRef/>
      </w:r>
      <w:r w:rsidRPr="00E90CCB">
        <w:t xml:space="preserve"> Ohio Utility Rate Survey, A Report by the Staff of the PUCO (July 15, 2014).</w:t>
      </w:r>
    </w:p>
  </w:footnote>
  <w:footnote w:id="16">
    <w:p w14:paraId="231DA899" w14:textId="7E06179C" w:rsidR="000B0889" w:rsidRPr="00E90CCB" w:rsidRDefault="000B0889" w:rsidP="00E90CCB">
      <w:pPr>
        <w:pStyle w:val="FootnoteText"/>
        <w:spacing w:after="120"/>
      </w:pPr>
      <w:r w:rsidRPr="00E90CCB">
        <w:rPr>
          <w:rStyle w:val="FootnoteReference"/>
        </w:rPr>
        <w:footnoteRef/>
      </w:r>
      <w:r w:rsidRPr="00E90CCB">
        <w:t xml:space="preserve"> Ohio Utility Rate Survey, A Report by the Staff of the PUCO (July 15, 2004).</w:t>
      </w:r>
    </w:p>
  </w:footnote>
  <w:footnote w:id="17">
    <w:p w14:paraId="43D9BFA4" w14:textId="0D4459B0" w:rsidR="000B0889" w:rsidRPr="00E90CCB" w:rsidRDefault="000B0889" w:rsidP="00E90CCB">
      <w:pPr>
        <w:pStyle w:val="FootnoteText"/>
        <w:spacing w:after="120"/>
      </w:pPr>
      <w:r w:rsidRPr="00E90CCB">
        <w:rPr>
          <w:rStyle w:val="FootnoteReference"/>
        </w:rPr>
        <w:footnoteRef/>
      </w:r>
      <w:r w:rsidRPr="00E90CCB">
        <w:t xml:space="preserve"> http://www.usinflationcalculator.com/inflation/current-inflation-rates/</w:t>
      </w:r>
      <w:r w:rsidR="000F368A">
        <w:t>.</w:t>
      </w:r>
    </w:p>
  </w:footnote>
  <w:footnote w:id="18">
    <w:p w14:paraId="0CE0A170" w14:textId="5303CD06" w:rsidR="000B0889" w:rsidRPr="00E90CCB" w:rsidRDefault="000B0889" w:rsidP="00E90CCB">
      <w:pPr>
        <w:autoSpaceDE w:val="0"/>
        <w:autoSpaceDN w:val="0"/>
        <w:adjustRightInd w:val="0"/>
        <w:spacing w:after="120"/>
        <w:rPr>
          <w:sz w:val="20"/>
          <w:szCs w:val="20"/>
        </w:rPr>
      </w:pPr>
      <w:r w:rsidRPr="00E90CCB">
        <w:rPr>
          <w:rStyle w:val="FootnoteReference"/>
          <w:sz w:val="20"/>
          <w:szCs w:val="20"/>
        </w:rPr>
        <w:footnoteRef/>
      </w:r>
      <w:r w:rsidRPr="00E90CCB">
        <w:rPr>
          <w:i/>
          <w:sz w:val="20"/>
          <w:szCs w:val="20"/>
        </w:rPr>
        <w:t xml:space="preserve">In the Matter of the Application of Duke Energy Ohio for Approval of a Market Rate Offer to Conduct a Competitive Bidding Process for Standard Service Offer Electric Generation Supply, Accounting Modifications, and Tariffs for Generation Service, </w:t>
      </w:r>
      <w:r w:rsidRPr="00E90CCB">
        <w:rPr>
          <w:sz w:val="20"/>
          <w:szCs w:val="20"/>
        </w:rPr>
        <w:t>Case 10-2586-EL-SSO.</w:t>
      </w:r>
    </w:p>
  </w:footnote>
  <w:footnote w:id="19">
    <w:p w14:paraId="209DF93E" w14:textId="77777777" w:rsidR="000B0889" w:rsidRPr="00E90CCB" w:rsidRDefault="000B0889" w:rsidP="00E90CCB">
      <w:pPr>
        <w:pStyle w:val="FootnoteText"/>
        <w:spacing w:after="120"/>
      </w:pPr>
      <w:r w:rsidRPr="00E90CCB">
        <w:rPr>
          <w:rStyle w:val="FootnoteReference"/>
        </w:rPr>
        <w:footnoteRef/>
      </w:r>
      <w:r w:rsidRPr="00E90CCB">
        <w:t xml:space="preserve"> Ohio Admin. Code 122:5-3-02(B)(1).</w:t>
      </w:r>
    </w:p>
  </w:footnote>
  <w:footnote w:id="20">
    <w:p w14:paraId="676F71CC" w14:textId="0C62BD7A" w:rsidR="000B0889" w:rsidRPr="00E90CCB" w:rsidRDefault="000B0889" w:rsidP="00E90CCB">
      <w:pPr>
        <w:pStyle w:val="FootnoteText"/>
        <w:spacing w:after="120"/>
      </w:pPr>
      <w:r w:rsidRPr="00E90CCB">
        <w:rPr>
          <w:rStyle w:val="FootnoteReference"/>
        </w:rPr>
        <w:footnoteRef/>
      </w:r>
      <w:r w:rsidR="000F368A">
        <w:t xml:space="preserve"> Ohio Admin. Code 122:5-3-04.</w:t>
      </w:r>
    </w:p>
  </w:footnote>
  <w:footnote w:id="21">
    <w:p w14:paraId="396D9ABE" w14:textId="4BA4C98C" w:rsidR="000B0889" w:rsidRPr="00E90CCB" w:rsidRDefault="000B0889" w:rsidP="00E90CCB">
      <w:pPr>
        <w:pStyle w:val="FootnoteText"/>
        <w:spacing w:after="120"/>
      </w:pPr>
      <w:r w:rsidRPr="00E90CCB">
        <w:rPr>
          <w:rStyle w:val="FootnoteReference"/>
        </w:rPr>
        <w:footnoteRef/>
      </w:r>
      <w:r w:rsidRPr="00E90CCB">
        <w:t xml:space="preserve"> </w:t>
      </w:r>
      <w:r w:rsidRPr="00E90CCB">
        <w:rPr>
          <w:i/>
        </w:rPr>
        <w:t>In the Matter of the Commission’s Review of Chapters 4901-1-17 and 4901:1-18, and Rules 4901:1-5-07, 4901:1-10-22, 4901:1-13-11, 4901:1-15-17, 4901:1-21-14, and 4901:1-29-12 of the Ohio Administrative Code</w:t>
      </w:r>
      <w:r w:rsidRPr="00E90CCB">
        <w:t>, Case No. 08-723-AU-ORD, PIPP Plus Metrics Data reported to the PUCO Staff.</w:t>
      </w:r>
    </w:p>
  </w:footnote>
  <w:footnote w:id="22">
    <w:p w14:paraId="3CD639A0" w14:textId="3119F3A5" w:rsidR="000B0889" w:rsidRPr="00E90CCB" w:rsidRDefault="000B0889" w:rsidP="00E90CCB">
      <w:pPr>
        <w:pStyle w:val="FootnoteText"/>
        <w:spacing w:after="120"/>
      </w:pPr>
      <w:r w:rsidRPr="00E90CCB">
        <w:rPr>
          <w:rStyle w:val="FootnoteReference"/>
        </w:rPr>
        <w:footnoteRef/>
      </w:r>
      <w:r w:rsidRPr="00E90CCB">
        <w:t xml:space="preserve"> 2013 Annual Report reflects</w:t>
      </w:r>
      <w:r w:rsidR="000F368A">
        <w:t xml:space="preserve"> 615,738 residential customers.</w:t>
      </w:r>
    </w:p>
  </w:footnote>
  <w:footnote w:id="23">
    <w:p w14:paraId="016D775C" w14:textId="77777777" w:rsidR="000B0889" w:rsidRPr="00E90CCB" w:rsidRDefault="000B0889" w:rsidP="00E90CCB">
      <w:pPr>
        <w:pStyle w:val="FootnoteText"/>
        <w:spacing w:after="120"/>
      </w:pPr>
      <w:r w:rsidRPr="00E90CCB">
        <w:rPr>
          <w:rStyle w:val="FootnoteReference"/>
        </w:rPr>
        <w:footnoteRef/>
      </w:r>
      <w:r w:rsidRPr="00E90CCB">
        <w:t xml:space="preserve"> </w:t>
      </w:r>
      <w:r w:rsidRPr="00E90CCB">
        <w:rPr>
          <w:i/>
        </w:rPr>
        <w:t>In the Matter of the Annual Report of Service Disconnections for Nonpayment Required by Section 4933.123, Ohio Revised Code</w:t>
      </w:r>
      <w:r w:rsidRPr="00E90CCB">
        <w:t>, Case No. 12-1449-GE-UNC, Report of Service Disconnections of Duke Energy Ohio at 1 (July 24, 2012).</w:t>
      </w:r>
    </w:p>
  </w:footnote>
  <w:footnote w:id="24">
    <w:p w14:paraId="5F88BBCB" w14:textId="77777777" w:rsidR="000B0889" w:rsidRPr="00E90CCB" w:rsidRDefault="000B0889" w:rsidP="00E90CCB">
      <w:pPr>
        <w:pStyle w:val="FootnoteText"/>
        <w:spacing w:after="120"/>
      </w:pPr>
      <w:r w:rsidRPr="00E90CCB">
        <w:rPr>
          <w:rStyle w:val="FootnoteReference"/>
        </w:rPr>
        <w:footnoteRef/>
      </w:r>
      <w:r w:rsidRPr="00E90CCB">
        <w:t xml:space="preserve"> </w:t>
      </w:r>
      <w:r w:rsidRPr="00E90CCB">
        <w:rPr>
          <w:i/>
        </w:rPr>
        <w:t>In the Matter of the Annual Report of Service Disconnections for Nonpayment Required by Section 4933.123, ORC</w:t>
      </w:r>
      <w:r w:rsidRPr="00E90CCB">
        <w:t>, Case No. 14-846-GE-UNC, Duke Energy Ohio’s Service Disconnection for Nonpayment Report at 1 (June 10, 2014).</w:t>
      </w:r>
    </w:p>
  </w:footnote>
  <w:footnote w:id="25">
    <w:p w14:paraId="1B993D81" w14:textId="2B2F8FF9" w:rsidR="000B0889" w:rsidRPr="00E90CCB" w:rsidRDefault="000B0889" w:rsidP="00E90CCB">
      <w:pPr>
        <w:pStyle w:val="FootnoteText"/>
        <w:spacing w:after="120"/>
      </w:pPr>
      <w:r w:rsidRPr="00E90CCB">
        <w:rPr>
          <w:rStyle w:val="FootnoteReference"/>
        </w:rPr>
        <w:footnoteRef/>
      </w:r>
      <w:r w:rsidRPr="00E90CCB">
        <w:t xml:space="preserve"> PIPP Plus Metrics Data for 2013 provided by the PUCO Staff.</w:t>
      </w:r>
    </w:p>
  </w:footnote>
  <w:footnote w:id="26">
    <w:p w14:paraId="60D94C3D" w14:textId="77A1FD73" w:rsidR="000B0889" w:rsidRPr="00E90CCB" w:rsidRDefault="000B0889" w:rsidP="00E90CCB">
      <w:pPr>
        <w:pStyle w:val="FootnoteText"/>
        <w:spacing w:after="120"/>
      </w:pPr>
      <w:r w:rsidRPr="00E90CCB">
        <w:rPr>
          <w:rStyle w:val="FootnoteReference"/>
        </w:rPr>
        <w:footnoteRef/>
      </w:r>
      <w:r w:rsidRPr="00E90CCB">
        <w:t xml:space="preserve"> PIPP Plus Metrics Data for 2013 provided by the PUCO</w:t>
      </w:r>
      <w:r w:rsidR="000F368A">
        <w:t xml:space="preserve"> Staff</w:t>
      </w:r>
      <w:r w:rsidRPr="00E90CCB">
        <w:t>.</w:t>
      </w:r>
    </w:p>
  </w:footnote>
  <w:footnote w:id="27">
    <w:p w14:paraId="617103EE" w14:textId="53DD4229" w:rsidR="000B0889" w:rsidRPr="00E90CCB" w:rsidRDefault="000B0889" w:rsidP="00E90CCB">
      <w:pPr>
        <w:autoSpaceDE w:val="0"/>
        <w:autoSpaceDN w:val="0"/>
        <w:adjustRightInd w:val="0"/>
        <w:spacing w:after="120"/>
        <w:rPr>
          <w:sz w:val="20"/>
          <w:szCs w:val="20"/>
        </w:rPr>
      </w:pPr>
      <w:r w:rsidRPr="00E90CCB">
        <w:rPr>
          <w:rStyle w:val="FootnoteReference"/>
          <w:sz w:val="20"/>
          <w:szCs w:val="20"/>
        </w:rPr>
        <w:footnoteRef/>
      </w:r>
      <w:r w:rsidRPr="00E90CCB">
        <w:rPr>
          <w:sz w:val="20"/>
          <w:szCs w:val="20"/>
        </w:rPr>
        <w:t xml:space="preserve"> </w:t>
      </w:r>
      <w:r w:rsidRPr="00E90CCB">
        <w:rPr>
          <w:i/>
          <w:sz w:val="20"/>
          <w:szCs w:val="20"/>
        </w:rPr>
        <w:t>In the Matter of the Annual Report of Service Disconnections for Nonpayment Required by Section 4933.123</w:t>
      </w:r>
      <w:r w:rsidRPr="00E90CCB">
        <w:rPr>
          <w:sz w:val="20"/>
          <w:szCs w:val="20"/>
        </w:rPr>
        <w:t>, Revised Code, Case 14-846-GE-UNC.</w:t>
      </w:r>
    </w:p>
  </w:footnote>
  <w:footnote w:id="28">
    <w:p w14:paraId="47B0A318" w14:textId="7FBED90D" w:rsidR="000B0889" w:rsidRPr="00E90CCB" w:rsidRDefault="000B0889" w:rsidP="00E90CCB">
      <w:pPr>
        <w:pStyle w:val="FootnoteText"/>
        <w:spacing w:after="120"/>
      </w:pPr>
      <w:r w:rsidRPr="00E90CCB">
        <w:rPr>
          <w:rStyle w:val="FootnoteReference"/>
        </w:rPr>
        <w:footnoteRef/>
      </w:r>
      <w:r w:rsidRPr="00E90CCB">
        <w:t xml:space="preserve"> Access to Utility Service, National Consumer L</w:t>
      </w:r>
      <w:r w:rsidR="000F368A">
        <w:t>aw Center, Fourth Edison, 2008.</w:t>
      </w:r>
    </w:p>
  </w:footnote>
  <w:footnote w:id="29">
    <w:p w14:paraId="2E3459F6" w14:textId="6A3FF6B5" w:rsidR="000B0889" w:rsidRPr="00E90CCB" w:rsidRDefault="000B0889" w:rsidP="00E90CCB">
      <w:pPr>
        <w:pStyle w:val="FootnoteText"/>
        <w:spacing w:after="120"/>
      </w:pPr>
      <w:r w:rsidRPr="00E90CCB">
        <w:rPr>
          <w:rStyle w:val="FootnoteReference"/>
        </w:rPr>
        <w:footnoteRef/>
      </w:r>
      <w:r w:rsidRPr="00E90CCB">
        <w:t xml:space="preserve"> Direct Testimony of Marc Arnold at 16 (May 29, 2014).</w:t>
      </w:r>
    </w:p>
  </w:footnote>
  <w:footnote w:id="30">
    <w:p w14:paraId="296C0132" w14:textId="5799B2DE" w:rsidR="000B0889" w:rsidRPr="00E90CCB" w:rsidRDefault="000B0889" w:rsidP="00E90CCB">
      <w:pPr>
        <w:pStyle w:val="FootnoteText"/>
        <w:spacing w:after="120"/>
      </w:pPr>
      <w:r w:rsidRPr="00E90CCB">
        <w:rPr>
          <w:rStyle w:val="FootnoteReference"/>
        </w:rPr>
        <w:footnoteRef/>
      </w:r>
      <w:r w:rsidRPr="00E90CCB">
        <w:t xml:space="preserve"> Direct Testimony of Marc Arnold at 18 (May 29, 2014)</w:t>
      </w:r>
      <w:r w:rsidR="000F368A">
        <w:t>.</w:t>
      </w:r>
    </w:p>
  </w:footnote>
  <w:footnote w:id="31">
    <w:p w14:paraId="2F7691F0" w14:textId="77777777" w:rsidR="000B0889" w:rsidRPr="00E90CCB" w:rsidRDefault="000B0889" w:rsidP="00E90CCB">
      <w:pPr>
        <w:pStyle w:val="FootnoteText"/>
        <w:spacing w:after="120"/>
      </w:pPr>
      <w:r w:rsidRPr="00E90CCB">
        <w:rPr>
          <w:rStyle w:val="FootnoteReference"/>
        </w:rPr>
        <w:footnoteRef/>
      </w:r>
      <w:r w:rsidRPr="00E90CCB">
        <w:t xml:space="preserve"> Id.</w:t>
      </w:r>
    </w:p>
  </w:footnote>
  <w:footnote w:id="32">
    <w:p w14:paraId="72C9758F" w14:textId="77777777" w:rsidR="000B0889" w:rsidRPr="00E90CCB" w:rsidRDefault="000B0889" w:rsidP="00E90CCB">
      <w:pPr>
        <w:pStyle w:val="FootnoteText"/>
        <w:spacing w:after="120"/>
      </w:pPr>
      <w:r w:rsidRPr="00E90CCB">
        <w:rPr>
          <w:rStyle w:val="FootnoteReference"/>
        </w:rPr>
        <w:footnoteRef/>
      </w:r>
      <w:r w:rsidRPr="00E90CCB">
        <w:t xml:space="preserve"> Direct testimony of Marc Arnold at 15 (May 29, 2014).</w:t>
      </w:r>
    </w:p>
  </w:footnote>
  <w:footnote w:id="33">
    <w:p w14:paraId="35AFD2D4" w14:textId="77777777" w:rsidR="000B0889" w:rsidRPr="00E90CCB" w:rsidRDefault="000B0889" w:rsidP="00E90CCB">
      <w:pPr>
        <w:pStyle w:val="FootnoteText"/>
        <w:spacing w:after="120"/>
      </w:pPr>
      <w:r w:rsidRPr="00E90CCB">
        <w:rPr>
          <w:rStyle w:val="FootnoteReference"/>
        </w:rPr>
        <w:footnoteRef/>
      </w:r>
      <w:r w:rsidRPr="00E90CCB">
        <w:t xml:space="preserve"> Id.</w:t>
      </w:r>
    </w:p>
  </w:footnote>
  <w:footnote w:id="34">
    <w:p w14:paraId="3DAAA2B2" w14:textId="0A8294BB" w:rsidR="000B0889" w:rsidRPr="00E90CCB" w:rsidRDefault="000B0889" w:rsidP="00E90CCB">
      <w:pPr>
        <w:pStyle w:val="FootnoteText"/>
        <w:spacing w:after="120"/>
      </w:pPr>
      <w:r w:rsidRPr="00E90CCB">
        <w:rPr>
          <w:rStyle w:val="FootnoteReference"/>
        </w:rPr>
        <w:footnoteRef/>
      </w:r>
      <w:r w:rsidRPr="00E90CCB">
        <w:t xml:space="preserve"> Direct Testimony of Jerry Mierzwa at </w:t>
      </w:r>
      <w:r w:rsidR="008E58F7" w:rsidRPr="008E58F7">
        <w:t xml:space="preserve">page </w:t>
      </w:r>
      <w:r w:rsidR="008E58F7">
        <w:t>8</w:t>
      </w:r>
      <w:r w:rsidRPr="00E90CCB">
        <w:t>.</w:t>
      </w:r>
    </w:p>
  </w:footnote>
  <w:footnote w:id="35">
    <w:p w14:paraId="56305C9B" w14:textId="77777777" w:rsidR="000B0889" w:rsidRPr="00E90CCB" w:rsidRDefault="000B0889" w:rsidP="00E90CCB">
      <w:pPr>
        <w:pStyle w:val="FootnoteText"/>
        <w:spacing w:after="120"/>
      </w:pPr>
      <w:r w:rsidRPr="00E90CCB">
        <w:rPr>
          <w:rStyle w:val="FootnoteReference"/>
        </w:rPr>
        <w:footnoteRef/>
      </w:r>
      <w:r w:rsidRPr="00E90CCB">
        <w:t xml:space="preserve"> Direct Testimony of Marc Arnold at 17 (May 29, 2014).</w:t>
      </w:r>
    </w:p>
  </w:footnote>
  <w:footnote w:id="36">
    <w:p w14:paraId="185D8D43" w14:textId="20A38A62" w:rsidR="000B0889" w:rsidRPr="00E90CCB" w:rsidRDefault="000B0889" w:rsidP="00E90CCB">
      <w:pPr>
        <w:pStyle w:val="FootnoteText"/>
        <w:spacing w:after="120"/>
      </w:pPr>
      <w:r w:rsidRPr="00E90CCB">
        <w:rPr>
          <w:rStyle w:val="FootnoteReference"/>
        </w:rPr>
        <w:footnoteRef/>
      </w:r>
      <w:r w:rsidRPr="00E90CCB">
        <w:t xml:space="preserve"> Duke Response to OCC INT-11-304 (Attached herein as JDW-2).</w:t>
      </w:r>
    </w:p>
  </w:footnote>
  <w:footnote w:id="37">
    <w:p w14:paraId="58010CD8" w14:textId="77777777" w:rsidR="000B0889" w:rsidRPr="00E90CCB" w:rsidRDefault="000B0889" w:rsidP="00E90CCB">
      <w:pPr>
        <w:pStyle w:val="FootnoteText"/>
        <w:spacing w:after="120"/>
      </w:pPr>
      <w:r w:rsidRPr="00E90CCB">
        <w:rPr>
          <w:rStyle w:val="FootnoteReference"/>
        </w:rPr>
        <w:footnoteRef/>
      </w:r>
      <w:r w:rsidRPr="00E90CCB">
        <w:t xml:space="preserve"> Id.</w:t>
      </w:r>
    </w:p>
  </w:footnote>
  <w:footnote w:id="38">
    <w:p w14:paraId="049B3FD5" w14:textId="1B887970" w:rsidR="000B0889" w:rsidRPr="00E90CCB" w:rsidRDefault="000B0889" w:rsidP="00E90CCB">
      <w:pPr>
        <w:pStyle w:val="FootnoteText"/>
        <w:spacing w:after="120"/>
      </w:pPr>
      <w:r w:rsidRPr="00E90CCB">
        <w:rPr>
          <w:rStyle w:val="FootnoteReference"/>
        </w:rPr>
        <w:footnoteRef/>
      </w:r>
      <w:r w:rsidRPr="00E90CCB">
        <w:t xml:space="preserve"> Direct Testimony of Marc Arnold at 15 (May 29, 2014).</w:t>
      </w:r>
    </w:p>
  </w:footnote>
  <w:footnote w:id="39">
    <w:p w14:paraId="53C33CD0" w14:textId="5DA781CC" w:rsidR="000B0889" w:rsidRPr="00E90CCB" w:rsidRDefault="000B0889" w:rsidP="00E90CCB">
      <w:pPr>
        <w:pStyle w:val="FootnoteText"/>
        <w:spacing w:after="120"/>
      </w:pPr>
      <w:r w:rsidRPr="00E90CCB">
        <w:rPr>
          <w:rStyle w:val="FootnoteReference"/>
        </w:rPr>
        <w:footnoteRef/>
      </w:r>
      <w:r w:rsidRPr="00E90CCB">
        <w:t xml:space="preserve"> Direct Testimony of Marc Arnold at 20 (May 29, 2014).</w:t>
      </w:r>
    </w:p>
  </w:footnote>
  <w:footnote w:id="40">
    <w:p w14:paraId="2CDEA011" w14:textId="3E6FE51C" w:rsidR="000B0889" w:rsidRPr="00E90CCB" w:rsidRDefault="000B0889" w:rsidP="00E90CCB">
      <w:pPr>
        <w:pStyle w:val="FootnoteText"/>
        <w:spacing w:after="120"/>
      </w:pPr>
      <w:r w:rsidRPr="00E90CCB">
        <w:rPr>
          <w:rStyle w:val="FootnoteReference"/>
        </w:rPr>
        <w:footnoteRef/>
      </w:r>
      <w:r w:rsidRPr="00E90CCB">
        <w:t xml:space="preserve"> Duke Response to OCC-INT-11-246 (Attached herein as JDW-4)</w:t>
      </w:r>
      <w:r w:rsidR="000F368A">
        <w:t>.</w:t>
      </w:r>
    </w:p>
  </w:footnote>
  <w:footnote w:id="41">
    <w:p w14:paraId="2F3F3E6E" w14:textId="5E3E3C93" w:rsidR="000B0889" w:rsidRPr="00E90CCB" w:rsidRDefault="000B0889" w:rsidP="00E90CCB">
      <w:pPr>
        <w:pStyle w:val="FootnoteText"/>
        <w:spacing w:after="120"/>
      </w:pPr>
      <w:r w:rsidRPr="00E90CCB">
        <w:rPr>
          <w:rStyle w:val="FootnoteReference"/>
        </w:rPr>
        <w:footnoteRef/>
      </w:r>
      <w:r w:rsidRPr="00E90CCB">
        <w:t xml:space="preserve"> Duke Response to OCC-INT-11-243 and OCC-INT-14-390 (Attached herein as JDW-5 and JDW-6).</w:t>
      </w:r>
    </w:p>
  </w:footnote>
  <w:footnote w:id="42">
    <w:p w14:paraId="5764013C" w14:textId="14A6CE83" w:rsidR="000B0889" w:rsidRPr="00E90CCB" w:rsidRDefault="000B0889" w:rsidP="00E90CCB">
      <w:pPr>
        <w:pStyle w:val="FootnoteText"/>
        <w:spacing w:after="120"/>
      </w:pPr>
      <w:r w:rsidRPr="00E90CCB">
        <w:rPr>
          <w:rStyle w:val="FootnoteReference"/>
        </w:rPr>
        <w:footnoteRef/>
      </w:r>
      <w:r w:rsidRPr="00E90CCB">
        <w:t xml:space="preserve"> Ohio Admin. Code 4901:1-10-27(E)(1).</w:t>
      </w:r>
    </w:p>
  </w:footnote>
  <w:footnote w:id="43">
    <w:p w14:paraId="62E98FBF" w14:textId="5E4D3BC6" w:rsidR="000B0889" w:rsidRPr="00E90CCB" w:rsidRDefault="000B0889" w:rsidP="00E90CCB">
      <w:pPr>
        <w:pStyle w:val="FootnoteText"/>
        <w:spacing w:after="120"/>
      </w:pPr>
      <w:r w:rsidRPr="00E90CCB">
        <w:rPr>
          <w:rStyle w:val="FootnoteReference"/>
        </w:rPr>
        <w:footnoteRef/>
      </w:r>
      <w:r w:rsidRPr="00E90CCB">
        <w:t xml:space="preserve"> Direct Testimony of Marc Arnold at 22 (May 29, 2014).</w:t>
      </w:r>
    </w:p>
  </w:footnote>
  <w:footnote w:id="44">
    <w:p w14:paraId="6A94F8CA" w14:textId="5F3C27D6" w:rsidR="000B0889" w:rsidRPr="00E90CCB" w:rsidRDefault="000B0889" w:rsidP="00E90CCB">
      <w:pPr>
        <w:pStyle w:val="FootnoteText"/>
        <w:spacing w:after="120"/>
      </w:pPr>
      <w:r w:rsidRPr="00E90CCB">
        <w:rPr>
          <w:rStyle w:val="FootnoteReference"/>
        </w:rPr>
        <w:footnoteRef/>
      </w:r>
      <w:r w:rsidRPr="00E90CCB">
        <w:t xml:space="preserve"> Duke response to OCC-INT-14-393 (Attached herein as JDW-9)</w:t>
      </w:r>
      <w:r w:rsidR="00E90CCB">
        <w:t>.</w:t>
      </w:r>
    </w:p>
  </w:footnote>
  <w:footnote w:id="45">
    <w:p w14:paraId="186D1210" w14:textId="21D13827" w:rsidR="000B0889" w:rsidRPr="00E90CCB" w:rsidRDefault="000B0889" w:rsidP="00E90CCB">
      <w:pPr>
        <w:pStyle w:val="FootnoteText"/>
        <w:spacing w:after="120"/>
      </w:pPr>
      <w:r w:rsidRPr="00E90CCB">
        <w:rPr>
          <w:rStyle w:val="FootnoteReference"/>
        </w:rPr>
        <w:footnoteRef/>
      </w:r>
      <w:r w:rsidRPr="00E90CCB">
        <w:t xml:space="preserve"> Direct Testimony of Marc Arnold at Attachment MVA-1 (May 29, 2014).</w:t>
      </w:r>
    </w:p>
  </w:footnote>
  <w:footnote w:id="46">
    <w:p w14:paraId="51988423" w14:textId="7263E9DC" w:rsidR="000B0889" w:rsidRPr="00E90CCB" w:rsidRDefault="000B0889" w:rsidP="00E90CCB">
      <w:pPr>
        <w:pStyle w:val="FootnoteText"/>
        <w:spacing w:after="120"/>
      </w:pPr>
      <w:r w:rsidRPr="00E90CCB">
        <w:rPr>
          <w:rStyle w:val="FootnoteReference"/>
        </w:rPr>
        <w:footnoteRef/>
      </w:r>
      <w:r w:rsidRPr="00E90CCB">
        <w:t xml:space="preserve"> Duke response to OCC-INT-14-379 and 14-382 (Attached herein as JDW-11 and JDW-12).</w:t>
      </w:r>
    </w:p>
  </w:footnote>
  <w:footnote w:id="47">
    <w:p w14:paraId="631214CB" w14:textId="77777777" w:rsidR="000B0889" w:rsidRPr="00E90CCB" w:rsidRDefault="000B0889" w:rsidP="00E90CCB">
      <w:pPr>
        <w:pStyle w:val="FootnoteText"/>
        <w:spacing w:after="120"/>
      </w:pPr>
      <w:r w:rsidRPr="00E90CCB">
        <w:rPr>
          <w:rStyle w:val="FootnoteReference"/>
        </w:rPr>
        <w:footnoteRef/>
      </w:r>
      <w:r w:rsidRPr="00E90CCB">
        <w:t xml:space="preserve"> Direct Testimony of Marc Arnold at 20 (May 29, 2014).</w:t>
      </w:r>
    </w:p>
  </w:footnote>
  <w:footnote w:id="48">
    <w:p w14:paraId="47B4A708" w14:textId="64F6AFFF" w:rsidR="000B0889" w:rsidRPr="00E90CCB" w:rsidRDefault="000B0889" w:rsidP="00E90CCB">
      <w:pPr>
        <w:pStyle w:val="FootnoteText"/>
        <w:spacing w:after="120"/>
      </w:pPr>
      <w:r w:rsidRPr="00E90CCB">
        <w:rPr>
          <w:rStyle w:val="FootnoteReference"/>
        </w:rPr>
        <w:footnoteRef/>
      </w:r>
      <w:r w:rsidRPr="00E90CCB">
        <w:t xml:space="preserve"> Duke Response to OCC INT-11-203 (Attached herein as JDW-14).</w:t>
      </w:r>
    </w:p>
  </w:footnote>
  <w:footnote w:id="49">
    <w:p w14:paraId="4B2AE0AD" w14:textId="7E0F97E0" w:rsidR="000B0889" w:rsidRPr="00E90CCB" w:rsidRDefault="000B0889" w:rsidP="00E90CCB">
      <w:pPr>
        <w:pStyle w:val="FootnoteText"/>
        <w:spacing w:after="120"/>
      </w:pPr>
      <w:r w:rsidRPr="00E90CCB">
        <w:rPr>
          <w:rStyle w:val="FootnoteReference"/>
        </w:rPr>
        <w:footnoteRef/>
      </w:r>
      <w:r w:rsidRPr="00E90CCB">
        <w:t xml:space="preserve"> Ohio Admin. Code 4901:1-10-11(C)(1).</w:t>
      </w:r>
    </w:p>
  </w:footnote>
  <w:footnote w:id="50">
    <w:p w14:paraId="46FA3B5E" w14:textId="77777777" w:rsidR="000B0889" w:rsidRPr="00E90CCB" w:rsidRDefault="000B0889" w:rsidP="00E90CCB">
      <w:pPr>
        <w:pStyle w:val="FootnoteText"/>
        <w:spacing w:after="120"/>
      </w:pPr>
      <w:r w:rsidRPr="00E90CCB">
        <w:rPr>
          <w:rStyle w:val="FootnoteReference"/>
        </w:rPr>
        <w:footnoteRef/>
      </w:r>
      <w:r w:rsidRPr="00E90CCB">
        <w:t xml:space="preserve"> Ohio Admin. Code 4901:1-10-10(B)(4)(a).</w:t>
      </w:r>
    </w:p>
  </w:footnote>
  <w:footnote w:id="51">
    <w:p w14:paraId="08C45BEB" w14:textId="65B543AD" w:rsidR="000B0889" w:rsidRPr="00E90CCB" w:rsidRDefault="000B0889" w:rsidP="00E90CCB">
      <w:pPr>
        <w:pStyle w:val="FootnoteText"/>
        <w:spacing w:after="120"/>
        <w:rPr>
          <w:i/>
        </w:rPr>
      </w:pPr>
      <w:r w:rsidRPr="00E90CCB">
        <w:rPr>
          <w:rStyle w:val="FootnoteReference"/>
        </w:rPr>
        <w:footnoteRef/>
      </w:r>
      <w:r w:rsidRPr="00E90CCB">
        <w:t xml:space="preserve"> </w:t>
      </w:r>
      <w:r w:rsidRPr="00E90CCB">
        <w:rPr>
          <w:i/>
        </w:rPr>
        <w:t xml:space="preserve">In the Matter of the Application of Duke Energy Ohio, Inc. for Approval of Proposed Reliability Standards, </w:t>
      </w:r>
      <w:r w:rsidRPr="00E90CCB">
        <w:t>Case 09-757-EL-ESS, Opinion and Order at 4 (July 29, 2010).</w:t>
      </w:r>
    </w:p>
  </w:footnote>
  <w:footnote w:id="52">
    <w:p w14:paraId="589FF500" w14:textId="66D74AD3" w:rsidR="000B0889" w:rsidRPr="00E90CCB" w:rsidRDefault="000B0889" w:rsidP="00E90CCB">
      <w:pPr>
        <w:pStyle w:val="FootnoteText"/>
        <w:spacing w:after="120"/>
        <w:rPr>
          <w:i/>
        </w:rPr>
      </w:pPr>
      <w:r w:rsidRPr="00E90CCB">
        <w:rPr>
          <w:rStyle w:val="FootnoteReference"/>
        </w:rPr>
        <w:footnoteRef/>
      </w:r>
      <w:r w:rsidRPr="00E90CCB">
        <w:t xml:space="preserve"> </w:t>
      </w:r>
      <w:r w:rsidRPr="00E90CCB">
        <w:rPr>
          <w:i/>
        </w:rPr>
        <w:t xml:space="preserve">In the Matter of the Application of Duke Energy Ohio, Inc. to Establish Reliability Standards, </w:t>
      </w:r>
      <w:r w:rsidRPr="00E90CCB">
        <w:t>Case 13-1539-EL-ESS, Opinion and Order</w:t>
      </w:r>
      <w:r w:rsidR="008B5047">
        <w:t xml:space="preserve"> at 4</w:t>
      </w:r>
      <w:r w:rsidRPr="00E90CCB">
        <w:t xml:space="preserve"> (September 17, 2014).</w:t>
      </w:r>
    </w:p>
  </w:footnote>
  <w:footnote w:id="53">
    <w:p w14:paraId="513B281E" w14:textId="0AB9769A" w:rsidR="000B0889" w:rsidRPr="00E90CCB" w:rsidRDefault="000B0889" w:rsidP="00E90CCB">
      <w:pPr>
        <w:pStyle w:val="FootnoteText"/>
        <w:spacing w:after="120"/>
      </w:pPr>
      <w:r w:rsidRPr="00E90CCB">
        <w:rPr>
          <w:rStyle w:val="FootnoteReference"/>
        </w:rPr>
        <w:footnoteRef/>
      </w:r>
      <w:r w:rsidRPr="00E90CCB">
        <w:t xml:space="preserve"> Application Update of Duke Energy Ohio, Inc. Customer Perception Survey, Residential, Case 13-1539-EL-ESS, (July 28, 2013).</w:t>
      </w:r>
    </w:p>
  </w:footnote>
  <w:footnote w:id="54">
    <w:p w14:paraId="657EFA10" w14:textId="61E10E29" w:rsidR="000B0889" w:rsidRPr="00E90CCB" w:rsidRDefault="000B0889" w:rsidP="00E90CCB">
      <w:pPr>
        <w:pStyle w:val="FootnoteText"/>
        <w:spacing w:after="120"/>
      </w:pPr>
      <w:r w:rsidRPr="00E90CCB">
        <w:rPr>
          <w:rStyle w:val="FootnoteReference"/>
        </w:rPr>
        <w:footnoteRef/>
      </w:r>
      <w:r w:rsidRPr="00E90CCB">
        <w:t xml:space="preserve"> Id.</w:t>
      </w:r>
    </w:p>
  </w:footnote>
  <w:footnote w:id="55">
    <w:p w14:paraId="534C189E" w14:textId="62CE265E" w:rsidR="000B0889" w:rsidRPr="00E90CCB" w:rsidRDefault="000B0889" w:rsidP="00E90CCB">
      <w:pPr>
        <w:pStyle w:val="FootnoteText"/>
        <w:spacing w:after="120"/>
      </w:pPr>
      <w:r w:rsidRPr="00E90CCB">
        <w:rPr>
          <w:rStyle w:val="FootnoteReference"/>
        </w:rPr>
        <w:footnoteRef/>
      </w:r>
      <w:r w:rsidRPr="00E90CCB">
        <w:t xml:space="preserve"> </w:t>
      </w:r>
      <w:r w:rsidR="004729B5">
        <w:t>Id</w:t>
      </w:r>
      <w:r w:rsidR="00076F84" w:rsidRPr="00E90CCB">
        <w:t>.</w:t>
      </w:r>
    </w:p>
  </w:footnote>
  <w:footnote w:id="56">
    <w:p w14:paraId="29595950" w14:textId="77777777" w:rsidR="000B0889" w:rsidRPr="00E90CCB" w:rsidRDefault="000B0889" w:rsidP="00E90CCB">
      <w:pPr>
        <w:pStyle w:val="FootnoteText"/>
        <w:spacing w:after="120"/>
      </w:pPr>
      <w:r w:rsidRPr="00E90CCB">
        <w:rPr>
          <w:rStyle w:val="FootnoteReference"/>
        </w:rPr>
        <w:footnoteRef/>
      </w:r>
      <w:r w:rsidRPr="00E90CCB">
        <w:t xml:space="preserve"> Id.</w:t>
      </w:r>
    </w:p>
  </w:footnote>
  <w:footnote w:id="57">
    <w:p w14:paraId="63C42BD3" w14:textId="1A2F1A76" w:rsidR="000B0889" w:rsidRPr="00E90CCB" w:rsidRDefault="000B0889" w:rsidP="00E90CCB">
      <w:pPr>
        <w:pStyle w:val="FootnoteText"/>
        <w:spacing w:after="120"/>
      </w:pPr>
      <w:r w:rsidRPr="00E90CCB">
        <w:rPr>
          <w:rStyle w:val="FootnoteReference"/>
        </w:rPr>
        <w:footnoteRef/>
      </w:r>
      <w:r w:rsidRPr="00E90CCB">
        <w:t xml:space="preserve"> </w:t>
      </w:r>
      <w:r w:rsidR="004729B5" w:rsidRPr="00E90CCB">
        <w:t xml:space="preserve">Application Update of Duke Energy Ohio, Inc. Customer Perception Survey, Residential, Case </w:t>
      </w:r>
      <w:r w:rsidR="004729B5">
        <w:t>13-1539-EL-ESS, (July 28, 2013)</w:t>
      </w:r>
      <w:r w:rsidRPr="00E90CCB">
        <w:t>.</w:t>
      </w:r>
    </w:p>
  </w:footnote>
  <w:footnote w:id="58">
    <w:p w14:paraId="77D22EB7" w14:textId="7D62A6B4" w:rsidR="000B0889" w:rsidRPr="00E90CCB" w:rsidRDefault="000B0889" w:rsidP="00E90CCB">
      <w:pPr>
        <w:pStyle w:val="FootnoteText"/>
        <w:spacing w:after="120"/>
      </w:pPr>
      <w:r w:rsidRPr="00E90CCB">
        <w:rPr>
          <w:rStyle w:val="FootnoteReference"/>
        </w:rPr>
        <w:footnoteRef/>
      </w:r>
      <w:r w:rsidR="000F368A">
        <w:t xml:space="preserve"> Id.</w:t>
      </w:r>
    </w:p>
  </w:footnote>
  <w:footnote w:id="59">
    <w:p w14:paraId="5557265A" w14:textId="77777777" w:rsidR="000B0889" w:rsidRPr="00E90CCB" w:rsidRDefault="000B0889" w:rsidP="00E90CCB">
      <w:pPr>
        <w:pStyle w:val="FootnoteText"/>
        <w:spacing w:after="120"/>
      </w:pPr>
      <w:r w:rsidRPr="00E90CCB">
        <w:rPr>
          <w:rStyle w:val="FootnoteReference"/>
        </w:rPr>
        <w:footnoteRef/>
      </w:r>
      <w:r w:rsidRPr="00E90CCB">
        <w:t xml:space="preserve"> Id.</w:t>
      </w:r>
    </w:p>
  </w:footnote>
  <w:footnote w:id="60">
    <w:p w14:paraId="0B673EEA" w14:textId="77777777" w:rsidR="000B0889" w:rsidRPr="00E90CCB" w:rsidRDefault="000B0889" w:rsidP="00E90CCB">
      <w:pPr>
        <w:pStyle w:val="FootnoteText"/>
        <w:spacing w:after="120"/>
      </w:pPr>
      <w:r w:rsidRPr="00E90CCB">
        <w:rPr>
          <w:rStyle w:val="FootnoteReference"/>
        </w:rPr>
        <w:footnoteRef/>
      </w:r>
      <w:r w:rsidRPr="00E90CCB">
        <w:t xml:space="preserve"> Direct Testimony of Marc Arnold at page 14 (May 29, 2014).</w:t>
      </w:r>
    </w:p>
  </w:footnote>
  <w:footnote w:id="61">
    <w:p w14:paraId="7FD1FAF3" w14:textId="0807A8CC" w:rsidR="000B0889" w:rsidRPr="00E90CCB" w:rsidRDefault="000B0889" w:rsidP="00E90CCB">
      <w:pPr>
        <w:pStyle w:val="FootnoteText"/>
        <w:spacing w:after="120"/>
      </w:pPr>
      <w:r w:rsidRPr="00E90CCB">
        <w:rPr>
          <w:rStyle w:val="FootnoteReference"/>
        </w:rPr>
        <w:footnoteRef/>
      </w:r>
      <w:r w:rsidRPr="00E90CCB">
        <w:t xml:space="preserve"> Ohio Admin. Code 4901:1-10-10(B)(4)(b).</w:t>
      </w:r>
    </w:p>
  </w:footnote>
  <w:footnote w:id="62">
    <w:p w14:paraId="3A04636F" w14:textId="28E34C17" w:rsidR="000B0889" w:rsidRPr="00E90CCB" w:rsidRDefault="000B0889" w:rsidP="00E90CCB">
      <w:pPr>
        <w:pStyle w:val="FootnoteText"/>
        <w:spacing w:after="120"/>
      </w:pPr>
      <w:r w:rsidRPr="00E90CCB">
        <w:rPr>
          <w:rStyle w:val="FootnoteReference"/>
        </w:rPr>
        <w:footnoteRef/>
      </w:r>
      <w:r w:rsidRPr="00E90CCB">
        <w:t xml:space="preserve"> Duke response to OCC-INT-14-388 (Attached herein as JDW-16).</w:t>
      </w:r>
    </w:p>
  </w:footnote>
  <w:footnote w:id="63">
    <w:p w14:paraId="7A4A1FFD" w14:textId="32EAC7C0" w:rsidR="000B0889" w:rsidRPr="00E90CCB" w:rsidRDefault="000B0889" w:rsidP="00E90CCB">
      <w:pPr>
        <w:pStyle w:val="FootnoteText"/>
        <w:spacing w:after="120"/>
      </w:pPr>
      <w:r w:rsidRPr="00E90CCB">
        <w:rPr>
          <w:rStyle w:val="FootnoteReference"/>
        </w:rPr>
        <w:footnoteRef/>
      </w:r>
      <w:r w:rsidRPr="00E90CCB">
        <w:t xml:space="preserve"> Id.</w:t>
      </w:r>
    </w:p>
  </w:footnote>
  <w:footnote w:id="64">
    <w:p w14:paraId="6B194F6B" w14:textId="73FDEFD5" w:rsidR="000B0889" w:rsidRPr="00E90CCB" w:rsidRDefault="000B0889" w:rsidP="00E90CCB">
      <w:pPr>
        <w:pStyle w:val="FootnoteText"/>
        <w:spacing w:after="120"/>
      </w:pPr>
      <w:r w:rsidRPr="00E90CCB">
        <w:rPr>
          <w:rStyle w:val="FootnoteReference"/>
        </w:rPr>
        <w:footnoteRef/>
      </w:r>
      <w:r w:rsidRPr="00E90CCB">
        <w:t xml:space="preserve"> Direct testimony of Marc Arnold at page 13 (May 29, 2014).</w:t>
      </w:r>
    </w:p>
  </w:footnote>
  <w:footnote w:id="65">
    <w:p w14:paraId="7891B456" w14:textId="6FE6AB79" w:rsidR="000B0889" w:rsidRPr="00E90CCB" w:rsidRDefault="000B0889" w:rsidP="00E90CCB">
      <w:pPr>
        <w:pStyle w:val="FootnoteText"/>
        <w:spacing w:after="120"/>
      </w:pPr>
      <w:r w:rsidRPr="00E90CCB">
        <w:rPr>
          <w:rStyle w:val="FootnoteReference"/>
        </w:rPr>
        <w:footnoteRef/>
      </w:r>
      <w:r w:rsidRPr="00E90CCB">
        <w:t xml:space="preserve"> Ohio Admin. Code 4901:1-10-10(B)(4)(b).</w:t>
      </w:r>
    </w:p>
  </w:footnote>
  <w:footnote w:id="66">
    <w:p w14:paraId="08C04593" w14:textId="77777777" w:rsidR="000B0889" w:rsidRPr="00E90CCB" w:rsidRDefault="000B0889" w:rsidP="00E90CCB">
      <w:pPr>
        <w:pStyle w:val="FootnoteText"/>
        <w:spacing w:after="120"/>
      </w:pPr>
      <w:r w:rsidRPr="00E90CCB">
        <w:rPr>
          <w:rStyle w:val="FootnoteReference"/>
        </w:rPr>
        <w:footnoteRef/>
      </w:r>
      <w:r w:rsidRPr="00E90CCB">
        <w:t xml:space="preserve"> R.C. 4928.143(B)(2)(h).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6CE06" w14:textId="77777777" w:rsidR="000B0889" w:rsidRDefault="002937CF">
    <w:pPr>
      <w:pStyle w:val="Header"/>
    </w:pPr>
    <w:r>
      <w:rPr>
        <w:noProof/>
      </w:rPr>
      <w:pict w14:anchorId="73F072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4" type="#_x0000_t136" style="position:absolute;margin-left:0;margin-top:0;width:431.95pt;height:61.7pt;z-index:-251653632;mso-wrap-edited:f;mso-position-horizontal:center;mso-position-horizontal-relative:margin;mso-position-vertical:center;mso-position-vertical-relative:margin" wrapcoords="712 4214 450 5004 75 7375 37 12907 375 16595 562 17121 21450 17121 21562 13697 21450 13434 20437 12643 20437 8429 20737 4478 20662 4214 18825 4214 712 4214" fillcolor="#7f7f7f [1612]" stroked="f">
          <v:textpath style="font-family:&quot;Times New Roman&quot;;font-size:1pt" string="CONFIDENTIAL"/>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DAC55" w14:textId="77777777" w:rsidR="000B0889" w:rsidRDefault="002937CF">
    <w:pPr>
      <w:pStyle w:val="Header"/>
    </w:pPr>
    <w:r>
      <w:rPr>
        <w:noProof/>
      </w:rPr>
      <w:pict w14:anchorId="338D9E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2063" type="#_x0000_t136" style="position:absolute;margin-left:0;margin-top:0;width:431.95pt;height:61.7pt;z-index:-251635200;mso-wrap-edited:f;mso-position-horizontal:center;mso-position-horizontal-relative:margin;mso-position-vertical:center;mso-position-vertical-relative:margin" wrapcoords="712 4214 450 5004 75 7375 37 12907 375 16595 562 17121 21450 17121 21562 13697 21450 13434 20437 12643 20437 8429 20737 4478 20662 4214 18825 4214 712 4214" fillcolor="#7f7f7f [1612]" stroked="f">
          <v:textpath style="font-family:&quot;Times New Roman&quot;;font-size:1pt" string="CONFIDENTIAL"/>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4CA4F" w14:textId="4834254B" w:rsidR="000B0889" w:rsidRDefault="000B088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FD1B7" w14:textId="77777777" w:rsidR="000B0889" w:rsidRDefault="000B0889">
    <w:pPr>
      <w:pStyle w:val="Header"/>
    </w:pPr>
    <w:r>
      <w:rPr>
        <w:noProof/>
      </w:rPr>
      <mc:AlternateContent>
        <mc:Choice Requires="wps">
          <w:drawing>
            <wp:anchor distT="0" distB="0" distL="114300" distR="114300" simplePos="0" relativeHeight="251683328" behindDoc="1" locked="0" layoutInCell="1" allowOverlap="1" wp14:anchorId="22C15644" wp14:editId="6E1734C2">
              <wp:simplePos x="0" y="0"/>
              <wp:positionH relativeFrom="margin">
                <wp:align>center</wp:align>
              </wp:positionH>
              <wp:positionV relativeFrom="margin">
                <wp:align>center</wp:align>
              </wp:positionV>
              <wp:extent cx="5485765" cy="266700"/>
              <wp:effectExtent l="0" t="0" r="0" b="0"/>
              <wp:wrapNone/>
              <wp:docPr id="6"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85765" cy="266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0EFAE18" w14:textId="77777777" w:rsidR="000B0889" w:rsidRDefault="000B0889" w:rsidP="00C17348">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 o:spid="_x0000_s1028" type="#_x0000_t202" style="position:absolute;margin-left:0;margin-top:0;width:431.95pt;height:21pt;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" filled="f" stroked="f">
              <v:stroke joinstyle="round"/>
              <o:lock v:ext="edit" text="t" shapetype="t"/>
              <v:textbox style="mso-fit-shape-to-text:t">
                <w:txbxContent>
                  <w:p w14:paraId="30EFAE18" w14:textId="77777777" w:rsidR="000B0889" w:rsidRDefault="000B0889" w:rsidP="00C17348">
                    <w:pPr>
                      <w:pStyle w:val="NormalWeb"/>
                      <w:spacing w:before="0" w:beforeAutospacing="0" w:after="0" w:afterAutospacing="0"/>
                      <w:jc w:val="center"/>
                    </w:pP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BD764" w14:textId="77777777" w:rsidR="000B0889" w:rsidRDefault="002937CF">
    <w:pPr>
      <w:pStyle w:val="Header"/>
    </w:pPr>
    <w:r>
      <w:rPr>
        <w:noProof/>
      </w:rPr>
      <w:pict w14:anchorId="6A5FA4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3" type="#_x0000_t136" style="position:absolute;margin-left:0;margin-top:0;width:431.95pt;height:61.7pt;z-index:-251655680;mso-wrap-edited:f;mso-position-horizontal:center;mso-position-horizontal-relative:margin;mso-position-vertical:center;mso-position-vertical-relative:margin" wrapcoords="712 4214 450 5004 75 7375 37 12907 375 16595 562 17121 21450 17121 21562 13697 21450 13434 20437 12643 20437 8429 20737 4478 20662 4214 18825 4214 712 4214" fillcolor="#7f7f7f [1612]" stroked="f">
          <v:textpath style="font-family:&quot;Times New Roman&quot;;font-size:1pt" string="CONFIDENTI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9EF5B" w14:textId="77777777" w:rsidR="007C21E1" w:rsidRDefault="007C21E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FDCC6" w14:textId="77777777" w:rsidR="000B0889" w:rsidRDefault="002937CF">
    <w:pPr>
      <w:pStyle w:val="Header"/>
    </w:pPr>
    <w:r>
      <w:rPr>
        <w:noProof/>
      </w:rPr>
      <w:pict w14:anchorId="114B4A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7" type="#_x0000_t136" style="position:absolute;margin-left:0;margin-top:0;width:431.95pt;height:61.7pt;z-index:-251647488;mso-wrap-edited:f;mso-position-horizontal:center;mso-position-horizontal-relative:margin;mso-position-vertical:center;mso-position-vertical-relative:margin" wrapcoords="712 4214 450 5004 75 7375 37 12907 375 16595 562 17121 21450 17121 21562 13697 21450 13434 20437 12643 20437 8429 20737 4478 20662 4214 18825 4214 712 4214" fillcolor="#7f7f7f [1612]" stroked="f">
          <v:textpath style="font-family:&quot;Times New Roman&quot;;font-size:1pt" string="CONFIDENTIAL"/>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38C88" w14:textId="1F7AF72D" w:rsidR="000B0889" w:rsidRDefault="000B088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49E24" w14:textId="77777777" w:rsidR="000B0889" w:rsidRDefault="000B0889">
    <w:pPr>
      <w:pStyle w:val="Header"/>
    </w:pPr>
    <w:r>
      <w:rPr>
        <w:noProof/>
      </w:rPr>
      <mc:AlternateContent>
        <mc:Choice Requires="wps">
          <w:drawing>
            <wp:anchor distT="0" distB="0" distL="114300" distR="114300" simplePos="0" relativeHeight="251671040" behindDoc="1" locked="0" layoutInCell="1" allowOverlap="1" wp14:anchorId="64072F67" wp14:editId="02B26E52">
              <wp:simplePos x="0" y="0"/>
              <wp:positionH relativeFrom="margin">
                <wp:align>center</wp:align>
              </wp:positionH>
              <wp:positionV relativeFrom="margin">
                <wp:align>center</wp:align>
              </wp:positionV>
              <wp:extent cx="5485765" cy="266700"/>
              <wp:effectExtent l="0" t="0" r="0" b="0"/>
              <wp:wrapNone/>
              <wp:docPr id="8"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85765" cy="266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CBF37DB" w14:textId="77777777" w:rsidR="000B0889" w:rsidRDefault="000B0889" w:rsidP="00C17348">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 o:spid="_x0000_s1026" type="#_x0000_t202" style="position:absolute;margin-left:0;margin-top:0;width:431.95pt;height:21pt;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" filled="f" stroked="f">
              <v:stroke joinstyle="round"/>
              <o:lock v:ext="edit" text="t" shapetype="t"/>
              <v:textbox style="mso-fit-shape-to-text:t">
                <w:txbxContent>
                  <w:p w14:paraId="6CBF37DB" w14:textId="77777777" w:rsidR="000B0889" w:rsidRDefault="000B0889" w:rsidP="00C17348">
                    <w:pPr>
                      <w:pStyle w:val="NormalWeb"/>
                      <w:spacing w:before="0" w:beforeAutospacing="0" w:after="0" w:afterAutospacing="0"/>
                      <w:jc w:val="center"/>
                    </w:pPr>
                  </w:p>
                </w:txbxContent>
              </v:textbox>
              <w10:wrap anchorx="margin" anchory="margin"/>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8C055" w14:textId="77777777" w:rsidR="000B0889" w:rsidRDefault="002937CF">
    <w:pPr>
      <w:pStyle w:val="Header"/>
    </w:pPr>
    <w:r>
      <w:rPr>
        <w:noProof/>
      </w:rPr>
      <w:pict w14:anchorId="123EE2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60" type="#_x0000_t136" style="position:absolute;margin-left:0;margin-top:0;width:431.95pt;height:61.7pt;z-index:-251641344;mso-wrap-edited:f;mso-position-horizontal:center;mso-position-horizontal-relative:margin;mso-position-vertical:center;mso-position-vertical-relative:margin" wrapcoords="712 4214 450 5004 75 7375 37 12907 375 16595 562 17121 21450 17121 21562 13697 21450 13434 20437 12643 20437 8429 20737 4478 20662 4214 18825 4214 712 4214" fillcolor="#7f7f7f [1612]" stroked="f">
          <v:textpath style="font-family:&quot;Times New Roman&quot;;font-size:1pt" string="CONFIDENTIAL"/>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59935" w14:textId="0A64B2FE" w:rsidR="000B0889" w:rsidRDefault="00D03445">
    <w:pPr>
      <w:pStyle w:val="Header"/>
      <w:jc w:val="center"/>
      <w:rPr>
        <w:i/>
        <w:iCs/>
        <w:sz w:val="20"/>
        <w:szCs w:val="20"/>
      </w:rPr>
    </w:pPr>
    <w:r>
      <w:rPr>
        <w:i/>
        <w:iCs/>
        <w:sz w:val="20"/>
        <w:szCs w:val="20"/>
      </w:rPr>
      <w:t xml:space="preserve">Direct </w:t>
    </w:r>
    <w:r w:rsidR="000B0889">
      <w:rPr>
        <w:i/>
        <w:iCs/>
        <w:sz w:val="20"/>
        <w:szCs w:val="20"/>
      </w:rPr>
      <w:t>Testimony of James D. Williams</w:t>
    </w:r>
  </w:p>
  <w:p w14:paraId="1A234379" w14:textId="77777777" w:rsidR="000B0889" w:rsidRDefault="000B0889">
    <w:pPr>
      <w:pStyle w:val="Header"/>
      <w:jc w:val="center"/>
      <w:rPr>
        <w:i/>
        <w:iCs/>
        <w:sz w:val="20"/>
        <w:szCs w:val="20"/>
      </w:rPr>
    </w:pPr>
    <w:r>
      <w:rPr>
        <w:i/>
        <w:iCs/>
        <w:sz w:val="20"/>
        <w:szCs w:val="20"/>
      </w:rPr>
      <w:t>On Behalf of the Office of the Ohio Consumers’ Counsel</w:t>
    </w:r>
  </w:p>
  <w:p w14:paraId="1662B57D" w14:textId="0DB4D818" w:rsidR="000B0889" w:rsidRDefault="000B0889" w:rsidP="0008069A">
    <w:pPr>
      <w:pStyle w:val="Header"/>
      <w:jc w:val="center"/>
      <w:rPr>
        <w:i/>
        <w:iCs/>
        <w:sz w:val="20"/>
        <w:szCs w:val="20"/>
      </w:rPr>
    </w:pPr>
    <w:r>
      <w:rPr>
        <w:i/>
        <w:iCs/>
        <w:sz w:val="20"/>
        <w:szCs w:val="20"/>
      </w:rPr>
      <w:t>PUCO Case Nos. 14-841-EL-SSO, et al.</w:t>
    </w:r>
  </w:p>
  <w:p w14:paraId="63D92E9C" w14:textId="77777777" w:rsidR="000B0889" w:rsidRDefault="000B0889">
    <w:pPr>
      <w:pStyle w:val="Header"/>
      <w:jc w:val="center"/>
      <w:rPr>
        <w:i/>
        <w:iCs/>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78CC0" w14:textId="77777777" w:rsidR="000B0889" w:rsidRDefault="000B0889">
    <w:pPr>
      <w:pStyle w:val="Header"/>
    </w:pPr>
    <w:r>
      <w:rPr>
        <w:noProof/>
      </w:rPr>
      <mc:AlternateContent>
        <mc:Choice Requires="wps">
          <w:drawing>
            <wp:anchor distT="0" distB="0" distL="114300" distR="114300" simplePos="0" relativeHeight="251677184" behindDoc="1" locked="0" layoutInCell="1" allowOverlap="1" wp14:anchorId="312D66CF" wp14:editId="35CDCF11">
              <wp:simplePos x="0" y="0"/>
              <wp:positionH relativeFrom="margin">
                <wp:align>center</wp:align>
              </wp:positionH>
              <wp:positionV relativeFrom="margin">
                <wp:align>center</wp:align>
              </wp:positionV>
              <wp:extent cx="5485765" cy="266700"/>
              <wp:effectExtent l="0" t="0" r="0" b="0"/>
              <wp:wrapNone/>
              <wp:docPr id="7"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85765" cy="266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311906" w14:textId="77777777" w:rsidR="000B0889" w:rsidRDefault="000B0889" w:rsidP="00C17348">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3" o:spid="_x0000_s1027" type="#_x0000_t202" style="position:absolute;margin-left:0;margin-top:0;width:431.95pt;height:21pt;z-index:-2516392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" filled="f" stroked="f">
              <v:stroke joinstyle="round"/>
              <o:lock v:ext="edit" text="t" shapetype="t"/>
              <v:textbox style="mso-fit-shape-to-text:t">
                <w:txbxContent>
                  <w:p w14:paraId="5A311906" w14:textId="77777777" w:rsidR="000B0889" w:rsidRDefault="000B0889" w:rsidP="00C17348">
                    <w:pPr>
                      <w:pStyle w:val="NormalWeb"/>
                      <w:spacing w:before="0" w:beforeAutospacing="0" w:after="0" w:afterAutospacing="0"/>
                      <w:jc w:val="center"/>
                    </w:pP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928670"/>
    <w:lvl w:ilvl="0">
      <w:start w:val="1"/>
      <w:numFmt w:val="decimal"/>
      <w:lvlText w:val="%1."/>
      <w:lvlJc w:val="left"/>
      <w:pPr>
        <w:tabs>
          <w:tab w:val="num" w:pos="1800"/>
        </w:tabs>
        <w:ind w:left="1800" w:hanging="360"/>
      </w:pPr>
    </w:lvl>
  </w:abstractNum>
  <w:abstractNum w:abstractNumId="1">
    <w:nsid w:val="FFFFFF7D"/>
    <w:multiLevelType w:val="singleLevel"/>
    <w:tmpl w:val="ECA629EC"/>
    <w:lvl w:ilvl="0">
      <w:start w:val="1"/>
      <w:numFmt w:val="decimal"/>
      <w:lvlText w:val="%1."/>
      <w:lvlJc w:val="left"/>
      <w:pPr>
        <w:tabs>
          <w:tab w:val="num" w:pos="1440"/>
        </w:tabs>
        <w:ind w:left="1440" w:hanging="360"/>
      </w:pPr>
    </w:lvl>
  </w:abstractNum>
  <w:abstractNum w:abstractNumId="2">
    <w:nsid w:val="FFFFFF7E"/>
    <w:multiLevelType w:val="singleLevel"/>
    <w:tmpl w:val="3D80A8D8"/>
    <w:lvl w:ilvl="0">
      <w:start w:val="1"/>
      <w:numFmt w:val="decimal"/>
      <w:lvlText w:val="%1."/>
      <w:lvlJc w:val="left"/>
      <w:pPr>
        <w:tabs>
          <w:tab w:val="num" w:pos="1080"/>
        </w:tabs>
        <w:ind w:left="1080" w:hanging="360"/>
      </w:pPr>
    </w:lvl>
  </w:abstractNum>
  <w:abstractNum w:abstractNumId="3">
    <w:nsid w:val="FFFFFF7F"/>
    <w:multiLevelType w:val="singleLevel"/>
    <w:tmpl w:val="BE6EF500"/>
    <w:lvl w:ilvl="0">
      <w:start w:val="1"/>
      <w:numFmt w:val="decimal"/>
      <w:lvlText w:val="%1."/>
      <w:lvlJc w:val="left"/>
      <w:pPr>
        <w:tabs>
          <w:tab w:val="num" w:pos="720"/>
        </w:tabs>
        <w:ind w:left="720" w:hanging="360"/>
      </w:pPr>
    </w:lvl>
  </w:abstractNum>
  <w:abstractNum w:abstractNumId="4">
    <w:nsid w:val="FFFFFF80"/>
    <w:multiLevelType w:val="singleLevel"/>
    <w:tmpl w:val="A432845A"/>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D24ADF36"/>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C26C422A"/>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8CC4B038"/>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D66470E6"/>
    <w:lvl w:ilvl="0">
      <w:start w:val="1"/>
      <w:numFmt w:val="decimal"/>
      <w:lvlText w:val="%1."/>
      <w:lvlJc w:val="left"/>
      <w:pPr>
        <w:tabs>
          <w:tab w:val="num" w:pos="360"/>
        </w:tabs>
        <w:ind w:left="360" w:hanging="360"/>
      </w:pPr>
    </w:lvl>
  </w:abstractNum>
  <w:abstractNum w:abstractNumId="9">
    <w:nsid w:val="FFFFFF89"/>
    <w:multiLevelType w:val="singleLevel"/>
    <w:tmpl w:val="F42CD478"/>
    <w:lvl w:ilvl="0">
      <w:start w:val="1"/>
      <w:numFmt w:val="bullet"/>
      <w:lvlText w:val=""/>
      <w:lvlJc w:val="left"/>
      <w:pPr>
        <w:tabs>
          <w:tab w:val="num" w:pos="360"/>
        </w:tabs>
        <w:ind w:left="360" w:hanging="360"/>
      </w:pPr>
      <w:rPr>
        <w:rFonts w:ascii="Symbol" w:hAnsi="Symbol" w:cs="Symbol" w:hint="default"/>
      </w:rPr>
    </w:lvl>
  </w:abstractNum>
  <w:abstractNum w:abstractNumId="10">
    <w:nsid w:val="00F90398"/>
    <w:multiLevelType w:val="hybridMultilevel"/>
    <w:tmpl w:val="C1FEAD48"/>
    <w:lvl w:ilvl="0" w:tplc="2026C784">
      <w:start w:val="7"/>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06C0229E"/>
    <w:multiLevelType w:val="hybridMultilevel"/>
    <w:tmpl w:val="AB12678A"/>
    <w:lvl w:ilvl="0" w:tplc="B8CE44D0">
      <w:start w:val="4"/>
      <w:numFmt w:val="upperRoman"/>
      <w:pStyle w:val="Heading1"/>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08AA0496"/>
    <w:multiLevelType w:val="hybridMultilevel"/>
    <w:tmpl w:val="396091A8"/>
    <w:lvl w:ilvl="0" w:tplc="4F246CB6">
      <w:start w:val="5"/>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102B71B1"/>
    <w:multiLevelType w:val="hybridMultilevel"/>
    <w:tmpl w:val="3364F58A"/>
    <w:lvl w:ilvl="0" w:tplc="7C5066D4">
      <w:start w:val="3"/>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145820A8"/>
    <w:multiLevelType w:val="hybridMultilevel"/>
    <w:tmpl w:val="45761A88"/>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5">
    <w:nsid w:val="15A75306"/>
    <w:multiLevelType w:val="hybridMultilevel"/>
    <w:tmpl w:val="0D164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7B5324C"/>
    <w:multiLevelType w:val="hybridMultilevel"/>
    <w:tmpl w:val="3AF07226"/>
    <w:lvl w:ilvl="0" w:tplc="B3B8230E">
      <w:start w:val="3"/>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18CD21CD"/>
    <w:multiLevelType w:val="hybridMultilevel"/>
    <w:tmpl w:val="E230E02A"/>
    <w:lvl w:ilvl="0" w:tplc="C872548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19B13E33"/>
    <w:multiLevelType w:val="hybridMultilevel"/>
    <w:tmpl w:val="AE0EDD1E"/>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6D7A32"/>
    <w:multiLevelType w:val="hybridMultilevel"/>
    <w:tmpl w:val="A984AA98"/>
    <w:lvl w:ilvl="0" w:tplc="105ABB6C">
      <w:start w:val="12"/>
      <w:numFmt w:val="upperLetter"/>
      <w:lvlText w:val="(%1)"/>
      <w:lvlJc w:val="left"/>
      <w:pPr>
        <w:tabs>
          <w:tab w:val="num" w:pos="1845"/>
        </w:tabs>
        <w:ind w:left="1845" w:hanging="405"/>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0">
    <w:nsid w:val="1C425748"/>
    <w:multiLevelType w:val="hybridMultilevel"/>
    <w:tmpl w:val="B3A8DB6C"/>
    <w:lvl w:ilvl="0" w:tplc="48F2FC42">
      <w:start w:val="5"/>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nsid w:val="1DF90EA8"/>
    <w:multiLevelType w:val="hybridMultilevel"/>
    <w:tmpl w:val="0BDAEB14"/>
    <w:lvl w:ilvl="0" w:tplc="9CC22612">
      <w:start w:val="4"/>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200637B8"/>
    <w:multiLevelType w:val="hybridMultilevel"/>
    <w:tmpl w:val="D5641D2E"/>
    <w:lvl w:ilvl="0" w:tplc="46047382">
      <w:start w:val="8"/>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25DB7E0D"/>
    <w:multiLevelType w:val="hybridMultilevel"/>
    <w:tmpl w:val="F774CD22"/>
    <w:lvl w:ilvl="0" w:tplc="572A3BF0">
      <w:start w:val="8"/>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324D6462"/>
    <w:multiLevelType w:val="hybridMultilevel"/>
    <w:tmpl w:val="504624B8"/>
    <w:lvl w:ilvl="0" w:tplc="537E7E1A">
      <w:start w:val="4"/>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5">
    <w:nsid w:val="35BC3C18"/>
    <w:multiLevelType w:val="hybridMultilevel"/>
    <w:tmpl w:val="566CE64E"/>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6">
    <w:nsid w:val="38610EA8"/>
    <w:multiLevelType w:val="multilevel"/>
    <w:tmpl w:val="DB96C7D4"/>
    <w:lvl w:ilvl="0">
      <w:start w:val="1"/>
      <w:numFmt w:val="bullet"/>
      <w:lvlText w:val=""/>
      <w:lvlJc w:val="left"/>
      <w:pPr>
        <w:tabs>
          <w:tab w:val="num" w:pos="1080"/>
        </w:tabs>
        <w:ind w:left="1080" w:hanging="360"/>
      </w:pPr>
      <w:rPr>
        <w:rFonts w:ascii="Symbol" w:hAnsi="Symbol" w:cs="Symbol" w:hint="default"/>
        <w:sz w:val="20"/>
        <w:szCs w:val="20"/>
      </w:rPr>
    </w:lvl>
    <w:lvl w:ilvl="1">
      <w:start w:val="1"/>
      <w:numFmt w:val="bullet"/>
      <w:lvlText w:val="o"/>
      <w:lvlJc w:val="left"/>
      <w:pPr>
        <w:tabs>
          <w:tab w:val="num" w:pos="1800"/>
        </w:tabs>
        <w:ind w:left="1800" w:hanging="360"/>
      </w:pPr>
      <w:rPr>
        <w:rFonts w:ascii="Courier New" w:hAnsi="Courier New" w:cs="Courier New" w:hint="default"/>
        <w:sz w:val="20"/>
        <w:szCs w:val="20"/>
      </w:rPr>
    </w:lvl>
    <w:lvl w:ilvl="2">
      <w:start w:val="1"/>
      <w:numFmt w:val="bullet"/>
      <w:lvlText w:val=""/>
      <w:lvlJc w:val="left"/>
      <w:pPr>
        <w:tabs>
          <w:tab w:val="num" w:pos="2520"/>
        </w:tabs>
        <w:ind w:left="2520" w:hanging="360"/>
      </w:pPr>
      <w:rPr>
        <w:rFonts w:ascii="Wingdings" w:hAnsi="Wingdings" w:cs="Wingdings" w:hint="default"/>
        <w:sz w:val="20"/>
        <w:szCs w:val="20"/>
      </w:rPr>
    </w:lvl>
    <w:lvl w:ilvl="3">
      <w:start w:val="1"/>
      <w:numFmt w:val="bullet"/>
      <w:lvlText w:val=""/>
      <w:lvlJc w:val="left"/>
      <w:pPr>
        <w:tabs>
          <w:tab w:val="num" w:pos="3240"/>
        </w:tabs>
        <w:ind w:left="3240" w:hanging="360"/>
      </w:pPr>
      <w:rPr>
        <w:rFonts w:ascii="Wingdings" w:hAnsi="Wingdings" w:cs="Wingdings" w:hint="default"/>
        <w:sz w:val="20"/>
        <w:szCs w:val="20"/>
      </w:rPr>
    </w:lvl>
    <w:lvl w:ilvl="4">
      <w:start w:val="1"/>
      <w:numFmt w:val="bullet"/>
      <w:lvlText w:val=""/>
      <w:lvlJc w:val="left"/>
      <w:pPr>
        <w:tabs>
          <w:tab w:val="num" w:pos="3960"/>
        </w:tabs>
        <w:ind w:left="3960" w:hanging="360"/>
      </w:pPr>
      <w:rPr>
        <w:rFonts w:ascii="Wingdings" w:hAnsi="Wingdings" w:cs="Wingdings" w:hint="default"/>
        <w:sz w:val="20"/>
        <w:szCs w:val="20"/>
      </w:rPr>
    </w:lvl>
    <w:lvl w:ilvl="5">
      <w:start w:val="1"/>
      <w:numFmt w:val="bullet"/>
      <w:lvlText w:val=""/>
      <w:lvlJc w:val="left"/>
      <w:pPr>
        <w:tabs>
          <w:tab w:val="num" w:pos="4680"/>
        </w:tabs>
        <w:ind w:left="4680" w:hanging="360"/>
      </w:pPr>
      <w:rPr>
        <w:rFonts w:ascii="Wingdings" w:hAnsi="Wingdings" w:cs="Wingdings" w:hint="default"/>
        <w:sz w:val="20"/>
        <w:szCs w:val="20"/>
      </w:rPr>
    </w:lvl>
    <w:lvl w:ilvl="6">
      <w:start w:val="1"/>
      <w:numFmt w:val="bullet"/>
      <w:lvlText w:val=""/>
      <w:lvlJc w:val="left"/>
      <w:pPr>
        <w:tabs>
          <w:tab w:val="num" w:pos="5400"/>
        </w:tabs>
        <w:ind w:left="5400" w:hanging="360"/>
      </w:pPr>
      <w:rPr>
        <w:rFonts w:ascii="Wingdings" w:hAnsi="Wingdings" w:cs="Wingdings" w:hint="default"/>
        <w:sz w:val="20"/>
        <w:szCs w:val="20"/>
      </w:rPr>
    </w:lvl>
    <w:lvl w:ilvl="7">
      <w:start w:val="1"/>
      <w:numFmt w:val="bullet"/>
      <w:lvlText w:val=""/>
      <w:lvlJc w:val="left"/>
      <w:pPr>
        <w:tabs>
          <w:tab w:val="num" w:pos="6120"/>
        </w:tabs>
        <w:ind w:left="6120" w:hanging="360"/>
      </w:pPr>
      <w:rPr>
        <w:rFonts w:ascii="Wingdings" w:hAnsi="Wingdings" w:cs="Wingdings" w:hint="default"/>
        <w:sz w:val="20"/>
        <w:szCs w:val="20"/>
      </w:rPr>
    </w:lvl>
    <w:lvl w:ilvl="8">
      <w:start w:val="1"/>
      <w:numFmt w:val="bullet"/>
      <w:lvlText w:val=""/>
      <w:lvlJc w:val="left"/>
      <w:pPr>
        <w:tabs>
          <w:tab w:val="num" w:pos="6840"/>
        </w:tabs>
        <w:ind w:left="6840" w:hanging="360"/>
      </w:pPr>
      <w:rPr>
        <w:rFonts w:ascii="Wingdings" w:hAnsi="Wingdings" w:cs="Wingdings" w:hint="default"/>
        <w:sz w:val="20"/>
        <w:szCs w:val="20"/>
      </w:rPr>
    </w:lvl>
  </w:abstractNum>
  <w:abstractNum w:abstractNumId="27">
    <w:nsid w:val="42126EDE"/>
    <w:multiLevelType w:val="hybridMultilevel"/>
    <w:tmpl w:val="8F5C4C28"/>
    <w:lvl w:ilvl="0" w:tplc="D4D81388">
      <w:start w:val="6"/>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50D670FE"/>
    <w:multiLevelType w:val="hybridMultilevel"/>
    <w:tmpl w:val="203E47E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9">
    <w:nsid w:val="5B883BB6"/>
    <w:multiLevelType w:val="hybridMultilevel"/>
    <w:tmpl w:val="6ECAC9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503415"/>
    <w:multiLevelType w:val="hybridMultilevel"/>
    <w:tmpl w:val="FC5012A0"/>
    <w:lvl w:ilvl="0" w:tplc="EE0C00D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E55B6F"/>
    <w:multiLevelType w:val="hybridMultilevel"/>
    <w:tmpl w:val="79AC3D82"/>
    <w:lvl w:ilvl="0" w:tplc="09B83A0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1"/>
  </w:num>
  <w:num w:numId="13">
    <w:abstractNumId w:val="14"/>
  </w:num>
  <w:num w:numId="14">
    <w:abstractNumId w:val="26"/>
  </w:num>
  <w:num w:numId="15">
    <w:abstractNumId w:val="24"/>
  </w:num>
  <w:num w:numId="16">
    <w:abstractNumId w:val="12"/>
  </w:num>
  <w:num w:numId="17">
    <w:abstractNumId w:val="28"/>
  </w:num>
  <w:num w:numId="18">
    <w:abstractNumId w:val="23"/>
  </w:num>
  <w:num w:numId="19">
    <w:abstractNumId w:val="22"/>
  </w:num>
  <w:num w:numId="20">
    <w:abstractNumId w:val="16"/>
  </w:num>
  <w:num w:numId="21">
    <w:abstractNumId w:val="20"/>
  </w:num>
  <w:num w:numId="22">
    <w:abstractNumId w:val="13"/>
  </w:num>
  <w:num w:numId="23">
    <w:abstractNumId w:val="27"/>
  </w:num>
  <w:num w:numId="24">
    <w:abstractNumId w:val="10"/>
  </w:num>
  <w:num w:numId="25">
    <w:abstractNumId w:val="19"/>
  </w:num>
  <w:num w:numId="26">
    <w:abstractNumId w:val="21"/>
  </w:num>
  <w:num w:numId="27">
    <w:abstractNumId w:val="11"/>
  </w:num>
  <w:num w:numId="28">
    <w:abstractNumId w:val="15"/>
  </w:num>
  <w:num w:numId="29">
    <w:abstractNumId w:val="30"/>
  </w:num>
  <w:num w:numId="30">
    <w:abstractNumId w:val="29"/>
  </w:num>
  <w:num w:numId="31">
    <w:abstractNumId w:val="18"/>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embedSystem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characterSpacingControl w:val="doNotCompress"/>
  <w:doNotValidateAgainstSchema/>
  <w:doNotDemarcateInvalidXml/>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2C9"/>
    <w:rsid w:val="00010099"/>
    <w:rsid w:val="000163E8"/>
    <w:rsid w:val="0002477E"/>
    <w:rsid w:val="00024ABD"/>
    <w:rsid w:val="00026043"/>
    <w:rsid w:val="000301A1"/>
    <w:rsid w:val="00034A5A"/>
    <w:rsid w:val="00042488"/>
    <w:rsid w:val="00044705"/>
    <w:rsid w:val="00045DDA"/>
    <w:rsid w:val="00047D08"/>
    <w:rsid w:val="000537BB"/>
    <w:rsid w:val="00060F82"/>
    <w:rsid w:val="00061A5B"/>
    <w:rsid w:val="0006573C"/>
    <w:rsid w:val="00076F84"/>
    <w:rsid w:val="00077392"/>
    <w:rsid w:val="0008069A"/>
    <w:rsid w:val="00080B7D"/>
    <w:rsid w:val="000842BD"/>
    <w:rsid w:val="00085C18"/>
    <w:rsid w:val="00087C09"/>
    <w:rsid w:val="00093AB7"/>
    <w:rsid w:val="00096E5B"/>
    <w:rsid w:val="000A054D"/>
    <w:rsid w:val="000A17E2"/>
    <w:rsid w:val="000A1E6A"/>
    <w:rsid w:val="000A45AE"/>
    <w:rsid w:val="000B0889"/>
    <w:rsid w:val="000B7376"/>
    <w:rsid w:val="000C1F96"/>
    <w:rsid w:val="000C7826"/>
    <w:rsid w:val="000D00D8"/>
    <w:rsid w:val="000D41C9"/>
    <w:rsid w:val="000E18B6"/>
    <w:rsid w:val="000E51B7"/>
    <w:rsid w:val="000E7003"/>
    <w:rsid w:val="000F00E8"/>
    <w:rsid w:val="000F368A"/>
    <w:rsid w:val="000F5630"/>
    <w:rsid w:val="001035E8"/>
    <w:rsid w:val="00110A77"/>
    <w:rsid w:val="00126EAE"/>
    <w:rsid w:val="00154B03"/>
    <w:rsid w:val="001578D1"/>
    <w:rsid w:val="00170542"/>
    <w:rsid w:val="00171029"/>
    <w:rsid w:val="001726FB"/>
    <w:rsid w:val="00177278"/>
    <w:rsid w:val="001779B1"/>
    <w:rsid w:val="001848F5"/>
    <w:rsid w:val="001A0878"/>
    <w:rsid w:val="001A3F9B"/>
    <w:rsid w:val="001B1048"/>
    <w:rsid w:val="001B2651"/>
    <w:rsid w:val="001C0BA4"/>
    <w:rsid w:val="001C1F7E"/>
    <w:rsid w:val="001D789F"/>
    <w:rsid w:val="001E6E5C"/>
    <w:rsid w:val="001F0424"/>
    <w:rsid w:val="001F47B2"/>
    <w:rsid w:val="002058F7"/>
    <w:rsid w:val="002106FA"/>
    <w:rsid w:val="00212232"/>
    <w:rsid w:val="002128EA"/>
    <w:rsid w:val="00224E0D"/>
    <w:rsid w:val="00234986"/>
    <w:rsid w:val="002356B1"/>
    <w:rsid w:val="002368B8"/>
    <w:rsid w:val="00251D39"/>
    <w:rsid w:val="00252386"/>
    <w:rsid w:val="002548E1"/>
    <w:rsid w:val="00260E33"/>
    <w:rsid w:val="00264472"/>
    <w:rsid w:val="0026565E"/>
    <w:rsid w:val="002677C4"/>
    <w:rsid w:val="00267EFB"/>
    <w:rsid w:val="002714F4"/>
    <w:rsid w:val="00271DAD"/>
    <w:rsid w:val="00272A63"/>
    <w:rsid w:val="002773BB"/>
    <w:rsid w:val="0027799D"/>
    <w:rsid w:val="002821EE"/>
    <w:rsid w:val="0029250E"/>
    <w:rsid w:val="00293429"/>
    <w:rsid w:val="002937CF"/>
    <w:rsid w:val="00297D4E"/>
    <w:rsid w:val="002A0A32"/>
    <w:rsid w:val="002A28E2"/>
    <w:rsid w:val="002B38A2"/>
    <w:rsid w:val="002B61B2"/>
    <w:rsid w:val="002C1056"/>
    <w:rsid w:val="002D0DCD"/>
    <w:rsid w:val="002D4FB4"/>
    <w:rsid w:val="002E1197"/>
    <w:rsid w:val="002E3AB6"/>
    <w:rsid w:val="002F0220"/>
    <w:rsid w:val="002F2722"/>
    <w:rsid w:val="002F3AFA"/>
    <w:rsid w:val="00301854"/>
    <w:rsid w:val="00304A88"/>
    <w:rsid w:val="00304E8C"/>
    <w:rsid w:val="00305874"/>
    <w:rsid w:val="00314EA1"/>
    <w:rsid w:val="00331287"/>
    <w:rsid w:val="003341F0"/>
    <w:rsid w:val="00334446"/>
    <w:rsid w:val="00341BF1"/>
    <w:rsid w:val="00346EFD"/>
    <w:rsid w:val="00352FC1"/>
    <w:rsid w:val="00353D3E"/>
    <w:rsid w:val="00354597"/>
    <w:rsid w:val="00384D3F"/>
    <w:rsid w:val="003940E9"/>
    <w:rsid w:val="00394CA9"/>
    <w:rsid w:val="003A422C"/>
    <w:rsid w:val="003A4314"/>
    <w:rsid w:val="003A5192"/>
    <w:rsid w:val="003A572A"/>
    <w:rsid w:val="003A75F1"/>
    <w:rsid w:val="003B13E3"/>
    <w:rsid w:val="003B25A0"/>
    <w:rsid w:val="003C1454"/>
    <w:rsid w:val="003C6BC8"/>
    <w:rsid w:val="003E1BE0"/>
    <w:rsid w:val="003F3E3C"/>
    <w:rsid w:val="003F6028"/>
    <w:rsid w:val="003F6699"/>
    <w:rsid w:val="00401977"/>
    <w:rsid w:val="004048C9"/>
    <w:rsid w:val="00417580"/>
    <w:rsid w:val="0043560C"/>
    <w:rsid w:val="00442A0A"/>
    <w:rsid w:val="00444780"/>
    <w:rsid w:val="004533DD"/>
    <w:rsid w:val="00453466"/>
    <w:rsid w:val="00455257"/>
    <w:rsid w:val="004552C9"/>
    <w:rsid w:val="004627AE"/>
    <w:rsid w:val="00470F27"/>
    <w:rsid w:val="004718B7"/>
    <w:rsid w:val="004729B5"/>
    <w:rsid w:val="00484499"/>
    <w:rsid w:val="00495AB7"/>
    <w:rsid w:val="00497CDE"/>
    <w:rsid w:val="004B0DA1"/>
    <w:rsid w:val="004B63E0"/>
    <w:rsid w:val="004C2B49"/>
    <w:rsid w:val="004C38A7"/>
    <w:rsid w:val="004E0E7E"/>
    <w:rsid w:val="00502874"/>
    <w:rsid w:val="00507AFA"/>
    <w:rsid w:val="005128F5"/>
    <w:rsid w:val="0051494A"/>
    <w:rsid w:val="00517F61"/>
    <w:rsid w:val="00521E1B"/>
    <w:rsid w:val="00525A24"/>
    <w:rsid w:val="0052759C"/>
    <w:rsid w:val="005500F6"/>
    <w:rsid w:val="00553695"/>
    <w:rsid w:val="00563F85"/>
    <w:rsid w:val="00574D34"/>
    <w:rsid w:val="005754F2"/>
    <w:rsid w:val="00575C48"/>
    <w:rsid w:val="005768CD"/>
    <w:rsid w:val="0057798D"/>
    <w:rsid w:val="005821C6"/>
    <w:rsid w:val="00585817"/>
    <w:rsid w:val="00592EEB"/>
    <w:rsid w:val="005930EC"/>
    <w:rsid w:val="005A1EB4"/>
    <w:rsid w:val="005A4EC9"/>
    <w:rsid w:val="005A77D8"/>
    <w:rsid w:val="005B3653"/>
    <w:rsid w:val="005B3910"/>
    <w:rsid w:val="005B4752"/>
    <w:rsid w:val="005B4DE7"/>
    <w:rsid w:val="005C7F30"/>
    <w:rsid w:val="005D1005"/>
    <w:rsid w:val="005D475F"/>
    <w:rsid w:val="005E33D9"/>
    <w:rsid w:val="005E465D"/>
    <w:rsid w:val="00603CAC"/>
    <w:rsid w:val="00605CE2"/>
    <w:rsid w:val="00624AB1"/>
    <w:rsid w:val="006334B2"/>
    <w:rsid w:val="00633F63"/>
    <w:rsid w:val="00646C46"/>
    <w:rsid w:val="00654708"/>
    <w:rsid w:val="00654F80"/>
    <w:rsid w:val="00676519"/>
    <w:rsid w:val="00686951"/>
    <w:rsid w:val="00690198"/>
    <w:rsid w:val="00693A9E"/>
    <w:rsid w:val="006A40E6"/>
    <w:rsid w:val="006B665F"/>
    <w:rsid w:val="006C0E0E"/>
    <w:rsid w:val="006C72A5"/>
    <w:rsid w:val="006D495F"/>
    <w:rsid w:val="006E02AE"/>
    <w:rsid w:val="006E0733"/>
    <w:rsid w:val="006E3AF0"/>
    <w:rsid w:val="006E5376"/>
    <w:rsid w:val="006E7222"/>
    <w:rsid w:val="00710BFF"/>
    <w:rsid w:val="00710C96"/>
    <w:rsid w:val="00712F71"/>
    <w:rsid w:val="00714DB8"/>
    <w:rsid w:val="00716DC3"/>
    <w:rsid w:val="00717E53"/>
    <w:rsid w:val="00723C97"/>
    <w:rsid w:val="00740D3B"/>
    <w:rsid w:val="00741AAF"/>
    <w:rsid w:val="00750C61"/>
    <w:rsid w:val="00751394"/>
    <w:rsid w:val="0075487E"/>
    <w:rsid w:val="00757D57"/>
    <w:rsid w:val="00765A72"/>
    <w:rsid w:val="00771CAE"/>
    <w:rsid w:val="00773080"/>
    <w:rsid w:val="00775BDB"/>
    <w:rsid w:val="0077693F"/>
    <w:rsid w:val="00780811"/>
    <w:rsid w:val="00780D08"/>
    <w:rsid w:val="00781751"/>
    <w:rsid w:val="00783A02"/>
    <w:rsid w:val="00791EE5"/>
    <w:rsid w:val="0079615A"/>
    <w:rsid w:val="007B113D"/>
    <w:rsid w:val="007B22E0"/>
    <w:rsid w:val="007B3DE1"/>
    <w:rsid w:val="007B7714"/>
    <w:rsid w:val="007C21E1"/>
    <w:rsid w:val="007C4305"/>
    <w:rsid w:val="007C458D"/>
    <w:rsid w:val="007E062D"/>
    <w:rsid w:val="007E6221"/>
    <w:rsid w:val="007F53F0"/>
    <w:rsid w:val="007F6C3D"/>
    <w:rsid w:val="00806A8E"/>
    <w:rsid w:val="00817B54"/>
    <w:rsid w:val="00820ADF"/>
    <w:rsid w:val="00820FCF"/>
    <w:rsid w:val="008216BE"/>
    <w:rsid w:val="008216C5"/>
    <w:rsid w:val="0083207E"/>
    <w:rsid w:val="00833778"/>
    <w:rsid w:val="0085315F"/>
    <w:rsid w:val="008541B9"/>
    <w:rsid w:val="00861098"/>
    <w:rsid w:val="008652DA"/>
    <w:rsid w:val="008656AE"/>
    <w:rsid w:val="008666B6"/>
    <w:rsid w:val="00870871"/>
    <w:rsid w:val="0087461C"/>
    <w:rsid w:val="00884E7B"/>
    <w:rsid w:val="00890C2D"/>
    <w:rsid w:val="00893625"/>
    <w:rsid w:val="00893EDA"/>
    <w:rsid w:val="00896B00"/>
    <w:rsid w:val="008A1317"/>
    <w:rsid w:val="008B0B33"/>
    <w:rsid w:val="008B16FF"/>
    <w:rsid w:val="008B5047"/>
    <w:rsid w:val="008E58F7"/>
    <w:rsid w:val="008E63BF"/>
    <w:rsid w:val="008F0805"/>
    <w:rsid w:val="00907A4C"/>
    <w:rsid w:val="0092149D"/>
    <w:rsid w:val="00926760"/>
    <w:rsid w:val="00927856"/>
    <w:rsid w:val="00930F4C"/>
    <w:rsid w:val="009317B0"/>
    <w:rsid w:val="00931B16"/>
    <w:rsid w:val="00936E2A"/>
    <w:rsid w:val="00945FF1"/>
    <w:rsid w:val="009575EE"/>
    <w:rsid w:val="0096405A"/>
    <w:rsid w:val="00972C7B"/>
    <w:rsid w:val="0097394E"/>
    <w:rsid w:val="009772F3"/>
    <w:rsid w:val="00982052"/>
    <w:rsid w:val="009903B5"/>
    <w:rsid w:val="00992602"/>
    <w:rsid w:val="00993593"/>
    <w:rsid w:val="00997D93"/>
    <w:rsid w:val="009A03C3"/>
    <w:rsid w:val="009A70A4"/>
    <w:rsid w:val="009A719F"/>
    <w:rsid w:val="009B04BF"/>
    <w:rsid w:val="009B2342"/>
    <w:rsid w:val="009C30B2"/>
    <w:rsid w:val="009C72DE"/>
    <w:rsid w:val="009D13CA"/>
    <w:rsid w:val="009D148C"/>
    <w:rsid w:val="009D2B51"/>
    <w:rsid w:val="009E1D7D"/>
    <w:rsid w:val="009E24C2"/>
    <w:rsid w:val="009E489E"/>
    <w:rsid w:val="009E5617"/>
    <w:rsid w:val="009E61ED"/>
    <w:rsid w:val="009E752A"/>
    <w:rsid w:val="009F2D7B"/>
    <w:rsid w:val="009F4202"/>
    <w:rsid w:val="00A00B77"/>
    <w:rsid w:val="00A17764"/>
    <w:rsid w:val="00A17EFD"/>
    <w:rsid w:val="00A2409E"/>
    <w:rsid w:val="00A32017"/>
    <w:rsid w:val="00A34485"/>
    <w:rsid w:val="00A3522C"/>
    <w:rsid w:val="00A50F5E"/>
    <w:rsid w:val="00A54731"/>
    <w:rsid w:val="00A54F62"/>
    <w:rsid w:val="00A60823"/>
    <w:rsid w:val="00A61131"/>
    <w:rsid w:val="00A61C15"/>
    <w:rsid w:val="00A627BA"/>
    <w:rsid w:val="00A634CD"/>
    <w:rsid w:val="00A64AC5"/>
    <w:rsid w:val="00A71BD3"/>
    <w:rsid w:val="00A725EB"/>
    <w:rsid w:val="00A74548"/>
    <w:rsid w:val="00A75466"/>
    <w:rsid w:val="00A756F9"/>
    <w:rsid w:val="00A82B07"/>
    <w:rsid w:val="00A8700C"/>
    <w:rsid w:val="00A94AFC"/>
    <w:rsid w:val="00AA195F"/>
    <w:rsid w:val="00AA1D03"/>
    <w:rsid w:val="00AB0BF9"/>
    <w:rsid w:val="00AB5459"/>
    <w:rsid w:val="00AB60FE"/>
    <w:rsid w:val="00AB696F"/>
    <w:rsid w:val="00AC1EA8"/>
    <w:rsid w:val="00AC2B61"/>
    <w:rsid w:val="00AC5DE7"/>
    <w:rsid w:val="00AC6E3D"/>
    <w:rsid w:val="00AD0887"/>
    <w:rsid w:val="00AF67DA"/>
    <w:rsid w:val="00AF71A0"/>
    <w:rsid w:val="00B01162"/>
    <w:rsid w:val="00B07865"/>
    <w:rsid w:val="00B102B9"/>
    <w:rsid w:val="00B12887"/>
    <w:rsid w:val="00B1662D"/>
    <w:rsid w:val="00B21CFD"/>
    <w:rsid w:val="00B2555E"/>
    <w:rsid w:val="00B25600"/>
    <w:rsid w:val="00B271BF"/>
    <w:rsid w:val="00B3066D"/>
    <w:rsid w:val="00B45F7C"/>
    <w:rsid w:val="00B465D5"/>
    <w:rsid w:val="00B60C1F"/>
    <w:rsid w:val="00B61A41"/>
    <w:rsid w:val="00B77313"/>
    <w:rsid w:val="00B8057D"/>
    <w:rsid w:val="00B92EB2"/>
    <w:rsid w:val="00B9430C"/>
    <w:rsid w:val="00B94C29"/>
    <w:rsid w:val="00B95970"/>
    <w:rsid w:val="00BA099E"/>
    <w:rsid w:val="00BB1E7C"/>
    <w:rsid w:val="00BC0507"/>
    <w:rsid w:val="00BC4F86"/>
    <w:rsid w:val="00BD3F8B"/>
    <w:rsid w:val="00BD5085"/>
    <w:rsid w:val="00BE548A"/>
    <w:rsid w:val="00BF3E7C"/>
    <w:rsid w:val="00C00AE8"/>
    <w:rsid w:val="00C02D00"/>
    <w:rsid w:val="00C0337B"/>
    <w:rsid w:val="00C07387"/>
    <w:rsid w:val="00C17348"/>
    <w:rsid w:val="00C232AE"/>
    <w:rsid w:val="00C30719"/>
    <w:rsid w:val="00C367F9"/>
    <w:rsid w:val="00C4552E"/>
    <w:rsid w:val="00C53A7A"/>
    <w:rsid w:val="00C55976"/>
    <w:rsid w:val="00C61C5C"/>
    <w:rsid w:val="00C628BE"/>
    <w:rsid w:val="00C654AB"/>
    <w:rsid w:val="00C65CFE"/>
    <w:rsid w:val="00C91EB2"/>
    <w:rsid w:val="00CA6EBF"/>
    <w:rsid w:val="00CA6F03"/>
    <w:rsid w:val="00CB3D4F"/>
    <w:rsid w:val="00CB4978"/>
    <w:rsid w:val="00CE3A8F"/>
    <w:rsid w:val="00CE6CEF"/>
    <w:rsid w:val="00CE7D60"/>
    <w:rsid w:val="00CF5D05"/>
    <w:rsid w:val="00D002CE"/>
    <w:rsid w:val="00D00BFE"/>
    <w:rsid w:val="00D02ECB"/>
    <w:rsid w:val="00D03445"/>
    <w:rsid w:val="00D0377A"/>
    <w:rsid w:val="00D0685C"/>
    <w:rsid w:val="00D104F9"/>
    <w:rsid w:val="00D12BD2"/>
    <w:rsid w:val="00D15B3F"/>
    <w:rsid w:val="00D21BFB"/>
    <w:rsid w:val="00D23138"/>
    <w:rsid w:val="00D236D4"/>
    <w:rsid w:val="00D32601"/>
    <w:rsid w:val="00D43057"/>
    <w:rsid w:val="00D4685D"/>
    <w:rsid w:val="00D47F10"/>
    <w:rsid w:val="00D50326"/>
    <w:rsid w:val="00D54FE2"/>
    <w:rsid w:val="00D57F4A"/>
    <w:rsid w:val="00D60DE2"/>
    <w:rsid w:val="00D61FC8"/>
    <w:rsid w:val="00D91119"/>
    <w:rsid w:val="00D925F1"/>
    <w:rsid w:val="00DA0F09"/>
    <w:rsid w:val="00DA2B17"/>
    <w:rsid w:val="00DA2F48"/>
    <w:rsid w:val="00DA6420"/>
    <w:rsid w:val="00DE71D6"/>
    <w:rsid w:val="00DF1A7E"/>
    <w:rsid w:val="00DF56B2"/>
    <w:rsid w:val="00E0679C"/>
    <w:rsid w:val="00E108C1"/>
    <w:rsid w:val="00E24B9F"/>
    <w:rsid w:val="00E35A83"/>
    <w:rsid w:val="00E5010C"/>
    <w:rsid w:val="00E55FD4"/>
    <w:rsid w:val="00E57ACE"/>
    <w:rsid w:val="00E57FAA"/>
    <w:rsid w:val="00E6512F"/>
    <w:rsid w:val="00E66E14"/>
    <w:rsid w:val="00E71983"/>
    <w:rsid w:val="00E7318D"/>
    <w:rsid w:val="00E75AB1"/>
    <w:rsid w:val="00E8339E"/>
    <w:rsid w:val="00E840E3"/>
    <w:rsid w:val="00E86DAE"/>
    <w:rsid w:val="00E90CCB"/>
    <w:rsid w:val="00E95E91"/>
    <w:rsid w:val="00E9652B"/>
    <w:rsid w:val="00E96FA6"/>
    <w:rsid w:val="00EA5E90"/>
    <w:rsid w:val="00EA725E"/>
    <w:rsid w:val="00EA7E51"/>
    <w:rsid w:val="00EB0823"/>
    <w:rsid w:val="00EB45CB"/>
    <w:rsid w:val="00EB5472"/>
    <w:rsid w:val="00EB6D90"/>
    <w:rsid w:val="00EC0B54"/>
    <w:rsid w:val="00EC3577"/>
    <w:rsid w:val="00EC67F4"/>
    <w:rsid w:val="00ED43BF"/>
    <w:rsid w:val="00EE1772"/>
    <w:rsid w:val="00EE1E4A"/>
    <w:rsid w:val="00EE3D47"/>
    <w:rsid w:val="00EE43E2"/>
    <w:rsid w:val="00EF1FEF"/>
    <w:rsid w:val="00F016EB"/>
    <w:rsid w:val="00F033F0"/>
    <w:rsid w:val="00F0349B"/>
    <w:rsid w:val="00F12AAF"/>
    <w:rsid w:val="00F16EA7"/>
    <w:rsid w:val="00F2078A"/>
    <w:rsid w:val="00F42F41"/>
    <w:rsid w:val="00F439BA"/>
    <w:rsid w:val="00F4574B"/>
    <w:rsid w:val="00F5611E"/>
    <w:rsid w:val="00F62B36"/>
    <w:rsid w:val="00F7323F"/>
    <w:rsid w:val="00F734D7"/>
    <w:rsid w:val="00F81231"/>
    <w:rsid w:val="00F87D52"/>
    <w:rsid w:val="00F91B1C"/>
    <w:rsid w:val="00F947BC"/>
    <w:rsid w:val="00F95936"/>
    <w:rsid w:val="00F969D5"/>
    <w:rsid w:val="00FB56A8"/>
    <w:rsid w:val="00FB5D44"/>
    <w:rsid w:val="00FB7C2D"/>
    <w:rsid w:val="00FC6AED"/>
    <w:rsid w:val="00FD386E"/>
    <w:rsid w:val="00FE1289"/>
    <w:rsid w:val="00FE604F"/>
    <w:rsid w:val="00FF5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4"/>
    <o:shapelayout v:ext="edit">
      <o:idmap v:ext="edit" data="1"/>
    </o:shapelayout>
  </w:shapeDefaults>
  <w:decimalSymbol w:val="."/>
  <w:listSeparator w:val=","/>
  <w14:docId w14:val="375A7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autoRedefine/>
    <w:uiPriority w:val="99"/>
    <w:qFormat/>
    <w:pPr>
      <w:keepNext/>
      <w:numPr>
        <w:numId w:val="27"/>
      </w:numPr>
      <w:overflowPunct w:val="0"/>
      <w:autoSpaceDE w:val="0"/>
      <w:autoSpaceDN w:val="0"/>
      <w:adjustRightInd w:val="0"/>
      <w:spacing w:line="480" w:lineRule="auto"/>
      <w:ind w:hanging="1080"/>
      <w:textAlignment w:val="baseline"/>
      <w:outlineLvl w:val="0"/>
    </w:pPr>
    <w:rPr>
      <w:rFonts w:ascii="Times New Roman Bold" w:hAnsi="Times New Roman Bold" w:cs="Times New Roman Bold"/>
      <w:b/>
      <w:bCs/>
      <w:caps/>
      <w:kern w:val="32"/>
    </w:rPr>
  </w:style>
  <w:style w:type="paragraph" w:styleId="Heading2">
    <w:name w:val="heading 2"/>
    <w:basedOn w:val="Normal"/>
    <w:next w:val="Normal"/>
    <w:link w:val="Heading2Char"/>
    <w:autoRedefine/>
    <w:uiPriority w:val="99"/>
    <w:qFormat/>
    <w:rsid w:val="005500F6"/>
    <w:pPr>
      <w:keepNext/>
      <w:overflowPunct w:val="0"/>
      <w:autoSpaceDE w:val="0"/>
      <w:autoSpaceDN w:val="0"/>
      <w:adjustRightInd w:val="0"/>
      <w:spacing w:after="240"/>
      <w:ind w:left="1440" w:hanging="720"/>
      <w:textAlignment w:val="baseline"/>
      <w:outlineLvl w:val="1"/>
    </w:pPr>
    <w:rPr>
      <w:rFonts w:ascii="Times New Roman Bold" w:hAnsi="Times New Roman Bold" w:cs="Cambria"/>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Times New Roman Bold" w:hAnsi="Times New Roman Bold" w:cs="Times New Roman Bold"/>
      <w:b/>
      <w:bCs/>
      <w:caps/>
      <w:kern w:val="32"/>
      <w:sz w:val="24"/>
      <w:szCs w:val="24"/>
      <w:lang w:val="en-US" w:eastAsia="en-US"/>
    </w:rPr>
  </w:style>
  <w:style w:type="character" w:customStyle="1" w:styleId="Heading2Char">
    <w:name w:val="Heading 2 Char"/>
    <w:link w:val="Heading2"/>
    <w:uiPriority w:val="99"/>
    <w:locked/>
    <w:rsid w:val="005500F6"/>
    <w:rPr>
      <w:rFonts w:ascii="Times New Roman Bold" w:hAnsi="Times New Roman Bold" w:cs="Cambria"/>
      <w:b/>
      <w:bCs/>
      <w:iCs/>
      <w:sz w:val="24"/>
      <w:szCs w:val="28"/>
    </w:rPr>
  </w:style>
  <w:style w:type="paragraph" w:styleId="BalloonText">
    <w:name w:val="Balloon Text"/>
    <w:basedOn w:val="Normal"/>
    <w:link w:val="BalloonTextChar"/>
    <w:uiPriority w:val="99"/>
    <w:semiHidden/>
    <w:rPr>
      <w:sz w:val="20"/>
      <w:szCs w:val="2"/>
    </w:rPr>
  </w:style>
  <w:style w:type="character" w:customStyle="1" w:styleId="BalloonTextChar">
    <w:name w:val="Balloon Text Char"/>
    <w:link w:val="BalloonText"/>
    <w:uiPriority w:val="99"/>
    <w:semiHidden/>
    <w:locked/>
    <w:rPr>
      <w:sz w:val="20"/>
      <w:szCs w:val="2"/>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locked/>
    <w:rPr>
      <w:rFonts w:ascii="Courier New" w:hAnsi="Courier New" w:cs="Courier New"/>
      <w:sz w:val="20"/>
      <w:szCs w:val="20"/>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sz w:val="24"/>
      <w:szCs w:val="24"/>
    </w:rPr>
  </w:style>
  <w:style w:type="paragraph" w:customStyle="1" w:styleId="ANSWER">
    <w:name w:val="ANSWER"/>
    <w:basedOn w:val="Normal"/>
    <w:uiPriority w:val="99"/>
    <w:pPr>
      <w:overflowPunct w:val="0"/>
      <w:autoSpaceDE w:val="0"/>
      <w:autoSpaceDN w:val="0"/>
      <w:adjustRightInd w:val="0"/>
      <w:spacing w:line="480" w:lineRule="auto"/>
      <w:ind w:left="1008" w:hanging="720"/>
      <w:textAlignment w:val="baseline"/>
    </w:pPr>
  </w:style>
  <w:style w:type="character" w:styleId="PageNumber">
    <w:name w:val="page number"/>
    <w:basedOn w:val="DefaultParagraphFont"/>
    <w:uiPriority w:val="99"/>
  </w:style>
  <w:style w:type="paragraph" w:styleId="FootnoteText">
    <w:name w:val="footnote text"/>
    <w:basedOn w:val="Normal"/>
    <w:link w:val="FootnoteTextChar"/>
    <w:uiPriority w:val="99"/>
    <w:semiHidden/>
    <w:pPr>
      <w:overflowPunct w:val="0"/>
      <w:autoSpaceDE w:val="0"/>
      <w:autoSpaceDN w:val="0"/>
      <w:adjustRightInd w:val="0"/>
      <w:textAlignment w:val="baseline"/>
    </w:pPr>
    <w:rPr>
      <w:sz w:val="20"/>
      <w:szCs w:val="20"/>
    </w:rPr>
  </w:style>
  <w:style w:type="character" w:customStyle="1" w:styleId="FootnoteTextChar">
    <w:name w:val="Footnote Text Char"/>
    <w:link w:val="FootnoteText"/>
    <w:uiPriority w:val="99"/>
    <w:semiHidden/>
    <w:locked/>
    <w:rPr>
      <w:sz w:val="20"/>
      <w:szCs w:val="20"/>
    </w:rPr>
  </w:style>
  <w:style w:type="character" w:styleId="FootnoteReference">
    <w:name w:val="footnote reference"/>
    <w:uiPriority w:val="99"/>
    <w:semiHidden/>
    <w:rPr>
      <w:vertAlign w:val="superscript"/>
    </w:rPr>
  </w:style>
  <w:style w:type="paragraph" w:styleId="EndnoteText">
    <w:name w:val="endnote text"/>
    <w:basedOn w:val="Normal"/>
    <w:link w:val="EndnoteTextChar"/>
    <w:uiPriority w:val="99"/>
    <w:semiHidden/>
    <w:pPr>
      <w:widowControl w:val="0"/>
    </w:pPr>
    <w:rPr>
      <w:sz w:val="20"/>
      <w:szCs w:val="20"/>
    </w:rPr>
  </w:style>
  <w:style w:type="character" w:customStyle="1" w:styleId="EndnoteTextChar">
    <w:name w:val="Endnote Text Char"/>
    <w:link w:val="EndnoteText"/>
    <w:uiPriority w:val="99"/>
    <w:semiHidden/>
    <w:locked/>
    <w:rPr>
      <w:sz w:val="20"/>
      <w:szCs w:val="20"/>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semiHidden/>
    <w:locked/>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b/>
      <w:bCs/>
      <w:sz w:val="20"/>
      <w:szCs w:val="20"/>
    </w:rPr>
  </w:style>
  <w:style w:type="character" w:styleId="Hyperlink">
    <w:name w:val="Hyperlink"/>
    <w:uiPriority w:val="99"/>
    <w:rPr>
      <w:color w:val="0000FF"/>
      <w:u w:val="single"/>
    </w:rPr>
  </w:style>
  <w:style w:type="paragraph" w:styleId="TOC1">
    <w:name w:val="toc 1"/>
    <w:basedOn w:val="Normal"/>
    <w:next w:val="Normal"/>
    <w:autoRedefine/>
    <w:uiPriority w:val="39"/>
    <w:qFormat/>
    <w:rsid w:val="009E1D7D"/>
    <w:pPr>
      <w:tabs>
        <w:tab w:val="left" w:pos="720"/>
        <w:tab w:val="decimal" w:leader="dot" w:pos="8640"/>
      </w:tabs>
      <w:spacing w:after="240"/>
      <w:ind w:left="720" w:hanging="720"/>
      <w:jc w:val="center"/>
    </w:pPr>
    <w:rPr>
      <w:caps/>
      <w:noProof/>
    </w:rPr>
  </w:style>
  <w:style w:type="paragraph" w:styleId="NormalWeb">
    <w:name w:val="Normal (Web)"/>
    <w:basedOn w:val="Normal"/>
    <w:uiPriority w:val="99"/>
    <w:pPr>
      <w:spacing w:before="100" w:beforeAutospacing="1" w:after="100" w:afterAutospacing="1"/>
    </w:pPr>
  </w:style>
  <w:style w:type="paragraph" w:styleId="BodyTextIndent3">
    <w:name w:val="Body Text Indent 3"/>
    <w:basedOn w:val="Normal"/>
    <w:link w:val="BodyTextIndent3Char1"/>
    <w:uiPriority w:val="99"/>
    <w:pPr>
      <w:spacing w:line="480" w:lineRule="auto"/>
      <w:ind w:left="360"/>
    </w:pPr>
  </w:style>
  <w:style w:type="character" w:customStyle="1" w:styleId="BodyTextIndent3Char">
    <w:name w:val="Body Text Indent 3 Char"/>
    <w:uiPriority w:val="99"/>
    <w:semiHidden/>
    <w:locked/>
    <w:rPr>
      <w:sz w:val="16"/>
      <w:szCs w:val="16"/>
    </w:rPr>
  </w:style>
  <w:style w:type="character" w:customStyle="1" w:styleId="BodyTextIndent3Char1">
    <w:name w:val="Body Text Indent 3 Char1"/>
    <w:link w:val="BodyTextIndent3"/>
    <w:uiPriority w:val="99"/>
    <w:semiHidden/>
    <w:locked/>
    <w:rPr>
      <w:sz w:val="24"/>
      <w:szCs w:val="24"/>
      <w:lang w:val="en-US" w:eastAsia="en-US"/>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locked/>
    <w:rPr>
      <w:sz w:val="24"/>
      <w:szCs w:val="24"/>
    </w:rPr>
  </w:style>
  <w:style w:type="paragraph" w:customStyle="1" w:styleId="ColorfulShading-Accent11">
    <w:name w:val="Colorful Shading - Accent 11"/>
    <w:hidden/>
    <w:uiPriority w:val="99"/>
    <w:semiHidden/>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C0E0E"/>
    <w:pPr>
      <w:ind w:left="720"/>
      <w:contextualSpacing/>
    </w:pPr>
  </w:style>
  <w:style w:type="paragraph" w:styleId="TOC2">
    <w:name w:val="toc 2"/>
    <w:basedOn w:val="Normal"/>
    <w:next w:val="Normal"/>
    <w:autoRedefine/>
    <w:uiPriority w:val="39"/>
    <w:qFormat/>
    <w:locked/>
    <w:rsid w:val="00495AB7"/>
    <w:pPr>
      <w:tabs>
        <w:tab w:val="left" w:pos="720"/>
        <w:tab w:val="decimal" w:leader="dot" w:pos="8640"/>
      </w:tabs>
      <w:spacing w:after="240"/>
      <w:ind w:left="144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autoRedefine/>
    <w:uiPriority w:val="99"/>
    <w:qFormat/>
    <w:pPr>
      <w:keepNext/>
      <w:numPr>
        <w:numId w:val="27"/>
      </w:numPr>
      <w:overflowPunct w:val="0"/>
      <w:autoSpaceDE w:val="0"/>
      <w:autoSpaceDN w:val="0"/>
      <w:adjustRightInd w:val="0"/>
      <w:spacing w:line="480" w:lineRule="auto"/>
      <w:ind w:hanging="1080"/>
      <w:textAlignment w:val="baseline"/>
      <w:outlineLvl w:val="0"/>
    </w:pPr>
    <w:rPr>
      <w:rFonts w:ascii="Times New Roman Bold" w:hAnsi="Times New Roman Bold" w:cs="Times New Roman Bold"/>
      <w:b/>
      <w:bCs/>
      <w:caps/>
      <w:kern w:val="32"/>
    </w:rPr>
  </w:style>
  <w:style w:type="paragraph" w:styleId="Heading2">
    <w:name w:val="heading 2"/>
    <w:basedOn w:val="Normal"/>
    <w:next w:val="Normal"/>
    <w:link w:val="Heading2Char"/>
    <w:autoRedefine/>
    <w:uiPriority w:val="99"/>
    <w:qFormat/>
    <w:rsid w:val="005500F6"/>
    <w:pPr>
      <w:keepNext/>
      <w:overflowPunct w:val="0"/>
      <w:autoSpaceDE w:val="0"/>
      <w:autoSpaceDN w:val="0"/>
      <w:adjustRightInd w:val="0"/>
      <w:spacing w:after="240"/>
      <w:ind w:left="1440" w:hanging="720"/>
      <w:textAlignment w:val="baseline"/>
      <w:outlineLvl w:val="1"/>
    </w:pPr>
    <w:rPr>
      <w:rFonts w:ascii="Times New Roman Bold" w:hAnsi="Times New Roman Bold" w:cs="Cambria"/>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Times New Roman Bold" w:hAnsi="Times New Roman Bold" w:cs="Times New Roman Bold"/>
      <w:b/>
      <w:bCs/>
      <w:caps/>
      <w:kern w:val="32"/>
      <w:sz w:val="24"/>
      <w:szCs w:val="24"/>
      <w:lang w:val="en-US" w:eastAsia="en-US"/>
    </w:rPr>
  </w:style>
  <w:style w:type="character" w:customStyle="1" w:styleId="Heading2Char">
    <w:name w:val="Heading 2 Char"/>
    <w:link w:val="Heading2"/>
    <w:uiPriority w:val="99"/>
    <w:locked/>
    <w:rsid w:val="005500F6"/>
    <w:rPr>
      <w:rFonts w:ascii="Times New Roman Bold" w:hAnsi="Times New Roman Bold" w:cs="Cambria"/>
      <w:b/>
      <w:bCs/>
      <w:iCs/>
      <w:sz w:val="24"/>
      <w:szCs w:val="28"/>
    </w:rPr>
  </w:style>
  <w:style w:type="paragraph" w:styleId="BalloonText">
    <w:name w:val="Balloon Text"/>
    <w:basedOn w:val="Normal"/>
    <w:link w:val="BalloonTextChar"/>
    <w:uiPriority w:val="99"/>
    <w:semiHidden/>
    <w:rPr>
      <w:sz w:val="20"/>
      <w:szCs w:val="2"/>
    </w:rPr>
  </w:style>
  <w:style w:type="character" w:customStyle="1" w:styleId="BalloonTextChar">
    <w:name w:val="Balloon Text Char"/>
    <w:link w:val="BalloonText"/>
    <w:uiPriority w:val="99"/>
    <w:semiHidden/>
    <w:locked/>
    <w:rPr>
      <w:sz w:val="20"/>
      <w:szCs w:val="2"/>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locked/>
    <w:rPr>
      <w:rFonts w:ascii="Courier New" w:hAnsi="Courier New" w:cs="Courier New"/>
      <w:sz w:val="20"/>
      <w:szCs w:val="20"/>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sz w:val="24"/>
      <w:szCs w:val="24"/>
    </w:rPr>
  </w:style>
  <w:style w:type="paragraph" w:customStyle="1" w:styleId="ANSWER">
    <w:name w:val="ANSWER"/>
    <w:basedOn w:val="Normal"/>
    <w:uiPriority w:val="99"/>
    <w:pPr>
      <w:overflowPunct w:val="0"/>
      <w:autoSpaceDE w:val="0"/>
      <w:autoSpaceDN w:val="0"/>
      <w:adjustRightInd w:val="0"/>
      <w:spacing w:line="480" w:lineRule="auto"/>
      <w:ind w:left="1008" w:hanging="720"/>
      <w:textAlignment w:val="baseline"/>
    </w:pPr>
  </w:style>
  <w:style w:type="character" w:styleId="PageNumber">
    <w:name w:val="page number"/>
    <w:basedOn w:val="DefaultParagraphFont"/>
    <w:uiPriority w:val="99"/>
  </w:style>
  <w:style w:type="paragraph" w:styleId="FootnoteText">
    <w:name w:val="footnote text"/>
    <w:basedOn w:val="Normal"/>
    <w:link w:val="FootnoteTextChar"/>
    <w:uiPriority w:val="99"/>
    <w:semiHidden/>
    <w:pPr>
      <w:overflowPunct w:val="0"/>
      <w:autoSpaceDE w:val="0"/>
      <w:autoSpaceDN w:val="0"/>
      <w:adjustRightInd w:val="0"/>
      <w:textAlignment w:val="baseline"/>
    </w:pPr>
    <w:rPr>
      <w:sz w:val="20"/>
      <w:szCs w:val="20"/>
    </w:rPr>
  </w:style>
  <w:style w:type="character" w:customStyle="1" w:styleId="FootnoteTextChar">
    <w:name w:val="Footnote Text Char"/>
    <w:link w:val="FootnoteText"/>
    <w:uiPriority w:val="99"/>
    <w:semiHidden/>
    <w:locked/>
    <w:rPr>
      <w:sz w:val="20"/>
      <w:szCs w:val="20"/>
    </w:rPr>
  </w:style>
  <w:style w:type="character" w:styleId="FootnoteReference">
    <w:name w:val="footnote reference"/>
    <w:uiPriority w:val="99"/>
    <w:semiHidden/>
    <w:rPr>
      <w:vertAlign w:val="superscript"/>
    </w:rPr>
  </w:style>
  <w:style w:type="paragraph" w:styleId="EndnoteText">
    <w:name w:val="endnote text"/>
    <w:basedOn w:val="Normal"/>
    <w:link w:val="EndnoteTextChar"/>
    <w:uiPriority w:val="99"/>
    <w:semiHidden/>
    <w:pPr>
      <w:widowControl w:val="0"/>
    </w:pPr>
    <w:rPr>
      <w:sz w:val="20"/>
      <w:szCs w:val="20"/>
    </w:rPr>
  </w:style>
  <w:style w:type="character" w:customStyle="1" w:styleId="EndnoteTextChar">
    <w:name w:val="Endnote Text Char"/>
    <w:link w:val="EndnoteText"/>
    <w:uiPriority w:val="99"/>
    <w:semiHidden/>
    <w:locked/>
    <w:rPr>
      <w:sz w:val="20"/>
      <w:szCs w:val="20"/>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semiHidden/>
    <w:locked/>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b/>
      <w:bCs/>
      <w:sz w:val="20"/>
      <w:szCs w:val="20"/>
    </w:rPr>
  </w:style>
  <w:style w:type="character" w:styleId="Hyperlink">
    <w:name w:val="Hyperlink"/>
    <w:uiPriority w:val="99"/>
    <w:rPr>
      <w:color w:val="0000FF"/>
      <w:u w:val="single"/>
    </w:rPr>
  </w:style>
  <w:style w:type="paragraph" w:styleId="TOC1">
    <w:name w:val="toc 1"/>
    <w:basedOn w:val="Normal"/>
    <w:next w:val="Normal"/>
    <w:autoRedefine/>
    <w:uiPriority w:val="39"/>
    <w:qFormat/>
    <w:rsid w:val="009E1D7D"/>
    <w:pPr>
      <w:tabs>
        <w:tab w:val="left" w:pos="720"/>
        <w:tab w:val="decimal" w:leader="dot" w:pos="8640"/>
      </w:tabs>
      <w:spacing w:after="240"/>
      <w:ind w:left="720" w:hanging="720"/>
      <w:jc w:val="center"/>
    </w:pPr>
    <w:rPr>
      <w:caps/>
      <w:noProof/>
    </w:rPr>
  </w:style>
  <w:style w:type="paragraph" w:styleId="NormalWeb">
    <w:name w:val="Normal (Web)"/>
    <w:basedOn w:val="Normal"/>
    <w:uiPriority w:val="99"/>
    <w:pPr>
      <w:spacing w:before="100" w:beforeAutospacing="1" w:after="100" w:afterAutospacing="1"/>
    </w:pPr>
  </w:style>
  <w:style w:type="paragraph" w:styleId="BodyTextIndent3">
    <w:name w:val="Body Text Indent 3"/>
    <w:basedOn w:val="Normal"/>
    <w:link w:val="BodyTextIndent3Char1"/>
    <w:uiPriority w:val="99"/>
    <w:pPr>
      <w:spacing w:line="480" w:lineRule="auto"/>
      <w:ind w:left="360"/>
    </w:pPr>
  </w:style>
  <w:style w:type="character" w:customStyle="1" w:styleId="BodyTextIndent3Char">
    <w:name w:val="Body Text Indent 3 Char"/>
    <w:uiPriority w:val="99"/>
    <w:semiHidden/>
    <w:locked/>
    <w:rPr>
      <w:sz w:val="16"/>
      <w:szCs w:val="16"/>
    </w:rPr>
  </w:style>
  <w:style w:type="character" w:customStyle="1" w:styleId="BodyTextIndent3Char1">
    <w:name w:val="Body Text Indent 3 Char1"/>
    <w:link w:val="BodyTextIndent3"/>
    <w:uiPriority w:val="99"/>
    <w:semiHidden/>
    <w:locked/>
    <w:rPr>
      <w:sz w:val="24"/>
      <w:szCs w:val="24"/>
      <w:lang w:val="en-US" w:eastAsia="en-US"/>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locked/>
    <w:rPr>
      <w:sz w:val="24"/>
      <w:szCs w:val="24"/>
    </w:rPr>
  </w:style>
  <w:style w:type="paragraph" w:customStyle="1" w:styleId="ColorfulShading-Accent11">
    <w:name w:val="Colorful Shading - Accent 11"/>
    <w:hidden/>
    <w:uiPriority w:val="99"/>
    <w:semiHidden/>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C0E0E"/>
    <w:pPr>
      <w:ind w:left="720"/>
      <w:contextualSpacing/>
    </w:pPr>
  </w:style>
  <w:style w:type="paragraph" w:styleId="TOC2">
    <w:name w:val="toc 2"/>
    <w:basedOn w:val="Normal"/>
    <w:next w:val="Normal"/>
    <w:autoRedefine/>
    <w:uiPriority w:val="39"/>
    <w:qFormat/>
    <w:locked/>
    <w:rsid w:val="00495AB7"/>
    <w:pPr>
      <w:tabs>
        <w:tab w:val="left" w:pos="720"/>
        <w:tab w:val="decimal" w:leader="dot" w:pos="8640"/>
      </w:tabs>
      <w:spacing w:after="240"/>
      <w:ind w:left="14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689520">
      <w:bodyDiv w:val="1"/>
      <w:marLeft w:val="0"/>
      <w:marRight w:val="0"/>
      <w:marTop w:val="0"/>
      <w:marBottom w:val="0"/>
      <w:divBdr>
        <w:top w:val="none" w:sz="0" w:space="0" w:color="auto"/>
        <w:left w:val="none" w:sz="0" w:space="0" w:color="auto"/>
        <w:bottom w:val="none" w:sz="0" w:space="0" w:color="auto"/>
        <w:right w:val="none" w:sz="0" w:space="0" w:color="auto"/>
      </w:divBdr>
      <w:divsChild>
        <w:div w:id="1309364381">
          <w:marLeft w:val="0"/>
          <w:marRight w:val="-5040"/>
          <w:marTop w:val="0"/>
          <w:marBottom w:val="0"/>
          <w:divBdr>
            <w:top w:val="none" w:sz="0" w:space="0" w:color="auto"/>
            <w:left w:val="none" w:sz="0" w:space="0" w:color="auto"/>
            <w:bottom w:val="none" w:sz="0" w:space="0" w:color="auto"/>
            <w:right w:val="none" w:sz="0" w:space="0" w:color="auto"/>
          </w:divBdr>
          <w:divsChild>
            <w:div w:id="1526601695">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2062895754">
      <w:marLeft w:val="0"/>
      <w:marRight w:val="0"/>
      <w:marTop w:val="0"/>
      <w:marBottom w:val="0"/>
      <w:divBdr>
        <w:top w:val="none" w:sz="0" w:space="0" w:color="auto"/>
        <w:left w:val="none" w:sz="0" w:space="0" w:color="auto"/>
        <w:bottom w:val="none" w:sz="0" w:space="0" w:color="auto"/>
        <w:right w:val="none" w:sz="0" w:space="0" w:color="auto"/>
      </w:divBdr>
    </w:div>
    <w:div w:id="2062895755">
      <w:marLeft w:val="0"/>
      <w:marRight w:val="0"/>
      <w:marTop w:val="0"/>
      <w:marBottom w:val="0"/>
      <w:divBdr>
        <w:top w:val="none" w:sz="0" w:space="0" w:color="auto"/>
        <w:left w:val="none" w:sz="0" w:space="0" w:color="auto"/>
        <w:bottom w:val="none" w:sz="0" w:space="0" w:color="auto"/>
        <w:right w:val="none" w:sz="0" w:space="0" w:color="auto"/>
      </w:divBdr>
    </w:div>
    <w:div w:id="20628957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5249</Words>
  <Characters>29530</Characters>
  <Application>Microsoft Office Word</Application>
  <DocSecurity>0</DocSecurity>
  <Lines>788</Lines>
  <Paragraphs>297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34654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2014-09-25T18:00:00Z</cp:lastPrinted>
  <dcterms:created xsi:type="dcterms:W3CDTF">2014-09-26T14:23:00Z</dcterms:created>
  <dcterms:modified xsi:type="dcterms:W3CDTF">2014-09-26T14:23:00Z</dcterms:modified>
  <cp:category> </cp:category>
  <cp:contentStatus> </cp:contentStatus>
</cp:coreProperties>
</file>