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EF231B" w:rsidRPr="00190BA4" w:rsidP="00FE3955" w14:paraId="0ADAA18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szCs w:val="24"/>
        </w:rPr>
      </w:pPr>
      <w:r w:rsidRPr="00190BA4">
        <w:rPr>
          <w:rFonts w:ascii="Times New Roman" w:hAnsi="Times New Roman"/>
          <w:b/>
          <w:bCs/>
          <w:sz w:val="24"/>
          <w:szCs w:val="24"/>
        </w:rPr>
        <w:t>BEFORE</w:t>
      </w:r>
    </w:p>
    <w:p w:rsidR="00EF231B" w:rsidRPr="00190BA4" w:rsidP="00FE3955" w14:paraId="00745141" w14:textId="77777777">
      <w:pPr>
        <w:pStyle w:val="HTMLPreformatted"/>
        <w:jc w:val="center"/>
        <w:rPr>
          <w:rFonts w:ascii="Times New Roman" w:hAnsi="Times New Roman"/>
          <w:b/>
          <w:bCs/>
          <w:sz w:val="24"/>
          <w:szCs w:val="24"/>
        </w:rPr>
      </w:pPr>
      <w:r w:rsidRPr="00190BA4">
        <w:rPr>
          <w:rFonts w:ascii="Times New Roman" w:hAnsi="Times New Roman"/>
          <w:b/>
          <w:bCs/>
          <w:sz w:val="24"/>
          <w:szCs w:val="24"/>
        </w:rPr>
        <w:t>THE PUBLIC UTILITIES COMMISSION OF OHIO</w:t>
      </w:r>
    </w:p>
    <w:p w:rsidR="001E6869" w:rsidRPr="00190BA4" w:rsidP="000F32D2" w14:paraId="27B4E04F" w14:textId="77777777">
      <w:pPr>
        <w:tabs>
          <w:tab w:val="left" w:pos="6060"/>
        </w:tabs>
        <w:spacing w:after="0" w:line="276" w:lineRule="auto"/>
        <w:jc w:val="center"/>
        <w:rPr>
          <w:rFonts w:cs="Times New Roman"/>
          <w:b/>
          <w:bCs/>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274"/>
        <w:gridCol w:w="755"/>
        <w:gridCol w:w="3611"/>
      </w:tblGrid>
      <w:tr w14:paraId="382E7D31" w14:textId="77777777" w:rsidTr="00BB63CA">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274" w:type="dxa"/>
          </w:tcPr>
          <w:p w:rsidR="00B635C0" w:rsidRPr="00190BA4" w:rsidP="00B635C0" w14:paraId="16B21DA3"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In the Matter of the Application of Ohio Edison Company, The Cleveland Electric Illuminating Company, and The Toledo Edison Company for Approval of Phase Two of Their Distribution Grid Modernization Plan.</w:t>
            </w:r>
          </w:p>
        </w:tc>
        <w:tc>
          <w:tcPr>
            <w:tcW w:w="755" w:type="dxa"/>
          </w:tcPr>
          <w:p w:rsidR="00B635C0" w:rsidRPr="00190BA4" w:rsidP="00B635C0" w14:paraId="4A27BA67"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p>
          <w:p w:rsidR="00B635C0" w:rsidRPr="00190BA4" w:rsidP="00B635C0" w14:paraId="7126CBA2" w14:textId="77777777">
            <w:pPr>
              <w:spacing w:after="0" w:line="240" w:lineRule="auto"/>
              <w:rPr>
                <w:rFonts w:ascii="Times New Roman" w:eastAsia="Aptos" w:hAnsi="Times New Roman" w:cs="Times New Roman"/>
                <w:kern w:val="0"/>
                <w:sz w:val="24"/>
                <w:szCs w:val="24"/>
                <w:lang w:val="en-US" w:eastAsia="en-US" w:bidi="ar-SA"/>
                <w14:ligatures w14:val="none"/>
              </w:rPr>
            </w:pPr>
          </w:p>
        </w:tc>
        <w:tc>
          <w:tcPr>
            <w:tcW w:w="3611" w:type="dxa"/>
          </w:tcPr>
          <w:p w:rsidR="00B635C0" w:rsidRPr="00190BA4" w:rsidP="00B635C0" w14:paraId="785EEFA6" w14:textId="77777777">
            <w:pPr>
              <w:spacing w:after="0" w:line="240" w:lineRule="auto"/>
              <w:rPr>
                <w:rFonts w:ascii="Times New Roman" w:eastAsia="Courier New" w:hAnsi="Times New Roman" w:cs="Times New Roman"/>
                <w:kern w:val="0"/>
                <w:sz w:val="24"/>
                <w:szCs w:val="24"/>
                <w:lang w:val="en-US" w:eastAsia="en-US" w:bidi="ar-SA"/>
                <w14:ligatures w14:val="none"/>
              </w:rPr>
            </w:pPr>
          </w:p>
          <w:p w:rsidR="00B635C0" w:rsidRPr="00190BA4" w:rsidP="00B635C0" w14:paraId="6D1C9F6C" w14:textId="77777777">
            <w:pPr>
              <w:spacing w:after="0" w:line="240" w:lineRule="auto"/>
              <w:rPr>
                <w:rFonts w:ascii="Times New Roman" w:eastAsia="Courier New" w:hAnsi="Times New Roman" w:cs="Times New Roman"/>
                <w:kern w:val="0"/>
                <w:sz w:val="24"/>
                <w:szCs w:val="24"/>
                <w:lang w:val="en-US" w:eastAsia="en-US" w:bidi="ar-SA"/>
                <w14:ligatures w14:val="none"/>
              </w:rPr>
            </w:pPr>
          </w:p>
          <w:p w:rsidR="00B635C0" w:rsidRPr="00190BA4" w:rsidP="00B635C0" w14:paraId="7E1CF6A1" w14:textId="04C55FDC">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Courier New" w:hAnsi="Times New Roman" w:cs="Times New Roman"/>
                <w:kern w:val="0"/>
                <w:sz w:val="24"/>
                <w:szCs w:val="24"/>
                <w:lang w:val="en-US" w:eastAsia="en-US" w:bidi="ar-SA"/>
                <w14:ligatures w14:val="none"/>
              </w:rPr>
              <w:t>Case No. 22-704-EL-UNC</w:t>
            </w:r>
          </w:p>
        </w:tc>
      </w:tr>
      <w:tr w14:paraId="4ACDCC8B" w14:textId="77777777" w:rsidTr="00BB63CA">
        <w:tblPrEx>
          <w:tblW w:w="0" w:type="auto"/>
          <w:tblInd w:w="0" w:type="dxa"/>
          <w:tblCellMar>
            <w:top w:w="0" w:type="dxa"/>
            <w:left w:w="108" w:type="dxa"/>
            <w:bottom w:w="0" w:type="dxa"/>
            <w:right w:w="108" w:type="dxa"/>
          </w:tblCellMar>
          <w:tblLook w:val="04A0"/>
        </w:tblPrEx>
        <w:tc>
          <w:tcPr>
            <w:tcW w:w="4274" w:type="dxa"/>
          </w:tcPr>
          <w:p w:rsidR="00B635C0" w:rsidRPr="00190BA4" w:rsidP="00B635C0" w14:paraId="6A85A0A2"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 xml:space="preserve">In the Matter of the Application of </w:t>
            </w:r>
            <w:bookmarkStart w:id="0" w:name="_Hlk168418284"/>
            <w:r w:rsidRPr="00190BA4">
              <w:rPr>
                <w:rFonts w:ascii="Times New Roman" w:eastAsia="Aptos" w:hAnsi="Times New Roman" w:cs="Times New Roman"/>
                <w:kern w:val="0"/>
                <w:sz w:val="24"/>
                <w:szCs w:val="24"/>
                <w:lang w:val="en-US" w:eastAsia="en-US" w:bidi="ar-SA"/>
                <w14:ligatures w14:val="none"/>
              </w:rPr>
              <w:t>Ohio Edison Company, The Cleveland Electric Illuminating Company, and The Toledo Edison Company for Review of Rider AMI (2019).</w:t>
            </w:r>
            <w:bookmarkEnd w:id="0"/>
          </w:p>
        </w:tc>
        <w:tc>
          <w:tcPr>
            <w:tcW w:w="755" w:type="dxa"/>
          </w:tcPr>
          <w:p w:rsidR="00B635C0" w:rsidRPr="00190BA4" w:rsidP="00B635C0" w14:paraId="23704CE8"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p>
          <w:p w:rsidR="00B635C0" w:rsidRPr="00190BA4" w:rsidP="00B635C0" w14:paraId="264322E5" w14:textId="77777777">
            <w:pPr>
              <w:spacing w:after="0" w:line="240" w:lineRule="auto"/>
              <w:rPr>
                <w:rFonts w:ascii="Times New Roman" w:eastAsia="Aptos" w:hAnsi="Times New Roman" w:cs="Times New Roman"/>
                <w:kern w:val="0"/>
                <w:sz w:val="24"/>
                <w:szCs w:val="24"/>
                <w:lang w:val="en-US" w:eastAsia="en-US" w:bidi="ar-SA"/>
                <w14:ligatures w14:val="none"/>
              </w:rPr>
            </w:pPr>
          </w:p>
        </w:tc>
        <w:tc>
          <w:tcPr>
            <w:tcW w:w="3611" w:type="dxa"/>
          </w:tcPr>
          <w:p w:rsidR="00B635C0" w:rsidRPr="00190BA4" w:rsidP="00B635C0" w14:paraId="789E710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B635C0" w:rsidRPr="00190BA4" w:rsidP="00B635C0" w14:paraId="7162D81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B635C0" w:rsidRPr="00190BA4" w:rsidP="00B635C0" w14:paraId="7809776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190BA4">
              <w:rPr>
                <w:rFonts w:ascii="Times New Roman" w:eastAsia="Courier New" w:hAnsi="Times New Roman" w:cs="Times New Roman"/>
                <w:kern w:val="0"/>
                <w:sz w:val="24"/>
                <w:szCs w:val="24"/>
                <w:lang w:val="en-US" w:eastAsia="en-US" w:bidi="ar-SA"/>
                <w14:ligatures w14:val="none"/>
              </w:rPr>
              <w:t xml:space="preserve">Case No. 18-1647-EL-RDR </w:t>
            </w:r>
          </w:p>
          <w:p w:rsidR="00B635C0" w:rsidRPr="00190BA4" w:rsidP="00B635C0" w14:paraId="1E374E91" w14:textId="77777777">
            <w:pPr>
              <w:spacing w:after="0" w:line="240" w:lineRule="auto"/>
              <w:rPr>
                <w:rFonts w:ascii="Times New Roman" w:eastAsia="Aptos" w:hAnsi="Times New Roman" w:cs="Times New Roman"/>
                <w:kern w:val="0"/>
                <w:sz w:val="24"/>
                <w:szCs w:val="24"/>
                <w:lang w:val="en-US" w:eastAsia="en-US" w:bidi="ar-SA"/>
                <w14:ligatures w14:val="none"/>
              </w:rPr>
            </w:pPr>
          </w:p>
        </w:tc>
      </w:tr>
      <w:tr w14:paraId="13FB5EE3" w14:textId="77777777" w:rsidTr="00BB63CA">
        <w:tblPrEx>
          <w:tblW w:w="0" w:type="auto"/>
          <w:tblInd w:w="0" w:type="dxa"/>
          <w:tblCellMar>
            <w:top w:w="0" w:type="dxa"/>
            <w:left w:w="108" w:type="dxa"/>
            <w:bottom w:w="0" w:type="dxa"/>
            <w:right w:w="108" w:type="dxa"/>
          </w:tblCellMar>
          <w:tblLook w:val="04A0"/>
        </w:tblPrEx>
        <w:tc>
          <w:tcPr>
            <w:tcW w:w="4274" w:type="dxa"/>
          </w:tcPr>
          <w:p w:rsidR="00B635C0" w:rsidRPr="00190BA4" w:rsidP="00B635C0" w14:paraId="542CCF5B" w14:textId="22C77A5E">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In the Matter of the Application of Ohio Edison Company, The Cleveland Electric Illuminating Company, and The Toledo Edison Company for Review of Rider AMI (2020).</w:t>
            </w:r>
            <w:r w:rsidRPr="00190BA4" w:rsidR="00CF1064">
              <w:rPr>
                <w:rFonts w:ascii="Times New Roman" w:eastAsia="Aptos" w:hAnsi="Times New Roman" w:cs="Times New Roman"/>
                <w:kern w:val="0"/>
                <w:sz w:val="24"/>
                <w:szCs w:val="24"/>
                <w:lang w:val="en-US" w:eastAsia="en-US" w:bidi="ar-SA"/>
                <w14:ligatures w14:val="none"/>
              </w:rPr>
              <w:t xml:space="preserve"> </w:t>
            </w:r>
          </w:p>
        </w:tc>
        <w:tc>
          <w:tcPr>
            <w:tcW w:w="755" w:type="dxa"/>
          </w:tcPr>
          <w:p w:rsidR="00B635C0" w:rsidRPr="00190BA4" w:rsidP="00B635C0" w14:paraId="561BAE40"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p>
          <w:p w:rsidR="00B635C0" w:rsidRPr="00190BA4" w:rsidP="00B635C0" w14:paraId="7EF89F11" w14:textId="77777777">
            <w:pPr>
              <w:spacing w:after="0" w:line="240" w:lineRule="auto"/>
              <w:rPr>
                <w:rFonts w:ascii="Times New Roman" w:eastAsia="Aptos" w:hAnsi="Times New Roman" w:cs="Times New Roman"/>
                <w:kern w:val="0"/>
                <w:sz w:val="24"/>
                <w:szCs w:val="24"/>
                <w:lang w:val="en-US" w:eastAsia="en-US" w:bidi="ar-SA"/>
                <w14:ligatures w14:val="none"/>
              </w:rPr>
            </w:pPr>
          </w:p>
        </w:tc>
        <w:tc>
          <w:tcPr>
            <w:tcW w:w="3611" w:type="dxa"/>
          </w:tcPr>
          <w:p w:rsidR="00B635C0" w:rsidRPr="00190BA4" w:rsidP="00B635C0" w14:paraId="22FB5CD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FE3955" w:rsidRPr="00190BA4" w:rsidP="00B635C0" w14:paraId="5DB503E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B635C0" w:rsidRPr="00190BA4" w:rsidP="00B635C0" w14:paraId="202676B5" w14:textId="1C35F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190BA4">
              <w:rPr>
                <w:rFonts w:ascii="Times New Roman" w:eastAsia="Courier New" w:hAnsi="Times New Roman" w:cs="Times New Roman"/>
                <w:kern w:val="0"/>
                <w:sz w:val="24"/>
                <w:szCs w:val="24"/>
                <w:lang w:val="en-US" w:eastAsia="en-US" w:bidi="ar-SA"/>
                <w14:ligatures w14:val="none"/>
              </w:rPr>
              <w:t xml:space="preserve">Case No. 19-1903-EL-RDR </w:t>
            </w:r>
          </w:p>
          <w:p w:rsidR="00B635C0" w:rsidRPr="00190BA4" w:rsidP="00B635C0" w14:paraId="7EA4D13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tc>
      </w:tr>
      <w:tr w14:paraId="153AA269" w14:textId="77777777" w:rsidTr="00BB63CA">
        <w:tblPrEx>
          <w:tblW w:w="0" w:type="auto"/>
          <w:tblInd w:w="0" w:type="dxa"/>
          <w:tblCellMar>
            <w:top w:w="0" w:type="dxa"/>
            <w:left w:w="108" w:type="dxa"/>
            <w:bottom w:w="0" w:type="dxa"/>
            <w:right w:w="108" w:type="dxa"/>
          </w:tblCellMar>
          <w:tblLook w:val="04A0"/>
        </w:tblPrEx>
        <w:tc>
          <w:tcPr>
            <w:tcW w:w="4274" w:type="dxa"/>
          </w:tcPr>
          <w:p w:rsidR="00B635C0" w:rsidRPr="00190BA4" w:rsidP="00B635C0" w14:paraId="2D73E296"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In the Matter of the Application of Ohio Edison Company, The Cleveland Electric Illuminating Company, and The Toledo Edison Company for Review of Rider AMI (2021).</w:t>
            </w:r>
          </w:p>
        </w:tc>
        <w:tc>
          <w:tcPr>
            <w:tcW w:w="755" w:type="dxa"/>
          </w:tcPr>
          <w:p w:rsidR="00B635C0" w:rsidRPr="00190BA4" w:rsidP="00B635C0" w14:paraId="11856152" w14:textId="7FC4D7BF">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p>
        </w:tc>
        <w:tc>
          <w:tcPr>
            <w:tcW w:w="3611" w:type="dxa"/>
          </w:tcPr>
          <w:p w:rsidR="00B635C0" w:rsidRPr="00190BA4" w:rsidP="00B635C0" w14:paraId="44F345E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B635C0" w:rsidRPr="00190BA4" w:rsidP="00B635C0" w14:paraId="43CCA054"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B635C0" w:rsidRPr="00190BA4" w:rsidP="00B635C0" w14:paraId="1C2F9D5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190BA4">
              <w:rPr>
                <w:rFonts w:ascii="Times New Roman" w:eastAsia="Courier New" w:hAnsi="Times New Roman" w:cs="Times New Roman"/>
                <w:kern w:val="0"/>
                <w:sz w:val="24"/>
                <w:szCs w:val="24"/>
                <w:lang w:val="en-US" w:eastAsia="en-US" w:bidi="ar-SA"/>
                <w14:ligatures w14:val="none"/>
              </w:rPr>
              <w:t xml:space="preserve">Case No. 20-1672-EL-RDR </w:t>
            </w:r>
          </w:p>
          <w:p w:rsidR="00B635C0" w:rsidRPr="00190BA4" w:rsidP="00B635C0" w14:paraId="69B30E5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tc>
      </w:tr>
    </w:tbl>
    <w:p w:rsidR="00BB63CA" w:rsidRPr="00190BA4" w:rsidP="00BB63CA" w14:paraId="669621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p>
    <w:p w:rsidR="00BB63CA" w:rsidRPr="00190BA4" w:rsidP="00BB63CA" w14:paraId="2894D3E3" w14:textId="77777777">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BB63CA" w:rsidRPr="00190BA4" w:rsidP="00BB63CA" w14:paraId="7091805B" w14:textId="21D2104B">
      <w:pPr>
        <w:widowControl w:val="0"/>
        <w:spacing w:after="0" w:line="240" w:lineRule="auto"/>
        <w:jc w:val="center"/>
        <w:rPr>
          <w:rFonts w:cs="Times New Roman"/>
          <w:b/>
          <w:szCs w:val="24"/>
        </w:rPr>
      </w:pPr>
      <w:r w:rsidRPr="00190BA4">
        <w:rPr>
          <w:rFonts w:cs="Times New Roman"/>
          <w:b/>
          <w:szCs w:val="24"/>
        </w:rPr>
        <w:t>INITIAL BRIEF</w:t>
      </w:r>
    </w:p>
    <w:p w:rsidR="00BB63CA" w:rsidRPr="00190BA4" w:rsidP="00BB63CA" w14:paraId="18F61B8C" w14:textId="77777777">
      <w:pPr>
        <w:widowControl w:val="0"/>
        <w:spacing w:after="0" w:line="240" w:lineRule="auto"/>
        <w:jc w:val="center"/>
        <w:rPr>
          <w:rFonts w:cs="Times New Roman"/>
          <w:b/>
          <w:szCs w:val="24"/>
        </w:rPr>
      </w:pPr>
      <w:r w:rsidRPr="00190BA4">
        <w:rPr>
          <w:rFonts w:cs="Times New Roman"/>
          <w:b/>
          <w:szCs w:val="24"/>
        </w:rPr>
        <w:t>BY</w:t>
      </w:r>
    </w:p>
    <w:p w:rsidR="00BB63CA" w:rsidRPr="00190BA4" w:rsidP="00BB63CA" w14:paraId="348B8055" w14:textId="25468C44">
      <w:pPr>
        <w:spacing w:after="0" w:line="240" w:lineRule="auto"/>
        <w:jc w:val="center"/>
        <w:rPr>
          <w:rFonts w:cs="Times New Roman"/>
          <w:b/>
          <w:szCs w:val="24"/>
        </w:rPr>
      </w:pPr>
      <w:r w:rsidRPr="00190BA4">
        <w:rPr>
          <w:rFonts w:cs="Times New Roman"/>
          <w:b/>
          <w:szCs w:val="24"/>
        </w:rPr>
        <w:t>OFFICE OF THE OHIO CONSUMERS</w:t>
      </w:r>
      <w:r w:rsidR="00DD6EB7">
        <w:rPr>
          <w:rFonts w:cs="Times New Roman"/>
          <w:b/>
          <w:szCs w:val="24"/>
        </w:rPr>
        <w:t>’</w:t>
      </w:r>
      <w:r w:rsidRPr="00190BA4">
        <w:rPr>
          <w:rFonts w:cs="Times New Roman"/>
          <w:b/>
          <w:szCs w:val="24"/>
        </w:rPr>
        <w:t xml:space="preserve"> COUNSEL</w:t>
      </w:r>
    </w:p>
    <w:p w:rsidR="000A6792" w:rsidRPr="00190BA4" w:rsidP="00BB63CA" w14:paraId="403F4306" w14:textId="4A2603F0">
      <w:pPr>
        <w:spacing w:after="0" w:line="240" w:lineRule="auto"/>
        <w:jc w:val="center"/>
        <w:rPr>
          <w:rFonts w:cs="Times New Roman"/>
          <w:b/>
          <w:szCs w:val="24"/>
        </w:rPr>
      </w:pPr>
      <w:r w:rsidRPr="00190BA4">
        <w:rPr>
          <w:rFonts w:cs="Times New Roman"/>
          <w:b/>
          <w:szCs w:val="24"/>
        </w:rPr>
        <w:t>AND</w:t>
      </w:r>
    </w:p>
    <w:p w:rsidR="0085250C" w:rsidRPr="00190BA4" w:rsidP="00BB63CA" w14:paraId="2924BA99" w14:textId="61B45EFF">
      <w:pPr>
        <w:spacing w:after="0" w:line="240" w:lineRule="auto"/>
        <w:jc w:val="center"/>
        <w:rPr>
          <w:rFonts w:cs="Times New Roman"/>
          <w:b/>
          <w:szCs w:val="24"/>
        </w:rPr>
      </w:pPr>
      <w:r w:rsidRPr="00190BA4">
        <w:rPr>
          <w:rFonts w:cs="Times New Roman"/>
          <w:b/>
          <w:szCs w:val="24"/>
        </w:rPr>
        <w:t>NORTHWEST OHIO AGGREGATION COALITION</w:t>
      </w:r>
    </w:p>
    <w:p w:rsidR="00BB63CA" w:rsidRPr="00190BA4" w:rsidP="00BB63CA" w14:paraId="66C718B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p>
    <w:p w:rsidR="00BB63CA" w:rsidRPr="00190BA4" w:rsidP="00BB63CA" w14:paraId="7F0CFF05" w14:textId="77777777">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tbl>
      <w:tblPr>
        <w:tblStyle w:val="TableGrid21"/>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
      <w:tblGrid>
        <w:gridCol w:w="4590"/>
        <w:gridCol w:w="4590"/>
      </w:tblGrid>
      <w:tr w14:paraId="7975E51D" w14:textId="77777777" w:rsidTr="007245C3">
        <w:tblPrEx>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Ex>
        <w:tc>
          <w:tcPr>
            <w:tcW w:w="4590" w:type="dxa"/>
          </w:tcPr>
          <w:p w:rsidR="003400D5" w:rsidRPr="00190BA4" w:rsidP="003400D5" w14:paraId="274C2D4B"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Maureen R. Willis (0020847)</w:t>
            </w:r>
          </w:p>
          <w:p w:rsidR="003400D5" w:rsidRPr="00190BA4" w:rsidP="003400D5" w14:paraId="307266F2" w14:textId="264CF2C3">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Ohio Consumers</w:t>
            </w:r>
            <w:r w:rsidR="00DD6EB7">
              <w:rPr>
                <w:rFonts w:ascii="Times New Roman" w:eastAsia="Times New Roman" w:hAnsi="Times New Roman" w:cs="Times New Roman"/>
                <w:sz w:val="24"/>
                <w:szCs w:val="24"/>
                <w:lang w:val="en-US" w:eastAsia="en-US" w:bidi="ar-SA"/>
              </w:rPr>
              <w:t>’</w:t>
            </w:r>
            <w:r w:rsidRPr="00190BA4">
              <w:rPr>
                <w:rFonts w:ascii="Times New Roman" w:eastAsia="Times New Roman" w:hAnsi="Times New Roman" w:cs="Times New Roman"/>
                <w:sz w:val="24"/>
                <w:szCs w:val="24"/>
                <w:lang w:val="en-US" w:eastAsia="en-US" w:bidi="ar-SA"/>
              </w:rPr>
              <w:t xml:space="preserve"> Counsel</w:t>
            </w:r>
          </w:p>
          <w:p w:rsidR="003400D5" w:rsidRPr="00190BA4" w:rsidP="003400D5" w14:paraId="2FE41D71"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 xml:space="preserve"> </w:t>
            </w:r>
          </w:p>
          <w:p w:rsidR="003400D5" w:rsidRPr="00190BA4" w:rsidP="003400D5" w14:paraId="5D4A557C"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William J. Michael (0070921)</w:t>
            </w:r>
          </w:p>
          <w:p w:rsidR="003400D5" w:rsidRPr="00190BA4" w:rsidP="003400D5" w14:paraId="07BE634C"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Counsel of Record</w:t>
            </w:r>
          </w:p>
          <w:p w:rsidR="003400D5" w:rsidRPr="00190BA4" w:rsidP="003400D5" w14:paraId="2DF407A5"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Donald J. Kral (0042091)</w:t>
            </w:r>
          </w:p>
          <w:p w:rsidR="003400D5" w:rsidRPr="00190BA4" w:rsidP="003400D5" w14:paraId="05D5FECA" w14:textId="2712B22E">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Assistant Consumers</w:t>
            </w:r>
            <w:r w:rsidR="00DD6EB7">
              <w:rPr>
                <w:rFonts w:ascii="Times New Roman" w:eastAsia="Times New Roman" w:hAnsi="Times New Roman" w:cs="Times New Roman"/>
                <w:sz w:val="24"/>
                <w:szCs w:val="24"/>
                <w:lang w:val="en-US" w:eastAsia="en-US" w:bidi="ar-SA"/>
              </w:rPr>
              <w:t>’</w:t>
            </w:r>
            <w:r w:rsidRPr="00190BA4">
              <w:rPr>
                <w:rFonts w:ascii="Times New Roman" w:eastAsia="Times New Roman" w:hAnsi="Times New Roman" w:cs="Times New Roman"/>
                <w:sz w:val="24"/>
                <w:szCs w:val="24"/>
                <w:lang w:val="en-US" w:eastAsia="en-US" w:bidi="ar-SA"/>
              </w:rPr>
              <w:t xml:space="preserve"> Counsel</w:t>
            </w:r>
          </w:p>
          <w:p w:rsidR="003400D5" w:rsidRPr="00190BA4" w:rsidP="003400D5" w14:paraId="7D9C478C"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ab/>
            </w:r>
          </w:p>
          <w:p w:rsidR="003400D5" w:rsidRPr="00190BA4" w:rsidP="003400D5" w14:paraId="6F71C097" w14:textId="2335F8F9">
            <w:pPr>
              <w:tabs>
                <w:tab w:val="left" w:pos="2776"/>
              </w:tabs>
              <w:spacing w:after="0" w:line="240" w:lineRule="auto"/>
              <w:ind w:left="-19" w:right="339"/>
              <w:rPr>
                <w:rFonts w:ascii="Times New Roman" w:eastAsia="Times New Roman" w:hAnsi="Times New Roman" w:cs="Times New Roman"/>
                <w:b/>
                <w:bCs/>
                <w:sz w:val="24"/>
                <w:szCs w:val="24"/>
                <w:lang w:val="en-US" w:eastAsia="en-US" w:bidi="ar-SA"/>
              </w:rPr>
            </w:pPr>
            <w:r w:rsidRPr="00190BA4">
              <w:rPr>
                <w:rFonts w:ascii="Times New Roman" w:eastAsia="Times New Roman" w:hAnsi="Times New Roman" w:cs="Times New Roman"/>
                <w:b/>
                <w:bCs/>
                <w:sz w:val="24"/>
                <w:szCs w:val="24"/>
                <w:lang w:val="en-US" w:eastAsia="en-US" w:bidi="ar-SA"/>
              </w:rPr>
              <w:t>Office of the Ohio Consumers</w:t>
            </w:r>
            <w:r w:rsidR="00DD6EB7">
              <w:rPr>
                <w:rFonts w:ascii="Times New Roman" w:eastAsia="Times New Roman" w:hAnsi="Times New Roman" w:cs="Times New Roman"/>
                <w:b/>
                <w:bCs/>
                <w:sz w:val="24"/>
                <w:szCs w:val="24"/>
                <w:lang w:val="en-US" w:eastAsia="en-US" w:bidi="ar-SA"/>
              </w:rPr>
              <w:t>’</w:t>
            </w:r>
            <w:r w:rsidRPr="00190BA4">
              <w:rPr>
                <w:rFonts w:ascii="Times New Roman" w:eastAsia="Times New Roman" w:hAnsi="Times New Roman" w:cs="Times New Roman"/>
                <w:b/>
                <w:bCs/>
                <w:sz w:val="24"/>
                <w:szCs w:val="24"/>
                <w:lang w:val="en-US" w:eastAsia="en-US" w:bidi="ar-SA"/>
              </w:rPr>
              <w:t xml:space="preserve"> Counsel</w:t>
            </w:r>
          </w:p>
          <w:p w:rsidR="003400D5" w:rsidRPr="00190BA4" w:rsidP="003400D5" w14:paraId="79F64F12"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65 East State Street, Suite 700</w:t>
            </w:r>
          </w:p>
          <w:p w:rsidR="003400D5" w:rsidRPr="00190BA4" w:rsidP="003400D5" w14:paraId="79446D3B"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Columbus, Ohio 43215</w:t>
            </w:r>
          </w:p>
          <w:p w:rsidR="003400D5" w:rsidRPr="00190BA4" w:rsidP="003400D5" w14:paraId="511F6ED6"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Telephone [Michael]: (614) 466-1291</w:t>
            </w:r>
          </w:p>
          <w:p w:rsidR="003400D5" w:rsidRPr="00190BA4" w:rsidP="003400D5" w14:paraId="3DEBF211"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Telephone: [Kral]: (614) 466-9571</w:t>
            </w:r>
          </w:p>
          <w:p w:rsidR="003400D5" w:rsidRPr="00190BA4" w:rsidP="003400D5" w14:paraId="1FB2465A"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hyperlink r:id="rId6" w:history="1">
              <w:r w:rsidRPr="00190BA4" w:rsidR="00DA1F10">
                <w:rPr>
                  <w:rStyle w:val="Hyperlink"/>
                  <w:rFonts w:ascii="Times New Roman" w:eastAsia="Times New Roman" w:hAnsi="Times New Roman" w:cs="Times New Roman"/>
                  <w:color w:val="0000FF" w:themeColor="hyperlink"/>
                  <w:sz w:val="24"/>
                  <w:szCs w:val="24"/>
                  <w:u w:val="single"/>
                  <w:lang w:val="en-US" w:eastAsia="en-US" w:bidi="ar-SA"/>
                </w:rPr>
                <w:t>william.michael@occ.ohio.gov</w:t>
              </w:r>
            </w:hyperlink>
          </w:p>
          <w:p w:rsidR="003400D5" w:rsidRPr="00190BA4" w:rsidP="003400D5" w14:paraId="1541ABD0"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hyperlink r:id="rId7" w:history="1">
              <w:r w:rsidRPr="00190BA4" w:rsidR="00DA1F10">
                <w:rPr>
                  <w:rStyle w:val="Hyperlink"/>
                  <w:rFonts w:ascii="Times New Roman" w:eastAsia="Times New Roman" w:hAnsi="Times New Roman" w:cs="Times New Roman"/>
                  <w:color w:val="0000FF" w:themeColor="hyperlink"/>
                  <w:sz w:val="24"/>
                  <w:szCs w:val="24"/>
                  <w:u w:val="single"/>
                  <w:lang w:val="en-US" w:eastAsia="en-US" w:bidi="ar-SA"/>
                </w:rPr>
                <w:t>donald.kral@occ.ohio.gov</w:t>
              </w:r>
            </w:hyperlink>
          </w:p>
          <w:p w:rsidR="003400D5" w:rsidRPr="00190BA4" w:rsidP="003400D5" w14:paraId="1368F81F" w14:textId="0C9B42B1">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(willing to accept service by e-mail)</w:t>
            </w:r>
          </w:p>
          <w:p w:rsidR="00DD1D9B" w:rsidRPr="00190BA4" w:rsidP="003400D5" w14:paraId="251EAD69"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p>
          <w:p w:rsidR="00DD1D9B" w:rsidRPr="00190BA4" w:rsidP="003400D5" w14:paraId="0FB57467" w14:textId="2F0954E1">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July 31, 2024</w:t>
            </w:r>
          </w:p>
          <w:p w:rsidR="003400D5" w:rsidRPr="00190BA4" w:rsidP="003400D5" w14:paraId="212E9FBE" w14:textId="6C4ED4F2">
            <w:pPr>
              <w:tabs>
                <w:tab w:val="left" w:pos="2776"/>
              </w:tabs>
              <w:spacing w:after="0" w:line="240" w:lineRule="auto"/>
              <w:ind w:right="339"/>
              <w:rPr>
                <w:rFonts w:ascii="Times New Roman" w:eastAsia="Times New Roman" w:hAnsi="Times New Roman" w:cs="Times New Roman"/>
                <w:sz w:val="24"/>
                <w:szCs w:val="24"/>
                <w:lang w:val="en-US" w:eastAsia="en-US" w:bidi="ar-SA"/>
              </w:rPr>
            </w:pPr>
          </w:p>
        </w:tc>
        <w:tc>
          <w:tcPr>
            <w:tcW w:w="4590" w:type="dxa"/>
          </w:tcPr>
          <w:p w:rsidR="003400D5" w:rsidRPr="00190BA4" w:rsidP="002F1603" w14:paraId="31BCFA9A" w14:textId="77777777">
            <w:pPr>
              <w:widowControl w:val="0"/>
              <w:tabs>
                <w:tab w:val="left" w:pos="2776"/>
                <w:tab w:val="left" w:pos="4140"/>
              </w:tabs>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Thomas R. Hays (0054062)</w:t>
            </w:r>
          </w:p>
          <w:p w:rsidR="003400D5" w:rsidRPr="00190BA4" w:rsidP="002F1603" w14:paraId="39E6AF9A" w14:textId="77777777">
            <w:pPr>
              <w:widowControl w:val="0"/>
              <w:tabs>
                <w:tab w:val="left" w:pos="2776"/>
                <w:tab w:val="left" w:pos="4140"/>
              </w:tabs>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 xml:space="preserve">Counsel of Record </w:t>
            </w:r>
          </w:p>
          <w:p w:rsidR="003400D5" w:rsidRPr="00190BA4" w:rsidP="002F1603" w14:paraId="61EB6FA0" w14:textId="77777777">
            <w:pPr>
              <w:widowControl w:val="0"/>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8355 Island Lane</w:t>
            </w:r>
          </w:p>
          <w:p w:rsidR="003400D5" w:rsidRPr="00190BA4" w:rsidP="002F1603" w14:paraId="20262E4F" w14:textId="77777777">
            <w:pPr>
              <w:widowControl w:val="0"/>
              <w:tabs>
                <w:tab w:val="left" w:pos="2776"/>
              </w:tabs>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Maineville, Ohio 43039</w:t>
            </w:r>
          </w:p>
          <w:p w:rsidR="003400D5" w:rsidRPr="00190BA4" w:rsidP="002F1603" w14:paraId="73CB56BA" w14:textId="77777777">
            <w:pPr>
              <w:widowControl w:val="0"/>
              <w:tabs>
                <w:tab w:val="left" w:pos="2776"/>
              </w:tabs>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Telephone: (419) 410-7069</w:t>
            </w:r>
          </w:p>
          <w:p w:rsidR="003400D5" w:rsidRPr="00190BA4" w:rsidP="002F1603" w14:paraId="5ACB0917" w14:textId="77777777">
            <w:pPr>
              <w:widowControl w:val="0"/>
              <w:tabs>
                <w:tab w:val="left" w:pos="2776"/>
              </w:tabs>
              <w:autoSpaceDE w:val="0"/>
              <w:autoSpaceDN w:val="0"/>
              <w:spacing w:after="0" w:line="240" w:lineRule="auto"/>
              <w:ind w:right="-21"/>
              <w:rPr>
                <w:rFonts w:ascii="Times New Roman" w:eastAsia="Times New Roman" w:hAnsi="Times New Roman" w:cs="Times New Roman"/>
                <w:color w:val="0000FF"/>
                <w:sz w:val="24"/>
                <w:szCs w:val="24"/>
                <w:lang w:val="en-US" w:eastAsia="en-US" w:bidi="ar-SA"/>
              </w:rPr>
            </w:pPr>
            <w:hyperlink r:id="rId8" w:history="1">
              <w:r w:rsidRPr="00190BA4" w:rsidR="00DA1F10">
                <w:rPr>
                  <w:rFonts w:ascii="Times New Roman" w:eastAsia="Times New Roman" w:hAnsi="Times New Roman" w:cs="Times New Roman"/>
                  <w:color w:val="0000FF"/>
                  <w:sz w:val="24"/>
                  <w:szCs w:val="24"/>
                  <w:u w:val="single"/>
                  <w:lang w:val="en-US" w:eastAsia="en-US" w:bidi="ar-SA"/>
                </w:rPr>
                <w:t>trhayslaw@gmail.com</w:t>
              </w:r>
            </w:hyperlink>
          </w:p>
          <w:p w:rsidR="003400D5" w:rsidRPr="00190BA4" w:rsidP="002F1603" w14:paraId="3A28AA5F" w14:textId="77777777">
            <w:pPr>
              <w:tabs>
                <w:tab w:val="left" w:pos="2776"/>
              </w:tabs>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(willing to accept service by e-mail)</w:t>
            </w:r>
          </w:p>
          <w:p w:rsidR="001A05D0" w:rsidRPr="00190BA4" w:rsidP="002F1603" w14:paraId="01D9F395" w14:textId="77777777">
            <w:pPr>
              <w:tabs>
                <w:tab w:val="left" w:pos="2776"/>
              </w:tabs>
              <w:spacing w:after="0" w:line="240" w:lineRule="auto"/>
              <w:ind w:right="-21"/>
              <w:rPr>
                <w:rFonts w:ascii="Times New Roman" w:eastAsia="Times New Roman" w:hAnsi="Times New Roman" w:cs="Times New Roman"/>
                <w:sz w:val="24"/>
                <w:szCs w:val="24"/>
                <w:lang w:val="en-US" w:eastAsia="en-US" w:bidi="ar-SA"/>
              </w:rPr>
            </w:pPr>
          </w:p>
          <w:p w:rsidR="001A05D0" w:rsidRPr="00190BA4" w:rsidP="001A05D0" w14:paraId="1C3C8B70"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John A. Borell, Sr. (0016481)</w:t>
            </w:r>
          </w:p>
          <w:p w:rsidR="001A05D0" w:rsidRPr="00190BA4" w:rsidP="001A05D0" w14:paraId="59BE0D85"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Assistant Lucas County Prosecuting</w:t>
            </w:r>
          </w:p>
          <w:p w:rsidR="00E008CD" w:rsidRPr="00190BA4" w:rsidP="001A05D0" w14:paraId="4411CE23"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Attorney </w:t>
            </w:r>
          </w:p>
          <w:p w:rsidR="001A05D0" w:rsidRPr="00190BA4" w:rsidP="001A05D0" w14:paraId="6B198C3E" w14:textId="64845731">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Deputy Chief, Civil Division</w:t>
            </w:r>
          </w:p>
          <w:p w:rsidR="001A05D0" w:rsidRPr="00190BA4" w:rsidP="001A05D0" w14:paraId="4E261A10"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700 Adams Street, Suite 250</w:t>
            </w:r>
          </w:p>
          <w:p w:rsidR="001A05D0" w:rsidRPr="00190BA4" w:rsidP="001A05D0" w14:paraId="26C2B540"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Toledo, Ohio 43604</w:t>
            </w:r>
          </w:p>
          <w:p w:rsidR="001A05D0" w:rsidRPr="00190BA4" w:rsidP="001A05D0" w14:paraId="16B01F23"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Telephone: (419) 213-2001</w:t>
            </w:r>
          </w:p>
          <w:p w:rsidR="001A05D0" w:rsidRPr="00190BA4" w:rsidP="001A05D0" w14:paraId="7DA72EBE"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(willing to accept service by e-mail)</w:t>
            </w:r>
          </w:p>
          <w:p w:rsidR="001A05D0" w:rsidRPr="00190BA4" w:rsidP="001A05D0" w14:paraId="11B93599" w14:textId="77777777">
            <w:pPr>
              <w:spacing w:after="0" w:line="240" w:lineRule="auto"/>
              <w:rPr>
                <w:rFonts w:ascii="Times New Roman" w:eastAsia="Times New Roman" w:hAnsi="Times New Roman" w:cs="Times New Roman"/>
                <w:bCs/>
                <w:iCs/>
                <w:color w:val="000000"/>
                <w:sz w:val="24"/>
                <w:szCs w:val="24"/>
                <w:lang w:val="en-US" w:eastAsia="en-US" w:bidi="ar-SA"/>
              </w:rPr>
            </w:pPr>
          </w:p>
          <w:p w:rsidR="001A05D0" w:rsidRPr="00190BA4" w:rsidP="001A05D0" w14:paraId="0949EAC1"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Leslie A. Kovacik (0070157)</w:t>
            </w:r>
          </w:p>
          <w:p w:rsidR="001A05D0" w:rsidRPr="00190BA4" w:rsidP="001A05D0" w14:paraId="73BF9C1E" w14:textId="21D3D4FB">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Senior Attorney, </w:t>
            </w:r>
            <w:r w:rsidRPr="00190BA4" w:rsidR="00EC561E">
              <w:rPr>
                <w:rFonts w:ascii="Times New Roman" w:eastAsia="Times New Roman" w:hAnsi="Times New Roman" w:cs="Times New Roman"/>
                <w:bCs/>
                <w:iCs/>
                <w:color w:val="000000"/>
                <w:sz w:val="24"/>
                <w:szCs w:val="24"/>
                <w:lang w:val="en-US" w:eastAsia="en-US" w:bidi="ar-SA"/>
              </w:rPr>
              <w:t xml:space="preserve">City of </w:t>
            </w:r>
            <w:r w:rsidRPr="00190BA4">
              <w:rPr>
                <w:rFonts w:ascii="Times New Roman" w:eastAsia="Times New Roman" w:hAnsi="Times New Roman" w:cs="Times New Roman"/>
                <w:bCs/>
                <w:iCs/>
                <w:color w:val="000000"/>
                <w:sz w:val="24"/>
                <w:szCs w:val="24"/>
                <w:lang w:val="en-US" w:eastAsia="en-US" w:bidi="ar-SA"/>
              </w:rPr>
              <w:t>Toledo Dept. of Law</w:t>
            </w:r>
          </w:p>
          <w:p w:rsidR="001A05D0" w:rsidRPr="00190BA4" w:rsidP="001A05D0" w14:paraId="18D518F9"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420 Madison Avenue, Suite 400</w:t>
            </w:r>
          </w:p>
          <w:p w:rsidR="001A05D0" w:rsidRPr="00190BA4" w:rsidP="001A05D0" w14:paraId="422BB57D"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Toledo, Ohio 43604</w:t>
            </w:r>
          </w:p>
          <w:p w:rsidR="001A05D0" w:rsidRPr="00190BA4" w:rsidP="001A05D0" w14:paraId="21DE5C9F" w14:textId="76796AF4">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Telephone: (419) 245</w:t>
            </w:r>
            <w:r w:rsidRPr="00190BA4" w:rsidR="00B65236">
              <w:rPr>
                <w:rFonts w:ascii="Times New Roman" w:eastAsia="Times New Roman" w:hAnsi="Times New Roman" w:cs="Times New Roman"/>
                <w:bCs/>
                <w:iCs/>
                <w:color w:val="000000"/>
                <w:sz w:val="24"/>
                <w:szCs w:val="24"/>
                <w:lang w:val="en-US" w:eastAsia="en-US" w:bidi="ar-SA"/>
              </w:rPr>
              <w:t>-</w:t>
            </w:r>
            <w:r w:rsidRPr="00190BA4">
              <w:rPr>
                <w:rFonts w:ascii="Times New Roman" w:eastAsia="Times New Roman" w:hAnsi="Times New Roman" w:cs="Times New Roman"/>
                <w:bCs/>
                <w:iCs/>
                <w:color w:val="000000"/>
                <w:sz w:val="24"/>
                <w:szCs w:val="24"/>
                <w:lang w:val="en-US" w:eastAsia="en-US" w:bidi="ar-SA"/>
              </w:rPr>
              <w:t>1020</w:t>
            </w:r>
          </w:p>
          <w:p w:rsidR="001A05D0" w:rsidRPr="00190BA4" w:rsidP="001A05D0" w14:paraId="6A93FBED" w14:textId="77777777">
            <w:pPr>
              <w:spacing w:after="0" w:line="240" w:lineRule="auto"/>
              <w:rPr>
                <w:rFonts w:ascii="Times New Roman" w:eastAsia="Times New Roman" w:hAnsi="Times New Roman" w:cs="Times New Roman"/>
                <w:bCs/>
                <w:iCs/>
                <w:color w:val="000000"/>
                <w:sz w:val="24"/>
                <w:szCs w:val="24"/>
                <w:lang w:val="en-US" w:eastAsia="en-US" w:bidi="ar-SA"/>
              </w:rPr>
            </w:pPr>
            <w:hyperlink r:id="rId9" w:history="1">
              <w:r w:rsidRPr="00190BA4" w:rsidR="00DA1F10">
                <w:rPr>
                  <w:rFonts w:ascii="Times New Roman" w:eastAsia="Times New Roman" w:hAnsi="Times New Roman" w:cs="Times New Roman"/>
                  <w:bCs/>
                  <w:iCs/>
                  <w:color w:val="0000FF"/>
                  <w:sz w:val="24"/>
                  <w:szCs w:val="24"/>
                  <w:u w:val="single"/>
                  <w:lang w:val="en-US" w:eastAsia="en-US" w:bidi="ar-SA"/>
                </w:rPr>
                <w:t>leslie.kovacik@toledo.oh.gov</w:t>
              </w:r>
            </w:hyperlink>
          </w:p>
          <w:p w:rsidR="001A05D0" w:rsidRPr="00190BA4" w:rsidP="001A05D0" w14:paraId="6B4BF195" w14:textId="00307343">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(willing to accept service by e-mail)</w:t>
            </w:r>
          </w:p>
          <w:p w:rsidR="0037711F" w:rsidRPr="00190BA4" w:rsidP="001A05D0" w14:paraId="0BBF740F" w14:textId="77777777">
            <w:pPr>
              <w:spacing w:after="0" w:line="240" w:lineRule="auto"/>
              <w:rPr>
                <w:rFonts w:ascii="Times New Roman" w:eastAsia="Times New Roman" w:hAnsi="Times New Roman" w:cs="Times New Roman"/>
                <w:bCs/>
                <w:iCs/>
                <w:color w:val="000000"/>
                <w:sz w:val="24"/>
                <w:szCs w:val="24"/>
                <w:lang w:val="en-US" w:eastAsia="en-US" w:bidi="ar-SA"/>
              </w:rPr>
            </w:pPr>
          </w:p>
          <w:p w:rsidR="0037711F" w:rsidRPr="00190BA4" w:rsidP="001A05D0" w14:paraId="221FDF21"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Gareth A. Whaley (0102156) </w:t>
            </w:r>
          </w:p>
          <w:p w:rsidR="0037711F" w:rsidRPr="00190BA4" w:rsidP="001A05D0" w14:paraId="465D847C"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Isaac Wiles &amp; Burkholder LLC </w:t>
            </w:r>
          </w:p>
          <w:p w:rsidR="0037711F" w:rsidRPr="00190BA4" w:rsidP="001A05D0" w14:paraId="6464406E"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2 Miranova Pl., Ste. 700 </w:t>
            </w:r>
          </w:p>
          <w:p w:rsidR="0037711F" w:rsidRPr="00190BA4" w:rsidP="001A05D0" w14:paraId="686A087C"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Columbus, OH 43215 </w:t>
            </w:r>
          </w:p>
          <w:p w:rsidR="0037711F" w:rsidRPr="00190BA4" w:rsidP="001A05D0" w14:paraId="5C4106AF" w14:textId="646A8C71">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T: (614) 220-5155 | F: (614) 365-9516 </w:t>
            </w:r>
            <w:hyperlink r:id="rId10" w:history="1">
              <w:r w:rsidRPr="00190BA4">
                <w:rPr>
                  <w:rStyle w:val="Hyperlink"/>
                  <w:rFonts w:ascii="Times New Roman" w:eastAsia="Times New Roman" w:hAnsi="Times New Roman" w:cs="Times New Roman"/>
                  <w:bCs/>
                  <w:iCs/>
                  <w:color w:val="0000FF" w:themeColor="hyperlink"/>
                  <w:sz w:val="24"/>
                  <w:szCs w:val="24"/>
                  <w:u w:val="single"/>
                  <w:lang w:val="en-US" w:eastAsia="en-US" w:bidi="ar-SA"/>
                </w:rPr>
                <w:t>gwhaley@isaacwiles.com</w:t>
              </w:r>
            </w:hyperlink>
          </w:p>
          <w:p w:rsidR="0037711F" w:rsidRPr="00190BA4" w:rsidP="001A05D0" w14:paraId="47C4F9A5" w14:textId="669ABAC4">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(willing to accept service by e-mail)</w:t>
            </w:r>
          </w:p>
          <w:p w:rsidR="003400D5" w:rsidRPr="00190BA4" w:rsidP="002F1603" w14:paraId="451CD162" w14:textId="77777777">
            <w:pPr>
              <w:widowControl w:val="0"/>
              <w:tabs>
                <w:tab w:val="left" w:pos="2776"/>
              </w:tabs>
              <w:autoSpaceDE w:val="0"/>
              <w:autoSpaceDN w:val="0"/>
              <w:spacing w:after="0" w:line="240" w:lineRule="auto"/>
              <w:ind w:right="-21"/>
              <w:rPr>
                <w:rFonts w:ascii="Times New Roman" w:eastAsia="Times New Roman" w:hAnsi="Times New Roman" w:cs="Times New Roman"/>
                <w:sz w:val="24"/>
                <w:szCs w:val="24"/>
                <w:lang w:val="en-US" w:eastAsia="en-US" w:bidi="ar-SA"/>
              </w:rPr>
            </w:pPr>
          </w:p>
          <w:p w:rsidR="003400D5" w:rsidRPr="00190BA4" w:rsidP="002F1603" w14:paraId="7D997264" w14:textId="77777777">
            <w:pPr>
              <w:widowControl w:val="0"/>
              <w:tabs>
                <w:tab w:val="left" w:pos="2776"/>
              </w:tabs>
              <w:autoSpaceDE w:val="0"/>
              <w:autoSpaceDN w:val="0"/>
              <w:spacing w:after="0" w:line="240" w:lineRule="auto"/>
              <w:ind w:right="-21"/>
              <w:rPr>
                <w:rFonts w:ascii="Times New Roman" w:eastAsia="Times New Roman" w:hAnsi="Times New Roman" w:cs="Times New Roman"/>
                <w:i/>
                <w:sz w:val="24"/>
                <w:szCs w:val="24"/>
                <w:lang w:val="en-US" w:eastAsia="en-US" w:bidi="ar-SA"/>
              </w:rPr>
            </w:pPr>
            <w:r w:rsidRPr="00190BA4">
              <w:rPr>
                <w:rFonts w:ascii="Times New Roman" w:eastAsia="Times New Roman" w:hAnsi="Times New Roman" w:cs="Times New Roman"/>
                <w:i/>
                <w:sz w:val="24"/>
                <w:szCs w:val="24"/>
                <w:lang w:val="en-US" w:eastAsia="en-US" w:bidi="ar-SA"/>
              </w:rPr>
              <w:t>Counsel for The Northwest Ohio Aggregation Coalition</w:t>
            </w:r>
          </w:p>
          <w:p w:rsidR="003400D5" w:rsidRPr="00190BA4" w:rsidP="002F1603" w14:paraId="02C665B6" w14:textId="77777777">
            <w:pPr>
              <w:widowControl w:val="0"/>
              <w:tabs>
                <w:tab w:val="left" w:pos="2776"/>
              </w:tabs>
              <w:autoSpaceDE w:val="0"/>
              <w:autoSpaceDN w:val="0"/>
              <w:spacing w:after="0" w:line="240" w:lineRule="auto"/>
              <w:ind w:right="-21"/>
              <w:rPr>
                <w:rFonts w:ascii="Times New Roman" w:eastAsia="Times New Roman" w:hAnsi="Times New Roman" w:cs="Times New Roman"/>
                <w:i/>
                <w:sz w:val="24"/>
                <w:szCs w:val="24"/>
                <w:lang w:val="en-US" w:eastAsia="en-US" w:bidi="ar-SA"/>
              </w:rPr>
            </w:pPr>
          </w:p>
          <w:p w:rsidR="003400D5" w:rsidRPr="00190BA4" w:rsidP="002F1603" w14:paraId="62553241" w14:textId="0E26AA64">
            <w:pPr>
              <w:widowControl w:val="0"/>
              <w:tabs>
                <w:tab w:val="left" w:pos="2776"/>
              </w:tabs>
              <w:autoSpaceDE w:val="0"/>
              <w:autoSpaceDN w:val="0"/>
              <w:spacing w:after="0" w:line="240" w:lineRule="auto"/>
              <w:ind w:right="-21"/>
              <w:rPr>
                <w:rFonts w:ascii="Times New Roman" w:eastAsia="Times New Roman" w:hAnsi="Times New Roman" w:cs="Times New Roman"/>
                <w:sz w:val="24"/>
                <w:szCs w:val="24"/>
                <w:lang w:val="en-US" w:eastAsia="en-US" w:bidi="ar-SA"/>
              </w:rPr>
            </w:pPr>
          </w:p>
        </w:tc>
      </w:tr>
    </w:tbl>
    <w:p w:rsidR="001E6869" w:rsidRPr="00190BA4" w:rsidP="00BB63CA" w14:paraId="6AB75BF4" w14:textId="77777777">
      <w:pPr>
        <w:tabs>
          <w:tab w:val="left" w:pos="6060"/>
        </w:tabs>
        <w:spacing w:after="0" w:line="240" w:lineRule="auto"/>
        <w:rPr>
          <w:rFonts w:cs="Times New Roman"/>
          <w:b/>
          <w:szCs w:val="24"/>
        </w:rPr>
      </w:pPr>
    </w:p>
    <w:p w:rsidR="00552DAE" w:rsidRPr="00190BA4" w:rsidP="00C75744" w14:paraId="1715E83F" w14:textId="77777777">
      <w:pPr>
        <w:tabs>
          <w:tab w:val="left" w:pos="6060"/>
        </w:tabs>
        <w:spacing w:after="0" w:line="240" w:lineRule="auto"/>
        <w:jc w:val="center"/>
        <w:rPr>
          <w:rFonts w:cs="Times New Roman"/>
          <w:b/>
          <w:szCs w:val="24"/>
        </w:rPr>
      </w:pPr>
    </w:p>
    <w:p w:rsidR="00552DAE" w:rsidRPr="00190BA4" w:rsidP="00C75744" w14:paraId="21B6896A" w14:textId="77777777">
      <w:pPr>
        <w:tabs>
          <w:tab w:val="left" w:pos="6060"/>
        </w:tabs>
        <w:spacing w:after="0" w:line="240" w:lineRule="auto"/>
        <w:jc w:val="center"/>
        <w:rPr>
          <w:rFonts w:cs="Times New Roman"/>
          <w:b/>
          <w:szCs w:val="24"/>
        </w:rPr>
      </w:pPr>
    </w:p>
    <w:p w:rsidR="00C31020" w:rsidRPr="00190BA4" w:rsidP="001A702E" w14:paraId="392CC6F0" w14:textId="77777777">
      <w:pPr>
        <w:tabs>
          <w:tab w:val="left" w:pos="6060"/>
        </w:tabs>
        <w:spacing w:after="0" w:line="276" w:lineRule="auto"/>
        <w:jc w:val="center"/>
        <w:rPr>
          <w:rFonts w:cs="Times New Roman"/>
          <w:b/>
          <w:szCs w:val="24"/>
        </w:rPr>
        <w:sectPr w:rsidSect="00A2668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fmt="lowerRoman" w:start="1"/>
          <w:cols w:space="720"/>
          <w:docGrid w:linePitch="360"/>
        </w:sectPr>
      </w:pPr>
    </w:p>
    <w:p w:rsidR="00020540" w:rsidRPr="00190BA4" w:rsidP="00020540" w14:paraId="660C8104" w14:textId="77777777">
      <w:pPr>
        <w:spacing w:after="0"/>
        <w:jc w:val="center"/>
        <w:rPr>
          <w:rFonts w:cs="Times New Roman"/>
          <w:b/>
          <w:bCs/>
          <w:szCs w:val="24"/>
          <w:u w:val="single"/>
        </w:rPr>
      </w:pPr>
      <w:r w:rsidRPr="00190BA4">
        <w:rPr>
          <w:rFonts w:cs="Times New Roman"/>
          <w:b/>
          <w:bCs/>
          <w:szCs w:val="24"/>
          <w:u w:val="single"/>
        </w:rPr>
        <w:t>TABLE OF CONTENTS</w:t>
      </w:r>
    </w:p>
    <w:p w:rsidR="001E6869" w:rsidRPr="00190BA4" w:rsidP="007C5499" w14:paraId="2C6A6C98" w14:textId="0E72D2C5">
      <w:pPr>
        <w:spacing w:after="0"/>
        <w:jc w:val="right"/>
        <w:rPr>
          <w:rFonts w:cs="Times New Roman"/>
          <w:b/>
          <w:bCs/>
          <w:szCs w:val="24"/>
        </w:rPr>
      </w:pPr>
      <w:r w:rsidRPr="00190BA4">
        <w:rPr>
          <w:rFonts w:cs="Times New Roman"/>
          <w:b/>
          <w:bCs/>
          <w:szCs w:val="24"/>
        </w:rPr>
        <w:t>PAGE</w:t>
      </w:r>
    </w:p>
    <w:p w:rsidR="001779BC" w14:paraId="3C88831E" w14:textId="339117DC">
      <w:pPr>
        <w:pStyle w:val="TOC1"/>
        <w:rPr>
          <w:rFonts w:asciiTheme="minorHAnsi" w:hAnsiTheme="minorHAnsi" w:cstheme="minorBidi"/>
          <w:noProof/>
          <w:kern w:val="2"/>
          <w:szCs w:val="24"/>
          <w14:ligatures w14:val="standardContextual"/>
        </w:rPr>
      </w:pPr>
      <w:r w:rsidRPr="00190BA4">
        <w:rPr>
          <w:b/>
          <w:bCs/>
          <w:szCs w:val="24"/>
        </w:rPr>
        <w:fldChar w:fldCharType="begin"/>
      </w:r>
      <w:r w:rsidRPr="00190BA4">
        <w:rPr>
          <w:b/>
          <w:bCs/>
          <w:szCs w:val="24"/>
        </w:rPr>
        <w:instrText xml:space="preserve"> TOC \o "1-4" \h \z \u </w:instrText>
      </w:r>
      <w:r w:rsidRPr="00190BA4">
        <w:rPr>
          <w:b/>
          <w:bCs/>
          <w:szCs w:val="24"/>
        </w:rPr>
        <w:fldChar w:fldCharType="separate"/>
      </w:r>
      <w:hyperlink w:anchor="_Toc173315537" w:history="1">
        <w:r w:rsidRPr="000C6E28">
          <w:rPr>
            <w:rStyle w:val="Hyperlink"/>
            <w:noProof/>
          </w:rPr>
          <w:t>I.</w:t>
        </w:r>
        <w:r>
          <w:rPr>
            <w:rFonts w:asciiTheme="minorHAnsi" w:hAnsiTheme="minorHAnsi" w:cstheme="minorBidi"/>
            <w:noProof/>
            <w:kern w:val="2"/>
            <w:szCs w:val="24"/>
            <w14:ligatures w14:val="standardContextual"/>
          </w:rPr>
          <w:tab/>
        </w:r>
        <w:r w:rsidRPr="000C6E28">
          <w:rPr>
            <w:rStyle w:val="Hyperlink"/>
            <w:noProof/>
          </w:rPr>
          <w:t>INTRODUCTION</w:t>
        </w:r>
        <w:r>
          <w:rPr>
            <w:noProof/>
            <w:webHidden/>
          </w:rPr>
          <w:tab/>
        </w:r>
        <w:r>
          <w:rPr>
            <w:noProof/>
            <w:webHidden/>
          </w:rPr>
          <w:fldChar w:fldCharType="begin"/>
        </w:r>
        <w:r>
          <w:rPr>
            <w:noProof/>
            <w:webHidden/>
          </w:rPr>
          <w:instrText xml:space="preserve"> PAGEREF _Toc173315537 \h </w:instrText>
        </w:r>
        <w:r>
          <w:rPr>
            <w:noProof/>
            <w:webHidden/>
          </w:rPr>
          <w:fldChar w:fldCharType="separate"/>
        </w:r>
        <w:r>
          <w:rPr>
            <w:noProof/>
            <w:webHidden/>
          </w:rPr>
          <w:t>1</w:t>
        </w:r>
        <w:r>
          <w:rPr>
            <w:noProof/>
            <w:webHidden/>
          </w:rPr>
          <w:fldChar w:fldCharType="end"/>
        </w:r>
      </w:hyperlink>
    </w:p>
    <w:p w:rsidR="001779BC" w14:paraId="5C1AF069" w14:textId="3EF26338">
      <w:pPr>
        <w:pStyle w:val="TOC1"/>
        <w:rPr>
          <w:rFonts w:asciiTheme="minorHAnsi" w:hAnsiTheme="minorHAnsi" w:cstheme="minorBidi"/>
          <w:noProof/>
          <w:kern w:val="2"/>
          <w:szCs w:val="24"/>
          <w14:ligatures w14:val="standardContextual"/>
        </w:rPr>
      </w:pPr>
      <w:hyperlink w:anchor="_Toc173315538" w:history="1">
        <w:r w:rsidRPr="000C6E28">
          <w:rPr>
            <w:rStyle w:val="Hyperlink"/>
            <w:noProof/>
          </w:rPr>
          <w:t>II.</w:t>
        </w:r>
        <w:r>
          <w:rPr>
            <w:rFonts w:asciiTheme="minorHAnsi" w:hAnsiTheme="minorHAnsi" w:cstheme="minorBidi"/>
            <w:noProof/>
            <w:kern w:val="2"/>
            <w:szCs w:val="24"/>
            <w14:ligatures w14:val="standardContextual"/>
          </w:rPr>
          <w:tab/>
        </w:r>
        <w:r w:rsidRPr="000C6E28">
          <w:rPr>
            <w:rStyle w:val="Hyperlink"/>
            <w:noProof/>
          </w:rPr>
          <w:t>BACKGROUND</w:t>
        </w:r>
        <w:r>
          <w:rPr>
            <w:noProof/>
            <w:webHidden/>
          </w:rPr>
          <w:tab/>
        </w:r>
        <w:r>
          <w:rPr>
            <w:noProof/>
            <w:webHidden/>
          </w:rPr>
          <w:fldChar w:fldCharType="begin"/>
        </w:r>
        <w:r>
          <w:rPr>
            <w:noProof/>
            <w:webHidden/>
          </w:rPr>
          <w:instrText xml:space="preserve"> PAGEREF _Toc173315538 \h </w:instrText>
        </w:r>
        <w:r>
          <w:rPr>
            <w:noProof/>
            <w:webHidden/>
          </w:rPr>
          <w:fldChar w:fldCharType="separate"/>
        </w:r>
        <w:r>
          <w:rPr>
            <w:noProof/>
            <w:webHidden/>
          </w:rPr>
          <w:t>4</w:t>
        </w:r>
        <w:r>
          <w:rPr>
            <w:noProof/>
            <w:webHidden/>
          </w:rPr>
          <w:fldChar w:fldCharType="end"/>
        </w:r>
      </w:hyperlink>
    </w:p>
    <w:p w:rsidR="001779BC" w14:paraId="1085D62C" w14:textId="4158E010">
      <w:pPr>
        <w:pStyle w:val="TOC2"/>
        <w:tabs>
          <w:tab w:val="left" w:pos="1440"/>
        </w:tabs>
        <w:rPr>
          <w:rFonts w:asciiTheme="minorHAnsi" w:hAnsiTheme="minorHAnsi" w:cstheme="minorBidi"/>
          <w:noProof/>
          <w:kern w:val="2"/>
          <w:szCs w:val="24"/>
          <w14:ligatures w14:val="standardContextual"/>
        </w:rPr>
      </w:pPr>
      <w:hyperlink w:anchor="_Toc173315539" w:history="1">
        <w:r w:rsidRPr="000C6E28">
          <w:rPr>
            <w:rStyle w:val="Hyperlink"/>
            <w:noProof/>
          </w:rPr>
          <w:t>A.</w:t>
        </w:r>
        <w:r>
          <w:rPr>
            <w:rFonts w:asciiTheme="minorHAnsi" w:hAnsiTheme="minorHAnsi" w:cstheme="minorBidi"/>
            <w:noProof/>
            <w:kern w:val="2"/>
            <w:szCs w:val="24"/>
            <w14:ligatures w14:val="standardContextual"/>
          </w:rPr>
          <w:tab/>
        </w:r>
        <w:r w:rsidRPr="000C6E28">
          <w:rPr>
            <w:rStyle w:val="Hyperlink"/>
            <w:noProof/>
          </w:rPr>
          <w:t>Beginnings of FirstEnergy’s Grid Modernization</w:t>
        </w:r>
        <w:r>
          <w:rPr>
            <w:noProof/>
            <w:webHidden/>
          </w:rPr>
          <w:tab/>
        </w:r>
        <w:r>
          <w:rPr>
            <w:noProof/>
            <w:webHidden/>
          </w:rPr>
          <w:fldChar w:fldCharType="begin"/>
        </w:r>
        <w:r>
          <w:rPr>
            <w:noProof/>
            <w:webHidden/>
          </w:rPr>
          <w:instrText xml:space="preserve"> PAGEREF _Toc173315539 \h </w:instrText>
        </w:r>
        <w:r>
          <w:rPr>
            <w:noProof/>
            <w:webHidden/>
          </w:rPr>
          <w:fldChar w:fldCharType="separate"/>
        </w:r>
        <w:r>
          <w:rPr>
            <w:noProof/>
            <w:webHidden/>
          </w:rPr>
          <w:t>4</w:t>
        </w:r>
        <w:r>
          <w:rPr>
            <w:noProof/>
            <w:webHidden/>
          </w:rPr>
          <w:fldChar w:fldCharType="end"/>
        </w:r>
      </w:hyperlink>
    </w:p>
    <w:p w:rsidR="001779BC" w14:paraId="79760A48" w14:textId="755853C8">
      <w:pPr>
        <w:pStyle w:val="TOC2"/>
        <w:tabs>
          <w:tab w:val="left" w:pos="1440"/>
        </w:tabs>
        <w:rPr>
          <w:rFonts w:asciiTheme="minorHAnsi" w:hAnsiTheme="minorHAnsi" w:cstheme="minorBidi"/>
          <w:noProof/>
          <w:kern w:val="2"/>
          <w:szCs w:val="24"/>
          <w14:ligatures w14:val="standardContextual"/>
        </w:rPr>
      </w:pPr>
      <w:hyperlink w:anchor="_Toc173315540" w:history="1">
        <w:r w:rsidRPr="000C6E28">
          <w:rPr>
            <w:rStyle w:val="Hyperlink"/>
            <w:noProof/>
          </w:rPr>
          <w:t>B.</w:t>
        </w:r>
        <w:r>
          <w:rPr>
            <w:rFonts w:asciiTheme="minorHAnsi" w:hAnsiTheme="minorHAnsi" w:cstheme="minorBidi"/>
            <w:noProof/>
            <w:kern w:val="2"/>
            <w:szCs w:val="24"/>
            <w14:ligatures w14:val="standardContextual"/>
          </w:rPr>
          <w:tab/>
        </w:r>
        <w:r w:rsidRPr="000C6E28">
          <w:rPr>
            <w:rStyle w:val="Hyperlink"/>
            <w:noProof/>
          </w:rPr>
          <w:t>FirstEnergy Grid Modernization Plan</w:t>
        </w:r>
        <w:r>
          <w:rPr>
            <w:noProof/>
            <w:webHidden/>
          </w:rPr>
          <w:tab/>
        </w:r>
        <w:r>
          <w:rPr>
            <w:noProof/>
            <w:webHidden/>
          </w:rPr>
          <w:fldChar w:fldCharType="begin"/>
        </w:r>
        <w:r>
          <w:rPr>
            <w:noProof/>
            <w:webHidden/>
          </w:rPr>
          <w:instrText xml:space="preserve"> PAGEREF _Toc173315540 \h </w:instrText>
        </w:r>
        <w:r>
          <w:rPr>
            <w:noProof/>
            <w:webHidden/>
          </w:rPr>
          <w:fldChar w:fldCharType="separate"/>
        </w:r>
        <w:r>
          <w:rPr>
            <w:noProof/>
            <w:webHidden/>
          </w:rPr>
          <w:t>5</w:t>
        </w:r>
        <w:r>
          <w:rPr>
            <w:noProof/>
            <w:webHidden/>
          </w:rPr>
          <w:fldChar w:fldCharType="end"/>
        </w:r>
      </w:hyperlink>
    </w:p>
    <w:p w:rsidR="001779BC" w14:paraId="4075641E" w14:textId="0F1DF86B">
      <w:pPr>
        <w:pStyle w:val="TOC2"/>
        <w:tabs>
          <w:tab w:val="left" w:pos="1440"/>
        </w:tabs>
        <w:rPr>
          <w:rFonts w:asciiTheme="minorHAnsi" w:hAnsiTheme="minorHAnsi" w:cstheme="minorBidi"/>
          <w:noProof/>
          <w:kern w:val="2"/>
          <w:szCs w:val="24"/>
          <w14:ligatures w14:val="standardContextual"/>
        </w:rPr>
      </w:pPr>
      <w:hyperlink w:anchor="_Toc173315541" w:history="1">
        <w:r w:rsidRPr="000C6E28">
          <w:rPr>
            <w:rStyle w:val="Hyperlink"/>
            <w:noProof/>
          </w:rPr>
          <w:t>C.</w:t>
        </w:r>
        <w:r>
          <w:rPr>
            <w:rFonts w:asciiTheme="minorHAnsi" w:hAnsiTheme="minorHAnsi" w:cstheme="minorBidi"/>
            <w:noProof/>
            <w:kern w:val="2"/>
            <w:szCs w:val="24"/>
            <w14:ligatures w14:val="standardContextual"/>
          </w:rPr>
          <w:tab/>
        </w:r>
        <w:r w:rsidRPr="000C6E28">
          <w:rPr>
            <w:rStyle w:val="Hyperlink"/>
            <w:noProof/>
          </w:rPr>
          <w:t>The Settlement</w:t>
        </w:r>
        <w:r>
          <w:rPr>
            <w:noProof/>
            <w:webHidden/>
          </w:rPr>
          <w:tab/>
        </w:r>
        <w:r>
          <w:rPr>
            <w:noProof/>
            <w:webHidden/>
          </w:rPr>
          <w:fldChar w:fldCharType="begin"/>
        </w:r>
        <w:r>
          <w:rPr>
            <w:noProof/>
            <w:webHidden/>
          </w:rPr>
          <w:instrText xml:space="preserve"> PAGEREF _Toc173315541 \h </w:instrText>
        </w:r>
        <w:r>
          <w:rPr>
            <w:noProof/>
            <w:webHidden/>
          </w:rPr>
          <w:fldChar w:fldCharType="separate"/>
        </w:r>
        <w:r>
          <w:rPr>
            <w:noProof/>
            <w:webHidden/>
          </w:rPr>
          <w:t>6</w:t>
        </w:r>
        <w:r>
          <w:rPr>
            <w:noProof/>
            <w:webHidden/>
          </w:rPr>
          <w:fldChar w:fldCharType="end"/>
        </w:r>
      </w:hyperlink>
    </w:p>
    <w:p w:rsidR="001779BC" w14:paraId="728EA564" w14:textId="44BD726A">
      <w:pPr>
        <w:pStyle w:val="TOC1"/>
        <w:rPr>
          <w:rFonts w:asciiTheme="minorHAnsi" w:hAnsiTheme="minorHAnsi" w:cstheme="minorBidi"/>
          <w:noProof/>
          <w:kern w:val="2"/>
          <w:szCs w:val="24"/>
          <w14:ligatures w14:val="standardContextual"/>
        </w:rPr>
      </w:pPr>
      <w:hyperlink w:anchor="_Toc173315542" w:history="1">
        <w:r w:rsidRPr="000C6E28">
          <w:rPr>
            <w:rStyle w:val="Hyperlink"/>
            <w:noProof/>
          </w:rPr>
          <w:t>III.</w:t>
        </w:r>
        <w:r>
          <w:rPr>
            <w:rFonts w:asciiTheme="minorHAnsi" w:hAnsiTheme="minorHAnsi" w:cstheme="minorBidi"/>
            <w:noProof/>
            <w:kern w:val="2"/>
            <w:szCs w:val="24"/>
            <w14:ligatures w14:val="standardContextual"/>
          </w:rPr>
          <w:tab/>
        </w:r>
        <w:r w:rsidRPr="000C6E28">
          <w:rPr>
            <w:rStyle w:val="Hyperlink"/>
            <w:noProof/>
          </w:rPr>
          <w:t>ARGUMENT</w:t>
        </w:r>
        <w:r>
          <w:rPr>
            <w:noProof/>
            <w:webHidden/>
          </w:rPr>
          <w:tab/>
        </w:r>
        <w:r>
          <w:rPr>
            <w:noProof/>
            <w:webHidden/>
          </w:rPr>
          <w:fldChar w:fldCharType="begin"/>
        </w:r>
        <w:r>
          <w:rPr>
            <w:noProof/>
            <w:webHidden/>
          </w:rPr>
          <w:instrText xml:space="preserve"> PAGEREF _Toc173315542 \h </w:instrText>
        </w:r>
        <w:r>
          <w:rPr>
            <w:noProof/>
            <w:webHidden/>
          </w:rPr>
          <w:fldChar w:fldCharType="separate"/>
        </w:r>
        <w:r>
          <w:rPr>
            <w:noProof/>
            <w:webHidden/>
          </w:rPr>
          <w:t>8</w:t>
        </w:r>
        <w:r>
          <w:rPr>
            <w:noProof/>
            <w:webHidden/>
          </w:rPr>
          <w:fldChar w:fldCharType="end"/>
        </w:r>
      </w:hyperlink>
    </w:p>
    <w:p w:rsidR="001779BC" w14:paraId="656BED01" w14:textId="5AEEC9FC">
      <w:pPr>
        <w:pStyle w:val="TOC2"/>
        <w:tabs>
          <w:tab w:val="left" w:pos="1440"/>
        </w:tabs>
        <w:rPr>
          <w:rFonts w:asciiTheme="minorHAnsi" w:hAnsiTheme="minorHAnsi" w:cstheme="minorBidi"/>
          <w:noProof/>
          <w:kern w:val="2"/>
          <w:szCs w:val="24"/>
          <w14:ligatures w14:val="standardContextual"/>
        </w:rPr>
      </w:pPr>
      <w:hyperlink w:anchor="_Toc173315543" w:history="1">
        <w:r w:rsidRPr="000C6E28">
          <w:rPr>
            <w:rStyle w:val="Hyperlink"/>
            <w:noProof/>
          </w:rPr>
          <w:t>A.</w:t>
        </w:r>
        <w:r>
          <w:rPr>
            <w:rFonts w:asciiTheme="minorHAnsi" w:hAnsiTheme="minorHAnsi" w:cstheme="minorBidi"/>
            <w:noProof/>
            <w:kern w:val="2"/>
            <w:szCs w:val="24"/>
            <w14:ligatures w14:val="standardContextual"/>
          </w:rPr>
          <w:tab/>
        </w:r>
        <w:r w:rsidRPr="000C6E28">
          <w:rPr>
            <w:rStyle w:val="Hyperlink"/>
            <w:noProof/>
          </w:rPr>
          <w:t>FirstEnergy’s track record on distribution modernization matters is not beneficial to consumers.</w:t>
        </w:r>
        <w:r>
          <w:rPr>
            <w:noProof/>
            <w:webHidden/>
          </w:rPr>
          <w:tab/>
        </w:r>
        <w:r>
          <w:rPr>
            <w:noProof/>
            <w:webHidden/>
          </w:rPr>
          <w:fldChar w:fldCharType="begin"/>
        </w:r>
        <w:r>
          <w:rPr>
            <w:noProof/>
            <w:webHidden/>
          </w:rPr>
          <w:instrText xml:space="preserve"> PAGEREF _Toc173315543 \h </w:instrText>
        </w:r>
        <w:r>
          <w:rPr>
            <w:noProof/>
            <w:webHidden/>
          </w:rPr>
          <w:fldChar w:fldCharType="separate"/>
        </w:r>
        <w:r>
          <w:rPr>
            <w:noProof/>
            <w:webHidden/>
          </w:rPr>
          <w:t>9</w:t>
        </w:r>
        <w:r>
          <w:rPr>
            <w:noProof/>
            <w:webHidden/>
          </w:rPr>
          <w:fldChar w:fldCharType="end"/>
        </w:r>
      </w:hyperlink>
    </w:p>
    <w:p w:rsidR="001779BC" w14:paraId="78702CFB" w14:textId="6D20EBBB">
      <w:pPr>
        <w:pStyle w:val="TOC2"/>
        <w:tabs>
          <w:tab w:val="left" w:pos="1440"/>
        </w:tabs>
        <w:rPr>
          <w:rFonts w:asciiTheme="minorHAnsi" w:hAnsiTheme="minorHAnsi" w:cstheme="minorBidi"/>
          <w:noProof/>
          <w:kern w:val="2"/>
          <w:szCs w:val="24"/>
          <w14:ligatures w14:val="standardContextual"/>
        </w:rPr>
      </w:pPr>
      <w:hyperlink w:anchor="_Toc173315544" w:history="1">
        <w:r w:rsidRPr="000C6E28">
          <w:rPr>
            <w:rStyle w:val="Hyperlink"/>
            <w:noProof/>
          </w:rPr>
          <w:t>B.</w:t>
        </w:r>
        <w:r>
          <w:rPr>
            <w:rFonts w:asciiTheme="minorHAnsi" w:hAnsiTheme="minorHAnsi" w:cstheme="minorBidi"/>
            <w:noProof/>
            <w:kern w:val="2"/>
            <w:szCs w:val="24"/>
            <w14:ligatures w14:val="standardContextual"/>
          </w:rPr>
          <w:tab/>
        </w:r>
        <w:r w:rsidRPr="000C6E28">
          <w:rPr>
            <w:rStyle w:val="Hyperlink"/>
            <w:noProof/>
          </w:rPr>
          <w:t>The Settlement harms consumers because any benefits to consumers are outweighed by the costs.</w:t>
        </w:r>
        <w:r>
          <w:rPr>
            <w:noProof/>
            <w:webHidden/>
          </w:rPr>
          <w:tab/>
        </w:r>
        <w:r>
          <w:rPr>
            <w:noProof/>
            <w:webHidden/>
          </w:rPr>
          <w:fldChar w:fldCharType="begin"/>
        </w:r>
        <w:r>
          <w:rPr>
            <w:noProof/>
            <w:webHidden/>
          </w:rPr>
          <w:instrText xml:space="preserve"> PAGEREF _Toc173315544 \h </w:instrText>
        </w:r>
        <w:r>
          <w:rPr>
            <w:noProof/>
            <w:webHidden/>
          </w:rPr>
          <w:fldChar w:fldCharType="separate"/>
        </w:r>
        <w:r>
          <w:rPr>
            <w:noProof/>
            <w:webHidden/>
          </w:rPr>
          <w:t>10</w:t>
        </w:r>
        <w:r>
          <w:rPr>
            <w:noProof/>
            <w:webHidden/>
          </w:rPr>
          <w:fldChar w:fldCharType="end"/>
        </w:r>
      </w:hyperlink>
    </w:p>
    <w:p w:rsidR="001779BC" w14:paraId="027A8F6D" w14:textId="017ACFED">
      <w:pPr>
        <w:pStyle w:val="TOC3"/>
        <w:tabs>
          <w:tab w:val="left" w:pos="2160"/>
        </w:tabs>
        <w:rPr>
          <w:rFonts w:asciiTheme="minorHAnsi" w:hAnsiTheme="minorHAnsi" w:cstheme="minorBidi"/>
          <w:noProof/>
          <w:kern w:val="2"/>
          <w:szCs w:val="24"/>
          <w14:ligatures w14:val="standardContextual"/>
        </w:rPr>
      </w:pPr>
      <w:hyperlink w:anchor="_Toc173315545" w:history="1">
        <w:r w:rsidRPr="000C6E28">
          <w:rPr>
            <w:rStyle w:val="Hyperlink"/>
            <w:noProof/>
          </w:rPr>
          <w:t>1.</w:t>
        </w:r>
        <w:r>
          <w:rPr>
            <w:rFonts w:asciiTheme="minorHAnsi" w:hAnsiTheme="minorHAnsi" w:cstheme="minorBidi"/>
            <w:noProof/>
            <w:kern w:val="2"/>
            <w:szCs w:val="24"/>
            <w14:ligatures w14:val="standardContextual"/>
          </w:rPr>
          <w:tab/>
        </w:r>
        <w:r w:rsidRPr="000C6E28">
          <w:rPr>
            <w:rStyle w:val="Hyperlink"/>
            <w:noProof/>
          </w:rPr>
          <w:t>FirstEnergy’s AMI BCA underestimates consumers’ costs.</w:t>
        </w:r>
        <w:r>
          <w:rPr>
            <w:noProof/>
            <w:webHidden/>
          </w:rPr>
          <w:tab/>
        </w:r>
        <w:r>
          <w:rPr>
            <w:noProof/>
            <w:webHidden/>
          </w:rPr>
          <w:fldChar w:fldCharType="begin"/>
        </w:r>
        <w:r>
          <w:rPr>
            <w:noProof/>
            <w:webHidden/>
          </w:rPr>
          <w:instrText xml:space="preserve"> PAGEREF _Toc173315545 \h </w:instrText>
        </w:r>
        <w:r>
          <w:rPr>
            <w:noProof/>
            <w:webHidden/>
          </w:rPr>
          <w:fldChar w:fldCharType="separate"/>
        </w:r>
        <w:r>
          <w:rPr>
            <w:noProof/>
            <w:webHidden/>
          </w:rPr>
          <w:t>11</w:t>
        </w:r>
        <w:r>
          <w:rPr>
            <w:noProof/>
            <w:webHidden/>
          </w:rPr>
          <w:fldChar w:fldCharType="end"/>
        </w:r>
      </w:hyperlink>
    </w:p>
    <w:p w:rsidR="001779BC" w14:paraId="32DCEDFD" w14:textId="5D271998">
      <w:pPr>
        <w:pStyle w:val="TOC4"/>
        <w:tabs>
          <w:tab w:val="left" w:pos="2880"/>
        </w:tabs>
        <w:rPr>
          <w:rFonts w:asciiTheme="minorHAnsi" w:eastAsiaTheme="minorEastAsia" w:hAnsiTheme="minorHAnsi"/>
          <w:noProof/>
          <w:kern w:val="2"/>
          <w:szCs w:val="24"/>
          <w14:ligatures w14:val="standardContextual"/>
        </w:rPr>
      </w:pPr>
      <w:hyperlink w:anchor="_Toc173315546" w:history="1">
        <w:r w:rsidRPr="000C6E28">
          <w:rPr>
            <w:rStyle w:val="Hyperlink"/>
            <w:noProof/>
          </w:rPr>
          <w:t>a.</w:t>
        </w:r>
        <w:r>
          <w:rPr>
            <w:rFonts w:asciiTheme="minorHAnsi" w:eastAsiaTheme="minorEastAsia" w:hAnsiTheme="minorHAnsi"/>
            <w:noProof/>
            <w:kern w:val="2"/>
            <w:szCs w:val="24"/>
            <w14:ligatures w14:val="standardContextual"/>
          </w:rPr>
          <w:tab/>
        </w:r>
        <w:r w:rsidRPr="000C6E28">
          <w:rPr>
            <w:rStyle w:val="Hyperlink"/>
            <w:noProof/>
          </w:rPr>
          <w:t>FirstEnergy’s present value cost estimate calculates the present value of the capital FirstEnergy spends, not the present value of the revenue requirements consumers must pay, to consumers’ detriment.</w:t>
        </w:r>
        <w:r>
          <w:rPr>
            <w:noProof/>
            <w:webHidden/>
          </w:rPr>
          <w:tab/>
        </w:r>
        <w:r>
          <w:rPr>
            <w:noProof/>
            <w:webHidden/>
          </w:rPr>
          <w:fldChar w:fldCharType="begin"/>
        </w:r>
        <w:r>
          <w:rPr>
            <w:noProof/>
            <w:webHidden/>
          </w:rPr>
          <w:instrText xml:space="preserve"> PAGEREF _Toc173315546 \h </w:instrText>
        </w:r>
        <w:r>
          <w:rPr>
            <w:noProof/>
            <w:webHidden/>
          </w:rPr>
          <w:fldChar w:fldCharType="separate"/>
        </w:r>
        <w:r>
          <w:rPr>
            <w:noProof/>
            <w:webHidden/>
          </w:rPr>
          <w:t>11</w:t>
        </w:r>
        <w:r>
          <w:rPr>
            <w:noProof/>
            <w:webHidden/>
          </w:rPr>
          <w:fldChar w:fldCharType="end"/>
        </w:r>
      </w:hyperlink>
    </w:p>
    <w:p w:rsidR="001779BC" w14:paraId="60A2CEE3" w14:textId="6DFF4286">
      <w:pPr>
        <w:pStyle w:val="TOC4"/>
        <w:tabs>
          <w:tab w:val="left" w:pos="2880"/>
        </w:tabs>
        <w:rPr>
          <w:rFonts w:asciiTheme="minorHAnsi" w:eastAsiaTheme="minorEastAsia" w:hAnsiTheme="minorHAnsi"/>
          <w:noProof/>
          <w:kern w:val="2"/>
          <w:szCs w:val="24"/>
          <w14:ligatures w14:val="standardContextual"/>
        </w:rPr>
      </w:pPr>
      <w:hyperlink w:anchor="_Toc173315547" w:history="1">
        <w:r w:rsidRPr="000C6E28">
          <w:rPr>
            <w:rStyle w:val="Hyperlink"/>
            <w:noProof/>
          </w:rPr>
          <w:t>b.</w:t>
        </w:r>
        <w:r>
          <w:rPr>
            <w:rFonts w:asciiTheme="minorHAnsi" w:eastAsiaTheme="minorEastAsia" w:hAnsiTheme="minorHAnsi"/>
            <w:noProof/>
            <w:kern w:val="2"/>
            <w:szCs w:val="24"/>
            <w14:ligatures w14:val="standardContextual"/>
          </w:rPr>
          <w:tab/>
        </w:r>
        <w:r w:rsidRPr="000C6E28">
          <w:rPr>
            <w:rStyle w:val="Hyperlink"/>
            <w:noProof/>
          </w:rPr>
          <w:t>FirstEnergy’s BCA ignores the stranded costs of the legacy meters the stipulated AMI deployment would replace, to consumers’ detriment.</w:t>
        </w:r>
        <w:r>
          <w:rPr>
            <w:noProof/>
            <w:webHidden/>
          </w:rPr>
          <w:tab/>
        </w:r>
        <w:r>
          <w:rPr>
            <w:noProof/>
            <w:webHidden/>
          </w:rPr>
          <w:fldChar w:fldCharType="begin"/>
        </w:r>
        <w:r>
          <w:rPr>
            <w:noProof/>
            <w:webHidden/>
          </w:rPr>
          <w:instrText xml:space="preserve"> PAGEREF _Toc173315547 \h </w:instrText>
        </w:r>
        <w:r>
          <w:rPr>
            <w:noProof/>
            <w:webHidden/>
          </w:rPr>
          <w:fldChar w:fldCharType="separate"/>
        </w:r>
        <w:r>
          <w:rPr>
            <w:noProof/>
            <w:webHidden/>
          </w:rPr>
          <w:t>12</w:t>
        </w:r>
        <w:r>
          <w:rPr>
            <w:noProof/>
            <w:webHidden/>
          </w:rPr>
          <w:fldChar w:fldCharType="end"/>
        </w:r>
      </w:hyperlink>
    </w:p>
    <w:p w:rsidR="001779BC" w14:paraId="60E7D259" w14:textId="05C06DB8">
      <w:pPr>
        <w:pStyle w:val="TOC3"/>
        <w:tabs>
          <w:tab w:val="left" w:pos="2160"/>
        </w:tabs>
        <w:rPr>
          <w:rFonts w:asciiTheme="minorHAnsi" w:hAnsiTheme="minorHAnsi" w:cstheme="minorBidi"/>
          <w:noProof/>
          <w:kern w:val="2"/>
          <w:szCs w:val="24"/>
          <w14:ligatures w14:val="standardContextual"/>
        </w:rPr>
      </w:pPr>
      <w:hyperlink w:anchor="_Toc173315548" w:history="1">
        <w:r w:rsidRPr="000C6E28">
          <w:rPr>
            <w:rStyle w:val="Hyperlink"/>
            <w:noProof/>
          </w:rPr>
          <w:t>2.</w:t>
        </w:r>
        <w:r>
          <w:rPr>
            <w:rFonts w:asciiTheme="minorHAnsi" w:hAnsiTheme="minorHAnsi" w:cstheme="minorBidi"/>
            <w:noProof/>
            <w:kern w:val="2"/>
            <w:szCs w:val="24"/>
            <w14:ligatures w14:val="standardContextual"/>
          </w:rPr>
          <w:tab/>
        </w:r>
        <w:r w:rsidRPr="000C6E28">
          <w:rPr>
            <w:rStyle w:val="Hyperlink"/>
            <w:noProof/>
          </w:rPr>
          <w:t>FirstEnergy’s BCA exaggerates benefits to consumers, to consumers’ detriment.</w:t>
        </w:r>
        <w:r>
          <w:rPr>
            <w:noProof/>
            <w:webHidden/>
          </w:rPr>
          <w:tab/>
        </w:r>
        <w:r>
          <w:rPr>
            <w:noProof/>
            <w:webHidden/>
          </w:rPr>
          <w:fldChar w:fldCharType="begin"/>
        </w:r>
        <w:r>
          <w:rPr>
            <w:noProof/>
            <w:webHidden/>
          </w:rPr>
          <w:instrText xml:space="preserve"> PAGEREF _Toc173315548 \h </w:instrText>
        </w:r>
        <w:r>
          <w:rPr>
            <w:noProof/>
            <w:webHidden/>
          </w:rPr>
          <w:fldChar w:fldCharType="separate"/>
        </w:r>
        <w:r>
          <w:rPr>
            <w:noProof/>
            <w:webHidden/>
          </w:rPr>
          <w:t>15</w:t>
        </w:r>
        <w:r>
          <w:rPr>
            <w:noProof/>
            <w:webHidden/>
          </w:rPr>
          <w:fldChar w:fldCharType="end"/>
        </w:r>
      </w:hyperlink>
    </w:p>
    <w:p w:rsidR="001779BC" w14:paraId="387D9226" w14:textId="13297792">
      <w:pPr>
        <w:pStyle w:val="TOC4"/>
        <w:tabs>
          <w:tab w:val="left" w:pos="2880"/>
        </w:tabs>
        <w:rPr>
          <w:rFonts w:asciiTheme="minorHAnsi" w:eastAsiaTheme="minorEastAsia" w:hAnsiTheme="minorHAnsi"/>
          <w:noProof/>
          <w:kern w:val="2"/>
          <w:szCs w:val="24"/>
          <w14:ligatures w14:val="standardContextual"/>
        </w:rPr>
      </w:pPr>
      <w:hyperlink w:anchor="_Toc173315549" w:history="1">
        <w:r w:rsidRPr="000C6E28">
          <w:rPr>
            <w:rStyle w:val="Hyperlink"/>
            <w:noProof/>
          </w:rPr>
          <w:t>a.</w:t>
        </w:r>
        <w:r>
          <w:rPr>
            <w:rFonts w:asciiTheme="minorHAnsi" w:eastAsiaTheme="minorEastAsia" w:hAnsiTheme="minorHAnsi"/>
            <w:noProof/>
            <w:kern w:val="2"/>
            <w:szCs w:val="24"/>
            <w14:ligatures w14:val="standardContextual"/>
          </w:rPr>
          <w:tab/>
        </w:r>
        <w:r w:rsidRPr="000C6E28">
          <w:rPr>
            <w:rStyle w:val="Hyperlink"/>
            <w:noProof/>
          </w:rPr>
          <w:t>AMI benefit projections assume incorrect valuations for the cost of energy avoided and the value of load reductions secured through TOU rates, harming consumers.</w:t>
        </w:r>
        <w:r>
          <w:rPr>
            <w:noProof/>
            <w:webHidden/>
          </w:rPr>
          <w:tab/>
        </w:r>
        <w:r>
          <w:rPr>
            <w:noProof/>
            <w:webHidden/>
          </w:rPr>
          <w:fldChar w:fldCharType="begin"/>
        </w:r>
        <w:r>
          <w:rPr>
            <w:noProof/>
            <w:webHidden/>
          </w:rPr>
          <w:instrText xml:space="preserve"> PAGEREF _Toc173315549 \h </w:instrText>
        </w:r>
        <w:r>
          <w:rPr>
            <w:noProof/>
            <w:webHidden/>
          </w:rPr>
          <w:fldChar w:fldCharType="separate"/>
        </w:r>
        <w:r>
          <w:rPr>
            <w:noProof/>
            <w:webHidden/>
          </w:rPr>
          <w:t>15</w:t>
        </w:r>
        <w:r>
          <w:rPr>
            <w:noProof/>
            <w:webHidden/>
          </w:rPr>
          <w:fldChar w:fldCharType="end"/>
        </w:r>
      </w:hyperlink>
    </w:p>
    <w:p w:rsidR="001779BC" w14:paraId="445C9246" w14:textId="5794C90A">
      <w:pPr>
        <w:pStyle w:val="TOC4"/>
        <w:tabs>
          <w:tab w:val="left" w:pos="2880"/>
        </w:tabs>
        <w:rPr>
          <w:rFonts w:asciiTheme="minorHAnsi" w:eastAsiaTheme="minorEastAsia" w:hAnsiTheme="minorHAnsi"/>
          <w:noProof/>
          <w:kern w:val="2"/>
          <w:szCs w:val="24"/>
          <w14:ligatures w14:val="standardContextual"/>
        </w:rPr>
      </w:pPr>
      <w:hyperlink w:anchor="_Toc173315550" w:history="1">
        <w:r w:rsidRPr="000C6E28">
          <w:rPr>
            <w:rStyle w:val="Hyperlink"/>
            <w:noProof/>
          </w:rPr>
          <w:t>b.</w:t>
        </w:r>
        <w:r>
          <w:rPr>
            <w:rFonts w:asciiTheme="minorHAnsi" w:eastAsiaTheme="minorEastAsia" w:hAnsiTheme="minorHAnsi"/>
            <w:noProof/>
            <w:kern w:val="2"/>
            <w:szCs w:val="24"/>
            <w14:ligatures w14:val="standardContextual"/>
          </w:rPr>
          <w:tab/>
        </w:r>
        <w:r w:rsidRPr="000C6E28">
          <w:rPr>
            <w:rStyle w:val="Hyperlink"/>
            <w:noProof/>
          </w:rPr>
          <w:t>FirstEnergy uses an inappropriate and inconsistent timeframe for the BCA, to consumers’ detriment.</w:t>
        </w:r>
        <w:r>
          <w:rPr>
            <w:noProof/>
            <w:webHidden/>
          </w:rPr>
          <w:tab/>
        </w:r>
        <w:r>
          <w:rPr>
            <w:noProof/>
            <w:webHidden/>
          </w:rPr>
          <w:fldChar w:fldCharType="begin"/>
        </w:r>
        <w:r>
          <w:rPr>
            <w:noProof/>
            <w:webHidden/>
          </w:rPr>
          <w:instrText xml:space="preserve"> PAGEREF _Toc173315550 \h </w:instrText>
        </w:r>
        <w:r>
          <w:rPr>
            <w:noProof/>
            <w:webHidden/>
          </w:rPr>
          <w:fldChar w:fldCharType="separate"/>
        </w:r>
        <w:r>
          <w:rPr>
            <w:noProof/>
            <w:webHidden/>
          </w:rPr>
          <w:t>17</w:t>
        </w:r>
        <w:r>
          <w:rPr>
            <w:noProof/>
            <w:webHidden/>
          </w:rPr>
          <w:fldChar w:fldCharType="end"/>
        </w:r>
      </w:hyperlink>
    </w:p>
    <w:p w:rsidR="001779BC" w14:paraId="2E64526F" w14:textId="3888A16C">
      <w:pPr>
        <w:pStyle w:val="TOC4"/>
        <w:tabs>
          <w:tab w:val="left" w:pos="2880"/>
        </w:tabs>
        <w:rPr>
          <w:rFonts w:asciiTheme="minorHAnsi" w:eastAsiaTheme="minorEastAsia" w:hAnsiTheme="minorHAnsi"/>
          <w:noProof/>
          <w:kern w:val="2"/>
          <w:szCs w:val="24"/>
          <w14:ligatures w14:val="standardContextual"/>
        </w:rPr>
      </w:pPr>
      <w:hyperlink w:anchor="_Toc173315551" w:history="1">
        <w:r w:rsidRPr="000C6E28">
          <w:rPr>
            <w:rStyle w:val="Hyperlink"/>
            <w:noProof/>
          </w:rPr>
          <w:t>c.</w:t>
        </w:r>
        <w:r>
          <w:rPr>
            <w:rFonts w:asciiTheme="minorHAnsi" w:eastAsiaTheme="minorEastAsia" w:hAnsiTheme="minorHAnsi"/>
            <w:noProof/>
            <w:kern w:val="2"/>
            <w:szCs w:val="24"/>
            <w14:ligatures w14:val="standardContextual"/>
          </w:rPr>
          <w:tab/>
        </w:r>
        <w:r w:rsidRPr="000C6E28">
          <w:rPr>
            <w:rStyle w:val="Hyperlink"/>
            <w:noProof/>
          </w:rPr>
          <w:t>Environmental impacts are inappropriately included in the BCA, to consumers’ detriment.</w:t>
        </w:r>
        <w:r>
          <w:rPr>
            <w:noProof/>
            <w:webHidden/>
          </w:rPr>
          <w:tab/>
        </w:r>
        <w:r>
          <w:rPr>
            <w:noProof/>
            <w:webHidden/>
          </w:rPr>
          <w:fldChar w:fldCharType="begin"/>
        </w:r>
        <w:r>
          <w:rPr>
            <w:noProof/>
            <w:webHidden/>
          </w:rPr>
          <w:instrText xml:space="preserve"> PAGEREF _Toc173315551 \h </w:instrText>
        </w:r>
        <w:r>
          <w:rPr>
            <w:noProof/>
            <w:webHidden/>
          </w:rPr>
          <w:fldChar w:fldCharType="separate"/>
        </w:r>
        <w:r>
          <w:rPr>
            <w:noProof/>
            <w:webHidden/>
          </w:rPr>
          <w:t>18</w:t>
        </w:r>
        <w:r>
          <w:rPr>
            <w:noProof/>
            <w:webHidden/>
          </w:rPr>
          <w:fldChar w:fldCharType="end"/>
        </w:r>
      </w:hyperlink>
    </w:p>
    <w:p w:rsidR="001779BC" w14:paraId="59BB3F58" w14:textId="231C3CD5">
      <w:pPr>
        <w:pStyle w:val="TOC4"/>
        <w:tabs>
          <w:tab w:val="left" w:pos="2880"/>
        </w:tabs>
        <w:rPr>
          <w:rFonts w:asciiTheme="minorHAnsi" w:eastAsiaTheme="minorEastAsia" w:hAnsiTheme="minorHAnsi"/>
          <w:noProof/>
          <w:kern w:val="2"/>
          <w:szCs w:val="24"/>
          <w14:ligatures w14:val="standardContextual"/>
        </w:rPr>
      </w:pPr>
      <w:hyperlink w:anchor="_Toc173315552" w:history="1">
        <w:r w:rsidRPr="000C6E28">
          <w:rPr>
            <w:rStyle w:val="Hyperlink"/>
            <w:noProof/>
          </w:rPr>
          <w:t>d.</w:t>
        </w:r>
        <w:r>
          <w:rPr>
            <w:rFonts w:asciiTheme="minorHAnsi" w:eastAsiaTheme="minorEastAsia" w:hAnsiTheme="minorHAnsi"/>
            <w:noProof/>
            <w:kern w:val="2"/>
            <w:szCs w:val="24"/>
            <w14:ligatures w14:val="standardContextual"/>
          </w:rPr>
          <w:tab/>
        </w:r>
        <w:r w:rsidRPr="000C6E28">
          <w:rPr>
            <w:rStyle w:val="Hyperlink"/>
            <w:noProof/>
          </w:rPr>
          <w:t>Time of Use (“TOU”) rate participation by consumers is likely exaggerated.</w:t>
        </w:r>
        <w:r>
          <w:rPr>
            <w:noProof/>
            <w:webHidden/>
          </w:rPr>
          <w:tab/>
        </w:r>
        <w:r>
          <w:rPr>
            <w:noProof/>
            <w:webHidden/>
          </w:rPr>
          <w:fldChar w:fldCharType="begin"/>
        </w:r>
        <w:r>
          <w:rPr>
            <w:noProof/>
            <w:webHidden/>
          </w:rPr>
          <w:instrText xml:space="preserve"> PAGEREF _Toc173315552 \h </w:instrText>
        </w:r>
        <w:r>
          <w:rPr>
            <w:noProof/>
            <w:webHidden/>
          </w:rPr>
          <w:fldChar w:fldCharType="separate"/>
        </w:r>
        <w:r>
          <w:rPr>
            <w:noProof/>
            <w:webHidden/>
          </w:rPr>
          <w:t>19</w:t>
        </w:r>
        <w:r>
          <w:rPr>
            <w:noProof/>
            <w:webHidden/>
          </w:rPr>
          <w:fldChar w:fldCharType="end"/>
        </w:r>
      </w:hyperlink>
    </w:p>
    <w:p w:rsidR="001779BC" w14:paraId="7F79F6B2" w14:textId="3F4B30EF">
      <w:pPr>
        <w:pStyle w:val="TOC3"/>
        <w:tabs>
          <w:tab w:val="left" w:pos="2160"/>
        </w:tabs>
        <w:rPr>
          <w:rFonts w:asciiTheme="minorHAnsi" w:hAnsiTheme="minorHAnsi" w:cstheme="minorBidi"/>
          <w:noProof/>
          <w:kern w:val="2"/>
          <w:szCs w:val="24"/>
          <w14:ligatures w14:val="standardContextual"/>
        </w:rPr>
      </w:pPr>
      <w:hyperlink w:anchor="_Toc173315553" w:history="1">
        <w:r w:rsidRPr="000C6E28">
          <w:rPr>
            <w:rStyle w:val="Hyperlink"/>
            <w:noProof/>
          </w:rPr>
          <w:t>3.</w:t>
        </w:r>
        <w:r>
          <w:rPr>
            <w:rFonts w:asciiTheme="minorHAnsi" w:hAnsiTheme="minorHAnsi" w:cstheme="minorBidi"/>
            <w:noProof/>
            <w:kern w:val="2"/>
            <w:szCs w:val="24"/>
            <w14:ligatures w14:val="standardContextual"/>
          </w:rPr>
          <w:tab/>
        </w:r>
        <w:r w:rsidRPr="000C6E28">
          <w:rPr>
            <w:rStyle w:val="Hyperlink"/>
            <w:noProof/>
          </w:rPr>
          <w:t>The BCA for residential consumers is even worse for residential consumers than for all FirstEnergy consumers.</w:t>
        </w:r>
        <w:r>
          <w:rPr>
            <w:noProof/>
            <w:webHidden/>
          </w:rPr>
          <w:tab/>
        </w:r>
        <w:r>
          <w:rPr>
            <w:noProof/>
            <w:webHidden/>
          </w:rPr>
          <w:fldChar w:fldCharType="begin"/>
        </w:r>
        <w:r>
          <w:rPr>
            <w:noProof/>
            <w:webHidden/>
          </w:rPr>
          <w:instrText xml:space="preserve"> PAGEREF _Toc173315553 \h </w:instrText>
        </w:r>
        <w:r>
          <w:rPr>
            <w:noProof/>
            <w:webHidden/>
          </w:rPr>
          <w:fldChar w:fldCharType="separate"/>
        </w:r>
        <w:r>
          <w:rPr>
            <w:noProof/>
            <w:webHidden/>
          </w:rPr>
          <w:t>20</w:t>
        </w:r>
        <w:r>
          <w:rPr>
            <w:noProof/>
            <w:webHidden/>
          </w:rPr>
          <w:fldChar w:fldCharType="end"/>
        </w:r>
      </w:hyperlink>
    </w:p>
    <w:p w:rsidR="001779BC" w14:paraId="04FA01CE" w14:textId="39DA2CDB">
      <w:pPr>
        <w:pStyle w:val="TOC2"/>
        <w:tabs>
          <w:tab w:val="left" w:pos="1440"/>
        </w:tabs>
        <w:rPr>
          <w:rFonts w:asciiTheme="minorHAnsi" w:hAnsiTheme="minorHAnsi" w:cstheme="minorBidi"/>
          <w:noProof/>
          <w:kern w:val="2"/>
          <w:szCs w:val="24"/>
          <w14:ligatures w14:val="standardContextual"/>
        </w:rPr>
      </w:pPr>
      <w:hyperlink w:anchor="_Toc173315554" w:history="1">
        <w:r w:rsidRPr="000C6E28">
          <w:rPr>
            <w:rStyle w:val="Hyperlink"/>
            <w:noProof/>
          </w:rPr>
          <w:t>C.</w:t>
        </w:r>
        <w:r>
          <w:rPr>
            <w:rFonts w:asciiTheme="minorHAnsi" w:hAnsiTheme="minorHAnsi" w:cstheme="minorBidi"/>
            <w:noProof/>
            <w:kern w:val="2"/>
            <w:szCs w:val="24"/>
            <w14:ligatures w14:val="standardContextual"/>
          </w:rPr>
          <w:tab/>
        </w:r>
        <w:r w:rsidRPr="000C6E28">
          <w:rPr>
            <w:rStyle w:val="Hyperlink"/>
            <w:noProof/>
          </w:rPr>
          <w:t>The Settlement violates important regulatory principles and practices.</w:t>
        </w:r>
        <w:r>
          <w:rPr>
            <w:noProof/>
            <w:webHidden/>
          </w:rPr>
          <w:tab/>
        </w:r>
        <w:r>
          <w:rPr>
            <w:noProof/>
            <w:webHidden/>
          </w:rPr>
          <w:fldChar w:fldCharType="begin"/>
        </w:r>
        <w:r>
          <w:rPr>
            <w:noProof/>
            <w:webHidden/>
          </w:rPr>
          <w:instrText xml:space="preserve"> PAGEREF _Toc173315554 \h </w:instrText>
        </w:r>
        <w:r>
          <w:rPr>
            <w:noProof/>
            <w:webHidden/>
          </w:rPr>
          <w:fldChar w:fldCharType="separate"/>
        </w:r>
        <w:r>
          <w:rPr>
            <w:noProof/>
            <w:webHidden/>
          </w:rPr>
          <w:t>21</w:t>
        </w:r>
        <w:r>
          <w:rPr>
            <w:noProof/>
            <w:webHidden/>
          </w:rPr>
          <w:fldChar w:fldCharType="end"/>
        </w:r>
      </w:hyperlink>
    </w:p>
    <w:p w:rsidR="001779BC" w14:paraId="0623E81F" w14:textId="658C4D6B">
      <w:pPr>
        <w:pStyle w:val="TOC3"/>
        <w:tabs>
          <w:tab w:val="left" w:pos="2160"/>
        </w:tabs>
        <w:rPr>
          <w:rFonts w:asciiTheme="minorHAnsi" w:hAnsiTheme="minorHAnsi" w:cstheme="minorBidi"/>
          <w:noProof/>
          <w:kern w:val="2"/>
          <w:szCs w:val="24"/>
          <w14:ligatures w14:val="standardContextual"/>
        </w:rPr>
      </w:pPr>
      <w:hyperlink w:anchor="_Toc173315555" w:history="1">
        <w:r w:rsidRPr="000C6E28">
          <w:rPr>
            <w:rStyle w:val="Hyperlink"/>
            <w:noProof/>
          </w:rPr>
          <w:t>1.</w:t>
        </w:r>
        <w:r>
          <w:rPr>
            <w:rFonts w:asciiTheme="minorHAnsi" w:hAnsiTheme="minorHAnsi" w:cstheme="minorBidi"/>
            <w:noProof/>
            <w:kern w:val="2"/>
            <w:szCs w:val="24"/>
            <w14:ligatures w14:val="standardContextual"/>
          </w:rPr>
          <w:tab/>
        </w:r>
        <w:r w:rsidRPr="000C6E28">
          <w:rPr>
            <w:rStyle w:val="Hyperlink"/>
            <w:noProof/>
          </w:rPr>
          <w:t>The Grid Mod II Settlement violates the terms of the PUCO-approved Grid Mod I supplemental settlement.</w:t>
        </w:r>
        <w:r>
          <w:rPr>
            <w:noProof/>
            <w:webHidden/>
          </w:rPr>
          <w:tab/>
        </w:r>
        <w:r>
          <w:rPr>
            <w:noProof/>
            <w:webHidden/>
          </w:rPr>
          <w:fldChar w:fldCharType="begin"/>
        </w:r>
        <w:r>
          <w:rPr>
            <w:noProof/>
            <w:webHidden/>
          </w:rPr>
          <w:instrText xml:space="preserve"> PAGEREF _Toc173315555 \h </w:instrText>
        </w:r>
        <w:r>
          <w:rPr>
            <w:noProof/>
            <w:webHidden/>
          </w:rPr>
          <w:fldChar w:fldCharType="separate"/>
        </w:r>
        <w:r>
          <w:rPr>
            <w:noProof/>
            <w:webHidden/>
          </w:rPr>
          <w:t>21</w:t>
        </w:r>
        <w:r>
          <w:rPr>
            <w:noProof/>
            <w:webHidden/>
          </w:rPr>
          <w:fldChar w:fldCharType="end"/>
        </w:r>
      </w:hyperlink>
    </w:p>
    <w:p w:rsidR="001779BC" w14:paraId="2A8CAE27" w14:textId="1776956D">
      <w:pPr>
        <w:pStyle w:val="TOC3"/>
        <w:tabs>
          <w:tab w:val="left" w:pos="2160"/>
        </w:tabs>
        <w:rPr>
          <w:rFonts w:asciiTheme="minorHAnsi" w:hAnsiTheme="minorHAnsi" w:cstheme="minorBidi"/>
          <w:noProof/>
          <w:kern w:val="2"/>
          <w:szCs w:val="24"/>
          <w14:ligatures w14:val="standardContextual"/>
        </w:rPr>
      </w:pPr>
      <w:hyperlink w:anchor="_Toc173315556" w:history="1">
        <w:r w:rsidRPr="000C6E28">
          <w:rPr>
            <w:rStyle w:val="Hyperlink"/>
            <w:noProof/>
          </w:rPr>
          <w:t>2.</w:t>
        </w:r>
        <w:r>
          <w:rPr>
            <w:rFonts w:asciiTheme="minorHAnsi" w:hAnsiTheme="minorHAnsi" w:cstheme="minorBidi"/>
            <w:noProof/>
            <w:kern w:val="2"/>
            <w:szCs w:val="24"/>
            <w14:ligatures w14:val="standardContextual"/>
          </w:rPr>
          <w:tab/>
        </w:r>
        <w:r w:rsidRPr="000C6E28">
          <w:rPr>
            <w:rStyle w:val="Hyperlink"/>
            <w:noProof/>
          </w:rPr>
          <w:t>Rider recovery and advance regulatory review violates important ratemaking principles.</w:t>
        </w:r>
        <w:r>
          <w:rPr>
            <w:noProof/>
            <w:webHidden/>
          </w:rPr>
          <w:tab/>
        </w:r>
        <w:r>
          <w:rPr>
            <w:noProof/>
            <w:webHidden/>
          </w:rPr>
          <w:fldChar w:fldCharType="begin"/>
        </w:r>
        <w:r>
          <w:rPr>
            <w:noProof/>
            <w:webHidden/>
          </w:rPr>
          <w:instrText xml:space="preserve"> PAGEREF _Toc173315556 \h </w:instrText>
        </w:r>
        <w:r>
          <w:rPr>
            <w:noProof/>
            <w:webHidden/>
          </w:rPr>
          <w:fldChar w:fldCharType="separate"/>
        </w:r>
        <w:r>
          <w:rPr>
            <w:noProof/>
            <w:webHidden/>
          </w:rPr>
          <w:t>23</w:t>
        </w:r>
        <w:r>
          <w:rPr>
            <w:noProof/>
            <w:webHidden/>
          </w:rPr>
          <w:fldChar w:fldCharType="end"/>
        </w:r>
      </w:hyperlink>
    </w:p>
    <w:p w:rsidR="001779BC" w14:paraId="7201CD2E" w14:textId="2764BAF7">
      <w:pPr>
        <w:pStyle w:val="TOC2"/>
        <w:tabs>
          <w:tab w:val="left" w:pos="1440"/>
        </w:tabs>
        <w:rPr>
          <w:rFonts w:asciiTheme="minorHAnsi" w:hAnsiTheme="minorHAnsi" w:cstheme="minorBidi"/>
          <w:noProof/>
          <w:kern w:val="2"/>
          <w:szCs w:val="24"/>
          <w14:ligatures w14:val="standardContextual"/>
        </w:rPr>
      </w:pPr>
      <w:hyperlink w:anchor="_Toc173315557" w:history="1">
        <w:r w:rsidRPr="000C6E28">
          <w:rPr>
            <w:rStyle w:val="Hyperlink"/>
            <w:noProof/>
          </w:rPr>
          <w:t>D.</w:t>
        </w:r>
        <w:r>
          <w:rPr>
            <w:rFonts w:asciiTheme="minorHAnsi" w:hAnsiTheme="minorHAnsi" w:cstheme="minorBidi"/>
            <w:noProof/>
            <w:kern w:val="2"/>
            <w:szCs w:val="24"/>
            <w14:ligatures w14:val="standardContextual"/>
          </w:rPr>
          <w:tab/>
        </w:r>
        <w:r w:rsidRPr="000C6E28">
          <w:rPr>
            <w:rStyle w:val="Hyperlink"/>
            <w:noProof/>
          </w:rPr>
          <w:t>The PUCO should reject the Settlement because it harms consumers and violated regulatory principles. However, if the PUCO accepts the Settlement, it should be modified to require more protections for residential consumers.</w:t>
        </w:r>
        <w:r>
          <w:rPr>
            <w:noProof/>
            <w:webHidden/>
          </w:rPr>
          <w:tab/>
        </w:r>
        <w:r>
          <w:rPr>
            <w:noProof/>
            <w:webHidden/>
          </w:rPr>
          <w:fldChar w:fldCharType="begin"/>
        </w:r>
        <w:r>
          <w:rPr>
            <w:noProof/>
            <w:webHidden/>
          </w:rPr>
          <w:instrText xml:space="preserve"> PAGEREF _Toc173315557 \h </w:instrText>
        </w:r>
        <w:r>
          <w:rPr>
            <w:noProof/>
            <w:webHidden/>
          </w:rPr>
          <w:fldChar w:fldCharType="separate"/>
        </w:r>
        <w:r>
          <w:rPr>
            <w:noProof/>
            <w:webHidden/>
          </w:rPr>
          <w:t>24</w:t>
        </w:r>
        <w:r>
          <w:rPr>
            <w:noProof/>
            <w:webHidden/>
          </w:rPr>
          <w:fldChar w:fldCharType="end"/>
        </w:r>
      </w:hyperlink>
    </w:p>
    <w:p w:rsidR="001779BC" w14:paraId="4A2954B2" w14:textId="1CF2B41E">
      <w:pPr>
        <w:pStyle w:val="TOC1"/>
        <w:rPr>
          <w:rFonts w:asciiTheme="minorHAnsi" w:hAnsiTheme="minorHAnsi" w:cstheme="minorBidi"/>
          <w:noProof/>
          <w:kern w:val="2"/>
          <w:szCs w:val="24"/>
          <w14:ligatures w14:val="standardContextual"/>
        </w:rPr>
      </w:pPr>
      <w:hyperlink w:anchor="_Toc173315558" w:history="1">
        <w:r w:rsidRPr="000C6E28">
          <w:rPr>
            <w:rStyle w:val="Hyperlink"/>
            <w:noProof/>
          </w:rPr>
          <w:t xml:space="preserve">IV. </w:t>
        </w:r>
        <w:r>
          <w:rPr>
            <w:rFonts w:asciiTheme="minorHAnsi" w:hAnsiTheme="minorHAnsi" w:cstheme="minorBidi"/>
            <w:noProof/>
            <w:kern w:val="2"/>
            <w:szCs w:val="24"/>
            <w14:ligatures w14:val="standardContextual"/>
          </w:rPr>
          <w:tab/>
        </w:r>
        <w:r w:rsidRPr="000C6E28">
          <w:rPr>
            <w:rStyle w:val="Hyperlink"/>
            <w:noProof/>
          </w:rPr>
          <w:t>CONCLUSION</w:t>
        </w:r>
        <w:r>
          <w:rPr>
            <w:noProof/>
            <w:webHidden/>
          </w:rPr>
          <w:tab/>
        </w:r>
        <w:r>
          <w:rPr>
            <w:noProof/>
            <w:webHidden/>
          </w:rPr>
          <w:fldChar w:fldCharType="begin"/>
        </w:r>
        <w:r>
          <w:rPr>
            <w:noProof/>
            <w:webHidden/>
          </w:rPr>
          <w:instrText xml:space="preserve"> PAGEREF _Toc173315558 \h </w:instrText>
        </w:r>
        <w:r>
          <w:rPr>
            <w:noProof/>
            <w:webHidden/>
          </w:rPr>
          <w:fldChar w:fldCharType="separate"/>
        </w:r>
        <w:r>
          <w:rPr>
            <w:noProof/>
            <w:webHidden/>
          </w:rPr>
          <w:t>26</w:t>
        </w:r>
        <w:r>
          <w:rPr>
            <w:noProof/>
            <w:webHidden/>
          </w:rPr>
          <w:fldChar w:fldCharType="end"/>
        </w:r>
      </w:hyperlink>
    </w:p>
    <w:p w:rsidR="00481A88" w:rsidRPr="00190BA4" w:rsidP="00EB7CC5" w14:paraId="2852C0FC" w14:textId="2EA31B97">
      <w:pPr>
        <w:pStyle w:val="TOC1"/>
        <w:rPr>
          <w:szCs w:val="24"/>
        </w:rPr>
      </w:pPr>
      <w:r w:rsidRPr="00190BA4">
        <w:rPr>
          <w:szCs w:val="24"/>
        </w:rPr>
        <w:fldChar w:fldCharType="end"/>
      </w:r>
    </w:p>
    <w:p w:rsidR="00DD2782" w:rsidRPr="00190BA4" w:rsidP="00DD2782" w14:paraId="6561D4DF" w14:textId="77777777">
      <w:pPr>
        <w:rPr>
          <w:rFonts w:cs="Times New Roman"/>
          <w:szCs w:val="24"/>
        </w:rPr>
      </w:pPr>
    </w:p>
    <w:p w:rsidR="00F6260F" w:rsidRPr="00190BA4" w:rsidP="005A1EF9" w14:paraId="33163F0A" w14:textId="77777777">
      <w:pPr>
        <w:ind w:firstLine="720"/>
        <w:rPr>
          <w:rFonts w:cs="Times New Roman"/>
          <w:szCs w:val="24"/>
        </w:rPr>
      </w:pPr>
    </w:p>
    <w:p w:rsidR="001E6869" w:rsidRPr="00190BA4" w14:paraId="5A29723A" w14:textId="77777777">
      <w:pPr>
        <w:spacing w:line="276" w:lineRule="auto"/>
        <w:rPr>
          <w:rFonts w:cs="Times New Roman"/>
          <w:szCs w:val="24"/>
        </w:rPr>
        <w:sectPr w:rsidSect="00A26689">
          <w:footerReference w:type="default" r:id="rId17"/>
          <w:pgSz w:w="12240" w:h="15840"/>
          <w:pgMar w:top="1440" w:right="1800" w:bottom="1440" w:left="1800" w:header="720" w:footer="720" w:gutter="0"/>
          <w:pgNumType w:fmt="lowerRoman" w:start="1"/>
          <w:cols w:space="720"/>
          <w:docGrid w:linePitch="360"/>
        </w:sectPr>
      </w:pPr>
    </w:p>
    <w:p w:rsidR="00920D4A" w:rsidRPr="00190BA4" w:rsidP="00920D4A" w14:paraId="15E5DF6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b/>
          <w:bCs/>
          <w:sz w:val="24"/>
          <w:szCs w:val="24"/>
        </w:rPr>
      </w:pPr>
      <w:bookmarkStart w:id="1" w:name="_Toc494452544"/>
      <w:bookmarkStart w:id="2" w:name="_Toc168587448"/>
      <w:r w:rsidRPr="00190BA4">
        <w:rPr>
          <w:rFonts w:ascii="Times New Roman" w:hAnsi="Times New Roman"/>
          <w:b/>
          <w:bCs/>
          <w:sz w:val="24"/>
          <w:szCs w:val="24"/>
        </w:rPr>
        <w:t>BEFORE</w:t>
      </w:r>
    </w:p>
    <w:p w:rsidR="00920D4A" w:rsidRPr="00190BA4" w:rsidP="00920D4A" w14:paraId="2EB84F2E" w14:textId="77777777">
      <w:pPr>
        <w:pStyle w:val="HTMLPreformatted"/>
        <w:jc w:val="center"/>
        <w:rPr>
          <w:rFonts w:ascii="Times New Roman" w:hAnsi="Times New Roman"/>
          <w:b/>
          <w:bCs/>
          <w:sz w:val="24"/>
          <w:szCs w:val="24"/>
        </w:rPr>
      </w:pPr>
      <w:r w:rsidRPr="00190BA4">
        <w:rPr>
          <w:rFonts w:ascii="Times New Roman" w:hAnsi="Times New Roman"/>
          <w:b/>
          <w:bCs/>
          <w:sz w:val="24"/>
          <w:szCs w:val="24"/>
        </w:rPr>
        <w:t>THE PUBLIC UTILITIES COMMISSION OF OHIO</w:t>
      </w:r>
    </w:p>
    <w:p w:rsidR="00920D4A" w:rsidRPr="00190BA4" w:rsidP="00920D4A" w14:paraId="6FC26C9A" w14:textId="77777777">
      <w:pPr>
        <w:tabs>
          <w:tab w:val="left" w:pos="6060"/>
        </w:tabs>
        <w:spacing w:after="0" w:line="276" w:lineRule="auto"/>
        <w:jc w:val="center"/>
        <w:rPr>
          <w:rFonts w:cs="Times New Roman"/>
          <w:b/>
          <w:bCs/>
          <w:szCs w:val="24"/>
        </w:rPr>
      </w:pP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274"/>
        <w:gridCol w:w="755"/>
        <w:gridCol w:w="3611"/>
      </w:tblGrid>
      <w:tr w14:paraId="07636C20" w14:textId="77777777" w:rsidTr="002364E3">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274" w:type="dxa"/>
          </w:tcPr>
          <w:p w:rsidR="00920D4A" w:rsidRPr="00190BA4" w:rsidP="002364E3" w14:paraId="10CD486F"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In the Matter of the Application of Ohio Edison Company, The Cleveland Electric Illuminating Company, and The Toledo Edison Company for Approval of Phase Two of Their Distribution Grid Modernization Plan.</w:t>
            </w:r>
          </w:p>
        </w:tc>
        <w:tc>
          <w:tcPr>
            <w:tcW w:w="755" w:type="dxa"/>
          </w:tcPr>
          <w:p w:rsidR="00920D4A" w:rsidRPr="00190BA4" w:rsidP="002364E3" w14:paraId="2E6080CC"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p>
          <w:p w:rsidR="00920D4A" w:rsidRPr="00190BA4" w:rsidP="002364E3" w14:paraId="4739EDF9" w14:textId="77777777">
            <w:pPr>
              <w:spacing w:after="0" w:line="240" w:lineRule="auto"/>
              <w:rPr>
                <w:rFonts w:ascii="Times New Roman" w:eastAsia="Aptos" w:hAnsi="Times New Roman" w:cs="Times New Roman"/>
                <w:kern w:val="0"/>
                <w:sz w:val="24"/>
                <w:szCs w:val="24"/>
                <w:lang w:val="en-US" w:eastAsia="en-US" w:bidi="ar-SA"/>
                <w14:ligatures w14:val="none"/>
              </w:rPr>
            </w:pPr>
          </w:p>
        </w:tc>
        <w:tc>
          <w:tcPr>
            <w:tcW w:w="3611" w:type="dxa"/>
          </w:tcPr>
          <w:p w:rsidR="00920D4A" w:rsidRPr="00190BA4" w:rsidP="002364E3" w14:paraId="146B3776" w14:textId="77777777">
            <w:pPr>
              <w:spacing w:after="0" w:line="240" w:lineRule="auto"/>
              <w:rPr>
                <w:rFonts w:ascii="Times New Roman" w:eastAsia="Courier New" w:hAnsi="Times New Roman" w:cs="Times New Roman"/>
                <w:kern w:val="0"/>
                <w:sz w:val="24"/>
                <w:szCs w:val="24"/>
                <w:lang w:val="en-US" w:eastAsia="en-US" w:bidi="ar-SA"/>
                <w14:ligatures w14:val="none"/>
              </w:rPr>
            </w:pPr>
          </w:p>
          <w:p w:rsidR="00920D4A" w:rsidRPr="00190BA4" w:rsidP="002364E3" w14:paraId="703B60B6" w14:textId="77777777">
            <w:pPr>
              <w:spacing w:after="0" w:line="240" w:lineRule="auto"/>
              <w:rPr>
                <w:rFonts w:ascii="Times New Roman" w:eastAsia="Courier New" w:hAnsi="Times New Roman" w:cs="Times New Roman"/>
                <w:kern w:val="0"/>
                <w:sz w:val="24"/>
                <w:szCs w:val="24"/>
                <w:lang w:val="en-US" w:eastAsia="en-US" w:bidi="ar-SA"/>
                <w14:ligatures w14:val="none"/>
              </w:rPr>
            </w:pPr>
          </w:p>
          <w:p w:rsidR="00920D4A" w:rsidRPr="00190BA4" w:rsidP="002364E3" w14:paraId="30FA24D2"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Courier New" w:hAnsi="Times New Roman" w:cs="Times New Roman"/>
                <w:kern w:val="0"/>
                <w:sz w:val="24"/>
                <w:szCs w:val="24"/>
                <w:lang w:val="en-US" w:eastAsia="en-US" w:bidi="ar-SA"/>
                <w14:ligatures w14:val="none"/>
              </w:rPr>
              <w:t>Case No. 22-704-EL-UNC</w:t>
            </w:r>
          </w:p>
        </w:tc>
      </w:tr>
      <w:tr w14:paraId="0F3AA702" w14:textId="77777777" w:rsidTr="002364E3">
        <w:tblPrEx>
          <w:tblW w:w="0" w:type="auto"/>
          <w:tblInd w:w="0" w:type="dxa"/>
          <w:tblCellMar>
            <w:top w:w="0" w:type="dxa"/>
            <w:left w:w="108" w:type="dxa"/>
            <w:bottom w:w="0" w:type="dxa"/>
            <w:right w:w="108" w:type="dxa"/>
          </w:tblCellMar>
          <w:tblLook w:val="04A0"/>
        </w:tblPrEx>
        <w:tc>
          <w:tcPr>
            <w:tcW w:w="4274" w:type="dxa"/>
          </w:tcPr>
          <w:p w:rsidR="00920D4A" w:rsidRPr="00190BA4" w:rsidP="002364E3" w14:paraId="0C37C751"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In the Matter of the Application of Ohio Edison Company, The Cleveland Electric Illuminating Company, and The Toledo Edison Company for Review of Rider AMI (2019).</w:t>
            </w:r>
          </w:p>
        </w:tc>
        <w:tc>
          <w:tcPr>
            <w:tcW w:w="755" w:type="dxa"/>
          </w:tcPr>
          <w:p w:rsidR="00920D4A" w:rsidRPr="00190BA4" w:rsidP="002364E3" w14:paraId="52E63109"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p>
          <w:p w:rsidR="00920D4A" w:rsidRPr="00190BA4" w:rsidP="002364E3" w14:paraId="63F41277" w14:textId="77777777">
            <w:pPr>
              <w:spacing w:after="0" w:line="240" w:lineRule="auto"/>
              <w:rPr>
                <w:rFonts w:ascii="Times New Roman" w:eastAsia="Aptos" w:hAnsi="Times New Roman" w:cs="Times New Roman"/>
                <w:kern w:val="0"/>
                <w:sz w:val="24"/>
                <w:szCs w:val="24"/>
                <w:lang w:val="en-US" w:eastAsia="en-US" w:bidi="ar-SA"/>
                <w14:ligatures w14:val="none"/>
              </w:rPr>
            </w:pPr>
          </w:p>
        </w:tc>
        <w:tc>
          <w:tcPr>
            <w:tcW w:w="3611" w:type="dxa"/>
          </w:tcPr>
          <w:p w:rsidR="00920D4A" w:rsidRPr="00190BA4" w:rsidP="002364E3" w14:paraId="2575442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920D4A" w:rsidRPr="00190BA4" w:rsidP="002364E3" w14:paraId="1EC4A6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920D4A" w:rsidRPr="00190BA4" w:rsidP="002364E3" w14:paraId="7923DDD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190BA4">
              <w:rPr>
                <w:rFonts w:ascii="Times New Roman" w:eastAsia="Courier New" w:hAnsi="Times New Roman" w:cs="Times New Roman"/>
                <w:kern w:val="0"/>
                <w:sz w:val="24"/>
                <w:szCs w:val="24"/>
                <w:lang w:val="en-US" w:eastAsia="en-US" w:bidi="ar-SA"/>
                <w14:ligatures w14:val="none"/>
              </w:rPr>
              <w:t xml:space="preserve">Case No. 18-1647-EL-RDR </w:t>
            </w:r>
          </w:p>
          <w:p w:rsidR="00920D4A" w:rsidRPr="00190BA4" w:rsidP="002364E3" w14:paraId="7001C6F5" w14:textId="77777777">
            <w:pPr>
              <w:spacing w:after="0" w:line="240" w:lineRule="auto"/>
              <w:rPr>
                <w:rFonts w:ascii="Times New Roman" w:eastAsia="Aptos" w:hAnsi="Times New Roman" w:cs="Times New Roman"/>
                <w:kern w:val="0"/>
                <w:sz w:val="24"/>
                <w:szCs w:val="24"/>
                <w:lang w:val="en-US" w:eastAsia="en-US" w:bidi="ar-SA"/>
                <w14:ligatures w14:val="none"/>
              </w:rPr>
            </w:pPr>
          </w:p>
        </w:tc>
      </w:tr>
      <w:tr w14:paraId="6EF6131F" w14:textId="77777777" w:rsidTr="002364E3">
        <w:tblPrEx>
          <w:tblW w:w="0" w:type="auto"/>
          <w:tblInd w:w="0" w:type="dxa"/>
          <w:tblCellMar>
            <w:top w:w="0" w:type="dxa"/>
            <w:left w:w="108" w:type="dxa"/>
            <w:bottom w:w="0" w:type="dxa"/>
            <w:right w:w="108" w:type="dxa"/>
          </w:tblCellMar>
          <w:tblLook w:val="04A0"/>
        </w:tblPrEx>
        <w:tc>
          <w:tcPr>
            <w:tcW w:w="4274" w:type="dxa"/>
          </w:tcPr>
          <w:p w:rsidR="00920D4A" w:rsidRPr="00190BA4" w:rsidP="002364E3" w14:paraId="5825B0E5"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 xml:space="preserve">In the Matter of the Application of Ohio Edison Company, The Cleveland Electric Illuminating Company, and The Toledo Edison Company for Review of Rider AMI (2020). </w:t>
            </w:r>
          </w:p>
        </w:tc>
        <w:tc>
          <w:tcPr>
            <w:tcW w:w="755" w:type="dxa"/>
          </w:tcPr>
          <w:p w:rsidR="00920D4A" w:rsidRPr="00190BA4" w:rsidP="002364E3" w14:paraId="390031BC"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p>
          <w:p w:rsidR="00920D4A" w:rsidRPr="00190BA4" w:rsidP="002364E3" w14:paraId="5780CC64" w14:textId="77777777">
            <w:pPr>
              <w:spacing w:after="0" w:line="240" w:lineRule="auto"/>
              <w:rPr>
                <w:rFonts w:ascii="Times New Roman" w:eastAsia="Aptos" w:hAnsi="Times New Roman" w:cs="Times New Roman"/>
                <w:kern w:val="0"/>
                <w:sz w:val="24"/>
                <w:szCs w:val="24"/>
                <w:lang w:val="en-US" w:eastAsia="en-US" w:bidi="ar-SA"/>
                <w14:ligatures w14:val="none"/>
              </w:rPr>
            </w:pPr>
          </w:p>
        </w:tc>
        <w:tc>
          <w:tcPr>
            <w:tcW w:w="3611" w:type="dxa"/>
          </w:tcPr>
          <w:p w:rsidR="00920D4A" w:rsidRPr="00190BA4" w:rsidP="002364E3" w14:paraId="032E030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920D4A" w:rsidRPr="00190BA4" w:rsidP="002364E3" w14:paraId="1736F03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920D4A" w:rsidRPr="00190BA4" w:rsidP="002364E3" w14:paraId="31A9810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190BA4">
              <w:rPr>
                <w:rFonts w:ascii="Times New Roman" w:eastAsia="Courier New" w:hAnsi="Times New Roman" w:cs="Times New Roman"/>
                <w:kern w:val="0"/>
                <w:sz w:val="24"/>
                <w:szCs w:val="24"/>
                <w:lang w:val="en-US" w:eastAsia="en-US" w:bidi="ar-SA"/>
                <w14:ligatures w14:val="none"/>
              </w:rPr>
              <w:t xml:space="preserve">Case No. 19-1903-EL-RDR </w:t>
            </w:r>
          </w:p>
          <w:p w:rsidR="00920D4A" w:rsidRPr="00190BA4" w:rsidP="002364E3" w14:paraId="4EC8231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tc>
      </w:tr>
      <w:tr w14:paraId="706CFE10" w14:textId="77777777" w:rsidTr="002364E3">
        <w:tblPrEx>
          <w:tblW w:w="0" w:type="auto"/>
          <w:tblInd w:w="0" w:type="dxa"/>
          <w:tblCellMar>
            <w:top w:w="0" w:type="dxa"/>
            <w:left w:w="108" w:type="dxa"/>
            <w:bottom w:w="0" w:type="dxa"/>
            <w:right w:w="108" w:type="dxa"/>
          </w:tblCellMar>
          <w:tblLook w:val="04A0"/>
        </w:tblPrEx>
        <w:tc>
          <w:tcPr>
            <w:tcW w:w="4274" w:type="dxa"/>
          </w:tcPr>
          <w:p w:rsidR="00920D4A" w:rsidRPr="00190BA4" w:rsidP="002364E3" w14:paraId="71488531"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In the Matter of the Application of Ohio Edison Company, The Cleveland Electric Illuminating Company, and The Toledo Edison Company for Review of Rider AMI (2021).</w:t>
            </w:r>
          </w:p>
        </w:tc>
        <w:tc>
          <w:tcPr>
            <w:tcW w:w="755" w:type="dxa"/>
          </w:tcPr>
          <w:p w:rsidR="00920D4A" w:rsidRPr="00190BA4" w:rsidP="002364E3" w14:paraId="062AAF9A" w14:textId="77777777">
            <w:pPr>
              <w:spacing w:after="0" w:line="240" w:lineRule="auto"/>
              <w:rPr>
                <w:rFonts w:ascii="Times New Roman" w:eastAsia="Aptos" w:hAnsi="Times New Roman" w:cs="Times New Roman"/>
                <w:kern w:val="0"/>
                <w:sz w:val="24"/>
                <w:szCs w:val="24"/>
                <w:lang w:val="en-US" w:eastAsia="en-US" w:bidi="ar-SA"/>
                <w14:ligatures w14:val="none"/>
              </w:rPr>
            </w:pPr>
            <w:r w:rsidRPr="00190BA4">
              <w:rPr>
                <w:rFonts w:ascii="Times New Roman" w:eastAsia="Aptos" w:hAnsi="Times New Roman" w:cs="Times New Roman"/>
                <w:kern w:val="0"/>
                <w:sz w:val="24"/>
                <w:szCs w:val="24"/>
                <w:lang w:val="en-US" w:eastAsia="en-US" w:bidi="ar-SA"/>
                <w14:ligatures w14:val="none"/>
              </w:rP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r w:rsidRPr="00190BA4">
              <w:rPr>
                <w:rFonts w:ascii="Times New Roman" w:eastAsia="Aptos" w:hAnsi="Times New Roman" w:cs="Times New Roman"/>
                <w:kern w:val="0"/>
                <w:sz w:val="24"/>
                <w:szCs w:val="24"/>
                <w:lang w:val="en-US" w:eastAsia="en-US" w:bidi="ar-SA"/>
                <w14:ligatures w14:val="none"/>
              </w:rPr>
              <w:br/>
              <w:t>)</w:t>
            </w:r>
          </w:p>
        </w:tc>
        <w:tc>
          <w:tcPr>
            <w:tcW w:w="3611" w:type="dxa"/>
          </w:tcPr>
          <w:p w:rsidR="00920D4A" w:rsidRPr="00190BA4" w:rsidP="002364E3" w14:paraId="2E9F51B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920D4A" w:rsidRPr="00190BA4" w:rsidP="002364E3" w14:paraId="310F41E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p w:rsidR="00920D4A" w:rsidRPr="00190BA4" w:rsidP="002364E3" w14:paraId="31604C5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r w:rsidRPr="00190BA4">
              <w:rPr>
                <w:rFonts w:ascii="Times New Roman" w:eastAsia="Courier New" w:hAnsi="Times New Roman" w:cs="Times New Roman"/>
                <w:kern w:val="0"/>
                <w:sz w:val="24"/>
                <w:szCs w:val="24"/>
                <w:lang w:val="en-US" w:eastAsia="en-US" w:bidi="ar-SA"/>
                <w14:ligatures w14:val="none"/>
              </w:rPr>
              <w:t xml:space="preserve">Case No. 20-1672-EL-RDR </w:t>
            </w:r>
          </w:p>
          <w:p w:rsidR="00920D4A" w:rsidRPr="00190BA4" w:rsidP="002364E3" w14:paraId="565E083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kern w:val="0"/>
                <w:sz w:val="24"/>
                <w:szCs w:val="24"/>
                <w:lang w:val="en-US" w:eastAsia="en-US" w:bidi="ar-SA"/>
                <w14:ligatures w14:val="none"/>
              </w:rPr>
            </w:pPr>
          </w:p>
        </w:tc>
      </w:tr>
    </w:tbl>
    <w:p w:rsidR="00920D4A" w:rsidRPr="00190BA4" w:rsidP="00920D4A" w14:paraId="205BA9D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p>
    <w:p w:rsidR="00920D4A" w:rsidRPr="00190BA4" w:rsidP="00920D4A" w14:paraId="778F8B06" w14:textId="77777777">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920D4A" w:rsidRPr="00190BA4" w:rsidP="00920D4A" w14:paraId="58D550ED" w14:textId="77777777">
      <w:pPr>
        <w:widowControl w:val="0"/>
        <w:spacing w:after="0" w:line="240" w:lineRule="auto"/>
        <w:jc w:val="center"/>
        <w:rPr>
          <w:rFonts w:cs="Times New Roman"/>
          <w:b/>
          <w:szCs w:val="24"/>
        </w:rPr>
      </w:pPr>
      <w:r w:rsidRPr="00190BA4">
        <w:rPr>
          <w:rFonts w:cs="Times New Roman"/>
          <w:b/>
          <w:szCs w:val="24"/>
        </w:rPr>
        <w:t>INITIAL BRIEF</w:t>
      </w:r>
    </w:p>
    <w:p w:rsidR="00920D4A" w:rsidRPr="00190BA4" w:rsidP="00920D4A" w14:paraId="0A8E75BC" w14:textId="77777777">
      <w:pPr>
        <w:widowControl w:val="0"/>
        <w:spacing w:after="0" w:line="240" w:lineRule="auto"/>
        <w:jc w:val="center"/>
        <w:rPr>
          <w:rFonts w:cs="Times New Roman"/>
          <w:b/>
          <w:szCs w:val="24"/>
        </w:rPr>
      </w:pPr>
      <w:r w:rsidRPr="00190BA4">
        <w:rPr>
          <w:rFonts w:cs="Times New Roman"/>
          <w:b/>
          <w:szCs w:val="24"/>
        </w:rPr>
        <w:t>BY</w:t>
      </w:r>
    </w:p>
    <w:p w:rsidR="00920D4A" w:rsidRPr="00190BA4" w:rsidP="00920D4A" w14:paraId="1647546A" w14:textId="1FF3CE54">
      <w:pPr>
        <w:spacing w:after="0" w:line="240" w:lineRule="auto"/>
        <w:jc w:val="center"/>
        <w:rPr>
          <w:rFonts w:cs="Times New Roman"/>
          <w:b/>
          <w:szCs w:val="24"/>
        </w:rPr>
      </w:pPr>
      <w:r w:rsidRPr="00190BA4">
        <w:rPr>
          <w:rFonts w:cs="Times New Roman"/>
          <w:b/>
          <w:szCs w:val="24"/>
        </w:rPr>
        <w:t>OFFICE OF THE OHIO CONSUMERS</w:t>
      </w:r>
      <w:r w:rsidR="00DD6EB7">
        <w:rPr>
          <w:rFonts w:cs="Times New Roman"/>
          <w:b/>
          <w:szCs w:val="24"/>
        </w:rPr>
        <w:t>’</w:t>
      </w:r>
      <w:r w:rsidRPr="00190BA4">
        <w:rPr>
          <w:rFonts w:cs="Times New Roman"/>
          <w:b/>
          <w:szCs w:val="24"/>
        </w:rPr>
        <w:t xml:space="preserve"> COUNSEL</w:t>
      </w:r>
    </w:p>
    <w:p w:rsidR="00277547" w:rsidRPr="00190BA4" w:rsidP="00920D4A" w14:paraId="38C93101" w14:textId="1D9BAFB4">
      <w:pPr>
        <w:spacing w:after="0" w:line="240" w:lineRule="auto"/>
        <w:jc w:val="center"/>
        <w:rPr>
          <w:rFonts w:cs="Times New Roman"/>
          <w:b/>
          <w:szCs w:val="24"/>
        </w:rPr>
      </w:pPr>
      <w:r w:rsidRPr="00190BA4">
        <w:rPr>
          <w:rFonts w:cs="Times New Roman"/>
          <w:b/>
          <w:szCs w:val="24"/>
        </w:rPr>
        <w:t>AND</w:t>
      </w:r>
    </w:p>
    <w:p w:rsidR="0085250C" w:rsidRPr="00190BA4" w:rsidP="00920D4A" w14:paraId="27C2CA1C" w14:textId="2BF0C411">
      <w:pPr>
        <w:spacing w:after="0" w:line="240" w:lineRule="auto"/>
        <w:jc w:val="center"/>
        <w:rPr>
          <w:rFonts w:cs="Times New Roman"/>
          <w:b/>
          <w:szCs w:val="24"/>
        </w:rPr>
      </w:pPr>
      <w:r w:rsidRPr="00190BA4">
        <w:rPr>
          <w:rFonts w:cs="Times New Roman"/>
          <w:b/>
          <w:szCs w:val="24"/>
        </w:rPr>
        <w:t>NORTHWEST OHIO AGGREGATION COALITION</w:t>
      </w:r>
    </w:p>
    <w:p w:rsidR="00920D4A" w:rsidRPr="00190BA4" w:rsidP="00920D4A" w14:paraId="1AAEB44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p>
    <w:p w:rsidR="00920D4A" w:rsidRPr="00190BA4" w:rsidP="00920D4A" w14:paraId="3B469C66" w14:textId="77777777">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szCs w:val="24"/>
        </w:rPr>
      </w:pPr>
    </w:p>
    <w:p w:rsidR="00542DD7" w:rsidRPr="00903DAD" w:rsidP="00903DAD" w14:paraId="64EDB028" w14:textId="3BC1DA59">
      <w:pPr>
        <w:pStyle w:val="Heading1"/>
        <w:numPr>
          <w:ilvl w:val="0"/>
          <w:numId w:val="2"/>
        </w:numPr>
        <w:ind w:left="720"/>
        <w:rPr>
          <w:rFonts w:cs="Times New Roman"/>
          <w:szCs w:val="24"/>
        </w:rPr>
      </w:pPr>
      <w:bookmarkStart w:id="3" w:name="_Toc173315537"/>
      <w:r w:rsidRPr="00190BA4">
        <w:rPr>
          <w:rFonts w:cs="Times New Roman"/>
          <w:szCs w:val="24"/>
        </w:rPr>
        <w:t>INTRODUCTION</w:t>
      </w:r>
      <w:bookmarkEnd w:id="1"/>
      <w:bookmarkEnd w:id="2"/>
      <w:bookmarkEnd w:id="3"/>
    </w:p>
    <w:p w:rsidR="00542DD7" w:rsidRPr="00190BA4" w:rsidP="0037711F" w14:paraId="79DFA879" w14:textId="06ABB618">
      <w:pPr>
        <w:spacing w:after="0"/>
        <w:ind w:firstLine="720"/>
        <w:rPr>
          <w:rFonts w:cs="Times New Roman"/>
          <w:bCs/>
          <w:szCs w:val="24"/>
        </w:rPr>
      </w:pPr>
      <w:r w:rsidRPr="00190BA4">
        <w:rPr>
          <w:rFonts w:cs="Times New Roman"/>
          <w:bCs/>
          <w:szCs w:val="24"/>
        </w:rPr>
        <w:t>The Office of the Ohio Consumers</w:t>
      </w:r>
      <w:r w:rsidR="00DD6EB7">
        <w:rPr>
          <w:rFonts w:cs="Times New Roman"/>
          <w:bCs/>
          <w:szCs w:val="24"/>
        </w:rPr>
        <w:t>’</w:t>
      </w:r>
      <w:r w:rsidRPr="00190BA4">
        <w:rPr>
          <w:rFonts w:cs="Times New Roman"/>
          <w:bCs/>
          <w:szCs w:val="24"/>
        </w:rPr>
        <w:t xml:space="preserve"> Counsel (</w:t>
      </w:r>
      <w:r w:rsidR="00DD6EB7">
        <w:rPr>
          <w:rFonts w:cs="Times New Roman"/>
          <w:bCs/>
          <w:szCs w:val="24"/>
        </w:rPr>
        <w:t>“</w:t>
      </w:r>
      <w:r w:rsidRPr="00190BA4">
        <w:rPr>
          <w:rFonts w:cs="Times New Roman"/>
          <w:bCs/>
          <w:szCs w:val="24"/>
        </w:rPr>
        <w:t>OCC</w:t>
      </w:r>
      <w:r w:rsidR="00DD6EB7">
        <w:rPr>
          <w:rFonts w:cs="Times New Roman"/>
          <w:bCs/>
          <w:szCs w:val="24"/>
        </w:rPr>
        <w:t>”</w:t>
      </w:r>
      <w:r w:rsidRPr="00190BA4">
        <w:rPr>
          <w:rFonts w:cs="Times New Roman"/>
          <w:bCs/>
          <w:szCs w:val="24"/>
        </w:rPr>
        <w:t>) and the Northwest Ohio Aggregation Coalition (</w:t>
      </w:r>
      <w:r w:rsidR="00DD6EB7">
        <w:rPr>
          <w:rFonts w:cs="Times New Roman"/>
          <w:bCs/>
          <w:szCs w:val="24"/>
        </w:rPr>
        <w:t>“</w:t>
      </w:r>
      <w:r w:rsidRPr="00190BA4">
        <w:rPr>
          <w:rFonts w:cs="Times New Roman"/>
          <w:bCs/>
          <w:szCs w:val="24"/>
        </w:rPr>
        <w:t>NOAC</w:t>
      </w:r>
      <w:r w:rsidR="00DD6EB7">
        <w:rPr>
          <w:rFonts w:cs="Times New Roman"/>
          <w:bCs/>
          <w:szCs w:val="24"/>
        </w:rPr>
        <w:t>”</w:t>
      </w:r>
      <w:r w:rsidRPr="00190BA4">
        <w:rPr>
          <w:rFonts w:cs="Times New Roman"/>
          <w:bCs/>
          <w:szCs w:val="24"/>
        </w:rPr>
        <w:t>) represent consumers. OCC is the statutory body entrusted with representing the interests of residential consumers.</w:t>
      </w:r>
      <w:r>
        <w:rPr>
          <w:rStyle w:val="FootnoteReference"/>
          <w:rFonts w:cs="Times New Roman"/>
          <w:bCs/>
          <w:szCs w:val="24"/>
        </w:rPr>
        <w:footnoteReference w:id="2"/>
      </w:r>
      <w:r w:rsidR="00190BA4">
        <w:rPr>
          <w:rFonts w:cs="Times New Roman"/>
          <w:bCs/>
          <w:szCs w:val="24"/>
        </w:rPr>
        <w:t xml:space="preserve"> </w:t>
      </w:r>
      <w:r w:rsidRPr="00190BA4">
        <w:rPr>
          <w:rFonts w:cs="Times New Roman"/>
          <w:bCs/>
          <w:szCs w:val="24"/>
        </w:rPr>
        <w:t>NOAC represents a broader range of community interest to include residential, small business, family farms, hospitals, schools, and local governments in its aggregations.</w:t>
      </w:r>
      <w:r w:rsidR="00190BA4">
        <w:rPr>
          <w:rFonts w:cs="Times New Roman"/>
          <w:bCs/>
          <w:szCs w:val="24"/>
        </w:rPr>
        <w:t xml:space="preserve"> </w:t>
      </w:r>
    </w:p>
    <w:p w:rsidR="00542DD7" w:rsidRPr="00190BA4" w:rsidP="0037711F" w14:paraId="144F3015" w14:textId="64E298EA">
      <w:pPr>
        <w:spacing w:after="0"/>
        <w:ind w:firstLine="720"/>
        <w:rPr>
          <w:rFonts w:cs="Times New Roman"/>
          <w:bCs/>
          <w:szCs w:val="24"/>
        </w:rPr>
      </w:pPr>
      <w:r w:rsidRPr="00190BA4">
        <w:rPr>
          <w:rFonts w:cs="Times New Roman"/>
          <w:bCs/>
          <w:szCs w:val="24"/>
        </w:rPr>
        <w:t>Like the PUCO</w:t>
      </w:r>
      <w:r w:rsidR="00DB181E">
        <w:rPr>
          <w:rFonts w:cs="Times New Roman"/>
          <w:bCs/>
          <w:szCs w:val="24"/>
        </w:rPr>
        <w:t>,</w:t>
      </w:r>
      <w:r w:rsidRPr="00190BA4">
        <w:rPr>
          <w:rFonts w:cs="Times New Roman"/>
          <w:bCs/>
          <w:szCs w:val="24"/>
        </w:rPr>
        <w:t xml:space="preserve"> we often support energy efficiency, demand reduction, and grid modernization in concept – but only if it makes sense and is done prudently. What FirstEnergy and the other signatory parties to the settlement propose neither makes sense nor is prudently done.</w:t>
      </w:r>
      <w:r w:rsidR="00190BA4">
        <w:rPr>
          <w:rFonts w:cs="Times New Roman"/>
          <w:bCs/>
          <w:szCs w:val="24"/>
        </w:rPr>
        <w:t xml:space="preserve"> </w:t>
      </w:r>
      <w:r w:rsidRPr="00190BA4">
        <w:rPr>
          <w:rFonts w:cs="Times New Roman"/>
          <w:bCs/>
          <w:szCs w:val="24"/>
        </w:rPr>
        <w:t>Residential and similar small load consumers</w:t>
      </w:r>
      <w:r w:rsidR="00DD6EB7">
        <w:rPr>
          <w:rFonts w:cs="Times New Roman"/>
          <w:bCs/>
          <w:szCs w:val="24"/>
        </w:rPr>
        <w:t>’</w:t>
      </w:r>
      <w:r w:rsidRPr="00190BA4">
        <w:rPr>
          <w:rFonts w:cs="Times New Roman"/>
          <w:bCs/>
          <w:szCs w:val="24"/>
        </w:rPr>
        <w:t xml:space="preserve"> (</w:t>
      </w:r>
      <w:r w:rsidR="00DD6EB7">
        <w:rPr>
          <w:rFonts w:cs="Times New Roman"/>
          <w:bCs/>
          <w:szCs w:val="24"/>
        </w:rPr>
        <w:t>“</w:t>
      </w:r>
      <w:r w:rsidRPr="00190BA4">
        <w:rPr>
          <w:rFonts w:cs="Times New Roman"/>
          <w:bCs/>
          <w:szCs w:val="24"/>
        </w:rPr>
        <w:t>residential consumers</w:t>
      </w:r>
      <w:r w:rsidR="00DD6EB7">
        <w:rPr>
          <w:rFonts w:cs="Times New Roman"/>
          <w:bCs/>
          <w:szCs w:val="24"/>
        </w:rPr>
        <w:t>”</w:t>
      </w:r>
      <w:r w:rsidRPr="00190BA4">
        <w:rPr>
          <w:rFonts w:cs="Times New Roman"/>
          <w:bCs/>
          <w:szCs w:val="24"/>
        </w:rPr>
        <w:t xml:space="preserve">) money will not be well spent if the settlement is approved. </w:t>
      </w:r>
    </w:p>
    <w:p w:rsidR="00542DD7" w:rsidRPr="00190BA4" w:rsidP="00FD74DC" w14:paraId="3CF44E80" w14:textId="308BA49D">
      <w:pPr>
        <w:spacing w:after="0"/>
        <w:ind w:firstLine="720"/>
        <w:rPr>
          <w:rFonts w:cs="Times New Roman"/>
          <w:bCs/>
          <w:szCs w:val="24"/>
        </w:rPr>
      </w:pPr>
      <w:r w:rsidRPr="00190BA4">
        <w:rPr>
          <w:rFonts w:cs="Times New Roman"/>
          <w:bCs/>
          <w:szCs w:val="24"/>
        </w:rPr>
        <w:t>The settlement is significantly less costly than the original application</w:t>
      </w:r>
      <w:r w:rsidR="00FD74DC">
        <w:rPr>
          <w:rFonts w:cs="Times New Roman"/>
          <w:bCs/>
          <w:szCs w:val="24"/>
        </w:rPr>
        <w:t xml:space="preserve"> </w:t>
      </w:r>
      <w:r w:rsidRPr="00190BA4" w:rsidR="00EF6177">
        <w:rPr>
          <w:rFonts w:cs="Times New Roman"/>
          <w:bCs/>
          <w:szCs w:val="24"/>
        </w:rPr>
        <w:t>with</w:t>
      </w:r>
      <w:r w:rsidR="00190BA4">
        <w:rPr>
          <w:rFonts w:cs="Times New Roman"/>
          <w:bCs/>
          <w:szCs w:val="24"/>
        </w:rPr>
        <w:t xml:space="preserve"> </w:t>
      </w:r>
      <w:r w:rsidRPr="00190BA4">
        <w:rPr>
          <w:rFonts w:cs="Times New Roman"/>
          <w:bCs/>
          <w:szCs w:val="24"/>
        </w:rPr>
        <w:t>significant support from large commercial and industry customers for the provisions concerning their interests in the settlement. It is common knowledge that it is easier to achieve demand reduction for large load entities. But the same is not true for residential consumers. For example, homes with home bound sick or disabled, small children, or elderly people cannot readily avail themselves of time of use rates.</w:t>
      </w:r>
      <w:r w:rsidR="00190BA4">
        <w:rPr>
          <w:rFonts w:cs="Times New Roman"/>
          <w:bCs/>
          <w:szCs w:val="24"/>
        </w:rPr>
        <w:t xml:space="preserve"> </w:t>
      </w:r>
      <w:r w:rsidRPr="00190BA4">
        <w:rPr>
          <w:rFonts w:cs="Times New Roman"/>
          <w:bCs/>
          <w:szCs w:val="24"/>
        </w:rPr>
        <w:t xml:space="preserve">This </w:t>
      </w:r>
      <w:r w:rsidRPr="00190BA4" w:rsidR="00386628">
        <w:rPr>
          <w:rFonts w:cs="Times New Roman"/>
          <w:bCs/>
          <w:szCs w:val="24"/>
        </w:rPr>
        <w:t>is also</w:t>
      </w:r>
      <w:r w:rsidRPr="00190BA4">
        <w:rPr>
          <w:rFonts w:cs="Times New Roman"/>
          <w:bCs/>
          <w:szCs w:val="24"/>
        </w:rPr>
        <w:t xml:space="preserve"> true for clinics, schools, nursing homes, and many other consumers within NOAC</w:t>
      </w:r>
      <w:r w:rsidR="00DD6EB7">
        <w:rPr>
          <w:rFonts w:cs="Times New Roman"/>
          <w:bCs/>
          <w:szCs w:val="24"/>
        </w:rPr>
        <w:t>’</w:t>
      </w:r>
      <w:r w:rsidRPr="00190BA4">
        <w:rPr>
          <w:rFonts w:cs="Times New Roman"/>
          <w:bCs/>
          <w:szCs w:val="24"/>
        </w:rPr>
        <w:t>s aggregations. These consumers are also most often the least able to afford electricity. While they cannot avail themselves of time of use rates, their bills will go up under the settlement.</w:t>
      </w:r>
      <w:r w:rsidR="00190BA4">
        <w:rPr>
          <w:rFonts w:cs="Times New Roman"/>
          <w:bCs/>
          <w:szCs w:val="24"/>
        </w:rPr>
        <w:t xml:space="preserve"> </w:t>
      </w:r>
    </w:p>
    <w:p w:rsidR="00542DD7" w:rsidRPr="00190BA4" w:rsidP="00A874A7" w14:paraId="0374592C" w14:textId="4EB28C45">
      <w:pPr>
        <w:spacing w:after="0"/>
        <w:ind w:firstLine="720"/>
        <w:rPr>
          <w:rFonts w:cs="Times New Roman"/>
          <w:bCs/>
          <w:szCs w:val="24"/>
        </w:rPr>
      </w:pPr>
      <w:r w:rsidRPr="00190BA4">
        <w:rPr>
          <w:rFonts w:cs="Times New Roman"/>
          <w:bCs/>
          <w:szCs w:val="24"/>
        </w:rPr>
        <w:t>The larger problem is that FirstEnergy</w:t>
      </w:r>
      <w:r w:rsidR="00DD6EB7">
        <w:rPr>
          <w:rFonts w:cs="Times New Roman"/>
          <w:bCs/>
          <w:szCs w:val="24"/>
        </w:rPr>
        <w:t>’</w:t>
      </w:r>
      <w:r w:rsidRPr="00190BA4">
        <w:rPr>
          <w:rFonts w:cs="Times New Roman"/>
          <w:bCs/>
          <w:szCs w:val="24"/>
        </w:rPr>
        <w:t xml:space="preserve">s residential consumers paid a lot and got little in return for Grid Mod </w:t>
      </w:r>
      <w:r w:rsidR="00187BA2">
        <w:rPr>
          <w:rFonts w:cs="Times New Roman"/>
          <w:bCs/>
          <w:szCs w:val="24"/>
        </w:rPr>
        <w:t>I</w:t>
      </w:r>
      <w:r w:rsidRPr="00190BA4">
        <w:rPr>
          <w:rFonts w:cs="Times New Roman"/>
          <w:bCs/>
          <w:szCs w:val="24"/>
        </w:rPr>
        <w:t xml:space="preserve"> – certainly not what FirstEnergy promised.</w:t>
      </w:r>
      <w:r w:rsidR="00190BA4">
        <w:rPr>
          <w:rFonts w:cs="Times New Roman"/>
          <w:bCs/>
          <w:szCs w:val="24"/>
        </w:rPr>
        <w:t xml:space="preserve"> </w:t>
      </w:r>
      <w:r w:rsidRPr="00190BA4" w:rsidR="00EF63CD">
        <w:rPr>
          <w:rFonts w:cs="Times New Roman"/>
          <w:bCs/>
          <w:szCs w:val="24"/>
        </w:rPr>
        <w:t>A</w:t>
      </w:r>
      <w:r w:rsidRPr="00190BA4">
        <w:rPr>
          <w:rFonts w:cs="Times New Roman"/>
          <w:bCs/>
          <w:szCs w:val="24"/>
        </w:rPr>
        <w:t>fter the PUCO-appointed auditor (Daymark Energy Advisors) audited FirstEnergy</w:t>
      </w:r>
      <w:r w:rsidR="00DD6EB7">
        <w:rPr>
          <w:rFonts w:cs="Times New Roman"/>
          <w:bCs/>
          <w:szCs w:val="24"/>
        </w:rPr>
        <w:t>’</w:t>
      </w:r>
      <w:r w:rsidRPr="00190BA4">
        <w:rPr>
          <w:rFonts w:cs="Times New Roman"/>
          <w:bCs/>
          <w:szCs w:val="24"/>
        </w:rPr>
        <w:t xml:space="preserve">s actual performance to deliver residential cost savings, the auditor concluded that </w:t>
      </w:r>
      <w:r w:rsidR="00DD6EB7">
        <w:rPr>
          <w:rFonts w:cs="Times New Roman"/>
          <w:bCs/>
          <w:szCs w:val="24"/>
        </w:rPr>
        <w:t>“</w:t>
      </w:r>
      <w:r w:rsidRPr="00190BA4">
        <w:rPr>
          <w:rFonts w:cs="Times New Roman"/>
          <w:bCs/>
          <w:szCs w:val="24"/>
        </w:rPr>
        <w:t>the lack of clear documentation***combined with the lack of direct reporting as to operational savings being achieved, precluded a direct audit determination of a current and future level of operational savings to be credited to Rider AMI [consumers].</w:t>
      </w:r>
      <w:r w:rsidR="00DD6EB7">
        <w:rPr>
          <w:rFonts w:cs="Times New Roman"/>
          <w:bCs/>
          <w:szCs w:val="24"/>
        </w:rPr>
        <w:t>”</w:t>
      </w:r>
      <w:r>
        <w:rPr>
          <w:rStyle w:val="FootnoteReference"/>
          <w:rFonts w:cs="Times New Roman"/>
          <w:bCs/>
          <w:szCs w:val="24"/>
        </w:rPr>
        <w:footnoteReference w:id="3"/>
      </w:r>
      <w:r w:rsidRPr="00190BA4">
        <w:rPr>
          <w:rFonts w:cs="Times New Roman"/>
          <w:bCs/>
          <w:szCs w:val="24"/>
        </w:rPr>
        <w:t xml:space="preserve"> As the settlement stands, we must oppose it because of the residential provisions that worsen the problem.</w:t>
      </w:r>
    </w:p>
    <w:p w:rsidR="00542DD7" w:rsidRPr="00190BA4" w:rsidP="0037711F" w14:paraId="218DAA34" w14:textId="75576076">
      <w:pPr>
        <w:spacing w:after="0"/>
        <w:ind w:firstLine="720"/>
        <w:rPr>
          <w:rFonts w:cs="Times New Roman"/>
          <w:bCs/>
          <w:szCs w:val="24"/>
        </w:rPr>
      </w:pPr>
      <w:r w:rsidRPr="00190BA4">
        <w:rPr>
          <w:rFonts w:cs="Times New Roman"/>
          <w:b/>
          <w:szCs w:val="24"/>
        </w:rPr>
        <w:t xml:space="preserve">That leaves the real question: can residential smart meters in the FirstEnergy territory deliver </w:t>
      </w:r>
      <w:r w:rsidR="00031355">
        <w:rPr>
          <w:rFonts w:cs="Times New Roman"/>
          <w:b/>
          <w:szCs w:val="24"/>
        </w:rPr>
        <w:t>enough</w:t>
      </w:r>
      <w:r w:rsidRPr="00190BA4" w:rsidR="00031355">
        <w:rPr>
          <w:rFonts w:cs="Times New Roman"/>
          <w:b/>
          <w:szCs w:val="24"/>
        </w:rPr>
        <w:t xml:space="preserve"> </w:t>
      </w:r>
      <w:r w:rsidRPr="00190BA4">
        <w:rPr>
          <w:rFonts w:cs="Times New Roman"/>
          <w:b/>
          <w:szCs w:val="24"/>
        </w:rPr>
        <w:t>saving</w:t>
      </w:r>
      <w:r w:rsidR="00031355">
        <w:rPr>
          <w:rFonts w:cs="Times New Roman"/>
          <w:b/>
          <w:szCs w:val="24"/>
        </w:rPr>
        <w:t>s</w:t>
      </w:r>
      <w:r w:rsidRPr="00190BA4">
        <w:rPr>
          <w:rFonts w:cs="Times New Roman"/>
          <w:b/>
          <w:szCs w:val="24"/>
        </w:rPr>
        <w:t xml:space="preserve"> </w:t>
      </w:r>
      <w:r w:rsidR="00031355">
        <w:rPr>
          <w:rFonts w:cs="Times New Roman"/>
          <w:b/>
          <w:szCs w:val="24"/>
        </w:rPr>
        <w:t>where this investment</w:t>
      </w:r>
      <w:r w:rsidRPr="00190BA4" w:rsidR="00031355">
        <w:rPr>
          <w:rFonts w:cs="Times New Roman"/>
          <w:b/>
          <w:szCs w:val="24"/>
        </w:rPr>
        <w:t xml:space="preserve"> </w:t>
      </w:r>
      <w:r w:rsidRPr="00190BA4">
        <w:rPr>
          <w:rFonts w:cs="Times New Roman"/>
          <w:b/>
          <w:szCs w:val="24"/>
        </w:rPr>
        <w:t>make</w:t>
      </w:r>
      <w:r w:rsidR="00031355">
        <w:rPr>
          <w:rFonts w:cs="Times New Roman"/>
          <w:b/>
          <w:szCs w:val="24"/>
        </w:rPr>
        <w:t>s</w:t>
      </w:r>
      <w:r w:rsidRPr="00190BA4">
        <w:rPr>
          <w:rFonts w:cs="Times New Roman"/>
          <w:b/>
          <w:szCs w:val="24"/>
        </w:rPr>
        <w:t xml:space="preserve"> sense</w:t>
      </w:r>
      <w:r w:rsidRPr="00190BA4">
        <w:rPr>
          <w:rFonts w:cs="Times New Roman"/>
          <w:bCs/>
          <w:szCs w:val="24"/>
        </w:rPr>
        <w:t>?</w:t>
      </w:r>
      <w:r w:rsidR="00190BA4">
        <w:rPr>
          <w:rFonts w:cs="Times New Roman"/>
          <w:bCs/>
          <w:szCs w:val="24"/>
        </w:rPr>
        <w:t xml:space="preserve"> </w:t>
      </w:r>
      <w:r w:rsidRPr="00190BA4">
        <w:rPr>
          <w:rFonts w:cs="Times New Roman"/>
          <w:bCs/>
          <w:szCs w:val="24"/>
        </w:rPr>
        <w:t>Not with the multiple roles FirstEnergy is assigned in the settlement, nor with its staging sequence.</w:t>
      </w:r>
    </w:p>
    <w:p w:rsidR="00542DD7" w:rsidRPr="00190BA4" w:rsidP="0037711F" w14:paraId="52C74FBA" w14:textId="4071AFAF">
      <w:pPr>
        <w:spacing w:after="0"/>
        <w:ind w:firstLine="720"/>
        <w:rPr>
          <w:rFonts w:cs="Times New Roman"/>
          <w:bCs/>
          <w:szCs w:val="24"/>
        </w:rPr>
      </w:pPr>
      <w:r w:rsidRPr="00190BA4">
        <w:rPr>
          <w:rFonts w:cs="Times New Roman"/>
          <w:bCs/>
          <w:szCs w:val="24"/>
        </w:rPr>
        <w:t>There are really two project types in the smart meter proposal. The first is the deployment of the smart meters.</w:t>
      </w:r>
      <w:r w:rsidR="00190BA4">
        <w:rPr>
          <w:rFonts w:cs="Times New Roman"/>
          <w:bCs/>
          <w:szCs w:val="24"/>
        </w:rPr>
        <w:t xml:space="preserve"> </w:t>
      </w:r>
      <w:r w:rsidRPr="00190BA4">
        <w:rPr>
          <w:rFonts w:cs="Times New Roman"/>
          <w:bCs/>
          <w:szCs w:val="24"/>
        </w:rPr>
        <w:t xml:space="preserve">The installation of these meters is in the monopoly functions of a </w:t>
      </w:r>
      <w:r w:rsidR="00DD6EB7">
        <w:rPr>
          <w:rFonts w:cs="Times New Roman"/>
          <w:bCs/>
          <w:szCs w:val="24"/>
        </w:rPr>
        <w:t>“</w:t>
      </w:r>
      <w:r w:rsidRPr="00190BA4">
        <w:rPr>
          <w:rFonts w:cs="Times New Roman"/>
          <w:bCs/>
          <w:szCs w:val="24"/>
        </w:rPr>
        <w:t>wires company.</w:t>
      </w:r>
      <w:r w:rsidR="00DD6EB7">
        <w:rPr>
          <w:rFonts w:cs="Times New Roman"/>
          <w:bCs/>
          <w:szCs w:val="24"/>
        </w:rPr>
        <w:t>”</w:t>
      </w:r>
      <w:r>
        <w:rPr>
          <w:rStyle w:val="FootnoteReference"/>
          <w:rFonts w:cs="Times New Roman"/>
          <w:bCs/>
          <w:szCs w:val="24"/>
        </w:rPr>
        <w:footnoteReference w:id="4"/>
      </w:r>
      <w:r w:rsidR="00190BA4">
        <w:rPr>
          <w:rFonts w:cs="Times New Roman"/>
          <w:bCs/>
          <w:szCs w:val="24"/>
        </w:rPr>
        <w:t xml:space="preserve"> </w:t>
      </w:r>
      <w:r w:rsidRPr="00190BA4">
        <w:rPr>
          <w:rFonts w:cs="Times New Roman"/>
          <w:bCs/>
          <w:szCs w:val="24"/>
        </w:rPr>
        <w:t xml:space="preserve">There are staging issues with the proposed deployment. There is over </w:t>
      </w:r>
      <w:r w:rsidRPr="00190BA4" w:rsidR="004F3EB5">
        <w:rPr>
          <w:rFonts w:cs="Times New Roman"/>
          <w:bCs/>
          <w:szCs w:val="24"/>
        </w:rPr>
        <w:t>$100 million</w:t>
      </w:r>
      <w:r w:rsidRPr="00190BA4">
        <w:rPr>
          <w:rFonts w:cs="Times New Roman"/>
          <w:bCs/>
          <w:szCs w:val="24"/>
        </w:rPr>
        <w:t xml:space="preserve"> in stranded cost for prematurely retiring existing meters that FirstEnergy will almost certainly seek to charge to consumers. And the demonstrated return on the </w:t>
      </w:r>
      <w:r w:rsidRPr="00190BA4" w:rsidR="004F3EB5">
        <w:rPr>
          <w:rFonts w:cs="Times New Roman"/>
          <w:bCs/>
          <w:szCs w:val="24"/>
        </w:rPr>
        <w:t>hundreds of millions</w:t>
      </w:r>
      <w:r w:rsidRPr="00190BA4">
        <w:rPr>
          <w:rFonts w:cs="Times New Roman"/>
          <w:bCs/>
          <w:szCs w:val="24"/>
        </w:rPr>
        <w:t xml:space="preserve"> of dollars consumer invested in smart meters is near zero,</w:t>
      </w:r>
      <w:r w:rsidR="00190BA4">
        <w:rPr>
          <w:rFonts w:cs="Times New Roman"/>
          <w:bCs/>
          <w:szCs w:val="24"/>
        </w:rPr>
        <w:t xml:space="preserve"> </w:t>
      </w:r>
      <w:r w:rsidRPr="00190BA4">
        <w:rPr>
          <w:rFonts w:cs="Times New Roman"/>
          <w:bCs/>
          <w:szCs w:val="24"/>
        </w:rPr>
        <w:t xml:space="preserve">while </w:t>
      </w:r>
      <w:r w:rsidR="00187BA2">
        <w:rPr>
          <w:rFonts w:cs="Times New Roman"/>
          <w:bCs/>
          <w:szCs w:val="24"/>
        </w:rPr>
        <w:t>FirstEnergy</w:t>
      </w:r>
      <w:r w:rsidRPr="00190BA4" w:rsidR="00187BA2">
        <w:rPr>
          <w:rFonts w:cs="Times New Roman"/>
          <w:bCs/>
          <w:szCs w:val="24"/>
        </w:rPr>
        <w:t xml:space="preserve"> </w:t>
      </w:r>
      <w:r w:rsidRPr="00190BA4">
        <w:rPr>
          <w:rFonts w:cs="Times New Roman"/>
          <w:bCs/>
          <w:szCs w:val="24"/>
        </w:rPr>
        <w:t>enjoys handsome returns on the investment. (Consumer and corporate goals are not aligned.)</w:t>
      </w:r>
    </w:p>
    <w:p w:rsidR="00542DD7" w:rsidRPr="00190BA4" w:rsidP="0037711F" w14:paraId="19504844" w14:textId="77FF121E">
      <w:pPr>
        <w:spacing w:after="0"/>
        <w:ind w:firstLine="720"/>
        <w:rPr>
          <w:rFonts w:cs="Times New Roman"/>
          <w:bCs/>
          <w:szCs w:val="24"/>
        </w:rPr>
      </w:pPr>
      <w:r w:rsidRPr="00190BA4">
        <w:rPr>
          <w:rFonts w:cs="Times New Roman"/>
          <w:bCs/>
          <w:szCs w:val="24"/>
        </w:rPr>
        <w:t xml:space="preserve">Second is the peak demand reduction/time of use. This is </w:t>
      </w:r>
      <w:r w:rsidRPr="00190BA4">
        <w:rPr>
          <w:rFonts w:cs="Times New Roman"/>
          <w:b/>
          <w:szCs w:val="24"/>
        </w:rPr>
        <w:t xml:space="preserve">not </w:t>
      </w:r>
      <w:r w:rsidRPr="00190BA4">
        <w:rPr>
          <w:rFonts w:cs="Times New Roman"/>
          <w:bCs/>
          <w:szCs w:val="24"/>
        </w:rPr>
        <w:t>a core function of a wires company such as FirstEnergy. FirstEnergy failed in the original pilot project to deliver the time of use consumer savings expected despite lavish advertising expense.</w:t>
      </w:r>
      <w:r w:rsidR="00190BA4">
        <w:rPr>
          <w:rFonts w:cs="Times New Roman"/>
          <w:bCs/>
          <w:szCs w:val="24"/>
        </w:rPr>
        <w:t xml:space="preserve"> </w:t>
      </w:r>
      <w:r w:rsidRPr="00190BA4">
        <w:rPr>
          <w:rFonts w:cs="Times New Roman"/>
          <w:bCs/>
          <w:szCs w:val="24"/>
        </w:rPr>
        <w:t>Grid Mod 1 expanded the rollout ten-fold, but FirstEnergy</w:t>
      </w:r>
      <w:r w:rsidR="00DD6EB7">
        <w:rPr>
          <w:rFonts w:cs="Times New Roman"/>
          <w:bCs/>
          <w:szCs w:val="24"/>
        </w:rPr>
        <w:t>’</w:t>
      </w:r>
      <w:r w:rsidRPr="00190BA4">
        <w:rPr>
          <w:rFonts w:cs="Times New Roman"/>
          <w:bCs/>
          <w:szCs w:val="24"/>
        </w:rPr>
        <w:t xml:space="preserve">s performance on delivering consumer savings was as bad or worse. </w:t>
      </w:r>
      <w:r w:rsidRPr="00190BA4">
        <w:rPr>
          <w:rFonts w:cs="Times New Roman"/>
          <w:b/>
          <w:szCs w:val="24"/>
        </w:rPr>
        <w:t>Increasing the volume of smart meters is not the solution.</w:t>
      </w:r>
      <w:r w:rsidRPr="00190BA4">
        <w:rPr>
          <w:rFonts w:cs="Times New Roman"/>
          <w:bCs/>
          <w:szCs w:val="24"/>
        </w:rPr>
        <w:t xml:space="preserve"> </w:t>
      </w:r>
      <w:r w:rsidRPr="00190BA4">
        <w:rPr>
          <w:rFonts w:cs="Times New Roman"/>
          <w:b/>
          <w:szCs w:val="24"/>
        </w:rPr>
        <w:t>Keeping the same time of use contractor (FirstEnergy) did not improve time of use or consumer savings</w:t>
      </w:r>
      <w:r w:rsidRPr="00190BA4">
        <w:rPr>
          <w:rFonts w:cs="Times New Roman"/>
          <w:bCs/>
          <w:szCs w:val="24"/>
        </w:rPr>
        <w:t>. Yet, the settlement would add another million smart meters and keep the same failed vendor and expand its non-core function.</w:t>
      </w:r>
    </w:p>
    <w:p w:rsidR="00542DD7" w:rsidRPr="00190BA4" w:rsidP="00124200" w14:paraId="6ADF27D9" w14:textId="1E5326B9">
      <w:pPr>
        <w:spacing w:after="0"/>
        <w:ind w:firstLine="720"/>
        <w:rPr>
          <w:rFonts w:cs="Times New Roman"/>
          <w:bCs/>
          <w:szCs w:val="24"/>
        </w:rPr>
      </w:pPr>
      <w:r w:rsidRPr="00190BA4">
        <w:rPr>
          <w:rFonts w:cs="Times New Roman"/>
          <w:bCs/>
          <w:szCs w:val="24"/>
        </w:rPr>
        <w:t>Residential demand reduction/time of use is a tough nut to crack</w:t>
      </w:r>
      <w:r w:rsidR="00EC2B7A">
        <w:rPr>
          <w:rFonts w:cs="Times New Roman"/>
          <w:bCs/>
          <w:szCs w:val="24"/>
        </w:rPr>
        <w:t>.</w:t>
      </w:r>
      <w:r w:rsidRPr="00190BA4">
        <w:rPr>
          <w:rFonts w:cs="Times New Roman"/>
          <w:bCs/>
          <w:szCs w:val="24"/>
        </w:rPr>
        <w:t xml:space="preserve"> Arizona has had some success, and nearly all (and likely all) jurisdictions have better performance than FirstEnergy. So there are experienced, honest companies who bring better track records. We recommend that the PUCO amend the settlement to order FirstEnergy to issue a request for proposals</w:t>
      </w:r>
      <w:r w:rsidR="00190BA4">
        <w:rPr>
          <w:rFonts w:cs="Times New Roman"/>
          <w:bCs/>
          <w:szCs w:val="24"/>
        </w:rPr>
        <w:t xml:space="preserve"> </w:t>
      </w:r>
      <w:r w:rsidRPr="00190BA4">
        <w:rPr>
          <w:rFonts w:cs="Times New Roman"/>
          <w:bCs/>
          <w:szCs w:val="24"/>
        </w:rPr>
        <w:t>to evaluate the best way to proceed on</w:t>
      </w:r>
      <w:r w:rsidRPr="00190BA4" w:rsidR="006E24B7">
        <w:rPr>
          <w:rFonts w:cs="Times New Roman"/>
          <w:bCs/>
          <w:szCs w:val="24"/>
        </w:rPr>
        <w:t xml:space="preserve"> voluntary</w:t>
      </w:r>
      <w:r w:rsidR="00190BA4">
        <w:rPr>
          <w:rFonts w:cs="Times New Roman"/>
          <w:bCs/>
          <w:szCs w:val="24"/>
        </w:rPr>
        <w:t xml:space="preserve"> </w:t>
      </w:r>
      <w:r w:rsidRPr="00190BA4">
        <w:rPr>
          <w:rFonts w:cs="Times New Roman"/>
          <w:bCs/>
          <w:szCs w:val="24"/>
        </w:rPr>
        <w:t>residential demand reduction/time of use for currently deployed meters</w:t>
      </w:r>
      <w:r w:rsidRPr="00190BA4" w:rsidR="00EF6177">
        <w:rPr>
          <w:rFonts w:cs="Times New Roman"/>
          <w:bCs/>
          <w:szCs w:val="24"/>
        </w:rPr>
        <w:t>.</w:t>
      </w:r>
      <w:r w:rsidRPr="00190BA4">
        <w:rPr>
          <w:rFonts w:cs="Times New Roman"/>
          <w:bCs/>
          <w:szCs w:val="24"/>
        </w:rPr>
        <w:t xml:space="preserve"> The proposals should be made public and seek public comment before selection by the PUCO. If the selected program proves the existing smart meters are cost effective </w:t>
      </w:r>
      <w:r w:rsidR="00187BA2">
        <w:rPr>
          <w:rFonts w:cs="Times New Roman"/>
          <w:bCs/>
          <w:szCs w:val="24"/>
        </w:rPr>
        <w:t xml:space="preserve">and </w:t>
      </w:r>
      <w:r w:rsidRPr="00190BA4">
        <w:rPr>
          <w:rFonts w:cs="Times New Roman"/>
          <w:bCs/>
          <w:szCs w:val="24"/>
        </w:rPr>
        <w:t>used and useful, only then should additional rollout proceed</w:t>
      </w:r>
      <w:r w:rsidR="00124200">
        <w:rPr>
          <w:rFonts w:cs="Times New Roman"/>
          <w:bCs/>
          <w:szCs w:val="24"/>
        </w:rPr>
        <w:t>.</w:t>
      </w:r>
    </w:p>
    <w:p w:rsidR="00542DD7" w:rsidRPr="00190BA4" w:rsidP="00EC2B7A" w14:paraId="41516F4B" w14:textId="3AD59EAA">
      <w:pPr>
        <w:spacing w:after="0"/>
        <w:ind w:firstLine="720"/>
        <w:rPr>
          <w:rFonts w:cs="Times New Roman"/>
          <w:bCs/>
          <w:szCs w:val="24"/>
        </w:rPr>
      </w:pPr>
      <w:r w:rsidRPr="00190BA4">
        <w:rPr>
          <w:rFonts w:cs="Times New Roman"/>
          <w:bCs/>
          <w:szCs w:val="24"/>
        </w:rPr>
        <w:t xml:space="preserve">Below we make additional important </w:t>
      </w:r>
      <w:r w:rsidRPr="00190BA4" w:rsidR="00EF63CD">
        <w:rPr>
          <w:rFonts w:cs="Times New Roman"/>
          <w:bCs/>
          <w:szCs w:val="24"/>
        </w:rPr>
        <w:t xml:space="preserve">consumer protection </w:t>
      </w:r>
      <w:r w:rsidRPr="00190BA4">
        <w:rPr>
          <w:rFonts w:cs="Times New Roman"/>
          <w:bCs/>
          <w:szCs w:val="24"/>
        </w:rPr>
        <w:t>recommendations, for example, on privacy, oversight</w:t>
      </w:r>
      <w:r w:rsidRPr="00190BA4" w:rsidR="00EF63CD">
        <w:rPr>
          <w:rFonts w:cs="Times New Roman"/>
          <w:bCs/>
          <w:szCs w:val="24"/>
        </w:rPr>
        <w:t>,</w:t>
      </w:r>
      <w:r w:rsidRPr="00190BA4">
        <w:rPr>
          <w:rFonts w:cs="Times New Roman"/>
          <w:bCs/>
          <w:szCs w:val="24"/>
        </w:rPr>
        <w:t xml:space="preserve"> and cost benefit analysis.</w:t>
      </w:r>
    </w:p>
    <w:p w:rsidR="00FF10B8" w:rsidRPr="00190BA4" w:rsidP="00FF10B8" w14:paraId="66804076" w14:textId="77777777">
      <w:pPr>
        <w:tabs>
          <w:tab w:val="left" w:pos="0"/>
        </w:tabs>
        <w:spacing w:after="0" w:line="240" w:lineRule="auto"/>
        <w:rPr>
          <w:rFonts w:cs="Times New Roman"/>
          <w:bCs/>
          <w:szCs w:val="24"/>
        </w:rPr>
      </w:pPr>
    </w:p>
    <w:p w:rsidR="00810B74" w:rsidRPr="00190BA4" w:rsidP="00FF10B8" w14:paraId="6100A2E8" w14:textId="0CC7A115">
      <w:pPr>
        <w:pStyle w:val="Heading1"/>
        <w:rPr>
          <w:rFonts w:cs="Times New Roman"/>
          <w:szCs w:val="24"/>
        </w:rPr>
      </w:pPr>
      <w:bookmarkStart w:id="4" w:name="_Toc173315538"/>
      <w:r w:rsidRPr="00190BA4">
        <w:rPr>
          <w:rFonts w:cs="Times New Roman"/>
          <w:szCs w:val="24"/>
        </w:rPr>
        <w:t>II.</w:t>
      </w:r>
      <w:r w:rsidRPr="00190BA4">
        <w:rPr>
          <w:rFonts w:cs="Times New Roman"/>
          <w:szCs w:val="24"/>
        </w:rPr>
        <w:tab/>
      </w:r>
      <w:r w:rsidRPr="00190BA4" w:rsidR="00D70879">
        <w:rPr>
          <w:rFonts w:cs="Times New Roman"/>
          <w:szCs w:val="24"/>
        </w:rPr>
        <w:t>BACKGROUND</w:t>
      </w:r>
      <w:bookmarkEnd w:id="4"/>
      <w:r w:rsidRPr="00190BA4" w:rsidR="00C04998">
        <w:rPr>
          <w:rFonts w:cs="Times New Roman"/>
          <w:szCs w:val="24"/>
        </w:rPr>
        <w:t xml:space="preserve"> </w:t>
      </w:r>
    </w:p>
    <w:p w:rsidR="00895229" w:rsidRPr="00190BA4" w:rsidP="001749B4" w14:paraId="1FF470F6" w14:textId="0E9DE69B">
      <w:pPr>
        <w:pStyle w:val="Heading2"/>
      </w:pPr>
      <w:bookmarkStart w:id="5" w:name="_Toc173315539"/>
      <w:r w:rsidRPr="00190BA4">
        <w:t xml:space="preserve">Beginnings </w:t>
      </w:r>
      <w:r w:rsidR="00113C37">
        <w:t>o</w:t>
      </w:r>
      <w:r w:rsidRPr="00190BA4">
        <w:t xml:space="preserve">f </w:t>
      </w:r>
      <w:r w:rsidRPr="00190BA4" w:rsidR="00DA1F10">
        <w:t>FirstEnergy</w:t>
      </w:r>
      <w:r w:rsidR="00DD6EB7">
        <w:t>’</w:t>
      </w:r>
      <w:r w:rsidRPr="00190BA4" w:rsidR="0025245F">
        <w:t>s</w:t>
      </w:r>
      <w:r w:rsidRPr="00190BA4" w:rsidR="00DA1F10">
        <w:t xml:space="preserve"> </w:t>
      </w:r>
      <w:r w:rsidR="003A3141">
        <w:t>G</w:t>
      </w:r>
      <w:r w:rsidRPr="00190BA4" w:rsidR="00DA1F10">
        <w:t xml:space="preserve">rid </w:t>
      </w:r>
      <w:r w:rsidR="003A3141">
        <w:t>M</w:t>
      </w:r>
      <w:r w:rsidRPr="00190BA4" w:rsidR="00DA1F10">
        <w:t>odernization</w:t>
      </w:r>
      <w:bookmarkEnd w:id="5"/>
    </w:p>
    <w:p w:rsidR="009D442D" w:rsidRPr="00190BA4" w:rsidP="00552DAE" w14:paraId="6F5D34C9" w14:textId="0733BBFC">
      <w:pPr>
        <w:tabs>
          <w:tab w:val="left" w:pos="0"/>
        </w:tabs>
        <w:spacing w:after="0"/>
        <w:rPr>
          <w:rFonts w:cs="Times New Roman"/>
          <w:szCs w:val="24"/>
        </w:rPr>
      </w:pPr>
      <w:r w:rsidRPr="00190BA4">
        <w:rPr>
          <w:rFonts w:cs="Times New Roman"/>
          <w:szCs w:val="24"/>
        </w:rPr>
        <w:tab/>
      </w:r>
      <w:r w:rsidRPr="00190BA4" w:rsidR="00B615BE">
        <w:rPr>
          <w:rFonts w:cs="Times New Roman"/>
          <w:bCs/>
          <w:szCs w:val="24"/>
        </w:rPr>
        <w:t xml:space="preserve">As part of the American Reinvestment and Recovery Act, passed to stimulate the U.S. economy in the wake of the Great Recession of 2008-2009, </w:t>
      </w:r>
      <w:r w:rsidRPr="00190BA4" w:rsidR="00722871">
        <w:rPr>
          <w:rFonts w:cs="Times New Roman"/>
          <w:bCs/>
          <w:szCs w:val="24"/>
        </w:rPr>
        <w:t>the Department of Energy distributed $4 billion in Smart Grid Investment Grants</w:t>
      </w:r>
      <w:r w:rsidRPr="00190BA4" w:rsidR="004D1367">
        <w:rPr>
          <w:rFonts w:cs="Times New Roman"/>
          <w:bCs/>
          <w:szCs w:val="24"/>
        </w:rPr>
        <w:t xml:space="preserve"> (</w:t>
      </w:r>
      <w:r w:rsidR="00DD6EB7">
        <w:rPr>
          <w:rFonts w:cs="Times New Roman"/>
          <w:bCs/>
          <w:szCs w:val="24"/>
        </w:rPr>
        <w:t>“</w:t>
      </w:r>
      <w:r w:rsidRPr="00190BA4" w:rsidR="004D1367">
        <w:rPr>
          <w:rFonts w:cs="Times New Roman"/>
          <w:bCs/>
          <w:szCs w:val="24"/>
        </w:rPr>
        <w:t>SGIG</w:t>
      </w:r>
      <w:r w:rsidR="00DD6EB7">
        <w:rPr>
          <w:rFonts w:cs="Times New Roman"/>
          <w:bCs/>
          <w:szCs w:val="24"/>
        </w:rPr>
        <w:t>”</w:t>
      </w:r>
      <w:r w:rsidRPr="00190BA4" w:rsidR="004D1367">
        <w:rPr>
          <w:rFonts w:cs="Times New Roman"/>
          <w:bCs/>
          <w:szCs w:val="24"/>
        </w:rPr>
        <w:t>)</w:t>
      </w:r>
      <w:r w:rsidRPr="00190BA4" w:rsidR="00722871">
        <w:rPr>
          <w:rFonts w:cs="Times New Roman"/>
          <w:bCs/>
          <w:szCs w:val="24"/>
        </w:rPr>
        <w:t>.</w:t>
      </w:r>
      <w:r>
        <w:rPr>
          <w:rStyle w:val="FootnoteReference"/>
          <w:rFonts w:cs="Times New Roman"/>
          <w:bCs/>
          <w:szCs w:val="24"/>
        </w:rPr>
        <w:footnoteReference w:id="5"/>
      </w:r>
      <w:r w:rsidRPr="00190BA4" w:rsidR="00CF1064">
        <w:rPr>
          <w:rFonts w:cs="Times New Roman"/>
          <w:bCs/>
          <w:szCs w:val="24"/>
        </w:rPr>
        <w:t xml:space="preserve"> </w:t>
      </w:r>
      <w:r w:rsidRPr="00190BA4">
        <w:rPr>
          <w:rFonts w:cs="Times New Roman"/>
          <w:bCs/>
          <w:szCs w:val="24"/>
        </w:rPr>
        <w:t>Cleveland Electric Illuminating Company</w:t>
      </w:r>
      <w:r w:rsidRPr="00190BA4" w:rsidR="00722871">
        <w:rPr>
          <w:rFonts w:cs="Times New Roman"/>
          <w:bCs/>
          <w:szCs w:val="24"/>
        </w:rPr>
        <w:t xml:space="preserve"> applied for and received </w:t>
      </w:r>
      <w:r w:rsidRPr="00190BA4" w:rsidR="00990E85">
        <w:rPr>
          <w:rFonts w:cs="Times New Roman"/>
          <w:szCs w:val="24"/>
        </w:rPr>
        <w:t xml:space="preserve">a $57 million </w:t>
      </w:r>
      <w:r w:rsidRPr="00190BA4" w:rsidR="00722871">
        <w:rPr>
          <w:rFonts w:cs="Times New Roman"/>
          <w:szCs w:val="24"/>
        </w:rPr>
        <w:t xml:space="preserve">grant from this program to fund a pilot, including </w:t>
      </w:r>
      <w:r w:rsidRPr="00190BA4" w:rsidR="000A1E78">
        <w:rPr>
          <w:rFonts w:cs="Times New Roman"/>
          <w:szCs w:val="24"/>
        </w:rPr>
        <w:t xml:space="preserve">advanced metering infrastructure </w:t>
      </w:r>
      <w:r w:rsidRPr="00190BA4" w:rsidR="00990E85">
        <w:rPr>
          <w:rFonts w:cs="Times New Roman"/>
          <w:szCs w:val="24"/>
        </w:rPr>
        <w:t>(</w:t>
      </w:r>
      <w:r w:rsidR="00DD6EB7">
        <w:rPr>
          <w:rFonts w:cs="Times New Roman"/>
          <w:szCs w:val="24"/>
        </w:rPr>
        <w:t>“</w:t>
      </w:r>
      <w:r w:rsidRPr="00190BA4" w:rsidR="00990E85">
        <w:rPr>
          <w:rFonts w:cs="Times New Roman"/>
          <w:szCs w:val="24"/>
        </w:rPr>
        <w:t>AMI</w:t>
      </w:r>
      <w:r w:rsidR="00DD6EB7">
        <w:rPr>
          <w:rFonts w:cs="Times New Roman"/>
          <w:szCs w:val="24"/>
        </w:rPr>
        <w:t>”</w:t>
      </w:r>
      <w:r w:rsidRPr="00190BA4" w:rsidR="00990E85">
        <w:rPr>
          <w:rFonts w:cs="Times New Roman"/>
          <w:szCs w:val="24"/>
        </w:rPr>
        <w:t>), distribution automation (</w:t>
      </w:r>
      <w:r w:rsidR="00DD6EB7">
        <w:rPr>
          <w:rFonts w:cs="Times New Roman"/>
          <w:szCs w:val="24"/>
        </w:rPr>
        <w:t>“</w:t>
      </w:r>
      <w:r w:rsidRPr="00190BA4" w:rsidR="00990E85">
        <w:rPr>
          <w:rFonts w:cs="Times New Roman"/>
          <w:szCs w:val="24"/>
        </w:rPr>
        <w:t>DA</w:t>
      </w:r>
      <w:r w:rsidR="00DD6EB7">
        <w:rPr>
          <w:rFonts w:cs="Times New Roman"/>
          <w:szCs w:val="24"/>
        </w:rPr>
        <w:t>”</w:t>
      </w:r>
      <w:r w:rsidRPr="00190BA4" w:rsidR="00990E85">
        <w:rPr>
          <w:rFonts w:cs="Times New Roman"/>
          <w:szCs w:val="24"/>
        </w:rPr>
        <w:t>), and integrated volt-var control (</w:t>
      </w:r>
      <w:r w:rsidR="00DD6EB7">
        <w:rPr>
          <w:rFonts w:cs="Times New Roman"/>
          <w:szCs w:val="24"/>
        </w:rPr>
        <w:t>“</w:t>
      </w:r>
      <w:r w:rsidRPr="00190BA4" w:rsidR="00990E85">
        <w:rPr>
          <w:rFonts w:cs="Times New Roman"/>
          <w:szCs w:val="24"/>
        </w:rPr>
        <w:t>IVVC</w:t>
      </w:r>
      <w:r w:rsidR="00DD6EB7">
        <w:rPr>
          <w:rFonts w:cs="Times New Roman"/>
          <w:szCs w:val="24"/>
        </w:rPr>
        <w:t>”</w:t>
      </w:r>
      <w:r w:rsidRPr="00190BA4" w:rsidR="00990E85">
        <w:rPr>
          <w:rFonts w:cs="Times New Roman"/>
          <w:szCs w:val="24"/>
        </w:rPr>
        <w:t>).</w:t>
      </w:r>
      <w:r>
        <w:rPr>
          <w:rStyle w:val="FootnoteReference"/>
          <w:rFonts w:cs="Times New Roman"/>
          <w:szCs w:val="24"/>
        </w:rPr>
        <w:footnoteReference w:id="6"/>
      </w:r>
      <w:r w:rsidRPr="00190BA4" w:rsidR="00CF1064">
        <w:rPr>
          <w:rFonts w:cs="Times New Roman"/>
          <w:szCs w:val="24"/>
        </w:rPr>
        <w:t xml:space="preserve"> </w:t>
      </w:r>
    </w:p>
    <w:p w:rsidR="007649A4" w:rsidRPr="00190BA4" w:rsidP="00AD194C" w14:paraId="5392ADA2" w14:textId="2796245E">
      <w:pPr>
        <w:tabs>
          <w:tab w:val="left" w:pos="0"/>
        </w:tabs>
        <w:spacing w:after="0"/>
        <w:rPr>
          <w:rFonts w:cs="Times New Roman"/>
          <w:szCs w:val="24"/>
        </w:rPr>
      </w:pPr>
      <w:r w:rsidRPr="00190BA4">
        <w:rPr>
          <w:rFonts w:cs="Times New Roman"/>
          <w:szCs w:val="24"/>
        </w:rPr>
        <w:tab/>
      </w:r>
      <w:r w:rsidRPr="00190BA4" w:rsidR="004D1367">
        <w:rPr>
          <w:rFonts w:cs="Times New Roman"/>
          <w:szCs w:val="24"/>
        </w:rPr>
        <w:t xml:space="preserve">Though just 5,000 smart meters were envisioned in the SGIG application, the </w:t>
      </w:r>
      <w:r w:rsidRPr="00190BA4" w:rsidR="00FB3683">
        <w:rPr>
          <w:rFonts w:cs="Times New Roman"/>
          <w:szCs w:val="24"/>
        </w:rPr>
        <w:t xml:space="preserve">PUCO </w:t>
      </w:r>
      <w:r w:rsidRPr="00190BA4" w:rsidR="004D1367">
        <w:rPr>
          <w:rFonts w:cs="Times New Roman"/>
          <w:szCs w:val="24"/>
        </w:rPr>
        <w:t xml:space="preserve">approved another 39,000 smart meter installations, with costs to be </w:t>
      </w:r>
      <w:r w:rsidRPr="00190BA4" w:rsidR="00514212">
        <w:rPr>
          <w:rFonts w:cs="Times New Roman"/>
          <w:szCs w:val="24"/>
        </w:rPr>
        <w:t xml:space="preserve">collected from </w:t>
      </w:r>
      <w:r w:rsidRPr="00190BA4" w:rsidR="00552DAE">
        <w:rPr>
          <w:rFonts w:cs="Times New Roman"/>
          <w:szCs w:val="24"/>
        </w:rPr>
        <w:t>consumers through</w:t>
      </w:r>
      <w:r w:rsidRPr="00190BA4" w:rsidR="004D1367">
        <w:rPr>
          <w:rFonts w:cs="Times New Roman"/>
          <w:szCs w:val="24"/>
        </w:rPr>
        <w:t xml:space="preserve"> Rider AMI.</w:t>
      </w:r>
      <w:r>
        <w:rPr>
          <w:rStyle w:val="FootnoteReference"/>
          <w:rFonts w:cs="Times New Roman"/>
          <w:szCs w:val="24"/>
        </w:rPr>
        <w:footnoteReference w:id="7"/>
      </w:r>
      <w:r w:rsidRPr="00190BA4" w:rsidR="00CF1064">
        <w:rPr>
          <w:rFonts w:cs="Times New Roman"/>
          <w:szCs w:val="24"/>
        </w:rPr>
        <w:t xml:space="preserve"> </w:t>
      </w:r>
      <w:r w:rsidRPr="00190BA4" w:rsidR="00342B11">
        <w:rPr>
          <w:rFonts w:cs="Times New Roman"/>
          <w:szCs w:val="24"/>
        </w:rPr>
        <w:t>Now, FirstEnergy</w:t>
      </w:r>
      <w:r w:rsidR="00DD6EB7">
        <w:rPr>
          <w:rFonts w:cs="Times New Roman"/>
          <w:szCs w:val="24"/>
        </w:rPr>
        <w:t>’</w:t>
      </w:r>
      <w:r w:rsidRPr="00190BA4" w:rsidR="00342B11">
        <w:rPr>
          <w:rFonts w:cs="Times New Roman"/>
          <w:szCs w:val="24"/>
        </w:rPr>
        <w:t>s</w:t>
      </w:r>
      <w:r w:rsidRPr="00190BA4" w:rsidR="00D72929">
        <w:rPr>
          <w:rFonts w:cs="Times New Roman"/>
          <w:szCs w:val="24"/>
        </w:rPr>
        <w:t xml:space="preserve"> </w:t>
      </w:r>
      <w:r w:rsidRPr="00190BA4" w:rsidR="004D1367">
        <w:rPr>
          <w:rFonts w:cs="Times New Roman"/>
          <w:szCs w:val="24"/>
        </w:rPr>
        <w:t xml:space="preserve">Grid Modernization II </w:t>
      </w:r>
      <w:r w:rsidRPr="00190BA4" w:rsidR="00D6493E">
        <w:rPr>
          <w:rFonts w:cs="Times New Roman"/>
          <w:szCs w:val="24"/>
        </w:rPr>
        <w:t>(</w:t>
      </w:r>
      <w:r w:rsidR="00DD6EB7">
        <w:rPr>
          <w:rFonts w:cs="Times New Roman"/>
          <w:szCs w:val="24"/>
        </w:rPr>
        <w:t>“</w:t>
      </w:r>
      <w:r w:rsidRPr="00190BA4" w:rsidR="00D6493E">
        <w:rPr>
          <w:rFonts w:cs="Times New Roman"/>
          <w:szCs w:val="24"/>
        </w:rPr>
        <w:t>Grid Mod II</w:t>
      </w:r>
      <w:r w:rsidR="00DD6EB7">
        <w:rPr>
          <w:rFonts w:cs="Times New Roman"/>
          <w:szCs w:val="24"/>
        </w:rPr>
        <w:t>”</w:t>
      </w:r>
      <w:r w:rsidRPr="00190BA4" w:rsidR="00D6493E">
        <w:rPr>
          <w:rFonts w:cs="Times New Roman"/>
          <w:szCs w:val="24"/>
        </w:rPr>
        <w:t xml:space="preserve">) </w:t>
      </w:r>
      <w:r w:rsidRPr="00190BA4" w:rsidR="004D1367">
        <w:rPr>
          <w:rFonts w:cs="Times New Roman"/>
          <w:szCs w:val="24"/>
        </w:rPr>
        <w:t xml:space="preserve">application </w:t>
      </w:r>
      <w:r w:rsidRPr="00190BA4" w:rsidR="00D0787B">
        <w:rPr>
          <w:rFonts w:cs="Times New Roman"/>
          <w:szCs w:val="24"/>
        </w:rPr>
        <w:t>seeks</w:t>
      </w:r>
      <w:r w:rsidRPr="00190BA4" w:rsidR="004D1367">
        <w:rPr>
          <w:rFonts w:cs="Times New Roman"/>
          <w:szCs w:val="24"/>
        </w:rPr>
        <w:t xml:space="preserve"> to replace these meters, though the meters are, on average, just 13 years old.</w:t>
      </w:r>
      <w:r>
        <w:rPr>
          <w:rStyle w:val="FootnoteReference"/>
          <w:rFonts w:cs="Times New Roman"/>
          <w:szCs w:val="24"/>
        </w:rPr>
        <w:footnoteReference w:id="8"/>
      </w:r>
      <w:r w:rsidRPr="00190BA4" w:rsidR="00D6493E">
        <w:rPr>
          <w:rFonts w:cs="Times New Roman"/>
          <w:szCs w:val="24"/>
        </w:rPr>
        <w:t xml:space="preserve"> </w:t>
      </w:r>
      <w:r w:rsidRPr="00190BA4" w:rsidR="008A7FD9">
        <w:rPr>
          <w:rFonts w:cs="Times New Roman"/>
          <w:szCs w:val="24"/>
        </w:rPr>
        <w:t>Although the peak-time rebate program demonstrated reductions in usage in response to notifications of savings event days,</w:t>
      </w:r>
      <w:r>
        <w:rPr>
          <w:rStyle w:val="FootnoteReference"/>
          <w:rFonts w:cs="Times New Roman"/>
          <w:szCs w:val="24"/>
        </w:rPr>
        <w:footnoteReference w:id="9"/>
      </w:r>
      <w:r w:rsidRPr="00190BA4" w:rsidR="008A7FD9">
        <w:rPr>
          <w:rFonts w:cs="Times New Roman"/>
          <w:szCs w:val="24"/>
        </w:rPr>
        <w:t xml:space="preserve"> </w:t>
      </w:r>
      <w:r w:rsidRPr="00190BA4" w:rsidR="00342B11">
        <w:rPr>
          <w:rFonts w:cs="Times New Roman"/>
          <w:szCs w:val="24"/>
        </w:rPr>
        <w:t>FirstEnergy</w:t>
      </w:r>
      <w:r w:rsidRPr="00190BA4" w:rsidR="008A7FD9">
        <w:rPr>
          <w:rFonts w:cs="Times New Roman"/>
          <w:szCs w:val="24"/>
        </w:rPr>
        <w:t xml:space="preserve"> offers no such program today. </w:t>
      </w:r>
      <w:r w:rsidRPr="00190BA4" w:rsidR="00EF63CD">
        <w:rPr>
          <w:rFonts w:cs="Times New Roman"/>
          <w:szCs w:val="24"/>
        </w:rPr>
        <w:t>FirstEnergy</w:t>
      </w:r>
      <w:r w:rsidR="00DD6EB7">
        <w:rPr>
          <w:rFonts w:cs="Times New Roman"/>
          <w:szCs w:val="24"/>
        </w:rPr>
        <w:t>’</w:t>
      </w:r>
      <w:r w:rsidRPr="00190BA4" w:rsidR="00EF63CD">
        <w:rPr>
          <w:rFonts w:cs="Times New Roman"/>
          <w:szCs w:val="24"/>
        </w:rPr>
        <w:t>s grid modernization efforts got off to a rocky start.</w:t>
      </w:r>
    </w:p>
    <w:p w:rsidR="006D4664" w:rsidRPr="00190BA4" w:rsidP="00A71F01" w14:paraId="367177DD" w14:textId="0AB24372">
      <w:pPr>
        <w:pStyle w:val="Heading2"/>
      </w:pPr>
      <w:bookmarkStart w:id="6" w:name="_Toc173315540"/>
      <w:r w:rsidRPr="00190BA4">
        <w:t>First</w:t>
      </w:r>
      <w:r w:rsidRPr="00190BA4" w:rsidR="00815D80">
        <w:t>Energy</w:t>
      </w:r>
      <w:r w:rsidRPr="00190BA4">
        <w:t xml:space="preserve"> </w:t>
      </w:r>
      <w:r w:rsidR="003B3773">
        <w:t>G</w:t>
      </w:r>
      <w:r w:rsidRPr="00190BA4">
        <w:t xml:space="preserve">rid </w:t>
      </w:r>
      <w:r w:rsidR="003B3773">
        <w:t>M</w:t>
      </w:r>
      <w:r w:rsidRPr="00190BA4">
        <w:t xml:space="preserve">odernization </w:t>
      </w:r>
      <w:r w:rsidR="003B3773">
        <w:t>P</w:t>
      </w:r>
      <w:r w:rsidRPr="00190BA4">
        <w:t>lan</w:t>
      </w:r>
      <w:bookmarkEnd w:id="6"/>
    </w:p>
    <w:p w:rsidR="007E7F6A" w:rsidRPr="00190BA4" w:rsidP="00552DAE" w14:paraId="1E4B88E8" w14:textId="7D124FD7">
      <w:pPr>
        <w:tabs>
          <w:tab w:val="left" w:pos="0"/>
        </w:tabs>
        <w:spacing w:after="0"/>
        <w:rPr>
          <w:rFonts w:cs="Times New Roman"/>
          <w:bCs/>
          <w:szCs w:val="24"/>
        </w:rPr>
      </w:pPr>
      <w:r w:rsidRPr="00190BA4">
        <w:rPr>
          <w:rFonts w:cs="Times New Roman"/>
          <w:bCs/>
          <w:szCs w:val="24"/>
        </w:rPr>
        <w:tab/>
      </w:r>
      <w:r w:rsidRPr="00190BA4" w:rsidR="00B555A1">
        <w:rPr>
          <w:rFonts w:cs="Times New Roman"/>
          <w:bCs/>
          <w:szCs w:val="24"/>
        </w:rPr>
        <w:t xml:space="preserve">In </w:t>
      </w:r>
      <w:r w:rsidRPr="00190BA4" w:rsidR="00FC58E6">
        <w:rPr>
          <w:rFonts w:cs="Times New Roman"/>
          <w:bCs/>
          <w:szCs w:val="24"/>
        </w:rPr>
        <w:t>2016</w:t>
      </w:r>
      <w:r w:rsidRPr="00190BA4" w:rsidR="00090743">
        <w:rPr>
          <w:rFonts w:cs="Times New Roman"/>
          <w:bCs/>
          <w:szCs w:val="24"/>
        </w:rPr>
        <w:t>,</w:t>
      </w:r>
      <w:r w:rsidRPr="00190BA4" w:rsidR="00FC58E6">
        <w:rPr>
          <w:rFonts w:cs="Times New Roman"/>
          <w:bCs/>
          <w:szCs w:val="24"/>
        </w:rPr>
        <w:t xml:space="preserve"> </w:t>
      </w:r>
      <w:r w:rsidRPr="00190BA4" w:rsidR="00CF6683">
        <w:rPr>
          <w:rFonts w:cs="Times New Roman"/>
          <w:bCs/>
          <w:szCs w:val="24"/>
        </w:rPr>
        <w:t>FirstEnergy</w:t>
      </w:r>
      <w:r w:rsidRPr="00190BA4" w:rsidR="00A82902">
        <w:rPr>
          <w:rFonts w:cs="Times New Roman"/>
          <w:bCs/>
          <w:szCs w:val="24"/>
        </w:rPr>
        <w:t xml:space="preserve"> </w:t>
      </w:r>
      <w:r w:rsidRPr="00190BA4" w:rsidR="00FC58E6">
        <w:rPr>
          <w:rFonts w:cs="Times New Roman"/>
          <w:bCs/>
          <w:szCs w:val="24"/>
        </w:rPr>
        <w:t xml:space="preserve">filed an application for the </w:t>
      </w:r>
      <w:r w:rsidRPr="00190BA4" w:rsidR="00B555A1">
        <w:rPr>
          <w:rFonts w:cs="Times New Roman"/>
          <w:bCs/>
          <w:szCs w:val="24"/>
        </w:rPr>
        <w:t xml:space="preserve">first phase of </w:t>
      </w:r>
      <w:r w:rsidRPr="00190BA4" w:rsidR="00996541">
        <w:rPr>
          <w:rFonts w:cs="Times New Roman"/>
          <w:bCs/>
          <w:szCs w:val="24"/>
        </w:rPr>
        <w:t xml:space="preserve">a multi-year </w:t>
      </w:r>
      <w:r w:rsidRPr="00190BA4" w:rsidR="00B555A1">
        <w:rPr>
          <w:rFonts w:cs="Times New Roman"/>
          <w:bCs/>
          <w:szCs w:val="24"/>
        </w:rPr>
        <w:t xml:space="preserve">Grid Modernization </w:t>
      </w:r>
      <w:r w:rsidRPr="00190BA4" w:rsidR="00F80FA6">
        <w:rPr>
          <w:rFonts w:cs="Times New Roman"/>
          <w:bCs/>
          <w:szCs w:val="24"/>
        </w:rPr>
        <w:t>P</w:t>
      </w:r>
      <w:r w:rsidRPr="00190BA4" w:rsidR="00B555A1">
        <w:rPr>
          <w:rFonts w:cs="Times New Roman"/>
          <w:bCs/>
          <w:szCs w:val="24"/>
        </w:rPr>
        <w:t xml:space="preserve">lan </w:t>
      </w:r>
      <w:r w:rsidRPr="00190BA4" w:rsidR="008A7FD9">
        <w:rPr>
          <w:rFonts w:cs="Times New Roman"/>
          <w:bCs/>
          <w:szCs w:val="24"/>
        </w:rPr>
        <w:t>(</w:t>
      </w:r>
      <w:r w:rsidR="00DD6EB7">
        <w:rPr>
          <w:rFonts w:cs="Times New Roman"/>
          <w:bCs/>
          <w:szCs w:val="24"/>
        </w:rPr>
        <w:t>“</w:t>
      </w:r>
      <w:r w:rsidRPr="00190BA4" w:rsidR="008A7FD9">
        <w:rPr>
          <w:rFonts w:cs="Times New Roman"/>
          <w:bCs/>
          <w:szCs w:val="24"/>
        </w:rPr>
        <w:t>Grid Mod I</w:t>
      </w:r>
      <w:r w:rsidR="00DD6EB7">
        <w:rPr>
          <w:rFonts w:cs="Times New Roman"/>
          <w:bCs/>
          <w:szCs w:val="24"/>
        </w:rPr>
        <w:t>”</w:t>
      </w:r>
      <w:r w:rsidRPr="00190BA4" w:rsidR="008A7FD9">
        <w:rPr>
          <w:rFonts w:cs="Times New Roman"/>
          <w:bCs/>
          <w:szCs w:val="24"/>
        </w:rPr>
        <w:t>)</w:t>
      </w:r>
      <w:r w:rsidRPr="00190BA4" w:rsidR="00A82902">
        <w:rPr>
          <w:rFonts w:cs="Times New Roman"/>
          <w:bCs/>
          <w:szCs w:val="24"/>
        </w:rPr>
        <w:t>.</w:t>
      </w:r>
      <w:r w:rsidRPr="00190BA4" w:rsidR="00CF1064">
        <w:rPr>
          <w:rFonts w:cs="Times New Roman"/>
          <w:bCs/>
          <w:szCs w:val="24"/>
        </w:rPr>
        <w:t xml:space="preserve"> </w:t>
      </w:r>
      <w:r w:rsidRPr="00190BA4" w:rsidR="00CF6683">
        <w:rPr>
          <w:rFonts w:cs="Times New Roman"/>
          <w:bCs/>
          <w:szCs w:val="24"/>
        </w:rPr>
        <w:t>FirstEnergy</w:t>
      </w:r>
      <w:r w:rsidRPr="00190BA4" w:rsidR="00A82902">
        <w:rPr>
          <w:rFonts w:cs="Times New Roman"/>
          <w:bCs/>
          <w:szCs w:val="24"/>
        </w:rPr>
        <w:t xml:space="preserve"> </w:t>
      </w:r>
      <w:r w:rsidRPr="00190BA4" w:rsidR="008A7FD9">
        <w:rPr>
          <w:rFonts w:cs="Times New Roman"/>
          <w:bCs/>
          <w:szCs w:val="24"/>
        </w:rPr>
        <w:t>proposed three deployment scopes and speeds for the components of its pilot program</w:t>
      </w:r>
      <w:r w:rsidRPr="00190BA4" w:rsidR="009E2CD6">
        <w:rPr>
          <w:rFonts w:cs="Times New Roman"/>
          <w:bCs/>
          <w:szCs w:val="24"/>
        </w:rPr>
        <w:t>, including</w:t>
      </w:r>
      <w:r w:rsidRPr="00190BA4" w:rsidR="008A7FD9">
        <w:rPr>
          <w:rFonts w:cs="Times New Roman"/>
          <w:bCs/>
          <w:szCs w:val="24"/>
        </w:rPr>
        <w:t xml:space="preserve"> AMI, DA, </w:t>
      </w:r>
      <w:r w:rsidRPr="00190BA4" w:rsidR="009E2CD6">
        <w:rPr>
          <w:rFonts w:cs="Times New Roman"/>
          <w:bCs/>
          <w:szCs w:val="24"/>
        </w:rPr>
        <w:t xml:space="preserve">and </w:t>
      </w:r>
      <w:r w:rsidRPr="00190BA4" w:rsidR="008A7FD9">
        <w:rPr>
          <w:rFonts w:cs="Times New Roman"/>
          <w:bCs/>
          <w:szCs w:val="24"/>
        </w:rPr>
        <w:t>IVVC, as well as an Advanced Distribution Management System (</w:t>
      </w:r>
      <w:r w:rsidR="00DD6EB7">
        <w:rPr>
          <w:rFonts w:cs="Times New Roman"/>
          <w:bCs/>
          <w:szCs w:val="24"/>
        </w:rPr>
        <w:t>“</w:t>
      </w:r>
      <w:r w:rsidRPr="00190BA4" w:rsidR="008A7FD9">
        <w:rPr>
          <w:rFonts w:cs="Times New Roman"/>
          <w:bCs/>
          <w:szCs w:val="24"/>
        </w:rPr>
        <w:t>ADMS</w:t>
      </w:r>
      <w:r w:rsidR="00DD6EB7">
        <w:rPr>
          <w:rFonts w:cs="Times New Roman"/>
          <w:bCs/>
          <w:szCs w:val="24"/>
        </w:rPr>
        <w:t>”</w:t>
      </w:r>
      <w:r w:rsidRPr="00190BA4" w:rsidR="008A7FD9">
        <w:rPr>
          <w:rFonts w:cs="Times New Roman"/>
          <w:bCs/>
          <w:szCs w:val="24"/>
        </w:rPr>
        <w:t>).</w:t>
      </w:r>
      <w:r>
        <w:rPr>
          <w:rFonts w:cs="Times New Roman"/>
          <w:bCs/>
          <w:szCs w:val="24"/>
          <w:vertAlign w:val="superscript"/>
        </w:rPr>
        <w:footnoteReference w:id="10"/>
      </w:r>
      <w:r w:rsidRPr="00190BA4" w:rsidR="00CF1064">
        <w:rPr>
          <w:rFonts w:cs="Times New Roman"/>
          <w:bCs/>
          <w:szCs w:val="24"/>
        </w:rPr>
        <w:t xml:space="preserve"> </w:t>
      </w:r>
      <w:r w:rsidRPr="00190BA4" w:rsidR="00B555A1">
        <w:rPr>
          <w:rFonts w:cs="Times New Roman"/>
          <w:bCs/>
          <w:szCs w:val="24"/>
        </w:rPr>
        <w:t xml:space="preserve">In July 2019, the </w:t>
      </w:r>
      <w:r w:rsidRPr="00190BA4" w:rsidR="00CF6683">
        <w:rPr>
          <w:rFonts w:cs="Times New Roman"/>
          <w:bCs/>
          <w:szCs w:val="24"/>
        </w:rPr>
        <w:t xml:space="preserve">PUCO </w:t>
      </w:r>
      <w:r w:rsidRPr="00190BA4" w:rsidR="00B555A1">
        <w:rPr>
          <w:rFonts w:cs="Times New Roman"/>
          <w:bCs/>
          <w:szCs w:val="24"/>
        </w:rPr>
        <w:t>approved a</w:t>
      </w:r>
      <w:r w:rsidRPr="00190BA4" w:rsidR="008A7FD9">
        <w:rPr>
          <w:rFonts w:cs="Times New Roman"/>
          <w:bCs/>
          <w:szCs w:val="24"/>
        </w:rPr>
        <w:t xml:space="preserve"> </w:t>
      </w:r>
      <w:r w:rsidRPr="00190BA4" w:rsidR="00D21261">
        <w:rPr>
          <w:rFonts w:cs="Times New Roman"/>
          <w:bCs/>
          <w:szCs w:val="24"/>
        </w:rPr>
        <w:t xml:space="preserve">Supplemental </w:t>
      </w:r>
      <w:r w:rsidRPr="00190BA4" w:rsidR="008A7FD9">
        <w:rPr>
          <w:rFonts w:cs="Times New Roman"/>
          <w:bCs/>
          <w:szCs w:val="24"/>
        </w:rPr>
        <w:t xml:space="preserve">Stipulation </w:t>
      </w:r>
      <w:r w:rsidRPr="00190BA4" w:rsidR="00D21261">
        <w:rPr>
          <w:rFonts w:cs="Times New Roman"/>
          <w:bCs/>
          <w:szCs w:val="24"/>
        </w:rPr>
        <w:t>and Recomme</w:t>
      </w:r>
      <w:r w:rsidRPr="00190BA4" w:rsidR="00ED29F0">
        <w:rPr>
          <w:rFonts w:cs="Times New Roman"/>
          <w:bCs/>
          <w:szCs w:val="24"/>
        </w:rPr>
        <w:t>n</w:t>
      </w:r>
      <w:r w:rsidRPr="00190BA4" w:rsidR="00D21261">
        <w:rPr>
          <w:rFonts w:cs="Times New Roman"/>
          <w:bCs/>
          <w:szCs w:val="24"/>
        </w:rPr>
        <w:t xml:space="preserve">dation </w:t>
      </w:r>
      <w:r w:rsidRPr="00190BA4" w:rsidR="00B555A1">
        <w:rPr>
          <w:rFonts w:cs="Times New Roman"/>
          <w:bCs/>
          <w:szCs w:val="24"/>
        </w:rPr>
        <w:t>calling for</w:t>
      </w:r>
      <w:r w:rsidRPr="00190BA4" w:rsidR="008A7FD9">
        <w:rPr>
          <w:rFonts w:cs="Times New Roman"/>
          <w:bCs/>
          <w:szCs w:val="24"/>
        </w:rPr>
        <w:t xml:space="preserve"> an initial three-year deployment</w:t>
      </w:r>
      <w:r w:rsidRPr="00190BA4" w:rsidR="00090743">
        <w:rPr>
          <w:rFonts w:cs="Times New Roman"/>
          <w:bCs/>
          <w:szCs w:val="24"/>
        </w:rPr>
        <w:t xml:space="preserve"> Grid Mod I</w:t>
      </w:r>
      <w:r w:rsidRPr="00190BA4" w:rsidR="006D196D">
        <w:rPr>
          <w:rFonts w:cs="Times New Roman"/>
          <w:bCs/>
          <w:szCs w:val="24"/>
        </w:rPr>
        <w:t>.</w:t>
      </w:r>
      <w:r w:rsidRPr="00190BA4" w:rsidR="00CF1064">
        <w:rPr>
          <w:rFonts w:cs="Times New Roman"/>
          <w:bCs/>
          <w:szCs w:val="24"/>
        </w:rPr>
        <w:t xml:space="preserve"> </w:t>
      </w:r>
      <w:r w:rsidRPr="00190BA4" w:rsidR="006D196D">
        <w:rPr>
          <w:rFonts w:cs="Times New Roman"/>
          <w:bCs/>
          <w:szCs w:val="24"/>
        </w:rPr>
        <w:t>Th</w:t>
      </w:r>
      <w:r w:rsidRPr="00190BA4" w:rsidR="006135FD">
        <w:rPr>
          <w:rFonts w:cs="Times New Roman"/>
          <w:bCs/>
          <w:szCs w:val="24"/>
        </w:rPr>
        <w:t xml:space="preserve">is </w:t>
      </w:r>
      <w:r w:rsidRPr="00190BA4" w:rsidR="006D196D">
        <w:rPr>
          <w:rFonts w:cs="Times New Roman"/>
          <w:bCs/>
          <w:szCs w:val="24"/>
        </w:rPr>
        <w:t xml:space="preserve">settlement agreement </w:t>
      </w:r>
      <w:r w:rsidRPr="00190BA4" w:rsidR="008A7FD9">
        <w:rPr>
          <w:rFonts w:cs="Times New Roman"/>
          <w:bCs/>
          <w:szCs w:val="24"/>
        </w:rPr>
        <w:t>limit</w:t>
      </w:r>
      <w:r w:rsidRPr="00190BA4" w:rsidR="0061047A">
        <w:rPr>
          <w:rFonts w:cs="Times New Roman"/>
          <w:bCs/>
          <w:szCs w:val="24"/>
        </w:rPr>
        <w:t>ed</w:t>
      </w:r>
      <w:r w:rsidRPr="00190BA4" w:rsidR="008A7FD9">
        <w:rPr>
          <w:rFonts w:cs="Times New Roman"/>
          <w:bCs/>
          <w:szCs w:val="24"/>
        </w:rPr>
        <w:t xml:space="preserve"> </w:t>
      </w:r>
      <w:r w:rsidRPr="00190BA4" w:rsidR="00E60407">
        <w:rPr>
          <w:rFonts w:cs="Times New Roman"/>
          <w:bCs/>
          <w:szCs w:val="24"/>
        </w:rPr>
        <w:t xml:space="preserve">Grid Mod I </w:t>
      </w:r>
      <w:r w:rsidRPr="00190BA4" w:rsidR="008A7FD9">
        <w:rPr>
          <w:rFonts w:cs="Times New Roman"/>
          <w:bCs/>
          <w:szCs w:val="24"/>
        </w:rPr>
        <w:t>spending to $516 million in capital and $139 million in O&amp;M, with costs to be</w:t>
      </w:r>
      <w:r w:rsidRPr="00190BA4" w:rsidR="00090743">
        <w:rPr>
          <w:rFonts w:cs="Times New Roman"/>
          <w:bCs/>
          <w:szCs w:val="24"/>
        </w:rPr>
        <w:t xml:space="preserve"> charged to consumers</w:t>
      </w:r>
      <w:r w:rsidRPr="00190BA4" w:rsidR="008A7FD9">
        <w:rPr>
          <w:rFonts w:cs="Times New Roman"/>
          <w:bCs/>
          <w:szCs w:val="24"/>
        </w:rPr>
        <w:t xml:space="preserve"> through Rider AMI.</w:t>
      </w:r>
      <w:r>
        <w:rPr>
          <w:rFonts w:cs="Times New Roman"/>
          <w:bCs/>
          <w:szCs w:val="24"/>
          <w:vertAlign w:val="superscript"/>
        </w:rPr>
        <w:footnoteReference w:id="11"/>
      </w:r>
      <w:r w:rsidRPr="00190BA4" w:rsidR="00CF1064">
        <w:rPr>
          <w:rFonts w:cs="Times New Roman"/>
          <w:bCs/>
          <w:szCs w:val="24"/>
        </w:rPr>
        <w:t xml:space="preserve"> </w:t>
      </w:r>
      <w:r w:rsidRPr="00190BA4" w:rsidR="00EC3C79">
        <w:rPr>
          <w:rFonts w:cs="Times New Roman"/>
          <w:bCs/>
          <w:szCs w:val="24"/>
        </w:rPr>
        <w:t>This approval occurred even while</w:t>
      </w:r>
      <w:r w:rsidRPr="00190BA4" w:rsidR="002D2BC5">
        <w:rPr>
          <w:rFonts w:cs="Times New Roman"/>
          <w:bCs/>
          <w:szCs w:val="24"/>
        </w:rPr>
        <w:t xml:space="preserve"> FirstEnergy </w:t>
      </w:r>
      <w:r w:rsidRPr="00190BA4" w:rsidR="00CF6683">
        <w:rPr>
          <w:rFonts w:cs="Times New Roman"/>
          <w:bCs/>
          <w:szCs w:val="24"/>
        </w:rPr>
        <w:t xml:space="preserve">consumers </w:t>
      </w:r>
      <w:r w:rsidRPr="00190BA4" w:rsidR="002D2BC5">
        <w:rPr>
          <w:rFonts w:cs="Times New Roman"/>
          <w:bCs/>
          <w:szCs w:val="24"/>
        </w:rPr>
        <w:t>were</w:t>
      </w:r>
      <w:r w:rsidRPr="00190BA4" w:rsidR="00090743">
        <w:rPr>
          <w:rFonts w:cs="Times New Roman"/>
          <w:bCs/>
          <w:szCs w:val="24"/>
        </w:rPr>
        <w:t xml:space="preserve"> already</w:t>
      </w:r>
      <w:r w:rsidRPr="00190BA4" w:rsidR="002D2BC5">
        <w:rPr>
          <w:rFonts w:cs="Times New Roman"/>
          <w:bCs/>
          <w:szCs w:val="24"/>
        </w:rPr>
        <w:t xml:space="preserve"> paying for </w:t>
      </w:r>
      <w:r w:rsidRPr="00190BA4" w:rsidR="00090743">
        <w:rPr>
          <w:rFonts w:cs="Times New Roman"/>
          <w:bCs/>
          <w:szCs w:val="24"/>
        </w:rPr>
        <w:t>R</w:t>
      </w:r>
      <w:r w:rsidRPr="00190BA4" w:rsidR="002D2BC5">
        <w:rPr>
          <w:rFonts w:cs="Times New Roman"/>
          <w:bCs/>
          <w:szCs w:val="24"/>
        </w:rPr>
        <w:t>ider DMR</w:t>
      </w:r>
      <w:r w:rsidRPr="00190BA4" w:rsidR="00ED5487">
        <w:rPr>
          <w:rFonts w:cs="Times New Roman"/>
          <w:bCs/>
          <w:szCs w:val="24"/>
        </w:rPr>
        <w:t>, which</w:t>
      </w:r>
      <w:r w:rsidRPr="00190BA4" w:rsidR="00090743">
        <w:rPr>
          <w:rFonts w:cs="Times New Roman"/>
          <w:bCs/>
          <w:szCs w:val="24"/>
        </w:rPr>
        <w:t>, as demonstrated by</w:t>
      </w:r>
      <w:r w:rsidRPr="00190BA4" w:rsidR="00ED5487">
        <w:rPr>
          <w:rFonts w:cs="Times New Roman"/>
          <w:bCs/>
          <w:szCs w:val="24"/>
        </w:rPr>
        <w:t xml:space="preserve"> </w:t>
      </w:r>
      <w:r w:rsidRPr="00190BA4" w:rsidR="00090743">
        <w:rPr>
          <w:rFonts w:cs="Times New Roman"/>
          <w:bCs/>
          <w:szCs w:val="24"/>
        </w:rPr>
        <w:t>a</w:t>
      </w:r>
      <w:r w:rsidRPr="00190BA4" w:rsidR="00ED5487">
        <w:rPr>
          <w:rFonts w:cs="Times New Roman"/>
          <w:bCs/>
          <w:szCs w:val="24"/>
        </w:rPr>
        <w:t xml:space="preserve"> subsequent audit</w:t>
      </w:r>
      <w:r w:rsidRPr="00190BA4" w:rsidR="00090743">
        <w:rPr>
          <w:rFonts w:cs="Times New Roman"/>
          <w:bCs/>
          <w:szCs w:val="24"/>
        </w:rPr>
        <w:t>,</w:t>
      </w:r>
      <w:r w:rsidRPr="00190BA4" w:rsidR="002C2D26">
        <w:rPr>
          <w:rFonts w:cs="Times New Roman"/>
          <w:bCs/>
          <w:szCs w:val="24"/>
        </w:rPr>
        <w:t xml:space="preserve"> w</w:t>
      </w:r>
      <w:r w:rsidRPr="00190BA4" w:rsidR="00ED5487">
        <w:rPr>
          <w:rFonts w:cs="Times New Roman"/>
          <w:bCs/>
          <w:szCs w:val="24"/>
        </w:rPr>
        <w:t xml:space="preserve">as not </w:t>
      </w:r>
      <w:r w:rsidRPr="00190BA4" w:rsidR="00090743">
        <w:rPr>
          <w:rFonts w:cs="Times New Roman"/>
          <w:bCs/>
          <w:szCs w:val="24"/>
        </w:rPr>
        <w:t xml:space="preserve">used by FirstEnergy </w:t>
      </w:r>
      <w:r w:rsidRPr="00190BA4" w:rsidR="00ED5487">
        <w:rPr>
          <w:rFonts w:cs="Times New Roman"/>
          <w:bCs/>
          <w:szCs w:val="24"/>
        </w:rPr>
        <w:t xml:space="preserve">to modernize </w:t>
      </w:r>
      <w:r w:rsidRPr="00190BA4" w:rsidR="00090743">
        <w:rPr>
          <w:rFonts w:cs="Times New Roman"/>
          <w:bCs/>
          <w:szCs w:val="24"/>
        </w:rPr>
        <w:t>the</w:t>
      </w:r>
      <w:r w:rsidRPr="00190BA4" w:rsidR="00894AD4">
        <w:rPr>
          <w:rFonts w:cs="Times New Roman"/>
          <w:bCs/>
          <w:szCs w:val="24"/>
        </w:rPr>
        <w:t xml:space="preserve"> </w:t>
      </w:r>
      <w:r w:rsidRPr="00190BA4" w:rsidR="00ED5487">
        <w:rPr>
          <w:rFonts w:cs="Times New Roman"/>
          <w:bCs/>
          <w:szCs w:val="24"/>
        </w:rPr>
        <w:t>grid</w:t>
      </w:r>
      <w:r w:rsidRPr="00190BA4" w:rsidR="006310E2">
        <w:rPr>
          <w:rFonts w:cs="Times New Roman"/>
          <w:bCs/>
          <w:szCs w:val="24"/>
        </w:rPr>
        <w:t>.</w:t>
      </w:r>
      <w:r>
        <w:rPr>
          <w:rStyle w:val="FootnoteReference"/>
          <w:rFonts w:cs="Times New Roman"/>
          <w:bCs/>
          <w:szCs w:val="24"/>
        </w:rPr>
        <w:footnoteReference w:id="12"/>
      </w:r>
    </w:p>
    <w:p w:rsidR="00211C7D" w:rsidRPr="00190BA4" w:rsidP="000E0934" w14:paraId="6D422936" w14:textId="60DEC487">
      <w:pPr>
        <w:tabs>
          <w:tab w:val="left" w:pos="0"/>
        </w:tabs>
        <w:spacing w:after="0"/>
        <w:rPr>
          <w:rFonts w:cs="Times New Roman"/>
          <w:bCs/>
          <w:szCs w:val="24"/>
        </w:rPr>
      </w:pPr>
      <w:r w:rsidRPr="00190BA4">
        <w:rPr>
          <w:rFonts w:cs="Times New Roman"/>
          <w:bCs/>
          <w:szCs w:val="24"/>
        </w:rPr>
        <w:tab/>
      </w:r>
      <w:r w:rsidRPr="00190BA4" w:rsidR="008A7FD9">
        <w:rPr>
          <w:rFonts w:cs="Times New Roman"/>
          <w:bCs/>
          <w:szCs w:val="24"/>
        </w:rPr>
        <w:t xml:space="preserve">The </w:t>
      </w:r>
      <w:r w:rsidRPr="00190BA4" w:rsidR="004D4B57">
        <w:rPr>
          <w:rFonts w:cs="Times New Roman"/>
          <w:bCs/>
          <w:szCs w:val="24"/>
        </w:rPr>
        <w:t xml:space="preserve">supplemental settlement </w:t>
      </w:r>
      <w:r w:rsidRPr="00190BA4" w:rsidR="008A7FD9">
        <w:rPr>
          <w:rFonts w:cs="Times New Roman"/>
          <w:bCs/>
          <w:szCs w:val="24"/>
        </w:rPr>
        <w:t>required</w:t>
      </w:r>
      <w:r w:rsidRPr="00190BA4" w:rsidR="0060219A">
        <w:rPr>
          <w:rFonts w:cs="Times New Roman"/>
          <w:bCs/>
          <w:szCs w:val="24"/>
        </w:rPr>
        <w:t xml:space="preserve"> </w:t>
      </w:r>
      <w:r w:rsidRPr="00190BA4" w:rsidR="00CF6683">
        <w:rPr>
          <w:rFonts w:cs="Times New Roman"/>
          <w:bCs/>
          <w:szCs w:val="24"/>
        </w:rPr>
        <w:t xml:space="preserve">the PUCO </w:t>
      </w:r>
      <w:r w:rsidRPr="00190BA4" w:rsidR="008A7FD9">
        <w:rPr>
          <w:rFonts w:cs="Times New Roman"/>
          <w:bCs/>
          <w:szCs w:val="24"/>
        </w:rPr>
        <w:t xml:space="preserve">Staff to oversee an </w:t>
      </w:r>
      <w:r w:rsidRPr="00190BA4" w:rsidR="00F846B6">
        <w:rPr>
          <w:rFonts w:cs="Times New Roman"/>
          <w:bCs/>
          <w:szCs w:val="24"/>
        </w:rPr>
        <w:t>assessment</w:t>
      </w:r>
      <w:r w:rsidRPr="00190BA4" w:rsidR="008A7FD9">
        <w:rPr>
          <w:rFonts w:cs="Times New Roman"/>
          <w:bCs/>
          <w:szCs w:val="24"/>
        </w:rPr>
        <w:t xml:space="preserve"> to evaluate whether the actual functionality and performance of Grid Mod I delivered on anticipated capabilities and benefits</w:t>
      </w:r>
      <w:r w:rsidRPr="00190BA4" w:rsidR="00451871">
        <w:rPr>
          <w:rFonts w:cs="Times New Roman"/>
          <w:bCs/>
          <w:szCs w:val="24"/>
        </w:rPr>
        <w:t xml:space="preserve"> to consumers</w:t>
      </w:r>
      <w:r w:rsidRPr="00190BA4" w:rsidR="00D21261">
        <w:rPr>
          <w:rFonts w:cs="Times New Roman"/>
          <w:bCs/>
          <w:szCs w:val="24"/>
        </w:rPr>
        <w:t>.</w:t>
      </w:r>
      <w:r>
        <w:rPr>
          <w:rFonts w:cs="Times New Roman"/>
          <w:bCs/>
          <w:szCs w:val="24"/>
          <w:vertAlign w:val="superscript"/>
        </w:rPr>
        <w:footnoteReference w:id="13"/>
      </w:r>
      <w:r w:rsidRPr="00190BA4" w:rsidR="00CF1064">
        <w:rPr>
          <w:rFonts w:cs="Times New Roman"/>
          <w:bCs/>
          <w:szCs w:val="24"/>
        </w:rPr>
        <w:t xml:space="preserve"> </w:t>
      </w:r>
      <w:r w:rsidRPr="00190BA4">
        <w:rPr>
          <w:rFonts w:cs="Times New Roman"/>
          <w:bCs/>
          <w:szCs w:val="24"/>
        </w:rPr>
        <w:t>To this end, a</w:t>
      </w:r>
      <w:r w:rsidRPr="00190BA4" w:rsidR="00F63BAF">
        <w:rPr>
          <w:rFonts w:cs="Times New Roman"/>
          <w:bCs/>
          <w:szCs w:val="24"/>
        </w:rPr>
        <w:t xml:space="preserve">n </w:t>
      </w:r>
      <w:r w:rsidRPr="00190BA4" w:rsidR="00692174">
        <w:rPr>
          <w:rFonts w:cs="Times New Roman"/>
          <w:bCs/>
          <w:szCs w:val="24"/>
        </w:rPr>
        <w:t xml:space="preserve">auditor </w:t>
      </w:r>
      <w:r w:rsidRPr="00190BA4" w:rsidR="00F63BAF">
        <w:rPr>
          <w:rFonts w:cs="Times New Roman"/>
          <w:bCs/>
          <w:szCs w:val="24"/>
        </w:rPr>
        <w:t xml:space="preserve">selected and overseen by </w:t>
      </w:r>
      <w:r w:rsidRPr="00190BA4" w:rsidR="00CF6683">
        <w:rPr>
          <w:rFonts w:cs="Times New Roman"/>
          <w:bCs/>
          <w:szCs w:val="24"/>
        </w:rPr>
        <w:t xml:space="preserve">PUCO </w:t>
      </w:r>
      <w:r w:rsidRPr="00190BA4" w:rsidR="00F63BAF">
        <w:rPr>
          <w:rFonts w:cs="Times New Roman"/>
          <w:bCs/>
          <w:szCs w:val="24"/>
        </w:rPr>
        <w:t xml:space="preserve">Staff </w:t>
      </w:r>
      <w:r w:rsidRPr="00190BA4" w:rsidR="00692174">
        <w:rPr>
          <w:rFonts w:cs="Times New Roman"/>
          <w:bCs/>
          <w:szCs w:val="24"/>
        </w:rPr>
        <w:t xml:space="preserve">examined 22 different operational benefits </w:t>
      </w:r>
      <w:r w:rsidRPr="00190BA4" w:rsidR="00CF6683">
        <w:rPr>
          <w:rFonts w:cs="Times New Roman"/>
          <w:bCs/>
          <w:szCs w:val="24"/>
        </w:rPr>
        <w:t>FirstEnergy</w:t>
      </w:r>
      <w:r w:rsidRPr="00190BA4" w:rsidR="00692174">
        <w:rPr>
          <w:rFonts w:cs="Times New Roman"/>
          <w:bCs/>
          <w:szCs w:val="24"/>
        </w:rPr>
        <w:t xml:space="preserve"> projected in their Grid Mod I business plan.</w:t>
      </w:r>
      <w:r w:rsidRPr="00190BA4" w:rsidR="00CF1064">
        <w:rPr>
          <w:rFonts w:cs="Times New Roman"/>
          <w:bCs/>
          <w:szCs w:val="24"/>
        </w:rPr>
        <w:t xml:space="preserve"> </w:t>
      </w:r>
      <w:bookmarkStart w:id="8" w:name="_Hlk168578558"/>
      <w:r w:rsidRPr="00190BA4" w:rsidR="00692174">
        <w:rPr>
          <w:rFonts w:cs="Times New Roman"/>
          <w:bCs/>
          <w:szCs w:val="24"/>
        </w:rPr>
        <w:t>The auditor concluded</w:t>
      </w:r>
      <w:r w:rsidRPr="00190BA4">
        <w:rPr>
          <w:rFonts w:cs="Times New Roman"/>
          <w:bCs/>
          <w:szCs w:val="24"/>
        </w:rPr>
        <w:t xml:space="preserve"> that</w:t>
      </w:r>
      <w:r w:rsidRPr="00190BA4" w:rsidR="009A0DDD">
        <w:rPr>
          <w:rFonts w:cs="Times New Roman"/>
          <w:bCs/>
          <w:szCs w:val="24"/>
        </w:rPr>
        <w:t>:</w:t>
      </w:r>
      <w:r w:rsidRPr="00190BA4" w:rsidR="00692174">
        <w:rPr>
          <w:rFonts w:cs="Times New Roman"/>
          <w:bCs/>
          <w:szCs w:val="24"/>
        </w:rPr>
        <w:t xml:space="preserve"> </w:t>
      </w:r>
      <w:r w:rsidRPr="00190BA4" w:rsidR="00F846B6">
        <w:rPr>
          <w:rFonts w:cs="Times New Roman"/>
          <w:bCs/>
          <w:szCs w:val="24"/>
        </w:rPr>
        <w:t>1) that the level of benefits documented did not match the level of benefits projected; 2) that data documenting benefit delivery was</w:t>
      </w:r>
      <w:r w:rsidRPr="00190BA4" w:rsidR="00F846B6">
        <w:rPr>
          <w:rFonts w:cs="Times New Roman"/>
          <w:szCs w:val="24"/>
        </w:rPr>
        <w:t xml:space="preserve"> </w:t>
      </w:r>
      <w:r w:rsidRPr="00190BA4" w:rsidR="00F846B6">
        <w:rPr>
          <w:rFonts w:cs="Times New Roman"/>
          <w:bCs/>
          <w:szCs w:val="24"/>
        </w:rPr>
        <w:t>unavailable; and 3) that inadequate resources had been dedicated to securing the benefits FirstEnergy projected from their Grid Mod I deployment.</w:t>
      </w:r>
      <w:r>
        <w:rPr>
          <w:rStyle w:val="FootnoteReference"/>
          <w:rFonts w:cs="Times New Roman"/>
          <w:bCs/>
          <w:szCs w:val="24"/>
        </w:rPr>
        <w:footnoteReference w:id="14"/>
      </w:r>
    </w:p>
    <w:bookmarkEnd w:id="8"/>
    <w:p w:rsidR="00EC3C79" w:rsidRPr="00190BA4" w:rsidP="00EC3C79" w14:paraId="43BB71A5" w14:textId="7FB6A36B">
      <w:pPr>
        <w:tabs>
          <w:tab w:val="left" w:pos="0"/>
        </w:tabs>
        <w:spacing w:after="0"/>
        <w:rPr>
          <w:rFonts w:cs="Times New Roman"/>
          <w:bCs/>
          <w:szCs w:val="24"/>
        </w:rPr>
      </w:pPr>
      <w:r w:rsidRPr="00190BA4">
        <w:rPr>
          <w:rFonts w:cs="Times New Roman"/>
          <w:bCs/>
          <w:szCs w:val="24"/>
        </w:rPr>
        <w:tab/>
      </w:r>
      <w:r w:rsidRPr="00190BA4" w:rsidR="002B1CAE">
        <w:rPr>
          <w:rFonts w:cs="Times New Roman"/>
          <w:bCs/>
          <w:szCs w:val="24"/>
        </w:rPr>
        <w:t>In July 2022, even though</w:t>
      </w:r>
      <w:r w:rsidRPr="00190BA4" w:rsidR="008A7FD9">
        <w:rPr>
          <w:rFonts w:cs="Times New Roman"/>
          <w:bCs/>
          <w:szCs w:val="24"/>
        </w:rPr>
        <w:t xml:space="preserve"> the </w:t>
      </w:r>
      <w:r w:rsidRPr="00190BA4" w:rsidR="00D842C9">
        <w:rPr>
          <w:rFonts w:cs="Times New Roman"/>
          <w:bCs/>
          <w:szCs w:val="24"/>
        </w:rPr>
        <w:t xml:space="preserve">auditor had not yet completed the </w:t>
      </w:r>
      <w:r w:rsidRPr="00190BA4" w:rsidR="00C50E27">
        <w:rPr>
          <w:rFonts w:cs="Times New Roman"/>
          <w:bCs/>
          <w:szCs w:val="24"/>
        </w:rPr>
        <w:t>o</w:t>
      </w:r>
      <w:r w:rsidRPr="00190BA4" w:rsidR="008A7FD9">
        <w:rPr>
          <w:rFonts w:cs="Times New Roman"/>
          <w:bCs/>
          <w:szCs w:val="24"/>
        </w:rPr>
        <w:t xml:space="preserve">perational </w:t>
      </w:r>
      <w:r w:rsidRPr="00190BA4" w:rsidR="00C50E27">
        <w:rPr>
          <w:rFonts w:cs="Times New Roman"/>
          <w:bCs/>
          <w:szCs w:val="24"/>
        </w:rPr>
        <w:t>b</w:t>
      </w:r>
      <w:r w:rsidRPr="00190BA4" w:rsidR="008A7FD9">
        <w:rPr>
          <w:rFonts w:cs="Times New Roman"/>
          <w:bCs/>
          <w:szCs w:val="24"/>
        </w:rPr>
        <w:t>enefit</w:t>
      </w:r>
      <w:r w:rsidRPr="00190BA4" w:rsidR="00792189">
        <w:rPr>
          <w:rFonts w:cs="Times New Roman"/>
          <w:bCs/>
          <w:szCs w:val="24"/>
        </w:rPr>
        <w:t>s</w:t>
      </w:r>
      <w:r w:rsidRPr="00190BA4" w:rsidR="008A7FD9">
        <w:rPr>
          <w:rFonts w:cs="Times New Roman"/>
          <w:bCs/>
          <w:szCs w:val="24"/>
        </w:rPr>
        <w:t xml:space="preserve"> </w:t>
      </w:r>
      <w:r w:rsidRPr="00190BA4" w:rsidR="00C50E27">
        <w:rPr>
          <w:rFonts w:cs="Times New Roman"/>
          <w:bCs/>
          <w:szCs w:val="24"/>
        </w:rPr>
        <w:t>a</w:t>
      </w:r>
      <w:r w:rsidRPr="00190BA4" w:rsidR="008A7FD9">
        <w:rPr>
          <w:rFonts w:cs="Times New Roman"/>
          <w:bCs/>
          <w:szCs w:val="24"/>
        </w:rPr>
        <w:t>ssessment</w:t>
      </w:r>
      <w:r w:rsidRPr="00190BA4" w:rsidR="00D842C9">
        <w:rPr>
          <w:rFonts w:cs="Times New Roman"/>
          <w:bCs/>
          <w:szCs w:val="24"/>
        </w:rPr>
        <w:t xml:space="preserve"> o</w:t>
      </w:r>
      <w:r w:rsidRPr="00190BA4" w:rsidR="00143ED2">
        <w:rPr>
          <w:rFonts w:cs="Times New Roman"/>
          <w:bCs/>
          <w:szCs w:val="24"/>
        </w:rPr>
        <w:t>f</w:t>
      </w:r>
      <w:r w:rsidRPr="00190BA4" w:rsidR="00D842C9">
        <w:rPr>
          <w:rFonts w:cs="Times New Roman"/>
          <w:bCs/>
          <w:szCs w:val="24"/>
        </w:rPr>
        <w:t xml:space="preserve"> Grid Mod I, </w:t>
      </w:r>
      <w:r w:rsidRPr="00190BA4" w:rsidR="00CF6683">
        <w:rPr>
          <w:rFonts w:cs="Times New Roman"/>
          <w:bCs/>
          <w:szCs w:val="24"/>
        </w:rPr>
        <w:t>FirstEnergy</w:t>
      </w:r>
      <w:r w:rsidRPr="00190BA4" w:rsidR="00D842C9">
        <w:rPr>
          <w:rFonts w:cs="Times New Roman"/>
          <w:bCs/>
          <w:szCs w:val="24"/>
        </w:rPr>
        <w:t xml:space="preserve"> submitted an application </w:t>
      </w:r>
      <w:r w:rsidRPr="00190BA4" w:rsidR="000652FD">
        <w:rPr>
          <w:rFonts w:cs="Times New Roman"/>
          <w:bCs/>
          <w:szCs w:val="24"/>
        </w:rPr>
        <w:t xml:space="preserve">for </w:t>
      </w:r>
      <w:r w:rsidRPr="00190BA4" w:rsidR="00FA7795">
        <w:rPr>
          <w:rFonts w:cs="Times New Roman"/>
          <w:bCs/>
          <w:szCs w:val="24"/>
        </w:rPr>
        <w:t>Grid Mod II</w:t>
      </w:r>
      <w:r w:rsidRPr="00190BA4" w:rsidR="000652FD">
        <w:rPr>
          <w:rFonts w:cs="Times New Roman"/>
          <w:bCs/>
          <w:szCs w:val="24"/>
        </w:rPr>
        <w:t>.</w:t>
      </w:r>
      <w:r w:rsidRPr="00190BA4" w:rsidR="00894AD4">
        <w:rPr>
          <w:rFonts w:cs="Times New Roman"/>
          <w:bCs/>
          <w:szCs w:val="24"/>
        </w:rPr>
        <w:t xml:space="preserve"> </w:t>
      </w:r>
      <w:r w:rsidRPr="00190BA4" w:rsidR="000652FD">
        <w:rPr>
          <w:rFonts w:cs="Times New Roman"/>
          <w:bCs/>
          <w:szCs w:val="24"/>
        </w:rPr>
        <w:t xml:space="preserve">FirstEnergy </w:t>
      </w:r>
      <w:r w:rsidRPr="00190BA4" w:rsidR="00FA7795">
        <w:rPr>
          <w:rFonts w:cs="Times New Roman"/>
          <w:bCs/>
          <w:szCs w:val="24"/>
        </w:rPr>
        <w:t>propos</w:t>
      </w:r>
      <w:r w:rsidRPr="00190BA4" w:rsidR="000652FD">
        <w:rPr>
          <w:rFonts w:cs="Times New Roman"/>
          <w:bCs/>
          <w:szCs w:val="24"/>
        </w:rPr>
        <w:t>ed</w:t>
      </w:r>
      <w:r w:rsidRPr="00190BA4" w:rsidR="00FA7795">
        <w:rPr>
          <w:rFonts w:cs="Times New Roman"/>
          <w:bCs/>
          <w:szCs w:val="24"/>
        </w:rPr>
        <w:t xml:space="preserve"> </w:t>
      </w:r>
      <w:r w:rsidRPr="00190BA4" w:rsidR="008A7FD9">
        <w:rPr>
          <w:rFonts w:cs="Times New Roman"/>
          <w:bCs/>
          <w:szCs w:val="24"/>
        </w:rPr>
        <w:t>another $626 million in capital spending and</w:t>
      </w:r>
      <w:r w:rsidRPr="00190BA4" w:rsidR="006839CD">
        <w:rPr>
          <w:rFonts w:cs="Times New Roman"/>
          <w:bCs/>
          <w:szCs w:val="24"/>
        </w:rPr>
        <w:t xml:space="preserve"> </w:t>
      </w:r>
      <w:r w:rsidRPr="00190BA4" w:rsidR="008A7FD9">
        <w:rPr>
          <w:rFonts w:cs="Times New Roman"/>
          <w:bCs/>
          <w:szCs w:val="24"/>
        </w:rPr>
        <w:t>$300 million in O&amp;M spending</w:t>
      </w:r>
      <w:r w:rsidRPr="00190BA4" w:rsidR="00FA7795">
        <w:rPr>
          <w:rFonts w:cs="Times New Roman"/>
          <w:bCs/>
          <w:szCs w:val="24"/>
        </w:rPr>
        <w:t>,</w:t>
      </w:r>
      <w:r w:rsidRPr="00190BA4" w:rsidR="008A7FD9">
        <w:rPr>
          <w:rFonts w:cs="Times New Roman"/>
          <w:bCs/>
          <w:szCs w:val="24"/>
        </w:rPr>
        <w:t xml:space="preserve"> </w:t>
      </w:r>
      <w:r w:rsidRPr="00190BA4" w:rsidR="00FA7795">
        <w:rPr>
          <w:rFonts w:cs="Times New Roman"/>
          <w:bCs/>
          <w:szCs w:val="24"/>
        </w:rPr>
        <w:t>expanding</w:t>
      </w:r>
      <w:r w:rsidRPr="00190BA4" w:rsidR="008A7FD9">
        <w:rPr>
          <w:rFonts w:cs="Times New Roman"/>
          <w:bCs/>
          <w:szCs w:val="24"/>
        </w:rPr>
        <w:t xml:space="preserve"> AMI </w:t>
      </w:r>
      <w:r w:rsidRPr="00190BA4" w:rsidR="006839CD">
        <w:rPr>
          <w:rFonts w:cs="Times New Roman"/>
          <w:bCs/>
          <w:szCs w:val="24"/>
        </w:rPr>
        <w:t xml:space="preserve">to </w:t>
      </w:r>
      <w:r w:rsidRPr="00190BA4" w:rsidR="008A7FD9">
        <w:rPr>
          <w:rFonts w:cs="Times New Roman"/>
          <w:bCs/>
          <w:szCs w:val="24"/>
        </w:rPr>
        <w:t>700,000</w:t>
      </w:r>
      <w:r w:rsidRPr="00190BA4" w:rsidR="00C16ABD">
        <w:rPr>
          <w:rFonts w:cs="Times New Roman"/>
          <w:bCs/>
          <w:szCs w:val="24"/>
        </w:rPr>
        <w:t xml:space="preserve"> </w:t>
      </w:r>
      <w:r w:rsidRPr="00190BA4" w:rsidR="00FA7795">
        <w:rPr>
          <w:rFonts w:cs="Times New Roman"/>
          <w:bCs/>
          <w:szCs w:val="24"/>
        </w:rPr>
        <w:t xml:space="preserve">more </w:t>
      </w:r>
      <w:r w:rsidRPr="00190BA4" w:rsidR="00CF6683">
        <w:rPr>
          <w:rFonts w:cs="Times New Roman"/>
          <w:bCs/>
          <w:szCs w:val="24"/>
        </w:rPr>
        <w:t>consumers</w:t>
      </w:r>
      <w:r w:rsidRPr="00190BA4" w:rsidR="008A7FD9">
        <w:rPr>
          <w:rFonts w:cs="Times New Roman"/>
          <w:bCs/>
          <w:szCs w:val="24"/>
        </w:rPr>
        <w:t xml:space="preserve">, adding DA and IVVC to hundreds more circuits, and </w:t>
      </w:r>
      <w:r w:rsidR="00DD6EB7">
        <w:rPr>
          <w:rFonts w:cs="Times New Roman"/>
          <w:bCs/>
          <w:szCs w:val="24"/>
        </w:rPr>
        <w:t>“</w:t>
      </w:r>
      <w:r w:rsidRPr="00190BA4" w:rsidR="008A7FD9">
        <w:rPr>
          <w:rFonts w:cs="Times New Roman"/>
          <w:bCs/>
          <w:szCs w:val="24"/>
        </w:rPr>
        <w:t>enhancing</w:t>
      </w:r>
      <w:r w:rsidR="00DD6EB7">
        <w:rPr>
          <w:rFonts w:cs="Times New Roman"/>
          <w:bCs/>
          <w:szCs w:val="24"/>
        </w:rPr>
        <w:t>”</w:t>
      </w:r>
      <w:r w:rsidRPr="00190BA4" w:rsidR="008A7FD9">
        <w:rPr>
          <w:rFonts w:cs="Times New Roman"/>
          <w:bCs/>
          <w:szCs w:val="24"/>
        </w:rPr>
        <w:t xml:space="preserve"> the </w:t>
      </w:r>
      <w:r w:rsidRPr="00190BA4" w:rsidR="00D820B4">
        <w:rPr>
          <w:rFonts w:cs="Times New Roman"/>
          <w:bCs/>
          <w:szCs w:val="24"/>
        </w:rPr>
        <w:t>recently</w:t>
      </w:r>
      <w:r w:rsidRPr="00190BA4" w:rsidR="00970A5E">
        <w:rPr>
          <w:rFonts w:cs="Times New Roman"/>
          <w:bCs/>
          <w:szCs w:val="24"/>
        </w:rPr>
        <w:t xml:space="preserve"> </w:t>
      </w:r>
      <w:r w:rsidRPr="00190BA4" w:rsidR="00D820B4">
        <w:rPr>
          <w:rFonts w:cs="Times New Roman"/>
          <w:bCs/>
          <w:szCs w:val="24"/>
        </w:rPr>
        <w:t xml:space="preserve">completed </w:t>
      </w:r>
      <w:r w:rsidRPr="00190BA4" w:rsidR="008A7FD9">
        <w:rPr>
          <w:rFonts w:cs="Times New Roman"/>
          <w:bCs/>
          <w:szCs w:val="24"/>
        </w:rPr>
        <w:t>ADMS</w:t>
      </w:r>
      <w:r w:rsidRPr="00190BA4" w:rsidR="00D820B4">
        <w:rPr>
          <w:rFonts w:cs="Times New Roman"/>
          <w:bCs/>
          <w:szCs w:val="24"/>
        </w:rPr>
        <w:t xml:space="preserve"> installation with </w:t>
      </w:r>
      <w:r w:rsidRPr="00190BA4" w:rsidR="008A7FD9">
        <w:rPr>
          <w:rFonts w:cs="Times New Roman"/>
          <w:bCs/>
          <w:szCs w:val="24"/>
        </w:rPr>
        <w:t>a D</w:t>
      </w:r>
      <w:r w:rsidRPr="00190BA4" w:rsidR="00C51712">
        <w:rPr>
          <w:rFonts w:cs="Times New Roman"/>
          <w:bCs/>
          <w:szCs w:val="24"/>
        </w:rPr>
        <w:t>istribut</w:t>
      </w:r>
      <w:r w:rsidRPr="00190BA4" w:rsidR="003E6CF3">
        <w:rPr>
          <w:rFonts w:cs="Times New Roman"/>
          <w:bCs/>
          <w:szCs w:val="24"/>
        </w:rPr>
        <w:t>ed</w:t>
      </w:r>
      <w:r w:rsidRPr="00190BA4" w:rsidR="00C51712">
        <w:rPr>
          <w:rFonts w:cs="Times New Roman"/>
          <w:bCs/>
          <w:szCs w:val="24"/>
        </w:rPr>
        <w:t xml:space="preserve"> Energy </w:t>
      </w:r>
      <w:r w:rsidRPr="00190BA4" w:rsidR="003E6CF3">
        <w:rPr>
          <w:rFonts w:cs="Times New Roman"/>
          <w:bCs/>
          <w:szCs w:val="24"/>
        </w:rPr>
        <w:t xml:space="preserve">Resource </w:t>
      </w:r>
      <w:r w:rsidRPr="00190BA4" w:rsidR="00C51712">
        <w:rPr>
          <w:rFonts w:cs="Times New Roman"/>
          <w:bCs/>
          <w:szCs w:val="24"/>
        </w:rPr>
        <w:t>Management</w:t>
      </w:r>
      <w:r w:rsidRPr="00190BA4" w:rsidR="008A7FD9">
        <w:rPr>
          <w:rFonts w:cs="Times New Roman"/>
          <w:bCs/>
          <w:szCs w:val="24"/>
        </w:rPr>
        <w:t xml:space="preserve"> </w:t>
      </w:r>
      <w:r w:rsidRPr="00190BA4" w:rsidR="003E6CF3">
        <w:rPr>
          <w:rFonts w:cs="Times New Roman"/>
          <w:bCs/>
          <w:szCs w:val="24"/>
        </w:rPr>
        <w:t>S</w:t>
      </w:r>
      <w:r w:rsidRPr="00190BA4" w:rsidR="008A7FD9">
        <w:rPr>
          <w:rFonts w:cs="Times New Roman"/>
          <w:bCs/>
          <w:szCs w:val="24"/>
        </w:rPr>
        <w:t>ystem (</w:t>
      </w:r>
      <w:r w:rsidR="00DD6EB7">
        <w:rPr>
          <w:rFonts w:cs="Times New Roman"/>
          <w:bCs/>
          <w:szCs w:val="24"/>
        </w:rPr>
        <w:t>“</w:t>
      </w:r>
      <w:r w:rsidRPr="00190BA4" w:rsidR="008A7FD9">
        <w:rPr>
          <w:rFonts w:cs="Times New Roman"/>
          <w:bCs/>
          <w:szCs w:val="24"/>
        </w:rPr>
        <w:t>DERMS</w:t>
      </w:r>
      <w:r w:rsidR="00DD6EB7">
        <w:rPr>
          <w:rFonts w:cs="Times New Roman"/>
          <w:bCs/>
          <w:szCs w:val="24"/>
        </w:rPr>
        <w:t>”</w:t>
      </w:r>
      <w:r w:rsidRPr="00190BA4" w:rsidR="008A7FD9">
        <w:rPr>
          <w:rFonts w:cs="Times New Roman"/>
          <w:bCs/>
          <w:szCs w:val="24"/>
        </w:rPr>
        <w:t>)</w:t>
      </w:r>
      <w:r w:rsidRPr="00190BA4" w:rsidR="00B27C49">
        <w:rPr>
          <w:rFonts w:cs="Times New Roman"/>
          <w:bCs/>
          <w:szCs w:val="24"/>
        </w:rPr>
        <w:t xml:space="preserve"> module</w:t>
      </w:r>
      <w:r w:rsidRPr="00190BA4" w:rsidR="008A7FD9">
        <w:rPr>
          <w:rFonts w:cs="Times New Roman"/>
          <w:bCs/>
          <w:szCs w:val="24"/>
        </w:rPr>
        <w:t>.</w:t>
      </w:r>
      <w:r>
        <w:rPr>
          <w:rFonts w:cs="Times New Roman"/>
          <w:bCs/>
          <w:szCs w:val="24"/>
          <w:vertAlign w:val="superscript"/>
        </w:rPr>
        <w:footnoteReference w:id="15"/>
      </w:r>
      <w:r w:rsidRPr="00190BA4" w:rsidR="008A7FD9">
        <w:rPr>
          <w:rFonts w:cs="Times New Roman"/>
          <w:bCs/>
          <w:szCs w:val="24"/>
        </w:rPr>
        <w:t xml:space="preserve"> </w:t>
      </w:r>
      <w:r w:rsidRPr="00190BA4" w:rsidR="00CF6683">
        <w:rPr>
          <w:rFonts w:cs="Times New Roman"/>
          <w:bCs/>
          <w:szCs w:val="24"/>
        </w:rPr>
        <w:t>FirstEnergy</w:t>
      </w:r>
      <w:r w:rsidRPr="00190BA4" w:rsidR="00D731A3">
        <w:rPr>
          <w:rFonts w:cs="Times New Roman"/>
          <w:bCs/>
          <w:szCs w:val="24"/>
        </w:rPr>
        <w:t xml:space="preserve"> also proposed s</w:t>
      </w:r>
      <w:r w:rsidRPr="00190BA4" w:rsidR="008A7FD9">
        <w:rPr>
          <w:rFonts w:cs="Times New Roman"/>
          <w:bCs/>
          <w:szCs w:val="24"/>
        </w:rPr>
        <w:t>everal pilot and customer programs as part of the plan.</w:t>
      </w:r>
      <w:r>
        <w:rPr>
          <w:rFonts w:cs="Times New Roman"/>
          <w:bCs/>
          <w:szCs w:val="24"/>
          <w:vertAlign w:val="superscript"/>
        </w:rPr>
        <w:footnoteReference w:id="16"/>
      </w:r>
    </w:p>
    <w:p w:rsidR="000857D7" w:rsidRPr="00190BA4" w:rsidP="001749B4" w14:paraId="081B5375" w14:textId="3DCDA230">
      <w:pPr>
        <w:pStyle w:val="Heading2"/>
      </w:pPr>
      <w:bookmarkStart w:id="9" w:name="_Toc173315541"/>
      <w:r w:rsidRPr="00190BA4">
        <w:t>The Settlement</w:t>
      </w:r>
      <w:bookmarkEnd w:id="9"/>
    </w:p>
    <w:p w:rsidR="00C16ABD" w:rsidRPr="00190BA4" w:rsidP="00552DAE" w14:paraId="4AA1862A" w14:textId="0435507E">
      <w:pPr>
        <w:tabs>
          <w:tab w:val="left" w:pos="0"/>
        </w:tabs>
        <w:spacing w:after="0"/>
        <w:rPr>
          <w:rFonts w:cs="Times New Roman"/>
          <w:bCs/>
          <w:szCs w:val="24"/>
        </w:rPr>
      </w:pPr>
      <w:r w:rsidRPr="00190BA4">
        <w:rPr>
          <w:rFonts w:cs="Times New Roman"/>
          <w:bCs/>
          <w:szCs w:val="24"/>
        </w:rPr>
        <w:tab/>
      </w:r>
      <w:r w:rsidRPr="00190BA4" w:rsidR="000652FD">
        <w:rPr>
          <w:rFonts w:cs="Times New Roman"/>
          <w:bCs/>
          <w:szCs w:val="24"/>
        </w:rPr>
        <w:t xml:space="preserve">On </w:t>
      </w:r>
      <w:r w:rsidRPr="00190BA4" w:rsidR="008A7FD9">
        <w:rPr>
          <w:rFonts w:cs="Times New Roman"/>
          <w:bCs/>
          <w:szCs w:val="24"/>
        </w:rPr>
        <w:t xml:space="preserve">April 12, 2024, </w:t>
      </w:r>
      <w:r w:rsidRPr="00190BA4" w:rsidR="00CF6683">
        <w:rPr>
          <w:rFonts w:cs="Times New Roman"/>
          <w:bCs/>
          <w:szCs w:val="24"/>
        </w:rPr>
        <w:t>FirstEnergy</w:t>
      </w:r>
      <w:r w:rsidRPr="00190BA4" w:rsidR="000652FD">
        <w:rPr>
          <w:rFonts w:cs="Times New Roman"/>
          <w:bCs/>
          <w:szCs w:val="24"/>
        </w:rPr>
        <w:t>, the PUCO Staff</w:t>
      </w:r>
      <w:r w:rsidRPr="00190BA4" w:rsidR="00482486">
        <w:rPr>
          <w:rFonts w:cs="Times New Roman"/>
          <w:bCs/>
          <w:szCs w:val="24"/>
        </w:rPr>
        <w:t>,</w:t>
      </w:r>
      <w:r w:rsidRPr="00190BA4" w:rsidR="000652FD">
        <w:rPr>
          <w:rFonts w:cs="Times New Roman"/>
          <w:bCs/>
          <w:szCs w:val="24"/>
        </w:rPr>
        <w:t xml:space="preserve"> and other parties agreed to the Settlement. </w:t>
      </w:r>
      <w:r w:rsidRPr="00190BA4" w:rsidR="00EC2D71">
        <w:rPr>
          <w:rFonts w:cs="Times New Roman"/>
          <w:bCs/>
          <w:szCs w:val="24"/>
        </w:rPr>
        <w:t xml:space="preserve">OCC and NOAC did not sign the Settlement and oppose it. </w:t>
      </w:r>
      <w:r w:rsidRPr="00190BA4" w:rsidR="000652FD">
        <w:rPr>
          <w:rFonts w:cs="Times New Roman"/>
          <w:bCs/>
          <w:szCs w:val="24"/>
        </w:rPr>
        <w:t>The Settlement, if approved by the PUCO, will</w:t>
      </w:r>
      <w:r w:rsidRPr="00190BA4" w:rsidR="00894AD4">
        <w:rPr>
          <w:rFonts w:cs="Times New Roman"/>
          <w:bCs/>
          <w:szCs w:val="24"/>
        </w:rPr>
        <w:t xml:space="preserve"> </w:t>
      </w:r>
      <w:r w:rsidRPr="00190BA4" w:rsidR="008A7FD9">
        <w:rPr>
          <w:rFonts w:cs="Times New Roman"/>
          <w:bCs/>
          <w:szCs w:val="24"/>
        </w:rPr>
        <w:t>reduc</w:t>
      </w:r>
      <w:r w:rsidRPr="00190BA4" w:rsidR="00363AF6">
        <w:rPr>
          <w:rFonts w:cs="Times New Roman"/>
          <w:bCs/>
          <w:szCs w:val="24"/>
        </w:rPr>
        <w:t xml:space="preserve">e </w:t>
      </w:r>
      <w:r w:rsidRPr="00190BA4" w:rsidR="000652FD">
        <w:rPr>
          <w:rFonts w:cs="Times New Roman"/>
          <w:bCs/>
          <w:szCs w:val="24"/>
        </w:rPr>
        <w:t>FirstEnergy</w:t>
      </w:r>
      <w:r w:rsidR="00DD6EB7">
        <w:rPr>
          <w:rFonts w:cs="Times New Roman"/>
          <w:bCs/>
          <w:szCs w:val="24"/>
        </w:rPr>
        <w:t>’</w:t>
      </w:r>
      <w:r w:rsidRPr="00190BA4" w:rsidR="000652FD">
        <w:rPr>
          <w:rFonts w:cs="Times New Roman"/>
          <w:bCs/>
          <w:szCs w:val="24"/>
        </w:rPr>
        <w:t xml:space="preserve">s </w:t>
      </w:r>
      <w:r w:rsidRPr="00190BA4" w:rsidR="00B27C49">
        <w:rPr>
          <w:rFonts w:cs="Times New Roman"/>
          <w:bCs/>
          <w:szCs w:val="24"/>
        </w:rPr>
        <w:t>c</w:t>
      </w:r>
      <w:r w:rsidRPr="00190BA4" w:rsidR="008A7FD9">
        <w:rPr>
          <w:rFonts w:cs="Times New Roman"/>
          <w:bCs/>
          <w:szCs w:val="24"/>
        </w:rPr>
        <w:t xml:space="preserve">apital spending to $421 million, and </w:t>
      </w:r>
      <w:r w:rsidRPr="00190BA4" w:rsidR="0011111D">
        <w:rPr>
          <w:rFonts w:cs="Times New Roman"/>
          <w:bCs/>
          <w:szCs w:val="24"/>
        </w:rPr>
        <w:t>continu</w:t>
      </w:r>
      <w:r w:rsidRPr="00190BA4" w:rsidR="00363AF6">
        <w:rPr>
          <w:rFonts w:cs="Times New Roman"/>
          <w:bCs/>
          <w:szCs w:val="24"/>
        </w:rPr>
        <w:t xml:space="preserve">e </w:t>
      </w:r>
      <w:r w:rsidRPr="00190BA4" w:rsidR="0011111D">
        <w:rPr>
          <w:rFonts w:cs="Times New Roman"/>
          <w:bCs/>
          <w:szCs w:val="24"/>
        </w:rPr>
        <w:t xml:space="preserve">to </w:t>
      </w:r>
      <w:r w:rsidRPr="00190BA4" w:rsidR="002138B6">
        <w:rPr>
          <w:rFonts w:cs="Times New Roman"/>
          <w:bCs/>
          <w:szCs w:val="24"/>
        </w:rPr>
        <w:t xml:space="preserve">collect </w:t>
      </w:r>
      <w:r w:rsidRPr="00190BA4" w:rsidR="008A7FD9">
        <w:rPr>
          <w:rFonts w:cs="Times New Roman"/>
          <w:bCs/>
          <w:szCs w:val="24"/>
        </w:rPr>
        <w:t>cost</w:t>
      </w:r>
      <w:r w:rsidRPr="00190BA4" w:rsidR="0011111D">
        <w:rPr>
          <w:rFonts w:cs="Times New Roman"/>
          <w:bCs/>
          <w:szCs w:val="24"/>
        </w:rPr>
        <w:t xml:space="preserve">s </w:t>
      </w:r>
      <w:r w:rsidRPr="00190BA4" w:rsidR="002138B6">
        <w:rPr>
          <w:rFonts w:cs="Times New Roman"/>
          <w:bCs/>
          <w:szCs w:val="24"/>
        </w:rPr>
        <w:t xml:space="preserve">from consumers </w:t>
      </w:r>
      <w:r w:rsidRPr="00190BA4" w:rsidR="008A7FD9">
        <w:rPr>
          <w:rFonts w:cs="Times New Roman"/>
          <w:bCs/>
          <w:szCs w:val="24"/>
        </w:rPr>
        <w:t xml:space="preserve">through </w:t>
      </w:r>
      <w:r w:rsidRPr="00190BA4" w:rsidR="0011111D">
        <w:rPr>
          <w:rFonts w:cs="Times New Roman"/>
          <w:bCs/>
          <w:szCs w:val="24"/>
        </w:rPr>
        <w:t>r</w:t>
      </w:r>
      <w:r w:rsidRPr="00190BA4" w:rsidR="008A7FD9">
        <w:rPr>
          <w:rFonts w:cs="Times New Roman"/>
          <w:bCs/>
          <w:szCs w:val="24"/>
        </w:rPr>
        <w:t>ider AMI.</w:t>
      </w:r>
      <w:r>
        <w:rPr>
          <w:rStyle w:val="FootnoteReference"/>
          <w:rFonts w:cs="Times New Roman"/>
          <w:bCs/>
          <w:szCs w:val="24"/>
        </w:rPr>
        <w:footnoteReference w:id="17"/>
      </w:r>
      <w:r w:rsidRPr="00190BA4" w:rsidR="00CF1064">
        <w:rPr>
          <w:rFonts w:cs="Times New Roman"/>
          <w:bCs/>
          <w:szCs w:val="24"/>
        </w:rPr>
        <w:t xml:space="preserve"> </w:t>
      </w:r>
      <w:r w:rsidRPr="00190BA4" w:rsidR="000F720A">
        <w:rPr>
          <w:rFonts w:cs="Times New Roman"/>
          <w:bCs/>
          <w:szCs w:val="24"/>
        </w:rPr>
        <w:t xml:space="preserve">The </w:t>
      </w:r>
      <w:r w:rsidRPr="00190BA4" w:rsidR="00CF6683">
        <w:rPr>
          <w:rFonts w:cs="Times New Roman"/>
          <w:bCs/>
          <w:szCs w:val="24"/>
        </w:rPr>
        <w:t xml:space="preserve">Settlement </w:t>
      </w:r>
      <w:r w:rsidRPr="00190BA4" w:rsidR="000F720A">
        <w:rPr>
          <w:rFonts w:cs="Times New Roman"/>
          <w:bCs/>
          <w:szCs w:val="24"/>
        </w:rPr>
        <w:t xml:space="preserve">secures </w:t>
      </w:r>
      <w:r w:rsidRPr="00190BA4" w:rsidR="00F209E1">
        <w:rPr>
          <w:rFonts w:cs="Times New Roman"/>
          <w:bCs/>
          <w:szCs w:val="24"/>
        </w:rPr>
        <w:t>t</w:t>
      </w:r>
      <w:r w:rsidRPr="00190BA4" w:rsidR="008A7FD9">
        <w:rPr>
          <w:rFonts w:cs="Times New Roman"/>
          <w:bCs/>
          <w:szCs w:val="24"/>
        </w:rPr>
        <w:t>h</w:t>
      </w:r>
      <w:r w:rsidRPr="00190BA4" w:rsidR="00FA7795">
        <w:rPr>
          <w:rFonts w:cs="Times New Roman"/>
          <w:bCs/>
          <w:szCs w:val="24"/>
        </w:rPr>
        <w:t>is</w:t>
      </w:r>
      <w:r w:rsidRPr="00190BA4" w:rsidR="008A7FD9">
        <w:rPr>
          <w:rFonts w:cs="Times New Roman"/>
          <w:bCs/>
          <w:szCs w:val="24"/>
        </w:rPr>
        <w:t xml:space="preserve"> reduction by eliminating the DA, IVVC, and ADMS enhancements from the plan</w:t>
      </w:r>
      <w:r w:rsidRPr="00190BA4" w:rsidR="00875928">
        <w:rPr>
          <w:rFonts w:cs="Times New Roman"/>
          <w:bCs/>
          <w:szCs w:val="24"/>
        </w:rPr>
        <w:t xml:space="preserve"> (with the exception of DERMS)</w:t>
      </w:r>
      <w:r w:rsidRPr="00190BA4" w:rsidR="000652FD">
        <w:rPr>
          <w:rFonts w:cs="Times New Roman"/>
          <w:bCs/>
          <w:szCs w:val="24"/>
        </w:rPr>
        <w:t>.</w:t>
      </w:r>
      <w:r w:rsidRPr="00190BA4" w:rsidR="008A7FD9">
        <w:rPr>
          <w:rFonts w:cs="Times New Roman"/>
          <w:bCs/>
          <w:szCs w:val="24"/>
        </w:rPr>
        <w:t xml:space="preserve"> </w:t>
      </w:r>
      <w:r w:rsidRPr="00190BA4" w:rsidR="000652FD">
        <w:rPr>
          <w:rFonts w:cs="Times New Roman"/>
          <w:bCs/>
          <w:szCs w:val="24"/>
        </w:rPr>
        <w:t xml:space="preserve">The Settlement also eliminates </w:t>
      </w:r>
      <w:r w:rsidRPr="00190BA4" w:rsidR="008A7FD9">
        <w:rPr>
          <w:rFonts w:cs="Times New Roman"/>
          <w:bCs/>
          <w:szCs w:val="24"/>
        </w:rPr>
        <w:t>other</w:t>
      </w:r>
      <w:r w:rsidRPr="00190BA4" w:rsidR="001E5E5B">
        <w:rPr>
          <w:rFonts w:cs="Times New Roman"/>
          <w:bCs/>
          <w:szCs w:val="24"/>
        </w:rPr>
        <w:t xml:space="preserve"> </w:t>
      </w:r>
      <w:r w:rsidRPr="00190BA4" w:rsidR="000652FD">
        <w:rPr>
          <w:rFonts w:cs="Times New Roman"/>
          <w:bCs/>
          <w:szCs w:val="24"/>
        </w:rPr>
        <w:t>previously proposed</w:t>
      </w:r>
      <w:r w:rsidRPr="00190BA4" w:rsidR="008A7FD9">
        <w:rPr>
          <w:rFonts w:cs="Times New Roman"/>
          <w:bCs/>
          <w:szCs w:val="24"/>
        </w:rPr>
        <w:t xml:space="preserve"> programs, </w:t>
      </w:r>
      <w:r w:rsidRPr="00190BA4" w:rsidR="000652FD">
        <w:rPr>
          <w:rFonts w:cs="Times New Roman"/>
          <w:bCs/>
          <w:szCs w:val="24"/>
        </w:rPr>
        <w:t xml:space="preserve">and </w:t>
      </w:r>
      <w:r w:rsidRPr="00190BA4" w:rsidR="008A7FD9">
        <w:rPr>
          <w:rFonts w:cs="Times New Roman"/>
          <w:bCs/>
          <w:szCs w:val="24"/>
        </w:rPr>
        <w:t>accelerat</w:t>
      </w:r>
      <w:r w:rsidRPr="00190BA4" w:rsidR="000652FD">
        <w:rPr>
          <w:rFonts w:cs="Times New Roman"/>
          <w:bCs/>
          <w:szCs w:val="24"/>
        </w:rPr>
        <w:t>es</w:t>
      </w:r>
      <w:r w:rsidRPr="00190BA4" w:rsidR="008A7FD9">
        <w:rPr>
          <w:rFonts w:cs="Times New Roman"/>
          <w:bCs/>
          <w:szCs w:val="24"/>
        </w:rPr>
        <w:t xml:space="preserve"> </w:t>
      </w:r>
      <w:r w:rsidRPr="00190BA4" w:rsidR="00875928">
        <w:rPr>
          <w:rFonts w:cs="Times New Roman"/>
          <w:bCs/>
          <w:szCs w:val="24"/>
        </w:rPr>
        <w:t xml:space="preserve">the deployment of </w:t>
      </w:r>
      <w:r w:rsidRPr="00190BA4" w:rsidR="008A7FD9">
        <w:rPr>
          <w:rFonts w:cs="Times New Roman"/>
          <w:bCs/>
          <w:szCs w:val="24"/>
        </w:rPr>
        <w:t>AMI.</w:t>
      </w:r>
      <w:r>
        <w:rPr>
          <w:rStyle w:val="FootnoteReference"/>
          <w:rFonts w:cs="Times New Roman"/>
          <w:bCs/>
          <w:szCs w:val="24"/>
        </w:rPr>
        <w:footnoteReference w:id="18"/>
      </w:r>
      <w:r w:rsidRPr="00190BA4" w:rsidR="00894AD4">
        <w:rPr>
          <w:rFonts w:cs="Times New Roman"/>
          <w:bCs/>
          <w:szCs w:val="24"/>
        </w:rPr>
        <w:t xml:space="preserve"> </w:t>
      </w:r>
      <w:r w:rsidRPr="00190BA4" w:rsidR="008A7FD9">
        <w:rPr>
          <w:rFonts w:cs="Times New Roman"/>
          <w:bCs/>
          <w:szCs w:val="24"/>
        </w:rPr>
        <w:t xml:space="preserve">AMI deployment </w:t>
      </w:r>
      <w:r w:rsidRPr="00190BA4" w:rsidR="00121A08">
        <w:rPr>
          <w:rFonts w:cs="Times New Roman"/>
          <w:bCs/>
          <w:szCs w:val="24"/>
        </w:rPr>
        <w:t xml:space="preserve">would </w:t>
      </w:r>
      <w:r w:rsidRPr="00190BA4" w:rsidR="008A7FD9">
        <w:rPr>
          <w:rFonts w:cs="Times New Roman"/>
          <w:bCs/>
          <w:szCs w:val="24"/>
        </w:rPr>
        <w:t>double</w:t>
      </w:r>
      <w:r w:rsidRPr="00190BA4" w:rsidR="00121A08">
        <w:rPr>
          <w:rFonts w:cs="Times New Roman"/>
          <w:bCs/>
          <w:szCs w:val="24"/>
        </w:rPr>
        <w:t xml:space="preserve"> under the terms of the </w:t>
      </w:r>
      <w:r w:rsidRPr="00190BA4" w:rsidR="00CF6683">
        <w:rPr>
          <w:rFonts w:cs="Times New Roman"/>
          <w:bCs/>
          <w:szCs w:val="24"/>
        </w:rPr>
        <w:t>Settlement</w:t>
      </w:r>
      <w:r w:rsidRPr="00190BA4" w:rsidR="00121A08">
        <w:rPr>
          <w:rFonts w:cs="Times New Roman"/>
          <w:bCs/>
          <w:szCs w:val="24"/>
        </w:rPr>
        <w:t xml:space="preserve">, </w:t>
      </w:r>
      <w:r w:rsidRPr="00190BA4" w:rsidR="008A7FD9">
        <w:rPr>
          <w:rFonts w:cs="Times New Roman"/>
          <w:bCs/>
          <w:szCs w:val="24"/>
        </w:rPr>
        <w:t xml:space="preserve">from the </w:t>
      </w:r>
      <w:r w:rsidRPr="00190BA4" w:rsidR="00717B7C">
        <w:rPr>
          <w:rFonts w:cs="Times New Roman"/>
          <w:bCs/>
          <w:szCs w:val="24"/>
        </w:rPr>
        <w:t xml:space="preserve">700,000 smart meters </w:t>
      </w:r>
      <w:r w:rsidRPr="00190BA4" w:rsidR="00CF6683">
        <w:rPr>
          <w:rFonts w:cs="Times New Roman"/>
          <w:bCs/>
          <w:szCs w:val="24"/>
        </w:rPr>
        <w:t>FirstEnergy</w:t>
      </w:r>
      <w:r w:rsidRPr="00190BA4" w:rsidR="00717B7C">
        <w:rPr>
          <w:rFonts w:cs="Times New Roman"/>
          <w:bCs/>
          <w:szCs w:val="24"/>
        </w:rPr>
        <w:t xml:space="preserve"> </w:t>
      </w:r>
      <w:r w:rsidRPr="00190BA4" w:rsidR="00F209E1">
        <w:rPr>
          <w:rFonts w:cs="Times New Roman"/>
          <w:bCs/>
          <w:szCs w:val="24"/>
        </w:rPr>
        <w:t xml:space="preserve">had </w:t>
      </w:r>
      <w:r w:rsidRPr="00190BA4" w:rsidR="00050042">
        <w:rPr>
          <w:rFonts w:cs="Times New Roman"/>
          <w:bCs/>
          <w:szCs w:val="24"/>
        </w:rPr>
        <w:t xml:space="preserve">originally </w:t>
      </w:r>
      <w:r w:rsidRPr="00190BA4" w:rsidR="008A7FD9">
        <w:rPr>
          <w:rFonts w:cs="Times New Roman"/>
          <w:bCs/>
          <w:szCs w:val="24"/>
        </w:rPr>
        <w:t>proposed for Grid Mod II</w:t>
      </w:r>
      <w:r w:rsidRPr="00190BA4" w:rsidR="00717B7C">
        <w:rPr>
          <w:rFonts w:cs="Times New Roman"/>
          <w:bCs/>
          <w:szCs w:val="24"/>
        </w:rPr>
        <w:t xml:space="preserve"> to </w:t>
      </w:r>
      <w:r w:rsidRPr="00190BA4" w:rsidR="008A7FD9">
        <w:rPr>
          <w:rFonts w:cs="Times New Roman"/>
          <w:bCs/>
          <w:szCs w:val="24"/>
        </w:rPr>
        <w:t>1.4 million</w:t>
      </w:r>
      <w:r w:rsidRPr="00190BA4" w:rsidR="000652FD">
        <w:rPr>
          <w:rFonts w:cs="Times New Roman"/>
          <w:bCs/>
          <w:szCs w:val="24"/>
        </w:rPr>
        <w:t>.</w:t>
      </w:r>
      <w:r w:rsidRPr="00190BA4" w:rsidR="00717B7C">
        <w:rPr>
          <w:rFonts w:cs="Times New Roman"/>
          <w:bCs/>
          <w:szCs w:val="24"/>
        </w:rPr>
        <w:t xml:space="preserve"> </w:t>
      </w:r>
      <w:r w:rsidRPr="00190BA4" w:rsidR="000652FD">
        <w:rPr>
          <w:rFonts w:cs="Times New Roman"/>
          <w:bCs/>
          <w:szCs w:val="24"/>
        </w:rPr>
        <w:t xml:space="preserve">This would </w:t>
      </w:r>
      <w:r w:rsidRPr="00190BA4" w:rsidR="00717B7C">
        <w:rPr>
          <w:rFonts w:cs="Times New Roman"/>
          <w:bCs/>
          <w:szCs w:val="24"/>
        </w:rPr>
        <w:t>complet</w:t>
      </w:r>
      <w:r w:rsidRPr="00190BA4" w:rsidR="000652FD">
        <w:rPr>
          <w:rFonts w:cs="Times New Roman"/>
          <w:bCs/>
          <w:szCs w:val="24"/>
        </w:rPr>
        <w:t>e</w:t>
      </w:r>
      <w:r w:rsidRPr="00190BA4" w:rsidR="00717B7C">
        <w:rPr>
          <w:rFonts w:cs="Times New Roman"/>
          <w:bCs/>
          <w:szCs w:val="24"/>
        </w:rPr>
        <w:t xml:space="preserve"> smart meter installations </w:t>
      </w:r>
      <w:r w:rsidRPr="00190BA4" w:rsidR="008A7FD9">
        <w:rPr>
          <w:rFonts w:cs="Times New Roman"/>
          <w:bCs/>
          <w:szCs w:val="24"/>
        </w:rPr>
        <w:t xml:space="preserve">for all remaining </w:t>
      </w:r>
      <w:r w:rsidRPr="00190BA4" w:rsidR="00CF6683">
        <w:rPr>
          <w:rFonts w:cs="Times New Roman"/>
          <w:bCs/>
          <w:szCs w:val="24"/>
        </w:rPr>
        <w:t xml:space="preserve">consumers </w:t>
      </w:r>
      <w:r w:rsidRPr="00190BA4" w:rsidR="008A7FD9">
        <w:rPr>
          <w:rFonts w:cs="Times New Roman"/>
          <w:bCs/>
          <w:szCs w:val="24"/>
        </w:rPr>
        <w:t>who d</w:t>
      </w:r>
      <w:r w:rsidRPr="00190BA4" w:rsidR="00FA08F6">
        <w:rPr>
          <w:rFonts w:cs="Times New Roman"/>
          <w:bCs/>
          <w:szCs w:val="24"/>
        </w:rPr>
        <w:t xml:space="preserve">id </w:t>
      </w:r>
      <w:r w:rsidRPr="00190BA4" w:rsidR="008A7FD9">
        <w:rPr>
          <w:rFonts w:cs="Times New Roman"/>
          <w:bCs/>
          <w:szCs w:val="24"/>
        </w:rPr>
        <w:t xml:space="preserve">not </w:t>
      </w:r>
      <w:r w:rsidRPr="00190BA4" w:rsidR="00875928">
        <w:rPr>
          <w:rFonts w:cs="Times New Roman"/>
          <w:bCs/>
          <w:szCs w:val="24"/>
        </w:rPr>
        <w:t xml:space="preserve">yet </w:t>
      </w:r>
      <w:r w:rsidRPr="00190BA4" w:rsidR="008A7FD9">
        <w:rPr>
          <w:rFonts w:cs="Times New Roman"/>
          <w:bCs/>
          <w:szCs w:val="24"/>
        </w:rPr>
        <w:t>have one</w:t>
      </w:r>
      <w:r w:rsidRPr="00190BA4" w:rsidR="00FA08F6">
        <w:rPr>
          <w:rFonts w:cs="Times New Roman"/>
          <w:bCs/>
          <w:szCs w:val="24"/>
        </w:rPr>
        <w:t xml:space="preserve"> </w:t>
      </w:r>
      <w:r w:rsidRPr="00190BA4" w:rsidR="00E74A46">
        <w:rPr>
          <w:rFonts w:cs="Times New Roman"/>
          <w:bCs/>
          <w:szCs w:val="24"/>
        </w:rPr>
        <w:t xml:space="preserve">upon </w:t>
      </w:r>
      <w:r w:rsidRPr="00190BA4" w:rsidR="00FA08F6">
        <w:rPr>
          <w:rFonts w:cs="Times New Roman"/>
          <w:bCs/>
          <w:szCs w:val="24"/>
        </w:rPr>
        <w:t>the completion of Grid Mod I</w:t>
      </w:r>
      <w:r w:rsidRPr="00190BA4" w:rsidR="008A7FD9">
        <w:rPr>
          <w:rFonts w:cs="Times New Roman"/>
          <w:bCs/>
          <w:szCs w:val="24"/>
        </w:rPr>
        <w:t>.</w:t>
      </w:r>
      <w:r>
        <w:rPr>
          <w:rStyle w:val="FootnoteReference"/>
          <w:rFonts w:cs="Times New Roman"/>
          <w:bCs/>
          <w:szCs w:val="24"/>
        </w:rPr>
        <w:footnoteReference w:id="19"/>
      </w:r>
    </w:p>
    <w:p w:rsidR="00C16ABD" w:rsidRPr="00190BA4" w:rsidP="00552DAE" w14:paraId="31A4E634" w14:textId="7EB08465">
      <w:pPr>
        <w:tabs>
          <w:tab w:val="left" w:pos="0"/>
        </w:tabs>
        <w:spacing w:after="0"/>
        <w:rPr>
          <w:rFonts w:cs="Times New Roman"/>
          <w:bCs/>
          <w:szCs w:val="24"/>
        </w:rPr>
      </w:pPr>
      <w:r w:rsidRPr="00190BA4">
        <w:rPr>
          <w:rFonts w:cs="Times New Roman"/>
          <w:bCs/>
          <w:szCs w:val="24"/>
        </w:rPr>
        <w:tab/>
      </w:r>
      <w:r w:rsidRPr="00190BA4" w:rsidR="008A7FD9">
        <w:rPr>
          <w:rFonts w:cs="Times New Roman"/>
          <w:bCs/>
          <w:szCs w:val="24"/>
        </w:rPr>
        <w:t xml:space="preserve">The </w:t>
      </w:r>
      <w:r w:rsidRPr="00190BA4" w:rsidR="00CF6683">
        <w:rPr>
          <w:rFonts w:cs="Times New Roman"/>
          <w:bCs/>
          <w:szCs w:val="24"/>
        </w:rPr>
        <w:t xml:space="preserve">Settlement </w:t>
      </w:r>
      <w:r w:rsidRPr="00190BA4" w:rsidR="008A7FD9">
        <w:rPr>
          <w:rFonts w:cs="Times New Roman"/>
          <w:bCs/>
          <w:szCs w:val="24"/>
        </w:rPr>
        <w:t xml:space="preserve">also specifies that </w:t>
      </w:r>
      <w:r w:rsidRPr="00190BA4" w:rsidR="00CF6683">
        <w:rPr>
          <w:rFonts w:cs="Times New Roman"/>
          <w:bCs/>
          <w:szCs w:val="24"/>
        </w:rPr>
        <w:t>FirstEnergy</w:t>
      </w:r>
      <w:r w:rsidRPr="00190BA4" w:rsidR="008A7FD9">
        <w:rPr>
          <w:rFonts w:cs="Times New Roman"/>
          <w:bCs/>
          <w:szCs w:val="24"/>
        </w:rPr>
        <w:t xml:space="preserve"> will develop and promote time-of-use rates </w:t>
      </w:r>
      <w:r w:rsidRPr="00190BA4" w:rsidR="00B27C49">
        <w:rPr>
          <w:rFonts w:cs="Times New Roman"/>
          <w:bCs/>
          <w:szCs w:val="24"/>
        </w:rPr>
        <w:t>(</w:t>
      </w:r>
      <w:r w:rsidR="00DD6EB7">
        <w:rPr>
          <w:rFonts w:cs="Times New Roman"/>
          <w:bCs/>
          <w:szCs w:val="24"/>
        </w:rPr>
        <w:t>“</w:t>
      </w:r>
      <w:r w:rsidRPr="00190BA4" w:rsidR="00B27C49">
        <w:rPr>
          <w:rFonts w:cs="Times New Roman"/>
          <w:bCs/>
          <w:szCs w:val="24"/>
        </w:rPr>
        <w:t>TOU</w:t>
      </w:r>
      <w:r w:rsidR="00DD6EB7">
        <w:rPr>
          <w:rFonts w:cs="Times New Roman"/>
          <w:bCs/>
          <w:szCs w:val="24"/>
        </w:rPr>
        <w:t>”</w:t>
      </w:r>
      <w:r w:rsidRPr="00190BA4" w:rsidR="00B27C49">
        <w:rPr>
          <w:rFonts w:cs="Times New Roman"/>
          <w:bCs/>
          <w:szCs w:val="24"/>
        </w:rPr>
        <w:t xml:space="preserve">) </w:t>
      </w:r>
      <w:r w:rsidRPr="00190BA4" w:rsidR="008A7FD9">
        <w:rPr>
          <w:rFonts w:cs="Times New Roman"/>
          <w:bCs/>
          <w:szCs w:val="24"/>
        </w:rPr>
        <w:t>as an optional standard service offer</w:t>
      </w:r>
      <w:r w:rsidRPr="00190BA4" w:rsidR="00451871">
        <w:rPr>
          <w:rFonts w:cs="Times New Roman"/>
          <w:bCs/>
          <w:szCs w:val="24"/>
        </w:rPr>
        <w:t xml:space="preserve"> to consumers</w:t>
      </w:r>
      <w:r w:rsidRPr="00190BA4" w:rsidR="008A7FD9">
        <w:rPr>
          <w:rFonts w:cs="Times New Roman"/>
          <w:bCs/>
          <w:szCs w:val="24"/>
        </w:rPr>
        <w:t>.</w:t>
      </w:r>
      <w:r>
        <w:rPr>
          <w:rStyle w:val="FootnoteReference"/>
          <w:rFonts w:cs="Times New Roman"/>
          <w:bCs/>
          <w:szCs w:val="24"/>
        </w:rPr>
        <w:footnoteReference w:id="20"/>
      </w:r>
      <w:r w:rsidRPr="00190BA4" w:rsidR="008A7FD9">
        <w:rPr>
          <w:rFonts w:cs="Times New Roman"/>
          <w:bCs/>
          <w:szCs w:val="24"/>
        </w:rPr>
        <w:t xml:space="preserve"> </w:t>
      </w:r>
      <w:r w:rsidRPr="00190BA4" w:rsidR="000652FD">
        <w:rPr>
          <w:rFonts w:cs="Times New Roman"/>
          <w:bCs/>
          <w:szCs w:val="24"/>
        </w:rPr>
        <w:t>T</w:t>
      </w:r>
      <w:r w:rsidRPr="00190BA4" w:rsidR="006B1CC9">
        <w:rPr>
          <w:rFonts w:cs="Times New Roman"/>
          <w:bCs/>
          <w:szCs w:val="24"/>
        </w:rPr>
        <w:t>h</w:t>
      </w:r>
      <w:r w:rsidRPr="00190BA4" w:rsidR="00643778">
        <w:rPr>
          <w:rFonts w:cs="Times New Roman"/>
          <w:bCs/>
          <w:szCs w:val="24"/>
        </w:rPr>
        <w:t xml:space="preserve">e </w:t>
      </w:r>
      <w:r w:rsidRPr="00190BA4" w:rsidR="00CF6683">
        <w:rPr>
          <w:rFonts w:cs="Times New Roman"/>
          <w:bCs/>
          <w:szCs w:val="24"/>
        </w:rPr>
        <w:t xml:space="preserve">Settlement </w:t>
      </w:r>
      <w:r w:rsidRPr="00190BA4" w:rsidR="00643778">
        <w:rPr>
          <w:rFonts w:cs="Times New Roman"/>
          <w:bCs/>
          <w:szCs w:val="24"/>
        </w:rPr>
        <w:t>authorizes o</w:t>
      </w:r>
      <w:r w:rsidRPr="00190BA4" w:rsidR="008A7FD9">
        <w:rPr>
          <w:rFonts w:cs="Times New Roman"/>
          <w:bCs/>
          <w:szCs w:val="24"/>
        </w:rPr>
        <w:t>ther programs t</w:t>
      </w:r>
      <w:r w:rsidRPr="00190BA4" w:rsidR="00643778">
        <w:rPr>
          <w:rFonts w:cs="Times New Roman"/>
          <w:bCs/>
          <w:szCs w:val="24"/>
        </w:rPr>
        <w:t xml:space="preserve">o </w:t>
      </w:r>
      <w:r w:rsidRPr="00190BA4" w:rsidR="008A7FD9">
        <w:rPr>
          <w:rFonts w:cs="Times New Roman"/>
          <w:bCs/>
          <w:szCs w:val="24"/>
        </w:rPr>
        <w:t xml:space="preserve">continue as </w:t>
      </w:r>
      <w:r w:rsidRPr="00190BA4" w:rsidR="005B3F9F">
        <w:rPr>
          <w:rFonts w:cs="Times New Roman"/>
          <w:bCs/>
          <w:szCs w:val="24"/>
        </w:rPr>
        <w:t xml:space="preserve">originally </w:t>
      </w:r>
      <w:r w:rsidRPr="00190BA4" w:rsidR="008A7FD9">
        <w:rPr>
          <w:rFonts w:cs="Times New Roman"/>
          <w:bCs/>
          <w:szCs w:val="24"/>
        </w:rPr>
        <w:t>proposed</w:t>
      </w:r>
      <w:r w:rsidRPr="00190BA4" w:rsidR="00643778">
        <w:rPr>
          <w:rFonts w:cs="Times New Roman"/>
          <w:bCs/>
          <w:szCs w:val="24"/>
        </w:rPr>
        <w:t xml:space="preserve">, including </w:t>
      </w:r>
      <w:r w:rsidRPr="00190BA4" w:rsidR="00223106">
        <w:rPr>
          <w:rFonts w:cs="Times New Roman"/>
          <w:bCs/>
          <w:szCs w:val="24"/>
        </w:rPr>
        <w:t>consumer</w:t>
      </w:r>
      <w:r w:rsidR="00DD6EB7">
        <w:rPr>
          <w:rFonts w:cs="Times New Roman"/>
          <w:bCs/>
          <w:szCs w:val="24"/>
        </w:rPr>
        <w:t>’</w:t>
      </w:r>
      <w:r w:rsidRPr="00190BA4" w:rsidR="00CF6683">
        <w:rPr>
          <w:rFonts w:cs="Times New Roman"/>
          <w:bCs/>
          <w:szCs w:val="24"/>
        </w:rPr>
        <w:t xml:space="preserve"> </w:t>
      </w:r>
      <w:r w:rsidRPr="00190BA4" w:rsidR="008A7FD9">
        <w:rPr>
          <w:rFonts w:cs="Times New Roman"/>
          <w:bCs/>
          <w:szCs w:val="24"/>
        </w:rPr>
        <w:t xml:space="preserve">energy management reports, data access improvements (for </w:t>
      </w:r>
      <w:r w:rsidRPr="00190BA4" w:rsidR="000652FD">
        <w:rPr>
          <w:rFonts w:cs="Times New Roman"/>
          <w:bCs/>
          <w:szCs w:val="24"/>
        </w:rPr>
        <w:t>marketers</w:t>
      </w:r>
      <w:r w:rsidRPr="00190BA4" w:rsidR="008A7FD9">
        <w:rPr>
          <w:rFonts w:cs="Times New Roman"/>
          <w:bCs/>
          <w:szCs w:val="24"/>
        </w:rPr>
        <w:t xml:space="preserve"> and aggregators), and DER hosting capacity maps.</w:t>
      </w:r>
      <w:r>
        <w:rPr>
          <w:rStyle w:val="FootnoteReference"/>
          <w:rFonts w:cs="Times New Roman"/>
          <w:bCs/>
          <w:szCs w:val="24"/>
        </w:rPr>
        <w:footnoteReference w:id="21"/>
      </w:r>
    </w:p>
    <w:p w:rsidR="00C16ABD" w:rsidRPr="00190BA4" w:rsidP="00552DAE" w14:paraId="54E23A9F" w14:textId="65B6156D">
      <w:pPr>
        <w:tabs>
          <w:tab w:val="left" w:pos="0"/>
        </w:tabs>
        <w:spacing w:after="0"/>
        <w:rPr>
          <w:rFonts w:cs="Times New Roman"/>
          <w:bCs/>
          <w:szCs w:val="24"/>
        </w:rPr>
      </w:pPr>
      <w:r w:rsidRPr="00190BA4">
        <w:rPr>
          <w:rFonts w:cs="Times New Roman"/>
          <w:bCs/>
          <w:szCs w:val="24"/>
        </w:rPr>
        <w:tab/>
      </w:r>
      <w:r w:rsidRPr="00190BA4" w:rsidR="000652FD">
        <w:rPr>
          <w:rFonts w:cs="Times New Roman"/>
          <w:bCs/>
          <w:szCs w:val="24"/>
        </w:rPr>
        <w:t>Protections for residential consumers under t</w:t>
      </w:r>
      <w:r w:rsidRPr="00190BA4" w:rsidR="00700E57">
        <w:rPr>
          <w:rFonts w:cs="Times New Roman"/>
          <w:bCs/>
          <w:szCs w:val="24"/>
        </w:rPr>
        <w:t xml:space="preserve">he </w:t>
      </w:r>
      <w:r w:rsidRPr="00190BA4" w:rsidR="00CF6683">
        <w:rPr>
          <w:rFonts w:cs="Times New Roman"/>
          <w:bCs/>
          <w:szCs w:val="24"/>
        </w:rPr>
        <w:t>Settlement</w:t>
      </w:r>
      <w:r w:rsidRPr="00190BA4" w:rsidR="002E3B94">
        <w:rPr>
          <w:rFonts w:cs="Times New Roman"/>
          <w:bCs/>
          <w:szCs w:val="24"/>
        </w:rPr>
        <w:t xml:space="preserve"> are few</w:t>
      </w:r>
      <w:r w:rsidRPr="00190BA4" w:rsidR="00700E57">
        <w:rPr>
          <w:rFonts w:cs="Times New Roman"/>
          <w:bCs/>
          <w:szCs w:val="24"/>
        </w:rPr>
        <w:t>.</w:t>
      </w:r>
      <w:r>
        <w:rPr>
          <w:rStyle w:val="FootnoteReference"/>
          <w:rFonts w:cs="Times New Roman"/>
          <w:bCs/>
          <w:szCs w:val="24"/>
        </w:rPr>
        <w:footnoteReference w:id="22"/>
      </w:r>
      <w:r w:rsidRPr="00190BA4" w:rsidR="00CF1064">
        <w:rPr>
          <w:rFonts w:cs="Times New Roman"/>
          <w:bCs/>
          <w:szCs w:val="24"/>
        </w:rPr>
        <w:t xml:space="preserve"> </w:t>
      </w:r>
      <w:r w:rsidRPr="00190BA4" w:rsidR="00B27C49">
        <w:rPr>
          <w:rFonts w:cs="Times New Roman"/>
          <w:bCs/>
          <w:szCs w:val="24"/>
        </w:rPr>
        <w:t>The o</w:t>
      </w:r>
      <w:r w:rsidRPr="00190BA4" w:rsidR="008A7FD9">
        <w:rPr>
          <w:rFonts w:cs="Times New Roman"/>
          <w:bCs/>
          <w:szCs w:val="24"/>
        </w:rPr>
        <w:t>perational savings</w:t>
      </w:r>
      <w:r w:rsidRPr="00190BA4" w:rsidR="00B27C49">
        <w:rPr>
          <w:rFonts w:cs="Times New Roman"/>
          <w:bCs/>
          <w:szCs w:val="24"/>
        </w:rPr>
        <w:t xml:space="preserve"> </w:t>
      </w:r>
      <w:r w:rsidRPr="00190BA4" w:rsidR="00335A8B">
        <w:rPr>
          <w:rFonts w:cs="Times New Roman"/>
          <w:bCs/>
          <w:szCs w:val="24"/>
        </w:rPr>
        <w:t xml:space="preserve">from smart meters </w:t>
      </w:r>
      <w:r w:rsidRPr="00190BA4" w:rsidR="008A7FD9">
        <w:rPr>
          <w:rFonts w:cs="Times New Roman"/>
          <w:bCs/>
          <w:szCs w:val="24"/>
        </w:rPr>
        <w:t xml:space="preserve">anticipated </w:t>
      </w:r>
      <w:r w:rsidRPr="00190BA4" w:rsidR="00B27C49">
        <w:rPr>
          <w:rFonts w:cs="Times New Roman"/>
          <w:bCs/>
          <w:szCs w:val="24"/>
        </w:rPr>
        <w:t xml:space="preserve">by the proposed </w:t>
      </w:r>
      <w:r w:rsidRPr="00190BA4" w:rsidR="00CF6683">
        <w:rPr>
          <w:rFonts w:cs="Times New Roman"/>
          <w:bCs/>
          <w:szCs w:val="24"/>
        </w:rPr>
        <w:t xml:space="preserve">Settlement </w:t>
      </w:r>
      <w:r w:rsidRPr="00190BA4" w:rsidR="008A7FD9">
        <w:rPr>
          <w:rFonts w:cs="Times New Roman"/>
          <w:bCs/>
          <w:szCs w:val="24"/>
        </w:rPr>
        <w:t>will be</w:t>
      </w:r>
      <w:r w:rsidRPr="00190BA4" w:rsidR="002E3B94">
        <w:rPr>
          <w:rFonts w:cs="Times New Roman"/>
          <w:bCs/>
          <w:szCs w:val="24"/>
        </w:rPr>
        <w:t xml:space="preserve"> used to offset charges to consumers under Rider AMI.</w:t>
      </w:r>
      <w:r>
        <w:rPr>
          <w:rStyle w:val="FootnoteReference"/>
          <w:rFonts w:cs="Times New Roman"/>
          <w:bCs/>
          <w:szCs w:val="24"/>
        </w:rPr>
        <w:footnoteReference w:id="23"/>
      </w:r>
      <w:r w:rsidRPr="00190BA4" w:rsidR="00CF1064">
        <w:rPr>
          <w:rFonts w:cs="Times New Roman"/>
          <w:bCs/>
          <w:szCs w:val="24"/>
        </w:rPr>
        <w:t xml:space="preserve"> </w:t>
      </w:r>
      <w:r w:rsidRPr="00190BA4" w:rsidR="00234425">
        <w:rPr>
          <w:rFonts w:cs="Times New Roman"/>
          <w:bCs/>
          <w:szCs w:val="24"/>
        </w:rPr>
        <w:t xml:space="preserve">The </w:t>
      </w:r>
      <w:r w:rsidRPr="00190BA4" w:rsidR="00CF6683">
        <w:rPr>
          <w:rFonts w:cs="Times New Roman"/>
          <w:bCs/>
          <w:szCs w:val="24"/>
        </w:rPr>
        <w:t xml:space="preserve">Settlement </w:t>
      </w:r>
      <w:r w:rsidRPr="00190BA4" w:rsidR="00234425">
        <w:rPr>
          <w:rFonts w:cs="Times New Roman"/>
          <w:bCs/>
          <w:szCs w:val="24"/>
        </w:rPr>
        <w:t xml:space="preserve">also specifies </w:t>
      </w:r>
      <w:r w:rsidRPr="00190BA4" w:rsidR="008A7FD9">
        <w:rPr>
          <w:rFonts w:cs="Times New Roman"/>
          <w:bCs/>
          <w:szCs w:val="24"/>
        </w:rPr>
        <w:t xml:space="preserve">more stringent performance reporting requirements, </w:t>
      </w:r>
      <w:r w:rsidRPr="00190BA4" w:rsidR="0025245F">
        <w:rPr>
          <w:rFonts w:cs="Times New Roman"/>
          <w:bCs/>
          <w:szCs w:val="24"/>
        </w:rPr>
        <w:t>as it should, given FirstEnergy</w:t>
      </w:r>
      <w:r w:rsidR="00DD6EB7">
        <w:rPr>
          <w:rFonts w:cs="Times New Roman"/>
          <w:bCs/>
          <w:szCs w:val="24"/>
        </w:rPr>
        <w:t>’</w:t>
      </w:r>
      <w:r w:rsidRPr="00190BA4" w:rsidR="0025245F">
        <w:rPr>
          <w:rFonts w:cs="Times New Roman"/>
          <w:bCs/>
          <w:szCs w:val="24"/>
        </w:rPr>
        <w:t xml:space="preserve">s failure to demonstrate </w:t>
      </w:r>
      <w:r w:rsidRPr="00190BA4" w:rsidR="00335A8B">
        <w:rPr>
          <w:rFonts w:cs="Times New Roman"/>
          <w:bCs/>
          <w:szCs w:val="24"/>
        </w:rPr>
        <w:t>o</w:t>
      </w:r>
      <w:r w:rsidRPr="00190BA4" w:rsidR="008A7FD9">
        <w:rPr>
          <w:rFonts w:cs="Times New Roman"/>
          <w:bCs/>
          <w:szCs w:val="24"/>
        </w:rPr>
        <w:t xml:space="preserve">perational </w:t>
      </w:r>
      <w:r w:rsidRPr="00190BA4" w:rsidR="00335A8B">
        <w:rPr>
          <w:rFonts w:cs="Times New Roman"/>
          <w:bCs/>
          <w:szCs w:val="24"/>
        </w:rPr>
        <w:t>b</w:t>
      </w:r>
      <w:r w:rsidRPr="00190BA4" w:rsidR="008A7FD9">
        <w:rPr>
          <w:rFonts w:cs="Times New Roman"/>
          <w:bCs/>
          <w:szCs w:val="24"/>
        </w:rPr>
        <w:t>enefit</w:t>
      </w:r>
      <w:r w:rsidRPr="00190BA4" w:rsidR="00335A8B">
        <w:rPr>
          <w:rFonts w:cs="Times New Roman"/>
          <w:bCs/>
          <w:szCs w:val="24"/>
        </w:rPr>
        <w:t>s</w:t>
      </w:r>
      <w:r w:rsidRPr="00190BA4" w:rsidR="008A7FD9">
        <w:rPr>
          <w:rFonts w:cs="Times New Roman"/>
          <w:bCs/>
          <w:szCs w:val="24"/>
        </w:rPr>
        <w:t xml:space="preserve"> </w:t>
      </w:r>
      <w:r w:rsidRPr="00190BA4" w:rsidR="0025245F">
        <w:rPr>
          <w:rFonts w:cs="Times New Roman"/>
          <w:bCs/>
          <w:szCs w:val="24"/>
        </w:rPr>
        <w:t xml:space="preserve">under </w:t>
      </w:r>
      <w:r w:rsidRPr="00190BA4" w:rsidR="00234425">
        <w:rPr>
          <w:rFonts w:cs="Times New Roman"/>
          <w:bCs/>
          <w:szCs w:val="24"/>
        </w:rPr>
        <w:t xml:space="preserve">Grid Mod </w:t>
      </w:r>
      <w:r w:rsidRPr="00190BA4" w:rsidR="006C11A4">
        <w:rPr>
          <w:rFonts w:cs="Times New Roman"/>
          <w:bCs/>
          <w:szCs w:val="24"/>
        </w:rPr>
        <w:t>I</w:t>
      </w:r>
      <w:r w:rsidRPr="00190BA4" w:rsidR="008A7FD9">
        <w:rPr>
          <w:rFonts w:cs="Times New Roman"/>
          <w:bCs/>
          <w:szCs w:val="24"/>
        </w:rPr>
        <w:t>.</w:t>
      </w:r>
      <w:r>
        <w:rPr>
          <w:rStyle w:val="FootnoteReference"/>
          <w:rFonts w:cs="Times New Roman"/>
          <w:bCs/>
          <w:szCs w:val="24"/>
        </w:rPr>
        <w:footnoteReference w:id="24"/>
      </w:r>
      <w:r w:rsidRPr="00190BA4" w:rsidR="00CF1064">
        <w:rPr>
          <w:rFonts w:cs="Times New Roman"/>
          <w:bCs/>
          <w:szCs w:val="24"/>
        </w:rPr>
        <w:t xml:space="preserve"> </w:t>
      </w:r>
    </w:p>
    <w:p w:rsidR="00285D36" w:rsidRPr="00190BA4" w:rsidP="00285D36" w14:paraId="38A678CF" w14:textId="77777777">
      <w:pPr>
        <w:tabs>
          <w:tab w:val="left" w:pos="0"/>
        </w:tabs>
        <w:spacing w:after="0" w:line="240" w:lineRule="auto"/>
        <w:rPr>
          <w:rFonts w:cs="Times New Roman"/>
          <w:bCs/>
          <w:szCs w:val="24"/>
        </w:rPr>
      </w:pPr>
    </w:p>
    <w:p w:rsidR="000748BB" w:rsidRPr="00190BA4" w:rsidP="00285D36" w14:paraId="66D4566F" w14:textId="402584D5">
      <w:pPr>
        <w:pStyle w:val="Heading1"/>
        <w:tabs>
          <w:tab w:val="left" w:pos="0"/>
        </w:tabs>
        <w:spacing w:after="0" w:line="480" w:lineRule="auto"/>
        <w:ind w:left="0" w:firstLine="0"/>
        <w:rPr>
          <w:rFonts w:cs="Times New Roman"/>
          <w:szCs w:val="24"/>
        </w:rPr>
      </w:pPr>
      <w:bookmarkStart w:id="10" w:name="_Toc173315542"/>
      <w:bookmarkStart w:id="11" w:name="_Toc168587450"/>
      <w:r w:rsidRPr="00190BA4">
        <w:rPr>
          <w:rFonts w:cs="Times New Roman"/>
          <w:szCs w:val="24"/>
        </w:rPr>
        <w:t>III.</w:t>
      </w:r>
      <w:r w:rsidRPr="00190BA4">
        <w:rPr>
          <w:rFonts w:cs="Times New Roman"/>
          <w:szCs w:val="24"/>
        </w:rPr>
        <w:tab/>
        <w:t>ARGUMENT</w:t>
      </w:r>
      <w:bookmarkEnd w:id="10"/>
    </w:p>
    <w:p w:rsidR="002E1666" w:rsidP="00E031CA" w14:paraId="2682CEE4" w14:textId="1CBB3C21">
      <w:pPr>
        <w:spacing w:after="0"/>
        <w:ind w:firstLine="720"/>
        <w:rPr>
          <w:rFonts w:cs="Times New Roman"/>
          <w:bCs/>
          <w:szCs w:val="24"/>
        </w:rPr>
      </w:pPr>
      <w:r w:rsidRPr="00190BA4">
        <w:rPr>
          <w:rFonts w:cs="Times New Roman"/>
          <w:bCs/>
          <w:szCs w:val="24"/>
        </w:rPr>
        <w:t>The PUCO should reject the Settlement. FirstEnergy</w:t>
      </w:r>
      <w:r w:rsidR="00DD6EB7">
        <w:rPr>
          <w:rFonts w:cs="Times New Roman"/>
          <w:bCs/>
          <w:szCs w:val="24"/>
        </w:rPr>
        <w:t>’</w:t>
      </w:r>
      <w:r w:rsidRPr="00190BA4">
        <w:rPr>
          <w:rFonts w:cs="Times New Roman"/>
          <w:bCs/>
          <w:szCs w:val="24"/>
        </w:rPr>
        <w:t>s inability to deliver anticipated benefits in Grid Mod I</w:t>
      </w:r>
      <w:r w:rsidRPr="00190BA4" w:rsidR="00894AD4">
        <w:rPr>
          <w:rFonts w:cs="Times New Roman"/>
          <w:bCs/>
          <w:szCs w:val="24"/>
        </w:rPr>
        <w:t xml:space="preserve"> </w:t>
      </w:r>
      <w:r w:rsidRPr="00190BA4">
        <w:rPr>
          <w:rFonts w:cs="Times New Roman"/>
          <w:bCs/>
          <w:szCs w:val="24"/>
        </w:rPr>
        <w:t>speak</w:t>
      </w:r>
      <w:r w:rsidRPr="00190BA4" w:rsidR="0002283A">
        <w:rPr>
          <w:rFonts w:cs="Times New Roman"/>
          <w:bCs/>
          <w:szCs w:val="24"/>
        </w:rPr>
        <w:t>s</w:t>
      </w:r>
      <w:r w:rsidRPr="00190BA4">
        <w:rPr>
          <w:rFonts w:cs="Times New Roman"/>
          <w:bCs/>
          <w:szCs w:val="24"/>
        </w:rPr>
        <w:t xml:space="preserve"> volumes about FirstEnergy</w:t>
      </w:r>
      <w:r w:rsidR="00DD6EB7">
        <w:rPr>
          <w:rFonts w:cs="Times New Roman"/>
          <w:bCs/>
          <w:szCs w:val="24"/>
        </w:rPr>
        <w:t>’</w:t>
      </w:r>
      <w:r w:rsidRPr="00190BA4">
        <w:rPr>
          <w:rFonts w:cs="Times New Roman"/>
          <w:bCs/>
          <w:szCs w:val="24"/>
        </w:rPr>
        <w:t xml:space="preserve">s ability to deliver </w:t>
      </w:r>
      <w:r w:rsidRPr="00190BA4" w:rsidR="00790447">
        <w:rPr>
          <w:rFonts w:cs="Times New Roman"/>
          <w:bCs/>
          <w:szCs w:val="24"/>
        </w:rPr>
        <w:t xml:space="preserve">the </w:t>
      </w:r>
      <w:r w:rsidRPr="00190BA4">
        <w:rPr>
          <w:rFonts w:cs="Times New Roman"/>
          <w:bCs/>
          <w:szCs w:val="24"/>
        </w:rPr>
        <w:t>promised results</w:t>
      </w:r>
      <w:r w:rsidRPr="00190BA4" w:rsidR="00790447">
        <w:rPr>
          <w:rFonts w:cs="Times New Roman"/>
          <w:bCs/>
          <w:szCs w:val="24"/>
        </w:rPr>
        <w:t xml:space="preserve"> of Grid Mod II</w:t>
      </w:r>
      <w:r w:rsidRPr="00190BA4">
        <w:rPr>
          <w:rFonts w:cs="Times New Roman"/>
          <w:bCs/>
          <w:szCs w:val="24"/>
        </w:rPr>
        <w:t>.</w:t>
      </w:r>
      <w:r>
        <w:rPr>
          <w:rStyle w:val="FootnoteReference"/>
          <w:rFonts w:cs="Times New Roman"/>
          <w:bCs/>
          <w:szCs w:val="24"/>
        </w:rPr>
        <w:footnoteReference w:id="25"/>
      </w:r>
      <w:r w:rsidRPr="00190BA4">
        <w:rPr>
          <w:rFonts w:cs="Times New Roman"/>
          <w:bCs/>
          <w:szCs w:val="24"/>
        </w:rPr>
        <w:t xml:space="preserve"> </w:t>
      </w:r>
      <w:r>
        <w:rPr>
          <w:rFonts w:cs="Times New Roman"/>
          <w:bCs/>
          <w:szCs w:val="24"/>
        </w:rPr>
        <w:t xml:space="preserve">As the Introduction sets out (and is incorporated here) residential time of use programs are a tough nut to </w:t>
      </w:r>
      <w:r w:rsidR="00EA1641">
        <w:rPr>
          <w:rFonts w:cs="Times New Roman"/>
          <w:bCs/>
          <w:szCs w:val="24"/>
        </w:rPr>
        <w:t>crack,</w:t>
      </w:r>
      <w:r>
        <w:rPr>
          <w:rFonts w:cs="Times New Roman"/>
          <w:bCs/>
          <w:szCs w:val="24"/>
        </w:rPr>
        <w:t xml:space="preserve"> and FirstEnergy repeatedly failed to deliver projected consumer benefits. Its performance is far below what other </w:t>
      </w:r>
      <w:r w:rsidR="00EA1641">
        <w:rPr>
          <w:rFonts w:cs="Times New Roman"/>
          <w:bCs/>
          <w:szCs w:val="24"/>
        </w:rPr>
        <w:t>vendors achieved in other jurisdictions. There is every reason to bring in outside expertise to sort out the problem first before further residential smart meter deployment. Continuing with FirstEnergy at the helm and increasing the number of residential meters</w:t>
      </w:r>
      <w:r>
        <w:rPr>
          <w:rFonts w:cs="Times New Roman"/>
          <w:bCs/>
          <w:szCs w:val="24"/>
        </w:rPr>
        <w:t xml:space="preserve"> </w:t>
      </w:r>
      <w:r w:rsidR="002968CC">
        <w:rPr>
          <w:rFonts w:cs="Times New Roman"/>
          <w:bCs/>
          <w:szCs w:val="24"/>
        </w:rPr>
        <w:t>is</w:t>
      </w:r>
      <w:r w:rsidR="00EA1641">
        <w:rPr>
          <w:rFonts w:cs="Times New Roman"/>
          <w:bCs/>
          <w:szCs w:val="24"/>
        </w:rPr>
        <w:t xml:space="preserve"> not the answer.</w:t>
      </w:r>
    </w:p>
    <w:p w:rsidR="002B1CAE" w:rsidRPr="00190BA4" w:rsidP="00E031CA" w14:paraId="410E7A21" w14:textId="7949FD2E">
      <w:pPr>
        <w:spacing w:after="0"/>
        <w:ind w:firstLine="720"/>
        <w:rPr>
          <w:rFonts w:cs="Times New Roman"/>
          <w:bCs/>
          <w:szCs w:val="24"/>
        </w:rPr>
      </w:pPr>
      <w:r w:rsidRPr="00190BA4">
        <w:rPr>
          <w:rFonts w:cs="Times New Roman"/>
          <w:bCs/>
          <w:szCs w:val="24"/>
        </w:rPr>
        <w:t>Yet the Settlement essentially asks the PUCO to trust that FirstEnergy will deliver benefits to consumers in excess of costs consumers will pay on $710 million in stipulated smart meter spending.</w:t>
      </w:r>
      <w:r>
        <w:rPr>
          <w:rStyle w:val="FootnoteReference"/>
          <w:rFonts w:cs="Times New Roman"/>
          <w:bCs/>
          <w:szCs w:val="24"/>
        </w:rPr>
        <w:footnoteReference w:id="26"/>
      </w:r>
      <w:r w:rsidRPr="00190BA4">
        <w:rPr>
          <w:rFonts w:cs="Times New Roman"/>
          <w:bCs/>
          <w:szCs w:val="24"/>
        </w:rPr>
        <w:t xml:space="preserve"> Given FirstEnergy</w:t>
      </w:r>
      <w:r w:rsidR="00DD6EB7">
        <w:rPr>
          <w:rFonts w:cs="Times New Roman"/>
          <w:bCs/>
          <w:szCs w:val="24"/>
        </w:rPr>
        <w:t>’</w:t>
      </w:r>
      <w:r w:rsidRPr="00190BA4">
        <w:rPr>
          <w:rFonts w:cs="Times New Roman"/>
          <w:bCs/>
          <w:szCs w:val="24"/>
        </w:rPr>
        <w:t xml:space="preserve">s </w:t>
      </w:r>
      <w:r w:rsidRPr="00190BA4" w:rsidR="00474466">
        <w:rPr>
          <w:rFonts w:cs="Times New Roman"/>
          <w:bCs/>
          <w:szCs w:val="24"/>
        </w:rPr>
        <w:t xml:space="preserve">poor </w:t>
      </w:r>
      <w:r w:rsidRPr="00190BA4">
        <w:rPr>
          <w:rFonts w:cs="Times New Roman"/>
          <w:bCs/>
          <w:szCs w:val="24"/>
        </w:rPr>
        <w:t>performance on Grid Mod I</w:t>
      </w:r>
      <w:r w:rsidRPr="00190BA4" w:rsidR="000A720F">
        <w:rPr>
          <w:rFonts w:cs="Times New Roman"/>
          <w:bCs/>
          <w:szCs w:val="24"/>
        </w:rPr>
        <w:t xml:space="preserve"> (</w:t>
      </w:r>
      <w:r w:rsidRPr="00190BA4" w:rsidR="00790447">
        <w:rPr>
          <w:rFonts w:cs="Times New Roman"/>
          <w:bCs/>
          <w:szCs w:val="24"/>
        </w:rPr>
        <w:t xml:space="preserve">as </w:t>
      </w:r>
      <w:r w:rsidRPr="00190BA4">
        <w:rPr>
          <w:rFonts w:cs="Times New Roman"/>
          <w:bCs/>
          <w:szCs w:val="24"/>
        </w:rPr>
        <w:t xml:space="preserve">documented </w:t>
      </w:r>
      <w:r w:rsidRPr="00190BA4" w:rsidR="000A720F">
        <w:rPr>
          <w:rFonts w:cs="Times New Roman"/>
          <w:bCs/>
          <w:szCs w:val="24"/>
        </w:rPr>
        <w:t>in the</w:t>
      </w:r>
      <w:r w:rsidRPr="00190BA4">
        <w:rPr>
          <w:rFonts w:cs="Times New Roman"/>
          <w:bCs/>
          <w:szCs w:val="24"/>
        </w:rPr>
        <w:t xml:space="preserve"> operational benefits audit</w:t>
      </w:r>
      <w:r w:rsidRPr="00190BA4" w:rsidR="000A720F">
        <w:rPr>
          <w:rFonts w:cs="Times New Roman"/>
          <w:bCs/>
          <w:szCs w:val="24"/>
        </w:rPr>
        <w:t>)</w:t>
      </w:r>
      <w:r w:rsidRPr="00190BA4" w:rsidR="00790447">
        <w:rPr>
          <w:rFonts w:cs="Times New Roman"/>
          <w:bCs/>
          <w:szCs w:val="24"/>
        </w:rPr>
        <w:t>,</w:t>
      </w:r>
      <w:r w:rsidRPr="00190BA4" w:rsidR="00894AD4">
        <w:rPr>
          <w:rFonts w:cs="Times New Roman"/>
          <w:bCs/>
          <w:szCs w:val="24"/>
        </w:rPr>
        <w:t xml:space="preserve"> </w:t>
      </w:r>
      <w:r w:rsidRPr="00190BA4">
        <w:rPr>
          <w:rFonts w:cs="Times New Roman"/>
          <w:bCs/>
          <w:szCs w:val="24"/>
        </w:rPr>
        <w:t xml:space="preserve">FirstEnergy has not </w:t>
      </w:r>
      <w:r w:rsidRPr="00190BA4" w:rsidR="00474466">
        <w:rPr>
          <w:rFonts w:cs="Times New Roman"/>
          <w:bCs/>
          <w:szCs w:val="24"/>
        </w:rPr>
        <w:t>demonstrated</w:t>
      </w:r>
      <w:r w:rsidRPr="00190BA4" w:rsidR="001E5E5B">
        <w:rPr>
          <w:rFonts w:cs="Times New Roman"/>
          <w:bCs/>
          <w:szCs w:val="24"/>
        </w:rPr>
        <w:t xml:space="preserve"> </w:t>
      </w:r>
      <w:r w:rsidRPr="00190BA4" w:rsidR="00790447">
        <w:rPr>
          <w:rFonts w:cs="Times New Roman"/>
          <w:bCs/>
          <w:szCs w:val="24"/>
        </w:rPr>
        <w:t xml:space="preserve">that a </w:t>
      </w:r>
      <w:r w:rsidRPr="00190BA4">
        <w:rPr>
          <w:rFonts w:cs="Times New Roman"/>
          <w:bCs/>
          <w:szCs w:val="24"/>
        </w:rPr>
        <w:t>$710 million smart meter deployment in Grid Mod II</w:t>
      </w:r>
      <w:r w:rsidRPr="00190BA4" w:rsidR="00790447">
        <w:rPr>
          <w:rFonts w:cs="Times New Roman"/>
          <w:bCs/>
          <w:szCs w:val="24"/>
        </w:rPr>
        <w:t xml:space="preserve"> is justified, reasonable, and beneficial to consumers</w:t>
      </w:r>
      <w:r w:rsidRPr="00190BA4">
        <w:rPr>
          <w:rFonts w:cs="Times New Roman"/>
          <w:bCs/>
          <w:szCs w:val="24"/>
        </w:rPr>
        <w:t>.</w:t>
      </w:r>
      <w:r>
        <w:rPr>
          <w:rStyle w:val="FootnoteReference"/>
          <w:rFonts w:cs="Times New Roman"/>
          <w:bCs/>
          <w:szCs w:val="24"/>
        </w:rPr>
        <w:footnoteReference w:id="27"/>
      </w:r>
    </w:p>
    <w:p w:rsidR="00B0687C" w:rsidRPr="00190BA4" w:rsidP="00807820" w14:paraId="65C8B152" w14:textId="66587AE6">
      <w:pPr>
        <w:spacing w:after="0"/>
        <w:ind w:firstLine="720"/>
        <w:rPr>
          <w:rFonts w:eastAsia="Times New Roman" w:cs="Times New Roman"/>
          <w:szCs w:val="24"/>
        </w:rPr>
      </w:pPr>
      <w:r w:rsidRPr="00190BA4">
        <w:rPr>
          <w:rFonts w:cs="Times New Roman"/>
          <w:szCs w:val="24"/>
        </w:rPr>
        <w:t xml:space="preserve">The PUCO applies a three-prong test for reviewing </w:t>
      </w:r>
      <w:r w:rsidRPr="00190BA4" w:rsidR="006319F4">
        <w:rPr>
          <w:rFonts w:cs="Times New Roman"/>
          <w:szCs w:val="24"/>
        </w:rPr>
        <w:t>settlements</w:t>
      </w:r>
      <w:r w:rsidRPr="00190BA4">
        <w:rPr>
          <w:rFonts w:cs="Times New Roman"/>
          <w:szCs w:val="24"/>
        </w:rPr>
        <w:t xml:space="preserve">: the test examines whether </w:t>
      </w:r>
      <w:r w:rsidRPr="00190BA4">
        <w:rPr>
          <w:rFonts w:eastAsia="Times New Roman" w:cs="Times New Roman"/>
          <w:szCs w:val="24"/>
        </w:rPr>
        <w:t>the settlement a product of serious bargaining among capable, knowledgeable parties; whether the settlement, as a package, benefits ratepayers and the public interest; and whether the settlement violates any important regulatory principle or practice.</w:t>
      </w:r>
      <w:r>
        <w:rPr>
          <w:rStyle w:val="FootnoteReference"/>
          <w:rFonts w:eastAsia="Times New Roman" w:cs="Times New Roman"/>
          <w:szCs w:val="24"/>
        </w:rPr>
        <w:footnoteReference w:id="28"/>
      </w:r>
      <w:r w:rsidRPr="00190BA4">
        <w:rPr>
          <w:rFonts w:eastAsia="Times New Roman" w:cs="Times New Roman"/>
          <w:szCs w:val="24"/>
        </w:rPr>
        <w:t xml:space="preserve"> Here the Settlement fails on the second and third prongs. The Settlement does not benefit ratepayers because Grid Mod II</w:t>
      </w:r>
      <w:r w:rsidR="00DD6EB7">
        <w:rPr>
          <w:rFonts w:eastAsia="Times New Roman" w:cs="Times New Roman"/>
          <w:szCs w:val="24"/>
        </w:rPr>
        <w:t>’</w:t>
      </w:r>
      <w:r w:rsidRPr="00190BA4">
        <w:rPr>
          <w:rFonts w:eastAsia="Times New Roman" w:cs="Times New Roman"/>
          <w:szCs w:val="24"/>
        </w:rPr>
        <w:t>s cost outweighs its benefits, and the Settlement violates important regulatory principles by providing FirstEnergy a virtually guaranteed return on its investment instead of providing an opportunity to earn on prudent investment.</w:t>
      </w:r>
      <w:r w:rsidRPr="00190BA4" w:rsidR="00790447">
        <w:rPr>
          <w:rFonts w:eastAsia="Times New Roman" w:cs="Times New Roman"/>
          <w:szCs w:val="24"/>
        </w:rPr>
        <w:t xml:space="preserve"> The Settlement should be rejected.</w:t>
      </w:r>
    </w:p>
    <w:p w:rsidR="0042595A" w:rsidRPr="00887DCB" w:rsidP="00887DCB" w14:paraId="4B2DDC47" w14:textId="3D25F20B">
      <w:pPr>
        <w:pStyle w:val="Heading2"/>
        <w:numPr>
          <w:ilvl w:val="0"/>
          <w:numId w:val="0"/>
        </w:numPr>
        <w:ind w:left="1440" w:hanging="720"/>
      </w:pPr>
      <w:bookmarkStart w:id="12" w:name="_Toc173315543"/>
      <w:r>
        <w:t>A.</w:t>
      </w:r>
      <w:r>
        <w:tab/>
      </w:r>
      <w:r w:rsidRPr="00887DCB">
        <w:t>FirstEnergy</w:t>
      </w:r>
      <w:r w:rsidRPr="00887DCB" w:rsidR="00DD6EB7">
        <w:t>’</w:t>
      </w:r>
      <w:r w:rsidRPr="00887DCB" w:rsidR="00EC2D71">
        <w:t xml:space="preserve">s </w:t>
      </w:r>
      <w:r w:rsidR="00E2573F">
        <w:t>t</w:t>
      </w:r>
      <w:r w:rsidRPr="00887DCB" w:rsidR="00EC2D71">
        <w:t xml:space="preserve">rack </w:t>
      </w:r>
      <w:r w:rsidR="00E2573F">
        <w:t>r</w:t>
      </w:r>
      <w:r w:rsidRPr="00887DCB" w:rsidR="00EC2D71">
        <w:t xml:space="preserve">ecord </w:t>
      </w:r>
      <w:r w:rsidR="00E2573F">
        <w:t>o</w:t>
      </w:r>
      <w:r w:rsidRPr="00887DCB" w:rsidR="00EC2D71">
        <w:t>n</w:t>
      </w:r>
      <w:r w:rsidRPr="00887DCB">
        <w:t xml:space="preserve"> </w:t>
      </w:r>
      <w:r w:rsidR="00E2573F">
        <w:t>d</w:t>
      </w:r>
      <w:r w:rsidRPr="00887DCB">
        <w:t xml:space="preserve">istribution </w:t>
      </w:r>
      <w:r w:rsidR="00E2573F">
        <w:t>m</w:t>
      </w:r>
      <w:r w:rsidRPr="00887DCB">
        <w:t xml:space="preserve">odernization </w:t>
      </w:r>
      <w:r w:rsidR="00E2573F">
        <w:t>m</w:t>
      </w:r>
      <w:r w:rsidRPr="00887DCB">
        <w:t>atters</w:t>
      </w:r>
      <w:r w:rsidRPr="00887DCB" w:rsidR="00EC2D71">
        <w:t xml:space="preserve"> </w:t>
      </w:r>
      <w:r w:rsidR="00E2573F">
        <w:t>i</w:t>
      </w:r>
      <w:r w:rsidRPr="00887DCB" w:rsidR="00EC2D71">
        <w:t xml:space="preserve">s </w:t>
      </w:r>
      <w:r w:rsidR="00E2573F">
        <w:t>n</w:t>
      </w:r>
      <w:r w:rsidRPr="00887DCB" w:rsidR="00EC2D71">
        <w:t xml:space="preserve">ot </w:t>
      </w:r>
      <w:r w:rsidR="00E2573F">
        <w:t>b</w:t>
      </w:r>
      <w:r w:rsidRPr="00887DCB" w:rsidR="00EC2D71">
        <w:t xml:space="preserve">eneficial </w:t>
      </w:r>
      <w:r w:rsidR="00E2573F">
        <w:t>t</w:t>
      </w:r>
      <w:r w:rsidRPr="00887DCB" w:rsidR="00EC2D71">
        <w:t xml:space="preserve">o </w:t>
      </w:r>
      <w:r w:rsidR="00E2573F">
        <w:t>c</w:t>
      </w:r>
      <w:r w:rsidRPr="00887DCB" w:rsidR="00EC2D71">
        <w:t>onsumers</w:t>
      </w:r>
      <w:r w:rsidR="00E2573F">
        <w:t>.</w:t>
      </w:r>
      <w:bookmarkEnd w:id="12"/>
    </w:p>
    <w:p w:rsidR="0042595A" w:rsidRPr="00190BA4" w:rsidP="0037711F" w14:paraId="62D6FA79" w14:textId="2777F27A">
      <w:pPr>
        <w:tabs>
          <w:tab w:val="left" w:pos="0"/>
        </w:tabs>
        <w:spacing w:after="0"/>
        <w:rPr>
          <w:rFonts w:eastAsia="Times New Roman" w:cs="Times New Roman"/>
          <w:szCs w:val="24"/>
        </w:rPr>
      </w:pPr>
      <w:r w:rsidRPr="00190BA4">
        <w:rPr>
          <w:rFonts w:cs="Times New Roman"/>
          <w:bCs/>
          <w:szCs w:val="24"/>
        </w:rPr>
        <w:tab/>
        <w:t>FirstEnergy</w:t>
      </w:r>
      <w:r w:rsidR="00DD6EB7">
        <w:rPr>
          <w:rFonts w:cs="Times New Roman"/>
          <w:bCs/>
          <w:szCs w:val="24"/>
        </w:rPr>
        <w:t>’</w:t>
      </w:r>
      <w:r w:rsidRPr="00190BA4">
        <w:rPr>
          <w:rFonts w:cs="Times New Roman"/>
          <w:bCs/>
          <w:szCs w:val="24"/>
        </w:rPr>
        <w:t>s Distribution Modernization Rider (</w:t>
      </w:r>
      <w:r w:rsidR="00DD6EB7">
        <w:rPr>
          <w:rFonts w:cs="Times New Roman"/>
          <w:bCs/>
          <w:szCs w:val="24"/>
        </w:rPr>
        <w:t>“</w:t>
      </w:r>
      <w:r w:rsidRPr="00190BA4">
        <w:rPr>
          <w:rFonts w:cs="Times New Roman"/>
          <w:bCs/>
          <w:szCs w:val="24"/>
        </w:rPr>
        <w:t>DMR</w:t>
      </w:r>
      <w:r w:rsidR="00DD6EB7">
        <w:rPr>
          <w:rFonts w:cs="Times New Roman"/>
          <w:bCs/>
          <w:szCs w:val="24"/>
        </w:rPr>
        <w:t>”</w:t>
      </w:r>
      <w:r w:rsidRPr="00190BA4">
        <w:rPr>
          <w:rFonts w:cs="Times New Roman"/>
          <w:bCs/>
          <w:szCs w:val="24"/>
        </w:rPr>
        <w:t>) was adopted as part of its fourth electric security plan.</w:t>
      </w:r>
      <w:r>
        <w:rPr>
          <w:rStyle w:val="FootnoteReference"/>
          <w:rFonts w:cs="Times New Roman"/>
          <w:bCs/>
          <w:szCs w:val="24"/>
        </w:rPr>
        <w:footnoteReference w:id="29"/>
      </w:r>
      <w:r w:rsidRPr="00190BA4">
        <w:rPr>
          <w:rFonts w:cs="Times New Roman"/>
          <w:bCs/>
          <w:szCs w:val="24"/>
        </w:rPr>
        <w:t xml:space="preserve"> Though touted by FirstEnergy as a commitment to invest in their distribution grids, no spending or investment plans were provided.</w:t>
      </w:r>
      <w:r>
        <w:rPr>
          <w:rStyle w:val="FootnoteReference"/>
          <w:rFonts w:cs="Times New Roman"/>
          <w:bCs/>
          <w:szCs w:val="24"/>
        </w:rPr>
        <w:footnoteReference w:id="30"/>
      </w:r>
      <w:r w:rsidRPr="00190BA4">
        <w:rPr>
          <w:rFonts w:cs="Times New Roman"/>
          <w:bCs/>
          <w:szCs w:val="24"/>
        </w:rPr>
        <w:t xml:space="preserve"> OCC and others appealed this PUCO decision to the Ohio Supreme Court.</w:t>
      </w:r>
      <w:r>
        <w:rPr>
          <w:rStyle w:val="FootnoteReference"/>
          <w:rFonts w:cs="Times New Roman"/>
          <w:bCs/>
          <w:szCs w:val="24"/>
        </w:rPr>
        <w:footnoteReference w:id="31"/>
      </w:r>
      <w:r w:rsidRPr="00190BA4">
        <w:rPr>
          <w:rFonts w:cs="Times New Roman"/>
          <w:bCs/>
          <w:szCs w:val="24"/>
        </w:rPr>
        <w:t xml:space="preserve"> </w:t>
      </w:r>
      <w:r w:rsidRPr="00190BA4">
        <w:rPr>
          <w:rFonts w:cs="Times New Roman"/>
          <w:szCs w:val="24"/>
        </w:rPr>
        <w:t>The Supreme Court rejected the DMR as unlawful and unreasonable in 2019</w:t>
      </w:r>
      <w:r>
        <w:rPr>
          <w:rStyle w:val="FootnoteReference"/>
          <w:rFonts w:cs="Times New Roman"/>
          <w:szCs w:val="24"/>
        </w:rPr>
        <w:footnoteReference w:id="32"/>
      </w:r>
      <w:r w:rsidRPr="00190BA4">
        <w:rPr>
          <w:rFonts w:cs="Times New Roman"/>
          <w:szCs w:val="24"/>
        </w:rPr>
        <w:t xml:space="preserve"> after an estimated $456 million had been collected from FirstEnergy consumers. An audit of the DMR </w:t>
      </w:r>
      <w:r w:rsidRPr="00190BA4" w:rsidR="00F11843">
        <w:rPr>
          <w:rFonts w:cs="Times New Roman"/>
          <w:szCs w:val="24"/>
        </w:rPr>
        <w:t>could not find</w:t>
      </w:r>
      <w:r w:rsidR="00190BA4">
        <w:rPr>
          <w:rFonts w:cs="Times New Roman"/>
          <w:szCs w:val="24"/>
        </w:rPr>
        <w:t xml:space="preserve"> </w:t>
      </w:r>
      <w:r w:rsidRPr="00190BA4">
        <w:rPr>
          <w:rFonts w:cs="Times New Roman"/>
          <w:szCs w:val="24"/>
        </w:rPr>
        <w:t>that the funds collected from consumers through the DMR were spent to modernize FirstEnergy</w:t>
      </w:r>
      <w:r w:rsidR="00DD6EB7">
        <w:rPr>
          <w:rFonts w:cs="Times New Roman"/>
          <w:szCs w:val="24"/>
        </w:rPr>
        <w:t>’</w:t>
      </w:r>
      <w:r w:rsidRPr="00190BA4">
        <w:rPr>
          <w:rFonts w:cs="Times New Roman"/>
          <w:szCs w:val="24"/>
        </w:rPr>
        <w:t>s grid</w:t>
      </w:r>
      <w:r w:rsidRPr="00190BA4" w:rsidR="00E02C75">
        <w:rPr>
          <w:rFonts w:cs="Times New Roman"/>
          <w:szCs w:val="24"/>
        </w:rPr>
        <w:t>, directly or indirectly</w:t>
      </w:r>
      <w:r w:rsidRPr="00190BA4">
        <w:rPr>
          <w:rFonts w:cs="Times New Roman"/>
          <w:szCs w:val="24"/>
        </w:rPr>
        <w:t>.</w:t>
      </w:r>
      <w:r>
        <w:rPr>
          <w:rStyle w:val="FootnoteReference"/>
          <w:rFonts w:cs="Times New Roman"/>
          <w:szCs w:val="24"/>
        </w:rPr>
        <w:footnoteReference w:id="33"/>
      </w:r>
      <w:r w:rsidRPr="00190BA4">
        <w:rPr>
          <w:rFonts w:cs="Times New Roman"/>
          <w:szCs w:val="24"/>
        </w:rPr>
        <w:t xml:space="preserve"> Further, the auditor was also unable to eliminate the possibility that rider DMR funds collected from consumers were used as part of bribes FirstEnergy has admitted paying to Ohio lawmakers.</w:t>
      </w:r>
      <w:r>
        <w:rPr>
          <w:rStyle w:val="FootnoteReference"/>
          <w:rFonts w:cs="Times New Roman"/>
          <w:szCs w:val="24"/>
        </w:rPr>
        <w:footnoteReference w:id="34"/>
      </w:r>
      <w:r w:rsidRPr="00190BA4">
        <w:rPr>
          <w:rFonts w:cs="Times New Roman"/>
          <w:szCs w:val="24"/>
        </w:rPr>
        <w:tab/>
      </w:r>
    </w:p>
    <w:p w:rsidR="006319F4" w:rsidRPr="00B13D09" w:rsidP="00B13D09" w14:paraId="293E0223" w14:textId="00E32B4B">
      <w:pPr>
        <w:pStyle w:val="Heading2"/>
        <w:numPr>
          <w:ilvl w:val="0"/>
          <w:numId w:val="0"/>
        </w:numPr>
        <w:ind w:left="1440" w:hanging="720"/>
      </w:pPr>
      <w:bookmarkStart w:id="13" w:name="_Toc173315544"/>
      <w:bookmarkEnd w:id="11"/>
      <w:r>
        <w:t>B.</w:t>
      </w:r>
      <w:r>
        <w:tab/>
      </w:r>
      <w:r w:rsidRPr="00B13D09" w:rsidR="00DA1F10">
        <w:t xml:space="preserve">The </w:t>
      </w:r>
      <w:r w:rsidRPr="00B13D09" w:rsidR="00790447">
        <w:t>S</w:t>
      </w:r>
      <w:r w:rsidRPr="00B13D09" w:rsidR="00DA1F10">
        <w:t>ettlement</w:t>
      </w:r>
      <w:r w:rsidRPr="00B13D09" w:rsidR="001E5E5B">
        <w:t xml:space="preserve"> </w:t>
      </w:r>
      <w:r w:rsidRPr="00B13D09" w:rsidR="00790447">
        <w:t>harms</w:t>
      </w:r>
      <w:r w:rsidRPr="00B13D09" w:rsidR="00DA1F10">
        <w:t xml:space="preserve"> consumers because</w:t>
      </w:r>
      <w:r w:rsidRPr="00B13D09" w:rsidR="001E5E5B">
        <w:t xml:space="preserve"> </w:t>
      </w:r>
      <w:r w:rsidRPr="00B13D09" w:rsidR="00790447">
        <w:t>any</w:t>
      </w:r>
      <w:r w:rsidRPr="00B13D09" w:rsidR="00DA1F10">
        <w:t xml:space="preserve"> benefits </w:t>
      </w:r>
      <w:r w:rsidRPr="00B13D09" w:rsidR="00790447">
        <w:t xml:space="preserve">to consumers </w:t>
      </w:r>
      <w:r w:rsidRPr="00B13D09" w:rsidR="00DA1F10">
        <w:t xml:space="preserve">are outweighed by </w:t>
      </w:r>
      <w:r w:rsidRPr="00B13D09" w:rsidR="00790447">
        <w:t>the</w:t>
      </w:r>
      <w:r w:rsidRPr="00B13D09" w:rsidR="00DA1F10">
        <w:t xml:space="preserve"> costs.</w:t>
      </w:r>
      <w:bookmarkEnd w:id="13"/>
    </w:p>
    <w:p w:rsidR="000B7377" w:rsidP="00587E18" w14:paraId="216C09F5" w14:textId="44880204">
      <w:pPr>
        <w:tabs>
          <w:tab w:val="left" w:pos="0"/>
        </w:tabs>
        <w:spacing w:after="0"/>
        <w:rPr>
          <w:rFonts w:cs="Times New Roman"/>
          <w:bCs/>
          <w:szCs w:val="24"/>
        </w:rPr>
      </w:pPr>
      <w:r w:rsidRPr="00190BA4">
        <w:rPr>
          <w:rFonts w:cs="Times New Roman"/>
          <w:szCs w:val="24"/>
        </w:rPr>
        <w:tab/>
        <w:t>T</w:t>
      </w:r>
      <w:r w:rsidRPr="00190BA4" w:rsidR="008A7FD9">
        <w:rPr>
          <w:rFonts w:cs="Times New Roman"/>
          <w:szCs w:val="24"/>
        </w:rPr>
        <w:t>he benefit-cost analysis (</w:t>
      </w:r>
      <w:r w:rsidR="00DD6EB7">
        <w:rPr>
          <w:rFonts w:cs="Times New Roman"/>
          <w:szCs w:val="24"/>
        </w:rPr>
        <w:t>“</w:t>
      </w:r>
      <w:r w:rsidRPr="00190BA4" w:rsidR="008A7FD9">
        <w:rPr>
          <w:rFonts w:cs="Times New Roman"/>
          <w:szCs w:val="24"/>
        </w:rPr>
        <w:t>BCA</w:t>
      </w:r>
      <w:r w:rsidR="00DD6EB7">
        <w:rPr>
          <w:rFonts w:cs="Times New Roman"/>
          <w:szCs w:val="24"/>
        </w:rPr>
        <w:t>”</w:t>
      </w:r>
      <w:r w:rsidRPr="00190BA4" w:rsidR="008A7FD9">
        <w:rPr>
          <w:rFonts w:cs="Times New Roman"/>
          <w:szCs w:val="24"/>
        </w:rPr>
        <w:t xml:space="preserve">) </w:t>
      </w:r>
      <w:r w:rsidRPr="00190BA4" w:rsidR="00846A67">
        <w:rPr>
          <w:rFonts w:cs="Times New Roman"/>
          <w:szCs w:val="24"/>
        </w:rPr>
        <w:t>FirstEnergy</w:t>
      </w:r>
      <w:r w:rsidRPr="00190BA4" w:rsidR="008A7FD9">
        <w:rPr>
          <w:rFonts w:cs="Times New Roman"/>
          <w:szCs w:val="24"/>
        </w:rPr>
        <w:t xml:space="preserve"> developed for the stipulated AMI expansion exaggerates </w:t>
      </w:r>
      <w:r w:rsidRPr="00190BA4" w:rsidR="00396F87">
        <w:rPr>
          <w:rFonts w:cs="Times New Roman"/>
          <w:szCs w:val="24"/>
        </w:rPr>
        <w:t>consumers</w:t>
      </w:r>
      <w:r w:rsidR="00DD6EB7">
        <w:rPr>
          <w:rFonts w:cs="Times New Roman"/>
          <w:szCs w:val="24"/>
        </w:rPr>
        <w:t>’</w:t>
      </w:r>
      <w:r w:rsidRPr="00190BA4" w:rsidR="00396F87">
        <w:rPr>
          <w:rFonts w:cs="Times New Roman"/>
          <w:szCs w:val="24"/>
        </w:rPr>
        <w:t xml:space="preserve"> </w:t>
      </w:r>
      <w:r w:rsidRPr="00190BA4" w:rsidR="008A7FD9">
        <w:rPr>
          <w:rFonts w:cs="Times New Roman"/>
          <w:szCs w:val="24"/>
        </w:rPr>
        <w:t>economic benefits</w:t>
      </w:r>
      <w:r w:rsidRPr="00190BA4" w:rsidR="00B3307D">
        <w:rPr>
          <w:rFonts w:cs="Times New Roman"/>
          <w:szCs w:val="24"/>
        </w:rPr>
        <w:t xml:space="preserve"> </w:t>
      </w:r>
      <w:r w:rsidRPr="00190BA4">
        <w:rPr>
          <w:rFonts w:cs="Times New Roman"/>
          <w:szCs w:val="24"/>
        </w:rPr>
        <w:t>and</w:t>
      </w:r>
      <w:r w:rsidRPr="00190BA4" w:rsidR="005760D9">
        <w:rPr>
          <w:rFonts w:cs="Times New Roman"/>
          <w:szCs w:val="24"/>
        </w:rPr>
        <w:t xml:space="preserve"> understates </w:t>
      </w:r>
      <w:r w:rsidRPr="00190BA4" w:rsidR="00F2327E">
        <w:rPr>
          <w:rFonts w:cs="Times New Roman"/>
          <w:szCs w:val="24"/>
        </w:rPr>
        <w:t xml:space="preserve">their </w:t>
      </w:r>
      <w:r w:rsidRPr="00190BA4" w:rsidR="005760D9">
        <w:rPr>
          <w:rFonts w:cs="Times New Roman"/>
          <w:szCs w:val="24"/>
        </w:rPr>
        <w:t>costs</w:t>
      </w:r>
      <w:r w:rsidRPr="00190BA4" w:rsidR="002B1CAE">
        <w:rPr>
          <w:rFonts w:cs="Times New Roman"/>
          <w:szCs w:val="24"/>
        </w:rPr>
        <w:t>.</w:t>
      </w:r>
      <w:r>
        <w:rPr>
          <w:rStyle w:val="FootnoteReference"/>
          <w:rFonts w:cs="Times New Roman"/>
          <w:szCs w:val="24"/>
        </w:rPr>
        <w:footnoteReference w:id="35"/>
      </w:r>
      <w:r w:rsidRPr="00190BA4" w:rsidR="002B1CAE">
        <w:rPr>
          <w:rFonts w:cs="Times New Roman"/>
          <w:szCs w:val="24"/>
        </w:rPr>
        <w:t xml:space="preserve"> </w:t>
      </w:r>
      <w:r w:rsidRPr="00190BA4">
        <w:rPr>
          <w:rFonts w:cs="Times New Roman"/>
          <w:szCs w:val="24"/>
        </w:rPr>
        <w:t>OCC</w:t>
      </w:r>
      <w:r w:rsidRPr="00190BA4" w:rsidR="00FA39A2">
        <w:rPr>
          <w:rFonts w:cs="Times New Roman"/>
          <w:szCs w:val="24"/>
        </w:rPr>
        <w:t>/NOAC</w:t>
      </w:r>
      <w:r w:rsidRPr="00190BA4">
        <w:rPr>
          <w:rFonts w:cs="Times New Roman"/>
          <w:szCs w:val="24"/>
        </w:rPr>
        <w:t xml:space="preserve"> Witness Alvarez adjusted for errors in FirstEnergy</w:t>
      </w:r>
      <w:r w:rsidR="00DD6EB7">
        <w:rPr>
          <w:rFonts w:cs="Times New Roman"/>
          <w:szCs w:val="24"/>
        </w:rPr>
        <w:t>’</w:t>
      </w:r>
      <w:r w:rsidRPr="00190BA4">
        <w:rPr>
          <w:rFonts w:cs="Times New Roman"/>
          <w:szCs w:val="24"/>
        </w:rPr>
        <w:t xml:space="preserve">s </w:t>
      </w:r>
      <w:r w:rsidRPr="00190BA4" w:rsidR="0002283A">
        <w:rPr>
          <w:rFonts w:cs="Times New Roman"/>
          <w:szCs w:val="24"/>
        </w:rPr>
        <w:t>analysis</w:t>
      </w:r>
      <w:r w:rsidRPr="00190BA4">
        <w:rPr>
          <w:rFonts w:cs="Times New Roman"/>
          <w:szCs w:val="24"/>
        </w:rPr>
        <w:t xml:space="preserve">, </w:t>
      </w:r>
      <w:r w:rsidRPr="00190BA4" w:rsidR="0002283A">
        <w:rPr>
          <w:rFonts w:cs="Times New Roman"/>
          <w:szCs w:val="24"/>
        </w:rPr>
        <w:t>comparing</w:t>
      </w:r>
      <w:r w:rsidRPr="00190BA4" w:rsidR="001E5E5B">
        <w:rPr>
          <w:rFonts w:cs="Times New Roman"/>
          <w:szCs w:val="24"/>
        </w:rPr>
        <w:t xml:space="preserve"> </w:t>
      </w:r>
      <w:r w:rsidRPr="00190BA4">
        <w:rPr>
          <w:rFonts w:cs="Times New Roman"/>
          <w:bCs/>
          <w:szCs w:val="24"/>
        </w:rPr>
        <w:t xml:space="preserve">the adjusted </w:t>
      </w:r>
      <w:r w:rsidRPr="00190BA4" w:rsidR="002F39AE">
        <w:rPr>
          <w:rFonts w:cs="Times New Roman"/>
          <w:bCs/>
          <w:szCs w:val="24"/>
        </w:rPr>
        <w:t>smart meter benefit/cost analysis</w:t>
      </w:r>
      <w:r w:rsidRPr="00190BA4">
        <w:rPr>
          <w:rFonts w:cs="Times New Roman"/>
          <w:bCs/>
          <w:szCs w:val="24"/>
        </w:rPr>
        <w:t xml:space="preserve"> to FirstEnergy</w:t>
      </w:r>
      <w:r w:rsidR="00DD6EB7">
        <w:rPr>
          <w:rFonts w:cs="Times New Roman"/>
          <w:bCs/>
          <w:szCs w:val="24"/>
        </w:rPr>
        <w:t>’</w:t>
      </w:r>
      <w:r w:rsidRPr="00190BA4">
        <w:rPr>
          <w:rFonts w:cs="Times New Roman"/>
          <w:bCs/>
          <w:szCs w:val="24"/>
        </w:rPr>
        <w:t xml:space="preserve">s </w:t>
      </w:r>
      <w:r w:rsidRPr="00190BA4" w:rsidR="002F39AE">
        <w:rPr>
          <w:rFonts w:cs="Times New Roman"/>
          <w:bCs/>
          <w:szCs w:val="24"/>
        </w:rPr>
        <w:t>smart meter benefit/cost analysis</w:t>
      </w:r>
      <w:r w:rsidRPr="00190BA4">
        <w:rPr>
          <w:rFonts w:cs="Times New Roman"/>
          <w:bCs/>
          <w:szCs w:val="24"/>
        </w:rPr>
        <w:t xml:space="preserve"> presented in the table below. </w:t>
      </w:r>
      <w:r w:rsidRPr="00190BA4" w:rsidR="00396F87">
        <w:rPr>
          <w:rFonts w:cs="Times New Roman"/>
          <w:bCs/>
          <w:szCs w:val="24"/>
        </w:rPr>
        <w:t>This comparison shows that when FirstEnergy</w:t>
      </w:r>
      <w:r w:rsidR="00DD6EB7">
        <w:rPr>
          <w:rFonts w:cs="Times New Roman"/>
          <w:bCs/>
          <w:szCs w:val="24"/>
        </w:rPr>
        <w:t>’</w:t>
      </w:r>
      <w:r w:rsidRPr="00190BA4" w:rsidR="00396F87">
        <w:rPr>
          <w:rFonts w:cs="Times New Roman"/>
          <w:bCs/>
          <w:szCs w:val="24"/>
        </w:rPr>
        <w:t xml:space="preserve">s errors are corrected </w:t>
      </w:r>
      <w:r w:rsidRPr="00190BA4" w:rsidR="00F2327E">
        <w:rPr>
          <w:rFonts w:cs="Times New Roman"/>
          <w:bCs/>
          <w:szCs w:val="24"/>
        </w:rPr>
        <w:t>the AMI expansion is not in the best interest of consumers.</w:t>
      </w:r>
      <w:r>
        <w:rPr>
          <w:rStyle w:val="FootnoteReference"/>
          <w:rFonts w:cs="Times New Roman"/>
          <w:bCs/>
          <w:szCs w:val="24"/>
        </w:rPr>
        <w:footnoteReference w:id="36"/>
      </w:r>
      <w:r w:rsidRPr="00190BA4" w:rsidR="000A720F">
        <w:rPr>
          <w:rFonts w:cs="Times New Roman"/>
          <w:bCs/>
          <w:szCs w:val="24"/>
        </w:rPr>
        <w:t xml:space="preserve"> </w:t>
      </w:r>
      <w:r w:rsidRPr="00190BA4">
        <w:rPr>
          <w:rFonts w:cs="Times New Roman"/>
          <w:bCs/>
          <w:szCs w:val="24"/>
        </w:rPr>
        <w:t>Further</w:t>
      </w:r>
      <w:bookmarkStart w:id="14" w:name="_Hlk168555621"/>
      <w:r w:rsidRPr="00190BA4">
        <w:rPr>
          <w:rFonts w:cs="Times New Roman"/>
          <w:bCs/>
          <w:szCs w:val="24"/>
        </w:rPr>
        <w:t xml:space="preserve">, </w:t>
      </w:r>
      <w:r w:rsidRPr="00190BA4" w:rsidR="00396F87">
        <w:rPr>
          <w:rFonts w:cs="Times New Roman"/>
          <w:bCs/>
          <w:szCs w:val="24"/>
        </w:rPr>
        <w:t>OCC</w:t>
      </w:r>
      <w:r w:rsidRPr="00190BA4" w:rsidR="00FA39A2">
        <w:rPr>
          <w:rFonts w:cs="Times New Roman"/>
          <w:bCs/>
          <w:szCs w:val="24"/>
        </w:rPr>
        <w:t>/NOAC</w:t>
      </w:r>
      <w:r w:rsidRPr="00190BA4" w:rsidR="00396F87">
        <w:rPr>
          <w:rFonts w:cs="Times New Roman"/>
          <w:bCs/>
          <w:szCs w:val="24"/>
        </w:rPr>
        <w:t xml:space="preserve"> Witness Alvarez noted that </w:t>
      </w:r>
      <w:r w:rsidRPr="00190BA4">
        <w:rPr>
          <w:rFonts w:cs="Times New Roman"/>
          <w:bCs/>
          <w:szCs w:val="24"/>
        </w:rPr>
        <w:t>the benefit-to-cost ratio for residential consumers will be even worse than it will be for FirstEnergy</w:t>
      </w:r>
      <w:r w:rsidR="00DD6EB7">
        <w:rPr>
          <w:rFonts w:cs="Times New Roman"/>
          <w:bCs/>
          <w:szCs w:val="24"/>
        </w:rPr>
        <w:t>’</w:t>
      </w:r>
      <w:r w:rsidRPr="00190BA4">
        <w:rPr>
          <w:rFonts w:cs="Times New Roman"/>
          <w:bCs/>
          <w:szCs w:val="24"/>
        </w:rPr>
        <w:t>s consumers as a whole</w:t>
      </w:r>
      <w:r w:rsidRPr="00190BA4" w:rsidR="00396F87">
        <w:rPr>
          <w:rFonts w:cs="Times New Roman"/>
          <w:bCs/>
          <w:szCs w:val="24"/>
        </w:rPr>
        <w:t>, because benefits accrue primarily to commercial and industrial users</w:t>
      </w:r>
      <w:r w:rsidRPr="00190BA4">
        <w:rPr>
          <w:rFonts w:cs="Times New Roman"/>
          <w:bCs/>
          <w:szCs w:val="24"/>
        </w:rPr>
        <w:t>.</w:t>
      </w:r>
      <w:r>
        <w:rPr>
          <w:rStyle w:val="FootnoteReference"/>
          <w:rFonts w:cs="Times New Roman"/>
          <w:bCs/>
          <w:szCs w:val="24"/>
        </w:rPr>
        <w:footnoteReference w:id="37"/>
      </w:r>
      <w:r w:rsidRPr="00190BA4" w:rsidR="001E5E5B">
        <w:rPr>
          <w:rFonts w:cs="Times New Roman"/>
          <w:bCs/>
          <w:szCs w:val="24"/>
        </w:rPr>
        <w:t xml:space="preserve"> </w:t>
      </w:r>
    </w:p>
    <w:p w:rsidR="000B7377" w14:paraId="34534490" w14:textId="77777777">
      <w:pPr>
        <w:spacing w:line="276" w:lineRule="auto"/>
        <w:rPr>
          <w:rFonts w:cs="Times New Roman"/>
          <w:bCs/>
          <w:szCs w:val="24"/>
        </w:rPr>
      </w:pPr>
      <w:r>
        <w:rPr>
          <w:rFonts w:cs="Times New Roman"/>
          <w:bCs/>
          <w:szCs w:val="24"/>
        </w:rPr>
        <w:br w:type="page"/>
      </w:r>
    </w:p>
    <w:tbl>
      <w:tblPr>
        <w:tblW w:w="6650" w:type="dxa"/>
        <w:jc w:val="center"/>
        <w:tblInd w:w="0" w:type="dxa"/>
        <w:tblCellMar>
          <w:top w:w="0" w:type="dxa"/>
          <w:left w:w="108" w:type="dxa"/>
          <w:bottom w:w="0" w:type="dxa"/>
          <w:right w:w="108" w:type="dxa"/>
        </w:tblCellMar>
        <w:tblLook w:val="04A0"/>
      </w:tblPr>
      <w:tblGrid>
        <w:gridCol w:w="2740"/>
        <w:gridCol w:w="1840"/>
        <w:gridCol w:w="2070"/>
      </w:tblGrid>
      <w:tr w14:paraId="4B1C2D03" w14:textId="77777777" w:rsidTr="00974F62">
        <w:tblPrEx>
          <w:tblW w:w="6650" w:type="dxa"/>
          <w:jc w:val="center"/>
          <w:tblInd w:w="0" w:type="dxa"/>
          <w:tblCellMar>
            <w:top w:w="0" w:type="dxa"/>
            <w:left w:w="108" w:type="dxa"/>
            <w:bottom w:w="0" w:type="dxa"/>
            <w:right w:w="108" w:type="dxa"/>
          </w:tblCellMar>
          <w:tblLook w:val="04A0"/>
        </w:tblPrEx>
        <w:trPr>
          <w:trHeight w:val="300"/>
          <w:jc w:val="center"/>
        </w:trPr>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bookmarkEnd w:id="14"/>
          <w:p w:rsidR="00587E18" w:rsidRPr="00190BA4" w:rsidP="00974F62" w14:paraId="0D714361" w14:textId="4DA8E84E">
            <w:pPr>
              <w:tabs>
                <w:tab w:val="left" w:pos="0"/>
              </w:tabs>
              <w:spacing w:after="0" w:line="240" w:lineRule="auto"/>
              <w:rPr>
                <w:rFonts w:ascii="Times New Roman" w:eastAsia="Times New Roman" w:hAnsi="Times New Roman" w:cs="Times New Roman"/>
                <w:color w:val="000000"/>
                <w:sz w:val="24"/>
                <w:szCs w:val="24"/>
                <w:lang w:val="en-US" w:eastAsia="en-US" w:bidi="ar-SA"/>
              </w:rPr>
            </w:pPr>
            <w:r w:rsidRPr="00190BA4">
              <w:rPr>
                <w:rFonts w:ascii="Times New Roman" w:hAnsi="Times New Roman" w:eastAsiaTheme="minorHAnsi" w:cs="Times New Roman"/>
                <w:sz w:val="24"/>
                <w:szCs w:val="24"/>
                <w:lang w:val="en-US" w:eastAsia="en-US" w:bidi="ar-SA"/>
              </w:rPr>
              <w:t xml:space="preserve">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587E18" w:rsidRPr="00190BA4" w:rsidP="00974F62" w14:paraId="4D3298E2" w14:textId="1A5BF5AD">
            <w:pPr>
              <w:tabs>
                <w:tab w:val="left" w:pos="0"/>
              </w:tabs>
              <w:spacing w:after="0" w:line="240" w:lineRule="auto"/>
              <w:jc w:val="center"/>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NPV – OCC</w:t>
            </w:r>
            <w:r w:rsidRPr="00190BA4" w:rsidR="00FA39A2">
              <w:rPr>
                <w:rFonts w:ascii="Times New Roman" w:eastAsia="Times New Roman" w:hAnsi="Times New Roman" w:cs="Times New Roman"/>
                <w:color w:val="000000"/>
                <w:sz w:val="24"/>
                <w:szCs w:val="24"/>
                <w:lang w:val="en-US" w:eastAsia="en-US" w:bidi="ar-SA"/>
              </w:rPr>
              <w:t>/NOAC</w:t>
            </w:r>
          </w:p>
        </w:tc>
        <w:tc>
          <w:tcPr>
            <w:tcW w:w="2070" w:type="dxa"/>
            <w:tcBorders>
              <w:top w:val="single" w:sz="8" w:space="0" w:color="auto"/>
              <w:left w:val="nil"/>
              <w:bottom w:val="single" w:sz="8" w:space="0" w:color="auto"/>
              <w:right w:val="single" w:sz="8" w:space="0" w:color="auto"/>
            </w:tcBorders>
            <w:shd w:val="clear" w:color="auto" w:fill="auto"/>
            <w:vAlign w:val="center"/>
            <w:hideMark/>
          </w:tcPr>
          <w:p w:rsidR="00587E18" w:rsidRPr="00190BA4" w:rsidP="00974F62" w14:paraId="291FFC3B" w14:textId="77777777">
            <w:pPr>
              <w:tabs>
                <w:tab w:val="left" w:pos="0"/>
              </w:tabs>
              <w:spacing w:after="0" w:line="240" w:lineRule="auto"/>
              <w:jc w:val="center"/>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NPV – FE</w:t>
            </w:r>
          </w:p>
        </w:tc>
      </w:tr>
      <w:tr w14:paraId="0C72EFC7" w14:textId="77777777" w:rsidTr="00974F62">
        <w:tblPrEx>
          <w:tblW w:w="6650" w:type="dxa"/>
          <w:jc w:val="center"/>
          <w:tblInd w:w="0" w:type="dxa"/>
          <w:tblCellMar>
            <w:top w:w="0" w:type="dxa"/>
            <w:left w:w="108" w:type="dxa"/>
            <w:bottom w:w="0" w:type="dxa"/>
            <w:right w:w="108" w:type="dxa"/>
          </w:tblCellMar>
          <w:tblLook w:val="04A0"/>
        </w:tblPrEx>
        <w:trPr>
          <w:trHeight w:val="300"/>
          <w:jc w:val="center"/>
        </w:trPr>
        <w:tc>
          <w:tcPr>
            <w:tcW w:w="2740" w:type="dxa"/>
            <w:tcBorders>
              <w:top w:val="nil"/>
              <w:left w:val="single" w:sz="8" w:space="0" w:color="auto"/>
              <w:bottom w:val="single" w:sz="8" w:space="0" w:color="auto"/>
              <w:right w:val="nil"/>
            </w:tcBorders>
            <w:shd w:val="clear" w:color="auto" w:fill="auto"/>
            <w:noWrap/>
            <w:vAlign w:val="center"/>
            <w:hideMark/>
          </w:tcPr>
          <w:p w:rsidR="00587E18" w:rsidRPr="00190BA4" w:rsidP="00974F62" w14:paraId="12F7B42B" w14:textId="77777777">
            <w:pPr>
              <w:tabs>
                <w:tab w:val="left" w:pos="0"/>
              </w:tabs>
              <w:spacing w:after="0" w:line="240" w:lineRule="auto"/>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Estimated Benefits</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587E18" w:rsidRPr="00190BA4" w:rsidP="00974F62" w14:paraId="43C79490" w14:textId="5FF1F0E4">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(350,164,056)</w:t>
            </w:r>
          </w:p>
        </w:tc>
        <w:tc>
          <w:tcPr>
            <w:tcW w:w="2070" w:type="dxa"/>
            <w:tcBorders>
              <w:top w:val="nil"/>
              <w:left w:val="nil"/>
              <w:bottom w:val="single" w:sz="8" w:space="0" w:color="auto"/>
              <w:right w:val="single" w:sz="8" w:space="0" w:color="auto"/>
            </w:tcBorders>
            <w:shd w:val="clear" w:color="auto" w:fill="auto"/>
            <w:vAlign w:val="center"/>
            <w:hideMark/>
          </w:tcPr>
          <w:p w:rsidR="00587E18" w:rsidRPr="00190BA4" w:rsidP="00974F62" w14:paraId="5A9B21F7" w14:textId="15E7501F">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(445,185,766)</w:t>
            </w:r>
          </w:p>
        </w:tc>
      </w:tr>
      <w:tr w14:paraId="1F179352" w14:textId="77777777" w:rsidTr="00974F62">
        <w:tblPrEx>
          <w:tblW w:w="6650" w:type="dxa"/>
          <w:jc w:val="center"/>
          <w:tblInd w:w="0" w:type="dxa"/>
          <w:tblCellMar>
            <w:top w:w="0" w:type="dxa"/>
            <w:left w:w="108" w:type="dxa"/>
            <w:bottom w:w="0" w:type="dxa"/>
            <w:right w:w="108" w:type="dxa"/>
          </w:tblCellMar>
          <w:tblLook w:val="04A0"/>
        </w:tblPrEx>
        <w:trPr>
          <w:trHeight w:val="288"/>
          <w:jc w:val="center"/>
        </w:trPr>
        <w:tc>
          <w:tcPr>
            <w:tcW w:w="2740" w:type="dxa"/>
            <w:tcBorders>
              <w:top w:val="nil"/>
              <w:left w:val="single" w:sz="8" w:space="0" w:color="auto"/>
              <w:bottom w:val="nil"/>
              <w:right w:val="nil"/>
            </w:tcBorders>
            <w:shd w:val="clear" w:color="auto" w:fill="auto"/>
            <w:noWrap/>
            <w:vAlign w:val="center"/>
            <w:hideMark/>
          </w:tcPr>
          <w:p w:rsidR="00587E18" w:rsidRPr="00190BA4" w:rsidP="00974F62" w14:paraId="3065601D" w14:textId="77777777">
            <w:pPr>
              <w:tabs>
                <w:tab w:val="left" w:pos="0"/>
              </w:tabs>
              <w:spacing w:after="0" w:line="240" w:lineRule="auto"/>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Estimated Costs</w:t>
            </w:r>
          </w:p>
        </w:tc>
        <w:tc>
          <w:tcPr>
            <w:tcW w:w="1840" w:type="dxa"/>
            <w:tcBorders>
              <w:top w:val="nil"/>
              <w:left w:val="single" w:sz="8" w:space="0" w:color="auto"/>
              <w:bottom w:val="nil"/>
              <w:right w:val="single" w:sz="8" w:space="0" w:color="auto"/>
            </w:tcBorders>
            <w:shd w:val="clear" w:color="auto" w:fill="auto"/>
            <w:vAlign w:val="center"/>
            <w:hideMark/>
          </w:tcPr>
          <w:p w:rsidR="00587E18" w:rsidRPr="00190BA4" w:rsidP="00974F62" w14:paraId="3C250291" w14:textId="77777777">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w:t>
            </w:r>
          </w:p>
        </w:tc>
        <w:tc>
          <w:tcPr>
            <w:tcW w:w="2070" w:type="dxa"/>
            <w:tcBorders>
              <w:top w:val="nil"/>
              <w:left w:val="nil"/>
              <w:bottom w:val="nil"/>
              <w:right w:val="single" w:sz="8" w:space="0" w:color="auto"/>
            </w:tcBorders>
            <w:shd w:val="clear" w:color="auto" w:fill="auto"/>
            <w:vAlign w:val="center"/>
            <w:hideMark/>
          </w:tcPr>
          <w:p w:rsidR="00587E18" w:rsidRPr="00190BA4" w:rsidP="00974F62" w14:paraId="72E039D5" w14:textId="77777777">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w:t>
            </w:r>
          </w:p>
        </w:tc>
      </w:tr>
      <w:tr w14:paraId="4ABE136F" w14:textId="77777777" w:rsidTr="00974F62">
        <w:tblPrEx>
          <w:tblW w:w="6650" w:type="dxa"/>
          <w:jc w:val="center"/>
          <w:tblInd w:w="0" w:type="dxa"/>
          <w:tblCellMar>
            <w:top w:w="0" w:type="dxa"/>
            <w:left w:w="108" w:type="dxa"/>
            <w:bottom w:w="0" w:type="dxa"/>
            <w:right w:w="108" w:type="dxa"/>
          </w:tblCellMar>
          <w:tblLook w:val="04A0"/>
        </w:tblPrEx>
        <w:trPr>
          <w:trHeight w:val="288"/>
          <w:jc w:val="center"/>
        </w:trPr>
        <w:tc>
          <w:tcPr>
            <w:tcW w:w="2740" w:type="dxa"/>
            <w:tcBorders>
              <w:top w:val="nil"/>
              <w:left w:val="single" w:sz="8" w:space="0" w:color="auto"/>
              <w:bottom w:val="nil"/>
              <w:right w:val="nil"/>
            </w:tcBorders>
            <w:shd w:val="clear" w:color="auto" w:fill="auto"/>
            <w:noWrap/>
            <w:vAlign w:val="center"/>
            <w:hideMark/>
          </w:tcPr>
          <w:p w:rsidR="00587E18" w:rsidRPr="00190BA4" w:rsidP="00974F62" w14:paraId="667B7CD7" w14:textId="77777777">
            <w:pPr>
              <w:tabs>
                <w:tab w:val="left" w:pos="0"/>
              </w:tabs>
              <w:spacing w:after="0" w:line="240" w:lineRule="auto"/>
              <w:ind w:firstLine="240" w:firstLineChars="100"/>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Capital</w:t>
            </w:r>
          </w:p>
        </w:tc>
        <w:tc>
          <w:tcPr>
            <w:tcW w:w="1840" w:type="dxa"/>
            <w:tcBorders>
              <w:top w:val="nil"/>
              <w:left w:val="single" w:sz="8" w:space="0" w:color="auto"/>
              <w:bottom w:val="nil"/>
              <w:right w:val="single" w:sz="8" w:space="0" w:color="auto"/>
            </w:tcBorders>
            <w:shd w:val="clear" w:color="auto" w:fill="auto"/>
            <w:vAlign w:val="center"/>
            <w:hideMark/>
          </w:tcPr>
          <w:p w:rsidR="00587E18" w:rsidRPr="00190BA4" w:rsidP="00974F62" w14:paraId="2A712BF5" w14:textId="2EF14CC7">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 xml:space="preserve">420,807,985 </w:t>
            </w:r>
          </w:p>
        </w:tc>
        <w:tc>
          <w:tcPr>
            <w:tcW w:w="2070" w:type="dxa"/>
            <w:tcBorders>
              <w:top w:val="nil"/>
              <w:left w:val="nil"/>
              <w:bottom w:val="nil"/>
              <w:right w:val="single" w:sz="8" w:space="0" w:color="auto"/>
            </w:tcBorders>
            <w:shd w:val="clear" w:color="auto" w:fill="auto"/>
            <w:vAlign w:val="center"/>
            <w:hideMark/>
          </w:tcPr>
          <w:p w:rsidR="00587E18" w:rsidRPr="00190BA4" w:rsidP="00974F62" w14:paraId="52B02667" w14:textId="4A70DDBC">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 xml:space="preserve">352,106,307 </w:t>
            </w:r>
          </w:p>
        </w:tc>
      </w:tr>
      <w:tr w14:paraId="081BB182" w14:textId="77777777" w:rsidTr="00974F62">
        <w:tblPrEx>
          <w:tblW w:w="6650" w:type="dxa"/>
          <w:jc w:val="center"/>
          <w:tblInd w:w="0" w:type="dxa"/>
          <w:tblCellMar>
            <w:top w:w="0" w:type="dxa"/>
            <w:left w:w="108" w:type="dxa"/>
            <w:bottom w:w="0" w:type="dxa"/>
            <w:right w:w="108" w:type="dxa"/>
          </w:tblCellMar>
          <w:tblLook w:val="04A0"/>
        </w:tblPrEx>
        <w:trPr>
          <w:trHeight w:val="288"/>
          <w:jc w:val="center"/>
        </w:trPr>
        <w:tc>
          <w:tcPr>
            <w:tcW w:w="2740" w:type="dxa"/>
            <w:tcBorders>
              <w:top w:val="nil"/>
              <w:left w:val="single" w:sz="8" w:space="0" w:color="auto"/>
              <w:bottom w:val="nil"/>
              <w:right w:val="nil"/>
            </w:tcBorders>
            <w:shd w:val="clear" w:color="auto" w:fill="auto"/>
            <w:noWrap/>
            <w:vAlign w:val="center"/>
            <w:hideMark/>
          </w:tcPr>
          <w:p w:rsidR="00587E18" w:rsidRPr="00190BA4" w:rsidP="00974F62" w14:paraId="78FC773E" w14:textId="77777777">
            <w:pPr>
              <w:tabs>
                <w:tab w:val="left" w:pos="0"/>
              </w:tabs>
              <w:spacing w:after="0" w:line="240" w:lineRule="auto"/>
              <w:ind w:firstLine="240" w:firstLineChars="100"/>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Incremental O&amp;M</w:t>
            </w:r>
          </w:p>
        </w:tc>
        <w:tc>
          <w:tcPr>
            <w:tcW w:w="1840" w:type="dxa"/>
            <w:tcBorders>
              <w:top w:val="nil"/>
              <w:left w:val="single" w:sz="8" w:space="0" w:color="auto"/>
              <w:bottom w:val="nil"/>
              <w:right w:val="single" w:sz="8" w:space="0" w:color="auto"/>
            </w:tcBorders>
            <w:shd w:val="clear" w:color="auto" w:fill="auto"/>
            <w:vAlign w:val="center"/>
            <w:hideMark/>
          </w:tcPr>
          <w:p w:rsidR="00587E18" w:rsidRPr="00190BA4" w:rsidP="00974F62" w14:paraId="08777146" w14:textId="1D1A7D27">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 xml:space="preserve">132,211,859 </w:t>
            </w:r>
          </w:p>
        </w:tc>
        <w:tc>
          <w:tcPr>
            <w:tcW w:w="2070" w:type="dxa"/>
            <w:tcBorders>
              <w:top w:val="nil"/>
              <w:left w:val="nil"/>
              <w:bottom w:val="nil"/>
              <w:right w:val="single" w:sz="8" w:space="0" w:color="auto"/>
            </w:tcBorders>
            <w:shd w:val="clear" w:color="auto" w:fill="auto"/>
            <w:vAlign w:val="center"/>
            <w:hideMark/>
          </w:tcPr>
          <w:p w:rsidR="00587E18" w:rsidRPr="00190BA4" w:rsidP="00974F62" w14:paraId="694145B2" w14:textId="393C1C88">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 xml:space="preserve">153,841,018 </w:t>
            </w:r>
          </w:p>
        </w:tc>
      </w:tr>
      <w:tr w14:paraId="1D73D30F" w14:textId="77777777" w:rsidTr="00974F62">
        <w:tblPrEx>
          <w:tblW w:w="6650" w:type="dxa"/>
          <w:jc w:val="center"/>
          <w:tblInd w:w="0" w:type="dxa"/>
          <w:tblCellMar>
            <w:top w:w="0" w:type="dxa"/>
            <w:left w:w="108" w:type="dxa"/>
            <w:bottom w:w="0" w:type="dxa"/>
            <w:right w:w="108" w:type="dxa"/>
          </w:tblCellMar>
          <w:tblLook w:val="04A0"/>
        </w:tblPrEx>
        <w:trPr>
          <w:trHeight w:val="288"/>
          <w:jc w:val="center"/>
        </w:trPr>
        <w:tc>
          <w:tcPr>
            <w:tcW w:w="2740" w:type="dxa"/>
            <w:tcBorders>
              <w:top w:val="nil"/>
              <w:left w:val="single" w:sz="8" w:space="0" w:color="auto"/>
              <w:bottom w:val="nil"/>
              <w:right w:val="nil"/>
            </w:tcBorders>
            <w:shd w:val="clear" w:color="auto" w:fill="auto"/>
            <w:noWrap/>
            <w:vAlign w:val="center"/>
            <w:hideMark/>
          </w:tcPr>
          <w:p w:rsidR="00587E18" w:rsidRPr="00190BA4" w:rsidP="00974F62" w14:paraId="297574A9" w14:textId="77777777">
            <w:pPr>
              <w:tabs>
                <w:tab w:val="left" w:pos="0"/>
              </w:tabs>
              <w:spacing w:after="0" w:line="240" w:lineRule="auto"/>
              <w:ind w:firstLine="240" w:firstLineChars="100"/>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Stranded Meter Costs</w:t>
            </w:r>
          </w:p>
        </w:tc>
        <w:tc>
          <w:tcPr>
            <w:tcW w:w="1840" w:type="dxa"/>
            <w:tcBorders>
              <w:top w:val="nil"/>
              <w:left w:val="single" w:sz="8" w:space="0" w:color="auto"/>
              <w:bottom w:val="nil"/>
              <w:right w:val="single" w:sz="8" w:space="0" w:color="auto"/>
            </w:tcBorders>
            <w:shd w:val="clear" w:color="auto" w:fill="auto"/>
            <w:vAlign w:val="center"/>
            <w:hideMark/>
          </w:tcPr>
          <w:p w:rsidR="00587E18" w:rsidRPr="00190BA4" w:rsidP="00974F62" w14:paraId="1A094639" w14:textId="53F8C336">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 xml:space="preserve">144,400,000 </w:t>
            </w:r>
          </w:p>
        </w:tc>
        <w:tc>
          <w:tcPr>
            <w:tcW w:w="2070" w:type="dxa"/>
            <w:tcBorders>
              <w:top w:val="nil"/>
              <w:left w:val="nil"/>
              <w:bottom w:val="nil"/>
              <w:right w:val="single" w:sz="8" w:space="0" w:color="auto"/>
            </w:tcBorders>
            <w:shd w:val="clear" w:color="auto" w:fill="auto"/>
            <w:vAlign w:val="center"/>
            <w:hideMark/>
          </w:tcPr>
          <w:p w:rsidR="00587E18" w:rsidRPr="00190BA4" w:rsidP="00974F62" w14:paraId="70D7AF7A" w14:textId="77777777">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w:t>
            </w:r>
          </w:p>
        </w:tc>
      </w:tr>
      <w:tr w14:paraId="269CC08C" w14:textId="77777777" w:rsidTr="00974F62">
        <w:tblPrEx>
          <w:tblW w:w="6650" w:type="dxa"/>
          <w:jc w:val="center"/>
          <w:tblInd w:w="0" w:type="dxa"/>
          <w:tblCellMar>
            <w:top w:w="0" w:type="dxa"/>
            <w:left w:w="108" w:type="dxa"/>
            <w:bottom w:w="0" w:type="dxa"/>
            <w:right w:w="108" w:type="dxa"/>
          </w:tblCellMar>
          <w:tblLook w:val="04A0"/>
        </w:tblPrEx>
        <w:trPr>
          <w:trHeight w:val="300"/>
          <w:jc w:val="center"/>
        </w:trPr>
        <w:tc>
          <w:tcPr>
            <w:tcW w:w="2740" w:type="dxa"/>
            <w:tcBorders>
              <w:top w:val="nil"/>
              <w:left w:val="single" w:sz="8" w:space="0" w:color="auto"/>
              <w:bottom w:val="nil"/>
              <w:right w:val="single" w:sz="8" w:space="0" w:color="auto"/>
            </w:tcBorders>
            <w:shd w:val="clear" w:color="auto" w:fill="auto"/>
            <w:noWrap/>
            <w:vAlign w:val="center"/>
            <w:hideMark/>
          </w:tcPr>
          <w:p w:rsidR="00587E18" w:rsidRPr="00190BA4" w:rsidP="00974F62" w14:paraId="7F74A41D" w14:textId="77777777">
            <w:pPr>
              <w:tabs>
                <w:tab w:val="left" w:pos="0"/>
              </w:tabs>
              <w:spacing w:after="0" w:line="240" w:lineRule="auto"/>
              <w:ind w:firstLine="240" w:firstLineChars="100"/>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Operational Savings</w:t>
            </w:r>
          </w:p>
        </w:tc>
        <w:tc>
          <w:tcPr>
            <w:tcW w:w="1840" w:type="dxa"/>
            <w:tcBorders>
              <w:top w:val="nil"/>
              <w:left w:val="nil"/>
              <w:bottom w:val="nil"/>
              <w:right w:val="single" w:sz="8" w:space="0" w:color="auto"/>
            </w:tcBorders>
            <w:shd w:val="clear" w:color="auto" w:fill="auto"/>
            <w:vAlign w:val="center"/>
            <w:hideMark/>
          </w:tcPr>
          <w:p w:rsidR="00587E18" w:rsidRPr="00190BA4" w:rsidP="00974F62" w14:paraId="38C8D92F" w14:textId="101AA38C">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(164,242,842)</w:t>
            </w:r>
          </w:p>
        </w:tc>
        <w:tc>
          <w:tcPr>
            <w:tcW w:w="2070" w:type="dxa"/>
            <w:tcBorders>
              <w:top w:val="nil"/>
              <w:left w:val="nil"/>
              <w:bottom w:val="nil"/>
              <w:right w:val="single" w:sz="8" w:space="0" w:color="auto"/>
            </w:tcBorders>
            <w:shd w:val="clear" w:color="auto" w:fill="auto"/>
            <w:vAlign w:val="center"/>
            <w:hideMark/>
          </w:tcPr>
          <w:p w:rsidR="00587E18" w:rsidRPr="00190BA4" w:rsidP="00974F62" w14:paraId="0C40A23D" w14:textId="1FFBEB5C">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(209,993,438)</w:t>
            </w:r>
          </w:p>
        </w:tc>
      </w:tr>
      <w:tr w14:paraId="26A15434" w14:textId="77777777" w:rsidTr="00974F62">
        <w:tblPrEx>
          <w:tblW w:w="6650" w:type="dxa"/>
          <w:jc w:val="center"/>
          <w:tblInd w:w="0" w:type="dxa"/>
          <w:tblCellMar>
            <w:top w:w="0" w:type="dxa"/>
            <w:left w:w="108" w:type="dxa"/>
            <w:bottom w:w="0" w:type="dxa"/>
            <w:right w:w="108" w:type="dxa"/>
          </w:tblCellMar>
          <w:tblLook w:val="04A0"/>
        </w:tblPrEx>
        <w:trPr>
          <w:trHeight w:val="300"/>
          <w:jc w:val="center"/>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rsidR="00587E18" w:rsidRPr="00190BA4" w:rsidP="00974F62" w14:paraId="66939226" w14:textId="77777777">
            <w:pPr>
              <w:tabs>
                <w:tab w:val="left" w:pos="0"/>
              </w:tabs>
              <w:spacing w:after="0" w:line="240" w:lineRule="auto"/>
              <w:ind w:firstLine="240" w:firstLineChars="100"/>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Total</w:t>
            </w:r>
          </w:p>
        </w:tc>
        <w:tc>
          <w:tcPr>
            <w:tcW w:w="1840" w:type="dxa"/>
            <w:tcBorders>
              <w:top w:val="single" w:sz="4" w:space="0" w:color="auto"/>
              <w:left w:val="nil"/>
              <w:bottom w:val="single" w:sz="8" w:space="0" w:color="auto"/>
              <w:right w:val="single" w:sz="8" w:space="0" w:color="auto"/>
            </w:tcBorders>
            <w:shd w:val="clear" w:color="auto" w:fill="auto"/>
            <w:vAlign w:val="center"/>
            <w:hideMark/>
          </w:tcPr>
          <w:p w:rsidR="00587E18" w:rsidRPr="00190BA4" w:rsidP="00974F62" w14:paraId="465AAD19" w14:textId="540A4F7D">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 xml:space="preserve">533,177,001 </w:t>
            </w:r>
          </w:p>
        </w:tc>
        <w:tc>
          <w:tcPr>
            <w:tcW w:w="2070" w:type="dxa"/>
            <w:tcBorders>
              <w:top w:val="single" w:sz="4" w:space="0" w:color="auto"/>
              <w:left w:val="nil"/>
              <w:bottom w:val="single" w:sz="8" w:space="0" w:color="auto"/>
              <w:right w:val="single" w:sz="8" w:space="0" w:color="auto"/>
            </w:tcBorders>
            <w:shd w:val="clear" w:color="auto" w:fill="auto"/>
            <w:vAlign w:val="center"/>
            <w:hideMark/>
          </w:tcPr>
          <w:p w:rsidR="00587E18" w:rsidRPr="00190BA4" w:rsidP="00974F62" w14:paraId="1FAF6423" w14:textId="1B7ABA08">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 xml:space="preserve">295,953,887 </w:t>
            </w:r>
          </w:p>
        </w:tc>
      </w:tr>
      <w:tr w14:paraId="5B59A5B4" w14:textId="77777777" w:rsidTr="00974F62">
        <w:tblPrEx>
          <w:tblW w:w="6650" w:type="dxa"/>
          <w:jc w:val="center"/>
          <w:tblInd w:w="0" w:type="dxa"/>
          <w:tblCellMar>
            <w:top w:w="0" w:type="dxa"/>
            <w:left w:w="108" w:type="dxa"/>
            <w:bottom w:w="0" w:type="dxa"/>
            <w:right w:w="108" w:type="dxa"/>
          </w:tblCellMar>
          <w:tblLook w:val="04A0"/>
        </w:tblPrEx>
        <w:trPr>
          <w:trHeight w:val="300"/>
          <w:jc w:val="center"/>
        </w:trPr>
        <w:tc>
          <w:tcPr>
            <w:tcW w:w="2740" w:type="dxa"/>
            <w:tcBorders>
              <w:top w:val="nil"/>
              <w:left w:val="single" w:sz="8" w:space="0" w:color="auto"/>
              <w:bottom w:val="nil"/>
              <w:right w:val="single" w:sz="8" w:space="0" w:color="auto"/>
            </w:tcBorders>
            <w:shd w:val="clear" w:color="auto" w:fill="auto"/>
            <w:noWrap/>
            <w:vAlign w:val="center"/>
            <w:hideMark/>
          </w:tcPr>
          <w:p w:rsidR="00587E18" w:rsidRPr="00190BA4" w:rsidP="00974F62" w14:paraId="16281F4B" w14:textId="77777777">
            <w:pPr>
              <w:tabs>
                <w:tab w:val="left" w:pos="0"/>
              </w:tabs>
              <w:spacing w:after="0" w:line="240" w:lineRule="auto"/>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Net Benefits</w:t>
            </w:r>
          </w:p>
        </w:tc>
        <w:tc>
          <w:tcPr>
            <w:tcW w:w="1840" w:type="dxa"/>
            <w:tcBorders>
              <w:top w:val="nil"/>
              <w:left w:val="nil"/>
              <w:bottom w:val="nil"/>
              <w:right w:val="single" w:sz="8" w:space="0" w:color="auto"/>
            </w:tcBorders>
            <w:shd w:val="clear" w:color="auto" w:fill="auto"/>
            <w:vAlign w:val="center"/>
            <w:hideMark/>
          </w:tcPr>
          <w:p w:rsidR="00587E18" w:rsidRPr="00190BA4" w:rsidP="00974F62" w14:paraId="1C452FE7" w14:textId="13F2945C">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(183,012,946)</w:t>
            </w:r>
          </w:p>
        </w:tc>
        <w:tc>
          <w:tcPr>
            <w:tcW w:w="2070" w:type="dxa"/>
            <w:tcBorders>
              <w:top w:val="nil"/>
              <w:left w:val="nil"/>
              <w:bottom w:val="nil"/>
              <w:right w:val="single" w:sz="8" w:space="0" w:color="auto"/>
            </w:tcBorders>
            <w:shd w:val="clear" w:color="auto" w:fill="auto"/>
            <w:vAlign w:val="center"/>
            <w:hideMark/>
          </w:tcPr>
          <w:p w:rsidR="00587E18" w:rsidRPr="00190BA4" w:rsidP="00974F62" w14:paraId="254B787A" w14:textId="7863C672">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 $</w:t>
            </w:r>
            <w:r w:rsidRPr="00190BA4" w:rsidR="00C11D9A">
              <w:rPr>
                <w:rFonts w:ascii="Times New Roman" w:eastAsia="Times New Roman" w:hAnsi="Times New Roman" w:cs="Times New Roman"/>
                <w:color w:val="000000"/>
                <w:sz w:val="24"/>
                <w:szCs w:val="24"/>
                <w:lang w:val="en-US" w:eastAsia="en-US" w:bidi="ar-SA"/>
              </w:rPr>
              <w:t xml:space="preserve"> </w:t>
            </w:r>
            <w:r w:rsidRPr="00190BA4">
              <w:rPr>
                <w:rFonts w:ascii="Times New Roman" w:eastAsia="Times New Roman" w:hAnsi="Times New Roman" w:cs="Times New Roman"/>
                <w:color w:val="000000"/>
                <w:sz w:val="24"/>
                <w:szCs w:val="24"/>
                <w:lang w:val="en-US" w:eastAsia="en-US" w:bidi="ar-SA"/>
              </w:rPr>
              <w:t xml:space="preserve">149,231,879 </w:t>
            </w:r>
          </w:p>
        </w:tc>
      </w:tr>
      <w:tr w14:paraId="6E961D6F" w14:textId="77777777" w:rsidTr="00974F62">
        <w:tblPrEx>
          <w:tblW w:w="6650" w:type="dxa"/>
          <w:jc w:val="center"/>
          <w:tblInd w:w="0" w:type="dxa"/>
          <w:tblCellMar>
            <w:top w:w="0" w:type="dxa"/>
            <w:left w:w="108" w:type="dxa"/>
            <w:bottom w:w="0" w:type="dxa"/>
            <w:right w:w="108" w:type="dxa"/>
          </w:tblCellMar>
          <w:tblLook w:val="04A0"/>
        </w:tblPrEx>
        <w:trPr>
          <w:trHeight w:val="300"/>
          <w:jc w:val="center"/>
        </w:trPr>
        <w:tc>
          <w:tcPr>
            <w:tcW w:w="2740" w:type="dxa"/>
            <w:tcBorders>
              <w:top w:val="nil"/>
              <w:left w:val="single" w:sz="8" w:space="0" w:color="auto"/>
              <w:bottom w:val="single" w:sz="8" w:space="0" w:color="auto"/>
              <w:right w:val="nil"/>
            </w:tcBorders>
            <w:shd w:val="clear" w:color="auto" w:fill="auto"/>
            <w:noWrap/>
            <w:vAlign w:val="center"/>
            <w:hideMark/>
          </w:tcPr>
          <w:p w:rsidR="00587E18" w:rsidRPr="00190BA4" w:rsidP="00974F62" w14:paraId="1936CBE0" w14:textId="77777777">
            <w:pPr>
              <w:tabs>
                <w:tab w:val="left" w:pos="0"/>
              </w:tabs>
              <w:spacing w:after="0" w:line="240" w:lineRule="auto"/>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Benefit-to-Cost Ratio</w:t>
            </w:r>
          </w:p>
        </w:tc>
        <w:tc>
          <w:tcPr>
            <w:tcW w:w="1840" w:type="dxa"/>
            <w:tcBorders>
              <w:top w:val="nil"/>
              <w:left w:val="single" w:sz="8" w:space="0" w:color="auto"/>
              <w:bottom w:val="single" w:sz="8" w:space="0" w:color="auto"/>
              <w:right w:val="single" w:sz="8" w:space="0" w:color="auto"/>
            </w:tcBorders>
            <w:shd w:val="clear" w:color="auto" w:fill="auto"/>
            <w:vAlign w:val="center"/>
            <w:hideMark/>
          </w:tcPr>
          <w:p w:rsidR="00587E18" w:rsidRPr="00190BA4" w:rsidP="00974F62" w14:paraId="66380FEA" w14:textId="77777777">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0.66 </w:t>
            </w:r>
          </w:p>
        </w:tc>
        <w:tc>
          <w:tcPr>
            <w:tcW w:w="2070" w:type="dxa"/>
            <w:tcBorders>
              <w:top w:val="nil"/>
              <w:left w:val="nil"/>
              <w:bottom w:val="single" w:sz="8" w:space="0" w:color="auto"/>
              <w:right w:val="single" w:sz="8" w:space="0" w:color="auto"/>
            </w:tcBorders>
            <w:shd w:val="clear" w:color="auto" w:fill="auto"/>
            <w:vAlign w:val="center"/>
            <w:hideMark/>
          </w:tcPr>
          <w:p w:rsidR="00587E18" w:rsidRPr="00190BA4" w:rsidP="00974F62" w14:paraId="0FC75F0D" w14:textId="77777777">
            <w:pPr>
              <w:tabs>
                <w:tab w:val="left" w:pos="0"/>
              </w:tabs>
              <w:spacing w:after="0" w:line="240" w:lineRule="auto"/>
              <w:jc w:val="right"/>
              <w:rPr>
                <w:rFonts w:ascii="Times New Roman" w:eastAsia="Times New Roman" w:hAnsi="Times New Roman" w:cs="Times New Roman"/>
                <w:color w:val="000000"/>
                <w:sz w:val="24"/>
                <w:szCs w:val="24"/>
                <w:lang w:val="en-US" w:eastAsia="en-US" w:bidi="ar-SA"/>
              </w:rPr>
            </w:pPr>
            <w:r w:rsidRPr="00190BA4">
              <w:rPr>
                <w:rFonts w:ascii="Times New Roman" w:eastAsia="Times New Roman" w:hAnsi="Times New Roman" w:cs="Times New Roman"/>
                <w:color w:val="000000"/>
                <w:sz w:val="24"/>
                <w:szCs w:val="24"/>
                <w:lang w:val="en-US" w:eastAsia="en-US" w:bidi="ar-SA"/>
              </w:rPr>
              <w:t xml:space="preserve">1.50 </w:t>
            </w:r>
          </w:p>
        </w:tc>
      </w:tr>
    </w:tbl>
    <w:p w:rsidR="00587E18" w:rsidRPr="00190BA4" w:rsidP="00B471E0" w14:paraId="0FF40F82" w14:textId="77777777">
      <w:pPr>
        <w:tabs>
          <w:tab w:val="left" w:pos="0"/>
        </w:tabs>
        <w:spacing w:after="0" w:line="240" w:lineRule="auto"/>
        <w:jc w:val="both"/>
        <w:rPr>
          <w:rFonts w:cs="Times New Roman"/>
          <w:bCs/>
          <w:szCs w:val="24"/>
        </w:rPr>
      </w:pPr>
    </w:p>
    <w:p w:rsidR="00587E18" w:rsidRPr="00190BA4" w:rsidP="000748BB" w14:paraId="5E54D983" w14:textId="23AC158A">
      <w:pPr>
        <w:tabs>
          <w:tab w:val="left" w:pos="0"/>
        </w:tabs>
        <w:spacing w:after="0"/>
        <w:rPr>
          <w:rFonts w:cs="Times New Roman"/>
          <w:b/>
          <w:bCs/>
          <w:i/>
          <w:iCs/>
          <w:szCs w:val="24"/>
        </w:rPr>
      </w:pPr>
      <w:r w:rsidRPr="00190BA4">
        <w:rPr>
          <w:rFonts w:cs="Times New Roman"/>
          <w:szCs w:val="24"/>
        </w:rPr>
        <w:tab/>
      </w:r>
      <w:r w:rsidRPr="00190BA4" w:rsidR="00D033AA">
        <w:rPr>
          <w:rFonts w:cs="Times New Roman"/>
          <w:szCs w:val="24"/>
        </w:rPr>
        <w:t>As shown by the corrected benefits and costs in OCC</w:t>
      </w:r>
      <w:r w:rsidRPr="00190BA4" w:rsidR="00FA39A2">
        <w:rPr>
          <w:rFonts w:cs="Times New Roman"/>
          <w:szCs w:val="24"/>
        </w:rPr>
        <w:t>/NOAC</w:t>
      </w:r>
      <w:r w:rsidRPr="00190BA4" w:rsidR="00D033AA">
        <w:rPr>
          <w:rFonts w:cs="Times New Roman"/>
          <w:szCs w:val="24"/>
        </w:rPr>
        <w:t xml:space="preserve"> Witness Alvarez</w:t>
      </w:r>
      <w:r w:rsidR="00DD6EB7">
        <w:rPr>
          <w:rFonts w:cs="Times New Roman"/>
          <w:szCs w:val="24"/>
        </w:rPr>
        <w:t>’</w:t>
      </w:r>
      <w:r w:rsidRPr="00190BA4" w:rsidR="00D033AA">
        <w:rPr>
          <w:rFonts w:cs="Times New Roman"/>
          <w:szCs w:val="24"/>
        </w:rPr>
        <w:t xml:space="preserve">s table above, the settlement is not in the best interest of consumers. </w:t>
      </w:r>
      <w:r w:rsidRPr="00190BA4" w:rsidR="00656066">
        <w:rPr>
          <w:rFonts w:cs="Times New Roman"/>
          <w:szCs w:val="24"/>
        </w:rPr>
        <w:t xml:space="preserve">The PUCO should not approve a Settlement that allows FirstEnergy </w:t>
      </w:r>
      <w:r w:rsidRPr="00190BA4" w:rsidR="00D033AA">
        <w:rPr>
          <w:rFonts w:cs="Times New Roman"/>
          <w:szCs w:val="24"/>
        </w:rPr>
        <w:t xml:space="preserve">to charge consumers $710 million in smart meter spending based upon </w:t>
      </w:r>
      <w:r w:rsidRPr="00190BA4" w:rsidR="00656066">
        <w:rPr>
          <w:rFonts w:cs="Times New Roman"/>
          <w:szCs w:val="24"/>
        </w:rPr>
        <w:t>FirstEnergy</w:t>
      </w:r>
      <w:r w:rsidR="00DD6EB7">
        <w:rPr>
          <w:rFonts w:cs="Times New Roman"/>
          <w:szCs w:val="24"/>
        </w:rPr>
        <w:t>’</w:t>
      </w:r>
      <w:r w:rsidRPr="00190BA4" w:rsidR="00656066">
        <w:rPr>
          <w:rFonts w:cs="Times New Roman"/>
          <w:szCs w:val="24"/>
        </w:rPr>
        <w:t>s</w:t>
      </w:r>
      <w:r w:rsidRPr="00190BA4" w:rsidR="001E5E5B">
        <w:rPr>
          <w:rFonts w:cs="Times New Roman"/>
          <w:szCs w:val="24"/>
        </w:rPr>
        <w:t xml:space="preserve"> </w:t>
      </w:r>
      <w:r w:rsidRPr="00190BA4" w:rsidR="00656066">
        <w:rPr>
          <w:rFonts w:cs="Times New Roman"/>
          <w:szCs w:val="24"/>
        </w:rPr>
        <w:t>flawed</w:t>
      </w:r>
      <w:r w:rsidRPr="00190BA4" w:rsidR="00D033AA">
        <w:rPr>
          <w:rFonts w:cs="Times New Roman"/>
          <w:szCs w:val="24"/>
        </w:rPr>
        <w:t xml:space="preserve"> analysis</w:t>
      </w:r>
      <w:r w:rsidRPr="00190BA4" w:rsidR="0094668D">
        <w:rPr>
          <w:rFonts w:cs="Times New Roman"/>
          <w:szCs w:val="24"/>
        </w:rPr>
        <w:t>. The PUCO should protect consumers by rejecting the Settlement because it</w:t>
      </w:r>
      <w:r w:rsidRPr="00190BA4" w:rsidR="001E5E5B">
        <w:rPr>
          <w:rFonts w:cs="Times New Roman"/>
          <w:szCs w:val="24"/>
        </w:rPr>
        <w:t xml:space="preserve"> </w:t>
      </w:r>
      <w:r w:rsidRPr="00190BA4" w:rsidR="00656066">
        <w:rPr>
          <w:rFonts w:cs="Times New Roman"/>
          <w:szCs w:val="24"/>
        </w:rPr>
        <w:t>will harm consumers</w:t>
      </w:r>
      <w:r w:rsidRPr="00190BA4" w:rsidR="0094668D">
        <w:rPr>
          <w:rFonts w:cs="Times New Roman"/>
          <w:szCs w:val="24"/>
        </w:rPr>
        <w:t>.</w:t>
      </w:r>
    </w:p>
    <w:p w:rsidR="0094668D" w:rsidRPr="00190BA4" w:rsidP="00517686" w14:paraId="5ABFA3F1" w14:textId="2F37D6EF">
      <w:pPr>
        <w:pStyle w:val="Heading3"/>
      </w:pPr>
      <w:bookmarkStart w:id="15" w:name="_Toc173315545"/>
      <w:r w:rsidRPr="00190BA4">
        <w:t>FirstEnergy</w:t>
      </w:r>
      <w:r w:rsidR="00DD6EB7">
        <w:t>’</w:t>
      </w:r>
      <w:r w:rsidRPr="00190BA4">
        <w:t xml:space="preserve">s AMI BCA </w:t>
      </w:r>
      <w:r w:rsidRPr="00190BA4" w:rsidR="00517686">
        <w:t>u</w:t>
      </w:r>
      <w:r w:rsidRPr="00190BA4">
        <w:t xml:space="preserve">nderestimates </w:t>
      </w:r>
      <w:r w:rsidRPr="00190BA4" w:rsidR="00517686">
        <w:t>c</w:t>
      </w:r>
      <w:r w:rsidRPr="00190BA4">
        <w:t>onsumers</w:t>
      </w:r>
      <w:r w:rsidR="00DD6EB7">
        <w:t>’</w:t>
      </w:r>
      <w:r w:rsidRPr="00190BA4">
        <w:t xml:space="preserve"> </w:t>
      </w:r>
      <w:r w:rsidRPr="00190BA4" w:rsidR="00517686">
        <w:t>c</w:t>
      </w:r>
      <w:r w:rsidRPr="00190BA4">
        <w:t>osts.</w:t>
      </w:r>
      <w:bookmarkEnd w:id="15"/>
    </w:p>
    <w:p w:rsidR="00075B20" w:rsidRPr="00190BA4" w:rsidP="0094428F" w14:paraId="18702F63" w14:textId="0B529D22">
      <w:pPr>
        <w:tabs>
          <w:tab w:val="left" w:pos="0"/>
        </w:tabs>
        <w:spacing w:after="0"/>
        <w:rPr>
          <w:rFonts w:cs="Times New Roman"/>
          <w:bCs/>
          <w:szCs w:val="24"/>
        </w:rPr>
      </w:pPr>
      <w:r w:rsidRPr="00190BA4">
        <w:rPr>
          <w:rFonts w:cs="Times New Roman"/>
          <w:bCs/>
          <w:szCs w:val="24"/>
        </w:rPr>
        <w:tab/>
        <w:t xml:space="preserve">The </w:t>
      </w:r>
      <w:r w:rsidRPr="00190BA4" w:rsidR="002F39AE">
        <w:rPr>
          <w:rFonts w:cs="Times New Roman"/>
          <w:bCs/>
          <w:szCs w:val="24"/>
        </w:rPr>
        <w:t>smart meter benefit cost analysis</w:t>
      </w:r>
      <w:r w:rsidRPr="00190BA4">
        <w:rPr>
          <w:rFonts w:cs="Times New Roman"/>
          <w:bCs/>
          <w:szCs w:val="24"/>
        </w:rPr>
        <w:t xml:space="preserve"> developed by FirstEnergy for the proposed Settlement underestimates costs to consumers by $213 million (in present value).</w:t>
      </w:r>
      <w:r>
        <w:rPr>
          <w:rStyle w:val="FootnoteReference"/>
          <w:rFonts w:cs="Times New Roman"/>
          <w:bCs/>
          <w:szCs w:val="24"/>
        </w:rPr>
        <w:footnoteReference w:id="38"/>
      </w:r>
      <w:r w:rsidRPr="00190BA4">
        <w:rPr>
          <w:rFonts w:cs="Times New Roman"/>
          <w:bCs/>
          <w:szCs w:val="24"/>
        </w:rPr>
        <w:t xml:space="preserve"> </w:t>
      </w:r>
      <w:r w:rsidRPr="00190BA4" w:rsidR="008B1065">
        <w:rPr>
          <w:rFonts w:cs="Times New Roman"/>
          <w:bCs/>
          <w:szCs w:val="24"/>
        </w:rPr>
        <w:t>Thus, the Settlement should be rejected.</w:t>
      </w:r>
    </w:p>
    <w:p w:rsidR="0094668D" w:rsidRPr="00190BA4" w:rsidP="00D84EAE" w14:paraId="39335C7A" w14:textId="6777E960">
      <w:pPr>
        <w:pStyle w:val="Heading4"/>
      </w:pPr>
      <w:bookmarkStart w:id="16" w:name="_Toc173315546"/>
      <w:r w:rsidRPr="00190BA4">
        <w:t>FirstEnergy</w:t>
      </w:r>
      <w:r w:rsidR="00DD6EB7">
        <w:t>’</w:t>
      </w:r>
      <w:r w:rsidRPr="00190BA4">
        <w:t>s present value cost estimate calculates the present value of the capital FirstEnergy spend</w:t>
      </w:r>
      <w:r w:rsidR="006C483C">
        <w:t>s</w:t>
      </w:r>
      <w:r w:rsidRPr="00190BA4">
        <w:t>, not the present value of the revenue requirements consumers must pay</w:t>
      </w:r>
      <w:r w:rsidRPr="00190BA4" w:rsidR="00D70879">
        <w:t>, to consumers</w:t>
      </w:r>
      <w:r w:rsidR="00DD6EB7">
        <w:t>’</w:t>
      </w:r>
      <w:r w:rsidRPr="00190BA4" w:rsidR="00D70879">
        <w:t xml:space="preserve"> detriment</w:t>
      </w:r>
      <w:r w:rsidRPr="00190BA4">
        <w:t>.</w:t>
      </w:r>
      <w:bookmarkEnd w:id="16"/>
    </w:p>
    <w:p w:rsidR="0094668D" w:rsidRPr="00190BA4" w:rsidP="0094668D" w14:paraId="026F76A3" w14:textId="652C1D5D">
      <w:pPr>
        <w:tabs>
          <w:tab w:val="left" w:pos="0"/>
        </w:tabs>
        <w:spacing w:after="0"/>
        <w:rPr>
          <w:rFonts w:cs="Times New Roman"/>
          <w:szCs w:val="24"/>
        </w:rPr>
      </w:pPr>
      <w:r w:rsidRPr="00190BA4">
        <w:rPr>
          <w:rFonts w:cs="Times New Roman"/>
          <w:bCs/>
          <w:szCs w:val="24"/>
        </w:rPr>
        <w:tab/>
        <w:t>FirstEnergy</w:t>
      </w:r>
      <w:r w:rsidR="00DD6EB7">
        <w:rPr>
          <w:rFonts w:cs="Times New Roman"/>
          <w:bCs/>
          <w:szCs w:val="24"/>
        </w:rPr>
        <w:t>’</w:t>
      </w:r>
      <w:r w:rsidRPr="00190BA4">
        <w:rPr>
          <w:rFonts w:cs="Times New Roman"/>
          <w:bCs/>
          <w:szCs w:val="24"/>
        </w:rPr>
        <w:t xml:space="preserve">s AMI BCA indicates it will spend </w:t>
      </w:r>
      <w:r w:rsidRPr="00190BA4">
        <w:rPr>
          <w:rFonts w:cs="Times New Roman"/>
          <w:szCs w:val="24"/>
        </w:rPr>
        <w:t xml:space="preserve">$421 million in capital to implement the proposed Settlement. </w:t>
      </w:r>
      <w:r w:rsidRPr="00190BA4" w:rsidR="00F261CF">
        <w:rPr>
          <w:rFonts w:cs="Times New Roman"/>
          <w:szCs w:val="24"/>
        </w:rPr>
        <w:t>FirstEnergy</w:t>
      </w:r>
      <w:r w:rsidRPr="00190BA4">
        <w:rPr>
          <w:rFonts w:cs="Times New Roman"/>
          <w:szCs w:val="24"/>
        </w:rPr>
        <w:t xml:space="preserve"> calculate</w:t>
      </w:r>
      <w:r w:rsidRPr="00190BA4" w:rsidR="00F261CF">
        <w:rPr>
          <w:rFonts w:cs="Times New Roman"/>
          <w:szCs w:val="24"/>
        </w:rPr>
        <w:t>s</w:t>
      </w:r>
      <w:r w:rsidRPr="00190BA4">
        <w:rPr>
          <w:rFonts w:cs="Times New Roman"/>
          <w:szCs w:val="24"/>
        </w:rPr>
        <w:t xml:space="preserve"> the present value of that capital spending at $352 million.</w:t>
      </w:r>
      <w:r>
        <w:rPr>
          <w:rStyle w:val="FootnoteReference"/>
          <w:rFonts w:cs="Times New Roman"/>
          <w:szCs w:val="24"/>
        </w:rPr>
        <w:footnoteReference w:id="39"/>
      </w:r>
      <w:r w:rsidRPr="00190BA4">
        <w:rPr>
          <w:rFonts w:cs="Times New Roman"/>
          <w:szCs w:val="24"/>
        </w:rPr>
        <w:t xml:space="preserve"> However, after </w:t>
      </w:r>
      <w:r w:rsidRPr="00190BA4" w:rsidR="00482486">
        <w:rPr>
          <w:rFonts w:cs="Times New Roman"/>
          <w:szCs w:val="24"/>
        </w:rPr>
        <w:t>accounting for</w:t>
      </w:r>
      <w:r w:rsidRPr="00190BA4">
        <w:rPr>
          <w:rFonts w:cs="Times New Roman"/>
          <w:szCs w:val="24"/>
        </w:rPr>
        <w:t xml:space="preserve"> carrying charges, </w:t>
      </w:r>
      <w:r w:rsidRPr="00190BA4" w:rsidR="00482486">
        <w:rPr>
          <w:rFonts w:cs="Times New Roman"/>
          <w:szCs w:val="24"/>
        </w:rPr>
        <w:t>that</w:t>
      </w:r>
      <w:r w:rsidRPr="00190BA4">
        <w:rPr>
          <w:rFonts w:cs="Times New Roman"/>
          <w:szCs w:val="24"/>
        </w:rPr>
        <w:t xml:space="preserve"> is impossible.</w:t>
      </w:r>
      <w:r>
        <w:rPr>
          <w:rStyle w:val="FootnoteReference"/>
          <w:rFonts w:cs="Times New Roman"/>
          <w:szCs w:val="24"/>
        </w:rPr>
        <w:footnoteReference w:id="40"/>
      </w:r>
    </w:p>
    <w:p w:rsidR="0094668D" w:rsidRPr="00190BA4" w:rsidP="0094668D" w14:paraId="36988E66" w14:textId="4552D34D">
      <w:pPr>
        <w:tabs>
          <w:tab w:val="left" w:pos="0"/>
        </w:tabs>
        <w:spacing w:after="0"/>
        <w:rPr>
          <w:rFonts w:cs="Times New Roman"/>
          <w:bCs/>
          <w:szCs w:val="24"/>
        </w:rPr>
      </w:pPr>
      <w:r w:rsidRPr="00190BA4">
        <w:rPr>
          <w:rFonts w:cs="Times New Roman"/>
          <w:szCs w:val="24"/>
        </w:rPr>
        <w:tab/>
        <w:t>Consumers pay more than FirstEnergy</w:t>
      </w:r>
      <w:r w:rsidR="00DD6EB7">
        <w:rPr>
          <w:rFonts w:cs="Times New Roman"/>
          <w:szCs w:val="24"/>
        </w:rPr>
        <w:t>’</w:t>
      </w:r>
      <w:r w:rsidRPr="00190BA4">
        <w:rPr>
          <w:rFonts w:cs="Times New Roman"/>
          <w:szCs w:val="24"/>
        </w:rPr>
        <w:t>s costs. Consumers must also pay FirstEnergy</w:t>
      </w:r>
      <w:r w:rsidR="00DD6EB7">
        <w:rPr>
          <w:rFonts w:cs="Times New Roman"/>
          <w:szCs w:val="24"/>
        </w:rPr>
        <w:t>’</w:t>
      </w:r>
      <w:r w:rsidRPr="00190BA4">
        <w:rPr>
          <w:rFonts w:cs="Times New Roman"/>
          <w:szCs w:val="24"/>
        </w:rPr>
        <w:t xml:space="preserve">s interest on debt, a return on equity </w:t>
      </w:r>
      <w:r w:rsidRPr="00190BA4" w:rsidR="008B1065">
        <w:rPr>
          <w:rFonts w:cs="Times New Roman"/>
          <w:szCs w:val="24"/>
        </w:rPr>
        <w:t xml:space="preserve">of </w:t>
      </w:r>
      <w:r w:rsidRPr="00190BA4">
        <w:rPr>
          <w:rFonts w:cs="Times New Roman"/>
          <w:szCs w:val="24"/>
        </w:rPr>
        <w:t>capital provided by shareholders (profits), and income taxes on FirstEnergy</w:t>
      </w:r>
      <w:r w:rsidR="00DD6EB7">
        <w:rPr>
          <w:rFonts w:cs="Times New Roman"/>
          <w:szCs w:val="24"/>
        </w:rPr>
        <w:t>’</w:t>
      </w:r>
      <w:r w:rsidRPr="00190BA4">
        <w:rPr>
          <w:rFonts w:cs="Times New Roman"/>
          <w:szCs w:val="24"/>
        </w:rPr>
        <w:t>s profits. OCC</w:t>
      </w:r>
      <w:r w:rsidRPr="00190BA4" w:rsidR="00FA39A2">
        <w:rPr>
          <w:rFonts w:cs="Times New Roman"/>
          <w:szCs w:val="24"/>
        </w:rPr>
        <w:t>/NOAC</w:t>
      </w:r>
      <w:r w:rsidRPr="00190BA4">
        <w:rPr>
          <w:rFonts w:cs="Times New Roman"/>
          <w:szCs w:val="24"/>
        </w:rPr>
        <w:t xml:space="preserve"> Witness Alvarez estimated that over 15 years, consumers will reimburse FirstEnergy $729 million for the $421 million in capital FirstEnergy will spend to implement the Settlement if approved.</w:t>
      </w:r>
      <w:r>
        <w:rPr>
          <w:rStyle w:val="FootnoteReference"/>
          <w:rFonts w:cs="Times New Roman"/>
          <w:szCs w:val="24"/>
        </w:rPr>
        <w:footnoteReference w:id="41"/>
      </w:r>
      <w:r w:rsidRPr="00190BA4">
        <w:rPr>
          <w:rFonts w:cs="Times New Roman"/>
          <w:szCs w:val="24"/>
        </w:rPr>
        <w:t xml:space="preserve"> </w:t>
      </w:r>
      <w:r w:rsidRPr="00190BA4" w:rsidR="00482486">
        <w:rPr>
          <w:rFonts w:cs="Times New Roman"/>
          <w:szCs w:val="24"/>
        </w:rPr>
        <w:t>These</w:t>
      </w:r>
      <w:r w:rsidRPr="00190BA4">
        <w:rPr>
          <w:rFonts w:cs="Times New Roman"/>
          <w:szCs w:val="24"/>
        </w:rPr>
        <w:t xml:space="preserve"> consumer payments </w:t>
      </w:r>
      <w:r w:rsidRPr="00190BA4" w:rsidR="00482486">
        <w:rPr>
          <w:rFonts w:cs="Times New Roman"/>
          <w:szCs w:val="24"/>
        </w:rPr>
        <w:t xml:space="preserve">can be discounted </w:t>
      </w:r>
      <w:r w:rsidRPr="00190BA4">
        <w:rPr>
          <w:rFonts w:cs="Times New Roman"/>
          <w:szCs w:val="24"/>
        </w:rPr>
        <w:t xml:space="preserve">into present value using the same cost of capital FirstEnergy uses to </w:t>
      </w:r>
      <w:r w:rsidRPr="00190BA4" w:rsidR="00482486">
        <w:rPr>
          <w:rFonts w:cs="Times New Roman"/>
          <w:szCs w:val="24"/>
        </w:rPr>
        <w:t xml:space="preserve">arrive at </w:t>
      </w:r>
      <w:r w:rsidRPr="00190BA4">
        <w:rPr>
          <w:rFonts w:cs="Times New Roman"/>
          <w:szCs w:val="24"/>
        </w:rPr>
        <w:t xml:space="preserve">the revenue requirements consumers will </w:t>
      </w:r>
      <w:r w:rsidRPr="00190BA4" w:rsidR="00482486">
        <w:rPr>
          <w:rFonts w:cs="Times New Roman"/>
          <w:szCs w:val="24"/>
        </w:rPr>
        <w:t xml:space="preserve">actually </w:t>
      </w:r>
      <w:r w:rsidRPr="00190BA4">
        <w:rPr>
          <w:rFonts w:cs="Times New Roman"/>
          <w:szCs w:val="24"/>
        </w:rPr>
        <w:t>pay over time</w:t>
      </w:r>
      <w:r w:rsidRPr="00190BA4" w:rsidR="00482486">
        <w:rPr>
          <w:rFonts w:cs="Times New Roman"/>
          <w:szCs w:val="24"/>
        </w:rPr>
        <w:t>. Doing so,</w:t>
      </w:r>
      <w:r w:rsidRPr="00190BA4">
        <w:rPr>
          <w:rFonts w:cs="Times New Roman"/>
          <w:szCs w:val="24"/>
        </w:rPr>
        <w:t xml:space="preserve"> the present value to consumers of FirstEnergy</w:t>
      </w:r>
      <w:r w:rsidR="00DD6EB7">
        <w:rPr>
          <w:rFonts w:cs="Times New Roman"/>
          <w:szCs w:val="24"/>
        </w:rPr>
        <w:t>’</w:t>
      </w:r>
      <w:r w:rsidRPr="00190BA4">
        <w:rPr>
          <w:rFonts w:cs="Times New Roman"/>
          <w:szCs w:val="24"/>
        </w:rPr>
        <w:t>s $421 million capital spend is $421 million, not the $352 million FirstEnergy presents in their AMI BCA.</w:t>
      </w:r>
      <w:r>
        <w:rPr>
          <w:rStyle w:val="FootnoteReference"/>
          <w:rFonts w:cs="Times New Roman"/>
          <w:szCs w:val="24"/>
        </w:rPr>
        <w:footnoteReference w:id="42"/>
      </w:r>
      <w:r w:rsidRPr="00190BA4">
        <w:rPr>
          <w:rFonts w:cs="Times New Roman"/>
          <w:szCs w:val="24"/>
        </w:rPr>
        <w:t xml:space="preserve"> This error understates the present value of consumer costs by $69 million.</w:t>
      </w:r>
      <w:r>
        <w:rPr>
          <w:rStyle w:val="FootnoteReference"/>
          <w:rFonts w:cs="Times New Roman"/>
          <w:szCs w:val="24"/>
        </w:rPr>
        <w:footnoteReference w:id="43"/>
      </w:r>
      <w:r w:rsidRPr="00190BA4" w:rsidR="00C11D9A">
        <w:rPr>
          <w:rFonts w:cs="Times New Roman"/>
          <w:szCs w:val="24"/>
        </w:rPr>
        <w:t xml:space="preserve"> </w:t>
      </w:r>
    </w:p>
    <w:p w:rsidR="0094668D" w:rsidRPr="00190BA4" w:rsidP="00C375B0" w14:paraId="1363CF98" w14:textId="38BDA0B5">
      <w:pPr>
        <w:pStyle w:val="Heading4"/>
        <w:rPr>
          <w:i/>
          <w:iCs/>
        </w:rPr>
      </w:pPr>
      <w:bookmarkStart w:id="17" w:name="_Toc173315547"/>
      <w:r w:rsidRPr="00190BA4">
        <w:t>FirstEnergy</w:t>
      </w:r>
      <w:r w:rsidR="00DD6EB7">
        <w:t>’</w:t>
      </w:r>
      <w:r w:rsidRPr="00190BA4" w:rsidR="00684ACA">
        <w:t>s</w:t>
      </w:r>
      <w:r w:rsidRPr="00190BA4">
        <w:t xml:space="preserve"> BCA ignores the stranded costs of the legacy meters the stipulated AMI deployment would replace</w:t>
      </w:r>
      <w:r w:rsidRPr="00190BA4" w:rsidR="00D70879">
        <w:t>, to consumers</w:t>
      </w:r>
      <w:r w:rsidR="00DD6EB7">
        <w:t>’</w:t>
      </w:r>
      <w:r w:rsidRPr="00190BA4" w:rsidR="00D70879">
        <w:t xml:space="preserve"> detriment</w:t>
      </w:r>
      <w:r w:rsidRPr="00190BA4">
        <w:t>.</w:t>
      </w:r>
      <w:bookmarkEnd w:id="17"/>
    </w:p>
    <w:p w:rsidR="0094668D" w:rsidRPr="00190BA4" w:rsidP="0094668D" w14:paraId="771FB795" w14:textId="56C6C9E9">
      <w:pPr>
        <w:tabs>
          <w:tab w:val="left" w:pos="0"/>
        </w:tabs>
        <w:spacing w:after="0"/>
        <w:rPr>
          <w:rFonts w:cs="Times New Roman"/>
          <w:bCs/>
          <w:szCs w:val="24"/>
        </w:rPr>
      </w:pPr>
      <w:r w:rsidRPr="00190BA4">
        <w:rPr>
          <w:rFonts w:cs="Times New Roman"/>
          <w:bCs/>
          <w:szCs w:val="24"/>
        </w:rPr>
        <w:tab/>
        <w:t>FirstEnergy is not likely to forgive the repayment by consumers of the capital FirstEnergy spent to deploy the meters that are currently in service.</w:t>
      </w:r>
      <w:r>
        <w:rPr>
          <w:rStyle w:val="FootnoteReference"/>
          <w:rFonts w:cs="Times New Roman"/>
          <w:bCs/>
          <w:szCs w:val="24"/>
        </w:rPr>
        <w:footnoteReference w:id="44"/>
      </w:r>
      <w:r w:rsidRPr="00190BA4">
        <w:rPr>
          <w:rFonts w:cs="Times New Roman"/>
          <w:bCs/>
          <w:szCs w:val="24"/>
        </w:rPr>
        <w:t xml:space="preserve"> FirstEnergy incurred costs to install the current meters, and will expect consumers to repay those costs, plus interest expenses, a return on capital provided by shareholders (profits), and FirstEnergy</w:t>
      </w:r>
      <w:r w:rsidR="00DD6EB7">
        <w:rPr>
          <w:rFonts w:cs="Times New Roman"/>
          <w:bCs/>
          <w:szCs w:val="24"/>
        </w:rPr>
        <w:t>’</w:t>
      </w:r>
      <w:r w:rsidRPr="00190BA4">
        <w:rPr>
          <w:rFonts w:cs="Times New Roman"/>
          <w:bCs/>
          <w:szCs w:val="24"/>
        </w:rPr>
        <w:t>s income taxes.</w:t>
      </w:r>
      <w:r>
        <w:rPr>
          <w:rStyle w:val="FootnoteReference"/>
          <w:rFonts w:cs="Times New Roman"/>
          <w:bCs/>
          <w:szCs w:val="24"/>
        </w:rPr>
        <w:footnoteReference w:id="45"/>
      </w:r>
      <w:r w:rsidRPr="00190BA4">
        <w:rPr>
          <w:rFonts w:cs="Times New Roman"/>
          <w:bCs/>
          <w:szCs w:val="24"/>
        </w:rPr>
        <w:t xml:space="preserve"> Indeed, FirstEnergy estimates that the amount of capital invested in existing meters that consumers have yet to repay amounts to $144.4 million</w:t>
      </w:r>
      <w:r w:rsidRPr="00190BA4" w:rsidR="00567FDE">
        <w:rPr>
          <w:rFonts w:cs="Times New Roman"/>
          <w:bCs/>
          <w:szCs w:val="24"/>
        </w:rPr>
        <w:t>.</w:t>
      </w:r>
      <w:r>
        <w:rPr>
          <w:rStyle w:val="FootnoteReference"/>
          <w:rFonts w:cs="Times New Roman"/>
          <w:bCs/>
          <w:szCs w:val="24"/>
        </w:rPr>
        <w:footnoteReference w:id="46"/>
      </w:r>
    </w:p>
    <w:p w:rsidR="0094668D" w:rsidRPr="00190BA4" w:rsidP="0094668D" w14:paraId="16D2C645" w14:textId="7262D9AB">
      <w:pPr>
        <w:tabs>
          <w:tab w:val="left" w:pos="0"/>
        </w:tabs>
        <w:spacing w:after="0"/>
        <w:rPr>
          <w:rFonts w:cs="Times New Roman"/>
          <w:bCs/>
          <w:szCs w:val="24"/>
        </w:rPr>
      </w:pPr>
      <w:r w:rsidRPr="00190BA4">
        <w:rPr>
          <w:rFonts w:cs="Times New Roman"/>
          <w:bCs/>
          <w:szCs w:val="24"/>
        </w:rPr>
        <w:tab/>
        <w:t xml:space="preserve">This short-changes consumers. The $144.4 million in capital spent on the existing meters, but yet to be repaid by consumers, represents what is known as a </w:t>
      </w:r>
      <w:r w:rsidRPr="00190BA4">
        <w:rPr>
          <w:rFonts w:cs="Times New Roman"/>
          <w:bCs/>
          <w:i/>
          <w:iCs/>
          <w:szCs w:val="24"/>
        </w:rPr>
        <w:t>stranded cost</w:t>
      </w:r>
      <w:r w:rsidRPr="00190BA4">
        <w:rPr>
          <w:rFonts w:cs="Times New Roman"/>
          <w:bCs/>
          <w:szCs w:val="24"/>
        </w:rPr>
        <w:t>.</w:t>
      </w:r>
      <w:r>
        <w:rPr>
          <w:rStyle w:val="FootnoteReference"/>
          <w:rFonts w:cs="Times New Roman"/>
          <w:bCs/>
          <w:szCs w:val="24"/>
        </w:rPr>
        <w:footnoteReference w:id="47"/>
      </w:r>
      <w:r w:rsidRPr="00190BA4">
        <w:rPr>
          <w:rFonts w:cs="Times New Roman"/>
          <w:bCs/>
          <w:szCs w:val="24"/>
        </w:rPr>
        <w:t xml:space="preserve"> If these meters are removed from service prematurely to make way for smart meters, the meters will n</w:t>
      </w:r>
      <w:r w:rsidRPr="00190BA4" w:rsidR="00684ACA">
        <w:rPr>
          <w:rFonts w:cs="Times New Roman"/>
          <w:bCs/>
          <w:szCs w:val="24"/>
        </w:rPr>
        <w:t>ot</w:t>
      </w:r>
      <w:r w:rsidRPr="00190BA4">
        <w:rPr>
          <w:rFonts w:cs="Times New Roman"/>
          <w:bCs/>
          <w:szCs w:val="24"/>
        </w:rPr>
        <w:t xml:space="preserve"> provide the value in recording and reporting consumers</w:t>
      </w:r>
      <w:r w:rsidR="00DD6EB7">
        <w:rPr>
          <w:rFonts w:cs="Times New Roman"/>
          <w:bCs/>
          <w:szCs w:val="24"/>
        </w:rPr>
        <w:t>’</w:t>
      </w:r>
      <w:r w:rsidRPr="00190BA4">
        <w:rPr>
          <w:rFonts w:cs="Times New Roman"/>
          <w:bCs/>
          <w:szCs w:val="24"/>
        </w:rPr>
        <w:t xml:space="preserve"> energy use</w:t>
      </w:r>
      <w:r w:rsidRPr="00190BA4" w:rsidR="00684ACA">
        <w:rPr>
          <w:rFonts w:cs="Times New Roman"/>
          <w:bCs/>
          <w:szCs w:val="24"/>
        </w:rPr>
        <w:t>,</w:t>
      </w:r>
      <w:r w:rsidRPr="00190BA4">
        <w:rPr>
          <w:rFonts w:cs="Times New Roman"/>
          <w:bCs/>
          <w:szCs w:val="24"/>
        </w:rPr>
        <w:t xml:space="preserve"> </w:t>
      </w:r>
      <w:r w:rsidRPr="00190BA4" w:rsidR="00684ACA">
        <w:rPr>
          <w:rFonts w:cs="Times New Roman"/>
          <w:bCs/>
          <w:szCs w:val="24"/>
        </w:rPr>
        <w:t>but</w:t>
      </w:r>
      <w:r w:rsidRPr="00190BA4">
        <w:rPr>
          <w:rFonts w:cs="Times New Roman"/>
          <w:bCs/>
          <w:szCs w:val="24"/>
        </w:rPr>
        <w:t xml:space="preserve"> consumers will </w:t>
      </w:r>
      <w:r w:rsidRPr="00190BA4" w:rsidR="00684ACA">
        <w:rPr>
          <w:rFonts w:cs="Times New Roman"/>
          <w:bCs/>
          <w:szCs w:val="24"/>
        </w:rPr>
        <w:t>still be required to pay</w:t>
      </w:r>
      <w:r w:rsidRPr="00190BA4">
        <w:rPr>
          <w:rFonts w:cs="Times New Roman"/>
          <w:bCs/>
          <w:szCs w:val="24"/>
        </w:rPr>
        <w:t>.</w:t>
      </w:r>
      <w:r>
        <w:rPr>
          <w:rStyle w:val="FootnoteReference"/>
          <w:rFonts w:cs="Times New Roman"/>
          <w:bCs/>
          <w:szCs w:val="24"/>
        </w:rPr>
        <w:footnoteReference w:id="48"/>
      </w:r>
      <w:r w:rsidRPr="00190BA4" w:rsidR="00684ACA">
        <w:rPr>
          <w:rFonts w:cs="Times New Roman"/>
          <w:bCs/>
          <w:szCs w:val="24"/>
        </w:rPr>
        <w:t xml:space="preserve"> Further, </w:t>
      </w:r>
      <w:r w:rsidRPr="00190BA4" w:rsidR="00567FDE">
        <w:rPr>
          <w:rFonts w:cs="Times New Roman"/>
          <w:bCs/>
          <w:szCs w:val="24"/>
        </w:rPr>
        <w:t>consumers</w:t>
      </w:r>
      <w:r w:rsidRPr="00190BA4">
        <w:rPr>
          <w:rFonts w:cs="Times New Roman"/>
          <w:bCs/>
          <w:szCs w:val="24"/>
        </w:rPr>
        <w:t xml:space="preserve"> will be paying for both the old meters removed from service, as well as for the new smart meters, at the same time.</w:t>
      </w:r>
      <w:r>
        <w:rPr>
          <w:rStyle w:val="FootnoteReference"/>
          <w:rFonts w:cs="Times New Roman"/>
          <w:bCs/>
          <w:szCs w:val="24"/>
        </w:rPr>
        <w:footnoteReference w:id="49"/>
      </w:r>
      <w:r w:rsidRPr="00190BA4">
        <w:rPr>
          <w:rFonts w:cs="Times New Roman"/>
          <w:bCs/>
          <w:szCs w:val="24"/>
        </w:rPr>
        <w:t xml:space="preserve"> </w:t>
      </w:r>
    </w:p>
    <w:p w:rsidR="0094668D" w:rsidRPr="00190BA4" w:rsidP="0094668D" w14:paraId="2F0CF15A" w14:textId="0178B199">
      <w:pPr>
        <w:tabs>
          <w:tab w:val="left" w:pos="0"/>
        </w:tabs>
        <w:spacing w:after="0"/>
        <w:rPr>
          <w:rFonts w:cs="Times New Roman"/>
          <w:bCs/>
          <w:szCs w:val="24"/>
        </w:rPr>
      </w:pPr>
      <w:r w:rsidRPr="00190BA4">
        <w:rPr>
          <w:rFonts w:cs="Times New Roman"/>
          <w:bCs/>
          <w:szCs w:val="24"/>
        </w:rPr>
        <w:tab/>
      </w:r>
      <w:r w:rsidRPr="00190BA4" w:rsidR="009B3416">
        <w:rPr>
          <w:rFonts w:cs="Times New Roman"/>
          <w:bCs/>
          <w:szCs w:val="24"/>
        </w:rPr>
        <w:t xml:space="preserve">There are no provisions in Ohio law governing electric utilities charging consumers for stranded costs in these circumstances. This is highlighted by the reality that there is a statute – R.C. 4928.40 – allowing electric utilities to collect for so-called </w:t>
      </w:r>
      <w:r w:rsidR="00DD6EB7">
        <w:rPr>
          <w:rFonts w:cs="Times New Roman"/>
          <w:bCs/>
          <w:szCs w:val="24"/>
        </w:rPr>
        <w:t>“</w:t>
      </w:r>
      <w:r w:rsidRPr="00190BA4" w:rsidR="009B3416">
        <w:rPr>
          <w:rFonts w:cs="Times New Roman"/>
          <w:bCs/>
          <w:szCs w:val="24"/>
        </w:rPr>
        <w:t>stranded</w:t>
      </w:r>
      <w:r w:rsidR="00DD6EB7">
        <w:rPr>
          <w:rFonts w:cs="Times New Roman"/>
          <w:bCs/>
          <w:szCs w:val="24"/>
        </w:rPr>
        <w:t>”</w:t>
      </w:r>
      <w:r w:rsidRPr="00190BA4" w:rsidR="009B3416">
        <w:rPr>
          <w:rFonts w:cs="Times New Roman"/>
          <w:bCs/>
          <w:szCs w:val="24"/>
        </w:rPr>
        <w:t xml:space="preserve"> investments in other circumstances. Other </w:t>
      </w:r>
      <w:r w:rsidRPr="00190BA4">
        <w:rPr>
          <w:rFonts w:cs="Times New Roman"/>
          <w:bCs/>
          <w:szCs w:val="24"/>
        </w:rPr>
        <w:t xml:space="preserve">state utility regulators have recognized the problem of stranded meter costs and taken steps to address it. </w:t>
      </w:r>
      <w:r w:rsidRPr="00190BA4" w:rsidR="00684ACA">
        <w:rPr>
          <w:rFonts w:cs="Times New Roman"/>
          <w:bCs/>
          <w:szCs w:val="24"/>
        </w:rPr>
        <w:t xml:space="preserve">And these steps did not prohibit utilities from deploying smart meters, they merely required the respective utility to take reasonable steps to ensure customers were not over-charged. </w:t>
      </w:r>
      <w:r w:rsidRPr="00190BA4">
        <w:rPr>
          <w:rFonts w:cs="Times New Roman"/>
          <w:bCs/>
          <w:szCs w:val="24"/>
        </w:rPr>
        <w:t>In 2018, the Massachusetts Department of Public Utilities rejected three utilities</w:t>
      </w:r>
      <w:r w:rsidR="00DD6EB7">
        <w:rPr>
          <w:rFonts w:cs="Times New Roman"/>
          <w:bCs/>
          <w:szCs w:val="24"/>
        </w:rPr>
        <w:t>’</w:t>
      </w:r>
      <w:r w:rsidRPr="00190BA4">
        <w:rPr>
          <w:rFonts w:cs="Times New Roman"/>
          <w:bCs/>
          <w:szCs w:val="24"/>
        </w:rPr>
        <w:t xml:space="preserve"> applications to install smart meters due in large part to the outstanding cost of existing meters that the Department recognized consumers would have to</w:t>
      </w:r>
      <w:r w:rsidRPr="00190BA4" w:rsidR="00684ACA">
        <w:rPr>
          <w:rFonts w:cs="Times New Roman"/>
          <w:bCs/>
          <w:szCs w:val="24"/>
        </w:rPr>
        <w:t xml:space="preserve"> pay</w:t>
      </w:r>
      <w:r w:rsidRPr="00190BA4">
        <w:rPr>
          <w:rFonts w:cs="Times New Roman"/>
          <w:bCs/>
          <w:szCs w:val="24"/>
        </w:rPr>
        <w:t>.</w:t>
      </w:r>
      <w:r>
        <w:rPr>
          <w:rStyle w:val="FootnoteReference"/>
          <w:rFonts w:cs="Times New Roman"/>
          <w:bCs/>
          <w:szCs w:val="24"/>
        </w:rPr>
        <w:footnoteReference w:id="50"/>
      </w:r>
      <w:r w:rsidRPr="00190BA4">
        <w:rPr>
          <w:rFonts w:cs="Times New Roman"/>
          <w:bCs/>
          <w:szCs w:val="24"/>
        </w:rPr>
        <w:t xml:space="preserve"> Several years later, when the book value of the existing meters had been paid down a bit, the Department reconsidered (and eventually approved) the utilities</w:t>
      </w:r>
      <w:r w:rsidR="00DD6EB7">
        <w:rPr>
          <w:rFonts w:cs="Times New Roman"/>
          <w:bCs/>
          <w:szCs w:val="24"/>
        </w:rPr>
        <w:t>’</w:t>
      </w:r>
      <w:r w:rsidRPr="00190BA4">
        <w:rPr>
          <w:rFonts w:cs="Times New Roman"/>
          <w:bCs/>
          <w:szCs w:val="24"/>
        </w:rPr>
        <w:t xml:space="preserve"> AMI deployment proposals.</w:t>
      </w:r>
      <w:r>
        <w:rPr>
          <w:rStyle w:val="FootnoteReference"/>
          <w:rFonts w:cs="Times New Roman"/>
          <w:bCs/>
          <w:szCs w:val="24"/>
        </w:rPr>
        <w:footnoteReference w:id="51"/>
      </w:r>
      <w:r w:rsidRPr="00190BA4">
        <w:rPr>
          <w:rFonts w:cs="Times New Roman"/>
          <w:bCs/>
          <w:szCs w:val="24"/>
        </w:rPr>
        <w:t xml:space="preserve"> </w:t>
      </w:r>
    </w:p>
    <w:p w:rsidR="001E21AA" w:rsidRPr="00190BA4" w:rsidP="0094668D" w14:paraId="1C6A08E4" w14:textId="160DFE90">
      <w:pPr>
        <w:tabs>
          <w:tab w:val="left" w:pos="0"/>
        </w:tabs>
        <w:spacing w:after="0"/>
        <w:rPr>
          <w:rFonts w:cs="Times New Roman"/>
          <w:bCs/>
          <w:szCs w:val="24"/>
        </w:rPr>
      </w:pPr>
      <w:r w:rsidRPr="00190BA4">
        <w:rPr>
          <w:rFonts w:cs="Times New Roman"/>
          <w:bCs/>
          <w:szCs w:val="24"/>
        </w:rPr>
        <w:tab/>
        <w:t>Another example can be found at the Kentucky Public Service Commission with respect to multiple applications by Kentucky Utilities/Louisville Gas and Electric (</w:t>
      </w:r>
      <w:r w:rsidR="00DD6EB7">
        <w:rPr>
          <w:rFonts w:cs="Times New Roman"/>
          <w:bCs/>
          <w:szCs w:val="24"/>
        </w:rPr>
        <w:t>“</w:t>
      </w:r>
      <w:r w:rsidRPr="00190BA4">
        <w:rPr>
          <w:rFonts w:cs="Times New Roman"/>
          <w:bCs/>
          <w:szCs w:val="24"/>
        </w:rPr>
        <w:t>KU/LGE</w:t>
      </w:r>
      <w:r w:rsidR="00DD6EB7">
        <w:rPr>
          <w:rFonts w:cs="Times New Roman"/>
          <w:bCs/>
          <w:szCs w:val="24"/>
        </w:rPr>
        <w:t>”</w:t>
      </w:r>
      <w:r w:rsidRPr="00190BA4">
        <w:rPr>
          <w:rFonts w:cs="Times New Roman"/>
          <w:bCs/>
          <w:szCs w:val="24"/>
        </w:rPr>
        <w:t>) to install smart meters. In its first application the utility withdrew its AMI proposal as part of a rate case settlement agreement, as the proposal faced criticism over cost effectiveness and stranded meter costs. The Kentucky PSC rejected the utility</w:t>
      </w:r>
      <w:r w:rsidR="00DD6EB7">
        <w:rPr>
          <w:rFonts w:cs="Times New Roman"/>
          <w:bCs/>
          <w:szCs w:val="24"/>
        </w:rPr>
        <w:t>’</w:t>
      </w:r>
      <w:r w:rsidRPr="00190BA4">
        <w:rPr>
          <w:rFonts w:cs="Times New Roman"/>
          <w:bCs/>
          <w:szCs w:val="24"/>
        </w:rPr>
        <w:t>s second application to install smart meters, citing concerns over cost-effectiveness and the size of stranded meter costs.</w:t>
      </w:r>
      <w:r>
        <w:rPr>
          <w:rStyle w:val="FootnoteReference"/>
          <w:rFonts w:cs="Times New Roman"/>
          <w:bCs/>
          <w:szCs w:val="24"/>
        </w:rPr>
        <w:footnoteReference w:id="52"/>
      </w:r>
      <w:r w:rsidRPr="00190BA4">
        <w:rPr>
          <w:rFonts w:cs="Times New Roman"/>
          <w:bCs/>
          <w:szCs w:val="24"/>
        </w:rPr>
        <w:t xml:space="preserve"> In its third smart meter application, KU/LGE proposed innovative ratemaking concepts designed to deploy smart meters at zero net cost to consumers. Employing deferred cost recovery for smart meters, a regulatory asset for stranded meter costs (amortized over time), and a regulatory liability for projected smart meter benefits (also amortized over time), KU/LGE</w:t>
      </w:r>
      <w:r w:rsidR="00DD6EB7">
        <w:rPr>
          <w:rFonts w:cs="Times New Roman"/>
          <w:bCs/>
          <w:szCs w:val="24"/>
        </w:rPr>
        <w:t>’</w:t>
      </w:r>
      <w:r w:rsidRPr="00190BA4">
        <w:rPr>
          <w:rFonts w:cs="Times New Roman"/>
          <w:bCs/>
          <w:szCs w:val="24"/>
        </w:rPr>
        <w:t>s AMI revenue requirement analysis indicated that the utility could deploy smart meters and secure a reasonable opportunity for shareholders to earn a return on investment</w:t>
      </w:r>
      <w:r w:rsidRPr="00190BA4" w:rsidR="00482486">
        <w:rPr>
          <w:rFonts w:cs="Times New Roman"/>
          <w:bCs/>
          <w:szCs w:val="24"/>
        </w:rPr>
        <w:t>.</w:t>
      </w:r>
      <w:r w:rsidRPr="00190BA4" w:rsidR="00894AD4">
        <w:rPr>
          <w:rFonts w:cs="Times New Roman"/>
          <w:bCs/>
          <w:szCs w:val="24"/>
        </w:rPr>
        <w:t xml:space="preserve"> </w:t>
      </w:r>
      <w:r w:rsidRPr="00190BA4" w:rsidR="00482486">
        <w:rPr>
          <w:rFonts w:cs="Times New Roman"/>
          <w:bCs/>
          <w:szCs w:val="24"/>
        </w:rPr>
        <w:t>This could be done</w:t>
      </w:r>
      <w:r w:rsidRPr="00190BA4">
        <w:rPr>
          <w:rFonts w:cs="Times New Roman"/>
          <w:bCs/>
          <w:szCs w:val="24"/>
        </w:rPr>
        <w:t xml:space="preserve"> at no incremental cost to consumers. The Kentucky Commission approved a settlement agreement which included a full AMI application (as well as specifications for a peak-time rebate program pilot).</w:t>
      </w:r>
      <w:r>
        <w:rPr>
          <w:rStyle w:val="FootnoteReference"/>
          <w:rFonts w:cs="Times New Roman"/>
          <w:bCs/>
          <w:szCs w:val="24"/>
        </w:rPr>
        <w:footnoteReference w:id="53"/>
      </w:r>
    </w:p>
    <w:p w:rsidR="0094668D" w:rsidRPr="00190BA4" w:rsidP="0094668D" w14:paraId="5AA8D286" w14:textId="3F08CABF">
      <w:pPr>
        <w:tabs>
          <w:tab w:val="left" w:pos="0"/>
        </w:tabs>
        <w:spacing w:after="0"/>
        <w:rPr>
          <w:rFonts w:cs="Times New Roman"/>
          <w:bCs/>
          <w:szCs w:val="24"/>
        </w:rPr>
      </w:pPr>
      <w:r w:rsidRPr="00190BA4">
        <w:rPr>
          <w:rFonts w:cs="Times New Roman"/>
          <w:bCs/>
          <w:szCs w:val="24"/>
        </w:rPr>
        <w:tab/>
        <w:t xml:space="preserve">The PUCO should follow a similar approach and refuse to authorize deployment of new smart meters at the expense of </w:t>
      </w:r>
      <w:r w:rsidRPr="00190BA4" w:rsidR="00567FDE">
        <w:rPr>
          <w:rFonts w:cs="Times New Roman"/>
          <w:bCs/>
          <w:szCs w:val="24"/>
        </w:rPr>
        <w:t>consumers</w:t>
      </w:r>
      <w:r w:rsidRPr="00190BA4">
        <w:rPr>
          <w:rFonts w:cs="Times New Roman"/>
          <w:bCs/>
          <w:szCs w:val="24"/>
        </w:rPr>
        <w:t xml:space="preserve"> while they are still paying for stranded costs of current meters. </w:t>
      </w:r>
      <w:r w:rsidRPr="00190BA4" w:rsidR="000748BB">
        <w:rPr>
          <w:rFonts w:cs="Times New Roman"/>
          <w:szCs w:val="24"/>
        </w:rPr>
        <w:tab/>
      </w:r>
    </w:p>
    <w:p w:rsidR="00D70879" w:rsidRPr="00190BA4" w:rsidP="00D70879" w14:paraId="10020901" w14:textId="0632D28D">
      <w:pPr>
        <w:pStyle w:val="Heading3"/>
      </w:pPr>
      <w:bookmarkStart w:id="18" w:name="_Toc173315548"/>
      <w:r w:rsidRPr="00190BA4">
        <w:t>FirstEnergy</w:t>
      </w:r>
      <w:r w:rsidR="00DD6EB7">
        <w:t>’</w:t>
      </w:r>
      <w:r w:rsidRPr="00190BA4">
        <w:t>s</w:t>
      </w:r>
      <w:r w:rsidRPr="00190BA4" w:rsidR="002B1CAE">
        <w:t xml:space="preserve"> BCA e</w:t>
      </w:r>
      <w:r w:rsidRPr="00190BA4" w:rsidR="00211C7D">
        <w:t xml:space="preserve">xaggerates benefits to </w:t>
      </w:r>
      <w:r w:rsidRPr="00190BA4" w:rsidR="00567FDE">
        <w:t>consume</w:t>
      </w:r>
      <w:r w:rsidRPr="00190BA4">
        <w:t>r</w:t>
      </w:r>
      <w:r w:rsidRPr="00190BA4" w:rsidR="00567FDE">
        <w:t>s</w:t>
      </w:r>
      <w:r w:rsidRPr="00190BA4">
        <w:t>, to consumers</w:t>
      </w:r>
      <w:r w:rsidR="00DD6EB7">
        <w:t>’</w:t>
      </w:r>
      <w:r w:rsidRPr="00190BA4">
        <w:t xml:space="preserve"> detriment</w:t>
      </w:r>
      <w:r w:rsidRPr="00190BA4" w:rsidR="00567FDE">
        <w:t>.</w:t>
      </w:r>
      <w:bookmarkEnd w:id="18"/>
    </w:p>
    <w:p w:rsidR="003D1D62" w:rsidRPr="00190BA4" w:rsidP="00211C7D" w14:paraId="74A9FCFE" w14:textId="64C0B5D2">
      <w:pPr>
        <w:tabs>
          <w:tab w:val="left" w:pos="0"/>
        </w:tabs>
        <w:spacing w:after="0"/>
        <w:rPr>
          <w:rFonts w:cs="Times New Roman"/>
          <w:bCs/>
          <w:szCs w:val="24"/>
        </w:rPr>
      </w:pPr>
      <w:r w:rsidRPr="00190BA4">
        <w:rPr>
          <w:rFonts w:cs="Times New Roman"/>
          <w:bCs/>
          <w:szCs w:val="24"/>
        </w:rPr>
        <w:tab/>
      </w:r>
      <w:r w:rsidRPr="00190BA4" w:rsidR="008A7FD9">
        <w:rPr>
          <w:rFonts w:cs="Times New Roman"/>
          <w:bCs/>
          <w:szCs w:val="24"/>
        </w:rPr>
        <w:t xml:space="preserve">The </w:t>
      </w:r>
      <w:r w:rsidRPr="00190BA4" w:rsidR="0074772B">
        <w:rPr>
          <w:rFonts w:cs="Times New Roman"/>
          <w:bCs/>
          <w:szCs w:val="24"/>
        </w:rPr>
        <w:t xml:space="preserve">AMI BCA FirstEnergy developed </w:t>
      </w:r>
      <w:r w:rsidRPr="00190BA4" w:rsidR="008A7FD9">
        <w:rPr>
          <w:rFonts w:cs="Times New Roman"/>
          <w:bCs/>
          <w:szCs w:val="24"/>
        </w:rPr>
        <w:t>ex</w:t>
      </w:r>
      <w:r w:rsidRPr="00190BA4" w:rsidR="0074772B">
        <w:rPr>
          <w:rFonts w:cs="Times New Roman"/>
          <w:bCs/>
          <w:szCs w:val="24"/>
        </w:rPr>
        <w:t xml:space="preserve">aggerates </w:t>
      </w:r>
      <w:r w:rsidRPr="00190BA4" w:rsidR="0094668D">
        <w:rPr>
          <w:rFonts w:cs="Times New Roman"/>
          <w:bCs/>
          <w:szCs w:val="24"/>
        </w:rPr>
        <w:t xml:space="preserve">customer </w:t>
      </w:r>
      <w:r w:rsidRPr="00190BA4" w:rsidR="0074772B">
        <w:rPr>
          <w:rFonts w:cs="Times New Roman"/>
          <w:bCs/>
          <w:szCs w:val="24"/>
        </w:rPr>
        <w:t>benefits in multiple ways.</w:t>
      </w:r>
      <w:r w:rsidRPr="00190BA4" w:rsidR="009B2C08">
        <w:rPr>
          <w:rFonts w:cs="Times New Roman"/>
          <w:bCs/>
          <w:szCs w:val="24"/>
        </w:rPr>
        <w:t xml:space="preserve"> First</w:t>
      </w:r>
      <w:r w:rsidRPr="00190BA4" w:rsidR="00766861">
        <w:rPr>
          <w:rFonts w:cs="Times New Roman"/>
          <w:bCs/>
          <w:szCs w:val="24"/>
        </w:rPr>
        <w:t xml:space="preserve">Energy includes incorrect valuations for cost of energy avoided and load reductions from TOU participation. Next, it inappropriately includes environmental benefits. Additionally, </w:t>
      </w:r>
      <w:r w:rsidRPr="00190BA4" w:rsidR="009B2C08">
        <w:rPr>
          <w:rFonts w:cs="Times New Roman"/>
          <w:bCs/>
          <w:szCs w:val="24"/>
        </w:rPr>
        <w:t>i</w:t>
      </w:r>
      <w:r w:rsidRPr="00190BA4" w:rsidR="0074772B">
        <w:rPr>
          <w:rFonts w:cs="Times New Roman"/>
          <w:bCs/>
          <w:szCs w:val="24"/>
        </w:rPr>
        <w:t xml:space="preserve">t assumes </w:t>
      </w:r>
      <w:r w:rsidRPr="00190BA4" w:rsidR="009B2C08">
        <w:rPr>
          <w:rFonts w:cs="Times New Roman"/>
          <w:bCs/>
          <w:szCs w:val="24"/>
        </w:rPr>
        <w:t xml:space="preserve">a </w:t>
      </w:r>
      <w:r w:rsidRPr="00190BA4" w:rsidR="0074772B">
        <w:rPr>
          <w:rFonts w:cs="Times New Roman"/>
          <w:bCs/>
          <w:szCs w:val="24"/>
        </w:rPr>
        <w:t>time-of-use (</w:t>
      </w:r>
      <w:r w:rsidR="00DD6EB7">
        <w:rPr>
          <w:rFonts w:cs="Times New Roman"/>
          <w:bCs/>
          <w:szCs w:val="24"/>
        </w:rPr>
        <w:t>“</w:t>
      </w:r>
      <w:r w:rsidRPr="00190BA4" w:rsidR="0074772B">
        <w:rPr>
          <w:rFonts w:cs="Times New Roman"/>
          <w:bCs/>
          <w:szCs w:val="24"/>
        </w:rPr>
        <w:t>TOU</w:t>
      </w:r>
      <w:r w:rsidR="00DD6EB7">
        <w:rPr>
          <w:rFonts w:cs="Times New Roman"/>
          <w:bCs/>
          <w:szCs w:val="24"/>
        </w:rPr>
        <w:t>”</w:t>
      </w:r>
      <w:r w:rsidRPr="00190BA4" w:rsidR="0074772B">
        <w:rPr>
          <w:rFonts w:cs="Times New Roman"/>
          <w:bCs/>
          <w:szCs w:val="24"/>
        </w:rPr>
        <w:t>) rate participation that is unlikely to be as fast or as great as projected</w:t>
      </w:r>
      <w:r w:rsidRPr="00190BA4" w:rsidR="00793074">
        <w:rPr>
          <w:rFonts w:cs="Times New Roman"/>
          <w:bCs/>
          <w:szCs w:val="24"/>
        </w:rPr>
        <w:t>.</w:t>
      </w:r>
      <w:r w:rsidR="00190BA4">
        <w:rPr>
          <w:rFonts w:cs="Times New Roman"/>
          <w:bCs/>
          <w:szCs w:val="24"/>
        </w:rPr>
        <w:t xml:space="preserve"> </w:t>
      </w:r>
      <w:r w:rsidRPr="00190BA4" w:rsidR="00793074">
        <w:rPr>
          <w:rFonts w:cs="Times New Roman"/>
          <w:bCs/>
          <w:szCs w:val="24"/>
        </w:rPr>
        <w:t>It does so</w:t>
      </w:r>
      <w:r w:rsidR="00190BA4">
        <w:rPr>
          <w:rFonts w:cs="Times New Roman"/>
          <w:bCs/>
          <w:szCs w:val="24"/>
        </w:rPr>
        <w:t xml:space="preserve"> </w:t>
      </w:r>
      <w:r w:rsidRPr="00190BA4" w:rsidR="00766861">
        <w:rPr>
          <w:rFonts w:cs="Times New Roman"/>
          <w:bCs/>
          <w:szCs w:val="24"/>
        </w:rPr>
        <w:t>by</w:t>
      </w:r>
      <w:r w:rsidRPr="00190BA4" w:rsidR="009B2C08">
        <w:rPr>
          <w:rFonts w:cs="Times New Roman"/>
          <w:bCs/>
          <w:szCs w:val="24"/>
        </w:rPr>
        <w:t xml:space="preserve"> </w:t>
      </w:r>
      <w:r w:rsidRPr="00190BA4" w:rsidR="00766861">
        <w:rPr>
          <w:rFonts w:cs="Times New Roman"/>
          <w:bCs/>
          <w:szCs w:val="24"/>
        </w:rPr>
        <w:t xml:space="preserve">ignoring </w:t>
      </w:r>
      <w:r w:rsidRPr="00190BA4" w:rsidR="009B2C08">
        <w:rPr>
          <w:rFonts w:cs="Times New Roman"/>
          <w:bCs/>
          <w:szCs w:val="24"/>
        </w:rPr>
        <w:t xml:space="preserve">its own history </w:t>
      </w:r>
      <w:r w:rsidRPr="00190BA4" w:rsidR="004827F0">
        <w:rPr>
          <w:rFonts w:cs="Times New Roman"/>
          <w:bCs/>
          <w:szCs w:val="24"/>
        </w:rPr>
        <w:t>of</w:t>
      </w:r>
      <w:r w:rsidRPr="00190BA4" w:rsidR="001E5E5B">
        <w:rPr>
          <w:rFonts w:cs="Times New Roman"/>
          <w:bCs/>
          <w:szCs w:val="24"/>
        </w:rPr>
        <w:t xml:space="preserve"> </w:t>
      </w:r>
      <w:r w:rsidRPr="00190BA4" w:rsidR="00766861">
        <w:rPr>
          <w:rFonts w:cs="Times New Roman"/>
          <w:bCs/>
          <w:szCs w:val="24"/>
        </w:rPr>
        <w:t>comparable programs</w:t>
      </w:r>
      <w:r w:rsidRPr="00190BA4" w:rsidR="00793074">
        <w:rPr>
          <w:rFonts w:cs="Times New Roman"/>
          <w:bCs/>
          <w:szCs w:val="24"/>
        </w:rPr>
        <w:t xml:space="preserve"> and the abysmal participation rates. </w:t>
      </w:r>
    </w:p>
    <w:p w:rsidR="007B75C4" w:rsidRPr="00190BA4" w:rsidP="00075B20" w14:paraId="67254F71" w14:textId="173C891B">
      <w:pPr>
        <w:pStyle w:val="Heading4"/>
      </w:pPr>
      <w:bookmarkStart w:id="19" w:name="_Toc173315549"/>
      <w:r w:rsidRPr="00190BA4">
        <w:t>AMI benefit projections assume incorrect valuations for the cost of energy avoided and the value of load reductions secured through TOU rates</w:t>
      </w:r>
      <w:r w:rsidRPr="00190BA4" w:rsidR="00D70879">
        <w:t>, harming consumers</w:t>
      </w:r>
      <w:r w:rsidRPr="00190BA4">
        <w:t>.</w:t>
      </w:r>
      <w:bookmarkEnd w:id="19"/>
      <w:r w:rsidRPr="00190BA4">
        <w:t xml:space="preserve"> </w:t>
      </w:r>
    </w:p>
    <w:p w:rsidR="00834437" w:rsidRPr="00190BA4" w:rsidP="007B75C4" w14:paraId="282B51A3" w14:textId="01BCAF51">
      <w:pPr>
        <w:pStyle w:val="ListParagraph"/>
        <w:tabs>
          <w:tab w:val="left" w:pos="0"/>
        </w:tabs>
        <w:spacing w:after="0"/>
        <w:ind w:left="0"/>
        <w:rPr>
          <w:rFonts w:cs="Times New Roman"/>
          <w:bCs/>
          <w:szCs w:val="24"/>
        </w:rPr>
      </w:pPr>
      <w:r w:rsidRPr="00190BA4">
        <w:rPr>
          <w:rFonts w:cs="Times New Roman"/>
          <w:bCs/>
          <w:szCs w:val="24"/>
        </w:rPr>
        <w:tab/>
        <w:t>FirstEnergy</w:t>
      </w:r>
      <w:r w:rsidR="00DD6EB7">
        <w:rPr>
          <w:rFonts w:cs="Times New Roman"/>
          <w:bCs/>
          <w:szCs w:val="24"/>
        </w:rPr>
        <w:t>’</w:t>
      </w:r>
      <w:r w:rsidRPr="00190BA4">
        <w:rPr>
          <w:rFonts w:cs="Times New Roman"/>
          <w:bCs/>
          <w:szCs w:val="24"/>
        </w:rPr>
        <w:t xml:space="preserve">s assumptions exaggerate the impacts on overall energy usage and system loads at peak. </w:t>
      </w:r>
      <w:r w:rsidRPr="00190BA4" w:rsidR="00766861">
        <w:rPr>
          <w:rFonts w:cs="Times New Roman"/>
          <w:bCs/>
          <w:szCs w:val="24"/>
        </w:rPr>
        <w:t>Further</w:t>
      </w:r>
      <w:r w:rsidRPr="00190BA4">
        <w:rPr>
          <w:rFonts w:cs="Times New Roman"/>
          <w:bCs/>
          <w:szCs w:val="24"/>
        </w:rPr>
        <w:t xml:space="preserve">, the values FirstEnergy assigns to avoided energy ($ per kWh) and system loads at peak ($ per MW-day) are also exaggerated and compounded through multiplication. </w:t>
      </w:r>
    </w:p>
    <w:p w:rsidR="001268D8" w:rsidRPr="00190BA4" w:rsidP="007B75C4" w14:paraId="7CBA4912" w14:textId="1B4A0C6D">
      <w:pPr>
        <w:tabs>
          <w:tab w:val="left" w:pos="0"/>
        </w:tabs>
        <w:spacing w:after="0"/>
        <w:rPr>
          <w:rFonts w:cs="Times New Roman"/>
          <w:szCs w:val="24"/>
        </w:rPr>
      </w:pPr>
      <w:r w:rsidRPr="00190BA4">
        <w:rPr>
          <w:rFonts w:cs="Times New Roman"/>
          <w:szCs w:val="24"/>
        </w:rPr>
        <w:tab/>
      </w:r>
      <w:r w:rsidRPr="00190BA4" w:rsidR="00834437">
        <w:rPr>
          <w:rFonts w:cs="Times New Roman"/>
          <w:szCs w:val="24"/>
        </w:rPr>
        <w:t>In its initial (pre-Settlement) Grid Mod II BCA, for its IVVC program benefit estimate, FirstEnergy assumed an average energy cost of $0.055 per kWh conserved.</w:t>
      </w:r>
      <w:r>
        <w:rPr>
          <w:rStyle w:val="FootnoteReference"/>
          <w:rFonts w:cs="Times New Roman"/>
          <w:szCs w:val="24"/>
        </w:rPr>
        <w:footnoteReference w:id="54"/>
      </w:r>
      <w:r w:rsidRPr="00190BA4" w:rsidR="00834437">
        <w:rPr>
          <w:rFonts w:cs="Times New Roman"/>
          <w:szCs w:val="24"/>
        </w:rPr>
        <w:t xml:space="preserve"> Though the IVVC program was eliminated in the Settlement, the use of $0.055 as an estimate of value per kWh conserved </w:t>
      </w:r>
      <w:r w:rsidRPr="00190BA4" w:rsidR="0008023B">
        <w:rPr>
          <w:rFonts w:cs="Times New Roman"/>
          <w:szCs w:val="24"/>
        </w:rPr>
        <w:t xml:space="preserve">is </w:t>
      </w:r>
      <w:r w:rsidRPr="00190BA4" w:rsidR="00834437">
        <w:rPr>
          <w:rFonts w:cs="Times New Roman"/>
          <w:szCs w:val="24"/>
        </w:rPr>
        <w:t>appropriate, as it approximates the cost of energy FirstEnergy can avoid purchasing due to energy conserved.</w:t>
      </w:r>
      <w:r>
        <w:rPr>
          <w:rStyle w:val="FootnoteReference"/>
          <w:rFonts w:cs="Times New Roman"/>
          <w:szCs w:val="24"/>
        </w:rPr>
        <w:footnoteReference w:id="55"/>
      </w:r>
      <w:r w:rsidRPr="00190BA4" w:rsidR="003407B9">
        <w:rPr>
          <w:rFonts w:cs="Times New Roman"/>
          <w:szCs w:val="24"/>
        </w:rPr>
        <w:t xml:space="preserve"> However, in </w:t>
      </w:r>
      <w:r w:rsidRPr="00190BA4" w:rsidR="00834437">
        <w:rPr>
          <w:rFonts w:cs="Times New Roman"/>
          <w:szCs w:val="24"/>
        </w:rPr>
        <w:t>its energy conservation benefit projections for AMI, FirstEnergy assumes an average benefit of $0.127 per kWh conserved</w:t>
      </w:r>
      <w:r w:rsidRPr="00190BA4" w:rsidR="003407B9">
        <w:rPr>
          <w:rFonts w:cs="Times New Roman"/>
          <w:szCs w:val="24"/>
        </w:rPr>
        <w:t xml:space="preserve"> based on</w:t>
      </w:r>
      <w:r w:rsidRPr="00190BA4" w:rsidR="0008023B">
        <w:rPr>
          <w:rFonts w:cs="Times New Roman"/>
          <w:szCs w:val="24"/>
        </w:rPr>
        <w:t xml:space="preserve"> a</w:t>
      </w:r>
      <w:r w:rsidRPr="00190BA4" w:rsidR="00834437">
        <w:rPr>
          <w:rFonts w:cs="Times New Roman"/>
          <w:szCs w:val="24"/>
        </w:rPr>
        <w:t xml:space="preserve"> consumer</w:t>
      </w:r>
      <w:r w:rsidR="00DD6EB7">
        <w:rPr>
          <w:rFonts w:cs="Times New Roman"/>
          <w:szCs w:val="24"/>
        </w:rPr>
        <w:t>’</w:t>
      </w:r>
      <w:r w:rsidRPr="00190BA4" w:rsidR="00834437">
        <w:rPr>
          <w:rFonts w:cs="Times New Roman"/>
          <w:szCs w:val="24"/>
        </w:rPr>
        <w:t>s bill fall</w:t>
      </w:r>
      <w:r w:rsidRPr="00190BA4" w:rsidR="003407B9">
        <w:rPr>
          <w:rFonts w:cs="Times New Roman"/>
          <w:szCs w:val="24"/>
        </w:rPr>
        <w:t>ing</w:t>
      </w:r>
      <w:r w:rsidRPr="00190BA4" w:rsidR="00834437">
        <w:rPr>
          <w:rFonts w:cs="Times New Roman"/>
          <w:szCs w:val="24"/>
        </w:rPr>
        <w:t xml:space="preserve"> by an average of $0.127.</w:t>
      </w:r>
      <w:r>
        <w:rPr>
          <w:rStyle w:val="FootnoteReference"/>
          <w:rFonts w:cs="Times New Roman"/>
          <w:szCs w:val="24"/>
        </w:rPr>
        <w:footnoteReference w:id="56"/>
      </w:r>
      <w:r w:rsidRPr="00190BA4" w:rsidR="00834437">
        <w:rPr>
          <w:rFonts w:cs="Times New Roman"/>
          <w:szCs w:val="24"/>
        </w:rPr>
        <w:t xml:space="preserve"> While this is true in the short term, </w:t>
      </w:r>
      <w:r w:rsidRPr="00190BA4" w:rsidR="00560EDC">
        <w:rPr>
          <w:rFonts w:cs="Times New Roman"/>
          <w:szCs w:val="24"/>
        </w:rPr>
        <w:t xml:space="preserve">Mr. Alvarez testified that </w:t>
      </w:r>
      <w:r w:rsidRPr="00190BA4" w:rsidR="00834437">
        <w:rPr>
          <w:rFonts w:cs="Times New Roman"/>
          <w:szCs w:val="24"/>
        </w:rPr>
        <w:t>FirstEnergy</w:t>
      </w:r>
      <w:r w:rsidR="00DD6EB7">
        <w:rPr>
          <w:rFonts w:cs="Times New Roman"/>
          <w:szCs w:val="24"/>
        </w:rPr>
        <w:t>’</w:t>
      </w:r>
      <w:r w:rsidRPr="00190BA4" w:rsidR="00834437">
        <w:rPr>
          <w:rFonts w:cs="Times New Roman"/>
          <w:szCs w:val="24"/>
        </w:rPr>
        <w:t>s costs have not actually fallen by $0.127 per kWh. FirstEnergy</w:t>
      </w:r>
      <w:r w:rsidR="00DD6EB7">
        <w:rPr>
          <w:rFonts w:cs="Times New Roman"/>
          <w:szCs w:val="24"/>
        </w:rPr>
        <w:t>’</w:t>
      </w:r>
      <w:r w:rsidRPr="00190BA4" w:rsidR="00834437">
        <w:rPr>
          <w:rFonts w:cs="Times New Roman"/>
          <w:szCs w:val="24"/>
        </w:rPr>
        <w:t>s costs have only fallen by the amount of energy not purchased, or $0.055, as assumed in FirstEnergy</w:t>
      </w:r>
      <w:r w:rsidR="00DD6EB7">
        <w:rPr>
          <w:rFonts w:cs="Times New Roman"/>
          <w:szCs w:val="24"/>
        </w:rPr>
        <w:t>’</w:t>
      </w:r>
      <w:r w:rsidRPr="00190BA4" w:rsidR="00834437">
        <w:rPr>
          <w:rFonts w:cs="Times New Roman"/>
          <w:szCs w:val="24"/>
        </w:rPr>
        <w:t>s original IVVC benefit projection.</w:t>
      </w:r>
      <w:r>
        <w:rPr>
          <w:rStyle w:val="FootnoteReference"/>
          <w:rFonts w:cs="Times New Roman"/>
          <w:szCs w:val="24"/>
        </w:rPr>
        <w:footnoteReference w:id="57"/>
      </w:r>
      <w:r w:rsidRPr="00190BA4" w:rsidR="00834437">
        <w:rPr>
          <w:rFonts w:cs="Times New Roman"/>
          <w:szCs w:val="24"/>
        </w:rPr>
        <w:t xml:space="preserve"> The </w:t>
      </w:r>
      <w:r w:rsidRPr="00190BA4">
        <w:rPr>
          <w:rFonts w:cs="Times New Roman"/>
          <w:szCs w:val="24"/>
        </w:rPr>
        <w:t xml:space="preserve">inaccurate </w:t>
      </w:r>
      <w:r w:rsidRPr="00190BA4" w:rsidR="00834437">
        <w:rPr>
          <w:rFonts w:cs="Times New Roman"/>
          <w:szCs w:val="24"/>
        </w:rPr>
        <w:t xml:space="preserve">rate of $0.127 per kWh covers not just variable fuel costs, but also transmission and distribution (T&amp;D) costs that are largely </w:t>
      </w:r>
      <w:r w:rsidRPr="00190BA4" w:rsidR="00130F9D">
        <w:rPr>
          <w:rFonts w:cs="Times New Roman"/>
          <w:szCs w:val="24"/>
        </w:rPr>
        <w:t>fixed and</w:t>
      </w:r>
      <w:r w:rsidRPr="00190BA4" w:rsidR="00834437">
        <w:rPr>
          <w:rFonts w:cs="Times New Roman"/>
          <w:szCs w:val="24"/>
        </w:rPr>
        <w:t xml:space="preserve"> will not fall as the amount of energy consumed falls</w:t>
      </w:r>
      <w:r w:rsidRPr="00190BA4" w:rsidR="00BF6036">
        <w:rPr>
          <w:rFonts w:cs="Times New Roman"/>
          <w:szCs w:val="24"/>
        </w:rPr>
        <w:t>.</w:t>
      </w:r>
      <w:r>
        <w:rPr>
          <w:rStyle w:val="FootnoteReference"/>
          <w:rFonts w:cs="Times New Roman"/>
          <w:szCs w:val="24"/>
        </w:rPr>
        <w:footnoteReference w:id="58"/>
      </w:r>
    </w:p>
    <w:p w:rsidR="00834437" w:rsidRPr="00190BA4" w:rsidP="00834437" w14:paraId="6679DEE0" w14:textId="524A2C0C">
      <w:pPr>
        <w:tabs>
          <w:tab w:val="left" w:pos="0"/>
        </w:tabs>
        <w:spacing w:after="0"/>
        <w:rPr>
          <w:rFonts w:cs="Times New Roman"/>
          <w:szCs w:val="24"/>
        </w:rPr>
      </w:pPr>
      <w:r w:rsidRPr="00190BA4">
        <w:rPr>
          <w:rFonts w:cs="Times New Roman"/>
          <w:szCs w:val="24"/>
        </w:rPr>
        <w:tab/>
        <w:t>In its AMI BCA, FirstEnergy assigns a price for generation capacity avoided that ranges from $128.53 per MW-year (benefit Year 1) to $348.38 per MW-year (benefit Year 20).</w:t>
      </w:r>
      <w:r>
        <w:rPr>
          <w:rFonts w:cs="Times New Roman"/>
          <w:szCs w:val="24"/>
          <w:vertAlign w:val="superscript"/>
        </w:rPr>
        <w:footnoteReference w:id="59"/>
      </w:r>
      <w:r w:rsidRPr="00190BA4">
        <w:rPr>
          <w:rFonts w:cs="Times New Roman"/>
          <w:szCs w:val="24"/>
        </w:rPr>
        <w:t xml:space="preserve"> </w:t>
      </w:r>
      <w:r w:rsidRPr="00190BA4" w:rsidR="001268D8">
        <w:rPr>
          <w:rFonts w:cs="Times New Roman"/>
          <w:szCs w:val="24"/>
        </w:rPr>
        <w:t>This</w:t>
      </w:r>
      <w:r w:rsidRPr="00190BA4">
        <w:rPr>
          <w:rFonts w:cs="Times New Roman"/>
          <w:szCs w:val="24"/>
        </w:rPr>
        <w:t xml:space="preserve"> appears to be a significant error</w:t>
      </w:r>
      <w:r w:rsidRPr="00190BA4" w:rsidR="001268D8">
        <w:rPr>
          <w:rFonts w:cs="Times New Roman"/>
          <w:szCs w:val="24"/>
        </w:rPr>
        <w:t>,</w:t>
      </w:r>
      <w:r w:rsidRPr="00190BA4">
        <w:rPr>
          <w:rFonts w:cs="Times New Roman"/>
          <w:szCs w:val="24"/>
        </w:rPr>
        <w:t xml:space="preserve"> </w:t>
      </w:r>
      <w:r w:rsidRPr="00190BA4" w:rsidR="001268D8">
        <w:rPr>
          <w:rFonts w:cs="Times New Roman"/>
          <w:szCs w:val="24"/>
        </w:rPr>
        <w:t>when compared to</w:t>
      </w:r>
      <w:r w:rsidRPr="00190BA4">
        <w:rPr>
          <w:rFonts w:cs="Times New Roman"/>
          <w:szCs w:val="24"/>
        </w:rPr>
        <w:t xml:space="preserve"> the most recent PJM generation capacity auction</w:t>
      </w:r>
      <w:r w:rsidRPr="00190BA4" w:rsidR="001268D8">
        <w:rPr>
          <w:rFonts w:cs="Times New Roman"/>
          <w:szCs w:val="24"/>
        </w:rPr>
        <w:t xml:space="preserve"> where </w:t>
      </w:r>
      <w:r w:rsidRPr="00190BA4">
        <w:rPr>
          <w:rFonts w:cs="Times New Roman"/>
          <w:szCs w:val="24"/>
        </w:rPr>
        <w:t>the clearing price was just $34.13 per MW-year</w:t>
      </w:r>
      <w:r w:rsidRPr="00190BA4" w:rsidR="001268D8">
        <w:rPr>
          <w:rFonts w:cs="Times New Roman"/>
          <w:szCs w:val="24"/>
        </w:rPr>
        <w:t xml:space="preserve"> (</w:t>
      </w:r>
      <w:r w:rsidRPr="00190BA4">
        <w:rPr>
          <w:rFonts w:cs="Times New Roman"/>
          <w:szCs w:val="24"/>
        </w:rPr>
        <w:t>or 25% to 90% lower</w:t>
      </w:r>
      <w:r w:rsidRPr="00190BA4" w:rsidR="001268D8">
        <w:rPr>
          <w:rFonts w:cs="Times New Roman"/>
          <w:szCs w:val="24"/>
        </w:rPr>
        <w:t>), that artificially increases FirstEnergy</w:t>
      </w:r>
      <w:r w:rsidR="00DD6EB7">
        <w:rPr>
          <w:rFonts w:cs="Times New Roman"/>
          <w:szCs w:val="24"/>
        </w:rPr>
        <w:t>’</w:t>
      </w:r>
      <w:r w:rsidRPr="00190BA4" w:rsidR="001268D8">
        <w:rPr>
          <w:rFonts w:cs="Times New Roman"/>
          <w:szCs w:val="24"/>
        </w:rPr>
        <w:t>s AMI benefit projections</w:t>
      </w:r>
      <w:r w:rsidRPr="00190BA4">
        <w:rPr>
          <w:rFonts w:cs="Times New Roman"/>
          <w:szCs w:val="24"/>
        </w:rPr>
        <w:t>.</w:t>
      </w:r>
      <w:r>
        <w:rPr>
          <w:rStyle w:val="FootnoteReference"/>
          <w:rFonts w:cs="Times New Roman"/>
          <w:szCs w:val="24"/>
        </w:rPr>
        <w:footnoteReference w:id="60"/>
      </w:r>
      <w:r w:rsidRPr="00190BA4">
        <w:rPr>
          <w:rFonts w:cs="Times New Roman"/>
          <w:szCs w:val="24"/>
        </w:rPr>
        <w:t xml:space="preserve"> </w:t>
      </w:r>
      <w:r w:rsidRPr="00190BA4" w:rsidR="00130F9D">
        <w:rPr>
          <w:rFonts w:cs="Times New Roman"/>
          <w:szCs w:val="24"/>
        </w:rPr>
        <w:t>Further exaggerating costs avoided, FirstEnergy includes T&amp;D construction capacity costs, that do not change subject to small changes in demand.</w:t>
      </w:r>
      <w:r>
        <w:rPr>
          <w:rStyle w:val="FootnoteReference"/>
          <w:rFonts w:cs="Times New Roman"/>
          <w:szCs w:val="24"/>
        </w:rPr>
        <w:footnoteReference w:id="61"/>
      </w:r>
    </w:p>
    <w:p w:rsidR="00834437" w:rsidRPr="00190BA4" w:rsidP="00834437" w14:paraId="283EDB56" w14:textId="4E4C1C88">
      <w:pPr>
        <w:tabs>
          <w:tab w:val="left" w:pos="0"/>
        </w:tabs>
        <w:spacing w:after="0"/>
        <w:rPr>
          <w:rFonts w:cs="Times New Roman"/>
          <w:szCs w:val="24"/>
        </w:rPr>
      </w:pPr>
      <w:r w:rsidRPr="00190BA4">
        <w:rPr>
          <w:rFonts w:cs="Times New Roman"/>
          <w:szCs w:val="24"/>
        </w:rPr>
        <w:tab/>
        <w:t>FirstEnergy projects system peak load reductions of 144 MW in its three service geographies from AMI, including reductions resulting from both TOU rate adoption and consumer energy management reports.</w:t>
      </w:r>
      <w:r>
        <w:rPr>
          <w:rStyle w:val="FootnoteReference"/>
          <w:rFonts w:cs="Times New Roman"/>
          <w:szCs w:val="24"/>
        </w:rPr>
        <w:footnoteReference w:id="62"/>
      </w:r>
      <w:r w:rsidRPr="00190BA4">
        <w:rPr>
          <w:rFonts w:cs="Times New Roman"/>
          <w:szCs w:val="24"/>
        </w:rPr>
        <w:t xml:space="preserve"> As described above, the benefits projected from these programs are already aggressive. But even if achieved, the 144 MW estimate is only 1.5% of FirstEnergy</w:t>
      </w:r>
      <w:r w:rsidR="00DD6EB7">
        <w:rPr>
          <w:rFonts w:cs="Times New Roman"/>
          <w:szCs w:val="24"/>
        </w:rPr>
        <w:t>’</w:t>
      </w:r>
      <w:r w:rsidRPr="00190BA4">
        <w:rPr>
          <w:rFonts w:cs="Times New Roman"/>
          <w:szCs w:val="24"/>
        </w:rPr>
        <w:t>s collective peak demand, which was about 9,500 MW in 2023.</w:t>
      </w:r>
      <w:r>
        <w:rPr>
          <w:rStyle w:val="FootnoteReference"/>
          <w:rFonts w:cs="Times New Roman"/>
          <w:szCs w:val="24"/>
        </w:rPr>
        <w:footnoteReference w:id="63"/>
      </w:r>
      <w:r w:rsidRPr="00190BA4">
        <w:rPr>
          <w:rFonts w:cs="Times New Roman"/>
          <w:szCs w:val="24"/>
        </w:rPr>
        <w:t xml:space="preserve"> Further, the 144 MW reduction is spread over hundreds of circuits,</w:t>
      </w:r>
      <w:r>
        <w:rPr>
          <w:rStyle w:val="FootnoteReference"/>
          <w:rFonts w:cs="Times New Roman"/>
          <w:szCs w:val="24"/>
        </w:rPr>
        <w:footnoteReference w:id="64"/>
      </w:r>
      <w:r w:rsidRPr="00190BA4">
        <w:rPr>
          <w:rFonts w:cs="Times New Roman"/>
          <w:szCs w:val="24"/>
        </w:rPr>
        <w:t xml:space="preserve"> resulting in no meaningful capacity reduction on any one circuit. Yet FirstEnergy projects $110 million in T&amp;D capacity costs avoided from this 1.5% reduction in system peak load.</w:t>
      </w:r>
      <w:r>
        <w:rPr>
          <w:rStyle w:val="FootnoteReference"/>
          <w:rFonts w:cs="Times New Roman"/>
          <w:szCs w:val="24"/>
        </w:rPr>
        <w:footnoteReference w:id="65"/>
      </w:r>
      <w:r w:rsidRPr="00190BA4">
        <w:rPr>
          <w:rFonts w:cs="Times New Roman"/>
          <w:szCs w:val="24"/>
        </w:rPr>
        <w:t xml:space="preserve"> </w:t>
      </w:r>
      <w:r w:rsidRPr="00190BA4" w:rsidR="006D4664">
        <w:rPr>
          <w:rFonts w:cs="Times New Roman"/>
          <w:szCs w:val="24"/>
        </w:rPr>
        <w:t>OCC</w:t>
      </w:r>
      <w:r w:rsidRPr="00190BA4" w:rsidR="00FA39A2">
        <w:rPr>
          <w:rFonts w:cs="Times New Roman"/>
          <w:szCs w:val="24"/>
        </w:rPr>
        <w:t>/NOAC</w:t>
      </w:r>
      <w:r w:rsidRPr="00190BA4" w:rsidR="006D4664">
        <w:rPr>
          <w:rFonts w:cs="Times New Roman"/>
          <w:szCs w:val="24"/>
        </w:rPr>
        <w:t xml:space="preserve"> Witness Alvarez</w:t>
      </w:r>
      <w:r w:rsidRPr="00190BA4">
        <w:rPr>
          <w:rFonts w:cs="Times New Roman"/>
          <w:szCs w:val="24"/>
        </w:rPr>
        <w:t xml:space="preserve"> estimate</w:t>
      </w:r>
      <w:r w:rsidRPr="00190BA4" w:rsidR="006D4664">
        <w:rPr>
          <w:rFonts w:cs="Times New Roman"/>
          <w:szCs w:val="24"/>
        </w:rPr>
        <w:t>d</w:t>
      </w:r>
      <w:r w:rsidRPr="00190BA4">
        <w:rPr>
          <w:rFonts w:cs="Times New Roman"/>
          <w:szCs w:val="24"/>
        </w:rPr>
        <w:t xml:space="preserve"> the value of T&amp;D capacity savings from a 1.5% reduction in system-wide demand to be </w:t>
      </w:r>
      <w:r w:rsidRPr="00190BA4" w:rsidR="006D4664">
        <w:rPr>
          <w:rFonts w:cs="Times New Roman"/>
          <w:szCs w:val="24"/>
        </w:rPr>
        <w:t>insignificant</w:t>
      </w:r>
      <w:r w:rsidRPr="00190BA4">
        <w:rPr>
          <w:rFonts w:cs="Times New Roman"/>
          <w:szCs w:val="24"/>
        </w:rPr>
        <w:t>.</w:t>
      </w:r>
      <w:r>
        <w:rPr>
          <w:rStyle w:val="FootnoteReference"/>
          <w:rFonts w:cs="Times New Roman"/>
          <w:szCs w:val="24"/>
        </w:rPr>
        <w:footnoteReference w:id="66"/>
      </w:r>
    </w:p>
    <w:p w:rsidR="00D70879" w:rsidRPr="00190BA4" w:rsidP="00075B20" w14:paraId="2BF8E09B" w14:textId="74081CAB">
      <w:pPr>
        <w:pStyle w:val="Heading4"/>
      </w:pPr>
      <w:bookmarkStart w:id="20" w:name="_Toc173315550"/>
      <w:r w:rsidRPr="00190BA4">
        <w:t>FirstEnergy uses an inappropriate and inconsistent timeframe for the BCA, to consumers</w:t>
      </w:r>
      <w:r w:rsidR="00DD6EB7">
        <w:t>’</w:t>
      </w:r>
      <w:r w:rsidRPr="00190BA4">
        <w:t xml:space="preserve"> detriment</w:t>
      </w:r>
      <w:r w:rsidRPr="00190BA4" w:rsidR="007B75C4">
        <w:t>.</w:t>
      </w:r>
      <w:bookmarkEnd w:id="20"/>
    </w:p>
    <w:p w:rsidR="00D033AA" w:rsidRPr="00190BA4" w:rsidP="00D033AA" w14:paraId="03F5FBE2" w14:textId="7FD425C0">
      <w:pPr>
        <w:tabs>
          <w:tab w:val="left" w:pos="0"/>
        </w:tabs>
        <w:spacing w:after="0"/>
        <w:rPr>
          <w:rFonts w:cs="Times New Roman"/>
          <w:bCs/>
          <w:szCs w:val="24"/>
        </w:rPr>
      </w:pPr>
      <w:r w:rsidRPr="00190BA4">
        <w:rPr>
          <w:rFonts w:cs="Times New Roman"/>
          <w:bCs/>
          <w:szCs w:val="24"/>
        </w:rPr>
        <w:tab/>
        <w:t>FirstEnergy expects to replace smart meters after just 15 years of operation but projects 20 years of benefits from smart meters. As explained by OCC</w:t>
      </w:r>
      <w:r w:rsidRPr="00190BA4" w:rsidR="00FA39A2">
        <w:rPr>
          <w:rFonts w:cs="Times New Roman"/>
          <w:bCs/>
          <w:szCs w:val="24"/>
        </w:rPr>
        <w:t>/NOAC</w:t>
      </w:r>
      <w:r w:rsidRPr="00190BA4">
        <w:rPr>
          <w:rFonts w:cs="Times New Roman"/>
          <w:bCs/>
          <w:szCs w:val="24"/>
        </w:rPr>
        <w:t xml:space="preserve"> Witness Alvarez, </w:t>
      </w:r>
    </w:p>
    <w:p w:rsidR="00D033AA" w:rsidRPr="00190BA4" w:rsidP="00D033AA" w14:paraId="0ECCBC62" w14:textId="1C84C28E">
      <w:pPr>
        <w:tabs>
          <w:tab w:val="left" w:pos="0"/>
        </w:tabs>
        <w:spacing w:after="0" w:line="240" w:lineRule="auto"/>
        <w:ind w:left="1440" w:right="1440"/>
        <w:rPr>
          <w:rFonts w:cs="Times New Roman"/>
          <w:bCs/>
          <w:szCs w:val="24"/>
        </w:rPr>
      </w:pPr>
      <w:r w:rsidRPr="00190BA4">
        <w:rPr>
          <w:rFonts w:cs="Times New Roman"/>
          <w:bCs/>
          <w:szCs w:val="24"/>
        </w:rPr>
        <w:t>FirstEnergy depreciates smart meters over 15 years, which reflects the expected useful life of smart meters and their associated AMI communication network. Use of an expected 15-year depreciation period for smart meters is common. Further, an expected 15-year useful life for smart meters is confirmed by FirstEnergy</w:t>
      </w:r>
      <w:r w:rsidR="00DD6EB7">
        <w:rPr>
          <w:rFonts w:cs="Times New Roman"/>
          <w:bCs/>
          <w:szCs w:val="24"/>
        </w:rPr>
        <w:t>’</w:t>
      </w:r>
      <w:r w:rsidRPr="00190BA4">
        <w:rPr>
          <w:rFonts w:cs="Times New Roman"/>
          <w:bCs/>
          <w:szCs w:val="24"/>
        </w:rPr>
        <w:t>s own pilot. The 44,000 smart meters installed from 2010-2012 are now between 12 and 14 years old and will be replaced if the PUCO approves the Settlement.</w:t>
      </w:r>
    </w:p>
    <w:p w:rsidR="00D70879" w:rsidRPr="00190BA4" w:rsidP="00D033AA" w14:paraId="472FBA80" w14:textId="77777777">
      <w:pPr>
        <w:tabs>
          <w:tab w:val="left" w:pos="0"/>
        </w:tabs>
        <w:spacing w:after="0" w:line="240" w:lineRule="auto"/>
        <w:ind w:left="1440" w:right="1440"/>
        <w:rPr>
          <w:rFonts w:cs="Times New Roman"/>
          <w:bCs/>
          <w:szCs w:val="24"/>
        </w:rPr>
      </w:pPr>
    </w:p>
    <w:p w:rsidR="00D033AA" w:rsidRPr="00190BA4" w:rsidP="00D033AA" w14:paraId="5F63C6AE" w14:textId="62073247">
      <w:pPr>
        <w:tabs>
          <w:tab w:val="left" w:pos="0"/>
        </w:tabs>
        <w:spacing w:after="0" w:line="240" w:lineRule="auto"/>
        <w:ind w:left="1440" w:right="1440"/>
        <w:rPr>
          <w:rFonts w:cs="Times New Roman"/>
          <w:bCs/>
          <w:szCs w:val="24"/>
        </w:rPr>
      </w:pPr>
      <w:r w:rsidRPr="00190BA4">
        <w:rPr>
          <w:rFonts w:cs="Times New Roman"/>
          <w:bCs/>
          <w:szCs w:val="24"/>
        </w:rPr>
        <w:t>When developing a BCA, standard practice is to assume a benefit period (in years) equal to the expected useful life of the equipment used to deliver the benefits. It would be inappropriate to assume a 20-year benefit period for an asset that is expected to be replaced in only 15 years. Yet this is exactly what FirstEnergy has done in their AMI BCA.</w:t>
      </w:r>
      <w:r>
        <w:rPr>
          <w:rStyle w:val="FootnoteReference"/>
          <w:rFonts w:cs="Times New Roman"/>
          <w:bCs/>
          <w:szCs w:val="24"/>
        </w:rPr>
        <w:footnoteReference w:id="67"/>
      </w:r>
      <w:r w:rsidRPr="00190BA4" w:rsidR="00C11D9A">
        <w:rPr>
          <w:rFonts w:cs="Times New Roman"/>
          <w:bCs/>
          <w:szCs w:val="24"/>
        </w:rPr>
        <w:t xml:space="preserve"> </w:t>
      </w:r>
    </w:p>
    <w:p w:rsidR="00D033AA" w:rsidRPr="00190BA4" w:rsidP="00D033AA" w14:paraId="11C9DB34" w14:textId="77777777">
      <w:pPr>
        <w:tabs>
          <w:tab w:val="left" w:pos="0"/>
        </w:tabs>
        <w:spacing w:after="0" w:line="240" w:lineRule="auto"/>
        <w:ind w:left="60" w:right="1440"/>
        <w:rPr>
          <w:rFonts w:cs="Times New Roman"/>
          <w:bCs/>
          <w:szCs w:val="24"/>
        </w:rPr>
      </w:pPr>
    </w:p>
    <w:p w:rsidR="00D033AA" w:rsidRPr="00190BA4" w:rsidP="00D033AA" w14:paraId="1BBC1833" w14:textId="2D94ABB8">
      <w:pPr>
        <w:tabs>
          <w:tab w:val="left" w:pos="0"/>
        </w:tabs>
        <w:spacing w:after="0"/>
        <w:ind w:left="60"/>
        <w:rPr>
          <w:rFonts w:cs="Times New Roman"/>
          <w:bCs/>
          <w:szCs w:val="24"/>
        </w:rPr>
      </w:pPr>
      <w:r w:rsidRPr="00190BA4">
        <w:rPr>
          <w:rFonts w:cs="Times New Roman"/>
          <w:bCs/>
          <w:szCs w:val="24"/>
        </w:rPr>
        <w:tab/>
        <w:t>Th</w:t>
      </w:r>
      <w:r w:rsidRPr="00190BA4" w:rsidR="0094668D">
        <w:rPr>
          <w:rFonts w:cs="Times New Roman"/>
          <w:bCs/>
          <w:szCs w:val="24"/>
        </w:rPr>
        <w:t xml:space="preserve">is mismatch of time frames </w:t>
      </w:r>
      <w:r w:rsidRPr="00190BA4">
        <w:rPr>
          <w:rFonts w:cs="Times New Roman"/>
          <w:bCs/>
          <w:szCs w:val="24"/>
        </w:rPr>
        <w:t>overstate</w:t>
      </w:r>
      <w:r w:rsidRPr="00190BA4" w:rsidR="0094668D">
        <w:rPr>
          <w:rFonts w:cs="Times New Roman"/>
          <w:bCs/>
          <w:szCs w:val="24"/>
        </w:rPr>
        <w:t>s</w:t>
      </w:r>
      <w:r w:rsidRPr="00190BA4">
        <w:rPr>
          <w:rFonts w:cs="Times New Roman"/>
          <w:bCs/>
          <w:szCs w:val="24"/>
        </w:rPr>
        <w:t xml:space="preserve"> the benefit to consumers, contributing to the invalidity of FirstEnergy</w:t>
      </w:r>
      <w:r w:rsidR="00DD6EB7">
        <w:rPr>
          <w:rFonts w:cs="Times New Roman"/>
          <w:bCs/>
          <w:szCs w:val="24"/>
        </w:rPr>
        <w:t>’</w:t>
      </w:r>
      <w:r w:rsidRPr="00190BA4">
        <w:rPr>
          <w:rFonts w:cs="Times New Roman"/>
          <w:bCs/>
          <w:szCs w:val="24"/>
        </w:rPr>
        <w:t>s AMI BCA. Further, the nature of this error reinforces FirstEnergy</w:t>
      </w:r>
      <w:r w:rsidR="00DD6EB7">
        <w:rPr>
          <w:rFonts w:cs="Times New Roman"/>
          <w:bCs/>
          <w:szCs w:val="24"/>
        </w:rPr>
        <w:t>’</w:t>
      </w:r>
      <w:r w:rsidRPr="00190BA4">
        <w:rPr>
          <w:rFonts w:cs="Times New Roman"/>
          <w:bCs/>
          <w:szCs w:val="24"/>
        </w:rPr>
        <w:t>s lack of credibility and underscores OCC</w:t>
      </w:r>
      <w:r w:rsidRPr="00190BA4" w:rsidR="00FA39A2">
        <w:rPr>
          <w:rFonts w:cs="Times New Roman"/>
          <w:bCs/>
          <w:szCs w:val="24"/>
        </w:rPr>
        <w:t>/NOAC</w:t>
      </w:r>
      <w:r w:rsidR="00DD6EB7">
        <w:rPr>
          <w:rFonts w:cs="Times New Roman"/>
          <w:bCs/>
          <w:szCs w:val="24"/>
        </w:rPr>
        <w:t>’</w:t>
      </w:r>
      <w:r w:rsidRPr="00190BA4">
        <w:rPr>
          <w:rFonts w:cs="Times New Roman"/>
          <w:bCs/>
          <w:szCs w:val="24"/>
        </w:rPr>
        <w:t>s position that FirstEnergy will be unable to deliver on the benefits promised through the Settlement.</w:t>
      </w:r>
      <w:r w:rsidRPr="00190BA4" w:rsidR="003D1D62">
        <w:rPr>
          <w:rFonts w:cs="Times New Roman"/>
          <w:szCs w:val="24"/>
        </w:rPr>
        <w:tab/>
      </w:r>
    </w:p>
    <w:p w:rsidR="00D70879" w:rsidRPr="00190BA4" w:rsidP="00075B20" w14:paraId="75DECFD3" w14:textId="19F448F5">
      <w:pPr>
        <w:pStyle w:val="Heading4"/>
      </w:pPr>
      <w:bookmarkStart w:id="21" w:name="_Toc173315551"/>
      <w:r w:rsidRPr="00190BA4">
        <w:t>Environmental impacts are inappropriately included in the BCA, to consumers</w:t>
      </w:r>
      <w:r w:rsidR="00DD6EB7">
        <w:t>’</w:t>
      </w:r>
      <w:r w:rsidRPr="00190BA4">
        <w:t xml:space="preserve"> detriment.</w:t>
      </w:r>
      <w:bookmarkEnd w:id="21"/>
    </w:p>
    <w:p w:rsidR="006D4664" w:rsidRPr="00190BA4" w:rsidP="007B75C4" w14:paraId="0817345F" w14:textId="22C44A31">
      <w:pPr>
        <w:tabs>
          <w:tab w:val="left" w:pos="0"/>
        </w:tabs>
        <w:spacing w:after="0"/>
        <w:rPr>
          <w:rFonts w:cs="Times New Roman"/>
          <w:bCs/>
          <w:szCs w:val="24"/>
        </w:rPr>
      </w:pPr>
      <w:r w:rsidRPr="00190BA4">
        <w:rPr>
          <w:rFonts w:cs="Times New Roman"/>
          <w:bCs/>
          <w:szCs w:val="24"/>
        </w:rPr>
        <w:tab/>
        <w:t>FirstEnergy</w:t>
      </w:r>
      <w:r w:rsidR="00DD6EB7">
        <w:rPr>
          <w:rFonts w:cs="Times New Roman"/>
          <w:bCs/>
          <w:szCs w:val="24"/>
        </w:rPr>
        <w:t>’</w:t>
      </w:r>
      <w:r w:rsidRPr="00190BA4">
        <w:rPr>
          <w:rFonts w:cs="Times New Roman"/>
          <w:bCs/>
          <w:szCs w:val="24"/>
        </w:rPr>
        <w:t xml:space="preserve">s </w:t>
      </w:r>
      <w:r w:rsidRPr="00190BA4" w:rsidR="00752348">
        <w:rPr>
          <w:rFonts w:cs="Times New Roman"/>
          <w:bCs/>
          <w:szCs w:val="24"/>
        </w:rPr>
        <w:t>AMI benefit projections also assume that environmental benefits constitute an economic benefit to consumers suitable for inclusion in an AMI BCA</w:t>
      </w:r>
      <w:r w:rsidRPr="00190BA4">
        <w:rPr>
          <w:rFonts w:cs="Times New Roman"/>
          <w:bCs/>
          <w:szCs w:val="24"/>
        </w:rPr>
        <w:t xml:space="preserve">, including </w:t>
      </w:r>
      <w:r w:rsidRPr="00190BA4" w:rsidR="008A7FD9">
        <w:rPr>
          <w:rFonts w:cs="Times New Roman"/>
          <w:szCs w:val="24"/>
        </w:rPr>
        <w:t>$</w:t>
      </w:r>
      <w:r w:rsidRPr="00190BA4" w:rsidR="00802A34">
        <w:rPr>
          <w:rFonts w:cs="Times New Roman"/>
          <w:szCs w:val="24"/>
        </w:rPr>
        <w:t xml:space="preserve">113 </w:t>
      </w:r>
      <w:r w:rsidRPr="00190BA4" w:rsidR="008A7FD9">
        <w:rPr>
          <w:rFonts w:cs="Times New Roman"/>
          <w:szCs w:val="24"/>
        </w:rPr>
        <w:t xml:space="preserve">million in greenhouse gas reduction </w:t>
      </w:r>
      <w:r w:rsidRPr="00190BA4" w:rsidR="00802A34">
        <w:rPr>
          <w:rFonts w:cs="Times New Roman"/>
          <w:szCs w:val="24"/>
        </w:rPr>
        <w:t xml:space="preserve">benefits, comprising </w:t>
      </w:r>
      <w:r w:rsidRPr="00190BA4" w:rsidR="00CB2E19">
        <w:rPr>
          <w:rFonts w:cs="Times New Roman"/>
          <w:szCs w:val="24"/>
        </w:rPr>
        <w:t xml:space="preserve">a bit </w:t>
      </w:r>
      <w:r w:rsidRPr="00190BA4" w:rsidR="00802A34">
        <w:rPr>
          <w:rFonts w:cs="Times New Roman"/>
          <w:szCs w:val="24"/>
        </w:rPr>
        <w:t>more than 10% of the overall AMI benefit value.</w:t>
      </w:r>
      <w:r>
        <w:rPr>
          <w:rStyle w:val="FootnoteReference"/>
          <w:rFonts w:cs="Times New Roman"/>
          <w:szCs w:val="24"/>
        </w:rPr>
        <w:footnoteReference w:id="68"/>
      </w:r>
      <w:r w:rsidRPr="00190BA4" w:rsidR="008A7FD9">
        <w:rPr>
          <w:rFonts w:cs="Times New Roman"/>
          <w:szCs w:val="24"/>
        </w:rPr>
        <w:t xml:space="preserve"> </w:t>
      </w:r>
      <w:r w:rsidRPr="00190BA4">
        <w:rPr>
          <w:rFonts w:cs="Times New Roman"/>
          <w:szCs w:val="24"/>
        </w:rPr>
        <w:t>While these g</w:t>
      </w:r>
      <w:r w:rsidRPr="00190BA4" w:rsidR="008A7FD9">
        <w:rPr>
          <w:rFonts w:cs="Times New Roman"/>
          <w:szCs w:val="24"/>
        </w:rPr>
        <w:t xml:space="preserve">reenhouse gas reductions are associated with the energy conservation </w:t>
      </w:r>
      <w:r w:rsidRPr="00190BA4" w:rsidR="00F9323A">
        <w:rPr>
          <w:rFonts w:cs="Times New Roman"/>
          <w:szCs w:val="24"/>
        </w:rPr>
        <w:t>FirstEnergy</w:t>
      </w:r>
      <w:r w:rsidRPr="00190BA4" w:rsidR="00B33C37">
        <w:rPr>
          <w:rFonts w:cs="Times New Roman"/>
          <w:szCs w:val="24"/>
        </w:rPr>
        <w:t xml:space="preserve"> </w:t>
      </w:r>
      <w:r w:rsidRPr="00190BA4" w:rsidR="008A7FD9">
        <w:rPr>
          <w:rFonts w:cs="Times New Roman"/>
          <w:szCs w:val="24"/>
        </w:rPr>
        <w:t>project</w:t>
      </w:r>
      <w:r w:rsidRPr="00190BA4" w:rsidR="00F9323A">
        <w:rPr>
          <w:rFonts w:cs="Times New Roman"/>
          <w:szCs w:val="24"/>
        </w:rPr>
        <w:t>s</w:t>
      </w:r>
      <w:r w:rsidRPr="00190BA4" w:rsidR="008A7FD9">
        <w:rPr>
          <w:rFonts w:cs="Times New Roman"/>
          <w:szCs w:val="24"/>
        </w:rPr>
        <w:t xml:space="preserve"> </w:t>
      </w:r>
      <w:r w:rsidRPr="00190BA4">
        <w:rPr>
          <w:rFonts w:cs="Times New Roman"/>
          <w:szCs w:val="24"/>
        </w:rPr>
        <w:t>through Grid Mod II and are</w:t>
      </w:r>
    </w:p>
    <w:p w:rsidR="00F72ECF" w:rsidP="007B75C4" w14:paraId="3C5633F8" w14:textId="6CCDC472">
      <w:pPr>
        <w:tabs>
          <w:tab w:val="left" w:pos="0"/>
        </w:tabs>
        <w:spacing w:after="0"/>
        <w:rPr>
          <w:rFonts w:cs="Times New Roman"/>
          <w:szCs w:val="24"/>
        </w:rPr>
      </w:pPr>
      <w:r w:rsidRPr="00190BA4">
        <w:rPr>
          <w:rFonts w:cs="Times New Roman"/>
          <w:szCs w:val="24"/>
        </w:rPr>
        <w:t xml:space="preserve">valuable to society generally, </w:t>
      </w:r>
      <w:r w:rsidRPr="00190BA4" w:rsidR="00F9323A">
        <w:rPr>
          <w:rFonts w:cs="Times New Roman"/>
          <w:szCs w:val="24"/>
        </w:rPr>
        <w:t>FirstEnergy</w:t>
      </w:r>
      <w:r w:rsidR="00DD6EB7">
        <w:rPr>
          <w:rFonts w:cs="Times New Roman"/>
          <w:szCs w:val="24"/>
        </w:rPr>
        <w:t>’</w:t>
      </w:r>
      <w:r w:rsidRPr="00190BA4" w:rsidR="00F9323A">
        <w:rPr>
          <w:rFonts w:cs="Times New Roman"/>
          <w:szCs w:val="24"/>
        </w:rPr>
        <w:t>s consumers</w:t>
      </w:r>
      <w:r w:rsidRPr="00190BA4" w:rsidR="00652F6C">
        <w:rPr>
          <w:rFonts w:cs="Times New Roman"/>
          <w:szCs w:val="24"/>
        </w:rPr>
        <w:t xml:space="preserve"> </w:t>
      </w:r>
      <w:r w:rsidRPr="00190BA4">
        <w:rPr>
          <w:rFonts w:cs="Times New Roman"/>
          <w:szCs w:val="24"/>
        </w:rPr>
        <w:t xml:space="preserve">do not experience </w:t>
      </w:r>
      <w:r w:rsidRPr="00190BA4" w:rsidR="001A679E">
        <w:rPr>
          <w:rFonts w:cs="Times New Roman"/>
          <w:szCs w:val="24"/>
        </w:rPr>
        <w:t>the</w:t>
      </w:r>
      <w:r w:rsidRPr="00190BA4">
        <w:rPr>
          <w:rFonts w:cs="Times New Roman"/>
          <w:szCs w:val="24"/>
        </w:rPr>
        <w:t xml:space="preserve"> direct economic benefit</w:t>
      </w:r>
      <w:r w:rsidRPr="00190BA4" w:rsidR="001A679E">
        <w:rPr>
          <w:rFonts w:cs="Times New Roman"/>
          <w:szCs w:val="24"/>
        </w:rPr>
        <w:t xml:space="preserve"> of</w:t>
      </w:r>
      <w:r w:rsidRPr="00190BA4">
        <w:rPr>
          <w:rFonts w:cs="Times New Roman"/>
          <w:szCs w:val="24"/>
        </w:rPr>
        <w:t xml:space="preserve"> these reductions. </w:t>
      </w:r>
      <w:r w:rsidRPr="00190BA4" w:rsidR="001A679E">
        <w:rPr>
          <w:rFonts w:cs="Times New Roman"/>
          <w:szCs w:val="24"/>
        </w:rPr>
        <w:t>As explained by OCC</w:t>
      </w:r>
      <w:r w:rsidRPr="00190BA4" w:rsidR="00FA39A2">
        <w:rPr>
          <w:rFonts w:cs="Times New Roman"/>
          <w:szCs w:val="24"/>
        </w:rPr>
        <w:t>/NOAC</w:t>
      </w:r>
      <w:r w:rsidRPr="00190BA4" w:rsidR="001A679E">
        <w:rPr>
          <w:rFonts w:cs="Times New Roman"/>
          <w:szCs w:val="24"/>
        </w:rPr>
        <w:t xml:space="preserve"> Witness Alvarez, </w:t>
      </w:r>
      <w:r w:rsidR="00DD6EB7">
        <w:rPr>
          <w:rFonts w:cs="Times New Roman"/>
          <w:szCs w:val="24"/>
        </w:rPr>
        <w:t>“</w:t>
      </w:r>
      <w:r w:rsidRPr="00190BA4" w:rsidR="001A679E">
        <w:rPr>
          <w:rFonts w:cs="Times New Roman"/>
          <w:szCs w:val="24"/>
        </w:rPr>
        <w:t>(t)</w:t>
      </w:r>
      <w:r w:rsidRPr="00190BA4">
        <w:rPr>
          <w:rFonts w:cs="Times New Roman"/>
          <w:szCs w:val="24"/>
        </w:rPr>
        <w:t xml:space="preserve">his makes greenhouse gas reductions an intangible type of benefit. The monetization and inclusion of intangible benefits in benefit projections reduces the level of tangible benefits a utility must deliver such that benefits to consumers exceed costs to consumers. </w:t>
      </w:r>
      <w:r w:rsidRPr="00190BA4" w:rsidR="00F9323A">
        <w:rPr>
          <w:rFonts w:cs="Times New Roman"/>
          <w:szCs w:val="24"/>
        </w:rPr>
        <w:t>I</w:t>
      </w:r>
      <w:r w:rsidRPr="00190BA4">
        <w:rPr>
          <w:rFonts w:cs="Times New Roman"/>
          <w:szCs w:val="24"/>
        </w:rPr>
        <w:t>t is inappropriate to substitute the value of an intangible benefit for a tangible benefit</w:t>
      </w:r>
      <w:r w:rsidRPr="00190BA4" w:rsidR="00F9323A">
        <w:rPr>
          <w:rFonts w:cs="Times New Roman"/>
          <w:szCs w:val="24"/>
        </w:rPr>
        <w:t>.</w:t>
      </w:r>
      <w:r w:rsidRPr="00190BA4">
        <w:rPr>
          <w:rFonts w:cs="Times New Roman"/>
          <w:szCs w:val="24"/>
        </w:rPr>
        <w:t xml:space="preserve"> </w:t>
      </w:r>
      <w:r w:rsidRPr="00190BA4" w:rsidR="00F9323A">
        <w:rPr>
          <w:rFonts w:cs="Times New Roman"/>
          <w:szCs w:val="24"/>
        </w:rPr>
        <w:t>C</w:t>
      </w:r>
      <w:r w:rsidRPr="00190BA4">
        <w:rPr>
          <w:rFonts w:cs="Times New Roman"/>
          <w:szCs w:val="24"/>
        </w:rPr>
        <w:t>onsumers place a dramatically higher value on tangible benefits than they do to intangible benefits.</w:t>
      </w:r>
      <w:r w:rsidR="00DD6EB7">
        <w:rPr>
          <w:rFonts w:cs="Times New Roman"/>
          <w:szCs w:val="24"/>
        </w:rPr>
        <w:t>”</w:t>
      </w:r>
      <w:r>
        <w:rPr>
          <w:rStyle w:val="FootnoteReference"/>
          <w:rFonts w:cs="Times New Roman"/>
          <w:szCs w:val="24"/>
        </w:rPr>
        <w:footnoteReference w:id="69"/>
      </w:r>
    </w:p>
    <w:p w:rsidR="00F72ECF" w14:paraId="2CF64A38" w14:textId="77777777">
      <w:pPr>
        <w:spacing w:line="276" w:lineRule="auto"/>
        <w:rPr>
          <w:rFonts w:cs="Times New Roman"/>
          <w:szCs w:val="24"/>
        </w:rPr>
      </w:pPr>
      <w:r>
        <w:rPr>
          <w:rFonts w:cs="Times New Roman"/>
          <w:szCs w:val="24"/>
        </w:rPr>
        <w:br w:type="page"/>
      </w:r>
    </w:p>
    <w:p w:rsidR="001A679E" w:rsidRPr="00190BA4" w:rsidP="00552DAE" w14:paraId="7956795A" w14:textId="77E84ED3">
      <w:pPr>
        <w:tabs>
          <w:tab w:val="left" w:pos="0"/>
        </w:tabs>
        <w:spacing w:after="0"/>
        <w:rPr>
          <w:rFonts w:cs="Times New Roman"/>
          <w:szCs w:val="24"/>
        </w:rPr>
      </w:pPr>
      <w:r w:rsidRPr="00190BA4">
        <w:rPr>
          <w:rFonts w:cs="Times New Roman"/>
          <w:szCs w:val="24"/>
        </w:rPr>
        <w:tab/>
        <w:t xml:space="preserve">The monetization of greenhouse gas reduction impliedly assumes that </w:t>
      </w:r>
      <w:r w:rsidRPr="00190BA4" w:rsidR="00467C70">
        <w:rPr>
          <w:rFonts w:cs="Times New Roman"/>
          <w:szCs w:val="24"/>
        </w:rPr>
        <w:t>consumers</w:t>
      </w:r>
      <w:r w:rsidRPr="00190BA4">
        <w:rPr>
          <w:rFonts w:cs="Times New Roman"/>
          <w:szCs w:val="24"/>
        </w:rPr>
        <w:t xml:space="preserve"> </w:t>
      </w:r>
    </w:p>
    <w:p w:rsidR="00B575AF" w:rsidRPr="00190BA4" w:rsidP="00D033AA" w14:paraId="4C2E099F" w14:textId="23469540">
      <w:pPr>
        <w:tabs>
          <w:tab w:val="left" w:pos="0"/>
        </w:tabs>
        <w:spacing w:after="0"/>
        <w:rPr>
          <w:rFonts w:cs="Times New Roman"/>
          <w:szCs w:val="24"/>
        </w:rPr>
      </w:pPr>
      <w:r w:rsidRPr="00190BA4">
        <w:rPr>
          <w:rFonts w:cs="Times New Roman"/>
          <w:szCs w:val="24"/>
        </w:rPr>
        <w:t xml:space="preserve">are willing to </w:t>
      </w:r>
      <w:r w:rsidRPr="00190BA4" w:rsidR="001A679E">
        <w:rPr>
          <w:rFonts w:cs="Times New Roman"/>
          <w:szCs w:val="24"/>
        </w:rPr>
        <w:t>pay</w:t>
      </w:r>
      <w:r w:rsidRPr="00190BA4" w:rsidR="00E15453">
        <w:rPr>
          <w:rFonts w:cs="Times New Roman"/>
          <w:szCs w:val="24"/>
        </w:rPr>
        <w:t xml:space="preserve"> for relatively small amounts of </w:t>
      </w:r>
      <w:r w:rsidRPr="00190BA4">
        <w:rPr>
          <w:rFonts w:cs="Times New Roman"/>
          <w:szCs w:val="24"/>
        </w:rPr>
        <w:t>greenhouse gas</w:t>
      </w:r>
      <w:r w:rsidRPr="00190BA4" w:rsidR="00E15453">
        <w:rPr>
          <w:rFonts w:cs="Times New Roman"/>
          <w:szCs w:val="24"/>
        </w:rPr>
        <w:t xml:space="preserve"> reductions</w:t>
      </w:r>
      <w:r w:rsidRPr="00190BA4">
        <w:rPr>
          <w:rFonts w:cs="Times New Roman"/>
          <w:szCs w:val="24"/>
        </w:rPr>
        <w:t>.</w:t>
      </w:r>
      <w:r w:rsidRPr="00190BA4" w:rsidR="009134D2">
        <w:rPr>
          <w:rFonts w:cs="Times New Roman"/>
          <w:szCs w:val="24"/>
        </w:rPr>
        <w:t xml:space="preserve"> There is no evidence to demonstrate </w:t>
      </w:r>
      <w:r w:rsidRPr="00190BA4" w:rsidR="00F05AA0">
        <w:rPr>
          <w:rFonts w:cs="Times New Roman"/>
          <w:szCs w:val="24"/>
        </w:rPr>
        <w:t>this</w:t>
      </w:r>
      <w:r w:rsidRPr="00190BA4" w:rsidR="009134D2">
        <w:rPr>
          <w:rFonts w:cs="Times New Roman"/>
          <w:szCs w:val="24"/>
        </w:rPr>
        <w:t>.</w:t>
      </w:r>
      <w:r w:rsidRPr="00190BA4" w:rsidR="006275FB">
        <w:rPr>
          <w:rFonts w:cs="Times New Roman"/>
          <w:szCs w:val="24"/>
        </w:rPr>
        <w:t xml:space="preserve"> </w:t>
      </w:r>
      <w:r w:rsidRPr="00190BA4">
        <w:rPr>
          <w:rFonts w:cs="Times New Roman"/>
          <w:szCs w:val="24"/>
        </w:rPr>
        <w:t>While</w:t>
      </w:r>
      <w:r w:rsidRPr="00190BA4" w:rsidR="001E5E5B">
        <w:rPr>
          <w:rFonts w:cs="Times New Roman"/>
          <w:szCs w:val="24"/>
        </w:rPr>
        <w:t xml:space="preserve"> </w:t>
      </w:r>
      <w:r w:rsidRPr="00190BA4" w:rsidR="009134D2">
        <w:rPr>
          <w:rFonts w:cs="Times New Roman"/>
          <w:szCs w:val="24"/>
        </w:rPr>
        <w:t>some</w:t>
      </w:r>
      <w:r w:rsidRPr="00190BA4">
        <w:rPr>
          <w:rFonts w:cs="Times New Roman"/>
          <w:szCs w:val="24"/>
        </w:rPr>
        <w:t xml:space="preserve"> </w:t>
      </w:r>
      <w:r w:rsidRPr="00190BA4" w:rsidR="00F9323A">
        <w:rPr>
          <w:rFonts w:cs="Times New Roman"/>
          <w:szCs w:val="24"/>
        </w:rPr>
        <w:t>FirstEnergy consumers</w:t>
      </w:r>
      <w:r w:rsidRPr="00190BA4" w:rsidR="00F05AA0">
        <w:rPr>
          <w:rFonts w:cs="Times New Roman"/>
          <w:szCs w:val="24"/>
        </w:rPr>
        <w:t xml:space="preserve"> may be fine paying more</w:t>
      </w:r>
      <w:r w:rsidRPr="00190BA4" w:rsidR="00E14B56">
        <w:rPr>
          <w:rFonts w:cs="Times New Roman"/>
          <w:szCs w:val="24"/>
        </w:rPr>
        <w:t xml:space="preserve">, </w:t>
      </w:r>
      <w:r w:rsidRPr="00190BA4" w:rsidR="00F05AA0">
        <w:rPr>
          <w:rFonts w:cs="Times New Roman"/>
          <w:szCs w:val="24"/>
        </w:rPr>
        <w:t xml:space="preserve">many </w:t>
      </w:r>
      <w:r w:rsidRPr="00190BA4" w:rsidR="00F9323A">
        <w:rPr>
          <w:rFonts w:cs="Times New Roman"/>
          <w:szCs w:val="24"/>
        </w:rPr>
        <w:t>FirstEnergy consumers</w:t>
      </w:r>
      <w:r w:rsidRPr="00190BA4" w:rsidR="00F05AA0">
        <w:rPr>
          <w:rFonts w:cs="Times New Roman"/>
          <w:szCs w:val="24"/>
        </w:rPr>
        <w:t xml:space="preserve"> will not want to pay the increase to reduce greenhouse gas. </w:t>
      </w:r>
      <w:r w:rsidRPr="00190BA4" w:rsidR="00F9323A">
        <w:rPr>
          <w:rFonts w:cs="Times New Roman"/>
          <w:szCs w:val="24"/>
        </w:rPr>
        <w:t>FirstEnergy</w:t>
      </w:r>
      <w:r w:rsidRPr="00190BA4" w:rsidR="00E14B56">
        <w:rPr>
          <w:rFonts w:cs="Times New Roman"/>
          <w:szCs w:val="24"/>
        </w:rPr>
        <w:t xml:space="preserve"> </w:t>
      </w:r>
      <w:r w:rsidRPr="00190BA4">
        <w:rPr>
          <w:rFonts w:cs="Times New Roman"/>
          <w:szCs w:val="24"/>
        </w:rPr>
        <w:t xml:space="preserve">provides no </w:t>
      </w:r>
      <w:r w:rsidRPr="00190BA4" w:rsidR="00F9323A">
        <w:rPr>
          <w:rFonts w:cs="Times New Roman"/>
          <w:szCs w:val="24"/>
        </w:rPr>
        <w:t xml:space="preserve">consumer </w:t>
      </w:r>
      <w:r w:rsidRPr="00190BA4">
        <w:rPr>
          <w:rFonts w:cs="Times New Roman"/>
          <w:szCs w:val="24"/>
        </w:rPr>
        <w:t xml:space="preserve">research that indicates otherwise. </w:t>
      </w:r>
      <w:r w:rsidRPr="00190BA4" w:rsidR="00134848">
        <w:rPr>
          <w:rFonts w:cs="Times New Roman"/>
          <w:szCs w:val="24"/>
        </w:rPr>
        <w:tab/>
      </w:r>
    </w:p>
    <w:p w:rsidR="004E6BCE" w:rsidRPr="00190BA4" w:rsidP="00075B20" w14:paraId="03DA2470" w14:textId="622F47F1">
      <w:pPr>
        <w:pStyle w:val="Heading4"/>
        <w:rPr>
          <w:i/>
          <w:iCs/>
        </w:rPr>
      </w:pPr>
      <w:bookmarkStart w:id="22" w:name="_Toc173315552"/>
      <w:r w:rsidRPr="00190BA4">
        <w:t>Time of Use (</w:t>
      </w:r>
      <w:r w:rsidR="00DD6EB7">
        <w:t>“</w:t>
      </w:r>
      <w:r w:rsidRPr="00190BA4">
        <w:t>TOU</w:t>
      </w:r>
      <w:r w:rsidR="00DD6EB7">
        <w:t>”</w:t>
      </w:r>
      <w:r w:rsidRPr="00190BA4">
        <w:t xml:space="preserve">) rate participation by </w:t>
      </w:r>
      <w:r w:rsidRPr="00190BA4" w:rsidR="00467C70">
        <w:t>consumers</w:t>
      </w:r>
      <w:r w:rsidRPr="00190BA4">
        <w:t xml:space="preserve"> is likely exaggerated</w:t>
      </w:r>
      <w:r w:rsidRPr="00190BA4" w:rsidR="00467C70">
        <w:t>.</w:t>
      </w:r>
      <w:bookmarkEnd w:id="22"/>
    </w:p>
    <w:p w:rsidR="004E6BCE" w:rsidRPr="00190BA4" w:rsidP="007B75C4" w14:paraId="62B49C4D" w14:textId="514E349E">
      <w:pPr>
        <w:tabs>
          <w:tab w:val="left" w:pos="0"/>
        </w:tabs>
        <w:spacing w:after="0"/>
        <w:rPr>
          <w:rFonts w:cs="Times New Roman"/>
          <w:bCs/>
          <w:szCs w:val="24"/>
        </w:rPr>
      </w:pPr>
      <w:r w:rsidRPr="00190BA4">
        <w:rPr>
          <w:rFonts w:cs="Times New Roman"/>
          <w:bCs/>
          <w:szCs w:val="24"/>
        </w:rPr>
        <w:tab/>
        <w:t>While not included in Witness Alvarez</w:t>
      </w:r>
      <w:r w:rsidR="00DD6EB7">
        <w:rPr>
          <w:rFonts w:cs="Times New Roman"/>
          <w:bCs/>
          <w:szCs w:val="24"/>
        </w:rPr>
        <w:t>’</w:t>
      </w:r>
      <w:r w:rsidRPr="00190BA4">
        <w:rPr>
          <w:rFonts w:cs="Times New Roman"/>
          <w:bCs/>
          <w:szCs w:val="24"/>
        </w:rPr>
        <w:t>s adjusted BCA calculation,</w:t>
      </w:r>
      <w:r>
        <w:rPr>
          <w:rStyle w:val="FootnoteReference"/>
          <w:rFonts w:cs="Times New Roman"/>
          <w:bCs/>
          <w:szCs w:val="24"/>
        </w:rPr>
        <w:footnoteReference w:id="70"/>
      </w:r>
      <w:r w:rsidRPr="00190BA4">
        <w:rPr>
          <w:rFonts w:cs="Times New Roman"/>
          <w:bCs/>
          <w:szCs w:val="24"/>
        </w:rPr>
        <w:t xml:space="preserve"> FirstEnergy</w:t>
      </w:r>
      <w:r w:rsidR="00DD6EB7">
        <w:rPr>
          <w:rFonts w:cs="Times New Roman"/>
          <w:bCs/>
          <w:szCs w:val="24"/>
        </w:rPr>
        <w:t>’</w:t>
      </w:r>
      <w:r w:rsidRPr="00190BA4">
        <w:rPr>
          <w:rFonts w:cs="Times New Roman"/>
          <w:bCs/>
          <w:szCs w:val="24"/>
        </w:rPr>
        <w:t xml:space="preserve">s TOU rate participation is likely exaggerated. </w:t>
      </w:r>
      <w:r w:rsidRPr="00190BA4">
        <w:rPr>
          <w:rFonts w:cs="Times New Roman"/>
          <w:szCs w:val="24"/>
        </w:rPr>
        <w:t>FirstEnergy has promoted time-of-use rates with negligible results. Although FirstEnergy spent $375,000 promoting TOU rates in 2022 and 2023,</w:t>
      </w:r>
      <w:r>
        <w:rPr>
          <w:rStyle w:val="FootnoteReference"/>
          <w:rFonts w:cs="Times New Roman"/>
          <w:szCs w:val="24"/>
        </w:rPr>
        <w:footnoteReference w:id="71"/>
      </w:r>
      <w:r w:rsidRPr="00190BA4">
        <w:rPr>
          <w:rFonts w:cs="Times New Roman"/>
          <w:szCs w:val="24"/>
        </w:rPr>
        <w:t xml:space="preserve"> during that period TOU rate participation averaged </w:t>
      </w:r>
      <w:r w:rsidRPr="00190BA4" w:rsidR="00F05AA0">
        <w:rPr>
          <w:rFonts w:cs="Times New Roman"/>
          <w:szCs w:val="24"/>
        </w:rPr>
        <w:t xml:space="preserve">an anemic </w:t>
      </w:r>
      <w:r w:rsidRPr="00190BA4">
        <w:rPr>
          <w:rFonts w:cs="Times New Roman"/>
          <w:szCs w:val="24"/>
        </w:rPr>
        <w:t>158 customers</w:t>
      </w:r>
      <w:r>
        <w:rPr>
          <w:rStyle w:val="FootnoteReference"/>
          <w:rFonts w:cs="Times New Roman"/>
          <w:szCs w:val="24"/>
        </w:rPr>
        <w:footnoteReference w:id="72"/>
      </w:r>
      <w:r w:rsidRPr="00190BA4">
        <w:rPr>
          <w:rFonts w:cs="Times New Roman"/>
          <w:szCs w:val="24"/>
        </w:rPr>
        <w:t xml:space="preserve"> out of 700,000 </w:t>
      </w:r>
      <w:r w:rsidRPr="00190BA4" w:rsidR="00F05AA0">
        <w:rPr>
          <w:rFonts w:cs="Times New Roman"/>
          <w:szCs w:val="24"/>
        </w:rPr>
        <w:t xml:space="preserve">consumers </w:t>
      </w:r>
      <w:r w:rsidRPr="00190BA4">
        <w:rPr>
          <w:rFonts w:cs="Times New Roman"/>
          <w:szCs w:val="24"/>
        </w:rPr>
        <w:t>with smart meters. This works out to an average recruiting cost of $1,187 per participant per year.</w:t>
      </w:r>
      <w:r>
        <w:rPr>
          <w:rStyle w:val="FootnoteReference"/>
          <w:rFonts w:cs="Times New Roman"/>
          <w:szCs w:val="24"/>
        </w:rPr>
        <w:footnoteReference w:id="73"/>
      </w:r>
      <w:r w:rsidRPr="00190BA4">
        <w:rPr>
          <w:rFonts w:cs="Times New Roman"/>
          <w:szCs w:val="24"/>
        </w:rPr>
        <w:t xml:space="preserve"> Compare this to the benefits of TOU rates, which FirstEnergy estimates </w:t>
      </w:r>
      <w:r w:rsidRPr="00190BA4">
        <w:rPr>
          <w:rFonts w:cs="Times New Roman"/>
          <w:i/>
          <w:iCs/>
          <w:szCs w:val="24"/>
        </w:rPr>
        <w:t>in total</w:t>
      </w:r>
      <w:r w:rsidRPr="00190BA4">
        <w:rPr>
          <w:rFonts w:cs="Times New Roman"/>
          <w:szCs w:val="24"/>
        </w:rPr>
        <w:t xml:space="preserve"> (</w:t>
      </w:r>
      <w:r w:rsidRPr="00190BA4" w:rsidR="00F05AA0">
        <w:rPr>
          <w:rFonts w:cs="Times New Roman"/>
          <w:szCs w:val="24"/>
        </w:rPr>
        <w:t xml:space="preserve">for </w:t>
      </w:r>
      <w:r w:rsidRPr="00190BA4">
        <w:rPr>
          <w:rFonts w:cs="Times New Roman"/>
          <w:szCs w:val="24"/>
        </w:rPr>
        <w:t>all participants over two years) at $5,484.</w:t>
      </w:r>
      <w:r>
        <w:rPr>
          <w:rStyle w:val="FootnoteReference"/>
          <w:rFonts w:cs="Times New Roman"/>
          <w:szCs w:val="24"/>
        </w:rPr>
        <w:footnoteReference w:id="74"/>
      </w:r>
      <w:r w:rsidRPr="00190BA4">
        <w:rPr>
          <w:rFonts w:cs="Times New Roman"/>
          <w:szCs w:val="24"/>
        </w:rPr>
        <w:t xml:space="preserve"> </w:t>
      </w:r>
      <w:r w:rsidRPr="00190BA4" w:rsidR="00793074">
        <w:rPr>
          <w:rFonts w:cs="Times New Roman"/>
          <w:szCs w:val="24"/>
        </w:rPr>
        <w:t>Given</w:t>
      </w:r>
      <w:r w:rsidR="00190BA4">
        <w:rPr>
          <w:rFonts w:cs="Times New Roman"/>
          <w:szCs w:val="24"/>
        </w:rPr>
        <w:t xml:space="preserve"> </w:t>
      </w:r>
      <w:r w:rsidRPr="00190BA4" w:rsidR="00793074">
        <w:rPr>
          <w:rFonts w:cs="Times New Roman"/>
          <w:szCs w:val="24"/>
        </w:rPr>
        <w:t>the low level of customer participation in FirstEnergy</w:t>
      </w:r>
      <w:r w:rsidR="00DD6EB7">
        <w:rPr>
          <w:rFonts w:cs="Times New Roman"/>
          <w:szCs w:val="24"/>
        </w:rPr>
        <w:t>’</w:t>
      </w:r>
      <w:r w:rsidRPr="00190BA4" w:rsidR="00793074">
        <w:rPr>
          <w:rFonts w:cs="Times New Roman"/>
          <w:szCs w:val="24"/>
        </w:rPr>
        <w:t>s</w:t>
      </w:r>
      <w:r w:rsidR="00190BA4">
        <w:rPr>
          <w:rFonts w:cs="Times New Roman"/>
          <w:szCs w:val="24"/>
        </w:rPr>
        <w:t xml:space="preserve"> </w:t>
      </w:r>
      <w:r w:rsidRPr="00190BA4" w:rsidR="00793074">
        <w:rPr>
          <w:rFonts w:cs="Times New Roman"/>
          <w:szCs w:val="24"/>
        </w:rPr>
        <w:t>TOU rates,</w:t>
      </w:r>
      <w:r w:rsidR="00190BA4">
        <w:rPr>
          <w:rFonts w:cs="Times New Roman"/>
          <w:szCs w:val="24"/>
        </w:rPr>
        <w:t xml:space="preserve"> </w:t>
      </w:r>
      <w:r w:rsidRPr="00190BA4" w:rsidR="00793074">
        <w:rPr>
          <w:rFonts w:cs="Times New Roman"/>
          <w:szCs w:val="24"/>
        </w:rPr>
        <w:t xml:space="preserve">residential consumers who </w:t>
      </w:r>
      <w:r w:rsidRPr="00190BA4">
        <w:rPr>
          <w:rFonts w:cs="Times New Roman"/>
          <w:szCs w:val="24"/>
        </w:rPr>
        <w:t>bear the costs of both TOU marketing and the smart meters that enable TOU rates</w:t>
      </w:r>
      <w:r w:rsidRPr="00190BA4" w:rsidR="00793074">
        <w:rPr>
          <w:rFonts w:cs="Times New Roman"/>
          <w:szCs w:val="24"/>
        </w:rPr>
        <w:t xml:space="preserve"> are not benefitting from the program.</w:t>
      </w:r>
      <w:r>
        <w:rPr>
          <w:rStyle w:val="FootnoteReference"/>
          <w:rFonts w:cs="Times New Roman"/>
          <w:szCs w:val="24"/>
        </w:rPr>
        <w:footnoteReference w:id="75"/>
      </w:r>
    </w:p>
    <w:p w:rsidR="004E6BCE" w:rsidRPr="00190BA4" w:rsidP="004E6BCE" w14:paraId="45DD17FB" w14:textId="42D0CD97">
      <w:pPr>
        <w:tabs>
          <w:tab w:val="left" w:pos="0"/>
        </w:tabs>
        <w:spacing w:after="0"/>
        <w:rPr>
          <w:rFonts w:cs="Times New Roman"/>
          <w:bCs/>
          <w:szCs w:val="24"/>
        </w:rPr>
      </w:pPr>
      <w:r w:rsidRPr="00190BA4">
        <w:rPr>
          <w:rFonts w:cs="Times New Roman"/>
          <w:szCs w:val="24"/>
        </w:rPr>
        <w:tab/>
        <w:t>FirstEnergy projects that 140,000 of its consumers will be billed on TOU rates within twelve years, resulting in a total of $189.5 million in (nominal) benefits over 20 years,</w:t>
      </w:r>
      <w:r>
        <w:rPr>
          <w:rStyle w:val="FootnoteReference"/>
          <w:rFonts w:cs="Times New Roman"/>
          <w:szCs w:val="24"/>
        </w:rPr>
        <w:footnoteReference w:id="76"/>
      </w:r>
      <w:r w:rsidRPr="00190BA4">
        <w:rPr>
          <w:rFonts w:cs="Times New Roman"/>
          <w:szCs w:val="24"/>
        </w:rPr>
        <w:t xml:space="preserve"> or about 20% of total projected AMI benefits. </w:t>
      </w:r>
      <w:r w:rsidRPr="00190BA4">
        <w:rPr>
          <w:rFonts w:cs="Times New Roman"/>
          <w:bCs/>
          <w:szCs w:val="24"/>
        </w:rPr>
        <w:t>However, 69% of FirstEnergy</w:t>
      </w:r>
      <w:r w:rsidR="00DD6EB7">
        <w:rPr>
          <w:rFonts w:cs="Times New Roman"/>
          <w:bCs/>
          <w:szCs w:val="24"/>
        </w:rPr>
        <w:t>’</w:t>
      </w:r>
      <w:r w:rsidRPr="00190BA4">
        <w:rPr>
          <w:rFonts w:cs="Times New Roman"/>
          <w:bCs/>
          <w:szCs w:val="24"/>
        </w:rPr>
        <w:t xml:space="preserve">s residential consumers secure service through a </w:t>
      </w:r>
      <w:r w:rsidRPr="00190BA4" w:rsidR="00F05AA0">
        <w:rPr>
          <w:rFonts w:cs="Times New Roman"/>
          <w:bCs/>
          <w:szCs w:val="24"/>
        </w:rPr>
        <w:t xml:space="preserve">marketer </w:t>
      </w:r>
      <w:r w:rsidRPr="00190BA4">
        <w:rPr>
          <w:rFonts w:cs="Times New Roman"/>
          <w:bCs/>
          <w:szCs w:val="24"/>
        </w:rPr>
        <w:t>or government aggregator.</w:t>
      </w:r>
      <w:r>
        <w:rPr>
          <w:rStyle w:val="FootnoteReference"/>
          <w:rFonts w:cs="Times New Roman"/>
          <w:bCs/>
          <w:szCs w:val="24"/>
        </w:rPr>
        <w:footnoteReference w:id="77"/>
      </w:r>
      <w:r w:rsidRPr="00190BA4">
        <w:rPr>
          <w:rFonts w:cs="Times New Roman"/>
          <w:bCs/>
          <w:szCs w:val="24"/>
        </w:rPr>
        <w:t xml:space="preserve"> FirstEnergy has no control over these organizations and the rates they offer, nor does FirstEnergy exert meaningful influence over the rate choices made by the consumers of these organizations. Considering only the 590,000 consumers who currently secure energy supply through First Energy,</w:t>
      </w:r>
      <w:r>
        <w:rPr>
          <w:rStyle w:val="FootnoteReference"/>
          <w:rFonts w:cs="Times New Roman"/>
          <w:bCs/>
          <w:szCs w:val="24"/>
        </w:rPr>
        <w:footnoteReference w:id="78"/>
      </w:r>
      <w:r w:rsidRPr="00190BA4">
        <w:rPr>
          <w:rFonts w:cs="Times New Roman"/>
          <w:bCs/>
          <w:szCs w:val="24"/>
        </w:rPr>
        <w:t xml:space="preserve"> 140,000 TOU rate participants works out to a 24% TOU rate participation. With the exception of Arizona, there are no </w:t>
      </w:r>
      <w:r w:rsidR="00DD6EB7">
        <w:rPr>
          <w:rFonts w:cs="Times New Roman"/>
          <w:bCs/>
          <w:szCs w:val="24"/>
        </w:rPr>
        <w:t>“</w:t>
      </w:r>
      <w:r w:rsidRPr="00190BA4">
        <w:rPr>
          <w:rFonts w:cs="Times New Roman"/>
          <w:bCs/>
          <w:szCs w:val="24"/>
        </w:rPr>
        <w:t>opt-in</w:t>
      </w:r>
      <w:r w:rsidR="00DD6EB7">
        <w:rPr>
          <w:rFonts w:cs="Times New Roman"/>
          <w:bCs/>
          <w:szCs w:val="24"/>
        </w:rPr>
        <w:t>”</w:t>
      </w:r>
      <w:r w:rsidRPr="00190BA4">
        <w:rPr>
          <w:rFonts w:cs="Times New Roman"/>
          <w:bCs/>
          <w:szCs w:val="24"/>
        </w:rPr>
        <w:t xml:space="preserve"> TOU rate programs (where consumers must take action to switch to a TOU rate) that have achieved anything close to such a high participation rate.</w:t>
      </w:r>
      <w:r>
        <w:rPr>
          <w:rFonts w:cs="Times New Roman"/>
          <w:bCs/>
          <w:szCs w:val="24"/>
          <w:vertAlign w:val="superscript"/>
        </w:rPr>
        <w:footnoteReference w:id="79"/>
      </w:r>
      <w:r w:rsidR="00190BA4">
        <w:rPr>
          <w:rFonts w:cs="Times New Roman"/>
          <w:bCs/>
          <w:szCs w:val="24"/>
        </w:rPr>
        <w:t xml:space="preserve"> </w:t>
      </w:r>
      <w:r w:rsidRPr="00190BA4" w:rsidR="006E24B7">
        <w:rPr>
          <w:rFonts w:cs="Times New Roman"/>
          <w:bCs/>
          <w:szCs w:val="24"/>
        </w:rPr>
        <w:t xml:space="preserve">OCC and NOAC strongly oppose opt out programs for time of use rates. </w:t>
      </w:r>
    </w:p>
    <w:p w:rsidR="00467C70" w:rsidRPr="00190BA4" w:rsidP="00467C70" w14:paraId="2CAA05C6" w14:textId="403E6799">
      <w:pPr>
        <w:pStyle w:val="Heading3"/>
      </w:pPr>
      <w:bookmarkStart w:id="23" w:name="_Toc173315553"/>
      <w:r w:rsidRPr="00190BA4">
        <w:t>The BCA for residential consumers is even worse for residential consumers than for</w:t>
      </w:r>
      <w:r w:rsidRPr="00190BA4" w:rsidR="00F05AA0">
        <w:t xml:space="preserve"> all</w:t>
      </w:r>
      <w:r w:rsidRPr="00190BA4">
        <w:t xml:space="preserve"> FirstEnergy consumers.</w:t>
      </w:r>
      <w:bookmarkEnd w:id="23"/>
    </w:p>
    <w:p w:rsidR="00AE0606" w:rsidRPr="00190BA4" w:rsidP="00AE0606" w14:paraId="08019F90" w14:textId="738AA88B">
      <w:pPr>
        <w:tabs>
          <w:tab w:val="left" w:pos="0"/>
        </w:tabs>
        <w:spacing w:after="0"/>
        <w:rPr>
          <w:rFonts w:cs="Times New Roman"/>
          <w:szCs w:val="24"/>
        </w:rPr>
      </w:pPr>
      <w:r w:rsidRPr="00190BA4">
        <w:rPr>
          <w:rFonts w:cs="Times New Roman"/>
          <w:szCs w:val="24"/>
        </w:rPr>
        <w:tab/>
      </w:r>
      <w:r w:rsidRPr="00190BA4" w:rsidR="00F02A8D">
        <w:rPr>
          <w:rFonts w:cs="Times New Roman"/>
          <w:szCs w:val="24"/>
        </w:rPr>
        <w:t>FirstEnergy</w:t>
      </w:r>
      <w:r w:rsidRPr="00190BA4" w:rsidR="008A7FD9">
        <w:rPr>
          <w:rFonts w:cs="Times New Roman"/>
          <w:szCs w:val="24"/>
        </w:rPr>
        <w:t xml:space="preserve"> project</w:t>
      </w:r>
      <w:r w:rsidRPr="00190BA4" w:rsidR="00F02A8D">
        <w:rPr>
          <w:rFonts w:cs="Times New Roman"/>
          <w:szCs w:val="24"/>
        </w:rPr>
        <w:t>s</w:t>
      </w:r>
      <w:r w:rsidRPr="00190BA4" w:rsidR="008A7FD9">
        <w:rPr>
          <w:rFonts w:cs="Times New Roman"/>
          <w:szCs w:val="24"/>
        </w:rPr>
        <w:t xml:space="preserve"> that the economic value of reliability improvements enabled by smart meters will be </w:t>
      </w:r>
      <w:r w:rsidRPr="00190BA4" w:rsidR="00A2584F">
        <w:rPr>
          <w:rFonts w:cs="Times New Roman"/>
          <w:szCs w:val="24"/>
        </w:rPr>
        <w:t>$140.6 million (nominal), or about 15% of total AMI benefits.</w:t>
      </w:r>
      <w:r>
        <w:rPr>
          <w:rStyle w:val="FootnoteReference"/>
          <w:rFonts w:cs="Times New Roman"/>
          <w:szCs w:val="24"/>
        </w:rPr>
        <w:footnoteReference w:id="80"/>
      </w:r>
      <w:r w:rsidRPr="00190BA4" w:rsidR="00CF1064">
        <w:rPr>
          <w:rFonts w:cs="Times New Roman"/>
          <w:szCs w:val="24"/>
        </w:rPr>
        <w:t xml:space="preserve"> </w:t>
      </w:r>
      <w:r w:rsidRPr="00190BA4" w:rsidR="00F02A8D">
        <w:rPr>
          <w:rFonts w:cs="Times New Roman"/>
          <w:szCs w:val="24"/>
        </w:rPr>
        <w:t>S</w:t>
      </w:r>
      <w:r w:rsidRPr="00190BA4" w:rsidR="00EA45AF">
        <w:rPr>
          <w:rFonts w:cs="Times New Roman"/>
          <w:szCs w:val="24"/>
        </w:rPr>
        <w:t>ervice interruption</w:t>
      </w:r>
      <w:r w:rsidRPr="00190BA4" w:rsidR="007A47C1">
        <w:rPr>
          <w:rFonts w:cs="Times New Roman"/>
          <w:szCs w:val="24"/>
        </w:rPr>
        <w:t xml:space="preserve"> costs are </w:t>
      </w:r>
      <w:r w:rsidRPr="00190BA4" w:rsidR="00EA45AF">
        <w:rPr>
          <w:rFonts w:cs="Times New Roman"/>
          <w:szCs w:val="24"/>
        </w:rPr>
        <w:t xml:space="preserve">much greater for commercial and industrial </w:t>
      </w:r>
      <w:r w:rsidRPr="00190BA4" w:rsidR="00F02A8D">
        <w:rPr>
          <w:rFonts w:cs="Times New Roman"/>
          <w:szCs w:val="24"/>
        </w:rPr>
        <w:t xml:space="preserve">consumers </w:t>
      </w:r>
      <w:r w:rsidRPr="00190BA4" w:rsidR="00EA45AF">
        <w:rPr>
          <w:rFonts w:cs="Times New Roman"/>
          <w:szCs w:val="24"/>
        </w:rPr>
        <w:t xml:space="preserve">than for residential </w:t>
      </w:r>
      <w:r w:rsidRPr="00190BA4" w:rsidR="00F02A8D">
        <w:rPr>
          <w:rFonts w:cs="Times New Roman"/>
          <w:szCs w:val="24"/>
        </w:rPr>
        <w:t>consumers</w:t>
      </w:r>
      <w:r w:rsidRPr="00190BA4" w:rsidR="00EA45AF">
        <w:rPr>
          <w:rFonts w:cs="Times New Roman"/>
          <w:szCs w:val="24"/>
        </w:rPr>
        <w:t>.</w:t>
      </w:r>
      <w:r>
        <w:rPr>
          <w:rStyle w:val="FootnoteReference"/>
          <w:rFonts w:cs="Times New Roman"/>
          <w:szCs w:val="24"/>
        </w:rPr>
        <w:footnoteReference w:id="81"/>
      </w:r>
      <w:r w:rsidRPr="00190BA4" w:rsidR="00CF1064">
        <w:rPr>
          <w:rFonts w:cs="Times New Roman"/>
          <w:szCs w:val="24"/>
        </w:rPr>
        <w:t xml:space="preserve"> </w:t>
      </w:r>
      <w:r w:rsidRPr="00190BA4">
        <w:rPr>
          <w:rFonts w:cs="Times New Roman"/>
          <w:szCs w:val="24"/>
        </w:rPr>
        <w:t>OCC</w:t>
      </w:r>
      <w:r w:rsidRPr="00190BA4" w:rsidR="00FA39A2">
        <w:rPr>
          <w:rFonts w:cs="Times New Roman"/>
          <w:szCs w:val="24"/>
        </w:rPr>
        <w:t>/NOAC</w:t>
      </w:r>
      <w:r w:rsidRPr="00190BA4">
        <w:rPr>
          <w:rFonts w:cs="Times New Roman"/>
          <w:szCs w:val="24"/>
        </w:rPr>
        <w:t xml:space="preserve"> Witness Alvarez explained that </w:t>
      </w:r>
      <w:r w:rsidRPr="00190BA4" w:rsidR="00AF5DB3">
        <w:rPr>
          <w:rFonts w:cs="Times New Roman"/>
          <w:szCs w:val="24"/>
        </w:rPr>
        <w:t xml:space="preserve">a one-hour service interruption for </w:t>
      </w:r>
      <w:r w:rsidRPr="00190BA4" w:rsidR="008E46C8">
        <w:rPr>
          <w:rFonts w:cs="Times New Roman"/>
          <w:szCs w:val="24"/>
        </w:rPr>
        <w:t xml:space="preserve">single </w:t>
      </w:r>
      <w:r w:rsidRPr="00190BA4" w:rsidR="00AF5DB3">
        <w:rPr>
          <w:rFonts w:cs="Times New Roman"/>
          <w:szCs w:val="24"/>
        </w:rPr>
        <w:t xml:space="preserve">large commercial and industrial customer </w:t>
      </w:r>
      <w:r w:rsidRPr="00190BA4" w:rsidR="00F546A0">
        <w:rPr>
          <w:rFonts w:cs="Times New Roman"/>
          <w:szCs w:val="24"/>
        </w:rPr>
        <w:t xml:space="preserve">incurs as much </w:t>
      </w:r>
      <w:r w:rsidRPr="00190BA4" w:rsidR="00AF5DB3">
        <w:rPr>
          <w:rFonts w:cs="Times New Roman"/>
          <w:szCs w:val="24"/>
        </w:rPr>
        <w:t>cost as a one-hour service interruption for 3,</w:t>
      </w:r>
      <w:r w:rsidRPr="00190BA4" w:rsidR="00051415">
        <w:rPr>
          <w:rFonts w:cs="Times New Roman"/>
          <w:szCs w:val="24"/>
        </w:rPr>
        <w:t>5</w:t>
      </w:r>
      <w:r w:rsidRPr="00190BA4" w:rsidR="00AF5DB3">
        <w:rPr>
          <w:rFonts w:cs="Times New Roman"/>
          <w:szCs w:val="24"/>
        </w:rPr>
        <w:t xml:space="preserve">00 residential </w:t>
      </w:r>
      <w:r w:rsidRPr="00190BA4" w:rsidR="00F02A8D">
        <w:rPr>
          <w:rFonts w:cs="Times New Roman"/>
          <w:szCs w:val="24"/>
        </w:rPr>
        <w:t>consumers</w:t>
      </w:r>
      <w:r w:rsidRPr="00190BA4" w:rsidR="00AF5DB3">
        <w:rPr>
          <w:rFonts w:cs="Times New Roman"/>
          <w:szCs w:val="24"/>
        </w:rPr>
        <w:t>.</w:t>
      </w:r>
      <w:r>
        <w:rPr>
          <w:rStyle w:val="FootnoteReference"/>
          <w:rFonts w:cs="Times New Roman"/>
          <w:szCs w:val="24"/>
        </w:rPr>
        <w:footnoteReference w:id="82"/>
      </w:r>
      <w:r w:rsidRPr="00190BA4">
        <w:rPr>
          <w:rFonts w:cs="Times New Roman"/>
          <w:szCs w:val="24"/>
        </w:rPr>
        <w:t xml:space="preserve"> </w:t>
      </w:r>
    </w:p>
    <w:p w:rsidR="00BB2DA5" w:rsidRPr="00190BA4" w:rsidP="00552DAE" w14:paraId="65E126D4" w14:textId="4B488725">
      <w:pPr>
        <w:tabs>
          <w:tab w:val="left" w:pos="0"/>
        </w:tabs>
        <w:spacing w:after="0"/>
        <w:rPr>
          <w:rFonts w:cs="Times New Roman"/>
          <w:szCs w:val="24"/>
        </w:rPr>
      </w:pPr>
      <w:r w:rsidRPr="00190BA4">
        <w:rPr>
          <w:rFonts w:cs="Times New Roman"/>
          <w:szCs w:val="24"/>
        </w:rPr>
        <w:tab/>
      </w:r>
      <w:r w:rsidRPr="00190BA4" w:rsidR="008A7FD9">
        <w:rPr>
          <w:rFonts w:cs="Times New Roman"/>
          <w:szCs w:val="24"/>
        </w:rPr>
        <w:t xml:space="preserve">While the </w:t>
      </w:r>
      <w:r w:rsidRPr="00190BA4" w:rsidR="00C935F6">
        <w:rPr>
          <w:rFonts w:cs="Times New Roman"/>
          <w:szCs w:val="24"/>
        </w:rPr>
        <w:t xml:space="preserve">economic value of </w:t>
      </w:r>
      <w:r w:rsidRPr="00190BA4" w:rsidR="008A7FD9">
        <w:rPr>
          <w:rFonts w:cs="Times New Roman"/>
          <w:szCs w:val="24"/>
        </w:rPr>
        <w:t xml:space="preserve">reliability improvements available from </w:t>
      </w:r>
      <w:r w:rsidRPr="00190BA4" w:rsidR="00902443">
        <w:rPr>
          <w:rFonts w:cs="Times New Roman"/>
          <w:szCs w:val="24"/>
        </w:rPr>
        <w:t xml:space="preserve">AMI </w:t>
      </w:r>
      <w:r w:rsidRPr="00190BA4" w:rsidR="008A7FD9">
        <w:rPr>
          <w:rFonts w:cs="Times New Roman"/>
          <w:szCs w:val="24"/>
        </w:rPr>
        <w:t xml:space="preserve">accrue disproportionately to commercial and industrial customers, AMI costs are borne primarily by residential </w:t>
      </w:r>
      <w:r w:rsidRPr="00190BA4" w:rsidR="00F02A8D">
        <w:rPr>
          <w:rFonts w:cs="Times New Roman"/>
          <w:szCs w:val="24"/>
        </w:rPr>
        <w:t>consumers</w:t>
      </w:r>
      <w:r w:rsidRPr="00190BA4" w:rsidR="008A7FD9">
        <w:rPr>
          <w:rFonts w:cs="Times New Roman"/>
          <w:szCs w:val="24"/>
        </w:rPr>
        <w:t>.</w:t>
      </w:r>
      <w:r w:rsidRPr="00190BA4" w:rsidR="00CF1064">
        <w:rPr>
          <w:rFonts w:cs="Times New Roman"/>
          <w:szCs w:val="24"/>
        </w:rPr>
        <w:t xml:space="preserve"> </w:t>
      </w:r>
      <w:r w:rsidRPr="00190BA4" w:rsidR="008A7FD9">
        <w:rPr>
          <w:rFonts w:cs="Times New Roman"/>
          <w:szCs w:val="24"/>
        </w:rPr>
        <w:t xml:space="preserve">Residential </w:t>
      </w:r>
      <w:r w:rsidRPr="00190BA4" w:rsidR="00F02A8D">
        <w:rPr>
          <w:rFonts w:cs="Times New Roman"/>
          <w:szCs w:val="24"/>
        </w:rPr>
        <w:t xml:space="preserve">consumers </w:t>
      </w:r>
      <w:r w:rsidRPr="00190BA4" w:rsidR="008A7FD9">
        <w:rPr>
          <w:rFonts w:cs="Times New Roman"/>
          <w:szCs w:val="24"/>
        </w:rPr>
        <w:t xml:space="preserve">make up about </w:t>
      </w:r>
      <w:r w:rsidRPr="00190BA4" w:rsidR="000D5188">
        <w:rPr>
          <w:rFonts w:cs="Times New Roman"/>
          <w:szCs w:val="24"/>
        </w:rPr>
        <w:t>89</w:t>
      </w:r>
      <w:r w:rsidRPr="00190BA4" w:rsidR="008A7FD9">
        <w:rPr>
          <w:rFonts w:cs="Times New Roman"/>
          <w:szCs w:val="24"/>
        </w:rPr>
        <w:t xml:space="preserve">% of </w:t>
      </w:r>
      <w:r w:rsidRPr="00190BA4" w:rsidR="00F02A8D">
        <w:rPr>
          <w:rFonts w:cs="Times New Roman"/>
          <w:szCs w:val="24"/>
        </w:rPr>
        <w:t>FirstEnergy</w:t>
      </w:r>
      <w:r w:rsidR="00DD6EB7">
        <w:rPr>
          <w:rFonts w:cs="Times New Roman"/>
          <w:szCs w:val="24"/>
        </w:rPr>
        <w:t>’</w:t>
      </w:r>
      <w:r w:rsidRPr="00190BA4" w:rsidR="00F02A8D">
        <w:rPr>
          <w:rFonts w:cs="Times New Roman"/>
          <w:szCs w:val="24"/>
        </w:rPr>
        <w:t>s consumer</w:t>
      </w:r>
      <w:r w:rsidRPr="00190BA4" w:rsidR="008A7FD9">
        <w:rPr>
          <w:rFonts w:cs="Times New Roman"/>
          <w:szCs w:val="24"/>
        </w:rPr>
        <w:t xml:space="preserve"> base,</w:t>
      </w:r>
      <w:r>
        <w:rPr>
          <w:rStyle w:val="FootnoteReference"/>
          <w:rFonts w:cs="Times New Roman"/>
          <w:szCs w:val="24"/>
        </w:rPr>
        <w:footnoteReference w:id="83"/>
      </w:r>
      <w:r w:rsidRPr="00190BA4" w:rsidR="008A7FD9">
        <w:rPr>
          <w:rFonts w:cs="Times New Roman"/>
          <w:szCs w:val="24"/>
        </w:rPr>
        <w:t xml:space="preserve"> meaning that </w:t>
      </w:r>
      <w:r w:rsidRPr="00190BA4" w:rsidR="003D256C">
        <w:rPr>
          <w:rFonts w:cs="Times New Roman"/>
          <w:szCs w:val="24"/>
        </w:rPr>
        <w:t xml:space="preserve">89% of smart meters will be installed on residential </w:t>
      </w:r>
      <w:r w:rsidRPr="00190BA4" w:rsidR="00F02A8D">
        <w:rPr>
          <w:rFonts w:cs="Times New Roman"/>
          <w:szCs w:val="24"/>
        </w:rPr>
        <w:t xml:space="preserve">consumer </w:t>
      </w:r>
      <w:r w:rsidRPr="00190BA4" w:rsidR="003D256C">
        <w:rPr>
          <w:rFonts w:cs="Times New Roman"/>
          <w:szCs w:val="24"/>
        </w:rPr>
        <w:t xml:space="preserve">premises, and that </w:t>
      </w:r>
      <w:r w:rsidRPr="00190BA4" w:rsidR="0044567F">
        <w:rPr>
          <w:rFonts w:cs="Times New Roman"/>
          <w:szCs w:val="24"/>
        </w:rPr>
        <w:t xml:space="preserve">the </w:t>
      </w:r>
      <w:r w:rsidRPr="00190BA4" w:rsidR="000D5188">
        <w:rPr>
          <w:rFonts w:cs="Times New Roman"/>
          <w:szCs w:val="24"/>
        </w:rPr>
        <w:t xml:space="preserve">percentage of AMI costs </w:t>
      </w:r>
      <w:r w:rsidRPr="00190BA4" w:rsidR="008A7FD9">
        <w:rPr>
          <w:rFonts w:cs="Times New Roman"/>
          <w:szCs w:val="24"/>
        </w:rPr>
        <w:t>assigned to the residential class in class cost of service stud</w:t>
      </w:r>
      <w:r w:rsidRPr="00190BA4" w:rsidR="00A9052E">
        <w:rPr>
          <w:rFonts w:cs="Times New Roman"/>
          <w:szCs w:val="24"/>
        </w:rPr>
        <w:t>ies</w:t>
      </w:r>
      <w:r w:rsidRPr="00190BA4" w:rsidR="008A7FD9">
        <w:rPr>
          <w:rFonts w:cs="Times New Roman"/>
          <w:szCs w:val="24"/>
        </w:rPr>
        <w:t xml:space="preserve"> (CCOSS)</w:t>
      </w:r>
      <w:r w:rsidRPr="00190BA4" w:rsidR="003D256C">
        <w:rPr>
          <w:rFonts w:cs="Times New Roman"/>
          <w:szCs w:val="24"/>
        </w:rPr>
        <w:t xml:space="preserve"> will likely approach 89%</w:t>
      </w:r>
      <w:r w:rsidRPr="00190BA4" w:rsidR="008A7FD9">
        <w:rPr>
          <w:rFonts w:cs="Times New Roman"/>
          <w:szCs w:val="24"/>
        </w:rPr>
        <w:t>.</w:t>
      </w:r>
      <w:r>
        <w:rPr>
          <w:rStyle w:val="FootnoteReference"/>
          <w:rFonts w:cs="Times New Roman"/>
          <w:szCs w:val="24"/>
        </w:rPr>
        <w:footnoteReference w:id="84"/>
      </w:r>
      <w:r w:rsidRPr="00190BA4" w:rsidR="00CF1064">
        <w:rPr>
          <w:rFonts w:cs="Times New Roman"/>
          <w:szCs w:val="24"/>
        </w:rPr>
        <w:t xml:space="preserve"> </w:t>
      </w:r>
    </w:p>
    <w:p w:rsidR="005830D9" w:rsidRPr="00190BA4" w:rsidP="00552DAE" w14:paraId="04CB2988" w14:textId="0A01A7EE">
      <w:pPr>
        <w:tabs>
          <w:tab w:val="left" w:pos="0"/>
        </w:tabs>
        <w:spacing w:after="0"/>
        <w:rPr>
          <w:rFonts w:cs="Times New Roman"/>
          <w:szCs w:val="24"/>
        </w:rPr>
      </w:pPr>
      <w:r w:rsidRPr="00190BA4">
        <w:rPr>
          <w:rFonts w:cs="Times New Roman"/>
          <w:szCs w:val="24"/>
        </w:rPr>
        <w:tab/>
        <w:t xml:space="preserve">Because the settlement shifts </w:t>
      </w:r>
      <w:r w:rsidRPr="00190BA4" w:rsidR="00F05AA0">
        <w:rPr>
          <w:rFonts w:cs="Times New Roman"/>
          <w:szCs w:val="24"/>
        </w:rPr>
        <w:t xml:space="preserve">additional </w:t>
      </w:r>
      <w:r w:rsidRPr="00190BA4">
        <w:rPr>
          <w:rFonts w:cs="Times New Roman"/>
          <w:szCs w:val="24"/>
        </w:rPr>
        <w:t>costs to residential customers, it is not in their best interest. Thus, the PUCO should reject this flawed settlement.</w:t>
      </w:r>
    </w:p>
    <w:p w:rsidR="00970A5E" w:rsidRPr="00190BA4" w:rsidP="008C562B" w14:paraId="67898AA8" w14:textId="34A7803C">
      <w:pPr>
        <w:pStyle w:val="Heading2"/>
        <w:numPr>
          <w:ilvl w:val="0"/>
          <w:numId w:val="0"/>
        </w:numPr>
        <w:ind w:left="1440" w:hanging="720"/>
        <w:rPr>
          <w:rStyle w:val="Heading2Char"/>
          <w:b/>
          <w:bCs/>
        </w:rPr>
      </w:pPr>
      <w:bookmarkStart w:id="24" w:name="_Toc168587451"/>
      <w:bookmarkStart w:id="25" w:name="_Toc173315554"/>
      <w:r w:rsidRPr="00190BA4">
        <w:rPr>
          <w:rStyle w:val="Heading2Char"/>
          <w:b/>
          <w:bCs/>
        </w:rPr>
        <w:t>C.</w:t>
      </w:r>
      <w:r w:rsidRPr="00190BA4">
        <w:rPr>
          <w:rStyle w:val="Heading2Char"/>
          <w:b/>
          <w:bCs/>
        </w:rPr>
        <w:tab/>
      </w:r>
      <w:r w:rsidRPr="00190BA4" w:rsidR="00DA1F10">
        <w:rPr>
          <w:rStyle w:val="Heading2Char"/>
          <w:b/>
          <w:bCs/>
        </w:rPr>
        <w:t xml:space="preserve">The Settlement </w:t>
      </w:r>
      <w:r w:rsidRPr="00190BA4" w:rsidR="00493E14">
        <w:rPr>
          <w:rStyle w:val="Heading2Char"/>
          <w:b/>
          <w:bCs/>
        </w:rPr>
        <w:t>v</w:t>
      </w:r>
      <w:r w:rsidRPr="00190BA4" w:rsidR="00DA1F10">
        <w:rPr>
          <w:rStyle w:val="Heading2Char"/>
          <w:b/>
          <w:bCs/>
        </w:rPr>
        <w:t xml:space="preserve">iolates </w:t>
      </w:r>
      <w:r w:rsidRPr="00190BA4" w:rsidR="00493E14">
        <w:rPr>
          <w:rStyle w:val="Heading2Char"/>
          <w:b/>
          <w:bCs/>
        </w:rPr>
        <w:t>i</w:t>
      </w:r>
      <w:r w:rsidRPr="00190BA4" w:rsidR="00DA1F10">
        <w:rPr>
          <w:rStyle w:val="Heading2Char"/>
          <w:b/>
          <w:bCs/>
        </w:rPr>
        <w:t xml:space="preserve">mportant </w:t>
      </w:r>
      <w:r w:rsidRPr="00190BA4" w:rsidR="00493E14">
        <w:rPr>
          <w:rStyle w:val="Heading2Char"/>
          <w:b/>
          <w:bCs/>
        </w:rPr>
        <w:t>r</w:t>
      </w:r>
      <w:r w:rsidRPr="00190BA4" w:rsidR="00DA1F10">
        <w:rPr>
          <w:rStyle w:val="Heading2Char"/>
          <w:b/>
          <w:bCs/>
        </w:rPr>
        <w:t xml:space="preserve">egulatory </w:t>
      </w:r>
      <w:r w:rsidRPr="00190BA4" w:rsidR="00493E14">
        <w:rPr>
          <w:rStyle w:val="Heading2Char"/>
          <w:b/>
          <w:bCs/>
        </w:rPr>
        <w:t>p</w:t>
      </w:r>
      <w:r w:rsidRPr="00190BA4" w:rsidR="00DA1F10">
        <w:rPr>
          <w:rStyle w:val="Heading2Char"/>
          <w:b/>
          <w:bCs/>
        </w:rPr>
        <w:t xml:space="preserve">rinciples and </w:t>
      </w:r>
      <w:r w:rsidRPr="00190BA4" w:rsidR="00493E14">
        <w:rPr>
          <w:rStyle w:val="Heading2Char"/>
          <w:b/>
          <w:bCs/>
        </w:rPr>
        <w:t>p</w:t>
      </w:r>
      <w:r w:rsidRPr="00190BA4" w:rsidR="00DA1F10">
        <w:rPr>
          <w:rStyle w:val="Heading2Char"/>
          <w:b/>
          <w:bCs/>
        </w:rPr>
        <w:t>ractices.</w:t>
      </w:r>
      <w:bookmarkEnd w:id="24"/>
      <w:bookmarkEnd w:id="25"/>
    </w:p>
    <w:p w:rsidR="00067E3F" w:rsidRPr="00190BA4" w:rsidP="0094428F" w14:paraId="44D60F12" w14:textId="3E1A799D">
      <w:pPr>
        <w:tabs>
          <w:tab w:val="left" w:pos="0"/>
        </w:tabs>
        <w:spacing w:after="0"/>
        <w:rPr>
          <w:rFonts w:cs="Times New Roman"/>
          <w:szCs w:val="24"/>
        </w:rPr>
      </w:pPr>
      <w:r w:rsidRPr="00190BA4">
        <w:rPr>
          <w:rFonts w:cs="Times New Roman"/>
          <w:szCs w:val="24"/>
        </w:rPr>
        <w:tab/>
        <w:t>T</w:t>
      </w:r>
      <w:r w:rsidRPr="00190BA4" w:rsidR="002C690F">
        <w:rPr>
          <w:rFonts w:cs="Times New Roman"/>
          <w:szCs w:val="24"/>
        </w:rPr>
        <w:t xml:space="preserve">he </w:t>
      </w:r>
      <w:r w:rsidRPr="00190BA4" w:rsidR="001B788F">
        <w:rPr>
          <w:rFonts w:cs="Times New Roman"/>
          <w:szCs w:val="24"/>
        </w:rPr>
        <w:t xml:space="preserve">Settlement </w:t>
      </w:r>
      <w:r w:rsidRPr="00190BA4" w:rsidR="00F05AA0">
        <w:rPr>
          <w:rFonts w:cs="Times New Roman"/>
          <w:szCs w:val="24"/>
        </w:rPr>
        <w:t xml:space="preserve">should also be rejected because it </w:t>
      </w:r>
      <w:r w:rsidRPr="00190BA4" w:rsidR="002C690F">
        <w:rPr>
          <w:rFonts w:cs="Times New Roman"/>
          <w:szCs w:val="24"/>
        </w:rPr>
        <w:t xml:space="preserve">violates the terms of the </w:t>
      </w:r>
      <w:r w:rsidRPr="00190BA4" w:rsidR="00984629">
        <w:rPr>
          <w:rFonts w:cs="Times New Roman"/>
          <w:szCs w:val="24"/>
        </w:rPr>
        <w:t xml:space="preserve">Supplemental </w:t>
      </w:r>
      <w:r w:rsidRPr="00190BA4" w:rsidR="002C690F">
        <w:rPr>
          <w:rFonts w:cs="Times New Roman"/>
          <w:szCs w:val="24"/>
        </w:rPr>
        <w:t xml:space="preserve">Stipulation and Recommendation the </w:t>
      </w:r>
      <w:r w:rsidR="002B61EE">
        <w:rPr>
          <w:rFonts w:cs="Times New Roman"/>
          <w:szCs w:val="24"/>
        </w:rPr>
        <w:t>PUCO</w:t>
      </w:r>
      <w:r w:rsidRPr="00190BA4" w:rsidR="002C690F">
        <w:rPr>
          <w:rFonts w:cs="Times New Roman"/>
          <w:szCs w:val="24"/>
        </w:rPr>
        <w:t xml:space="preserve"> approved in Case No. 16-481-EL-UNC. This violation alone justifies </w:t>
      </w:r>
      <w:r w:rsidRPr="00190BA4" w:rsidR="001B788F">
        <w:rPr>
          <w:rFonts w:cs="Times New Roman"/>
          <w:szCs w:val="24"/>
        </w:rPr>
        <w:t xml:space="preserve">PUCO </w:t>
      </w:r>
      <w:r w:rsidRPr="00190BA4" w:rsidR="002C690F">
        <w:rPr>
          <w:rFonts w:cs="Times New Roman"/>
          <w:szCs w:val="24"/>
        </w:rPr>
        <w:t xml:space="preserve">rejection of the </w:t>
      </w:r>
      <w:r w:rsidRPr="00190BA4" w:rsidR="001B788F">
        <w:rPr>
          <w:rFonts w:cs="Times New Roman"/>
          <w:szCs w:val="24"/>
        </w:rPr>
        <w:t>Settlement</w:t>
      </w:r>
      <w:r w:rsidRPr="00190BA4" w:rsidR="002C690F">
        <w:rPr>
          <w:rFonts w:cs="Times New Roman"/>
          <w:szCs w:val="24"/>
        </w:rPr>
        <w:t xml:space="preserve">. </w:t>
      </w:r>
      <w:r w:rsidRPr="00190BA4">
        <w:rPr>
          <w:rFonts w:cs="Times New Roman"/>
          <w:szCs w:val="24"/>
        </w:rPr>
        <w:t>Further</w:t>
      </w:r>
      <w:r w:rsidRPr="00190BA4" w:rsidR="002C690F">
        <w:rPr>
          <w:rFonts w:cs="Times New Roman"/>
          <w:szCs w:val="24"/>
        </w:rPr>
        <w:t>,</w:t>
      </w:r>
      <w:r w:rsidRPr="00190BA4" w:rsidR="00D833E0">
        <w:rPr>
          <w:rFonts w:cs="Times New Roman"/>
          <w:szCs w:val="24"/>
        </w:rPr>
        <w:t xml:space="preserve"> the </w:t>
      </w:r>
      <w:r w:rsidRPr="00190BA4" w:rsidR="005863FB">
        <w:rPr>
          <w:rFonts w:cs="Times New Roman"/>
          <w:szCs w:val="24"/>
        </w:rPr>
        <w:t xml:space="preserve">rider cost recovery specified in the </w:t>
      </w:r>
      <w:r w:rsidRPr="00190BA4" w:rsidR="001B788F">
        <w:rPr>
          <w:rFonts w:cs="Times New Roman"/>
          <w:szCs w:val="24"/>
        </w:rPr>
        <w:t xml:space="preserve">Settlement </w:t>
      </w:r>
      <w:r w:rsidRPr="00190BA4" w:rsidR="00AC7782">
        <w:rPr>
          <w:rFonts w:cs="Times New Roman"/>
          <w:szCs w:val="24"/>
        </w:rPr>
        <w:t>violates</w:t>
      </w:r>
      <w:r w:rsidRPr="00190BA4" w:rsidR="002C690F">
        <w:rPr>
          <w:rFonts w:cs="Times New Roman"/>
          <w:szCs w:val="24"/>
        </w:rPr>
        <w:t xml:space="preserve"> fundamental ratemaking principles, thereby shifting the risk </w:t>
      </w:r>
      <w:r w:rsidRPr="00190BA4" w:rsidR="00133DD0">
        <w:rPr>
          <w:rFonts w:cs="Times New Roman"/>
          <w:szCs w:val="24"/>
        </w:rPr>
        <w:t xml:space="preserve">of inappropriate, </w:t>
      </w:r>
      <w:r w:rsidRPr="00190BA4" w:rsidR="002C690F">
        <w:rPr>
          <w:rFonts w:cs="Times New Roman"/>
          <w:szCs w:val="24"/>
        </w:rPr>
        <w:t xml:space="preserve">premature, and cost-ineffective investments from shareholders to </w:t>
      </w:r>
      <w:r w:rsidRPr="00190BA4" w:rsidR="001B788F">
        <w:rPr>
          <w:rFonts w:cs="Times New Roman"/>
          <w:szCs w:val="24"/>
        </w:rPr>
        <w:t>consumers</w:t>
      </w:r>
      <w:r w:rsidRPr="00190BA4" w:rsidR="002C690F">
        <w:rPr>
          <w:rFonts w:cs="Times New Roman"/>
          <w:szCs w:val="24"/>
        </w:rPr>
        <w:t>.</w:t>
      </w:r>
      <w:r w:rsidRPr="00190BA4" w:rsidR="00C11D9A">
        <w:rPr>
          <w:rFonts w:cs="Times New Roman"/>
          <w:szCs w:val="24"/>
        </w:rPr>
        <w:t xml:space="preserve"> </w:t>
      </w:r>
    </w:p>
    <w:p w:rsidR="00057522" w:rsidRPr="00190BA4" w:rsidP="0076240F" w14:paraId="598F0C6F" w14:textId="290D7A20">
      <w:pPr>
        <w:pStyle w:val="Heading3"/>
        <w:numPr>
          <w:ilvl w:val="0"/>
          <w:numId w:val="0"/>
        </w:numPr>
        <w:ind w:left="2160" w:hanging="720"/>
      </w:pPr>
      <w:bookmarkStart w:id="26" w:name="_Toc173315555"/>
      <w:r w:rsidRPr="00190BA4">
        <w:t>1.</w:t>
      </w:r>
      <w:r w:rsidRPr="00190BA4">
        <w:tab/>
      </w:r>
      <w:r w:rsidRPr="00190BA4" w:rsidR="00DA1F10">
        <w:t>The Grid Mod II Settlement violates the terms of the PUCO-approved Grid Mod I supplemental</w:t>
      </w:r>
      <w:r w:rsidRPr="00190BA4" w:rsidR="004220D7">
        <w:t xml:space="preserve"> settlement</w:t>
      </w:r>
      <w:r w:rsidRPr="00190BA4" w:rsidR="00DA1F10">
        <w:t>.</w:t>
      </w:r>
      <w:bookmarkEnd w:id="26"/>
    </w:p>
    <w:p w:rsidR="00CD1F75" w:rsidRPr="00190BA4" w:rsidP="00552DAE" w14:paraId="68C4A559" w14:textId="2FF64903">
      <w:pPr>
        <w:tabs>
          <w:tab w:val="left" w:pos="0"/>
        </w:tabs>
        <w:spacing w:after="0"/>
        <w:rPr>
          <w:rFonts w:cs="Times New Roman"/>
          <w:szCs w:val="24"/>
        </w:rPr>
      </w:pPr>
      <w:r w:rsidRPr="00190BA4">
        <w:rPr>
          <w:rFonts w:cs="Times New Roman"/>
          <w:szCs w:val="24"/>
        </w:rPr>
        <w:tab/>
      </w:r>
      <w:r w:rsidRPr="00190BA4" w:rsidR="005063BD">
        <w:rPr>
          <w:rFonts w:cs="Times New Roman"/>
          <w:szCs w:val="24"/>
        </w:rPr>
        <w:t>T</w:t>
      </w:r>
      <w:r w:rsidRPr="00190BA4" w:rsidR="00DD4692">
        <w:rPr>
          <w:rFonts w:cs="Times New Roman"/>
          <w:szCs w:val="24"/>
        </w:rPr>
        <w:t xml:space="preserve">he </w:t>
      </w:r>
      <w:r w:rsidRPr="00190BA4" w:rsidR="004220D7">
        <w:rPr>
          <w:rFonts w:cs="Times New Roman"/>
          <w:szCs w:val="24"/>
        </w:rPr>
        <w:t>s</w:t>
      </w:r>
      <w:r w:rsidRPr="00190BA4" w:rsidR="005063BD">
        <w:rPr>
          <w:rFonts w:cs="Times New Roman"/>
          <w:szCs w:val="24"/>
        </w:rPr>
        <w:t>upplemental Gr</w:t>
      </w:r>
      <w:r w:rsidRPr="00190BA4" w:rsidR="00DD4692">
        <w:rPr>
          <w:rFonts w:cs="Times New Roman"/>
          <w:szCs w:val="24"/>
        </w:rPr>
        <w:t xml:space="preserve">id Mod I </w:t>
      </w:r>
      <w:r w:rsidRPr="00190BA4" w:rsidR="004220D7">
        <w:rPr>
          <w:rFonts w:cs="Times New Roman"/>
          <w:szCs w:val="24"/>
        </w:rPr>
        <w:t xml:space="preserve">settlement </w:t>
      </w:r>
      <w:r w:rsidRPr="00190BA4" w:rsidR="005063BD">
        <w:rPr>
          <w:rFonts w:cs="Times New Roman"/>
          <w:szCs w:val="24"/>
        </w:rPr>
        <w:t xml:space="preserve">approved by the </w:t>
      </w:r>
      <w:r w:rsidRPr="00190BA4" w:rsidR="001B788F">
        <w:rPr>
          <w:rFonts w:cs="Times New Roman"/>
          <w:szCs w:val="24"/>
        </w:rPr>
        <w:t xml:space="preserve">PUCO </w:t>
      </w:r>
      <w:r w:rsidRPr="00190BA4" w:rsidR="005063BD">
        <w:rPr>
          <w:rFonts w:cs="Times New Roman"/>
          <w:szCs w:val="24"/>
        </w:rPr>
        <w:t>states</w:t>
      </w:r>
      <w:r w:rsidRPr="00190BA4" w:rsidR="00467C70">
        <w:rPr>
          <w:rFonts w:cs="Times New Roman"/>
          <w:szCs w:val="24"/>
        </w:rPr>
        <w:t>:</w:t>
      </w:r>
      <w:r w:rsidRPr="00190BA4" w:rsidR="005063BD">
        <w:rPr>
          <w:rFonts w:cs="Times New Roman"/>
          <w:szCs w:val="24"/>
        </w:rPr>
        <w:t xml:space="preserve"> </w:t>
      </w:r>
      <w:r w:rsidR="00DD6EB7">
        <w:rPr>
          <w:rFonts w:cs="Times New Roman"/>
          <w:szCs w:val="24"/>
        </w:rPr>
        <w:t>“</w:t>
      </w:r>
      <w:r w:rsidRPr="00190BA4" w:rsidR="00A703B6">
        <w:rPr>
          <w:rFonts w:cs="Times New Roman"/>
          <w:szCs w:val="24"/>
        </w:rPr>
        <w:t>Midway through the implementation period, Staff will perform an operational benefits assessment and a review or will obtain a consultant to conduct an operational benefits assessment and a review, to be completed prior to the commencement of Grid Mod II, to evaluate whether the actual functionality and performance of the project is consistent with the planned specifications.</w:t>
      </w:r>
      <w:r w:rsidR="00DD6EB7">
        <w:rPr>
          <w:rFonts w:cs="Times New Roman"/>
          <w:szCs w:val="24"/>
        </w:rPr>
        <w:t>”</w:t>
      </w:r>
      <w:r>
        <w:rPr>
          <w:rStyle w:val="FootnoteReference"/>
          <w:rFonts w:cs="Times New Roman"/>
          <w:szCs w:val="24"/>
        </w:rPr>
        <w:footnoteReference w:id="85"/>
      </w:r>
      <w:r w:rsidRPr="00190BA4" w:rsidR="00CF1064">
        <w:rPr>
          <w:rFonts w:cs="Times New Roman"/>
          <w:szCs w:val="24"/>
        </w:rPr>
        <w:t xml:space="preserve"> </w:t>
      </w:r>
      <w:r w:rsidRPr="00190BA4" w:rsidR="00AE0606">
        <w:rPr>
          <w:rFonts w:cs="Times New Roman"/>
          <w:szCs w:val="24"/>
        </w:rPr>
        <w:t xml:space="preserve">This language indicates that even before tainted </w:t>
      </w:r>
      <w:r w:rsidRPr="00190BA4" w:rsidR="00110B8C">
        <w:rPr>
          <w:rFonts w:cs="Times New Roman"/>
          <w:szCs w:val="24"/>
        </w:rPr>
        <w:t>H.B. 6</w:t>
      </w:r>
      <w:r w:rsidRPr="00190BA4" w:rsidR="00AE0606">
        <w:rPr>
          <w:rFonts w:cs="Times New Roman"/>
          <w:szCs w:val="24"/>
        </w:rPr>
        <w:t xml:space="preserve"> </w:t>
      </w:r>
      <w:r w:rsidRPr="00190BA4" w:rsidR="00BB7E3B">
        <w:rPr>
          <w:rFonts w:cs="Times New Roman"/>
          <w:szCs w:val="24"/>
        </w:rPr>
        <w:t>was unveiled</w:t>
      </w:r>
      <w:r w:rsidRPr="00190BA4" w:rsidR="00AE0606">
        <w:rPr>
          <w:rFonts w:cs="Times New Roman"/>
          <w:szCs w:val="24"/>
        </w:rPr>
        <w:t>,</w:t>
      </w:r>
      <w:r w:rsidRPr="00190BA4" w:rsidR="00A703B6">
        <w:rPr>
          <w:rFonts w:cs="Times New Roman"/>
          <w:szCs w:val="24"/>
        </w:rPr>
        <w:t xml:space="preserve"> the intervenors were concerned that </w:t>
      </w:r>
      <w:r w:rsidRPr="00190BA4" w:rsidR="001B788F">
        <w:rPr>
          <w:rFonts w:cs="Times New Roman"/>
          <w:szCs w:val="24"/>
        </w:rPr>
        <w:t>FirstEnergy</w:t>
      </w:r>
      <w:r w:rsidRPr="00190BA4" w:rsidR="00A703B6">
        <w:rPr>
          <w:rFonts w:cs="Times New Roman"/>
          <w:szCs w:val="24"/>
        </w:rPr>
        <w:t xml:space="preserve"> would not deliver the level of benefits promised </w:t>
      </w:r>
      <w:r w:rsidRPr="00190BA4" w:rsidR="003A55C5">
        <w:rPr>
          <w:rFonts w:cs="Times New Roman"/>
          <w:szCs w:val="24"/>
        </w:rPr>
        <w:t>from Grid Mod 1</w:t>
      </w:r>
      <w:r w:rsidRPr="00190BA4" w:rsidR="00BB7E3B">
        <w:rPr>
          <w:rFonts w:cs="Times New Roman"/>
          <w:szCs w:val="24"/>
        </w:rPr>
        <w:t xml:space="preserve">. These concerns were well-founded at the time and given the </w:t>
      </w:r>
      <w:r w:rsidRPr="00190BA4" w:rsidR="00110B8C">
        <w:rPr>
          <w:rFonts w:cs="Times New Roman"/>
          <w:szCs w:val="24"/>
        </w:rPr>
        <w:t>H.B. 6</w:t>
      </w:r>
      <w:r w:rsidRPr="00190BA4" w:rsidR="00BB7E3B">
        <w:rPr>
          <w:rFonts w:cs="Times New Roman"/>
          <w:szCs w:val="24"/>
        </w:rPr>
        <w:t xml:space="preserve"> bribery scandal these concerns are based on even firmer footing today.</w:t>
      </w:r>
    </w:p>
    <w:p w:rsidR="00BB7E3B" w:rsidRPr="00190BA4" w:rsidP="00552DAE" w14:paraId="75DA573F" w14:textId="6F5939DB">
      <w:pPr>
        <w:tabs>
          <w:tab w:val="left" w:pos="0"/>
        </w:tabs>
        <w:spacing w:after="0"/>
        <w:rPr>
          <w:rFonts w:cs="Times New Roman"/>
          <w:szCs w:val="24"/>
        </w:rPr>
      </w:pPr>
      <w:r w:rsidRPr="00190BA4">
        <w:rPr>
          <w:rFonts w:cs="Times New Roman"/>
          <w:szCs w:val="24"/>
        </w:rPr>
        <w:tab/>
      </w:r>
      <w:r w:rsidRPr="00190BA4" w:rsidR="00BB65BE">
        <w:rPr>
          <w:rFonts w:cs="Times New Roman"/>
          <w:szCs w:val="24"/>
        </w:rPr>
        <w:t>The PUCO-approved</w:t>
      </w:r>
      <w:r w:rsidRPr="00190BA4" w:rsidR="008A7FD9">
        <w:rPr>
          <w:rFonts w:cs="Times New Roman"/>
          <w:szCs w:val="24"/>
        </w:rPr>
        <w:t xml:space="preserve"> </w:t>
      </w:r>
      <w:r w:rsidRPr="00190BA4" w:rsidR="001C4907">
        <w:rPr>
          <w:rFonts w:cs="Times New Roman"/>
          <w:szCs w:val="24"/>
        </w:rPr>
        <w:t xml:space="preserve">supplemental Grid Mod I </w:t>
      </w:r>
      <w:r w:rsidRPr="00190BA4" w:rsidR="008A7FD9">
        <w:rPr>
          <w:rFonts w:cs="Times New Roman"/>
          <w:szCs w:val="24"/>
        </w:rPr>
        <w:t xml:space="preserve">settlement states </w:t>
      </w:r>
      <w:r w:rsidR="00DD6EB7">
        <w:rPr>
          <w:rFonts w:cs="Times New Roman"/>
          <w:szCs w:val="24"/>
        </w:rPr>
        <w:t>“</w:t>
      </w:r>
      <w:r w:rsidRPr="00190BA4" w:rsidR="001B788F">
        <w:rPr>
          <w:rFonts w:cs="Times New Roman"/>
          <w:szCs w:val="24"/>
        </w:rPr>
        <w:t>[t]</w:t>
      </w:r>
      <w:r w:rsidRPr="00190BA4" w:rsidR="00E373E1">
        <w:rPr>
          <w:rFonts w:cs="Times New Roman"/>
          <w:szCs w:val="24"/>
        </w:rPr>
        <w:t>here shall be no approval to begin implementation of Grid Mod II and no approval of costs or charges to customers for Grid Mod II, until after an independent Commission audit according to ratemaking standards</w:t>
      </w:r>
      <w:r w:rsidRPr="00190BA4" w:rsidR="00E52CBD">
        <w:rPr>
          <w:rFonts w:cs="Times New Roman"/>
          <w:szCs w:val="24"/>
        </w:rPr>
        <w:t xml:space="preserve"> and other standards is filed and the Commission resolves issues in a decision. If, through no fault of the Companies, the audit process is not resolved in a fashion that supports a</w:t>
      </w:r>
      <w:r w:rsidRPr="00190BA4" w:rsidR="00A50124">
        <w:rPr>
          <w:rFonts w:cs="Times New Roman"/>
          <w:szCs w:val="24"/>
        </w:rPr>
        <w:t xml:space="preserve"> </w:t>
      </w:r>
      <w:r w:rsidRPr="00190BA4" w:rsidR="00E52CBD">
        <w:rPr>
          <w:rFonts w:cs="Times New Roman"/>
          <w:szCs w:val="24"/>
        </w:rPr>
        <w:t>timely transition between Grid Mod I and Grid Mod II, the Companies may seek</w:t>
      </w:r>
      <w:r w:rsidRPr="00190BA4" w:rsidR="00A50124">
        <w:rPr>
          <w:rFonts w:cs="Times New Roman"/>
          <w:szCs w:val="24"/>
        </w:rPr>
        <w:t xml:space="preserve"> </w:t>
      </w:r>
      <w:r w:rsidRPr="00190BA4" w:rsidR="00E52CBD">
        <w:rPr>
          <w:rFonts w:cs="Times New Roman"/>
          <w:szCs w:val="24"/>
        </w:rPr>
        <w:t>Commission authorization to move forward with Grid Mod II, subject to the results of the</w:t>
      </w:r>
      <w:r w:rsidRPr="00190BA4" w:rsidR="00A50124">
        <w:rPr>
          <w:rFonts w:cs="Times New Roman"/>
          <w:szCs w:val="24"/>
        </w:rPr>
        <w:t xml:space="preserve"> </w:t>
      </w:r>
      <w:r w:rsidRPr="00190BA4" w:rsidR="00E52CBD">
        <w:rPr>
          <w:rFonts w:cs="Times New Roman"/>
          <w:szCs w:val="24"/>
        </w:rPr>
        <w:t>Commission audit.</w:t>
      </w:r>
      <w:r w:rsidR="00DD6EB7">
        <w:rPr>
          <w:rFonts w:cs="Times New Roman"/>
          <w:szCs w:val="24"/>
        </w:rPr>
        <w:t>”</w:t>
      </w:r>
      <w:r>
        <w:rPr>
          <w:rStyle w:val="FootnoteReference"/>
          <w:rFonts w:cs="Times New Roman"/>
          <w:szCs w:val="24"/>
        </w:rPr>
        <w:footnoteReference w:id="86"/>
      </w:r>
      <w:r w:rsidRPr="00190BA4" w:rsidR="008A7FD9">
        <w:rPr>
          <w:rFonts w:cs="Times New Roman"/>
          <w:szCs w:val="24"/>
        </w:rPr>
        <w:t xml:space="preserve"> </w:t>
      </w:r>
    </w:p>
    <w:p w:rsidR="00BB7E3B" w:rsidRPr="00190BA4" w:rsidP="00552DAE" w14:paraId="5B3D8D81" w14:textId="496CB447">
      <w:pPr>
        <w:tabs>
          <w:tab w:val="left" w:pos="0"/>
        </w:tabs>
        <w:spacing w:after="0"/>
        <w:rPr>
          <w:rFonts w:cs="Times New Roman"/>
          <w:szCs w:val="24"/>
        </w:rPr>
      </w:pPr>
      <w:r w:rsidRPr="00190BA4">
        <w:rPr>
          <w:rFonts w:cs="Times New Roman"/>
          <w:szCs w:val="24"/>
        </w:rPr>
        <w:tab/>
        <w:t xml:space="preserve">Thus, </w:t>
      </w:r>
      <w:r w:rsidRPr="00190BA4" w:rsidR="00BF6415">
        <w:rPr>
          <w:rFonts w:cs="Times New Roman"/>
          <w:szCs w:val="24"/>
        </w:rPr>
        <w:t xml:space="preserve">Grid Mod II </w:t>
      </w:r>
      <w:r w:rsidRPr="00190BA4">
        <w:rPr>
          <w:rFonts w:cs="Times New Roman"/>
          <w:szCs w:val="24"/>
        </w:rPr>
        <w:t>may not</w:t>
      </w:r>
      <w:r w:rsidRPr="00190BA4" w:rsidR="00BF6415">
        <w:rPr>
          <w:rFonts w:cs="Times New Roman"/>
          <w:szCs w:val="24"/>
        </w:rPr>
        <w:t xml:space="preserve"> move forward </w:t>
      </w:r>
      <w:r w:rsidRPr="00190BA4" w:rsidR="000371F4">
        <w:rPr>
          <w:rFonts w:cs="Times New Roman"/>
          <w:szCs w:val="24"/>
        </w:rPr>
        <w:t xml:space="preserve">until </w:t>
      </w:r>
      <w:r w:rsidR="00DD6EB7">
        <w:rPr>
          <w:rFonts w:cs="Times New Roman"/>
          <w:szCs w:val="24"/>
        </w:rPr>
        <w:t>“</w:t>
      </w:r>
      <w:r w:rsidRPr="00190BA4" w:rsidR="00BB3731">
        <w:rPr>
          <w:rFonts w:cs="Times New Roman"/>
          <w:szCs w:val="24"/>
        </w:rPr>
        <w:t>planned specifications</w:t>
      </w:r>
      <w:r w:rsidR="00DD6EB7">
        <w:rPr>
          <w:rFonts w:cs="Times New Roman"/>
          <w:szCs w:val="24"/>
        </w:rPr>
        <w:t>”</w:t>
      </w:r>
      <w:r w:rsidRPr="00190BA4" w:rsidR="00C2699F">
        <w:rPr>
          <w:rFonts w:cs="Times New Roman"/>
          <w:szCs w:val="24"/>
        </w:rPr>
        <w:t xml:space="preserve"> for Grid Mod I ha</w:t>
      </w:r>
      <w:r w:rsidRPr="00190BA4" w:rsidR="00C74DA9">
        <w:rPr>
          <w:rFonts w:cs="Times New Roman"/>
          <w:szCs w:val="24"/>
        </w:rPr>
        <w:t>ve</w:t>
      </w:r>
      <w:r w:rsidRPr="00190BA4" w:rsidR="00C2699F">
        <w:rPr>
          <w:rFonts w:cs="Times New Roman"/>
          <w:szCs w:val="24"/>
        </w:rPr>
        <w:t xml:space="preserve"> been </w:t>
      </w:r>
      <w:r w:rsidRPr="00190BA4" w:rsidR="00DD5771">
        <w:rPr>
          <w:rFonts w:cs="Times New Roman"/>
          <w:szCs w:val="24"/>
        </w:rPr>
        <w:t>delivered</w:t>
      </w:r>
      <w:r w:rsidRPr="00190BA4" w:rsidR="00C2699F">
        <w:rPr>
          <w:rFonts w:cs="Times New Roman"/>
          <w:szCs w:val="24"/>
        </w:rPr>
        <w:t>, as determined by an audit</w:t>
      </w:r>
      <w:r w:rsidRPr="00190BA4" w:rsidR="00BB3731">
        <w:rPr>
          <w:rFonts w:cs="Times New Roman"/>
          <w:szCs w:val="24"/>
        </w:rPr>
        <w:t>.</w:t>
      </w:r>
      <w:r w:rsidRPr="00190BA4" w:rsidR="00CF1064">
        <w:rPr>
          <w:rFonts w:cs="Times New Roman"/>
          <w:szCs w:val="24"/>
        </w:rPr>
        <w:t xml:space="preserve"> </w:t>
      </w:r>
      <w:r w:rsidRPr="00190BA4">
        <w:rPr>
          <w:rFonts w:cs="Times New Roman"/>
          <w:szCs w:val="24"/>
        </w:rPr>
        <w:t xml:space="preserve">As discussed above, </w:t>
      </w:r>
      <w:r w:rsidRPr="00190BA4" w:rsidR="00DD5771">
        <w:rPr>
          <w:rFonts w:cs="Times New Roman"/>
          <w:szCs w:val="24"/>
        </w:rPr>
        <w:t>the auditor concluded:</w:t>
      </w:r>
    </w:p>
    <w:p w:rsidR="00BB7E3B" w:rsidP="003C79EB" w14:paraId="65B137ED" w14:textId="77777777">
      <w:pPr>
        <w:pStyle w:val="ListParagraph"/>
        <w:numPr>
          <w:ilvl w:val="0"/>
          <w:numId w:val="3"/>
        </w:numPr>
        <w:tabs>
          <w:tab w:val="left" w:pos="0"/>
        </w:tabs>
        <w:spacing w:after="0" w:line="240" w:lineRule="auto"/>
        <w:ind w:left="1440" w:hanging="720"/>
        <w:rPr>
          <w:rFonts w:cs="Times New Roman"/>
          <w:bCs/>
          <w:szCs w:val="24"/>
        </w:rPr>
      </w:pPr>
      <w:r w:rsidRPr="00190BA4">
        <w:rPr>
          <w:rFonts w:cs="Times New Roman"/>
          <w:bCs/>
          <w:szCs w:val="24"/>
        </w:rPr>
        <w:t xml:space="preserve">the level of benefits documented did not match the level of benefits projected; </w:t>
      </w:r>
    </w:p>
    <w:p w:rsidR="008734F0" w:rsidRPr="00190BA4" w:rsidP="008734F0" w14:paraId="5EF481F6" w14:textId="77777777">
      <w:pPr>
        <w:pStyle w:val="ListParagraph"/>
        <w:tabs>
          <w:tab w:val="left" w:pos="0"/>
        </w:tabs>
        <w:spacing w:after="0" w:line="240" w:lineRule="auto"/>
        <w:ind w:left="1440"/>
        <w:rPr>
          <w:rFonts w:cs="Times New Roman"/>
          <w:bCs/>
          <w:szCs w:val="24"/>
        </w:rPr>
      </w:pPr>
    </w:p>
    <w:p w:rsidR="00BB7E3B" w:rsidP="003C79EB" w14:paraId="5ABB6227" w14:textId="77777777">
      <w:pPr>
        <w:pStyle w:val="ListParagraph"/>
        <w:numPr>
          <w:ilvl w:val="0"/>
          <w:numId w:val="3"/>
        </w:numPr>
        <w:tabs>
          <w:tab w:val="left" w:pos="0"/>
        </w:tabs>
        <w:spacing w:after="0" w:line="240" w:lineRule="auto"/>
        <w:ind w:left="1440" w:hanging="720"/>
        <w:rPr>
          <w:rFonts w:cs="Times New Roman"/>
          <w:bCs/>
          <w:szCs w:val="24"/>
        </w:rPr>
      </w:pPr>
      <w:r w:rsidRPr="00190BA4">
        <w:rPr>
          <w:rFonts w:cs="Times New Roman"/>
          <w:bCs/>
          <w:szCs w:val="24"/>
        </w:rPr>
        <w:t xml:space="preserve">data documenting benefit delivery was unavailable; and </w:t>
      </w:r>
    </w:p>
    <w:p w:rsidR="008734F0" w:rsidRPr="00190BA4" w:rsidP="008734F0" w14:paraId="2FF44ADD" w14:textId="77777777">
      <w:pPr>
        <w:pStyle w:val="ListParagraph"/>
        <w:tabs>
          <w:tab w:val="left" w:pos="0"/>
        </w:tabs>
        <w:spacing w:after="0" w:line="240" w:lineRule="auto"/>
        <w:ind w:left="1440"/>
        <w:rPr>
          <w:rFonts w:cs="Times New Roman"/>
          <w:bCs/>
          <w:szCs w:val="24"/>
        </w:rPr>
      </w:pPr>
    </w:p>
    <w:p w:rsidR="00BB7E3B" w:rsidRPr="00190BA4" w:rsidP="003C79EB" w14:paraId="61B150F3" w14:textId="77777777">
      <w:pPr>
        <w:pStyle w:val="ListParagraph"/>
        <w:numPr>
          <w:ilvl w:val="0"/>
          <w:numId w:val="3"/>
        </w:numPr>
        <w:tabs>
          <w:tab w:val="left" w:pos="0"/>
        </w:tabs>
        <w:spacing w:after="0" w:line="240" w:lineRule="auto"/>
        <w:ind w:left="1440" w:hanging="720"/>
        <w:rPr>
          <w:rFonts w:cs="Times New Roman"/>
          <w:bCs/>
          <w:szCs w:val="24"/>
        </w:rPr>
      </w:pPr>
      <w:r w:rsidRPr="00190BA4">
        <w:rPr>
          <w:rFonts w:cs="Times New Roman"/>
          <w:bCs/>
          <w:szCs w:val="24"/>
        </w:rPr>
        <w:t>inadequate resources had been dedicated to securing the benefits FirstEnergy projected from their Grid Mod I deployment.</w:t>
      </w:r>
      <w:r>
        <w:rPr>
          <w:rStyle w:val="FootnoteReference"/>
          <w:rFonts w:cs="Times New Roman"/>
          <w:bCs/>
          <w:szCs w:val="24"/>
        </w:rPr>
        <w:footnoteReference w:id="87"/>
      </w:r>
      <w:r w:rsidRPr="00190BA4">
        <w:rPr>
          <w:rFonts w:cs="Times New Roman"/>
          <w:bCs/>
          <w:szCs w:val="24"/>
        </w:rPr>
        <w:t xml:space="preserve"> </w:t>
      </w:r>
    </w:p>
    <w:p w:rsidR="00BB7E3B" w:rsidRPr="00190BA4" w:rsidP="00BB7E3B" w14:paraId="7636C4A5" w14:textId="77777777">
      <w:pPr>
        <w:tabs>
          <w:tab w:val="left" w:pos="0"/>
        </w:tabs>
        <w:spacing w:after="0" w:line="240" w:lineRule="auto"/>
        <w:rPr>
          <w:rFonts w:cs="Times New Roman"/>
          <w:bCs/>
          <w:szCs w:val="24"/>
        </w:rPr>
      </w:pPr>
    </w:p>
    <w:p w:rsidR="00970A5E" w:rsidRPr="00190BA4" w:rsidP="00BB7E3B" w14:paraId="156DC80E" w14:textId="0F35AB3E">
      <w:pPr>
        <w:tabs>
          <w:tab w:val="left" w:pos="0"/>
        </w:tabs>
        <w:spacing w:after="0"/>
        <w:rPr>
          <w:rFonts w:cs="Times New Roman"/>
          <w:szCs w:val="24"/>
        </w:rPr>
      </w:pPr>
      <w:r w:rsidRPr="00190BA4">
        <w:rPr>
          <w:rFonts w:cs="Times New Roman"/>
          <w:szCs w:val="24"/>
        </w:rPr>
        <w:tab/>
      </w:r>
      <w:r w:rsidRPr="00190BA4" w:rsidR="00524D62">
        <w:rPr>
          <w:rFonts w:cs="Times New Roman"/>
          <w:szCs w:val="24"/>
        </w:rPr>
        <w:t>T</w:t>
      </w:r>
      <w:r w:rsidRPr="00190BA4" w:rsidR="00EB4215">
        <w:rPr>
          <w:rFonts w:cs="Times New Roman"/>
          <w:szCs w:val="24"/>
        </w:rPr>
        <w:t xml:space="preserve">he </w:t>
      </w:r>
      <w:r w:rsidRPr="00190BA4" w:rsidR="00DD5771">
        <w:rPr>
          <w:rFonts w:cs="Times New Roman"/>
          <w:szCs w:val="24"/>
        </w:rPr>
        <w:t>auditor</w:t>
      </w:r>
      <w:r w:rsidR="00DD6EB7">
        <w:rPr>
          <w:rFonts w:cs="Times New Roman"/>
          <w:szCs w:val="24"/>
        </w:rPr>
        <w:t>’</w:t>
      </w:r>
      <w:r w:rsidRPr="00190BA4" w:rsidR="00DD5771">
        <w:rPr>
          <w:rFonts w:cs="Times New Roman"/>
          <w:szCs w:val="24"/>
        </w:rPr>
        <w:t xml:space="preserve">s report </w:t>
      </w:r>
      <w:r w:rsidRPr="00190BA4" w:rsidR="005D0F98">
        <w:rPr>
          <w:rFonts w:cs="Times New Roman"/>
          <w:szCs w:val="24"/>
        </w:rPr>
        <w:t>document</w:t>
      </w:r>
      <w:r w:rsidRPr="00190BA4">
        <w:rPr>
          <w:rFonts w:cs="Times New Roman"/>
          <w:szCs w:val="24"/>
        </w:rPr>
        <w:t>s</w:t>
      </w:r>
      <w:r w:rsidRPr="00190BA4" w:rsidR="005D0F98">
        <w:rPr>
          <w:rFonts w:cs="Times New Roman"/>
          <w:szCs w:val="24"/>
        </w:rPr>
        <w:t xml:space="preserve"> </w:t>
      </w:r>
      <w:r w:rsidRPr="00190BA4" w:rsidR="00DD5771">
        <w:rPr>
          <w:rFonts w:cs="Times New Roman"/>
          <w:szCs w:val="24"/>
        </w:rPr>
        <w:t xml:space="preserve">that Grid Mod I </w:t>
      </w:r>
      <w:r w:rsidRPr="00190BA4">
        <w:rPr>
          <w:rFonts w:cs="Times New Roman"/>
          <w:szCs w:val="24"/>
        </w:rPr>
        <w:t xml:space="preserve">failed to deliver </w:t>
      </w:r>
      <w:r w:rsidR="00DD6EB7">
        <w:rPr>
          <w:rFonts w:cs="Times New Roman"/>
          <w:szCs w:val="24"/>
        </w:rPr>
        <w:t>“</w:t>
      </w:r>
      <w:r w:rsidRPr="00190BA4" w:rsidR="00524D62">
        <w:rPr>
          <w:rFonts w:cs="Times New Roman"/>
          <w:szCs w:val="24"/>
        </w:rPr>
        <w:t>planned specifications</w:t>
      </w:r>
      <w:r w:rsidRPr="00190BA4">
        <w:rPr>
          <w:rFonts w:cs="Times New Roman"/>
          <w:szCs w:val="24"/>
        </w:rPr>
        <w:t>.</w:t>
      </w:r>
      <w:r w:rsidR="00DD6EB7">
        <w:rPr>
          <w:rFonts w:cs="Times New Roman"/>
          <w:szCs w:val="24"/>
        </w:rPr>
        <w:t>”</w:t>
      </w:r>
      <w:r w:rsidRPr="00190BA4">
        <w:rPr>
          <w:rFonts w:cs="Times New Roman"/>
          <w:szCs w:val="24"/>
        </w:rPr>
        <w:t xml:space="preserve"> Because</w:t>
      </w:r>
      <w:r w:rsidRPr="00190BA4" w:rsidR="00FA0AB5">
        <w:rPr>
          <w:rFonts w:cs="Times New Roman"/>
          <w:szCs w:val="24"/>
        </w:rPr>
        <w:t xml:space="preserve"> the </w:t>
      </w:r>
      <w:r w:rsidRPr="00190BA4" w:rsidR="00BB5850">
        <w:rPr>
          <w:rFonts w:cs="Times New Roman"/>
          <w:szCs w:val="24"/>
        </w:rPr>
        <w:t xml:space="preserve">Grid Mod I </w:t>
      </w:r>
      <w:r w:rsidRPr="00190BA4" w:rsidR="004220D7">
        <w:rPr>
          <w:rFonts w:cs="Times New Roman"/>
          <w:szCs w:val="24"/>
        </w:rPr>
        <w:t>s</w:t>
      </w:r>
      <w:r w:rsidRPr="00190BA4" w:rsidR="00BB5850">
        <w:rPr>
          <w:rFonts w:cs="Times New Roman"/>
          <w:szCs w:val="24"/>
        </w:rPr>
        <w:t xml:space="preserve">upplemental </w:t>
      </w:r>
      <w:r w:rsidRPr="00190BA4" w:rsidR="004220D7">
        <w:rPr>
          <w:rFonts w:cs="Times New Roman"/>
          <w:szCs w:val="24"/>
        </w:rPr>
        <w:t xml:space="preserve">settlement </w:t>
      </w:r>
      <w:r w:rsidRPr="00190BA4">
        <w:rPr>
          <w:rFonts w:cs="Times New Roman"/>
          <w:szCs w:val="24"/>
        </w:rPr>
        <w:t>expressly</w:t>
      </w:r>
      <w:r w:rsidRPr="00190BA4" w:rsidR="00BB5850">
        <w:rPr>
          <w:rFonts w:cs="Times New Roman"/>
          <w:szCs w:val="24"/>
        </w:rPr>
        <w:t xml:space="preserve"> </w:t>
      </w:r>
      <w:r w:rsidRPr="00190BA4">
        <w:rPr>
          <w:rFonts w:cs="Times New Roman"/>
          <w:szCs w:val="24"/>
        </w:rPr>
        <w:t>subjects approval of Grid Mod II to the results of the audit</w:t>
      </w:r>
      <w:r w:rsidRPr="00190BA4" w:rsidR="00DB7DF2">
        <w:rPr>
          <w:rFonts w:cs="Times New Roman"/>
          <w:szCs w:val="24"/>
        </w:rPr>
        <w:t xml:space="preserve">, </w:t>
      </w:r>
      <w:r w:rsidRPr="00190BA4">
        <w:rPr>
          <w:rFonts w:cs="Times New Roman"/>
          <w:szCs w:val="24"/>
        </w:rPr>
        <w:t xml:space="preserve">and the audits found that the </w:t>
      </w:r>
      <w:r w:rsidRPr="00190BA4" w:rsidR="003E52AC">
        <w:rPr>
          <w:rFonts w:cs="Times New Roman"/>
          <w:szCs w:val="24"/>
        </w:rPr>
        <w:t xml:space="preserve">benefits </w:t>
      </w:r>
      <w:r w:rsidRPr="00190BA4">
        <w:rPr>
          <w:rFonts w:cs="Times New Roman"/>
          <w:szCs w:val="24"/>
        </w:rPr>
        <w:t>FirstEnergy</w:t>
      </w:r>
      <w:r w:rsidRPr="00190BA4" w:rsidR="003E52AC">
        <w:rPr>
          <w:rFonts w:cs="Times New Roman"/>
          <w:szCs w:val="24"/>
        </w:rPr>
        <w:t xml:space="preserve"> promised did not match what it delivered, the </w:t>
      </w:r>
      <w:r w:rsidRPr="00190BA4" w:rsidR="001B788F">
        <w:rPr>
          <w:rFonts w:cs="Times New Roman"/>
          <w:szCs w:val="24"/>
        </w:rPr>
        <w:t xml:space="preserve">PUCO </w:t>
      </w:r>
      <w:r w:rsidRPr="00190BA4">
        <w:rPr>
          <w:rFonts w:cs="Times New Roman"/>
          <w:szCs w:val="24"/>
        </w:rPr>
        <w:t>should deny authorization to move forward</w:t>
      </w:r>
      <w:r w:rsidRPr="00190BA4" w:rsidR="003E52AC">
        <w:rPr>
          <w:rFonts w:cs="Times New Roman"/>
          <w:szCs w:val="24"/>
        </w:rPr>
        <w:t xml:space="preserve"> with Grid Mod II by</w:t>
      </w:r>
      <w:r w:rsidRPr="00190BA4">
        <w:rPr>
          <w:rFonts w:cs="Times New Roman"/>
          <w:szCs w:val="24"/>
        </w:rPr>
        <w:t xml:space="preserve"> reject</w:t>
      </w:r>
      <w:r w:rsidRPr="00190BA4" w:rsidR="003E52AC">
        <w:rPr>
          <w:rFonts w:cs="Times New Roman"/>
          <w:szCs w:val="24"/>
        </w:rPr>
        <w:t>ing</w:t>
      </w:r>
      <w:r w:rsidRPr="00190BA4">
        <w:rPr>
          <w:rFonts w:cs="Times New Roman"/>
          <w:szCs w:val="24"/>
        </w:rPr>
        <w:t xml:space="preserve"> the Settlement</w:t>
      </w:r>
      <w:r w:rsidRPr="00190BA4" w:rsidR="00EC2713">
        <w:rPr>
          <w:rFonts w:cs="Times New Roman"/>
          <w:szCs w:val="24"/>
        </w:rPr>
        <w:t>.</w:t>
      </w:r>
      <w:r w:rsidRPr="00190BA4" w:rsidR="00894AD4">
        <w:rPr>
          <w:rFonts w:cs="Times New Roman"/>
          <w:szCs w:val="24"/>
        </w:rPr>
        <w:t xml:space="preserve"> </w:t>
      </w:r>
    </w:p>
    <w:p w:rsidR="00D202B1" w:rsidRPr="00EF0CAC" w:rsidP="00EF0CAC" w14:paraId="2E64ADF1" w14:textId="390F194C">
      <w:pPr>
        <w:pStyle w:val="Heading3"/>
        <w:numPr>
          <w:ilvl w:val="0"/>
          <w:numId w:val="0"/>
        </w:numPr>
        <w:ind w:left="2160" w:hanging="720"/>
      </w:pPr>
      <w:bookmarkStart w:id="27" w:name="_Toc173315556"/>
      <w:r>
        <w:t>2.</w:t>
      </w:r>
      <w:r>
        <w:tab/>
      </w:r>
      <w:r w:rsidRPr="00EF0CAC" w:rsidR="00DA1F10">
        <w:t xml:space="preserve">Rider </w:t>
      </w:r>
      <w:r w:rsidRPr="00EF0CAC" w:rsidR="00A879A1">
        <w:t>r</w:t>
      </w:r>
      <w:r w:rsidRPr="00EF0CAC" w:rsidR="00DA1F10">
        <w:t xml:space="preserve">ecovery and </w:t>
      </w:r>
      <w:r w:rsidRPr="00EF0CAC" w:rsidR="00A879A1">
        <w:t>a</w:t>
      </w:r>
      <w:r w:rsidRPr="00EF0CAC" w:rsidR="00DA1F10">
        <w:t xml:space="preserve">dvance </w:t>
      </w:r>
      <w:r w:rsidRPr="00EF0CAC" w:rsidR="00A879A1">
        <w:t>r</w:t>
      </w:r>
      <w:r w:rsidRPr="00EF0CAC" w:rsidR="00DA1F10">
        <w:t xml:space="preserve">egulatory </w:t>
      </w:r>
      <w:r w:rsidRPr="00EF0CAC" w:rsidR="00A879A1">
        <w:t>r</w:t>
      </w:r>
      <w:r w:rsidRPr="00EF0CAC" w:rsidR="00DA1F10">
        <w:t xml:space="preserve">eview </w:t>
      </w:r>
      <w:r w:rsidRPr="00EF0CAC" w:rsidR="00A879A1">
        <w:t>v</w:t>
      </w:r>
      <w:r w:rsidRPr="00EF0CAC" w:rsidR="00DA1F10">
        <w:t xml:space="preserve">iolates </w:t>
      </w:r>
      <w:r w:rsidRPr="00EF0CAC" w:rsidR="00A879A1">
        <w:t>i</w:t>
      </w:r>
      <w:r w:rsidRPr="00EF0CAC" w:rsidR="00DA1F10">
        <w:t xml:space="preserve">mportant </w:t>
      </w:r>
      <w:r w:rsidRPr="00EF0CAC" w:rsidR="00A879A1">
        <w:t>r</w:t>
      </w:r>
      <w:r w:rsidRPr="00EF0CAC" w:rsidR="00DA1F10">
        <w:t xml:space="preserve">atemaking </w:t>
      </w:r>
      <w:r w:rsidRPr="00EF0CAC" w:rsidR="00A879A1">
        <w:t>p</w:t>
      </w:r>
      <w:r w:rsidRPr="00EF0CAC" w:rsidR="00DA1F10">
        <w:t>rinciples.</w:t>
      </w:r>
      <w:bookmarkEnd w:id="27"/>
    </w:p>
    <w:p w:rsidR="00D14E55" w:rsidRPr="00190BA4" w:rsidP="0094428F" w14:paraId="6A5FAD89" w14:textId="5AA7A01A">
      <w:pPr>
        <w:tabs>
          <w:tab w:val="left" w:pos="0"/>
        </w:tabs>
        <w:spacing w:after="0"/>
        <w:rPr>
          <w:rFonts w:cs="Times New Roman"/>
          <w:b/>
          <w:bCs/>
          <w:i/>
          <w:iCs/>
          <w:szCs w:val="24"/>
        </w:rPr>
      </w:pPr>
      <w:r w:rsidRPr="00190BA4">
        <w:rPr>
          <w:rFonts w:cs="Times New Roman"/>
          <w:szCs w:val="24"/>
        </w:rPr>
        <w:tab/>
      </w:r>
      <w:r w:rsidRPr="00190BA4" w:rsidR="004220D7">
        <w:rPr>
          <w:rFonts w:cs="Times New Roman"/>
          <w:szCs w:val="24"/>
        </w:rPr>
        <w:t xml:space="preserve">The Settlement violates regulatory principles by </w:t>
      </w:r>
      <w:r w:rsidRPr="00190BA4" w:rsidR="009655D2">
        <w:rPr>
          <w:rFonts w:cs="Times New Roman"/>
          <w:i/>
          <w:iCs/>
          <w:szCs w:val="24"/>
        </w:rPr>
        <w:t>guaranteeing</w:t>
      </w:r>
      <w:r w:rsidRPr="00190BA4" w:rsidR="009655D2">
        <w:rPr>
          <w:rFonts w:cs="Times New Roman"/>
          <w:szCs w:val="24"/>
        </w:rPr>
        <w:t xml:space="preserve"> a rate of return rather than an </w:t>
      </w:r>
      <w:r w:rsidRPr="00190BA4" w:rsidR="009655D2">
        <w:rPr>
          <w:rFonts w:cs="Times New Roman"/>
          <w:i/>
          <w:iCs/>
          <w:szCs w:val="24"/>
        </w:rPr>
        <w:t>opportunity</w:t>
      </w:r>
      <w:r w:rsidRPr="00190BA4" w:rsidR="009655D2">
        <w:rPr>
          <w:rFonts w:cs="Times New Roman"/>
          <w:szCs w:val="24"/>
        </w:rPr>
        <w:t xml:space="preserve"> to achieve a stated rate of return</w:t>
      </w:r>
      <w:r w:rsidRPr="00190BA4" w:rsidR="004220D7">
        <w:rPr>
          <w:rFonts w:cs="Times New Roman"/>
          <w:szCs w:val="24"/>
        </w:rPr>
        <w:t xml:space="preserve">. </w:t>
      </w:r>
      <w:r w:rsidRPr="00190BA4" w:rsidR="009655D2">
        <w:rPr>
          <w:rFonts w:cs="Times New Roman"/>
          <w:szCs w:val="24"/>
        </w:rPr>
        <w:t xml:space="preserve">But </w:t>
      </w:r>
      <w:r w:rsidR="00DD6EB7">
        <w:rPr>
          <w:rFonts w:cs="Times New Roman"/>
          <w:szCs w:val="24"/>
        </w:rPr>
        <w:t>“</w:t>
      </w:r>
      <w:r w:rsidRPr="00190BA4" w:rsidR="009655D2">
        <w:rPr>
          <w:rFonts w:cs="Times New Roman"/>
          <w:szCs w:val="24"/>
        </w:rPr>
        <w:t>[i]</w:t>
      </w:r>
      <w:r w:rsidRPr="00190BA4" w:rsidR="00DF6B61">
        <w:rPr>
          <w:rFonts w:cs="Times New Roman"/>
          <w:szCs w:val="24"/>
        </w:rPr>
        <w:t>t is a fundamental regulatory principle that the approved rate of return is to afford the utility</w:t>
      </w:r>
      <w:r w:rsidR="00DD6EB7">
        <w:rPr>
          <w:rFonts w:cs="Times New Roman"/>
          <w:szCs w:val="24"/>
        </w:rPr>
        <w:t>’</w:t>
      </w:r>
      <w:r w:rsidRPr="00190BA4" w:rsidR="00DF6B61">
        <w:rPr>
          <w:rFonts w:cs="Times New Roman"/>
          <w:szCs w:val="24"/>
        </w:rPr>
        <w:t>s shareholders the opportunity to achieve the stated rate of return but is not a guarantee.</w:t>
      </w:r>
      <w:r w:rsidR="00DD6EB7">
        <w:rPr>
          <w:rFonts w:cs="Times New Roman"/>
          <w:szCs w:val="24"/>
        </w:rPr>
        <w:t>”</w:t>
      </w:r>
      <w:r>
        <w:rPr>
          <w:rStyle w:val="FootnoteReference"/>
          <w:rFonts w:cs="Times New Roman"/>
          <w:szCs w:val="24"/>
        </w:rPr>
        <w:footnoteReference w:id="88"/>
      </w:r>
      <w:r w:rsidRPr="00190BA4" w:rsidR="00DF6B61">
        <w:rPr>
          <w:rFonts w:cs="Times New Roman"/>
          <w:b/>
          <w:bCs/>
          <w:i/>
          <w:iCs/>
          <w:szCs w:val="24"/>
        </w:rPr>
        <w:t> </w:t>
      </w:r>
      <w:r w:rsidRPr="00190BA4" w:rsidR="003E52AC">
        <w:rPr>
          <w:rFonts w:cs="Times New Roman"/>
          <w:szCs w:val="24"/>
        </w:rPr>
        <w:t>OCC</w:t>
      </w:r>
      <w:r w:rsidRPr="00190BA4" w:rsidR="00FA39A2">
        <w:rPr>
          <w:rFonts w:cs="Times New Roman"/>
          <w:szCs w:val="24"/>
        </w:rPr>
        <w:t>/NOAC</w:t>
      </w:r>
      <w:r w:rsidRPr="00190BA4" w:rsidR="003E52AC">
        <w:rPr>
          <w:rFonts w:cs="Times New Roman"/>
          <w:szCs w:val="24"/>
        </w:rPr>
        <w:t xml:space="preserve"> Witness Alvarez explained that </w:t>
      </w:r>
      <w:r w:rsidRPr="00190BA4">
        <w:rPr>
          <w:rFonts w:cs="Times New Roman"/>
          <w:szCs w:val="24"/>
        </w:rPr>
        <w:t xml:space="preserve">to this end, </w:t>
      </w:r>
      <w:r w:rsidR="00DD6EB7">
        <w:rPr>
          <w:rFonts w:cs="Times New Roman"/>
          <w:szCs w:val="24"/>
        </w:rPr>
        <w:t>“</w:t>
      </w:r>
      <w:r w:rsidRPr="00190BA4" w:rsidR="006F6FAD">
        <w:rPr>
          <w:rFonts w:cs="Times New Roman"/>
          <w:szCs w:val="24"/>
        </w:rPr>
        <w:t xml:space="preserve">regulators, Staff, and intervenors have historically relied on the </w:t>
      </w:r>
      <w:r w:rsidRPr="00190BA4" w:rsidR="00DB5344">
        <w:rPr>
          <w:rFonts w:cs="Times New Roman"/>
          <w:szCs w:val="24"/>
        </w:rPr>
        <w:t xml:space="preserve">capital spending governance </w:t>
      </w:r>
      <w:r w:rsidRPr="00190BA4" w:rsidR="006F6FAD">
        <w:rPr>
          <w:rFonts w:cs="Times New Roman"/>
          <w:szCs w:val="24"/>
        </w:rPr>
        <w:t>encouraged by cost disallowance risk and</w:t>
      </w:r>
      <w:r w:rsidRPr="00190BA4" w:rsidR="008A7FD9">
        <w:rPr>
          <w:rFonts w:cs="Times New Roman"/>
          <w:szCs w:val="24"/>
        </w:rPr>
        <w:t xml:space="preserve"> regulatory lag</w:t>
      </w:r>
      <w:r w:rsidRPr="00190BA4" w:rsidR="00DB5344">
        <w:rPr>
          <w:rFonts w:cs="Times New Roman"/>
          <w:szCs w:val="24"/>
        </w:rPr>
        <w:t xml:space="preserve"> to 1) </w:t>
      </w:r>
      <w:r w:rsidRPr="00190BA4" w:rsidR="00EE5C77">
        <w:rPr>
          <w:rFonts w:cs="Times New Roman"/>
          <w:szCs w:val="24"/>
        </w:rPr>
        <w:t xml:space="preserve">eliminate inappropriate, premature, and cost-ineffective capital spending; and 2) </w:t>
      </w:r>
      <w:r w:rsidRPr="00190BA4" w:rsidR="008A7FD9">
        <w:rPr>
          <w:rFonts w:cs="Times New Roman"/>
          <w:szCs w:val="24"/>
        </w:rPr>
        <w:t>reduce the impact of information (and resource and expertise) asymmetry.</w:t>
      </w:r>
      <w:r w:rsidR="00DD6EB7">
        <w:rPr>
          <w:rFonts w:cs="Times New Roman"/>
          <w:szCs w:val="24"/>
        </w:rPr>
        <w:t>”</w:t>
      </w:r>
      <w:r>
        <w:rPr>
          <w:rStyle w:val="FootnoteReference"/>
          <w:rFonts w:cs="Times New Roman"/>
          <w:szCs w:val="24"/>
        </w:rPr>
        <w:footnoteReference w:id="89"/>
      </w:r>
      <w:r w:rsidRPr="00190BA4" w:rsidR="003E52AC">
        <w:rPr>
          <w:rFonts w:cs="Times New Roman"/>
          <w:b/>
          <w:bCs/>
          <w:i/>
          <w:iCs/>
          <w:szCs w:val="24"/>
        </w:rPr>
        <w:t xml:space="preserve"> </w:t>
      </w:r>
    </w:p>
    <w:p w:rsidR="004834D6" w:rsidRPr="00190BA4" w:rsidP="0094428F" w14:paraId="29098B6F" w14:textId="3817FE32">
      <w:pPr>
        <w:tabs>
          <w:tab w:val="left" w:pos="0"/>
        </w:tabs>
        <w:spacing w:after="0"/>
        <w:rPr>
          <w:rFonts w:cs="Times New Roman"/>
          <w:szCs w:val="24"/>
        </w:rPr>
      </w:pPr>
      <w:r w:rsidRPr="00190BA4">
        <w:rPr>
          <w:rFonts w:cs="Times New Roman"/>
          <w:b/>
          <w:bCs/>
          <w:i/>
          <w:iCs/>
          <w:szCs w:val="24"/>
        </w:rPr>
        <w:tab/>
      </w:r>
      <w:r w:rsidRPr="00190BA4" w:rsidR="003E52AC">
        <w:rPr>
          <w:rFonts w:cs="Times New Roman"/>
          <w:szCs w:val="24"/>
        </w:rPr>
        <w:t xml:space="preserve">In contrast, </w:t>
      </w:r>
      <w:r w:rsidRPr="00190BA4" w:rsidR="00DF6B61">
        <w:rPr>
          <w:rFonts w:cs="Times New Roman"/>
          <w:szCs w:val="24"/>
        </w:rPr>
        <w:t>advance regulatory review</w:t>
      </w:r>
      <w:r w:rsidRPr="00190BA4">
        <w:rPr>
          <w:rFonts w:cs="Times New Roman"/>
          <w:szCs w:val="24"/>
        </w:rPr>
        <w:t>, which</w:t>
      </w:r>
      <w:r w:rsidRPr="00190BA4" w:rsidR="00DF6B61">
        <w:rPr>
          <w:rFonts w:cs="Times New Roman"/>
          <w:szCs w:val="24"/>
        </w:rPr>
        <w:t xml:space="preserve"> is part and parcel to </w:t>
      </w:r>
      <w:r w:rsidRPr="00190BA4" w:rsidR="003E52AC">
        <w:rPr>
          <w:rFonts w:cs="Times New Roman"/>
          <w:szCs w:val="24"/>
        </w:rPr>
        <w:t>r</w:t>
      </w:r>
      <w:r w:rsidRPr="00190BA4" w:rsidR="00207445">
        <w:rPr>
          <w:rFonts w:cs="Times New Roman"/>
          <w:szCs w:val="24"/>
        </w:rPr>
        <w:t>ider ratemaking</w:t>
      </w:r>
      <w:r w:rsidRPr="00190BA4">
        <w:rPr>
          <w:rFonts w:cs="Times New Roman"/>
          <w:szCs w:val="24"/>
        </w:rPr>
        <w:t>,</w:t>
      </w:r>
      <w:r w:rsidRPr="00190BA4" w:rsidR="00DF6B61">
        <w:rPr>
          <w:rFonts w:cs="Times New Roman"/>
          <w:szCs w:val="24"/>
        </w:rPr>
        <w:t xml:space="preserve"> is </w:t>
      </w:r>
      <w:r w:rsidRPr="00190BA4" w:rsidR="00207445">
        <w:rPr>
          <w:rFonts w:cs="Times New Roman"/>
          <w:szCs w:val="24"/>
        </w:rPr>
        <w:t>intended to reduce regulatory lag to practically nothing, but</w:t>
      </w:r>
      <w:r w:rsidRPr="00190BA4" w:rsidR="004220D7">
        <w:rPr>
          <w:rFonts w:cs="Times New Roman"/>
          <w:szCs w:val="24"/>
        </w:rPr>
        <w:t xml:space="preserve"> it</w:t>
      </w:r>
      <w:r w:rsidRPr="00190BA4" w:rsidR="00207445">
        <w:rPr>
          <w:rFonts w:cs="Times New Roman"/>
          <w:szCs w:val="24"/>
        </w:rPr>
        <w:t xml:space="preserve"> comes with </w:t>
      </w:r>
      <w:r w:rsidRPr="00190BA4" w:rsidR="005702B9">
        <w:rPr>
          <w:rFonts w:cs="Times New Roman"/>
          <w:szCs w:val="24"/>
        </w:rPr>
        <w:t>significant unintended consequences</w:t>
      </w:r>
      <w:r w:rsidRPr="00190BA4" w:rsidR="00DF6B61">
        <w:rPr>
          <w:rFonts w:cs="Times New Roman"/>
          <w:szCs w:val="24"/>
        </w:rPr>
        <w:t>.</w:t>
      </w:r>
      <w:r>
        <w:rPr>
          <w:rStyle w:val="FootnoteReference"/>
          <w:rFonts w:cs="Times New Roman"/>
          <w:szCs w:val="24"/>
        </w:rPr>
        <w:footnoteReference w:id="90"/>
      </w:r>
      <w:r w:rsidRPr="00190BA4" w:rsidR="00CF1064">
        <w:rPr>
          <w:rFonts w:cs="Times New Roman"/>
          <w:szCs w:val="24"/>
        </w:rPr>
        <w:t xml:space="preserve"> </w:t>
      </w:r>
      <w:r w:rsidRPr="00190BA4" w:rsidR="003E52AC">
        <w:rPr>
          <w:rFonts w:cs="Times New Roman"/>
          <w:szCs w:val="24"/>
        </w:rPr>
        <w:t>OCC</w:t>
      </w:r>
      <w:r w:rsidRPr="00190BA4" w:rsidR="00FA39A2">
        <w:rPr>
          <w:rFonts w:cs="Times New Roman"/>
          <w:szCs w:val="24"/>
        </w:rPr>
        <w:t>/NOAC</w:t>
      </w:r>
      <w:r w:rsidRPr="00190BA4" w:rsidR="003E52AC">
        <w:rPr>
          <w:rFonts w:cs="Times New Roman"/>
          <w:szCs w:val="24"/>
        </w:rPr>
        <w:t xml:space="preserve"> Witness Alvarez identified these </w:t>
      </w:r>
      <w:r w:rsidRPr="00190BA4" w:rsidR="001879A9">
        <w:rPr>
          <w:rFonts w:cs="Times New Roman"/>
          <w:szCs w:val="24"/>
        </w:rPr>
        <w:t xml:space="preserve">unintended consequences </w:t>
      </w:r>
      <w:r w:rsidRPr="00190BA4" w:rsidR="00DF6B61">
        <w:rPr>
          <w:rFonts w:cs="Times New Roman"/>
          <w:szCs w:val="24"/>
        </w:rPr>
        <w:t xml:space="preserve">practically </w:t>
      </w:r>
      <w:r w:rsidRPr="00190BA4" w:rsidR="004220D7">
        <w:rPr>
          <w:rFonts w:cs="Times New Roman"/>
          <w:szCs w:val="24"/>
        </w:rPr>
        <w:t xml:space="preserve">as </w:t>
      </w:r>
      <w:r w:rsidRPr="00190BA4" w:rsidR="00DF6B61">
        <w:rPr>
          <w:rFonts w:cs="Times New Roman"/>
          <w:szCs w:val="24"/>
        </w:rPr>
        <w:t>eliminating cost disallowance risk by shifting</w:t>
      </w:r>
      <w:r w:rsidRPr="00190BA4" w:rsidR="001879A9">
        <w:rPr>
          <w:rFonts w:cs="Times New Roman"/>
          <w:szCs w:val="24"/>
        </w:rPr>
        <w:t xml:space="preserve"> </w:t>
      </w:r>
      <w:r w:rsidRPr="00190BA4" w:rsidR="003E52AC">
        <w:rPr>
          <w:rFonts w:cs="Times New Roman"/>
          <w:szCs w:val="24"/>
        </w:rPr>
        <w:t xml:space="preserve">of </w:t>
      </w:r>
      <w:r w:rsidRPr="00190BA4" w:rsidR="00DF6B61">
        <w:rPr>
          <w:rFonts w:cs="Times New Roman"/>
          <w:szCs w:val="24"/>
        </w:rPr>
        <w:t>investment</w:t>
      </w:r>
      <w:r w:rsidRPr="00190BA4" w:rsidR="001879A9">
        <w:rPr>
          <w:rFonts w:cs="Times New Roman"/>
          <w:szCs w:val="24"/>
        </w:rPr>
        <w:t xml:space="preserve"> </w:t>
      </w:r>
      <w:r w:rsidRPr="00190BA4" w:rsidR="00BC1F71">
        <w:rPr>
          <w:rFonts w:cs="Times New Roman"/>
          <w:szCs w:val="24"/>
        </w:rPr>
        <w:t xml:space="preserve">risk from shareholders to </w:t>
      </w:r>
      <w:r w:rsidRPr="00190BA4" w:rsidR="00F2303B">
        <w:rPr>
          <w:rFonts w:cs="Times New Roman"/>
          <w:szCs w:val="24"/>
        </w:rPr>
        <w:t>consumers</w:t>
      </w:r>
      <w:r w:rsidRPr="00190BA4" w:rsidR="00BC1F71">
        <w:rPr>
          <w:rFonts w:cs="Times New Roman"/>
          <w:szCs w:val="24"/>
        </w:rPr>
        <w:t xml:space="preserve">, and </w:t>
      </w:r>
      <w:r w:rsidRPr="00190BA4" w:rsidR="003E52AC">
        <w:rPr>
          <w:rFonts w:cs="Times New Roman"/>
          <w:szCs w:val="24"/>
        </w:rPr>
        <w:t xml:space="preserve">an </w:t>
      </w:r>
      <w:r w:rsidRPr="00190BA4" w:rsidR="009C7C57">
        <w:rPr>
          <w:rFonts w:cs="Times New Roman"/>
          <w:szCs w:val="24"/>
        </w:rPr>
        <w:t xml:space="preserve">effective shift </w:t>
      </w:r>
      <w:r w:rsidRPr="00190BA4" w:rsidR="003E52AC">
        <w:rPr>
          <w:rFonts w:cs="Times New Roman"/>
          <w:szCs w:val="24"/>
        </w:rPr>
        <w:t xml:space="preserve">of </w:t>
      </w:r>
      <w:r w:rsidRPr="00190BA4" w:rsidR="009C7C57">
        <w:rPr>
          <w:rFonts w:cs="Times New Roman"/>
          <w:szCs w:val="24"/>
        </w:rPr>
        <w:t xml:space="preserve">the burden of prudence from utilities to </w:t>
      </w:r>
      <w:r w:rsidRPr="00190BA4" w:rsidR="00DF6B61">
        <w:rPr>
          <w:rFonts w:cs="Times New Roman"/>
          <w:szCs w:val="24"/>
        </w:rPr>
        <w:t>intervenors</w:t>
      </w:r>
      <w:r w:rsidRPr="00190BA4" w:rsidR="00AA2B56">
        <w:rPr>
          <w:rFonts w:cs="Times New Roman"/>
          <w:szCs w:val="24"/>
        </w:rPr>
        <w:t>.</w:t>
      </w:r>
      <w:r>
        <w:rPr>
          <w:rStyle w:val="FootnoteReference"/>
          <w:rFonts w:cs="Times New Roman"/>
          <w:szCs w:val="24"/>
        </w:rPr>
        <w:footnoteReference w:id="91"/>
      </w:r>
      <w:r w:rsidRPr="00190BA4" w:rsidR="00CF1064">
        <w:rPr>
          <w:rFonts w:cs="Times New Roman"/>
          <w:szCs w:val="24"/>
        </w:rPr>
        <w:t xml:space="preserve"> </w:t>
      </w:r>
    </w:p>
    <w:p w:rsidR="00D14E55" w:rsidRPr="00190BA4" w:rsidP="00CA6CB9" w14:paraId="02FD5DD9" w14:textId="3E23A416">
      <w:pPr>
        <w:tabs>
          <w:tab w:val="left" w:pos="0"/>
        </w:tabs>
        <w:spacing w:after="0"/>
        <w:rPr>
          <w:rFonts w:cs="Times New Roman"/>
          <w:szCs w:val="24"/>
        </w:rPr>
      </w:pPr>
      <w:r w:rsidRPr="00190BA4">
        <w:rPr>
          <w:rFonts w:cs="Times New Roman"/>
          <w:szCs w:val="24"/>
        </w:rPr>
        <w:tab/>
        <w:t>Allowing advance regulatory review such as that contemplated in First Energy</w:t>
      </w:r>
      <w:r w:rsidR="00DD6EB7">
        <w:rPr>
          <w:rFonts w:cs="Times New Roman"/>
          <w:szCs w:val="24"/>
        </w:rPr>
        <w:t>’</w:t>
      </w:r>
      <w:r w:rsidRPr="00190BA4">
        <w:rPr>
          <w:rFonts w:cs="Times New Roman"/>
          <w:szCs w:val="24"/>
        </w:rPr>
        <w:t xml:space="preserve">s Grid Modernization plans violates the important regulatory principle that utilities have the opportunity to earn a return on their investment but </w:t>
      </w:r>
      <w:r w:rsidRPr="00190BA4" w:rsidR="004220D7">
        <w:rPr>
          <w:rFonts w:cs="Times New Roman"/>
          <w:szCs w:val="24"/>
        </w:rPr>
        <w:t xml:space="preserve">should </w:t>
      </w:r>
      <w:r w:rsidRPr="00190BA4">
        <w:rPr>
          <w:rFonts w:cs="Times New Roman"/>
          <w:szCs w:val="24"/>
        </w:rPr>
        <w:t>bear the risk of cost disallowance to ensure that their investment is prudent.</w:t>
      </w:r>
      <w:r>
        <w:rPr>
          <w:rStyle w:val="FootnoteReference"/>
          <w:rFonts w:cs="Times New Roman"/>
          <w:szCs w:val="24"/>
        </w:rPr>
        <w:footnoteReference w:id="92"/>
      </w:r>
      <w:r w:rsidRPr="00190BA4">
        <w:rPr>
          <w:rFonts w:cs="Times New Roman"/>
          <w:szCs w:val="24"/>
        </w:rPr>
        <w:t xml:space="preserve"> The Settlement violates this important regulatory principle, and thus the PUCO should reject the settlement.</w:t>
      </w:r>
    </w:p>
    <w:p w:rsidR="00F31550" w:rsidRPr="00190BA4" w:rsidP="00F31550" w14:paraId="35DBB0B0" w14:textId="71B3487E">
      <w:pPr>
        <w:pStyle w:val="Heading2"/>
      </w:pPr>
      <w:bookmarkStart w:id="28" w:name="_Toc173315557"/>
      <w:r w:rsidRPr="00190BA4">
        <w:t xml:space="preserve">The PUCO </w:t>
      </w:r>
      <w:r w:rsidRPr="00190BA4" w:rsidR="00CA6CB9">
        <w:t>s</w:t>
      </w:r>
      <w:r w:rsidRPr="00190BA4">
        <w:t xml:space="preserve">hould </w:t>
      </w:r>
      <w:r w:rsidRPr="00190BA4" w:rsidR="00CA6CB9">
        <w:t>r</w:t>
      </w:r>
      <w:r w:rsidRPr="00190BA4">
        <w:t xml:space="preserve">eject </w:t>
      </w:r>
      <w:r w:rsidRPr="00190BA4" w:rsidR="00CA6CB9">
        <w:t>t</w:t>
      </w:r>
      <w:r w:rsidRPr="00190BA4">
        <w:t>he Settlement</w:t>
      </w:r>
      <w:r w:rsidRPr="00190BA4" w:rsidR="004220D7">
        <w:t xml:space="preserve"> because it harms consumers and violated regulatory principles. However, if the PUCO accepts the Settl</w:t>
      </w:r>
      <w:r w:rsidRPr="00190BA4" w:rsidR="000264CA">
        <w:t>e</w:t>
      </w:r>
      <w:r w:rsidRPr="00190BA4" w:rsidR="004220D7">
        <w:t xml:space="preserve">ment, </w:t>
      </w:r>
      <w:r w:rsidRPr="00190BA4" w:rsidR="0074769A">
        <w:t>it should be modified to require more protections for residential</w:t>
      </w:r>
      <w:r w:rsidRPr="00190BA4">
        <w:t xml:space="preserve"> </w:t>
      </w:r>
      <w:r w:rsidRPr="00190BA4" w:rsidR="00CA6CB9">
        <w:t>c</w:t>
      </w:r>
      <w:r w:rsidRPr="00190BA4">
        <w:t>onsumer</w:t>
      </w:r>
      <w:r w:rsidRPr="00190BA4" w:rsidR="0074769A">
        <w:t>s</w:t>
      </w:r>
      <w:r w:rsidRPr="00190BA4">
        <w:t>.</w:t>
      </w:r>
      <w:bookmarkEnd w:id="28"/>
    </w:p>
    <w:p w:rsidR="001E21AA" w:rsidP="00E51452" w14:paraId="0276AD2C" w14:textId="68CD3F13">
      <w:pPr>
        <w:spacing w:after="0"/>
        <w:ind w:firstLine="720"/>
        <w:rPr>
          <w:rFonts w:cs="Times New Roman"/>
          <w:szCs w:val="24"/>
        </w:rPr>
      </w:pPr>
      <w:r w:rsidRPr="00190BA4">
        <w:rPr>
          <w:rFonts w:cs="Times New Roman"/>
          <w:szCs w:val="24"/>
        </w:rPr>
        <w:t>The PUCO should reject the Settlement</w:t>
      </w:r>
      <w:r w:rsidRPr="00190BA4" w:rsidR="00F31550">
        <w:rPr>
          <w:rFonts w:cs="Times New Roman"/>
          <w:szCs w:val="24"/>
        </w:rPr>
        <w:t xml:space="preserve">. </w:t>
      </w:r>
      <w:r w:rsidRPr="00190BA4" w:rsidR="00F5079C">
        <w:rPr>
          <w:rFonts w:cs="Times New Roman"/>
          <w:b/>
          <w:szCs w:val="24"/>
        </w:rPr>
        <w:t xml:space="preserve">That leaves the real question: can residential smart meters in the FirstEnergy territory deliver </w:t>
      </w:r>
      <w:r w:rsidR="00031355">
        <w:rPr>
          <w:rFonts w:cs="Times New Roman"/>
          <w:b/>
          <w:szCs w:val="24"/>
        </w:rPr>
        <w:t>enough</w:t>
      </w:r>
      <w:r w:rsidRPr="00190BA4" w:rsidR="00F5079C">
        <w:rPr>
          <w:rFonts w:cs="Times New Roman"/>
          <w:b/>
          <w:szCs w:val="24"/>
        </w:rPr>
        <w:t xml:space="preserve"> saving</w:t>
      </w:r>
      <w:r w:rsidR="00031355">
        <w:rPr>
          <w:rFonts w:cs="Times New Roman"/>
          <w:b/>
          <w:szCs w:val="24"/>
        </w:rPr>
        <w:t>s</w:t>
      </w:r>
      <w:r w:rsidRPr="00190BA4" w:rsidR="00F5079C">
        <w:rPr>
          <w:rFonts w:cs="Times New Roman"/>
          <w:b/>
          <w:szCs w:val="24"/>
        </w:rPr>
        <w:t xml:space="preserve"> </w:t>
      </w:r>
      <w:r w:rsidR="00031355">
        <w:rPr>
          <w:rFonts w:cs="Times New Roman"/>
          <w:b/>
          <w:szCs w:val="24"/>
        </w:rPr>
        <w:t>where this investment</w:t>
      </w:r>
      <w:r w:rsidRPr="00190BA4" w:rsidR="00F5079C">
        <w:rPr>
          <w:rFonts w:cs="Times New Roman"/>
          <w:b/>
          <w:szCs w:val="24"/>
        </w:rPr>
        <w:t xml:space="preserve"> make</w:t>
      </w:r>
      <w:r w:rsidR="00031355">
        <w:rPr>
          <w:rFonts w:cs="Times New Roman"/>
          <w:b/>
          <w:szCs w:val="24"/>
        </w:rPr>
        <w:t>s</w:t>
      </w:r>
      <w:r w:rsidRPr="00190BA4" w:rsidR="00F5079C">
        <w:rPr>
          <w:rFonts w:cs="Times New Roman"/>
          <w:b/>
          <w:szCs w:val="24"/>
        </w:rPr>
        <w:t xml:space="preserve"> sense</w:t>
      </w:r>
      <w:r w:rsidRPr="00190BA4" w:rsidR="00F5079C">
        <w:rPr>
          <w:rFonts w:cs="Times New Roman"/>
          <w:bCs/>
          <w:szCs w:val="24"/>
        </w:rPr>
        <w:t>?</w:t>
      </w:r>
      <w:r w:rsidR="00F5079C">
        <w:rPr>
          <w:rFonts w:cs="Times New Roman"/>
          <w:bCs/>
          <w:szCs w:val="24"/>
        </w:rPr>
        <w:t xml:space="preserve"> </w:t>
      </w:r>
      <w:r w:rsidRPr="00190BA4" w:rsidR="00F5079C">
        <w:rPr>
          <w:rFonts w:cs="Times New Roman"/>
          <w:bCs/>
          <w:szCs w:val="24"/>
        </w:rPr>
        <w:t>Not with the multiple roles FirstEnergy is assigned in the settlement, nor with its staging sequence.</w:t>
      </w:r>
      <w:r w:rsidR="00F5079C">
        <w:rPr>
          <w:rFonts w:cs="Times New Roman"/>
          <w:bCs/>
          <w:szCs w:val="24"/>
        </w:rPr>
        <w:t xml:space="preserve"> If the </w:t>
      </w:r>
      <w:r w:rsidR="00710458">
        <w:rPr>
          <w:rFonts w:cs="Times New Roman"/>
          <w:bCs/>
          <w:szCs w:val="24"/>
        </w:rPr>
        <w:t>PUCO</w:t>
      </w:r>
      <w:r w:rsidR="00F5079C">
        <w:rPr>
          <w:rFonts w:cs="Times New Roman"/>
          <w:bCs/>
          <w:szCs w:val="24"/>
        </w:rPr>
        <w:t xml:space="preserve"> determines to proceed with the </w:t>
      </w:r>
      <w:r w:rsidR="00710458">
        <w:rPr>
          <w:rFonts w:cs="Times New Roman"/>
          <w:bCs/>
          <w:szCs w:val="24"/>
        </w:rPr>
        <w:t>Settlement</w:t>
      </w:r>
      <w:r w:rsidR="00F5079C">
        <w:rPr>
          <w:rFonts w:cs="Times New Roman"/>
          <w:bCs/>
          <w:szCs w:val="24"/>
        </w:rPr>
        <w:t>, then</w:t>
      </w:r>
      <w:r w:rsidR="00E51452">
        <w:rPr>
          <w:rFonts w:cs="Times New Roman"/>
          <w:bCs/>
          <w:szCs w:val="24"/>
        </w:rPr>
        <w:t xml:space="preserve"> </w:t>
      </w:r>
      <w:r w:rsidRPr="00190BA4" w:rsidR="00F47BA5">
        <w:rPr>
          <w:rFonts w:cs="Times New Roman"/>
          <w:szCs w:val="24"/>
        </w:rPr>
        <w:t>the Settlement</w:t>
      </w:r>
      <w:r w:rsidRPr="00190BA4" w:rsidR="00F31550">
        <w:rPr>
          <w:rFonts w:cs="Times New Roman"/>
          <w:szCs w:val="24"/>
        </w:rPr>
        <w:t xml:space="preserve"> should be modified to include additional consumer protections</w:t>
      </w:r>
      <w:r w:rsidR="00F5079C">
        <w:rPr>
          <w:rFonts w:cs="Times New Roman"/>
          <w:szCs w:val="24"/>
        </w:rPr>
        <w:t>:</w:t>
      </w:r>
    </w:p>
    <w:p w:rsidR="001E21AA" w:rsidRPr="008771CC" w:rsidP="008771CC" w14:paraId="5E127752" w14:textId="677279D1">
      <w:pPr>
        <w:pStyle w:val="ListParagraph"/>
        <w:numPr>
          <w:ilvl w:val="0"/>
          <w:numId w:val="6"/>
        </w:numPr>
        <w:tabs>
          <w:tab w:val="left" w:pos="0"/>
        </w:tabs>
        <w:spacing w:after="0" w:line="240" w:lineRule="auto"/>
        <w:ind w:left="1440" w:hanging="720"/>
        <w:rPr>
          <w:rFonts w:cs="Times New Roman"/>
          <w:bCs/>
          <w:szCs w:val="24"/>
        </w:rPr>
      </w:pPr>
      <w:r w:rsidRPr="008771CC">
        <w:rPr>
          <w:rFonts w:cs="Times New Roman"/>
          <w:bCs/>
          <w:szCs w:val="24"/>
        </w:rPr>
        <w:t xml:space="preserve">The Settlement should order FirstEnergy to issue a request for proposals to evaluate the best way to proceed on voluntary residential demand reduction/time of use for currently deployed meters. The proposals should be made public and seek public comment before selection by the PUCO. If the selected program </w:t>
      </w:r>
      <w:r w:rsidR="00710458">
        <w:rPr>
          <w:rFonts w:cs="Times New Roman"/>
          <w:bCs/>
          <w:szCs w:val="24"/>
        </w:rPr>
        <w:t xml:space="preserve">from the responses to the requests for proposals </w:t>
      </w:r>
      <w:r w:rsidRPr="008771CC">
        <w:rPr>
          <w:rFonts w:cs="Times New Roman"/>
          <w:bCs/>
          <w:szCs w:val="24"/>
        </w:rPr>
        <w:t xml:space="preserve">proves the existing smart meters </w:t>
      </w:r>
      <w:r>
        <w:rPr>
          <w:rFonts w:cs="Times New Roman"/>
          <w:bCs/>
          <w:szCs w:val="24"/>
        </w:rPr>
        <w:t xml:space="preserve">are </w:t>
      </w:r>
      <w:r w:rsidRPr="008771CC">
        <w:rPr>
          <w:rFonts w:cs="Times New Roman"/>
          <w:bCs/>
          <w:szCs w:val="24"/>
        </w:rPr>
        <w:t>cost effective</w:t>
      </w:r>
      <w:r w:rsidR="00710458">
        <w:rPr>
          <w:rFonts w:cs="Times New Roman"/>
          <w:bCs/>
          <w:szCs w:val="24"/>
        </w:rPr>
        <w:t xml:space="preserve"> (scoring 1.0 or greater)</w:t>
      </w:r>
      <w:r w:rsidRPr="008771CC">
        <w:rPr>
          <w:rFonts w:cs="Times New Roman"/>
          <w:bCs/>
          <w:szCs w:val="24"/>
        </w:rPr>
        <w:t xml:space="preserve"> </w:t>
      </w:r>
      <w:r w:rsidR="00710458">
        <w:rPr>
          <w:rFonts w:cs="Times New Roman"/>
          <w:bCs/>
          <w:szCs w:val="24"/>
        </w:rPr>
        <w:t xml:space="preserve">and </w:t>
      </w:r>
      <w:r w:rsidRPr="008771CC">
        <w:rPr>
          <w:rFonts w:cs="Times New Roman"/>
          <w:bCs/>
          <w:szCs w:val="24"/>
        </w:rPr>
        <w:t>used and useful, only then should additional</w:t>
      </w:r>
      <w:r>
        <w:rPr>
          <w:rFonts w:cs="Times New Roman"/>
          <w:bCs/>
          <w:szCs w:val="24"/>
        </w:rPr>
        <w:t xml:space="preserve"> residential</w:t>
      </w:r>
      <w:r w:rsidRPr="008771CC">
        <w:rPr>
          <w:rFonts w:cs="Times New Roman"/>
          <w:bCs/>
          <w:szCs w:val="24"/>
        </w:rPr>
        <w:t xml:space="preserve"> rollout proceed</w:t>
      </w:r>
      <w:r w:rsidR="00710458">
        <w:rPr>
          <w:rFonts w:cs="Times New Roman"/>
          <w:bCs/>
          <w:szCs w:val="24"/>
        </w:rPr>
        <w:t>.</w:t>
      </w:r>
      <w:bookmarkStart w:id="29" w:name="_Toc168587452"/>
      <w:r w:rsidR="00E51452">
        <w:rPr>
          <w:rFonts w:cs="Times New Roman"/>
          <w:bCs/>
          <w:szCs w:val="24"/>
        </w:rPr>
        <w:t xml:space="preserve"> </w:t>
      </w:r>
      <w:r w:rsidRPr="008771CC" w:rsidR="00E25313">
        <w:rPr>
          <w:rFonts w:cs="Times New Roman"/>
          <w:bCs/>
          <w:szCs w:val="24"/>
        </w:rPr>
        <w:t>Implementation of this recommendation would maximize the benefits of the smart meter deployment and constitutes good policy for all utilities in Ohio with smart meters.</w:t>
      </w:r>
      <w:r>
        <w:rPr>
          <w:rStyle w:val="FootnoteReference"/>
          <w:rFonts w:cs="Times New Roman"/>
          <w:bCs/>
          <w:szCs w:val="24"/>
        </w:rPr>
        <w:footnoteReference w:id="93"/>
      </w:r>
    </w:p>
    <w:p w:rsidR="009C5622" w:rsidRPr="00190BA4" w:rsidP="009C5622" w14:paraId="5B7C4D45" w14:textId="77777777">
      <w:pPr>
        <w:pStyle w:val="ListParagraph"/>
        <w:tabs>
          <w:tab w:val="left" w:pos="0"/>
        </w:tabs>
        <w:spacing w:after="0" w:line="240" w:lineRule="auto"/>
        <w:ind w:left="1440"/>
        <w:rPr>
          <w:rFonts w:cs="Times New Roman"/>
          <w:bCs/>
          <w:szCs w:val="24"/>
        </w:rPr>
      </w:pPr>
    </w:p>
    <w:p w:rsidR="001E21AA" w:rsidRPr="00190BA4" w:rsidP="009C5622" w14:paraId="7A81C23A" w14:textId="57BB1EF5">
      <w:pPr>
        <w:pStyle w:val="ListParagraph"/>
        <w:numPr>
          <w:ilvl w:val="0"/>
          <w:numId w:val="6"/>
        </w:numPr>
        <w:tabs>
          <w:tab w:val="left" w:pos="0"/>
        </w:tabs>
        <w:spacing w:after="0" w:line="240" w:lineRule="auto"/>
        <w:ind w:left="1440" w:hanging="720"/>
        <w:rPr>
          <w:rFonts w:cs="Times New Roman"/>
          <w:szCs w:val="24"/>
        </w:rPr>
      </w:pPr>
      <w:r w:rsidRPr="00190BA4">
        <w:rPr>
          <w:rFonts w:cs="Times New Roman"/>
          <w:szCs w:val="24"/>
        </w:rPr>
        <w:t xml:space="preserve">The PUCO </w:t>
      </w:r>
      <w:r w:rsidRPr="00190BA4" w:rsidR="00815D80">
        <w:rPr>
          <w:rFonts w:cs="Times New Roman"/>
          <w:szCs w:val="24"/>
        </w:rPr>
        <w:t xml:space="preserve">should </w:t>
      </w:r>
      <w:r w:rsidRPr="00190BA4">
        <w:rPr>
          <w:rFonts w:cs="Times New Roman"/>
          <w:szCs w:val="24"/>
        </w:rPr>
        <w:t xml:space="preserve">clarify that the provision of </w:t>
      </w:r>
      <w:r w:rsidRPr="00190BA4" w:rsidR="005A2DAD">
        <w:rPr>
          <w:rFonts w:cs="Times New Roman"/>
          <w:szCs w:val="24"/>
        </w:rPr>
        <w:t xml:space="preserve">individual </w:t>
      </w:r>
      <w:r w:rsidRPr="00190BA4">
        <w:rPr>
          <w:rFonts w:cs="Times New Roman"/>
          <w:szCs w:val="24"/>
        </w:rPr>
        <w:t xml:space="preserve">interval data to </w:t>
      </w:r>
      <w:r w:rsidRPr="00190BA4" w:rsidR="0038722F">
        <w:rPr>
          <w:rFonts w:cs="Times New Roman"/>
          <w:szCs w:val="24"/>
        </w:rPr>
        <w:t>marketers</w:t>
      </w:r>
      <w:r w:rsidRPr="00190BA4" w:rsidR="00894AD4">
        <w:rPr>
          <w:rFonts w:cs="Times New Roman"/>
          <w:szCs w:val="24"/>
        </w:rPr>
        <w:t xml:space="preserve"> </w:t>
      </w:r>
      <w:r w:rsidRPr="00190BA4">
        <w:rPr>
          <w:rFonts w:cs="Times New Roman"/>
          <w:szCs w:val="24"/>
        </w:rPr>
        <w:t xml:space="preserve">without customer authorization is limited to 1) consumers currently receiving supply from the </w:t>
      </w:r>
      <w:r w:rsidRPr="00190BA4" w:rsidR="0038722F">
        <w:rPr>
          <w:rFonts w:cs="Times New Roman"/>
          <w:szCs w:val="24"/>
        </w:rPr>
        <w:t>marketer</w:t>
      </w:r>
      <w:r w:rsidRPr="00190BA4">
        <w:rPr>
          <w:rFonts w:cs="Times New Roman"/>
          <w:szCs w:val="24"/>
        </w:rPr>
        <w:t xml:space="preserve">; and 2) for the purposes of bill validation only. The Settlement should specify that the sharing of </w:t>
      </w:r>
      <w:r w:rsidRPr="00190BA4" w:rsidR="005A2DAD">
        <w:rPr>
          <w:rFonts w:cs="Times New Roman"/>
          <w:szCs w:val="24"/>
        </w:rPr>
        <w:t xml:space="preserve">individual </w:t>
      </w:r>
      <w:r w:rsidRPr="00190BA4">
        <w:rPr>
          <w:rFonts w:cs="Times New Roman"/>
          <w:szCs w:val="24"/>
        </w:rPr>
        <w:t>consumer and interval usage data for all other purposes still requires consumer authorization.</w:t>
      </w:r>
      <w:r>
        <w:rPr>
          <w:rStyle w:val="FootnoteReference"/>
          <w:rFonts w:cs="Times New Roman"/>
          <w:szCs w:val="24"/>
        </w:rPr>
        <w:footnoteReference w:id="94"/>
      </w:r>
    </w:p>
    <w:p w:rsidR="00EC1188" w:rsidRPr="00190BA4" w:rsidP="00EC1188" w14:paraId="3E74288B" w14:textId="77777777">
      <w:pPr>
        <w:pStyle w:val="ListParagraph"/>
        <w:tabs>
          <w:tab w:val="left" w:pos="0"/>
        </w:tabs>
        <w:spacing w:after="0" w:line="240" w:lineRule="auto"/>
        <w:ind w:left="1440"/>
        <w:rPr>
          <w:rFonts w:cs="Times New Roman"/>
          <w:szCs w:val="24"/>
        </w:rPr>
      </w:pPr>
    </w:p>
    <w:p w:rsidR="00AF5A68" w:rsidP="00AF5A68" w14:paraId="5FD5B1A7" w14:textId="77777777">
      <w:pPr>
        <w:pStyle w:val="ListParagraph"/>
        <w:numPr>
          <w:ilvl w:val="0"/>
          <w:numId w:val="6"/>
        </w:numPr>
        <w:tabs>
          <w:tab w:val="left" w:pos="0"/>
        </w:tabs>
        <w:spacing w:after="0" w:line="240" w:lineRule="auto"/>
        <w:ind w:left="1440" w:hanging="720"/>
        <w:rPr>
          <w:rFonts w:cs="Times New Roman"/>
          <w:szCs w:val="24"/>
        </w:rPr>
      </w:pPr>
      <w:r w:rsidRPr="00190BA4">
        <w:rPr>
          <w:rFonts w:cs="Times New Roman"/>
          <w:szCs w:val="24"/>
        </w:rPr>
        <w:t xml:space="preserve">The </w:t>
      </w:r>
      <w:r w:rsidRPr="00190BA4" w:rsidR="001E21AA">
        <w:rPr>
          <w:rFonts w:cs="Times New Roman"/>
          <w:szCs w:val="24"/>
        </w:rPr>
        <w:t xml:space="preserve">PUCO </w:t>
      </w:r>
      <w:r w:rsidRPr="00190BA4">
        <w:rPr>
          <w:rFonts w:cs="Times New Roman"/>
          <w:szCs w:val="24"/>
        </w:rPr>
        <w:t xml:space="preserve">should </w:t>
      </w:r>
      <w:r w:rsidRPr="00190BA4" w:rsidR="001E21AA">
        <w:rPr>
          <w:rFonts w:cs="Times New Roman"/>
          <w:szCs w:val="24"/>
        </w:rPr>
        <w:t xml:space="preserve">require FirstEnergy, NOPEC, aggregators, and all Ohio </w:t>
      </w:r>
      <w:r w:rsidRPr="00190BA4" w:rsidR="0038722F">
        <w:rPr>
          <w:rFonts w:cs="Times New Roman"/>
          <w:szCs w:val="24"/>
        </w:rPr>
        <w:t>marketers</w:t>
      </w:r>
      <w:r w:rsidRPr="00190BA4" w:rsidR="001E21AA">
        <w:rPr>
          <w:rFonts w:cs="Times New Roman"/>
          <w:szCs w:val="24"/>
        </w:rPr>
        <w:t xml:space="preserve"> to adopt, comply with, and publish consumer data protection and use policies. Such policies should clearly explain to consumers 1) the types of data the organization collects on consumers; 2) the purposes for which such data will be used without additional consumer authorization; 3) the optional purposes for which such data will be used only with additional consumer authorization; 4) the rules the organization will follow to securely store and handle consumer data;</w:t>
      </w:r>
      <w:r w:rsidR="00190BA4">
        <w:rPr>
          <w:rFonts w:cs="Times New Roman"/>
          <w:szCs w:val="24"/>
        </w:rPr>
        <w:t xml:space="preserve"> </w:t>
      </w:r>
      <w:r w:rsidRPr="00190BA4" w:rsidR="0033077A">
        <w:rPr>
          <w:rFonts w:cs="Times New Roman"/>
          <w:szCs w:val="24"/>
        </w:rPr>
        <w:t xml:space="preserve">and </w:t>
      </w:r>
      <w:r w:rsidRPr="00190BA4" w:rsidR="001E21AA">
        <w:rPr>
          <w:rFonts w:cs="Times New Roman"/>
          <w:szCs w:val="24"/>
        </w:rPr>
        <w:t>5) the procedures the organization will follow in the event of a data breach.</w:t>
      </w:r>
      <w:r>
        <w:rPr>
          <w:rStyle w:val="FootnoteReference"/>
          <w:rFonts w:cs="Times New Roman"/>
          <w:szCs w:val="24"/>
        </w:rPr>
        <w:footnoteReference w:id="95"/>
      </w:r>
    </w:p>
    <w:p w:rsidR="00AF5A68" w:rsidP="00AF5A68" w14:paraId="2C478F71" w14:textId="77777777">
      <w:pPr>
        <w:pStyle w:val="ListParagraph"/>
        <w:tabs>
          <w:tab w:val="left" w:pos="0"/>
        </w:tabs>
        <w:spacing w:after="0" w:line="240" w:lineRule="auto"/>
        <w:ind w:left="1440"/>
        <w:rPr>
          <w:rFonts w:cs="Times New Roman"/>
          <w:szCs w:val="24"/>
        </w:rPr>
      </w:pPr>
    </w:p>
    <w:p w:rsidR="00EC1188" w:rsidRPr="00AF5A68" w:rsidP="00AF5A68" w14:paraId="29B7F76B" w14:textId="081D1C5C">
      <w:pPr>
        <w:pStyle w:val="ListParagraph"/>
        <w:numPr>
          <w:ilvl w:val="0"/>
          <w:numId w:val="6"/>
        </w:numPr>
        <w:tabs>
          <w:tab w:val="left" w:pos="0"/>
        </w:tabs>
        <w:spacing w:after="0" w:line="240" w:lineRule="auto"/>
        <w:ind w:left="1440" w:hanging="720"/>
        <w:rPr>
          <w:rFonts w:cs="Times New Roman"/>
          <w:szCs w:val="24"/>
        </w:rPr>
      </w:pPr>
      <w:r w:rsidRPr="00AF5A68">
        <w:rPr>
          <w:rFonts w:cs="Times New Roman"/>
          <w:szCs w:val="24"/>
        </w:rPr>
        <w:t>The settlement extends various programs to NOPEC (</w:t>
      </w:r>
      <w:r w:rsidRPr="00AF5A68" w:rsidR="0066517A">
        <w:rPr>
          <w:rFonts w:cs="Times New Roman"/>
          <w:i/>
          <w:iCs/>
          <w:szCs w:val="24"/>
        </w:rPr>
        <w:t>e.g.</w:t>
      </w:r>
      <w:r w:rsidRPr="00AF5A68">
        <w:rPr>
          <w:rFonts w:cs="Times New Roman"/>
          <w:szCs w:val="24"/>
        </w:rPr>
        <w:t>, hourly interval data at pp. 21-23) and marketers (</w:t>
      </w:r>
      <w:r w:rsidRPr="00AF5A68" w:rsidR="00DF551E">
        <w:rPr>
          <w:rFonts w:cs="Times New Roman"/>
          <w:i/>
          <w:iCs/>
          <w:szCs w:val="24"/>
        </w:rPr>
        <w:t>e.g.</w:t>
      </w:r>
      <w:r w:rsidRPr="00AF5A68">
        <w:rPr>
          <w:rFonts w:cs="Times New Roman"/>
          <w:szCs w:val="24"/>
        </w:rPr>
        <w:t>, the right to facilitate smart thermostat rebates at p. 12). In the interest of making the settlement consistent with FirstEnergy</w:t>
      </w:r>
      <w:r w:rsidRPr="00AF5A68" w:rsidR="00DD6EB7">
        <w:rPr>
          <w:rFonts w:cs="Times New Roman"/>
          <w:szCs w:val="24"/>
        </w:rPr>
        <w:t>’</w:t>
      </w:r>
      <w:r w:rsidRPr="00AF5A68">
        <w:rPr>
          <w:rFonts w:cs="Times New Roman"/>
          <w:szCs w:val="24"/>
        </w:rPr>
        <w:t>s testimony at the evidentiary hearing (Transcript Vol. 1, p. 34), and in ensuring that consumers have as much access to a variety of competitive products as possible, the PUCO should order that aggregators such as NOAC have access to the same programs under the same conditions applicable to NOPEC and marketers.</w:t>
      </w:r>
      <w:r w:rsidRPr="00AF5A68" w:rsidR="00190BA4">
        <w:rPr>
          <w:rFonts w:cs="Times New Roman"/>
          <w:szCs w:val="24"/>
        </w:rPr>
        <w:t xml:space="preserve"> </w:t>
      </w:r>
    </w:p>
    <w:p w:rsidR="00FE69E3" w:rsidRPr="00190BA4" w:rsidP="00EC1188" w14:paraId="131F62B8" w14:textId="77777777">
      <w:pPr>
        <w:pStyle w:val="ListParagraph"/>
        <w:tabs>
          <w:tab w:val="left" w:pos="0"/>
        </w:tabs>
        <w:spacing w:after="0" w:line="240" w:lineRule="auto"/>
        <w:ind w:left="1440"/>
        <w:rPr>
          <w:rFonts w:cs="Times New Roman"/>
          <w:szCs w:val="24"/>
        </w:rPr>
      </w:pPr>
    </w:p>
    <w:p w:rsidR="00815D80" w:rsidRPr="00190BA4" w:rsidP="009C5622" w14:paraId="2B8E3F53" w14:textId="5E348FC8">
      <w:pPr>
        <w:pStyle w:val="ListParagraph"/>
        <w:numPr>
          <w:ilvl w:val="0"/>
          <w:numId w:val="6"/>
        </w:numPr>
        <w:tabs>
          <w:tab w:val="left" w:pos="0"/>
        </w:tabs>
        <w:spacing w:after="0" w:line="240" w:lineRule="auto"/>
        <w:ind w:left="1440" w:hanging="720"/>
        <w:rPr>
          <w:rFonts w:cs="Times New Roman"/>
          <w:szCs w:val="24"/>
        </w:rPr>
      </w:pPr>
      <w:r w:rsidRPr="00190BA4">
        <w:rPr>
          <w:rFonts w:cs="Times New Roman"/>
          <w:szCs w:val="24"/>
        </w:rPr>
        <w:t>T</w:t>
      </w:r>
      <w:r w:rsidRPr="00190BA4" w:rsidR="001E21AA">
        <w:rPr>
          <w:rFonts w:cs="Times New Roman"/>
          <w:szCs w:val="24"/>
        </w:rPr>
        <w:t xml:space="preserve">he PUCO </w:t>
      </w:r>
      <w:r w:rsidRPr="00190BA4">
        <w:rPr>
          <w:rFonts w:cs="Times New Roman"/>
          <w:szCs w:val="24"/>
        </w:rPr>
        <w:t xml:space="preserve">should </w:t>
      </w:r>
      <w:r w:rsidRPr="00190BA4" w:rsidR="001E21AA">
        <w:rPr>
          <w:rFonts w:cs="Times New Roman"/>
          <w:szCs w:val="24"/>
        </w:rPr>
        <w:t xml:space="preserve">remove from the Settlement the provision that FirstEnergy remove their TOU rate offerings once three </w:t>
      </w:r>
      <w:r w:rsidRPr="00190BA4" w:rsidR="009655D2">
        <w:rPr>
          <w:rFonts w:cs="Times New Roman"/>
          <w:szCs w:val="24"/>
        </w:rPr>
        <w:t xml:space="preserve">marketers </w:t>
      </w:r>
      <w:r w:rsidRPr="00190BA4" w:rsidR="001E21AA">
        <w:rPr>
          <w:rFonts w:cs="Times New Roman"/>
          <w:szCs w:val="24"/>
        </w:rPr>
        <w:t xml:space="preserve">offer some sort of time-varying rate, or once three different time-varying rate options are available in the market. </w:t>
      </w:r>
      <w:r w:rsidRPr="00190BA4" w:rsidR="00E525A5">
        <w:rPr>
          <w:rFonts w:cs="Times New Roman"/>
          <w:szCs w:val="24"/>
        </w:rPr>
        <w:t>C</w:t>
      </w:r>
      <w:r w:rsidRPr="00190BA4" w:rsidR="001E21AA">
        <w:rPr>
          <w:rFonts w:cs="Times New Roman"/>
          <w:szCs w:val="24"/>
        </w:rPr>
        <w:t xml:space="preserve">onsumers should have as many time-varying rate options available to them as possible, including options from distribution utilities as well as </w:t>
      </w:r>
      <w:r w:rsidRPr="00190BA4" w:rsidR="009655D2">
        <w:rPr>
          <w:rFonts w:cs="Times New Roman"/>
          <w:szCs w:val="24"/>
        </w:rPr>
        <w:t xml:space="preserve">marketers </w:t>
      </w:r>
      <w:r w:rsidRPr="00190BA4" w:rsidR="001E21AA">
        <w:rPr>
          <w:rFonts w:cs="Times New Roman"/>
          <w:szCs w:val="24"/>
        </w:rPr>
        <w:t>and government aggregators. Further, this specification inappropriately limits the PUCO</w:t>
      </w:r>
      <w:r w:rsidR="00DD6EB7">
        <w:rPr>
          <w:rFonts w:cs="Times New Roman"/>
          <w:szCs w:val="24"/>
        </w:rPr>
        <w:t>’</w:t>
      </w:r>
      <w:r w:rsidRPr="00190BA4" w:rsidR="001E21AA">
        <w:rPr>
          <w:rFonts w:cs="Times New Roman"/>
          <w:szCs w:val="24"/>
        </w:rPr>
        <w:t>s right to determine when market offerings are sufficiently abundant as implied by its Order in 12-3151-EL-COI dated March 26, 2014.</w:t>
      </w:r>
      <w:r>
        <w:rPr>
          <w:rStyle w:val="FootnoteReference"/>
          <w:rFonts w:cs="Times New Roman"/>
          <w:szCs w:val="24"/>
        </w:rPr>
        <w:footnoteReference w:id="96"/>
      </w:r>
      <w:r w:rsidRPr="00190BA4" w:rsidR="00C11D9A">
        <w:rPr>
          <w:rFonts w:cs="Times New Roman"/>
          <w:szCs w:val="24"/>
        </w:rPr>
        <w:t xml:space="preserve"> </w:t>
      </w:r>
    </w:p>
    <w:p w:rsidR="001E21AA" w:rsidRPr="00190BA4" w:rsidP="009C5622" w14:paraId="13ADF743" w14:textId="151B0CB0">
      <w:pPr>
        <w:pStyle w:val="ListParagraph"/>
        <w:numPr>
          <w:ilvl w:val="0"/>
          <w:numId w:val="6"/>
        </w:numPr>
        <w:tabs>
          <w:tab w:val="left" w:pos="0"/>
        </w:tabs>
        <w:spacing w:after="0" w:line="240" w:lineRule="auto"/>
        <w:ind w:left="1440" w:hanging="720"/>
        <w:rPr>
          <w:rFonts w:cs="Times New Roman"/>
          <w:szCs w:val="24"/>
        </w:rPr>
      </w:pPr>
      <w:r w:rsidRPr="00190BA4">
        <w:rPr>
          <w:rFonts w:cs="Times New Roman"/>
          <w:bCs/>
          <w:szCs w:val="24"/>
        </w:rPr>
        <w:t xml:space="preserve">The PUCO should order that FirstEnergy may </w:t>
      </w:r>
      <w:r w:rsidRPr="00190BA4" w:rsidR="00E02C75">
        <w:rPr>
          <w:rFonts w:cs="Times New Roman"/>
          <w:bCs/>
          <w:szCs w:val="24"/>
        </w:rPr>
        <w:t>not</w:t>
      </w:r>
      <w:r w:rsidRPr="00190BA4">
        <w:rPr>
          <w:rFonts w:cs="Times New Roman"/>
          <w:bCs/>
          <w:szCs w:val="24"/>
        </w:rPr>
        <w:t xml:space="preserve"> recover stranded legacy meter costs</w:t>
      </w:r>
      <w:r w:rsidRPr="00190BA4" w:rsidR="00E02C75">
        <w:rPr>
          <w:rFonts w:cs="Times New Roman"/>
          <w:bCs/>
          <w:szCs w:val="24"/>
        </w:rPr>
        <w:t>, as there is no legal basis for recovering such costs,</w:t>
      </w:r>
      <w:r w:rsidRPr="00190BA4">
        <w:rPr>
          <w:rFonts w:cs="Times New Roman"/>
          <w:bCs/>
          <w:szCs w:val="24"/>
        </w:rPr>
        <w:t xml:space="preserve"> nor </w:t>
      </w:r>
      <w:r w:rsidRPr="00190BA4" w:rsidR="00E02C75">
        <w:rPr>
          <w:rFonts w:cs="Times New Roman"/>
          <w:bCs/>
          <w:szCs w:val="24"/>
        </w:rPr>
        <w:t xml:space="preserve">submit </w:t>
      </w:r>
      <w:r w:rsidRPr="00190BA4">
        <w:rPr>
          <w:rFonts w:cs="Times New Roman"/>
          <w:bCs/>
          <w:szCs w:val="24"/>
        </w:rPr>
        <w:t>an application for Grid Mod III until an operational benefits assessment conducted by an independent third party indicates: 1)</w:t>
      </w:r>
      <w:r w:rsidRPr="00190BA4">
        <w:rPr>
          <w:rFonts w:cs="Times New Roman"/>
          <w:b/>
          <w:bCs/>
          <w:szCs w:val="24"/>
        </w:rPr>
        <w:t xml:space="preserve"> </w:t>
      </w:r>
      <w:r w:rsidRPr="00190BA4">
        <w:rPr>
          <w:rFonts w:cs="Times New Roman"/>
          <w:bCs/>
          <w:szCs w:val="24"/>
        </w:rPr>
        <w:t xml:space="preserve">that the benefits delivered to </w:t>
      </w:r>
      <w:r w:rsidRPr="00190BA4" w:rsidR="005A2DAD">
        <w:rPr>
          <w:rFonts w:cs="Times New Roman"/>
          <w:bCs/>
          <w:szCs w:val="24"/>
        </w:rPr>
        <w:t xml:space="preserve">residential </w:t>
      </w:r>
      <w:r w:rsidRPr="00190BA4">
        <w:rPr>
          <w:rFonts w:cs="Times New Roman"/>
          <w:bCs/>
          <w:szCs w:val="24"/>
        </w:rPr>
        <w:t>consumers by FirstEnergy</w:t>
      </w:r>
      <w:r w:rsidR="00DD6EB7">
        <w:rPr>
          <w:rFonts w:cs="Times New Roman"/>
          <w:bCs/>
          <w:szCs w:val="24"/>
        </w:rPr>
        <w:t>’</w:t>
      </w:r>
      <w:r w:rsidRPr="00190BA4">
        <w:rPr>
          <w:rFonts w:cs="Times New Roman"/>
          <w:bCs/>
          <w:szCs w:val="24"/>
        </w:rPr>
        <w:t>s smart meter deployment exceed the costs to consumers of the deployment; and 2)</w:t>
      </w:r>
      <w:r w:rsidRPr="00190BA4">
        <w:rPr>
          <w:rFonts w:cs="Times New Roman"/>
          <w:b/>
          <w:bCs/>
          <w:szCs w:val="24"/>
        </w:rPr>
        <w:t xml:space="preserve"> </w:t>
      </w:r>
      <w:r w:rsidRPr="00190BA4">
        <w:rPr>
          <w:rFonts w:cs="Times New Roman"/>
          <w:bCs/>
          <w:szCs w:val="24"/>
        </w:rPr>
        <w:t xml:space="preserve">that the benefits delivered to </w:t>
      </w:r>
      <w:r w:rsidRPr="00190BA4" w:rsidR="005A2DAD">
        <w:rPr>
          <w:rFonts w:cs="Times New Roman"/>
          <w:bCs/>
          <w:szCs w:val="24"/>
        </w:rPr>
        <w:t xml:space="preserve">residential </w:t>
      </w:r>
      <w:r w:rsidRPr="00190BA4">
        <w:rPr>
          <w:rFonts w:cs="Times New Roman"/>
          <w:bCs/>
          <w:szCs w:val="24"/>
        </w:rPr>
        <w:t>consumers by FirstEnergy</w:t>
      </w:r>
      <w:r w:rsidR="00DD6EB7">
        <w:rPr>
          <w:rFonts w:cs="Times New Roman"/>
          <w:bCs/>
          <w:szCs w:val="24"/>
        </w:rPr>
        <w:t>’</w:t>
      </w:r>
      <w:r w:rsidRPr="00190BA4">
        <w:rPr>
          <w:rFonts w:cs="Times New Roman"/>
          <w:bCs/>
          <w:szCs w:val="24"/>
        </w:rPr>
        <w:t>s Grid Mod I DA and IVVC deployments exceed the costs to consumers of those deployments.</w:t>
      </w:r>
      <w:r>
        <w:rPr>
          <w:rStyle w:val="FootnoteReference"/>
          <w:rFonts w:cs="Times New Roman"/>
          <w:bCs/>
          <w:szCs w:val="24"/>
        </w:rPr>
        <w:footnoteReference w:id="97"/>
      </w:r>
      <w:r w:rsidRPr="00190BA4">
        <w:rPr>
          <w:rFonts w:cs="Times New Roman"/>
          <w:bCs/>
          <w:szCs w:val="24"/>
        </w:rPr>
        <w:t xml:space="preserve"> </w:t>
      </w:r>
    </w:p>
    <w:p w:rsidR="00EC1188" w:rsidRPr="00190BA4" w:rsidP="00EC1188" w14:paraId="6A41F323" w14:textId="77777777">
      <w:pPr>
        <w:pStyle w:val="ListParagraph"/>
        <w:tabs>
          <w:tab w:val="left" w:pos="0"/>
        </w:tabs>
        <w:spacing w:after="0"/>
        <w:ind w:left="1440"/>
        <w:rPr>
          <w:rFonts w:cs="Times New Roman"/>
          <w:szCs w:val="24"/>
        </w:rPr>
      </w:pPr>
    </w:p>
    <w:p w:rsidR="00AA6EFF" w:rsidRPr="00190BA4" w:rsidP="006A3619" w14:paraId="5380BBC7" w14:textId="32488F18">
      <w:pPr>
        <w:pStyle w:val="Heading1"/>
        <w:tabs>
          <w:tab w:val="left" w:pos="0"/>
        </w:tabs>
        <w:ind w:left="0" w:firstLine="0"/>
        <w:rPr>
          <w:rFonts w:cs="Times New Roman"/>
          <w:szCs w:val="24"/>
        </w:rPr>
      </w:pPr>
      <w:bookmarkStart w:id="30" w:name="_Toc173315558"/>
      <w:r w:rsidRPr="00190BA4">
        <w:rPr>
          <w:rFonts w:cs="Times New Roman"/>
          <w:szCs w:val="24"/>
        </w:rPr>
        <w:t>I</w:t>
      </w:r>
      <w:r w:rsidRPr="00190BA4" w:rsidR="00437D13">
        <w:rPr>
          <w:rFonts w:cs="Times New Roman"/>
          <w:szCs w:val="24"/>
        </w:rPr>
        <w:t>V</w:t>
      </w:r>
      <w:r w:rsidRPr="00190BA4" w:rsidR="008A7FD9">
        <w:rPr>
          <w:rFonts w:cs="Times New Roman"/>
          <w:szCs w:val="24"/>
        </w:rPr>
        <w:t xml:space="preserve">. </w:t>
      </w:r>
      <w:r w:rsidRPr="00190BA4" w:rsidR="008A7FD9">
        <w:rPr>
          <w:rFonts w:cs="Times New Roman"/>
          <w:szCs w:val="24"/>
        </w:rPr>
        <w:tab/>
        <w:t>CONCLUSION</w:t>
      </w:r>
      <w:bookmarkEnd w:id="29"/>
      <w:bookmarkEnd w:id="30"/>
    </w:p>
    <w:p w:rsidR="001E21AA" w:rsidRPr="00190BA4" w:rsidP="007016F1" w14:paraId="1A98063D" w14:textId="13736856">
      <w:pPr>
        <w:spacing w:after="0"/>
        <w:ind w:firstLine="720"/>
        <w:rPr>
          <w:rFonts w:cs="Times New Roman"/>
          <w:szCs w:val="24"/>
        </w:rPr>
      </w:pPr>
      <w:r w:rsidRPr="00190BA4">
        <w:rPr>
          <w:rFonts w:cs="Times New Roman"/>
          <w:szCs w:val="24"/>
        </w:rPr>
        <w:t xml:space="preserve">The Settlement is not in the best interest of </w:t>
      </w:r>
      <w:r w:rsidRPr="00190BA4" w:rsidR="006F6102">
        <w:rPr>
          <w:rFonts w:cs="Times New Roman"/>
          <w:szCs w:val="24"/>
        </w:rPr>
        <w:t>consumers</w:t>
      </w:r>
      <w:r w:rsidRPr="00190BA4">
        <w:rPr>
          <w:rFonts w:cs="Times New Roman"/>
          <w:szCs w:val="24"/>
        </w:rPr>
        <w:t xml:space="preserve"> because its costs exceed it benefits and it violates important regulatory principles. Therefore, the PUCO should reject the Settlement because it fails the </w:t>
      </w:r>
      <w:r w:rsidRPr="00190BA4" w:rsidR="006F6102">
        <w:rPr>
          <w:rFonts w:cs="Times New Roman"/>
          <w:szCs w:val="24"/>
        </w:rPr>
        <w:t>PUCO</w:t>
      </w:r>
      <w:r w:rsidR="00DD6EB7">
        <w:rPr>
          <w:rFonts w:cs="Times New Roman"/>
          <w:szCs w:val="24"/>
        </w:rPr>
        <w:t>’</w:t>
      </w:r>
      <w:r w:rsidRPr="00190BA4" w:rsidR="006F6102">
        <w:rPr>
          <w:rFonts w:cs="Times New Roman"/>
          <w:szCs w:val="24"/>
        </w:rPr>
        <w:t>s</w:t>
      </w:r>
      <w:r w:rsidRPr="00190BA4">
        <w:rPr>
          <w:rFonts w:cs="Times New Roman"/>
          <w:szCs w:val="24"/>
        </w:rPr>
        <w:t xml:space="preserve"> three-prong test.</w:t>
      </w:r>
    </w:p>
    <w:p w:rsidR="00815D80" w:rsidRPr="00190BA4" w:rsidP="007016F1" w14:paraId="1FA6DEFA" w14:textId="5116CAC6">
      <w:pPr>
        <w:spacing w:after="0"/>
        <w:ind w:firstLine="720"/>
        <w:rPr>
          <w:rFonts w:cs="Times New Roman"/>
          <w:szCs w:val="24"/>
        </w:rPr>
      </w:pPr>
      <w:r w:rsidRPr="00190BA4">
        <w:rPr>
          <w:rFonts w:cs="Times New Roman"/>
          <w:szCs w:val="24"/>
        </w:rPr>
        <w:t xml:space="preserve">Alternatively, if the PUCO approves the </w:t>
      </w:r>
      <w:r w:rsidRPr="00190BA4" w:rsidR="00253FB2">
        <w:rPr>
          <w:rFonts w:cs="Times New Roman"/>
          <w:szCs w:val="24"/>
        </w:rPr>
        <w:t>Settlement,</w:t>
      </w:r>
      <w:r w:rsidRPr="00190BA4">
        <w:rPr>
          <w:rFonts w:cs="Times New Roman"/>
          <w:szCs w:val="24"/>
        </w:rPr>
        <w:t xml:space="preserve"> it should adopt OCC</w:t>
      </w:r>
      <w:r w:rsidRPr="00190BA4" w:rsidR="00FA39A2">
        <w:rPr>
          <w:rFonts w:cs="Times New Roman"/>
          <w:szCs w:val="24"/>
        </w:rPr>
        <w:t>/NOAC</w:t>
      </w:r>
      <w:r w:rsidR="00DD6EB7">
        <w:rPr>
          <w:rFonts w:cs="Times New Roman"/>
          <w:szCs w:val="24"/>
        </w:rPr>
        <w:t>’</w:t>
      </w:r>
      <w:r w:rsidRPr="00190BA4">
        <w:rPr>
          <w:rFonts w:cs="Times New Roman"/>
          <w:szCs w:val="24"/>
        </w:rPr>
        <w:t xml:space="preserve">s </w:t>
      </w:r>
      <w:r w:rsidRPr="00190BA4" w:rsidR="006F6102">
        <w:rPr>
          <w:rFonts w:cs="Times New Roman"/>
          <w:szCs w:val="24"/>
        </w:rPr>
        <w:t xml:space="preserve">consumer protection </w:t>
      </w:r>
      <w:r w:rsidRPr="00190BA4">
        <w:rPr>
          <w:rFonts w:cs="Times New Roman"/>
          <w:szCs w:val="24"/>
        </w:rPr>
        <w:t>recommendations as modifications</w:t>
      </w:r>
      <w:r w:rsidRPr="00190BA4" w:rsidR="00253FB2">
        <w:rPr>
          <w:rFonts w:cs="Times New Roman"/>
          <w:szCs w:val="24"/>
        </w:rPr>
        <w:t xml:space="preserve"> to the </w:t>
      </w:r>
      <w:r w:rsidRPr="00190BA4" w:rsidR="006F6102">
        <w:rPr>
          <w:rFonts w:cs="Times New Roman"/>
          <w:szCs w:val="24"/>
        </w:rPr>
        <w:t>Settlement</w:t>
      </w:r>
      <w:r w:rsidRPr="00190BA4">
        <w:rPr>
          <w:rFonts w:cs="Times New Roman"/>
          <w:szCs w:val="24"/>
        </w:rPr>
        <w:t>.</w:t>
      </w:r>
    </w:p>
    <w:p w:rsidR="00955E79" w:rsidRPr="00190BA4" w14:paraId="1458272E" w14:textId="77777777">
      <w:pPr>
        <w:spacing w:line="276" w:lineRule="auto"/>
        <w:rPr>
          <w:rFonts w:cs="Times New Roman"/>
          <w:szCs w:val="24"/>
        </w:rPr>
      </w:pPr>
      <w:r w:rsidRPr="00190BA4">
        <w:rPr>
          <w:rFonts w:cs="Times New Roman"/>
          <w:szCs w:val="24"/>
        </w:rPr>
        <w:br w:type="page"/>
      </w:r>
    </w:p>
    <w:p w:rsidR="00B0467E" w:rsidRPr="00190BA4" w:rsidP="00021BE4" w14:paraId="67251377" w14:textId="0081F31C">
      <w:pPr>
        <w:spacing w:after="0"/>
        <w:jc w:val="center"/>
        <w:rPr>
          <w:rFonts w:cs="Times New Roman"/>
          <w:szCs w:val="24"/>
        </w:rPr>
      </w:pPr>
      <w:r w:rsidRPr="00190BA4">
        <w:rPr>
          <w:rFonts w:cs="Times New Roman"/>
          <w:szCs w:val="24"/>
        </w:rPr>
        <w:t>Respectfully submitted,</w:t>
      </w:r>
    </w:p>
    <w:tbl>
      <w:tblPr>
        <w:tblStyle w:val="TableGrid21"/>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
      <w:tblGrid>
        <w:gridCol w:w="4590"/>
        <w:gridCol w:w="4590"/>
      </w:tblGrid>
      <w:tr w14:paraId="29672AE0" w14:textId="77777777" w:rsidTr="007245C3">
        <w:tblPrEx>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Ex>
        <w:tc>
          <w:tcPr>
            <w:tcW w:w="4590" w:type="dxa"/>
          </w:tcPr>
          <w:p w:rsidR="00021BE4" w:rsidRPr="00190BA4" w:rsidP="007245C3" w14:paraId="5BC00365"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Maureen R. Willis (0020847)</w:t>
            </w:r>
          </w:p>
          <w:p w:rsidR="00021BE4" w:rsidRPr="00190BA4" w:rsidP="007245C3" w14:paraId="704F236A" w14:textId="7E8C34C9">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Ohio Consumers</w:t>
            </w:r>
            <w:r w:rsidR="00DD6EB7">
              <w:rPr>
                <w:rFonts w:ascii="Times New Roman" w:eastAsia="Times New Roman" w:hAnsi="Times New Roman" w:cs="Times New Roman"/>
                <w:sz w:val="24"/>
                <w:szCs w:val="24"/>
                <w:lang w:val="en-US" w:eastAsia="en-US" w:bidi="ar-SA"/>
              </w:rPr>
              <w:t>’</w:t>
            </w:r>
            <w:r w:rsidRPr="00190BA4">
              <w:rPr>
                <w:rFonts w:ascii="Times New Roman" w:eastAsia="Times New Roman" w:hAnsi="Times New Roman" w:cs="Times New Roman"/>
                <w:sz w:val="24"/>
                <w:szCs w:val="24"/>
                <w:lang w:val="en-US" w:eastAsia="en-US" w:bidi="ar-SA"/>
              </w:rPr>
              <w:t xml:space="preserve"> Counsel</w:t>
            </w:r>
          </w:p>
          <w:p w:rsidR="00021BE4" w:rsidRPr="00190BA4" w:rsidP="007245C3" w14:paraId="270E7EAA"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 xml:space="preserve"> </w:t>
            </w:r>
          </w:p>
          <w:p w:rsidR="001A148A" w:rsidRPr="00190BA4" w:rsidP="007245C3" w14:paraId="0EBA9EDB" w14:textId="6982AD2E">
            <w:pPr>
              <w:tabs>
                <w:tab w:val="left" w:pos="2776"/>
              </w:tabs>
              <w:spacing w:after="0" w:line="240" w:lineRule="auto"/>
              <w:ind w:left="-19" w:right="339"/>
              <w:rPr>
                <w:rFonts w:ascii="Times New Roman" w:eastAsia="Times New Roman" w:hAnsi="Times New Roman" w:cs="Times New Roman"/>
                <w:i/>
                <w:iCs/>
                <w:sz w:val="24"/>
                <w:szCs w:val="24"/>
                <w:u w:val="single"/>
                <w:lang w:val="en-US" w:eastAsia="en-US" w:bidi="ar-SA"/>
              </w:rPr>
            </w:pPr>
            <w:r w:rsidRPr="00190BA4">
              <w:rPr>
                <w:rFonts w:ascii="Times New Roman" w:eastAsia="Times New Roman" w:hAnsi="Times New Roman" w:cs="Times New Roman"/>
                <w:i/>
                <w:iCs/>
                <w:sz w:val="24"/>
                <w:szCs w:val="24"/>
                <w:u w:val="single"/>
                <w:lang w:val="en-US" w:eastAsia="en-US" w:bidi="ar-SA"/>
              </w:rPr>
              <w:t>/s/ William J. Michael</w:t>
            </w:r>
          </w:p>
          <w:p w:rsidR="00021BE4" w:rsidRPr="00190BA4" w:rsidP="007245C3" w14:paraId="721DFB9F" w14:textId="16EFF5EF">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William J. Michael (0070921)</w:t>
            </w:r>
          </w:p>
          <w:p w:rsidR="00021BE4" w:rsidRPr="00190BA4" w:rsidP="007245C3" w14:paraId="034B07FD"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Counsel of Record</w:t>
            </w:r>
          </w:p>
          <w:p w:rsidR="00021BE4" w:rsidRPr="00190BA4" w:rsidP="007245C3" w14:paraId="707E26E2"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Donald J. Kral (0042091)</w:t>
            </w:r>
          </w:p>
          <w:p w:rsidR="00021BE4" w:rsidRPr="00190BA4" w:rsidP="007245C3" w14:paraId="32A6B23A" w14:textId="09C9FF5B">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Assistant Consumers</w:t>
            </w:r>
            <w:r w:rsidR="00DD6EB7">
              <w:rPr>
                <w:rFonts w:ascii="Times New Roman" w:eastAsia="Times New Roman" w:hAnsi="Times New Roman" w:cs="Times New Roman"/>
                <w:sz w:val="24"/>
                <w:szCs w:val="24"/>
                <w:lang w:val="en-US" w:eastAsia="en-US" w:bidi="ar-SA"/>
              </w:rPr>
              <w:t>’</w:t>
            </w:r>
            <w:r w:rsidRPr="00190BA4">
              <w:rPr>
                <w:rFonts w:ascii="Times New Roman" w:eastAsia="Times New Roman" w:hAnsi="Times New Roman" w:cs="Times New Roman"/>
                <w:sz w:val="24"/>
                <w:szCs w:val="24"/>
                <w:lang w:val="en-US" w:eastAsia="en-US" w:bidi="ar-SA"/>
              </w:rPr>
              <w:t xml:space="preserve"> Counsel</w:t>
            </w:r>
          </w:p>
          <w:p w:rsidR="00021BE4" w:rsidRPr="00190BA4" w:rsidP="007245C3" w14:paraId="40102ADF"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ab/>
            </w:r>
          </w:p>
          <w:p w:rsidR="00021BE4" w:rsidRPr="00190BA4" w:rsidP="007245C3" w14:paraId="474971A5" w14:textId="6EA06AF2">
            <w:pPr>
              <w:tabs>
                <w:tab w:val="left" w:pos="2776"/>
              </w:tabs>
              <w:spacing w:after="0" w:line="240" w:lineRule="auto"/>
              <w:ind w:left="-19" w:right="339"/>
              <w:rPr>
                <w:rFonts w:ascii="Times New Roman" w:eastAsia="Times New Roman" w:hAnsi="Times New Roman" w:cs="Times New Roman"/>
                <w:b/>
                <w:bCs/>
                <w:sz w:val="24"/>
                <w:szCs w:val="24"/>
                <w:lang w:val="en-US" w:eastAsia="en-US" w:bidi="ar-SA"/>
              </w:rPr>
            </w:pPr>
            <w:r w:rsidRPr="00190BA4">
              <w:rPr>
                <w:rFonts w:ascii="Times New Roman" w:eastAsia="Times New Roman" w:hAnsi="Times New Roman" w:cs="Times New Roman"/>
                <w:b/>
                <w:bCs/>
                <w:sz w:val="24"/>
                <w:szCs w:val="24"/>
                <w:lang w:val="en-US" w:eastAsia="en-US" w:bidi="ar-SA"/>
              </w:rPr>
              <w:t>Office of the Ohio Consumers</w:t>
            </w:r>
            <w:r w:rsidR="00DD6EB7">
              <w:rPr>
                <w:rFonts w:ascii="Times New Roman" w:eastAsia="Times New Roman" w:hAnsi="Times New Roman" w:cs="Times New Roman"/>
                <w:b/>
                <w:bCs/>
                <w:sz w:val="24"/>
                <w:szCs w:val="24"/>
                <w:lang w:val="en-US" w:eastAsia="en-US" w:bidi="ar-SA"/>
              </w:rPr>
              <w:t>’</w:t>
            </w:r>
            <w:r w:rsidRPr="00190BA4">
              <w:rPr>
                <w:rFonts w:ascii="Times New Roman" w:eastAsia="Times New Roman" w:hAnsi="Times New Roman" w:cs="Times New Roman"/>
                <w:b/>
                <w:bCs/>
                <w:sz w:val="24"/>
                <w:szCs w:val="24"/>
                <w:lang w:val="en-US" w:eastAsia="en-US" w:bidi="ar-SA"/>
              </w:rPr>
              <w:t xml:space="preserve"> Counsel</w:t>
            </w:r>
          </w:p>
          <w:p w:rsidR="00021BE4" w:rsidRPr="00190BA4" w:rsidP="007245C3" w14:paraId="6799AF77"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65 East State Street, Suite 700</w:t>
            </w:r>
          </w:p>
          <w:p w:rsidR="00021BE4" w:rsidRPr="00190BA4" w:rsidP="007245C3" w14:paraId="0DED50FC"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Columbus, Ohio 43215</w:t>
            </w:r>
          </w:p>
          <w:p w:rsidR="00021BE4" w:rsidRPr="00190BA4" w:rsidP="007245C3" w14:paraId="64488479"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Telephone [Michael]: (614) 466-1291</w:t>
            </w:r>
          </w:p>
          <w:p w:rsidR="00021BE4" w:rsidRPr="00190BA4" w:rsidP="007245C3" w14:paraId="4D0F0740"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Telephone: [Kral]: (614) 466-9571</w:t>
            </w:r>
          </w:p>
          <w:p w:rsidR="00021BE4" w:rsidRPr="00190BA4" w:rsidP="007245C3" w14:paraId="5495EE4D"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hyperlink r:id="rId6" w:history="1">
              <w:r w:rsidRPr="00190BA4" w:rsidR="00DA1F10">
                <w:rPr>
                  <w:rStyle w:val="Hyperlink"/>
                  <w:rFonts w:ascii="Times New Roman" w:eastAsia="Times New Roman" w:hAnsi="Times New Roman" w:cs="Times New Roman"/>
                  <w:color w:val="0000FF" w:themeColor="hyperlink"/>
                  <w:sz w:val="24"/>
                  <w:szCs w:val="24"/>
                  <w:u w:val="single"/>
                  <w:lang w:val="en-US" w:eastAsia="en-US" w:bidi="ar-SA"/>
                </w:rPr>
                <w:t>william.michael@occ.ohio.gov</w:t>
              </w:r>
            </w:hyperlink>
          </w:p>
          <w:p w:rsidR="00021BE4" w:rsidRPr="00190BA4" w:rsidP="007245C3" w14:paraId="16E3E7D3"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hyperlink r:id="rId7" w:history="1">
              <w:r w:rsidRPr="00190BA4" w:rsidR="00DA1F10">
                <w:rPr>
                  <w:rStyle w:val="Hyperlink"/>
                  <w:rFonts w:ascii="Times New Roman" w:eastAsia="Times New Roman" w:hAnsi="Times New Roman" w:cs="Times New Roman"/>
                  <w:color w:val="0000FF" w:themeColor="hyperlink"/>
                  <w:sz w:val="24"/>
                  <w:szCs w:val="24"/>
                  <w:u w:val="single"/>
                  <w:lang w:val="en-US" w:eastAsia="en-US" w:bidi="ar-SA"/>
                </w:rPr>
                <w:t>donald.kral@occ.ohio.gov</w:t>
              </w:r>
            </w:hyperlink>
          </w:p>
          <w:p w:rsidR="00021BE4" w:rsidRPr="00190BA4" w:rsidP="007245C3" w14:paraId="40415A0D" w14:textId="77777777">
            <w:pPr>
              <w:tabs>
                <w:tab w:val="left" w:pos="2776"/>
              </w:tabs>
              <w:spacing w:after="0" w:line="240" w:lineRule="auto"/>
              <w:ind w:left="-19" w:right="339"/>
              <w:rPr>
                <w:rFonts w:ascii="Times New Roman" w:eastAsia="Times New Roman" w:hAnsi="Times New Roman" w:cs="Times New Roman"/>
                <w:b/>
                <w:bCs/>
                <w:sz w:val="24"/>
                <w:szCs w:val="24"/>
                <w:lang w:val="en-US" w:eastAsia="en-US" w:bidi="ar-SA"/>
              </w:rPr>
            </w:pPr>
            <w:r w:rsidRPr="00190BA4">
              <w:rPr>
                <w:rFonts w:ascii="Times New Roman" w:eastAsia="Times New Roman" w:hAnsi="Times New Roman" w:cs="Times New Roman"/>
                <w:sz w:val="24"/>
                <w:szCs w:val="24"/>
                <w:lang w:val="en-US" w:eastAsia="en-US" w:bidi="ar-SA"/>
              </w:rPr>
              <w:t>(willing to accept service by e-mail)</w:t>
            </w:r>
          </w:p>
          <w:p w:rsidR="00021BE4" w:rsidRPr="00190BA4" w:rsidP="007245C3" w14:paraId="26287ABE" w14:textId="77777777">
            <w:pPr>
              <w:tabs>
                <w:tab w:val="left" w:pos="2776"/>
              </w:tabs>
              <w:spacing w:after="0" w:line="240" w:lineRule="auto"/>
              <w:ind w:right="339"/>
              <w:rPr>
                <w:rFonts w:ascii="Times New Roman" w:eastAsia="Times New Roman" w:hAnsi="Times New Roman" w:cs="Times New Roman"/>
                <w:sz w:val="24"/>
                <w:szCs w:val="24"/>
                <w:lang w:val="en-US" w:eastAsia="en-US" w:bidi="ar-SA"/>
              </w:rPr>
            </w:pPr>
          </w:p>
        </w:tc>
        <w:tc>
          <w:tcPr>
            <w:tcW w:w="4590" w:type="dxa"/>
          </w:tcPr>
          <w:p w:rsidR="00B71B3D" w:rsidRPr="00190BA4" w:rsidP="007245C3" w14:paraId="216C879B" w14:textId="764DED62">
            <w:pPr>
              <w:widowControl w:val="0"/>
              <w:tabs>
                <w:tab w:val="left" w:pos="2776"/>
                <w:tab w:val="left" w:pos="4140"/>
              </w:tabs>
              <w:autoSpaceDE w:val="0"/>
              <w:autoSpaceDN w:val="0"/>
              <w:spacing w:after="0" w:line="240" w:lineRule="auto"/>
              <w:ind w:right="-21"/>
              <w:rPr>
                <w:rFonts w:ascii="Times New Roman" w:eastAsia="Times New Roman" w:hAnsi="Times New Roman" w:cs="Times New Roman"/>
                <w:i/>
                <w:iCs/>
                <w:sz w:val="24"/>
                <w:szCs w:val="24"/>
                <w:u w:val="single"/>
                <w:lang w:val="en-US" w:eastAsia="en-US" w:bidi="ar-SA"/>
              </w:rPr>
            </w:pPr>
            <w:r w:rsidRPr="00190BA4">
              <w:rPr>
                <w:rFonts w:ascii="Times New Roman" w:eastAsia="Times New Roman" w:hAnsi="Times New Roman" w:cs="Times New Roman"/>
                <w:i/>
                <w:iCs/>
                <w:sz w:val="24"/>
                <w:szCs w:val="24"/>
                <w:u w:val="single"/>
                <w:lang w:val="en-US" w:eastAsia="en-US" w:bidi="ar-SA"/>
              </w:rPr>
              <w:t>/s/</w:t>
            </w:r>
            <w:r w:rsidR="00C23944">
              <w:rPr>
                <w:rFonts w:ascii="Times New Roman" w:eastAsia="Times New Roman" w:hAnsi="Times New Roman" w:cs="Times New Roman"/>
                <w:i/>
                <w:iCs/>
                <w:sz w:val="24"/>
                <w:szCs w:val="24"/>
                <w:u w:val="single"/>
                <w:lang w:val="en-US" w:eastAsia="en-US" w:bidi="ar-SA"/>
              </w:rPr>
              <w:t xml:space="preserve"> </w:t>
            </w:r>
            <w:r w:rsidRPr="00C23944" w:rsidR="00C23944">
              <w:rPr>
                <w:rFonts w:ascii="Times New Roman" w:eastAsia="Times New Roman" w:hAnsi="Times New Roman" w:cs="Times New Roman"/>
                <w:i/>
                <w:iCs/>
                <w:sz w:val="24"/>
                <w:szCs w:val="24"/>
                <w:u w:val="single"/>
                <w:lang w:val="en-US" w:eastAsia="en-US" w:bidi="ar-SA"/>
              </w:rPr>
              <w:t>Thomas R. Hays</w:t>
            </w:r>
            <w:r w:rsidRPr="00190BA4">
              <w:rPr>
                <w:rFonts w:ascii="Times New Roman" w:eastAsia="Times New Roman" w:hAnsi="Times New Roman" w:cs="Times New Roman"/>
                <w:i/>
                <w:iCs/>
                <w:sz w:val="24"/>
                <w:szCs w:val="24"/>
                <w:u w:val="single"/>
                <w:lang w:val="en-US" w:eastAsia="en-US" w:bidi="ar-SA"/>
              </w:rPr>
              <w:t xml:space="preserve"> </w:t>
            </w:r>
          </w:p>
          <w:p w:rsidR="00021BE4" w:rsidRPr="00190BA4" w:rsidP="007245C3" w14:paraId="79F99294" w14:textId="1ED9B7CA">
            <w:pPr>
              <w:widowControl w:val="0"/>
              <w:tabs>
                <w:tab w:val="left" w:pos="2776"/>
                <w:tab w:val="left" w:pos="4140"/>
              </w:tabs>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Thomas R. Hays (0054062)</w:t>
            </w:r>
          </w:p>
          <w:p w:rsidR="00021BE4" w:rsidRPr="00190BA4" w:rsidP="007245C3" w14:paraId="76792382" w14:textId="77777777">
            <w:pPr>
              <w:widowControl w:val="0"/>
              <w:tabs>
                <w:tab w:val="left" w:pos="2776"/>
                <w:tab w:val="left" w:pos="4140"/>
              </w:tabs>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 xml:space="preserve">Counsel of Record </w:t>
            </w:r>
          </w:p>
          <w:p w:rsidR="00021BE4" w:rsidRPr="00190BA4" w:rsidP="007245C3" w14:paraId="20543A39" w14:textId="77777777">
            <w:pPr>
              <w:widowControl w:val="0"/>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8355 Island Lane</w:t>
            </w:r>
          </w:p>
          <w:p w:rsidR="00021BE4" w:rsidRPr="00190BA4" w:rsidP="007245C3" w14:paraId="5A4A6A42" w14:textId="77777777">
            <w:pPr>
              <w:widowControl w:val="0"/>
              <w:tabs>
                <w:tab w:val="left" w:pos="2776"/>
              </w:tabs>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Maineville, Ohio 43039</w:t>
            </w:r>
          </w:p>
          <w:p w:rsidR="00021BE4" w:rsidRPr="00190BA4" w:rsidP="007245C3" w14:paraId="73DB3FBD" w14:textId="77777777">
            <w:pPr>
              <w:widowControl w:val="0"/>
              <w:tabs>
                <w:tab w:val="left" w:pos="2776"/>
              </w:tabs>
              <w:autoSpaceDE w:val="0"/>
              <w:autoSpaceDN w:val="0"/>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Telephone: (419) 410-7069</w:t>
            </w:r>
          </w:p>
          <w:p w:rsidR="00021BE4" w:rsidRPr="00190BA4" w:rsidP="007245C3" w14:paraId="3D2926BA" w14:textId="77777777">
            <w:pPr>
              <w:widowControl w:val="0"/>
              <w:tabs>
                <w:tab w:val="left" w:pos="2776"/>
              </w:tabs>
              <w:autoSpaceDE w:val="0"/>
              <w:autoSpaceDN w:val="0"/>
              <w:spacing w:after="0" w:line="240" w:lineRule="auto"/>
              <w:ind w:right="-21"/>
              <w:rPr>
                <w:rFonts w:ascii="Times New Roman" w:eastAsia="Times New Roman" w:hAnsi="Times New Roman" w:cs="Times New Roman"/>
                <w:color w:val="0000FF"/>
                <w:sz w:val="24"/>
                <w:szCs w:val="24"/>
                <w:lang w:val="en-US" w:eastAsia="en-US" w:bidi="ar-SA"/>
              </w:rPr>
            </w:pPr>
            <w:hyperlink r:id="rId8" w:history="1">
              <w:r w:rsidRPr="00190BA4" w:rsidR="00DA1F10">
                <w:rPr>
                  <w:rFonts w:ascii="Times New Roman" w:eastAsia="Times New Roman" w:hAnsi="Times New Roman" w:cs="Times New Roman"/>
                  <w:color w:val="0000FF"/>
                  <w:sz w:val="24"/>
                  <w:szCs w:val="24"/>
                  <w:u w:val="single"/>
                  <w:lang w:val="en-US" w:eastAsia="en-US" w:bidi="ar-SA"/>
                </w:rPr>
                <w:t>trhayslaw@gmail.com</w:t>
              </w:r>
            </w:hyperlink>
          </w:p>
          <w:p w:rsidR="00021BE4" w:rsidRPr="00190BA4" w:rsidP="007245C3" w14:paraId="6EBF8B27" w14:textId="77777777">
            <w:pPr>
              <w:tabs>
                <w:tab w:val="left" w:pos="2776"/>
              </w:tabs>
              <w:spacing w:after="0" w:line="240" w:lineRule="auto"/>
              <w:ind w:right="-21"/>
              <w:rPr>
                <w:rFonts w:ascii="Times New Roman" w:eastAsia="Times New Roman" w:hAnsi="Times New Roman" w:cs="Times New Roman"/>
                <w:sz w:val="24"/>
                <w:szCs w:val="24"/>
                <w:lang w:val="en-US" w:eastAsia="en-US" w:bidi="ar-SA"/>
              </w:rPr>
            </w:pPr>
            <w:r w:rsidRPr="00190BA4">
              <w:rPr>
                <w:rFonts w:ascii="Times New Roman" w:eastAsia="Times New Roman" w:hAnsi="Times New Roman" w:cs="Times New Roman"/>
                <w:sz w:val="24"/>
                <w:szCs w:val="24"/>
                <w:lang w:val="en-US" w:eastAsia="en-US" w:bidi="ar-SA"/>
              </w:rPr>
              <w:t>(willing to accept service by e-mail)</w:t>
            </w:r>
          </w:p>
          <w:p w:rsidR="00021BE4" w:rsidRPr="00190BA4" w:rsidP="007245C3" w14:paraId="454A525A" w14:textId="77777777">
            <w:pPr>
              <w:tabs>
                <w:tab w:val="left" w:pos="2776"/>
              </w:tabs>
              <w:spacing w:after="0" w:line="240" w:lineRule="auto"/>
              <w:ind w:right="-21"/>
              <w:rPr>
                <w:rFonts w:ascii="Times New Roman" w:eastAsia="Times New Roman" w:hAnsi="Times New Roman" w:cs="Times New Roman"/>
                <w:sz w:val="24"/>
                <w:szCs w:val="24"/>
                <w:lang w:val="en-US" w:eastAsia="en-US" w:bidi="ar-SA"/>
              </w:rPr>
            </w:pPr>
          </w:p>
          <w:p w:rsidR="00021BE4" w:rsidRPr="00190BA4" w:rsidP="007245C3" w14:paraId="4F4611D9"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John A. Borell, Sr. (0016481)</w:t>
            </w:r>
          </w:p>
          <w:p w:rsidR="00021BE4" w:rsidRPr="00190BA4" w:rsidP="007245C3" w14:paraId="4E2792CA"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Assistant Lucas County Prosecuting</w:t>
            </w:r>
          </w:p>
          <w:p w:rsidR="00021BE4" w:rsidRPr="00190BA4" w:rsidP="007245C3" w14:paraId="5F372ADE"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Attorney </w:t>
            </w:r>
          </w:p>
          <w:p w:rsidR="00021BE4" w:rsidRPr="00190BA4" w:rsidP="007245C3" w14:paraId="62747E88"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Deputy Chief, Civil Division</w:t>
            </w:r>
          </w:p>
          <w:p w:rsidR="00021BE4" w:rsidRPr="00190BA4" w:rsidP="007245C3" w14:paraId="2A271939"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700 Adams Street, Suite 250</w:t>
            </w:r>
          </w:p>
          <w:p w:rsidR="00021BE4" w:rsidRPr="00190BA4" w:rsidP="007245C3" w14:paraId="38FF762D"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Toledo, Ohio 43604</w:t>
            </w:r>
          </w:p>
          <w:p w:rsidR="00021BE4" w:rsidRPr="00190BA4" w:rsidP="007245C3" w14:paraId="3B65675A"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Telephone: (419) 213-2001</w:t>
            </w:r>
          </w:p>
          <w:p w:rsidR="00021BE4" w:rsidRPr="00190BA4" w:rsidP="007245C3" w14:paraId="3C3ABAB7"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(willing to accept service by e-mail)</w:t>
            </w:r>
          </w:p>
          <w:p w:rsidR="00021BE4" w:rsidRPr="00190BA4" w:rsidP="007245C3" w14:paraId="3419E236" w14:textId="77777777">
            <w:pPr>
              <w:spacing w:after="0" w:line="240" w:lineRule="auto"/>
              <w:rPr>
                <w:rFonts w:ascii="Times New Roman" w:eastAsia="Times New Roman" w:hAnsi="Times New Roman" w:cs="Times New Roman"/>
                <w:bCs/>
                <w:iCs/>
                <w:color w:val="000000"/>
                <w:sz w:val="24"/>
                <w:szCs w:val="24"/>
                <w:lang w:val="en-US" w:eastAsia="en-US" w:bidi="ar-SA"/>
              </w:rPr>
            </w:pPr>
          </w:p>
          <w:p w:rsidR="00021BE4" w:rsidRPr="00190BA4" w:rsidP="007245C3" w14:paraId="60080263"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Leslie A. Kovacik (0070157)</w:t>
            </w:r>
          </w:p>
          <w:p w:rsidR="00021BE4" w:rsidRPr="00190BA4" w:rsidP="007245C3" w14:paraId="2E5088D3"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Senior Attorney, City of Toledo Dept. of Law</w:t>
            </w:r>
          </w:p>
          <w:p w:rsidR="00021BE4" w:rsidRPr="00190BA4" w:rsidP="007245C3" w14:paraId="629DDFF7"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420 Madison Avenue, Suite 400</w:t>
            </w:r>
          </w:p>
          <w:p w:rsidR="00021BE4" w:rsidRPr="00190BA4" w:rsidP="007245C3" w14:paraId="5DA5F459"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Toledo, Ohio 43604</w:t>
            </w:r>
          </w:p>
          <w:p w:rsidR="00021BE4" w:rsidRPr="00190BA4" w:rsidP="007245C3" w14:paraId="429BF092"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Telephone: (419) 245-1020</w:t>
            </w:r>
          </w:p>
          <w:p w:rsidR="00021BE4" w:rsidRPr="00190BA4" w:rsidP="007245C3" w14:paraId="7368DCA4" w14:textId="77777777">
            <w:pPr>
              <w:spacing w:after="0" w:line="240" w:lineRule="auto"/>
              <w:rPr>
                <w:rFonts w:ascii="Times New Roman" w:eastAsia="Times New Roman" w:hAnsi="Times New Roman" w:cs="Times New Roman"/>
                <w:bCs/>
                <w:iCs/>
                <w:color w:val="000000"/>
                <w:sz w:val="24"/>
                <w:szCs w:val="24"/>
                <w:lang w:val="en-US" w:eastAsia="en-US" w:bidi="ar-SA"/>
              </w:rPr>
            </w:pPr>
            <w:hyperlink r:id="rId9" w:history="1">
              <w:r w:rsidRPr="00190BA4" w:rsidR="00DA1F10">
                <w:rPr>
                  <w:rFonts w:ascii="Times New Roman" w:eastAsia="Times New Roman" w:hAnsi="Times New Roman" w:cs="Times New Roman"/>
                  <w:bCs/>
                  <w:iCs/>
                  <w:color w:val="0000FF"/>
                  <w:sz w:val="24"/>
                  <w:szCs w:val="24"/>
                  <w:u w:val="single"/>
                  <w:lang w:val="en-US" w:eastAsia="en-US" w:bidi="ar-SA"/>
                </w:rPr>
                <w:t>leslie.kovacik@toledo.oh.gov</w:t>
              </w:r>
            </w:hyperlink>
          </w:p>
          <w:p w:rsidR="00021BE4" w:rsidRPr="00190BA4" w:rsidP="007245C3" w14:paraId="18E563FC"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(willing to accept service by e-mail)</w:t>
            </w:r>
          </w:p>
          <w:p w:rsidR="008C4968" w:rsidRPr="00190BA4" w:rsidP="007245C3" w14:paraId="463E1B92" w14:textId="77777777">
            <w:pPr>
              <w:spacing w:after="0" w:line="240" w:lineRule="auto"/>
              <w:rPr>
                <w:rFonts w:ascii="Times New Roman" w:eastAsia="Times New Roman" w:hAnsi="Times New Roman" w:cs="Times New Roman"/>
                <w:bCs/>
                <w:iCs/>
                <w:color w:val="000000"/>
                <w:sz w:val="24"/>
                <w:szCs w:val="24"/>
                <w:lang w:val="en-US" w:eastAsia="en-US" w:bidi="ar-SA"/>
              </w:rPr>
            </w:pPr>
          </w:p>
          <w:p w:rsidR="008C4968" w:rsidRPr="00190BA4" w:rsidP="008C4968" w14:paraId="6DEF3AB6"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Gareth A. Whaley (0102156) </w:t>
            </w:r>
          </w:p>
          <w:p w:rsidR="008C4968" w:rsidRPr="00190BA4" w:rsidP="008C4968" w14:paraId="0DAC4A03"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Isaac Wiles &amp; Burkholder LLC </w:t>
            </w:r>
          </w:p>
          <w:p w:rsidR="008C4968" w:rsidRPr="00190BA4" w:rsidP="008C4968" w14:paraId="25A00C2A"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2 Miranova Pl., Ste. 700 </w:t>
            </w:r>
          </w:p>
          <w:p w:rsidR="008C4968" w:rsidRPr="00190BA4" w:rsidP="008C4968" w14:paraId="07FF6E25"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Columbus, OH 43215 </w:t>
            </w:r>
          </w:p>
          <w:p w:rsidR="008C4968" w:rsidRPr="00190BA4" w:rsidP="008C4968" w14:paraId="6D312E79"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 xml:space="preserve">T: (614) 220-5155 | F: (614) 365-9516 </w:t>
            </w:r>
            <w:hyperlink r:id="rId10" w:history="1">
              <w:r w:rsidRPr="00190BA4">
                <w:rPr>
                  <w:rStyle w:val="Hyperlink"/>
                  <w:rFonts w:ascii="Times New Roman" w:eastAsia="Times New Roman" w:hAnsi="Times New Roman" w:cs="Times New Roman"/>
                  <w:bCs/>
                  <w:iCs/>
                  <w:color w:val="0000FF" w:themeColor="hyperlink"/>
                  <w:sz w:val="24"/>
                  <w:szCs w:val="24"/>
                  <w:u w:val="single"/>
                  <w:lang w:val="en-US" w:eastAsia="en-US" w:bidi="ar-SA"/>
                </w:rPr>
                <w:t>gwhaley@isaacwiles.com</w:t>
              </w:r>
            </w:hyperlink>
          </w:p>
          <w:p w:rsidR="008C4968" w:rsidRPr="00190BA4" w:rsidP="008C4968" w14:paraId="12D0B82B" w14:textId="77777777">
            <w:pPr>
              <w:spacing w:after="0" w:line="240" w:lineRule="auto"/>
              <w:rPr>
                <w:rFonts w:ascii="Times New Roman" w:eastAsia="Times New Roman" w:hAnsi="Times New Roman" w:cs="Times New Roman"/>
                <w:bCs/>
                <w:iCs/>
                <w:color w:val="000000"/>
                <w:sz w:val="24"/>
                <w:szCs w:val="24"/>
                <w:lang w:val="en-US" w:eastAsia="en-US" w:bidi="ar-SA"/>
              </w:rPr>
            </w:pPr>
            <w:r w:rsidRPr="00190BA4">
              <w:rPr>
                <w:rFonts w:ascii="Times New Roman" w:eastAsia="Times New Roman" w:hAnsi="Times New Roman" w:cs="Times New Roman"/>
                <w:bCs/>
                <w:iCs/>
                <w:color w:val="000000"/>
                <w:sz w:val="24"/>
                <w:szCs w:val="24"/>
                <w:lang w:val="en-US" w:eastAsia="en-US" w:bidi="ar-SA"/>
              </w:rPr>
              <w:t>(willing to accept service by e-mail)</w:t>
            </w:r>
          </w:p>
          <w:p w:rsidR="00021BE4" w:rsidRPr="00190BA4" w:rsidP="007245C3" w14:paraId="33397D4F" w14:textId="77777777">
            <w:pPr>
              <w:widowControl w:val="0"/>
              <w:tabs>
                <w:tab w:val="left" w:pos="2776"/>
              </w:tabs>
              <w:autoSpaceDE w:val="0"/>
              <w:autoSpaceDN w:val="0"/>
              <w:spacing w:after="0" w:line="240" w:lineRule="auto"/>
              <w:ind w:right="-21"/>
              <w:rPr>
                <w:rFonts w:ascii="Times New Roman" w:eastAsia="Times New Roman" w:hAnsi="Times New Roman" w:cs="Times New Roman"/>
                <w:sz w:val="24"/>
                <w:szCs w:val="24"/>
                <w:lang w:val="en-US" w:eastAsia="en-US" w:bidi="ar-SA"/>
              </w:rPr>
            </w:pPr>
          </w:p>
          <w:p w:rsidR="00021BE4" w:rsidRPr="00190BA4" w:rsidP="007245C3" w14:paraId="3F891378" w14:textId="77777777">
            <w:pPr>
              <w:widowControl w:val="0"/>
              <w:tabs>
                <w:tab w:val="left" w:pos="2776"/>
              </w:tabs>
              <w:autoSpaceDE w:val="0"/>
              <w:autoSpaceDN w:val="0"/>
              <w:spacing w:after="0" w:line="240" w:lineRule="auto"/>
              <w:ind w:right="-21"/>
              <w:rPr>
                <w:rFonts w:ascii="Times New Roman" w:eastAsia="Times New Roman" w:hAnsi="Times New Roman" w:cs="Times New Roman"/>
                <w:i/>
                <w:sz w:val="24"/>
                <w:szCs w:val="24"/>
                <w:lang w:val="en-US" w:eastAsia="en-US" w:bidi="ar-SA"/>
              </w:rPr>
            </w:pPr>
            <w:r w:rsidRPr="00190BA4">
              <w:rPr>
                <w:rFonts w:ascii="Times New Roman" w:eastAsia="Times New Roman" w:hAnsi="Times New Roman" w:cs="Times New Roman"/>
                <w:i/>
                <w:sz w:val="24"/>
                <w:szCs w:val="24"/>
                <w:lang w:val="en-US" w:eastAsia="en-US" w:bidi="ar-SA"/>
              </w:rPr>
              <w:t>Counsel for The Northwest Ohio Aggregation Coalition</w:t>
            </w:r>
          </w:p>
          <w:p w:rsidR="00021BE4" w:rsidRPr="00190BA4" w:rsidP="007245C3" w14:paraId="08BCBF49" w14:textId="77777777">
            <w:pPr>
              <w:widowControl w:val="0"/>
              <w:tabs>
                <w:tab w:val="left" w:pos="2776"/>
              </w:tabs>
              <w:autoSpaceDE w:val="0"/>
              <w:autoSpaceDN w:val="0"/>
              <w:spacing w:after="0" w:line="240" w:lineRule="auto"/>
              <w:ind w:right="-21"/>
              <w:rPr>
                <w:rFonts w:ascii="Times New Roman" w:eastAsia="Times New Roman" w:hAnsi="Times New Roman" w:cs="Times New Roman"/>
                <w:i/>
                <w:sz w:val="24"/>
                <w:szCs w:val="24"/>
                <w:lang w:val="en-US" w:eastAsia="en-US" w:bidi="ar-SA"/>
              </w:rPr>
            </w:pPr>
          </w:p>
          <w:p w:rsidR="00021BE4" w:rsidRPr="00190BA4" w:rsidP="007245C3" w14:paraId="4C02FB15" w14:textId="77777777">
            <w:pPr>
              <w:widowControl w:val="0"/>
              <w:tabs>
                <w:tab w:val="left" w:pos="2776"/>
              </w:tabs>
              <w:autoSpaceDE w:val="0"/>
              <w:autoSpaceDN w:val="0"/>
              <w:spacing w:after="0" w:line="240" w:lineRule="auto"/>
              <w:ind w:right="-21"/>
              <w:rPr>
                <w:rFonts w:ascii="Times New Roman" w:eastAsia="Times New Roman" w:hAnsi="Times New Roman" w:cs="Times New Roman"/>
                <w:sz w:val="24"/>
                <w:szCs w:val="24"/>
                <w:lang w:val="en-US" w:eastAsia="en-US" w:bidi="ar-SA"/>
              </w:rPr>
            </w:pPr>
          </w:p>
        </w:tc>
      </w:tr>
    </w:tbl>
    <w:p w:rsidR="00021BE4" w:rsidRPr="00190BA4" w:rsidP="00021BE4" w14:paraId="6A9D1C2C" w14:textId="77777777">
      <w:pPr>
        <w:spacing w:after="0"/>
        <w:rPr>
          <w:rFonts w:cs="Times New Roman"/>
          <w:szCs w:val="24"/>
        </w:rPr>
      </w:pPr>
    </w:p>
    <w:p w:rsidR="00B0467E" w:rsidRPr="00190BA4" w:rsidP="00B0467E" w14:paraId="35BB0C42" w14:textId="77777777">
      <w:pPr>
        <w:rPr>
          <w:rFonts w:cs="Times New Roman"/>
          <w:szCs w:val="24"/>
        </w:rPr>
      </w:pPr>
    </w:p>
    <w:p w:rsidR="0091307F" w:rsidRPr="00190BA4" w:rsidP="001E21AA" w14:paraId="12038472" w14:textId="6DFCE988">
      <w:pPr>
        <w:ind w:firstLine="720"/>
        <w:rPr>
          <w:rFonts w:cs="Times New Roman"/>
          <w:szCs w:val="24"/>
        </w:rPr>
      </w:pPr>
      <w:r w:rsidRPr="00190BA4">
        <w:rPr>
          <w:rFonts w:cs="Times New Roman"/>
          <w:b/>
          <w:bCs/>
          <w:i/>
          <w:iCs/>
          <w:szCs w:val="24"/>
        </w:rPr>
        <w:br w:type="page"/>
      </w:r>
    </w:p>
    <w:p w:rsidR="00825628" w:rsidRPr="00190BA4" w:rsidP="00825628" w14:paraId="139D0936" w14:textId="77777777">
      <w:pPr>
        <w:spacing w:after="0"/>
        <w:jc w:val="center"/>
        <w:rPr>
          <w:rFonts w:cs="Times New Roman"/>
          <w:b/>
          <w:bCs/>
          <w:szCs w:val="24"/>
          <w:u w:val="single"/>
        </w:rPr>
      </w:pPr>
      <w:r w:rsidRPr="00190BA4">
        <w:rPr>
          <w:rFonts w:cs="Times New Roman"/>
          <w:b/>
          <w:bCs/>
          <w:szCs w:val="24"/>
          <w:u w:val="single"/>
        </w:rPr>
        <w:t>CERTIFICATE OF SERVICE</w:t>
      </w:r>
    </w:p>
    <w:p w:rsidR="00825628" w:rsidRPr="00190BA4" w:rsidP="00825628" w14:paraId="0A7720E1" w14:textId="09D3EA32">
      <w:pPr>
        <w:spacing w:after="0"/>
        <w:rPr>
          <w:rFonts w:cs="Times New Roman"/>
          <w:szCs w:val="24"/>
        </w:rPr>
      </w:pPr>
      <w:r w:rsidRPr="00190BA4">
        <w:rPr>
          <w:rFonts w:cs="Times New Roman"/>
          <w:szCs w:val="24"/>
        </w:rPr>
        <w:tab/>
        <w:t xml:space="preserve">I hereby certify that a copy of this </w:t>
      </w:r>
      <w:r w:rsidRPr="00190BA4" w:rsidR="00602721">
        <w:rPr>
          <w:rFonts w:cs="Times New Roman"/>
          <w:szCs w:val="24"/>
        </w:rPr>
        <w:t>Initial Brief</w:t>
      </w:r>
      <w:r w:rsidRPr="00190BA4" w:rsidR="00FA40EE">
        <w:rPr>
          <w:rFonts w:cs="Times New Roman"/>
          <w:szCs w:val="24"/>
        </w:rPr>
        <w:t xml:space="preserve"> </w:t>
      </w:r>
      <w:r w:rsidRPr="00190BA4">
        <w:rPr>
          <w:rFonts w:cs="Times New Roman"/>
          <w:szCs w:val="24"/>
        </w:rPr>
        <w:t>was served on the persons stated below</w:t>
      </w:r>
      <w:r w:rsidRPr="00190BA4">
        <w:rPr>
          <w:rFonts w:cs="Times New Roman"/>
          <w:iCs/>
          <w:szCs w:val="24"/>
        </w:rPr>
        <w:t xml:space="preserve"> via </w:t>
      </w:r>
      <w:r w:rsidRPr="00190BA4">
        <w:rPr>
          <w:rFonts w:cs="Times New Roman"/>
          <w:szCs w:val="24"/>
        </w:rPr>
        <w:t xml:space="preserve">electronic transmission, this </w:t>
      </w:r>
      <w:r w:rsidRPr="00190BA4" w:rsidR="00487782">
        <w:rPr>
          <w:rFonts w:cs="Times New Roman"/>
          <w:szCs w:val="24"/>
        </w:rPr>
        <w:t>31</w:t>
      </w:r>
      <w:r w:rsidRPr="00190BA4" w:rsidR="00487782">
        <w:rPr>
          <w:rFonts w:cs="Times New Roman"/>
          <w:szCs w:val="24"/>
          <w:vertAlign w:val="superscript"/>
        </w:rPr>
        <w:t>st</w:t>
      </w:r>
      <w:r w:rsidRPr="00190BA4" w:rsidR="00487782">
        <w:rPr>
          <w:rFonts w:cs="Times New Roman"/>
          <w:szCs w:val="24"/>
        </w:rPr>
        <w:t xml:space="preserve"> </w:t>
      </w:r>
      <w:r w:rsidRPr="00190BA4">
        <w:rPr>
          <w:rFonts w:cs="Times New Roman"/>
          <w:szCs w:val="24"/>
        </w:rPr>
        <w:t xml:space="preserve">day of </w:t>
      </w:r>
      <w:r w:rsidRPr="00190BA4" w:rsidR="00FA40EE">
        <w:rPr>
          <w:rFonts w:cs="Times New Roman"/>
          <w:szCs w:val="24"/>
        </w:rPr>
        <w:t>Ju</w:t>
      </w:r>
      <w:r w:rsidRPr="00190BA4" w:rsidR="00487782">
        <w:rPr>
          <w:rFonts w:cs="Times New Roman"/>
          <w:szCs w:val="24"/>
        </w:rPr>
        <w:t>ly</w:t>
      </w:r>
      <w:r w:rsidRPr="00190BA4">
        <w:rPr>
          <w:rFonts w:cs="Times New Roman"/>
          <w:szCs w:val="24"/>
        </w:rPr>
        <w:t xml:space="preserve"> 2024.</w:t>
      </w:r>
    </w:p>
    <w:p w:rsidR="00825628" w:rsidRPr="00190BA4" w:rsidP="00825628" w14:paraId="17351D6D" w14:textId="33E2B55C">
      <w:pPr>
        <w:spacing w:after="0" w:line="240" w:lineRule="auto"/>
        <w:ind w:left="4320"/>
        <w:rPr>
          <w:rFonts w:cs="Times New Roman"/>
          <w:szCs w:val="24"/>
        </w:rPr>
      </w:pPr>
      <w:r w:rsidRPr="00190BA4">
        <w:rPr>
          <w:rFonts w:cs="Times New Roman"/>
          <w:i/>
          <w:szCs w:val="24"/>
          <w:u w:val="single"/>
        </w:rPr>
        <w:t>/s/ William J. Michael</w:t>
      </w:r>
    </w:p>
    <w:p w:rsidR="00825628" w:rsidRPr="00190BA4" w:rsidP="00825628" w14:paraId="6BB68F39" w14:textId="77777777">
      <w:pPr>
        <w:tabs>
          <w:tab w:val="left" w:pos="4320"/>
        </w:tabs>
        <w:spacing w:after="0" w:line="240" w:lineRule="auto"/>
        <w:rPr>
          <w:rFonts w:cs="Times New Roman"/>
          <w:szCs w:val="24"/>
        </w:rPr>
      </w:pPr>
      <w:r w:rsidRPr="00190BA4">
        <w:rPr>
          <w:rFonts w:cs="Times New Roman"/>
          <w:szCs w:val="24"/>
        </w:rPr>
        <w:tab/>
        <w:t>William J. Michael</w:t>
      </w:r>
    </w:p>
    <w:p w:rsidR="00825628" w:rsidRPr="00190BA4" w:rsidP="00825628" w14:paraId="55A1797D" w14:textId="2CC598C1">
      <w:pPr>
        <w:tabs>
          <w:tab w:val="left" w:pos="4320"/>
        </w:tabs>
        <w:spacing w:after="0" w:line="240" w:lineRule="auto"/>
        <w:rPr>
          <w:rFonts w:cs="Times New Roman"/>
          <w:szCs w:val="24"/>
        </w:rPr>
      </w:pPr>
      <w:r w:rsidRPr="00190BA4">
        <w:rPr>
          <w:rFonts w:cs="Times New Roman"/>
          <w:szCs w:val="24"/>
        </w:rPr>
        <w:tab/>
        <w:t>Assistant Consumers</w:t>
      </w:r>
      <w:r w:rsidR="00DD6EB7">
        <w:rPr>
          <w:rFonts w:cs="Times New Roman"/>
          <w:szCs w:val="24"/>
        </w:rPr>
        <w:t>’</w:t>
      </w:r>
      <w:r w:rsidRPr="00190BA4">
        <w:rPr>
          <w:rFonts w:cs="Times New Roman"/>
          <w:szCs w:val="24"/>
        </w:rPr>
        <w:t xml:space="preserve"> Counsel</w:t>
      </w:r>
    </w:p>
    <w:p w:rsidR="00825628" w:rsidRPr="00190BA4" w:rsidP="00825628" w14:paraId="2EBE8CF3" w14:textId="77777777">
      <w:pPr>
        <w:tabs>
          <w:tab w:val="left" w:pos="4320"/>
        </w:tabs>
        <w:spacing w:after="0" w:line="240" w:lineRule="auto"/>
        <w:rPr>
          <w:rFonts w:cs="Times New Roman"/>
          <w:szCs w:val="24"/>
        </w:rPr>
      </w:pPr>
    </w:p>
    <w:p w:rsidR="00825628" w:rsidRPr="00190BA4" w:rsidP="00825628" w14:paraId="5F320644" w14:textId="181BA350">
      <w:pPr>
        <w:spacing w:after="0" w:line="240" w:lineRule="auto"/>
        <w:rPr>
          <w:rFonts w:cs="Times New Roman"/>
          <w:szCs w:val="24"/>
        </w:rPr>
      </w:pPr>
      <w:r w:rsidRPr="00190BA4">
        <w:rPr>
          <w:rFonts w:cs="Times New Roman"/>
          <w:szCs w:val="24"/>
        </w:rPr>
        <w:t>The PUCO</w:t>
      </w:r>
      <w:r w:rsidR="00DD6EB7">
        <w:rPr>
          <w:rFonts w:cs="Times New Roman"/>
          <w:szCs w:val="24"/>
        </w:rPr>
        <w:t>’</w:t>
      </w:r>
      <w:r w:rsidRPr="00190BA4">
        <w:rPr>
          <w:rFonts w:cs="Times New Roman"/>
          <w:szCs w:val="24"/>
        </w:rPr>
        <w:t>s e-filing system will electronically serve notice of the filing of this document on the following parties:</w:t>
      </w:r>
    </w:p>
    <w:p w:rsidR="00825628" w:rsidRPr="00190BA4" w:rsidP="00825628" w14:paraId="1D273D31" w14:textId="77777777">
      <w:pPr>
        <w:spacing w:after="0" w:line="240" w:lineRule="auto"/>
        <w:rPr>
          <w:rFonts w:cs="Times New Roman"/>
          <w:szCs w:val="24"/>
        </w:rPr>
      </w:pPr>
    </w:p>
    <w:p w:rsidR="00825628" w:rsidRPr="00190BA4" w:rsidP="00825628" w14:paraId="05633627" w14:textId="77777777">
      <w:pPr>
        <w:suppressAutoHyphens/>
        <w:spacing w:after="0" w:line="240" w:lineRule="auto"/>
        <w:jc w:val="center"/>
        <w:rPr>
          <w:rFonts w:cs="Times New Roman"/>
          <w:b/>
          <w:bCs/>
          <w:szCs w:val="24"/>
          <w:u w:val="single"/>
        </w:rPr>
      </w:pPr>
      <w:r w:rsidRPr="00190BA4">
        <w:rPr>
          <w:rFonts w:cs="Times New Roman"/>
          <w:b/>
          <w:bCs/>
          <w:szCs w:val="24"/>
          <w:u w:val="single"/>
        </w:rPr>
        <w:t>SERVICE LIST</w:t>
      </w:r>
    </w:p>
    <w:p w:rsidR="00825628" w:rsidRPr="00190BA4" w:rsidP="00825628" w14:paraId="4A21363B" w14:textId="77777777">
      <w:pPr>
        <w:widowControl w:val="0"/>
        <w:spacing w:after="0" w:line="240" w:lineRule="auto"/>
        <w:jc w:val="center"/>
        <w:rPr>
          <w:rFonts w:eastAsia="Times New Roman" w:cs="Times New Roman"/>
          <w:snapToGrid w:val="0"/>
          <w:szCs w:val="24"/>
        </w:rPr>
      </w:pPr>
    </w:p>
    <w:tbl>
      <w:tblPr>
        <w:tblW w:w="0" w:type="auto"/>
        <w:tblInd w:w="0" w:type="dxa"/>
        <w:tblCellMar>
          <w:top w:w="0" w:type="dxa"/>
          <w:left w:w="108" w:type="dxa"/>
          <w:bottom w:w="0" w:type="dxa"/>
          <w:right w:w="108" w:type="dxa"/>
        </w:tblCellMar>
        <w:tblLook w:val="01E0"/>
      </w:tblPr>
      <w:tblGrid>
        <w:gridCol w:w="4336"/>
        <w:gridCol w:w="4304"/>
      </w:tblGrid>
      <w:tr w14:paraId="7D1836FB" w14:textId="77777777" w:rsidTr="002364E3">
        <w:tblPrEx>
          <w:tblW w:w="0" w:type="auto"/>
          <w:tblInd w:w="0" w:type="dxa"/>
          <w:tblCellMar>
            <w:top w:w="0" w:type="dxa"/>
            <w:left w:w="108" w:type="dxa"/>
            <w:bottom w:w="0" w:type="dxa"/>
            <w:right w:w="108" w:type="dxa"/>
          </w:tblCellMar>
          <w:tblLook w:val="01E0"/>
        </w:tblPrEx>
        <w:tc>
          <w:tcPr>
            <w:tcW w:w="4428" w:type="dxa"/>
            <w:shd w:val="clear" w:color="auto" w:fill="auto"/>
          </w:tcPr>
          <w:p w:rsidR="003E5579" w:rsidRPr="00190BA4" w:rsidP="003E5579" w14:paraId="7B85C59D" w14:textId="77777777">
            <w:pPr>
              <w:autoSpaceDE w:val="0"/>
              <w:autoSpaceDN w:val="0"/>
              <w:adjustRightInd w:val="0"/>
              <w:spacing w:after="0" w:line="240" w:lineRule="auto"/>
              <w:rPr>
                <w:rFonts w:ascii="Times New Roman" w:hAnsi="Times New Roman" w:eastAsiaTheme="minorHAnsi" w:cs="Times New Roman"/>
                <w:bCs/>
                <w:sz w:val="24"/>
                <w:szCs w:val="24"/>
                <w:lang w:val="en-US" w:eastAsia="en-US" w:bidi="ar-SA"/>
              </w:rPr>
            </w:pPr>
            <w:hyperlink r:id="rId18" w:history="1">
              <w:r w:rsidRPr="00190BA4" w:rsidR="00DA1F10">
                <w:rPr>
                  <w:rFonts w:ascii="Times New Roman" w:hAnsi="Times New Roman" w:eastAsiaTheme="minorHAnsi" w:cs="Times New Roman"/>
                  <w:bCs/>
                  <w:color w:val="0000FF"/>
                  <w:sz w:val="24"/>
                  <w:szCs w:val="24"/>
                  <w:u w:val="single"/>
                  <w:lang w:val="en-US" w:eastAsia="en-US" w:bidi="ar-SA"/>
                </w:rPr>
                <w:t>amy.botschnerobrien@ohioago.gov</w:t>
              </w:r>
            </w:hyperlink>
          </w:p>
          <w:p w:rsidR="003E5579" w:rsidRPr="00190BA4" w:rsidP="003E5579" w14:paraId="55FB21D4" w14:textId="085FFB18">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hyperlink r:id="rId19" w:history="1">
              <w:r w:rsidRPr="00190BA4" w:rsidR="0052006C">
                <w:rPr>
                  <w:rStyle w:val="Hyperlink"/>
                  <w:rFonts w:ascii="Times New Roman" w:hAnsi="Times New Roman" w:eastAsiaTheme="minorHAnsi" w:cs="Times New Roman"/>
                  <w:bCs/>
                  <w:color w:val="0000FF" w:themeColor="hyperlink"/>
                  <w:sz w:val="24"/>
                  <w:szCs w:val="24"/>
                  <w:u w:val="single"/>
                  <w:lang w:val="en-US" w:eastAsia="en-US" w:bidi="ar-SA"/>
                </w:rPr>
                <w:t>rhiannon.howard@ohioago.gov</w:t>
              </w:r>
            </w:hyperlink>
          </w:p>
          <w:p w:rsidR="0052006C" w:rsidRPr="00190BA4" w:rsidP="0052006C" w14:paraId="1B7F0467"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hyperlink r:id="rId20" w:history="1">
              <w:r w:rsidRPr="00190BA4" w:rsidR="00DA1F10">
                <w:rPr>
                  <w:rFonts w:ascii="Times New Roman" w:hAnsi="Times New Roman" w:eastAsiaTheme="minorHAnsi" w:cs="Times New Roman"/>
                  <w:bCs/>
                  <w:color w:val="0000FF"/>
                  <w:sz w:val="24"/>
                  <w:szCs w:val="24"/>
                  <w:u w:val="single"/>
                  <w:lang w:val="en-US" w:eastAsia="en-US" w:bidi="ar-SA"/>
                </w:rPr>
                <w:t>thomas.lindgren@ohioago.gov</w:t>
              </w:r>
            </w:hyperlink>
          </w:p>
          <w:p w:rsidR="003E5579" w:rsidRPr="00190BA4" w:rsidP="003E5579" w14:paraId="1E4D9D5B" w14:textId="77777777">
            <w:pPr>
              <w:autoSpaceDE w:val="0"/>
              <w:autoSpaceDN w:val="0"/>
              <w:adjustRightInd w:val="0"/>
              <w:spacing w:after="0" w:line="240" w:lineRule="auto"/>
              <w:rPr>
                <w:rFonts w:ascii="Times New Roman" w:hAnsi="Times New Roman" w:eastAsiaTheme="minorHAnsi" w:cs="Times New Roman"/>
                <w:bCs/>
                <w:sz w:val="24"/>
                <w:szCs w:val="24"/>
                <w:lang w:val="en-US" w:eastAsia="en-US" w:bidi="ar-SA"/>
              </w:rPr>
            </w:pPr>
            <w:hyperlink r:id="rId21" w:history="1">
              <w:r w:rsidRPr="00190BA4" w:rsidR="00DA1F10">
                <w:rPr>
                  <w:rFonts w:ascii="Times New Roman" w:hAnsi="Times New Roman" w:eastAsiaTheme="minorHAnsi" w:cs="Times New Roman"/>
                  <w:bCs/>
                  <w:color w:val="0000FF"/>
                  <w:sz w:val="24"/>
                  <w:szCs w:val="24"/>
                  <w:u w:val="single"/>
                  <w:lang w:val="en-US" w:eastAsia="en-US" w:bidi="ar-SA"/>
                </w:rPr>
                <w:t>emcconnell@elpc.org</w:t>
              </w:r>
            </w:hyperlink>
          </w:p>
          <w:p w:rsidR="003E5579" w:rsidRPr="00190BA4" w:rsidP="003E5579" w14:paraId="229A6FA5" w14:textId="77777777">
            <w:pPr>
              <w:autoSpaceDE w:val="0"/>
              <w:autoSpaceDN w:val="0"/>
              <w:adjustRightInd w:val="0"/>
              <w:spacing w:after="0" w:line="240" w:lineRule="auto"/>
              <w:rPr>
                <w:rFonts w:ascii="Times New Roman" w:hAnsi="Times New Roman" w:eastAsiaTheme="minorHAnsi" w:cs="Times New Roman"/>
                <w:color w:val="0000FF"/>
                <w:sz w:val="24"/>
                <w:szCs w:val="24"/>
                <w:u w:val="single"/>
                <w:lang w:val="en-US" w:eastAsia="en-US" w:bidi="ar-SA"/>
              </w:rPr>
            </w:pPr>
            <w:hyperlink r:id="rId22" w:history="1">
              <w:r w:rsidRPr="00190BA4" w:rsidR="00DA1F10">
                <w:rPr>
                  <w:rFonts w:ascii="Times New Roman" w:hAnsi="Times New Roman" w:eastAsiaTheme="minorHAnsi" w:cs="Times New Roman"/>
                  <w:color w:val="0000FF"/>
                  <w:sz w:val="24"/>
                  <w:szCs w:val="24"/>
                  <w:u w:val="single"/>
                  <w:lang w:val="en-US" w:eastAsia="en-US" w:bidi="ar-SA"/>
                </w:rPr>
                <w:t>bojko@carpenterlipps.com</w:t>
              </w:r>
            </w:hyperlink>
          </w:p>
          <w:p w:rsidR="003E5579" w:rsidRPr="00190BA4" w:rsidP="003E5579" w14:paraId="5FA44F22" w14:textId="5350DC43">
            <w:pPr>
              <w:autoSpaceDE w:val="0"/>
              <w:autoSpaceDN w:val="0"/>
              <w:adjustRightInd w:val="0"/>
              <w:spacing w:after="0" w:line="240" w:lineRule="auto"/>
              <w:rPr>
                <w:rFonts w:ascii="Times New Roman" w:hAnsi="Times New Roman" w:eastAsiaTheme="minorHAnsi" w:cs="Times New Roman"/>
                <w:sz w:val="24"/>
                <w:szCs w:val="24"/>
                <w:lang w:val="en-US" w:eastAsia="en-US" w:bidi="ar-SA"/>
              </w:rPr>
            </w:pPr>
            <w:hyperlink r:id="rId23" w:history="1">
              <w:r w:rsidRPr="00190BA4" w:rsidR="00DA1F10">
                <w:rPr>
                  <w:rStyle w:val="Hyperlink"/>
                  <w:rFonts w:ascii="Times New Roman" w:hAnsi="Times New Roman" w:eastAsiaTheme="minorHAnsi" w:cs="Times New Roman"/>
                  <w:color w:val="0000FF" w:themeColor="hyperlink"/>
                  <w:sz w:val="24"/>
                  <w:szCs w:val="24"/>
                  <w:u w:val="single"/>
                  <w:lang w:val="en-US" w:eastAsia="en-US" w:bidi="ar-SA"/>
                </w:rPr>
                <w:t>easley@carpenterlipps.com</w:t>
              </w:r>
            </w:hyperlink>
          </w:p>
          <w:p w:rsidR="003E5579" w:rsidRPr="00190BA4" w:rsidP="003E5579" w14:paraId="184D7B45" w14:textId="7A848C0E">
            <w:pPr>
              <w:autoSpaceDE w:val="0"/>
              <w:autoSpaceDN w:val="0"/>
              <w:adjustRightInd w:val="0"/>
              <w:spacing w:after="0" w:line="240" w:lineRule="auto"/>
              <w:rPr>
                <w:rFonts w:ascii="Times New Roman" w:hAnsi="Times New Roman" w:eastAsiaTheme="minorHAnsi" w:cs="Times New Roman"/>
                <w:sz w:val="24"/>
                <w:szCs w:val="24"/>
                <w:lang w:val="en-US" w:eastAsia="en-US" w:bidi="ar-SA"/>
              </w:rPr>
            </w:pPr>
            <w:hyperlink r:id="rId24" w:history="1">
              <w:r w:rsidRPr="00190BA4" w:rsidR="00DA1F10">
                <w:rPr>
                  <w:rStyle w:val="Hyperlink"/>
                  <w:rFonts w:ascii="Times New Roman" w:hAnsi="Times New Roman" w:eastAsiaTheme="minorHAnsi" w:cs="Times New Roman"/>
                  <w:color w:val="0000FF" w:themeColor="hyperlink"/>
                  <w:sz w:val="24"/>
                  <w:szCs w:val="24"/>
                  <w:u w:val="single"/>
                  <w:lang w:val="en-US" w:eastAsia="en-US" w:bidi="ar-SA"/>
                </w:rPr>
                <w:t>cadieux@carpenterlipps.com</w:t>
              </w:r>
            </w:hyperlink>
          </w:p>
          <w:p w:rsidR="003E5579" w:rsidRPr="00190BA4" w:rsidP="003E5579" w14:paraId="19B9E0A4" w14:textId="77777777">
            <w:pPr>
              <w:autoSpaceDE w:val="0"/>
              <w:autoSpaceDN w:val="0"/>
              <w:adjustRightInd w:val="0"/>
              <w:spacing w:after="0" w:line="240" w:lineRule="auto"/>
              <w:rPr>
                <w:rFonts w:ascii="Times New Roman" w:hAnsi="Times New Roman" w:eastAsiaTheme="minorHAnsi" w:cs="Times New Roman"/>
                <w:sz w:val="24"/>
                <w:szCs w:val="24"/>
                <w:lang w:val="en-US" w:eastAsia="en-US" w:bidi="ar-SA"/>
              </w:rPr>
            </w:pPr>
            <w:hyperlink r:id="rId25" w:history="1">
              <w:r w:rsidRPr="00190BA4" w:rsidR="00DA1F10">
                <w:rPr>
                  <w:rFonts w:ascii="Times New Roman" w:hAnsi="Times New Roman" w:eastAsiaTheme="minorHAnsi" w:cs="Times New Roman"/>
                  <w:color w:val="0000FF"/>
                  <w:sz w:val="24"/>
                  <w:szCs w:val="24"/>
                  <w:u w:val="single"/>
                  <w:lang w:val="en-US" w:eastAsia="en-US" w:bidi="ar-SA"/>
                </w:rPr>
                <w:t>stacie.cathcart@igs.com</w:t>
              </w:r>
            </w:hyperlink>
          </w:p>
          <w:p w:rsidR="003E5579" w:rsidRPr="00190BA4" w:rsidP="003E5579" w14:paraId="0AEBA2F0" w14:textId="77777777">
            <w:pPr>
              <w:autoSpaceDE w:val="0"/>
              <w:autoSpaceDN w:val="0"/>
              <w:adjustRightInd w:val="0"/>
              <w:spacing w:after="0" w:line="240" w:lineRule="auto"/>
              <w:rPr>
                <w:rFonts w:ascii="Times New Roman" w:hAnsi="Times New Roman" w:eastAsiaTheme="minorHAnsi" w:cs="Times New Roman"/>
                <w:color w:val="0000FF"/>
                <w:sz w:val="24"/>
                <w:szCs w:val="24"/>
                <w:u w:val="single"/>
                <w:lang w:val="en-US" w:eastAsia="en-US" w:bidi="ar-SA"/>
              </w:rPr>
            </w:pPr>
            <w:hyperlink r:id="rId26" w:history="1">
              <w:r w:rsidRPr="00190BA4" w:rsidR="00DA1F10">
                <w:rPr>
                  <w:rFonts w:ascii="Times New Roman" w:hAnsi="Times New Roman" w:eastAsiaTheme="minorHAnsi" w:cs="Times New Roman"/>
                  <w:color w:val="0000FF"/>
                  <w:sz w:val="24"/>
                  <w:szCs w:val="24"/>
                  <w:u w:val="single"/>
                  <w:lang w:val="en-US" w:eastAsia="en-US" w:bidi="ar-SA"/>
                </w:rPr>
                <w:t>michael.nugent@igs.com</w:t>
              </w:r>
            </w:hyperlink>
          </w:p>
          <w:p w:rsidR="003E5579" w:rsidRPr="00190BA4" w:rsidP="003E5579" w14:paraId="0CD67CE0" w14:textId="77777777">
            <w:pPr>
              <w:autoSpaceDE w:val="0"/>
              <w:autoSpaceDN w:val="0"/>
              <w:adjustRightInd w:val="0"/>
              <w:spacing w:after="0" w:line="240" w:lineRule="auto"/>
              <w:rPr>
                <w:rFonts w:ascii="Times New Roman" w:hAnsi="Times New Roman" w:eastAsiaTheme="minorHAnsi" w:cs="Times New Roman"/>
                <w:sz w:val="24"/>
                <w:szCs w:val="24"/>
                <w:lang w:val="en-US" w:eastAsia="en-US" w:bidi="ar-SA"/>
              </w:rPr>
            </w:pPr>
            <w:hyperlink r:id="rId27" w:history="1">
              <w:r w:rsidRPr="00190BA4" w:rsidR="00DA1F10">
                <w:rPr>
                  <w:rFonts w:ascii="Times New Roman" w:hAnsi="Times New Roman" w:eastAsiaTheme="minorHAnsi" w:cs="Times New Roman"/>
                  <w:color w:val="0000FF"/>
                  <w:sz w:val="24"/>
                  <w:szCs w:val="24"/>
                  <w:u w:val="single"/>
                  <w:lang w:val="en-US" w:eastAsia="en-US" w:bidi="ar-SA"/>
                </w:rPr>
                <w:t>jlang@calfee.com</w:t>
              </w:r>
            </w:hyperlink>
          </w:p>
          <w:p w:rsidR="003E5579" w:rsidRPr="00190BA4" w:rsidP="003E5579" w14:paraId="1B814CE2" w14:textId="77777777">
            <w:pPr>
              <w:autoSpaceDE w:val="0"/>
              <w:autoSpaceDN w:val="0"/>
              <w:adjustRightInd w:val="0"/>
              <w:spacing w:after="0" w:line="240" w:lineRule="auto"/>
              <w:rPr>
                <w:rFonts w:ascii="Times New Roman" w:hAnsi="Times New Roman" w:eastAsiaTheme="minorHAnsi" w:cs="Times New Roman"/>
                <w:sz w:val="24"/>
                <w:szCs w:val="24"/>
                <w:lang w:val="en-US" w:eastAsia="en-US" w:bidi="ar-SA"/>
              </w:rPr>
            </w:pPr>
            <w:hyperlink r:id="rId28" w:history="1">
              <w:r w:rsidRPr="00190BA4" w:rsidR="00DA1F10">
                <w:rPr>
                  <w:rFonts w:ascii="Times New Roman" w:hAnsi="Times New Roman" w:eastAsiaTheme="minorHAnsi" w:cs="Times New Roman"/>
                  <w:color w:val="0000FF"/>
                  <w:sz w:val="24"/>
                  <w:szCs w:val="24"/>
                  <w:u w:val="single"/>
                  <w:lang w:val="en-US" w:eastAsia="en-US" w:bidi="ar-SA"/>
                </w:rPr>
                <w:t>mbarbara@calfee.com</w:t>
              </w:r>
            </w:hyperlink>
          </w:p>
          <w:p w:rsidR="003E5579" w:rsidRPr="00190BA4" w:rsidP="003E5579" w14:paraId="4A6F33B9" w14:textId="77777777">
            <w:pPr>
              <w:autoSpaceDE w:val="0"/>
              <w:autoSpaceDN w:val="0"/>
              <w:adjustRightInd w:val="0"/>
              <w:spacing w:after="0" w:line="240" w:lineRule="auto"/>
              <w:rPr>
                <w:rFonts w:ascii="Times New Roman" w:hAnsi="Times New Roman" w:eastAsiaTheme="minorHAnsi" w:cs="Times New Roman"/>
                <w:bCs/>
                <w:sz w:val="24"/>
                <w:szCs w:val="24"/>
                <w:lang w:val="en-US" w:eastAsia="en-US" w:bidi="ar-SA"/>
              </w:rPr>
            </w:pPr>
            <w:hyperlink r:id="rId29" w:history="1">
              <w:r w:rsidRPr="00190BA4" w:rsidR="00DA1F10">
                <w:rPr>
                  <w:rFonts w:ascii="Times New Roman" w:hAnsi="Times New Roman" w:eastAsiaTheme="minorHAnsi" w:cs="Times New Roman"/>
                  <w:bCs/>
                  <w:color w:val="0000FF"/>
                  <w:sz w:val="24"/>
                  <w:szCs w:val="24"/>
                  <w:u w:val="single"/>
                  <w:lang w:val="en-US" w:eastAsia="en-US" w:bidi="ar-SA"/>
                </w:rPr>
                <w:t>dproano@bakerlaw.com</w:t>
              </w:r>
            </w:hyperlink>
          </w:p>
          <w:p w:rsidR="003E5579" w:rsidRPr="00190BA4" w:rsidP="003E5579" w14:paraId="27200DD6" w14:textId="77777777">
            <w:pPr>
              <w:autoSpaceDE w:val="0"/>
              <w:autoSpaceDN w:val="0"/>
              <w:adjustRightInd w:val="0"/>
              <w:spacing w:after="0" w:line="240" w:lineRule="auto"/>
              <w:rPr>
                <w:rFonts w:ascii="Times New Roman" w:hAnsi="Times New Roman" w:eastAsiaTheme="minorHAnsi" w:cs="Times New Roman"/>
                <w:bCs/>
                <w:sz w:val="24"/>
                <w:szCs w:val="24"/>
                <w:lang w:val="en-US" w:eastAsia="en-US" w:bidi="ar-SA"/>
              </w:rPr>
            </w:pPr>
            <w:hyperlink r:id="rId30" w:history="1">
              <w:r w:rsidRPr="00190BA4" w:rsidR="00DA1F10">
                <w:rPr>
                  <w:rFonts w:ascii="Times New Roman" w:hAnsi="Times New Roman" w:eastAsiaTheme="minorHAnsi" w:cs="Times New Roman"/>
                  <w:bCs/>
                  <w:color w:val="0000FF"/>
                  <w:sz w:val="24"/>
                  <w:szCs w:val="24"/>
                  <w:u w:val="single"/>
                  <w:lang w:val="en-US" w:eastAsia="en-US" w:bidi="ar-SA"/>
                </w:rPr>
                <w:t>ahaque@bakerlaw.com</w:t>
              </w:r>
            </w:hyperlink>
          </w:p>
          <w:p w:rsidR="003E5579" w:rsidRPr="00190BA4" w:rsidP="003E5579" w14:paraId="13BF851D"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hyperlink r:id="rId31" w:history="1">
              <w:r w:rsidRPr="00190BA4" w:rsidR="00DA1F10">
                <w:rPr>
                  <w:rFonts w:ascii="Times New Roman" w:hAnsi="Times New Roman" w:eastAsiaTheme="minorHAnsi" w:cs="Times New Roman"/>
                  <w:bCs/>
                  <w:color w:val="0000FF"/>
                  <w:sz w:val="24"/>
                  <w:szCs w:val="24"/>
                  <w:u w:val="single"/>
                  <w:lang w:val="en-US" w:eastAsia="en-US" w:bidi="ar-SA"/>
                </w:rPr>
                <w:t>eprouty@bakerlaw.com</w:t>
              </w:r>
            </w:hyperlink>
          </w:p>
          <w:p w:rsidR="003E5579" w:rsidRPr="00190BA4" w:rsidP="003E5579" w14:paraId="3562701E"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hyperlink r:id="rId32" w:history="1">
              <w:r w:rsidRPr="00190BA4" w:rsidR="00DA1F10">
                <w:rPr>
                  <w:rFonts w:ascii="Times New Roman" w:hAnsi="Times New Roman" w:eastAsiaTheme="minorHAnsi" w:cs="Times New Roman"/>
                  <w:bCs/>
                  <w:color w:val="0000FF"/>
                  <w:sz w:val="24"/>
                  <w:szCs w:val="24"/>
                  <w:u w:val="single"/>
                  <w:lang w:val="en-US" w:eastAsia="en-US" w:bidi="ar-SA"/>
                </w:rPr>
                <w:t>tdougherty@theoec.org</w:t>
              </w:r>
            </w:hyperlink>
          </w:p>
          <w:p w:rsidR="003E5579" w:rsidRPr="00190BA4" w:rsidP="003E5579" w14:paraId="1C740CC9"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r w:rsidRPr="00190BA4">
              <w:rPr>
                <w:rFonts w:ascii="Times New Roman" w:hAnsi="Times New Roman" w:eastAsiaTheme="minorHAnsi" w:cs="Times New Roman"/>
                <w:bCs/>
                <w:color w:val="0000FF"/>
                <w:sz w:val="24"/>
                <w:szCs w:val="24"/>
                <w:u w:val="single"/>
                <w:lang w:val="en-US" w:eastAsia="en-US" w:bidi="ar-SA"/>
              </w:rPr>
              <w:t>rdove@keglerbrown.com</w:t>
            </w:r>
          </w:p>
          <w:p w:rsidR="003E5579" w:rsidRPr="00190BA4" w:rsidP="003E5579" w14:paraId="2B1B455A"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hyperlink r:id="rId33" w:history="1">
              <w:r w:rsidRPr="00190BA4" w:rsidR="00DA1F10">
                <w:rPr>
                  <w:rFonts w:ascii="Times New Roman" w:hAnsi="Times New Roman" w:eastAsiaTheme="minorHAnsi" w:cs="Times New Roman"/>
                  <w:bCs/>
                  <w:color w:val="0000FF"/>
                  <w:sz w:val="24"/>
                  <w:szCs w:val="24"/>
                  <w:u w:val="single"/>
                  <w:lang w:val="en-US" w:eastAsia="en-US" w:bidi="ar-SA"/>
                </w:rPr>
                <w:t>nbobb@keglerbrown.com</w:t>
              </w:r>
            </w:hyperlink>
          </w:p>
          <w:p w:rsidR="003E5579" w:rsidRPr="00190BA4" w:rsidP="003E5579" w14:paraId="5040485D"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hyperlink r:id="rId34" w:history="1">
              <w:r w:rsidRPr="00190BA4" w:rsidR="00DA1F10">
                <w:rPr>
                  <w:rFonts w:ascii="Times New Roman" w:hAnsi="Times New Roman" w:eastAsiaTheme="minorHAnsi" w:cs="Times New Roman"/>
                  <w:bCs/>
                  <w:color w:val="0000FF"/>
                  <w:sz w:val="24"/>
                  <w:szCs w:val="24"/>
                  <w:u w:val="single"/>
                  <w:lang w:val="en-US" w:eastAsia="en-US" w:bidi="ar-SA"/>
                </w:rPr>
                <w:t>Paul@carpenterlipps.com</w:t>
              </w:r>
            </w:hyperlink>
          </w:p>
          <w:p w:rsidR="003E5579" w:rsidRPr="00190BA4" w:rsidP="003E5579" w14:paraId="4D24FA3E"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r w:rsidRPr="00190BA4">
              <w:rPr>
                <w:rFonts w:ascii="Times New Roman" w:hAnsi="Times New Roman" w:eastAsiaTheme="minorHAnsi" w:cs="Times New Roman"/>
                <w:bCs/>
                <w:color w:val="0000FF"/>
                <w:sz w:val="24"/>
                <w:szCs w:val="24"/>
                <w:u w:val="single"/>
                <w:lang w:val="en-US" w:eastAsia="en-US" w:bidi="ar-SA"/>
              </w:rPr>
              <w:t>pwillison@bakerlaw.com</w:t>
            </w:r>
          </w:p>
          <w:p w:rsidR="003E5579" w:rsidRPr="00190BA4" w:rsidP="003E5579" w14:paraId="1EA0E9ED"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p>
          <w:p w:rsidR="003E5579" w:rsidRPr="00190BA4" w:rsidP="003E5579" w14:paraId="1E3AF4ED" w14:textId="77777777">
            <w:pPr>
              <w:spacing w:after="0" w:line="240" w:lineRule="auto"/>
              <w:rPr>
                <w:rFonts w:ascii="Times New Roman" w:hAnsi="Times New Roman" w:eastAsiaTheme="minorHAnsi" w:cs="Times New Roman"/>
                <w:sz w:val="24"/>
                <w:szCs w:val="24"/>
                <w:lang w:val="en-US" w:eastAsia="en-US" w:bidi="ar-SA"/>
              </w:rPr>
            </w:pPr>
            <w:r w:rsidRPr="00190BA4">
              <w:rPr>
                <w:rFonts w:ascii="Times New Roman" w:hAnsi="Times New Roman" w:eastAsiaTheme="minorHAnsi" w:cs="Times New Roman"/>
                <w:sz w:val="24"/>
                <w:szCs w:val="24"/>
                <w:lang w:val="en-US" w:eastAsia="en-US" w:bidi="ar-SA"/>
              </w:rPr>
              <w:t xml:space="preserve">Attorney Examiners: </w:t>
            </w:r>
          </w:p>
          <w:p w:rsidR="003E5579" w:rsidRPr="00190BA4" w:rsidP="003E5579" w14:paraId="56D2FB0B" w14:textId="77777777">
            <w:pPr>
              <w:spacing w:after="0" w:line="240" w:lineRule="auto"/>
              <w:rPr>
                <w:rFonts w:ascii="Times New Roman" w:hAnsi="Times New Roman" w:eastAsiaTheme="minorHAnsi" w:cs="Times New Roman"/>
                <w:sz w:val="24"/>
                <w:szCs w:val="24"/>
                <w:lang w:val="en-US" w:eastAsia="en-US" w:bidi="ar-SA"/>
              </w:rPr>
            </w:pPr>
            <w:hyperlink r:id="rId35" w:history="1">
              <w:r w:rsidRPr="00190BA4" w:rsidR="00DA1F10">
                <w:rPr>
                  <w:rFonts w:ascii="Times New Roman" w:hAnsi="Times New Roman" w:eastAsiaTheme="minorHAnsi" w:cs="Times New Roman"/>
                  <w:color w:val="0000FF"/>
                  <w:sz w:val="24"/>
                  <w:szCs w:val="24"/>
                  <w:u w:val="single"/>
                  <w:lang w:val="en-US" w:eastAsia="en-US" w:bidi="ar-SA"/>
                </w:rPr>
                <w:t>megan.addison@puco.ohio.gov</w:t>
              </w:r>
            </w:hyperlink>
          </w:p>
          <w:p w:rsidR="003E5579" w:rsidRPr="00190BA4" w:rsidP="003E5579" w14:paraId="76F5B1C1" w14:textId="77777777">
            <w:pPr>
              <w:spacing w:after="0" w:line="240" w:lineRule="auto"/>
              <w:rPr>
                <w:rFonts w:ascii="Times New Roman" w:hAnsi="Times New Roman" w:eastAsiaTheme="minorHAnsi" w:cs="Times New Roman"/>
                <w:sz w:val="24"/>
                <w:szCs w:val="24"/>
                <w:lang w:val="en-US" w:eastAsia="en-US" w:bidi="ar-SA"/>
              </w:rPr>
            </w:pPr>
            <w:hyperlink r:id="rId36" w:history="1">
              <w:r w:rsidRPr="00190BA4" w:rsidR="00DA1F10">
                <w:rPr>
                  <w:rFonts w:ascii="Times New Roman" w:hAnsi="Times New Roman" w:eastAsiaTheme="minorHAnsi" w:cs="Times New Roman"/>
                  <w:color w:val="0000FF"/>
                  <w:sz w:val="24"/>
                  <w:szCs w:val="24"/>
                  <w:u w:val="single"/>
                  <w:lang w:val="en-US" w:eastAsia="en-US" w:bidi="ar-SA"/>
                </w:rPr>
                <w:t>greg.price@puco.ohio.gov</w:t>
              </w:r>
            </w:hyperlink>
          </w:p>
          <w:p w:rsidR="003E5579" w:rsidRPr="00190BA4" w:rsidP="003E5579" w14:paraId="4AB1345F" w14:textId="77777777">
            <w:pPr>
              <w:autoSpaceDE w:val="0"/>
              <w:autoSpaceDN w:val="0"/>
              <w:adjustRightInd w:val="0"/>
              <w:spacing w:after="0" w:line="240" w:lineRule="auto"/>
              <w:rPr>
                <w:rFonts w:ascii="Times New Roman" w:hAnsi="Times New Roman" w:eastAsiaTheme="minorHAnsi" w:cs="Times New Roman"/>
                <w:bCs/>
                <w:sz w:val="24"/>
                <w:szCs w:val="24"/>
                <w:lang w:val="en-US" w:eastAsia="en-US" w:bidi="ar-SA"/>
              </w:rPr>
            </w:pPr>
            <w:hyperlink r:id="rId37" w:history="1">
              <w:r w:rsidRPr="00190BA4" w:rsidR="00DA1F10">
                <w:rPr>
                  <w:rFonts w:ascii="Times New Roman" w:hAnsi="Times New Roman" w:eastAsiaTheme="minorHAnsi" w:cs="Times New Roman"/>
                  <w:color w:val="0000FF"/>
                  <w:sz w:val="24"/>
                  <w:szCs w:val="24"/>
                  <w:u w:val="single"/>
                  <w:lang w:val="en-US" w:eastAsia="en-US" w:bidi="ar-SA"/>
                </w:rPr>
                <w:t>jacqueline.st.john@puco.ohio.gov</w:t>
              </w:r>
            </w:hyperlink>
          </w:p>
          <w:p w:rsidR="003E5579" w:rsidRPr="00190BA4" w:rsidP="003E5579" w14:paraId="0B32F2B6" w14:textId="77777777">
            <w:pPr>
              <w:autoSpaceDE w:val="0"/>
              <w:autoSpaceDN w:val="0"/>
              <w:adjustRightInd w:val="0"/>
              <w:spacing w:after="0" w:line="240" w:lineRule="auto"/>
              <w:rPr>
                <w:rFonts w:ascii="Times New Roman" w:hAnsi="Times New Roman" w:eastAsiaTheme="minorHAnsi" w:cs="Times New Roman"/>
                <w:bCs/>
                <w:sz w:val="24"/>
                <w:szCs w:val="24"/>
                <w:lang w:val="en-US" w:eastAsia="en-US" w:bidi="ar-SA"/>
              </w:rPr>
            </w:pPr>
          </w:p>
        </w:tc>
        <w:tc>
          <w:tcPr>
            <w:tcW w:w="4428" w:type="dxa"/>
            <w:shd w:val="clear" w:color="auto" w:fill="auto"/>
          </w:tcPr>
          <w:p w:rsidR="003E5579" w:rsidRPr="00190BA4" w:rsidP="003E5579" w14:paraId="3C95ED8F" w14:textId="77777777">
            <w:pPr>
              <w:spacing w:after="0" w:line="240" w:lineRule="auto"/>
              <w:jc w:val="both"/>
              <w:rPr>
                <w:rFonts w:ascii="Times New Roman" w:hAnsi="Times New Roman" w:eastAsiaTheme="minorHAnsi" w:cs="Times New Roman"/>
                <w:sz w:val="24"/>
                <w:szCs w:val="24"/>
                <w:lang w:val="en-US" w:eastAsia="en-US" w:bidi="ar-SA"/>
              </w:rPr>
            </w:pPr>
            <w:hyperlink r:id="rId38" w:history="1">
              <w:r w:rsidRPr="00190BA4" w:rsidR="00DA1F10">
                <w:rPr>
                  <w:rFonts w:ascii="Times New Roman" w:hAnsi="Times New Roman" w:eastAsiaTheme="minorHAnsi" w:cs="Times New Roman"/>
                  <w:color w:val="0000FF"/>
                  <w:sz w:val="24"/>
                  <w:szCs w:val="24"/>
                  <w:u w:val="single"/>
                  <w:lang w:val="en-US" w:eastAsia="en-US" w:bidi="ar-SA"/>
                </w:rPr>
                <w:t>cwatchorn@firstenergycorp.com</w:t>
              </w:r>
            </w:hyperlink>
          </w:p>
          <w:p w:rsidR="003E5579" w:rsidRPr="00190BA4" w:rsidP="003E5579" w14:paraId="5EC75EB0" w14:textId="77777777">
            <w:pPr>
              <w:spacing w:after="0" w:line="240" w:lineRule="auto"/>
              <w:jc w:val="both"/>
              <w:rPr>
                <w:rFonts w:ascii="Times New Roman" w:hAnsi="Times New Roman" w:eastAsiaTheme="minorHAnsi" w:cs="Times New Roman"/>
                <w:bCs/>
                <w:sz w:val="24"/>
                <w:szCs w:val="24"/>
                <w:lang w:val="en-US" w:eastAsia="en-US" w:bidi="ar-SA"/>
              </w:rPr>
            </w:pPr>
            <w:hyperlink r:id="rId39" w:history="1">
              <w:r w:rsidRPr="00190BA4" w:rsidR="00DA1F10">
                <w:rPr>
                  <w:rFonts w:ascii="Times New Roman" w:hAnsi="Times New Roman" w:eastAsiaTheme="minorHAnsi" w:cs="Times New Roman"/>
                  <w:bCs/>
                  <w:color w:val="0000FF"/>
                  <w:sz w:val="24"/>
                  <w:szCs w:val="24"/>
                  <w:u w:val="single"/>
                  <w:lang w:val="en-US" w:eastAsia="en-US" w:bidi="ar-SA"/>
                </w:rPr>
                <w:t>talexander@beneschlaw.com</w:t>
              </w:r>
            </w:hyperlink>
          </w:p>
          <w:p w:rsidR="003E5579" w:rsidRPr="00190BA4" w:rsidP="003E5579" w14:paraId="21887AAE" w14:textId="77777777">
            <w:pPr>
              <w:spacing w:after="0" w:line="240" w:lineRule="auto"/>
              <w:jc w:val="both"/>
              <w:rPr>
                <w:rFonts w:ascii="Times New Roman" w:hAnsi="Times New Roman" w:eastAsiaTheme="minorHAnsi" w:cs="Times New Roman"/>
                <w:bCs/>
                <w:sz w:val="24"/>
                <w:szCs w:val="24"/>
                <w:lang w:val="en-US" w:eastAsia="en-US" w:bidi="ar-SA"/>
              </w:rPr>
            </w:pPr>
            <w:hyperlink r:id="rId40" w:history="1">
              <w:r w:rsidRPr="00190BA4" w:rsidR="00DA1F10">
                <w:rPr>
                  <w:rFonts w:ascii="Times New Roman" w:hAnsi="Times New Roman" w:eastAsiaTheme="minorHAnsi" w:cs="Times New Roman"/>
                  <w:bCs/>
                  <w:color w:val="0000FF"/>
                  <w:sz w:val="24"/>
                  <w:szCs w:val="24"/>
                  <w:u w:val="single"/>
                  <w:lang w:val="en-US" w:eastAsia="en-US" w:bidi="ar-SA"/>
                </w:rPr>
                <w:t>mkeaney@beneschlaw.com</w:t>
              </w:r>
            </w:hyperlink>
          </w:p>
          <w:p w:rsidR="003E5579" w:rsidRPr="00190BA4" w:rsidP="003E5579" w14:paraId="0BD7188A" w14:textId="77777777">
            <w:pPr>
              <w:spacing w:after="0" w:line="240" w:lineRule="auto"/>
              <w:jc w:val="both"/>
              <w:rPr>
                <w:rFonts w:ascii="Times New Roman" w:hAnsi="Times New Roman" w:eastAsiaTheme="minorHAnsi" w:cs="Times New Roman"/>
                <w:bCs/>
                <w:sz w:val="24"/>
                <w:szCs w:val="24"/>
                <w:lang w:val="en-US" w:eastAsia="en-US" w:bidi="ar-SA"/>
              </w:rPr>
            </w:pPr>
            <w:hyperlink r:id="rId41" w:history="1">
              <w:r w:rsidRPr="00190BA4" w:rsidR="00DA1F10">
                <w:rPr>
                  <w:rFonts w:ascii="Times New Roman" w:hAnsi="Times New Roman" w:eastAsiaTheme="minorHAnsi" w:cs="Times New Roman"/>
                  <w:bCs/>
                  <w:color w:val="0000FF"/>
                  <w:sz w:val="24"/>
                  <w:szCs w:val="24"/>
                  <w:u w:val="single"/>
                  <w:lang w:val="en-US" w:eastAsia="en-US" w:bidi="ar-SA"/>
                </w:rPr>
                <w:t>mkurtz@BKLlawfirm.com</w:t>
              </w:r>
            </w:hyperlink>
          </w:p>
          <w:p w:rsidR="003E5579" w:rsidRPr="00190BA4" w:rsidP="003E5579" w14:paraId="55D529DE" w14:textId="77777777">
            <w:pPr>
              <w:spacing w:after="0" w:line="240" w:lineRule="auto"/>
              <w:jc w:val="both"/>
              <w:rPr>
                <w:rFonts w:ascii="Times New Roman" w:hAnsi="Times New Roman" w:eastAsiaTheme="minorHAnsi" w:cs="Times New Roman"/>
                <w:bCs/>
                <w:sz w:val="24"/>
                <w:szCs w:val="24"/>
                <w:lang w:val="en-US" w:eastAsia="en-US" w:bidi="ar-SA"/>
              </w:rPr>
            </w:pPr>
            <w:hyperlink r:id="rId42" w:history="1">
              <w:r w:rsidRPr="00190BA4" w:rsidR="00DA1F10">
                <w:rPr>
                  <w:rFonts w:ascii="Times New Roman" w:hAnsi="Times New Roman" w:eastAsiaTheme="minorHAnsi" w:cs="Times New Roman"/>
                  <w:bCs/>
                  <w:color w:val="0000FF"/>
                  <w:sz w:val="24"/>
                  <w:szCs w:val="24"/>
                  <w:u w:val="single"/>
                  <w:lang w:val="en-US" w:eastAsia="en-US" w:bidi="ar-SA"/>
                </w:rPr>
                <w:t>kboehm@BKLlawfirm.com</w:t>
              </w:r>
            </w:hyperlink>
          </w:p>
          <w:p w:rsidR="003E5579" w:rsidRPr="00190BA4" w:rsidP="003E5579" w14:paraId="6DB40B47" w14:textId="77777777">
            <w:pPr>
              <w:spacing w:after="0" w:line="240" w:lineRule="auto"/>
              <w:jc w:val="both"/>
              <w:rPr>
                <w:rFonts w:ascii="Times New Roman" w:hAnsi="Times New Roman" w:eastAsiaTheme="minorHAnsi" w:cs="Times New Roman"/>
                <w:bCs/>
                <w:color w:val="0000FF"/>
                <w:sz w:val="24"/>
                <w:szCs w:val="24"/>
                <w:u w:val="single"/>
                <w:lang w:val="en-US" w:eastAsia="en-US" w:bidi="ar-SA"/>
              </w:rPr>
            </w:pPr>
            <w:hyperlink r:id="rId43" w:history="1">
              <w:r w:rsidRPr="00190BA4" w:rsidR="00DA1F10">
                <w:rPr>
                  <w:rFonts w:ascii="Times New Roman" w:hAnsi="Times New Roman" w:eastAsiaTheme="minorHAnsi" w:cs="Times New Roman"/>
                  <w:bCs/>
                  <w:color w:val="0000FF"/>
                  <w:sz w:val="24"/>
                  <w:szCs w:val="24"/>
                  <w:u w:val="single"/>
                  <w:lang w:val="en-US" w:eastAsia="en-US" w:bidi="ar-SA"/>
                </w:rPr>
                <w:t>jkylercohn@BKLlawfirm.com</w:t>
              </w:r>
            </w:hyperlink>
          </w:p>
          <w:p w:rsidR="003E5579" w:rsidRPr="00190BA4" w:rsidP="003E5579" w14:paraId="2F2196A2" w14:textId="77777777">
            <w:pPr>
              <w:spacing w:after="0" w:line="240" w:lineRule="auto"/>
              <w:jc w:val="both"/>
              <w:rPr>
                <w:rFonts w:ascii="Times New Roman" w:hAnsi="Times New Roman" w:eastAsiaTheme="minorHAnsi" w:cs="Times New Roman"/>
                <w:bCs/>
                <w:color w:val="0000FF"/>
                <w:sz w:val="24"/>
                <w:szCs w:val="24"/>
                <w:u w:val="single"/>
                <w:lang w:val="en-US" w:eastAsia="en-US" w:bidi="ar-SA"/>
              </w:rPr>
            </w:pPr>
            <w:hyperlink r:id="rId8" w:history="1">
              <w:r w:rsidRPr="00190BA4" w:rsidR="00DA1F10">
                <w:rPr>
                  <w:rFonts w:ascii="Times New Roman" w:hAnsi="Times New Roman" w:eastAsiaTheme="minorHAnsi" w:cs="Times New Roman"/>
                  <w:bCs/>
                  <w:color w:val="0000FF"/>
                  <w:sz w:val="24"/>
                  <w:szCs w:val="24"/>
                  <w:u w:val="single"/>
                  <w:lang w:val="en-US" w:eastAsia="en-US" w:bidi="ar-SA"/>
                </w:rPr>
                <w:t>trhayslaw@gmail.com</w:t>
              </w:r>
            </w:hyperlink>
          </w:p>
          <w:p w:rsidR="00022B84" w:rsidRPr="00190BA4" w:rsidP="003E5579" w14:paraId="7CD9181F" w14:textId="2D6D1A0B">
            <w:pPr>
              <w:spacing w:after="0" w:line="240" w:lineRule="auto"/>
              <w:jc w:val="both"/>
              <w:rPr>
                <w:rFonts w:ascii="Times New Roman" w:hAnsi="Times New Roman" w:eastAsiaTheme="minorHAnsi" w:cs="Times New Roman"/>
                <w:bCs/>
                <w:sz w:val="24"/>
                <w:szCs w:val="24"/>
                <w:lang w:val="en-US" w:eastAsia="en-US" w:bidi="ar-SA"/>
              </w:rPr>
            </w:pPr>
            <w:hyperlink r:id="rId10" w:history="1">
              <w:r w:rsidRPr="00190BA4" w:rsidR="00DA1F10">
                <w:rPr>
                  <w:rStyle w:val="Hyperlink"/>
                  <w:rFonts w:ascii="Times New Roman" w:hAnsi="Times New Roman" w:eastAsiaTheme="minorHAnsi" w:cs="Times New Roman"/>
                  <w:bCs/>
                  <w:color w:val="0000FF" w:themeColor="hyperlink"/>
                  <w:sz w:val="24"/>
                  <w:szCs w:val="24"/>
                  <w:u w:val="single"/>
                  <w:lang w:val="en-US" w:eastAsia="en-US" w:bidi="ar-SA"/>
                </w:rPr>
                <w:t>gwhaley@isaacwiles.com</w:t>
              </w:r>
            </w:hyperlink>
          </w:p>
          <w:p w:rsidR="003E5579" w:rsidRPr="00190BA4" w:rsidP="003E5579" w14:paraId="369C97CC" w14:textId="77777777">
            <w:pPr>
              <w:spacing w:after="0" w:line="240" w:lineRule="auto"/>
              <w:jc w:val="both"/>
              <w:rPr>
                <w:rFonts w:ascii="Times New Roman" w:hAnsi="Times New Roman" w:eastAsiaTheme="minorHAnsi" w:cs="Times New Roman"/>
                <w:bCs/>
                <w:sz w:val="24"/>
                <w:szCs w:val="24"/>
                <w:lang w:val="en-US" w:eastAsia="en-US" w:bidi="ar-SA"/>
              </w:rPr>
            </w:pPr>
            <w:hyperlink r:id="rId9" w:history="1">
              <w:r w:rsidRPr="00190BA4" w:rsidR="00DA1F10">
                <w:rPr>
                  <w:rFonts w:ascii="Times New Roman" w:hAnsi="Times New Roman" w:eastAsiaTheme="minorHAnsi" w:cs="Times New Roman"/>
                  <w:bCs/>
                  <w:color w:val="0000FF"/>
                  <w:sz w:val="24"/>
                  <w:szCs w:val="24"/>
                  <w:u w:val="single"/>
                  <w:lang w:val="en-US" w:eastAsia="en-US" w:bidi="ar-SA"/>
                </w:rPr>
                <w:t>leslie.kovacik@toledo.oh.gov</w:t>
              </w:r>
            </w:hyperlink>
          </w:p>
          <w:p w:rsidR="003E5579" w:rsidRPr="00190BA4" w:rsidP="003E5579" w14:paraId="307849DF" w14:textId="77777777">
            <w:pPr>
              <w:spacing w:after="0" w:line="240" w:lineRule="auto"/>
              <w:jc w:val="both"/>
              <w:rPr>
                <w:rFonts w:ascii="Times New Roman" w:hAnsi="Times New Roman" w:eastAsiaTheme="minorHAnsi" w:cs="Times New Roman"/>
                <w:sz w:val="24"/>
                <w:szCs w:val="24"/>
                <w:lang w:val="en-US" w:eastAsia="en-US" w:bidi="ar-SA"/>
              </w:rPr>
            </w:pPr>
            <w:hyperlink r:id="rId44" w:history="1">
              <w:r w:rsidRPr="00190BA4" w:rsidR="00DA1F10">
                <w:rPr>
                  <w:rFonts w:ascii="Times New Roman" w:hAnsi="Times New Roman" w:eastAsiaTheme="minorHAnsi" w:cs="Times New Roman"/>
                  <w:color w:val="0000FF"/>
                  <w:sz w:val="24"/>
                  <w:szCs w:val="24"/>
                  <w:u w:val="single"/>
                  <w:lang w:val="en-US" w:eastAsia="en-US" w:bidi="ar-SA"/>
                </w:rPr>
                <w:t>knordstrom@theOEC.org</w:t>
              </w:r>
            </w:hyperlink>
          </w:p>
          <w:p w:rsidR="003E5579" w:rsidRPr="00190BA4" w:rsidP="003E5579" w14:paraId="11B6C4E9" w14:textId="77777777">
            <w:pPr>
              <w:spacing w:after="0" w:line="240" w:lineRule="auto"/>
              <w:jc w:val="both"/>
              <w:rPr>
                <w:rFonts w:ascii="Times New Roman" w:hAnsi="Times New Roman" w:eastAsiaTheme="minorHAnsi" w:cs="Times New Roman"/>
                <w:sz w:val="24"/>
                <w:szCs w:val="24"/>
                <w:lang w:val="en-US" w:eastAsia="en-US" w:bidi="ar-SA"/>
              </w:rPr>
            </w:pPr>
            <w:hyperlink r:id="rId45" w:history="1">
              <w:r w:rsidRPr="00190BA4" w:rsidR="00DA1F10">
                <w:rPr>
                  <w:rFonts w:ascii="Times New Roman" w:hAnsi="Times New Roman" w:eastAsiaTheme="minorHAnsi" w:cs="Times New Roman"/>
                  <w:color w:val="0000FF"/>
                  <w:sz w:val="24"/>
                  <w:szCs w:val="24"/>
                  <w:u w:val="single"/>
                  <w:lang w:val="en-US" w:eastAsia="en-US" w:bidi="ar-SA"/>
                </w:rPr>
                <w:t>ctavenor@theOEC.org</w:t>
              </w:r>
            </w:hyperlink>
          </w:p>
          <w:p w:rsidR="003E5579" w:rsidRPr="00190BA4" w:rsidP="003E5579" w14:paraId="2BACCA67" w14:textId="77777777">
            <w:pPr>
              <w:spacing w:after="0" w:line="240" w:lineRule="auto"/>
              <w:jc w:val="both"/>
              <w:rPr>
                <w:rFonts w:ascii="Times New Roman" w:hAnsi="Times New Roman" w:eastAsiaTheme="minorHAnsi" w:cs="Times New Roman"/>
                <w:sz w:val="24"/>
                <w:szCs w:val="24"/>
                <w:lang w:val="en-US" w:eastAsia="en-US" w:bidi="ar-SA"/>
              </w:rPr>
            </w:pPr>
            <w:hyperlink r:id="rId46" w:history="1">
              <w:r w:rsidRPr="00190BA4" w:rsidR="00DA1F10">
                <w:rPr>
                  <w:rFonts w:ascii="Times New Roman" w:hAnsi="Times New Roman" w:eastAsiaTheme="minorHAnsi" w:cs="Times New Roman"/>
                  <w:color w:val="0000FF"/>
                  <w:sz w:val="24"/>
                  <w:szCs w:val="24"/>
                  <w:u w:val="single"/>
                  <w:lang w:val="en-US" w:eastAsia="en-US" w:bidi="ar-SA"/>
                </w:rPr>
                <w:t>todd.schafer@outlook.com</w:t>
              </w:r>
            </w:hyperlink>
          </w:p>
          <w:p w:rsidR="003E5579" w:rsidRPr="00190BA4" w:rsidP="003E5579" w14:paraId="1EDDAE42" w14:textId="77777777">
            <w:pPr>
              <w:spacing w:after="0" w:line="240" w:lineRule="auto"/>
              <w:jc w:val="both"/>
              <w:rPr>
                <w:rFonts w:ascii="Times New Roman" w:hAnsi="Times New Roman" w:eastAsiaTheme="minorHAnsi" w:cs="Times New Roman"/>
                <w:sz w:val="24"/>
                <w:szCs w:val="24"/>
                <w:lang w:val="en-US" w:eastAsia="en-US" w:bidi="ar-SA"/>
              </w:rPr>
            </w:pPr>
            <w:hyperlink r:id="rId47" w:history="1">
              <w:r w:rsidRPr="00190BA4" w:rsidR="00DA1F10">
                <w:rPr>
                  <w:rFonts w:ascii="Times New Roman" w:hAnsi="Times New Roman" w:eastAsiaTheme="minorHAnsi" w:cs="Times New Roman"/>
                  <w:color w:val="0000FF"/>
                  <w:sz w:val="24"/>
                  <w:szCs w:val="24"/>
                  <w:u w:val="single"/>
                  <w:lang w:val="en-US" w:eastAsia="en-US" w:bidi="ar-SA"/>
                </w:rPr>
                <w:t>little@litohio.com</w:t>
              </w:r>
            </w:hyperlink>
          </w:p>
          <w:p w:rsidR="003E5579" w:rsidRPr="00190BA4" w:rsidP="003E5579" w14:paraId="3972CF7A" w14:textId="77777777">
            <w:pPr>
              <w:spacing w:after="0" w:line="240" w:lineRule="auto"/>
              <w:jc w:val="both"/>
              <w:rPr>
                <w:rFonts w:ascii="Times New Roman" w:hAnsi="Times New Roman" w:eastAsiaTheme="minorHAnsi" w:cs="Times New Roman"/>
                <w:sz w:val="24"/>
                <w:szCs w:val="24"/>
                <w:lang w:val="en-US" w:eastAsia="en-US" w:bidi="ar-SA"/>
              </w:rPr>
            </w:pPr>
            <w:hyperlink r:id="rId48" w:history="1">
              <w:r w:rsidRPr="00190BA4" w:rsidR="00DA1F10">
                <w:rPr>
                  <w:rFonts w:ascii="Times New Roman" w:hAnsi="Times New Roman" w:eastAsiaTheme="minorHAnsi" w:cs="Times New Roman"/>
                  <w:color w:val="0000FF"/>
                  <w:sz w:val="24"/>
                  <w:szCs w:val="24"/>
                  <w:u w:val="single"/>
                  <w:lang w:val="en-US" w:eastAsia="en-US" w:bidi="ar-SA"/>
                </w:rPr>
                <w:t>hogan@litohio.com</w:t>
              </w:r>
            </w:hyperlink>
          </w:p>
          <w:p w:rsidR="003E5579" w:rsidRPr="00190BA4" w:rsidP="003E5579" w14:paraId="048E4953"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hyperlink r:id="rId49" w:history="1">
              <w:r w:rsidRPr="00190BA4" w:rsidR="00DA1F10">
                <w:rPr>
                  <w:rFonts w:ascii="Times New Roman" w:hAnsi="Times New Roman" w:eastAsiaTheme="minorHAnsi" w:cs="Times New Roman"/>
                  <w:bCs/>
                  <w:color w:val="0000FF"/>
                  <w:sz w:val="24"/>
                  <w:szCs w:val="24"/>
                  <w:u w:val="single"/>
                  <w:lang w:val="en-US" w:eastAsia="en-US" w:bidi="ar-SA"/>
                </w:rPr>
                <w:t>ktreadway@oneenergyllc.com</w:t>
              </w:r>
            </w:hyperlink>
          </w:p>
          <w:p w:rsidR="003E5579" w:rsidRPr="00190BA4" w:rsidP="003E5579" w14:paraId="619FAC00" w14:textId="77777777">
            <w:pPr>
              <w:autoSpaceDE w:val="0"/>
              <w:autoSpaceDN w:val="0"/>
              <w:adjustRightInd w:val="0"/>
              <w:spacing w:after="0" w:line="240" w:lineRule="auto"/>
              <w:rPr>
                <w:rFonts w:ascii="Times New Roman" w:hAnsi="Times New Roman" w:eastAsiaTheme="minorHAnsi" w:cs="Times New Roman"/>
                <w:bCs/>
                <w:color w:val="0000FF"/>
                <w:sz w:val="24"/>
                <w:szCs w:val="24"/>
                <w:u w:val="single"/>
                <w:lang w:val="en-US" w:eastAsia="en-US" w:bidi="ar-SA"/>
              </w:rPr>
            </w:pPr>
            <w:r w:rsidRPr="00190BA4">
              <w:rPr>
                <w:rFonts w:ascii="Times New Roman" w:hAnsi="Times New Roman" w:eastAsiaTheme="minorHAnsi" w:cs="Times New Roman"/>
                <w:bCs/>
                <w:color w:val="0000FF"/>
                <w:sz w:val="24"/>
                <w:szCs w:val="24"/>
                <w:u w:val="single"/>
                <w:lang w:val="en-US" w:eastAsia="en-US" w:bidi="ar-SA"/>
              </w:rPr>
              <w:t>jdunn@oneenergyllc.com</w:t>
            </w:r>
          </w:p>
          <w:p w:rsidR="003E5579" w:rsidRPr="00190BA4" w:rsidP="003E5579" w14:paraId="45965457" w14:textId="77777777">
            <w:pPr>
              <w:spacing w:after="0" w:line="240" w:lineRule="auto"/>
              <w:jc w:val="both"/>
              <w:rPr>
                <w:rFonts w:ascii="Times New Roman" w:hAnsi="Times New Roman" w:eastAsiaTheme="minorHAnsi" w:cs="Times New Roman"/>
                <w:sz w:val="24"/>
                <w:szCs w:val="24"/>
                <w:lang w:val="en-US" w:eastAsia="en-US" w:bidi="ar-SA"/>
              </w:rPr>
            </w:pPr>
            <w:hyperlink r:id="rId50" w:history="1">
              <w:r w:rsidRPr="00190BA4" w:rsidR="00DA1F10">
                <w:rPr>
                  <w:rFonts w:ascii="Times New Roman" w:hAnsi="Times New Roman" w:eastAsiaTheme="minorHAnsi" w:cs="Times New Roman"/>
                  <w:color w:val="0000FF"/>
                  <w:sz w:val="24"/>
                  <w:szCs w:val="24"/>
                  <w:u w:val="single"/>
                  <w:lang w:val="en-US" w:eastAsia="en-US" w:bidi="ar-SA"/>
                </w:rPr>
                <w:t>mpritchard@mcneeslaw.com</w:t>
              </w:r>
            </w:hyperlink>
          </w:p>
          <w:p w:rsidR="003E5579" w:rsidRPr="00190BA4" w:rsidP="003E5579" w14:paraId="332E6D5D" w14:textId="77777777">
            <w:pPr>
              <w:spacing w:after="0" w:line="240" w:lineRule="auto"/>
              <w:jc w:val="both"/>
              <w:rPr>
                <w:rFonts w:ascii="Times New Roman" w:hAnsi="Times New Roman" w:eastAsiaTheme="minorHAnsi" w:cs="Times New Roman"/>
                <w:sz w:val="24"/>
                <w:szCs w:val="24"/>
                <w:lang w:val="en-US" w:eastAsia="en-US" w:bidi="ar-SA"/>
              </w:rPr>
            </w:pPr>
            <w:hyperlink r:id="rId51" w:history="1">
              <w:r w:rsidRPr="00190BA4" w:rsidR="00DA1F10">
                <w:rPr>
                  <w:rFonts w:ascii="Times New Roman" w:hAnsi="Times New Roman" w:eastAsiaTheme="minorHAnsi" w:cs="Times New Roman"/>
                  <w:color w:val="0000FF"/>
                  <w:sz w:val="24"/>
                  <w:szCs w:val="24"/>
                  <w:u w:val="single"/>
                  <w:lang w:val="en-US" w:eastAsia="en-US" w:bidi="ar-SA"/>
                </w:rPr>
                <w:t>awalke@mcneeslaw.com</w:t>
              </w:r>
            </w:hyperlink>
          </w:p>
          <w:p w:rsidR="003E5579" w:rsidRPr="00190BA4" w:rsidP="003E5579" w14:paraId="172667DF" w14:textId="77777777">
            <w:pPr>
              <w:spacing w:after="0" w:line="240" w:lineRule="auto"/>
              <w:jc w:val="both"/>
              <w:rPr>
                <w:rFonts w:ascii="Times New Roman" w:hAnsi="Times New Roman" w:eastAsiaTheme="minorHAnsi" w:cs="Times New Roman"/>
                <w:sz w:val="24"/>
                <w:szCs w:val="24"/>
                <w:lang w:val="en-US" w:eastAsia="en-US" w:bidi="ar-SA"/>
              </w:rPr>
            </w:pPr>
            <w:hyperlink r:id="rId52" w:history="1">
              <w:r w:rsidRPr="00190BA4" w:rsidR="00DA1F10">
                <w:rPr>
                  <w:rFonts w:ascii="Times New Roman" w:hAnsi="Times New Roman" w:eastAsiaTheme="minorHAnsi" w:cs="Times New Roman"/>
                  <w:color w:val="0000FF"/>
                  <w:sz w:val="24"/>
                  <w:szCs w:val="24"/>
                  <w:u w:val="single"/>
                  <w:lang w:val="en-US" w:eastAsia="en-US" w:bidi="ar-SA"/>
                </w:rPr>
                <w:t>cgrundmann@spilmanlaw.com</w:t>
              </w:r>
            </w:hyperlink>
          </w:p>
          <w:p w:rsidR="003E5579" w:rsidRPr="00190BA4" w:rsidP="003E5579" w14:paraId="376B9CBF" w14:textId="77777777">
            <w:pPr>
              <w:spacing w:after="0" w:line="240" w:lineRule="auto"/>
              <w:jc w:val="both"/>
              <w:rPr>
                <w:rFonts w:ascii="Times New Roman" w:hAnsi="Times New Roman" w:eastAsiaTheme="minorHAnsi" w:cs="Times New Roman"/>
                <w:sz w:val="24"/>
                <w:szCs w:val="24"/>
                <w:lang w:val="en-US" w:eastAsia="en-US" w:bidi="ar-SA"/>
              </w:rPr>
            </w:pPr>
            <w:hyperlink r:id="rId53" w:history="1">
              <w:r w:rsidRPr="00190BA4" w:rsidR="00DA1F10">
                <w:rPr>
                  <w:rFonts w:ascii="Times New Roman" w:hAnsi="Times New Roman" w:eastAsiaTheme="minorHAnsi" w:cs="Times New Roman"/>
                  <w:color w:val="0000FF"/>
                  <w:sz w:val="24"/>
                  <w:szCs w:val="24"/>
                  <w:u w:val="single"/>
                  <w:lang w:val="en-US" w:eastAsia="en-US" w:bidi="ar-SA"/>
                </w:rPr>
                <w:t>dwilliamson@spilmanlaw.com</w:t>
              </w:r>
            </w:hyperlink>
          </w:p>
          <w:p w:rsidR="003E5579" w:rsidRPr="00190BA4" w:rsidP="003E5579" w14:paraId="366910D9" w14:textId="77777777">
            <w:pPr>
              <w:spacing w:after="0" w:line="240" w:lineRule="auto"/>
              <w:jc w:val="both"/>
              <w:rPr>
                <w:rFonts w:ascii="Times New Roman" w:hAnsi="Times New Roman" w:eastAsiaTheme="minorHAnsi" w:cs="Times New Roman"/>
                <w:sz w:val="24"/>
                <w:szCs w:val="24"/>
                <w:lang w:val="en-US" w:eastAsia="en-US" w:bidi="ar-SA"/>
              </w:rPr>
            </w:pPr>
            <w:hyperlink r:id="rId54" w:history="1">
              <w:r w:rsidRPr="00190BA4" w:rsidR="00DA1F10">
                <w:rPr>
                  <w:rFonts w:ascii="Times New Roman" w:hAnsi="Times New Roman" w:eastAsiaTheme="minorHAnsi" w:cs="Times New Roman"/>
                  <w:color w:val="0000FF"/>
                  <w:sz w:val="24"/>
                  <w:szCs w:val="24"/>
                  <w:u w:val="single"/>
                  <w:lang w:val="en-US" w:eastAsia="en-US" w:bidi="ar-SA"/>
                </w:rPr>
                <w:t>slee@spilmanlaw.com</w:t>
              </w:r>
            </w:hyperlink>
          </w:p>
          <w:p w:rsidR="003E5579" w:rsidRPr="00190BA4" w:rsidP="003E5579" w14:paraId="77B816EA" w14:textId="77777777">
            <w:pPr>
              <w:spacing w:after="0" w:line="240" w:lineRule="auto"/>
              <w:jc w:val="both"/>
              <w:rPr>
                <w:rFonts w:ascii="Times New Roman" w:hAnsi="Times New Roman" w:eastAsiaTheme="minorHAnsi" w:cs="Times New Roman"/>
                <w:sz w:val="24"/>
                <w:szCs w:val="24"/>
                <w:lang w:val="en-US" w:eastAsia="en-US" w:bidi="ar-SA"/>
              </w:rPr>
            </w:pPr>
            <w:hyperlink r:id="rId55" w:history="1">
              <w:r w:rsidRPr="00190BA4" w:rsidR="00DA1F10">
                <w:rPr>
                  <w:rFonts w:ascii="Times New Roman" w:hAnsi="Times New Roman" w:eastAsiaTheme="minorHAnsi" w:cs="Times New Roman"/>
                  <w:color w:val="0000FF"/>
                  <w:sz w:val="24"/>
                  <w:szCs w:val="24"/>
                  <w:u w:val="single"/>
                  <w:lang w:val="en-US" w:eastAsia="en-US" w:bidi="ar-SA"/>
                </w:rPr>
                <w:t>dstinson@brickergraydon.com</w:t>
              </w:r>
            </w:hyperlink>
          </w:p>
          <w:p w:rsidR="003E5579" w:rsidRPr="00190BA4" w:rsidP="003E5579" w14:paraId="6C541726" w14:textId="77777777">
            <w:pPr>
              <w:spacing w:after="0" w:line="240" w:lineRule="auto"/>
              <w:jc w:val="both"/>
              <w:rPr>
                <w:rFonts w:ascii="Times New Roman" w:hAnsi="Times New Roman" w:eastAsiaTheme="minorHAnsi" w:cs="Times New Roman"/>
                <w:sz w:val="24"/>
                <w:szCs w:val="24"/>
                <w:lang w:val="en-US" w:eastAsia="en-US" w:bidi="ar-SA"/>
              </w:rPr>
            </w:pPr>
            <w:hyperlink r:id="rId56" w:history="1">
              <w:r w:rsidRPr="00190BA4" w:rsidR="00DA1F10">
                <w:rPr>
                  <w:rFonts w:ascii="Times New Roman" w:hAnsi="Times New Roman" w:eastAsiaTheme="minorHAnsi" w:cs="Times New Roman"/>
                  <w:color w:val="0000FF"/>
                  <w:sz w:val="24"/>
                  <w:szCs w:val="24"/>
                  <w:u w:val="single"/>
                  <w:lang w:val="en-US" w:eastAsia="en-US" w:bidi="ar-SA"/>
                </w:rPr>
                <w:t>gkrassen@nopec.org</w:t>
              </w:r>
            </w:hyperlink>
          </w:p>
          <w:p w:rsidR="003E5579" w:rsidRPr="00190BA4" w:rsidP="003E5579" w14:paraId="71090EA7" w14:textId="77777777">
            <w:pPr>
              <w:spacing w:after="0" w:line="240" w:lineRule="auto"/>
              <w:jc w:val="both"/>
              <w:rPr>
                <w:rFonts w:ascii="Times New Roman" w:hAnsi="Times New Roman" w:eastAsiaTheme="minorHAnsi" w:cs="Times New Roman"/>
                <w:sz w:val="24"/>
                <w:szCs w:val="24"/>
                <w:lang w:val="en-US" w:eastAsia="en-US" w:bidi="ar-SA"/>
              </w:rPr>
            </w:pPr>
          </w:p>
          <w:p w:rsidR="003E5579" w:rsidRPr="00190BA4" w:rsidP="003E5579" w14:paraId="038414A2" w14:textId="77777777">
            <w:pPr>
              <w:spacing w:after="0" w:line="240" w:lineRule="auto"/>
              <w:jc w:val="both"/>
              <w:rPr>
                <w:rFonts w:ascii="Times New Roman" w:hAnsi="Times New Roman" w:eastAsiaTheme="minorHAnsi" w:cs="Times New Roman"/>
                <w:bCs/>
                <w:sz w:val="24"/>
                <w:szCs w:val="24"/>
                <w:lang w:val="en-US" w:eastAsia="en-US" w:bidi="ar-SA"/>
              </w:rPr>
            </w:pPr>
          </w:p>
        </w:tc>
      </w:tr>
    </w:tbl>
    <w:p w:rsidR="00825628" w:rsidRPr="00190BA4" w:rsidP="0091307F" w14:paraId="602FF996" w14:textId="77777777">
      <w:pPr>
        <w:spacing w:after="0"/>
        <w:ind w:left="720" w:hanging="720"/>
        <w:rPr>
          <w:rFonts w:cs="Times New Roman"/>
          <w:bCs/>
          <w:szCs w:val="24"/>
        </w:rPr>
      </w:pPr>
    </w:p>
    <w:p w:rsidR="00922CE0" w:rsidRPr="00190BA4" w:rsidP="0091307F" w14:paraId="18839B18" w14:textId="77777777">
      <w:pPr>
        <w:spacing w:after="0"/>
        <w:ind w:left="720" w:hanging="720"/>
        <w:rPr>
          <w:rFonts w:cs="Times New Roman"/>
          <w:bCs/>
          <w:szCs w:val="24"/>
        </w:rPr>
      </w:pPr>
    </w:p>
    <w:sectPr w:rsidSect="00A26689">
      <w:headerReference w:type="default" r:id="rId57"/>
      <w:footerReference w:type="default" r:id="rId58"/>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179" w14:paraId="1987E0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687C" w14:paraId="7640C7C5" w14:textId="24EDF3D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179" w14:paraId="29F4498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9446998"/>
      <w:docPartObj>
        <w:docPartGallery w:val="Page Numbers (Bottom of Page)"/>
        <w:docPartUnique/>
      </w:docPartObj>
    </w:sdtPr>
    <w:sdtEndPr>
      <w:rPr>
        <w:noProof/>
      </w:rPr>
    </w:sdtEndPr>
    <w:sdtContent>
      <w:p w:rsidR="007D79C8" w14:paraId="6C65967C" w14:textId="4C5865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3159254"/>
      <w:docPartObj>
        <w:docPartGallery w:val="Page Numbers (Bottom of Page)"/>
        <w:docPartUnique/>
      </w:docPartObj>
    </w:sdtPr>
    <w:sdtEndPr>
      <w:rPr>
        <w:noProof/>
      </w:rPr>
    </w:sdtEndPr>
    <w:sdtContent>
      <w:p w:rsidR="00D9626C" w14:paraId="1A5455B8" w14:textId="335A73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6022F" w:rsidP="007459E7" w14:paraId="04D6620F" w14:textId="77777777">
      <w:pPr>
        <w:spacing w:after="0" w:line="240" w:lineRule="auto"/>
      </w:pPr>
      <w:r>
        <w:separator/>
      </w:r>
    </w:p>
  </w:footnote>
  <w:footnote w:type="continuationSeparator" w:id="1">
    <w:p w:rsidR="00D6022F" w:rsidP="007459E7" w14:paraId="581D69ED" w14:textId="77777777">
      <w:pPr>
        <w:spacing w:after="0" w:line="240" w:lineRule="auto"/>
      </w:pPr>
      <w:r>
        <w:continuationSeparator/>
      </w:r>
    </w:p>
  </w:footnote>
  <w:footnote w:id="2">
    <w:p w:rsidR="00542DD7" w:rsidRPr="00DD6EB7" w:rsidP="00DD6EB7" w14:paraId="40E4ED89" w14:textId="77777777">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R.C. 4911 </w:t>
      </w:r>
      <w:r w:rsidRPr="00DD6EB7">
        <w:rPr>
          <w:rFonts w:cs="Times New Roman"/>
          <w:i/>
          <w:iCs/>
        </w:rPr>
        <w:t>et seq.</w:t>
      </w:r>
    </w:p>
  </w:footnote>
  <w:footnote w:id="3">
    <w:p w:rsidR="00542DD7" w:rsidRPr="00DD6EB7" w:rsidP="00DD6EB7" w14:paraId="3652E4F9" w14:textId="495E0E27">
      <w:pPr>
        <w:pStyle w:val="FootnoteText"/>
        <w:spacing w:after="120"/>
        <w:rPr>
          <w:rFonts w:cs="Times New Roman"/>
        </w:rPr>
      </w:pPr>
      <w:r w:rsidRPr="00DD6EB7">
        <w:rPr>
          <w:rStyle w:val="FootnoteReference"/>
          <w:rFonts w:cs="Times New Roman"/>
        </w:rPr>
        <w:footnoteRef/>
      </w:r>
      <w:r w:rsidRPr="00DD6EB7">
        <w:rPr>
          <w:rFonts w:cs="Times New Roman"/>
        </w:rPr>
        <w:t xml:space="preserve"> Case No. 16-481-EL-UNC, Daymark Energy Advisors</w:t>
      </w:r>
      <w:r w:rsidRPr="00DD6EB7" w:rsidR="00DD6EB7">
        <w:rPr>
          <w:rFonts w:cs="Times New Roman"/>
        </w:rPr>
        <w:t>’</w:t>
      </w:r>
      <w:r w:rsidRPr="00DD6EB7">
        <w:rPr>
          <w:rFonts w:cs="Times New Roman"/>
        </w:rPr>
        <w:t xml:space="preserve"> Operational Benefits Assessment of FirstEnergy Ohio</w:t>
      </w:r>
      <w:r w:rsidRPr="00DD6EB7" w:rsidR="00DD6EB7">
        <w:rPr>
          <w:rFonts w:cs="Times New Roman"/>
        </w:rPr>
        <w:t>’</w:t>
      </w:r>
      <w:r w:rsidRPr="00DD6EB7">
        <w:rPr>
          <w:rFonts w:cs="Times New Roman"/>
        </w:rPr>
        <w:t>s Grid Mod I (Nov</w:t>
      </w:r>
      <w:r w:rsidR="00F63C6C">
        <w:rPr>
          <w:rFonts w:cs="Times New Roman"/>
        </w:rPr>
        <w:t>ember</w:t>
      </w:r>
      <w:r w:rsidRPr="00DD6EB7">
        <w:rPr>
          <w:rFonts w:cs="Times New Roman"/>
        </w:rPr>
        <w:t xml:space="preserve"> 14, 2022).</w:t>
      </w:r>
    </w:p>
  </w:footnote>
  <w:footnote w:id="4">
    <w:p w:rsidR="00542DD7" w:rsidRPr="00DD6EB7" w:rsidP="00DD6EB7" w14:paraId="252704BE" w14:textId="77777777">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bCs/>
        </w:rPr>
        <w:t>Electric distribution utilities often use outside vendors in large rollouts.</w:t>
      </w:r>
    </w:p>
  </w:footnote>
  <w:footnote w:id="5">
    <w:p w:rsidR="009D442D" w:rsidRPr="00DD6EB7" w:rsidP="00DD6EB7" w14:paraId="176D14BD" w14:textId="23D3E920">
      <w:pPr>
        <w:pStyle w:val="FootnoteText"/>
        <w:spacing w:after="120"/>
        <w:rPr>
          <w:rFonts w:cs="Times New Roman"/>
        </w:rPr>
      </w:pPr>
      <w:r w:rsidRPr="00DD6EB7">
        <w:rPr>
          <w:rStyle w:val="FootnoteReference"/>
          <w:rFonts w:cs="Times New Roman"/>
        </w:rPr>
        <w:footnoteRef/>
      </w:r>
      <w:r w:rsidRPr="00DD6EB7">
        <w:rPr>
          <w:rFonts w:cs="Times New Roman"/>
        </w:rPr>
        <w:t xml:space="preserve"> Direct Testimony of Paul J. Alvarez, at 4</w:t>
      </w:r>
      <w:r w:rsidRPr="00DD6EB7" w:rsidR="008B40CD">
        <w:rPr>
          <w:rFonts w:cs="Times New Roman"/>
        </w:rPr>
        <w:t xml:space="preserve"> (June 11, 2024)</w:t>
      </w:r>
      <w:r w:rsidRPr="00DD6EB7">
        <w:rPr>
          <w:rFonts w:cs="Times New Roman"/>
        </w:rPr>
        <w:t>.</w:t>
      </w:r>
    </w:p>
  </w:footnote>
  <w:footnote w:id="6">
    <w:p w:rsidR="009D442D" w:rsidRPr="00DD6EB7" w:rsidP="00DD6EB7" w14:paraId="578DE081" w14:textId="05B1B2FE">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7">
    <w:p w:rsidR="009D442D" w:rsidRPr="00DD6EB7" w:rsidP="00DD6EB7" w14:paraId="03FBF559" w14:textId="3A1CA370">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8">
    <w:p w:rsidR="009D442D" w:rsidRPr="00DD6EB7" w:rsidP="00DD6EB7" w14:paraId="17FE6606" w14:textId="2825FAF2">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Testimony, at 4.</w:t>
      </w:r>
    </w:p>
  </w:footnote>
  <w:footnote w:id="9">
    <w:p w:rsidR="00841D08" w:rsidRPr="00DD6EB7" w:rsidP="00DD6EB7" w14:paraId="4D6F46D8" w14:textId="4AE4C49E">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9D442D">
        <w:rPr>
          <w:rFonts w:cs="Times New Roman"/>
          <w:i/>
          <w:iCs/>
        </w:rPr>
        <w:t>Id.</w:t>
      </w:r>
      <w:r w:rsidRPr="00DD6EB7" w:rsidR="006319F4">
        <w:rPr>
          <w:rFonts w:cs="Times New Roman"/>
        </w:rPr>
        <w:t>,</w:t>
      </w:r>
      <w:r w:rsidRPr="00DD6EB7" w:rsidR="009D442D">
        <w:rPr>
          <w:rFonts w:cs="Times New Roman"/>
          <w:i/>
          <w:iCs/>
        </w:rPr>
        <w:t xml:space="preserve"> </w:t>
      </w:r>
      <w:r w:rsidRPr="00DD6EB7" w:rsidR="009D442D">
        <w:rPr>
          <w:rFonts w:cs="Times New Roman"/>
        </w:rPr>
        <w:t>at 5.</w:t>
      </w:r>
    </w:p>
  </w:footnote>
  <w:footnote w:id="10">
    <w:p w:rsidR="007E7F6A" w:rsidRPr="00DD6EB7" w:rsidP="00DD6EB7" w14:paraId="33D9120D" w14:textId="7CBB39ED">
      <w:pPr>
        <w:pStyle w:val="FootnoteText"/>
        <w:spacing w:after="120"/>
        <w:rPr>
          <w:rFonts w:cs="Times New Roman"/>
        </w:rPr>
      </w:pPr>
      <w:r w:rsidRPr="00DD6EB7">
        <w:rPr>
          <w:rStyle w:val="FootnoteReference"/>
          <w:rFonts w:cs="Times New Roman"/>
        </w:rPr>
        <w:footnoteRef/>
      </w:r>
      <w:r w:rsidRPr="00DD6EB7">
        <w:rPr>
          <w:rFonts w:cs="Times New Roman"/>
        </w:rPr>
        <w:t xml:space="preserve"> Case No. 16-481-EL-UNC</w:t>
      </w:r>
      <w:r w:rsidRPr="00DD6EB7" w:rsidR="00E95781">
        <w:rPr>
          <w:rFonts w:cs="Times New Roman"/>
        </w:rPr>
        <w:t>,</w:t>
      </w:r>
      <w:r w:rsidRPr="00DD6EB7" w:rsidR="00CF1064">
        <w:rPr>
          <w:rFonts w:cs="Times New Roman"/>
        </w:rPr>
        <w:t xml:space="preserve"> </w:t>
      </w:r>
      <w:r w:rsidRPr="00DD6EB7">
        <w:rPr>
          <w:rFonts w:cs="Times New Roman"/>
        </w:rPr>
        <w:t xml:space="preserve">FirstEnergy application </w:t>
      </w:r>
      <w:r w:rsidRPr="00DD6EB7" w:rsidR="00E95781">
        <w:rPr>
          <w:rFonts w:cs="Times New Roman"/>
        </w:rPr>
        <w:t>(</w:t>
      </w:r>
      <w:r w:rsidRPr="00DD6EB7">
        <w:rPr>
          <w:rFonts w:cs="Times New Roman"/>
        </w:rPr>
        <w:t>February 29, 2016</w:t>
      </w:r>
      <w:r w:rsidRPr="00DD6EB7" w:rsidR="00E95781">
        <w:rPr>
          <w:rFonts w:cs="Times New Roman"/>
        </w:rPr>
        <w:t>)</w:t>
      </w:r>
      <w:r w:rsidRPr="00DD6EB7">
        <w:rPr>
          <w:rFonts w:cs="Times New Roman"/>
        </w:rPr>
        <w:t>.</w:t>
      </w:r>
    </w:p>
  </w:footnote>
  <w:footnote w:id="11">
    <w:p w:rsidR="007E7F6A" w:rsidRPr="00DD6EB7" w:rsidP="00DD6EB7" w14:paraId="29964601" w14:textId="67C02ADF">
      <w:pPr>
        <w:pStyle w:val="FootnoteText"/>
        <w:spacing w:after="120"/>
        <w:rPr>
          <w:rFonts w:cs="Times New Roman"/>
        </w:rPr>
      </w:pPr>
      <w:r w:rsidRPr="00DD6EB7">
        <w:rPr>
          <w:rStyle w:val="FootnoteReference"/>
          <w:rFonts w:cs="Times New Roman"/>
        </w:rPr>
        <w:footnoteRef/>
      </w:r>
      <w:r w:rsidRPr="00DD6EB7">
        <w:rPr>
          <w:rFonts w:cs="Times New Roman"/>
        </w:rPr>
        <w:t xml:space="preserve"> </w:t>
      </w:r>
      <w:bookmarkStart w:id="7" w:name="_Hlk168574267"/>
      <w:r w:rsidRPr="00DD6EB7">
        <w:rPr>
          <w:rFonts w:cs="Times New Roman"/>
        </w:rPr>
        <w:t>Case No. 16-481-EL-UNC</w:t>
      </w:r>
      <w:r w:rsidRPr="00DD6EB7" w:rsidR="00E95781">
        <w:rPr>
          <w:rFonts w:cs="Times New Roman"/>
        </w:rPr>
        <w:t>,</w:t>
      </w:r>
      <w:r w:rsidRPr="00DD6EB7" w:rsidR="00CF1064">
        <w:rPr>
          <w:rFonts w:cs="Times New Roman"/>
        </w:rPr>
        <w:t xml:space="preserve"> </w:t>
      </w:r>
      <w:bookmarkEnd w:id="7"/>
      <w:r w:rsidR="00745B4A">
        <w:rPr>
          <w:rFonts w:cs="Times New Roman"/>
        </w:rPr>
        <w:t>PUCO</w:t>
      </w:r>
      <w:r w:rsidRPr="00DD6EB7">
        <w:rPr>
          <w:rFonts w:cs="Times New Roman"/>
        </w:rPr>
        <w:t xml:space="preserve"> Order </w:t>
      </w:r>
      <w:r w:rsidRPr="00DD6EB7" w:rsidR="00E95781">
        <w:rPr>
          <w:rFonts w:cs="Times New Roman"/>
        </w:rPr>
        <w:t>(</w:t>
      </w:r>
      <w:r w:rsidRPr="00DD6EB7">
        <w:rPr>
          <w:rFonts w:cs="Times New Roman"/>
        </w:rPr>
        <w:t>July 17, 2019</w:t>
      </w:r>
      <w:r w:rsidRPr="00DD6EB7" w:rsidR="00E95781">
        <w:rPr>
          <w:rFonts w:cs="Times New Roman"/>
        </w:rPr>
        <w:t>)</w:t>
      </w:r>
      <w:r w:rsidRPr="00DD6EB7">
        <w:rPr>
          <w:rFonts w:cs="Times New Roman"/>
        </w:rPr>
        <w:t>.</w:t>
      </w:r>
    </w:p>
  </w:footnote>
  <w:footnote w:id="12">
    <w:p w:rsidR="00F846B6" w:rsidRPr="00DD6EB7" w:rsidP="00DD6EB7" w14:paraId="0D58004A" w14:textId="5BF0503F">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Testimony, at 8.</w:t>
      </w:r>
    </w:p>
  </w:footnote>
  <w:footnote w:id="13">
    <w:p w:rsidR="007E7F6A" w:rsidRPr="00DD6EB7" w:rsidP="00DD6EB7" w14:paraId="05086092" w14:textId="600A7CE1">
      <w:pPr>
        <w:pStyle w:val="FootnoteText"/>
        <w:spacing w:after="120"/>
        <w:rPr>
          <w:rFonts w:cs="Times New Roman"/>
        </w:rPr>
      </w:pPr>
      <w:r w:rsidRPr="00DD6EB7">
        <w:rPr>
          <w:rStyle w:val="FootnoteReference"/>
          <w:rFonts w:cs="Times New Roman"/>
        </w:rPr>
        <w:footnoteRef/>
      </w:r>
      <w:r w:rsidRPr="00DD6EB7">
        <w:rPr>
          <w:rFonts w:cs="Times New Roman"/>
        </w:rPr>
        <w:t xml:space="preserve"> Case No. 16-481-EL-UNC</w:t>
      </w:r>
      <w:r w:rsidRPr="00DD6EB7" w:rsidR="00306245">
        <w:rPr>
          <w:rFonts w:cs="Times New Roman"/>
        </w:rPr>
        <w:t>,</w:t>
      </w:r>
      <w:r w:rsidRPr="00DD6EB7" w:rsidR="00CF1064">
        <w:rPr>
          <w:rFonts w:cs="Times New Roman"/>
        </w:rPr>
        <w:t xml:space="preserve"> </w:t>
      </w:r>
      <w:r w:rsidRPr="00DD6EB7" w:rsidR="00B076FD">
        <w:rPr>
          <w:rFonts w:cs="Times New Roman"/>
        </w:rPr>
        <w:t xml:space="preserve">Supplemental </w:t>
      </w:r>
      <w:r w:rsidRPr="00DD6EB7">
        <w:rPr>
          <w:rFonts w:cs="Times New Roman"/>
        </w:rPr>
        <w:t>Stipulation and Recommendation</w:t>
      </w:r>
      <w:r w:rsidRPr="00DD6EB7" w:rsidR="00306245">
        <w:rPr>
          <w:rFonts w:cs="Times New Roman"/>
        </w:rPr>
        <w:t>, pp. 5-6 (</w:t>
      </w:r>
      <w:r w:rsidRPr="00DD6EB7" w:rsidR="00B076FD">
        <w:rPr>
          <w:rFonts w:cs="Times New Roman"/>
        </w:rPr>
        <w:t xml:space="preserve">January 25, </w:t>
      </w:r>
      <w:r w:rsidRPr="00DD6EB7">
        <w:rPr>
          <w:rFonts w:cs="Times New Roman"/>
        </w:rPr>
        <w:t>201</w:t>
      </w:r>
      <w:r w:rsidRPr="00DD6EB7" w:rsidR="00B076FD">
        <w:rPr>
          <w:rFonts w:cs="Times New Roman"/>
        </w:rPr>
        <w:t>9</w:t>
      </w:r>
      <w:r w:rsidRPr="00DD6EB7" w:rsidR="00306245">
        <w:rPr>
          <w:rFonts w:cs="Times New Roman"/>
        </w:rPr>
        <w:t>).</w:t>
      </w:r>
    </w:p>
  </w:footnote>
  <w:footnote w:id="14">
    <w:p w:rsidR="00F846B6" w:rsidRPr="00DD6EB7" w:rsidP="00DD6EB7" w14:paraId="26FCC82F" w14:textId="4CC122EC">
      <w:pPr>
        <w:pStyle w:val="FootnoteText"/>
        <w:spacing w:after="120"/>
        <w:rPr>
          <w:rFonts w:cs="Times New Roman"/>
        </w:rPr>
      </w:pPr>
      <w:r w:rsidRPr="00DD6EB7">
        <w:rPr>
          <w:rStyle w:val="FootnoteReference"/>
          <w:rFonts w:cs="Times New Roman"/>
        </w:rPr>
        <w:footnoteRef/>
      </w:r>
      <w:r w:rsidRPr="00DD6EB7">
        <w:rPr>
          <w:rFonts w:cs="Times New Roman"/>
        </w:rPr>
        <w:t xml:space="preserve"> Case No. 16-481-EL-UNC</w:t>
      </w:r>
      <w:r w:rsidRPr="00DD6EB7" w:rsidR="000F569D">
        <w:rPr>
          <w:rFonts w:cs="Times New Roman"/>
        </w:rPr>
        <w:t>,</w:t>
      </w:r>
      <w:r w:rsidRPr="00DD6EB7">
        <w:rPr>
          <w:rFonts w:cs="Times New Roman"/>
        </w:rPr>
        <w:t xml:space="preserve"> Operational Benefits Assessment of FirstEnergy Ohio</w:t>
      </w:r>
      <w:r w:rsidRPr="00DD6EB7" w:rsidR="00DD6EB7">
        <w:rPr>
          <w:rFonts w:cs="Times New Roman"/>
        </w:rPr>
        <w:t>’</w:t>
      </w:r>
      <w:r w:rsidRPr="00DD6EB7">
        <w:rPr>
          <w:rFonts w:cs="Times New Roman"/>
        </w:rPr>
        <w:t>s Grid Mod I</w:t>
      </w:r>
      <w:r w:rsidRPr="00DD6EB7" w:rsidR="000F569D">
        <w:rPr>
          <w:rFonts w:cs="Times New Roman"/>
        </w:rPr>
        <w:t>,</w:t>
      </w:r>
      <w:r w:rsidRPr="00DD6EB7" w:rsidR="002D1FC4">
        <w:rPr>
          <w:rFonts w:cs="Times New Roman"/>
        </w:rPr>
        <w:t xml:space="preserve"> </w:t>
      </w:r>
      <w:r w:rsidRPr="00DD6EB7">
        <w:rPr>
          <w:rFonts w:cs="Times New Roman"/>
        </w:rPr>
        <w:t>Daymark Energy Advisors</w:t>
      </w:r>
      <w:r w:rsidRPr="00DD6EB7" w:rsidR="000F569D">
        <w:rPr>
          <w:rFonts w:cs="Times New Roman"/>
        </w:rPr>
        <w:t>, p. 2</w:t>
      </w:r>
      <w:r w:rsidRPr="00DD6EB7">
        <w:rPr>
          <w:rFonts w:cs="Times New Roman"/>
        </w:rPr>
        <w:t xml:space="preserve"> </w:t>
      </w:r>
      <w:r w:rsidRPr="00DD6EB7" w:rsidR="000F569D">
        <w:rPr>
          <w:rFonts w:cs="Times New Roman"/>
        </w:rPr>
        <w:t>(</w:t>
      </w:r>
      <w:r w:rsidRPr="00DD6EB7">
        <w:rPr>
          <w:rFonts w:cs="Times New Roman"/>
        </w:rPr>
        <w:t>November 14, 2022</w:t>
      </w:r>
      <w:r w:rsidRPr="00DD6EB7" w:rsidR="000F569D">
        <w:rPr>
          <w:rFonts w:cs="Times New Roman"/>
        </w:rPr>
        <w:t>)</w:t>
      </w:r>
      <w:r w:rsidRPr="00DD6EB7">
        <w:rPr>
          <w:rFonts w:cs="Times New Roman"/>
        </w:rPr>
        <w:t>.</w:t>
      </w:r>
    </w:p>
  </w:footnote>
  <w:footnote w:id="15">
    <w:p w:rsidR="006B7F45" w:rsidRPr="00DD6EB7" w:rsidP="00DD6EB7" w14:paraId="7ECFF227" w14:textId="17164035">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F846B6">
        <w:rPr>
          <w:rFonts w:cs="Times New Roman"/>
        </w:rPr>
        <w:t>Alvarez Testimony, at 9.</w:t>
      </w:r>
      <w:r w:rsidRPr="00DD6EB7">
        <w:rPr>
          <w:rFonts w:cs="Times New Roman"/>
        </w:rPr>
        <w:t xml:space="preserve"> </w:t>
      </w:r>
    </w:p>
  </w:footnote>
  <w:footnote w:id="16">
    <w:p w:rsidR="006B7F45" w:rsidRPr="00DD6EB7" w:rsidP="00DD6EB7" w14:paraId="0A89C4C6" w14:textId="171CD6A6">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F846B6">
        <w:rPr>
          <w:rFonts w:cs="Times New Roman"/>
          <w:i/>
          <w:iCs/>
        </w:rPr>
        <w:t>Id.</w:t>
      </w:r>
    </w:p>
  </w:footnote>
  <w:footnote w:id="17">
    <w:p w:rsidR="006319F4" w:rsidRPr="00DD6EB7" w:rsidP="00DD6EB7" w14:paraId="77E3A25E" w14:textId="1534E2BC">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sidR="00F261CF">
        <w:rPr>
          <w:rFonts w:cs="Times New Roman"/>
        </w:rPr>
        <w:t>,</w:t>
      </w:r>
      <w:r w:rsidRPr="00DD6EB7">
        <w:rPr>
          <w:rFonts w:cs="Times New Roman"/>
          <w:i/>
          <w:iCs/>
        </w:rPr>
        <w:t xml:space="preserve"> </w:t>
      </w:r>
      <w:r w:rsidRPr="00DD6EB7">
        <w:rPr>
          <w:rFonts w:cs="Times New Roman"/>
        </w:rPr>
        <w:t>at 10.</w:t>
      </w:r>
    </w:p>
  </w:footnote>
  <w:footnote w:id="18">
    <w:p w:rsidR="006319F4" w:rsidRPr="00DD6EB7" w:rsidP="00DD6EB7" w14:paraId="7A4BD37C" w14:textId="6381E32B">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19">
    <w:p w:rsidR="006319F4" w:rsidRPr="00DD6EB7" w:rsidP="00DD6EB7" w14:paraId="30EBF981" w14:textId="184057C0">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sidR="00F261CF">
        <w:rPr>
          <w:rFonts w:cs="Times New Roman"/>
        </w:rPr>
        <w:t>,</w:t>
      </w:r>
      <w:r w:rsidRPr="00DD6EB7">
        <w:rPr>
          <w:rFonts w:cs="Times New Roman"/>
          <w:i/>
          <w:iCs/>
        </w:rPr>
        <w:t xml:space="preserve"> </w:t>
      </w:r>
      <w:r w:rsidRPr="00DD6EB7">
        <w:rPr>
          <w:rFonts w:cs="Times New Roman"/>
        </w:rPr>
        <w:t>at 10-11.</w:t>
      </w:r>
    </w:p>
  </w:footnote>
  <w:footnote w:id="20">
    <w:p w:rsidR="006319F4" w:rsidRPr="00DD6EB7" w:rsidP="00DD6EB7" w14:paraId="22FD58F7" w14:textId="7773168C">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sidR="00F261CF">
        <w:rPr>
          <w:rFonts w:cs="Times New Roman"/>
        </w:rPr>
        <w:t>,</w:t>
      </w:r>
      <w:r w:rsidRPr="00DD6EB7">
        <w:rPr>
          <w:rFonts w:cs="Times New Roman"/>
          <w:i/>
          <w:iCs/>
        </w:rPr>
        <w:t xml:space="preserve"> </w:t>
      </w:r>
      <w:r w:rsidRPr="00DD6EB7">
        <w:rPr>
          <w:rFonts w:cs="Times New Roman"/>
        </w:rPr>
        <w:t>at 11.</w:t>
      </w:r>
    </w:p>
  </w:footnote>
  <w:footnote w:id="21">
    <w:p w:rsidR="006319F4" w:rsidRPr="00DD6EB7" w:rsidP="00DD6EB7" w14:paraId="21B646B1" w14:textId="5EEDBF1C">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22">
    <w:p w:rsidR="006319F4" w:rsidRPr="00DD6EB7" w:rsidP="00DD6EB7" w14:paraId="08FF28E5" w14:textId="3D92A14D">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23">
    <w:p w:rsidR="006319F4" w:rsidRPr="00DD6EB7" w:rsidP="00DD6EB7" w14:paraId="4A2A5810" w14:textId="455202BD">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24">
    <w:p w:rsidR="006319F4" w:rsidRPr="00DD6EB7" w:rsidP="00DD6EB7" w14:paraId="2239BD07" w14:textId="28EB131A">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sidR="00F261CF">
        <w:rPr>
          <w:rFonts w:cs="Times New Roman"/>
        </w:rPr>
        <w:t>,</w:t>
      </w:r>
      <w:r w:rsidRPr="00DD6EB7">
        <w:rPr>
          <w:rFonts w:cs="Times New Roman"/>
          <w:i/>
          <w:iCs/>
        </w:rPr>
        <w:t xml:space="preserve"> </w:t>
      </w:r>
      <w:r w:rsidRPr="00DD6EB7">
        <w:rPr>
          <w:rFonts w:cs="Times New Roman"/>
        </w:rPr>
        <w:t>at 12.</w:t>
      </w:r>
    </w:p>
  </w:footnote>
  <w:footnote w:id="25">
    <w:p w:rsidR="006319F4" w:rsidRPr="00DD6EB7" w:rsidP="00DD6EB7" w14:paraId="7337EFED" w14:textId="5D4886E3">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sidR="00F261CF">
        <w:rPr>
          <w:rFonts w:cs="Times New Roman"/>
        </w:rPr>
        <w:t>,</w:t>
      </w:r>
      <w:r w:rsidRPr="00DD6EB7">
        <w:rPr>
          <w:rFonts w:cs="Times New Roman"/>
          <w:i/>
          <w:iCs/>
        </w:rPr>
        <w:t xml:space="preserve"> </w:t>
      </w:r>
      <w:r w:rsidRPr="00DD6EB7">
        <w:rPr>
          <w:rFonts w:cs="Times New Roman"/>
        </w:rPr>
        <w:t>at 7.</w:t>
      </w:r>
    </w:p>
  </w:footnote>
  <w:footnote w:id="26">
    <w:p w:rsidR="006319F4" w:rsidRPr="00DD6EB7" w:rsidP="00DD6EB7" w14:paraId="4288663E" w14:textId="475A65B5">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27">
    <w:p w:rsidR="000A720F" w:rsidRPr="00DD6EB7" w:rsidP="00DD6EB7" w14:paraId="1685DE3A" w14:textId="426BA661">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6319F4">
        <w:rPr>
          <w:rFonts w:cs="Times New Roman"/>
          <w:i/>
          <w:iCs/>
        </w:rPr>
        <w:t>Id.</w:t>
      </w:r>
      <w:r w:rsidRPr="00DD6EB7" w:rsidR="00F261CF">
        <w:rPr>
          <w:rFonts w:cs="Times New Roman"/>
        </w:rPr>
        <w:t>,</w:t>
      </w:r>
      <w:r w:rsidRPr="00DD6EB7" w:rsidR="00253FB2">
        <w:rPr>
          <w:rFonts w:cs="Times New Roman"/>
        </w:rPr>
        <w:t xml:space="preserve"> </w:t>
      </w:r>
      <w:r w:rsidRPr="00DD6EB7">
        <w:rPr>
          <w:rFonts w:cs="Times New Roman"/>
        </w:rPr>
        <w:t>at 7.</w:t>
      </w:r>
    </w:p>
  </w:footnote>
  <w:footnote w:id="28">
    <w:p w:rsidR="00B0687C" w:rsidRPr="00DD6EB7" w:rsidP="00DD6EB7" w14:paraId="0B5BCDCA" w14:textId="597D9DDE">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Consumers</w:t>
      </w:r>
      <w:r w:rsidRPr="00DD6EB7" w:rsidR="00DD6EB7">
        <w:rPr>
          <w:rFonts w:cs="Times New Roman"/>
          <w:i/>
          <w:iCs/>
        </w:rPr>
        <w:t>’</w:t>
      </w:r>
      <w:r w:rsidRPr="00DD6EB7">
        <w:rPr>
          <w:rFonts w:cs="Times New Roman"/>
          <w:i/>
          <w:iCs/>
        </w:rPr>
        <w:t xml:space="preserve"> Counsel v. Pub. Util. Comm.</w:t>
      </w:r>
      <w:r w:rsidRPr="00DD6EB7">
        <w:rPr>
          <w:rFonts w:cs="Times New Roman"/>
        </w:rPr>
        <w:t>, 64 Ohio St.3d 123, 126, 592 N.E.2d 1370 (1992).</w:t>
      </w:r>
    </w:p>
  </w:footnote>
  <w:footnote w:id="29">
    <w:p w:rsidR="0042595A" w:rsidRPr="00DD6EB7" w:rsidP="00DD6EB7" w14:paraId="4048F3D6" w14:textId="322213D6">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Alvarez Testimony, at 5</w:t>
      </w:r>
      <w:r w:rsidRPr="00DD6EB7">
        <w:rPr>
          <w:rFonts w:cs="Times New Roman"/>
          <w:i/>
          <w:iCs/>
        </w:rPr>
        <w:t>.</w:t>
      </w:r>
    </w:p>
  </w:footnote>
  <w:footnote w:id="30">
    <w:p w:rsidR="0042595A" w:rsidRPr="00DD6EB7" w:rsidP="00DD6EB7" w14:paraId="49BF2B9D" w14:textId="77777777">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Pr>
          <w:rFonts w:cs="Times New Roman"/>
        </w:rPr>
        <w:t>,</w:t>
      </w:r>
      <w:r w:rsidRPr="00DD6EB7">
        <w:rPr>
          <w:rFonts w:cs="Times New Roman"/>
          <w:i/>
          <w:iCs/>
        </w:rPr>
        <w:t xml:space="preserve"> </w:t>
      </w:r>
      <w:r w:rsidRPr="00DD6EB7">
        <w:rPr>
          <w:rFonts w:cs="Times New Roman"/>
        </w:rPr>
        <w:t>at 6.</w:t>
      </w:r>
    </w:p>
  </w:footnote>
  <w:footnote w:id="31">
    <w:p w:rsidR="0042595A" w:rsidRPr="00DD6EB7" w:rsidP="00DD6EB7" w14:paraId="7BE1CD07" w14:textId="77777777">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In re Application of Ohio Edison Co.</w:t>
      </w:r>
      <w:r w:rsidRPr="00DD6EB7">
        <w:rPr>
          <w:rFonts w:cs="Times New Roman"/>
        </w:rPr>
        <w:t>, 157 Ohio St.3d 73, 2019-Ohio-2401, Order on Appeal (June 19, 2021).</w:t>
      </w:r>
    </w:p>
  </w:footnote>
  <w:footnote w:id="32">
    <w:p w:rsidR="0042595A" w:rsidRPr="00DD6EB7" w:rsidP="00DD6EB7" w14:paraId="20837DA8" w14:textId="77777777">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33">
    <w:p w:rsidR="0042595A" w:rsidRPr="00DD6EB7" w:rsidP="00DD6EB7" w14:paraId="75A5C684" w14:textId="7B334629">
      <w:pPr>
        <w:pStyle w:val="FootnoteText"/>
        <w:spacing w:after="120"/>
        <w:rPr>
          <w:rFonts w:cs="Times New Roman"/>
        </w:rPr>
      </w:pPr>
      <w:r w:rsidRPr="00DD6EB7">
        <w:rPr>
          <w:rStyle w:val="FootnoteReference"/>
          <w:rFonts w:cs="Times New Roman"/>
        </w:rPr>
        <w:footnoteRef/>
      </w:r>
      <w:r w:rsidRPr="00DD6EB7">
        <w:rPr>
          <w:rFonts w:cs="Times New Roman"/>
        </w:rPr>
        <w:t xml:space="preserve"> Case No. 17-2474-EL-UNC, </w:t>
      </w:r>
      <w:r w:rsidRPr="00DD6EB7">
        <w:rPr>
          <w:rFonts w:cs="Times New Roman"/>
          <w:i/>
          <w:iCs/>
        </w:rPr>
        <w:t>An Audit Report of the Ohio Companies</w:t>
      </w:r>
      <w:r w:rsidRPr="00DD6EB7" w:rsidR="00DD6EB7">
        <w:rPr>
          <w:rFonts w:cs="Times New Roman"/>
          <w:i/>
          <w:iCs/>
        </w:rPr>
        <w:t>’</w:t>
      </w:r>
      <w:r w:rsidRPr="00DD6EB7">
        <w:rPr>
          <w:rFonts w:cs="Times New Roman"/>
          <w:i/>
          <w:iCs/>
        </w:rPr>
        <w:t xml:space="preserve"> Rider DMR</w:t>
      </w:r>
      <w:r w:rsidRPr="00DD6EB7">
        <w:rPr>
          <w:rFonts w:cs="Times New Roman"/>
        </w:rPr>
        <w:t>, Daymark Energy Advisors (January 14, 2022)</w:t>
      </w:r>
      <w:r w:rsidRPr="00DD6EB7" w:rsidR="00E02C75">
        <w:rPr>
          <w:rFonts w:cs="Times New Roman"/>
        </w:rPr>
        <w:t xml:space="preserve"> at 5-9</w:t>
      </w:r>
      <w:r w:rsidRPr="00DD6EB7">
        <w:rPr>
          <w:rFonts w:cs="Times New Roman"/>
        </w:rPr>
        <w:t>.</w:t>
      </w:r>
    </w:p>
  </w:footnote>
  <w:footnote w:id="34">
    <w:p w:rsidR="0042595A" w:rsidRPr="00DD6EB7" w:rsidP="00DD6EB7" w14:paraId="73BDA478" w14:textId="5A3F07BB">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E02C75">
        <w:rPr>
          <w:rFonts w:cs="Times New Roman"/>
          <w:i/>
          <w:iCs/>
        </w:rPr>
        <w:t xml:space="preserve">Id. </w:t>
      </w:r>
      <w:r w:rsidRPr="00DD6EB7" w:rsidR="00E02C75">
        <w:rPr>
          <w:rFonts w:cs="Times New Roman"/>
        </w:rPr>
        <w:t xml:space="preserve">at 7; </w:t>
      </w:r>
      <w:r w:rsidRPr="00DD6EB7" w:rsidR="00E02C75">
        <w:rPr>
          <w:rFonts w:cs="Times New Roman"/>
          <w:i/>
          <w:iCs/>
        </w:rPr>
        <w:t xml:space="preserve">see also </w:t>
      </w:r>
      <w:r w:rsidRPr="00DD6EB7">
        <w:rPr>
          <w:rFonts w:cs="Times New Roman"/>
        </w:rPr>
        <w:t xml:space="preserve">U.S. District Court, Southern District of Ohio, Western Division, Case No. 1:21-cr-0086-TSB, Deferred Prosecution Agreement (July 22, 2023). </w:t>
      </w:r>
    </w:p>
  </w:footnote>
  <w:footnote w:id="35">
    <w:p w:rsidR="00587E18" w:rsidRPr="00DD6EB7" w:rsidP="00DD6EB7" w14:paraId="45A1E244" w14:textId="25B69DC2">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Testimony, at 30.</w:t>
      </w:r>
    </w:p>
  </w:footnote>
  <w:footnote w:id="36">
    <w:p w:rsidR="00F2327E" w:rsidRPr="00DD6EB7" w:rsidP="00DD6EB7" w14:paraId="6F29B334" w14:textId="37ABD6BE">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F261CF">
        <w:rPr>
          <w:rFonts w:cs="Times New Roman"/>
          <w:i/>
          <w:iCs/>
        </w:rPr>
        <w:t>Id.</w:t>
      </w:r>
      <w:r w:rsidRPr="00DD6EB7">
        <w:rPr>
          <w:rFonts w:cs="Times New Roman"/>
        </w:rPr>
        <w:t>, at 30.</w:t>
      </w:r>
    </w:p>
  </w:footnote>
  <w:footnote w:id="37">
    <w:p w:rsidR="00396F87" w:rsidRPr="00DD6EB7" w:rsidP="00DD6EB7" w14:paraId="0C01090D" w14:textId="71BD6187">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F261CF">
        <w:rPr>
          <w:rFonts w:cs="Times New Roman"/>
          <w:i/>
          <w:iCs/>
        </w:rPr>
        <w:t>Id.</w:t>
      </w:r>
      <w:r w:rsidRPr="00DD6EB7">
        <w:rPr>
          <w:rFonts w:cs="Times New Roman"/>
        </w:rPr>
        <w:t>, at 31.</w:t>
      </w:r>
    </w:p>
  </w:footnote>
  <w:footnote w:id="38">
    <w:p w:rsidR="00F261CF" w:rsidRPr="00DD6EB7" w:rsidP="00DD6EB7" w14:paraId="522536AA" w14:textId="5ED677AB">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Pr>
          <w:rFonts w:cs="Times New Roman"/>
        </w:rPr>
        <w:t>, at 25.</w:t>
      </w:r>
    </w:p>
  </w:footnote>
  <w:footnote w:id="39">
    <w:p w:rsidR="0094668D" w:rsidRPr="00DD6EB7" w:rsidP="00DD6EB7" w14:paraId="26CF9B82" w14:textId="68EF050B">
      <w:pPr>
        <w:pStyle w:val="FootnoteText"/>
        <w:spacing w:after="120"/>
        <w:rPr>
          <w:rFonts w:cs="Times New Roman"/>
        </w:rPr>
      </w:pPr>
      <w:r w:rsidRPr="00DD6EB7">
        <w:rPr>
          <w:rStyle w:val="FootnoteReference"/>
          <w:rFonts w:cs="Times New Roman"/>
        </w:rPr>
        <w:footnoteRef/>
      </w:r>
      <w:r w:rsidRPr="00DD6EB7">
        <w:rPr>
          <w:rFonts w:cs="Times New Roman"/>
        </w:rPr>
        <w:t xml:space="preserve"> Stipulation and Recommendation</w:t>
      </w:r>
      <w:r w:rsidRPr="00DD6EB7" w:rsidR="007377E9">
        <w:rPr>
          <w:rFonts w:cs="Times New Roman"/>
        </w:rPr>
        <w:t xml:space="preserve">, </w:t>
      </w:r>
      <w:r w:rsidRPr="00DD6EB7">
        <w:rPr>
          <w:rFonts w:cs="Times New Roman"/>
        </w:rPr>
        <w:t>Attachment A</w:t>
      </w:r>
      <w:r w:rsidRPr="00DD6EB7" w:rsidR="007377E9">
        <w:rPr>
          <w:rFonts w:cs="Times New Roman"/>
        </w:rPr>
        <w:t xml:space="preserve"> (April 12, 2024)</w:t>
      </w:r>
      <w:r w:rsidRPr="00DD6EB7">
        <w:rPr>
          <w:rFonts w:cs="Times New Roman"/>
        </w:rPr>
        <w:t>.</w:t>
      </w:r>
    </w:p>
  </w:footnote>
  <w:footnote w:id="40">
    <w:p w:rsidR="00684ACA" w:rsidRPr="00DD6EB7" w:rsidP="00DD6EB7" w14:paraId="737DB147" w14:textId="082E20FF">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Testimony, at 26.</w:t>
      </w:r>
    </w:p>
  </w:footnote>
  <w:footnote w:id="41">
    <w:p w:rsidR="00567FDE" w:rsidRPr="00DD6EB7" w:rsidP="00DD6EB7" w14:paraId="4E42760C" w14:textId="0842D577">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Pr>
          <w:rFonts w:cs="Times New Roman"/>
        </w:rPr>
        <w:t>, at 26.</w:t>
      </w:r>
    </w:p>
  </w:footnote>
  <w:footnote w:id="42">
    <w:p w:rsidR="00567FDE" w:rsidRPr="00DD6EB7" w:rsidP="00DD6EB7" w14:paraId="3DA5055B" w14:textId="5106D9E3">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Pr>
          <w:rFonts w:cs="Times New Roman"/>
        </w:rPr>
        <w:t>, at 26-27.</w:t>
      </w:r>
    </w:p>
  </w:footnote>
  <w:footnote w:id="43">
    <w:p w:rsidR="00684ACA" w:rsidRPr="00DD6EB7" w:rsidP="00DD6EB7" w14:paraId="129FD8BC" w14:textId="75E1267F">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567FDE">
        <w:rPr>
          <w:rFonts w:cs="Times New Roman"/>
          <w:i/>
          <w:iCs/>
        </w:rPr>
        <w:t>Id</w:t>
      </w:r>
      <w:r w:rsidRPr="00DD6EB7">
        <w:rPr>
          <w:rFonts w:cs="Times New Roman"/>
        </w:rPr>
        <w:t>.</w:t>
      </w:r>
    </w:p>
  </w:footnote>
  <w:footnote w:id="44">
    <w:p w:rsidR="00567FDE" w:rsidRPr="00DD6EB7" w:rsidP="00DD6EB7" w14:paraId="25A59ABC" w14:textId="7FC3CFB4">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 xml:space="preserve">Id. </w:t>
      </w:r>
      <w:r w:rsidRPr="00DD6EB7">
        <w:rPr>
          <w:rFonts w:cs="Times New Roman"/>
        </w:rPr>
        <w:t>at 27.</w:t>
      </w:r>
    </w:p>
  </w:footnote>
  <w:footnote w:id="45">
    <w:p w:rsidR="00567FDE" w:rsidRPr="00DD6EB7" w:rsidP="00DD6EB7" w14:paraId="389A1BB1" w14:textId="499E1DF7">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46">
    <w:p w:rsidR="0094668D" w:rsidRPr="00DD6EB7" w:rsidP="00DD6EB7" w14:paraId="058D9ADA" w14:textId="2636AB07">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567FDE">
        <w:rPr>
          <w:rFonts w:cs="Times New Roman"/>
          <w:i/>
          <w:iCs/>
        </w:rPr>
        <w:t xml:space="preserve">Id. </w:t>
      </w:r>
      <w:r w:rsidRPr="00DD6EB7" w:rsidR="00567FDE">
        <w:rPr>
          <w:rFonts w:cs="Times New Roman"/>
        </w:rPr>
        <w:t xml:space="preserve">(citing </w:t>
      </w:r>
      <w:r w:rsidRPr="00DD6EB7">
        <w:rPr>
          <w:rFonts w:cs="Times New Roman"/>
        </w:rPr>
        <w:t>Attachment 11</w:t>
      </w:r>
      <w:r w:rsidR="009356B0">
        <w:rPr>
          <w:rFonts w:cs="Times New Roman"/>
        </w:rPr>
        <w:t>,</w:t>
      </w:r>
      <w:r w:rsidRPr="00DD6EB7" w:rsidR="00C11D9A">
        <w:rPr>
          <w:rFonts w:cs="Times New Roman"/>
        </w:rPr>
        <w:t xml:space="preserve"> </w:t>
      </w:r>
      <w:r w:rsidRPr="00DD6EB7">
        <w:rPr>
          <w:rFonts w:cs="Times New Roman"/>
        </w:rPr>
        <w:t>Companies</w:t>
      </w:r>
      <w:r w:rsidRPr="00DD6EB7" w:rsidR="00DD6EB7">
        <w:rPr>
          <w:rFonts w:cs="Times New Roman"/>
        </w:rPr>
        <w:t>’</w:t>
      </w:r>
      <w:r w:rsidRPr="00DD6EB7">
        <w:rPr>
          <w:rFonts w:cs="Times New Roman"/>
        </w:rPr>
        <w:t xml:space="preserve"> response to</w:t>
      </w:r>
      <w:r w:rsidRPr="00DD6EB7" w:rsidR="00FF0434">
        <w:rPr>
          <w:rFonts w:cs="Times New Roman"/>
        </w:rPr>
        <w:t xml:space="preserve"> </w:t>
      </w:r>
      <w:r w:rsidRPr="00DD6EB7" w:rsidR="00F04C9F">
        <w:rPr>
          <w:rFonts w:cs="Times New Roman"/>
        </w:rPr>
        <w:t>OCC</w:t>
      </w:r>
      <w:r w:rsidRPr="00DD6EB7" w:rsidR="00DD6EB7">
        <w:rPr>
          <w:rFonts w:cs="Times New Roman"/>
        </w:rPr>
        <w:t>’</w:t>
      </w:r>
      <w:r w:rsidRPr="00DD6EB7" w:rsidR="00F04C9F">
        <w:rPr>
          <w:rFonts w:cs="Times New Roman"/>
        </w:rPr>
        <w:t xml:space="preserve">s </w:t>
      </w:r>
      <w:r w:rsidRPr="00DD6EB7" w:rsidR="00FF0434">
        <w:rPr>
          <w:rFonts w:cs="Times New Roman"/>
        </w:rPr>
        <w:t>STIP-INT-02-001</w:t>
      </w:r>
      <w:r w:rsidRPr="00DD6EB7">
        <w:rPr>
          <w:rFonts w:cs="Times New Roman"/>
        </w:rPr>
        <w:t>(b)</w:t>
      </w:r>
      <w:r w:rsidRPr="00DD6EB7" w:rsidR="00567FDE">
        <w:rPr>
          <w:rFonts w:cs="Times New Roman"/>
        </w:rPr>
        <w:t>)</w:t>
      </w:r>
      <w:r w:rsidRPr="00DD6EB7">
        <w:rPr>
          <w:rFonts w:cs="Times New Roman"/>
        </w:rPr>
        <w:t>.</w:t>
      </w:r>
    </w:p>
  </w:footnote>
  <w:footnote w:id="47">
    <w:p w:rsidR="00567FDE" w:rsidRPr="00DD6EB7" w:rsidP="00DD6EB7" w14:paraId="728E64C4" w14:textId="1B0FD401">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48">
    <w:p w:rsidR="00567FDE" w:rsidRPr="00DD6EB7" w:rsidP="00DD6EB7" w14:paraId="75D6668B" w14:textId="4D836745">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49">
    <w:p w:rsidR="00567FDE" w:rsidRPr="00DD6EB7" w:rsidP="00DD6EB7" w14:paraId="03AF90B4" w14:textId="3FA288A8">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50">
    <w:p w:rsidR="0094668D" w:rsidRPr="00DD6EB7" w:rsidP="00DD6EB7" w14:paraId="247A61C2" w14:textId="347E9E08">
      <w:pPr>
        <w:pStyle w:val="FootnoteText"/>
        <w:spacing w:after="120"/>
        <w:rPr>
          <w:rFonts w:cs="Times New Roman"/>
        </w:rPr>
      </w:pPr>
      <w:r w:rsidRPr="00DD6EB7">
        <w:rPr>
          <w:rStyle w:val="FootnoteReference"/>
          <w:rFonts w:cs="Times New Roman"/>
        </w:rPr>
        <w:footnoteRef/>
      </w:r>
      <w:r w:rsidRPr="00DD6EB7">
        <w:rPr>
          <w:rFonts w:cs="Times New Roman"/>
        </w:rPr>
        <w:t xml:space="preserve"> Massachusetts DPU Case Nos. 15-120, 15-121, and 15-122/123</w:t>
      </w:r>
      <w:r w:rsidRPr="00DD6EB7" w:rsidR="00B367EE">
        <w:rPr>
          <w:rFonts w:cs="Times New Roman"/>
        </w:rPr>
        <w:t>, pp. 120-122 (</w:t>
      </w:r>
      <w:r w:rsidRPr="00DD6EB7">
        <w:rPr>
          <w:rFonts w:cs="Times New Roman"/>
        </w:rPr>
        <w:t>May 10, 2018</w:t>
      </w:r>
      <w:r w:rsidRPr="00DD6EB7" w:rsidR="00B367EE">
        <w:rPr>
          <w:rFonts w:cs="Times New Roman"/>
        </w:rPr>
        <w:t>).</w:t>
      </w:r>
    </w:p>
  </w:footnote>
  <w:footnote w:id="51">
    <w:p w:rsidR="0094668D" w:rsidRPr="00DD6EB7" w:rsidP="00DD6EB7" w14:paraId="06050AAC" w14:textId="11340469">
      <w:pPr>
        <w:pStyle w:val="FootnoteText"/>
        <w:spacing w:after="120"/>
        <w:rPr>
          <w:rFonts w:cs="Times New Roman"/>
        </w:rPr>
      </w:pPr>
      <w:r w:rsidRPr="00DD6EB7">
        <w:rPr>
          <w:rStyle w:val="FootnoteReference"/>
          <w:rFonts w:cs="Times New Roman"/>
        </w:rPr>
        <w:footnoteRef/>
      </w:r>
      <w:r w:rsidRPr="00DD6EB7">
        <w:rPr>
          <w:rFonts w:cs="Times New Roman"/>
        </w:rPr>
        <w:t xml:space="preserve"> Massachusetts DPU Case Nos. 21-80B, 21-81B, and 21-82B</w:t>
      </w:r>
      <w:r w:rsidRPr="00DD6EB7" w:rsidR="00FC7208">
        <w:rPr>
          <w:rFonts w:cs="Times New Roman"/>
        </w:rPr>
        <w:t>,</w:t>
      </w:r>
      <w:r w:rsidRPr="00DD6EB7">
        <w:rPr>
          <w:rFonts w:cs="Times New Roman"/>
        </w:rPr>
        <w:t xml:space="preserve"> Order</w:t>
      </w:r>
      <w:r w:rsidRPr="00DD6EB7" w:rsidR="00FC7208">
        <w:rPr>
          <w:rFonts w:cs="Times New Roman"/>
        </w:rPr>
        <w:t>, p. 192 (</w:t>
      </w:r>
      <w:r w:rsidRPr="00DD6EB7">
        <w:rPr>
          <w:rFonts w:cs="Times New Roman"/>
        </w:rPr>
        <w:t>November 30, 2022</w:t>
      </w:r>
      <w:r w:rsidRPr="00DD6EB7" w:rsidR="00FC7208">
        <w:rPr>
          <w:rFonts w:cs="Times New Roman"/>
        </w:rPr>
        <w:t>)</w:t>
      </w:r>
      <w:r w:rsidRPr="00DD6EB7">
        <w:rPr>
          <w:rFonts w:cs="Times New Roman"/>
        </w:rPr>
        <w:t>.</w:t>
      </w:r>
    </w:p>
  </w:footnote>
  <w:footnote w:id="52">
    <w:p w:rsidR="0094668D" w:rsidRPr="00DD6EB7" w:rsidP="00DD6EB7" w14:paraId="0A772EFF" w14:textId="2083BF83">
      <w:pPr>
        <w:pStyle w:val="FootnoteText"/>
        <w:spacing w:after="120"/>
        <w:rPr>
          <w:rFonts w:cs="Times New Roman"/>
        </w:rPr>
      </w:pPr>
      <w:r w:rsidRPr="00DD6EB7">
        <w:rPr>
          <w:rStyle w:val="FootnoteReference"/>
          <w:rFonts w:cs="Times New Roman"/>
        </w:rPr>
        <w:footnoteRef/>
      </w:r>
      <w:r w:rsidRPr="00DD6EB7">
        <w:rPr>
          <w:rFonts w:cs="Times New Roman"/>
        </w:rPr>
        <w:t xml:space="preserve"> Kentucky PSC Case No. 2018-00005</w:t>
      </w:r>
      <w:r w:rsidRPr="00DD6EB7" w:rsidR="00FC7208">
        <w:rPr>
          <w:rFonts w:cs="Times New Roman"/>
        </w:rPr>
        <w:t>,</w:t>
      </w:r>
      <w:r w:rsidRPr="00DD6EB7">
        <w:rPr>
          <w:rFonts w:cs="Times New Roman"/>
        </w:rPr>
        <w:t xml:space="preserve"> Order </w:t>
      </w:r>
      <w:r w:rsidRPr="00DD6EB7" w:rsidR="00FC7208">
        <w:rPr>
          <w:rFonts w:cs="Times New Roman"/>
        </w:rPr>
        <w:t>(</w:t>
      </w:r>
      <w:r w:rsidRPr="00DD6EB7">
        <w:rPr>
          <w:rFonts w:cs="Times New Roman"/>
        </w:rPr>
        <w:t>August 30, 2018</w:t>
      </w:r>
      <w:r w:rsidRPr="00DD6EB7" w:rsidR="00FC7208">
        <w:rPr>
          <w:rFonts w:cs="Times New Roman"/>
        </w:rPr>
        <w:t>)</w:t>
      </w:r>
      <w:r w:rsidRPr="00DD6EB7">
        <w:rPr>
          <w:rFonts w:cs="Times New Roman"/>
        </w:rPr>
        <w:t>.</w:t>
      </w:r>
    </w:p>
  </w:footnote>
  <w:footnote w:id="53">
    <w:p w:rsidR="0094668D" w:rsidRPr="00DD6EB7" w:rsidP="00DD6EB7" w14:paraId="19529D31" w14:textId="1A21E3FC">
      <w:pPr>
        <w:pStyle w:val="FootnoteText"/>
        <w:spacing w:after="120"/>
        <w:rPr>
          <w:rFonts w:cs="Times New Roman"/>
        </w:rPr>
      </w:pPr>
      <w:r w:rsidRPr="00DD6EB7">
        <w:rPr>
          <w:rStyle w:val="FootnoteReference"/>
          <w:rFonts w:cs="Times New Roman"/>
        </w:rPr>
        <w:footnoteRef/>
      </w:r>
      <w:r w:rsidRPr="00DD6EB7">
        <w:rPr>
          <w:rFonts w:cs="Times New Roman"/>
        </w:rPr>
        <w:t xml:space="preserve"> Kentucky PSC Case Nos. 2020-000349/350</w:t>
      </w:r>
      <w:r w:rsidRPr="00DD6EB7" w:rsidR="00FC7208">
        <w:rPr>
          <w:rFonts w:cs="Times New Roman"/>
        </w:rPr>
        <w:t>,</w:t>
      </w:r>
      <w:r w:rsidRPr="00DD6EB7">
        <w:rPr>
          <w:rFonts w:cs="Times New Roman"/>
        </w:rPr>
        <w:t xml:space="preserve"> Order </w:t>
      </w:r>
      <w:r w:rsidRPr="00DD6EB7" w:rsidR="00FC7208">
        <w:rPr>
          <w:rFonts w:cs="Times New Roman"/>
        </w:rPr>
        <w:t>(</w:t>
      </w:r>
      <w:r w:rsidRPr="00DD6EB7">
        <w:rPr>
          <w:rFonts w:cs="Times New Roman"/>
        </w:rPr>
        <w:t>June 30, 2021</w:t>
      </w:r>
      <w:r w:rsidRPr="00DD6EB7" w:rsidR="00FC7208">
        <w:rPr>
          <w:rFonts w:cs="Times New Roman"/>
        </w:rPr>
        <w:t>)</w:t>
      </w:r>
      <w:r w:rsidRPr="00DD6EB7">
        <w:rPr>
          <w:rFonts w:cs="Times New Roman"/>
        </w:rPr>
        <w:t xml:space="preserve">. </w:t>
      </w:r>
    </w:p>
  </w:footnote>
  <w:footnote w:id="54">
    <w:p w:rsidR="00834437" w:rsidRPr="00DD6EB7" w:rsidP="00DD6EB7" w14:paraId="0E7139BA" w14:textId="4807291C">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815D80">
        <w:rPr>
          <w:rFonts w:cs="Times New Roman"/>
        </w:rPr>
        <w:t xml:space="preserve">Alvarez Testimony, </w:t>
      </w:r>
      <w:r w:rsidRPr="00DD6EB7">
        <w:rPr>
          <w:rFonts w:cs="Times New Roman"/>
        </w:rPr>
        <w:t>Attachment 8</w:t>
      </w:r>
      <w:r w:rsidRPr="00DD6EB7" w:rsidR="00E37C6B">
        <w:rPr>
          <w:rFonts w:cs="Times New Roman"/>
        </w:rPr>
        <w:t>,</w:t>
      </w:r>
      <w:r w:rsidRPr="00DD6EB7" w:rsidR="00C11D9A">
        <w:rPr>
          <w:rFonts w:cs="Times New Roman"/>
        </w:rPr>
        <w:t xml:space="preserve"> </w:t>
      </w:r>
      <w:r w:rsidRPr="00DD6EB7">
        <w:rPr>
          <w:rFonts w:cs="Times New Roman"/>
        </w:rPr>
        <w:t>PUCO DR-001 Attachment 1 (original Grid Mod II benefit-cost analysis)</w:t>
      </w:r>
      <w:r w:rsidRPr="00DD6EB7" w:rsidR="0091605E">
        <w:rPr>
          <w:rFonts w:cs="Times New Roman"/>
        </w:rPr>
        <w:t>, p.</w:t>
      </w:r>
      <w:r w:rsidRPr="00DD6EB7">
        <w:rPr>
          <w:rFonts w:cs="Times New Roman"/>
        </w:rPr>
        <w:t xml:space="preserve"> 2, Columns </w:t>
      </w:r>
      <w:r w:rsidRPr="00DD6EB7" w:rsidR="00DD6EB7">
        <w:rPr>
          <w:rFonts w:cs="Times New Roman"/>
        </w:rPr>
        <w:t>“</w:t>
      </w:r>
      <w:r w:rsidRPr="00DD6EB7">
        <w:rPr>
          <w:rFonts w:cs="Times New Roman"/>
        </w:rPr>
        <w:t>CEI</w:t>
      </w:r>
      <w:r w:rsidRPr="00DD6EB7" w:rsidR="00DD6EB7">
        <w:rPr>
          <w:rFonts w:cs="Times New Roman"/>
        </w:rPr>
        <w:t>”</w:t>
      </w:r>
      <w:r w:rsidRPr="00DD6EB7">
        <w:rPr>
          <w:rFonts w:cs="Times New Roman"/>
        </w:rPr>
        <w:t xml:space="preserve">, </w:t>
      </w:r>
      <w:r w:rsidRPr="00DD6EB7" w:rsidR="00DD6EB7">
        <w:rPr>
          <w:rFonts w:cs="Times New Roman"/>
        </w:rPr>
        <w:t>“</w:t>
      </w:r>
      <w:r w:rsidRPr="00DD6EB7">
        <w:rPr>
          <w:rFonts w:cs="Times New Roman"/>
        </w:rPr>
        <w:t>OE</w:t>
      </w:r>
      <w:r w:rsidRPr="00DD6EB7" w:rsidR="00DD6EB7">
        <w:rPr>
          <w:rFonts w:cs="Times New Roman"/>
        </w:rPr>
        <w:t>”</w:t>
      </w:r>
      <w:r w:rsidRPr="00DD6EB7">
        <w:rPr>
          <w:rFonts w:cs="Times New Roman"/>
        </w:rPr>
        <w:t xml:space="preserve"> and </w:t>
      </w:r>
      <w:r w:rsidRPr="00DD6EB7" w:rsidR="00DD6EB7">
        <w:rPr>
          <w:rFonts w:cs="Times New Roman"/>
        </w:rPr>
        <w:t>“</w:t>
      </w:r>
      <w:r w:rsidRPr="00DD6EB7">
        <w:rPr>
          <w:rFonts w:cs="Times New Roman"/>
        </w:rPr>
        <w:t>TE</w:t>
      </w:r>
      <w:r w:rsidRPr="00DD6EB7" w:rsidR="00DD6EB7">
        <w:rPr>
          <w:rFonts w:cs="Times New Roman"/>
        </w:rPr>
        <w:t>”</w:t>
      </w:r>
      <w:r w:rsidRPr="00DD6EB7">
        <w:rPr>
          <w:rFonts w:cs="Times New Roman"/>
        </w:rPr>
        <w:t>, line 23.</w:t>
      </w:r>
    </w:p>
  </w:footnote>
  <w:footnote w:id="55">
    <w:p w:rsidR="003407B9" w:rsidRPr="00DD6EB7" w:rsidP="00DD6EB7" w14:paraId="02208F7D" w14:textId="6F621742">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Pr>
          <w:rFonts w:cs="Times New Roman"/>
        </w:rPr>
        <w:t>, at 21.</w:t>
      </w:r>
    </w:p>
  </w:footnote>
  <w:footnote w:id="56">
    <w:p w:rsidR="00834437" w:rsidRPr="00DD6EB7" w:rsidP="00DD6EB7" w14:paraId="28C052FD" w14:textId="24AEA14B">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sidR="00815D80">
        <w:rPr>
          <w:rFonts w:cs="Times New Roman"/>
        </w:rPr>
        <w:t xml:space="preserve">, </w:t>
      </w:r>
      <w:r w:rsidRPr="00DD6EB7">
        <w:rPr>
          <w:rFonts w:cs="Times New Roman"/>
        </w:rPr>
        <w:t>Attachment 9</w:t>
      </w:r>
      <w:r w:rsidRPr="00DD6EB7" w:rsidR="009D7052">
        <w:rPr>
          <w:rFonts w:cs="Times New Roman"/>
        </w:rPr>
        <w:t>,</w:t>
      </w:r>
      <w:r w:rsidRPr="00DD6EB7" w:rsidR="00C11D9A">
        <w:rPr>
          <w:rFonts w:cs="Times New Roman"/>
        </w:rPr>
        <w:t xml:space="preserve"> </w:t>
      </w:r>
      <w:r w:rsidRPr="00DD6EB7">
        <w:rPr>
          <w:rFonts w:cs="Times New Roman"/>
        </w:rPr>
        <w:t>Companies</w:t>
      </w:r>
      <w:r w:rsidRPr="00DD6EB7" w:rsidR="00DD6EB7">
        <w:rPr>
          <w:rFonts w:cs="Times New Roman"/>
        </w:rPr>
        <w:t>’</w:t>
      </w:r>
      <w:r w:rsidRPr="00DD6EB7">
        <w:rPr>
          <w:rFonts w:cs="Times New Roman"/>
        </w:rPr>
        <w:t xml:space="preserve"> response to OCC Set 4-INT-013.</w:t>
      </w:r>
    </w:p>
  </w:footnote>
  <w:footnote w:id="57">
    <w:p w:rsidR="00BF6036" w:rsidRPr="00DD6EB7" w:rsidP="00DD6EB7" w14:paraId="035909B7" w14:textId="627FC0A9">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Pr>
          <w:rFonts w:cs="Times New Roman"/>
        </w:rPr>
        <w:t>, at 21.</w:t>
      </w:r>
    </w:p>
  </w:footnote>
  <w:footnote w:id="58">
    <w:p w:rsidR="00BF6036" w:rsidRPr="00DD6EB7" w:rsidP="00DD6EB7" w14:paraId="4EECEA89" w14:textId="20B02584">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Pr>
          <w:rFonts w:cs="Times New Roman"/>
        </w:rPr>
        <w:t>, at 21-22.</w:t>
      </w:r>
    </w:p>
  </w:footnote>
  <w:footnote w:id="59">
    <w:p w:rsidR="00834437" w:rsidRPr="00DD6EB7" w:rsidP="00DD6EB7" w14:paraId="753C7326" w14:textId="0E81AE93">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sidR="00D70879">
        <w:rPr>
          <w:rFonts w:cs="Times New Roman"/>
        </w:rPr>
        <w:t>,</w:t>
      </w:r>
      <w:r w:rsidRPr="00DD6EB7" w:rsidR="00815D80">
        <w:rPr>
          <w:rFonts w:cs="Times New Roman"/>
        </w:rPr>
        <w:t xml:space="preserve"> </w:t>
      </w:r>
      <w:r w:rsidRPr="00DD6EB7">
        <w:rPr>
          <w:rFonts w:cs="Times New Roman"/>
        </w:rPr>
        <w:t>Attachment 1</w:t>
      </w:r>
      <w:r w:rsidRPr="00DD6EB7" w:rsidR="009D7052">
        <w:rPr>
          <w:rFonts w:cs="Times New Roman"/>
        </w:rPr>
        <w:t>,</w:t>
      </w:r>
      <w:r w:rsidRPr="00DD6EB7">
        <w:rPr>
          <w:rFonts w:cs="Times New Roman"/>
        </w:rPr>
        <w:t xml:space="preserve"> </w:t>
      </w:r>
      <w:r w:rsidRPr="00DD6EB7" w:rsidR="009D7052">
        <w:rPr>
          <w:rFonts w:cs="Times New Roman"/>
        </w:rPr>
        <w:t>p.</w:t>
      </w:r>
      <w:r w:rsidRPr="00DD6EB7">
        <w:rPr>
          <w:rFonts w:cs="Times New Roman"/>
        </w:rPr>
        <w:t xml:space="preserve"> 2, Columns </w:t>
      </w:r>
      <w:r w:rsidRPr="00DD6EB7" w:rsidR="00DD6EB7">
        <w:rPr>
          <w:rFonts w:cs="Times New Roman"/>
        </w:rPr>
        <w:t>“</w:t>
      </w:r>
      <w:r w:rsidRPr="00DD6EB7">
        <w:rPr>
          <w:rFonts w:cs="Times New Roman"/>
        </w:rPr>
        <w:t>CEI</w:t>
      </w:r>
      <w:r w:rsidRPr="00DD6EB7" w:rsidR="00DD6EB7">
        <w:rPr>
          <w:rFonts w:cs="Times New Roman"/>
        </w:rPr>
        <w:t>”</w:t>
      </w:r>
      <w:r w:rsidRPr="00DD6EB7">
        <w:rPr>
          <w:rFonts w:cs="Times New Roman"/>
        </w:rPr>
        <w:t xml:space="preserve">, </w:t>
      </w:r>
      <w:r w:rsidRPr="00DD6EB7" w:rsidR="00DD6EB7">
        <w:rPr>
          <w:rFonts w:cs="Times New Roman"/>
        </w:rPr>
        <w:t>“</w:t>
      </w:r>
      <w:r w:rsidRPr="00DD6EB7">
        <w:rPr>
          <w:rFonts w:cs="Times New Roman"/>
        </w:rPr>
        <w:t>OE</w:t>
      </w:r>
      <w:r w:rsidRPr="00DD6EB7" w:rsidR="00DD6EB7">
        <w:rPr>
          <w:rFonts w:cs="Times New Roman"/>
        </w:rPr>
        <w:t>”</w:t>
      </w:r>
      <w:r w:rsidRPr="00DD6EB7">
        <w:rPr>
          <w:rFonts w:cs="Times New Roman"/>
        </w:rPr>
        <w:t xml:space="preserve">, and </w:t>
      </w:r>
      <w:r w:rsidRPr="00DD6EB7" w:rsidR="00DD6EB7">
        <w:rPr>
          <w:rFonts w:cs="Times New Roman"/>
        </w:rPr>
        <w:t>“</w:t>
      </w:r>
      <w:r w:rsidRPr="00DD6EB7">
        <w:rPr>
          <w:rFonts w:cs="Times New Roman"/>
        </w:rPr>
        <w:t>TE</w:t>
      </w:r>
      <w:r w:rsidRPr="00DD6EB7" w:rsidR="00DD6EB7">
        <w:rPr>
          <w:rFonts w:cs="Times New Roman"/>
        </w:rPr>
        <w:t>”</w:t>
      </w:r>
      <w:r w:rsidRPr="00DD6EB7">
        <w:rPr>
          <w:rFonts w:cs="Times New Roman"/>
        </w:rPr>
        <w:t xml:space="preserve">, lines 130-149. </w:t>
      </w:r>
    </w:p>
  </w:footnote>
  <w:footnote w:id="60">
    <w:p w:rsidR="001268D8" w:rsidRPr="00DD6EB7" w:rsidP="00DD6EB7" w14:paraId="14ADD940" w14:textId="18FAE28F">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Pr>
          <w:rFonts w:cs="Times New Roman"/>
        </w:rPr>
        <w:t>, at 22.</w:t>
      </w:r>
    </w:p>
  </w:footnote>
  <w:footnote w:id="61">
    <w:p w:rsidR="00130F9D" w:rsidRPr="00DD6EB7" w:rsidP="00DD6EB7" w14:paraId="79FF12F0" w14:textId="737E3F91">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Pr>
          <w:rFonts w:cs="Times New Roman"/>
        </w:rPr>
        <w:t>, at 22.</w:t>
      </w:r>
    </w:p>
  </w:footnote>
  <w:footnote w:id="62">
    <w:p w:rsidR="00834437" w:rsidRPr="00DD6EB7" w:rsidP="00DD6EB7" w14:paraId="2B1A5E56" w14:textId="042401C9">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sidR="00D70879">
        <w:rPr>
          <w:rFonts w:cs="Times New Roman"/>
        </w:rPr>
        <w:t>,</w:t>
      </w:r>
      <w:r w:rsidRPr="00DD6EB7" w:rsidR="00253FB2">
        <w:rPr>
          <w:rFonts w:cs="Times New Roman"/>
        </w:rPr>
        <w:t xml:space="preserve"> Attachment 1,</w:t>
      </w:r>
      <w:r w:rsidRPr="00DD6EB7">
        <w:rPr>
          <w:rFonts w:cs="Times New Roman"/>
        </w:rPr>
        <w:t xml:space="preserve"> Tab </w:t>
      </w:r>
      <w:r w:rsidRPr="00DD6EB7" w:rsidR="00DD6EB7">
        <w:rPr>
          <w:rFonts w:cs="Times New Roman"/>
        </w:rPr>
        <w:t>“</w:t>
      </w:r>
      <w:r w:rsidRPr="00DD6EB7">
        <w:rPr>
          <w:rFonts w:cs="Times New Roman"/>
        </w:rPr>
        <w:t>AMI Benefits,</w:t>
      </w:r>
      <w:r w:rsidRPr="00DD6EB7" w:rsidR="00DD6EB7">
        <w:rPr>
          <w:rFonts w:cs="Times New Roman"/>
        </w:rPr>
        <w:t>”</w:t>
      </w:r>
      <w:r w:rsidRPr="00DD6EB7">
        <w:rPr>
          <w:rFonts w:cs="Times New Roman"/>
        </w:rPr>
        <w:t xml:space="preserve"> cell P128 (50.4MW) plus cell AH118 (93.45 MW).</w:t>
      </w:r>
    </w:p>
  </w:footnote>
  <w:footnote w:id="63">
    <w:p w:rsidR="00834437" w:rsidRPr="00DD6EB7" w:rsidP="00DD6EB7" w14:paraId="2DA1C184" w14:textId="5DC9C1E4">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D6EB7">
        <w:rPr>
          <w:rFonts w:cs="Times New Roman"/>
        </w:rPr>
        <w:t>“</w:t>
      </w:r>
      <w:r w:rsidRPr="00DD6EB7">
        <w:rPr>
          <w:rFonts w:cs="Times New Roman"/>
        </w:rPr>
        <w:t>OH_Hourly_Load_by_Class.</w:t>
      </w:r>
      <w:r w:rsidRPr="00DD6EB7" w:rsidR="00DD6EB7">
        <w:rPr>
          <w:rFonts w:cs="Times New Roman"/>
        </w:rPr>
        <w:t>”</w:t>
      </w:r>
      <w:r w:rsidRPr="00DD6EB7">
        <w:rPr>
          <w:rFonts w:cs="Times New Roman"/>
        </w:rPr>
        <w:t xml:space="preserve"> Available at </w:t>
      </w:r>
      <w:hyperlink r:id="rId1" w:history="1">
        <w:r w:rsidRPr="00DD6EB7">
          <w:rPr>
            <w:rStyle w:val="Hyperlink"/>
            <w:rFonts w:cs="Times New Roman"/>
          </w:rPr>
          <w:t>https://www.firstenergycorp.com/upp/oh/oh_load_data.html</w:t>
        </w:r>
      </w:hyperlink>
      <w:r w:rsidRPr="00DD6EB7">
        <w:rPr>
          <w:rFonts w:cs="Times New Roman"/>
        </w:rPr>
        <w:t>.</w:t>
      </w:r>
    </w:p>
  </w:footnote>
  <w:footnote w:id="64">
    <w:p w:rsidR="00834437" w:rsidRPr="00DD6EB7" w:rsidP="00DD6EB7" w14:paraId="3189A83D" w14:textId="2F2E2892">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rPr>
        <w:t xml:space="preserve">Alvarez Testimony, </w:t>
      </w:r>
      <w:r w:rsidRPr="00DD6EB7">
        <w:rPr>
          <w:rFonts w:cs="Times New Roman"/>
        </w:rPr>
        <w:t>Attachment 10</w:t>
      </w:r>
      <w:r w:rsidRPr="00DD6EB7" w:rsidR="009A7F4E">
        <w:rPr>
          <w:rFonts w:cs="Times New Roman"/>
        </w:rPr>
        <w:t>,</w:t>
      </w:r>
      <w:r w:rsidRPr="00DD6EB7" w:rsidR="00C11D9A">
        <w:rPr>
          <w:rFonts w:cs="Times New Roman"/>
        </w:rPr>
        <w:t xml:space="preserve"> </w:t>
      </w:r>
      <w:r w:rsidRPr="00DD6EB7">
        <w:rPr>
          <w:rFonts w:cs="Times New Roman"/>
        </w:rPr>
        <w:t xml:space="preserve">OCC Set 2 INT-004-Attachment 3.xlsx, tab </w:t>
      </w:r>
      <w:r w:rsidRPr="00DD6EB7" w:rsidR="00DD6EB7">
        <w:rPr>
          <w:rFonts w:cs="Times New Roman"/>
        </w:rPr>
        <w:t>“</w:t>
      </w:r>
      <w:r w:rsidRPr="00DD6EB7">
        <w:rPr>
          <w:rFonts w:cs="Times New Roman"/>
        </w:rPr>
        <w:t>Circuit List Compare</w:t>
      </w:r>
      <w:r w:rsidRPr="00DD6EB7" w:rsidR="00DD6EB7">
        <w:rPr>
          <w:rFonts w:cs="Times New Roman"/>
        </w:rPr>
        <w:t>”</w:t>
      </w:r>
      <w:r w:rsidRPr="00DD6EB7">
        <w:rPr>
          <w:rFonts w:cs="Times New Roman"/>
        </w:rPr>
        <w:t xml:space="preserve"> (219 circuits). </w:t>
      </w:r>
    </w:p>
  </w:footnote>
  <w:footnote w:id="65">
    <w:p w:rsidR="00834437" w:rsidRPr="00DD6EB7" w:rsidP="00DD6EB7" w14:paraId="09080A59" w14:textId="097FBC23">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sidR="00253FB2">
        <w:rPr>
          <w:rFonts w:cs="Times New Roman"/>
        </w:rPr>
        <w:t xml:space="preserve">, </w:t>
      </w:r>
      <w:r w:rsidRPr="00DD6EB7">
        <w:rPr>
          <w:rFonts w:cs="Times New Roman"/>
        </w:rPr>
        <w:t xml:space="preserve">Attachment 1, </w:t>
      </w:r>
      <w:r w:rsidRPr="00DD6EB7" w:rsidR="009A7F4E">
        <w:rPr>
          <w:rFonts w:cs="Times New Roman"/>
        </w:rPr>
        <w:t>p.</w:t>
      </w:r>
      <w:r w:rsidRPr="00DD6EB7">
        <w:rPr>
          <w:rFonts w:cs="Times New Roman"/>
        </w:rPr>
        <w:t xml:space="preserve"> 2, Column </w:t>
      </w:r>
      <w:r w:rsidRPr="00DD6EB7" w:rsidR="00DD6EB7">
        <w:rPr>
          <w:rFonts w:cs="Times New Roman"/>
        </w:rPr>
        <w:t>“</w:t>
      </w:r>
      <w:r w:rsidRPr="00DD6EB7">
        <w:rPr>
          <w:rFonts w:cs="Times New Roman"/>
        </w:rPr>
        <w:t>Total</w:t>
      </w:r>
      <w:r w:rsidRPr="00DD6EB7" w:rsidR="00DD6EB7">
        <w:rPr>
          <w:rFonts w:cs="Times New Roman"/>
        </w:rPr>
        <w:t>”</w:t>
      </w:r>
      <w:r w:rsidRPr="00DD6EB7">
        <w:rPr>
          <w:rFonts w:cs="Times New Roman"/>
        </w:rPr>
        <w:t>, line 256 ($34.5 million) plus p</w:t>
      </w:r>
      <w:r w:rsidRPr="00DD6EB7" w:rsidR="009A7F4E">
        <w:rPr>
          <w:rFonts w:cs="Times New Roman"/>
        </w:rPr>
        <w:t>.</w:t>
      </w:r>
      <w:r w:rsidRPr="00DD6EB7">
        <w:rPr>
          <w:rFonts w:cs="Times New Roman"/>
        </w:rPr>
        <w:t xml:space="preserve"> 4, Column </w:t>
      </w:r>
      <w:r w:rsidRPr="00DD6EB7" w:rsidR="00DD6EB7">
        <w:rPr>
          <w:rFonts w:cs="Times New Roman"/>
        </w:rPr>
        <w:t>“</w:t>
      </w:r>
      <w:r w:rsidRPr="00DD6EB7">
        <w:rPr>
          <w:rFonts w:cs="Times New Roman"/>
        </w:rPr>
        <w:t>Total</w:t>
      </w:r>
      <w:r w:rsidRPr="00DD6EB7" w:rsidR="00DD6EB7">
        <w:rPr>
          <w:rFonts w:cs="Times New Roman"/>
        </w:rPr>
        <w:t>”</w:t>
      </w:r>
      <w:r w:rsidRPr="00DD6EB7">
        <w:rPr>
          <w:rFonts w:cs="Times New Roman"/>
        </w:rPr>
        <w:t>, line 254 ($75.7 million).</w:t>
      </w:r>
    </w:p>
  </w:footnote>
  <w:footnote w:id="66">
    <w:p w:rsidR="006D4664" w:rsidRPr="00DD6EB7" w:rsidP="00DD6EB7" w14:paraId="2D5EC690" w14:textId="5F1D58EE">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Pr>
          <w:rFonts w:cs="Times New Roman"/>
        </w:rPr>
        <w:t>, at 23.</w:t>
      </w:r>
    </w:p>
  </w:footnote>
  <w:footnote w:id="67">
    <w:p w:rsidR="00D033AA" w:rsidRPr="00DD6EB7" w:rsidP="00DD6EB7" w14:paraId="6049F6DC" w14:textId="5AAD7A83">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D70879">
        <w:rPr>
          <w:rFonts w:cs="Times New Roman"/>
          <w:i/>
          <w:iCs/>
        </w:rPr>
        <w:t>Id.</w:t>
      </w:r>
      <w:r w:rsidRPr="00DD6EB7">
        <w:rPr>
          <w:rFonts w:cs="Times New Roman"/>
        </w:rPr>
        <w:t>, at 24.</w:t>
      </w:r>
    </w:p>
  </w:footnote>
  <w:footnote w:id="68">
    <w:p w:rsidR="00164118" w:rsidRPr="00DD6EB7" w:rsidP="00DD6EB7" w14:paraId="08F1A5D7" w14:textId="60CBAA31">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i/>
          <w:iCs/>
        </w:rPr>
        <w:t>Id.</w:t>
      </w:r>
      <w:r w:rsidRPr="00DD6EB7" w:rsidR="00253FB2">
        <w:rPr>
          <w:rFonts w:cs="Times New Roman"/>
        </w:rPr>
        <w:t>, Attachment 1,</w:t>
      </w:r>
      <w:r w:rsidRPr="00DD6EB7" w:rsidR="00C03875">
        <w:rPr>
          <w:rFonts w:cs="Times New Roman"/>
        </w:rPr>
        <w:t xml:space="preserve"> </w:t>
      </w:r>
      <w:r w:rsidRPr="00DD6EB7" w:rsidR="00090574">
        <w:rPr>
          <w:rFonts w:cs="Times New Roman"/>
        </w:rPr>
        <w:t>p</w:t>
      </w:r>
      <w:r w:rsidRPr="00DD6EB7" w:rsidR="007A16F7">
        <w:rPr>
          <w:rFonts w:cs="Times New Roman"/>
        </w:rPr>
        <w:t>.</w:t>
      </w:r>
      <w:r w:rsidRPr="00DD6EB7" w:rsidR="00090574">
        <w:rPr>
          <w:rFonts w:cs="Times New Roman"/>
        </w:rPr>
        <w:t xml:space="preserve"> 6, line 210</w:t>
      </w:r>
      <w:r w:rsidRPr="00DD6EB7">
        <w:rPr>
          <w:rFonts w:cs="Times New Roman"/>
        </w:rPr>
        <w:t>.</w:t>
      </w:r>
    </w:p>
  </w:footnote>
  <w:footnote w:id="69">
    <w:p w:rsidR="001A679E" w:rsidRPr="00DD6EB7" w:rsidP="00DD6EB7" w14:paraId="00E76E96" w14:textId="54340468">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i/>
          <w:iCs/>
        </w:rPr>
        <w:t>Id.</w:t>
      </w:r>
      <w:r w:rsidRPr="00DD6EB7">
        <w:rPr>
          <w:rFonts w:cs="Times New Roman"/>
        </w:rPr>
        <w:t>, at 24</w:t>
      </w:r>
      <w:r w:rsidRPr="00DD6EB7" w:rsidR="00754CDC">
        <w:rPr>
          <w:rFonts w:cs="Times New Roman"/>
        </w:rPr>
        <w:t>.</w:t>
      </w:r>
    </w:p>
  </w:footnote>
  <w:footnote w:id="70">
    <w:p w:rsidR="004E6BCE" w:rsidRPr="00DD6EB7" w:rsidP="00DD6EB7" w14:paraId="4DEDC223" w14:textId="60883A76">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i/>
          <w:iCs/>
        </w:rPr>
        <w:t>Id.</w:t>
      </w:r>
      <w:r w:rsidRPr="00DD6EB7">
        <w:rPr>
          <w:rFonts w:cs="Times New Roman"/>
        </w:rPr>
        <w:t>, at 30.</w:t>
      </w:r>
    </w:p>
  </w:footnote>
  <w:footnote w:id="71">
    <w:p w:rsidR="004E6BCE" w:rsidRPr="00DD6EB7" w:rsidP="00DD6EB7" w14:paraId="353D9D45" w14:textId="48F8187E">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i/>
          <w:iCs/>
        </w:rPr>
        <w:t>Id.</w:t>
      </w:r>
      <w:r w:rsidRPr="00DD6EB7" w:rsidR="00467C70">
        <w:rPr>
          <w:rFonts w:cs="Times New Roman"/>
        </w:rPr>
        <w:t>,</w:t>
      </w:r>
      <w:r w:rsidRPr="00DD6EB7" w:rsidR="00467C70">
        <w:rPr>
          <w:rFonts w:cs="Times New Roman"/>
          <w:i/>
          <w:iCs/>
        </w:rPr>
        <w:t xml:space="preserve"> </w:t>
      </w:r>
      <w:r w:rsidRPr="00DD6EB7">
        <w:rPr>
          <w:rFonts w:cs="Times New Roman"/>
        </w:rPr>
        <w:t>Attachment 2</w:t>
      </w:r>
      <w:r w:rsidRPr="00DD6EB7" w:rsidR="007A16F7">
        <w:rPr>
          <w:rFonts w:cs="Times New Roman"/>
        </w:rPr>
        <w:t>,</w:t>
      </w:r>
      <w:r w:rsidRPr="00DD6EB7" w:rsidR="00C11D9A">
        <w:rPr>
          <w:rFonts w:cs="Times New Roman"/>
        </w:rPr>
        <w:t xml:space="preserve"> </w:t>
      </w:r>
      <w:r w:rsidRPr="00DD6EB7">
        <w:rPr>
          <w:rFonts w:cs="Times New Roman"/>
        </w:rPr>
        <w:t xml:space="preserve">Company response to PUCO DR 015 </w:t>
      </w:r>
      <w:r w:rsidRPr="00DD6EB7" w:rsidR="00DD6EB7">
        <w:rPr>
          <w:rFonts w:cs="Times New Roman"/>
        </w:rPr>
        <w:t>“</w:t>
      </w:r>
      <w:r w:rsidRPr="00DD6EB7">
        <w:rPr>
          <w:rFonts w:cs="Times New Roman"/>
        </w:rPr>
        <w:t>O.</w:t>
      </w:r>
      <w:r w:rsidRPr="00DD6EB7" w:rsidR="00DD6EB7">
        <w:rPr>
          <w:rFonts w:cs="Times New Roman"/>
        </w:rPr>
        <w:t>”</w:t>
      </w:r>
    </w:p>
  </w:footnote>
  <w:footnote w:id="72">
    <w:p w:rsidR="004E6BCE" w:rsidRPr="00DD6EB7" w:rsidP="00DD6EB7" w14:paraId="17C730C4" w14:textId="76CA42DF">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i/>
          <w:iCs/>
        </w:rPr>
        <w:t>Id.</w:t>
      </w:r>
      <w:r w:rsidRPr="00DD6EB7" w:rsidR="00467C70">
        <w:rPr>
          <w:rFonts w:cs="Times New Roman"/>
        </w:rPr>
        <w:t>,</w:t>
      </w:r>
      <w:r w:rsidRPr="00DD6EB7" w:rsidR="00467C70">
        <w:rPr>
          <w:rFonts w:cs="Times New Roman"/>
          <w:i/>
          <w:iCs/>
        </w:rPr>
        <w:t xml:space="preserve"> </w:t>
      </w:r>
      <w:r w:rsidRPr="00DD6EB7">
        <w:rPr>
          <w:rFonts w:cs="Times New Roman"/>
        </w:rPr>
        <w:t>Attachment 3</w:t>
      </w:r>
      <w:r w:rsidRPr="00DD6EB7" w:rsidR="007A16F7">
        <w:rPr>
          <w:rFonts w:cs="Times New Roman"/>
        </w:rPr>
        <w:t>,</w:t>
      </w:r>
      <w:r w:rsidRPr="00DD6EB7" w:rsidR="00C11D9A">
        <w:rPr>
          <w:rFonts w:cs="Times New Roman"/>
        </w:rPr>
        <w:t xml:space="preserve"> </w:t>
      </w:r>
      <w:r w:rsidRPr="00DD6EB7">
        <w:rPr>
          <w:rFonts w:cs="Times New Roman"/>
        </w:rPr>
        <w:t xml:space="preserve">OCC Set 2-STIP-INT-009 Attachment 1. </w:t>
      </w:r>
    </w:p>
  </w:footnote>
  <w:footnote w:id="73">
    <w:p w:rsidR="004E6BCE" w:rsidRPr="00DD6EB7" w:rsidP="00DD6EB7" w14:paraId="4FA69ABB" w14:textId="77777777">
      <w:pPr>
        <w:pStyle w:val="FootnoteText"/>
        <w:spacing w:after="120"/>
        <w:rPr>
          <w:rFonts w:cs="Times New Roman"/>
        </w:rPr>
      </w:pPr>
      <w:r w:rsidRPr="00DD6EB7">
        <w:rPr>
          <w:rStyle w:val="FootnoteReference"/>
          <w:rFonts w:cs="Times New Roman"/>
        </w:rPr>
        <w:footnoteRef/>
      </w:r>
      <w:r w:rsidRPr="00DD6EB7">
        <w:rPr>
          <w:rFonts w:cs="Times New Roman"/>
        </w:rPr>
        <w:t xml:space="preserve"> $375,000 divided by 2 years divided by 158 average participants.</w:t>
      </w:r>
    </w:p>
  </w:footnote>
  <w:footnote w:id="74">
    <w:p w:rsidR="004E6BCE" w:rsidRPr="00DD6EB7" w:rsidP="00DD6EB7" w14:paraId="458AD55F" w14:textId="4C79A943">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rPr>
        <w:t xml:space="preserve">Alvarez Testimony, </w:t>
      </w:r>
      <w:r w:rsidRPr="00DD6EB7">
        <w:rPr>
          <w:rFonts w:cs="Times New Roman"/>
        </w:rPr>
        <w:t>Attachment 3.</w:t>
      </w:r>
    </w:p>
  </w:footnote>
  <w:footnote w:id="75">
    <w:p w:rsidR="00793074" w:rsidRPr="00DD6EB7" w:rsidP="00DD6EB7" w14:paraId="11A7FC22" w14:textId="77777777">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Testimony, at 16.</w:t>
      </w:r>
    </w:p>
  </w:footnote>
  <w:footnote w:id="76">
    <w:p w:rsidR="004E6BCE" w:rsidRPr="00DD6EB7" w:rsidP="00DD6EB7" w14:paraId="7AA04A15" w14:textId="47C1FE64">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rPr>
        <w:t xml:space="preserve">Alvarez Testimony, </w:t>
      </w:r>
      <w:r w:rsidRPr="00DD6EB7">
        <w:rPr>
          <w:rFonts w:cs="Times New Roman"/>
        </w:rPr>
        <w:t>Attachment 1</w:t>
      </w:r>
      <w:r w:rsidRPr="00DD6EB7" w:rsidR="00484A3A">
        <w:rPr>
          <w:rFonts w:cs="Times New Roman"/>
        </w:rPr>
        <w:t>,</w:t>
      </w:r>
      <w:r w:rsidRPr="00DD6EB7" w:rsidR="00C11D9A">
        <w:rPr>
          <w:rFonts w:cs="Times New Roman"/>
        </w:rPr>
        <w:t xml:space="preserve"> </w:t>
      </w:r>
      <w:r w:rsidRPr="00DD6EB7">
        <w:rPr>
          <w:rFonts w:cs="Times New Roman"/>
        </w:rPr>
        <w:t xml:space="preserve">PUCO DR-014 Attachment 1.xlsx, Tab </w:t>
      </w:r>
      <w:r w:rsidRPr="00DD6EB7" w:rsidR="00DD6EB7">
        <w:rPr>
          <w:rFonts w:cs="Times New Roman"/>
        </w:rPr>
        <w:t>“</w:t>
      </w:r>
      <w:r w:rsidRPr="00DD6EB7">
        <w:rPr>
          <w:rFonts w:cs="Times New Roman"/>
        </w:rPr>
        <w:t>AMI Benefits</w:t>
      </w:r>
      <w:r w:rsidRPr="00DD6EB7" w:rsidR="00DD6EB7">
        <w:rPr>
          <w:rFonts w:cs="Times New Roman"/>
        </w:rPr>
        <w:t>”</w:t>
      </w:r>
      <w:r w:rsidRPr="00DD6EB7">
        <w:rPr>
          <w:rFonts w:cs="Times New Roman"/>
        </w:rPr>
        <w:t>.</w:t>
      </w:r>
      <w:r w:rsidRPr="00DD6EB7" w:rsidR="00C11D9A">
        <w:rPr>
          <w:rFonts w:cs="Times New Roman"/>
        </w:rPr>
        <w:t xml:space="preserve"> </w:t>
      </w:r>
      <w:r w:rsidRPr="00DD6EB7">
        <w:rPr>
          <w:rFonts w:cs="Times New Roman"/>
        </w:rPr>
        <w:t>Stipulation and Recommendation update to benefit-cost analysis provided as a supplemental response to OCC Set 2-STIP-INT-005 on June 5, 2024</w:t>
      </w:r>
      <w:r w:rsidRPr="00DD6EB7" w:rsidR="00484A3A">
        <w:rPr>
          <w:rFonts w:cs="Times New Roman"/>
        </w:rPr>
        <w:t>,</w:t>
      </w:r>
      <w:r w:rsidRPr="00DD6EB7">
        <w:rPr>
          <w:rFonts w:cs="Times New Roman"/>
        </w:rPr>
        <w:t xml:space="preserve"> </w:t>
      </w:r>
      <w:r w:rsidRPr="00DD6EB7" w:rsidR="00484A3A">
        <w:rPr>
          <w:rFonts w:cs="Times New Roman"/>
        </w:rPr>
        <w:t>p.</w:t>
      </w:r>
      <w:r w:rsidRPr="00DD6EB7">
        <w:rPr>
          <w:rFonts w:cs="Times New Roman"/>
        </w:rPr>
        <w:t xml:space="preserve"> 2, Columns </w:t>
      </w:r>
      <w:r w:rsidRPr="00DD6EB7" w:rsidR="00DD6EB7">
        <w:rPr>
          <w:rFonts w:cs="Times New Roman"/>
        </w:rPr>
        <w:t>“</w:t>
      </w:r>
      <w:r w:rsidRPr="00DD6EB7">
        <w:rPr>
          <w:rFonts w:cs="Times New Roman"/>
        </w:rPr>
        <w:t>CEI</w:t>
      </w:r>
      <w:r w:rsidRPr="00DD6EB7" w:rsidR="00DD6EB7">
        <w:rPr>
          <w:rFonts w:cs="Times New Roman"/>
        </w:rPr>
        <w:t>”</w:t>
      </w:r>
      <w:r w:rsidRPr="00DD6EB7">
        <w:rPr>
          <w:rFonts w:cs="Times New Roman"/>
        </w:rPr>
        <w:t xml:space="preserve">, </w:t>
      </w:r>
      <w:r w:rsidRPr="00DD6EB7" w:rsidR="00DD6EB7">
        <w:rPr>
          <w:rFonts w:cs="Times New Roman"/>
        </w:rPr>
        <w:t>“</w:t>
      </w:r>
      <w:r w:rsidRPr="00DD6EB7">
        <w:rPr>
          <w:rFonts w:cs="Times New Roman"/>
        </w:rPr>
        <w:t>OE</w:t>
      </w:r>
      <w:r w:rsidRPr="00DD6EB7" w:rsidR="00DD6EB7">
        <w:rPr>
          <w:rFonts w:cs="Times New Roman"/>
        </w:rPr>
        <w:t>”</w:t>
      </w:r>
      <w:r w:rsidRPr="00DD6EB7">
        <w:rPr>
          <w:rFonts w:cs="Times New Roman"/>
        </w:rPr>
        <w:t xml:space="preserve">, and </w:t>
      </w:r>
      <w:r w:rsidRPr="00DD6EB7" w:rsidR="00DD6EB7">
        <w:rPr>
          <w:rFonts w:cs="Times New Roman"/>
        </w:rPr>
        <w:t>“</w:t>
      </w:r>
      <w:r w:rsidRPr="00DD6EB7">
        <w:rPr>
          <w:rFonts w:cs="Times New Roman"/>
        </w:rPr>
        <w:t>TE</w:t>
      </w:r>
      <w:r w:rsidRPr="00DD6EB7" w:rsidR="00DD6EB7">
        <w:rPr>
          <w:rFonts w:cs="Times New Roman"/>
        </w:rPr>
        <w:t>”</w:t>
      </w:r>
      <w:r w:rsidRPr="00DD6EB7">
        <w:rPr>
          <w:rFonts w:cs="Times New Roman"/>
        </w:rPr>
        <w:t>, line 17 (10% participation rate) multiplied by 1.4 million AMI meters, line 32.</w:t>
      </w:r>
      <w:r w:rsidRPr="00DD6EB7" w:rsidR="00C11D9A">
        <w:rPr>
          <w:rFonts w:cs="Times New Roman"/>
        </w:rPr>
        <w:t xml:space="preserve"> </w:t>
      </w:r>
    </w:p>
  </w:footnote>
  <w:footnote w:id="77">
    <w:p w:rsidR="00484A3A" w:rsidRPr="00DD6EB7" w:rsidP="00DD6EB7" w14:paraId="6009DD3B" w14:textId="7DBDD2EF">
      <w:pPr>
        <w:pStyle w:val="FootnoteText"/>
        <w:spacing w:after="120"/>
        <w:rPr>
          <w:rFonts w:cs="Times New Roman"/>
        </w:rPr>
      </w:pPr>
      <w:r w:rsidRPr="00DD6EB7">
        <w:rPr>
          <w:rStyle w:val="FootnoteReference"/>
          <w:rFonts w:cs="Times New Roman"/>
        </w:rPr>
        <w:footnoteRef/>
      </w:r>
      <w:r w:rsidRPr="00DD6EB7">
        <w:rPr>
          <w:rFonts w:cs="Times New Roman"/>
        </w:rPr>
        <w:t xml:space="preserve"> PUCO Website. Available at </w:t>
      </w:r>
      <w:hyperlink r:id="rId2" w:history="1">
        <w:r w:rsidRPr="00DD6EB7">
          <w:rPr>
            <w:rStyle w:val="Hyperlink"/>
            <w:rFonts w:cs="Times New Roman"/>
          </w:rPr>
          <w:t>https://puco.ohio.gov/utilities/electricity/resources/market-monitoring</w:t>
        </w:r>
      </w:hyperlink>
      <w:r w:rsidRPr="00DD6EB7">
        <w:rPr>
          <w:rFonts w:cs="Times New Roman"/>
        </w:rPr>
        <w:t>.</w:t>
      </w:r>
    </w:p>
  </w:footnote>
  <w:footnote w:id="78">
    <w:p w:rsidR="004E6BCE" w:rsidRPr="00DD6EB7" w:rsidP="00DD6EB7" w14:paraId="2AFB7D01" w14:textId="77777777">
      <w:pPr>
        <w:pStyle w:val="FootnoteText"/>
        <w:spacing w:after="120"/>
        <w:rPr>
          <w:rFonts w:cs="Times New Roman"/>
        </w:rPr>
      </w:pPr>
      <w:r w:rsidRPr="00DD6EB7">
        <w:rPr>
          <w:rStyle w:val="FootnoteReference"/>
          <w:rFonts w:cs="Times New Roman"/>
        </w:rPr>
        <w:footnoteRef/>
      </w:r>
      <w:r w:rsidRPr="00DD6EB7">
        <w:rPr>
          <w:rFonts w:cs="Times New Roman"/>
        </w:rPr>
        <w:t xml:space="preserve"> Residential customer count 1,899,862 as reported by CEI, OE, and TE on U.S. EIA Form 861 (2022) multiplied by 31%.</w:t>
      </w:r>
    </w:p>
  </w:footnote>
  <w:footnote w:id="79">
    <w:p w:rsidR="004E6BCE" w:rsidRPr="00DD6EB7" w:rsidP="00DD6EB7" w14:paraId="0CF766A8" w14:textId="7CCAF093">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rPr>
        <w:t>Alvarez Testimony, at 15.</w:t>
      </w:r>
    </w:p>
  </w:footnote>
  <w:footnote w:id="80">
    <w:p w:rsidR="00467C70" w:rsidRPr="00DD6EB7" w:rsidP="00DD6EB7" w14:paraId="11BD215D" w14:textId="79F385BC">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Pr>
          <w:rFonts w:cs="Times New Roman"/>
        </w:rPr>
        <w:t>, at 31.</w:t>
      </w:r>
    </w:p>
  </w:footnote>
  <w:footnote w:id="81">
    <w:p w:rsidR="006A3619" w:rsidRPr="00DD6EB7" w:rsidP="00DD6EB7" w14:paraId="6382D9D0" w14:textId="7D39F620">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i/>
          <w:iCs/>
        </w:rPr>
        <w:t>Id</w:t>
      </w:r>
      <w:r w:rsidRPr="00DD6EB7">
        <w:rPr>
          <w:rFonts w:cs="Times New Roman"/>
        </w:rPr>
        <w:t>.</w:t>
      </w:r>
    </w:p>
  </w:footnote>
  <w:footnote w:id="82">
    <w:p w:rsidR="006A3619" w:rsidRPr="00DD6EB7" w:rsidP="00DD6EB7" w14:paraId="369DC270" w14:textId="63CADF73">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467C70">
        <w:rPr>
          <w:rFonts w:cs="Times New Roman"/>
          <w:i/>
          <w:iCs/>
        </w:rPr>
        <w:t>Id</w:t>
      </w:r>
      <w:r w:rsidRPr="00DD6EB7">
        <w:rPr>
          <w:rFonts w:cs="Times New Roman"/>
        </w:rPr>
        <w:t>.</w:t>
      </w:r>
    </w:p>
  </w:footnote>
  <w:footnote w:id="83">
    <w:p w:rsidR="00D17430" w:rsidRPr="00DD6EB7" w:rsidP="00DD6EB7" w14:paraId="163790C6" w14:textId="35498420">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902443">
        <w:rPr>
          <w:rFonts w:cs="Times New Roman"/>
        </w:rPr>
        <w:t>Customer count by class data supplied by the Companies on U.S. EIA Form 861</w:t>
      </w:r>
      <w:r w:rsidRPr="00DD6EB7" w:rsidR="00D5422F">
        <w:rPr>
          <w:rFonts w:cs="Times New Roman"/>
        </w:rPr>
        <w:t xml:space="preserve"> (</w:t>
      </w:r>
      <w:r w:rsidRPr="00DD6EB7" w:rsidR="00902443">
        <w:rPr>
          <w:rFonts w:cs="Times New Roman"/>
        </w:rPr>
        <w:t>2022</w:t>
      </w:r>
      <w:r w:rsidRPr="00DD6EB7" w:rsidR="00D5422F">
        <w:rPr>
          <w:rFonts w:cs="Times New Roman"/>
        </w:rPr>
        <w:t>)</w:t>
      </w:r>
      <w:r w:rsidRPr="00DD6EB7" w:rsidR="00902443">
        <w:rPr>
          <w:rFonts w:cs="Times New Roman"/>
        </w:rPr>
        <w:t>.</w:t>
      </w:r>
    </w:p>
  </w:footnote>
  <w:footnote w:id="84">
    <w:p w:rsidR="00AE0606" w:rsidRPr="00DD6EB7" w:rsidP="00DD6EB7" w14:paraId="1DA8B2FF" w14:textId="67FAA4C7">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Testimony, at 32.</w:t>
      </w:r>
    </w:p>
  </w:footnote>
  <w:footnote w:id="85">
    <w:p w:rsidR="003A55C5" w:rsidRPr="00DD6EB7" w:rsidP="00DD6EB7" w14:paraId="543396E0" w14:textId="209F33F6">
      <w:pPr>
        <w:pStyle w:val="FootnoteText"/>
        <w:spacing w:after="120"/>
        <w:rPr>
          <w:rFonts w:cs="Times New Roman"/>
        </w:rPr>
      </w:pPr>
      <w:r w:rsidRPr="00DD6EB7">
        <w:rPr>
          <w:rStyle w:val="FootnoteReference"/>
          <w:rFonts w:cs="Times New Roman"/>
        </w:rPr>
        <w:footnoteRef/>
      </w:r>
      <w:r w:rsidRPr="00DD6EB7">
        <w:rPr>
          <w:rFonts w:cs="Times New Roman"/>
        </w:rPr>
        <w:t xml:space="preserve"> Case No. 16-481</w:t>
      </w:r>
      <w:r w:rsidRPr="00DD6EB7" w:rsidR="00D5422F">
        <w:rPr>
          <w:rFonts w:cs="Times New Roman"/>
        </w:rPr>
        <w:t>-EL-UNC,</w:t>
      </w:r>
      <w:r w:rsidRPr="00DD6EB7" w:rsidR="00CF1064">
        <w:rPr>
          <w:rFonts w:cs="Times New Roman"/>
        </w:rPr>
        <w:t xml:space="preserve"> </w:t>
      </w:r>
      <w:r w:rsidRPr="00DD6EB7">
        <w:rPr>
          <w:rFonts w:cs="Times New Roman"/>
        </w:rPr>
        <w:t>Supplemental Stipulation and Recommendation</w:t>
      </w:r>
      <w:r w:rsidRPr="00DD6EB7" w:rsidR="00D5422F">
        <w:rPr>
          <w:rFonts w:cs="Times New Roman"/>
        </w:rPr>
        <w:t>, at p. 5</w:t>
      </w:r>
      <w:r w:rsidRPr="00DD6EB7">
        <w:rPr>
          <w:rFonts w:cs="Times New Roman"/>
        </w:rPr>
        <w:t xml:space="preserve"> </w:t>
      </w:r>
      <w:r w:rsidRPr="00DD6EB7" w:rsidR="00D5422F">
        <w:rPr>
          <w:rFonts w:cs="Times New Roman"/>
        </w:rPr>
        <w:t>(</w:t>
      </w:r>
      <w:r w:rsidRPr="00DD6EB7">
        <w:rPr>
          <w:rFonts w:cs="Times New Roman"/>
        </w:rPr>
        <w:t>January 25, 2019</w:t>
      </w:r>
      <w:r w:rsidRPr="00DD6EB7" w:rsidR="00D5422F">
        <w:rPr>
          <w:rFonts w:cs="Times New Roman"/>
        </w:rPr>
        <w:t>).</w:t>
      </w:r>
    </w:p>
  </w:footnote>
  <w:footnote w:id="86">
    <w:p w:rsidR="00A50124" w:rsidRPr="00DD6EB7" w:rsidP="00DD6EB7" w14:paraId="4D0C99FB" w14:textId="10F50160">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3A55C5">
        <w:rPr>
          <w:rFonts w:cs="Times New Roman"/>
          <w:i/>
          <w:iCs/>
        </w:rPr>
        <w:t>I</w:t>
      </w:r>
      <w:r w:rsidRPr="00DD6EB7" w:rsidR="00D202B1">
        <w:rPr>
          <w:rFonts w:cs="Times New Roman"/>
          <w:i/>
          <w:iCs/>
        </w:rPr>
        <w:t>d</w:t>
      </w:r>
      <w:r w:rsidRPr="00DD6EB7" w:rsidR="00D202B1">
        <w:rPr>
          <w:rFonts w:cs="Times New Roman"/>
        </w:rPr>
        <w:t>.</w:t>
      </w:r>
      <w:r w:rsidRPr="00DD6EB7" w:rsidR="003A55C5">
        <w:rPr>
          <w:rFonts w:cs="Times New Roman"/>
        </w:rPr>
        <w:t>, p</w:t>
      </w:r>
      <w:r w:rsidRPr="00DD6EB7" w:rsidR="00CB2CFD">
        <w:rPr>
          <w:rFonts w:cs="Times New Roman"/>
        </w:rPr>
        <w:t>p.</w:t>
      </w:r>
      <w:r w:rsidRPr="00DD6EB7" w:rsidR="00E96CE6">
        <w:rPr>
          <w:rFonts w:cs="Times New Roman"/>
        </w:rPr>
        <w:t xml:space="preserve"> 5-6.</w:t>
      </w:r>
    </w:p>
  </w:footnote>
  <w:footnote w:id="87">
    <w:p w:rsidR="00BB7E3B" w:rsidRPr="00DD6EB7" w:rsidP="00DD6EB7" w14:paraId="6A7B71DC" w14:textId="5BE6C7AF">
      <w:pPr>
        <w:pStyle w:val="FootnoteText"/>
        <w:spacing w:after="120"/>
        <w:rPr>
          <w:rFonts w:cs="Times New Roman"/>
        </w:rPr>
      </w:pPr>
      <w:r w:rsidRPr="00DD6EB7">
        <w:rPr>
          <w:rStyle w:val="FootnoteReference"/>
          <w:rFonts w:cs="Times New Roman"/>
        </w:rPr>
        <w:footnoteRef/>
      </w:r>
      <w:r w:rsidRPr="00DD6EB7">
        <w:rPr>
          <w:rFonts w:cs="Times New Roman"/>
        </w:rPr>
        <w:t xml:space="preserve"> Case No. 16-481-EL-UNC</w:t>
      </w:r>
      <w:r w:rsidRPr="00DD6EB7" w:rsidR="00387C4F">
        <w:rPr>
          <w:rFonts w:cs="Times New Roman"/>
        </w:rPr>
        <w:t>,</w:t>
      </w:r>
      <w:r w:rsidRPr="00DD6EB7">
        <w:rPr>
          <w:rFonts w:cs="Times New Roman"/>
        </w:rPr>
        <w:t xml:space="preserve"> Operational Benefits Assessment of FirstEnergy Ohio</w:t>
      </w:r>
      <w:r w:rsidRPr="00DD6EB7" w:rsidR="00DD6EB7">
        <w:rPr>
          <w:rFonts w:cs="Times New Roman"/>
        </w:rPr>
        <w:t>’</w:t>
      </w:r>
      <w:r w:rsidRPr="00DD6EB7">
        <w:rPr>
          <w:rFonts w:cs="Times New Roman"/>
        </w:rPr>
        <w:t>s Grid Mod I. Daymark Energy Advisors</w:t>
      </w:r>
      <w:r w:rsidRPr="00DD6EB7" w:rsidR="00387C4F">
        <w:rPr>
          <w:rFonts w:cs="Times New Roman"/>
        </w:rPr>
        <w:t>, p. 2</w:t>
      </w:r>
      <w:r w:rsidRPr="00DD6EB7">
        <w:rPr>
          <w:rFonts w:cs="Times New Roman"/>
        </w:rPr>
        <w:t xml:space="preserve"> </w:t>
      </w:r>
      <w:r w:rsidRPr="00DD6EB7" w:rsidR="00387C4F">
        <w:rPr>
          <w:rFonts w:cs="Times New Roman"/>
        </w:rPr>
        <w:t>(</w:t>
      </w:r>
      <w:r w:rsidRPr="00DD6EB7">
        <w:rPr>
          <w:rFonts w:cs="Times New Roman"/>
        </w:rPr>
        <w:t>November 14, 2022</w:t>
      </w:r>
      <w:r w:rsidRPr="00DD6EB7" w:rsidR="00387C4F">
        <w:rPr>
          <w:rFonts w:cs="Times New Roman"/>
        </w:rPr>
        <w:t>)</w:t>
      </w:r>
      <w:r w:rsidRPr="00DD6EB7">
        <w:rPr>
          <w:rFonts w:cs="Times New Roman"/>
        </w:rPr>
        <w:t>.</w:t>
      </w:r>
    </w:p>
  </w:footnote>
  <w:footnote w:id="88">
    <w:p w:rsidR="00DF6B61" w:rsidRPr="00DD6EB7" w:rsidP="00DD6EB7" w14:paraId="4C534FBC" w14:textId="51863396">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In re Columbus Southern Power Co</w:t>
      </w:r>
      <w:r w:rsidRPr="00DD6EB7">
        <w:rPr>
          <w:rFonts w:cs="Times New Roman"/>
        </w:rPr>
        <w:t>., Case No. 11-346-EL-SSO, et al., Opinion and Order (Aug</w:t>
      </w:r>
      <w:r w:rsidRPr="00DD6EB7" w:rsidR="001D397D">
        <w:rPr>
          <w:rFonts w:cs="Times New Roman"/>
        </w:rPr>
        <w:t>ust</w:t>
      </w:r>
      <w:r w:rsidRPr="00DD6EB7">
        <w:rPr>
          <w:rFonts w:cs="Times New Roman"/>
        </w:rPr>
        <w:t xml:space="preserve"> 8, 2012). Case No. 19-468-GA-ALT. </w:t>
      </w:r>
    </w:p>
  </w:footnote>
  <w:footnote w:id="89">
    <w:p w:rsidR="003E52AC" w:rsidRPr="00DD6EB7" w:rsidP="00DD6EB7" w14:paraId="03B60FAD" w14:textId="1A9AAC3B">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Testimony, at 41.</w:t>
      </w:r>
    </w:p>
  </w:footnote>
  <w:footnote w:id="90">
    <w:p w:rsidR="000E249D" w:rsidRPr="00DD6EB7" w:rsidP="00DD6EB7" w14:paraId="4E9B1E1B" w14:textId="77A9C5D3">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P, Costello K, Ericson S, and Stephens D.</w:t>
      </w:r>
      <w:r w:rsidRPr="00DD6EB7" w:rsidR="00CF1064">
        <w:rPr>
          <w:rFonts w:cs="Times New Roman"/>
        </w:rPr>
        <w:t xml:space="preserve"> </w:t>
      </w:r>
      <w:r w:rsidRPr="00DD6EB7" w:rsidR="002F48C5">
        <w:rPr>
          <w:rFonts w:cs="Times New Roman"/>
          <w:i/>
          <w:iCs/>
        </w:rPr>
        <w:t>Alternative ratemaking in the US: A prerequisite for grid modernization or an unwarranted shift</w:t>
      </w:r>
      <w:r w:rsidRPr="00DD6EB7" w:rsidR="00FC57B3">
        <w:rPr>
          <w:rFonts w:cs="Times New Roman"/>
          <w:i/>
          <w:iCs/>
        </w:rPr>
        <w:t xml:space="preserve"> </w:t>
      </w:r>
      <w:r w:rsidRPr="00DD6EB7" w:rsidR="002F48C5">
        <w:rPr>
          <w:rFonts w:cs="Times New Roman"/>
          <w:i/>
          <w:iCs/>
        </w:rPr>
        <w:t>of risk to customers?</w:t>
      </w:r>
      <w:r w:rsidRPr="00DD6EB7" w:rsidR="00CF1064">
        <w:rPr>
          <w:rFonts w:cs="Times New Roman"/>
          <w:i/>
          <w:iCs/>
        </w:rPr>
        <w:t xml:space="preserve"> </w:t>
      </w:r>
      <w:r w:rsidRPr="00DD6EB7" w:rsidR="00FC57B3">
        <w:rPr>
          <w:rFonts w:cs="Times New Roman"/>
        </w:rPr>
        <w:t>Electricity Journal</w:t>
      </w:r>
      <w:r w:rsidRPr="00DD6EB7" w:rsidR="00BF5E10">
        <w:rPr>
          <w:rFonts w:cs="Times New Roman"/>
        </w:rPr>
        <w:t>,</w:t>
      </w:r>
      <w:r w:rsidRPr="00DD6EB7" w:rsidR="00CF1064">
        <w:rPr>
          <w:rFonts w:cs="Times New Roman"/>
        </w:rPr>
        <w:t xml:space="preserve"> </w:t>
      </w:r>
      <w:r w:rsidRPr="00DD6EB7" w:rsidR="00C33D3F">
        <w:rPr>
          <w:rFonts w:cs="Times New Roman"/>
        </w:rPr>
        <w:t xml:space="preserve">35 (2022) </w:t>
      </w:r>
      <w:r w:rsidRPr="00DD6EB7" w:rsidR="00137983">
        <w:rPr>
          <w:rFonts w:cs="Times New Roman"/>
        </w:rPr>
        <w:t>107200.</w:t>
      </w:r>
    </w:p>
  </w:footnote>
  <w:footnote w:id="91">
    <w:p w:rsidR="003E52AC" w:rsidRPr="00DD6EB7" w:rsidP="00DD6EB7" w14:paraId="16C5B80B" w14:textId="3C5E0D1C">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Testimony, at 42</w:t>
      </w:r>
      <w:r w:rsidRPr="00DD6EB7" w:rsidR="00DF6B61">
        <w:rPr>
          <w:rFonts w:cs="Times New Roman"/>
        </w:rPr>
        <w:t>-45</w:t>
      </w:r>
      <w:r w:rsidRPr="00DD6EB7">
        <w:rPr>
          <w:rFonts w:cs="Times New Roman"/>
        </w:rPr>
        <w:t>.</w:t>
      </w:r>
    </w:p>
  </w:footnote>
  <w:footnote w:id="92">
    <w:p w:rsidR="00D14E55" w:rsidRPr="00DD6EB7" w:rsidP="00DD6EB7" w14:paraId="7450ADD3" w14:textId="02F35A8F">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sidR="00BB65BE">
        <w:rPr>
          <w:rFonts w:cs="Times New Roman"/>
          <w:i/>
          <w:iCs/>
        </w:rPr>
        <w:t>In re Columbus Southern Power Co</w:t>
      </w:r>
      <w:r w:rsidRPr="00DD6EB7" w:rsidR="00BB65BE">
        <w:rPr>
          <w:rFonts w:cs="Times New Roman"/>
        </w:rPr>
        <w:t>.</w:t>
      </w:r>
    </w:p>
  </w:footnote>
  <w:footnote w:id="93">
    <w:p w:rsidR="006F6102" w:rsidRPr="00DD6EB7" w:rsidP="00DD6EB7" w14:paraId="70B72E4B" w14:textId="5831F6BE">
      <w:pPr>
        <w:pStyle w:val="FootnoteText"/>
        <w:spacing w:after="120"/>
        <w:rPr>
          <w:rFonts w:cs="Times New Roman"/>
        </w:rPr>
      </w:pPr>
      <w:r w:rsidRPr="00DD6EB7">
        <w:rPr>
          <w:rStyle w:val="FootnoteReference"/>
          <w:rFonts w:cs="Times New Roman"/>
        </w:rPr>
        <w:footnoteRef/>
      </w:r>
      <w:r w:rsidRPr="00DD6EB7">
        <w:rPr>
          <w:rFonts w:cs="Times New Roman"/>
        </w:rPr>
        <w:t xml:space="preserve"> Alvarez Testimony, at 46.</w:t>
      </w:r>
    </w:p>
  </w:footnote>
  <w:footnote w:id="94">
    <w:p w:rsidR="006F6102" w:rsidRPr="00DD6EB7" w:rsidP="00DD6EB7" w14:paraId="5A5A5DDD" w14:textId="683D5775">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95">
    <w:p w:rsidR="006F6102" w:rsidRPr="00DD6EB7" w:rsidP="00DD6EB7" w14:paraId="03C8D6FD" w14:textId="54243A74">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Pr>
          <w:rFonts w:cs="Times New Roman"/>
        </w:rPr>
        <w:t>, at 46-47.</w:t>
      </w:r>
    </w:p>
  </w:footnote>
  <w:footnote w:id="96">
    <w:p w:rsidR="006F6102" w:rsidRPr="00DD6EB7" w:rsidP="00DD6EB7" w14:paraId="1F2BE8DC" w14:textId="05DB6A97">
      <w:pPr>
        <w:pStyle w:val="FootnoteText"/>
        <w:spacing w:after="120"/>
        <w:rPr>
          <w:rFonts w:cs="Times New Roman"/>
          <w:i/>
          <w:iCs/>
        </w:rPr>
      </w:pPr>
      <w:r w:rsidRPr="00DD6EB7">
        <w:rPr>
          <w:rStyle w:val="FootnoteReference"/>
          <w:rFonts w:cs="Times New Roman"/>
        </w:rPr>
        <w:footnoteRef/>
      </w:r>
      <w:r w:rsidRPr="00DD6EB7">
        <w:rPr>
          <w:rFonts w:cs="Times New Roman"/>
        </w:rPr>
        <w:t xml:space="preserve"> </w:t>
      </w:r>
      <w:r w:rsidRPr="00DD6EB7">
        <w:rPr>
          <w:rFonts w:cs="Times New Roman"/>
          <w:i/>
          <w:iCs/>
        </w:rPr>
        <w:t>Id.</w:t>
      </w:r>
    </w:p>
  </w:footnote>
  <w:footnote w:id="97">
    <w:p w:rsidR="006F6102" w:rsidRPr="00DD6EB7" w:rsidP="00DD6EB7" w14:paraId="62FD8064" w14:textId="67F356DA">
      <w:pPr>
        <w:pStyle w:val="FootnoteText"/>
        <w:spacing w:after="120"/>
        <w:rPr>
          <w:rFonts w:cs="Times New Roman"/>
        </w:rPr>
      </w:pPr>
      <w:r w:rsidRPr="00DD6EB7">
        <w:rPr>
          <w:rStyle w:val="FootnoteReference"/>
          <w:rFonts w:cs="Times New Roman"/>
        </w:rPr>
        <w:footnoteRef/>
      </w:r>
      <w:r w:rsidRPr="00DD6EB7">
        <w:rPr>
          <w:rFonts w:cs="Times New Roman"/>
        </w:rPr>
        <w:t xml:space="preserve"> </w:t>
      </w:r>
      <w:r w:rsidRPr="00DD6EB7">
        <w:rPr>
          <w:rFonts w:cs="Times New Roman"/>
          <w:i/>
          <w:iCs/>
        </w:rPr>
        <w:t>Id.</w:t>
      </w:r>
      <w:r w:rsidRPr="00DD6EB7">
        <w:rPr>
          <w:rFonts w:cs="Times New Roman"/>
        </w:rPr>
        <w:t>, at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179" w14:paraId="688FBE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179" w14:paraId="2EB62C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179" w14:paraId="607ED04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25628" w:rsidRPr="001447CE" w14:paraId="1222E576" w14:textId="77777777">
    <w:pPr>
      <w:pStyle w:val="Header"/>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8F2CCF"/>
    <w:multiLevelType w:val="hybridMultilevel"/>
    <w:tmpl w:val="0AE68D18"/>
    <w:lvl w:ilvl="0">
      <w:start w:val="1"/>
      <w:numFmt w:val="bullet"/>
      <w:pStyle w:val="A"/>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E60B5A"/>
    <w:multiLevelType w:val="hybridMultilevel"/>
    <w:tmpl w:val="D6645CE2"/>
    <w:lvl w:ilvl="0">
      <w:start w:val="1"/>
      <w:numFmt w:val="upperLetter"/>
      <w:pStyle w:val="Heading2"/>
      <w:lvlText w:val="%1."/>
      <w:lvlJc w:val="left"/>
      <w:pPr>
        <w:ind w:left="1440" w:hanging="360"/>
      </w:pPr>
      <w:rPr>
        <w:rFonts w:hint="default"/>
      </w:rPr>
    </w:lvl>
    <w:lvl w:ilvl="1">
      <w:start w:val="1"/>
      <w:numFmt w:val="decimal"/>
      <w:pStyle w:val="Heading3"/>
      <w:lvlText w:val="%2."/>
      <w:lvlJc w:val="left"/>
      <w:pPr>
        <w:ind w:left="1140" w:hanging="360"/>
      </w:pPr>
    </w:lvl>
    <w:lvl w:ilvl="2">
      <w:start w:val="1"/>
      <w:numFmt w:val="lowerLetter"/>
      <w:pStyle w:val="Heading4"/>
      <w:lvlText w:val="%3."/>
      <w:lvlJc w:val="left"/>
      <w:pPr>
        <w:ind w:left="2040" w:hanging="360"/>
      </w:pPr>
      <w:rPr>
        <w:i w:val="0"/>
        <w:iCs w:val="0"/>
      </w:r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
    <w:nsid w:val="35676873"/>
    <w:multiLevelType w:val="hybridMultilevel"/>
    <w:tmpl w:val="72EC4506"/>
    <w:lvl w:ilvl="0">
      <w:start w:val="1"/>
      <w:numFmt w:val="upperRoman"/>
      <w:lvlText w:val="%1."/>
      <w:lvlJc w:val="left"/>
      <w:pPr>
        <w:ind w:left="1080" w:hanging="72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C24F98"/>
    <w:multiLevelType w:val="hybridMultilevel"/>
    <w:tmpl w:val="19F077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9E0F11"/>
    <w:multiLevelType w:val="hybridMultilevel"/>
    <w:tmpl w:val="91DC2238"/>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452D04CA"/>
    <w:multiLevelType w:val="hybridMultilevel"/>
    <w:tmpl w:val="F782E5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1"/>
    <w:lvlOverride w:ilvl="0">
      <w:startOverride w:val="1"/>
    </w:lvlOverride>
  </w:num>
  <w:num w:numId="6">
    <w:abstractNumId w:val="5"/>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9E7"/>
    <w:rsid w:val="000006FC"/>
    <w:rsid w:val="00000963"/>
    <w:rsid w:val="00001423"/>
    <w:rsid w:val="000019BE"/>
    <w:rsid w:val="00001C3B"/>
    <w:rsid w:val="00001CA6"/>
    <w:rsid w:val="00003AFC"/>
    <w:rsid w:val="00003DD9"/>
    <w:rsid w:val="000047D5"/>
    <w:rsid w:val="00004963"/>
    <w:rsid w:val="00004B0E"/>
    <w:rsid w:val="00005ABB"/>
    <w:rsid w:val="00005F09"/>
    <w:rsid w:val="00007071"/>
    <w:rsid w:val="000121A2"/>
    <w:rsid w:val="00012ACE"/>
    <w:rsid w:val="00012D99"/>
    <w:rsid w:val="00012F33"/>
    <w:rsid w:val="00012F6F"/>
    <w:rsid w:val="00013B01"/>
    <w:rsid w:val="0001471D"/>
    <w:rsid w:val="0001474B"/>
    <w:rsid w:val="00014766"/>
    <w:rsid w:val="000152EB"/>
    <w:rsid w:val="00015CDD"/>
    <w:rsid w:val="00016902"/>
    <w:rsid w:val="00020540"/>
    <w:rsid w:val="0002080C"/>
    <w:rsid w:val="00021447"/>
    <w:rsid w:val="000219E7"/>
    <w:rsid w:val="00021BE4"/>
    <w:rsid w:val="0002283A"/>
    <w:rsid w:val="00022B84"/>
    <w:rsid w:val="00023A1A"/>
    <w:rsid w:val="00023C62"/>
    <w:rsid w:val="00025A7A"/>
    <w:rsid w:val="00026411"/>
    <w:rsid w:val="000264CA"/>
    <w:rsid w:val="00026E63"/>
    <w:rsid w:val="00027947"/>
    <w:rsid w:val="00030A00"/>
    <w:rsid w:val="00031355"/>
    <w:rsid w:val="00031617"/>
    <w:rsid w:val="000325A1"/>
    <w:rsid w:val="000330A2"/>
    <w:rsid w:val="00036422"/>
    <w:rsid w:val="000371F4"/>
    <w:rsid w:val="00037231"/>
    <w:rsid w:val="00037528"/>
    <w:rsid w:val="00037B8E"/>
    <w:rsid w:val="00037C8C"/>
    <w:rsid w:val="0004003A"/>
    <w:rsid w:val="00040D52"/>
    <w:rsid w:val="00042736"/>
    <w:rsid w:val="00042D0D"/>
    <w:rsid w:val="00042D56"/>
    <w:rsid w:val="000430B4"/>
    <w:rsid w:val="000432EF"/>
    <w:rsid w:val="0004392F"/>
    <w:rsid w:val="00043E7C"/>
    <w:rsid w:val="000445CE"/>
    <w:rsid w:val="00045230"/>
    <w:rsid w:val="00045349"/>
    <w:rsid w:val="000457D7"/>
    <w:rsid w:val="00045DE8"/>
    <w:rsid w:val="0004668A"/>
    <w:rsid w:val="000471B1"/>
    <w:rsid w:val="00047ED6"/>
    <w:rsid w:val="00047F0B"/>
    <w:rsid w:val="00050042"/>
    <w:rsid w:val="00050149"/>
    <w:rsid w:val="00050AB3"/>
    <w:rsid w:val="00051415"/>
    <w:rsid w:val="00051DD8"/>
    <w:rsid w:val="00051FA6"/>
    <w:rsid w:val="000521D4"/>
    <w:rsid w:val="00054D96"/>
    <w:rsid w:val="00054E4D"/>
    <w:rsid w:val="00055D01"/>
    <w:rsid w:val="00057522"/>
    <w:rsid w:val="00057C2D"/>
    <w:rsid w:val="0006173F"/>
    <w:rsid w:val="00061B76"/>
    <w:rsid w:val="00061D4C"/>
    <w:rsid w:val="00062158"/>
    <w:rsid w:val="00062F76"/>
    <w:rsid w:val="000631CC"/>
    <w:rsid w:val="000636F7"/>
    <w:rsid w:val="000642FA"/>
    <w:rsid w:val="00064BFC"/>
    <w:rsid w:val="000652FD"/>
    <w:rsid w:val="00065CD0"/>
    <w:rsid w:val="000663D0"/>
    <w:rsid w:val="00066475"/>
    <w:rsid w:val="0006680B"/>
    <w:rsid w:val="0006695F"/>
    <w:rsid w:val="00067A05"/>
    <w:rsid w:val="00067E3F"/>
    <w:rsid w:val="0007002E"/>
    <w:rsid w:val="00070E01"/>
    <w:rsid w:val="00071642"/>
    <w:rsid w:val="00071D93"/>
    <w:rsid w:val="00072777"/>
    <w:rsid w:val="00073278"/>
    <w:rsid w:val="000748BB"/>
    <w:rsid w:val="00074DAE"/>
    <w:rsid w:val="000753E0"/>
    <w:rsid w:val="00075B20"/>
    <w:rsid w:val="00075E14"/>
    <w:rsid w:val="000761BF"/>
    <w:rsid w:val="00076292"/>
    <w:rsid w:val="000765D4"/>
    <w:rsid w:val="00076B5F"/>
    <w:rsid w:val="0007707A"/>
    <w:rsid w:val="00077267"/>
    <w:rsid w:val="0008023B"/>
    <w:rsid w:val="00080364"/>
    <w:rsid w:val="00080B43"/>
    <w:rsid w:val="00080DAC"/>
    <w:rsid w:val="00080E6C"/>
    <w:rsid w:val="00081244"/>
    <w:rsid w:val="00082751"/>
    <w:rsid w:val="00083222"/>
    <w:rsid w:val="00085446"/>
    <w:rsid w:val="000857D7"/>
    <w:rsid w:val="000871A7"/>
    <w:rsid w:val="000878B8"/>
    <w:rsid w:val="00090574"/>
    <w:rsid w:val="00090743"/>
    <w:rsid w:val="00090AB7"/>
    <w:rsid w:val="00091624"/>
    <w:rsid w:val="00091881"/>
    <w:rsid w:val="000928A5"/>
    <w:rsid w:val="00093A00"/>
    <w:rsid w:val="00095C0F"/>
    <w:rsid w:val="00096164"/>
    <w:rsid w:val="00096618"/>
    <w:rsid w:val="00096801"/>
    <w:rsid w:val="00096CEC"/>
    <w:rsid w:val="00097372"/>
    <w:rsid w:val="0009753B"/>
    <w:rsid w:val="00097567"/>
    <w:rsid w:val="000975E5"/>
    <w:rsid w:val="000A019E"/>
    <w:rsid w:val="000A09C9"/>
    <w:rsid w:val="000A17EF"/>
    <w:rsid w:val="000A1E78"/>
    <w:rsid w:val="000A43B8"/>
    <w:rsid w:val="000A5E5A"/>
    <w:rsid w:val="000A6792"/>
    <w:rsid w:val="000A68CD"/>
    <w:rsid w:val="000A6A1E"/>
    <w:rsid w:val="000A720F"/>
    <w:rsid w:val="000A7567"/>
    <w:rsid w:val="000B0C77"/>
    <w:rsid w:val="000B0EB6"/>
    <w:rsid w:val="000B1109"/>
    <w:rsid w:val="000B155E"/>
    <w:rsid w:val="000B1563"/>
    <w:rsid w:val="000B1C77"/>
    <w:rsid w:val="000B1CE2"/>
    <w:rsid w:val="000B25B5"/>
    <w:rsid w:val="000B2BE4"/>
    <w:rsid w:val="000B2C7D"/>
    <w:rsid w:val="000B37D9"/>
    <w:rsid w:val="000B5131"/>
    <w:rsid w:val="000B5EF6"/>
    <w:rsid w:val="000B689B"/>
    <w:rsid w:val="000B71A3"/>
    <w:rsid w:val="000B7377"/>
    <w:rsid w:val="000B7A1C"/>
    <w:rsid w:val="000C04F6"/>
    <w:rsid w:val="000C2C4F"/>
    <w:rsid w:val="000C2DDF"/>
    <w:rsid w:val="000C3F4F"/>
    <w:rsid w:val="000C40E3"/>
    <w:rsid w:val="000C4373"/>
    <w:rsid w:val="000C4D79"/>
    <w:rsid w:val="000C5554"/>
    <w:rsid w:val="000C634B"/>
    <w:rsid w:val="000C6E28"/>
    <w:rsid w:val="000C6F6A"/>
    <w:rsid w:val="000C6F76"/>
    <w:rsid w:val="000C75A6"/>
    <w:rsid w:val="000C75D2"/>
    <w:rsid w:val="000C796D"/>
    <w:rsid w:val="000D019F"/>
    <w:rsid w:val="000D0DBF"/>
    <w:rsid w:val="000D0EA1"/>
    <w:rsid w:val="000D12BF"/>
    <w:rsid w:val="000D1F48"/>
    <w:rsid w:val="000D212E"/>
    <w:rsid w:val="000D21FA"/>
    <w:rsid w:val="000D2721"/>
    <w:rsid w:val="000D3E2B"/>
    <w:rsid w:val="000D428F"/>
    <w:rsid w:val="000D42A7"/>
    <w:rsid w:val="000D46BA"/>
    <w:rsid w:val="000D4C27"/>
    <w:rsid w:val="000D5188"/>
    <w:rsid w:val="000D54A7"/>
    <w:rsid w:val="000D7650"/>
    <w:rsid w:val="000D7773"/>
    <w:rsid w:val="000D77FE"/>
    <w:rsid w:val="000D7B5E"/>
    <w:rsid w:val="000E0934"/>
    <w:rsid w:val="000E249D"/>
    <w:rsid w:val="000E24D9"/>
    <w:rsid w:val="000E34D6"/>
    <w:rsid w:val="000E3516"/>
    <w:rsid w:val="000E3BA4"/>
    <w:rsid w:val="000E526C"/>
    <w:rsid w:val="000E55AC"/>
    <w:rsid w:val="000E5FD3"/>
    <w:rsid w:val="000E6609"/>
    <w:rsid w:val="000E6CCC"/>
    <w:rsid w:val="000E764D"/>
    <w:rsid w:val="000E7871"/>
    <w:rsid w:val="000E7B6B"/>
    <w:rsid w:val="000F00AF"/>
    <w:rsid w:val="000F063D"/>
    <w:rsid w:val="000F0BA2"/>
    <w:rsid w:val="000F1277"/>
    <w:rsid w:val="000F1F9F"/>
    <w:rsid w:val="000F271E"/>
    <w:rsid w:val="000F29D2"/>
    <w:rsid w:val="000F32D2"/>
    <w:rsid w:val="000F3952"/>
    <w:rsid w:val="000F49C0"/>
    <w:rsid w:val="000F49E0"/>
    <w:rsid w:val="000F4A87"/>
    <w:rsid w:val="000F569D"/>
    <w:rsid w:val="000F6B44"/>
    <w:rsid w:val="000F6B52"/>
    <w:rsid w:val="000F720A"/>
    <w:rsid w:val="000F7747"/>
    <w:rsid w:val="0010051A"/>
    <w:rsid w:val="00100A65"/>
    <w:rsid w:val="00100BB8"/>
    <w:rsid w:val="00100BBA"/>
    <w:rsid w:val="00101AE1"/>
    <w:rsid w:val="00101F12"/>
    <w:rsid w:val="00102798"/>
    <w:rsid w:val="00102BE2"/>
    <w:rsid w:val="001037A5"/>
    <w:rsid w:val="00104482"/>
    <w:rsid w:val="001046A1"/>
    <w:rsid w:val="0010471C"/>
    <w:rsid w:val="00105772"/>
    <w:rsid w:val="00107679"/>
    <w:rsid w:val="001076F6"/>
    <w:rsid w:val="0010781E"/>
    <w:rsid w:val="0011096F"/>
    <w:rsid w:val="00110B8C"/>
    <w:rsid w:val="00110F91"/>
    <w:rsid w:val="00111051"/>
    <w:rsid w:val="0011111D"/>
    <w:rsid w:val="00112BA3"/>
    <w:rsid w:val="00113043"/>
    <w:rsid w:val="00113C37"/>
    <w:rsid w:val="00113DBE"/>
    <w:rsid w:val="001149EC"/>
    <w:rsid w:val="00114D79"/>
    <w:rsid w:val="00117672"/>
    <w:rsid w:val="001206F2"/>
    <w:rsid w:val="00120C78"/>
    <w:rsid w:val="001214D7"/>
    <w:rsid w:val="00121690"/>
    <w:rsid w:val="00121A08"/>
    <w:rsid w:val="0012218C"/>
    <w:rsid w:val="00122258"/>
    <w:rsid w:val="00122770"/>
    <w:rsid w:val="00124200"/>
    <w:rsid w:val="00124C5E"/>
    <w:rsid w:val="00124CCE"/>
    <w:rsid w:val="00124E0A"/>
    <w:rsid w:val="00125201"/>
    <w:rsid w:val="001256DE"/>
    <w:rsid w:val="001257D5"/>
    <w:rsid w:val="001268D8"/>
    <w:rsid w:val="00127084"/>
    <w:rsid w:val="00130D12"/>
    <w:rsid w:val="00130F9D"/>
    <w:rsid w:val="00133436"/>
    <w:rsid w:val="001339A1"/>
    <w:rsid w:val="00133DD0"/>
    <w:rsid w:val="00134848"/>
    <w:rsid w:val="00134FF6"/>
    <w:rsid w:val="001359A3"/>
    <w:rsid w:val="00135CC8"/>
    <w:rsid w:val="001365C2"/>
    <w:rsid w:val="00137983"/>
    <w:rsid w:val="001402D7"/>
    <w:rsid w:val="00140C28"/>
    <w:rsid w:val="00140C79"/>
    <w:rsid w:val="00140F11"/>
    <w:rsid w:val="00141B65"/>
    <w:rsid w:val="00141F92"/>
    <w:rsid w:val="001424D7"/>
    <w:rsid w:val="00142513"/>
    <w:rsid w:val="00142915"/>
    <w:rsid w:val="00143E8B"/>
    <w:rsid w:val="00143ED2"/>
    <w:rsid w:val="00143FA3"/>
    <w:rsid w:val="001447CE"/>
    <w:rsid w:val="00144E29"/>
    <w:rsid w:val="0014502D"/>
    <w:rsid w:val="0014508F"/>
    <w:rsid w:val="00145317"/>
    <w:rsid w:val="00145DB4"/>
    <w:rsid w:val="001468E4"/>
    <w:rsid w:val="00146E04"/>
    <w:rsid w:val="001478AA"/>
    <w:rsid w:val="00147A97"/>
    <w:rsid w:val="00147BF5"/>
    <w:rsid w:val="001505BC"/>
    <w:rsid w:val="001507B8"/>
    <w:rsid w:val="00150A78"/>
    <w:rsid w:val="0015116A"/>
    <w:rsid w:val="00151237"/>
    <w:rsid w:val="00151584"/>
    <w:rsid w:val="00151E75"/>
    <w:rsid w:val="001528E4"/>
    <w:rsid w:val="001534BC"/>
    <w:rsid w:val="00153BC7"/>
    <w:rsid w:val="00155335"/>
    <w:rsid w:val="001553E5"/>
    <w:rsid w:val="00155955"/>
    <w:rsid w:val="001566E4"/>
    <w:rsid w:val="00157148"/>
    <w:rsid w:val="001579A7"/>
    <w:rsid w:val="00157A61"/>
    <w:rsid w:val="00157AB4"/>
    <w:rsid w:val="00157FFE"/>
    <w:rsid w:val="00160076"/>
    <w:rsid w:val="00160A49"/>
    <w:rsid w:val="001613A5"/>
    <w:rsid w:val="00161BB5"/>
    <w:rsid w:val="0016236F"/>
    <w:rsid w:val="00162471"/>
    <w:rsid w:val="001624EB"/>
    <w:rsid w:val="001633CE"/>
    <w:rsid w:val="00163BCB"/>
    <w:rsid w:val="001640DD"/>
    <w:rsid w:val="00164118"/>
    <w:rsid w:val="0016506F"/>
    <w:rsid w:val="00165830"/>
    <w:rsid w:val="00165C9B"/>
    <w:rsid w:val="0016642E"/>
    <w:rsid w:val="00166659"/>
    <w:rsid w:val="001666E4"/>
    <w:rsid w:val="00167118"/>
    <w:rsid w:val="00167404"/>
    <w:rsid w:val="0017104C"/>
    <w:rsid w:val="00171469"/>
    <w:rsid w:val="00171566"/>
    <w:rsid w:val="00171C10"/>
    <w:rsid w:val="001735E7"/>
    <w:rsid w:val="00173CC5"/>
    <w:rsid w:val="001749B4"/>
    <w:rsid w:val="001757CD"/>
    <w:rsid w:val="0017700D"/>
    <w:rsid w:val="001778E8"/>
    <w:rsid w:val="001779BC"/>
    <w:rsid w:val="00177E94"/>
    <w:rsid w:val="0018083E"/>
    <w:rsid w:val="00180C03"/>
    <w:rsid w:val="0018139B"/>
    <w:rsid w:val="00181B49"/>
    <w:rsid w:val="00182002"/>
    <w:rsid w:val="00183033"/>
    <w:rsid w:val="00183C74"/>
    <w:rsid w:val="001842AC"/>
    <w:rsid w:val="00185718"/>
    <w:rsid w:val="00185D37"/>
    <w:rsid w:val="00185E07"/>
    <w:rsid w:val="00186781"/>
    <w:rsid w:val="001879A9"/>
    <w:rsid w:val="00187BA2"/>
    <w:rsid w:val="00190822"/>
    <w:rsid w:val="00190BA4"/>
    <w:rsid w:val="00191551"/>
    <w:rsid w:val="0019165B"/>
    <w:rsid w:val="001917B7"/>
    <w:rsid w:val="00191938"/>
    <w:rsid w:val="0019337D"/>
    <w:rsid w:val="00193EBE"/>
    <w:rsid w:val="00194534"/>
    <w:rsid w:val="00194541"/>
    <w:rsid w:val="001945FF"/>
    <w:rsid w:val="00194DBE"/>
    <w:rsid w:val="00194E0A"/>
    <w:rsid w:val="00195453"/>
    <w:rsid w:val="00195F53"/>
    <w:rsid w:val="001964B0"/>
    <w:rsid w:val="0019662A"/>
    <w:rsid w:val="001966DC"/>
    <w:rsid w:val="00196B58"/>
    <w:rsid w:val="00197570"/>
    <w:rsid w:val="001A05D0"/>
    <w:rsid w:val="001A07CD"/>
    <w:rsid w:val="001A081C"/>
    <w:rsid w:val="001A085A"/>
    <w:rsid w:val="001A0991"/>
    <w:rsid w:val="001A0E22"/>
    <w:rsid w:val="001A148A"/>
    <w:rsid w:val="001A1547"/>
    <w:rsid w:val="001A21BB"/>
    <w:rsid w:val="001A23C2"/>
    <w:rsid w:val="001A378E"/>
    <w:rsid w:val="001A41BE"/>
    <w:rsid w:val="001A5117"/>
    <w:rsid w:val="001A51B6"/>
    <w:rsid w:val="001A5519"/>
    <w:rsid w:val="001A60EC"/>
    <w:rsid w:val="001A679E"/>
    <w:rsid w:val="001A68C5"/>
    <w:rsid w:val="001A702E"/>
    <w:rsid w:val="001A7345"/>
    <w:rsid w:val="001A740C"/>
    <w:rsid w:val="001B0141"/>
    <w:rsid w:val="001B2F39"/>
    <w:rsid w:val="001B3BF6"/>
    <w:rsid w:val="001B446C"/>
    <w:rsid w:val="001B46A6"/>
    <w:rsid w:val="001B520B"/>
    <w:rsid w:val="001B56C1"/>
    <w:rsid w:val="001B5E63"/>
    <w:rsid w:val="001B7781"/>
    <w:rsid w:val="001B788F"/>
    <w:rsid w:val="001C06C5"/>
    <w:rsid w:val="001C1459"/>
    <w:rsid w:val="001C1A21"/>
    <w:rsid w:val="001C1E4E"/>
    <w:rsid w:val="001C275D"/>
    <w:rsid w:val="001C2934"/>
    <w:rsid w:val="001C2981"/>
    <w:rsid w:val="001C3120"/>
    <w:rsid w:val="001C4907"/>
    <w:rsid w:val="001C4F25"/>
    <w:rsid w:val="001C5791"/>
    <w:rsid w:val="001C58FD"/>
    <w:rsid w:val="001C68A7"/>
    <w:rsid w:val="001C69C8"/>
    <w:rsid w:val="001C7B17"/>
    <w:rsid w:val="001D0952"/>
    <w:rsid w:val="001D17F7"/>
    <w:rsid w:val="001D19BA"/>
    <w:rsid w:val="001D3650"/>
    <w:rsid w:val="001D36A6"/>
    <w:rsid w:val="001D38D6"/>
    <w:rsid w:val="001D397D"/>
    <w:rsid w:val="001D3A3C"/>
    <w:rsid w:val="001D3F92"/>
    <w:rsid w:val="001D4E8F"/>
    <w:rsid w:val="001D5BE2"/>
    <w:rsid w:val="001D5DAE"/>
    <w:rsid w:val="001D627B"/>
    <w:rsid w:val="001D669A"/>
    <w:rsid w:val="001E031C"/>
    <w:rsid w:val="001E095D"/>
    <w:rsid w:val="001E13B5"/>
    <w:rsid w:val="001E21AA"/>
    <w:rsid w:val="001E22C9"/>
    <w:rsid w:val="001E2363"/>
    <w:rsid w:val="001E2BFB"/>
    <w:rsid w:val="001E304A"/>
    <w:rsid w:val="001E3458"/>
    <w:rsid w:val="001E345C"/>
    <w:rsid w:val="001E355F"/>
    <w:rsid w:val="001E3889"/>
    <w:rsid w:val="001E3C19"/>
    <w:rsid w:val="001E3E3B"/>
    <w:rsid w:val="001E42B7"/>
    <w:rsid w:val="001E5DEC"/>
    <w:rsid w:val="001E5E5B"/>
    <w:rsid w:val="001E6251"/>
    <w:rsid w:val="001E647F"/>
    <w:rsid w:val="001E6618"/>
    <w:rsid w:val="001E6639"/>
    <w:rsid w:val="001E6869"/>
    <w:rsid w:val="001E7ECE"/>
    <w:rsid w:val="001F0089"/>
    <w:rsid w:val="001F086C"/>
    <w:rsid w:val="001F1D8E"/>
    <w:rsid w:val="001F20DC"/>
    <w:rsid w:val="001F276A"/>
    <w:rsid w:val="001F2920"/>
    <w:rsid w:val="001F2ED9"/>
    <w:rsid w:val="001F358D"/>
    <w:rsid w:val="001F550B"/>
    <w:rsid w:val="001F5C96"/>
    <w:rsid w:val="001F5D9D"/>
    <w:rsid w:val="001F647E"/>
    <w:rsid w:val="001F65D0"/>
    <w:rsid w:val="001F68DD"/>
    <w:rsid w:val="001F6F18"/>
    <w:rsid w:val="001F7396"/>
    <w:rsid w:val="001F7523"/>
    <w:rsid w:val="002000F8"/>
    <w:rsid w:val="002009ED"/>
    <w:rsid w:val="0020141A"/>
    <w:rsid w:val="00203655"/>
    <w:rsid w:val="00203DBF"/>
    <w:rsid w:val="002046CD"/>
    <w:rsid w:val="00205491"/>
    <w:rsid w:val="0020574A"/>
    <w:rsid w:val="00205C08"/>
    <w:rsid w:val="002062C6"/>
    <w:rsid w:val="00206C46"/>
    <w:rsid w:val="00207445"/>
    <w:rsid w:val="00207DDC"/>
    <w:rsid w:val="00210DF5"/>
    <w:rsid w:val="00210ED9"/>
    <w:rsid w:val="00211C7D"/>
    <w:rsid w:val="0021282F"/>
    <w:rsid w:val="00212DE9"/>
    <w:rsid w:val="002131CE"/>
    <w:rsid w:val="0021377F"/>
    <w:rsid w:val="002138B6"/>
    <w:rsid w:val="00214C2C"/>
    <w:rsid w:val="00214C89"/>
    <w:rsid w:val="0021671F"/>
    <w:rsid w:val="00217440"/>
    <w:rsid w:val="0022046E"/>
    <w:rsid w:val="00220B63"/>
    <w:rsid w:val="00221A46"/>
    <w:rsid w:val="0022218F"/>
    <w:rsid w:val="00222AA6"/>
    <w:rsid w:val="00222B88"/>
    <w:rsid w:val="00223106"/>
    <w:rsid w:val="002255AC"/>
    <w:rsid w:val="00225C0E"/>
    <w:rsid w:val="00226646"/>
    <w:rsid w:val="00231629"/>
    <w:rsid w:val="00231B89"/>
    <w:rsid w:val="002320E9"/>
    <w:rsid w:val="002334D1"/>
    <w:rsid w:val="00233881"/>
    <w:rsid w:val="00233EE6"/>
    <w:rsid w:val="002342A4"/>
    <w:rsid w:val="002342E3"/>
    <w:rsid w:val="00234425"/>
    <w:rsid w:val="00235148"/>
    <w:rsid w:val="00235737"/>
    <w:rsid w:val="002364E3"/>
    <w:rsid w:val="00236980"/>
    <w:rsid w:val="00236F67"/>
    <w:rsid w:val="002370FE"/>
    <w:rsid w:val="00237226"/>
    <w:rsid w:val="0023772C"/>
    <w:rsid w:val="00240000"/>
    <w:rsid w:val="00240343"/>
    <w:rsid w:val="0024177B"/>
    <w:rsid w:val="00241B2C"/>
    <w:rsid w:val="0024266B"/>
    <w:rsid w:val="00242B41"/>
    <w:rsid w:val="002430E7"/>
    <w:rsid w:val="002434EE"/>
    <w:rsid w:val="0024403D"/>
    <w:rsid w:val="0024515D"/>
    <w:rsid w:val="00245242"/>
    <w:rsid w:val="00245FA7"/>
    <w:rsid w:val="00246C51"/>
    <w:rsid w:val="00246E07"/>
    <w:rsid w:val="0024716C"/>
    <w:rsid w:val="00247865"/>
    <w:rsid w:val="00251EA0"/>
    <w:rsid w:val="0025230D"/>
    <w:rsid w:val="0025245F"/>
    <w:rsid w:val="00252CA3"/>
    <w:rsid w:val="00252E23"/>
    <w:rsid w:val="00252EB6"/>
    <w:rsid w:val="002538BE"/>
    <w:rsid w:val="00253A09"/>
    <w:rsid w:val="00253AE8"/>
    <w:rsid w:val="00253B6C"/>
    <w:rsid w:val="00253FB2"/>
    <w:rsid w:val="002540B5"/>
    <w:rsid w:val="00254850"/>
    <w:rsid w:val="00254F37"/>
    <w:rsid w:val="002570CE"/>
    <w:rsid w:val="00257C94"/>
    <w:rsid w:val="00257D1A"/>
    <w:rsid w:val="00260294"/>
    <w:rsid w:val="00261DF9"/>
    <w:rsid w:val="002621A6"/>
    <w:rsid w:val="002630D2"/>
    <w:rsid w:val="002636B9"/>
    <w:rsid w:val="0026397B"/>
    <w:rsid w:val="00263EED"/>
    <w:rsid w:val="0026424A"/>
    <w:rsid w:val="00265264"/>
    <w:rsid w:val="00265296"/>
    <w:rsid w:val="00265611"/>
    <w:rsid w:val="00265B30"/>
    <w:rsid w:val="00265D07"/>
    <w:rsid w:val="002662A3"/>
    <w:rsid w:val="002667A9"/>
    <w:rsid w:val="0026705F"/>
    <w:rsid w:val="0026754E"/>
    <w:rsid w:val="00267CBB"/>
    <w:rsid w:val="00267E8E"/>
    <w:rsid w:val="002700EC"/>
    <w:rsid w:val="00270E8F"/>
    <w:rsid w:val="002724D6"/>
    <w:rsid w:val="00272849"/>
    <w:rsid w:val="00272CB5"/>
    <w:rsid w:val="00273251"/>
    <w:rsid w:val="00274275"/>
    <w:rsid w:val="002753AC"/>
    <w:rsid w:val="00276163"/>
    <w:rsid w:val="0027632E"/>
    <w:rsid w:val="00277547"/>
    <w:rsid w:val="0027780C"/>
    <w:rsid w:val="00280813"/>
    <w:rsid w:val="00281DFE"/>
    <w:rsid w:val="00282964"/>
    <w:rsid w:val="00282C94"/>
    <w:rsid w:val="00283B51"/>
    <w:rsid w:val="00283ECF"/>
    <w:rsid w:val="00283ED4"/>
    <w:rsid w:val="00283F0E"/>
    <w:rsid w:val="0028431C"/>
    <w:rsid w:val="00284FF1"/>
    <w:rsid w:val="002850B5"/>
    <w:rsid w:val="00285D36"/>
    <w:rsid w:val="00285F93"/>
    <w:rsid w:val="00290371"/>
    <w:rsid w:val="00290672"/>
    <w:rsid w:val="002925A6"/>
    <w:rsid w:val="00292797"/>
    <w:rsid w:val="00292AAA"/>
    <w:rsid w:val="00293DE5"/>
    <w:rsid w:val="002940E5"/>
    <w:rsid w:val="002941AA"/>
    <w:rsid w:val="00295050"/>
    <w:rsid w:val="00295385"/>
    <w:rsid w:val="00295985"/>
    <w:rsid w:val="00295E5C"/>
    <w:rsid w:val="00296539"/>
    <w:rsid w:val="002968CC"/>
    <w:rsid w:val="002A0712"/>
    <w:rsid w:val="002A0AE7"/>
    <w:rsid w:val="002A19C7"/>
    <w:rsid w:val="002A1BB2"/>
    <w:rsid w:val="002A341E"/>
    <w:rsid w:val="002A5050"/>
    <w:rsid w:val="002A51CD"/>
    <w:rsid w:val="002A55F4"/>
    <w:rsid w:val="002A5663"/>
    <w:rsid w:val="002A579C"/>
    <w:rsid w:val="002A611F"/>
    <w:rsid w:val="002A6D22"/>
    <w:rsid w:val="002A6F20"/>
    <w:rsid w:val="002A79DE"/>
    <w:rsid w:val="002B1CAE"/>
    <w:rsid w:val="002B2A0A"/>
    <w:rsid w:val="002B4BA1"/>
    <w:rsid w:val="002B515F"/>
    <w:rsid w:val="002B61EE"/>
    <w:rsid w:val="002B7ABA"/>
    <w:rsid w:val="002B7EE8"/>
    <w:rsid w:val="002C03C6"/>
    <w:rsid w:val="002C16A7"/>
    <w:rsid w:val="002C275E"/>
    <w:rsid w:val="002C2D26"/>
    <w:rsid w:val="002C30A3"/>
    <w:rsid w:val="002C3B84"/>
    <w:rsid w:val="002C4B82"/>
    <w:rsid w:val="002C4BED"/>
    <w:rsid w:val="002C4FDC"/>
    <w:rsid w:val="002C5529"/>
    <w:rsid w:val="002C690F"/>
    <w:rsid w:val="002C7E4D"/>
    <w:rsid w:val="002D0229"/>
    <w:rsid w:val="002D03D7"/>
    <w:rsid w:val="002D0CFD"/>
    <w:rsid w:val="002D1245"/>
    <w:rsid w:val="002D1FC4"/>
    <w:rsid w:val="002D2BC5"/>
    <w:rsid w:val="002D2D99"/>
    <w:rsid w:val="002D3170"/>
    <w:rsid w:val="002D3C20"/>
    <w:rsid w:val="002D3DAB"/>
    <w:rsid w:val="002D3E82"/>
    <w:rsid w:val="002D3ED8"/>
    <w:rsid w:val="002D4084"/>
    <w:rsid w:val="002D4826"/>
    <w:rsid w:val="002D4852"/>
    <w:rsid w:val="002D4D30"/>
    <w:rsid w:val="002D608D"/>
    <w:rsid w:val="002D6528"/>
    <w:rsid w:val="002D6E25"/>
    <w:rsid w:val="002E0B9C"/>
    <w:rsid w:val="002E1666"/>
    <w:rsid w:val="002E1A83"/>
    <w:rsid w:val="002E1E80"/>
    <w:rsid w:val="002E207B"/>
    <w:rsid w:val="002E2DC6"/>
    <w:rsid w:val="002E3327"/>
    <w:rsid w:val="002E3B94"/>
    <w:rsid w:val="002E433A"/>
    <w:rsid w:val="002E456A"/>
    <w:rsid w:val="002E5BC5"/>
    <w:rsid w:val="002E5D67"/>
    <w:rsid w:val="002E6582"/>
    <w:rsid w:val="002E676D"/>
    <w:rsid w:val="002E6B5D"/>
    <w:rsid w:val="002E6BFB"/>
    <w:rsid w:val="002E7A56"/>
    <w:rsid w:val="002F05D8"/>
    <w:rsid w:val="002F098D"/>
    <w:rsid w:val="002F1017"/>
    <w:rsid w:val="002F1603"/>
    <w:rsid w:val="002F1C20"/>
    <w:rsid w:val="002F2289"/>
    <w:rsid w:val="002F25B8"/>
    <w:rsid w:val="002F39AE"/>
    <w:rsid w:val="002F4088"/>
    <w:rsid w:val="002F45C9"/>
    <w:rsid w:val="002F48C5"/>
    <w:rsid w:val="002F54E1"/>
    <w:rsid w:val="002F59B8"/>
    <w:rsid w:val="002F63D7"/>
    <w:rsid w:val="002F674D"/>
    <w:rsid w:val="002F67A5"/>
    <w:rsid w:val="002F76F3"/>
    <w:rsid w:val="002F798B"/>
    <w:rsid w:val="0030025D"/>
    <w:rsid w:val="00300828"/>
    <w:rsid w:val="0030098C"/>
    <w:rsid w:val="00300EE4"/>
    <w:rsid w:val="00301BF2"/>
    <w:rsid w:val="003023F4"/>
    <w:rsid w:val="00302987"/>
    <w:rsid w:val="00302E65"/>
    <w:rsid w:val="0030311C"/>
    <w:rsid w:val="00303A2E"/>
    <w:rsid w:val="00305422"/>
    <w:rsid w:val="00306245"/>
    <w:rsid w:val="003063C0"/>
    <w:rsid w:val="00306B09"/>
    <w:rsid w:val="00307506"/>
    <w:rsid w:val="00311053"/>
    <w:rsid w:val="003128F3"/>
    <w:rsid w:val="00313618"/>
    <w:rsid w:val="00314351"/>
    <w:rsid w:val="00315327"/>
    <w:rsid w:val="00315A65"/>
    <w:rsid w:val="00316B75"/>
    <w:rsid w:val="00317011"/>
    <w:rsid w:val="00317268"/>
    <w:rsid w:val="00317B2C"/>
    <w:rsid w:val="00317BBF"/>
    <w:rsid w:val="00317FAC"/>
    <w:rsid w:val="00317FD5"/>
    <w:rsid w:val="00317FFD"/>
    <w:rsid w:val="003207DB"/>
    <w:rsid w:val="00320D85"/>
    <w:rsid w:val="00321376"/>
    <w:rsid w:val="00321D68"/>
    <w:rsid w:val="00322926"/>
    <w:rsid w:val="00322DAE"/>
    <w:rsid w:val="003234FA"/>
    <w:rsid w:val="003243D8"/>
    <w:rsid w:val="00324575"/>
    <w:rsid w:val="003245F9"/>
    <w:rsid w:val="0032519F"/>
    <w:rsid w:val="00325702"/>
    <w:rsid w:val="00326250"/>
    <w:rsid w:val="003264CA"/>
    <w:rsid w:val="0032699F"/>
    <w:rsid w:val="0033077A"/>
    <w:rsid w:val="00330CD4"/>
    <w:rsid w:val="003315C1"/>
    <w:rsid w:val="0033184D"/>
    <w:rsid w:val="0033262A"/>
    <w:rsid w:val="00332B7F"/>
    <w:rsid w:val="00332FF5"/>
    <w:rsid w:val="0033332D"/>
    <w:rsid w:val="003346DE"/>
    <w:rsid w:val="0033573B"/>
    <w:rsid w:val="0033577F"/>
    <w:rsid w:val="00335A8B"/>
    <w:rsid w:val="00336C4C"/>
    <w:rsid w:val="003400D5"/>
    <w:rsid w:val="00340137"/>
    <w:rsid w:val="003407B9"/>
    <w:rsid w:val="003416FB"/>
    <w:rsid w:val="00341899"/>
    <w:rsid w:val="00341A97"/>
    <w:rsid w:val="00342B11"/>
    <w:rsid w:val="00344183"/>
    <w:rsid w:val="003443AF"/>
    <w:rsid w:val="003450D0"/>
    <w:rsid w:val="00345C5B"/>
    <w:rsid w:val="00345CAE"/>
    <w:rsid w:val="00345FC8"/>
    <w:rsid w:val="0034620D"/>
    <w:rsid w:val="003465C3"/>
    <w:rsid w:val="00346804"/>
    <w:rsid w:val="00350135"/>
    <w:rsid w:val="00350743"/>
    <w:rsid w:val="0035163A"/>
    <w:rsid w:val="003517A5"/>
    <w:rsid w:val="00351B99"/>
    <w:rsid w:val="00351BD7"/>
    <w:rsid w:val="00352B43"/>
    <w:rsid w:val="00353767"/>
    <w:rsid w:val="00353A49"/>
    <w:rsid w:val="00354FF3"/>
    <w:rsid w:val="00356058"/>
    <w:rsid w:val="0035679E"/>
    <w:rsid w:val="00357498"/>
    <w:rsid w:val="00357628"/>
    <w:rsid w:val="00361F9F"/>
    <w:rsid w:val="00362353"/>
    <w:rsid w:val="00362731"/>
    <w:rsid w:val="00362921"/>
    <w:rsid w:val="00362973"/>
    <w:rsid w:val="00362D7E"/>
    <w:rsid w:val="00362E70"/>
    <w:rsid w:val="00362FCA"/>
    <w:rsid w:val="00363AF6"/>
    <w:rsid w:val="00363B93"/>
    <w:rsid w:val="003650E2"/>
    <w:rsid w:val="003654BA"/>
    <w:rsid w:val="00365A9E"/>
    <w:rsid w:val="0036662C"/>
    <w:rsid w:val="00366DA1"/>
    <w:rsid w:val="00367485"/>
    <w:rsid w:val="00367983"/>
    <w:rsid w:val="003703DC"/>
    <w:rsid w:val="00372AF7"/>
    <w:rsid w:val="00372E48"/>
    <w:rsid w:val="003731BE"/>
    <w:rsid w:val="00374075"/>
    <w:rsid w:val="00374350"/>
    <w:rsid w:val="00374B53"/>
    <w:rsid w:val="00374F99"/>
    <w:rsid w:val="00375729"/>
    <w:rsid w:val="0037711F"/>
    <w:rsid w:val="00380013"/>
    <w:rsid w:val="0038055B"/>
    <w:rsid w:val="0038284E"/>
    <w:rsid w:val="00383143"/>
    <w:rsid w:val="00383AD2"/>
    <w:rsid w:val="00383E54"/>
    <w:rsid w:val="0038484C"/>
    <w:rsid w:val="00384EFA"/>
    <w:rsid w:val="00385EA0"/>
    <w:rsid w:val="003865C4"/>
    <w:rsid w:val="00386628"/>
    <w:rsid w:val="00386677"/>
    <w:rsid w:val="00386F63"/>
    <w:rsid w:val="0038722F"/>
    <w:rsid w:val="00387C4F"/>
    <w:rsid w:val="0039049E"/>
    <w:rsid w:val="00391505"/>
    <w:rsid w:val="0039293D"/>
    <w:rsid w:val="00392C26"/>
    <w:rsid w:val="00392CCD"/>
    <w:rsid w:val="003946BD"/>
    <w:rsid w:val="00395802"/>
    <w:rsid w:val="00396B78"/>
    <w:rsid w:val="00396C98"/>
    <w:rsid w:val="00396F87"/>
    <w:rsid w:val="003A0469"/>
    <w:rsid w:val="003A06AF"/>
    <w:rsid w:val="003A0B60"/>
    <w:rsid w:val="003A1436"/>
    <w:rsid w:val="003A2093"/>
    <w:rsid w:val="003A3141"/>
    <w:rsid w:val="003A339D"/>
    <w:rsid w:val="003A55C5"/>
    <w:rsid w:val="003A5916"/>
    <w:rsid w:val="003A70C5"/>
    <w:rsid w:val="003A748B"/>
    <w:rsid w:val="003A7845"/>
    <w:rsid w:val="003B10D9"/>
    <w:rsid w:val="003B1535"/>
    <w:rsid w:val="003B1BE0"/>
    <w:rsid w:val="003B2270"/>
    <w:rsid w:val="003B245D"/>
    <w:rsid w:val="003B3773"/>
    <w:rsid w:val="003B387E"/>
    <w:rsid w:val="003B3BCE"/>
    <w:rsid w:val="003B41B5"/>
    <w:rsid w:val="003B58A9"/>
    <w:rsid w:val="003B5930"/>
    <w:rsid w:val="003C0070"/>
    <w:rsid w:val="003C0DB7"/>
    <w:rsid w:val="003C153F"/>
    <w:rsid w:val="003C24AB"/>
    <w:rsid w:val="003C30E3"/>
    <w:rsid w:val="003C3317"/>
    <w:rsid w:val="003C3419"/>
    <w:rsid w:val="003C46E3"/>
    <w:rsid w:val="003C4C5D"/>
    <w:rsid w:val="003C58F0"/>
    <w:rsid w:val="003C5DB8"/>
    <w:rsid w:val="003C6234"/>
    <w:rsid w:val="003C652F"/>
    <w:rsid w:val="003C75EF"/>
    <w:rsid w:val="003C763E"/>
    <w:rsid w:val="003C79EB"/>
    <w:rsid w:val="003C7E2C"/>
    <w:rsid w:val="003D0AB1"/>
    <w:rsid w:val="003D0B04"/>
    <w:rsid w:val="003D0C67"/>
    <w:rsid w:val="003D1D62"/>
    <w:rsid w:val="003D21F9"/>
    <w:rsid w:val="003D256C"/>
    <w:rsid w:val="003D2610"/>
    <w:rsid w:val="003D27BF"/>
    <w:rsid w:val="003D2DC3"/>
    <w:rsid w:val="003D30DA"/>
    <w:rsid w:val="003D3114"/>
    <w:rsid w:val="003D44AA"/>
    <w:rsid w:val="003D453A"/>
    <w:rsid w:val="003D45BE"/>
    <w:rsid w:val="003D523B"/>
    <w:rsid w:val="003D5FCB"/>
    <w:rsid w:val="003D681A"/>
    <w:rsid w:val="003D7390"/>
    <w:rsid w:val="003D7B67"/>
    <w:rsid w:val="003D7BE4"/>
    <w:rsid w:val="003D7E16"/>
    <w:rsid w:val="003E004A"/>
    <w:rsid w:val="003E03D6"/>
    <w:rsid w:val="003E0D2A"/>
    <w:rsid w:val="003E171F"/>
    <w:rsid w:val="003E1B60"/>
    <w:rsid w:val="003E22C0"/>
    <w:rsid w:val="003E2861"/>
    <w:rsid w:val="003E3408"/>
    <w:rsid w:val="003E4ADF"/>
    <w:rsid w:val="003E4C41"/>
    <w:rsid w:val="003E52AC"/>
    <w:rsid w:val="003E5579"/>
    <w:rsid w:val="003E577E"/>
    <w:rsid w:val="003E58F3"/>
    <w:rsid w:val="003E6B9B"/>
    <w:rsid w:val="003E6CF3"/>
    <w:rsid w:val="003E746A"/>
    <w:rsid w:val="003E75E6"/>
    <w:rsid w:val="003F0BDB"/>
    <w:rsid w:val="003F16DA"/>
    <w:rsid w:val="003F2563"/>
    <w:rsid w:val="003F27AD"/>
    <w:rsid w:val="003F2938"/>
    <w:rsid w:val="003F2ADC"/>
    <w:rsid w:val="003F5193"/>
    <w:rsid w:val="003F5428"/>
    <w:rsid w:val="003F573B"/>
    <w:rsid w:val="003F6697"/>
    <w:rsid w:val="003F6D96"/>
    <w:rsid w:val="003F79A0"/>
    <w:rsid w:val="00400EB6"/>
    <w:rsid w:val="0040144D"/>
    <w:rsid w:val="0040193A"/>
    <w:rsid w:val="00401A19"/>
    <w:rsid w:val="00401A56"/>
    <w:rsid w:val="004024CF"/>
    <w:rsid w:val="00402DE1"/>
    <w:rsid w:val="00402F9D"/>
    <w:rsid w:val="00404B0C"/>
    <w:rsid w:val="004066EF"/>
    <w:rsid w:val="00406888"/>
    <w:rsid w:val="004072AC"/>
    <w:rsid w:val="00410B09"/>
    <w:rsid w:val="004127F0"/>
    <w:rsid w:val="00413162"/>
    <w:rsid w:val="0041318F"/>
    <w:rsid w:val="004131F8"/>
    <w:rsid w:val="004134B9"/>
    <w:rsid w:val="004137B8"/>
    <w:rsid w:val="004158E5"/>
    <w:rsid w:val="00415EA1"/>
    <w:rsid w:val="00416C0F"/>
    <w:rsid w:val="00416C82"/>
    <w:rsid w:val="00417199"/>
    <w:rsid w:val="00417E07"/>
    <w:rsid w:val="004201DB"/>
    <w:rsid w:val="00420FA7"/>
    <w:rsid w:val="00421C92"/>
    <w:rsid w:val="004220D7"/>
    <w:rsid w:val="00422E7B"/>
    <w:rsid w:val="0042307C"/>
    <w:rsid w:val="004230BE"/>
    <w:rsid w:val="004243B1"/>
    <w:rsid w:val="00425011"/>
    <w:rsid w:val="0042595A"/>
    <w:rsid w:val="00426AE0"/>
    <w:rsid w:val="00426E85"/>
    <w:rsid w:val="004275AE"/>
    <w:rsid w:val="004275E0"/>
    <w:rsid w:val="00427793"/>
    <w:rsid w:val="00427C0B"/>
    <w:rsid w:val="004314BC"/>
    <w:rsid w:val="004319AA"/>
    <w:rsid w:val="00431D32"/>
    <w:rsid w:val="00431F7F"/>
    <w:rsid w:val="00432AD1"/>
    <w:rsid w:val="0043311F"/>
    <w:rsid w:val="0043317B"/>
    <w:rsid w:val="004331C8"/>
    <w:rsid w:val="0043396C"/>
    <w:rsid w:val="00433A5A"/>
    <w:rsid w:val="00434995"/>
    <w:rsid w:val="00435594"/>
    <w:rsid w:val="00435631"/>
    <w:rsid w:val="00436068"/>
    <w:rsid w:val="004374B3"/>
    <w:rsid w:val="00437CB0"/>
    <w:rsid w:val="00437D13"/>
    <w:rsid w:val="00440AE2"/>
    <w:rsid w:val="00440F5E"/>
    <w:rsid w:val="00442458"/>
    <w:rsid w:val="00443D8B"/>
    <w:rsid w:val="004449CE"/>
    <w:rsid w:val="00444C4C"/>
    <w:rsid w:val="0044525A"/>
    <w:rsid w:val="0044567F"/>
    <w:rsid w:val="00445E2F"/>
    <w:rsid w:val="00446864"/>
    <w:rsid w:val="0044750D"/>
    <w:rsid w:val="0045080A"/>
    <w:rsid w:val="00450CAF"/>
    <w:rsid w:val="00451871"/>
    <w:rsid w:val="00451E0B"/>
    <w:rsid w:val="00451E50"/>
    <w:rsid w:val="004521EB"/>
    <w:rsid w:val="00452629"/>
    <w:rsid w:val="00452726"/>
    <w:rsid w:val="00453006"/>
    <w:rsid w:val="00453516"/>
    <w:rsid w:val="00453846"/>
    <w:rsid w:val="0045474F"/>
    <w:rsid w:val="00455F9D"/>
    <w:rsid w:val="004606BC"/>
    <w:rsid w:val="00461111"/>
    <w:rsid w:val="00461142"/>
    <w:rsid w:val="00461353"/>
    <w:rsid w:val="00462449"/>
    <w:rsid w:val="004626C4"/>
    <w:rsid w:val="00462ABD"/>
    <w:rsid w:val="004648EF"/>
    <w:rsid w:val="00464E62"/>
    <w:rsid w:val="00467138"/>
    <w:rsid w:val="004672D0"/>
    <w:rsid w:val="00467C70"/>
    <w:rsid w:val="004700DB"/>
    <w:rsid w:val="004701C9"/>
    <w:rsid w:val="00470649"/>
    <w:rsid w:val="00471196"/>
    <w:rsid w:val="00471FF3"/>
    <w:rsid w:val="00472863"/>
    <w:rsid w:val="004730C6"/>
    <w:rsid w:val="00473572"/>
    <w:rsid w:val="004737E6"/>
    <w:rsid w:val="0047408A"/>
    <w:rsid w:val="0047445F"/>
    <w:rsid w:val="00474466"/>
    <w:rsid w:val="00474478"/>
    <w:rsid w:val="00475453"/>
    <w:rsid w:val="00475C8D"/>
    <w:rsid w:val="00476CFA"/>
    <w:rsid w:val="00476D0D"/>
    <w:rsid w:val="004772BC"/>
    <w:rsid w:val="004774A4"/>
    <w:rsid w:val="0047760D"/>
    <w:rsid w:val="0048082C"/>
    <w:rsid w:val="00480F7F"/>
    <w:rsid w:val="00481503"/>
    <w:rsid w:val="004819E6"/>
    <w:rsid w:val="00481A88"/>
    <w:rsid w:val="004821DF"/>
    <w:rsid w:val="00482486"/>
    <w:rsid w:val="004827F0"/>
    <w:rsid w:val="004834D6"/>
    <w:rsid w:val="0048369D"/>
    <w:rsid w:val="00483F71"/>
    <w:rsid w:val="004848D7"/>
    <w:rsid w:val="00484A3A"/>
    <w:rsid w:val="004865B0"/>
    <w:rsid w:val="00487782"/>
    <w:rsid w:val="00487CC1"/>
    <w:rsid w:val="0049191E"/>
    <w:rsid w:val="00491DF7"/>
    <w:rsid w:val="00491F79"/>
    <w:rsid w:val="00493442"/>
    <w:rsid w:val="00493850"/>
    <w:rsid w:val="00493E14"/>
    <w:rsid w:val="00494202"/>
    <w:rsid w:val="0049431F"/>
    <w:rsid w:val="00494AEB"/>
    <w:rsid w:val="00494C59"/>
    <w:rsid w:val="00495147"/>
    <w:rsid w:val="00497503"/>
    <w:rsid w:val="004979DE"/>
    <w:rsid w:val="00497B0E"/>
    <w:rsid w:val="00497EB9"/>
    <w:rsid w:val="00497F24"/>
    <w:rsid w:val="004A04A5"/>
    <w:rsid w:val="004A2008"/>
    <w:rsid w:val="004A2E44"/>
    <w:rsid w:val="004A4073"/>
    <w:rsid w:val="004A5264"/>
    <w:rsid w:val="004A7169"/>
    <w:rsid w:val="004A7C29"/>
    <w:rsid w:val="004A7DFA"/>
    <w:rsid w:val="004A7F8B"/>
    <w:rsid w:val="004B0843"/>
    <w:rsid w:val="004B0B71"/>
    <w:rsid w:val="004B194E"/>
    <w:rsid w:val="004B1EEA"/>
    <w:rsid w:val="004B2087"/>
    <w:rsid w:val="004B2137"/>
    <w:rsid w:val="004B2218"/>
    <w:rsid w:val="004B2FA7"/>
    <w:rsid w:val="004B3265"/>
    <w:rsid w:val="004B3D7C"/>
    <w:rsid w:val="004B4DD2"/>
    <w:rsid w:val="004B61DA"/>
    <w:rsid w:val="004B6270"/>
    <w:rsid w:val="004B68F9"/>
    <w:rsid w:val="004B7629"/>
    <w:rsid w:val="004B7643"/>
    <w:rsid w:val="004B78F3"/>
    <w:rsid w:val="004C0705"/>
    <w:rsid w:val="004C0900"/>
    <w:rsid w:val="004C178B"/>
    <w:rsid w:val="004C1DA4"/>
    <w:rsid w:val="004C1E3B"/>
    <w:rsid w:val="004C1EBB"/>
    <w:rsid w:val="004C2328"/>
    <w:rsid w:val="004C28A0"/>
    <w:rsid w:val="004C2AB3"/>
    <w:rsid w:val="004C3EAA"/>
    <w:rsid w:val="004C592C"/>
    <w:rsid w:val="004C5D0B"/>
    <w:rsid w:val="004C645E"/>
    <w:rsid w:val="004C6685"/>
    <w:rsid w:val="004C7483"/>
    <w:rsid w:val="004C755F"/>
    <w:rsid w:val="004D000E"/>
    <w:rsid w:val="004D0184"/>
    <w:rsid w:val="004D0292"/>
    <w:rsid w:val="004D0820"/>
    <w:rsid w:val="004D1367"/>
    <w:rsid w:val="004D2006"/>
    <w:rsid w:val="004D3522"/>
    <w:rsid w:val="004D37FC"/>
    <w:rsid w:val="004D3F72"/>
    <w:rsid w:val="004D4B57"/>
    <w:rsid w:val="004D507C"/>
    <w:rsid w:val="004D5E92"/>
    <w:rsid w:val="004D69B6"/>
    <w:rsid w:val="004D79AD"/>
    <w:rsid w:val="004E1172"/>
    <w:rsid w:val="004E1631"/>
    <w:rsid w:val="004E1E89"/>
    <w:rsid w:val="004E30C9"/>
    <w:rsid w:val="004E41C2"/>
    <w:rsid w:val="004E5626"/>
    <w:rsid w:val="004E58F0"/>
    <w:rsid w:val="004E591A"/>
    <w:rsid w:val="004E5ABE"/>
    <w:rsid w:val="004E6BCE"/>
    <w:rsid w:val="004E7B17"/>
    <w:rsid w:val="004F084E"/>
    <w:rsid w:val="004F08FD"/>
    <w:rsid w:val="004F10BB"/>
    <w:rsid w:val="004F23EC"/>
    <w:rsid w:val="004F2769"/>
    <w:rsid w:val="004F2F18"/>
    <w:rsid w:val="004F3EB5"/>
    <w:rsid w:val="004F498F"/>
    <w:rsid w:val="004F4F70"/>
    <w:rsid w:val="004F50C3"/>
    <w:rsid w:val="004F79DD"/>
    <w:rsid w:val="00500738"/>
    <w:rsid w:val="00502341"/>
    <w:rsid w:val="00504805"/>
    <w:rsid w:val="0050491E"/>
    <w:rsid w:val="00505F32"/>
    <w:rsid w:val="005063BD"/>
    <w:rsid w:val="0050669C"/>
    <w:rsid w:val="0050682C"/>
    <w:rsid w:val="00506CB9"/>
    <w:rsid w:val="005070FE"/>
    <w:rsid w:val="005077F0"/>
    <w:rsid w:val="00511BDC"/>
    <w:rsid w:val="00512BAD"/>
    <w:rsid w:val="005134D0"/>
    <w:rsid w:val="0051367D"/>
    <w:rsid w:val="00513B97"/>
    <w:rsid w:val="00514212"/>
    <w:rsid w:val="00514714"/>
    <w:rsid w:val="00514CB3"/>
    <w:rsid w:val="00516079"/>
    <w:rsid w:val="005173ED"/>
    <w:rsid w:val="00517686"/>
    <w:rsid w:val="00517C96"/>
    <w:rsid w:val="0052006C"/>
    <w:rsid w:val="00520B51"/>
    <w:rsid w:val="005211BD"/>
    <w:rsid w:val="00522120"/>
    <w:rsid w:val="00523586"/>
    <w:rsid w:val="00523878"/>
    <w:rsid w:val="00523AD8"/>
    <w:rsid w:val="00524D62"/>
    <w:rsid w:val="00524ED4"/>
    <w:rsid w:val="00525379"/>
    <w:rsid w:val="005257EB"/>
    <w:rsid w:val="005258EA"/>
    <w:rsid w:val="00526A71"/>
    <w:rsid w:val="00526C0C"/>
    <w:rsid w:val="00531BB2"/>
    <w:rsid w:val="00532B25"/>
    <w:rsid w:val="00532B78"/>
    <w:rsid w:val="0053344C"/>
    <w:rsid w:val="00535192"/>
    <w:rsid w:val="005353CC"/>
    <w:rsid w:val="00536755"/>
    <w:rsid w:val="00536D20"/>
    <w:rsid w:val="00537865"/>
    <w:rsid w:val="00537C40"/>
    <w:rsid w:val="005408CA"/>
    <w:rsid w:val="00540DDB"/>
    <w:rsid w:val="00541415"/>
    <w:rsid w:val="00542110"/>
    <w:rsid w:val="005421F5"/>
    <w:rsid w:val="00542B31"/>
    <w:rsid w:val="00542DD7"/>
    <w:rsid w:val="005430FE"/>
    <w:rsid w:val="00543D97"/>
    <w:rsid w:val="005443B7"/>
    <w:rsid w:val="00546D95"/>
    <w:rsid w:val="00552DAE"/>
    <w:rsid w:val="005533DC"/>
    <w:rsid w:val="005538D3"/>
    <w:rsid w:val="005539C9"/>
    <w:rsid w:val="00553DE6"/>
    <w:rsid w:val="00554146"/>
    <w:rsid w:val="00554395"/>
    <w:rsid w:val="0055491A"/>
    <w:rsid w:val="00554B43"/>
    <w:rsid w:val="005551A3"/>
    <w:rsid w:val="005554E0"/>
    <w:rsid w:val="005558E5"/>
    <w:rsid w:val="00556C6A"/>
    <w:rsid w:val="00556C7F"/>
    <w:rsid w:val="00557B55"/>
    <w:rsid w:val="00560EDC"/>
    <w:rsid w:val="00562A05"/>
    <w:rsid w:val="00562B90"/>
    <w:rsid w:val="0056403B"/>
    <w:rsid w:val="00564B5C"/>
    <w:rsid w:val="00564BED"/>
    <w:rsid w:val="00565F77"/>
    <w:rsid w:val="00566544"/>
    <w:rsid w:val="00566C49"/>
    <w:rsid w:val="00566C82"/>
    <w:rsid w:val="00566D84"/>
    <w:rsid w:val="00567234"/>
    <w:rsid w:val="00567FDE"/>
    <w:rsid w:val="005702B9"/>
    <w:rsid w:val="0057126A"/>
    <w:rsid w:val="00571575"/>
    <w:rsid w:val="00571A62"/>
    <w:rsid w:val="00571C51"/>
    <w:rsid w:val="00572B08"/>
    <w:rsid w:val="00572DD1"/>
    <w:rsid w:val="00573FE5"/>
    <w:rsid w:val="00574454"/>
    <w:rsid w:val="00574687"/>
    <w:rsid w:val="00574D30"/>
    <w:rsid w:val="00574FC0"/>
    <w:rsid w:val="005760D9"/>
    <w:rsid w:val="005761A5"/>
    <w:rsid w:val="00577602"/>
    <w:rsid w:val="00580FFD"/>
    <w:rsid w:val="00582305"/>
    <w:rsid w:val="00582A91"/>
    <w:rsid w:val="005830D9"/>
    <w:rsid w:val="00583822"/>
    <w:rsid w:val="00583A2E"/>
    <w:rsid w:val="005848D8"/>
    <w:rsid w:val="005849CB"/>
    <w:rsid w:val="00584C20"/>
    <w:rsid w:val="005856D0"/>
    <w:rsid w:val="005861DA"/>
    <w:rsid w:val="005863FB"/>
    <w:rsid w:val="00586AE2"/>
    <w:rsid w:val="00587B41"/>
    <w:rsid w:val="00587E18"/>
    <w:rsid w:val="00587E70"/>
    <w:rsid w:val="005903C5"/>
    <w:rsid w:val="0059041F"/>
    <w:rsid w:val="0059181A"/>
    <w:rsid w:val="00592318"/>
    <w:rsid w:val="0059266C"/>
    <w:rsid w:val="0059281E"/>
    <w:rsid w:val="00592CAA"/>
    <w:rsid w:val="00592F4B"/>
    <w:rsid w:val="00593257"/>
    <w:rsid w:val="00593377"/>
    <w:rsid w:val="00593B8E"/>
    <w:rsid w:val="005945A2"/>
    <w:rsid w:val="00594D9C"/>
    <w:rsid w:val="00594F18"/>
    <w:rsid w:val="0059536D"/>
    <w:rsid w:val="005966F4"/>
    <w:rsid w:val="00596D2C"/>
    <w:rsid w:val="005A076F"/>
    <w:rsid w:val="005A0AC6"/>
    <w:rsid w:val="005A1B9A"/>
    <w:rsid w:val="005A1EF9"/>
    <w:rsid w:val="005A2DAD"/>
    <w:rsid w:val="005A2F0B"/>
    <w:rsid w:val="005A3100"/>
    <w:rsid w:val="005A46C3"/>
    <w:rsid w:val="005A51F9"/>
    <w:rsid w:val="005A53C7"/>
    <w:rsid w:val="005A6256"/>
    <w:rsid w:val="005A6E5D"/>
    <w:rsid w:val="005A70D0"/>
    <w:rsid w:val="005A74CF"/>
    <w:rsid w:val="005B0580"/>
    <w:rsid w:val="005B1064"/>
    <w:rsid w:val="005B18CD"/>
    <w:rsid w:val="005B3F9F"/>
    <w:rsid w:val="005B47D2"/>
    <w:rsid w:val="005B4E1E"/>
    <w:rsid w:val="005B5C30"/>
    <w:rsid w:val="005B6584"/>
    <w:rsid w:val="005B7AE1"/>
    <w:rsid w:val="005B7F16"/>
    <w:rsid w:val="005C029A"/>
    <w:rsid w:val="005C068B"/>
    <w:rsid w:val="005C0B20"/>
    <w:rsid w:val="005C0EE7"/>
    <w:rsid w:val="005C17F0"/>
    <w:rsid w:val="005C180D"/>
    <w:rsid w:val="005C286A"/>
    <w:rsid w:val="005C29BD"/>
    <w:rsid w:val="005C3D68"/>
    <w:rsid w:val="005C420B"/>
    <w:rsid w:val="005C4523"/>
    <w:rsid w:val="005C60F0"/>
    <w:rsid w:val="005C6909"/>
    <w:rsid w:val="005D00D4"/>
    <w:rsid w:val="005D037B"/>
    <w:rsid w:val="005D0F98"/>
    <w:rsid w:val="005D11B5"/>
    <w:rsid w:val="005D155C"/>
    <w:rsid w:val="005D16C7"/>
    <w:rsid w:val="005D171B"/>
    <w:rsid w:val="005D2C9C"/>
    <w:rsid w:val="005D4589"/>
    <w:rsid w:val="005D55E0"/>
    <w:rsid w:val="005D5929"/>
    <w:rsid w:val="005D6470"/>
    <w:rsid w:val="005D64EB"/>
    <w:rsid w:val="005D6F43"/>
    <w:rsid w:val="005D6FC6"/>
    <w:rsid w:val="005D7383"/>
    <w:rsid w:val="005D7A99"/>
    <w:rsid w:val="005D7B15"/>
    <w:rsid w:val="005E04B4"/>
    <w:rsid w:val="005E0EC7"/>
    <w:rsid w:val="005E111A"/>
    <w:rsid w:val="005E1C81"/>
    <w:rsid w:val="005E43F1"/>
    <w:rsid w:val="005E4570"/>
    <w:rsid w:val="005E51CA"/>
    <w:rsid w:val="005E5224"/>
    <w:rsid w:val="005E5825"/>
    <w:rsid w:val="005E58C3"/>
    <w:rsid w:val="005E6792"/>
    <w:rsid w:val="005E6B32"/>
    <w:rsid w:val="005E7151"/>
    <w:rsid w:val="005F058D"/>
    <w:rsid w:val="005F05F2"/>
    <w:rsid w:val="005F09A2"/>
    <w:rsid w:val="005F1DF4"/>
    <w:rsid w:val="005F284F"/>
    <w:rsid w:val="005F2C24"/>
    <w:rsid w:val="005F2C98"/>
    <w:rsid w:val="005F2FC9"/>
    <w:rsid w:val="005F4092"/>
    <w:rsid w:val="005F4F89"/>
    <w:rsid w:val="005F593D"/>
    <w:rsid w:val="005F5E15"/>
    <w:rsid w:val="005F5EF6"/>
    <w:rsid w:val="00600778"/>
    <w:rsid w:val="00601242"/>
    <w:rsid w:val="0060219A"/>
    <w:rsid w:val="0060224A"/>
    <w:rsid w:val="006022FB"/>
    <w:rsid w:val="00602721"/>
    <w:rsid w:val="00604B79"/>
    <w:rsid w:val="00605B14"/>
    <w:rsid w:val="00605D2B"/>
    <w:rsid w:val="006068A2"/>
    <w:rsid w:val="00606CA3"/>
    <w:rsid w:val="006101B7"/>
    <w:rsid w:val="0061047A"/>
    <w:rsid w:val="00610FAA"/>
    <w:rsid w:val="00610FBF"/>
    <w:rsid w:val="006115CC"/>
    <w:rsid w:val="00612EFD"/>
    <w:rsid w:val="00613008"/>
    <w:rsid w:val="00613083"/>
    <w:rsid w:val="006135FD"/>
    <w:rsid w:val="00613972"/>
    <w:rsid w:val="0061449D"/>
    <w:rsid w:val="00614FF1"/>
    <w:rsid w:val="006156A3"/>
    <w:rsid w:val="006157DA"/>
    <w:rsid w:val="00616604"/>
    <w:rsid w:val="00616F6B"/>
    <w:rsid w:val="00617A0E"/>
    <w:rsid w:val="006219EB"/>
    <w:rsid w:val="00621FC4"/>
    <w:rsid w:val="00622441"/>
    <w:rsid w:val="006224EF"/>
    <w:rsid w:val="006225E0"/>
    <w:rsid w:val="00622676"/>
    <w:rsid w:val="006235D6"/>
    <w:rsid w:val="00625300"/>
    <w:rsid w:val="006275FB"/>
    <w:rsid w:val="006301F1"/>
    <w:rsid w:val="0063042E"/>
    <w:rsid w:val="006304BD"/>
    <w:rsid w:val="0063106A"/>
    <w:rsid w:val="006310E2"/>
    <w:rsid w:val="006319F4"/>
    <w:rsid w:val="00631B5D"/>
    <w:rsid w:val="00631FF1"/>
    <w:rsid w:val="00632233"/>
    <w:rsid w:val="006328C2"/>
    <w:rsid w:val="00632948"/>
    <w:rsid w:val="0063319D"/>
    <w:rsid w:val="00634052"/>
    <w:rsid w:val="0063470F"/>
    <w:rsid w:val="006356E6"/>
    <w:rsid w:val="00636979"/>
    <w:rsid w:val="00637861"/>
    <w:rsid w:val="00640E04"/>
    <w:rsid w:val="006414C1"/>
    <w:rsid w:val="0064183F"/>
    <w:rsid w:val="006436D0"/>
    <w:rsid w:val="00643778"/>
    <w:rsid w:val="00644B86"/>
    <w:rsid w:val="00644F45"/>
    <w:rsid w:val="00645A6C"/>
    <w:rsid w:val="00645D02"/>
    <w:rsid w:val="00646B59"/>
    <w:rsid w:val="006470DF"/>
    <w:rsid w:val="00650537"/>
    <w:rsid w:val="00650928"/>
    <w:rsid w:val="00650EB4"/>
    <w:rsid w:val="0065115A"/>
    <w:rsid w:val="006526B8"/>
    <w:rsid w:val="006529C1"/>
    <w:rsid w:val="00652F6C"/>
    <w:rsid w:val="006547EB"/>
    <w:rsid w:val="00654CAF"/>
    <w:rsid w:val="0065503D"/>
    <w:rsid w:val="00656066"/>
    <w:rsid w:val="00656F06"/>
    <w:rsid w:val="00656FFB"/>
    <w:rsid w:val="00657E95"/>
    <w:rsid w:val="00660606"/>
    <w:rsid w:val="00660F6A"/>
    <w:rsid w:val="006615D7"/>
    <w:rsid w:val="006618F7"/>
    <w:rsid w:val="00661EE6"/>
    <w:rsid w:val="00662864"/>
    <w:rsid w:val="00662BD9"/>
    <w:rsid w:val="00662C2A"/>
    <w:rsid w:val="00663F82"/>
    <w:rsid w:val="006642E7"/>
    <w:rsid w:val="00665006"/>
    <w:rsid w:val="0066517A"/>
    <w:rsid w:val="00665D45"/>
    <w:rsid w:val="00666656"/>
    <w:rsid w:val="006668E1"/>
    <w:rsid w:val="006670FA"/>
    <w:rsid w:val="00667377"/>
    <w:rsid w:val="00667906"/>
    <w:rsid w:val="00670ADF"/>
    <w:rsid w:val="00671E10"/>
    <w:rsid w:val="00672A51"/>
    <w:rsid w:val="00673BC7"/>
    <w:rsid w:val="00673E59"/>
    <w:rsid w:val="00674020"/>
    <w:rsid w:val="006741F2"/>
    <w:rsid w:val="00674255"/>
    <w:rsid w:val="0067588E"/>
    <w:rsid w:val="006758B7"/>
    <w:rsid w:val="00676475"/>
    <w:rsid w:val="00676B47"/>
    <w:rsid w:val="00677773"/>
    <w:rsid w:val="0068056F"/>
    <w:rsid w:val="00681DDC"/>
    <w:rsid w:val="00682CA9"/>
    <w:rsid w:val="00683181"/>
    <w:rsid w:val="00683591"/>
    <w:rsid w:val="006839CD"/>
    <w:rsid w:val="00683FC5"/>
    <w:rsid w:val="006840D7"/>
    <w:rsid w:val="00684448"/>
    <w:rsid w:val="00684A28"/>
    <w:rsid w:val="00684ACA"/>
    <w:rsid w:val="0068766B"/>
    <w:rsid w:val="00687DFB"/>
    <w:rsid w:val="00690612"/>
    <w:rsid w:val="00691C82"/>
    <w:rsid w:val="00692174"/>
    <w:rsid w:val="00692AF1"/>
    <w:rsid w:val="00693098"/>
    <w:rsid w:val="006933C1"/>
    <w:rsid w:val="00693A18"/>
    <w:rsid w:val="00693FF4"/>
    <w:rsid w:val="00694D2A"/>
    <w:rsid w:val="00695A11"/>
    <w:rsid w:val="006967E3"/>
    <w:rsid w:val="006977C2"/>
    <w:rsid w:val="006A0CDC"/>
    <w:rsid w:val="006A1108"/>
    <w:rsid w:val="006A2451"/>
    <w:rsid w:val="006A260A"/>
    <w:rsid w:val="006A2851"/>
    <w:rsid w:val="006A308F"/>
    <w:rsid w:val="006A3619"/>
    <w:rsid w:val="006A3A1C"/>
    <w:rsid w:val="006A3B04"/>
    <w:rsid w:val="006A3CEE"/>
    <w:rsid w:val="006A3E62"/>
    <w:rsid w:val="006A4050"/>
    <w:rsid w:val="006A4A25"/>
    <w:rsid w:val="006A4A5F"/>
    <w:rsid w:val="006A530E"/>
    <w:rsid w:val="006A57B5"/>
    <w:rsid w:val="006A5E62"/>
    <w:rsid w:val="006A6C0D"/>
    <w:rsid w:val="006A6E42"/>
    <w:rsid w:val="006B0C6E"/>
    <w:rsid w:val="006B168C"/>
    <w:rsid w:val="006B1CC9"/>
    <w:rsid w:val="006B252B"/>
    <w:rsid w:val="006B3C6B"/>
    <w:rsid w:val="006B53E0"/>
    <w:rsid w:val="006B5481"/>
    <w:rsid w:val="006B6285"/>
    <w:rsid w:val="006B6507"/>
    <w:rsid w:val="006B65DB"/>
    <w:rsid w:val="006B6AB6"/>
    <w:rsid w:val="006B6B77"/>
    <w:rsid w:val="006B748D"/>
    <w:rsid w:val="006B78D4"/>
    <w:rsid w:val="006B7CD7"/>
    <w:rsid w:val="006B7ECE"/>
    <w:rsid w:val="006B7F14"/>
    <w:rsid w:val="006B7F45"/>
    <w:rsid w:val="006C03EB"/>
    <w:rsid w:val="006C0E9E"/>
    <w:rsid w:val="006C11A4"/>
    <w:rsid w:val="006C1692"/>
    <w:rsid w:val="006C2331"/>
    <w:rsid w:val="006C3571"/>
    <w:rsid w:val="006C3F0A"/>
    <w:rsid w:val="006C3F3B"/>
    <w:rsid w:val="006C483C"/>
    <w:rsid w:val="006C526B"/>
    <w:rsid w:val="006C6138"/>
    <w:rsid w:val="006C6274"/>
    <w:rsid w:val="006C6E36"/>
    <w:rsid w:val="006C6EBE"/>
    <w:rsid w:val="006C76E6"/>
    <w:rsid w:val="006C7B0B"/>
    <w:rsid w:val="006D00A8"/>
    <w:rsid w:val="006D0B1F"/>
    <w:rsid w:val="006D11BE"/>
    <w:rsid w:val="006D1915"/>
    <w:rsid w:val="006D196D"/>
    <w:rsid w:val="006D2208"/>
    <w:rsid w:val="006D26A2"/>
    <w:rsid w:val="006D2A50"/>
    <w:rsid w:val="006D3AA2"/>
    <w:rsid w:val="006D3FDC"/>
    <w:rsid w:val="006D4664"/>
    <w:rsid w:val="006D5905"/>
    <w:rsid w:val="006D62E3"/>
    <w:rsid w:val="006D6A42"/>
    <w:rsid w:val="006E04A8"/>
    <w:rsid w:val="006E070E"/>
    <w:rsid w:val="006E0EC1"/>
    <w:rsid w:val="006E0F48"/>
    <w:rsid w:val="006E0F58"/>
    <w:rsid w:val="006E1854"/>
    <w:rsid w:val="006E1E16"/>
    <w:rsid w:val="006E2259"/>
    <w:rsid w:val="006E2393"/>
    <w:rsid w:val="006E24B7"/>
    <w:rsid w:val="006E2638"/>
    <w:rsid w:val="006E26DE"/>
    <w:rsid w:val="006E32A4"/>
    <w:rsid w:val="006E3740"/>
    <w:rsid w:val="006E3FF1"/>
    <w:rsid w:val="006E47FD"/>
    <w:rsid w:val="006E4E32"/>
    <w:rsid w:val="006E58F5"/>
    <w:rsid w:val="006E72DC"/>
    <w:rsid w:val="006E732A"/>
    <w:rsid w:val="006E74D1"/>
    <w:rsid w:val="006E75FC"/>
    <w:rsid w:val="006F01FA"/>
    <w:rsid w:val="006F0704"/>
    <w:rsid w:val="006F08B5"/>
    <w:rsid w:val="006F14E7"/>
    <w:rsid w:val="006F1925"/>
    <w:rsid w:val="006F1FBB"/>
    <w:rsid w:val="006F2A53"/>
    <w:rsid w:val="006F2A58"/>
    <w:rsid w:val="006F3BAF"/>
    <w:rsid w:val="006F562D"/>
    <w:rsid w:val="006F59E8"/>
    <w:rsid w:val="006F6102"/>
    <w:rsid w:val="006F6432"/>
    <w:rsid w:val="006F6FAD"/>
    <w:rsid w:val="006F7121"/>
    <w:rsid w:val="00700288"/>
    <w:rsid w:val="0070078D"/>
    <w:rsid w:val="00700E57"/>
    <w:rsid w:val="007016F1"/>
    <w:rsid w:val="007022AF"/>
    <w:rsid w:val="0070350C"/>
    <w:rsid w:val="00704A07"/>
    <w:rsid w:val="00705AEF"/>
    <w:rsid w:val="0070620D"/>
    <w:rsid w:val="007062B5"/>
    <w:rsid w:val="00706C1E"/>
    <w:rsid w:val="00707690"/>
    <w:rsid w:val="00710458"/>
    <w:rsid w:val="007105DE"/>
    <w:rsid w:val="00710663"/>
    <w:rsid w:val="00710782"/>
    <w:rsid w:val="007114B5"/>
    <w:rsid w:val="0071188C"/>
    <w:rsid w:val="00711B56"/>
    <w:rsid w:val="00712993"/>
    <w:rsid w:val="007139C1"/>
    <w:rsid w:val="00713AA6"/>
    <w:rsid w:val="00713EE0"/>
    <w:rsid w:val="00713F74"/>
    <w:rsid w:val="007140FF"/>
    <w:rsid w:val="00714160"/>
    <w:rsid w:val="007150A0"/>
    <w:rsid w:val="00715287"/>
    <w:rsid w:val="007152F5"/>
    <w:rsid w:val="0071726A"/>
    <w:rsid w:val="007172FF"/>
    <w:rsid w:val="00717B7C"/>
    <w:rsid w:val="00720B52"/>
    <w:rsid w:val="00722871"/>
    <w:rsid w:val="007241E4"/>
    <w:rsid w:val="007245C3"/>
    <w:rsid w:val="007246E7"/>
    <w:rsid w:val="007247B7"/>
    <w:rsid w:val="00725BB8"/>
    <w:rsid w:val="00726749"/>
    <w:rsid w:val="007272C3"/>
    <w:rsid w:val="00730EE9"/>
    <w:rsid w:val="007317B1"/>
    <w:rsid w:val="007337CA"/>
    <w:rsid w:val="00733FC1"/>
    <w:rsid w:val="007346A4"/>
    <w:rsid w:val="00735184"/>
    <w:rsid w:val="00735BD2"/>
    <w:rsid w:val="00735FB9"/>
    <w:rsid w:val="00736EE1"/>
    <w:rsid w:val="007377E9"/>
    <w:rsid w:val="00740246"/>
    <w:rsid w:val="007403DF"/>
    <w:rsid w:val="007404EA"/>
    <w:rsid w:val="00740C63"/>
    <w:rsid w:val="00741055"/>
    <w:rsid w:val="0074225E"/>
    <w:rsid w:val="00742F4E"/>
    <w:rsid w:val="007452AA"/>
    <w:rsid w:val="00745633"/>
    <w:rsid w:val="0074570B"/>
    <w:rsid w:val="007459E7"/>
    <w:rsid w:val="00745B4A"/>
    <w:rsid w:val="00745C18"/>
    <w:rsid w:val="00745C20"/>
    <w:rsid w:val="007468C9"/>
    <w:rsid w:val="00747197"/>
    <w:rsid w:val="0074769A"/>
    <w:rsid w:val="0074772B"/>
    <w:rsid w:val="00750840"/>
    <w:rsid w:val="00751A07"/>
    <w:rsid w:val="0075229C"/>
    <w:rsid w:val="007522DA"/>
    <w:rsid w:val="0075233E"/>
    <w:rsid w:val="00752348"/>
    <w:rsid w:val="0075238F"/>
    <w:rsid w:val="007529E1"/>
    <w:rsid w:val="00752BF8"/>
    <w:rsid w:val="00752FA6"/>
    <w:rsid w:val="00754CDC"/>
    <w:rsid w:val="007566B0"/>
    <w:rsid w:val="0075674B"/>
    <w:rsid w:val="007568A5"/>
    <w:rsid w:val="00757999"/>
    <w:rsid w:val="007611BE"/>
    <w:rsid w:val="00761C69"/>
    <w:rsid w:val="007620A1"/>
    <w:rsid w:val="0076240F"/>
    <w:rsid w:val="007635A2"/>
    <w:rsid w:val="007639DB"/>
    <w:rsid w:val="007649A4"/>
    <w:rsid w:val="00764F3F"/>
    <w:rsid w:val="00765855"/>
    <w:rsid w:val="00766861"/>
    <w:rsid w:val="0076773B"/>
    <w:rsid w:val="0077032B"/>
    <w:rsid w:val="0077033B"/>
    <w:rsid w:val="0077082A"/>
    <w:rsid w:val="00770945"/>
    <w:rsid w:val="00770D98"/>
    <w:rsid w:val="007715EB"/>
    <w:rsid w:val="00771BE7"/>
    <w:rsid w:val="00771F24"/>
    <w:rsid w:val="007724C2"/>
    <w:rsid w:val="007731D7"/>
    <w:rsid w:val="00773AF3"/>
    <w:rsid w:val="00774033"/>
    <w:rsid w:val="00774A68"/>
    <w:rsid w:val="00774F0E"/>
    <w:rsid w:val="00775271"/>
    <w:rsid w:val="0077593E"/>
    <w:rsid w:val="00775AB2"/>
    <w:rsid w:val="00775AD2"/>
    <w:rsid w:val="00775C43"/>
    <w:rsid w:val="007769EC"/>
    <w:rsid w:val="00776BA5"/>
    <w:rsid w:val="00777FD7"/>
    <w:rsid w:val="00780201"/>
    <w:rsid w:val="00780AAC"/>
    <w:rsid w:val="00780CC5"/>
    <w:rsid w:val="00781187"/>
    <w:rsid w:val="007817C6"/>
    <w:rsid w:val="0078187F"/>
    <w:rsid w:val="00781F5A"/>
    <w:rsid w:val="00782867"/>
    <w:rsid w:val="00782B8A"/>
    <w:rsid w:val="0078338A"/>
    <w:rsid w:val="007836DA"/>
    <w:rsid w:val="00783CA9"/>
    <w:rsid w:val="0078462D"/>
    <w:rsid w:val="00784CCF"/>
    <w:rsid w:val="007855CB"/>
    <w:rsid w:val="00786BF1"/>
    <w:rsid w:val="0078717F"/>
    <w:rsid w:val="007902B4"/>
    <w:rsid w:val="00790447"/>
    <w:rsid w:val="0079121A"/>
    <w:rsid w:val="00791FD1"/>
    <w:rsid w:val="00792189"/>
    <w:rsid w:val="00793074"/>
    <w:rsid w:val="007945EF"/>
    <w:rsid w:val="00794D44"/>
    <w:rsid w:val="00794EDA"/>
    <w:rsid w:val="007957EB"/>
    <w:rsid w:val="00795B65"/>
    <w:rsid w:val="00796A3E"/>
    <w:rsid w:val="00797CFF"/>
    <w:rsid w:val="007A0A26"/>
    <w:rsid w:val="007A1206"/>
    <w:rsid w:val="007A140A"/>
    <w:rsid w:val="007A16F7"/>
    <w:rsid w:val="007A1C94"/>
    <w:rsid w:val="007A2923"/>
    <w:rsid w:val="007A2EFF"/>
    <w:rsid w:val="007A33F2"/>
    <w:rsid w:val="007A47C1"/>
    <w:rsid w:val="007A4DFB"/>
    <w:rsid w:val="007A5CB1"/>
    <w:rsid w:val="007A717C"/>
    <w:rsid w:val="007B116E"/>
    <w:rsid w:val="007B1427"/>
    <w:rsid w:val="007B216A"/>
    <w:rsid w:val="007B3336"/>
    <w:rsid w:val="007B3F39"/>
    <w:rsid w:val="007B4133"/>
    <w:rsid w:val="007B47B0"/>
    <w:rsid w:val="007B47B2"/>
    <w:rsid w:val="007B5816"/>
    <w:rsid w:val="007B587B"/>
    <w:rsid w:val="007B66E1"/>
    <w:rsid w:val="007B703E"/>
    <w:rsid w:val="007B7154"/>
    <w:rsid w:val="007B7433"/>
    <w:rsid w:val="007B75C4"/>
    <w:rsid w:val="007B76F6"/>
    <w:rsid w:val="007B7862"/>
    <w:rsid w:val="007B79DB"/>
    <w:rsid w:val="007B7AF8"/>
    <w:rsid w:val="007C022C"/>
    <w:rsid w:val="007C0A43"/>
    <w:rsid w:val="007C106D"/>
    <w:rsid w:val="007C13E4"/>
    <w:rsid w:val="007C217F"/>
    <w:rsid w:val="007C2885"/>
    <w:rsid w:val="007C2F80"/>
    <w:rsid w:val="007C3071"/>
    <w:rsid w:val="007C359D"/>
    <w:rsid w:val="007C3906"/>
    <w:rsid w:val="007C3ABC"/>
    <w:rsid w:val="007C3DF6"/>
    <w:rsid w:val="007C4358"/>
    <w:rsid w:val="007C4E13"/>
    <w:rsid w:val="007C4E88"/>
    <w:rsid w:val="007C5499"/>
    <w:rsid w:val="007C5B53"/>
    <w:rsid w:val="007C5BFD"/>
    <w:rsid w:val="007C6004"/>
    <w:rsid w:val="007C6DCB"/>
    <w:rsid w:val="007C717A"/>
    <w:rsid w:val="007C71DA"/>
    <w:rsid w:val="007C7278"/>
    <w:rsid w:val="007D00B1"/>
    <w:rsid w:val="007D0C83"/>
    <w:rsid w:val="007D162D"/>
    <w:rsid w:val="007D2810"/>
    <w:rsid w:val="007D2983"/>
    <w:rsid w:val="007D3586"/>
    <w:rsid w:val="007D3C23"/>
    <w:rsid w:val="007D5168"/>
    <w:rsid w:val="007D5EC4"/>
    <w:rsid w:val="007D681F"/>
    <w:rsid w:val="007D71D0"/>
    <w:rsid w:val="007D798F"/>
    <w:rsid w:val="007D79C8"/>
    <w:rsid w:val="007D7A7B"/>
    <w:rsid w:val="007E08CD"/>
    <w:rsid w:val="007E1386"/>
    <w:rsid w:val="007E23F8"/>
    <w:rsid w:val="007E2BB1"/>
    <w:rsid w:val="007E2F3B"/>
    <w:rsid w:val="007E58DC"/>
    <w:rsid w:val="007E6348"/>
    <w:rsid w:val="007E740C"/>
    <w:rsid w:val="007E7DDC"/>
    <w:rsid w:val="007E7F6A"/>
    <w:rsid w:val="007F1469"/>
    <w:rsid w:val="007F19B1"/>
    <w:rsid w:val="007F1BED"/>
    <w:rsid w:val="007F2B16"/>
    <w:rsid w:val="007F611B"/>
    <w:rsid w:val="007F6F76"/>
    <w:rsid w:val="007F74E7"/>
    <w:rsid w:val="007F7D97"/>
    <w:rsid w:val="008008C4"/>
    <w:rsid w:val="0080188F"/>
    <w:rsid w:val="00801CE6"/>
    <w:rsid w:val="0080264B"/>
    <w:rsid w:val="00802A34"/>
    <w:rsid w:val="00802C67"/>
    <w:rsid w:val="00803A62"/>
    <w:rsid w:val="00805721"/>
    <w:rsid w:val="00805821"/>
    <w:rsid w:val="00805B87"/>
    <w:rsid w:val="0080653B"/>
    <w:rsid w:val="00806543"/>
    <w:rsid w:val="00806703"/>
    <w:rsid w:val="00807820"/>
    <w:rsid w:val="00810301"/>
    <w:rsid w:val="00810B43"/>
    <w:rsid w:val="00810B74"/>
    <w:rsid w:val="00810BC7"/>
    <w:rsid w:val="00811014"/>
    <w:rsid w:val="0081117B"/>
    <w:rsid w:val="00812A94"/>
    <w:rsid w:val="008136E1"/>
    <w:rsid w:val="008137C9"/>
    <w:rsid w:val="0081419B"/>
    <w:rsid w:val="008153F6"/>
    <w:rsid w:val="008157E9"/>
    <w:rsid w:val="0081583A"/>
    <w:rsid w:val="00815D80"/>
    <w:rsid w:val="00815DC7"/>
    <w:rsid w:val="00820BE1"/>
    <w:rsid w:val="008214D5"/>
    <w:rsid w:val="00821CFA"/>
    <w:rsid w:val="00822017"/>
    <w:rsid w:val="00822556"/>
    <w:rsid w:val="0082368B"/>
    <w:rsid w:val="00823D8B"/>
    <w:rsid w:val="0082422C"/>
    <w:rsid w:val="00825628"/>
    <w:rsid w:val="00825713"/>
    <w:rsid w:val="00825732"/>
    <w:rsid w:val="008265D4"/>
    <w:rsid w:val="0083240F"/>
    <w:rsid w:val="00833F03"/>
    <w:rsid w:val="00833F1F"/>
    <w:rsid w:val="00834437"/>
    <w:rsid w:val="00834576"/>
    <w:rsid w:val="008347CF"/>
    <w:rsid w:val="00835019"/>
    <w:rsid w:val="008352EB"/>
    <w:rsid w:val="0083560F"/>
    <w:rsid w:val="00835C1C"/>
    <w:rsid w:val="00836836"/>
    <w:rsid w:val="00836A72"/>
    <w:rsid w:val="00837C56"/>
    <w:rsid w:val="008401E8"/>
    <w:rsid w:val="00841105"/>
    <w:rsid w:val="00841193"/>
    <w:rsid w:val="00841313"/>
    <w:rsid w:val="0084142D"/>
    <w:rsid w:val="00841D08"/>
    <w:rsid w:val="0084212E"/>
    <w:rsid w:val="008428CB"/>
    <w:rsid w:val="00842F9B"/>
    <w:rsid w:val="0084326B"/>
    <w:rsid w:val="00844D7F"/>
    <w:rsid w:val="00844DD0"/>
    <w:rsid w:val="00845595"/>
    <w:rsid w:val="008457D8"/>
    <w:rsid w:val="008459AB"/>
    <w:rsid w:val="00845CBC"/>
    <w:rsid w:val="00846A67"/>
    <w:rsid w:val="00850762"/>
    <w:rsid w:val="008516C1"/>
    <w:rsid w:val="008521A3"/>
    <w:rsid w:val="0085250C"/>
    <w:rsid w:val="00852576"/>
    <w:rsid w:val="0085280A"/>
    <w:rsid w:val="00852C5F"/>
    <w:rsid w:val="00852FA0"/>
    <w:rsid w:val="0085332D"/>
    <w:rsid w:val="00855CCF"/>
    <w:rsid w:val="00855E14"/>
    <w:rsid w:val="00855E62"/>
    <w:rsid w:val="00856B11"/>
    <w:rsid w:val="00856F78"/>
    <w:rsid w:val="00860933"/>
    <w:rsid w:val="00860C26"/>
    <w:rsid w:val="00860FC6"/>
    <w:rsid w:val="00862263"/>
    <w:rsid w:val="00862438"/>
    <w:rsid w:val="00862732"/>
    <w:rsid w:val="00862927"/>
    <w:rsid w:val="008631D3"/>
    <w:rsid w:val="008642AD"/>
    <w:rsid w:val="00864F4F"/>
    <w:rsid w:val="0086578D"/>
    <w:rsid w:val="0086581D"/>
    <w:rsid w:val="00865F8B"/>
    <w:rsid w:val="00867878"/>
    <w:rsid w:val="00867A0D"/>
    <w:rsid w:val="00867B91"/>
    <w:rsid w:val="0087004A"/>
    <w:rsid w:val="00870324"/>
    <w:rsid w:val="00870BB1"/>
    <w:rsid w:val="00870EC3"/>
    <w:rsid w:val="00871EBA"/>
    <w:rsid w:val="0087201C"/>
    <w:rsid w:val="0087285E"/>
    <w:rsid w:val="008734F0"/>
    <w:rsid w:val="008736D8"/>
    <w:rsid w:val="00873AB2"/>
    <w:rsid w:val="00875928"/>
    <w:rsid w:val="00876484"/>
    <w:rsid w:val="008771CC"/>
    <w:rsid w:val="00880156"/>
    <w:rsid w:val="0088047A"/>
    <w:rsid w:val="008814D8"/>
    <w:rsid w:val="0088158C"/>
    <w:rsid w:val="00882E0C"/>
    <w:rsid w:val="00882E92"/>
    <w:rsid w:val="00883F7C"/>
    <w:rsid w:val="00884712"/>
    <w:rsid w:val="00885602"/>
    <w:rsid w:val="00885ECA"/>
    <w:rsid w:val="00886EEF"/>
    <w:rsid w:val="00886FCA"/>
    <w:rsid w:val="00887D90"/>
    <w:rsid w:val="00887DCB"/>
    <w:rsid w:val="008902BF"/>
    <w:rsid w:val="00891411"/>
    <w:rsid w:val="00892DF0"/>
    <w:rsid w:val="00893E72"/>
    <w:rsid w:val="00894712"/>
    <w:rsid w:val="00894AD4"/>
    <w:rsid w:val="00895010"/>
    <w:rsid w:val="0089520E"/>
    <w:rsid w:val="00895229"/>
    <w:rsid w:val="00895366"/>
    <w:rsid w:val="00896233"/>
    <w:rsid w:val="008972A8"/>
    <w:rsid w:val="008A02DB"/>
    <w:rsid w:val="008A06A7"/>
    <w:rsid w:val="008A0D1E"/>
    <w:rsid w:val="008A0F34"/>
    <w:rsid w:val="008A15C3"/>
    <w:rsid w:val="008A29FB"/>
    <w:rsid w:val="008A33F4"/>
    <w:rsid w:val="008A38E5"/>
    <w:rsid w:val="008A4834"/>
    <w:rsid w:val="008A5184"/>
    <w:rsid w:val="008A5659"/>
    <w:rsid w:val="008A5FFF"/>
    <w:rsid w:val="008A7398"/>
    <w:rsid w:val="008A7B03"/>
    <w:rsid w:val="008A7FD9"/>
    <w:rsid w:val="008B0248"/>
    <w:rsid w:val="008B0BFC"/>
    <w:rsid w:val="008B1065"/>
    <w:rsid w:val="008B184B"/>
    <w:rsid w:val="008B1C1C"/>
    <w:rsid w:val="008B2A36"/>
    <w:rsid w:val="008B2E1C"/>
    <w:rsid w:val="008B40CD"/>
    <w:rsid w:val="008B421A"/>
    <w:rsid w:val="008B48D6"/>
    <w:rsid w:val="008B4EAB"/>
    <w:rsid w:val="008B4EC7"/>
    <w:rsid w:val="008B5401"/>
    <w:rsid w:val="008B5665"/>
    <w:rsid w:val="008B5D0D"/>
    <w:rsid w:val="008B6390"/>
    <w:rsid w:val="008B7E5D"/>
    <w:rsid w:val="008C0439"/>
    <w:rsid w:val="008C0658"/>
    <w:rsid w:val="008C0FA0"/>
    <w:rsid w:val="008C11D0"/>
    <w:rsid w:val="008C2399"/>
    <w:rsid w:val="008C27A7"/>
    <w:rsid w:val="008C28EC"/>
    <w:rsid w:val="008C2963"/>
    <w:rsid w:val="008C3575"/>
    <w:rsid w:val="008C38E3"/>
    <w:rsid w:val="008C4107"/>
    <w:rsid w:val="008C4968"/>
    <w:rsid w:val="008C562B"/>
    <w:rsid w:val="008C76BB"/>
    <w:rsid w:val="008D0286"/>
    <w:rsid w:val="008D0914"/>
    <w:rsid w:val="008D0D48"/>
    <w:rsid w:val="008D26F8"/>
    <w:rsid w:val="008D3352"/>
    <w:rsid w:val="008D45FB"/>
    <w:rsid w:val="008D4976"/>
    <w:rsid w:val="008D5C27"/>
    <w:rsid w:val="008D5FF8"/>
    <w:rsid w:val="008D61B6"/>
    <w:rsid w:val="008D62D8"/>
    <w:rsid w:val="008D7788"/>
    <w:rsid w:val="008E0204"/>
    <w:rsid w:val="008E077E"/>
    <w:rsid w:val="008E15A3"/>
    <w:rsid w:val="008E1916"/>
    <w:rsid w:val="008E3B5E"/>
    <w:rsid w:val="008E46C8"/>
    <w:rsid w:val="008E491E"/>
    <w:rsid w:val="008E53CB"/>
    <w:rsid w:val="008E5503"/>
    <w:rsid w:val="008E58D8"/>
    <w:rsid w:val="008E5DA3"/>
    <w:rsid w:val="008E5FEF"/>
    <w:rsid w:val="008E6818"/>
    <w:rsid w:val="008E6D20"/>
    <w:rsid w:val="008E7404"/>
    <w:rsid w:val="008E75D9"/>
    <w:rsid w:val="008E76A6"/>
    <w:rsid w:val="008F0E09"/>
    <w:rsid w:val="008F2330"/>
    <w:rsid w:val="008F2BC3"/>
    <w:rsid w:val="008F31C9"/>
    <w:rsid w:val="008F38D0"/>
    <w:rsid w:val="008F44CD"/>
    <w:rsid w:val="008F4FB4"/>
    <w:rsid w:val="008F5C51"/>
    <w:rsid w:val="008F5E2F"/>
    <w:rsid w:val="008F7C04"/>
    <w:rsid w:val="00900055"/>
    <w:rsid w:val="0090130A"/>
    <w:rsid w:val="00902191"/>
    <w:rsid w:val="00902443"/>
    <w:rsid w:val="009024E1"/>
    <w:rsid w:val="00902F7A"/>
    <w:rsid w:val="009033F3"/>
    <w:rsid w:val="00903A9C"/>
    <w:rsid w:val="00903DAD"/>
    <w:rsid w:val="00904187"/>
    <w:rsid w:val="00904284"/>
    <w:rsid w:val="00904C1C"/>
    <w:rsid w:val="009065E5"/>
    <w:rsid w:val="0090694B"/>
    <w:rsid w:val="0090791C"/>
    <w:rsid w:val="00907C64"/>
    <w:rsid w:val="00910BE7"/>
    <w:rsid w:val="00911EA0"/>
    <w:rsid w:val="0091286C"/>
    <w:rsid w:val="0091307F"/>
    <w:rsid w:val="009134D2"/>
    <w:rsid w:val="00914009"/>
    <w:rsid w:val="009144D6"/>
    <w:rsid w:val="00914FED"/>
    <w:rsid w:val="0091578B"/>
    <w:rsid w:val="00915D70"/>
    <w:rsid w:val="00915F4D"/>
    <w:rsid w:val="0091605E"/>
    <w:rsid w:val="00916E33"/>
    <w:rsid w:val="00916FB2"/>
    <w:rsid w:val="009178A6"/>
    <w:rsid w:val="009200B5"/>
    <w:rsid w:val="00920752"/>
    <w:rsid w:val="00920A61"/>
    <w:rsid w:val="00920B1D"/>
    <w:rsid w:val="00920D4A"/>
    <w:rsid w:val="00922C37"/>
    <w:rsid w:val="00922CE0"/>
    <w:rsid w:val="009237FC"/>
    <w:rsid w:val="00924D7D"/>
    <w:rsid w:val="00924D9F"/>
    <w:rsid w:val="00925AFE"/>
    <w:rsid w:val="00926778"/>
    <w:rsid w:val="00927337"/>
    <w:rsid w:val="00927BF2"/>
    <w:rsid w:val="00930008"/>
    <w:rsid w:val="00931532"/>
    <w:rsid w:val="00931E7F"/>
    <w:rsid w:val="00932500"/>
    <w:rsid w:val="0093271F"/>
    <w:rsid w:val="00932AD7"/>
    <w:rsid w:val="00932E1A"/>
    <w:rsid w:val="00933753"/>
    <w:rsid w:val="00933A91"/>
    <w:rsid w:val="00935094"/>
    <w:rsid w:val="009356B0"/>
    <w:rsid w:val="00936FA1"/>
    <w:rsid w:val="00937A31"/>
    <w:rsid w:val="00940484"/>
    <w:rsid w:val="00941AA9"/>
    <w:rsid w:val="00941C89"/>
    <w:rsid w:val="009424E0"/>
    <w:rsid w:val="0094308B"/>
    <w:rsid w:val="0094356C"/>
    <w:rsid w:val="00943864"/>
    <w:rsid w:val="009438F6"/>
    <w:rsid w:val="00943B88"/>
    <w:rsid w:val="0094428F"/>
    <w:rsid w:val="009444E1"/>
    <w:rsid w:val="00944B87"/>
    <w:rsid w:val="00944EE1"/>
    <w:rsid w:val="00945AF4"/>
    <w:rsid w:val="00945B11"/>
    <w:rsid w:val="00945EE8"/>
    <w:rsid w:val="0094668D"/>
    <w:rsid w:val="009500F3"/>
    <w:rsid w:val="00950377"/>
    <w:rsid w:val="00950733"/>
    <w:rsid w:val="00951022"/>
    <w:rsid w:val="00951348"/>
    <w:rsid w:val="0095142D"/>
    <w:rsid w:val="009515C7"/>
    <w:rsid w:val="009527A6"/>
    <w:rsid w:val="009528CA"/>
    <w:rsid w:val="0095591B"/>
    <w:rsid w:val="00955A7A"/>
    <w:rsid w:val="00955E79"/>
    <w:rsid w:val="00956285"/>
    <w:rsid w:val="00957274"/>
    <w:rsid w:val="00960329"/>
    <w:rsid w:val="00961809"/>
    <w:rsid w:val="00961F04"/>
    <w:rsid w:val="00962939"/>
    <w:rsid w:val="0096349B"/>
    <w:rsid w:val="00963C45"/>
    <w:rsid w:val="0096410D"/>
    <w:rsid w:val="009642DA"/>
    <w:rsid w:val="00964419"/>
    <w:rsid w:val="00964DF5"/>
    <w:rsid w:val="00965503"/>
    <w:rsid w:val="009655D2"/>
    <w:rsid w:val="00966E6C"/>
    <w:rsid w:val="0096725A"/>
    <w:rsid w:val="0096747D"/>
    <w:rsid w:val="00970497"/>
    <w:rsid w:val="00970A5E"/>
    <w:rsid w:val="00971B36"/>
    <w:rsid w:val="009735BF"/>
    <w:rsid w:val="00973896"/>
    <w:rsid w:val="00974F62"/>
    <w:rsid w:val="009750FD"/>
    <w:rsid w:val="0097541B"/>
    <w:rsid w:val="009757F3"/>
    <w:rsid w:val="00975914"/>
    <w:rsid w:val="00975AD5"/>
    <w:rsid w:val="009764FE"/>
    <w:rsid w:val="009777C1"/>
    <w:rsid w:val="009778F0"/>
    <w:rsid w:val="00977A0B"/>
    <w:rsid w:val="00980018"/>
    <w:rsid w:val="00981928"/>
    <w:rsid w:val="00982018"/>
    <w:rsid w:val="009820A1"/>
    <w:rsid w:val="00983367"/>
    <w:rsid w:val="0098387D"/>
    <w:rsid w:val="00984629"/>
    <w:rsid w:val="0098518A"/>
    <w:rsid w:val="0098574E"/>
    <w:rsid w:val="009867EC"/>
    <w:rsid w:val="0098736B"/>
    <w:rsid w:val="0098794C"/>
    <w:rsid w:val="00990E85"/>
    <w:rsid w:val="009912DF"/>
    <w:rsid w:val="0099133D"/>
    <w:rsid w:val="00991A12"/>
    <w:rsid w:val="00991A73"/>
    <w:rsid w:val="00991F66"/>
    <w:rsid w:val="009927A1"/>
    <w:rsid w:val="00992BD5"/>
    <w:rsid w:val="00993B69"/>
    <w:rsid w:val="00993E30"/>
    <w:rsid w:val="00993F74"/>
    <w:rsid w:val="009942D5"/>
    <w:rsid w:val="00994B56"/>
    <w:rsid w:val="00994CAE"/>
    <w:rsid w:val="00996541"/>
    <w:rsid w:val="009966AD"/>
    <w:rsid w:val="009968CB"/>
    <w:rsid w:val="009968CC"/>
    <w:rsid w:val="009972C1"/>
    <w:rsid w:val="00997CE7"/>
    <w:rsid w:val="009A0DDD"/>
    <w:rsid w:val="009A2660"/>
    <w:rsid w:val="009A29D1"/>
    <w:rsid w:val="009A34BF"/>
    <w:rsid w:val="009A3B18"/>
    <w:rsid w:val="009A4F81"/>
    <w:rsid w:val="009A675A"/>
    <w:rsid w:val="009A6D83"/>
    <w:rsid w:val="009A731C"/>
    <w:rsid w:val="009A737C"/>
    <w:rsid w:val="009A7F4E"/>
    <w:rsid w:val="009B0585"/>
    <w:rsid w:val="009B0917"/>
    <w:rsid w:val="009B1EC1"/>
    <w:rsid w:val="009B20E1"/>
    <w:rsid w:val="009B2C08"/>
    <w:rsid w:val="009B3416"/>
    <w:rsid w:val="009B3B1A"/>
    <w:rsid w:val="009B4994"/>
    <w:rsid w:val="009B6358"/>
    <w:rsid w:val="009B6B5A"/>
    <w:rsid w:val="009B7738"/>
    <w:rsid w:val="009C06FE"/>
    <w:rsid w:val="009C0BA3"/>
    <w:rsid w:val="009C1045"/>
    <w:rsid w:val="009C19C5"/>
    <w:rsid w:val="009C3E7B"/>
    <w:rsid w:val="009C4F7B"/>
    <w:rsid w:val="009C5622"/>
    <w:rsid w:val="009C5A2E"/>
    <w:rsid w:val="009C5AA4"/>
    <w:rsid w:val="009C70F5"/>
    <w:rsid w:val="009C7957"/>
    <w:rsid w:val="009C7C57"/>
    <w:rsid w:val="009D04E4"/>
    <w:rsid w:val="009D0A22"/>
    <w:rsid w:val="009D1495"/>
    <w:rsid w:val="009D3284"/>
    <w:rsid w:val="009D3843"/>
    <w:rsid w:val="009D39A0"/>
    <w:rsid w:val="009D41E6"/>
    <w:rsid w:val="009D442D"/>
    <w:rsid w:val="009D46BE"/>
    <w:rsid w:val="009D4991"/>
    <w:rsid w:val="009D49FB"/>
    <w:rsid w:val="009D5C08"/>
    <w:rsid w:val="009D5DDB"/>
    <w:rsid w:val="009D6827"/>
    <w:rsid w:val="009D69CD"/>
    <w:rsid w:val="009D7052"/>
    <w:rsid w:val="009D777B"/>
    <w:rsid w:val="009D79D2"/>
    <w:rsid w:val="009E1AB0"/>
    <w:rsid w:val="009E2288"/>
    <w:rsid w:val="009E2CD6"/>
    <w:rsid w:val="009E38EF"/>
    <w:rsid w:val="009E45C5"/>
    <w:rsid w:val="009E6BAB"/>
    <w:rsid w:val="009E6C68"/>
    <w:rsid w:val="009E6F8B"/>
    <w:rsid w:val="009E7454"/>
    <w:rsid w:val="009E748E"/>
    <w:rsid w:val="009E7C17"/>
    <w:rsid w:val="009F0571"/>
    <w:rsid w:val="009F0F50"/>
    <w:rsid w:val="009F1011"/>
    <w:rsid w:val="009F277B"/>
    <w:rsid w:val="009F2AB9"/>
    <w:rsid w:val="009F3DDA"/>
    <w:rsid w:val="009F4BE0"/>
    <w:rsid w:val="009F5AE9"/>
    <w:rsid w:val="009F5C8A"/>
    <w:rsid w:val="00A008C8"/>
    <w:rsid w:val="00A01365"/>
    <w:rsid w:val="00A013DD"/>
    <w:rsid w:val="00A0173B"/>
    <w:rsid w:val="00A02794"/>
    <w:rsid w:val="00A02D3D"/>
    <w:rsid w:val="00A02F82"/>
    <w:rsid w:val="00A03ADD"/>
    <w:rsid w:val="00A0468D"/>
    <w:rsid w:val="00A0538B"/>
    <w:rsid w:val="00A06C4D"/>
    <w:rsid w:val="00A06E92"/>
    <w:rsid w:val="00A06EF2"/>
    <w:rsid w:val="00A074B0"/>
    <w:rsid w:val="00A07511"/>
    <w:rsid w:val="00A07E70"/>
    <w:rsid w:val="00A10459"/>
    <w:rsid w:val="00A11443"/>
    <w:rsid w:val="00A115E9"/>
    <w:rsid w:val="00A11885"/>
    <w:rsid w:val="00A125A2"/>
    <w:rsid w:val="00A142C6"/>
    <w:rsid w:val="00A14F7C"/>
    <w:rsid w:val="00A163CA"/>
    <w:rsid w:val="00A16502"/>
    <w:rsid w:val="00A17A80"/>
    <w:rsid w:val="00A2085F"/>
    <w:rsid w:val="00A214AD"/>
    <w:rsid w:val="00A2182D"/>
    <w:rsid w:val="00A2183B"/>
    <w:rsid w:val="00A21DB1"/>
    <w:rsid w:val="00A22241"/>
    <w:rsid w:val="00A2332B"/>
    <w:rsid w:val="00A238BB"/>
    <w:rsid w:val="00A23A53"/>
    <w:rsid w:val="00A24F29"/>
    <w:rsid w:val="00A2584F"/>
    <w:rsid w:val="00A265DE"/>
    <w:rsid w:val="00A26689"/>
    <w:rsid w:val="00A26709"/>
    <w:rsid w:val="00A26AF1"/>
    <w:rsid w:val="00A26D58"/>
    <w:rsid w:val="00A27370"/>
    <w:rsid w:val="00A27EAC"/>
    <w:rsid w:val="00A304F2"/>
    <w:rsid w:val="00A3072E"/>
    <w:rsid w:val="00A30993"/>
    <w:rsid w:val="00A30C56"/>
    <w:rsid w:val="00A31156"/>
    <w:rsid w:val="00A334E7"/>
    <w:rsid w:val="00A34254"/>
    <w:rsid w:val="00A3449A"/>
    <w:rsid w:val="00A358CF"/>
    <w:rsid w:val="00A35F39"/>
    <w:rsid w:val="00A37203"/>
    <w:rsid w:val="00A3730B"/>
    <w:rsid w:val="00A379E3"/>
    <w:rsid w:val="00A410E2"/>
    <w:rsid w:val="00A421A5"/>
    <w:rsid w:val="00A42BD3"/>
    <w:rsid w:val="00A43535"/>
    <w:rsid w:val="00A43C4C"/>
    <w:rsid w:val="00A452C9"/>
    <w:rsid w:val="00A466A1"/>
    <w:rsid w:val="00A46D6D"/>
    <w:rsid w:val="00A47690"/>
    <w:rsid w:val="00A50124"/>
    <w:rsid w:val="00A50126"/>
    <w:rsid w:val="00A5022B"/>
    <w:rsid w:val="00A503BF"/>
    <w:rsid w:val="00A504FB"/>
    <w:rsid w:val="00A51FA8"/>
    <w:rsid w:val="00A52187"/>
    <w:rsid w:val="00A524BB"/>
    <w:rsid w:val="00A525BB"/>
    <w:rsid w:val="00A52B51"/>
    <w:rsid w:val="00A533D4"/>
    <w:rsid w:val="00A534CF"/>
    <w:rsid w:val="00A53848"/>
    <w:rsid w:val="00A53BA2"/>
    <w:rsid w:val="00A53EBB"/>
    <w:rsid w:val="00A54512"/>
    <w:rsid w:val="00A54672"/>
    <w:rsid w:val="00A552FF"/>
    <w:rsid w:val="00A56B97"/>
    <w:rsid w:val="00A56D7B"/>
    <w:rsid w:val="00A57CB8"/>
    <w:rsid w:val="00A6005F"/>
    <w:rsid w:val="00A60F49"/>
    <w:rsid w:val="00A61802"/>
    <w:rsid w:val="00A62B20"/>
    <w:rsid w:val="00A63154"/>
    <w:rsid w:val="00A63943"/>
    <w:rsid w:val="00A63EFB"/>
    <w:rsid w:val="00A649D6"/>
    <w:rsid w:val="00A64CDF"/>
    <w:rsid w:val="00A64FE0"/>
    <w:rsid w:val="00A656E4"/>
    <w:rsid w:val="00A65DB0"/>
    <w:rsid w:val="00A65E4E"/>
    <w:rsid w:val="00A6705E"/>
    <w:rsid w:val="00A67A82"/>
    <w:rsid w:val="00A703B6"/>
    <w:rsid w:val="00A70557"/>
    <w:rsid w:val="00A717E4"/>
    <w:rsid w:val="00A71BA7"/>
    <w:rsid w:val="00A71F01"/>
    <w:rsid w:val="00A7394F"/>
    <w:rsid w:val="00A7438D"/>
    <w:rsid w:val="00A74998"/>
    <w:rsid w:val="00A74DB3"/>
    <w:rsid w:val="00A75572"/>
    <w:rsid w:val="00A75707"/>
    <w:rsid w:val="00A75A3D"/>
    <w:rsid w:val="00A75D50"/>
    <w:rsid w:val="00A76FF5"/>
    <w:rsid w:val="00A80A5F"/>
    <w:rsid w:val="00A81169"/>
    <w:rsid w:val="00A82902"/>
    <w:rsid w:val="00A84D56"/>
    <w:rsid w:val="00A85402"/>
    <w:rsid w:val="00A85987"/>
    <w:rsid w:val="00A859AE"/>
    <w:rsid w:val="00A85FD9"/>
    <w:rsid w:val="00A8663F"/>
    <w:rsid w:val="00A86CC8"/>
    <w:rsid w:val="00A870FD"/>
    <w:rsid w:val="00A8731A"/>
    <w:rsid w:val="00A873C5"/>
    <w:rsid w:val="00A874A7"/>
    <w:rsid w:val="00A875DA"/>
    <w:rsid w:val="00A879A1"/>
    <w:rsid w:val="00A9052E"/>
    <w:rsid w:val="00A91DFC"/>
    <w:rsid w:val="00A92295"/>
    <w:rsid w:val="00A9283F"/>
    <w:rsid w:val="00A9473C"/>
    <w:rsid w:val="00A94E60"/>
    <w:rsid w:val="00A95C0E"/>
    <w:rsid w:val="00A96C15"/>
    <w:rsid w:val="00A9703B"/>
    <w:rsid w:val="00A9705C"/>
    <w:rsid w:val="00A97CE3"/>
    <w:rsid w:val="00A97F25"/>
    <w:rsid w:val="00AA0A33"/>
    <w:rsid w:val="00AA1FFA"/>
    <w:rsid w:val="00AA2B56"/>
    <w:rsid w:val="00AA2FC2"/>
    <w:rsid w:val="00AA30AF"/>
    <w:rsid w:val="00AA3397"/>
    <w:rsid w:val="00AA4ABD"/>
    <w:rsid w:val="00AA5177"/>
    <w:rsid w:val="00AA540B"/>
    <w:rsid w:val="00AA6100"/>
    <w:rsid w:val="00AA66E8"/>
    <w:rsid w:val="00AA671A"/>
    <w:rsid w:val="00AA6EFF"/>
    <w:rsid w:val="00AB0842"/>
    <w:rsid w:val="00AB1016"/>
    <w:rsid w:val="00AB20FB"/>
    <w:rsid w:val="00AB2980"/>
    <w:rsid w:val="00AB3EBA"/>
    <w:rsid w:val="00AB41E6"/>
    <w:rsid w:val="00AB4612"/>
    <w:rsid w:val="00AB4951"/>
    <w:rsid w:val="00AB515B"/>
    <w:rsid w:val="00AB5D90"/>
    <w:rsid w:val="00AB6CE0"/>
    <w:rsid w:val="00AB6F76"/>
    <w:rsid w:val="00AB7A5B"/>
    <w:rsid w:val="00AC0073"/>
    <w:rsid w:val="00AC08B9"/>
    <w:rsid w:val="00AC0BE7"/>
    <w:rsid w:val="00AC2CF5"/>
    <w:rsid w:val="00AC363A"/>
    <w:rsid w:val="00AC3875"/>
    <w:rsid w:val="00AC433A"/>
    <w:rsid w:val="00AC4EA2"/>
    <w:rsid w:val="00AC6D08"/>
    <w:rsid w:val="00AC6E0B"/>
    <w:rsid w:val="00AC7782"/>
    <w:rsid w:val="00AD03A1"/>
    <w:rsid w:val="00AD08EF"/>
    <w:rsid w:val="00AD10A2"/>
    <w:rsid w:val="00AD1148"/>
    <w:rsid w:val="00AD12A4"/>
    <w:rsid w:val="00AD194C"/>
    <w:rsid w:val="00AD2477"/>
    <w:rsid w:val="00AD2B5C"/>
    <w:rsid w:val="00AD2F01"/>
    <w:rsid w:val="00AD2F5F"/>
    <w:rsid w:val="00AD3F9E"/>
    <w:rsid w:val="00AD5204"/>
    <w:rsid w:val="00AD5A38"/>
    <w:rsid w:val="00AD74BE"/>
    <w:rsid w:val="00AE032F"/>
    <w:rsid w:val="00AE0606"/>
    <w:rsid w:val="00AE0BF4"/>
    <w:rsid w:val="00AE1ABD"/>
    <w:rsid w:val="00AE2123"/>
    <w:rsid w:val="00AE2D35"/>
    <w:rsid w:val="00AE30B8"/>
    <w:rsid w:val="00AE31A4"/>
    <w:rsid w:val="00AE3921"/>
    <w:rsid w:val="00AE4157"/>
    <w:rsid w:val="00AE75ED"/>
    <w:rsid w:val="00AE7F1F"/>
    <w:rsid w:val="00AF0B9D"/>
    <w:rsid w:val="00AF2105"/>
    <w:rsid w:val="00AF23CD"/>
    <w:rsid w:val="00AF2AB2"/>
    <w:rsid w:val="00AF2BF5"/>
    <w:rsid w:val="00AF2E8E"/>
    <w:rsid w:val="00AF3643"/>
    <w:rsid w:val="00AF36E3"/>
    <w:rsid w:val="00AF3F0D"/>
    <w:rsid w:val="00AF4589"/>
    <w:rsid w:val="00AF4820"/>
    <w:rsid w:val="00AF4924"/>
    <w:rsid w:val="00AF4B9C"/>
    <w:rsid w:val="00AF545E"/>
    <w:rsid w:val="00AF581B"/>
    <w:rsid w:val="00AF5A68"/>
    <w:rsid w:val="00AF5CF3"/>
    <w:rsid w:val="00AF5DB3"/>
    <w:rsid w:val="00AF67E4"/>
    <w:rsid w:val="00AF73FC"/>
    <w:rsid w:val="00AF7DC9"/>
    <w:rsid w:val="00B001E2"/>
    <w:rsid w:val="00B00385"/>
    <w:rsid w:val="00B010E5"/>
    <w:rsid w:val="00B016C4"/>
    <w:rsid w:val="00B01E75"/>
    <w:rsid w:val="00B02E30"/>
    <w:rsid w:val="00B030D5"/>
    <w:rsid w:val="00B0315E"/>
    <w:rsid w:val="00B03263"/>
    <w:rsid w:val="00B04247"/>
    <w:rsid w:val="00B0443F"/>
    <w:rsid w:val="00B0467E"/>
    <w:rsid w:val="00B04EC0"/>
    <w:rsid w:val="00B04ECB"/>
    <w:rsid w:val="00B058D1"/>
    <w:rsid w:val="00B05EC3"/>
    <w:rsid w:val="00B0672A"/>
    <w:rsid w:val="00B0687C"/>
    <w:rsid w:val="00B0752E"/>
    <w:rsid w:val="00B076FD"/>
    <w:rsid w:val="00B07D6E"/>
    <w:rsid w:val="00B105B1"/>
    <w:rsid w:val="00B10882"/>
    <w:rsid w:val="00B1126D"/>
    <w:rsid w:val="00B11DC2"/>
    <w:rsid w:val="00B13B90"/>
    <w:rsid w:val="00B13CB2"/>
    <w:rsid w:val="00B13D09"/>
    <w:rsid w:val="00B14B34"/>
    <w:rsid w:val="00B1597D"/>
    <w:rsid w:val="00B15BE9"/>
    <w:rsid w:val="00B16EF5"/>
    <w:rsid w:val="00B21552"/>
    <w:rsid w:val="00B247C0"/>
    <w:rsid w:val="00B25D9D"/>
    <w:rsid w:val="00B260D5"/>
    <w:rsid w:val="00B2619C"/>
    <w:rsid w:val="00B26B06"/>
    <w:rsid w:val="00B27C49"/>
    <w:rsid w:val="00B301EB"/>
    <w:rsid w:val="00B3033A"/>
    <w:rsid w:val="00B30393"/>
    <w:rsid w:val="00B30896"/>
    <w:rsid w:val="00B30EE5"/>
    <w:rsid w:val="00B313FF"/>
    <w:rsid w:val="00B3180C"/>
    <w:rsid w:val="00B329E8"/>
    <w:rsid w:val="00B3307D"/>
    <w:rsid w:val="00B33787"/>
    <w:rsid w:val="00B33C37"/>
    <w:rsid w:val="00B3417C"/>
    <w:rsid w:val="00B348E4"/>
    <w:rsid w:val="00B34C9E"/>
    <w:rsid w:val="00B35099"/>
    <w:rsid w:val="00B3559B"/>
    <w:rsid w:val="00B367EE"/>
    <w:rsid w:val="00B36E8F"/>
    <w:rsid w:val="00B36F96"/>
    <w:rsid w:val="00B40116"/>
    <w:rsid w:val="00B40608"/>
    <w:rsid w:val="00B40ACA"/>
    <w:rsid w:val="00B41774"/>
    <w:rsid w:val="00B41963"/>
    <w:rsid w:val="00B422EF"/>
    <w:rsid w:val="00B429FB"/>
    <w:rsid w:val="00B455B7"/>
    <w:rsid w:val="00B457AE"/>
    <w:rsid w:val="00B464A6"/>
    <w:rsid w:val="00B466EC"/>
    <w:rsid w:val="00B471E0"/>
    <w:rsid w:val="00B4734C"/>
    <w:rsid w:val="00B47C24"/>
    <w:rsid w:val="00B47E07"/>
    <w:rsid w:val="00B501C8"/>
    <w:rsid w:val="00B515F0"/>
    <w:rsid w:val="00B51F97"/>
    <w:rsid w:val="00B531B6"/>
    <w:rsid w:val="00B53577"/>
    <w:rsid w:val="00B53FBE"/>
    <w:rsid w:val="00B555A1"/>
    <w:rsid w:val="00B55ABE"/>
    <w:rsid w:val="00B55C05"/>
    <w:rsid w:val="00B55DAC"/>
    <w:rsid w:val="00B56355"/>
    <w:rsid w:val="00B56B12"/>
    <w:rsid w:val="00B575AF"/>
    <w:rsid w:val="00B60273"/>
    <w:rsid w:val="00B60EFC"/>
    <w:rsid w:val="00B60F77"/>
    <w:rsid w:val="00B61030"/>
    <w:rsid w:val="00B61371"/>
    <w:rsid w:val="00B613E4"/>
    <w:rsid w:val="00B615BE"/>
    <w:rsid w:val="00B61AEB"/>
    <w:rsid w:val="00B6233B"/>
    <w:rsid w:val="00B62531"/>
    <w:rsid w:val="00B626D8"/>
    <w:rsid w:val="00B62E67"/>
    <w:rsid w:val="00B635C0"/>
    <w:rsid w:val="00B65236"/>
    <w:rsid w:val="00B65F86"/>
    <w:rsid w:val="00B666A6"/>
    <w:rsid w:val="00B669F4"/>
    <w:rsid w:val="00B704FD"/>
    <w:rsid w:val="00B708C4"/>
    <w:rsid w:val="00B70EEE"/>
    <w:rsid w:val="00B710D9"/>
    <w:rsid w:val="00B71B3D"/>
    <w:rsid w:val="00B727B4"/>
    <w:rsid w:val="00B72C42"/>
    <w:rsid w:val="00B72EAE"/>
    <w:rsid w:val="00B742DB"/>
    <w:rsid w:val="00B76245"/>
    <w:rsid w:val="00B80C74"/>
    <w:rsid w:val="00B8155F"/>
    <w:rsid w:val="00B816E6"/>
    <w:rsid w:val="00B8190A"/>
    <w:rsid w:val="00B81993"/>
    <w:rsid w:val="00B81E94"/>
    <w:rsid w:val="00B82026"/>
    <w:rsid w:val="00B82816"/>
    <w:rsid w:val="00B82925"/>
    <w:rsid w:val="00B829A0"/>
    <w:rsid w:val="00B829D3"/>
    <w:rsid w:val="00B82E8B"/>
    <w:rsid w:val="00B8333D"/>
    <w:rsid w:val="00B83B93"/>
    <w:rsid w:val="00B842C2"/>
    <w:rsid w:val="00B84F8F"/>
    <w:rsid w:val="00B8526C"/>
    <w:rsid w:val="00B857F5"/>
    <w:rsid w:val="00B8590D"/>
    <w:rsid w:val="00B868CE"/>
    <w:rsid w:val="00B86D93"/>
    <w:rsid w:val="00B86FC2"/>
    <w:rsid w:val="00B8752A"/>
    <w:rsid w:val="00B878D6"/>
    <w:rsid w:val="00B901B7"/>
    <w:rsid w:val="00B91A41"/>
    <w:rsid w:val="00B920E6"/>
    <w:rsid w:val="00B92BED"/>
    <w:rsid w:val="00B92D7E"/>
    <w:rsid w:val="00B9429F"/>
    <w:rsid w:val="00B94553"/>
    <w:rsid w:val="00B946BD"/>
    <w:rsid w:val="00B94EA1"/>
    <w:rsid w:val="00B95406"/>
    <w:rsid w:val="00B956DF"/>
    <w:rsid w:val="00B9613B"/>
    <w:rsid w:val="00BA12BC"/>
    <w:rsid w:val="00BA4182"/>
    <w:rsid w:val="00BA43C0"/>
    <w:rsid w:val="00BA55A4"/>
    <w:rsid w:val="00BA5F8D"/>
    <w:rsid w:val="00BA6CAA"/>
    <w:rsid w:val="00BA723D"/>
    <w:rsid w:val="00BB1B5C"/>
    <w:rsid w:val="00BB2DA5"/>
    <w:rsid w:val="00BB3731"/>
    <w:rsid w:val="00BB3D11"/>
    <w:rsid w:val="00BB537D"/>
    <w:rsid w:val="00BB5850"/>
    <w:rsid w:val="00BB5B7E"/>
    <w:rsid w:val="00BB635B"/>
    <w:rsid w:val="00BB63CA"/>
    <w:rsid w:val="00BB65BE"/>
    <w:rsid w:val="00BB6859"/>
    <w:rsid w:val="00BB6C9B"/>
    <w:rsid w:val="00BB7018"/>
    <w:rsid w:val="00BB7E3B"/>
    <w:rsid w:val="00BC0BB2"/>
    <w:rsid w:val="00BC16D1"/>
    <w:rsid w:val="00BC18DB"/>
    <w:rsid w:val="00BC1F71"/>
    <w:rsid w:val="00BC2BC9"/>
    <w:rsid w:val="00BC2FE6"/>
    <w:rsid w:val="00BC3BDE"/>
    <w:rsid w:val="00BC4161"/>
    <w:rsid w:val="00BC496F"/>
    <w:rsid w:val="00BC54DC"/>
    <w:rsid w:val="00BC5E96"/>
    <w:rsid w:val="00BC7E17"/>
    <w:rsid w:val="00BD08F2"/>
    <w:rsid w:val="00BD27E3"/>
    <w:rsid w:val="00BD2B04"/>
    <w:rsid w:val="00BD2CF9"/>
    <w:rsid w:val="00BD3818"/>
    <w:rsid w:val="00BD3A19"/>
    <w:rsid w:val="00BD3E6E"/>
    <w:rsid w:val="00BD5410"/>
    <w:rsid w:val="00BD7E83"/>
    <w:rsid w:val="00BE0431"/>
    <w:rsid w:val="00BE0879"/>
    <w:rsid w:val="00BE0992"/>
    <w:rsid w:val="00BE1C44"/>
    <w:rsid w:val="00BE2A08"/>
    <w:rsid w:val="00BE2FDD"/>
    <w:rsid w:val="00BE4092"/>
    <w:rsid w:val="00BE4D5D"/>
    <w:rsid w:val="00BE55EB"/>
    <w:rsid w:val="00BE56E8"/>
    <w:rsid w:val="00BE6426"/>
    <w:rsid w:val="00BE6920"/>
    <w:rsid w:val="00BE6C3B"/>
    <w:rsid w:val="00BE7847"/>
    <w:rsid w:val="00BE7939"/>
    <w:rsid w:val="00BE7AF9"/>
    <w:rsid w:val="00BF0672"/>
    <w:rsid w:val="00BF09E1"/>
    <w:rsid w:val="00BF1154"/>
    <w:rsid w:val="00BF1AB7"/>
    <w:rsid w:val="00BF208B"/>
    <w:rsid w:val="00BF24B1"/>
    <w:rsid w:val="00BF26B4"/>
    <w:rsid w:val="00BF2ACA"/>
    <w:rsid w:val="00BF2B55"/>
    <w:rsid w:val="00BF384B"/>
    <w:rsid w:val="00BF40D0"/>
    <w:rsid w:val="00BF45F3"/>
    <w:rsid w:val="00BF50BD"/>
    <w:rsid w:val="00BF53F2"/>
    <w:rsid w:val="00BF5859"/>
    <w:rsid w:val="00BF5DBF"/>
    <w:rsid w:val="00BF5E10"/>
    <w:rsid w:val="00BF6036"/>
    <w:rsid w:val="00BF6222"/>
    <w:rsid w:val="00BF625C"/>
    <w:rsid w:val="00BF6415"/>
    <w:rsid w:val="00BF69CF"/>
    <w:rsid w:val="00BF7E6A"/>
    <w:rsid w:val="00C0092B"/>
    <w:rsid w:val="00C01087"/>
    <w:rsid w:val="00C0125C"/>
    <w:rsid w:val="00C0175A"/>
    <w:rsid w:val="00C024C1"/>
    <w:rsid w:val="00C02666"/>
    <w:rsid w:val="00C030FE"/>
    <w:rsid w:val="00C03875"/>
    <w:rsid w:val="00C03ADA"/>
    <w:rsid w:val="00C03B12"/>
    <w:rsid w:val="00C04998"/>
    <w:rsid w:val="00C049DB"/>
    <w:rsid w:val="00C058F0"/>
    <w:rsid w:val="00C06AA6"/>
    <w:rsid w:val="00C072D7"/>
    <w:rsid w:val="00C07770"/>
    <w:rsid w:val="00C105D3"/>
    <w:rsid w:val="00C10B8C"/>
    <w:rsid w:val="00C10CAA"/>
    <w:rsid w:val="00C11D9A"/>
    <w:rsid w:val="00C125FB"/>
    <w:rsid w:val="00C12975"/>
    <w:rsid w:val="00C12BF1"/>
    <w:rsid w:val="00C1385B"/>
    <w:rsid w:val="00C14944"/>
    <w:rsid w:val="00C1560C"/>
    <w:rsid w:val="00C15903"/>
    <w:rsid w:val="00C15DAD"/>
    <w:rsid w:val="00C1619B"/>
    <w:rsid w:val="00C161B1"/>
    <w:rsid w:val="00C16ABD"/>
    <w:rsid w:val="00C16DB7"/>
    <w:rsid w:val="00C17010"/>
    <w:rsid w:val="00C170CD"/>
    <w:rsid w:val="00C203DD"/>
    <w:rsid w:val="00C206AD"/>
    <w:rsid w:val="00C20AC7"/>
    <w:rsid w:val="00C20C8D"/>
    <w:rsid w:val="00C2150E"/>
    <w:rsid w:val="00C21638"/>
    <w:rsid w:val="00C22A4F"/>
    <w:rsid w:val="00C22AF2"/>
    <w:rsid w:val="00C23944"/>
    <w:rsid w:val="00C24AB9"/>
    <w:rsid w:val="00C254B9"/>
    <w:rsid w:val="00C25745"/>
    <w:rsid w:val="00C25EC3"/>
    <w:rsid w:val="00C2699F"/>
    <w:rsid w:val="00C26A9A"/>
    <w:rsid w:val="00C2789E"/>
    <w:rsid w:val="00C31020"/>
    <w:rsid w:val="00C318BD"/>
    <w:rsid w:val="00C319B3"/>
    <w:rsid w:val="00C31F3A"/>
    <w:rsid w:val="00C321A2"/>
    <w:rsid w:val="00C32375"/>
    <w:rsid w:val="00C3279E"/>
    <w:rsid w:val="00C32DFB"/>
    <w:rsid w:val="00C331C8"/>
    <w:rsid w:val="00C33652"/>
    <w:rsid w:val="00C33D3F"/>
    <w:rsid w:val="00C34AEA"/>
    <w:rsid w:val="00C35362"/>
    <w:rsid w:val="00C3633D"/>
    <w:rsid w:val="00C3674D"/>
    <w:rsid w:val="00C368AE"/>
    <w:rsid w:val="00C375B0"/>
    <w:rsid w:val="00C43BEA"/>
    <w:rsid w:val="00C43E10"/>
    <w:rsid w:val="00C444ED"/>
    <w:rsid w:val="00C44FCD"/>
    <w:rsid w:val="00C45AE3"/>
    <w:rsid w:val="00C466BB"/>
    <w:rsid w:val="00C478BF"/>
    <w:rsid w:val="00C47DD1"/>
    <w:rsid w:val="00C50E27"/>
    <w:rsid w:val="00C5150B"/>
    <w:rsid w:val="00C51712"/>
    <w:rsid w:val="00C51786"/>
    <w:rsid w:val="00C517B2"/>
    <w:rsid w:val="00C5207B"/>
    <w:rsid w:val="00C520DA"/>
    <w:rsid w:val="00C5325F"/>
    <w:rsid w:val="00C54FE7"/>
    <w:rsid w:val="00C5536E"/>
    <w:rsid w:val="00C55DC3"/>
    <w:rsid w:val="00C567B6"/>
    <w:rsid w:val="00C629EC"/>
    <w:rsid w:val="00C63067"/>
    <w:rsid w:val="00C63388"/>
    <w:rsid w:val="00C634C6"/>
    <w:rsid w:val="00C64826"/>
    <w:rsid w:val="00C64A4C"/>
    <w:rsid w:val="00C64B05"/>
    <w:rsid w:val="00C64FDE"/>
    <w:rsid w:val="00C651A6"/>
    <w:rsid w:val="00C66C3E"/>
    <w:rsid w:val="00C67AE3"/>
    <w:rsid w:val="00C70D65"/>
    <w:rsid w:val="00C7120E"/>
    <w:rsid w:val="00C71781"/>
    <w:rsid w:val="00C722D2"/>
    <w:rsid w:val="00C73612"/>
    <w:rsid w:val="00C74571"/>
    <w:rsid w:val="00C7485A"/>
    <w:rsid w:val="00C74DA9"/>
    <w:rsid w:val="00C75744"/>
    <w:rsid w:val="00C758C6"/>
    <w:rsid w:val="00C75D1C"/>
    <w:rsid w:val="00C76C3D"/>
    <w:rsid w:val="00C76CC3"/>
    <w:rsid w:val="00C76D8D"/>
    <w:rsid w:val="00C80AEB"/>
    <w:rsid w:val="00C81055"/>
    <w:rsid w:val="00C814EC"/>
    <w:rsid w:val="00C81DB9"/>
    <w:rsid w:val="00C834FE"/>
    <w:rsid w:val="00C86A07"/>
    <w:rsid w:val="00C900B7"/>
    <w:rsid w:val="00C90427"/>
    <w:rsid w:val="00C91123"/>
    <w:rsid w:val="00C914B3"/>
    <w:rsid w:val="00C919E6"/>
    <w:rsid w:val="00C92C2B"/>
    <w:rsid w:val="00C935F6"/>
    <w:rsid w:val="00C93DA9"/>
    <w:rsid w:val="00C9443A"/>
    <w:rsid w:val="00C95594"/>
    <w:rsid w:val="00C95608"/>
    <w:rsid w:val="00C96C57"/>
    <w:rsid w:val="00C97B15"/>
    <w:rsid w:val="00C97CC7"/>
    <w:rsid w:val="00CA1EC7"/>
    <w:rsid w:val="00CA32C8"/>
    <w:rsid w:val="00CA3E2C"/>
    <w:rsid w:val="00CA44EC"/>
    <w:rsid w:val="00CA4591"/>
    <w:rsid w:val="00CA52BD"/>
    <w:rsid w:val="00CA5337"/>
    <w:rsid w:val="00CA6CB9"/>
    <w:rsid w:val="00CA76FE"/>
    <w:rsid w:val="00CA7AC1"/>
    <w:rsid w:val="00CA7B8E"/>
    <w:rsid w:val="00CB13AF"/>
    <w:rsid w:val="00CB2CFD"/>
    <w:rsid w:val="00CB2E19"/>
    <w:rsid w:val="00CB2EF6"/>
    <w:rsid w:val="00CB3618"/>
    <w:rsid w:val="00CB414A"/>
    <w:rsid w:val="00CB4B16"/>
    <w:rsid w:val="00CB5816"/>
    <w:rsid w:val="00CB5F6A"/>
    <w:rsid w:val="00CB6B14"/>
    <w:rsid w:val="00CB70D9"/>
    <w:rsid w:val="00CB783F"/>
    <w:rsid w:val="00CB790D"/>
    <w:rsid w:val="00CB7F4B"/>
    <w:rsid w:val="00CC0836"/>
    <w:rsid w:val="00CC0B33"/>
    <w:rsid w:val="00CC1996"/>
    <w:rsid w:val="00CC1C96"/>
    <w:rsid w:val="00CC242E"/>
    <w:rsid w:val="00CC3DD4"/>
    <w:rsid w:val="00CC3E5F"/>
    <w:rsid w:val="00CC3F07"/>
    <w:rsid w:val="00CC41F6"/>
    <w:rsid w:val="00CC4229"/>
    <w:rsid w:val="00CC43C1"/>
    <w:rsid w:val="00CC48B2"/>
    <w:rsid w:val="00CC4AB8"/>
    <w:rsid w:val="00CC59D5"/>
    <w:rsid w:val="00CC7897"/>
    <w:rsid w:val="00CC78BA"/>
    <w:rsid w:val="00CC7C8A"/>
    <w:rsid w:val="00CC7E00"/>
    <w:rsid w:val="00CD03CB"/>
    <w:rsid w:val="00CD03EB"/>
    <w:rsid w:val="00CD055D"/>
    <w:rsid w:val="00CD0C7E"/>
    <w:rsid w:val="00CD1152"/>
    <w:rsid w:val="00CD1F75"/>
    <w:rsid w:val="00CD3AF7"/>
    <w:rsid w:val="00CD3C36"/>
    <w:rsid w:val="00CD416A"/>
    <w:rsid w:val="00CD4258"/>
    <w:rsid w:val="00CD4447"/>
    <w:rsid w:val="00CD518C"/>
    <w:rsid w:val="00CD570B"/>
    <w:rsid w:val="00CD576C"/>
    <w:rsid w:val="00CD64EF"/>
    <w:rsid w:val="00CD687C"/>
    <w:rsid w:val="00CD796C"/>
    <w:rsid w:val="00CD7EC2"/>
    <w:rsid w:val="00CE0B05"/>
    <w:rsid w:val="00CE0FDB"/>
    <w:rsid w:val="00CE1CA0"/>
    <w:rsid w:val="00CE3A89"/>
    <w:rsid w:val="00CE4AEF"/>
    <w:rsid w:val="00CE5167"/>
    <w:rsid w:val="00CE592E"/>
    <w:rsid w:val="00CE5B19"/>
    <w:rsid w:val="00CE5CC8"/>
    <w:rsid w:val="00CE5DD9"/>
    <w:rsid w:val="00CE631A"/>
    <w:rsid w:val="00CE7656"/>
    <w:rsid w:val="00CE79A4"/>
    <w:rsid w:val="00CF0F6C"/>
    <w:rsid w:val="00CF1064"/>
    <w:rsid w:val="00CF1584"/>
    <w:rsid w:val="00CF19A9"/>
    <w:rsid w:val="00CF3102"/>
    <w:rsid w:val="00CF39CE"/>
    <w:rsid w:val="00CF5B29"/>
    <w:rsid w:val="00CF619B"/>
    <w:rsid w:val="00CF6683"/>
    <w:rsid w:val="00CF6C0C"/>
    <w:rsid w:val="00CF707C"/>
    <w:rsid w:val="00CF710A"/>
    <w:rsid w:val="00CF78BD"/>
    <w:rsid w:val="00CF7D9F"/>
    <w:rsid w:val="00D010D9"/>
    <w:rsid w:val="00D014C8"/>
    <w:rsid w:val="00D0215F"/>
    <w:rsid w:val="00D024D9"/>
    <w:rsid w:val="00D03309"/>
    <w:rsid w:val="00D033AA"/>
    <w:rsid w:val="00D037AA"/>
    <w:rsid w:val="00D04691"/>
    <w:rsid w:val="00D05215"/>
    <w:rsid w:val="00D0606D"/>
    <w:rsid w:val="00D070EB"/>
    <w:rsid w:val="00D07309"/>
    <w:rsid w:val="00D07435"/>
    <w:rsid w:val="00D0787B"/>
    <w:rsid w:val="00D07B88"/>
    <w:rsid w:val="00D07B9E"/>
    <w:rsid w:val="00D07EA8"/>
    <w:rsid w:val="00D1140D"/>
    <w:rsid w:val="00D11BC8"/>
    <w:rsid w:val="00D123BF"/>
    <w:rsid w:val="00D13D58"/>
    <w:rsid w:val="00D14D02"/>
    <w:rsid w:val="00D14E55"/>
    <w:rsid w:val="00D15783"/>
    <w:rsid w:val="00D16140"/>
    <w:rsid w:val="00D163DB"/>
    <w:rsid w:val="00D16930"/>
    <w:rsid w:val="00D16CA9"/>
    <w:rsid w:val="00D17000"/>
    <w:rsid w:val="00D17430"/>
    <w:rsid w:val="00D17665"/>
    <w:rsid w:val="00D17864"/>
    <w:rsid w:val="00D201D8"/>
    <w:rsid w:val="00D202B1"/>
    <w:rsid w:val="00D20A4F"/>
    <w:rsid w:val="00D20EFB"/>
    <w:rsid w:val="00D21261"/>
    <w:rsid w:val="00D21E6B"/>
    <w:rsid w:val="00D225EE"/>
    <w:rsid w:val="00D23F5E"/>
    <w:rsid w:val="00D24403"/>
    <w:rsid w:val="00D24F4D"/>
    <w:rsid w:val="00D2566D"/>
    <w:rsid w:val="00D26E48"/>
    <w:rsid w:val="00D30228"/>
    <w:rsid w:val="00D31547"/>
    <w:rsid w:val="00D31A9E"/>
    <w:rsid w:val="00D329CF"/>
    <w:rsid w:val="00D32E7B"/>
    <w:rsid w:val="00D32FDA"/>
    <w:rsid w:val="00D333D1"/>
    <w:rsid w:val="00D33471"/>
    <w:rsid w:val="00D3364A"/>
    <w:rsid w:val="00D3371C"/>
    <w:rsid w:val="00D33CC5"/>
    <w:rsid w:val="00D33FD7"/>
    <w:rsid w:val="00D3401B"/>
    <w:rsid w:val="00D3554F"/>
    <w:rsid w:val="00D35AB9"/>
    <w:rsid w:val="00D35B57"/>
    <w:rsid w:val="00D36059"/>
    <w:rsid w:val="00D377D1"/>
    <w:rsid w:val="00D37B37"/>
    <w:rsid w:val="00D37D03"/>
    <w:rsid w:val="00D37E06"/>
    <w:rsid w:val="00D400D6"/>
    <w:rsid w:val="00D4024B"/>
    <w:rsid w:val="00D408FE"/>
    <w:rsid w:val="00D41875"/>
    <w:rsid w:val="00D43391"/>
    <w:rsid w:val="00D43A14"/>
    <w:rsid w:val="00D43C00"/>
    <w:rsid w:val="00D43C5F"/>
    <w:rsid w:val="00D43FAE"/>
    <w:rsid w:val="00D44663"/>
    <w:rsid w:val="00D454EC"/>
    <w:rsid w:val="00D45A96"/>
    <w:rsid w:val="00D45CF5"/>
    <w:rsid w:val="00D45D20"/>
    <w:rsid w:val="00D45D79"/>
    <w:rsid w:val="00D4691D"/>
    <w:rsid w:val="00D46CCD"/>
    <w:rsid w:val="00D46D9D"/>
    <w:rsid w:val="00D47283"/>
    <w:rsid w:val="00D474BE"/>
    <w:rsid w:val="00D4771D"/>
    <w:rsid w:val="00D513C7"/>
    <w:rsid w:val="00D5220A"/>
    <w:rsid w:val="00D52504"/>
    <w:rsid w:val="00D52632"/>
    <w:rsid w:val="00D52DFB"/>
    <w:rsid w:val="00D53784"/>
    <w:rsid w:val="00D5419D"/>
    <w:rsid w:val="00D5422F"/>
    <w:rsid w:val="00D54473"/>
    <w:rsid w:val="00D5510B"/>
    <w:rsid w:val="00D55F7B"/>
    <w:rsid w:val="00D56239"/>
    <w:rsid w:val="00D56817"/>
    <w:rsid w:val="00D57955"/>
    <w:rsid w:val="00D60014"/>
    <w:rsid w:val="00D60189"/>
    <w:rsid w:val="00D6022F"/>
    <w:rsid w:val="00D624A6"/>
    <w:rsid w:val="00D63410"/>
    <w:rsid w:val="00D63F99"/>
    <w:rsid w:val="00D6493E"/>
    <w:rsid w:val="00D64E56"/>
    <w:rsid w:val="00D655AB"/>
    <w:rsid w:val="00D655F7"/>
    <w:rsid w:val="00D66969"/>
    <w:rsid w:val="00D673AC"/>
    <w:rsid w:val="00D70879"/>
    <w:rsid w:val="00D70B69"/>
    <w:rsid w:val="00D719A4"/>
    <w:rsid w:val="00D72929"/>
    <w:rsid w:val="00D72F75"/>
    <w:rsid w:val="00D731A3"/>
    <w:rsid w:val="00D7352B"/>
    <w:rsid w:val="00D73E40"/>
    <w:rsid w:val="00D74379"/>
    <w:rsid w:val="00D74BF2"/>
    <w:rsid w:val="00D76BF0"/>
    <w:rsid w:val="00D81B91"/>
    <w:rsid w:val="00D820B4"/>
    <w:rsid w:val="00D82B1D"/>
    <w:rsid w:val="00D833E0"/>
    <w:rsid w:val="00D83490"/>
    <w:rsid w:val="00D83530"/>
    <w:rsid w:val="00D8360B"/>
    <w:rsid w:val="00D8378A"/>
    <w:rsid w:val="00D842C9"/>
    <w:rsid w:val="00D84EAE"/>
    <w:rsid w:val="00D9194A"/>
    <w:rsid w:val="00D946E3"/>
    <w:rsid w:val="00D950CB"/>
    <w:rsid w:val="00D95AC0"/>
    <w:rsid w:val="00D9626C"/>
    <w:rsid w:val="00D968F9"/>
    <w:rsid w:val="00D96F8B"/>
    <w:rsid w:val="00D97085"/>
    <w:rsid w:val="00D97307"/>
    <w:rsid w:val="00DA06FD"/>
    <w:rsid w:val="00DA0DBD"/>
    <w:rsid w:val="00DA1F10"/>
    <w:rsid w:val="00DA22FE"/>
    <w:rsid w:val="00DA2677"/>
    <w:rsid w:val="00DA2AA1"/>
    <w:rsid w:val="00DA345C"/>
    <w:rsid w:val="00DA3C20"/>
    <w:rsid w:val="00DA443E"/>
    <w:rsid w:val="00DA5EA8"/>
    <w:rsid w:val="00DA6D26"/>
    <w:rsid w:val="00DA73CD"/>
    <w:rsid w:val="00DA7DF9"/>
    <w:rsid w:val="00DA7DFC"/>
    <w:rsid w:val="00DB05B4"/>
    <w:rsid w:val="00DB0839"/>
    <w:rsid w:val="00DB0D29"/>
    <w:rsid w:val="00DB181E"/>
    <w:rsid w:val="00DB2628"/>
    <w:rsid w:val="00DB2868"/>
    <w:rsid w:val="00DB29D4"/>
    <w:rsid w:val="00DB2C4B"/>
    <w:rsid w:val="00DB5344"/>
    <w:rsid w:val="00DB58EB"/>
    <w:rsid w:val="00DB5B44"/>
    <w:rsid w:val="00DB617C"/>
    <w:rsid w:val="00DB61ED"/>
    <w:rsid w:val="00DB6FD2"/>
    <w:rsid w:val="00DB70CC"/>
    <w:rsid w:val="00DB733B"/>
    <w:rsid w:val="00DB7DF2"/>
    <w:rsid w:val="00DC03A4"/>
    <w:rsid w:val="00DC0E1D"/>
    <w:rsid w:val="00DC0FA3"/>
    <w:rsid w:val="00DC1427"/>
    <w:rsid w:val="00DC1660"/>
    <w:rsid w:val="00DC41BB"/>
    <w:rsid w:val="00DC48DF"/>
    <w:rsid w:val="00DC5810"/>
    <w:rsid w:val="00DC60E6"/>
    <w:rsid w:val="00DC61C7"/>
    <w:rsid w:val="00DC717D"/>
    <w:rsid w:val="00DD00E5"/>
    <w:rsid w:val="00DD1856"/>
    <w:rsid w:val="00DD1867"/>
    <w:rsid w:val="00DD1D9B"/>
    <w:rsid w:val="00DD2782"/>
    <w:rsid w:val="00DD2897"/>
    <w:rsid w:val="00DD2D3B"/>
    <w:rsid w:val="00DD4692"/>
    <w:rsid w:val="00DD4932"/>
    <w:rsid w:val="00DD5485"/>
    <w:rsid w:val="00DD5771"/>
    <w:rsid w:val="00DD6A30"/>
    <w:rsid w:val="00DD6EB7"/>
    <w:rsid w:val="00DE0584"/>
    <w:rsid w:val="00DE0EC4"/>
    <w:rsid w:val="00DE1295"/>
    <w:rsid w:val="00DE17A7"/>
    <w:rsid w:val="00DE1814"/>
    <w:rsid w:val="00DE2CAD"/>
    <w:rsid w:val="00DE30CB"/>
    <w:rsid w:val="00DE37C2"/>
    <w:rsid w:val="00DE3903"/>
    <w:rsid w:val="00DE3F0E"/>
    <w:rsid w:val="00DE4DE9"/>
    <w:rsid w:val="00DE4F14"/>
    <w:rsid w:val="00DE531D"/>
    <w:rsid w:val="00DE583E"/>
    <w:rsid w:val="00DE5E54"/>
    <w:rsid w:val="00DE5F1E"/>
    <w:rsid w:val="00DE6A4F"/>
    <w:rsid w:val="00DE7124"/>
    <w:rsid w:val="00DE78D0"/>
    <w:rsid w:val="00DE7F7F"/>
    <w:rsid w:val="00DF1557"/>
    <w:rsid w:val="00DF15A6"/>
    <w:rsid w:val="00DF1CC9"/>
    <w:rsid w:val="00DF23D5"/>
    <w:rsid w:val="00DF3174"/>
    <w:rsid w:val="00DF3AD3"/>
    <w:rsid w:val="00DF43D8"/>
    <w:rsid w:val="00DF457E"/>
    <w:rsid w:val="00DF4BB7"/>
    <w:rsid w:val="00DF551E"/>
    <w:rsid w:val="00DF58B8"/>
    <w:rsid w:val="00DF6B61"/>
    <w:rsid w:val="00DF6BA5"/>
    <w:rsid w:val="00DF7A17"/>
    <w:rsid w:val="00E002FB"/>
    <w:rsid w:val="00E0086F"/>
    <w:rsid w:val="00E008CD"/>
    <w:rsid w:val="00E00DC6"/>
    <w:rsid w:val="00E00FFC"/>
    <w:rsid w:val="00E01147"/>
    <w:rsid w:val="00E016A7"/>
    <w:rsid w:val="00E02131"/>
    <w:rsid w:val="00E02BC8"/>
    <w:rsid w:val="00E02C75"/>
    <w:rsid w:val="00E031CA"/>
    <w:rsid w:val="00E0498B"/>
    <w:rsid w:val="00E04AA2"/>
    <w:rsid w:val="00E05746"/>
    <w:rsid w:val="00E05C5D"/>
    <w:rsid w:val="00E05FDD"/>
    <w:rsid w:val="00E06642"/>
    <w:rsid w:val="00E06D81"/>
    <w:rsid w:val="00E07267"/>
    <w:rsid w:val="00E07547"/>
    <w:rsid w:val="00E11249"/>
    <w:rsid w:val="00E12567"/>
    <w:rsid w:val="00E12F04"/>
    <w:rsid w:val="00E13425"/>
    <w:rsid w:val="00E14092"/>
    <w:rsid w:val="00E14B56"/>
    <w:rsid w:val="00E15453"/>
    <w:rsid w:val="00E15591"/>
    <w:rsid w:val="00E15894"/>
    <w:rsid w:val="00E15C3B"/>
    <w:rsid w:val="00E1641F"/>
    <w:rsid w:val="00E16B76"/>
    <w:rsid w:val="00E17169"/>
    <w:rsid w:val="00E1742D"/>
    <w:rsid w:val="00E17612"/>
    <w:rsid w:val="00E17A9C"/>
    <w:rsid w:val="00E17D9D"/>
    <w:rsid w:val="00E17FDF"/>
    <w:rsid w:val="00E21457"/>
    <w:rsid w:val="00E21A0C"/>
    <w:rsid w:val="00E22543"/>
    <w:rsid w:val="00E23294"/>
    <w:rsid w:val="00E2464E"/>
    <w:rsid w:val="00E25313"/>
    <w:rsid w:val="00E2573F"/>
    <w:rsid w:val="00E25A48"/>
    <w:rsid w:val="00E26764"/>
    <w:rsid w:val="00E27669"/>
    <w:rsid w:val="00E2778B"/>
    <w:rsid w:val="00E2784E"/>
    <w:rsid w:val="00E279B6"/>
    <w:rsid w:val="00E3011F"/>
    <w:rsid w:val="00E309BA"/>
    <w:rsid w:val="00E30B56"/>
    <w:rsid w:val="00E315E2"/>
    <w:rsid w:val="00E31AE4"/>
    <w:rsid w:val="00E3226E"/>
    <w:rsid w:val="00E336F2"/>
    <w:rsid w:val="00E33A86"/>
    <w:rsid w:val="00E33E37"/>
    <w:rsid w:val="00E33F4C"/>
    <w:rsid w:val="00E36554"/>
    <w:rsid w:val="00E36D20"/>
    <w:rsid w:val="00E37169"/>
    <w:rsid w:val="00E373E1"/>
    <w:rsid w:val="00E3774A"/>
    <w:rsid w:val="00E37C6B"/>
    <w:rsid w:val="00E40C3C"/>
    <w:rsid w:val="00E41E7C"/>
    <w:rsid w:val="00E4237C"/>
    <w:rsid w:val="00E42905"/>
    <w:rsid w:val="00E4354F"/>
    <w:rsid w:val="00E435D1"/>
    <w:rsid w:val="00E43E97"/>
    <w:rsid w:val="00E44455"/>
    <w:rsid w:val="00E44B04"/>
    <w:rsid w:val="00E46670"/>
    <w:rsid w:val="00E4754B"/>
    <w:rsid w:val="00E4796F"/>
    <w:rsid w:val="00E47D7D"/>
    <w:rsid w:val="00E503D6"/>
    <w:rsid w:val="00E5098F"/>
    <w:rsid w:val="00E51452"/>
    <w:rsid w:val="00E525A5"/>
    <w:rsid w:val="00E52CBD"/>
    <w:rsid w:val="00E53C47"/>
    <w:rsid w:val="00E53DF9"/>
    <w:rsid w:val="00E5453F"/>
    <w:rsid w:val="00E55143"/>
    <w:rsid w:val="00E5543F"/>
    <w:rsid w:val="00E56BF1"/>
    <w:rsid w:val="00E56FC7"/>
    <w:rsid w:val="00E57DDD"/>
    <w:rsid w:val="00E57FC2"/>
    <w:rsid w:val="00E603C5"/>
    <w:rsid w:val="00E603F0"/>
    <w:rsid w:val="00E60407"/>
    <w:rsid w:val="00E61ADF"/>
    <w:rsid w:val="00E62104"/>
    <w:rsid w:val="00E625D3"/>
    <w:rsid w:val="00E63B09"/>
    <w:rsid w:val="00E63B4E"/>
    <w:rsid w:val="00E63B5C"/>
    <w:rsid w:val="00E6558E"/>
    <w:rsid w:val="00E6633E"/>
    <w:rsid w:val="00E66456"/>
    <w:rsid w:val="00E667C2"/>
    <w:rsid w:val="00E67507"/>
    <w:rsid w:val="00E711E7"/>
    <w:rsid w:val="00E72071"/>
    <w:rsid w:val="00E72870"/>
    <w:rsid w:val="00E72B0B"/>
    <w:rsid w:val="00E72FBF"/>
    <w:rsid w:val="00E74A46"/>
    <w:rsid w:val="00E75510"/>
    <w:rsid w:val="00E75D30"/>
    <w:rsid w:val="00E761E0"/>
    <w:rsid w:val="00E76A96"/>
    <w:rsid w:val="00E7779C"/>
    <w:rsid w:val="00E77F56"/>
    <w:rsid w:val="00E80D5B"/>
    <w:rsid w:val="00E81911"/>
    <w:rsid w:val="00E84025"/>
    <w:rsid w:val="00E84BBD"/>
    <w:rsid w:val="00E84F11"/>
    <w:rsid w:val="00E852C6"/>
    <w:rsid w:val="00E859E8"/>
    <w:rsid w:val="00E85A7F"/>
    <w:rsid w:val="00E869BA"/>
    <w:rsid w:val="00E86B6F"/>
    <w:rsid w:val="00E86C6D"/>
    <w:rsid w:val="00E86DDF"/>
    <w:rsid w:val="00E90730"/>
    <w:rsid w:val="00E91D4D"/>
    <w:rsid w:val="00E91D8D"/>
    <w:rsid w:val="00E92106"/>
    <w:rsid w:val="00E95781"/>
    <w:rsid w:val="00E95EF1"/>
    <w:rsid w:val="00E96CE6"/>
    <w:rsid w:val="00E9752E"/>
    <w:rsid w:val="00E97AD9"/>
    <w:rsid w:val="00E97C0B"/>
    <w:rsid w:val="00EA0060"/>
    <w:rsid w:val="00EA01E6"/>
    <w:rsid w:val="00EA1641"/>
    <w:rsid w:val="00EA2255"/>
    <w:rsid w:val="00EA2763"/>
    <w:rsid w:val="00EA2AAB"/>
    <w:rsid w:val="00EA2F1B"/>
    <w:rsid w:val="00EA3676"/>
    <w:rsid w:val="00EA3FE7"/>
    <w:rsid w:val="00EA45AF"/>
    <w:rsid w:val="00EA5F29"/>
    <w:rsid w:val="00EA6C28"/>
    <w:rsid w:val="00EA6D88"/>
    <w:rsid w:val="00EA79B1"/>
    <w:rsid w:val="00EB017F"/>
    <w:rsid w:val="00EB0467"/>
    <w:rsid w:val="00EB0870"/>
    <w:rsid w:val="00EB0FEB"/>
    <w:rsid w:val="00EB19F3"/>
    <w:rsid w:val="00EB1B10"/>
    <w:rsid w:val="00EB2317"/>
    <w:rsid w:val="00EB2BAB"/>
    <w:rsid w:val="00EB2CB1"/>
    <w:rsid w:val="00EB361C"/>
    <w:rsid w:val="00EB4215"/>
    <w:rsid w:val="00EB47AB"/>
    <w:rsid w:val="00EB47F5"/>
    <w:rsid w:val="00EB4CD8"/>
    <w:rsid w:val="00EB6369"/>
    <w:rsid w:val="00EB6C26"/>
    <w:rsid w:val="00EB6E59"/>
    <w:rsid w:val="00EB7266"/>
    <w:rsid w:val="00EB7CC5"/>
    <w:rsid w:val="00EC0A73"/>
    <w:rsid w:val="00EC1188"/>
    <w:rsid w:val="00EC1753"/>
    <w:rsid w:val="00EC1E14"/>
    <w:rsid w:val="00EC2371"/>
    <w:rsid w:val="00EC2713"/>
    <w:rsid w:val="00EC2B7A"/>
    <w:rsid w:val="00EC2D16"/>
    <w:rsid w:val="00EC2D71"/>
    <w:rsid w:val="00EC3C79"/>
    <w:rsid w:val="00EC4A4A"/>
    <w:rsid w:val="00EC4EE7"/>
    <w:rsid w:val="00EC50A5"/>
    <w:rsid w:val="00EC561E"/>
    <w:rsid w:val="00EC64AC"/>
    <w:rsid w:val="00EC772C"/>
    <w:rsid w:val="00EC7E4E"/>
    <w:rsid w:val="00ED0409"/>
    <w:rsid w:val="00ED0733"/>
    <w:rsid w:val="00ED28BC"/>
    <w:rsid w:val="00ED29F0"/>
    <w:rsid w:val="00ED2E58"/>
    <w:rsid w:val="00ED326A"/>
    <w:rsid w:val="00ED32C7"/>
    <w:rsid w:val="00ED34A7"/>
    <w:rsid w:val="00ED49EE"/>
    <w:rsid w:val="00ED5487"/>
    <w:rsid w:val="00ED56D3"/>
    <w:rsid w:val="00ED62A3"/>
    <w:rsid w:val="00ED6665"/>
    <w:rsid w:val="00ED68F2"/>
    <w:rsid w:val="00ED6E9E"/>
    <w:rsid w:val="00EE0D1C"/>
    <w:rsid w:val="00EE0F81"/>
    <w:rsid w:val="00EE12A8"/>
    <w:rsid w:val="00EE2200"/>
    <w:rsid w:val="00EE2A98"/>
    <w:rsid w:val="00EE3420"/>
    <w:rsid w:val="00EE3EF4"/>
    <w:rsid w:val="00EE478A"/>
    <w:rsid w:val="00EE5C77"/>
    <w:rsid w:val="00EE5F7B"/>
    <w:rsid w:val="00EE62C4"/>
    <w:rsid w:val="00EE633F"/>
    <w:rsid w:val="00EE6E50"/>
    <w:rsid w:val="00EE7341"/>
    <w:rsid w:val="00EE7D39"/>
    <w:rsid w:val="00EF03F4"/>
    <w:rsid w:val="00EF0CAC"/>
    <w:rsid w:val="00EF0FA5"/>
    <w:rsid w:val="00EF1753"/>
    <w:rsid w:val="00EF231B"/>
    <w:rsid w:val="00EF2A14"/>
    <w:rsid w:val="00EF2F51"/>
    <w:rsid w:val="00EF336A"/>
    <w:rsid w:val="00EF4692"/>
    <w:rsid w:val="00EF51AF"/>
    <w:rsid w:val="00EF562C"/>
    <w:rsid w:val="00EF6177"/>
    <w:rsid w:val="00EF63CD"/>
    <w:rsid w:val="00EF79EF"/>
    <w:rsid w:val="00EF7E13"/>
    <w:rsid w:val="00F00B30"/>
    <w:rsid w:val="00F00DEE"/>
    <w:rsid w:val="00F01B28"/>
    <w:rsid w:val="00F01C46"/>
    <w:rsid w:val="00F01F5C"/>
    <w:rsid w:val="00F02A8D"/>
    <w:rsid w:val="00F02BAC"/>
    <w:rsid w:val="00F0495D"/>
    <w:rsid w:val="00F04B84"/>
    <w:rsid w:val="00F04C9F"/>
    <w:rsid w:val="00F04F60"/>
    <w:rsid w:val="00F05AA0"/>
    <w:rsid w:val="00F05B54"/>
    <w:rsid w:val="00F0604C"/>
    <w:rsid w:val="00F062AB"/>
    <w:rsid w:val="00F06C7A"/>
    <w:rsid w:val="00F070CA"/>
    <w:rsid w:val="00F07248"/>
    <w:rsid w:val="00F07648"/>
    <w:rsid w:val="00F076D5"/>
    <w:rsid w:val="00F078F2"/>
    <w:rsid w:val="00F11843"/>
    <w:rsid w:val="00F12908"/>
    <w:rsid w:val="00F12D77"/>
    <w:rsid w:val="00F13D8F"/>
    <w:rsid w:val="00F14C34"/>
    <w:rsid w:val="00F150D7"/>
    <w:rsid w:val="00F16139"/>
    <w:rsid w:val="00F1632A"/>
    <w:rsid w:val="00F170F2"/>
    <w:rsid w:val="00F1716F"/>
    <w:rsid w:val="00F17999"/>
    <w:rsid w:val="00F179A4"/>
    <w:rsid w:val="00F17B02"/>
    <w:rsid w:val="00F206EC"/>
    <w:rsid w:val="00F209E1"/>
    <w:rsid w:val="00F218EA"/>
    <w:rsid w:val="00F221E6"/>
    <w:rsid w:val="00F22C17"/>
    <w:rsid w:val="00F2303B"/>
    <w:rsid w:val="00F2327E"/>
    <w:rsid w:val="00F23285"/>
    <w:rsid w:val="00F23EDA"/>
    <w:rsid w:val="00F24256"/>
    <w:rsid w:val="00F24C6F"/>
    <w:rsid w:val="00F251D3"/>
    <w:rsid w:val="00F261CF"/>
    <w:rsid w:val="00F27381"/>
    <w:rsid w:val="00F2747B"/>
    <w:rsid w:val="00F27B0E"/>
    <w:rsid w:val="00F3016C"/>
    <w:rsid w:val="00F306F8"/>
    <w:rsid w:val="00F31550"/>
    <w:rsid w:val="00F31AA6"/>
    <w:rsid w:val="00F32257"/>
    <w:rsid w:val="00F332E8"/>
    <w:rsid w:val="00F3369B"/>
    <w:rsid w:val="00F359F4"/>
    <w:rsid w:val="00F35A72"/>
    <w:rsid w:val="00F411E2"/>
    <w:rsid w:val="00F423DE"/>
    <w:rsid w:val="00F447EA"/>
    <w:rsid w:val="00F449D5"/>
    <w:rsid w:val="00F4575B"/>
    <w:rsid w:val="00F462EB"/>
    <w:rsid w:val="00F4743F"/>
    <w:rsid w:val="00F47A66"/>
    <w:rsid w:val="00F47BA5"/>
    <w:rsid w:val="00F5028D"/>
    <w:rsid w:val="00F5079C"/>
    <w:rsid w:val="00F50A26"/>
    <w:rsid w:val="00F51B7A"/>
    <w:rsid w:val="00F51C53"/>
    <w:rsid w:val="00F52522"/>
    <w:rsid w:val="00F52D5C"/>
    <w:rsid w:val="00F542F0"/>
    <w:rsid w:val="00F546A0"/>
    <w:rsid w:val="00F5484F"/>
    <w:rsid w:val="00F556AD"/>
    <w:rsid w:val="00F56A40"/>
    <w:rsid w:val="00F56D10"/>
    <w:rsid w:val="00F60195"/>
    <w:rsid w:val="00F602E3"/>
    <w:rsid w:val="00F61DA8"/>
    <w:rsid w:val="00F6260F"/>
    <w:rsid w:val="00F635A3"/>
    <w:rsid w:val="00F63BAF"/>
    <w:rsid w:val="00F63C6C"/>
    <w:rsid w:val="00F659FD"/>
    <w:rsid w:val="00F660EC"/>
    <w:rsid w:val="00F662F2"/>
    <w:rsid w:val="00F66D6F"/>
    <w:rsid w:val="00F67501"/>
    <w:rsid w:val="00F675C6"/>
    <w:rsid w:val="00F676FD"/>
    <w:rsid w:val="00F67F09"/>
    <w:rsid w:val="00F70F44"/>
    <w:rsid w:val="00F72ECF"/>
    <w:rsid w:val="00F72F63"/>
    <w:rsid w:val="00F7316C"/>
    <w:rsid w:val="00F73179"/>
    <w:rsid w:val="00F73272"/>
    <w:rsid w:val="00F74422"/>
    <w:rsid w:val="00F74E1B"/>
    <w:rsid w:val="00F75C1D"/>
    <w:rsid w:val="00F75D2C"/>
    <w:rsid w:val="00F773A4"/>
    <w:rsid w:val="00F779A7"/>
    <w:rsid w:val="00F80A4A"/>
    <w:rsid w:val="00F80FA6"/>
    <w:rsid w:val="00F812C1"/>
    <w:rsid w:val="00F81908"/>
    <w:rsid w:val="00F825D3"/>
    <w:rsid w:val="00F826B7"/>
    <w:rsid w:val="00F82705"/>
    <w:rsid w:val="00F83B57"/>
    <w:rsid w:val="00F83EAE"/>
    <w:rsid w:val="00F83EC1"/>
    <w:rsid w:val="00F84157"/>
    <w:rsid w:val="00F846B6"/>
    <w:rsid w:val="00F86097"/>
    <w:rsid w:val="00F86A80"/>
    <w:rsid w:val="00F86E5D"/>
    <w:rsid w:val="00F90569"/>
    <w:rsid w:val="00F90CFD"/>
    <w:rsid w:val="00F91395"/>
    <w:rsid w:val="00F9236F"/>
    <w:rsid w:val="00F92681"/>
    <w:rsid w:val="00F92703"/>
    <w:rsid w:val="00F9323A"/>
    <w:rsid w:val="00F9343C"/>
    <w:rsid w:val="00F947C7"/>
    <w:rsid w:val="00F95138"/>
    <w:rsid w:val="00F952DB"/>
    <w:rsid w:val="00F95873"/>
    <w:rsid w:val="00F95C1E"/>
    <w:rsid w:val="00F9613A"/>
    <w:rsid w:val="00FA08F6"/>
    <w:rsid w:val="00FA0AB5"/>
    <w:rsid w:val="00FA0B47"/>
    <w:rsid w:val="00FA16BF"/>
    <w:rsid w:val="00FA27E4"/>
    <w:rsid w:val="00FA29E3"/>
    <w:rsid w:val="00FA2BE1"/>
    <w:rsid w:val="00FA306E"/>
    <w:rsid w:val="00FA3091"/>
    <w:rsid w:val="00FA370D"/>
    <w:rsid w:val="00FA384A"/>
    <w:rsid w:val="00FA39A2"/>
    <w:rsid w:val="00FA40EE"/>
    <w:rsid w:val="00FA4FC6"/>
    <w:rsid w:val="00FA5BA8"/>
    <w:rsid w:val="00FA66CC"/>
    <w:rsid w:val="00FA6848"/>
    <w:rsid w:val="00FA7080"/>
    <w:rsid w:val="00FA733F"/>
    <w:rsid w:val="00FA754D"/>
    <w:rsid w:val="00FA7795"/>
    <w:rsid w:val="00FB258C"/>
    <w:rsid w:val="00FB2A67"/>
    <w:rsid w:val="00FB2BB9"/>
    <w:rsid w:val="00FB3084"/>
    <w:rsid w:val="00FB3573"/>
    <w:rsid w:val="00FB3640"/>
    <w:rsid w:val="00FB3683"/>
    <w:rsid w:val="00FB49BD"/>
    <w:rsid w:val="00FB49D0"/>
    <w:rsid w:val="00FB5779"/>
    <w:rsid w:val="00FB62A9"/>
    <w:rsid w:val="00FB62DF"/>
    <w:rsid w:val="00FB70FC"/>
    <w:rsid w:val="00FB758A"/>
    <w:rsid w:val="00FB78ED"/>
    <w:rsid w:val="00FB7D8C"/>
    <w:rsid w:val="00FC0158"/>
    <w:rsid w:val="00FC02A8"/>
    <w:rsid w:val="00FC07AF"/>
    <w:rsid w:val="00FC0C03"/>
    <w:rsid w:val="00FC0EFB"/>
    <w:rsid w:val="00FC13B0"/>
    <w:rsid w:val="00FC45BA"/>
    <w:rsid w:val="00FC4601"/>
    <w:rsid w:val="00FC4B53"/>
    <w:rsid w:val="00FC4C14"/>
    <w:rsid w:val="00FC57A2"/>
    <w:rsid w:val="00FC57B3"/>
    <w:rsid w:val="00FC58E6"/>
    <w:rsid w:val="00FC5959"/>
    <w:rsid w:val="00FC5DC6"/>
    <w:rsid w:val="00FC61F8"/>
    <w:rsid w:val="00FC63D1"/>
    <w:rsid w:val="00FC6BDC"/>
    <w:rsid w:val="00FC718E"/>
    <w:rsid w:val="00FC7208"/>
    <w:rsid w:val="00FD02C6"/>
    <w:rsid w:val="00FD0A29"/>
    <w:rsid w:val="00FD1939"/>
    <w:rsid w:val="00FD23AE"/>
    <w:rsid w:val="00FD26D2"/>
    <w:rsid w:val="00FD2A96"/>
    <w:rsid w:val="00FD5228"/>
    <w:rsid w:val="00FD5437"/>
    <w:rsid w:val="00FD550F"/>
    <w:rsid w:val="00FD74DC"/>
    <w:rsid w:val="00FD7533"/>
    <w:rsid w:val="00FD76B3"/>
    <w:rsid w:val="00FD796B"/>
    <w:rsid w:val="00FD7F1F"/>
    <w:rsid w:val="00FE094E"/>
    <w:rsid w:val="00FE11B9"/>
    <w:rsid w:val="00FE1835"/>
    <w:rsid w:val="00FE1983"/>
    <w:rsid w:val="00FE2544"/>
    <w:rsid w:val="00FE3955"/>
    <w:rsid w:val="00FE3E34"/>
    <w:rsid w:val="00FE3ECE"/>
    <w:rsid w:val="00FE5998"/>
    <w:rsid w:val="00FE5F64"/>
    <w:rsid w:val="00FE69E3"/>
    <w:rsid w:val="00FE6AD4"/>
    <w:rsid w:val="00FE6E07"/>
    <w:rsid w:val="00FE70B7"/>
    <w:rsid w:val="00FE714A"/>
    <w:rsid w:val="00FE7489"/>
    <w:rsid w:val="00FF0434"/>
    <w:rsid w:val="00FF08FE"/>
    <w:rsid w:val="00FF10B8"/>
    <w:rsid w:val="00FF2327"/>
    <w:rsid w:val="00FF4C65"/>
    <w:rsid w:val="00FF4D26"/>
    <w:rsid w:val="00FF715C"/>
    <w:rsid w:val="00FF752E"/>
    <w:rsid w:val="00FF7CE1"/>
    <w:rsid w:val="00FF7FE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55D699F"/>
  <w15:docId w15:val="{11EAAC12-CE43-42CD-BAAA-B047CAB1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968"/>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1447CE"/>
    <w:pPr>
      <w:keepNext/>
      <w:keepLines/>
      <w:spacing w:after="240" w:line="240" w:lineRule="auto"/>
      <w:ind w:left="720" w:hanging="7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749B4"/>
    <w:pPr>
      <w:keepNext/>
      <w:keepLines/>
      <w:numPr>
        <w:numId w:val="4"/>
      </w:numPr>
      <w:spacing w:after="240" w:line="240" w:lineRule="auto"/>
      <w:ind w:hanging="720"/>
      <w:outlineLvl w:val="1"/>
    </w:pPr>
    <w:rPr>
      <w:rFonts w:eastAsiaTheme="majorEastAsia" w:cs="Times New Roman"/>
      <w:b/>
      <w:bCs/>
      <w:szCs w:val="24"/>
    </w:rPr>
  </w:style>
  <w:style w:type="paragraph" w:styleId="Heading3">
    <w:name w:val="heading 3"/>
    <w:basedOn w:val="Heading2"/>
    <w:next w:val="Normal"/>
    <w:link w:val="Heading3Char"/>
    <w:uiPriority w:val="9"/>
    <w:unhideWhenUsed/>
    <w:qFormat/>
    <w:rsid w:val="00517686"/>
    <w:pPr>
      <w:numPr>
        <w:ilvl w:val="1"/>
      </w:numPr>
      <w:ind w:left="2160" w:hanging="720"/>
      <w:outlineLvl w:val="2"/>
    </w:pPr>
  </w:style>
  <w:style w:type="paragraph" w:styleId="Heading4">
    <w:name w:val="heading 4"/>
    <w:basedOn w:val="Heading3"/>
    <w:next w:val="Normal"/>
    <w:link w:val="Heading4Char"/>
    <w:uiPriority w:val="9"/>
    <w:unhideWhenUsed/>
    <w:qFormat/>
    <w:rsid w:val="00075B20"/>
    <w:pPr>
      <w:numPr>
        <w:ilvl w:val="2"/>
      </w:numPr>
      <w:ind w:left="288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9E7"/>
  </w:style>
  <w:style w:type="paragraph" w:styleId="Footer">
    <w:name w:val="footer"/>
    <w:basedOn w:val="Normal"/>
    <w:link w:val="FooterChar"/>
    <w:uiPriority w:val="99"/>
    <w:unhideWhenUsed/>
    <w:rsid w:val="0074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9E7"/>
  </w:style>
  <w:style w:type="paragraph" w:styleId="BalloonText">
    <w:name w:val="Balloon Text"/>
    <w:basedOn w:val="Normal"/>
    <w:link w:val="BalloonTextChar"/>
    <w:uiPriority w:val="99"/>
    <w:semiHidden/>
    <w:unhideWhenUsed/>
    <w:rsid w:val="00745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9E7"/>
    <w:rPr>
      <w:rFonts w:ascii="Tahoma" w:hAnsi="Tahoma" w:cs="Tahoma"/>
      <w:sz w:val="16"/>
      <w:szCs w:val="16"/>
    </w:rPr>
  </w:style>
  <w:style w:type="character" w:styleId="LineNumber">
    <w:name w:val="line number"/>
    <w:basedOn w:val="DefaultParagraphFont"/>
    <w:uiPriority w:val="99"/>
    <w:semiHidden/>
    <w:unhideWhenUsed/>
    <w:rsid w:val="008A5659"/>
  </w:style>
  <w:style w:type="paragraph" w:styleId="FootnoteText">
    <w:name w:val="footnote text"/>
    <w:basedOn w:val="Normal"/>
    <w:link w:val="FootnoteTextChar"/>
    <w:uiPriority w:val="99"/>
    <w:unhideWhenUsed/>
    <w:rsid w:val="00146E04"/>
    <w:pPr>
      <w:spacing w:after="0" w:line="240" w:lineRule="auto"/>
    </w:pPr>
    <w:rPr>
      <w:sz w:val="20"/>
      <w:szCs w:val="20"/>
    </w:rPr>
  </w:style>
  <w:style w:type="character" w:customStyle="1" w:styleId="FootnoteTextChar">
    <w:name w:val="Footnote Text Char"/>
    <w:basedOn w:val="DefaultParagraphFont"/>
    <w:link w:val="FootnoteText"/>
    <w:uiPriority w:val="99"/>
    <w:rsid w:val="00146E04"/>
    <w:rPr>
      <w:sz w:val="20"/>
      <w:szCs w:val="20"/>
    </w:rPr>
  </w:style>
  <w:style w:type="character" w:styleId="FootnoteReference">
    <w:name w:val="footnote reference"/>
    <w:basedOn w:val="DefaultParagraphFont"/>
    <w:uiPriority w:val="99"/>
    <w:unhideWhenUsed/>
    <w:rsid w:val="00146E04"/>
    <w:rPr>
      <w:vertAlign w:val="superscript"/>
    </w:rPr>
  </w:style>
  <w:style w:type="paragraph" w:styleId="ListParagraph">
    <w:name w:val="List Paragraph"/>
    <w:aliases w:val="ADB paragraph numbering,Bullets1,CBS List Item 2,Citation List,Graphic,H. List Paragraph,Ha,Heading 2_sj,List Paragraph (bulleted list),List Paragraph Char Char,List Paragraph1,Report Para,Resume Title,Table of contents numbered,heading 4"/>
    <w:basedOn w:val="Normal"/>
    <w:link w:val="ListParagraphChar"/>
    <w:uiPriority w:val="34"/>
    <w:qFormat/>
    <w:rsid w:val="00EC64AC"/>
    <w:pPr>
      <w:ind w:left="720"/>
      <w:contextualSpacing/>
    </w:pPr>
  </w:style>
  <w:style w:type="paragraph" w:styleId="NormalWeb">
    <w:name w:val="Normal (Web)"/>
    <w:basedOn w:val="Normal"/>
    <w:uiPriority w:val="99"/>
    <w:rsid w:val="0024266B"/>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24266B"/>
  </w:style>
  <w:style w:type="character" w:styleId="Hyperlink">
    <w:name w:val="Hyperlink"/>
    <w:basedOn w:val="DefaultParagraphFont"/>
    <w:uiPriority w:val="99"/>
    <w:unhideWhenUsed/>
    <w:rsid w:val="00822556"/>
    <w:rPr>
      <w:color w:val="0000FF" w:themeColor="hyperlink"/>
      <w:u w:val="single"/>
    </w:rPr>
  </w:style>
  <w:style w:type="paragraph" w:customStyle="1" w:styleId="Default">
    <w:name w:val="Default"/>
    <w:rsid w:val="00173CC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66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6695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447CE"/>
    <w:rPr>
      <w:rFonts w:ascii="Times New Roman" w:hAnsi="Times New Roman" w:eastAsiaTheme="majorEastAsia" w:cstheme="majorBidi"/>
      <w:b/>
      <w:sz w:val="24"/>
      <w:szCs w:val="32"/>
    </w:rPr>
  </w:style>
  <w:style w:type="paragraph" w:styleId="TOCHeading">
    <w:name w:val="TOC Heading"/>
    <w:basedOn w:val="Heading1"/>
    <w:next w:val="Normal"/>
    <w:uiPriority w:val="39"/>
    <w:unhideWhenUsed/>
    <w:qFormat/>
    <w:rsid w:val="004B3D7C"/>
    <w:pPr>
      <w:spacing w:line="259" w:lineRule="auto"/>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CD055D"/>
    <w:pPr>
      <w:tabs>
        <w:tab w:val="decimal" w:leader="dot" w:pos="9360"/>
      </w:tabs>
      <w:spacing w:after="240" w:line="240" w:lineRule="auto"/>
      <w:ind w:left="1440" w:hanging="720"/>
    </w:pPr>
    <w:rPr>
      <w:rFonts w:eastAsiaTheme="minorEastAsia" w:cs="Times New Roman"/>
    </w:rPr>
  </w:style>
  <w:style w:type="paragraph" w:styleId="TOC1">
    <w:name w:val="toc 1"/>
    <w:basedOn w:val="Normal"/>
    <w:next w:val="Normal"/>
    <w:autoRedefine/>
    <w:uiPriority w:val="39"/>
    <w:unhideWhenUsed/>
    <w:rsid w:val="00EB7CC5"/>
    <w:pPr>
      <w:tabs>
        <w:tab w:val="decimal" w:leader="dot" w:pos="9360"/>
      </w:tabs>
      <w:spacing w:after="240" w:line="240" w:lineRule="auto"/>
      <w:ind w:left="720" w:hanging="720"/>
    </w:pPr>
    <w:rPr>
      <w:rFonts w:eastAsiaTheme="minorEastAsia" w:cs="Times New Roman"/>
    </w:rPr>
  </w:style>
  <w:style w:type="paragraph" w:styleId="TOC3">
    <w:name w:val="toc 3"/>
    <w:basedOn w:val="Normal"/>
    <w:next w:val="Normal"/>
    <w:autoRedefine/>
    <w:uiPriority w:val="39"/>
    <w:unhideWhenUsed/>
    <w:rsid w:val="00CD055D"/>
    <w:pPr>
      <w:tabs>
        <w:tab w:val="decimal" w:leader="dot" w:pos="9360"/>
      </w:tabs>
      <w:spacing w:after="240" w:line="240" w:lineRule="auto"/>
      <w:ind w:left="2160" w:hanging="720"/>
    </w:pPr>
    <w:rPr>
      <w:rFonts w:eastAsiaTheme="minorEastAsia" w:cs="Times New Roman"/>
    </w:rPr>
  </w:style>
  <w:style w:type="table" w:customStyle="1" w:styleId="ListTable1Light1">
    <w:name w:val="List Table 1 Light1"/>
    <w:basedOn w:val="TableNormal"/>
    <w:uiPriority w:val="46"/>
    <w:rsid w:val="00980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9559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5945A2"/>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012F33"/>
    <w:rPr>
      <w:sz w:val="16"/>
      <w:szCs w:val="16"/>
    </w:rPr>
  </w:style>
  <w:style w:type="paragraph" w:styleId="CommentText">
    <w:name w:val="annotation text"/>
    <w:basedOn w:val="Normal"/>
    <w:link w:val="CommentTextChar"/>
    <w:uiPriority w:val="99"/>
    <w:unhideWhenUsed/>
    <w:rsid w:val="00012F33"/>
    <w:pPr>
      <w:spacing w:line="240" w:lineRule="auto"/>
    </w:pPr>
    <w:rPr>
      <w:sz w:val="20"/>
      <w:szCs w:val="20"/>
    </w:rPr>
  </w:style>
  <w:style w:type="character" w:customStyle="1" w:styleId="CommentTextChar">
    <w:name w:val="Comment Text Char"/>
    <w:basedOn w:val="DefaultParagraphFont"/>
    <w:link w:val="CommentText"/>
    <w:uiPriority w:val="99"/>
    <w:rsid w:val="00012F3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12F33"/>
    <w:rPr>
      <w:b/>
      <w:bCs/>
    </w:rPr>
  </w:style>
  <w:style w:type="character" w:customStyle="1" w:styleId="CommentSubjectChar">
    <w:name w:val="Comment Subject Char"/>
    <w:basedOn w:val="CommentTextChar"/>
    <w:link w:val="CommentSubject"/>
    <w:uiPriority w:val="99"/>
    <w:semiHidden/>
    <w:rsid w:val="00012F33"/>
    <w:rPr>
      <w:rFonts w:ascii="Times New Roman" w:hAnsi="Times New Roman"/>
      <w:b/>
      <w:bCs/>
      <w:sz w:val="20"/>
      <w:szCs w:val="20"/>
    </w:rPr>
  </w:style>
  <w:style w:type="character" w:customStyle="1" w:styleId="Heading2Char">
    <w:name w:val="Heading 2 Char"/>
    <w:basedOn w:val="DefaultParagraphFont"/>
    <w:link w:val="Heading2"/>
    <w:uiPriority w:val="9"/>
    <w:rsid w:val="001749B4"/>
    <w:rPr>
      <w:rFonts w:ascii="Times New Roman" w:hAnsi="Times New Roman" w:eastAsiaTheme="majorEastAsia" w:cs="Times New Roman"/>
      <w:b/>
      <w:bCs/>
      <w:sz w:val="24"/>
      <w:szCs w:val="24"/>
    </w:rPr>
  </w:style>
  <w:style w:type="character" w:customStyle="1" w:styleId="ListParagraphChar">
    <w:name w:val="List Paragraph Char"/>
    <w:aliases w:val="ADB paragraph numbering Char,Bullets1 Char,CBS List Item 2 Char,Citation List Char,Graphic Char,H. List Paragraph Char,Ha Char,Heading 2_sj Char,List Paragraph (bulleted list) Char,List Paragraph Char Char Char,List Paragraph1 Char"/>
    <w:basedOn w:val="DefaultParagraphFont"/>
    <w:link w:val="ListParagraph"/>
    <w:uiPriority w:val="34"/>
    <w:qFormat/>
    <w:rsid w:val="00864F4F"/>
    <w:rPr>
      <w:rFonts w:ascii="Times New Roman" w:hAnsi="Times New Roman"/>
      <w:sz w:val="24"/>
    </w:rPr>
  </w:style>
  <w:style w:type="paragraph" w:styleId="Revision">
    <w:name w:val="Revision"/>
    <w:hidden/>
    <w:uiPriority w:val="99"/>
    <w:semiHidden/>
    <w:rsid w:val="005551A3"/>
    <w:pPr>
      <w:spacing w:after="0" w:line="240" w:lineRule="auto"/>
    </w:pPr>
    <w:rPr>
      <w:rFonts w:ascii="Times New Roman" w:hAnsi="Times New Roman"/>
      <w:sz w:val="24"/>
    </w:rPr>
  </w:style>
  <w:style w:type="table" w:customStyle="1" w:styleId="TableGrid1">
    <w:name w:val="Table Grid1"/>
    <w:basedOn w:val="TableNormal"/>
    <w:next w:val="TableGrid"/>
    <w:uiPriority w:val="39"/>
    <w:rsid w:val="00A67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271F"/>
    <w:rPr>
      <w:color w:val="808080"/>
    </w:rPr>
  </w:style>
  <w:style w:type="character" w:customStyle="1" w:styleId="UnresolvedMention1">
    <w:name w:val="Unresolved Mention1"/>
    <w:basedOn w:val="DefaultParagraphFont"/>
    <w:uiPriority w:val="99"/>
    <w:semiHidden/>
    <w:unhideWhenUsed/>
    <w:rsid w:val="00D24F4D"/>
    <w:rPr>
      <w:color w:val="808080"/>
      <w:shd w:val="clear" w:color="auto" w:fill="E6E6E6"/>
    </w:rPr>
  </w:style>
  <w:style w:type="character" w:styleId="FollowedHyperlink">
    <w:name w:val="FollowedHyperlink"/>
    <w:basedOn w:val="DefaultParagraphFont"/>
    <w:uiPriority w:val="99"/>
    <w:semiHidden/>
    <w:unhideWhenUsed/>
    <w:rsid w:val="00D24F4D"/>
    <w:rPr>
      <w:color w:val="800080" w:themeColor="followedHyperlink"/>
      <w:u w:val="single"/>
    </w:rPr>
  </w:style>
  <w:style w:type="paragraph" w:customStyle="1" w:styleId="A">
    <w:name w:val="A:"/>
    <w:basedOn w:val="Normal"/>
    <w:next w:val="Normal"/>
    <w:link w:val="AChar"/>
    <w:autoRedefine/>
    <w:rsid w:val="00E47D7D"/>
    <w:pPr>
      <w:numPr>
        <w:numId w:val="1"/>
      </w:numPr>
      <w:spacing w:after="0"/>
      <w:ind w:left="1440" w:hanging="720"/>
      <w:jc w:val="both"/>
    </w:pPr>
    <w:rPr>
      <w:rFonts w:eastAsia="Times New Roman" w:cs="Times New Roman"/>
      <w:kern w:val="22"/>
      <w:szCs w:val="20"/>
    </w:rPr>
  </w:style>
  <w:style w:type="character" w:customStyle="1" w:styleId="AChar">
    <w:name w:val="A: Char"/>
    <w:link w:val="A"/>
    <w:rsid w:val="00E47D7D"/>
    <w:rPr>
      <w:rFonts w:ascii="Times New Roman" w:eastAsia="Times New Roman" w:hAnsi="Times New Roman" w:cs="Times New Roman"/>
      <w:kern w:val="22"/>
      <w:sz w:val="24"/>
      <w:szCs w:val="20"/>
    </w:rPr>
  </w:style>
  <w:style w:type="paragraph" w:styleId="List">
    <w:name w:val="List"/>
    <w:basedOn w:val="Normal"/>
    <w:autoRedefine/>
    <w:rsid w:val="00E47D7D"/>
    <w:pPr>
      <w:spacing w:after="0"/>
      <w:ind w:left="720" w:hanging="720"/>
    </w:pPr>
    <w:rPr>
      <w:rFonts w:eastAsia="Times New Roman" w:cs="Times New Roman"/>
      <w:kern w:val="22"/>
      <w:szCs w:val="20"/>
    </w:rPr>
  </w:style>
  <w:style w:type="character" w:customStyle="1" w:styleId="UnresolvedMention2">
    <w:name w:val="Unresolved Mention2"/>
    <w:basedOn w:val="DefaultParagraphFont"/>
    <w:uiPriority w:val="99"/>
    <w:semiHidden/>
    <w:unhideWhenUsed/>
    <w:rsid w:val="001D38D6"/>
    <w:rPr>
      <w:color w:val="605E5C"/>
      <w:shd w:val="clear" w:color="auto" w:fill="E1DFDD"/>
    </w:rPr>
  </w:style>
  <w:style w:type="paragraph" w:styleId="BodyText">
    <w:name w:val="Body Text"/>
    <w:basedOn w:val="Normal"/>
    <w:link w:val="BodyTextChar"/>
    <w:uiPriority w:val="99"/>
    <w:semiHidden/>
    <w:rsid w:val="001E6869"/>
    <w:pPr>
      <w:spacing w:after="0"/>
      <w:ind w:left="720"/>
    </w:pPr>
    <w:rPr>
      <w:rFonts w:eastAsia="PMingLiU" w:cs="Times New Roman"/>
      <w:iCs/>
      <w:szCs w:val="24"/>
    </w:rPr>
  </w:style>
  <w:style w:type="character" w:customStyle="1" w:styleId="BodyTextChar">
    <w:name w:val="Body Text Char"/>
    <w:basedOn w:val="DefaultParagraphFont"/>
    <w:link w:val="BodyText"/>
    <w:uiPriority w:val="99"/>
    <w:semiHidden/>
    <w:rsid w:val="001E6869"/>
    <w:rPr>
      <w:rFonts w:ascii="Times New Roman" w:eastAsia="PMingLiU" w:hAnsi="Times New Roman" w:cs="Times New Roman"/>
      <w:iCs/>
      <w:sz w:val="24"/>
      <w:szCs w:val="24"/>
    </w:rPr>
  </w:style>
  <w:style w:type="paragraph" w:styleId="HTMLPreformatted">
    <w:name w:val="HTML Preformatted"/>
    <w:aliases w:val=" Char,Char"/>
    <w:basedOn w:val="Normal"/>
    <w:link w:val="HTMLPreformattedChar"/>
    <w:rsid w:val="001E6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Times New Roman"/>
      <w:sz w:val="20"/>
      <w:szCs w:val="20"/>
    </w:rPr>
  </w:style>
  <w:style w:type="character" w:customStyle="1" w:styleId="HTMLPreformattedChar">
    <w:name w:val="HTML Preformatted Char"/>
    <w:aliases w:val=" Char Char,Char Char"/>
    <w:basedOn w:val="DefaultParagraphFont"/>
    <w:link w:val="HTMLPreformatted"/>
    <w:rsid w:val="001E6869"/>
    <w:rPr>
      <w:rFonts w:ascii="Courier New" w:eastAsia="PMingLiU" w:hAnsi="Courier New" w:cs="Times New Roman"/>
      <w:sz w:val="20"/>
      <w:szCs w:val="20"/>
    </w:rPr>
  </w:style>
  <w:style w:type="paragraph" w:styleId="EndnoteText">
    <w:name w:val="endnote text"/>
    <w:basedOn w:val="Normal"/>
    <w:link w:val="EndnoteTextChar"/>
    <w:rsid w:val="006F1925"/>
    <w:pPr>
      <w:widowControl w:val="0"/>
      <w:snapToGrid w:val="0"/>
      <w:spacing w:after="0" w:line="240" w:lineRule="auto"/>
    </w:pPr>
    <w:rPr>
      <w:rFonts w:ascii="Courier New" w:eastAsia="PMingLiU" w:hAnsi="Courier New" w:cs="Times New Roman"/>
      <w:szCs w:val="24"/>
    </w:rPr>
  </w:style>
  <w:style w:type="character" w:customStyle="1" w:styleId="EndnoteTextChar">
    <w:name w:val="Endnote Text Char"/>
    <w:basedOn w:val="DefaultParagraphFont"/>
    <w:link w:val="EndnoteText"/>
    <w:rsid w:val="006F1925"/>
    <w:rPr>
      <w:rFonts w:ascii="Courier New" w:eastAsia="PMingLiU" w:hAnsi="Courier New" w:cs="Times New Roman"/>
      <w:sz w:val="24"/>
      <w:szCs w:val="24"/>
    </w:rPr>
  </w:style>
  <w:style w:type="table" w:customStyle="1" w:styleId="TableGrid2">
    <w:name w:val="Table Grid2"/>
    <w:basedOn w:val="TableNormal"/>
    <w:next w:val="TableGrid"/>
    <w:uiPriority w:val="39"/>
    <w:rsid w:val="00B635C0"/>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17686"/>
    <w:rPr>
      <w:rFonts w:ascii="Times New Roman" w:hAnsi="Times New Roman" w:eastAsiaTheme="majorEastAsia" w:cs="Times New Roman"/>
      <w:b/>
      <w:bCs/>
      <w:sz w:val="24"/>
      <w:szCs w:val="24"/>
    </w:rPr>
  </w:style>
  <w:style w:type="character" w:customStyle="1" w:styleId="Heading4Char">
    <w:name w:val="Heading 4 Char"/>
    <w:basedOn w:val="DefaultParagraphFont"/>
    <w:link w:val="Heading4"/>
    <w:uiPriority w:val="9"/>
    <w:rsid w:val="00075B20"/>
    <w:rPr>
      <w:rFonts w:ascii="Times New Roman" w:hAnsi="Times New Roman" w:eastAsiaTheme="majorEastAsia" w:cs="Times New Roman"/>
      <w:b/>
      <w:bCs/>
      <w:sz w:val="24"/>
      <w:szCs w:val="24"/>
    </w:rPr>
  </w:style>
  <w:style w:type="character" w:customStyle="1" w:styleId="UnresolvedMention3">
    <w:name w:val="Unresolved Mention3"/>
    <w:basedOn w:val="DefaultParagraphFont"/>
    <w:uiPriority w:val="99"/>
    <w:rsid w:val="00484A3A"/>
    <w:rPr>
      <w:color w:val="605E5C"/>
      <w:shd w:val="clear" w:color="auto" w:fill="E1DFDD"/>
    </w:rPr>
  </w:style>
  <w:style w:type="paragraph" w:styleId="TOC4">
    <w:name w:val="toc 4"/>
    <w:basedOn w:val="Normal"/>
    <w:next w:val="Normal"/>
    <w:autoRedefine/>
    <w:uiPriority w:val="39"/>
    <w:unhideWhenUsed/>
    <w:rsid w:val="00EB7CC5"/>
    <w:pPr>
      <w:tabs>
        <w:tab w:val="decimal" w:leader="dot" w:pos="9360"/>
      </w:tabs>
      <w:spacing w:after="240" w:line="240" w:lineRule="auto"/>
      <w:ind w:left="2880" w:hanging="720"/>
    </w:pPr>
  </w:style>
  <w:style w:type="table" w:customStyle="1" w:styleId="TableGrid21">
    <w:name w:val="Table Grid21"/>
    <w:basedOn w:val="TableNormal"/>
    <w:next w:val="TableGrid"/>
    <w:uiPriority w:val="39"/>
    <w:rsid w:val="003400D5"/>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rsid w:val="00377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gwhaley@isaacwiles.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oter" Target="footer4.xml" /><Relationship Id="rId18" Type="http://schemas.openxmlformats.org/officeDocument/2006/relationships/hyperlink" Target="mailto:amy.botschnerobrien@ohioago.gov" TargetMode="External" /><Relationship Id="rId19" Type="http://schemas.openxmlformats.org/officeDocument/2006/relationships/hyperlink" Target="mailto:rhiannon.howard@ohioago.gov" TargetMode="External" /><Relationship Id="rId2" Type="http://schemas.openxmlformats.org/officeDocument/2006/relationships/settings" Target="settings.xml" /><Relationship Id="rId20" Type="http://schemas.openxmlformats.org/officeDocument/2006/relationships/hyperlink" Target="mailto:thomas.lindgren@ohioago.gov" TargetMode="External" /><Relationship Id="rId21" Type="http://schemas.openxmlformats.org/officeDocument/2006/relationships/hyperlink" Target="mailto:emcconnell@elpc.org" TargetMode="External" /><Relationship Id="rId22" Type="http://schemas.openxmlformats.org/officeDocument/2006/relationships/hyperlink" Target="mailto:bojko@carpenterlipps.com" TargetMode="External" /><Relationship Id="rId23" Type="http://schemas.openxmlformats.org/officeDocument/2006/relationships/hyperlink" Target="mailto:easley@carpenterlipps.com" TargetMode="External" /><Relationship Id="rId24" Type="http://schemas.openxmlformats.org/officeDocument/2006/relationships/hyperlink" Target="mailto:cadieux@carpenterlipps.com" TargetMode="External" /><Relationship Id="rId25" Type="http://schemas.openxmlformats.org/officeDocument/2006/relationships/hyperlink" Target="mailto:stacie.cathcart@igs.com" TargetMode="External" /><Relationship Id="rId26" Type="http://schemas.openxmlformats.org/officeDocument/2006/relationships/hyperlink" Target="mailto:michael.nugent@igs.com" TargetMode="External" /><Relationship Id="rId27" Type="http://schemas.openxmlformats.org/officeDocument/2006/relationships/hyperlink" Target="mailto:jlang@calfee.com" TargetMode="External" /><Relationship Id="rId28" Type="http://schemas.openxmlformats.org/officeDocument/2006/relationships/hyperlink" Target="mailto:mbarbara@calfee.com" TargetMode="External" /><Relationship Id="rId29" Type="http://schemas.openxmlformats.org/officeDocument/2006/relationships/hyperlink" Target="mailto:dproano@bakerlaw.com" TargetMode="External" /><Relationship Id="rId3" Type="http://schemas.openxmlformats.org/officeDocument/2006/relationships/webSettings" Target="webSettings.xml" /><Relationship Id="rId30" Type="http://schemas.openxmlformats.org/officeDocument/2006/relationships/hyperlink" Target="mailto:ahaque@bakerlaw.com" TargetMode="External" /><Relationship Id="rId31" Type="http://schemas.openxmlformats.org/officeDocument/2006/relationships/hyperlink" Target="mailto:eprouty@bakerlaw.com" TargetMode="External" /><Relationship Id="rId32" Type="http://schemas.openxmlformats.org/officeDocument/2006/relationships/hyperlink" Target="mailto:tdougherty@theoec.org" TargetMode="External" /><Relationship Id="rId33" Type="http://schemas.openxmlformats.org/officeDocument/2006/relationships/hyperlink" Target="mailto:nbobb@keglerbrown.com" TargetMode="External" /><Relationship Id="rId34" Type="http://schemas.openxmlformats.org/officeDocument/2006/relationships/hyperlink" Target="mailto:Paul@carpenterlipps.com" TargetMode="External" /><Relationship Id="rId35" Type="http://schemas.openxmlformats.org/officeDocument/2006/relationships/hyperlink" Target="mailto:megan.addison@puco.ohio.gov" TargetMode="External" /><Relationship Id="rId36" Type="http://schemas.openxmlformats.org/officeDocument/2006/relationships/hyperlink" Target="mailto:greg.price@puco.ohio.gov" TargetMode="External" /><Relationship Id="rId37" Type="http://schemas.openxmlformats.org/officeDocument/2006/relationships/hyperlink" Target="mailto:jacqueline.st.john@puco.ohio.gov" TargetMode="External" /><Relationship Id="rId38" Type="http://schemas.openxmlformats.org/officeDocument/2006/relationships/hyperlink" Target="mailto:cwatchorn@firstenergycorp.com" TargetMode="External" /><Relationship Id="rId39" Type="http://schemas.openxmlformats.org/officeDocument/2006/relationships/hyperlink" Target="mailto:talexander@beneschlaw.com" TargetMode="External" /><Relationship Id="rId4" Type="http://schemas.openxmlformats.org/officeDocument/2006/relationships/fontTable" Target="fontTable.xml" /><Relationship Id="rId40" Type="http://schemas.openxmlformats.org/officeDocument/2006/relationships/hyperlink" Target="mailto:mkeaney@beneschlaw.com" TargetMode="External" /><Relationship Id="rId41" Type="http://schemas.openxmlformats.org/officeDocument/2006/relationships/hyperlink" Target="mailto:mkurtz@BKLlawfirm.com" TargetMode="External" /><Relationship Id="rId42" Type="http://schemas.openxmlformats.org/officeDocument/2006/relationships/hyperlink" Target="mailto:kboehm@BKLlawfirm.com" TargetMode="External" /><Relationship Id="rId43" Type="http://schemas.openxmlformats.org/officeDocument/2006/relationships/hyperlink" Target="mailto:jkylercohn@BKLlawfirm.com" TargetMode="External" /><Relationship Id="rId44" Type="http://schemas.openxmlformats.org/officeDocument/2006/relationships/hyperlink" Target="mailto:knordstrom@theOEC.org" TargetMode="External" /><Relationship Id="rId45" Type="http://schemas.openxmlformats.org/officeDocument/2006/relationships/hyperlink" Target="mailto:ctavenor@theOEC.org" TargetMode="External" /><Relationship Id="rId46" Type="http://schemas.openxmlformats.org/officeDocument/2006/relationships/hyperlink" Target="mailto:todd.schafer@outlook.com" TargetMode="External" /><Relationship Id="rId47" Type="http://schemas.openxmlformats.org/officeDocument/2006/relationships/hyperlink" Target="mailto:little@litohio.com" TargetMode="External" /><Relationship Id="rId48" Type="http://schemas.openxmlformats.org/officeDocument/2006/relationships/hyperlink" Target="mailto:hogan@litohio.com" TargetMode="External" /><Relationship Id="rId49" Type="http://schemas.openxmlformats.org/officeDocument/2006/relationships/hyperlink" Target="mailto:ktreadway@oneenergyllc.com" TargetMode="External" /><Relationship Id="rId5" Type="http://schemas.openxmlformats.org/officeDocument/2006/relationships/customXml" Target="../customXml/item1.xml" /><Relationship Id="rId50" Type="http://schemas.openxmlformats.org/officeDocument/2006/relationships/hyperlink" Target="mailto:mpritchard@mcneeslaw.com" TargetMode="External" /><Relationship Id="rId51" Type="http://schemas.openxmlformats.org/officeDocument/2006/relationships/hyperlink" Target="mailto:awalke@mcneeslaw.com" TargetMode="External" /><Relationship Id="rId52" Type="http://schemas.openxmlformats.org/officeDocument/2006/relationships/hyperlink" Target="mailto:cgrundmann@spilmanlaw.com" TargetMode="External" /><Relationship Id="rId53" Type="http://schemas.openxmlformats.org/officeDocument/2006/relationships/hyperlink" Target="mailto:dwilliamson@spilmanlaw.com" TargetMode="External" /><Relationship Id="rId54" Type="http://schemas.openxmlformats.org/officeDocument/2006/relationships/hyperlink" Target="mailto:slee@spilmanlaw.com" TargetMode="External" /><Relationship Id="rId55" Type="http://schemas.openxmlformats.org/officeDocument/2006/relationships/hyperlink" Target="mailto:dstinson@brickergraydon.com" TargetMode="External" /><Relationship Id="rId56" Type="http://schemas.openxmlformats.org/officeDocument/2006/relationships/hyperlink" Target="mailto:gkrassen@nopec.org" TargetMode="External" /><Relationship Id="rId57" Type="http://schemas.openxmlformats.org/officeDocument/2006/relationships/header" Target="header4.xml" /><Relationship Id="rId58" Type="http://schemas.openxmlformats.org/officeDocument/2006/relationships/footer" Target="footer5.xml" /><Relationship Id="rId59" Type="http://schemas.openxmlformats.org/officeDocument/2006/relationships/theme" Target="theme/theme1.xml" /><Relationship Id="rId6" Type="http://schemas.openxmlformats.org/officeDocument/2006/relationships/hyperlink" Target="mailto:william.michael@occ.ohio.gov" TargetMode="External" /><Relationship Id="rId60" Type="http://schemas.openxmlformats.org/officeDocument/2006/relationships/numbering" Target="numbering.xml" /><Relationship Id="rId61" Type="http://schemas.openxmlformats.org/officeDocument/2006/relationships/styles" Target="styles.xml" /><Relationship Id="rId7" Type="http://schemas.openxmlformats.org/officeDocument/2006/relationships/hyperlink" Target="mailto:donald.kral@occ.ohio.gov" TargetMode="External" /><Relationship Id="rId8" Type="http://schemas.openxmlformats.org/officeDocument/2006/relationships/hyperlink" Target="mailto:trhayslaw@gmail.com" TargetMode="External" /><Relationship Id="rId9" Type="http://schemas.openxmlformats.org/officeDocument/2006/relationships/hyperlink" Target="mailto:leslie.kovacik@toledo.oh.gov" TargetMode="External" /></Relationships>
</file>

<file path=word/_rels/footnotes.xml.rels>&#65279;<?xml version="1.0" encoding="utf-8" standalone="yes"?><Relationships xmlns="http://schemas.openxmlformats.org/package/2006/relationships"><Relationship Id="rId1" Type="http://schemas.openxmlformats.org/officeDocument/2006/relationships/hyperlink" Target="https://www.firstenergycorp.com/upp/oh/oh_load_data.html" TargetMode="External" /><Relationship Id="rId2" Type="http://schemas.openxmlformats.org/officeDocument/2006/relationships/hyperlink" Target="https://puco.ohio.gov/utilities/electricity/resources/market-monitor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13F29-39A4-44F0-B89B-68E99275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7433</Words>
  <Characters>42371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2024-07-31T14:52:35Z</dcterms:created>
  <dcterms:modified xsi:type="dcterms:W3CDTF">2024-07-31T14:52:35Z</dcterms:modified>
</cp:coreProperties>
</file>