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A044B5" w:rsidP="00424389" w14:paraId="0B636BA4" w14:textId="77777777">
      <w:pPr>
        <w:pStyle w:val="HTMLPreformatted"/>
        <w:spacing w:after="0"/>
        <w:jc w:val="center"/>
        <w:rPr>
          <w:rFonts w:ascii="Times New Roman" w:hAnsi="Times New Roman"/>
          <w:b/>
          <w:bCs/>
          <w:sz w:val="24"/>
        </w:rPr>
      </w:pPr>
      <w:bookmarkStart w:id="0" w:name="_GoBack"/>
      <w:bookmarkEnd w:id="0"/>
      <w:r>
        <w:rPr>
          <w:rFonts w:ascii="Times New Roman" w:hAnsi="Times New Roman"/>
          <w:b/>
          <w:bCs/>
          <w:sz w:val="24"/>
        </w:rPr>
        <w:t>BEFORE</w:t>
      </w:r>
    </w:p>
    <w:p w:rsidR="00A044B5" w:rsidP="00424389" w14:paraId="2C851502" w14:textId="4CAFB8B9">
      <w:pPr>
        <w:pStyle w:val="HTMLPreformatted"/>
        <w:spacing w:after="0"/>
        <w:jc w:val="center"/>
        <w:rPr>
          <w:rFonts w:ascii="Times New Roman" w:hAnsi="Times New Roman"/>
          <w:b/>
          <w:bCs/>
          <w:sz w:val="24"/>
        </w:rPr>
      </w:pPr>
      <w:r>
        <w:rPr>
          <w:rFonts w:ascii="Times New Roman" w:hAnsi="Times New Roman"/>
          <w:b/>
          <w:bCs/>
          <w:sz w:val="24"/>
        </w:rPr>
        <w:t>THE PUBLIC UTILITIES COMMISSION OF OHIO</w:t>
      </w:r>
    </w:p>
    <w:p w:rsidR="00424389" w:rsidP="00424389" w14:paraId="0C4E740A" w14:textId="77777777">
      <w:pPr>
        <w:pStyle w:val="HTMLPreformatted"/>
        <w:spacing w:after="0"/>
        <w:jc w:val="center"/>
        <w:rPr>
          <w:rFonts w:ascii="Times New Roman" w:hAnsi="Times New Roman"/>
          <w:sz w:val="24"/>
        </w:rPr>
      </w:pPr>
    </w:p>
    <w:tbl>
      <w:tblPr>
        <w:tblW w:w="8730" w:type="dxa"/>
        <w:tblLook w:val="01E0"/>
      </w:tblPr>
      <w:tblGrid>
        <w:gridCol w:w="4230"/>
        <w:gridCol w:w="462"/>
        <w:gridCol w:w="4038"/>
      </w:tblGrid>
      <w:tr w14:paraId="796A80F4" w14:textId="77777777" w:rsidTr="00B70DFE">
        <w:tblPrEx>
          <w:tblW w:w="8730" w:type="dxa"/>
          <w:tblLook w:val="01E0"/>
        </w:tblPrEx>
        <w:trPr>
          <w:trHeight w:val="807"/>
        </w:trPr>
        <w:tc>
          <w:tcPr>
            <w:tcW w:w="4230" w:type="dxa"/>
            <w:shd w:val="clear" w:color="auto" w:fill="auto"/>
          </w:tcPr>
          <w:p w:rsidR="00D001ED" w:rsidRPr="00A044B5" w:rsidP="005F3232" w14:paraId="41D10E24" w14:textId="58E3CC8B">
            <w:pPr>
              <w:pStyle w:val="HTMLPreformatted"/>
              <w:spacing w:after="0"/>
              <w:rPr>
                <w:rFonts w:ascii="Times New Roman" w:hAnsi="Times New Roman"/>
                <w:sz w:val="24"/>
                <w:szCs w:val="24"/>
              </w:rPr>
            </w:pPr>
            <w:r w:rsidRPr="00A044B5">
              <w:rPr>
                <w:rFonts w:ascii="Times New Roman" w:hAnsi="Times New Roman" w:cs="Times New Roman"/>
                <w:sz w:val="24"/>
                <w:szCs w:val="24"/>
              </w:rPr>
              <w:t>In the Matter of</w:t>
            </w:r>
            <w:r w:rsidR="009E279F">
              <w:rPr>
                <w:rFonts w:ascii="Times New Roman" w:hAnsi="Times New Roman" w:cs="Times New Roman"/>
                <w:sz w:val="24"/>
                <w:szCs w:val="24"/>
              </w:rPr>
              <w:t xml:space="preserve"> the </w:t>
            </w:r>
            <w:r w:rsidR="005F3232">
              <w:rPr>
                <w:rFonts w:ascii="Times New Roman" w:hAnsi="Times New Roman" w:cs="Times New Roman"/>
                <w:sz w:val="24"/>
                <w:szCs w:val="24"/>
              </w:rPr>
              <w:t xml:space="preserve">Application of </w:t>
            </w:r>
            <w:r w:rsidR="00EC4597">
              <w:rPr>
                <w:rFonts w:ascii="Times New Roman" w:hAnsi="Times New Roman" w:cs="Times New Roman"/>
                <w:sz w:val="24"/>
                <w:szCs w:val="24"/>
              </w:rPr>
              <w:t>T</w:t>
            </w:r>
            <w:r w:rsidR="005F3232">
              <w:rPr>
                <w:rFonts w:ascii="Times New Roman" w:hAnsi="Times New Roman" w:cs="Times New Roman"/>
                <w:sz w:val="24"/>
                <w:szCs w:val="24"/>
              </w:rPr>
              <w:t>he Seamless Move Operational Plan</w:t>
            </w:r>
            <w:r w:rsidR="00CA696A">
              <w:rPr>
                <w:rFonts w:ascii="Times New Roman" w:hAnsi="Times New Roman" w:cs="Times New Roman"/>
                <w:sz w:val="24"/>
                <w:szCs w:val="24"/>
              </w:rPr>
              <w:t xml:space="preserve"> of Ohio Edison Company, The Cleveland Electric Illuminating Company, and The Toledo Edison </w:t>
            </w:r>
            <w:r w:rsidR="00424389">
              <w:rPr>
                <w:rFonts w:ascii="Times New Roman" w:hAnsi="Times New Roman" w:cs="Times New Roman"/>
                <w:sz w:val="24"/>
                <w:szCs w:val="24"/>
              </w:rPr>
              <w:t>C</w:t>
            </w:r>
            <w:r w:rsidR="00CA696A">
              <w:rPr>
                <w:rFonts w:ascii="Times New Roman" w:hAnsi="Times New Roman" w:cs="Times New Roman"/>
                <w:sz w:val="24"/>
                <w:szCs w:val="24"/>
              </w:rPr>
              <w:t>ompany</w:t>
            </w:r>
            <w:r w:rsidR="009E279F">
              <w:rPr>
                <w:rFonts w:ascii="Times New Roman" w:hAnsi="Times New Roman"/>
                <w:sz w:val="24"/>
                <w:szCs w:val="24"/>
              </w:rPr>
              <w:t>.</w:t>
            </w:r>
          </w:p>
        </w:tc>
        <w:tc>
          <w:tcPr>
            <w:tcW w:w="462" w:type="dxa"/>
            <w:shd w:val="clear" w:color="auto" w:fill="auto"/>
          </w:tcPr>
          <w:p w:rsidR="00A044B5" w:rsidRPr="00A044B5" w:rsidP="00CE7689" w14:paraId="0C184F00" w14:textId="77777777">
            <w:pPr>
              <w:pStyle w:val="HTMLPreformatted"/>
              <w:spacing w:after="0"/>
              <w:rPr>
                <w:rFonts w:ascii="Times New Roman" w:hAnsi="Times New Roman"/>
                <w:sz w:val="24"/>
              </w:rPr>
            </w:pPr>
            <w:r w:rsidRPr="00A044B5">
              <w:rPr>
                <w:rFonts w:ascii="Times New Roman" w:hAnsi="Times New Roman"/>
                <w:sz w:val="24"/>
              </w:rPr>
              <w:t>)</w:t>
            </w:r>
          </w:p>
          <w:p w:rsidR="00A044B5" w:rsidRPr="00A044B5" w:rsidP="00CE7689" w14:paraId="1B9B7743" w14:textId="77777777">
            <w:pPr>
              <w:pStyle w:val="HTMLPreformatted"/>
              <w:spacing w:after="0"/>
              <w:rPr>
                <w:rFonts w:ascii="Times New Roman" w:hAnsi="Times New Roman"/>
                <w:sz w:val="24"/>
              </w:rPr>
            </w:pPr>
            <w:r w:rsidRPr="00A044B5">
              <w:rPr>
                <w:rFonts w:ascii="Times New Roman" w:hAnsi="Times New Roman"/>
                <w:sz w:val="24"/>
              </w:rPr>
              <w:t>)</w:t>
            </w:r>
          </w:p>
          <w:p w:rsidR="00A044B5" w:rsidP="00CE7689" w14:paraId="344CE058" w14:textId="77777777">
            <w:pPr>
              <w:pStyle w:val="HTMLPreformatted"/>
              <w:spacing w:after="0"/>
              <w:rPr>
                <w:rFonts w:ascii="Times New Roman" w:hAnsi="Times New Roman"/>
                <w:sz w:val="24"/>
              </w:rPr>
            </w:pPr>
            <w:r w:rsidRPr="00A044B5">
              <w:rPr>
                <w:rFonts w:ascii="Times New Roman" w:hAnsi="Times New Roman"/>
                <w:sz w:val="24"/>
              </w:rPr>
              <w:t>)</w:t>
            </w:r>
          </w:p>
          <w:p w:rsidR="005F3232" w:rsidP="00CE7689" w14:paraId="1D3DF789" w14:textId="77777777">
            <w:pPr>
              <w:pStyle w:val="HTMLPreformatted"/>
              <w:spacing w:after="0"/>
              <w:rPr>
                <w:rFonts w:ascii="Times New Roman" w:hAnsi="Times New Roman"/>
                <w:sz w:val="24"/>
              </w:rPr>
            </w:pPr>
            <w:r>
              <w:rPr>
                <w:rFonts w:ascii="Times New Roman" w:hAnsi="Times New Roman"/>
                <w:sz w:val="24"/>
              </w:rPr>
              <w:t>)</w:t>
            </w:r>
          </w:p>
          <w:p w:rsidR="00AE44D1" w:rsidRPr="00A044B5" w:rsidP="00CE7689" w14:paraId="363B0B06" w14:textId="6D4DF3FF">
            <w:pPr>
              <w:pStyle w:val="HTMLPreformatted"/>
              <w:spacing w:after="0"/>
              <w:rPr>
                <w:rFonts w:ascii="Times New Roman" w:hAnsi="Times New Roman"/>
                <w:sz w:val="24"/>
              </w:rPr>
            </w:pPr>
            <w:r>
              <w:rPr>
                <w:rFonts w:ascii="Times New Roman" w:hAnsi="Times New Roman"/>
                <w:sz w:val="24"/>
              </w:rPr>
              <w:t>)</w:t>
            </w:r>
          </w:p>
        </w:tc>
        <w:tc>
          <w:tcPr>
            <w:tcW w:w="4038" w:type="dxa"/>
            <w:shd w:val="clear" w:color="auto" w:fill="auto"/>
          </w:tcPr>
          <w:p w:rsidR="00A044B5" w:rsidRPr="00A044B5" w:rsidP="00CE7689" w14:paraId="1222BC2D" w14:textId="77777777">
            <w:pPr>
              <w:pStyle w:val="HTMLPreformatted"/>
              <w:spacing w:after="0"/>
              <w:rPr>
                <w:rFonts w:ascii="Times New Roman" w:hAnsi="Times New Roman"/>
                <w:sz w:val="24"/>
              </w:rPr>
            </w:pPr>
          </w:p>
          <w:p w:rsidR="00AE44D1" w:rsidP="00CE7689" w14:paraId="3E97FE9F" w14:textId="77777777">
            <w:pPr>
              <w:pStyle w:val="HTMLPreformatted"/>
              <w:spacing w:after="0"/>
              <w:rPr>
                <w:rFonts w:ascii="Times New Roman" w:hAnsi="Times New Roman"/>
                <w:sz w:val="24"/>
              </w:rPr>
            </w:pPr>
          </w:p>
          <w:p w:rsidR="00A044B5" w:rsidRPr="00A044B5" w:rsidP="00CE7689" w14:paraId="5999B967" w14:textId="62966470">
            <w:pPr>
              <w:pStyle w:val="HTMLPreformatted"/>
              <w:spacing w:after="0"/>
              <w:rPr>
                <w:rFonts w:ascii="Times New Roman" w:hAnsi="Times New Roman"/>
                <w:sz w:val="24"/>
              </w:rPr>
            </w:pPr>
            <w:r w:rsidRPr="00A044B5">
              <w:rPr>
                <w:rFonts w:ascii="Times New Roman" w:hAnsi="Times New Roman"/>
                <w:sz w:val="24"/>
              </w:rPr>
              <w:t xml:space="preserve">Case No. </w:t>
            </w:r>
            <w:r w:rsidR="00D001ED">
              <w:rPr>
                <w:rFonts w:ascii="Times New Roman" w:hAnsi="Times New Roman"/>
                <w:sz w:val="24"/>
              </w:rPr>
              <w:t>19-21</w:t>
            </w:r>
            <w:r w:rsidR="00CA696A">
              <w:rPr>
                <w:rFonts w:ascii="Times New Roman" w:hAnsi="Times New Roman"/>
                <w:sz w:val="24"/>
              </w:rPr>
              <w:t>50</w:t>
            </w:r>
            <w:r w:rsidR="00D001ED">
              <w:rPr>
                <w:rFonts w:ascii="Times New Roman" w:hAnsi="Times New Roman"/>
                <w:sz w:val="24"/>
              </w:rPr>
              <w:t>-EL-</w:t>
            </w:r>
            <w:r w:rsidR="005F3232">
              <w:rPr>
                <w:rFonts w:ascii="Times New Roman" w:hAnsi="Times New Roman"/>
                <w:sz w:val="24"/>
              </w:rPr>
              <w:t>UNC</w:t>
            </w:r>
          </w:p>
        </w:tc>
      </w:tr>
    </w:tbl>
    <w:p w:rsidR="00A044B5" w14:paraId="05E1F6FF" w14:textId="77777777">
      <w:pPr>
        <w:pStyle w:val="HTMLPreformatted"/>
        <w:rPr>
          <w:rFonts w:ascii="Times New Roman" w:hAnsi="Times New Roman"/>
          <w:sz w:val="24"/>
        </w:rPr>
      </w:pPr>
    </w:p>
    <w:p w:rsidR="00A044B5" w14:paraId="48CD4CE8" w14:textId="77777777">
      <w:pPr>
        <w:pStyle w:val="HTMLPreformatted"/>
        <w:pBdr>
          <w:top w:val="single" w:sz="12" w:space="1" w:color="auto"/>
        </w:pBdr>
        <w:rPr>
          <w:rFonts w:ascii="Times New Roman" w:hAnsi="Times New Roman"/>
          <w:sz w:val="24"/>
        </w:rPr>
      </w:pPr>
    </w:p>
    <w:p w:rsidR="00A044B5" w:rsidP="00CE7689" w14:paraId="070C49EF" w14:textId="77777777">
      <w:pPr>
        <w:spacing w:after="0"/>
        <w:jc w:val="center"/>
        <w:rPr>
          <w:b/>
          <w:bCs/>
        </w:rPr>
      </w:pPr>
      <w:r>
        <w:rPr>
          <w:b/>
          <w:bCs/>
        </w:rPr>
        <w:t>MOTION TO INTERVENE</w:t>
      </w:r>
    </w:p>
    <w:p w:rsidR="00A044B5" w:rsidP="00CE7689" w14:paraId="7D7D0DA4" w14:textId="77777777">
      <w:pPr>
        <w:spacing w:after="0"/>
        <w:jc w:val="center"/>
        <w:rPr>
          <w:b/>
          <w:bCs/>
        </w:rPr>
      </w:pPr>
      <w:r>
        <w:rPr>
          <w:b/>
          <w:bCs/>
        </w:rPr>
        <w:t>BY</w:t>
      </w:r>
    </w:p>
    <w:p w:rsidR="00A044B5" w:rsidP="00CE7689" w14:paraId="41815925" w14:textId="77777777">
      <w:pPr>
        <w:spacing w:after="0"/>
        <w:jc w:val="center"/>
        <w:rPr>
          <w:b/>
          <w:bCs/>
        </w:rPr>
      </w:pPr>
      <w:r>
        <w:rPr>
          <w:b/>
          <w:bCs/>
        </w:rPr>
        <w:t>THE OFFICE OF THE OHIO CONSUMERS’ COUNSEL</w:t>
      </w:r>
    </w:p>
    <w:p w:rsidR="00A044B5" w14:paraId="1A45B0FE" w14:textId="77777777">
      <w:pPr>
        <w:pBdr>
          <w:bottom w:val="single" w:sz="12" w:space="1" w:color="auto"/>
        </w:pBdr>
        <w:tabs>
          <w:tab w:val="left" w:pos="4320"/>
        </w:tabs>
      </w:pPr>
    </w:p>
    <w:p w:rsidR="00A044B5" w:rsidP="00324E10" w14:paraId="7EA3BDDC" w14:textId="77777777">
      <w:pPr>
        <w:tabs>
          <w:tab w:val="left" w:pos="4320"/>
        </w:tabs>
        <w:spacing w:after="0"/>
      </w:pPr>
    </w:p>
    <w:p w:rsidR="007357D3" w:rsidP="00A44F6E" w14:paraId="70FA7525" w14:textId="77777777">
      <w:pPr>
        <w:pStyle w:val="BodyTextIndent3"/>
        <w:widowControl w:val="0"/>
        <w:spacing w:line="480" w:lineRule="auto"/>
        <w:ind w:right="-312"/>
      </w:pPr>
      <w:r>
        <w:t xml:space="preserve">The Office of the Ohio Consumers’ Counsel (“OCC”) moves to intervene where </w:t>
      </w:r>
      <w:r w:rsidR="00AE44D1">
        <w:rPr>
          <w:szCs w:val="24"/>
        </w:rPr>
        <w:t>Ohio Edison Company, The Cleveland Electric Illuminating Company, and The Toledo Edison company</w:t>
      </w:r>
      <w:r w:rsidR="00EC4597">
        <w:rPr>
          <w:szCs w:val="24"/>
        </w:rPr>
        <w:t xml:space="preserve"> </w:t>
      </w:r>
      <w:r w:rsidR="00D001ED">
        <w:t>(</w:t>
      </w:r>
      <w:r w:rsidR="00AE44D1">
        <w:t xml:space="preserve">collectively </w:t>
      </w:r>
      <w:r w:rsidR="00D001ED">
        <w:t>“</w:t>
      </w:r>
      <w:r w:rsidR="00AE44D1">
        <w:t>FirstEnergy</w:t>
      </w:r>
      <w:r w:rsidR="00D001ED">
        <w:t xml:space="preserve">”) is proposing its plan to </w:t>
      </w:r>
      <w:r w:rsidR="00D20DA7">
        <w:t xml:space="preserve">address what happens when a </w:t>
      </w:r>
      <w:r w:rsidR="00AB7B5A">
        <w:t xml:space="preserve">marketer </w:t>
      </w:r>
      <w:r w:rsidR="00D20DA7">
        <w:t>customer terminates service at one address and commences service at a new address</w:t>
      </w:r>
      <w:r w:rsidR="004C7694">
        <w:t xml:space="preserve"> in </w:t>
      </w:r>
      <w:r w:rsidR="00AE44D1">
        <w:t>FirstEnergy’s</w:t>
      </w:r>
      <w:r w:rsidR="004C7694">
        <w:t xml:space="preserve"> service territory</w:t>
      </w:r>
      <w:r w:rsidR="00D20DA7">
        <w:t xml:space="preserve">. </w:t>
      </w:r>
      <w:r>
        <w:t>OCC is filing on</w:t>
      </w:r>
      <w:r w:rsidR="00D55177">
        <w:t xml:space="preserve"> behalf of </w:t>
      </w:r>
      <w:r w:rsidR="001D0897">
        <w:t>the</w:t>
      </w:r>
      <w:r>
        <w:t xml:space="preserve"> </w:t>
      </w:r>
      <w:r w:rsidR="00AE44D1">
        <w:t>1.9 million residential electric utility customers of</w:t>
      </w:r>
      <w:r w:rsidR="00AE44D1">
        <w:rPr>
          <w:szCs w:val="24"/>
        </w:rPr>
        <w:t xml:space="preserve"> FirstEnergy</w:t>
      </w:r>
      <w:r>
        <w:t>.</w:t>
      </w:r>
      <w:r w:rsidR="009656E3">
        <w:t xml:space="preserve"> </w:t>
      </w:r>
      <w:r>
        <w:t>The reasons the Public Utilities C</w:t>
      </w:r>
      <w:r w:rsidR="00641070">
        <w:t>ommission of Ohio (“PUCO”</w:t>
      </w:r>
      <w:r>
        <w:t>) should grant OCC’s Motion are further set forth in the attached Memorandum in Support.</w:t>
      </w:r>
      <w:r>
        <w:tab/>
      </w:r>
    </w:p>
    <w:p w:rsidR="007357D3" w:rsidP="00A44F6E" w14:paraId="6388E275" w14:textId="77777777">
      <w:pPr>
        <w:pStyle w:val="BodyTextIndent3"/>
        <w:widowControl w:val="0"/>
        <w:spacing w:line="480" w:lineRule="auto"/>
        <w:ind w:right="-312"/>
        <w:sectPr>
          <w:headerReference w:type="even" r:id="rId6"/>
          <w:headerReference w:type="default" r:id="rId7"/>
          <w:footerReference w:type="even" r:id="rId8"/>
          <w:footerReference w:type="default" r:id="rId9"/>
          <w:footerReference w:type="first" r:id="rId10"/>
          <w:pgSz w:w="12240" w:h="15840"/>
          <w:pgMar w:top="1440" w:right="1800" w:bottom="1440" w:left="1800" w:header="720" w:footer="720" w:gutter="0"/>
          <w:cols w:space="720"/>
          <w:titlePg/>
          <w:docGrid w:linePitch="65"/>
        </w:sectPr>
      </w:pPr>
    </w:p>
    <w:p w:rsidR="00A044B5" w:rsidP="00306B79" w14:paraId="237345F1" w14:textId="34487B5B">
      <w:pPr>
        <w:pStyle w:val="BodyTextIndent3"/>
        <w:widowControl w:val="0"/>
        <w:spacing w:after="0" w:line="480" w:lineRule="auto"/>
        <w:ind w:left="2880" w:right="-312"/>
        <w:rPr>
          <w:szCs w:val="24"/>
        </w:rPr>
      </w:pPr>
      <w:r>
        <w:rPr>
          <w:szCs w:val="24"/>
        </w:rPr>
        <w:t>Respectfully submitted,</w:t>
      </w:r>
    </w:p>
    <w:p w:rsidR="00A044B5" w:rsidP="00306B79" w14:paraId="26644B28" w14:textId="77777777">
      <w:pPr>
        <w:pStyle w:val="BodyTextIndent3"/>
        <w:widowControl w:val="0"/>
        <w:spacing w:after="0" w:line="240" w:lineRule="auto"/>
        <w:ind w:left="3600" w:right="-672" w:firstLine="0"/>
        <w:rPr>
          <w:szCs w:val="24"/>
        </w:rPr>
      </w:pPr>
      <w:r>
        <w:rPr>
          <w:szCs w:val="24"/>
        </w:rPr>
        <w:t>Bruce Weston (0016973)</w:t>
      </w:r>
      <w:r>
        <w:rPr>
          <w:szCs w:val="24"/>
        </w:rPr>
        <w:br/>
        <w:t>Ohio Consumers’ Counsel</w:t>
      </w:r>
    </w:p>
    <w:p w:rsidR="00AD6BE5" w:rsidP="00306B79" w14:paraId="70A3F653" w14:textId="77777777">
      <w:pPr>
        <w:pStyle w:val="BodyTextIndent3"/>
        <w:widowControl w:val="0"/>
        <w:spacing w:after="0" w:line="240" w:lineRule="auto"/>
        <w:ind w:left="3600" w:right="-672" w:firstLine="0"/>
        <w:rPr>
          <w:szCs w:val="24"/>
        </w:rPr>
      </w:pPr>
    </w:p>
    <w:p w:rsidR="00A044B5" w:rsidRPr="00AD6BE5" w:rsidP="00306B79" w14:paraId="5D2DC237" w14:textId="77777777">
      <w:pPr>
        <w:pStyle w:val="BodyTextIndent3"/>
        <w:widowControl w:val="0"/>
        <w:spacing w:after="0" w:line="240" w:lineRule="auto"/>
        <w:ind w:left="2880" w:right="-672"/>
        <w:rPr>
          <w:szCs w:val="24"/>
        </w:rPr>
      </w:pPr>
      <w:r w:rsidRPr="00AD6BE5">
        <w:rPr>
          <w:szCs w:val="24"/>
          <w:u w:val="single"/>
        </w:rPr>
        <w:t xml:space="preserve">/s/ </w:t>
      </w:r>
      <w:r w:rsidRPr="00AD6BE5">
        <w:rPr>
          <w:i/>
          <w:iCs/>
          <w:szCs w:val="24"/>
          <w:u w:val="single"/>
        </w:rPr>
        <w:t>Ambrosia E. Logsdon</w:t>
      </w:r>
    </w:p>
    <w:p w:rsidR="00AD6BE5" w:rsidP="00306B79" w14:paraId="3F809FC2" w14:textId="77777777">
      <w:pPr>
        <w:pStyle w:val="BodyTextIndent3"/>
        <w:widowControl w:val="0"/>
        <w:spacing w:after="0" w:line="240" w:lineRule="auto"/>
        <w:ind w:left="2880" w:right="-672"/>
        <w:rPr>
          <w:szCs w:val="24"/>
        </w:rPr>
      </w:pPr>
      <w:r>
        <w:rPr>
          <w:szCs w:val="24"/>
        </w:rPr>
        <w:t>Ambrosia E. Logsdon (0096598)</w:t>
      </w:r>
    </w:p>
    <w:p w:rsidR="00A044B5" w:rsidP="00306B79" w14:paraId="447D9EE8" w14:textId="77777777">
      <w:pPr>
        <w:pStyle w:val="BodyTextIndent3"/>
        <w:widowControl w:val="0"/>
        <w:spacing w:after="0" w:line="240" w:lineRule="auto"/>
        <w:ind w:left="2880" w:right="-672"/>
        <w:rPr>
          <w:szCs w:val="24"/>
        </w:rPr>
      </w:pPr>
      <w:r>
        <w:rPr>
          <w:szCs w:val="24"/>
        </w:rPr>
        <w:t>Counsel of Record</w:t>
      </w:r>
    </w:p>
    <w:p w:rsidR="0062102E" w:rsidP="00306B79" w14:paraId="2246046C" w14:textId="77777777">
      <w:pPr>
        <w:pStyle w:val="BodyTextIndent3"/>
        <w:widowControl w:val="0"/>
        <w:spacing w:after="0" w:line="240" w:lineRule="auto"/>
        <w:ind w:left="2880" w:right="-672"/>
        <w:rPr>
          <w:szCs w:val="24"/>
        </w:rPr>
      </w:pPr>
      <w:r>
        <w:rPr>
          <w:szCs w:val="24"/>
        </w:rPr>
        <w:t>Amy Botschner O’Brien (0074423)</w:t>
      </w:r>
    </w:p>
    <w:p w:rsidR="00A044B5" w:rsidP="00306B79" w14:paraId="73246A6A" w14:textId="77777777">
      <w:pPr>
        <w:pStyle w:val="BodyTextIndent3"/>
        <w:widowControl w:val="0"/>
        <w:spacing w:after="0" w:line="240" w:lineRule="auto"/>
        <w:ind w:left="2880" w:right="-672"/>
        <w:rPr>
          <w:szCs w:val="24"/>
        </w:rPr>
      </w:pPr>
      <w:r>
        <w:rPr>
          <w:szCs w:val="24"/>
        </w:rPr>
        <w:t>Assistant Consumers’ Counsel</w:t>
      </w:r>
    </w:p>
    <w:p w:rsidR="00A044B5" w:rsidP="00306B79" w14:paraId="571353C6" w14:textId="77777777">
      <w:pPr>
        <w:pStyle w:val="Heading1"/>
        <w:spacing w:after="0"/>
        <w:ind w:left="3240" w:right="-648" w:firstLine="720"/>
        <w:rPr>
          <w:u w:val="none"/>
        </w:rPr>
      </w:pPr>
      <w:r>
        <w:rPr>
          <w:u w:val="none"/>
        </w:rPr>
        <w:tab/>
      </w:r>
    </w:p>
    <w:p w:rsidR="00A044B5" w:rsidP="00306B79" w14:paraId="1B81C918" w14:textId="77777777">
      <w:pPr>
        <w:pStyle w:val="Heading1"/>
        <w:spacing w:after="0"/>
        <w:ind w:left="2880" w:right="-648" w:firstLine="720"/>
        <w:rPr>
          <w:u w:val="none"/>
        </w:rPr>
      </w:pPr>
      <w:r>
        <w:rPr>
          <w:u w:val="none"/>
        </w:rPr>
        <w:t>Office of the Ohio Consumers’ Counsel</w:t>
      </w:r>
    </w:p>
    <w:p w:rsidR="00A044B5" w:rsidP="00306B79" w14:paraId="5D0C625A" w14:textId="77777777">
      <w:pPr>
        <w:pStyle w:val="Heading1"/>
        <w:spacing w:after="0"/>
        <w:ind w:left="2880" w:right="-648" w:firstLine="720"/>
        <w:rPr>
          <w:b w:val="0"/>
          <w:u w:val="none"/>
        </w:rPr>
      </w:pPr>
      <w:r>
        <w:rPr>
          <w:b w:val="0"/>
          <w:u w:val="none"/>
        </w:rPr>
        <w:t xml:space="preserve">65 East State Street, </w:t>
      </w:r>
      <w:r w:rsidR="006C5841">
        <w:rPr>
          <w:b w:val="0"/>
          <w:u w:val="none"/>
        </w:rPr>
        <w:t>7</w:t>
      </w:r>
      <w:r w:rsidRPr="009656E3" w:rsidR="006C5841">
        <w:rPr>
          <w:b w:val="0"/>
          <w:u w:val="none"/>
        </w:rPr>
        <w:t>th</w:t>
      </w:r>
      <w:r w:rsidR="006C5841">
        <w:rPr>
          <w:b w:val="0"/>
          <w:u w:val="none"/>
        </w:rPr>
        <w:t xml:space="preserve"> Floor</w:t>
      </w:r>
    </w:p>
    <w:p w:rsidR="00A044B5" w:rsidP="00306B79" w14:paraId="3F25FF38" w14:textId="77777777">
      <w:pPr>
        <w:pStyle w:val="Heading1"/>
        <w:spacing w:after="0"/>
        <w:ind w:left="2880" w:right="-648" w:firstLine="720"/>
        <w:rPr>
          <w:b w:val="0"/>
          <w:u w:val="none"/>
        </w:rPr>
      </w:pPr>
      <w:r>
        <w:rPr>
          <w:b w:val="0"/>
          <w:u w:val="none"/>
        </w:rPr>
        <w:t>Columbus, Ohio 43215</w:t>
      </w:r>
    </w:p>
    <w:p w:rsidR="00A044B5" w:rsidP="00306B79" w14:paraId="2FBCF018" w14:textId="77777777">
      <w:pPr>
        <w:autoSpaceDE w:val="0"/>
        <w:autoSpaceDN w:val="0"/>
        <w:adjustRightInd w:val="0"/>
        <w:spacing w:after="0"/>
        <w:ind w:left="2880" w:firstLine="720"/>
        <w:rPr>
          <w:szCs w:val="24"/>
        </w:rPr>
      </w:pPr>
      <w:r>
        <w:rPr>
          <w:szCs w:val="24"/>
        </w:rPr>
        <w:t>Telephone [</w:t>
      </w:r>
      <w:r w:rsidR="0062102E">
        <w:rPr>
          <w:szCs w:val="24"/>
        </w:rPr>
        <w:t>Logsdon</w:t>
      </w:r>
      <w:r>
        <w:rPr>
          <w:szCs w:val="24"/>
        </w:rPr>
        <w:t xml:space="preserve">]: (614) </w:t>
      </w:r>
      <w:r w:rsidR="0062102E">
        <w:rPr>
          <w:szCs w:val="24"/>
        </w:rPr>
        <w:t>466-1292</w:t>
      </w:r>
    </w:p>
    <w:p w:rsidR="00AD6BE5" w:rsidP="00306B79" w14:paraId="7E53A002" w14:textId="77777777">
      <w:pPr>
        <w:autoSpaceDE w:val="0"/>
        <w:autoSpaceDN w:val="0"/>
        <w:adjustRightInd w:val="0"/>
        <w:spacing w:after="0"/>
        <w:ind w:left="3600"/>
        <w:rPr>
          <w:szCs w:val="24"/>
        </w:rPr>
      </w:pPr>
      <w:r>
        <w:rPr>
          <w:szCs w:val="24"/>
        </w:rPr>
        <w:t>Telephone: [Botschner O’Brien]: (614) 466-9571</w:t>
      </w:r>
    </w:p>
    <w:p w:rsidR="00A044B5" w:rsidP="00306B79" w14:paraId="692E5E04" w14:textId="7AA30590">
      <w:pPr>
        <w:spacing w:after="0"/>
        <w:ind w:left="2880" w:firstLine="720"/>
        <w:rPr>
          <w:szCs w:val="24"/>
        </w:rPr>
      </w:pPr>
      <w:hyperlink r:id="rId11" w:history="1">
        <w:r w:rsidRPr="00F92494" w:rsidR="009656E3">
          <w:rPr>
            <w:rStyle w:val="Hyperlink"/>
            <w:szCs w:val="24"/>
          </w:rPr>
          <w:t>ambrosia.logsdon@occ.ohio.gov</w:t>
        </w:r>
      </w:hyperlink>
    </w:p>
    <w:p w:rsidR="00AD6BE5" w:rsidRPr="005F16B7" w:rsidP="00306B79" w14:paraId="32D9B1DF" w14:textId="7664FF29">
      <w:pPr>
        <w:autoSpaceDE w:val="0"/>
        <w:autoSpaceDN w:val="0"/>
        <w:adjustRightInd w:val="0"/>
        <w:spacing w:after="0"/>
        <w:ind w:left="3600"/>
        <w:rPr>
          <w:rStyle w:val="Hyperlink"/>
        </w:rPr>
      </w:pPr>
      <w:hyperlink r:id="rId12" w:history="1">
        <w:r w:rsidRPr="005F16B7" w:rsidR="00D5714A">
          <w:rPr>
            <w:rStyle w:val="Hyperlink"/>
          </w:rPr>
          <w:t>amy.botschner.obrien@occ.ohio.gov</w:t>
        </w:r>
      </w:hyperlink>
    </w:p>
    <w:p w:rsidR="00A044B5" w:rsidP="00306B79" w14:paraId="0A30031B" w14:textId="74E55F12">
      <w:pPr>
        <w:spacing w:after="0"/>
        <w:ind w:left="3600"/>
      </w:pPr>
      <w:r>
        <w:rPr>
          <w:szCs w:val="24"/>
        </w:rPr>
        <w:t>(</w:t>
      </w:r>
      <w:r w:rsidR="00AD6BE5">
        <w:rPr>
          <w:szCs w:val="24"/>
        </w:rPr>
        <w:t>willing to</w:t>
      </w:r>
      <w:r>
        <w:rPr>
          <w:szCs w:val="24"/>
        </w:rPr>
        <w:t xml:space="preserve"> accept service </w:t>
      </w:r>
      <w:r w:rsidR="005339BF">
        <w:rPr>
          <w:szCs w:val="24"/>
        </w:rPr>
        <w:t>by</w:t>
      </w:r>
      <w:r>
        <w:rPr>
          <w:szCs w:val="24"/>
        </w:rPr>
        <w:t xml:space="preserve"> e</w:t>
      </w:r>
      <w:r w:rsidR="005339BF">
        <w:rPr>
          <w:szCs w:val="24"/>
        </w:rPr>
        <w:t>-</w:t>
      </w:r>
      <w:r>
        <w:rPr>
          <w:szCs w:val="24"/>
        </w:rPr>
        <w:t>mail)</w:t>
      </w:r>
    </w:p>
    <w:p w:rsidR="00A044B5" w14:paraId="6EF3DE39" w14:textId="77777777">
      <w:pPr>
        <w:pStyle w:val="HTMLPreformatted"/>
        <w:jc w:val="center"/>
        <w:rPr>
          <w:rFonts w:ascii="Times New Roman" w:hAnsi="Times New Roman"/>
          <w:b/>
          <w:bCs/>
          <w:sz w:val="24"/>
        </w:rPr>
        <w:sectPr>
          <w:footerReference w:type="first" r:id="rId13"/>
          <w:pgSz w:w="12240" w:h="15840"/>
          <w:pgMar w:top="1440" w:right="1800" w:bottom="1440" w:left="1800" w:header="720" w:footer="720" w:gutter="0"/>
          <w:cols w:space="720"/>
          <w:titlePg/>
          <w:docGrid w:linePitch="65"/>
        </w:sectPr>
      </w:pPr>
    </w:p>
    <w:p w:rsidR="00A044B5" w:rsidP="00424389" w14:paraId="1CA1327C" w14:textId="77777777">
      <w:pPr>
        <w:pStyle w:val="HTMLPreformatted"/>
        <w:spacing w:after="0"/>
        <w:jc w:val="center"/>
        <w:rPr>
          <w:rFonts w:ascii="Times New Roman" w:hAnsi="Times New Roman"/>
          <w:b/>
          <w:bCs/>
          <w:sz w:val="24"/>
        </w:rPr>
      </w:pPr>
      <w:r>
        <w:rPr>
          <w:rFonts w:ascii="Times New Roman" w:hAnsi="Times New Roman"/>
          <w:b/>
          <w:bCs/>
          <w:sz w:val="24"/>
        </w:rPr>
        <w:t>BEFORE</w:t>
      </w:r>
    </w:p>
    <w:p w:rsidR="00A044B5" w:rsidP="00424389" w14:paraId="681DA884" w14:textId="67799946">
      <w:pPr>
        <w:pStyle w:val="HTMLPreformatted"/>
        <w:spacing w:after="0"/>
        <w:jc w:val="center"/>
        <w:rPr>
          <w:rFonts w:ascii="Times New Roman" w:hAnsi="Times New Roman"/>
          <w:b/>
          <w:bCs/>
          <w:sz w:val="24"/>
        </w:rPr>
      </w:pPr>
      <w:r>
        <w:rPr>
          <w:rFonts w:ascii="Times New Roman" w:hAnsi="Times New Roman"/>
          <w:b/>
          <w:bCs/>
          <w:sz w:val="24"/>
        </w:rPr>
        <w:t>THE PUBLIC UTILITIES COMMISSION OF OHIO</w:t>
      </w:r>
    </w:p>
    <w:p w:rsidR="00424389" w:rsidP="00424389" w14:paraId="3EFA0FA3" w14:textId="77777777">
      <w:pPr>
        <w:pStyle w:val="HTMLPreformatted"/>
        <w:spacing w:after="0"/>
        <w:jc w:val="center"/>
        <w:rPr>
          <w:rFonts w:ascii="Times New Roman" w:hAnsi="Times New Roman"/>
          <w:sz w:val="24"/>
        </w:rPr>
      </w:pPr>
    </w:p>
    <w:tbl>
      <w:tblPr>
        <w:tblW w:w="8640" w:type="dxa"/>
        <w:tblLook w:val="01E0"/>
      </w:tblPr>
      <w:tblGrid>
        <w:gridCol w:w="4230"/>
        <w:gridCol w:w="462"/>
        <w:gridCol w:w="3948"/>
      </w:tblGrid>
      <w:tr w14:paraId="09CF2B38" w14:textId="77777777" w:rsidTr="00B70DFE">
        <w:tblPrEx>
          <w:tblW w:w="8640" w:type="dxa"/>
          <w:tblLook w:val="01E0"/>
        </w:tblPrEx>
        <w:trPr>
          <w:trHeight w:val="807"/>
        </w:trPr>
        <w:tc>
          <w:tcPr>
            <w:tcW w:w="4230" w:type="dxa"/>
            <w:shd w:val="clear" w:color="auto" w:fill="auto"/>
          </w:tcPr>
          <w:p w:rsidR="00282D5E" w:rsidRPr="00A044B5" w:rsidP="00282D5E" w14:paraId="4F726669" w14:textId="627692DF">
            <w:pPr>
              <w:pStyle w:val="HTMLPreformatted"/>
              <w:spacing w:after="0"/>
              <w:rPr>
                <w:rFonts w:ascii="Times New Roman" w:hAnsi="Times New Roman"/>
                <w:sz w:val="24"/>
              </w:rPr>
            </w:pPr>
            <w:r w:rsidRPr="00A044B5">
              <w:rPr>
                <w:rFonts w:ascii="Times New Roman" w:hAnsi="Times New Roman" w:cs="Times New Roman"/>
                <w:sz w:val="24"/>
                <w:szCs w:val="24"/>
              </w:rPr>
              <w:t>In the Matter of</w:t>
            </w:r>
            <w:r>
              <w:rPr>
                <w:rFonts w:ascii="Times New Roman" w:hAnsi="Times New Roman" w:cs="Times New Roman"/>
                <w:sz w:val="24"/>
                <w:szCs w:val="24"/>
              </w:rPr>
              <w:t xml:space="preserve"> the Application of The Seamless Move Operational Plan of Ohio Edison Company, The Cleveland Electric Illuminating Company, and The Toledo Edison company</w:t>
            </w:r>
            <w:r>
              <w:rPr>
                <w:rFonts w:ascii="Times New Roman" w:hAnsi="Times New Roman"/>
                <w:sz w:val="24"/>
                <w:szCs w:val="24"/>
              </w:rPr>
              <w:t>.</w:t>
            </w:r>
          </w:p>
        </w:tc>
        <w:tc>
          <w:tcPr>
            <w:tcW w:w="462" w:type="dxa"/>
            <w:shd w:val="clear" w:color="auto" w:fill="auto"/>
          </w:tcPr>
          <w:p w:rsidR="00282D5E" w:rsidRPr="00A044B5" w:rsidP="00282D5E" w14:paraId="21D3FD67" w14:textId="77777777">
            <w:pPr>
              <w:pStyle w:val="HTMLPreformatted"/>
              <w:spacing w:after="0"/>
              <w:rPr>
                <w:rFonts w:ascii="Times New Roman" w:hAnsi="Times New Roman"/>
                <w:sz w:val="24"/>
              </w:rPr>
            </w:pPr>
            <w:r w:rsidRPr="00A044B5">
              <w:rPr>
                <w:rFonts w:ascii="Times New Roman" w:hAnsi="Times New Roman"/>
                <w:sz w:val="24"/>
              </w:rPr>
              <w:t>)</w:t>
            </w:r>
          </w:p>
          <w:p w:rsidR="00282D5E" w:rsidRPr="00A044B5" w:rsidP="00282D5E" w14:paraId="5CAD11E3" w14:textId="77777777">
            <w:pPr>
              <w:pStyle w:val="HTMLPreformatted"/>
              <w:spacing w:after="0"/>
              <w:rPr>
                <w:rFonts w:ascii="Times New Roman" w:hAnsi="Times New Roman"/>
                <w:sz w:val="24"/>
              </w:rPr>
            </w:pPr>
            <w:r w:rsidRPr="00A044B5">
              <w:rPr>
                <w:rFonts w:ascii="Times New Roman" w:hAnsi="Times New Roman"/>
                <w:sz w:val="24"/>
              </w:rPr>
              <w:t>)</w:t>
            </w:r>
          </w:p>
          <w:p w:rsidR="00282D5E" w:rsidP="00282D5E" w14:paraId="76941784" w14:textId="77777777">
            <w:pPr>
              <w:pStyle w:val="HTMLPreformatted"/>
              <w:spacing w:after="0"/>
              <w:rPr>
                <w:rFonts w:ascii="Times New Roman" w:hAnsi="Times New Roman"/>
                <w:sz w:val="24"/>
              </w:rPr>
            </w:pPr>
            <w:r w:rsidRPr="00A044B5">
              <w:rPr>
                <w:rFonts w:ascii="Times New Roman" w:hAnsi="Times New Roman"/>
                <w:sz w:val="24"/>
              </w:rPr>
              <w:t>)</w:t>
            </w:r>
          </w:p>
          <w:p w:rsidR="00282D5E" w:rsidP="00282D5E" w14:paraId="2A570BEE" w14:textId="77777777">
            <w:pPr>
              <w:pStyle w:val="HTMLPreformatted"/>
              <w:spacing w:after="0"/>
              <w:rPr>
                <w:rFonts w:ascii="Times New Roman" w:hAnsi="Times New Roman"/>
                <w:sz w:val="24"/>
              </w:rPr>
            </w:pPr>
            <w:r>
              <w:rPr>
                <w:rFonts w:ascii="Times New Roman" w:hAnsi="Times New Roman"/>
                <w:sz w:val="24"/>
              </w:rPr>
              <w:t>)</w:t>
            </w:r>
          </w:p>
          <w:p w:rsidR="00282D5E" w:rsidRPr="00A044B5" w:rsidP="00282D5E" w14:paraId="6C4BF5A4" w14:textId="68716F5E">
            <w:pPr>
              <w:pStyle w:val="HTMLPreformatted"/>
              <w:spacing w:after="0"/>
              <w:rPr>
                <w:rFonts w:ascii="Times New Roman" w:hAnsi="Times New Roman"/>
                <w:sz w:val="24"/>
              </w:rPr>
            </w:pPr>
            <w:r>
              <w:rPr>
                <w:rFonts w:ascii="Times New Roman" w:hAnsi="Times New Roman"/>
                <w:sz w:val="24"/>
              </w:rPr>
              <w:t>)</w:t>
            </w:r>
          </w:p>
        </w:tc>
        <w:tc>
          <w:tcPr>
            <w:tcW w:w="3948" w:type="dxa"/>
            <w:shd w:val="clear" w:color="auto" w:fill="auto"/>
          </w:tcPr>
          <w:p w:rsidR="00282D5E" w:rsidRPr="00A044B5" w:rsidP="00282D5E" w14:paraId="072D766B" w14:textId="77777777">
            <w:pPr>
              <w:pStyle w:val="HTMLPreformatted"/>
              <w:spacing w:after="0"/>
              <w:rPr>
                <w:rFonts w:ascii="Times New Roman" w:hAnsi="Times New Roman"/>
                <w:sz w:val="24"/>
              </w:rPr>
            </w:pPr>
          </w:p>
          <w:p w:rsidR="00282D5E" w:rsidP="00282D5E" w14:paraId="76249E2A" w14:textId="77777777">
            <w:pPr>
              <w:pStyle w:val="HTMLPreformatted"/>
              <w:spacing w:after="0"/>
              <w:rPr>
                <w:rFonts w:ascii="Times New Roman" w:hAnsi="Times New Roman"/>
                <w:sz w:val="24"/>
              </w:rPr>
            </w:pPr>
          </w:p>
          <w:p w:rsidR="00282D5E" w:rsidRPr="00A044B5" w:rsidP="00282D5E" w14:paraId="02E0EC20" w14:textId="75D4B368">
            <w:pPr>
              <w:pStyle w:val="HTMLPreformatted"/>
              <w:spacing w:after="0"/>
              <w:rPr>
                <w:rFonts w:ascii="Times New Roman" w:hAnsi="Times New Roman"/>
                <w:sz w:val="24"/>
              </w:rPr>
            </w:pPr>
            <w:r w:rsidRPr="00A044B5">
              <w:rPr>
                <w:rFonts w:ascii="Times New Roman" w:hAnsi="Times New Roman"/>
                <w:sz w:val="24"/>
              </w:rPr>
              <w:t xml:space="preserve">Case No. </w:t>
            </w:r>
            <w:r>
              <w:rPr>
                <w:rFonts w:ascii="Times New Roman" w:hAnsi="Times New Roman"/>
                <w:sz w:val="24"/>
              </w:rPr>
              <w:t>19-2150-EL-UNC</w:t>
            </w:r>
          </w:p>
        </w:tc>
      </w:tr>
    </w:tbl>
    <w:p w:rsidR="00A044B5" w14:paraId="6BB9C189" w14:textId="77777777">
      <w:pPr>
        <w:pStyle w:val="Heading2"/>
        <w:pBdr>
          <w:bottom w:val="single" w:sz="12" w:space="1" w:color="auto"/>
        </w:pBdr>
        <w:jc w:val="left"/>
        <w:rPr>
          <w:b w:val="0"/>
        </w:rPr>
      </w:pPr>
    </w:p>
    <w:p w:rsidR="00A044B5" w:rsidP="008E1F9D" w14:paraId="50428C76" w14:textId="77777777">
      <w:pPr>
        <w:pStyle w:val="Heading2"/>
        <w:spacing w:after="0"/>
      </w:pPr>
    </w:p>
    <w:p w:rsidR="00A044B5" w:rsidP="008E1F9D" w14:paraId="2413648F" w14:textId="77777777">
      <w:pPr>
        <w:pStyle w:val="Heading2"/>
        <w:pBdr>
          <w:bottom w:val="single" w:sz="12" w:space="1" w:color="auto"/>
        </w:pBdr>
      </w:pPr>
      <w:r>
        <w:t>MEMORANDUM IN SUPPORT</w:t>
      </w:r>
      <w:r>
        <w:br/>
      </w:r>
    </w:p>
    <w:p w:rsidR="00D20DA7" w:rsidP="008E1F9D" w14:paraId="72F226B0" w14:textId="17854872">
      <w:pPr>
        <w:pStyle w:val="BodyTextIndent3"/>
        <w:widowControl w:val="0"/>
        <w:spacing w:before="240" w:after="0" w:line="480" w:lineRule="auto"/>
        <w:ind w:right="-24"/>
      </w:pPr>
      <w:r>
        <w:t xml:space="preserve">As a result of the PUCO’s investigation into the health, strength, and vitality of Ohio’s </w:t>
      </w:r>
      <w:r w:rsidR="00FC7E43">
        <w:t>competitive electricity</w:t>
      </w:r>
      <w:r>
        <w:t xml:space="preserve"> market, the PUCO </w:t>
      </w:r>
      <w:r w:rsidR="00F30933">
        <w:t xml:space="preserve">issued a </w:t>
      </w:r>
      <w:r w:rsidR="0062549F">
        <w:t>F</w:t>
      </w:r>
      <w:r w:rsidR="00F30933">
        <w:t xml:space="preserve">inding and </w:t>
      </w:r>
      <w:r w:rsidR="0062549F">
        <w:t>O</w:t>
      </w:r>
      <w:r w:rsidR="00F30933">
        <w:t xml:space="preserve">rder </w:t>
      </w:r>
      <w:r>
        <w:t xml:space="preserve">that </w:t>
      </w:r>
      <w:r w:rsidR="0062549F">
        <w:t>adopt</w:t>
      </w:r>
      <w:r w:rsidR="000F2D35">
        <w:t>ed the implementation of</w:t>
      </w:r>
      <w:r w:rsidR="0062549F">
        <w:t xml:space="preserve"> </w:t>
      </w:r>
      <w:r w:rsidR="00F30933">
        <w:t xml:space="preserve">a </w:t>
      </w:r>
      <w:r>
        <w:t>“</w:t>
      </w:r>
      <w:r w:rsidR="00F30933">
        <w:t>seamless move mechanism</w:t>
      </w:r>
      <w:r>
        <w:t>”</w:t>
      </w:r>
      <w:r w:rsidR="00F30933">
        <w:t xml:space="preserve"> as a statewide standard</w:t>
      </w:r>
      <w:r w:rsidR="004C7694">
        <w:t xml:space="preserve"> for</w:t>
      </w:r>
      <w:r w:rsidR="00314C8D">
        <w:t xml:space="preserve"> what happens when a </w:t>
      </w:r>
      <w:r w:rsidR="00AB7B5A">
        <w:t xml:space="preserve">marketer </w:t>
      </w:r>
      <w:r w:rsidR="00314C8D">
        <w:t>customer moves</w:t>
      </w:r>
      <w:r w:rsidR="004C7694">
        <w:t>.</w:t>
      </w:r>
      <w:r>
        <w:rPr>
          <w:rStyle w:val="FootnoteReference"/>
        </w:rPr>
        <w:footnoteReference w:id="3"/>
      </w:r>
      <w:r w:rsidR="00F30933">
        <w:t> </w:t>
      </w:r>
      <w:r w:rsidR="00282D5E">
        <w:t>FirstEnergy</w:t>
      </w:r>
      <w:r>
        <w:t xml:space="preserve"> filed this application in response to the PUCO’s Order. </w:t>
      </w:r>
    </w:p>
    <w:p w:rsidR="00282D5E" w:rsidP="00282D5E" w14:paraId="077D6F89" w14:textId="77777777">
      <w:pPr>
        <w:pStyle w:val="BodyTextIndent3"/>
        <w:widowControl w:val="0"/>
        <w:spacing w:after="0" w:line="480" w:lineRule="auto"/>
        <w:ind w:right="-24"/>
      </w:pPr>
      <w:r>
        <w:t xml:space="preserve">A seamless move mechanism is the coordination process and electronic interfaces that are necessary to enable marketers to continue providing service to customers participating in an electric marketer program when they end electric service at one address and initiate service at a new address within the same electric utility service territory. During the investigation case, OCC expressed concerns with a seamless move implementation including the need for adequate consumer protections, the cost </w:t>
      </w:r>
    </w:p>
    <w:p w:rsidR="00282D5E" w:rsidP="00282D5E" w14:paraId="722C9643" w14:textId="77777777">
      <w:r>
        <w:br w:type="page"/>
      </w:r>
    </w:p>
    <w:p w:rsidR="00282D5E" w:rsidP="00282D5E" w14:paraId="338D6AB9" w14:textId="77777777">
      <w:pPr>
        <w:pStyle w:val="BodyTextIndent3"/>
        <w:widowControl w:val="0"/>
        <w:spacing w:after="0" w:line="480" w:lineRule="auto"/>
        <w:ind w:right="-24" w:firstLine="0"/>
      </w:pPr>
      <w:r>
        <w:t>effectiveness of the “seamless move mechanism,” and the process and manner in which the costs will be allocated.</w:t>
      </w:r>
      <w:r>
        <w:rPr>
          <w:rStyle w:val="FootnoteReference"/>
        </w:rPr>
        <w:footnoteReference w:id="4"/>
      </w:r>
      <w:r>
        <w:t xml:space="preserve"> </w:t>
      </w:r>
    </w:p>
    <w:p w:rsidR="00282D5E" w:rsidP="008E1F9D" w14:paraId="2413F748" w14:textId="77777777">
      <w:pPr>
        <w:pStyle w:val="BodyTextIndent3"/>
        <w:widowControl w:val="0"/>
        <w:spacing w:after="0" w:line="480" w:lineRule="auto"/>
        <w:ind w:right="-24"/>
      </w:pPr>
      <w:r w:rsidRPr="00F64624">
        <w:t xml:space="preserve">Recognizing that the details of the seamless move implementation and cost issues have yet to be fully addressed, the PUCO required each </w:t>
      </w:r>
      <w:r>
        <w:t>electric distribution utility (“</w:t>
      </w:r>
      <w:r w:rsidRPr="00F64624">
        <w:t>EDU</w:t>
      </w:r>
      <w:r>
        <w:t>”)</w:t>
      </w:r>
      <w:r w:rsidRPr="00F64624">
        <w:t xml:space="preserve"> to file operational plans where these issues could be further considered.</w:t>
      </w:r>
      <w:r>
        <w:rPr>
          <w:rStyle w:val="FootnoteReference"/>
        </w:rPr>
        <w:footnoteReference w:id="5"/>
      </w:r>
      <w:r w:rsidRPr="00F64624">
        <w:t xml:space="preserve"> </w:t>
      </w:r>
      <w:r>
        <w:t>Duke and the other electric utilities</w:t>
      </w:r>
      <w:r>
        <w:rPr>
          <w:rStyle w:val="FootnoteReference"/>
        </w:rPr>
        <w:footnoteReference w:id="6"/>
      </w:r>
      <w:r>
        <w:t xml:space="preserve"> fully participated in the PUCO’s investigation into Ohio’s retail electric service market and provided several sets of comments. </w:t>
      </w:r>
    </w:p>
    <w:p w:rsidR="00FE1884" w:rsidP="008E1F9D" w14:paraId="5CD2D05A" w14:textId="41BED6A4">
      <w:pPr>
        <w:pStyle w:val="BodyTextIndent3"/>
        <w:widowControl w:val="0"/>
        <w:spacing w:after="0" w:line="480" w:lineRule="auto"/>
        <w:ind w:right="-24"/>
      </w:pPr>
      <w:r w:rsidRPr="00082CF3">
        <w:t xml:space="preserve">In </w:t>
      </w:r>
      <w:r w:rsidR="00282D5E">
        <w:t>FirstEnergy’s</w:t>
      </w:r>
      <w:r w:rsidR="00DA0065">
        <w:t xml:space="preserve"> comments, it</w:t>
      </w:r>
      <w:r w:rsidRPr="00082CF3">
        <w:t xml:space="preserve"> </w:t>
      </w:r>
      <w:r w:rsidR="00282D5E">
        <w:t>stated</w:t>
      </w:r>
      <w:r w:rsidR="00B25A13">
        <w:t xml:space="preserve"> that “</w:t>
      </w:r>
      <w:r w:rsidR="00282D5E">
        <w:t xml:space="preserve">…the Companies would not oppose being allocated the costs incurred so long as they receive full and timely recovery of all costs, including a return on and of any capital investment. The Companies are also open to an allocation of those costs to </w:t>
      </w:r>
      <w:r w:rsidR="005319BF">
        <w:t>[Marketers]</w:t>
      </w:r>
      <w:r w:rsidR="00282D5E">
        <w:t xml:space="preserve">, especially if any costs are incurred for the sole benefit or convenience of </w:t>
      </w:r>
      <w:r w:rsidR="005319BF">
        <w:t>[Marketers]</w:t>
      </w:r>
      <w:r w:rsidR="00282D5E">
        <w:t>, so long as appropriate provisions are put in place to ensure full and timely recovery of all costs.</w:t>
      </w:r>
      <w:r w:rsidR="00B25A13">
        <w:t>”</w:t>
      </w:r>
      <w:r>
        <w:rPr>
          <w:rStyle w:val="FootnoteReference"/>
        </w:rPr>
        <w:footnoteReference w:id="7"/>
      </w:r>
      <w:r w:rsidR="00082CF3">
        <w:t xml:space="preserve"> </w:t>
      </w:r>
    </w:p>
    <w:p w:rsidR="001A3730" w:rsidP="00652A9E" w14:paraId="53725F60" w14:textId="24C1E1C8">
      <w:pPr>
        <w:pStyle w:val="BodyTextIndent3"/>
        <w:widowControl w:val="0"/>
        <w:spacing w:after="0" w:line="480" w:lineRule="auto"/>
        <w:ind w:right="-24"/>
      </w:pPr>
      <w:r>
        <w:t>FirstEnergy’s</w:t>
      </w:r>
      <w:r w:rsidR="00CD39C7">
        <w:t xml:space="preserve"> </w:t>
      </w:r>
      <w:r w:rsidR="00722701">
        <w:t xml:space="preserve">proposed plan recommends that </w:t>
      </w:r>
      <w:r w:rsidR="00514499">
        <w:t xml:space="preserve">it fully collect the costs from </w:t>
      </w:r>
      <w:r w:rsidRPr="00C72C45">
        <w:rPr>
          <w:i/>
          <w:iCs/>
        </w:rPr>
        <w:t>consumers</w:t>
      </w:r>
      <w:r>
        <w:t xml:space="preserve"> through its Government Directives Recovery Rider (“Rider GDR”)</w:t>
      </w:r>
      <w:r w:rsidR="00722701">
        <w:t>.</w:t>
      </w:r>
      <w:r>
        <w:rPr>
          <w:rStyle w:val="FootnoteReference"/>
        </w:rPr>
        <w:footnoteReference w:id="8"/>
      </w:r>
      <w:r w:rsidR="00082CF3">
        <w:t xml:space="preserve"> OCC does not support this </w:t>
      </w:r>
      <w:r w:rsidR="00C72C45">
        <w:t>proposal</w:t>
      </w:r>
      <w:r w:rsidRPr="00834653" w:rsidR="00082CF3">
        <w:t>—</w:t>
      </w:r>
      <w:r>
        <w:t xml:space="preserve">marketers, and not </w:t>
      </w:r>
      <w:r w:rsidR="00082CF3">
        <w:t xml:space="preserve">consumers should </w:t>
      </w:r>
      <w:r w:rsidR="00D955DF">
        <w:t xml:space="preserve">pay </w:t>
      </w:r>
      <w:r>
        <w:t>all</w:t>
      </w:r>
      <w:r w:rsidR="00D955DF">
        <w:t xml:space="preserve"> of the costs</w:t>
      </w:r>
      <w:r w:rsidR="005319BF">
        <w:t xml:space="preserve"> for seamless move</w:t>
      </w:r>
      <w:r w:rsidR="00082CF3">
        <w:t>.</w:t>
      </w:r>
      <w:r w:rsidR="00FB614B">
        <w:t xml:space="preserve"> </w:t>
      </w:r>
      <w:r w:rsidR="00722701">
        <w:t xml:space="preserve">Accordingly, </w:t>
      </w:r>
      <w:r w:rsidRPr="00F64624" w:rsidR="004C7694">
        <w:t>OCC</w:t>
      </w:r>
      <w:r w:rsidRPr="00F64624" w:rsidR="00C76A67">
        <w:t>’s</w:t>
      </w:r>
      <w:r w:rsidRPr="00F64624" w:rsidR="004C7694">
        <w:t xml:space="preserve"> intervention will seek to ensure that consumer interests are represented as the </w:t>
      </w:r>
      <w:r w:rsidRPr="00F64624" w:rsidR="00C76A67">
        <w:t>operational details</w:t>
      </w:r>
      <w:r w:rsidRPr="00F64624" w:rsidR="004C7694">
        <w:t xml:space="preserve"> are finalized and the implementation costs are </w:t>
      </w:r>
      <w:r w:rsidR="003C2988">
        <w:t xml:space="preserve">properly </w:t>
      </w:r>
      <w:r w:rsidRPr="00F64624" w:rsidR="004C7694">
        <w:t>allocated</w:t>
      </w:r>
      <w:r w:rsidR="003C2988">
        <w:t xml:space="preserve"> in accordance with </w:t>
      </w:r>
      <w:r>
        <w:t>OCC’s</w:t>
      </w:r>
      <w:r w:rsidR="003C2988">
        <w:t xml:space="preserve"> recommendation</w:t>
      </w:r>
      <w:r w:rsidR="00FB614B">
        <w:t xml:space="preserve">. </w:t>
      </w:r>
      <w:r w:rsidRPr="00F64624" w:rsidR="004C7694">
        <w:t xml:space="preserve"> </w:t>
      </w:r>
    </w:p>
    <w:p w:rsidR="00A044B5" w:rsidP="00652A9E" w14:paraId="49E66C35" w14:textId="2080E498">
      <w:pPr>
        <w:pStyle w:val="BodyTextIndent3"/>
        <w:widowControl w:val="0"/>
        <w:spacing w:after="0" w:line="480" w:lineRule="auto"/>
        <w:ind w:right="-24"/>
      </w:pPr>
      <w:r>
        <w:rPr>
          <w:szCs w:val="24"/>
        </w:rPr>
        <w:t xml:space="preserve">OCC has authority under law to represent </w:t>
      </w:r>
      <w:r>
        <w:t>the in</w:t>
      </w:r>
      <w:r w:rsidR="00A5514C">
        <w:t>terests of the</w:t>
      </w:r>
      <w:r>
        <w:t xml:space="preserve"> </w:t>
      </w:r>
      <w:r w:rsidR="004A027E">
        <w:t>1.</w:t>
      </w:r>
      <w:r w:rsidR="00C72C45">
        <w:t>9</w:t>
      </w:r>
      <w:r w:rsidR="004A027E">
        <w:t xml:space="preserve"> million</w:t>
      </w:r>
      <w:r>
        <w:t xml:space="preserve"> residential utility customers of </w:t>
      </w:r>
      <w:r w:rsidR="00C72C45">
        <w:t>FirstEnergy</w:t>
      </w:r>
      <w:r>
        <w:t xml:space="preserve">, </w:t>
      </w:r>
      <w:r w:rsidR="0055107B">
        <w:t>under</w:t>
      </w:r>
      <w:r>
        <w:t xml:space="preserve"> R.C. Chapter 4911</w:t>
      </w:r>
      <w:r w:rsidR="0062549F">
        <w:t>.</w:t>
      </w:r>
    </w:p>
    <w:p w:rsidR="00424389" w:rsidP="00652A9E" w14:paraId="30C0B82A" w14:textId="77777777">
      <w:pPr>
        <w:pStyle w:val="BodyTextIndent3"/>
        <w:widowControl w:val="0"/>
        <w:spacing w:after="0" w:line="480" w:lineRule="auto"/>
        <w:ind w:right="-24"/>
      </w:pPr>
      <w:r>
        <w:t>R.C. 4903.221 provides, in part, that any person “who may be adversely affected” by a PUCO proceeding is entitled to seek in</w:t>
      </w:r>
      <w:r w:rsidR="002A4912">
        <w:t xml:space="preserve">tervention in that proceeding. </w:t>
      </w:r>
      <w:r w:rsidR="00916B16">
        <w:t>The PUCO Staff opposed the seamless move process in its Report to the PUCO because it was the costliest option, the most difficult option to implement, would require numerous PUCO rule waivers, and would only be available to 2.2% of all residential shopping customers.</w:t>
      </w:r>
      <w:r>
        <w:rPr>
          <w:rStyle w:val="FootnoteReference"/>
        </w:rPr>
        <w:footnoteReference w:id="9"/>
      </w:r>
      <w:r w:rsidR="00916B16">
        <w:t xml:space="preserve"> But despite Staff’s opposition, the PUCO adopted the implementation of a seamless move as the statewide standard.</w:t>
      </w:r>
      <w:r>
        <w:rPr>
          <w:rStyle w:val="FootnoteReference"/>
        </w:rPr>
        <w:footnoteReference w:id="10"/>
      </w:r>
      <w:r w:rsidR="00916B16">
        <w:t xml:space="preserve"> As such, t</w:t>
      </w:r>
      <w:r>
        <w:t>he interests of Ohio’s residential customers may be “adversely affected” by this case, especially if the customers were unrepresented in a pr</w:t>
      </w:r>
      <w:r w:rsidR="002A4912">
        <w:t>oceeding</w:t>
      </w:r>
      <w:r w:rsidR="005469B9">
        <w:t xml:space="preserve"> where they could </w:t>
      </w:r>
      <w:r w:rsidR="00722701">
        <w:t xml:space="preserve">end up paying the costs of implementing </w:t>
      </w:r>
      <w:r w:rsidR="005469B9">
        <w:t xml:space="preserve">the seamless move </w:t>
      </w:r>
      <w:r w:rsidR="00916B16">
        <w:t>process</w:t>
      </w:r>
      <w:r w:rsidR="005469B9">
        <w:t xml:space="preserve">, which </w:t>
      </w:r>
      <w:r w:rsidR="00FB614B">
        <w:t xml:space="preserve">primarily </w:t>
      </w:r>
      <w:r w:rsidR="005469B9">
        <w:t>benefits marketers</w:t>
      </w:r>
      <w:r w:rsidR="00FB614B">
        <w:t xml:space="preserve"> and where </w:t>
      </w:r>
      <w:r w:rsidR="001A2F5C">
        <w:t xml:space="preserve">potentially </w:t>
      </w:r>
      <w:r w:rsidR="00916B16">
        <w:t xml:space="preserve">only 2.2% of </w:t>
      </w:r>
      <w:r w:rsidR="00FB614B">
        <w:t>customers are expected to be able to</w:t>
      </w:r>
      <w:r w:rsidR="003C2988">
        <w:t xml:space="preserve"> utilize the seamless move process</w:t>
      </w:r>
      <w:r w:rsidR="005469B9">
        <w:t>.</w:t>
      </w:r>
      <w:r w:rsidR="002A4912">
        <w:t xml:space="preserve"> </w:t>
      </w:r>
      <w:r w:rsidR="00916B16">
        <w:t xml:space="preserve">If any party should pay the costs of implementing this process, it is the marketers. </w:t>
      </w:r>
      <w:r w:rsidR="004C7694">
        <w:t xml:space="preserve">Additionally, this case could adversely affect consumer protections against slamming, contract rights, advance notification requirements, </w:t>
      </w:r>
      <w:r w:rsidR="00AB7B5A">
        <w:t>marketer</w:t>
      </w:r>
      <w:r w:rsidR="004C7694">
        <w:t xml:space="preserve"> education, and customer rescission rights if </w:t>
      </w:r>
    </w:p>
    <w:p w:rsidR="00424389" w14:paraId="1D839296" w14:textId="77777777">
      <w:r>
        <w:br w:type="page"/>
      </w:r>
    </w:p>
    <w:p w:rsidR="00A044B5" w:rsidP="00424389" w14:paraId="3D8CAABB" w14:textId="6C65EEB5">
      <w:pPr>
        <w:pStyle w:val="BodyTextIndent3"/>
        <w:widowControl w:val="0"/>
        <w:spacing w:after="0" w:line="480" w:lineRule="auto"/>
        <w:ind w:right="-24" w:firstLine="0"/>
      </w:pPr>
      <w:r>
        <w:t xml:space="preserve">residential customers were not adequately represented. Thus, this element of the intervention standard in R.C. 4903.221 is satisfied. </w:t>
      </w:r>
    </w:p>
    <w:p w:rsidR="00A044B5" w14:paraId="587E96C2" w14:textId="77777777">
      <w:pPr>
        <w:spacing w:line="480" w:lineRule="auto"/>
        <w:ind w:firstLine="720"/>
        <w:rPr>
          <w:szCs w:val="24"/>
        </w:rPr>
      </w:pPr>
      <w:r>
        <w:rPr>
          <w:szCs w:val="24"/>
        </w:rPr>
        <w:t>R.C. 490</w:t>
      </w:r>
      <w:r w:rsidR="002A4912">
        <w:rPr>
          <w:szCs w:val="24"/>
        </w:rPr>
        <w:t>3.221(B) requires the PUCO</w:t>
      </w:r>
      <w:r>
        <w:rPr>
          <w:szCs w:val="24"/>
        </w:rPr>
        <w:t xml:space="preserve"> to consider the following criteria in ruling on motions to intervene:</w:t>
      </w:r>
    </w:p>
    <w:p w:rsidR="00A044B5" w:rsidP="0031242C" w14:paraId="0B6A6D9E" w14:textId="77777777">
      <w:pPr>
        <w:ind w:left="2160" w:right="720" w:hanging="720"/>
        <w:rPr>
          <w:szCs w:val="24"/>
        </w:rPr>
      </w:pPr>
      <w:r>
        <w:rPr>
          <w:szCs w:val="24"/>
        </w:rPr>
        <w:t>(1)</w:t>
      </w:r>
      <w:r>
        <w:rPr>
          <w:szCs w:val="24"/>
        </w:rPr>
        <w:tab/>
        <w:t>The nature and extent of the prospective intervenor’s interest;</w:t>
      </w:r>
    </w:p>
    <w:p w:rsidR="00A044B5" w:rsidP="0031242C" w14:paraId="0CFBF169" w14:textId="77777777">
      <w:pPr>
        <w:spacing w:before="240"/>
        <w:ind w:left="2160" w:right="720" w:hanging="720"/>
        <w:rPr>
          <w:szCs w:val="24"/>
        </w:rPr>
      </w:pPr>
      <w:r>
        <w:rPr>
          <w:szCs w:val="24"/>
        </w:rPr>
        <w:t>(2)</w:t>
      </w:r>
      <w:r>
        <w:rPr>
          <w:szCs w:val="24"/>
        </w:rPr>
        <w:tab/>
        <w:t>The legal position advanced by the prospective intervenor and its probable relation to the merits of the case;</w:t>
      </w:r>
    </w:p>
    <w:p w:rsidR="00A044B5" w:rsidP="0031242C" w14:paraId="386906A9" w14:textId="77777777">
      <w:pPr>
        <w:spacing w:before="240"/>
        <w:ind w:left="2160" w:right="720" w:hanging="720"/>
        <w:rPr>
          <w:szCs w:val="24"/>
        </w:rPr>
      </w:pPr>
      <w:r>
        <w:rPr>
          <w:szCs w:val="24"/>
        </w:rPr>
        <w:t>(3)</w:t>
      </w:r>
      <w:r>
        <w:rPr>
          <w:szCs w:val="24"/>
        </w:rPr>
        <w:tab/>
        <w:t>Whether the intervention by the prospective intervenor will unduly prolong or delay the proceeding</w:t>
      </w:r>
      <w:r w:rsidR="00E444D2">
        <w:rPr>
          <w:szCs w:val="24"/>
        </w:rPr>
        <w:t>s</w:t>
      </w:r>
      <w:r>
        <w:rPr>
          <w:szCs w:val="24"/>
        </w:rPr>
        <w:t xml:space="preserve">; </w:t>
      </w:r>
    </w:p>
    <w:p w:rsidR="00A044B5" w:rsidP="0031242C" w14:paraId="3031601B" w14:textId="77777777">
      <w:pPr>
        <w:pStyle w:val="BodyTextIndent2"/>
        <w:tabs>
          <w:tab w:val="clear" w:pos="720"/>
        </w:tabs>
        <w:ind w:left="2160" w:right="720" w:hanging="720"/>
        <w:rPr>
          <w:szCs w:val="24"/>
        </w:rPr>
      </w:pPr>
      <w:r>
        <w:rPr>
          <w:szCs w:val="24"/>
        </w:rPr>
        <w:t>(4)</w:t>
      </w:r>
      <w:r>
        <w:rPr>
          <w:szCs w:val="24"/>
        </w:rPr>
        <w:tab/>
        <w:t>Whether the prospective intervenor will significantly contribute to full development and equitable resolution of the factual issues.</w:t>
      </w:r>
    </w:p>
    <w:p w:rsidR="00A044B5" w:rsidP="00652A9E" w14:paraId="7140B60F" w14:textId="75AF191E">
      <w:pPr>
        <w:pStyle w:val="BodyTextIndent3"/>
        <w:spacing w:after="0" w:line="480" w:lineRule="auto"/>
        <w:rPr>
          <w:szCs w:val="24"/>
        </w:rPr>
      </w:pPr>
      <w:r>
        <w:t>First, the nature and extent of OCC’s interest is representing the residential customers o</w:t>
      </w:r>
      <w:r>
        <w:rPr>
          <w:szCs w:val="24"/>
        </w:rPr>
        <w:t xml:space="preserve">f </w:t>
      </w:r>
      <w:r w:rsidR="00C72C45">
        <w:rPr>
          <w:szCs w:val="24"/>
        </w:rPr>
        <w:t>FirstEnergy</w:t>
      </w:r>
      <w:r w:rsidR="0062549F">
        <w:rPr>
          <w:szCs w:val="24"/>
        </w:rPr>
        <w:t xml:space="preserve"> </w:t>
      </w:r>
      <w:r>
        <w:rPr>
          <w:szCs w:val="24"/>
        </w:rPr>
        <w:t>in this case i</w:t>
      </w:r>
      <w:r w:rsidR="002A4912">
        <w:rPr>
          <w:szCs w:val="24"/>
        </w:rPr>
        <w:t xml:space="preserve">nvolving </w:t>
      </w:r>
      <w:r w:rsidR="0062549F">
        <w:rPr>
          <w:szCs w:val="24"/>
        </w:rPr>
        <w:t>its seamless move operational plan.</w:t>
      </w:r>
      <w:r w:rsidR="002A4912">
        <w:rPr>
          <w:szCs w:val="24"/>
        </w:rPr>
        <w:t xml:space="preserve"> </w:t>
      </w:r>
      <w:r>
        <w:rPr>
          <w:szCs w:val="24"/>
        </w:rPr>
        <w:t>This interest is different than that of any other party and especially different than that of the utility whose advocacy includes the financial interest of stockholders.</w:t>
      </w:r>
    </w:p>
    <w:p w:rsidR="00A044B5" w:rsidP="00652A9E" w14:paraId="5A955DE0" w14:textId="2C1AA871">
      <w:pPr>
        <w:pStyle w:val="Footer"/>
        <w:tabs>
          <w:tab w:val="clear" w:pos="4320"/>
          <w:tab w:val="clear" w:pos="8640"/>
        </w:tabs>
        <w:spacing w:after="0" w:line="480" w:lineRule="auto"/>
        <w:ind w:firstLine="720"/>
        <w:rPr>
          <w:sz w:val="24"/>
          <w:szCs w:val="24"/>
        </w:rPr>
      </w:pPr>
      <w:r>
        <w:rPr>
          <w:sz w:val="24"/>
          <w:szCs w:val="24"/>
        </w:rPr>
        <w:t>Second, OCC’s advocacy for residential customers will include</w:t>
      </w:r>
      <w:r w:rsidR="0055107B">
        <w:rPr>
          <w:sz w:val="24"/>
          <w:szCs w:val="24"/>
        </w:rPr>
        <w:t>, among other things,</w:t>
      </w:r>
      <w:r>
        <w:rPr>
          <w:sz w:val="24"/>
          <w:szCs w:val="24"/>
        </w:rPr>
        <w:t xml:space="preserve"> advancing the position that “</w:t>
      </w:r>
      <w:bookmarkStart w:id="1" w:name="_Hlk33017542"/>
      <w:r>
        <w:rPr>
          <w:sz w:val="24"/>
          <w:szCs w:val="24"/>
        </w:rPr>
        <w:t>rates should be no more than what is reasonable and lawful under Ohio law, for service that is adequate under Ohio law.</w:t>
      </w:r>
      <w:r w:rsidR="00FC7E43">
        <w:rPr>
          <w:sz w:val="24"/>
          <w:szCs w:val="24"/>
        </w:rPr>
        <w:t>”</w:t>
      </w:r>
      <w:r w:rsidR="009656E3">
        <w:rPr>
          <w:sz w:val="24"/>
          <w:szCs w:val="24"/>
        </w:rPr>
        <w:t xml:space="preserve"> </w:t>
      </w:r>
      <w:bookmarkEnd w:id="1"/>
      <w:r w:rsidRPr="00FC7E43" w:rsidR="00FC7E43">
        <w:rPr>
          <w:sz w:val="24"/>
          <w:szCs w:val="24"/>
        </w:rPr>
        <w:t xml:space="preserve">OCC will also advocate that </w:t>
      </w:r>
      <w:r w:rsidR="00794ACE">
        <w:rPr>
          <w:sz w:val="24"/>
          <w:szCs w:val="24"/>
        </w:rPr>
        <w:t xml:space="preserve">marketers instead of </w:t>
      </w:r>
      <w:r w:rsidRPr="00FC7E43" w:rsidR="00FC7E43">
        <w:rPr>
          <w:sz w:val="24"/>
          <w:szCs w:val="24"/>
        </w:rPr>
        <w:t xml:space="preserve">consumers </w:t>
      </w:r>
      <w:r w:rsidR="00F52D95">
        <w:rPr>
          <w:sz w:val="24"/>
          <w:szCs w:val="24"/>
        </w:rPr>
        <w:t>should have to bear the costs for the implementation of seamless move</w:t>
      </w:r>
      <w:r w:rsidRPr="00FC7E43" w:rsidR="00FC7E43">
        <w:rPr>
          <w:sz w:val="24"/>
          <w:szCs w:val="24"/>
        </w:rPr>
        <w:t xml:space="preserve">. </w:t>
      </w:r>
      <w:r>
        <w:rPr>
          <w:sz w:val="24"/>
          <w:szCs w:val="24"/>
        </w:rPr>
        <w:t>OCC’s position is therefore directly related to the merits of this case</w:t>
      </w:r>
      <w:r w:rsidR="0055107B">
        <w:rPr>
          <w:sz w:val="24"/>
          <w:szCs w:val="24"/>
        </w:rPr>
        <w:t>, which</w:t>
      </w:r>
      <w:r>
        <w:rPr>
          <w:sz w:val="24"/>
          <w:szCs w:val="24"/>
        </w:rPr>
        <w:t xml:space="preserve"> is pending before the PUCO, the authority with regulatory control of public utilities’ rates and service quality in Ohio. </w:t>
      </w:r>
    </w:p>
    <w:p w:rsidR="00A044B5" w:rsidP="00652A9E" w14:paraId="2F3F411A" w14:textId="63BD6382">
      <w:pPr>
        <w:pStyle w:val="BodyTextIndent3"/>
        <w:spacing w:after="0" w:line="480" w:lineRule="auto"/>
        <w:rPr>
          <w:szCs w:val="24"/>
        </w:rPr>
      </w:pPr>
      <w:r>
        <w:t xml:space="preserve">Third, </w:t>
      </w:r>
      <w:r>
        <w:rPr>
          <w:szCs w:val="24"/>
        </w:rPr>
        <w:t>OCC’s intervention will not unduly prolong or delay the proceedings.</w:t>
      </w:r>
      <w:r w:rsidR="009656E3">
        <w:rPr>
          <w:szCs w:val="24"/>
        </w:rPr>
        <w:t xml:space="preserve"> </w:t>
      </w:r>
      <w:r>
        <w:rPr>
          <w:szCs w:val="24"/>
        </w:rPr>
        <w:t>OCC, with its longstanding expertise and experience in PUCO proceedings, will duly allow for the efficient processing of the case with consideration of the public interest.</w:t>
      </w:r>
    </w:p>
    <w:p w:rsidR="00A044B5" w:rsidP="00652A9E" w14:paraId="28B15D69" w14:textId="77777777">
      <w:pPr>
        <w:pStyle w:val="Footer"/>
        <w:tabs>
          <w:tab w:val="clear" w:pos="4320"/>
          <w:tab w:val="clear" w:pos="8640"/>
        </w:tabs>
        <w:spacing w:after="0" w:line="480" w:lineRule="auto"/>
        <w:ind w:firstLine="720"/>
        <w:rPr>
          <w:sz w:val="24"/>
          <w:szCs w:val="24"/>
        </w:rPr>
      </w:pPr>
      <w:r>
        <w:rPr>
          <w:sz w:val="24"/>
          <w:szCs w:val="24"/>
        </w:rPr>
        <w:t>Fourth, OCC’s intervention will significantly contribute to full development and equitable res</w:t>
      </w:r>
      <w:r w:rsidR="002A4912">
        <w:rPr>
          <w:sz w:val="24"/>
          <w:szCs w:val="24"/>
        </w:rPr>
        <w:t xml:space="preserve">olution of the factual issues. </w:t>
      </w:r>
      <w:r>
        <w:rPr>
          <w:sz w:val="24"/>
          <w:szCs w:val="24"/>
        </w:rPr>
        <w:t xml:space="preserve">OCC will obtain and develop information that the PUCO should consider for equitably and lawfully deciding the case in the public interest. </w:t>
      </w:r>
    </w:p>
    <w:p w:rsidR="00A044B5" w:rsidP="00652A9E" w14:paraId="37594C41" w14:textId="46BC3A38">
      <w:pPr>
        <w:pStyle w:val="WW-BodyTextIndent3"/>
        <w:widowControl w:val="0"/>
        <w:spacing w:after="0" w:line="480" w:lineRule="auto"/>
        <w:ind w:right="-24"/>
        <w:rPr>
          <w:szCs w:val="24"/>
        </w:rPr>
      </w:pPr>
      <w:r>
        <w:rPr>
          <w:szCs w:val="24"/>
        </w:rPr>
        <w:t>OCC also satisfies the intervention criteria in the Ohio Administrative Code (which are subordinate to the criteria that OCC satisf</w:t>
      </w:r>
      <w:r w:rsidR="002A4912">
        <w:rPr>
          <w:szCs w:val="24"/>
        </w:rPr>
        <w:t xml:space="preserve">ies in the Ohio Revised Code). </w:t>
      </w:r>
      <w:r>
        <w:rPr>
          <w:szCs w:val="24"/>
        </w:rPr>
        <w:t>To intervene, a party should have a “real and substantial interest” according to O</w:t>
      </w:r>
      <w:r w:rsidR="002A4912">
        <w:rPr>
          <w:szCs w:val="24"/>
        </w:rPr>
        <w:t xml:space="preserve">hio Adm. Code 4901-1-11(A)(2). </w:t>
      </w:r>
      <w:r>
        <w:rPr>
          <w:szCs w:val="24"/>
        </w:rPr>
        <w:t xml:space="preserve">As the advocate for residential utility customers, OCC has a very real and substantial interest in this case where </w:t>
      </w:r>
      <w:r w:rsidR="0062549F">
        <w:rPr>
          <w:szCs w:val="24"/>
        </w:rPr>
        <w:t>customers could shoulder the costs of a process that will provide them no benefit.</w:t>
      </w:r>
      <w:r w:rsidR="009656E3">
        <w:rPr>
          <w:szCs w:val="24"/>
        </w:rPr>
        <w:t xml:space="preserve"> </w:t>
      </w:r>
    </w:p>
    <w:p w:rsidR="00A044B5" w:rsidP="00652A9E" w14:paraId="77CF1B8C" w14:textId="4DD1C875">
      <w:pPr>
        <w:pStyle w:val="BodyTextIndent3"/>
        <w:widowControl w:val="0"/>
        <w:spacing w:after="0" w:line="480" w:lineRule="auto"/>
        <w:ind w:right="-24"/>
        <w:rPr>
          <w:szCs w:val="24"/>
        </w:rPr>
      </w:pPr>
      <w:r>
        <w:rPr>
          <w:szCs w:val="24"/>
        </w:rPr>
        <w:t>In addition, OCC meets the criteria of Ohio Adm. Code 4901-1-11(B)(1)-(4).</w:t>
      </w:r>
      <w:r w:rsidR="009656E3">
        <w:rPr>
          <w:szCs w:val="24"/>
        </w:rPr>
        <w:t xml:space="preserve"> </w:t>
      </w:r>
      <w:r>
        <w:rPr>
          <w:szCs w:val="24"/>
        </w:rPr>
        <w:t>These criteria mirror the statutory criteria in R.C. 4903.221(B)</w:t>
      </w:r>
      <w:r w:rsidR="0055107B">
        <w:rPr>
          <w:szCs w:val="24"/>
        </w:rPr>
        <w:t>,</w:t>
      </w:r>
      <w:r>
        <w:rPr>
          <w:szCs w:val="24"/>
        </w:rPr>
        <w:t xml:space="preserve"> </w:t>
      </w:r>
      <w:r w:rsidR="0055107B">
        <w:rPr>
          <w:szCs w:val="24"/>
        </w:rPr>
        <w:t>which</w:t>
      </w:r>
      <w:r>
        <w:rPr>
          <w:szCs w:val="24"/>
        </w:rPr>
        <w:t xml:space="preserve"> OCC already has </w:t>
      </w:r>
      <w:r w:rsidR="00307B57">
        <w:rPr>
          <w:szCs w:val="24"/>
        </w:rPr>
        <w:t>addressed,</w:t>
      </w:r>
      <w:r>
        <w:rPr>
          <w:szCs w:val="24"/>
        </w:rPr>
        <w:t xml:space="preserve"> and </w:t>
      </w:r>
      <w:r w:rsidR="0055107B">
        <w:rPr>
          <w:szCs w:val="24"/>
        </w:rPr>
        <w:t xml:space="preserve">which </w:t>
      </w:r>
      <w:r>
        <w:rPr>
          <w:szCs w:val="24"/>
        </w:rPr>
        <w:t>OCC satisfies.</w:t>
      </w:r>
    </w:p>
    <w:p w:rsidR="009656E3" w:rsidP="00652A9E" w14:paraId="2DB20344" w14:textId="299812BD">
      <w:pPr>
        <w:pStyle w:val="BodyTextIndent3"/>
        <w:widowControl w:val="0"/>
        <w:spacing w:after="0" w:line="480" w:lineRule="auto"/>
        <w:ind w:right="-24"/>
        <w:rPr>
          <w:szCs w:val="24"/>
        </w:rPr>
      </w:pPr>
      <w:r>
        <w:rPr>
          <w:szCs w:val="24"/>
        </w:rPr>
        <w:t>Ohio Adm. Code 4901-1-11(</w:t>
      </w:r>
      <w:r w:rsidR="00A5514C">
        <w:rPr>
          <w:szCs w:val="24"/>
        </w:rPr>
        <w:t>B)(5) states that the PUCO</w:t>
      </w:r>
      <w:r>
        <w:rPr>
          <w:szCs w:val="24"/>
        </w:rPr>
        <w:t xml:space="preserve"> shall consider </w:t>
      </w:r>
      <w:r w:rsidR="00760DE9">
        <w:rPr>
          <w:szCs w:val="24"/>
        </w:rPr>
        <w:t xml:space="preserve">“The </w:t>
      </w:r>
      <w:r>
        <w:rPr>
          <w:szCs w:val="24"/>
        </w:rPr>
        <w:t>extent to which the person’s interest is rep</w:t>
      </w:r>
      <w:r w:rsidR="002A4912">
        <w:rPr>
          <w:szCs w:val="24"/>
        </w:rPr>
        <w:t xml:space="preserve">resented by existing parties.” </w:t>
      </w:r>
      <w:r>
        <w:rPr>
          <w:szCs w:val="24"/>
        </w:rPr>
        <w:t xml:space="preserve">While OCC does not concede the lawfulness of this criterion, OCC satisfies this criterion in that it uniquely has been designated as the state representative of the interests of Ohio’s </w:t>
      </w:r>
      <w:r w:rsidR="002A4912">
        <w:rPr>
          <w:szCs w:val="24"/>
        </w:rPr>
        <w:t xml:space="preserve">residential utility customers. </w:t>
      </w:r>
      <w:r>
        <w:rPr>
          <w:szCs w:val="24"/>
        </w:rPr>
        <w:t>That interest is different from, and not represented by, any other entity in Ohio.</w:t>
      </w:r>
    </w:p>
    <w:p w:rsidR="00424389" w14:paraId="704B4DE5" w14:textId="77777777">
      <w:pPr>
        <w:rPr>
          <w:szCs w:val="24"/>
        </w:rPr>
      </w:pPr>
      <w:r>
        <w:rPr>
          <w:szCs w:val="24"/>
        </w:rPr>
        <w:br w:type="page"/>
      </w:r>
    </w:p>
    <w:p w:rsidR="00A044B5" w:rsidP="00652A9E" w14:paraId="1E4EA3E8" w14:textId="5B9B4FA5">
      <w:pPr>
        <w:pStyle w:val="BodyTextIndent3"/>
        <w:widowControl w:val="0"/>
        <w:spacing w:after="0" w:line="480" w:lineRule="auto"/>
        <w:ind w:right="-24"/>
        <w:rPr>
          <w:szCs w:val="24"/>
        </w:rPr>
      </w:pPr>
      <w:r>
        <w:rPr>
          <w:szCs w:val="24"/>
        </w:rPr>
        <w:t>Moreover, the Supreme Court of Ohio</w:t>
      </w:r>
      <w:r w:rsidR="0055107B">
        <w:rPr>
          <w:szCs w:val="24"/>
        </w:rPr>
        <w:t xml:space="preserve"> (“Court”)</w:t>
      </w:r>
      <w:r>
        <w:rPr>
          <w:szCs w:val="24"/>
        </w:rPr>
        <w:t xml:space="preserve"> confirmed OCC’s right to intervene in PUCO proceedings, in deciding two appeals in which OCC claimed the PUCO erred</w:t>
      </w:r>
      <w:r w:rsidR="002A4912">
        <w:rPr>
          <w:szCs w:val="24"/>
        </w:rPr>
        <w:t xml:space="preserve"> by denying its interventions. </w:t>
      </w:r>
      <w:r>
        <w:rPr>
          <w:szCs w:val="24"/>
        </w:rPr>
        <w:t>The Court found that the PUCO abused its discretion in denying OCC’s interventions and that OCC should have been granted intervention in both proceedings.</w:t>
      </w:r>
      <w:r>
        <w:rPr>
          <w:rStyle w:val="FootnoteReference"/>
          <w:szCs w:val="24"/>
        </w:rPr>
        <w:footnoteReference w:id="11"/>
      </w:r>
      <w:r w:rsidR="009656E3">
        <w:rPr>
          <w:szCs w:val="24"/>
        </w:rPr>
        <w:t xml:space="preserve"> </w:t>
      </w:r>
    </w:p>
    <w:p w:rsidR="00A044B5" w:rsidP="00652A9E" w14:paraId="49F2CC0E" w14:textId="77777777">
      <w:pPr>
        <w:spacing w:after="0" w:line="480" w:lineRule="auto"/>
        <w:ind w:firstLine="720"/>
      </w:pPr>
      <w:r>
        <w:rPr>
          <w:szCs w:val="24"/>
        </w:rPr>
        <w:t>OCC meets the criteria set forth in R.C. 4903.221, Ohio Adm. Code 4901-1-11, and the precedent established by the Supreme C</w:t>
      </w:r>
      <w:r w:rsidR="002A4912">
        <w:rPr>
          <w:szCs w:val="24"/>
        </w:rPr>
        <w:t xml:space="preserve">ourt of Ohio for intervention. </w:t>
      </w:r>
      <w:r>
        <w:rPr>
          <w:szCs w:val="24"/>
        </w:rPr>
        <w:t>On behalf of Ohio residential custome</w:t>
      </w:r>
      <w:r w:rsidR="00A5514C">
        <w:rPr>
          <w:szCs w:val="24"/>
        </w:rPr>
        <w:t>rs, the PUCO</w:t>
      </w:r>
      <w:r>
        <w:rPr>
          <w:szCs w:val="24"/>
        </w:rPr>
        <w:t xml:space="preserve"> should grant OCC’s Motion to Intervene.</w:t>
      </w:r>
    </w:p>
    <w:p w:rsidR="004A027E" w:rsidP="00306B79" w14:paraId="028B0796" w14:textId="5E58AD55">
      <w:pPr>
        <w:pStyle w:val="BodyTextIndent3"/>
        <w:widowControl w:val="0"/>
        <w:spacing w:after="0" w:line="240" w:lineRule="auto"/>
        <w:ind w:left="2880" w:right="-672"/>
        <w:rPr>
          <w:szCs w:val="24"/>
        </w:rPr>
      </w:pPr>
      <w:r>
        <w:rPr>
          <w:szCs w:val="24"/>
        </w:rPr>
        <w:t>Respectfully submitted,</w:t>
      </w:r>
    </w:p>
    <w:p w:rsidR="00306B79" w:rsidP="00306B79" w14:paraId="0AFE79D6" w14:textId="77777777">
      <w:pPr>
        <w:pStyle w:val="BodyTextIndent3"/>
        <w:widowControl w:val="0"/>
        <w:spacing w:after="0" w:line="240" w:lineRule="auto"/>
        <w:ind w:left="2880" w:right="-672"/>
        <w:rPr>
          <w:szCs w:val="24"/>
        </w:rPr>
      </w:pPr>
    </w:p>
    <w:p w:rsidR="004A027E" w:rsidP="00306B79" w14:paraId="0BE6B4AD" w14:textId="13F84C0C">
      <w:pPr>
        <w:pStyle w:val="BodyTextIndent3"/>
        <w:widowControl w:val="0"/>
        <w:spacing w:after="0" w:line="240" w:lineRule="auto"/>
        <w:ind w:left="3600" w:right="-672" w:firstLine="0"/>
        <w:rPr>
          <w:szCs w:val="24"/>
        </w:rPr>
      </w:pPr>
      <w:r>
        <w:rPr>
          <w:szCs w:val="24"/>
        </w:rPr>
        <w:t>Bruce Weston (0016973)</w:t>
      </w:r>
      <w:r>
        <w:rPr>
          <w:szCs w:val="24"/>
        </w:rPr>
        <w:br/>
        <w:t>Ohio Consumers’ Counsel</w:t>
      </w:r>
    </w:p>
    <w:p w:rsidR="00424389" w:rsidP="00306B79" w14:paraId="378A1398" w14:textId="77777777">
      <w:pPr>
        <w:pStyle w:val="BodyTextIndent3"/>
        <w:widowControl w:val="0"/>
        <w:spacing w:after="0" w:line="240" w:lineRule="auto"/>
        <w:ind w:left="3600" w:right="-672" w:firstLine="0"/>
        <w:rPr>
          <w:szCs w:val="24"/>
        </w:rPr>
      </w:pPr>
    </w:p>
    <w:p w:rsidR="004A027E" w:rsidRPr="00AD6BE5" w:rsidP="00306B79" w14:paraId="2CDCDF53" w14:textId="77777777">
      <w:pPr>
        <w:pStyle w:val="BodyTextIndent3"/>
        <w:widowControl w:val="0"/>
        <w:spacing w:after="0" w:line="240" w:lineRule="auto"/>
        <w:ind w:left="2880" w:right="-672"/>
        <w:rPr>
          <w:szCs w:val="24"/>
        </w:rPr>
      </w:pPr>
      <w:r w:rsidRPr="00AD6BE5">
        <w:rPr>
          <w:szCs w:val="24"/>
          <w:u w:val="single"/>
        </w:rPr>
        <w:t xml:space="preserve">/s/ </w:t>
      </w:r>
      <w:r w:rsidRPr="00AD6BE5">
        <w:rPr>
          <w:i/>
          <w:iCs/>
          <w:szCs w:val="24"/>
          <w:u w:val="single"/>
        </w:rPr>
        <w:t>Ambrosia E. Logsdon</w:t>
      </w:r>
    </w:p>
    <w:p w:rsidR="004A027E" w:rsidP="00306B79" w14:paraId="30703205" w14:textId="77777777">
      <w:pPr>
        <w:pStyle w:val="BodyTextIndent3"/>
        <w:widowControl w:val="0"/>
        <w:spacing w:after="0" w:line="240" w:lineRule="auto"/>
        <w:ind w:left="2880" w:right="-672"/>
        <w:rPr>
          <w:szCs w:val="24"/>
        </w:rPr>
      </w:pPr>
      <w:r>
        <w:rPr>
          <w:szCs w:val="24"/>
        </w:rPr>
        <w:t>Ambrosia E. Logsdon (0096598)</w:t>
      </w:r>
    </w:p>
    <w:p w:rsidR="004A027E" w:rsidP="00306B79" w14:paraId="5B3BAC80" w14:textId="77777777">
      <w:pPr>
        <w:pStyle w:val="BodyTextIndent3"/>
        <w:widowControl w:val="0"/>
        <w:spacing w:after="0" w:line="240" w:lineRule="auto"/>
        <w:ind w:left="2880" w:right="-672"/>
        <w:rPr>
          <w:szCs w:val="24"/>
        </w:rPr>
      </w:pPr>
      <w:r>
        <w:rPr>
          <w:szCs w:val="24"/>
        </w:rPr>
        <w:t>Counsel of Record</w:t>
      </w:r>
    </w:p>
    <w:p w:rsidR="004A027E" w:rsidP="00306B79" w14:paraId="1B559DAB" w14:textId="77777777">
      <w:pPr>
        <w:pStyle w:val="BodyTextIndent3"/>
        <w:widowControl w:val="0"/>
        <w:spacing w:after="0" w:line="240" w:lineRule="auto"/>
        <w:ind w:left="2880" w:right="-672"/>
        <w:rPr>
          <w:szCs w:val="24"/>
        </w:rPr>
      </w:pPr>
      <w:r>
        <w:rPr>
          <w:szCs w:val="24"/>
        </w:rPr>
        <w:t>Amy Botschner O’Brien (0074423)</w:t>
      </w:r>
    </w:p>
    <w:p w:rsidR="004A027E" w:rsidP="00306B79" w14:paraId="3E8E6391" w14:textId="77777777">
      <w:pPr>
        <w:pStyle w:val="BodyTextIndent3"/>
        <w:widowControl w:val="0"/>
        <w:spacing w:after="0" w:line="240" w:lineRule="auto"/>
        <w:ind w:left="2880" w:right="-672"/>
        <w:rPr>
          <w:szCs w:val="24"/>
        </w:rPr>
      </w:pPr>
      <w:r>
        <w:rPr>
          <w:szCs w:val="24"/>
        </w:rPr>
        <w:t>Assistant Consumers’ Counsel</w:t>
      </w:r>
    </w:p>
    <w:p w:rsidR="004A027E" w:rsidP="00306B79" w14:paraId="778E7F39" w14:textId="77777777">
      <w:pPr>
        <w:pStyle w:val="Heading1"/>
        <w:spacing w:after="0"/>
        <w:ind w:left="3240" w:right="-648" w:firstLine="720"/>
        <w:rPr>
          <w:u w:val="none"/>
        </w:rPr>
      </w:pPr>
      <w:r>
        <w:rPr>
          <w:u w:val="none"/>
        </w:rPr>
        <w:tab/>
      </w:r>
    </w:p>
    <w:p w:rsidR="004A027E" w:rsidP="00306B79" w14:paraId="30B3ADD6" w14:textId="77777777">
      <w:pPr>
        <w:pStyle w:val="Heading1"/>
        <w:spacing w:after="0"/>
        <w:ind w:left="2880" w:right="-648" w:firstLine="720"/>
        <w:rPr>
          <w:u w:val="none"/>
        </w:rPr>
      </w:pPr>
      <w:r>
        <w:rPr>
          <w:u w:val="none"/>
        </w:rPr>
        <w:t>Office of the Ohio Consumers’ Counsel</w:t>
      </w:r>
    </w:p>
    <w:p w:rsidR="004A027E" w:rsidP="00306B79" w14:paraId="7820B598" w14:textId="77777777">
      <w:pPr>
        <w:pStyle w:val="Heading1"/>
        <w:spacing w:after="0"/>
        <w:ind w:left="2880" w:right="-648" w:firstLine="720"/>
        <w:rPr>
          <w:b w:val="0"/>
          <w:u w:val="none"/>
        </w:rPr>
      </w:pPr>
      <w:r>
        <w:rPr>
          <w:b w:val="0"/>
          <w:u w:val="none"/>
        </w:rPr>
        <w:t>65 East State Street, 7</w:t>
      </w:r>
      <w:r w:rsidRPr="009656E3">
        <w:rPr>
          <w:b w:val="0"/>
          <w:u w:val="none"/>
        </w:rPr>
        <w:t>th</w:t>
      </w:r>
      <w:r>
        <w:rPr>
          <w:b w:val="0"/>
          <w:u w:val="none"/>
        </w:rPr>
        <w:t xml:space="preserve"> Floor</w:t>
      </w:r>
    </w:p>
    <w:p w:rsidR="004A027E" w:rsidP="00306B79" w14:paraId="19E373AB" w14:textId="77777777">
      <w:pPr>
        <w:pStyle w:val="Heading1"/>
        <w:spacing w:after="0"/>
        <w:ind w:left="2880" w:right="-648" w:firstLine="720"/>
        <w:rPr>
          <w:b w:val="0"/>
          <w:u w:val="none"/>
        </w:rPr>
      </w:pPr>
      <w:r>
        <w:rPr>
          <w:b w:val="0"/>
          <w:u w:val="none"/>
        </w:rPr>
        <w:t>Columbus, Ohio 43215</w:t>
      </w:r>
    </w:p>
    <w:p w:rsidR="004A027E" w:rsidP="00306B79" w14:paraId="45D92CE1" w14:textId="77777777">
      <w:pPr>
        <w:autoSpaceDE w:val="0"/>
        <w:autoSpaceDN w:val="0"/>
        <w:adjustRightInd w:val="0"/>
        <w:spacing w:after="0"/>
        <w:ind w:left="2880" w:firstLine="720"/>
        <w:rPr>
          <w:szCs w:val="24"/>
        </w:rPr>
      </w:pPr>
      <w:r>
        <w:rPr>
          <w:szCs w:val="24"/>
        </w:rPr>
        <w:t>Telephone [Logsdon]: (614) 466-1292</w:t>
      </w:r>
    </w:p>
    <w:p w:rsidR="004A027E" w:rsidP="00306B79" w14:paraId="379B91B3" w14:textId="77777777">
      <w:pPr>
        <w:autoSpaceDE w:val="0"/>
        <w:autoSpaceDN w:val="0"/>
        <w:adjustRightInd w:val="0"/>
        <w:spacing w:after="0"/>
        <w:ind w:left="3600"/>
        <w:rPr>
          <w:szCs w:val="24"/>
        </w:rPr>
      </w:pPr>
      <w:r>
        <w:rPr>
          <w:szCs w:val="24"/>
        </w:rPr>
        <w:t>Telephone: [Botschner O’Brien]: (614) 466-9571</w:t>
      </w:r>
    </w:p>
    <w:p w:rsidR="004A027E" w:rsidP="00306B79" w14:paraId="66315153" w14:textId="142B374A">
      <w:pPr>
        <w:spacing w:after="0"/>
        <w:ind w:left="2880" w:firstLine="720"/>
        <w:rPr>
          <w:szCs w:val="24"/>
        </w:rPr>
      </w:pPr>
      <w:hyperlink r:id="rId11" w:history="1">
        <w:r w:rsidRPr="008D3280" w:rsidR="009656E3">
          <w:rPr>
            <w:rStyle w:val="Hyperlink"/>
            <w:szCs w:val="24"/>
          </w:rPr>
          <w:t>ambrosia.logsdon@occ.ohio.gov</w:t>
        </w:r>
      </w:hyperlink>
    </w:p>
    <w:p w:rsidR="004A027E" w:rsidRPr="005F16B7" w:rsidP="00306B79" w14:paraId="0D09BA11" w14:textId="0FFECA3F">
      <w:pPr>
        <w:autoSpaceDE w:val="0"/>
        <w:autoSpaceDN w:val="0"/>
        <w:adjustRightInd w:val="0"/>
        <w:spacing w:after="0"/>
        <w:ind w:left="3600"/>
        <w:rPr>
          <w:rStyle w:val="Hyperlink"/>
        </w:rPr>
      </w:pPr>
      <w:hyperlink r:id="rId12" w:history="1">
        <w:r w:rsidRPr="005F16B7" w:rsidR="00D5714A">
          <w:rPr>
            <w:rStyle w:val="Hyperlink"/>
          </w:rPr>
          <w:t>amy.botschner.obrien@occ.ohio.gov</w:t>
        </w:r>
      </w:hyperlink>
    </w:p>
    <w:p w:rsidR="00A044B5" w:rsidP="00306B79" w14:paraId="08C19D52" w14:textId="51E29497">
      <w:pPr>
        <w:spacing w:after="0"/>
        <w:ind w:left="3600"/>
        <w:rPr>
          <w:szCs w:val="24"/>
        </w:rPr>
      </w:pPr>
      <w:r>
        <w:rPr>
          <w:szCs w:val="24"/>
        </w:rPr>
        <w:t xml:space="preserve">(willing to accept service </w:t>
      </w:r>
      <w:r w:rsidR="005339BF">
        <w:rPr>
          <w:szCs w:val="24"/>
        </w:rPr>
        <w:t>by</w:t>
      </w:r>
      <w:r>
        <w:rPr>
          <w:szCs w:val="24"/>
        </w:rPr>
        <w:t xml:space="preserve"> e</w:t>
      </w:r>
      <w:r w:rsidR="005339BF">
        <w:rPr>
          <w:szCs w:val="24"/>
        </w:rPr>
        <w:t>-</w:t>
      </w:r>
      <w:r>
        <w:rPr>
          <w:szCs w:val="24"/>
        </w:rPr>
        <w:t>mail)</w:t>
      </w:r>
    </w:p>
    <w:p w:rsidR="00A044B5" w:rsidP="00306B79" w14:paraId="06BD0D76" w14:textId="77777777">
      <w:pPr>
        <w:spacing w:after="0"/>
        <w:jc w:val="center"/>
        <w:rPr>
          <w:b/>
          <w:bCs/>
          <w:u w:val="single"/>
        </w:rPr>
      </w:pPr>
      <w:r>
        <w:br w:type="page"/>
      </w:r>
      <w:r>
        <w:rPr>
          <w:b/>
          <w:bCs/>
          <w:u w:val="single"/>
        </w:rPr>
        <w:t>CERTIFICATE OF SERVICE</w:t>
      </w:r>
    </w:p>
    <w:p w:rsidR="00A044B5" w14:paraId="1DBA23F6" w14:textId="2E21A5C3">
      <w:pPr>
        <w:spacing w:line="480" w:lineRule="atLeast"/>
      </w:pPr>
      <w:r>
        <w:tab/>
        <w:t xml:space="preserve">I hereby certify that a copy of this </w:t>
      </w:r>
      <w:r w:rsidRPr="00424389">
        <w:rPr>
          <w:iCs/>
        </w:rPr>
        <w:t>Motion to Intervene</w:t>
      </w:r>
      <w:r>
        <w:t xml:space="preserve"> was served on the persons stated below </w:t>
      </w:r>
      <w:r w:rsidRPr="004A15EB">
        <w:t>via</w:t>
      </w:r>
      <w:r w:rsidR="002A4912">
        <w:t xml:space="preserve"> electronic transmission</w:t>
      </w:r>
      <w:r>
        <w:t xml:space="preserve">, this </w:t>
      </w:r>
      <w:r w:rsidR="00424389">
        <w:t>2</w:t>
      </w:r>
      <w:r w:rsidRPr="00424389" w:rsidR="00424389">
        <w:rPr>
          <w:vertAlign w:val="superscript"/>
        </w:rPr>
        <w:t>nd</w:t>
      </w:r>
      <w:r w:rsidR="00424389">
        <w:t xml:space="preserve"> </w:t>
      </w:r>
      <w:r>
        <w:t xml:space="preserve">day of </w:t>
      </w:r>
      <w:r w:rsidR="005319BF">
        <w:t>March</w:t>
      </w:r>
      <w:r>
        <w:t xml:space="preserve"> 20</w:t>
      </w:r>
      <w:r w:rsidR="0062549F">
        <w:t>20</w:t>
      </w:r>
      <w:r>
        <w:t>.</w:t>
      </w:r>
    </w:p>
    <w:p w:rsidR="00A044B5" w14:paraId="090261C6" w14:textId="77777777">
      <w:pPr>
        <w:spacing w:line="480" w:lineRule="atLeast"/>
      </w:pPr>
    </w:p>
    <w:p w:rsidR="00A044B5" w:rsidP="00424389" w14:paraId="3B6D8E65" w14:textId="77777777">
      <w:pPr>
        <w:tabs>
          <w:tab w:val="left" w:pos="4320"/>
        </w:tabs>
        <w:spacing w:after="0"/>
      </w:pPr>
      <w:r>
        <w:tab/>
      </w:r>
      <w:r w:rsidR="009E279F">
        <w:rPr>
          <w:i/>
          <w:u w:val="single"/>
        </w:rPr>
        <w:t>/s/ Ambrosia E. Logsdon</w:t>
      </w:r>
    </w:p>
    <w:p w:rsidR="00A044B5" w:rsidRPr="009E279F" w:rsidP="00424389" w14:paraId="74FC8BA2" w14:textId="77777777">
      <w:pPr>
        <w:tabs>
          <w:tab w:val="left" w:pos="4320"/>
        </w:tabs>
        <w:spacing w:after="0"/>
        <w:rPr>
          <w:iCs/>
        </w:rPr>
      </w:pPr>
      <w:r>
        <w:tab/>
      </w:r>
      <w:r w:rsidRPr="009E279F" w:rsidR="0062549F">
        <w:rPr>
          <w:iCs/>
        </w:rPr>
        <w:t>Ambrosia E. Logsdon</w:t>
      </w:r>
    </w:p>
    <w:p w:rsidR="00A044B5" w:rsidP="00424389" w14:paraId="1785C8FB" w14:textId="60F2229E">
      <w:pPr>
        <w:tabs>
          <w:tab w:val="left" w:pos="4320"/>
        </w:tabs>
        <w:spacing w:after="0"/>
      </w:pPr>
      <w:r>
        <w:tab/>
        <w:t>Assistant Consumers’ Counsel</w:t>
      </w:r>
    </w:p>
    <w:p w:rsidR="005339BF" w14:paraId="442700A2" w14:textId="27501CA5">
      <w:pPr>
        <w:tabs>
          <w:tab w:val="left" w:pos="4320"/>
        </w:tabs>
      </w:pPr>
    </w:p>
    <w:p w:rsidR="005339BF" w:rsidRPr="00DC09DE" w:rsidP="005339BF" w14:paraId="72158EBF" w14:textId="77777777">
      <w:pPr>
        <w:pStyle w:val="CommentText"/>
      </w:pPr>
    </w:p>
    <w:p w:rsidR="005339BF" w:rsidRPr="00DC09DE" w:rsidP="005339BF" w14:paraId="40123C1C" w14:textId="77777777">
      <w:pPr>
        <w:pStyle w:val="CommentText"/>
      </w:pPr>
      <w:r w:rsidRPr="00DC09DE">
        <w:t>The PUCO’s e-filing system will electronically serve notice of the filing of this document on the following parties:</w:t>
      </w:r>
    </w:p>
    <w:p w:rsidR="005339BF" w14:paraId="4767BEF5" w14:textId="77777777">
      <w:pPr>
        <w:tabs>
          <w:tab w:val="left" w:pos="4320"/>
        </w:tabs>
      </w:pPr>
    </w:p>
    <w:p w:rsidR="00A044B5" w14:paraId="027BF3DE" w14:textId="77777777">
      <w:pPr>
        <w:pStyle w:val="CommentSubject"/>
      </w:pPr>
    </w:p>
    <w:p w:rsidR="00A044B5" w14:paraId="68474557" w14:textId="77777777">
      <w:pPr>
        <w:pStyle w:val="CommentText"/>
      </w:pPr>
    </w:p>
    <w:p w:rsidR="00A044B5" w14:paraId="113C1591" w14:textId="21ACB2BA">
      <w:pPr>
        <w:pStyle w:val="CommentText"/>
        <w:jc w:val="center"/>
        <w:rPr>
          <w:b/>
          <w:u w:val="single"/>
        </w:rPr>
      </w:pPr>
      <w:r>
        <w:rPr>
          <w:b/>
          <w:u w:val="single"/>
        </w:rPr>
        <w:t>SERVICE LIST</w:t>
      </w:r>
    </w:p>
    <w:p w:rsidR="00424389" w14:paraId="795156BE" w14:textId="4079BAAC">
      <w:pPr>
        <w:pStyle w:val="CommentText"/>
        <w:jc w:val="center"/>
        <w:rPr>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14:paraId="15B06AA4" w14:textId="77777777" w:rsidTr="004243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424389" w:rsidP="00424389" w14:paraId="679833E0" w14:textId="7D6C26B5">
            <w:pPr>
              <w:pStyle w:val="CommentText"/>
              <w:spacing w:after="0"/>
              <w:rPr>
                <w:bCs/>
              </w:rPr>
            </w:pPr>
            <w:hyperlink r:id="rId14" w:history="1">
              <w:r w:rsidRPr="000A235E" w:rsidR="00D5714A">
                <w:rPr>
                  <w:rStyle w:val="Hyperlink"/>
                  <w:bCs/>
                </w:rPr>
                <w:t>John.jones@ohioattorneygeneral.gov</w:t>
              </w:r>
            </w:hyperlink>
          </w:p>
          <w:p w:rsidR="00424389" w:rsidP="00424389" w14:paraId="18766BD7" w14:textId="77777777">
            <w:pPr>
              <w:pStyle w:val="CommentText"/>
              <w:spacing w:after="0"/>
              <w:rPr>
                <w:bCs/>
              </w:rPr>
            </w:pPr>
          </w:p>
          <w:p w:rsidR="00424389" w:rsidP="00424389" w14:paraId="3086C5FB" w14:textId="77777777">
            <w:pPr>
              <w:pStyle w:val="CommentText"/>
              <w:spacing w:after="0"/>
              <w:rPr>
                <w:bCs/>
              </w:rPr>
            </w:pPr>
            <w:r>
              <w:rPr>
                <w:bCs/>
              </w:rPr>
              <w:t>Attorney Examiner:</w:t>
            </w:r>
          </w:p>
          <w:p w:rsidR="00424389" w:rsidP="00424389" w14:paraId="0B35438D" w14:textId="77777777">
            <w:pPr>
              <w:pStyle w:val="CommentText"/>
              <w:spacing w:after="0"/>
              <w:rPr>
                <w:bCs/>
              </w:rPr>
            </w:pPr>
          </w:p>
          <w:p w:rsidR="00424389" w:rsidRPr="00424389" w:rsidP="00424389" w14:paraId="27E153FC" w14:textId="56E66669">
            <w:pPr>
              <w:pStyle w:val="CommentText"/>
              <w:spacing w:after="0"/>
              <w:rPr>
                <w:bCs/>
              </w:rPr>
            </w:pPr>
            <w:hyperlink r:id="rId15" w:history="1">
              <w:r w:rsidRPr="000A235E" w:rsidR="00D5714A">
                <w:rPr>
                  <w:rStyle w:val="Hyperlink"/>
                  <w:bCs/>
                </w:rPr>
                <w:t>Matthew.sandor@puco.ohio.gov</w:t>
              </w:r>
            </w:hyperlink>
          </w:p>
        </w:tc>
        <w:tc>
          <w:tcPr>
            <w:tcW w:w="4315" w:type="dxa"/>
          </w:tcPr>
          <w:p w:rsidR="00424389" w:rsidP="00424389" w14:paraId="785C7786" w14:textId="2FBBE900">
            <w:pPr>
              <w:pStyle w:val="CommentText"/>
              <w:spacing w:after="0"/>
              <w:ind w:left="704"/>
              <w:rPr>
                <w:bCs/>
              </w:rPr>
            </w:pPr>
            <w:hyperlink r:id="rId16" w:history="1">
              <w:r w:rsidRPr="000A235E" w:rsidR="00D5714A">
                <w:rPr>
                  <w:rStyle w:val="Hyperlink"/>
                  <w:bCs/>
                </w:rPr>
                <w:t>scasto@firstenergycorp.com</w:t>
              </w:r>
            </w:hyperlink>
          </w:p>
          <w:p w:rsidR="00424389" w:rsidRPr="00424389" w:rsidP="00424389" w14:paraId="0A5FBBB3" w14:textId="30318F8A">
            <w:pPr>
              <w:pStyle w:val="CommentText"/>
              <w:spacing w:after="0"/>
              <w:rPr>
                <w:bCs/>
              </w:rPr>
            </w:pPr>
          </w:p>
        </w:tc>
      </w:tr>
    </w:tbl>
    <w:p w:rsidR="00424389" w14:paraId="18FB37DF" w14:textId="77777777">
      <w:pPr>
        <w:pStyle w:val="CommentText"/>
        <w:jc w:val="center"/>
        <w:rPr>
          <w:b/>
          <w:u w:val="single"/>
        </w:rPr>
      </w:pPr>
    </w:p>
    <w:p w:rsidR="009E279F" w14:paraId="491428ED" w14:textId="77777777">
      <w:pPr>
        <w:pStyle w:val="CommentText"/>
        <w:jc w:val="center"/>
        <w:rPr>
          <w:b/>
          <w:u w:val="single"/>
        </w:rPr>
      </w:pPr>
    </w:p>
    <w:p w:rsidR="00A044B5" w14:paraId="2572F05B" w14:textId="77777777">
      <w:pPr>
        <w:pStyle w:val="BodyText"/>
        <w:rPr>
          <w:b/>
          <w:bCs/>
        </w:rPr>
      </w:pPr>
    </w:p>
    <w:sectPr>
      <w:headerReference w:type="even" r:id="rId17"/>
      <w:headerReference w:type="default" r:id="rId18"/>
      <w:footerReference w:type="default" r:id="rId19"/>
      <w:headerReference w:type="first" r:id="rId20"/>
      <w:footerReference w:type="first" r:id="rId21"/>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343859D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044B5" w14:paraId="70DB157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38AB6BCE" w14:textId="77777777">
    <w:pPr>
      <w:pStyle w:val="Footer"/>
      <w:jc w:val="center"/>
      <w:rP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6C5841">
      <w:rPr>
        <w:rStyle w:val="PageNumber"/>
        <w:noProof/>
        <w:sz w:val="24"/>
        <w:szCs w:val="24"/>
      </w:rPr>
      <w:t>2</w:t>
    </w:r>
    <w:r>
      <w:rPr>
        <w:rStyle w:val="PageNumbe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1982704"/>
      <w:docPartObj>
        <w:docPartGallery w:val="Page Numbers (Bottom of Page)"/>
        <w:docPartUnique/>
      </w:docPartObj>
    </w:sdtPr>
    <w:sdtEndPr>
      <w:rPr>
        <w:noProof/>
      </w:rPr>
    </w:sdtEndPr>
    <w:sdtContent>
      <w:p w:rsidR="007357D3" w14:paraId="20CEFE40" w14:textId="7CD106DB">
        <w:pPr>
          <w:pStyle w:val="Footer"/>
          <w:jc w:val="center"/>
        </w:pPr>
      </w:p>
    </w:sdtContent>
  </w:sdt>
  <w:p w:rsidR="007357D3" w14:paraId="4490126F"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00571431"/>
      <w:docPartObj>
        <w:docPartGallery w:val="Page Numbers (Bottom of Page)"/>
        <w:docPartUnique/>
      </w:docPartObj>
    </w:sdtPr>
    <w:sdtEndPr>
      <w:rPr>
        <w:noProof/>
        <w:sz w:val="24"/>
        <w:szCs w:val="24"/>
      </w:rPr>
    </w:sdtEndPr>
    <w:sdtContent>
      <w:p w:rsidR="007357D3" w:rsidRPr="007357D3" w14:paraId="7737DE1D" w14:textId="77777777">
        <w:pPr>
          <w:pStyle w:val="Footer"/>
          <w:jc w:val="center"/>
          <w:rPr>
            <w:sz w:val="24"/>
            <w:szCs w:val="24"/>
          </w:rPr>
        </w:pPr>
        <w:r w:rsidRPr="007357D3">
          <w:rPr>
            <w:sz w:val="24"/>
            <w:szCs w:val="24"/>
          </w:rPr>
          <w:fldChar w:fldCharType="begin"/>
        </w:r>
        <w:r w:rsidRPr="007357D3">
          <w:rPr>
            <w:sz w:val="24"/>
            <w:szCs w:val="24"/>
          </w:rPr>
          <w:instrText xml:space="preserve"> PAGE   \* MERGEFORMAT </w:instrText>
        </w:r>
        <w:r w:rsidRPr="007357D3">
          <w:rPr>
            <w:sz w:val="24"/>
            <w:szCs w:val="24"/>
          </w:rPr>
          <w:fldChar w:fldCharType="separate"/>
        </w:r>
        <w:r w:rsidRPr="007357D3">
          <w:rPr>
            <w:noProof/>
            <w:sz w:val="24"/>
            <w:szCs w:val="24"/>
          </w:rPr>
          <w:t>2</w:t>
        </w:r>
        <w:r w:rsidRPr="007357D3">
          <w:rPr>
            <w:noProof/>
            <w:sz w:val="24"/>
            <w:szCs w:val="24"/>
          </w:rPr>
          <w:fldChar w:fldCharType="end"/>
        </w:r>
      </w:p>
    </w:sdtContent>
  </w:sdt>
  <w:p w:rsidR="007357D3" w14:paraId="3550EE41"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rsidRPr="009656E3" w:rsidP="009656E3" w14:paraId="095226E3" w14:textId="4F5652F4">
    <w:pPr>
      <w:pStyle w:val="Footer"/>
      <w:framePr w:wrap="around" w:vAnchor="text" w:hAnchor="margin" w:xAlign="center" w:y="1"/>
      <w:jc w:val="center"/>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6C5841">
      <w:rPr>
        <w:rStyle w:val="PageNumber"/>
        <w:noProof/>
        <w:sz w:val="24"/>
        <w:szCs w:val="24"/>
      </w:rPr>
      <w:t>4</w:t>
    </w:r>
    <w:r>
      <w:rPr>
        <w:rStyle w:val="PageNumber"/>
        <w:sz w:val="24"/>
        <w:szCs w:val="24"/>
      </w:rPr>
      <w:fldChar w:fldCharType="end"/>
    </w:r>
  </w:p>
  <w:p w:rsidR="00A044B5" w:rsidP="009656E3" w14:paraId="2FAA826C"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15015409"/>
      <w:docPartObj>
        <w:docPartGallery w:val="Page Numbers (Bottom of Page)"/>
        <w:docPartUnique/>
      </w:docPartObj>
    </w:sdtPr>
    <w:sdtEndPr>
      <w:rPr>
        <w:noProof/>
        <w:sz w:val="24"/>
        <w:szCs w:val="24"/>
      </w:rPr>
    </w:sdtEndPr>
    <w:sdtContent>
      <w:p w:rsidR="009656E3" w:rsidRPr="009656E3" w14:paraId="053E17D7" w14:textId="42C1176C">
        <w:pPr>
          <w:pStyle w:val="Footer"/>
          <w:jc w:val="center"/>
          <w:rPr>
            <w:sz w:val="24"/>
            <w:szCs w:val="24"/>
          </w:rPr>
        </w:pPr>
        <w:r w:rsidRPr="009656E3">
          <w:rPr>
            <w:sz w:val="24"/>
            <w:szCs w:val="24"/>
          </w:rPr>
          <w:fldChar w:fldCharType="begin"/>
        </w:r>
        <w:r w:rsidRPr="009656E3">
          <w:rPr>
            <w:sz w:val="24"/>
            <w:szCs w:val="24"/>
          </w:rPr>
          <w:instrText xml:space="preserve"> PAGE   \* MERGEFORMAT </w:instrText>
        </w:r>
        <w:r w:rsidRPr="009656E3">
          <w:rPr>
            <w:sz w:val="24"/>
            <w:szCs w:val="24"/>
          </w:rPr>
          <w:fldChar w:fldCharType="separate"/>
        </w:r>
        <w:r w:rsidRPr="009656E3">
          <w:rPr>
            <w:noProof/>
            <w:sz w:val="24"/>
            <w:szCs w:val="24"/>
          </w:rPr>
          <w:t>2</w:t>
        </w:r>
        <w:r w:rsidRPr="009656E3">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A3546" w:rsidP="00324E10" w14:paraId="6F48C632" w14:textId="77777777">
      <w:pPr>
        <w:spacing w:after="0"/>
      </w:pPr>
      <w:r>
        <w:separator/>
      </w:r>
    </w:p>
  </w:footnote>
  <w:footnote w:type="continuationSeparator" w:id="1">
    <w:p w:rsidR="000A3546" w:rsidP="00324E10" w14:paraId="4E983AA8" w14:textId="77777777">
      <w:pPr>
        <w:spacing w:after="0"/>
      </w:pPr>
      <w:r>
        <w:continuationSeparator/>
      </w:r>
    </w:p>
  </w:footnote>
  <w:footnote w:type="continuationNotice" w:id="2">
    <w:p w:rsidR="000A3546" w:rsidRPr="008E1F9D" w:rsidP="00324E10" w14:paraId="7BAA0FA3" w14:textId="77777777">
      <w:pPr>
        <w:pStyle w:val="Footer"/>
        <w:spacing w:after="0"/>
      </w:pPr>
    </w:p>
  </w:footnote>
  <w:footnote w:id="3">
    <w:p w:rsidR="00F30933" w:rsidP="008E1F9D" w14:paraId="6262A665" w14:textId="209404D3">
      <w:pPr>
        <w:pStyle w:val="FootnoteText"/>
        <w:keepNext/>
        <w:keepLines/>
        <w:spacing w:after="0"/>
      </w:pPr>
      <w:r>
        <w:rPr>
          <w:rStyle w:val="FootnoteReference"/>
        </w:rPr>
        <w:footnoteRef/>
      </w:r>
      <w:r>
        <w:t xml:space="preserve"> </w:t>
      </w:r>
      <w:r>
        <w:rPr>
          <w:i/>
          <w:iCs/>
        </w:rPr>
        <w:t>In re the Commission’s Investigation of Ohio’s Retail Electric Service Market,</w:t>
      </w:r>
      <w:r>
        <w:t xml:space="preserve"> Case No. 12-3151-EL-COI, </w:t>
      </w:r>
      <w:r w:rsidR="00B25A13">
        <w:t>Finding and Order</w:t>
      </w:r>
      <w:r>
        <w:t xml:space="preserve"> at 2-3 (</w:t>
      </w:r>
      <w:r w:rsidR="00B25A13">
        <w:t>February 7, 2018</w:t>
      </w:r>
      <w:r>
        <w:t>)</w:t>
      </w:r>
      <w:r w:rsidR="00B25A13">
        <w:t xml:space="preserve">; </w:t>
      </w:r>
      <w:r w:rsidRPr="00B25A13" w:rsidR="00B25A13">
        <w:rPr>
          <w:i/>
          <w:iCs/>
        </w:rPr>
        <w:t>In re the Market Development Working Group</w:t>
      </w:r>
      <w:r w:rsidR="00B25A13">
        <w:t>, Case No. 14-2074-EL-EDI, Finding and Order at 2-3 (February 7, 2018) (“Finding and Order”).</w:t>
      </w:r>
    </w:p>
    <w:p w:rsidR="00324E10" w:rsidRPr="00D05533" w:rsidP="008E1F9D" w14:paraId="6989D689" w14:textId="77777777">
      <w:pPr>
        <w:pStyle w:val="FootnoteText"/>
        <w:keepNext/>
        <w:keepLines/>
        <w:spacing w:after="0"/>
      </w:pPr>
    </w:p>
  </w:footnote>
  <w:footnote w:id="4">
    <w:p w:rsidR="00282D5E" w:rsidRPr="00F30933" w:rsidP="00424389" w14:paraId="534401B7" w14:textId="77777777">
      <w:pPr>
        <w:pStyle w:val="FootnoteText"/>
        <w:keepNext/>
        <w:keepLines/>
      </w:pPr>
      <w:r>
        <w:rPr>
          <w:rStyle w:val="FootnoteReference"/>
        </w:rPr>
        <w:footnoteRef/>
      </w:r>
      <w:r>
        <w:t xml:space="preserve"> </w:t>
      </w:r>
      <w:r>
        <w:rPr>
          <w:i/>
          <w:iCs/>
        </w:rPr>
        <w:t xml:space="preserve">Id., </w:t>
      </w:r>
      <w:r>
        <w:t>Comments by the Office of the Ohio Consumers’ Counsel at 3-4 (March 9, 2018) (Marketers should be allocated the full cost of implementing seamless move. Consumers did not request seamless move nor is there any analysis that consumers will benefit from it, and consumers should be held harmless. Marketers are the sole beneficiary and single advocate for seamless move and the marketers who see an opportunity to avoid marketing and enrollment costs that otherwise would be incurred to re-enroll customers at new address. Making customers to pay for seamless move would be an anti-competitive subsidy that is prohibited under R.C. 4928.02(H)); OCC’s Application for Rehearing at 2-6 (March 9, 2018).</w:t>
      </w:r>
    </w:p>
  </w:footnote>
  <w:footnote w:id="5">
    <w:p w:rsidR="00282D5E" w:rsidRPr="00514499" w:rsidP="00424389" w14:paraId="73EE6DE6" w14:textId="77777777">
      <w:pPr>
        <w:pStyle w:val="FootnoteText"/>
        <w:keepNext/>
        <w:keepLines/>
      </w:pPr>
      <w:r>
        <w:rPr>
          <w:rStyle w:val="FootnoteReference"/>
        </w:rPr>
        <w:footnoteRef/>
      </w:r>
      <w:r>
        <w:t xml:space="preserve"> Finding and Order at ¶ 37-38 (February 7, 2018) (The PUCO ordered that Seamless Move should be adopted despite objections by PUCO Staff, OCC, and others). </w:t>
      </w:r>
    </w:p>
  </w:footnote>
  <w:footnote w:id="6">
    <w:p w:rsidR="00282D5E" w:rsidP="00424389" w14:paraId="1CFAF5B6" w14:textId="0C9F6729">
      <w:pPr>
        <w:pStyle w:val="FootnoteText"/>
        <w:keepNext/>
        <w:keepLines/>
      </w:pPr>
      <w:r>
        <w:rPr>
          <w:rStyle w:val="FootnoteReference"/>
        </w:rPr>
        <w:footnoteRef/>
      </w:r>
      <w:r>
        <w:t xml:space="preserve"> Ohio Power Company (“AEP”), </w:t>
      </w:r>
      <w:r w:rsidR="00C72C45">
        <w:t>Duke Energy Ohio</w:t>
      </w:r>
      <w:r>
        <w:t xml:space="preserve">, and </w:t>
      </w:r>
      <w:r w:rsidR="00C72C45">
        <w:t xml:space="preserve">the </w:t>
      </w:r>
      <w:r>
        <w:t>Dayton Power and Light.</w:t>
      </w:r>
    </w:p>
  </w:footnote>
  <w:footnote w:id="7">
    <w:p w:rsidR="00B25A13" w:rsidP="00424389" w14:paraId="2EABF7D7" w14:textId="34F29E2A">
      <w:pPr>
        <w:pStyle w:val="FootnoteText"/>
        <w:keepNext/>
        <w:keepLines/>
      </w:pPr>
      <w:r>
        <w:rPr>
          <w:rStyle w:val="FootnoteReference"/>
        </w:rPr>
        <w:footnoteRef/>
      </w:r>
      <w:r>
        <w:t xml:space="preserve"> </w:t>
      </w:r>
      <w:r w:rsidR="00C72C45">
        <w:t>FirstEnergy</w:t>
      </w:r>
      <w:r>
        <w:t xml:space="preserve"> Comments at </w:t>
      </w:r>
      <w:r w:rsidR="00C72C45">
        <w:t>2-3</w:t>
      </w:r>
      <w:r>
        <w:t xml:space="preserve"> (March 9, 2018).</w:t>
      </w:r>
    </w:p>
  </w:footnote>
  <w:footnote w:id="8">
    <w:p w:rsidR="00082CF3" w:rsidP="00424389" w14:paraId="04AEF35E" w14:textId="16A93BE4">
      <w:pPr>
        <w:pStyle w:val="FootnoteText"/>
        <w:keepNext/>
        <w:keepLines/>
      </w:pPr>
      <w:r>
        <w:rPr>
          <w:rStyle w:val="FootnoteReference"/>
        </w:rPr>
        <w:footnoteRef/>
      </w:r>
      <w:r>
        <w:t xml:space="preserve"> Application at 6 (</w:t>
      </w:r>
      <w:r w:rsidR="003D7C57">
        <w:t>“</w:t>
      </w:r>
      <w:r w:rsidR="00C72C45">
        <w:t>The design and implementation of seamless moves will cause the Companies to incur a variety of costs, such as EDI programming, billing system changes, development of tracking statistics, workflow changes, new contact center processes and associated training, and other ongoing costs to manage the Operational Plan. All costs associated with the seamless move Operational Plan shall be fully recovered through the Companies’ Government Directives Recovery Rider (“Rider GDR”).</w:t>
      </w:r>
      <w:r w:rsidR="003D7C57">
        <w:t>”</w:t>
      </w:r>
      <w:r>
        <w:t>)</w:t>
      </w:r>
    </w:p>
  </w:footnote>
  <w:footnote w:id="9">
    <w:p w:rsidR="00916B16" w:rsidP="008E1F9D" w14:paraId="6DD65A09" w14:textId="0750967C">
      <w:pPr>
        <w:pStyle w:val="FootnoteText"/>
        <w:keepNext/>
        <w:keepLines/>
      </w:pPr>
      <w:r>
        <w:rPr>
          <w:rStyle w:val="FootnoteReference"/>
        </w:rPr>
        <w:footnoteRef/>
      </w:r>
      <w:r>
        <w:t xml:space="preserve"> Staff Report at 7-9 (July 16, 2015</w:t>
      </w:r>
      <w:r w:rsidR="00C72C45">
        <w:t>).</w:t>
      </w:r>
    </w:p>
  </w:footnote>
  <w:footnote w:id="10">
    <w:p w:rsidR="00916B16" w:rsidRPr="007749E7" w:rsidP="008E1F9D" w14:paraId="68E882AC" w14:textId="13DFDD83">
      <w:pPr>
        <w:pStyle w:val="FootnoteText"/>
        <w:keepNext/>
        <w:keepLines/>
        <w:spacing w:line="360" w:lineRule="auto"/>
        <w:rPr>
          <w:i/>
          <w:iCs/>
        </w:rPr>
      </w:pPr>
      <w:r>
        <w:rPr>
          <w:rStyle w:val="FootnoteReference"/>
        </w:rPr>
        <w:footnoteRef/>
      </w:r>
      <w:r>
        <w:t xml:space="preserve"> </w:t>
      </w:r>
      <w:r>
        <w:rPr>
          <w:i/>
          <w:iCs/>
        </w:rPr>
        <w:t>Id.</w:t>
      </w:r>
    </w:p>
  </w:footnote>
  <w:footnote w:id="11">
    <w:p w:rsidR="00A044B5" w:rsidP="00636A96" w14:paraId="0B318403" w14:textId="77777777">
      <w:pPr>
        <w:pStyle w:val="FootnoteText"/>
      </w:pPr>
      <w:r>
        <w:rPr>
          <w:rStyle w:val="FootnoteReference"/>
        </w:rPr>
        <w:footnoteRef/>
      </w:r>
      <w:r>
        <w:rPr>
          <w:i/>
        </w:rPr>
        <w:t xml:space="preserve"> See </w:t>
      </w:r>
      <w:smartTag w:uri="urn:schemas-microsoft-com:office:smarttags" w:element="place">
        <w:smartTag w:uri="urn:schemas-microsoft-com:office:smarttags" w:element="State">
          <w:r>
            <w:rPr>
              <w:i/>
            </w:rPr>
            <w:t>Ohio</w:t>
          </w:r>
        </w:smartTag>
      </w:smartTag>
      <w:r>
        <w:rPr>
          <w:i/>
        </w:rPr>
        <w:t xml:space="preserve"> Consumers’ Counsel v. Pub. Util. Comm</w:t>
      </w:r>
      <w:r>
        <w:t>., 111 Ohio St.3d 384</w:t>
      </w:r>
      <w:r w:rsidR="002A4912">
        <w:t>, 2006-Ohio-5853, ¶¶13-20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6ECFADDA"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width:548.2pt;height:60.9pt;margin-top:0;margin-left:0;mso-position-horizontal:center;mso-position-horizontal-relative:margin;mso-position-vertical:center;mso-position-vertical-relative:margin;position:absolute;rotation:315;z-index:-251658240" o:allowincell="f" fillcolor="silver" stroked="f">
          <v:fill opacity="0.5"/>
          <v:textpath style="font-family:'Times New Roman';font-size:1pt" string="Confidential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25C6924B" w14:textId="7777777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5A72A80F"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0" type="#_x0000_t136" style="width:548.2pt;height:60.9pt;margin-top:0;margin-left:0;mso-position-horizontal:center;mso-position-horizontal-relative:margin;mso-position-vertical:center;mso-position-vertical-relative:margin;position:absolute;rotation:315;z-index:-251657216" o:allowincell="f" fillcolor="silver" stroked="f">
          <v:fill opacity="0.5"/>
          <v:textpath style="font-family:'Times New Roman';font-size:1pt" string="Confidential 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3223A55B"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0C7C333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12"/>
    <w:rsid w:val="00003F42"/>
    <w:rsid w:val="00043C05"/>
    <w:rsid w:val="00044CE6"/>
    <w:rsid w:val="000705F4"/>
    <w:rsid w:val="00082870"/>
    <w:rsid w:val="00082CF3"/>
    <w:rsid w:val="000A235E"/>
    <w:rsid w:val="000A3546"/>
    <w:rsid w:val="000B4DDF"/>
    <w:rsid w:val="000E2EB7"/>
    <w:rsid w:val="000F2D35"/>
    <w:rsid w:val="00104106"/>
    <w:rsid w:val="001A2F5C"/>
    <w:rsid w:val="001A3730"/>
    <w:rsid w:val="001D0897"/>
    <w:rsid w:val="001E2029"/>
    <w:rsid w:val="00270856"/>
    <w:rsid w:val="00282D5E"/>
    <w:rsid w:val="002A4912"/>
    <w:rsid w:val="002C4EF3"/>
    <w:rsid w:val="002D41BC"/>
    <w:rsid w:val="00306B79"/>
    <w:rsid w:val="00307B57"/>
    <w:rsid w:val="0031242C"/>
    <w:rsid w:val="00314C8D"/>
    <w:rsid w:val="00324E10"/>
    <w:rsid w:val="00331220"/>
    <w:rsid w:val="0039087B"/>
    <w:rsid w:val="0039571E"/>
    <w:rsid w:val="003B7CA8"/>
    <w:rsid w:val="003C2988"/>
    <w:rsid w:val="003D7C57"/>
    <w:rsid w:val="003F0FBF"/>
    <w:rsid w:val="003F58FC"/>
    <w:rsid w:val="00423051"/>
    <w:rsid w:val="00424389"/>
    <w:rsid w:val="00476981"/>
    <w:rsid w:val="004A027E"/>
    <w:rsid w:val="004A15EB"/>
    <w:rsid w:val="004C231E"/>
    <w:rsid w:val="004C7694"/>
    <w:rsid w:val="004F308A"/>
    <w:rsid w:val="005106FD"/>
    <w:rsid w:val="00512B71"/>
    <w:rsid w:val="00514499"/>
    <w:rsid w:val="0051520D"/>
    <w:rsid w:val="005270F0"/>
    <w:rsid w:val="005319BF"/>
    <w:rsid w:val="005339BF"/>
    <w:rsid w:val="005469B9"/>
    <w:rsid w:val="0055107B"/>
    <w:rsid w:val="00582DFB"/>
    <w:rsid w:val="00582EA8"/>
    <w:rsid w:val="00592149"/>
    <w:rsid w:val="00592E36"/>
    <w:rsid w:val="005A6744"/>
    <w:rsid w:val="005C7664"/>
    <w:rsid w:val="005F16B7"/>
    <w:rsid w:val="005F3232"/>
    <w:rsid w:val="00600FC1"/>
    <w:rsid w:val="00607490"/>
    <w:rsid w:val="00613702"/>
    <w:rsid w:val="0062102E"/>
    <w:rsid w:val="0062108F"/>
    <w:rsid w:val="0062549F"/>
    <w:rsid w:val="00636A96"/>
    <w:rsid w:val="00641070"/>
    <w:rsid w:val="00646BCC"/>
    <w:rsid w:val="00651F82"/>
    <w:rsid w:val="00652A9E"/>
    <w:rsid w:val="00681AE8"/>
    <w:rsid w:val="00694738"/>
    <w:rsid w:val="006C5841"/>
    <w:rsid w:val="006D75B8"/>
    <w:rsid w:val="006D7896"/>
    <w:rsid w:val="006F6BEC"/>
    <w:rsid w:val="006F6C88"/>
    <w:rsid w:val="00722701"/>
    <w:rsid w:val="00730C0C"/>
    <w:rsid w:val="007357D3"/>
    <w:rsid w:val="00760DE9"/>
    <w:rsid w:val="007749E7"/>
    <w:rsid w:val="0078468B"/>
    <w:rsid w:val="00794ACE"/>
    <w:rsid w:val="007B1980"/>
    <w:rsid w:val="007B74EC"/>
    <w:rsid w:val="00834653"/>
    <w:rsid w:val="00842064"/>
    <w:rsid w:val="008B0B61"/>
    <w:rsid w:val="008C688D"/>
    <w:rsid w:val="008D3280"/>
    <w:rsid w:val="008D3A4F"/>
    <w:rsid w:val="008E1F9D"/>
    <w:rsid w:val="008E59FE"/>
    <w:rsid w:val="008F4272"/>
    <w:rsid w:val="00902EA3"/>
    <w:rsid w:val="00916B16"/>
    <w:rsid w:val="00922DC2"/>
    <w:rsid w:val="009512E6"/>
    <w:rsid w:val="009656E3"/>
    <w:rsid w:val="00992E47"/>
    <w:rsid w:val="009B0600"/>
    <w:rsid w:val="009B6D8B"/>
    <w:rsid w:val="009B79D5"/>
    <w:rsid w:val="009E279F"/>
    <w:rsid w:val="00A044B5"/>
    <w:rsid w:val="00A14C18"/>
    <w:rsid w:val="00A41B5C"/>
    <w:rsid w:val="00A44F6E"/>
    <w:rsid w:val="00A5514C"/>
    <w:rsid w:val="00AA21D7"/>
    <w:rsid w:val="00AA7293"/>
    <w:rsid w:val="00AB7B5A"/>
    <w:rsid w:val="00AC102B"/>
    <w:rsid w:val="00AD135E"/>
    <w:rsid w:val="00AD6BE5"/>
    <w:rsid w:val="00AE437E"/>
    <w:rsid w:val="00AE44D1"/>
    <w:rsid w:val="00B016ED"/>
    <w:rsid w:val="00B25A13"/>
    <w:rsid w:val="00B30E43"/>
    <w:rsid w:val="00B43479"/>
    <w:rsid w:val="00B70DFE"/>
    <w:rsid w:val="00B800DB"/>
    <w:rsid w:val="00BA335C"/>
    <w:rsid w:val="00BB4143"/>
    <w:rsid w:val="00BC1E02"/>
    <w:rsid w:val="00BC36D7"/>
    <w:rsid w:val="00BC7AB9"/>
    <w:rsid w:val="00BF1726"/>
    <w:rsid w:val="00C30194"/>
    <w:rsid w:val="00C33872"/>
    <w:rsid w:val="00C6286A"/>
    <w:rsid w:val="00C710AC"/>
    <w:rsid w:val="00C72C45"/>
    <w:rsid w:val="00C76A67"/>
    <w:rsid w:val="00C8053F"/>
    <w:rsid w:val="00C910AC"/>
    <w:rsid w:val="00CA33B3"/>
    <w:rsid w:val="00CA3F81"/>
    <w:rsid w:val="00CA696A"/>
    <w:rsid w:val="00CD39C7"/>
    <w:rsid w:val="00CD4FA2"/>
    <w:rsid w:val="00CE3749"/>
    <w:rsid w:val="00CE7689"/>
    <w:rsid w:val="00D001ED"/>
    <w:rsid w:val="00D05533"/>
    <w:rsid w:val="00D20DA7"/>
    <w:rsid w:val="00D51A8C"/>
    <w:rsid w:val="00D55177"/>
    <w:rsid w:val="00D5714A"/>
    <w:rsid w:val="00D57504"/>
    <w:rsid w:val="00D74BAB"/>
    <w:rsid w:val="00D76A72"/>
    <w:rsid w:val="00D955DF"/>
    <w:rsid w:val="00DA0065"/>
    <w:rsid w:val="00DC09DE"/>
    <w:rsid w:val="00DD476D"/>
    <w:rsid w:val="00DE3BDA"/>
    <w:rsid w:val="00E21F85"/>
    <w:rsid w:val="00E444D2"/>
    <w:rsid w:val="00E6678B"/>
    <w:rsid w:val="00E75D2C"/>
    <w:rsid w:val="00E93025"/>
    <w:rsid w:val="00EA3194"/>
    <w:rsid w:val="00EA4F03"/>
    <w:rsid w:val="00EC4597"/>
    <w:rsid w:val="00EF3AD6"/>
    <w:rsid w:val="00F1341B"/>
    <w:rsid w:val="00F235DC"/>
    <w:rsid w:val="00F30933"/>
    <w:rsid w:val="00F52D95"/>
    <w:rsid w:val="00F64624"/>
    <w:rsid w:val="00F661B9"/>
    <w:rsid w:val="00F83B55"/>
    <w:rsid w:val="00F92494"/>
    <w:rsid w:val="00F96405"/>
    <w:rsid w:val="00FB614B"/>
    <w:rsid w:val="00FC1D61"/>
    <w:rsid w:val="00FC7E43"/>
    <w:rsid w:val="00FD12B3"/>
    <w:rsid w:val="00FE05A8"/>
    <w:rsid w:val="00FE1884"/>
    <w:rsid w:val="00FF6D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uiPriority w:val="99"/>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1">
    <w:name w:val="Unresolved Mention1"/>
    <w:uiPriority w:val="99"/>
    <w:semiHidden/>
    <w:unhideWhenUsed/>
    <w:rsid w:val="00AD6BE5"/>
    <w:rPr>
      <w:color w:val="605E5C"/>
      <w:shd w:val="clear" w:color="auto" w:fill="E1DFDD"/>
    </w:rPr>
  </w:style>
  <w:style w:type="character" w:customStyle="1" w:styleId="CommentTextChar">
    <w:name w:val="Comment Text Char"/>
    <w:basedOn w:val="DefaultParagraphFont"/>
    <w:link w:val="CommentText"/>
    <w:uiPriority w:val="99"/>
    <w:semiHidden/>
    <w:rsid w:val="005339BF"/>
    <w:rPr>
      <w:sz w:val="24"/>
      <w:szCs w:val="24"/>
    </w:rPr>
  </w:style>
  <w:style w:type="character" w:customStyle="1" w:styleId="FooterChar">
    <w:name w:val="Footer Char"/>
    <w:basedOn w:val="DefaultParagraphFont"/>
    <w:link w:val="Footer"/>
    <w:uiPriority w:val="99"/>
    <w:rsid w:val="009656E3"/>
  </w:style>
  <w:style w:type="character" w:customStyle="1" w:styleId="HTMLPreformattedChar">
    <w:name w:val="HTML Preformatted Char"/>
    <w:basedOn w:val="DefaultParagraphFont"/>
    <w:link w:val="HTMLPreformatted"/>
    <w:rsid w:val="00282D5E"/>
    <w:rPr>
      <w:rFonts w:ascii="Courier New" w:eastAsia="Courier New" w:hAnsi="Courier New" w:cs="Courier New"/>
    </w:rPr>
  </w:style>
  <w:style w:type="character" w:customStyle="1" w:styleId="FootnoteTextChar">
    <w:name w:val="Footnote Text Char"/>
    <w:basedOn w:val="DefaultParagraphFont"/>
    <w:link w:val="FootnoteText"/>
    <w:semiHidden/>
    <w:rsid w:val="00282D5E"/>
  </w:style>
  <w:style w:type="character" w:customStyle="1" w:styleId="BodyTextIndent3Char">
    <w:name w:val="Body Text Indent 3 Char"/>
    <w:basedOn w:val="DefaultParagraphFont"/>
    <w:link w:val="BodyTextIndent3"/>
    <w:rsid w:val="00282D5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yperlink" Target="mailto:ambrosia.logsdon@occ.ohio.gov" TargetMode="External" /><Relationship Id="rId12" Type="http://schemas.openxmlformats.org/officeDocument/2006/relationships/hyperlink" Target="mailto:amy.botschner.obrien@occ.ohio.gov" TargetMode="External" /><Relationship Id="rId13" Type="http://schemas.openxmlformats.org/officeDocument/2006/relationships/footer" Target="footer4.xml" /><Relationship Id="rId14" Type="http://schemas.openxmlformats.org/officeDocument/2006/relationships/hyperlink" Target="mailto:John.jones@ohioattorneygeneral.gov" TargetMode="External" /><Relationship Id="rId15" Type="http://schemas.openxmlformats.org/officeDocument/2006/relationships/hyperlink" Target="mailto:Matthew.sandor@puco.ohio.gov" TargetMode="External" /><Relationship Id="rId16" Type="http://schemas.openxmlformats.org/officeDocument/2006/relationships/hyperlink" Target="mailto:scasto@firstenergycorp.com" TargetMode="External" /><Relationship Id="rId17" Type="http://schemas.openxmlformats.org/officeDocument/2006/relationships/header" Target="header3.xml" /><Relationship Id="rId18" Type="http://schemas.openxmlformats.org/officeDocument/2006/relationships/header" Target="header4.xml" /><Relationship Id="rId19" Type="http://schemas.openxmlformats.org/officeDocument/2006/relationships/footer" Target="footer5.xml" /><Relationship Id="rId2" Type="http://schemas.openxmlformats.org/officeDocument/2006/relationships/settings" Target="settings.xml" /><Relationship Id="rId20" Type="http://schemas.openxmlformats.org/officeDocument/2006/relationships/header" Target="header5.xml" /><Relationship Id="rId21" Type="http://schemas.openxmlformats.org/officeDocument/2006/relationships/footer" Target="footer6.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B4E46-ADA4-46F9-A4D8-69108872F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1584</Words>
  <Characters>9030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2020-03-02T18:57:35Z</dcterms:created>
  <dcterms:modified xsi:type="dcterms:W3CDTF">2020-03-02T18:57:35Z</dcterms:modified>
</cp:coreProperties>
</file>