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12455" w:rsidRPr="00375AE2" w:rsidP="00412455" w14:paraId="6054AC67" w14:textId="77777777">
      <w:pPr>
        <w:pStyle w:val="HTMLPreformatted"/>
        <w:jc w:val="center"/>
        <w:rPr>
          <w:rFonts w:ascii="Times New Roman" w:hAnsi="Times New Roman" w:cs="Times New Roman"/>
          <w:b/>
          <w:bCs/>
          <w:sz w:val="24"/>
          <w:szCs w:val="24"/>
        </w:rPr>
      </w:pPr>
      <w:bookmarkStart w:id="0" w:name="_GoBack"/>
      <w:bookmarkEnd w:id="0"/>
      <w:r w:rsidRPr="00375AE2">
        <w:rPr>
          <w:rFonts w:ascii="Times New Roman" w:hAnsi="Times New Roman" w:cs="Times New Roman"/>
          <w:b/>
          <w:bCs/>
          <w:sz w:val="24"/>
          <w:szCs w:val="24"/>
        </w:rPr>
        <w:t>BEFORE</w:t>
      </w:r>
    </w:p>
    <w:p w:rsidR="00412455" w:rsidRPr="00375AE2" w:rsidP="00412455" w14:paraId="2B66D777" w14:textId="77777777">
      <w:pPr>
        <w:pStyle w:val="HTMLPreformatted"/>
        <w:jc w:val="center"/>
        <w:rPr>
          <w:rFonts w:ascii="Times New Roman" w:hAnsi="Times New Roman" w:cs="Times New Roman"/>
          <w:b/>
          <w:bCs/>
          <w:sz w:val="24"/>
          <w:szCs w:val="24"/>
        </w:rPr>
      </w:pPr>
      <w:r w:rsidRPr="00375AE2">
        <w:rPr>
          <w:rFonts w:ascii="Times New Roman" w:hAnsi="Times New Roman" w:cs="Times New Roman"/>
          <w:b/>
          <w:bCs/>
          <w:sz w:val="24"/>
          <w:szCs w:val="24"/>
        </w:rPr>
        <w:t>THE PUBLIC UTILITIES COMMISSION OF OHIO</w:t>
      </w:r>
    </w:p>
    <w:p w:rsidR="00412455" w:rsidRPr="00375AE2" w:rsidP="00412455" w14:paraId="2364C739" w14:textId="77777777">
      <w:pPr>
        <w:pStyle w:val="HTMLPreformatted"/>
        <w:rPr>
          <w:rFonts w:ascii="Times New Roman" w:hAnsi="Times New Roman" w:cs="Times New Roman"/>
          <w:sz w:val="24"/>
          <w:szCs w:val="24"/>
        </w:rPr>
      </w:pPr>
    </w:p>
    <w:tbl>
      <w:tblPr>
        <w:tblW w:w="9818" w:type="dxa"/>
        <w:tblLook w:val="01E0"/>
      </w:tblPr>
      <w:tblGrid>
        <w:gridCol w:w="5058"/>
        <w:gridCol w:w="360"/>
        <w:gridCol w:w="4400"/>
      </w:tblGrid>
      <w:tr w14:paraId="53CB3055" w14:textId="77777777" w:rsidTr="00412455">
        <w:tblPrEx>
          <w:tblW w:w="9818" w:type="dxa"/>
          <w:tblLook w:val="01E0"/>
        </w:tblPrEx>
        <w:trPr>
          <w:trHeight w:val="807"/>
        </w:trPr>
        <w:tc>
          <w:tcPr>
            <w:tcW w:w="5058" w:type="dxa"/>
            <w:shd w:val="clear" w:color="auto" w:fill="auto"/>
          </w:tcPr>
          <w:p w:rsidR="00412455" w:rsidRPr="00375AE2" w:rsidP="00412455" w14:paraId="6C3BAB1F" w14:textId="77777777">
            <w:pPr>
              <w:autoSpaceDE w:val="0"/>
              <w:autoSpaceDN w:val="0"/>
              <w:adjustRightInd w:val="0"/>
              <w:rPr>
                <w:rFonts w:cs="Times New Roman"/>
              </w:rPr>
            </w:pPr>
            <w:r w:rsidRPr="00375AE2">
              <w:rPr>
                <w:rFonts w:cs="Times New Roman"/>
              </w:rPr>
              <w:t>In the Matter of the Application of Ohio Power Company to Initiate its gridSMART Phase 3 Project.</w:t>
            </w:r>
          </w:p>
        </w:tc>
        <w:tc>
          <w:tcPr>
            <w:tcW w:w="360" w:type="dxa"/>
            <w:shd w:val="clear" w:color="auto" w:fill="auto"/>
          </w:tcPr>
          <w:p w:rsidR="00412455" w:rsidRPr="00375AE2" w:rsidP="00412455" w14:paraId="4820C729" w14:textId="77777777">
            <w:pPr>
              <w:pStyle w:val="HTMLPreformatted"/>
              <w:rPr>
                <w:rFonts w:ascii="Times New Roman" w:hAnsi="Times New Roman" w:cs="Times New Roman"/>
                <w:sz w:val="24"/>
                <w:szCs w:val="24"/>
              </w:rPr>
            </w:pPr>
            <w:r w:rsidRPr="00375AE2">
              <w:rPr>
                <w:rFonts w:ascii="Times New Roman" w:hAnsi="Times New Roman" w:cs="Times New Roman"/>
                <w:sz w:val="24"/>
                <w:szCs w:val="24"/>
              </w:rPr>
              <w:t>)</w:t>
            </w:r>
          </w:p>
          <w:p w:rsidR="00412455" w:rsidRPr="00375AE2" w:rsidP="00412455" w14:paraId="2C855653" w14:textId="77777777">
            <w:pPr>
              <w:pStyle w:val="HTMLPreformatted"/>
              <w:rPr>
                <w:rFonts w:ascii="Times New Roman" w:hAnsi="Times New Roman" w:cs="Times New Roman"/>
                <w:sz w:val="24"/>
                <w:szCs w:val="24"/>
              </w:rPr>
            </w:pPr>
            <w:r w:rsidRPr="00375AE2">
              <w:rPr>
                <w:rFonts w:ascii="Times New Roman" w:hAnsi="Times New Roman" w:cs="Times New Roman"/>
                <w:sz w:val="24"/>
                <w:szCs w:val="24"/>
              </w:rPr>
              <w:t>)</w:t>
            </w:r>
          </w:p>
          <w:p w:rsidR="00412455" w:rsidRPr="00375AE2" w:rsidP="00412455" w14:paraId="124D6D3F" w14:textId="77777777">
            <w:pPr>
              <w:pStyle w:val="HTMLPreformatted"/>
              <w:rPr>
                <w:rFonts w:ascii="Times New Roman" w:hAnsi="Times New Roman" w:cs="Times New Roman"/>
                <w:sz w:val="24"/>
                <w:szCs w:val="24"/>
              </w:rPr>
            </w:pPr>
            <w:r w:rsidRPr="00375AE2">
              <w:rPr>
                <w:rFonts w:ascii="Times New Roman" w:hAnsi="Times New Roman" w:cs="Times New Roman"/>
                <w:sz w:val="24"/>
                <w:szCs w:val="24"/>
              </w:rPr>
              <w:t>)</w:t>
            </w:r>
          </w:p>
        </w:tc>
        <w:tc>
          <w:tcPr>
            <w:tcW w:w="4400" w:type="dxa"/>
            <w:shd w:val="clear" w:color="auto" w:fill="auto"/>
          </w:tcPr>
          <w:p w:rsidR="00412455" w:rsidRPr="00375AE2" w:rsidP="00412455" w14:paraId="3F64BB1D" w14:textId="77777777">
            <w:pPr>
              <w:pStyle w:val="HTMLPreformatted"/>
              <w:rPr>
                <w:rFonts w:ascii="Times New Roman" w:hAnsi="Times New Roman" w:cs="Times New Roman"/>
                <w:sz w:val="24"/>
                <w:szCs w:val="24"/>
              </w:rPr>
            </w:pPr>
          </w:p>
          <w:p w:rsidR="00412455" w:rsidRPr="00375AE2" w:rsidP="00412455" w14:paraId="166B2E57" w14:textId="77777777">
            <w:pPr>
              <w:rPr>
                <w:rFonts w:cs="Times New Roman"/>
                <w:i/>
              </w:rPr>
            </w:pPr>
            <w:r w:rsidRPr="00375AE2">
              <w:rPr>
                <w:rFonts w:cs="Times New Roman"/>
              </w:rPr>
              <w:t>Case No. 19-1475-EL-RDR</w:t>
            </w:r>
          </w:p>
          <w:p w:rsidR="00412455" w:rsidRPr="00375AE2" w:rsidP="00412455" w14:paraId="28DD7B2D" w14:textId="77777777">
            <w:pPr>
              <w:pStyle w:val="HTMLPreformatted"/>
              <w:rPr>
                <w:rFonts w:ascii="Times New Roman" w:hAnsi="Times New Roman" w:cs="Times New Roman"/>
                <w:sz w:val="24"/>
                <w:szCs w:val="24"/>
              </w:rPr>
            </w:pPr>
          </w:p>
        </w:tc>
      </w:tr>
    </w:tbl>
    <w:p w:rsidR="00412455" w:rsidRPr="00375AE2" w:rsidP="00412455" w14:paraId="350A158E" w14:textId="77777777">
      <w:pPr>
        <w:spacing w:before="2"/>
        <w:rPr>
          <w:rFonts w:cs="Times New Roman"/>
        </w:rPr>
      </w:pPr>
      <w:r w:rsidRPr="00375AE2">
        <w:rPr>
          <w:rFonts w:cs="Times New Roman"/>
        </w:rPr>
        <w:t>________________________________________________________________________</w:t>
      </w:r>
    </w:p>
    <w:p w:rsidR="00412455" w:rsidRPr="00375AE2" w:rsidP="00412455" w14:paraId="5EE9B8E8" w14:textId="77777777">
      <w:pPr>
        <w:spacing w:before="2"/>
        <w:rPr>
          <w:rFonts w:eastAsia="Times New Roman" w:cs="Times New Roman"/>
        </w:rPr>
      </w:pPr>
    </w:p>
    <w:p w:rsidR="00412455" w:rsidRPr="00375AE2" w:rsidP="00412455" w14:paraId="476791B2" w14:textId="77777777">
      <w:pPr>
        <w:jc w:val="center"/>
        <w:rPr>
          <w:rFonts w:cs="Times New Roman"/>
          <w:b/>
          <w:bCs/>
          <w:w w:val="99"/>
        </w:rPr>
      </w:pPr>
      <w:r w:rsidRPr="00375AE2">
        <w:rPr>
          <w:rFonts w:cs="Times New Roman"/>
          <w:b/>
          <w:bCs/>
          <w:w w:val="99"/>
        </w:rPr>
        <w:t>COMMENTS</w:t>
      </w:r>
    </w:p>
    <w:p w:rsidR="00412455" w:rsidRPr="00375AE2" w:rsidP="00412455" w14:paraId="6B4D2557" w14:textId="77777777">
      <w:pPr>
        <w:jc w:val="center"/>
        <w:rPr>
          <w:rFonts w:eastAsia="Times New Roman" w:cs="Times New Roman"/>
        </w:rPr>
      </w:pPr>
      <w:r w:rsidRPr="00375AE2">
        <w:rPr>
          <w:rFonts w:cs="Times New Roman"/>
          <w:b/>
        </w:rPr>
        <w:t>BY</w:t>
      </w:r>
    </w:p>
    <w:p w:rsidR="00412455" w:rsidRPr="00375AE2" w:rsidP="00412455" w14:paraId="099E65FB" w14:textId="77777777">
      <w:pPr>
        <w:jc w:val="center"/>
        <w:rPr>
          <w:rFonts w:eastAsia="Times New Roman" w:cs="Times New Roman"/>
        </w:rPr>
      </w:pPr>
      <w:r w:rsidRPr="00375AE2">
        <w:rPr>
          <w:rFonts w:eastAsia="Times New Roman" w:cs="Times New Roman"/>
          <w:b/>
          <w:bCs/>
        </w:rPr>
        <w:t>THE</w:t>
      </w:r>
      <w:r w:rsidRPr="00375AE2">
        <w:rPr>
          <w:rFonts w:eastAsia="Times New Roman" w:cs="Times New Roman"/>
          <w:b/>
          <w:bCs/>
          <w:spacing w:val="-9"/>
        </w:rPr>
        <w:t xml:space="preserve"> </w:t>
      </w:r>
      <w:r w:rsidRPr="00375AE2">
        <w:rPr>
          <w:rFonts w:eastAsia="Times New Roman" w:cs="Times New Roman"/>
          <w:b/>
          <w:bCs/>
          <w:spacing w:val="-2"/>
        </w:rPr>
        <w:t>OFFICE</w:t>
      </w:r>
      <w:r w:rsidRPr="00375AE2">
        <w:rPr>
          <w:rFonts w:eastAsia="Times New Roman" w:cs="Times New Roman"/>
          <w:b/>
          <w:bCs/>
          <w:spacing w:val="-9"/>
        </w:rPr>
        <w:t xml:space="preserve"> </w:t>
      </w:r>
      <w:r w:rsidRPr="00375AE2">
        <w:rPr>
          <w:rFonts w:eastAsia="Times New Roman" w:cs="Times New Roman"/>
          <w:b/>
          <w:bCs/>
          <w:spacing w:val="1"/>
        </w:rPr>
        <w:t>OF</w:t>
      </w:r>
      <w:r w:rsidRPr="00375AE2">
        <w:rPr>
          <w:rFonts w:eastAsia="Times New Roman" w:cs="Times New Roman"/>
          <w:b/>
          <w:bCs/>
          <w:spacing w:val="-12"/>
        </w:rPr>
        <w:t xml:space="preserve"> </w:t>
      </w:r>
      <w:r w:rsidRPr="00375AE2">
        <w:rPr>
          <w:rFonts w:eastAsia="Times New Roman" w:cs="Times New Roman"/>
          <w:b/>
          <w:bCs/>
        </w:rPr>
        <w:t>THE</w:t>
      </w:r>
      <w:r w:rsidRPr="00375AE2">
        <w:rPr>
          <w:rFonts w:eastAsia="Times New Roman" w:cs="Times New Roman"/>
          <w:b/>
          <w:bCs/>
          <w:spacing w:val="-8"/>
        </w:rPr>
        <w:t xml:space="preserve"> </w:t>
      </w:r>
      <w:r w:rsidRPr="00375AE2">
        <w:rPr>
          <w:rFonts w:eastAsia="Times New Roman" w:cs="Times New Roman"/>
          <w:b/>
          <w:bCs/>
        </w:rPr>
        <w:t>OHIO</w:t>
      </w:r>
      <w:r w:rsidRPr="00375AE2">
        <w:rPr>
          <w:rFonts w:eastAsia="Times New Roman" w:cs="Times New Roman"/>
          <w:b/>
          <w:bCs/>
          <w:spacing w:val="-10"/>
        </w:rPr>
        <w:t xml:space="preserve"> </w:t>
      </w:r>
      <w:r w:rsidRPr="00375AE2">
        <w:rPr>
          <w:rFonts w:eastAsia="Times New Roman" w:cs="Times New Roman"/>
          <w:b/>
          <w:bCs/>
          <w:spacing w:val="-1"/>
        </w:rPr>
        <w:t>CONSUMERS’</w:t>
      </w:r>
      <w:r w:rsidRPr="00375AE2">
        <w:rPr>
          <w:rFonts w:eastAsia="Times New Roman" w:cs="Times New Roman"/>
          <w:b/>
          <w:bCs/>
          <w:spacing w:val="-10"/>
        </w:rPr>
        <w:t xml:space="preserve"> </w:t>
      </w:r>
      <w:r w:rsidRPr="00375AE2">
        <w:rPr>
          <w:rFonts w:eastAsia="Times New Roman" w:cs="Times New Roman"/>
          <w:b/>
          <w:bCs/>
          <w:spacing w:val="-1"/>
        </w:rPr>
        <w:t>COUNSEL</w:t>
      </w:r>
    </w:p>
    <w:p w:rsidR="00412455" w:rsidRPr="00375AE2" w:rsidP="00412455" w14:paraId="1CBB0CE7" w14:textId="77777777">
      <w:pPr>
        <w:spacing w:before="1"/>
        <w:rPr>
          <w:rFonts w:eastAsia="Times New Roman" w:cs="Times New Roman"/>
          <w:b/>
          <w:bCs/>
        </w:rPr>
      </w:pPr>
    </w:p>
    <w:p w:rsidR="00412455" w:rsidRPr="00375AE2" w:rsidP="00412455" w14:paraId="4EEAAEAB" w14:textId="77777777">
      <w:pPr>
        <w:spacing w:line="20" w:lineRule="atLeast"/>
        <w:ind w:left="103"/>
        <w:rPr>
          <w:rFonts w:eastAsia="Times New Roman" w:cs="Times New Roman"/>
        </w:rPr>
      </w:pPr>
      <w:r w:rsidRPr="00375AE2">
        <w:rPr>
          <w:rFonts w:cs="Times New Roman"/>
          <w:noProof/>
        </w:rPr>
        <mc:AlternateContent>
          <mc:Choice Requires="wpg">
            <w:drawing>
              <wp:inline distT="0" distB="0" distL="0" distR="0">
                <wp:extent cx="5533390" cy="10795"/>
                <wp:effectExtent l="8255" t="635" r="1905" b="7620"/>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5533390" cy="10795"/>
                          <a:chOff x="0" y="0"/>
                          <a:chExt cx="8714" cy="17"/>
                        </a:xfrm>
                      </wpg:grpSpPr>
                      <wpg:grpSp>
                        <wpg:cNvPr id="8" name="Group 3"/>
                        <wpg:cNvGrpSpPr/>
                        <wpg:grpSpPr>
                          <a:xfrm>
                            <a:off x="8" y="8"/>
                            <a:ext cx="8698" cy="2"/>
                            <a:chOff x="8" y="8"/>
                            <a:chExt cx="8698" cy="2"/>
                          </a:xfrm>
                        </wpg:grpSpPr>
                        <wps:wsp xmlns:wps="http://schemas.microsoft.com/office/word/2010/wordprocessingShape">
                          <wps:cNvPr id="9" name="Freeform 4"/>
                          <wps:cNvSpPr/>
                          <wps:spPr bwMode="auto">
                            <a:xfrm>
                              <a:off x="8" y="8"/>
                              <a:ext cx="8698" cy="2"/>
                            </a:xfrm>
                            <a:custGeom>
                              <a:avLst/>
                              <a:gdLst>
                                <a:gd name="T0" fmla="+- 0 8 8"/>
                                <a:gd name="T1" fmla="*/ T0 w 8698"/>
                                <a:gd name="T2" fmla="+- 0 8706 8"/>
                                <a:gd name="T3" fmla="*/ T2 w 8698"/>
                              </a:gdLst>
                              <a:rect l="0" t="0" r="r" b="b"/>
                              <a:pathLst>
                                <a:path fill="norm" w="8698" stroke="1">
                                  <a:moveTo>
                                    <a:pt x="0" y="0"/>
                                  </a:moveTo>
                                  <a:lnTo>
                                    <a:pt x="8698"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7" o:spid="_x0000_i1025" style="width:435.7pt;height:0.85pt;mso-position-horizontal-relative:char;mso-position-vertical-relative:line" coordsize="8714,17">
                <v:group id="Group 3" o:spid="_x0000_s1026" style="width:8698;height:2;left:8;position:absolute;top:8" coordorigin="8,8" coordsize="8698,2">
                  <v:shape id="Freeform 4" o:spid="_x0000_s1027" style="width:8698;height:2;left:8;mso-wrap-style:square;position:absolute;top:8;visibility:visible;v-text-anchor:top" coordsize="8698,2" path="m,l8698,e" filled="f" strokeweight="0.82pt">
                    <v:path arrowok="t"/>
                  </v:shape>
                </v:group>
                <w10:wrap type="none"/>
                <w10:anchorlock/>
              </v:group>
            </w:pict>
          </mc:Fallback>
        </mc:AlternateContent>
      </w:r>
    </w:p>
    <w:p w:rsidR="00412455" w:rsidRPr="00375AE2" w:rsidP="00412455" w14:paraId="1C3BAB2B" w14:textId="77777777">
      <w:pPr>
        <w:spacing w:before="1"/>
        <w:rPr>
          <w:rFonts w:eastAsia="Times New Roman" w:cs="Times New Roman"/>
          <w:b/>
          <w:bCs/>
        </w:rPr>
      </w:pPr>
    </w:p>
    <w:p w:rsidR="00412455" w:rsidRPr="00375AE2" w:rsidP="00412455" w14:paraId="38224A51" w14:textId="77777777">
      <w:pPr>
        <w:spacing w:before="1"/>
        <w:rPr>
          <w:rFonts w:eastAsia="Times New Roman" w:cs="Times New Roman"/>
          <w:b/>
          <w:bCs/>
        </w:rPr>
      </w:pPr>
    </w:p>
    <w:p w:rsidR="00412455" w:rsidRPr="00375AE2" w:rsidP="00412455" w14:paraId="1689DA06" w14:textId="77777777">
      <w:pPr>
        <w:spacing w:before="1"/>
        <w:rPr>
          <w:rFonts w:eastAsia="Times New Roman" w:cs="Times New Roman"/>
          <w:b/>
          <w:bCs/>
        </w:rPr>
      </w:pPr>
    </w:p>
    <w:p w:rsidR="00412455" w:rsidRPr="00375AE2" w:rsidP="00412455" w14:paraId="417DCE6E" w14:textId="77777777">
      <w:pPr>
        <w:ind w:left="3600"/>
        <w:rPr>
          <w:rFonts w:cs="Times New Roman"/>
        </w:rPr>
      </w:pPr>
    </w:p>
    <w:p w:rsidR="00412455" w:rsidRPr="00375AE2" w:rsidP="00412455" w14:paraId="126518EC" w14:textId="77777777">
      <w:pPr>
        <w:ind w:left="3600"/>
        <w:rPr>
          <w:rFonts w:cs="Times New Roman"/>
        </w:rPr>
      </w:pPr>
    </w:p>
    <w:p w:rsidR="00412455" w:rsidRPr="00375AE2" w:rsidP="00412455" w14:paraId="4B79C9BC" w14:textId="77777777">
      <w:pPr>
        <w:ind w:left="3600"/>
        <w:rPr>
          <w:rFonts w:cs="Times New Roman"/>
        </w:rPr>
      </w:pPr>
    </w:p>
    <w:p w:rsidR="00412455" w:rsidRPr="00375AE2" w:rsidP="00412455" w14:paraId="1A3D0D63" w14:textId="77777777">
      <w:pPr>
        <w:ind w:left="3600"/>
        <w:rPr>
          <w:rFonts w:cs="Times New Roman"/>
        </w:rPr>
      </w:pPr>
    </w:p>
    <w:p w:rsidR="00412455" w:rsidRPr="00375AE2" w:rsidP="00412455" w14:paraId="33374B82" w14:textId="77777777">
      <w:pPr>
        <w:ind w:left="3600"/>
        <w:rPr>
          <w:rFonts w:cs="Times New Roman"/>
        </w:rPr>
      </w:pPr>
    </w:p>
    <w:p w:rsidR="00412455" w:rsidRPr="00375AE2" w:rsidP="00412455" w14:paraId="6B588B12" w14:textId="77777777">
      <w:pPr>
        <w:ind w:left="3600"/>
        <w:rPr>
          <w:rFonts w:cs="Times New Roman"/>
        </w:rPr>
      </w:pPr>
      <w:r w:rsidRPr="00375AE2">
        <w:rPr>
          <w:rFonts w:cs="Times New Roman"/>
        </w:rPr>
        <w:t>Bruce Weston (0016973)</w:t>
      </w:r>
    </w:p>
    <w:p w:rsidR="00412455" w:rsidRPr="00375AE2" w:rsidP="00412455" w14:paraId="3EDC315E" w14:textId="77777777">
      <w:pPr>
        <w:tabs>
          <w:tab w:val="left" w:pos="4320"/>
        </w:tabs>
        <w:ind w:left="3600"/>
        <w:rPr>
          <w:rFonts w:cs="Times New Roman"/>
        </w:rPr>
      </w:pPr>
      <w:r w:rsidRPr="00375AE2">
        <w:rPr>
          <w:rFonts w:cs="Times New Roman"/>
        </w:rPr>
        <w:t>Ohio Consumers’ Counsel</w:t>
      </w:r>
    </w:p>
    <w:p w:rsidR="00412455" w:rsidRPr="00375AE2" w:rsidP="00412455" w14:paraId="205EB87E" w14:textId="77777777">
      <w:pPr>
        <w:tabs>
          <w:tab w:val="left" w:pos="4320"/>
        </w:tabs>
        <w:ind w:left="3600"/>
        <w:rPr>
          <w:rFonts w:cs="Times New Roman"/>
        </w:rPr>
      </w:pPr>
    </w:p>
    <w:p w:rsidR="00412455" w:rsidRPr="00375AE2" w:rsidP="00412455" w14:paraId="6CD88F57" w14:textId="77777777">
      <w:pPr>
        <w:tabs>
          <w:tab w:val="left" w:pos="4320"/>
        </w:tabs>
        <w:ind w:left="3600"/>
        <w:rPr>
          <w:rFonts w:cs="Times New Roman"/>
        </w:rPr>
      </w:pPr>
      <w:r w:rsidRPr="00375AE2">
        <w:rPr>
          <w:rFonts w:cs="Times New Roman"/>
        </w:rPr>
        <w:t>William J. Michael (0070921)</w:t>
      </w:r>
    </w:p>
    <w:p w:rsidR="00412455" w:rsidRPr="00375AE2" w:rsidP="00412455" w14:paraId="4AFFE714" w14:textId="77777777">
      <w:pPr>
        <w:tabs>
          <w:tab w:val="left" w:pos="4320"/>
        </w:tabs>
        <w:ind w:left="3600"/>
        <w:rPr>
          <w:rFonts w:cs="Times New Roman"/>
        </w:rPr>
      </w:pPr>
      <w:r w:rsidRPr="00375AE2">
        <w:rPr>
          <w:rFonts w:cs="Times New Roman"/>
        </w:rPr>
        <w:t>Counsel of Record</w:t>
      </w:r>
    </w:p>
    <w:p w:rsidR="00412455" w:rsidRPr="00375AE2" w:rsidP="00412455" w14:paraId="5650C873" w14:textId="77777777">
      <w:pPr>
        <w:tabs>
          <w:tab w:val="left" w:pos="4320"/>
        </w:tabs>
        <w:ind w:left="3600"/>
        <w:rPr>
          <w:rFonts w:cs="Times New Roman"/>
        </w:rPr>
      </w:pPr>
      <w:r w:rsidRPr="00375AE2">
        <w:rPr>
          <w:rFonts w:cs="Times New Roman"/>
        </w:rPr>
        <w:t>Amy Botschner O’Brien (0074423)</w:t>
      </w:r>
    </w:p>
    <w:p w:rsidR="00412455" w:rsidRPr="00375AE2" w:rsidP="00412455" w14:paraId="7426C9FA" w14:textId="77777777">
      <w:pPr>
        <w:tabs>
          <w:tab w:val="left" w:pos="4320"/>
        </w:tabs>
        <w:ind w:left="3600"/>
        <w:rPr>
          <w:rFonts w:cs="Times New Roman"/>
        </w:rPr>
      </w:pPr>
      <w:r w:rsidRPr="00375AE2">
        <w:rPr>
          <w:rFonts w:cs="Times New Roman"/>
        </w:rPr>
        <w:t>Ambrosia Logsdon (0096598)</w:t>
      </w:r>
    </w:p>
    <w:p w:rsidR="00412455" w:rsidRPr="00375AE2" w:rsidP="00412455" w14:paraId="0F1F72BC" w14:textId="77777777">
      <w:pPr>
        <w:tabs>
          <w:tab w:val="left" w:pos="4320"/>
        </w:tabs>
        <w:ind w:left="3600"/>
        <w:rPr>
          <w:rFonts w:cs="Times New Roman"/>
        </w:rPr>
      </w:pPr>
      <w:r w:rsidRPr="00375AE2">
        <w:rPr>
          <w:rFonts w:cs="Times New Roman"/>
        </w:rPr>
        <w:t>Assistant Consumers’ Counsel</w:t>
      </w:r>
    </w:p>
    <w:p w:rsidR="00412455" w:rsidRPr="00375AE2" w:rsidP="00412455" w14:paraId="448153F7" w14:textId="77777777">
      <w:pPr>
        <w:ind w:left="3600"/>
        <w:rPr>
          <w:rFonts w:cs="Times New Roman"/>
        </w:rPr>
      </w:pPr>
    </w:p>
    <w:p w:rsidR="00412455" w:rsidRPr="00375AE2" w:rsidP="00412455" w14:paraId="307EF104" w14:textId="77777777">
      <w:pPr>
        <w:ind w:left="3600"/>
        <w:rPr>
          <w:rFonts w:cs="Times New Roman"/>
          <w:b/>
          <w:bCs/>
        </w:rPr>
      </w:pPr>
      <w:r w:rsidRPr="00375AE2">
        <w:rPr>
          <w:rFonts w:cs="Times New Roman"/>
          <w:b/>
          <w:bCs/>
        </w:rPr>
        <w:t>Office of the Ohio Consumers’ Counsel</w:t>
      </w:r>
    </w:p>
    <w:p w:rsidR="00412455" w:rsidRPr="00375AE2" w:rsidP="00412455" w14:paraId="10F0E878" w14:textId="77777777">
      <w:pPr>
        <w:ind w:left="3600"/>
        <w:rPr>
          <w:rFonts w:cs="Times New Roman"/>
        </w:rPr>
      </w:pPr>
      <w:r w:rsidRPr="00375AE2">
        <w:rPr>
          <w:rFonts w:cs="Times New Roman"/>
        </w:rPr>
        <w:t>65 East State Street, 7</w:t>
      </w:r>
      <w:r w:rsidRPr="00375AE2">
        <w:rPr>
          <w:rFonts w:cs="Times New Roman"/>
          <w:vertAlign w:val="superscript"/>
        </w:rPr>
        <w:t>th</w:t>
      </w:r>
      <w:r w:rsidRPr="00375AE2">
        <w:rPr>
          <w:rFonts w:cs="Times New Roman"/>
        </w:rPr>
        <w:t xml:space="preserve"> Floor</w:t>
      </w:r>
    </w:p>
    <w:p w:rsidR="00412455" w:rsidRPr="00375AE2" w:rsidP="00412455" w14:paraId="0512F80C" w14:textId="77777777">
      <w:pPr>
        <w:ind w:left="3600"/>
        <w:rPr>
          <w:rFonts w:cs="Times New Roman"/>
        </w:rPr>
      </w:pPr>
      <w:r w:rsidRPr="00375AE2">
        <w:rPr>
          <w:rFonts w:cs="Times New Roman"/>
        </w:rPr>
        <w:t>Columbus, Ohio 43215-4213</w:t>
      </w:r>
    </w:p>
    <w:p w:rsidR="00412455" w:rsidRPr="00375AE2" w:rsidP="00412455" w14:paraId="43C29D88" w14:textId="77777777">
      <w:pPr>
        <w:autoSpaceDE w:val="0"/>
        <w:autoSpaceDN w:val="0"/>
        <w:adjustRightInd w:val="0"/>
        <w:ind w:left="3600"/>
        <w:rPr>
          <w:rFonts w:cs="Times New Roman"/>
        </w:rPr>
      </w:pPr>
      <w:r w:rsidRPr="00375AE2">
        <w:rPr>
          <w:rFonts w:cs="Times New Roman"/>
        </w:rPr>
        <w:t>Telephone [Michael]: (614) 466-1291</w:t>
      </w:r>
    </w:p>
    <w:p w:rsidR="00412455" w:rsidRPr="00375AE2" w:rsidP="00412455" w14:paraId="1C223496" w14:textId="77777777">
      <w:pPr>
        <w:autoSpaceDE w:val="0"/>
        <w:autoSpaceDN w:val="0"/>
        <w:adjustRightInd w:val="0"/>
        <w:ind w:left="3600"/>
        <w:rPr>
          <w:rFonts w:cs="Times New Roman"/>
        </w:rPr>
      </w:pPr>
      <w:r w:rsidRPr="00375AE2">
        <w:rPr>
          <w:rFonts w:cs="Times New Roman"/>
        </w:rPr>
        <w:t>Telephone [Botschner O’Brien]: (614) 466-9575</w:t>
      </w:r>
    </w:p>
    <w:p w:rsidR="00412455" w:rsidRPr="00375AE2" w:rsidP="00412455" w14:paraId="67483196" w14:textId="77777777">
      <w:pPr>
        <w:autoSpaceDE w:val="0"/>
        <w:autoSpaceDN w:val="0"/>
        <w:adjustRightInd w:val="0"/>
        <w:ind w:left="3600"/>
        <w:rPr>
          <w:rFonts w:cs="Times New Roman"/>
        </w:rPr>
      </w:pPr>
      <w:r w:rsidRPr="00375AE2">
        <w:rPr>
          <w:rFonts w:cs="Times New Roman"/>
        </w:rPr>
        <w:t>Telephone [Logsdon]: (614) 466-1292</w:t>
      </w:r>
    </w:p>
    <w:p w:rsidR="00412455" w:rsidRPr="00375AE2" w:rsidP="00412455" w14:paraId="57A33230" w14:textId="77777777">
      <w:pPr>
        <w:ind w:left="3600"/>
        <w:rPr>
          <w:rStyle w:val="Hyperlink"/>
          <w:rFonts w:cs="Times New Roman"/>
        </w:rPr>
      </w:pPr>
      <w:hyperlink r:id="rId6" w:history="1">
        <w:r w:rsidRPr="00375AE2">
          <w:rPr>
            <w:rStyle w:val="Hyperlink"/>
            <w:rFonts w:cs="Times New Roman"/>
          </w:rPr>
          <w:t>william.michael@occ.ohio.gov</w:t>
        </w:r>
      </w:hyperlink>
    </w:p>
    <w:p w:rsidR="00412455" w:rsidRPr="00375AE2" w:rsidP="00412455" w14:paraId="2AC94E74" w14:textId="77777777">
      <w:pPr>
        <w:ind w:left="3600"/>
        <w:rPr>
          <w:rStyle w:val="Hyperlink"/>
          <w:rFonts w:cs="Times New Roman"/>
        </w:rPr>
      </w:pPr>
      <w:hyperlink r:id="rId7" w:history="1">
        <w:r w:rsidRPr="00375AE2">
          <w:rPr>
            <w:rStyle w:val="Hyperlink"/>
            <w:rFonts w:cs="Times New Roman"/>
          </w:rPr>
          <w:t>amy.botschner.obrien@occ.ohio.gov</w:t>
        </w:r>
      </w:hyperlink>
    </w:p>
    <w:p w:rsidR="00412455" w:rsidRPr="00375AE2" w:rsidP="00412455" w14:paraId="07D38B04" w14:textId="77777777">
      <w:pPr>
        <w:ind w:left="3600"/>
        <w:rPr>
          <w:rStyle w:val="Hyperlink"/>
          <w:rFonts w:cs="Times New Roman"/>
        </w:rPr>
      </w:pPr>
      <w:r w:rsidRPr="00375AE2">
        <w:rPr>
          <w:rStyle w:val="Hyperlink"/>
          <w:rFonts w:cs="Times New Roman"/>
        </w:rPr>
        <w:t>ambrosia.logsdon@occ.ohio.gov</w:t>
      </w:r>
    </w:p>
    <w:p w:rsidR="00412455" w:rsidRPr="00375AE2" w:rsidP="00412455" w14:paraId="5988C7E2" w14:textId="77777777">
      <w:pPr>
        <w:rPr>
          <w:rFonts w:cs="Times New Roman"/>
        </w:rPr>
      </w:pPr>
      <w:r w:rsidRPr="00375AE2">
        <w:rPr>
          <w:rFonts w:cs="Times New Roman"/>
        </w:rPr>
        <w:t>September 9, 2020</w:t>
      </w:r>
      <w:r w:rsidRPr="00375AE2">
        <w:rPr>
          <w:rFonts w:cs="Times New Roman"/>
        </w:rPr>
        <w:tab/>
      </w:r>
      <w:r w:rsidRPr="00375AE2">
        <w:rPr>
          <w:rFonts w:cs="Times New Roman"/>
        </w:rPr>
        <w:tab/>
      </w:r>
      <w:r w:rsidRPr="00375AE2">
        <w:rPr>
          <w:rFonts w:cs="Times New Roman"/>
        </w:rPr>
        <w:tab/>
        <w:t>(willing to accept service by e-mail)</w:t>
      </w:r>
    </w:p>
    <w:p w:rsidR="00412455" w:rsidRPr="00375AE2" w:rsidP="00412455" w14:paraId="6F69021D" w14:textId="77777777">
      <w:pPr>
        <w:rPr>
          <w:rFonts w:cs="Times New Roman"/>
        </w:rPr>
      </w:pPr>
    </w:p>
    <w:p w:rsidR="00412455" w:rsidRPr="00375AE2" w:rsidP="00412455" w14:paraId="2A830AA6" w14:textId="77777777">
      <w:pPr>
        <w:rPr>
          <w:rFonts w:cs="Times New Roman"/>
        </w:rPr>
      </w:pPr>
    </w:p>
    <w:p w:rsidR="00412455" w:rsidRPr="00375AE2" w:rsidP="00412455" w14:paraId="003C3C61" w14:textId="77777777">
      <w:pPr>
        <w:rPr>
          <w:rFonts w:cs="Times New Roman"/>
        </w:rPr>
        <w:sectPr w:rsidSect="001A2C3A">
          <w:footerReference w:type="default" r:id="rId8"/>
          <w:pgSz w:w="12240" w:h="15840"/>
          <w:pgMar w:top="1440" w:right="1800" w:bottom="1440" w:left="1800" w:header="720" w:footer="720" w:gutter="0"/>
          <w:cols w:space="720"/>
          <w:docGrid w:linePitch="360"/>
        </w:sectPr>
      </w:pPr>
    </w:p>
    <w:p w:rsidR="00412455" w:rsidRPr="00375AE2" w:rsidP="00412455" w14:paraId="21E4FFF3" w14:textId="77777777">
      <w:pPr>
        <w:jc w:val="center"/>
        <w:rPr>
          <w:rFonts w:cs="Times New Roman"/>
          <w:b/>
          <w:bCs/>
          <w:u w:val="single"/>
        </w:rPr>
      </w:pPr>
      <w:r w:rsidRPr="00375AE2">
        <w:rPr>
          <w:rFonts w:cs="Times New Roman"/>
          <w:b/>
          <w:bCs/>
          <w:u w:val="single"/>
        </w:rPr>
        <w:t>TABLE OF CONTENTS</w:t>
      </w:r>
    </w:p>
    <w:p w:rsidR="00412455" w:rsidP="00412455" w14:paraId="693BD548" w14:textId="7E5D73ED">
      <w:pPr>
        <w:jc w:val="center"/>
        <w:rPr>
          <w:rFonts w:cs="Times New Roman"/>
          <w:b/>
          <w:bCs/>
        </w:rPr>
      </w:pP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b/>
          <w:bCs/>
        </w:rPr>
        <w:t>PAGE</w:t>
      </w:r>
    </w:p>
    <w:p w:rsidR="00E075D1" w:rsidRPr="00375AE2" w:rsidP="00412455" w14:paraId="623538A4" w14:textId="77777777">
      <w:pPr>
        <w:jc w:val="center"/>
        <w:rPr>
          <w:rFonts w:cs="Times New Roman"/>
          <w:b/>
          <w:bCs/>
        </w:rPr>
      </w:pPr>
    </w:p>
    <w:p w:rsidR="00E075D1" w14:paraId="5E216C68" w14:textId="4B5F165A">
      <w:pPr>
        <w:pStyle w:val="TOC1"/>
        <w:rPr>
          <w:rFonts w:asciiTheme="minorHAnsi" w:eastAsiaTheme="minorEastAsia" w:hAnsiTheme="minorHAnsi"/>
          <w:caps w:val="0"/>
          <w:noProof/>
          <w:sz w:val="22"/>
          <w:szCs w:val="22"/>
        </w:rPr>
      </w:pPr>
      <w:r w:rsidRPr="00375AE2">
        <w:rPr>
          <w:rFonts w:cs="Times New Roman"/>
          <w:b/>
          <w:bCs/>
        </w:rPr>
        <w:fldChar w:fldCharType="begin"/>
      </w:r>
      <w:r w:rsidRPr="00375AE2">
        <w:rPr>
          <w:rFonts w:cs="Times New Roman"/>
          <w:b/>
          <w:bCs/>
        </w:rPr>
        <w:instrText xml:space="preserve"> TOC \o "1-3" \h \z \u </w:instrText>
      </w:r>
      <w:r w:rsidRPr="00375AE2">
        <w:rPr>
          <w:rFonts w:cs="Times New Roman"/>
          <w:b/>
          <w:bCs/>
        </w:rPr>
        <w:fldChar w:fldCharType="separate"/>
      </w:r>
      <w:hyperlink w:anchor="_Toc50560060" w:history="1">
        <w:r w:rsidRPr="00076020">
          <w:rPr>
            <w:rStyle w:val="Hyperlink"/>
            <w:rFonts w:cs="Times New Roman"/>
            <w:noProof/>
          </w:rPr>
          <w:t>I.</w:t>
        </w:r>
        <w:r>
          <w:rPr>
            <w:rFonts w:asciiTheme="minorHAnsi" w:eastAsiaTheme="minorEastAsia" w:hAnsiTheme="minorHAnsi"/>
            <w:caps w:val="0"/>
            <w:noProof/>
            <w:sz w:val="22"/>
            <w:szCs w:val="22"/>
          </w:rPr>
          <w:tab/>
        </w:r>
        <w:r w:rsidRPr="00076020">
          <w:rPr>
            <w:rStyle w:val="Hyperlink"/>
            <w:rFonts w:cs="Times New Roman"/>
            <w:noProof/>
          </w:rPr>
          <w:t>INTRODUCTION</w:t>
        </w:r>
        <w:r>
          <w:rPr>
            <w:noProof/>
            <w:webHidden/>
          </w:rPr>
          <w:tab/>
        </w:r>
        <w:r>
          <w:rPr>
            <w:noProof/>
            <w:webHidden/>
          </w:rPr>
          <w:fldChar w:fldCharType="begin"/>
        </w:r>
        <w:r>
          <w:rPr>
            <w:noProof/>
            <w:webHidden/>
          </w:rPr>
          <w:instrText xml:space="preserve"> PAGEREF _Toc50560060 \h </w:instrText>
        </w:r>
        <w:r>
          <w:rPr>
            <w:noProof/>
            <w:webHidden/>
          </w:rPr>
          <w:fldChar w:fldCharType="separate"/>
        </w:r>
        <w:r>
          <w:rPr>
            <w:noProof/>
            <w:webHidden/>
          </w:rPr>
          <w:t>1</w:t>
        </w:r>
        <w:r>
          <w:rPr>
            <w:noProof/>
            <w:webHidden/>
          </w:rPr>
          <w:fldChar w:fldCharType="end"/>
        </w:r>
      </w:hyperlink>
    </w:p>
    <w:p w:rsidR="00E075D1" w14:paraId="4348CAB7" w14:textId="3D914CA8">
      <w:pPr>
        <w:pStyle w:val="TOC1"/>
        <w:rPr>
          <w:rFonts w:asciiTheme="minorHAnsi" w:eastAsiaTheme="minorEastAsia" w:hAnsiTheme="minorHAnsi"/>
          <w:caps w:val="0"/>
          <w:noProof/>
          <w:sz w:val="22"/>
          <w:szCs w:val="22"/>
        </w:rPr>
      </w:pPr>
      <w:hyperlink w:anchor="_Toc50560061" w:history="1">
        <w:r w:rsidRPr="00076020">
          <w:rPr>
            <w:rStyle w:val="Hyperlink"/>
            <w:rFonts w:cs="Times New Roman"/>
            <w:noProof/>
          </w:rPr>
          <w:t>II.</w:t>
        </w:r>
        <w:r>
          <w:rPr>
            <w:rFonts w:asciiTheme="minorHAnsi" w:eastAsiaTheme="minorEastAsia" w:hAnsiTheme="minorHAnsi"/>
            <w:caps w:val="0"/>
            <w:noProof/>
            <w:sz w:val="22"/>
            <w:szCs w:val="22"/>
          </w:rPr>
          <w:tab/>
        </w:r>
        <w:r w:rsidRPr="00076020">
          <w:rPr>
            <w:rStyle w:val="Hyperlink"/>
            <w:rFonts w:cs="Times New Roman"/>
            <w:noProof/>
          </w:rPr>
          <w:t>BACKGROUND</w:t>
        </w:r>
        <w:r>
          <w:rPr>
            <w:noProof/>
            <w:webHidden/>
          </w:rPr>
          <w:tab/>
        </w:r>
        <w:r>
          <w:rPr>
            <w:noProof/>
            <w:webHidden/>
          </w:rPr>
          <w:fldChar w:fldCharType="begin"/>
        </w:r>
        <w:r>
          <w:rPr>
            <w:noProof/>
            <w:webHidden/>
          </w:rPr>
          <w:instrText xml:space="preserve"> PAGEREF _Toc50560061 \h </w:instrText>
        </w:r>
        <w:r>
          <w:rPr>
            <w:noProof/>
            <w:webHidden/>
          </w:rPr>
          <w:fldChar w:fldCharType="separate"/>
        </w:r>
        <w:r>
          <w:rPr>
            <w:noProof/>
            <w:webHidden/>
          </w:rPr>
          <w:t>1</w:t>
        </w:r>
        <w:r>
          <w:rPr>
            <w:noProof/>
            <w:webHidden/>
          </w:rPr>
          <w:fldChar w:fldCharType="end"/>
        </w:r>
      </w:hyperlink>
    </w:p>
    <w:p w:rsidR="00E075D1" w14:paraId="5A95AEC3" w14:textId="10582103">
      <w:pPr>
        <w:pStyle w:val="TOC1"/>
        <w:rPr>
          <w:rFonts w:asciiTheme="minorHAnsi" w:eastAsiaTheme="minorEastAsia" w:hAnsiTheme="minorHAnsi"/>
          <w:caps w:val="0"/>
          <w:noProof/>
          <w:sz w:val="22"/>
          <w:szCs w:val="22"/>
        </w:rPr>
      </w:pPr>
      <w:hyperlink w:anchor="_Toc50560062" w:history="1">
        <w:r w:rsidRPr="00076020">
          <w:rPr>
            <w:rStyle w:val="Hyperlink"/>
            <w:rFonts w:cs="Times New Roman"/>
            <w:noProof/>
          </w:rPr>
          <w:t>III.</w:t>
        </w:r>
        <w:r>
          <w:rPr>
            <w:rFonts w:asciiTheme="minorHAnsi" w:eastAsiaTheme="minorEastAsia" w:hAnsiTheme="minorHAnsi"/>
            <w:caps w:val="0"/>
            <w:noProof/>
            <w:sz w:val="22"/>
            <w:szCs w:val="22"/>
          </w:rPr>
          <w:tab/>
        </w:r>
        <w:r w:rsidRPr="00076020">
          <w:rPr>
            <w:rStyle w:val="Hyperlink"/>
            <w:rFonts w:cs="Times New Roman"/>
            <w:noProof/>
          </w:rPr>
          <w:t>COMMENTS</w:t>
        </w:r>
        <w:r>
          <w:rPr>
            <w:noProof/>
            <w:webHidden/>
          </w:rPr>
          <w:tab/>
        </w:r>
        <w:r>
          <w:rPr>
            <w:noProof/>
            <w:webHidden/>
          </w:rPr>
          <w:fldChar w:fldCharType="begin"/>
        </w:r>
        <w:r>
          <w:rPr>
            <w:noProof/>
            <w:webHidden/>
          </w:rPr>
          <w:instrText xml:space="preserve"> PAGEREF _Toc50560062 \h </w:instrText>
        </w:r>
        <w:r>
          <w:rPr>
            <w:noProof/>
            <w:webHidden/>
          </w:rPr>
          <w:fldChar w:fldCharType="separate"/>
        </w:r>
        <w:r>
          <w:rPr>
            <w:noProof/>
            <w:webHidden/>
          </w:rPr>
          <w:t>3</w:t>
        </w:r>
        <w:r>
          <w:rPr>
            <w:noProof/>
            <w:webHidden/>
          </w:rPr>
          <w:fldChar w:fldCharType="end"/>
        </w:r>
      </w:hyperlink>
    </w:p>
    <w:p w:rsidR="00E075D1" w14:paraId="3B5E5857" w14:textId="0A5961E2">
      <w:pPr>
        <w:pStyle w:val="TOC2"/>
        <w:tabs>
          <w:tab w:val="left" w:pos="1440"/>
        </w:tabs>
        <w:rPr>
          <w:rFonts w:asciiTheme="minorHAnsi" w:eastAsiaTheme="minorEastAsia" w:hAnsiTheme="minorHAnsi"/>
          <w:noProof/>
          <w:sz w:val="22"/>
          <w:szCs w:val="22"/>
        </w:rPr>
      </w:pPr>
      <w:hyperlink w:anchor="_Toc50560063" w:history="1">
        <w:r w:rsidRPr="00076020">
          <w:rPr>
            <w:rStyle w:val="Hyperlink"/>
            <w:rFonts w:cs="Times New Roman"/>
            <w:noProof/>
          </w:rPr>
          <w:t>A.</w:t>
        </w:r>
        <w:r>
          <w:rPr>
            <w:rFonts w:asciiTheme="minorHAnsi" w:eastAsiaTheme="minorEastAsia" w:hAnsiTheme="minorHAnsi"/>
            <w:noProof/>
            <w:sz w:val="22"/>
            <w:szCs w:val="22"/>
          </w:rPr>
          <w:tab/>
        </w:r>
        <w:r w:rsidRPr="00076020">
          <w:rPr>
            <w:rStyle w:val="Hyperlink"/>
            <w:rFonts w:cs="Times New Roman"/>
            <w:noProof/>
          </w:rPr>
          <w:t>To protect consumers, the PUCO should reject AEP Ohio’s gridSMART Phase III application until and unless it demonstrates that customers are obtaining the smart grid benefits promised under gridSMART Phase I and gridSMART Phase II.</w:t>
        </w:r>
        <w:r>
          <w:rPr>
            <w:noProof/>
            <w:webHidden/>
          </w:rPr>
          <w:tab/>
        </w:r>
        <w:r>
          <w:rPr>
            <w:noProof/>
            <w:webHidden/>
          </w:rPr>
          <w:fldChar w:fldCharType="begin"/>
        </w:r>
        <w:r>
          <w:rPr>
            <w:noProof/>
            <w:webHidden/>
          </w:rPr>
          <w:instrText xml:space="preserve"> PAGEREF _Toc50560063 \h </w:instrText>
        </w:r>
        <w:r>
          <w:rPr>
            <w:noProof/>
            <w:webHidden/>
          </w:rPr>
          <w:fldChar w:fldCharType="separate"/>
        </w:r>
        <w:r>
          <w:rPr>
            <w:noProof/>
            <w:webHidden/>
          </w:rPr>
          <w:t>3</w:t>
        </w:r>
        <w:r>
          <w:rPr>
            <w:noProof/>
            <w:webHidden/>
          </w:rPr>
          <w:fldChar w:fldCharType="end"/>
        </w:r>
      </w:hyperlink>
    </w:p>
    <w:p w:rsidR="00E075D1" w14:paraId="2D6FD1DB" w14:textId="715250AB">
      <w:pPr>
        <w:pStyle w:val="TOC3"/>
        <w:tabs>
          <w:tab w:val="left" w:pos="2160"/>
        </w:tabs>
        <w:rPr>
          <w:rFonts w:asciiTheme="minorHAnsi" w:eastAsiaTheme="minorEastAsia" w:hAnsiTheme="minorHAnsi"/>
          <w:noProof/>
          <w:sz w:val="22"/>
          <w:szCs w:val="22"/>
        </w:rPr>
      </w:pPr>
      <w:hyperlink w:anchor="_Toc50560064" w:history="1">
        <w:r w:rsidRPr="00076020">
          <w:rPr>
            <w:rStyle w:val="Hyperlink"/>
            <w:rFonts w:cs="Times New Roman"/>
            <w:noProof/>
          </w:rPr>
          <w:t>1.</w:t>
        </w:r>
        <w:r>
          <w:rPr>
            <w:rFonts w:asciiTheme="minorHAnsi" w:eastAsiaTheme="minorEastAsia" w:hAnsiTheme="minorHAnsi"/>
            <w:noProof/>
            <w:sz w:val="22"/>
            <w:szCs w:val="22"/>
          </w:rPr>
          <w:tab/>
        </w:r>
        <w:r w:rsidRPr="00076020">
          <w:rPr>
            <w:rStyle w:val="Hyperlink"/>
            <w:rFonts w:cs="Times New Roman"/>
            <w:noProof/>
          </w:rPr>
          <w:t>AEP Ohio’s progress (or lack thereof) on timely installing Distribution Automation Circuit Reconfiguration is hurting consumers.</w:t>
        </w:r>
        <w:r>
          <w:rPr>
            <w:noProof/>
            <w:webHidden/>
          </w:rPr>
          <w:tab/>
        </w:r>
        <w:r>
          <w:rPr>
            <w:noProof/>
            <w:webHidden/>
          </w:rPr>
          <w:fldChar w:fldCharType="begin"/>
        </w:r>
        <w:r>
          <w:rPr>
            <w:noProof/>
            <w:webHidden/>
          </w:rPr>
          <w:instrText xml:space="preserve"> PAGEREF _Toc50560064 \h </w:instrText>
        </w:r>
        <w:r>
          <w:rPr>
            <w:noProof/>
            <w:webHidden/>
          </w:rPr>
          <w:fldChar w:fldCharType="separate"/>
        </w:r>
        <w:r>
          <w:rPr>
            <w:noProof/>
            <w:webHidden/>
          </w:rPr>
          <w:t>4</w:t>
        </w:r>
        <w:r>
          <w:rPr>
            <w:noProof/>
            <w:webHidden/>
          </w:rPr>
          <w:fldChar w:fldCharType="end"/>
        </w:r>
      </w:hyperlink>
    </w:p>
    <w:p w:rsidR="00E075D1" w14:paraId="35D286A4" w14:textId="44A6F1D4">
      <w:pPr>
        <w:pStyle w:val="TOC3"/>
        <w:tabs>
          <w:tab w:val="left" w:pos="2160"/>
        </w:tabs>
        <w:rPr>
          <w:rFonts w:asciiTheme="minorHAnsi" w:eastAsiaTheme="minorEastAsia" w:hAnsiTheme="minorHAnsi"/>
          <w:noProof/>
          <w:sz w:val="22"/>
          <w:szCs w:val="22"/>
        </w:rPr>
      </w:pPr>
      <w:hyperlink w:anchor="_Toc50560065" w:history="1">
        <w:r w:rsidRPr="00076020">
          <w:rPr>
            <w:rStyle w:val="Hyperlink"/>
            <w:rFonts w:cs="Times New Roman"/>
            <w:noProof/>
          </w:rPr>
          <w:t>2.</w:t>
        </w:r>
        <w:r>
          <w:rPr>
            <w:rFonts w:asciiTheme="minorHAnsi" w:eastAsiaTheme="minorEastAsia" w:hAnsiTheme="minorHAnsi"/>
            <w:noProof/>
            <w:sz w:val="22"/>
            <w:szCs w:val="22"/>
          </w:rPr>
          <w:tab/>
        </w:r>
        <w:r w:rsidRPr="00076020">
          <w:rPr>
            <w:rStyle w:val="Hyperlink"/>
            <w:rFonts w:cs="Times New Roman"/>
            <w:noProof/>
          </w:rPr>
          <w:t>It is not in consumers’ interest to rush to install smart meters as part of gridSMART Phase III.</w:t>
        </w:r>
        <w:r>
          <w:rPr>
            <w:noProof/>
            <w:webHidden/>
          </w:rPr>
          <w:tab/>
        </w:r>
        <w:r>
          <w:rPr>
            <w:noProof/>
            <w:webHidden/>
          </w:rPr>
          <w:fldChar w:fldCharType="begin"/>
        </w:r>
        <w:r>
          <w:rPr>
            <w:noProof/>
            <w:webHidden/>
          </w:rPr>
          <w:instrText xml:space="preserve"> PAGEREF _Toc50560065 \h </w:instrText>
        </w:r>
        <w:r>
          <w:rPr>
            <w:noProof/>
            <w:webHidden/>
          </w:rPr>
          <w:fldChar w:fldCharType="separate"/>
        </w:r>
        <w:r>
          <w:rPr>
            <w:noProof/>
            <w:webHidden/>
          </w:rPr>
          <w:t>6</w:t>
        </w:r>
        <w:r>
          <w:rPr>
            <w:noProof/>
            <w:webHidden/>
          </w:rPr>
          <w:fldChar w:fldCharType="end"/>
        </w:r>
      </w:hyperlink>
    </w:p>
    <w:p w:rsidR="00E075D1" w14:paraId="68841160" w14:textId="592E86AA">
      <w:pPr>
        <w:pStyle w:val="TOC3"/>
        <w:tabs>
          <w:tab w:val="left" w:pos="2160"/>
        </w:tabs>
        <w:rPr>
          <w:rFonts w:asciiTheme="minorHAnsi" w:eastAsiaTheme="minorEastAsia" w:hAnsiTheme="minorHAnsi"/>
          <w:noProof/>
          <w:sz w:val="22"/>
          <w:szCs w:val="22"/>
        </w:rPr>
      </w:pPr>
      <w:hyperlink w:anchor="_Toc50560066" w:history="1">
        <w:r w:rsidRPr="00076020">
          <w:rPr>
            <w:rStyle w:val="Hyperlink"/>
            <w:rFonts w:cs="Times New Roman"/>
            <w:noProof/>
          </w:rPr>
          <w:t>3.</w:t>
        </w:r>
        <w:r>
          <w:rPr>
            <w:rFonts w:asciiTheme="minorHAnsi" w:eastAsiaTheme="minorEastAsia" w:hAnsiTheme="minorHAnsi"/>
            <w:noProof/>
            <w:sz w:val="22"/>
            <w:szCs w:val="22"/>
          </w:rPr>
          <w:tab/>
        </w:r>
        <w:r w:rsidRPr="00076020">
          <w:rPr>
            <w:rStyle w:val="Hyperlink"/>
            <w:rFonts w:cs="Times New Roman"/>
            <w:noProof/>
          </w:rPr>
          <w:t>While AEP Ohio has made substantial progress in deploying Volt-VAR technology as part of Phase II, consumer protection requires that a benefits assessment is necessary before continuing with deploying Volt-VAR as part of Phase III.</w:t>
        </w:r>
        <w:r>
          <w:rPr>
            <w:noProof/>
            <w:webHidden/>
          </w:rPr>
          <w:tab/>
        </w:r>
        <w:r>
          <w:rPr>
            <w:noProof/>
            <w:webHidden/>
          </w:rPr>
          <w:fldChar w:fldCharType="begin"/>
        </w:r>
        <w:r>
          <w:rPr>
            <w:noProof/>
            <w:webHidden/>
          </w:rPr>
          <w:instrText xml:space="preserve"> PAGEREF _Toc50560066 \h </w:instrText>
        </w:r>
        <w:r>
          <w:rPr>
            <w:noProof/>
            <w:webHidden/>
          </w:rPr>
          <w:fldChar w:fldCharType="separate"/>
        </w:r>
        <w:r>
          <w:rPr>
            <w:noProof/>
            <w:webHidden/>
          </w:rPr>
          <w:t>8</w:t>
        </w:r>
        <w:r>
          <w:rPr>
            <w:noProof/>
            <w:webHidden/>
          </w:rPr>
          <w:fldChar w:fldCharType="end"/>
        </w:r>
      </w:hyperlink>
    </w:p>
    <w:p w:rsidR="00E075D1" w14:paraId="2D9B7AE0" w14:textId="026C8E8F">
      <w:pPr>
        <w:pStyle w:val="TOC2"/>
        <w:tabs>
          <w:tab w:val="left" w:pos="1440"/>
        </w:tabs>
        <w:rPr>
          <w:rFonts w:asciiTheme="minorHAnsi" w:eastAsiaTheme="minorEastAsia" w:hAnsiTheme="minorHAnsi"/>
          <w:noProof/>
          <w:sz w:val="22"/>
          <w:szCs w:val="22"/>
        </w:rPr>
      </w:pPr>
      <w:hyperlink w:anchor="_Toc50560067" w:history="1">
        <w:r w:rsidRPr="00076020">
          <w:rPr>
            <w:rStyle w:val="Hyperlink"/>
            <w:rFonts w:cs="Times New Roman"/>
            <w:noProof/>
          </w:rPr>
          <w:t>B.</w:t>
        </w:r>
        <w:r>
          <w:rPr>
            <w:rFonts w:asciiTheme="minorHAnsi" w:eastAsiaTheme="minorEastAsia" w:hAnsiTheme="minorHAnsi"/>
            <w:noProof/>
            <w:sz w:val="22"/>
            <w:szCs w:val="22"/>
          </w:rPr>
          <w:tab/>
        </w:r>
        <w:r w:rsidRPr="00076020">
          <w:rPr>
            <w:rStyle w:val="Hyperlink"/>
            <w:rFonts w:cs="Times New Roman"/>
            <w:noProof/>
          </w:rPr>
          <w:t>If the PUCO were to approve the gridSMART III application (which it should not until AEP completes Phase II), the non-gridSMART projects that were included in the application should be rejected to protect consumers.</w:t>
        </w:r>
        <w:r>
          <w:rPr>
            <w:noProof/>
            <w:webHidden/>
          </w:rPr>
          <w:tab/>
        </w:r>
        <w:r>
          <w:rPr>
            <w:noProof/>
            <w:webHidden/>
          </w:rPr>
          <w:fldChar w:fldCharType="begin"/>
        </w:r>
        <w:r>
          <w:rPr>
            <w:noProof/>
            <w:webHidden/>
          </w:rPr>
          <w:instrText xml:space="preserve"> PAGEREF _Toc50560067 \h </w:instrText>
        </w:r>
        <w:r>
          <w:rPr>
            <w:noProof/>
            <w:webHidden/>
          </w:rPr>
          <w:fldChar w:fldCharType="separate"/>
        </w:r>
        <w:r>
          <w:rPr>
            <w:noProof/>
            <w:webHidden/>
          </w:rPr>
          <w:t>9</w:t>
        </w:r>
        <w:r>
          <w:rPr>
            <w:noProof/>
            <w:webHidden/>
          </w:rPr>
          <w:fldChar w:fldCharType="end"/>
        </w:r>
      </w:hyperlink>
    </w:p>
    <w:p w:rsidR="00E075D1" w14:paraId="40C5A589" w14:textId="712DE163">
      <w:pPr>
        <w:pStyle w:val="TOC3"/>
        <w:tabs>
          <w:tab w:val="left" w:pos="2160"/>
        </w:tabs>
        <w:rPr>
          <w:rFonts w:asciiTheme="minorHAnsi" w:eastAsiaTheme="minorEastAsia" w:hAnsiTheme="minorHAnsi"/>
          <w:noProof/>
          <w:sz w:val="22"/>
          <w:szCs w:val="22"/>
        </w:rPr>
      </w:pPr>
      <w:hyperlink w:anchor="_Toc50560068" w:history="1">
        <w:r w:rsidRPr="00076020">
          <w:rPr>
            <w:rStyle w:val="Hyperlink"/>
            <w:rFonts w:cs="Times New Roman"/>
            <w:noProof/>
          </w:rPr>
          <w:t>1.</w:t>
        </w:r>
        <w:r>
          <w:rPr>
            <w:rFonts w:asciiTheme="minorHAnsi" w:eastAsiaTheme="minorEastAsia" w:hAnsiTheme="minorHAnsi"/>
            <w:noProof/>
            <w:sz w:val="22"/>
            <w:szCs w:val="22"/>
          </w:rPr>
          <w:tab/>
        </w:r>
        <w:r w:rsidRPr="00076020">
          <w:rPr>
            <w:rStyle w:val="Hyperlink"/>
            <w:rFonts w:cs="Times New Roman"/>
            <w:noProof/>
          </w:rPr>
          <w:t>To protect consumers, the PUCO should not allow AEP Ohio to charge consumers for additional D-SCADA.</w:t>
        </w:r>
        <w:r>
          <w:rPr>
            <w:noProof/>
            <w:webHidden/>
          </w:rPr>
          <w:tab/>
        </w:r>
        <w:r>
          <w:rPr>
            <w:noProof/>
            <w:webHidden/>
          </w:rPr>
          <w:fldChar w:fldCharType="begin"/>
        </w:r>
        <w:r>
          <w:rPr>
            <w:noProof/>
            <w:webHidden/>
          </w:rPr>
          <w:instrText xml:space="preserve"> PAGEREF _Toc50560068 \h </w:instrText>
        </w:r>
        <w:r>
          <w:rPr>
            <w:noProof/>
            <w:webHidden/>
          </w:rPr>
          <w:fldChar w:fldCharType="separate"/>
        </w:r>
        <w:r>
          <w:rPr>
            <w:noProof/>
            <w:webHidden/>
          </w:rPr>
          <w:t>9</w:t>
        </w:r>
        <w:r>
          <w:rPr>
            <w:noProof/>
            <w:webHidden/>
          </w:rPr>
          <w:fldChar w:fldCharType="end"/>
        </w:r>
      </w:hyperlink>
    </w:p>
    <w:p w:rsidR="00E075D1" w14:paraId="796C6184" w14:textId="088383AE">
      <w:pPr>
        <w:pStyle w:val="TOC3"/>
        <w:tabs>
          <w:tab w:val="left" w:pos="2160"/>
        </w:tabs>
        <w:rPr>
          <w:rFonts w:asciiTheme="minorHAnsi" w:eastAsiaTheme="minorEastAsia" w:hAnsiTheme="minorHAnsi"/>
          <w:noProof/>
          <w:sz w:val="22"/>
          <w:szCs w:val="22"/>
        </w:rPr>
      </w:pPr>
      <w:hyperlink w:anchor="_Toc50560069" w:history="1">
        <w:r w:rsidRPr="00076020">
          <w:rPr>
            <w:rStyle w:val="Hyperlink"/>
            <w:rFonts w:cs="Times New Roman"/>
            <w:noProof/>
          </w:rPr>
          <w:t>2.</w:t>
        </w:r>
        <w:r>
          <w:rPr>
            <w:rFonts w:asciiTheme="minorHAnsi" w:eastAsiaTheme="minorEastAsia" w:hAnsiTheme="minorHAnsi"/>
            <w:noProof/>
            <w:sz w:val="22"/>
            <w:szCs w:val="22"/>
          </w:rPr>
          <w:tab/>
        </w:r>
        <w:r w:rsidRPr="00076020">
          <w:rPr>
            <w:rStyle w:val="Hyperlink"/>
            <w:rFonts w:cs="Times New Roman"/>
            <w:noProof/>
          </w:rPr>
          <w:t>To protect consumers, the PUCO should not allow AEP Ohio to charge consumers for the installation of fiber optics that are not necessary for AEP Ohio to provide safe and reliable service.</w:t>
        </w:r>
        <w:r>
          <w:rPr>
            <w:noProof/>
            <w:webHidden/>
          </w:rPr>
          <w:tab/>
        </w:r>
        <w:r>
          <w:rPr>
            <w:noProof/>
            <w:webHidden/>
          </w:rPr>
          <w:fldChar w:fldCharType="begin"/>
        </w:r>
        <w:r>
          <w:rPr>
            <w:noProof/>
            <w:webHidden/>
          </w:rPr>
          <w:instrText xml:space="preserve"> PAGEREF _Toc50560069 \h </w:instrText>
        </w:r>
        <w:r>
          <w:rPr>
            <w:noProof/>
            <w:webHidden/>
          </w:rPr>
          <w:fldChar w:fldCharType="separate"/>
        </w:r>
        <w:r>
          <w:rPr>
            <w:noProof/>
            <w:webHidden/>
          </w:rPr>
          <w:t>10</w:t>
        </w:r>
        <w:r>
          <w:rPr>
            <w:noProof/>
            <w:webHidden/>
          </w:rPr>
          <w:fldChar w:fldCharType="end"/>
        </w:r>
      </w:hyperlink>
    </w:p>
    <w:p w:rsidR="00E075D1" w14:paraId="4DE6029B" w14:textId="15AF4129">
      <w:pPr>
        <w:pStyle w:val="TOC3"/>
        <w:tabs>
          <w:tab w:val="left" w:pos="2160"/>
        </w:tabs>
        <w:rPr>
          <w:rFonts w:asciiTheme="minorHAnsi" w:eastAsiaTheme="minorEastAsia" w:hAnsiTheme="minorHAnsi"/>
          <w:noProof/>
          <w:sz w:val="22"/>
          <w:szCs w:val="22"/>
        </w:rPr>
      </w:pPr>
      <w:hyperlink w:anchor="_Toc50560070" w:history="1">
        <w:r w:rsidRPr="00076020">
          <w:rPr>
            <w:rStyle w:val="Hyperlink"/>
            <w:rFonts w:cs="Times New Roman"/>
            <w:noProof/>
          </w:rPr>
          <w:t>3.</w:t>
        </w:r>
        <w:r>
          <w:rPr>
            <w:rFonts w:asciiTheme="minorHAnsi" w:eastAsiaTheme="minorEastAsia" w:hAnsiTheme="minorHAnsi"/>
            <w:noProof/>
            <w:sz w:val="22"/>
            <w:szCs w:val="22"/>
          </w:rPr>
          <w:tab/>
        </w:r>
        <w:r w:rsidRPr="00076020">
          <w:rPr>
            <w:rStyle w:val="Hyperlink"/>
            <w:rFonts w:cs="Times New Roman"/>
            <w:noProof/>
          </w:rPr>
          <w:t>To protect consumers, the PUCO should not allow AEP Ohio to charge consumers for a Distribution Line Sensors Demonstration.</w:t>
        </w:r>
        <w:r>
          <w:rPr>
            <w:noProof/>
            <w:webHidden/>
          </w:rPr>
          <w:tab/>
        </w:r>
        <w:r>
          <w:rPr>
            <w:noProof/>
            <w:webHidden/>
          </w:rPr>
          <w:fldChar w:fldCharType="begin"/>
        </w:r>
        <w:r>
          <w:rPr>
            <w:noProof/>
            <w:webHidden/>
          </w:rPr>
          <w:instrText xml:space="preserve"> PAGEREF _Toc50560070 \h </w:instrText>
        </w:r>
        <w:r>
          <w:rPr>
            <w:noProof/>
            <w:webHidden/>
          </w:rPr>
          <w:fldChar w:fldCharType="separate"/>
        </w:r>
        <w:r>
          <w:rPr>
            <w:noProof/>
            <w:webHidden/>
          </w:rPr>
          <w:t>12</w:t>
        </w:r>
        <w:r>
          <w:rPr>
            <w:noProof/>
            <w:webHidden/>
          </w:rPr>
          <w:fldChar w:fldCharType="end"/>
        </w:r>
      </w:hyperlink>
    </w:p>
    <w:p w:rsidR="00E075D1" w14:paraId="0BFEE5AE" w14:textId="0B20A8B8">
      <w:pPr>
        <w:pStyle w:val="TOC3"/>
        <w:tabs>
          <w:tab w:val="left" w:pos="2160"/>
        </w:tabs>
        <w:rPr>
          <w:rFonts w:asciiTheme="minorHAnsi" w:eastAsiaTheme="minorEastAsia" w:hAnsiTheme="minorHAnsi"/>
          <w:noProof/>
          <w:sz w:val="22"/>
          <w:szCs w:val="22"/>
        </w:rPr>
      </w:pPr>
      <w:hyperlink w:anchor="_Toc50560071" w:history="1">
        <w:r w:rsidRPr="00076020">
          <w:rPr>
            <w:rStyle w:val="Hyperlink"/>
            <w:rFonts w:cs="Times New Roman"/>
            <w:noProof/>
          </w:rPr>
          <w:t>4.</w:t>
        </w:r>
        <w:r>
          <w:rPr>
            <w:rFonts w:asciiTheme="minorHAnsi" w:eastAsiaTheme="minorEastAsia" w:hAnsiTheme="minorHAnsi"/>
            <w:noProof/>
            <w:sz w:val="22"/>
            <w:szCs w:val="22"/>
          </w:rPr>
          <w:tab/>
        </w:r>
        <w:r w:rsidRPr="00076020">
          <w:rPr>
            <w:rStyle w:val="Hyperlink"/>
            <w:rFonts w:cs="Times New Roman"/>
            <w:noProof/>
          </w:rPr>
          <w:t>To protect consumers, the PUCO should not allow AEP Ohio to charge consumers for an Enhanced VVO Pilot Program.</w:t>
        </w:r>
        <w:r>
          <w:rPr>
            <w:noProof/>
            <w:webHidden/>
          </w:rPr>
          <w:tab/>
        </w:r>
        <w:r>
          <w:rPr>
            <w:noProof/>
            <w:webHidden/>
          </w:rPr>
          <w:fldChar w:fldCharType="begin"/>
        </w:r>
        <w:r>
          <w:rPr>
            <w:noProof/>
            <w:webHidden/>
          </w:rPr>
          <w:instrText xml:space="preserve"> PAGEREF _Toc50560071 \h </w:instrText>
        </w:r>
        <w:r>
          <w:rPr>
            <w:noProof/>
            <w:webHidden/>
          </w:rPr>
          <w:fldChar w:fldCharType="separate"/>
        </w:r>
        <w:r>
          <w:rPr>
            <w:noProof/>
            <w:webHidden/>
          </w:rPr>
          <w:t>12</w:t>
        </w:r>
        <w:r>
          <w:rPr>
            <w:noProof/>
            <w:webHidden/>
          </w:rPr>
          <w:fldChar w:fldCharType="end"/>
        </w:r>
      </w:hyperlink>
    </w:p>
    <w:p w:rsidR="00E075D1" w14:paraId="4CBDF0DE" w14:textId="296A0202">
      <w:pPr>
        <w:pStyle w:val="TOC3"/>
        <w:tabs>
          <w:tab w:val="left" w:pos="2160"/>
        </w:tabs>
        <w:rPr>
          <w:rFonts w:asciiTheme="minorHAnsi" w:eastAsiaTheme="minorEastAsia" w:hAnsiTheme="minorHAnsi"/>
          <w:noProof/>
          <w:sz w:val="22"/>
          <w:szCs w:val="22"/>
        </w:rPr>
      </w:pPr>
      <w:hyperlink w:anchor="_Toc50560072" w:history="1">
        <w:r w:rsidRPr="00076020">
          <w:rPr>
            <w:rStyle w:val="Hyperlink"/>
            <w:rFonts w:cs="Times New Roman"/>
            <w:noProof/>
          </w:rPr>
          <w:t>5.</w:t>
        </w:r>
        <w:r>
          <w:rPr>
            <w:rFonts w:asciiTheme="minorHAnsi" w:eastAsiaTheme="minorEastAsia" w:hAnsiTheme="minorHAnsi"/>
            <w:noProof/>
            <w:sz w:val="22"/>
            <w:szCs w:val="22"/>
          </w:rPr>
          <w:tab/>
        </w:r>
        <w:r w:rsidRPr="00076020">
          <w:rPr>
            <w:rStyle w:val="Hyperlink"/>
            <w:rFonts w:cs="Times New Roman"/>
            <w:noProof/>
          </w:rPr>
          <w:t>To protect consumers, the PUCO should reject AEP Ohio’s “It’s Your Power” proposal.</w:t>
        </w:r>
        <w:r>
          <w:rPr>
            <w:noProof/>
            <w:webHidden/>
          </w:rPr>
          <w:tab/>
        </w:r>
        <w:r>
          <w:rPr>
            <w:noProof/>
            <w:webHidden/>
          </w:rPr>
          <w:fldChar w:fldCharType="begin"/>
        </w:r>
        <w:r>
          <w:rPr>
            <w:noProof/>
            <w:webHidden/>
          </w:rPr>
          <w:instrText xml:space="preserve"> PAGEREF _Toc50560072 \h </w:instrText>
        </w:r>
        <w:r>
          <w:rPr>
            <w:noProof/>
            <w:webHidden/>
          </w:rPr>
          <w:fldChar w:fldCharType="separate"/>
        </w:r>
        <w:r>
          <w:rPr>
            <w:noProof/>
            <w:webHidden/>
          </w:rPr>
          <w:t>13</w:t>
        </w:r>
        <w:r>
          <w:rPr>
            <w:noProof/>
            <w:webHidden/>
          </w:rPr>
          <w:fldChar w:fldCharType="end"/>
        </w:r>
      </w:hyperlink>
    </w:p>
    <w:p w:rsidR="00E075D1" w14:paraId="2DCE5861" w14:textId="7F98965F">
      <w:pPr>
        <w:pStyle w:val="TOC3"/>
        <w:tabs>
          <w:tab w:val="left" w:pos="2160"/>
        </w:tabs>
        <w:rPr>
          <w:rFonts w:asciiTheme="minorHAnsi" w:eastAsiaTheme="minorEastAsia" w:hAnsiTheme="minorHAnsi"/>
          <w:noProof/>
          <w:sz w:val="22"/>
          <w:szCs w:val="22"/>
        </w:rPr>
      </w:pPr>
      <w:hyperlink w:anchor="_Toc50560073" w:history="1">
        <w:r w:rsidRPr="00076020">
          <w:rPr>
            <w:rStyle w:val="Hyperlink"/>
            <w:rFonts w:cs="Times New Roman"/>
            <w:noProof/>
          </w:rPr>
          <w:t>6.</w:t>
        </w:r>
        <w:r>
          <w:rPr>
            <w:rFonts w:asciiTheme="minorHAnsi" w:eastAsiaTheme="minorEastAsia" w:hAnsiTheme="minorHAnsi"/>
            <w:noProof/>
            <w:sz w:val="22"/>
            <w:szCs w:val="22"/>
          </w:rPr>
          <w:tab/>
        </w:r>
        <w:r w:rsidRPr="00076020">
          <w:rPr>
            <w:rStyle w:val="Hyperlink"/>
            <w:rFonts w:cs="Times New Roman"/>
            <w:noProof/>
          </w:rPr>
          <w:t>To protect consumers, the PUCO should reject AEP Ohio’s proposal for expanding the functionality of customer usage information given to Marketers.</w:t>
        </w:r>
        <w:r>
          <w:rPr>
            <w:noProof/>
            <w:webHidden/>
          </w:rPr>
          <w:tab/>
        </w:r>
        <w:r>
          <w:rPr>
            <w:noProof/>
            <w:webHidden/>
          </w:rPr>
          <w:fldChar w:fldCharType="begin"/>
        </w:r>
        <w:r>
          <w:rPr>
            <w:noProof/>
            <w:webHidden/>
          </w:rPr>
          <w:instrText xml:space="preserve"> PAGEREF _Toc50560073 \h </w:instrText>
        </w:r>
        <w:r>
          <w:rPr>
            <w:noProof/>
            <w:webHidden/>
          </w:rPr>
          <w:fldChar w:fldCharType="separate"/>
        </w:r>
        <w:r>
          <w:rPr>
            <w:noProof/>
            <w:webHidden/>
          </w:rPr>
          <w:t>14</w:t>
        </w:r>
        <w:r>
          <w:rPr>
            <w:noProof/>
            <w:webHidden/>
          </w:rPr>
          <w:fldChar w:fldCharType="end"/>
        </w:r>
      </w:hyperlink>
    </w:p>
    <w:p w:rsidR="00E075D1" w14:paraId="60215202" w14:textId="503239E4">
      <w:pPr>
        <w:pStyle w:val="TOC3"/>
        <w:tabs>
          <w:tab w:val="left" w:pos="2160"/>
        </w:tabs>
        <w:rPr>
          <w:rFonts w:asciiTheme="minorHAnsi" w:eastAsiaTheme="minorEastAsia" w:hAnsiTheme="minorHAnsi"/>
          <w:noProof/>
          <w:sz w:val="22"/>
          <w:szCs w:val="22"/>
        </w:rPr>
      </w:pPr>
      <w:hyperlink w:anchor="_Toc50560074" w:history="1">
        <w:r w:rsidRPr="00076020">
          <w:rPr>
            <w:rStyle w:val="Hyperlink"/>
            <w:rFonts w:cs="Times New Roman"/>
            <w:noProof/>
          </w:rPr>
          <w:t>7.</w:t>
        </w:r>
        <w:r>
          <w:rPr>
            <w:rFonts w:asciiTheme="minorHAnsi" w:eastAsiaTheme="minorEastAsia" w:hAnsiTheme="minorHAnsi"/>
            <w:noProof/>
            <w:sz w:val="22"/>
            <w:szCs w:val="22"/>
          </w:rPr>
          <w:tab/>
        </w:r>
        <w:r w:rsidRPr="00076020">
          <w:rPr>
            <w:rStyle w:val="Hyperlink"/>
            <w:rFonts w:cs="Times New Roman"/>
            <w:noProof/>
          </w:rPr>
          <w:t>To protect consumers, the PUCO should reject AEP Ohio’s proposal to approve gridSMART Phase III without a hearing.</w:t>
        </w:r>
        <w:r>
          <w:rPr>
            <w:noProof/>
            <w:webHidden/>
          </w:rPr>
          <w:tab/>
        </w:r>
        <w:r>
          <w:rPr>
            <w:noProof/>
            <w:webHidden/>
          </w:rPr>
          <w:fldChar w:fldCharType="begin"/>
        </w:r>
        <w:r>
          <w:rPr>
            <w:noProof/>
            <w:webHidden/>
          </w:rPr>
          <w:instrText xml:space="preserve"> PAGEREF _Toc50560074 \h </w:instrText>
        </w:r>
        <w:r>
          <w:rPr>
            <w:noProof/>
            <w:webHidden/>
          </w:rPr>
          <w:fldChar w:fldCharType="separate"/>
        </w:r>
        <w:r>
          <w:rPr>
            <w:noProof/>
            <w:webHidden/>
          </w:rPr>
          <w:t>14</w:t>
        </w:r>
        <w:r>
          <w:rPr>
            <w:noProof/>
            <w:webHidden/>
          </w:rPr>
          <w:fldChar w:fldCharType="end"/>
        </w:r>
      </w:hyperlink>
    </w:p>
    <w:p w:rsidR="00E075D1" w14:paraId="79540F95" w14:textId="449C98DD">
      <w:pPr>
        <w:pStyle w:val="TOC1"/>
        <w:rPr>
          <w:rFonts w:asciiTheme="minorHAnsi" w:eastAsiaTheme="minorEastAsia" w:hAnsiTheme="minorHAnsi"/>
          <w:caps w:val="0"/>
          <w:noProof/>
          <w:sz w:val="22"/>
          <w:szCs w:val="22"/>
        </w:rPr>
      </w:pPr>
      <w:hyperlink w:anchor="_Toc50560075" w:history="1">
        <w:r w:rsidRPr="00076020">
          <w:rPr>
            <w:rStyle w:val="Hyperlink"/>
            <w:rFonts w:cs="Times New Roman"/>
            <w:noProof/>
          </w:rPr>
          <w:t>IV.</w:t>
        </w:r>
        <w:r>
          <w:rPr>
            <w:rFonts w:asciiTheme="minorHAnsi" w:eastAsiaTheme="minorEastAsia" w:hAnsiTheme="minorHAnsi"/>
            <w:caps w:val="0"/>
            <w:noProof/>
            <w:sz w:val="22"/>
            <w:szCs w:val="22"/>
          </w:rPr>
          <w:tab/>
        </w:r>
        <w:r w:rsidRPr="00076020">
          <w:rPr>
            <w:rStyle w:val="Hyperlink"/>
            <w:rFonts w:cs="Times New Roman"/>
            <w:noProof/>
          </w:rPr>
          <w:t>CONCLUSION</w:t>
        </w:r>
        <w:r>
          <w:rPr>
            <w:noProof/>
            <w:webHidden/>
          </w:rPr>
          <w:tab/>
        </w:r>
        <w:r>
          <w:rPr>
            <w:noProof/>
            <w:webHidden/>
          </w:rPr>
          <w:fldChar w:fldCharType="begin"/>
        </w:r>
        <w:r>
          <w:rPr>
            <w:noProof/>
            <w:webHidden/>
          </w:rPr>
          <w:instrText xml:space="preserve"> PAGEREF _Toc50560075 \h </w:instrText>
        </w:r>
        <w:r>
          <w:rPr>
            <w:noProof/>
            <w:webHidden/>
          </w:rPr>
          <w:fldChar w:fldCharType="separate"/>
        </w:r>
        <w:r>
          <w:rPr>
            <w:noProof/>
            <w:webHidden/>
          </w:rPr>
          <w:t>15</w:t>
        </w:r>
        <w:r>
          <w:rPr>
            <w:noProof/>
            <w:webHidden/>
          </w:rPr>
          <w:fldChar w:fldCharType="end"/>
        </w:r>
      </w:hyperlink>
    </w:p>
    <w:p w:rsidR="00412455" w:rsidRPr="00375AE2" w:rsidP="00412455" w14:paraId="5682B24D" w14:textId="28E6C6CF">
      <w:pPr>
        <w:jc w:val="center"/>
        <w:rPr>
          <w:rFonts w:cs="Times New Roman"/>
          <w:b/>
          <w:bCs/>
        </w:rPr>
      </w:pPr>
      <w:r w:rsidRPr="00375AE2">
        <w:rPr>
          <w:rFonts w:cs="Times New Roman"/>
          <w:b/>
          <w:bCs/>
        </w:rPr>
        <w:fldChar w:fldCharType="end"/>
      </w:r>
    </w:p>
    <w:p w:rsidR="00412455" w:rsidRPr="00375AE2" w:rsidP="00412455" w14:paraId="6EFF23B0" w14:textId="77777777">
      <w:pPr>
        <w:jc w:val="center"/>
        <w:rPr>
          <w:rFonts w:cs="Times New Roman"/>
          <w:b/>
          <w:bCs/>
        </w:rPr>
      </w:pPr>
    </w:p>
    <w:p w:rsidR="00412455" w:rsidRPr="00375AE2" w:rsidP="00412455" w14:paraId="4D091079" w14:textId="77777777">
      <w:pPr>
        <w:jc w:val="center"/>
        <w:rPr>
          <w:rFonts w:cs="Times New Roman"/>
          <w:b/>
          <w:bCs/>
        </w:rPr>
      </w:pPr>
    </w:p>
    <w:p w:rsidR="00412455" w:rsidRPr="00375AE2" w:rsidP="00412455" w14:paraId="6FC9BD68" w14:textId="77777777">
      <w:pPr>
        <w:jc w:val="center"/>
        <w:rPr>
          <w:rFonts w:cs="Times New Roman"/>
          <w:b/>
          <w:bCs/>
        </w:rPr>
      </w:pPr>
    </w:p>
    <w:p w:rsidR="00412455" w:rsidRPr="00375AE2" w:rsidP="00412455" w14:paraId="29743B9D" w14:textId="77777777">
      <w:pPr>
        <w:jc w:val="center"/>
        <w:rPr>
          <w:rFonts w:cs="Times New Roman"/>
          <w:b/>
          <w:bCs/>
        </w:rPr>
      </w:pPr>
    </w:p>
    <w:p w:rsidR="00412455" w:rsidRPr="00375AE2" w:rsidP="00412455" w14:paraId="6B1FC130" w14:textId="77777777">
      <w:pPr>
        <w:jc w:val="center"/>
        <w:rPr>
          <w:rFonts w:cs="Times New Roman"/>
          <w:b/>
          <w:bCs/>
        </w:rPr>
      </w:pPr>
    </w:p>
    <w:p w:rsidR="00E075D1" w:rsidP="00412455" w14:paraId="64D4921E" w14:textId="77777777">
      <w:pPr>
        <w:jc w:val="center"/>
        <w:rPr>
          <w:rFonts w:cs="Times New Roman"/>
          <w:b/>
          <w:bCs/>
        </w:rPr>
        <w:sectPr w:rsidSect="00412455">
          <w:footerReference w:type="default" r:id="rId9"/>
          <w:pgSz w:w="12240" w:h="15840"/>
          <w:pgMar w:top="1440" w:right="1800" w:bottom="1440" w:left="1800" w:header="720" w:footer="720" w:gutter="0"/>
          <w:pgNumType w:fmt="lowerRoman" w:start="1"/>
          <w:cols w:space="720"/>
          <w:docGrid w:linePitch="360"/>
        </w:sectPr>
      </w:pPr>
    </w:p>
    <w:p w:rsidR="00D34811" w:rsidRPr="00375AE2" w:rsidP="00D34811" w14:paraId="787E1153" w14:textId="77777777">
      <w:pPr>
        <w:pStyle w:val="HTMLPreformatted"/>
        <w:jc w:val="center"/>
        <w:rPr>
          <w:rFonts w:ascii="Times New Roman" w:hAnsi="Times New Roman" w:cs="Times New Roman"/>
          <w:b/>
          <w:bCs/>
          <w:sz w:val="24"/>
          <w:szCs w:val="24"/>
        </w:rPr>
      </w:pPr>
      <w:r w:rsidRPr="00375AE2">
        <w:rPr>
          <w:rFonts w:ascii="Times New Roman" w:hAnsi="Times New Roman" w:cs="Times New Roman"/>
          <w:b/>
          <w:bCs/>
          <w:sz w:val="24"/>
          <w:szCs w:val="24"/>
        </w:rPr>
        <w:t>BEFORE</w:t>
      </w:r>
    </w:p>
    <w:p w:rsidR="00D34811" w:rsidRPr="00375AE2" w:rsidP="00D34811" w14:paraId="176BA2FA" w14:textId="77777777">
      <w:pPr>
        <w:pStyle w:val="HTMLPreformatted"/>
        <w:jc w:val="center"/>
        <w:rPr>
          <w:rFonts w:ascii="Times New Roman" w:hAnsi="Times New Roman" w:cs="Times New Roman"/>
          <w:b/>
          <w:bCs/>
          <w:sz w:val="24"/>
          <w:szCs w:val="24"/>
        </w:rPr>
      </w:pPr>
      <w:r w:rsidRPr="00375AE2">
        <w:rPr>
          <w:rFonts w:ascii="Times New Roman" w:hAnsi="Times New Roman" w:cs="Times New Roman"/>
          <w:b/>
          <w:bCs/>
          <w:sz w:val="24"/>
          <w:szCs w:val="24"/>
        </w:rPr>
        <w:t>THE PUBLIC UTILITIES COMMISSION OF OHIO</w:t>
      </w:r>
    </w:p>
    <w:p w:rsidR="00580848" w:rsidRPr="00375AE2" w:rsidP="00580848" w14:paraId="1758142F" w14:textId="77777777">
      <w:pPr>
        <w:pStyle w:val="HTMLPreformatted"/>
        <w:rPr>
          <w:rFonts w:ascii="Times New Roman" w:hAnsi="Times New Roman" w:cs="Times New Roman"/>
          <w:sz w:val="24"/>
          <w:szCs w:val="24"/>
        </w:rPr>
      </w:pPr>
    </w:p>
    <w:tbl>
      <w:tblPr>
        <w:tblW w:w="9818" w:type="dxa"/>
        <w:tblLook w:val="01E0"/>
      </w:tblPr>
      <w:tblGrid>
        <w:gridCol w:w="5058"/>
        <w:gridCol w:w="360"/>
        <w:gridCol w:w="4400"/>
      </w:tblGrid>
      <w:tr w14:paraId="3F5FE55C" w14:textId="77777777" w:rsidTr="00884997">
        <w:tblPrEx>
          <w:tblW w:w="9818" w:type="dxa"/>
          <w:tblLook w:val="01E0"/>
        </w:tblPrEx>
        <w:trPr>
          <w:trHeight w:val="807"/>
        </w:trPr>
        <w:tc>
          <w:tcPr>
            <w:tcW w:w="5058" w:type="dxa"/>
            <w:shd w:val="clear" w:color="auto" w:fill="auto"/>
          </w:tcPr>
          <w:p w:rsidR="00580848" w:rsidRPr="00375AE2" w:rsidP="00580848" w14:paraId="290B0DDE" w14:textId="77777777">
            <w:pPr>
              <w:autoSpaceDE w:val="0"/>
              <w:autoSpaceDN w:val="0"/>
              <w:adjustRightInd w:val="0"/>
              <w:rPr>
                <w:rFonts w:cs="Times New Roman"/>
              </w:rPr>
            </w:pPr>
            <w:r w:rsidRPr="00375AE2">
              <w:rPr>
                <w:rFonts w:cs="Times New Roman"/>
              </w:rPr>
              <w:t>In the Matter of the Application of Ohio Power Company to Initiate its gridSMART Phase 3 Project.</w:t>
            </w:r>
          </w:p>
        </w:tc>
        <w:tc>
          <w:tcPr>
            <w:tcW w:w="360" w:type="dxa"/>
            <w:shd w:val="clear" w:color="auto" w:fill="auto"/>
          </w:tcPr>
          <w:p w:rsidR="00580848" w:rsidRPr="00375AE2" w:rsidP="00884997" w14:paraId="281FB95E" w14:textId="77777777">
            <w:pPr>
              <w:pStyle w:val="HTMLPreformatted"/>
              <w:rPr>
                <w:rFonts w:ascii="Times New Roman" w:hAnsi="Times New Roman" w:cs="Times New Roman"/>
                <w:sz w:val="24"/>
                <w:szCs w:val="24"/>
              </w:rPr>
            </w:pPr>
            <w:r w:rsidRPr="00375AE2">
              <w:rPr>
                <w:rFonts w:ascii="Times New Roman" w:hAnsi="Times New Roman" w:cs="Times New Roman"/>
                <w:sz w:val="24"/>
                <w:szCs w:val="24"/>
              </w:rPr>
              <w:t>)</w:t>
            </w:r>
          </w:p>
          <w:p w:rsidR="00580848" w:rsidRPr="00375AE2" w:rsidP="00884997" w14:paraId="64171C12" w14:textId="77777777">
            <w:pPr>
              <w:pStyle w:val="HTMLPreformatted"/>
              <w:rPr>
                <w:rFonts w:ascii="Times New Roman" w:hAnsi="Times New Roman" w:cs="Times New Roman"/>
                <w:sz w:val="24"/>
                <w:szCs w:val="24"/>
              </w:rPr>
            </w:pPr>
            <w:r w:rsidRPr="00375AE2">
              <w:rPr>
                <w:rFonts w:ascii="Times New Roman" w:hAnsi="Times New Roman" w:cs="Times New Roman"/>
                <w:sz w:val="24"/>
                <w:szCs w:val="24"/>
              </w:rPr>
              <w:t>)</w:t>
            </w:r>
          </w:p>
          <w:p w:rsidR="00580848" w:rsidRPr="00375AE2" w:rsidP="00580848" w14:paraId="659CBEF8" w14:textId="77777777">
            <w:pPr>
              <w:pStyle w:val="HTMLPreformatted"/>
              <w:rPr>
                <w:rFonts w:ascii="Times New Roman" w:hAnsi="Times New Roman" w:cs="Times New Roman"/>
                <w:sz w:val="24"/>
                <w:szCs w:val="24"/>
              </w:rPr>
            </w:pPr>
            <w:r w:rsidRPr="00375AE2">
              <w:rPr>
                <w:rFonts w:ascii="Times New Roman" w:hAnsi="Times New Roman" w:cs="Times New Roman"/>
                <w:sz w:val="24"/>
                <w:szCs w:val="24"/>
              </w:rPr>
              <w:t>)</w:t>
            </w:r>
          </w:p>
        </w:tc>
        <w:tc>
          <w:tcPr>
            <w:tcW w:w="4400" w:type="dxa"/>
            <w:shd w:val="clear" w:color="auto" w:fill="auto"/>
          </w:tcPr>
          <w:p w:rsidR="00580848" w:rsidRPr="00375AE2" w:rsidP="00884997" w14:paraId="49572787" w14:textId="77777777">
            <w:pPr>
              <w:pStyle w:val="HTMLPreformatted"/>
              <w:rPr>
                <w:rFonts w:ascii="Times New Roman" w:hAnsi="Times New Roman" w:cs="Times New Roman"/>
                <w:sz w:val="24"/>
                <w:szCs w:val="24"/>
              </w:rPr>
            </w:pPr>
          </w:p>
          <w:p w:rsidR="00580848" w:rsidRPr="00375AE2" w:rsidP="00884997" w14:paraId="2F94546A" w14:textId="77777777">
            <w:pPr>
              <w:rPr>
                <w:rFonts w:cs="Times New Roman"/>
                <w:i/>
              </w:rPr>
            </w:pPr>
            <w:r w:rsidRPr="00375AE2">
              <w:rPr>
                <w:rFonts w:cs="Times New Roman"/>
              </w:rPr>
              <w:t>Case No. 19-1475-EL-RDR</w:t>
            </w:r>
          </w:p>
          <w:p w:rsidR="00580848" w:rsidRPr="00375AE2" w:rsidP="00884997" w14:paraId="68772F56" w14:textId="77777777">
            <w:pPr>
              <w:pStyle w:val="HTMLPreformatted"/>
              <w:rPr>
                <w:rFonts w:ascii="Times New Roman" w:hAnsi="Times New Roman" w:cs="Times New Roman"/>
                <w:sz w:val="24"/>
                <w:szCs w:val="24"/>
              </w:rPr>
            </w:pPr>
          </w:p>
        </w:tc>
      </w:tr>
    </w:tbl>
    <w:p w:rsidR="00957B97" w:rsidRPr="00375AE2" w:rsidP="00957B97" w14:paraId="5CEEE292" w14:textId="77777777">
      <w:pPr>
        <w:spacing w:before="2"/>
        <w:rPr>
          <w:rFonts w:cs="Times New Roman"/>
        </w:rPr>
      </w:pPr>
      <w:r w:rsidRPr="00375AE2">
        <w:rPr>
          <w:rFonts w:cs="Times New Roman"/>
        </w:rPr>
        <w:t>________________________________________________________________________</w:t>
      </w:r>
    </w:p>
    <w:p w:rsidR="00957B97" w:rsidRPr="00375AE2" w:rsidP="00957B97" w14:paraId="5376E74F" w14:textId="77777777">
      <w:pPr>
        <w:spacing w:before="2"/>
        <w:rPr>
          <w:rFonts w:eastAsia="Times New Roman" w:cs="Times New Roman"/>
        </w:rPr>
      </w:pPr>
    </w:p>
    <w:p w:rsidR="00957B97" w:rsidRPr="00375AE2" w:rsidP="00412455" w14:paraId="1394AD99" w14:textId="77777777">
      <w:pPr>
        <w:jc w:val="center"/>
        <w:rPr>
          <w:rFonts w:cs="Times New Roman"/>
          <w:b/>
          <w:bCs/>
          <w:w w:val="99"/>
        </w:rPr>
      </w:pPr>
      <w:r w:rsidRPr="00375AE2">
        <w:rPr>
          <w:rFonts w:cs="Times New Roman"/>
          <w:b/>
          <w:bCs/>
          <w:w w:val="99"/>
        </w:rPr>
        <w:t>COMMENTS</w:t>
      </w:r>
    </w:p>
    <w:p w:rsidR="00957B97" w:rsidRPr="00375AE2" w:rsidP="00957B97" w14:paraId="49D48FA3" w14:textId="77777777">
      <w:pPr>
        <w:jc w:val="center"/>
        <w:rPr>
          <w:rFonts w:eastAsia="Times New Roman" w:cs="Times New Roman"/>
        </w:rPr>
      </w:pPr>
      <w:r w:rsidRPr="00375AE2">
        <w:rPr>
          <w:rFonts w:cs="Times New Roman"/>
          <w:b/>
        </w:rPr>
        <w:t>BY</w:t>
      </w:r>
    </w:p>
    <w:p w:rsidR="00957B97" w:rsidRPr="00375AE2" w:rsidP="00957B97" w14:paraId="7A973DDF" w14:textId="77777777">
      <w:pPr>
        <w:jc w:val="center"/>
        <w:rPr>
          <w:rFonts w:eastAsia="Times New Roman" w:cs="Times New Roman"/>
        </w:rPr>
      </w:pPr>
      <w:r w:rsidRPr="00375AE2">
        <w:rPr>
          <w:rFonts w:eastAsia="Times New Roman" w:cs="Times New Roman"/>
          <w:b/>
          <w:bCs/>
        </w:rPr>
        <w:t>THE</w:t>
      </w:r>
      <w:r w:rsidRPr="00375AE2">
        <w:rPr>
          <w:rFonts w:eastAsia="Times New Roman" w:cs="Times New Roman"/>
          <w:b/>
          <w:bCs/>
          <w:spacing w:val="-9"/>
        </w:rPr>
        <w:t xml:space="preserve"> </w:t>
      </w:r>
      <w:r w:rsidRPr="00375AE2">
        <w:rPr>
          <w:rFonts w:eastAsia="Times New Roman" w:cs="Times New Roman"/>
          <w:b/>
          <w:bCs/>
          <w:spacing w:val="-2"/>
        </w:rPr>
        <w:t>OFFICE</w:t>
      </w:r>
      <w:r w:rsidRPr="00375AE2">
        <w:rPr>
          <w:rFonts w:eastAsia="Times New Roman" w:cs="Times New Roman"/>
          <w:b/>
          <w:bCs/>
          <w:spacing w:val="-9"/>
        </w:rPr>
        <w:t xml:space="preserve"> </w:t>
      </w:r>
      <w:r w:rsidRPr="00375AE2">
        <w:rPr>
          <w:rFonts w:eastAsia="Times New Roman" w:cs="Times New Roman"/>
          <w:b/>
          <w:bCs/>
          <w:spacing w:val="1"/>
        </w:rPr>
        <w:t>OF</w:t>
      </w:r>
      <w:r w:rsidRPr="00375AE2">
        <w:rPr>
          <w:rFonts w:eastAsia="Times New Roman" w:cs="Times New Roman"/>
          <w:b/>
          <w:bCs/>
          <w:spacing w:val="-12"/>
        </w:rPr>
        <w:t xml:space="preserve"> </w:t>
      </w:r>
      <w:r w:rsidRPr="00375AE2">
        <w:rPr>
          <w:rFonts w:eastAsia="Times New Roman" w:cs="Times New Roman"/>
          <w:b/>
          <w:bCs/>
        </w:rPr>
        <w:t>THE</w:t>
      </w:r>
      <w:r w:rsidRPr="00375AE2">
        <w:rPr>
          <w:rFonts w:eastAsia="Times New Roman" w:cs="Times New Roman"/>
          <w:b/>
          <w:bCs/>
          <w:spacing w:val="-8"/>
        </w:rPr>
        <w:t xml:space="preserve"> </w:t>
      </w:r>
      <w:r w:rsidRPr="00375AE2">
        <w:rPr>
          <w:rFonts w:eastAsia="Times New Roman" w:cs="Times New Roman"/>
          <w:b/>
          <w:bCs/>
        </w:rPr>
        <w:t>OHIO</w:t>
      </w:r>
      <w:r w:rsidRPr="00375AE2">
        <w:rPr>
          <w:rFonts w:eastAsia="Times New Roman" w:cs="Times New Roman"/>
          <w:b/>
          <w:bCs/>
          <w:spacing w:val="-10"/>
        </w:rPr>
        <w:t xml:space="preserve"> </w:t>
      </w:r>
      <w:r w:rsidRPr="00375AE2">
        <w:rPr>
          <w:rFonts w:eastAsia="Times New Roman" w:cs="Times New Roman"/>
          <w:b/>
          <w:bCs/>
          <w:spacing w:val="-1"/>
        </w:rPr>
        <w:t>CONSUMERS’</w:t>
      </w:r>
      <w:r w:rsidRPr="00375AE2">
        <w:rPr>
          <w:rFonts w:eastAsia="Times New Roman" w:cs="Times New Roman"/>
          <w:b/>
          <w:bCs/>
          <w:spacing w:val="-10"/>
        </w:rPr>
        <w:t xml:space="preserve"> </w:t>
      </w:r>
      <w:r w:rsidRPr="00375AE2">
        <w:rPr>
          <w:rFonts w:eastAsia="Times New Roman" w:cs="Times New Roman"/>
          <w:b/>
          <w:bCs/>
          <w:spacing w:val="-1"/>
        </w:rPr>
        <w:t>COUNSEL</w:t>
      </w:r>
    </w:p>
    <w:p w:rsidR="00957B97" w:rsidRPr="00375AE2" w:rsidP="00957B97" w14:paraId="172D962A" w14:textId="77777777">
      <w:pPr>
        <w:spacing w:before="1"/>
        <w:rPr>
          <w:rFonts w:eastAsia="Times New Roman" w:cs="Times New Roman"/>
          <w:b/>
          <w:bCs/>
        </w:rPr>
      </w:pPr>
    </w:p>
    <w:p w:rsidR="00957B97" w:rsidRPr="00375AE2" w:rsidP="00957B97" w14:paraId="4AE6905D" w14:textId="77777777">
      <w:pPr>
        <w:spacing w:line="20" w:lineRule="atLeast"/>
        <w:ind w:left="103"/>
        <w:rPr>
          <w:rFonts w:eastAsia="Times New Roman" w:cs="Times New Roman"/>
        </w:rPr>
      </w:pPr>
      <w:r w:rsidRPr="00375AE2">
        <w:rPr>
          <w:rFonts w:cs="Times New Roman"/>
          <w:noProof/>
        </w:rPr>
        <mc:AlternateContent>
          <mc:Choice Requires="wpg">
            <w:drawing>
              <wp:inline distT="0" distB="0" distL="0" distR="0">
                <wp:extent cx="5533390" cy="10795"/>
                <wp:effectExtent l="8255" t="635" r="1905" b="762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533390" cy="10795"/>
                          <a:chOff x="0" y="0"/>
                          <a:chExt cx="8714" cy="17"/>
                        </a:xfrm>
                      </wpg:grpSpPr>
                      <wpg:grpSp>
                        <wpg:cNvPr id="2" name="Group 3"/>
                        <wpg:cNvGrpSpPr/>
                        <wpg:grpSpPr>
                          <a:xfrm>
                            <a:off x="8" y="8"/>
                            <a:ext cx="8698" cy="2"/>
                            <a:chOff x="8" y="8"/>
                            <a:chExt cx="8698" cy="2"/>
                          </a:xfrm>
                        </wpg:grpSpPr>
                        <wps:wsp xmlns:wps="http://schemas.microsoft.com/office/word/2010/wordprocessingShape">
                          <wps:cNvPr id="3" name="Freeform 4"/>
                          <wps:cNvSpPr/>
                          <wps:spPr bwMode="auto">
                            <a:xfrm>
                              <a:off x="8" y="8"/>
                              <a:ext cx="8698" cy="2"/>
                            </a:xfrm>
                            <a:custGeom>
                              <a:avLst/>
                              <a:gdLst>
                                <a:gd name="T0" fmla="+- 0 8 8"/>
                                <a:gd name="T1" fmla="*/ T0 w 8698"/>
                                <a:gd name="T2" fmla="+- 0 8706 8"/>
                                <a:gd name="T3" fmla="*/ T2 w 8698"/>
                              </a:gdLst>
                              <a:rect l="0" t="0" r="r" b="b"/>
                              <a:pathLst>
                                <a:path fill="norm" w="8698" stroke="1">
                                  <a:moveTo>
                                    <a:pt x="0" y="0"/>
                                  </a:moveTo>
                                  <a:lnTo>
                                    <a:pt x="8698"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id="Group 1" o:spid="_x0000_i1028" style="width:435.7pt;height:0.85pt;mso-position-horizontal-relative:char;mso-position-vertical-relative:line" coordsize="8714,17">
                <v:group id="Group 3" o:spid="_x0000_s1029" style="width:8698;height:2;left:8;position:absolute;top:8" coordorigin="8,8" coordsize="8698,2">
                  <v:shape id="Freeform 4" o:spid="_x0000_s1030" style="width:8698;height:2;left:8;mso-wrap-style:square;position:absolute;top:8;visibility:visible;v-text-anchor:top" coordsize="8698,2" path="m,l8698,e" filled="f" strokeweight="0.82pt">
                    <v:path arrowok="t" o:connecttype="custom" o:connectlocs="0,0;8698,0" o:connectangles="0,0"/>
                  </v:shape>
                </v:group>
                <w10:wrap type="none"/>
                <w10:anchorlock/>
              </v:group>
            </w:pict>
          </mc:Fallback>
        </mc:AlternateContent>
      </w:r>
    </w:p>
    <w:p w:rsidR="00957B97" w:rsidRPr="00375AE2" w:rsidP="00957B97" w14:paraId="0A3D2817" w14:textId="77777777">
      <w:pPr>
        <w:spacing w:before="1"/>
        <w:rPr>
          <w:rFonts w:eastAsia="Times New Roman" w:cs="Times New Roman"/>
          <w:b/>
          <w:bCs/>
        </w:rPr>
      </w:pPr>
    </w:p>
    <w:p w:rsidR="00412455" w:rsidRPr="00375AE2" w:rsidP="00412455" w14:paraId="6737A7D6" w14:textId="77777777">
      <w:pPr>
        <w:pStyle w:val="Heading1"/>
        <w:rPr>
          <w:rFonts w:ascii="Times New Roman" w:hAnsi="Times New Roman" w:cs="Times New Roman"/>
          <w:szCs w:val="24"/>
        </w:rPr>
      </w:pPr>
      <w:bookmarkStart w:id="1" w:name="_Toc49953916"/>
      <w:bookmarkStart w:id="2" w:name="_Toc50560060"/>
      <w:r w:rsidRPr="00375AE2">
        <w:rPr>
          <w:rFonts w:ascii="Times New Roman" w:hAnsi="Times New Roman" w:cs="Times New Roman"/>
          <w:szCs w:val="24"/>
        </w:rPr>
        <w:t>I.</w:t>
      </w:r>
      <w:r w:rsidRPr="00375AE2">
        <w:rPr>
          <w:rFonts w:ascii="Times New Roman" w:hAnsi="Times New Roman" w:cs="Times New Roman"/>
          <w:szCs w:val="24"/>
        </w:rPr>
        <w:tab/>
        <w:t>INTRODUCTION</w:t>
      </w:r>
      <w:bookmarkEnd w:id="1"/>
      <w:bookmarkEnd w:id="2"/>
    </w:p>
    <w:p w:rsidR="00412455" w:rsidRPr="00375AE2" w:rsidP="00412455" w14:paraId="5D2EA065" w14:textId="6E4639AE">
      <w:pPr>
        <w:spacing w:line="480" w:lineRule="auto"/>
        <w:rPr>
          <w:rFonts w:cs="Times New Roman"/>
        </w:rPr>
      </w:pPr>
      <w:r w:rsidRPr="00375AE2">
        <w:rPr>
          <w:rFonts w:cs="Times New Roman"/>
        </w:rPr>
        <w:tab/>
        <w:t>While Ohioans’ health and financial well-being is suffering due to the coronavirus pandemic, AEP Ohio is looking to spend another billion dollars on so-called smart grid technologies.</w:t>
      </w:r>
      <w:r>
        <w:rPr>
          <w:rStyle w:val="FootnoteReference"/>
          <w:rFonts w:cs="Times New Roman"/>
        </w:rPr>
        <w:footnoteReference w:id="2"/>
      </w:r>
      <w:r w:rsidRPr="00375AE2">
        <w:rPr>
          <w:rFonts w:cs="Times New Roman"/>
        </w:rPr>
        <w:t xml:space="preserve">  That is too much money to charge Ohioans, especially during the pandemic.  </w:t>
      </w:r>
      <w:r w:rsidRPr="00375AE2" w:rsidR="00B30987">
        <w:rPr>
          <w:rFonts w:cs="Times New Roman"/>
        </w:rPr>
        <w:t>Further,</w:t>
      </w:r>
      <w:r w:rsidRPr="00375AE2">
        <w:rPr>
          <w:rFonts w:cs="Times New Roman"/>
        </w:rPr>
        <w:t xml:space="preserve"> AEP Ohio’s historical spending on smart grid technologies – approximately $700 million -- has not delivered</w:t>
      </w:r>
      <w:r w:rsidRPr="00375AE2" w:rsidR="00B30987">
        <w:rPr>
          <w:rFonts w:cs="Times New Roman"/>
        </w:rPr>
        <w:t xml:space="preserve"> the benefits and technological innovations</w:t>
      </w:r>
      <w:r w:rsidRPr="00375AE2">
        <w:rPr>
          <w:rFonts w:cs="Times New Roman"/>
        </w:rPr>
        <w:t xml:space="preserve"> </w:t>
      </w:r>
      <w:r w:rsidRPr="00375AE2" w:rsidR="00B30987">
        <w:rPr>
          <w:rFonts w:cs="Times New Roman"/>
        </w:rPr>
        <w:t>t</w:t>
      </w:r>
      <w:r w:rsidRPr="00375AE2">
        <w:rPr>
          <w:rFonts w:cs="Times New Roman"/>
        </w:rPr>
        <w:t xml:space="preserve">hat AEP Ohio has promised.  </w:t>
      </w:r>
      <w:r w:rsidRPr="00375AE2" w:rsidR="00B30987">
        <w:rPr>
          <w:rFonts w:cs="Times New Roman"/>
        </w:rPr>
        <w:t xml:space="preserve">Unfortunately, </w:t>
      </w:r>
      <w:r w:rsidRPr="00375AE2">
        <w:rPr>
          <w:rFonts w:cs="Times New Roman"/>
        </w:rPr>
        <w:t>AEP Ohio’s customers have and are paying all of that money</w:t>
      </w:r>
      <w:r w:rsidRPr="00375AE2" w:rsidR="00B30987">
        <w:rPr>
          <w:rFonts w:cs="Times New Roman"/>
        </w:rPr>
        <w:t xml:space="preserve"> for smart grid technologies </w:t>
      </w:r>
      <w:r w:rsidRPr="00375AE2" w:rsidR="00AF3D31">
        <w:rPr>
          <w:rFonts w:cs="Times New Roman"/>
        </w:rPr>
        <w:t>that</w:t>
      </w:r>
      <w:r w:rsidRPr="00375AE2" w:rsidR="00B30987">
        <w:rPr>
          <w:rFonts w:cs="Times New Roman"/>
        </w:rPr>
        <w:t xml:space="preserve"> </w:t>
      </w:r>
      <w:r w:rsidRPr="00375AE2" w:rsidR="00D16727">
        <w:rPr>
          <w:rFonts w:cs="Times New Roman"/>
        </w:rPr>
        <w:t>we</w:t>
      </w:r>
      <w:r w:rsidRPr="00375AE2" w:rsidR="00B30987">
        <w:rPr>
          <w:rFonts w:cs="Times New Roman"/>
        </w:rPr>
        <w:t>re touted to improve system reliability</w:t>
      </w:r>
      <w:r w:rsidRPr="00375AE2">
        <w:rPr>
          <w:rFonts w:cs="Times New Roman"/>
        </w:rPr>
        <w:t xml:space="preserve">, </w:t>
      </w:r>
      <w:r w:rsidRPr="00375AE2" w:rsidR="00D16727">
        <w:rPr>
          <w:rFonts w:cs="Times New Roman"/>
        </w:rPr>
        <w:t>but instead</w:t>
      </w:r>
      <w:r w:rsidRPr="00375AE2">
        <w:rPr>
          <w:rFonts w:cs="Times New Roman"/>
        </w:rPr>
        <w:t xml:space="preserve"> AEP Ohio’s reliability has gone down.  It is time to put the </w:t>
      </w:r>
      <w:r w:rsidRPr="00375AE2" w:rsidR="00E91B44">
        <w:rPr>
          <w:rFonts w:cs="Times New Roman"/>
        </w:rPr>
        <w:t>brakes</w:t>
      </w:r>
      <w:r w:rsidRPr="00375AE2">
        <w:rPr>
          <w:rFonts w:cs="Times New Roman"/>
        </w:rPr>
        <w:t xml:space="preserve"> on AEP Ohio’s out-of-control spending on smart grid.  To protect consumers, the PUCO should reject AEP Ohio’s smart grid plans.</w:t>
      </w:r>
    </w:p>
    <w:p w:rsidR="00412455" w:rsidRPr="00375AE2" w:rsidP="00412455" w14:paraId="60CC32DB" w14:textId="77777777">
      <w:pPr>
        <w:rPr>
          <w:rFonts w:cs="Times New Roman"/>
        </w:rPr>
      </w:pPr>
    </w:p>
    <w:p w:rsidR="00412455" w:rsidRPr="00375AE2" w:rsidP="00412455" w14:paraId="14C7F88B" w14:textId="77777777">
      <w:pPr>
        <w:pStyle w:val="Heading1"/>
        <w:rPr>
          <w:rFonts w:ascii="Times New Roman" w:hAnsi="Times New Roman" w:cs="Times New Roman"/>
          <w:szCs w:val="24"/>
        </w:rPr>
      </w:pPr>
      <w:bookmarkStart w:id="3" w:name="_Toc49953917"/>
      <w:bookmarkStart w:id="4" w:name="_Toc50560061"/>
      <w:r w:rsidRPr="00375AE2">
        <w:rPr>
          <w:rFonts w:ascii="Times New Roman" w:hAnsi="Times New Roman" w:cs="Times New Roman"/>
          <w:szCs w:val="24"/>
        </w:rPr>
        <w:t>II.</w:t>
      </w:r>
      <w:r w:rsidRPr="00375AE2">
        <w:rPr>
          <w:rFonts w:ascii="Times New Roman" w:hAnsi="Times New Roman" w:cs="Times New Roman"/>
          <w:szCs w:val="24"/>
        </w:rPr>
        <w:tab/>
        <w:t>BACKGROUND</w:t>
      </w:r>
      <w:bookmarkEnd w:id="3"/>
      <w:bookmarkEnd w:id="4"/>
    </w:p>
    <w:p w:rsidR="00412455" w:rsidRPr="00375AE2" w:rsidP="00412455" w14:paraId="56969F12" w14:textId="6C23BE1B">
      <w:pPr>
        <w:spacing w:line="480" w:lineRule="auto"/>
        <w:ind w:firstLine="720"/>
        <w:rPr>
          <w:rFonts w:cs="Times New Roman"/>
        </w:rPr>
      </w:pPr>
      <w:r w:rsidRPr="00375AE2">
        <w:rPr>
          <w:rFonts w:cs="Times New Roman"/>
        </w:rPr>
        <w:t>In its application for gridSMART Phase III, AEP Ohio seeks to continue and expand smart grid technologies started as part of gridSMART Phases I and II.  AEP Ohio proposes to expand Distribution Automation Circuit Reconfiguration (“DACR”) technology to an additional 416 distribution circuits.</w:t>
      </w:r>
      <w:r>
        <w:rPr>
          <w:rStyle w:val="FootnoteReference"/>
          <w:rFonts w:cs="Times New Roman"/>
        </w:rPr>
        <w:footnoteReference w:id="3"/>
      </w:r>
      <w:r w:rsidRPr="00375AE2">
        <w:rPr>
          <w:rFonts w:cs="Times New Roman"/>
        </w:rPr>
        <w:t xml:space="preserve"> AEP Ohio also proposes completing the deployment of Advanced Metering Infrastructure (so-called “smart meters”) to an additional 475,000 customers.</w:t>
      </w:r>
      <w:r>
        <w:rPr>
          <w:rStyle w:val="FootnoteReference"/>
          <w:rFonts w:cs="Times New Roman"/>
        </w:rPr>
        <w:footnoteReference w:id="4"/>
      </w:r>
      <w:r w:rsidRPr="00375AE2">
        <w:rPr>
          <w:rFonts w:cs="Times New Roman"/>
        </w:rPr>
        <w:t xml:space="preserve"> AEP Ohio further proposes to expand</w:t>
      </w:r>
      <w:r w:rsidRPr="00375AE2" w:rsidR="00866DEB">
        <w:rPr>
          <w:rFonts w:cs="Times New Roman"/>
        </w:rPr>
        <w:t xml:space="preserve">, by an additional 492 circuits, </w:t>
      </w:r>
      <w:r w:rsidRPr="00375AE2">
        <w:rPr>
          <w:rFonts w:cs="Times New Roman"/>
        </w:rPr>
        <w:t>the number of distribution circuits with Volt-Var Optimization (“VVO”) technology</w:t>
      </w:r>
      <w:r w:rsidRPr="00375AE2" w:rsidR="00866DEB">
        <w:rPr>
          <w:rFonts w:cs="Times New Roman"/>
        </w:rPr>
        <w:t>.</w:t>
      </w:r>
      <w:r>
        <w:rPr>
          <w:rStyle w:val="FootnoteReference"/>
          <w:rFonts w:cs="Times New Roman"/>
        </w:rPr>
        <w:footnoteReference w:id="5"/>
      </w:r>
    </w:p>
    <w:p w:rsidR="00412455" w:rsidRPr="00375AE2" w:rsidP="00412455" w14:paraId="6B6166AE" w14:textId="324104E6">
      <w:pPr>
        <w:spacing w:line="480" w:lineRule="auto"/>
        <w:ind w:firstLine="720"/>
        <w:rPr>
          <w:rFonts w:cs="Times New Roman"/>
        </w:rPr>
      </w:pPr>
      <w:r w:rsidRPr="00375AE2">
        <w:rPr>
          <w:rFonts w:cs="Times New Roman"/>
        </w:rPr>
        <w:t>But AEP Ohio is also looking to go beyond the bounds of these “traditional” smart grid technologies. AEP Ohio is proposing to install under Phase III Distribution Supervisory Control and Data Acquisition (“D-SCADA”) on 160 circuits.</w:t>
      </w:r>
      <w:r>
        <w:rPr>
          <w:rStyle w:val="FootnoteReference"/>
          <w:rFonts w:cs="Times New Roman"/>
        </w:rPr>
        <w:footnoteReference w:id="6"/>
      </w:r>
      <w:r w:rsidRPr="00375AE2">
        <w:rPr>
          <w:rFonts w:cs="Times New Roman"/>
        </w:rPr>
        <w:t xml:space="preserve"> AEP Ohio also proposes installing fiber optics communications infrastructure to portions of its service territory without readily available broadband access.</w:t>
      </w:r>
      <w:r>
        <w:rPr>
          <w:rStyle w:val="FootnoteReference"/>
          <w:rFonts w:cs="Times New Roman"/>
        </w:rPr>
        <w:footnoteReference w:id="7"/>
      </w:r>
      <w:r w:rsidRPr="00375AE2">
        <w:rPr>
          <w:rFonts w:cs="Times New Roman"/>
        </w:rPr>
        <w:t xml:space="preserve"> The proposal would result in deploying 3,100 distribution line sensors on select circuits as part of a demonstration reliability program.</w:t>
      </w:r>
      <w:r>
        <w:rPr>
          <w:rStyle w:val="FootnoteReference"/>
          <w:rFonts w:cs="Times New Roman"/>
        </w:rPr>
        <w:footnoteReference w:id="8"/>
      </w:r>
      <w:r w:rsidRPr="00375AE2">
        <w:rPr>
          <w:rFonts w:cs="Times New Roman"/>
        </w:rPr>
        <w:t xml:space="preserve"> AEP Ohio is further proposing to install</w:t>
      </w:r>
      <w:r w:rsidRPr="00375AE2" w:rsidR="00866DEB">
        <w:rPr>
          <w:rFonts w:cs="Times New Roman"/>
        </w:rPr>
        <w:t>,</w:t>
      </w:r>
      <w:r w:rsidRPr="00375AE2">
        <w:rPr>
          <w:rFonts w:cs="Times New Roman"/>
        </w:rPr>
        <w:t xml:space="preserve"> as part of a pilot program</w:t>
      </w:r>
      <w:r w:rsidRPr="00375AE2" w:rsidR="00866DEB">
        <w:rPr>
          <w:rFonts w:cs="Times New Roman"/>
        </w:rPr>
        <w:t>,</w:t>
      </w:r>
      <w:r w:rsidRPr="00375AE2">
        <w:rPr>
          <w:rFonts w:cs="Times New Roman"/>
        </w:rPr>
        <w:t xml:space="preserve"> 340 Dynamic Voltage Controllers (“DVCs”) on 20 distribution circuits to analyze future energy savings options and peak demand reductions.</w:t>
      </w:r>
      <w:r>
        <w:rPr>
          <w:rStyle w:val="FootnoteReference"/>
          <w:rFonts w:cs="Times New Roman"/>
        </w:rPr>
        <w:footnoteReference w:id="9"/>
      </w:r>
      <w:r w:rsidRPr="00375AE2">
        <w:rPr>
          <w:rFonts w:cs="Times New Roman"/>
        </w:rPr>
        <w:t xml:space="preserve"> And AEP Ohio proposes expanding on the functionality of customer usage information provided to </w:t>
      </w:r>
      <w:r w:rsidRPr="00375AE2" w:rsidR="00866DEB">
        <w:rPr>
          <w:rFonts w:cs="Times New Roman"/>
        </w:rPr>
        <w:t>Competitive Retail Electric Service (“</w:t>
      </w:r>
      <w:r w:rsidRPr="00375AE2" w:rsidR="00D16727">
        <w:rPr>
          <w:rFonts w:cs="Times New Roman"/>
        </w:rPr>
        <w:t>Marketers</w:t>
      </w:r>
      <w:r w:rsidRPr="00375AE2" w:rsidR="00866DEB">
        <w:rPr>
          <w:rFonts w:cs="Times New Roman"/>
        </w:rPr>
        <w:t>”)</w:t>
      </w:r>
      <w:r w:rsidRPr="00375AE2">
        <w:rPr>
          <w:rFonts w:cs="Times New Roman"/>
        </w:rPr>
        <w:t xml:space="preserve"> providers for time of use (“TOU”) programs and expanding the </w:t>
      </w:r>
      <w:r w:rsidRPr="00375AE2">
        <w:rPr>
          <w:rFonts w:cs="Times New Roman"/>
          <w:i/>
          <w:iCs/>
        </w:rPr>
        <w:t>It’s Your Power</w:t>
      </w:r>
      <w:r w:rsidRPr="00375AE2">
        <w:rPr>
          <w:rFonts w:cs="Times New Roman"/>
        </w:rPr>
        <w:t xml:space="preserve"> application to facilitate customer access to smart meter usage information.</w:t>
      </w:r>
      <w:r>
        <w:rPr>
          <w:rStyle w:val="FootnoteReference"/>
          <w:rFonts w:cs="Times New Roman"/>
        </w:rPr>
        <w:footnoteReference w:id="10"/>
      </w:r>
      <w:r w:rsidRPr="00375AE2">
        <w:rPr>
          <w:rFonts w:cs="Times New Roman"/>
        </w:rPr>
        <w:t xml:space="preserve"> </w:t>
      </w:r>
    </w:p>
    <w:p w:rsidR="00412455" w:rsidRPr="00375AE2" w:rsidP="00412455" w14:paraId="12AD05B1" w14:textId="0365C566">
      <w:pPr>
        <w:spacing w:line="480" w:lineRule="auto"/>
        <w:ind w:firstLine="720"/>
        <w:rPr>
          <w:rFonts w:cs="Times New Roman"/>
        </w:rPr>
      </w:pPr>
      <w:r w:rsidRPr="00375AE2">
        <w:rPr>
          <w:rFonts w:cs="Times New Roman"/>
        </w:rPr>
        <w:t>The price tag for Phase III of approximately $938 Million is staggering.</w:t>
      </w:r>
      <w:r>
        <w:rPr>
          <w:rStyle w:val="FootnoteReference"/>
          <w:rFonts w:cs="Times New Roman"/>
        </w:rPr>
        <w:footnoteReference w:id="11"/>
      </w:r>
      <w:r w:rsidRPr="00375AE2">
        <w:rPr>
          <w:rFonts w:cs="Times New Roman"/>
        </w:rPr>
        <w:t xml:space="preserve"> While the potential customer benefits from smart grid technologies can be significant on paper, customers have yet to realize many of the benefits from the earlier Phase I and Phase II deployments in the form of lower bills and better reliability. OCC appreciates the opportunity to provide consumer protection comments on AEP Ohio’s application.  </w:t>
      </w:r>
      <w:r w:rsidRPr="00375AE2" w:rsidR="00866DEB">
        <w:rPr>
          <w:rFonts w:cs="Times New Roman"/>
        </w:rPr>
        <w:t xml:space="preserve">OCC </w:t>
      </w:r>
      <w:r w:rsidRPr="00375AE2">
        <w:rPr>
          <w:rFonts w:cs="Times New Roman"/>
        </w:rPr>
        <w:t>encourages the PUCO to adopt the recommendations made herein, for consumer protection.</w:t>
      </w:r>
    </w:p>
    <w:p w:rsidR="00412455" w:rsidRPr="00375AE2" w:rsidP="00412455" w14:paraId="12C0211C" w14:textId="77777777">
      <w:pPr>
        <w:ind w:firstLine="720"/>
        <w:rPr>
          <w:rFonts w:cs="Times New Roman"/>
        </w:rPr>
      </w:pPr>
    </w:p>
    <w:p w:rsidR="00412455" w:rsidRPr="00375AE2" w:rsidP="00412455" w14:paraId="6FC2DF6C" w14:textId="77777777">
      <w:pPr>
        <w:pStyle w:val="Heading1"/>
        <w:rPr>
          <w:rFonts w:ascii="Times New Roman" w:hAnsi="Times New Roman" w:cs="Times New Roman"/>
          <w:szCs w:val="24"/>
        </w:rPr>
      </w:pPr>
      <w:bookmarkStart w:id="5" w:name="_Toc49953918"/>
      <w:bookmarkStart w:id="6" w:name="_Toc50560062"/>
      <w:r w:rsidRPr="00375AE2">
        <w:rPr>
          <w:rFonts w:ascii="Times New Roman" w:hAnsi="Times New Roman" w:cs="Times New Roman"/>
          <w:szCs w:val="24"/>
        </w:rPr>
        <w:t>III.</w:t>
      </w:r>
      <w:r w:rsidRPr="00375AE2">
        <w:rPr>
          <w:rFonts w:ascii="Times New Roman" w:hAnsi="Times New Roman" w:cs="Times New Roman"/>
          <w:szCs w:val="24"/>
        </w:rPr>
        <w:tab/>
        <w:t>COMMENTS</w:t>
      </w:r>
      <w:bookmarkEnd w:id="5"/>
      <w:bookmarkEnd w:id="6"/>
    </w:p>
    <w:p w:rsidR="00412455" w:rsidRPr="00375AE2" w:rsidP="00B421A2" w14:paraId="2202318A" w14:textId="579FFEA6">
      <w:pPr>
        <w:pStyle w:val="Heading2"/>
        <w:rPr>
          <w:rFonts w:ascii="Times New Roman" w:hAnsi="Times New Roman" w:cs="Times New Roman"/>
          <w:szCs w:val="24"/>
        </w:rPr>
      </w:pPr>
      <w:bookmarkStart w:id="7" w:name="_Toc49953919"/>
      <w:bookmarkStart w:id="8" w:name="_Toc50560063"/>
      <w:r w:rsidRPr="00375AE2">
        <w:rPr>
          <w:rFonts w:ascii="Times New Roman" w:hAnsi="Times New Roman" w:cs="Times New Roman"/>
          <w:szCs w:val="24"/>
        </w:rPr>
        <w:t>A.</w:t>
      </w:r>
      <w:r w:rsidRPr="00375AE2">
        <w:rPr>
          <w:rFonts w:ascii="Times New Roman" w:hAnsi="Times New Roman" w:cs="Times New Roman"/>
          <w:szCs w:val="24"/>
        </w:rPr>
        <w:tab/>
        <w:t>To protect consumers, the PUCO should reject AEP Ohio’s gridS</w:t>
      </w:r>
      <w:r w:rsidRPr="00375AE2" w:rsidR="00A3248E">
        <w:rPr>
          <w:rFonts w:ascii="Times New Roman" w:hAnsi="Times New Roman" w:cs="Times New Roman"/>
          <w:szCs w:val="24"/>
        </w:rPr>
        <w:t>MART</w:t>
      </w:r>
      <w:r w:rsidRPr="00375AE2">
        <w:rPr>
          <w:rFonts w:ascii="Times New Roman" w:hAnsi="Times New Roman" w:cs="Times New Roman"/>
          <w:szCs w:val="24"/>
        </w:rPr>
        <w:t xml:space="preserve"> Phase </w:t>
      </w:r>
      <w:r w:rsidRPr="00375AE2" w:rsidR="00AF3D31">
        <w:rPr>
          <w:rFonts w:ascii="Times New Roman" w:hAnsi="Times New Roman" w:cs="Times New Roman"/>
          <w:szCs w:val="24"/>
        </w:rPr>
        <w:t>III</w:t>
      </w:r>
      <w:r w:rsidRPr="00375AE2">
        <w:rPr>
          <w:rFonts w:ascii="Times New Roman" w:hAnsi="Times New Roman" w:cs="Times New Roman"/>
          <w:szCs w:val="24"/>
        </w:rPr>
        <w:t xml:space="preserve"> application until and unless it demonstrates that customers are obtaining the smart grid benefits promised under </w:t>
      </w:r>
      <w:r w:rsidRPr="00375AE2" w:rsidR="005752B2">
        <w:rPr>
          <w:rFonts w:ascii="Times New Roman" w:hAnsi="Times New Roman" w:cs="Times New Roman"/>
          <w:szCs w:val="24"/>
        </w:rPr>
        <w:t>gridSMART</w:t>
      </w:r>
      <w:r w:rsidRPr="00375AE2">
        <w:rPr>
          <w:rFonts w:ascii="Times New Roman" w:hAnsi="Times New Roman" w:cs="Times New Roman"/>
          <w:szCs w:val="24"/>
        </w:rPr>
        <w:t xml:space="preserve"> Phase I and </w:t>
      </w:r>
      <w:r w:rsidRPr="00375AE2" w:rsidR="005752B2">
        <w:rPr>
          <w:rFonts w:ascii="Times New Roman" w:hAnsi="Times New Roman" w:cs="Times New Roman"/>
          <w:szCs w:val="24"/>
        </w:rPr>
        <w:t>gridSMART</w:t>
      </w:r>
      <w:r w:rsidRPr="00375AE2">
        <w:rPr>
          <w:rFonts w:ascii="Times New Roman" w:hAnsi="Times New Roman" w:cs="Times New Roman"/>
          <w:szCs w:val="24"/>
        </w:rPr>
        <w:t xml:space="preserve"> Phase II.</w:t>
      </w:r>
      <w:bookmarkEnd w:id="7"/>
      <w:bookmarkEnd w:id="8"/>
    </w:p>
    <w:p w:rsidR="004F2787" w:rsidRPr="00375AE2" w:rsidP="004F2787" w14:paraId="493345FC" w14:textId="77777777">
      <w:pPr>
        <w:spacing w:line="480" w:lineRule="auto"/>
        <w:ind w:firstLine="720"/>
        <w:rPr>
          <w:rFonts w:cs="Times New Roman"/>
        </w:rPr>
      </w:pPr>
      <w:r w:rsidRPr="00375AE2">
        <w:rPr>
          <w:rFonts w:cs="Times New Roman"/>
        </w:rPr>
        <w:t xml:space="preserve">AEP Ohio’s </w:t>
      </w:r>
      <w:r w:rsidRPr="00375AE2" w:rsidR="005752B2">
        <w:rPr>
          <w:rFonts w:cs="Times New Roman"/>
        </w:rPr>
        <w:t>gridSMART</w:t>
      </w:r>
      <w:r w:rsidRPr="00375AE2">
        <w:rPr>
          <w:rFonts w:cs="Times New Roman"/>
        </w:rPr>
        <w:t xml:space="preserve"> Phase II was approved by the PUCO in February 2017.</w:t>
      </w:r>
      <w:r>
        <w:rPr>
          <w:rStyle w:val="FootnoteReference"/>
          <w:rFonts w:cs="Times New Roman"/>
        </w:rPr>
        <w:footnoteReference w:id="12"/>
      </w:r>
      <w:r w:rsidRPr="00375AE2">
        <w:rPr>
          <w:rFonts w:cs="Times New Roman"/>
        </w:rPr>
        <w:t xml:space="preserve"> Costing consumers $516 million,</w:t>
      </w:r>
      <w:r>
        <w:rPr>
          <w:rStyle w:val="FootnoteReference"/>
          <w:rFonts w:cs="Times New Roman"/>
        </w:rPr>
        <w:footnoteReference w:id="13"/>
      </w:r>
      <w:r w:rsidRPr="00375AE2">
        <w:rPr>
          <w:rFonts w:cs="Times New Roman"/>
        </w:rPr>
        <w:t xml:space="preserve"> Phase II expanded the deployment of smart grid technologies first started with the approximate $150 million </w:t>
      </w:r>
      <w:r w:rsidRPr="00375AE2" w:rsidR="005752B2">
        <w:rPr>
          <w:rFonts w:cs="Times New Roman"/>
        </w:rPr>
        <w:t>gridSMART</w:t>
      </w:r>
      <w:r w:rsidRPr="00375AE2">
        <w:rPr>
          <w:rFonts w:cs="Times New Roman"/>
        </w:rPr>
        <w:t xml:space="preserve"> Phase I project that was funded by the Department of Energy (DOE) and customers.</w:t>
      </w:r>
      <w:r>
        <w:rPr>
          <w:rStyle w:val="FootnoteReference"/>
          <w:rFonts w:cs="Times New Roman"/>
        </w:rPr>
        <w:footnoteReference w:id="14"/>
      </w:r>
      <w:r w:rsidRPr="00375AE2">
        <w:rPr>
          <w:rFonts w:cs="Times New Roman"/>
        </w:rPr>
        <w:t xml:space="preserve"> Under Phase II, AEP Ohio’s cost benefit analysis showed that the $516 million costs over 15 years was expected to provide well over a billion dollars in savings to customers.</w:t>
      </w:r>
      <w:r>
        <w:rPr>
          <w:rStyle w:val="FootnoteReference"/>
          <w:rFonts w:cs="Times New Roman"/>
        </w:rPr>
        <w:footnoteReference w:id="15"/>
      </w:r>
      <w:r w:rsidRPr="00375AE2">
        <w:rPr>
          <w:rFonts w:cs="Times New Roman"/>
        </w:rPr>
        <w:t xml:space="preserve"> The Phase II project included installing an additional 894,000 smart meters following the 132,000 installed under Phase I. Volt-Var optimization technology was to be installed on 160 distribution circuits in addition to the 17 circuits previously deployed under Phase I. Distribution Automation Circuit Reconfiguration technology was to be expanded from the 70 circuits that were installed under Phase I to an additional 250 circuits under Phase II. </w:t>
      </w:r>
    </w:p>
    <w:p w:rsidR="00412455" w:rsidRPr="00375AE2" w:rsidP="004F2787" w14:paraId="4F10BFFE" w14:textId="77777777">
      <w:pPr>
        <w:spacing w:line="480" w:lineRule="auto"/>
        <w:ind w:firstLine="720"/>
        <w:rPr>
          <w:rFonts w:cs="Times New Roman"/>
        </w:rPr>
      </w:pPr>
      <w:r w:rsidRPr="00375AE2">
        <w:rPr>
          <w:rFonts w:cs="Times New Roman"/>
        </w:rPr>
        <w:t>For all of the different gridSMART deployment phases, DACR is the primary smart grid benefit that is intended to provide significant improvements in reliability through less frequent and shorter duration outages. In Phase II alone, DACR was purportedly expected to provide over a billion dollars in savings associated with avoided outages.</w:t>
      </w:r>
      <w:r>
        <w:rPr>
          <w:rStyle w:val="FootnoteReference"/>
          <w:rFonts w:cs="Times New Roman"/>
        </w:rPr>
        <w:footnoteReference w:id="16"/>
      </w:r>
    </w:p>
    <w:p w:rsidR="00412455" w:rsidRPr="00375AE2" w:rsidP="005752B2" w14:paraId="50A25F3F" w14:textId="77777777">
      <w:pPr>
        <w:pStyle w:val="Heading3"/>
        <w:rPr>
          <w:rFonts w:ascii="Times New Roman" w:hAnsi="Times New Roman" w:cs="Times New Roman"/>
        </w:rPr>
      </w:pPr>
      <w:bookmarkStart w:id="9" w:name="_Toc49953920"/>
      <w:bookmarkStart w:id="10" w:name="_Toc50560064"/>
      <w:r w:rsidRPr="00375AE2">
        <w:rPr>
          <w:rFonts w:ascii="Times New Roman" w:hAnsi="Times New Roman" w:cs="Times New Roman"/>
        </w:rPr>
        <w:t>1</w:t>
      </w:r>
      <w:r w:rsidRPr="00375AE2">
        <w:rPr>
          <w:rFonts w:ascii="Times New Roman" w:hAnsi="Times New Roman" w:cs="Times New Roman"/>
        </w:rPr>
        <w:t>.</w:t>
      </w:r>
      <w:r w:rsidRPr="00375AE2">
        <w:rPr>
          <w:rFonts w:ascii="Times New Roman" w:hAnsi="Times New Roman" w:cs="Times New Roman"/>
        </w:rPr>
        <w:tab/>
        <w:t>AEP Ohio’s progress (or lack thereof) on timely installing Distribution Automation Circuit Reconfiguration is hurting consumers.</w:t>
      </w:r>
      <w:bookmarkEnd w:id="9"/>
      <w:bookmarkEnd w:id="10"/>
      <w:r w:rsidRPr="00375AE2">
        <w:rPr>
          <w:rFonts w:ascii="Times New Roman" w:hAnsi="Times New Roman" w:cs="Times New Roman"/>
        </w:rPr>
        <w:t xml:space="preserve"> </w:t>
      </w:r>
    </w:p>
    <w:p w:rsidR="00412455" w:rsidRPr="00375AE2" w:rsidP="004F2787" w14:paraId="002CC3EA" w14:textId="404AEA75">
      <w:pPr>
        <w:spacing w:line="480" w:lineRule="auto"/>
        <w:ind w:firstLine="720"/>
        <w:rPr>
          <w:rFonts w:cs="Times New Roman"/>
        </w:rPr>
      </w:pPr>
      <w:r w:rsidRPr="00375AE2">
        <w:rPr>
          <w:rFonts w:cs="Times New Roman"/>
        </w:rPr>
        <w:t xml:space="preserve">While the </w:t>
      </w:r>
      <w:r w:rsidRPr="00375AE2" w:rsidR="005752B2">
        <w:rPr>
          <w:rFonts w:cs="Times New Roman"/>
        </w:rPr>
        <w:t>gridSMART</w:t>
      </w:r>
      <w:r w:rsidRPr="00375AE2">
        <w:rPr>
          <w:rFonts w:cs="Times New Roman"/>
        </w:rPr>
        <w:t xml:space="preserve"> Phase II program went into effect over 3.5 years ago, AEP Ohio has made very little progress in deploying DACR. It was supposed to be fully deployed within 72 months of the PUCO’s approval of the Settlement.</w:t>
      </w:r>
      <w:r>
        <w:rPr>
          <w:rStyle w:val="FootnoteReference"/>
          <w:rFonts w:cs="Times New Roman"/>
        </w:rPr>
        <w:footnoteReference w:id="17"/>
      </w:r>
      <w:r w:rsidRPr="00375AE2">
        <w:rPr>
          <w:rFonts w:cs="Times New Roman"/>
        </w:rPr>
        <w:t xml:space="preserve"> Yet in August 2020 (41 months into the deployment), only 11 circuits (or 4.4</w:t>
      </w:r>
      <w:r w:rsidRPr="00375AE2" w:rsidR="00984727">
        <w:rPr>
          <w:rFonts w:cs="Times New Roman"/>
        </w:rPr>
        <w:t>%</w:t>
      </w:r>
      <w:r w:rsidRPr="00375AE2">
        <w:rPr>
          <w:rFonts w:cs="Times New Roman"/>
        </w:rPr>
        <w:t xml:space="preserve"> of the total circuits) had actually been completed.</w:t>
      </w:r>
      <w:r>
        <w:rPr>
          <w:rStyle w:val="FootnoteReference"/>
          <w:rFonts w:cs="Times New Roman"/>
        </w:rPr>
        <w:footnoteReference w:id="18"/>
      </w:r>
      <w:r w:rsidRPr="00375AE2">
        <w:rPr>
          <w:rFonts w:cs="Times New Roman"/>
        </w:rPr>
        <w:t xml:space="preserve"> And there have been very few outage events where these 11 circuits were available to help customers avoid outages.</w:t>
      </w:r>
      <w:r>
        <w:rPr>
          <w:rStyle w:val="FootnoteReference"/>
          <w:rFonts w:cs="Times New Roman"/>
        </w:rPr>
        <w:footnoteReference w:id="19"/>
      </w:r>
      <w:r w:rsidRPr="00375AE2">
        <w:rPr>
          <w:rFonts w:cs="Times New Roman"/>
        </w:rPr>
        <w:t xml:space="preserve"> The deployment of DACR involves the installation of automated reclosures and other technologies at strategic locations on select circuits throughout the distribution system. Based on the location where a fault occurs that would result in customer outages, DACR will reroute electricity around the fault location to reduce the number of customers who experience </w:t>
      </w:r>
      <w:r w:rsidRPr="00375AE2" w:rsidR="00984727">
        <w:rPr>
          <w:rFonts w:cs="Times New Roman"/>
        </w:rPr>
        <w:t xml:space="preserve">an </w:t>
      </w:r>
      <w:r w:rsidRPr="00375AE2">
        <w:rPr>
          <w:rFonts w:cs="Times New Roman"/>
        </w:rPr>
        <w:t xml:space="preserve">interruption. </w:t>
      </w:r>
    </w:p>
    <w:p w:rsidR="00412455" w:rsidRPr="00375AE2" w:rsidP="004F2787" w14:paraId="50649B2F" w14:textId="77777777">
      <w:pPr>
        <w:spacing w:line="480" w:lineRule="auto"/>
        <w:ind w:firstLine="720"/>
        <w:rPr>
          <w:rFonts w:cs="Times New Roman"/>
        </w:rPr>
      </w:pPr>
      <w:r w:rsidRPr="00375AE2">
        <w:rPr>
          <w:rFonts w:cs="Times New Roman"/>
        </w:rPr>
        <w:t>But until and unless AEP Ohio prioritizes the deployment of DACR on the remaining 239 circuits, customers will not realize these reliability improvements and the financial benefits that DACR is supposed to provide. AEP Ohio’s lack of progress in deploying DACR is a contributing factor to why it failed to meet its minimum reliability performance standards in 2018</w:t>
      </w:r>
      <w:r>
        <w:rPr>
          <w:rStyle w:val="FootnoteReference"/>
          <w:rFonts w:cs="Times New Roman"/>
        </w:rPr>
        <w:footnoteReference w:id="20"/>
      </w:r>
      <w:r w:rsidRPr="00375AE2">
        <w:rPr>
          <w:rFonts w:cs="Times New Roman"/>
        </w:rPr>
        <w:t xml:space="preserve"> and again in 2019.</w:t>
      </w:r>
      <w:r>
        <w:rPr>
          <w:rStyle w:val="FootnoteReference"/>
          <w:rFonts w:cs="Times New Roman"/>
        </w:rPr>
        <w:footnoteReference w:id="21"/>
      </w:r>
      <w:r w:rsidRPr="00375AE2">
        <w:rPr>
          <w:rFonts w:cs="Times New Roman"/>
        </w:rPr>
        <w:t xml:space="preserve"> Had AEP Ohio prioritized the installation of DACR when the PUCO first approved the program in February 2017, far fewer customer interruptions and customer minutes interrupted would have occurred in 2018 and 2019. </w:t>
      </w:r>
    </w:p>
    <w:p w:rsidR="00412455" w:rsidRPr="00375AE2" w:rsidP="004F2787" w14:paraId="3EA2363D" w14:textId="15114E18">
      <w:pPr>
        <w:spacing w:line="480" w:lineRule="auto"/>
        <w:ind w:firstLine="720"/>
        <w:rPr>
          <w:rFonts w:cs="Times New Roman"/>
        </w:rPr>
      </w:pPr>
      <w:r w:rsidRPr="00375AE2">
        <w:rPr>
          <w:rFonts w:cs="Times New Roman"/>
        </w:rPr>
        <w:t xml:space="preserve">Given that the lions-share of the customer benefits from </w:t>
      </w:r>
      <w:r w:rsidRPr="00375AE2" w:rsidR="005752B2">
        <w:rPr>
          <w:rFonts w:cs="Times New Roman"/>
        </w:rPr>
        <w:t>gridSMART</w:t>
      </w:r>
      <w:r w:rsidRPr="00375AE2">
        <w:rPr>
          <w:rFonts w:cs="Times New Roman"/>
        </w:rPr>
        <w:t xml:space="preserve"> Phase II are supposed to result from DACR, the PUCO should not approve a </w:t>
      </w:r>
      <w:r w:rsidRPr="00375AE2" w:rsidR="005752B2">
        <w:rPr>
          <w:rFonts w:cs="Times New Roman"/>
        </w:rPr>
        <w:t>gridSMART</w:t>
      </w:r>
      <w:r w:rsidRPr="00375AE2">
        <w:rPr>
          <w:rFonts w:cs="Times New Roman"/>
        </w:rPr>
        <w:t xml:space="preserve"> Phase III deployment.  It should not do so, if ever, until the Phase II deployment is </w:t>
      </w:r>
      <w:r w:rsidRPr="00375AE2" w:rsidR="00FF49FB">
        <w:rPr>
          <w:rFonts w:cs="Times New Roman"/>
        </w:rPr>
        <w:t xml:space="preserve">completed </w:t>
      </w:r>
      <w:r w:rsidRPr="00375AE2">
        <w:rPr>
          <w:rFonts w:cs="Times New Roman"/>
        </w:rPr>
        <w:t xml:space="preserve">and a benefits assessment can be performed to evaluate if customers actually are obtaining all the reliability benefits that they were promised through DACR. </w:t>
      </w:r>
    </w:p>
    <w:p w:rsidR="00412455" w:rsidRPr="00375AE2" w:rsidP="004F2787" w14:paraId="7007940E" w14:textId="5D887470">
      <w:pPr>
        <w:spacing w:line="480" w:lineRule="auto"/>
        <w:ind w:firstLine="720"/>
        <w:rPr>
          <w:rFonts w:cs="Times New Roman"/>
        </w:rPr>
      </w:pPr>
      <w:r w:rsidRPr="00375AE2">
        <w:rPr>
          <w:rFonts w:cs="Times New Roman"/>
        </w:rPr>
        <w:t>A benefits assessment is extremely important.  The DACR equipped circuits that were deployed under gridSMART Phase I are not performing as well as they were expected</w:t>
      </w:r>
      <w:r w:rsidRPr="00375AE2" w:rsidR="00984727">
        <w:rPr>
          <w:rFonts w:cs="Times New Roman"/>
        </w:rPr>
        <w:t>.</w:t>
      </w:r>
      <w:r w:rsidRPr="00375AE2">
        <w:rPr>
          <w:rFonts w:cs="Times New Roman"/>
        </w:rPr>
        <w:t xml:space="preserve"> Between 2015 and 2019, the DACR on Phase I circuits have had 179 opportunities to operate to help avoid customer interruptions and customer minutes interrupted during outage events.</w:t>
      </w:r>
      <w:r>
        <w:rPr>
          <w:rStyle w:val="FootnoteReference"/>
          <w:rFonts w:cs="Times New Roman"/>
        </w:rPr>
        <w:footnoteReference w:id="22"/>
      </w:r>
      <w:r w:rsidRPr="00375AE2">
        <w:rPr>
          <w:rFonts w:cs="Times New Roman"/>
        </w:rPr>
        <w:t xml:space="preserve"> The DACR technology operated successfully during 136 of the outage events.</w:t>
      </w:r>
      <w:r>
        <w:rPr>
          <w:rStyle w:val="FootnoteReference"/>
          <w:rFonts w:cs="Times New Roman"/>
        </w:rPr>
        <w:footnoteReference w:id="23"/>
      </w:r>
      <w:r w:rsidRPr="00375AE2">
        <w:rPr>
          <w:rFonts w:cs="Times New Roman"/>
        </w:rPr>
        <w:t xml:space="preserve"> But the DACR technology failed to reconfigure the circuit as expected during 43 of the outage events.</w:t>
      </w:r>
      <w:r>
        <w:rPr>
          <w:rStyle w:val="FootnoteReference"/>
          <w:rFonts w:cs="Times New Roman"/>
        </w:rPr>
        <w:footnoteReference w:id="24"/>
      </w:r>
      <w:r w:rsidRPr="00375AE2">
        <w:rPr>
          <w:rFonts w:cs="Times New Roman"/>
        </w:rPr>
        <w:t xml:space="preserve"> A 76</w:t>
      </w:r>
      <w:r w:rsidRPr="00375AE2" w:rsidR="00984727">
        <w:rPr>
          <w:rFonts w:cs="Times New Roman"/>
        </w:rPr>
        <w:t>%</w:t>
      </w:r>
      <w:r w:rsidRPr="00375AE2">
        <w:rPr>
          <w:rFonts w:cs="Times New Roman"/>
        </w:rPr>
        <w:t xml:space="preserve"> success rate for the DACR Phase I circuits is well below what the PUCO should consider as an acceptable performance level. And the Phase II DACR deployment is not far enough long to determine if AEP Ohio has improved the performance.   </w:t>
      </w:r>
    </w:p>
    <w:p w:rsidR="00412455" w:rsidRPr="00375AE2" w:rsidP="004F2787" w14:paraId="6DC7CB61" w14:textId="194CC5F4">
      <w:pPr>
        <w:spacing w:line="480" w:lineRule="auto"/>
        <w:ind w:firstLine="720"/>
        <w:rPr>
          <w:rFonts w:cs="Times New Roman"/>
        </w:rPr>
      </w:pPr>
      <w:r w:rsidRPr="00375AE2">
        <w:rPr>
          <w:rFonts w:cs="Times New Roman"/>
        </w:rPr>
        <w:t xml:space="preserve">PUCO approval for DACR as part of gridSMART Phase III should not occur until the </w:t>
      </w:r>
      <w:r w:rsidRPr="00375AE2" w:rsidR="00D16727">
        <w:rPr>
          <w:rFonts w:cs="Times New Roman"/>
        </w:rPr>
        <w:t xml:space="preserve">deployment of Phase II technologies are completed and the touted </w:t>
      </w:r>
      <w:r w:rsidRPr="00375AE2">
        <w:rPr>
          <w:rFonts w:cs="Times New Roman"/>
        </w:rPr>
        <w:t xml:space="preserve">benefits are proven on most (if not all) of the DACR </w:t>
      </w:r>
      <w:r w:rsidRPr="00375AE2" w:rsidR="00D16727">
        <w:rPr>
          <w:rFonts w:cs="Times New Roman"/>
        </w:rPr>
        <w:t xml:space="preserve">Phase II </w:t>
      </w:r>
      <w:r w:rsidRPr="00375AE2">
        <w:rPr>
          <w:rFonts w:cs="Times New Roman"/>
        </w:rPr>
        <w:t>install</w:t>
      </w:r>
      <w:r w:rsidRPr="00375AE2" w:rsidR="00D16727">
        <w:rPr>
          <w:rFonts w:cs="Times New Roman"/>
        </w:rPr>
        <w:t>ations</w:t>
      </w:r>
      <w:r w:rsidRPr="00375AE2">
        <w:rPr>
          <w:rFonts w:cs="Times New Roman"/>
        </w:rPr>
        <w:t xml:space="preserve">. Additionally, before the PUCO approves a DACR deployment under Phase III, AEP Ohio should be required to prove that the DACR technology is able to operate at a much higher performance level. Finally, approval of additional DACR equipped circuits now could serve to distract AEP Ohio from the work it needs to do to improve and prioritize deploying the Phase II circuits. </w:t>
      </w:r>
    </w:p>
    <w:p w:rsidR="00412455" w:rsidRPr="00375AE2" w:rsidP="005752B2" w14:paraId="24D23077" w14:textId="3152DB43">
      <w:pPr>
        <w:pStyle w:val="Heading3"/>
        <w:rPr>
          <w:rFonts w:ascii="Times New Roman" w:hAnsi="Times New Roman" w:cs="Times New Roman"/>
        </w:rPr>
      </w:pPr>
      <w:r w:rsidRPr="00375AE2">
        <w:rPr>
          <w:rFonts w:ascii="Times New Roman" w:hAnsi="Times New Roman" w:cs="Times New Roman"/>
        </w:rPr>
        <w:t xml:space="preserve">  </w:t>
      </w:r>
      <w:bookmarkStart w:id="11" w:name="_Toc49953921"/>
      <w:bookmarkStart w:id="12" w:name="_Toc50560065"/>
      <w:r w:rsidRPr="00375AE2" w:rsidR="00B421A2">
        <w:rPr>
          <w:rFonts w:ascii="Times New Roman" w:hAnsi="Times New Roman" w:cs="Times New Roman"/>
        </w:rPr>
        <w:t>2</w:t>
      </w:r>
      <w:r w:rsidRPr="00375AE2">
        <w:rPr>
          <w:rFonts w:ascii="Times New Roman" w:hAnsi="Times New Roman" w:cs="Times New Roman"/>
        </w:rPr>
        <w:t>.</w:t>
      </w:r>
      <w:r w:rsidRPr="00375AE2">
        <w:rPr>
          <w:rFonts w:ascii="Times New Roman" w:hAnsi="Times New Roman" w:cs="Times New Roman"/>
        </w:rPr>
        <w:tab/>
        <w:t xml:space="preserve">It is not in consumers’ interest to rush </w:t>
      </w:r>
      <w:r w:rsidRPr="00375AE2" w:rsidR="000C5B51">
        <w:rPr>
          <w:rFonts w:ascii="Times New Roman" w:hAnsi="Times New Roman" w:cs="Times New Roman"/>
        </w:rPr>
        <w:t xml:space="preserve">to </w:t>
      </w:r>
      <w:r w:rsidRPr="00375AE2">
        <w:rPr>
          <w:rFonts w:ascii="Times New Roman" w:hAnsi="Times New Roman" w:cs="Times New Roman"/>
        </w:rPr>
        <w:t>install smart meters as part of gridSMART Phase III.</w:t>
      </w:r>
      <w:bookmarkEnd w:id="11"/>
      <w:bookmarkEnd w:id="12"/>
      <w:r w:rsidRPr="00375AE2">
        <w:rPr>
          <w:rFonts w:ascii="Times New Roman" w:hAnsi="Times New Roman" w:cs="Times New Roman"/>
        </w:rPr>
        <w:t xml:space="preserve"> </w:t>
      </w:r>
    </w:p>
    <w:p w:rsidR="00412455" w:rsidRPr="00375AE2" w:rsidP="004F2787" w14:paraId="2E9A122F" w14:textId="216380EF">
      <w:pPr>
        <w:spacing w:line="480" w:lineRule="auto"/>
        <w:ind w:firstLine="720"/>
        <w:rPr>
          <w:rFonts w:cs="Times New Roman"/>
        </w:rPr>
      </w:pPr>
      <w:r w:rsidRPr="00375AE2">
        <w:rPr>
          <w:rFonts w:cs="Times New Roman"/>
        </w:rPr>
        <w:t xml:space="preserve">Smart meters and the communications infrastructure that accompanies the meters allow for communications between AEP Ohio and </w:t>
      </w:r>
      <w:r w:rsidRPr="00375AE2" w:rsidR="000C5B51">
        <w:rPr>
          <w:rFonts w:cs="Times New Roman"/>
        </w:rPr>
        <w:t xml:space="preserve">its </w:t>
      </w:r>
      <w:r w:rsidRPr="00375AE2">
        <w:rPr>
          <w:rFonts w:cs="Times New Roman"/>
        </w:rPr>
        <w:t>customers, reducing operating expenses, and additional customer rate alternatives.</w:t>
      </w:r>
      <w:r>
        <w:rPr>
          <w:rStyle w:val="FootnoteReference"/>
          <w:rFonts w:cs="Times New Roman"/>
        </w:rPr>
        <w:footnoteReference w:id="25"/>
      </w:r>
      <w:r w:rsidRPr="00375AE2">
        <w:rPr>
          <w:rFonts w:cs="Times New Roman"/>
        </w:rPr>
        <w:t xml:space="preserve"> In the AEP Ohio gridSMART II cost benefit analysis, benefits associated with smart meters (such as reducing meter readings) was supposed to result in approximately $200 million in operational savings over 15 years.</w:t>
      </w:r>
      <w:r>
        <w:rPr>
          <w:rStyle w:val="FootnoteReference"/>
          <w:rFonts w:cs="Times New Roman"/>
        </w:rPr>
        <w:footnoteReference w:id="26"/>
      </w:r>
      <w:r w:rsidRPr="00375AE2">
        <w:rPr>
          <w:rFonts w:cs="Times New Roman"/>
        </w:rPr>
        <w:t xml:space="preserve"> </w:t>
      </w:r>
    </w:p>
    <w:p w:rsidR="00412455" w:rsidRPr="00375AE2" w:rsidP="004F2787" w14:paraId="67B85D74" w14:textId="31C91126">
      <w:pPr>
        <w:spacing w:line="480" w:lineRule="auto"/>
        <w:ind w:firstLine="720"/>
        <w:rPr>
          <w:rFonts w:cs="Times New Roman"/>
        </w:rPr>
      </w:pPr>
      <w:r w:rsidRPr="00375AE2">
        <w:rPr>
          <w:rFonts w:cs="Times New Roman"/>
        </w:rPr>
        <w:t>AEP Ohio has substantially completed deploying smart meters under gridSMART</w:t>
      </w:r>
      <w:r w:rsidRPr="00375AE2" w:rsidR="00B421A2">
        <w:rPr>
          <w:rFonts w:cs="Times New Roman"/>
        </w:rPr>
        <w:t xml:space="preserve"> Phase</w:t>
      </w:r>
      <w:r w:rsidRPr="00375AE2">
        <w:rPr>
          <w:rFonts w:cs="Times New Roman"/>
        </w:rPr>
        <w:t xml:space="preserve"> II. Well over a million smart meters are now fully deployed. Until the operational savings from smart meters are reflected in new distribution bases rates, AEP Ohio is crediting a portion of the savings on an annual basis back to consumers through the gridSMART rider. The level of operational savings for gridSMART II in 2021 (and until new base rates are established) is approximately $8.4 million annually.</w:t>
      </w:r>
      <w:r>
        <w:rPr>
          <w:rStyle w:val="FootnoteReference"/>
          <w:rFonts w:cs="Times New Roman"/>
        </w:rPr>
        <w:footnoteReference w:id="27"/>
      </w:r>
      <w:r w:rsidRPr="00375AE2">
        <w:rPr>
          <w:rFonts w:cs="Times New Roman"/>
        </w:rPr>
        <w:t xml:space="preserve"> This is well below the $200 million in benefits that AEP Ohio projected for smart meters in its cost benefit analysis and demonstrates why additional quantifiable benefits </w:t>
      </w:r>
      <w:r w:rsidRPr="00375AE2" w:rsidR="000E532A">
        <w:rPr>
          <w:rFonts w:cs="Times New Roman"/>
        </w:rPr>
        <w:t xml:space="preserve">for consumers </w:t>
      </w:r>
      <w:r w:rsidRPr="00375AE2">
        <w:rPr>
          <w:rFonts w:cs="Times New Roman"/>
        </w:rPr>
        <w:t xml:space="preserve">are needed.  </w:t>
      </w:r>
    </w:p>
    <w:p w:rsidR="00412455" w:rsidRPr="00375AE2" w:rsidP="00B421A2" w14:paraId="26E616D0" w14:textId="01561F94">
      <w:pPr>
        <w:spacing w:line="480" w:lineRule="auto"/>
        <w:ind w:firstLine="720"/>
        <w:rPr>
          <w:rFonts w:cs="Times New Roman"/>
        </w:rPr>
      </w:pPr>
      <w:r w:rsidRPr="00375AE2">
        <w:rPr>
          <w:rFonts w:cs="Times New Roman"/>
        </w:rPr>
        <w:t>The level of operational savings in replacing the remaining non-smart meters under Phase III are expected to be much lower because there are not substantial meter reading and meter operations savings to be realized. According to AEP Ohio’s application, Phase III smart meter costs are projected at approximately $118 million and benefits are expected to be slightly above $40 million.</w:t>
      </w:r>
      <w:r>
        <w:rPr>
          <w:rStyle w:val="FootnoteReference"/>
          <w:rFonts w:cs="Times New Roman"/>
        </w:rPr>
        <w:footnoteReference w:id="28"/>
      </w:r>
      <w:r w:rsidRPr="00375AE2">
        <w:rPr>
          <w:rFonts w:cs="Times New Roman"/>
        </w:rPr>
        <w:t xml:space="preserve">  For this reason, deploying additional smart meters under Phase III is unnecessary. Many of the non-smart meters deployed in the Phase III service area use Automated Meter Reading (“AMR”) technology that allows meter reads to be automatically performed on a monthly basis.</w:t>
      </w:r>
      <w:r>
        <w:rPr>
          <w:rStyle w:val="FootnoteReference"/>
          <w:rFonts w:cs="Times New Roman"/>
        </w:rPr>
        <w:footnoteReference w:id="29"/>
      </w:r>
      <w:r w:rsidRPr="00375AE2">
        <w:rPr>
          <w:rFonts w:cs="Times New Roman"/>
        </w:rPr>
        <w:t xml:space="preserve"> Replacing these AMR meters with smart meters will not be as beneficial for Phase III customers until more applications are developed that take advantage of the capabilities of the Phase I and Phase II smart meters. </w:t>
      </w:r>
    </w:p>
    <w:p w:rsidR="00412455" w:rsidRPr="00375AE2" w:rsidP="005752B2" w14:paraId="64060413" w14:textId="77777777">
      <w:pPr>
        <w:pStyle w:val="Heading3"/>
        <w:rPr>
          <w:rFonts w:ascii="Times New Roman" w:hAnsi="Times New Roman" w:cs="Times New Roman"/>
        </w:rPr>
      </w:pPr>
      <w:bookmarkStart w:id="13" w:name="_Toc49953922"/>
      <w:bookmarkStart w:id="14" w:name="_Toc50560066"/>
      <w:r w:rsidRPr="00375AE2">
        <w:rPr>
          <w:rFonts w:ascii="Times New Roman" w:hAnsi="Times New Roman" w:cs="Times New Roman"/>
        </w:rPr>
        <w:t>3</w:t>
      </w:r>
      <w:r w:rsidRPr="00375AE2">
        <w:rPr>
          <w:rFonts w:ascii="Times New Roman" w:hAnsi="Times New Roman" w:cs="Times New Roman"/>
        </w:rPr>
        <w:t>.</w:t>
      </w:r>
      <w:r w:rsidRPr="00375AE2">
        <w:rPr>
          <w:rFonts w:ascii="Times New Roman" w:hAnsi="Times New Roman" w:cs="Times New Roman"/>
        </w:rPr>
        <w:tab/>
        <w:t>While AEP Ohio has made substantial progress in deploying Volt-VAR technology as part of Phase II, consumer protection requires that a benefits assessment is necessary before continuing with deploying Volt-VAR as part of Phase III.</w:t>
      </w:r>
      <w:bookmarkEnd w:id="13"/>
      <w:bookmarkEnd w:id="14"/>
      <w:r w:rsidRPr="00375AE2">
        <w:rPr>
          <w:rFonts w:ascii="Times New Roman" w:hAnsi="Times New Roman" w:cs="Times New Roman"/>
        </w:rPr>
        <w:t xml:space="preserve"> </w:t>
      </w:r>
    </w:p>
    <w:p w:rsidR="00412455" w:rsidRPr="00375AE2" w:rsidP="00B421A2" w14:paraId="55D736ED" w14:textId="60062091">
      <w:pPr>
        <w:spacing w:line="480" w:lineRule="auto"/>
        <w:ind w:firstLine="720"/>
        <w:rPr>
          <w:rFonts w:cs="Times New Roman"/>
        </w:rPr>
      </w:pPr>
      <w:r w:rsidRPr="00375AE2">
        <w:rPr>
          <w:rFonts w:cs="Times New Roman"/>
        </w:rPr>
        <w:t>Between 2018 and 2020, AEP Ohio has installed VVO on 137 of the 160 circuits that it committed to install.</w:t>
      </w:r>
      <w:r>
        <w:rPr>
          <w:rStyle w:val="FootnoteReference"/>
          <w:rFonts w:cs="Times New Roman"/>
        </w:rPr>
        <w:footnoteReference w:id="30"/>
      </w:r>
      <w:r w:rsidRPr="00375AE2">
        <w:rPr>
          <w:rFonts w:cs="Times New Roman"/>
        </w:rPr>
        <w:t xml:space="preserve"> VVO is an energy efficiency tool where voltages can be more accurately maintained and lowered across distribution circuits. </w:t>
      </w:r>
      <w:r w:rsidRPr="00375AE2" w:rsidR="000E532A">
        <w:rPr>
          <w:rFonts w:cs="Times New Roman"/>
        </w:rPr>
        <w:t>This r</w:t>
      </w:r>
      <w:r w:rsidRPr="00375AE2">
        <w:rPr>
          <w:rFonts w:cs="Times New Roman"/>
        </w:rPr>
        <w:t>educed energy consumption can help lower customers’ bills. AEP Ohio claims that customers stand to benefit by approximately $414 million from the approximately $323 million in costs associated with installing VVO on an additional 492 distribution circuits.</w:t>
      </w:r>
      <w:r>
        <w:rPr>
          <w:rStyle w:val="FootnoteReference"/>
          <w:rFonts w:cs="Times New Roman"/>
        </w:rPr>
        <w:footnoteReference w:id="31"/>
      </w:r>
      <w:r w:rsidRPr="00375AE2">
        <w:rPr>
          <w:rFonts w:cs="Times New Roman"/>
        </w:rPr>
        <w:t xml:space="preserve"> </w:t>
      </w:r>
    </w:p>
    <w:p w:rsidR="00412455" w:rsidRPr="00375AE2" w:rsidP="00B421A2" w14:paraId="3C62FCC3" w14:textId="42D62B03">
      <w:pPr>
        <w:spacing w:line="480" w:lineRule="auto"/>
        <w:ind w:firstLine="720"/>
        <w:rPr>
          <w:rFonts w:cs="Times New Roman"/>
        </w:rPr>
      </w:pPr>
      <w:r w:rsidRPr="00375AE2">
        <w:rPr>
          <w:rFonts w:cs="Times New Roman"/>
        </w:rPr>
        <w:t xml:space="preserve">Based on the gridSMART Phase II cost benefit analysis, VVO deployment on 160 circuits was intended to reduce energy consumption by approximately </w:t>
      </w:r>
      <w:r w:rsidRPr="00375AE2" w:rsidR="004958BB">
        <w:rPr>
          <w:rFonts w:cs="Times New Roman"/>
        </w:rPr>
        <w:t xml:space="preserve">three </w:t>
      </w:r>
      <w:r w:rsidRPr="00375AE2">
        <w:rPr>
          <w:rFonts w:cs="Times New Roman"/>
        </w:rPr>
        <w:t>percent and save customers $210 million over 15 years.</w:t>
      </w:r>
      <w:r>
        <w:rPr>
          <w:rStyle w:val="FootnoteReference"/>
          <w:rFonts w:cs="Times New Roman"/>
        </w:rPr>
        <w:footnoteReference w:id="32"/>
      </w:r>
      <w:r w:rsidRPr="00375AE2">
        <w:rPr>
          <w:rFonts w:cs="Times New Roman"/>
        </w:rPr>
        <w:t xml:space="preserve"> But until and unless AEP Ohio completes the deployment of VVO on Phase II circuits and assesses the actual benefits customers are receiving, the PUCO</w:t>
      </w:r>
      <w:r w:rsidRPr="00375AE2" w:rsidR="00CC5C0E">
        <w:rPr>
          <w:rFonts w:cs="Times New Roman"/>
        </w:rPr>
        <w:t xml:space="preserve"> should not</w:t>
      </w:r>
      <w:r w:rsidRPr="00375AE2">
        <w:rPr>
          <w:rFonts w:cs="Times New Roman"/>
        </w:rPr>
        <w:t xml:space="preserve"> approve an expansion of the number of circuits that are equipped with VVO technology as part of Phase III.  </w:t>
      </w:r>
      <w:r w:rsidRPr="00375AE2" w:rsidR="0024332F">
        <w:rPr>
          <w:rFonts w:cs="Times New Roman"/>
        </w:rPr>
        <w:t>As evidenced in the complexity in designing Phase II circuits, e</w:t>
      </w:r>
      <w:r w:rsidRPr="00375AE2">
        <w:rPr>
          <w:rFonts w:cs="Times New Roman"/>
        </w:rPr>
        <w:t>nergy reductions in the 3-4</w:t>
      </w:r>
      <w:r w:rsidRPr="00375AE2" w:rsidR="004958BB">
        <w:rPr>
          <w:rFonts w:cs="Times New Roman"/>
        </w:rPr>
        <w:t>%</w:t>
      </w:r>
      <w:r w:rsidRPr="00375AE2">
        <w:rPr>
          <w:rFonts w:cs="Times New Roman"/>
        </w:rPr>
        <w:t xml:space="preserve"> range may not be sustainable </w:t>
      </w:r>
      <w:r w:rsidRPr="00375AE2" w:rsidR="0024332F">
        <w:rPr>
          <w:rFonts w:cs="Times New Roman"/>
        </w:rPr>
        <w:t xml:space="preserve">or cost effective </w:t>
      </w:r>
      <w:r w:rsidRPr="00375AE2">
        <w:rPr>
          <w:rFonts w:cs="Times New Roman"/>
        </w:rPr>
        <w:t xml:space="preserve">as VVO is deployed across more </w:t>
      </w:r>
      <w:r w:rsidRPr="00375AE2" w:rsidR="0024332F">
        <w:rPr>
          <w:rFonts w:cs="Times New Roman"/>
        </w:rPr>
        <w:t xml:space="preserve">applications and more </w:t>
      </w:r>
      <w:r w:rsidRPr="00375AE2">
        <w:rPr>
          <w:rFonts w:cs="Times New Roman"/>
        </w:rPr>
        <w:t>circuits.</w:t>
      </w:r>
      <w:r>
        <w:rPr>
          <w:rStyle w:val="FootnoteReference"/>
          <w:rFonts w:cs="Times New Roman"/>
        </w:rPr>
        <w:footnoteReference w:id="33"/>
      </w:r>
    </w:p>
    <w:p w:rsidR="00412455" w:rsidRPr="00375AE2" w:rsidP="00B421A2" w14:paraId="3C879670" w14:textId="13BE2BF3">
      <w:pPr>
        <w:pStyle w:val="Heading2"/>
        <w:rPr>
          <w:rFonts w:ascii="Times New Roman" w:hAnsi="Times New Roman" w:cs="Times New Roman"/>
          <w:szCs w:val="24"/>
        </w:rPr>
      </w:pPr>
      <w:bookmarkStart w:id="15" w:name="_Toc49953923"/>
      <w:bookmarkStart w:id="16" w:name="_Toc50560067"/>
      <w:r w:rsidRPr="00375AE2">
        <w:rPr>
          <w:rFonts w:ascii="Times New Roman" w:hAnsi="Times New Roman" w:cs="Times New Roman"/>
          <w:szCs w:val="24"/>
        </w:rPr>
        <w:t>B</w:t>
      </w:r>
      <w:r w:rsidRPr="00375AE2">
        <w:rPr>
          <w:rFonts w:ascii="Times New Roman" w:hAnsi="Times New Roman" w:cs="Times New Roman"/>
          <w:szCs w:val="24"/>
        </w:rPr>
        <w:t>.</w:t>
      </w:r>
      <w:r w:rsidRPr="00375AE2">
        <w:rPr>
          <w:rFonts w:ascii="Times New Roman" w:hAnsi="Times New Roman" w:cs="Times New Roman"/>
          <w:szCs w:val="24"/>
        </w:rPr>
        <w:tab/>
        <w:t xml:space="preserve">If the PUCO were to approve the gridSMART </w:t>
      </w:r>
      <w:r w:rsidRPr="00375AE2" w:rsidR="00CC5C0E">
        <w:rPr>
          <w:rFonts w:ascii="Times New Roman" w:hAnsi="Times New Roman" w:cs="Times New Roman"/>
          <w:szCs w:val="24"/>
        </w:rPr>
        <w:t>III</w:t>
      </w:r>
      <w:r w:rsidRPr="00375AE2">
        <w:rPr>
          <w:rFonts w:ascii="Times New Roman" w:hAnsi="Times New Roman" w:cs="Times New Roman"/>
          <w:szCs w:val="24"/>
        </w:rPr>
        <w:t xml:space="preserve"> application (which </w:t>
      </w:r>
      <w:r w:rsidRPr="00375AE2" w:rsidR="00CC5C0E">
        <w:rPr>
          <w:rFonts w:ascii="Times New Roman" w:hAnsi="Times New Roman" w:cs="Times New Roman"/>
          <w:szCs w:val="24"/>
        </w:rPr>
        <w:t>it should not until AEP completes Phase II</w:t>
      </w:r>
      <w:r w:rsidRPr="00375AE2">
        <w:rPr>
          <w:rFonts w:ascii="Times New Roman" w:hAnsi="Times New Roman" w:cs="Times New Roman"/>
          <w:szCs w:val="24"/>
        </w:rPr>
        <w:t>), the non-gridSMART projects that were included in the application should be rejected to protect consumers.</w:t>
      </w:r>
      <w:bookmarkEnd w:id="15"/>
      <w:bookmarkEnd w:id="16"/>
      <w:r w:rsidRPr="00375AE2">
        <w:rPr>
          <w:rFonts w:ascii="Times New Roman" w:hAnsi="Times New Roman" w:cs="Times New Roman"/>
          <w:szCs w:val="24"/>
        </w:rPr>
        <w:t xml:space="preserve"> </w:t>
      </w:r>
    </w:p>
    <w:p w:rsidR="00412455" w:rsidRPr="00375AE2" w:rsidP="00B421A2" w14:paraId="38A3191C" w14:textId="0412FDC7">
      <w:pPr>
        <w:spacing w:line="480" w:lineRule="auto"/>
        <w:ind w:firstLine="720"/>
        <w:rPr>
          <w:rFonts w:cs="Times New Roman"/>
        </w:rPr>
      </w:pPr>
      <w:r w:rsidRPr="00375AE2">
        <w:rPr>
          <w:rFonts w:cs="Times New Roman"/>
        </w:rPr>
        <w:t xml:space="preserve">AEP Ohio is proposing to install under Phase III Distribution Supervisory Control and Data Acquisition (“D-SCADA”) on 160 circuits. AEP Ohio also proposes installing fiber optics communications infrastructure in portions of its service territory without readily available broadband access. The proposal would </w:t>
      </w:r>
      <w:r w:rsidRPr="00375AE2" w:rsidR="00B421A2">
        <w:rPr>
          <w:rFonts w:cs="Times New Roman"/>
        </w:rPr>
        <w:t>involve</w:t>
      </w:r>
      <w:r w:rsidRPr="00375AE2">
        <w:rPr>
          <w:rFonts w:cs="Times New Roman"/>
        </w:rPr>
        <w:t xml:space="preserve"> deploying 3,100 distribution line sensors on select circuits as part of a demonstration reliability program. AEP Ohio is proposing to install as part of a pilot program 340 Dynamic Voltage Controllers (“DVCs”) on 20 distribution circuits to analyze future energy savings options and peak demand reductions. AEP Ohio further proposes expanding on the functionality of customer usage information provided to </w:t>
      </w:r>
      <w:r w:rsidRPr="00375AE2" w:rsidR="00D00D14">
        <w:rPr>
          <w:rFonts w:cs="Times New Roman"/>
        </w:rPr>
        <w:t xml:space="preserve">Marketers </w:t>
      </w:r>
      <w:r w:rsidRPr="00375AE2">
        <w:rPr>
          <w:rFonts w:cs="Times New Roman"/>
        </w:rPr>
        <w:t xml:space="preserve">for time of use (“TOU”) programs and expanding the </w:t>
      </w:r>
      <w:r w:rsidRPr="00375AE2">
        <w:rPr>
          <w:rFonts w:cs="Times New Roman"/>
          <w:i/>
          <w:iCs/>
        </w:rPr>
        <w:t>It’s Your Power</w:t>
      </w:r>
      <w:r w:rsidRPr="00375AE2">
        <w:rPr>
          <w:rFonts w:cs="Times New Roman"/>
        </w:rPr>
        <w:t xml:space="preserve"> application to facilitate customer access to AMI usage information. </w:t>
      </w:r>
      <w:r>
        <w:rPr>
          <w:rStyle w:val="FootnoteReference"/>
          <w:rFonts w:cs="Times New Roman"/>
        </w:rPr>
        <w:footnoteReference w:id="34"/>
      </w:r>
      <w:r w:rsidRPr="00375AE2">
        <w:rPr>
          <w:rFonts w:cs="Times New Roman"/>
        </w:rPr>
        <w:t xml:space="preserve">  To protect consumers, these non-gridSMART projects should not be approved by the PUCO.</w:t>
      </w:r>
    </w:p>
    <w:p w:rsidR="00412455" w:rsidRPr="00375AE2" w:rsidP="005752B2" w14:paraId="64071984" w14:textId="77777777">
      <w:pPr>
        <w:pStyle w:val="Heading3"/>
        <w:rPr>
          <w:rFonts w:ascii="Times New Roman" w:hAnsi="Times New Roman" w:cs="Times New Roman"/>
        </w:rPr>
      </w:pPr>
      <w:bookmarkStart w:id="17" w:name="_Toc49953924"/>
      <w:bookmarkStart w:id="18" w:name="_Toc50560068"/>
      <w:r w:rsidRPr="00375AE2">
        <w:rPr>
          <w:rFonts w:ascii="Times New Roman" w:hAnsi="Times New Roman" w:cs="Times New Roman"/>
        </w:rPr>
        <w:t>1</w:t>
      </w:r>
      <w:r w:rsidRPr="00375AE2">
        <w:rPr>
          <w:rFonts w:ascii="Times New Roman" w:hAnsi="Times New Roman" w:cs="Times New Roman"/>
        </w:rPr>
        <w:t>.</w:t>
      </w:r>
      <w:r w:rsidRPr="00375AE2">
        <w:rPr>
          <w:rFonts w:ascii="Times New Roman" w:hAnsi="Times New Roman" w:cs="Times New Roman"/>
        </w:rPr>
        <w:tab/>
        <w:t>To protect consumers, the PUCO should not allow AEP Ohio to charge consumers for additional D-SCADA.</w:t>
      </w:r>
      <w:bookmarkEnd w:id="17"/>
      <w:bookmarkEnd w:id="18"/>
      <w:r w:rsidRPr="00375AE2">
        <w:rPr>
          <w:rFonts w:ascii="Times New Roman" w:hAnsi="Times New Roman" w:cs="Times New Roman"/>
        </w:rPr>
        <w:t xml:space="preserve"> </w:t>
      </w:r>
    </w:p>
    <w:p w:rsidR="00B421A2" w:rsidRPr="00375AE2" w:rsidP="00412455" w14:paraId="7F6ACEB1" w14:textId="77777777">
      <w:pPr>
        <w:spacing w:line="480" w:lineRule="auto"/>
        <w:ind w:firstLine="720"/>
        <w:rPr>
          <w:rFonts w:cs="Times New Roman"/>
        </w:rPr>
      </w:pPr>
      <w:r w:rsidRPr="00375AE2">
        <w:rPr>
          <w:rFonts w:cs="Times New Roman"/>
        </w:rPr>
        <w:t>AEP Ohio has proposed deploying Distribution Supervisory Control and Data Acquisition  on 160 circuits as part of gridSMART Phase III.</w:t>
      </w:r>
      <w:r>
        <w:rPr>
          <w:rStyle w:val="FootnoteReference"/>
          <w:rFonts w:cs="Times New Roman"/>
        </w:rPr>
        <w:footnoteReference w:id="35"/>
      </w:r>
      <w:r w:rsidRPr="00375AE2">
        <w:rPr>
          <w:rFonts w:cs="Times New Roman"/>
        </w:rPr>
        <w:t xml:space="preserve"> The proposal includes deploying D-SCADA on circuits in rural locations to potentially provide connectivity with other circuits that are in close proximity to help reliability.</w:t>
      </w:r>
      <w:r>
        <w:rPr>
          <w:rStyle w:val="FootnoteReference"/>
          <w:rFonts w:cs="Times New Roman"/>
        </w:rPr>
        <w:footnoteReference w:id="36"/>
      </w:r>
      <w:r w:rsidRPr="00375AE2">
        <w:rPr>
          <w:rFonts w:cs="Times New Roman"/>
        </w:rPr>
        <w:t xml:space="preserve"> The total projected costs are $45 million over 5 years.</w:t>
      </w:r>
      <w:r>
        <w:rPr>
          <w:rStyle w:val="FootnoteReference"/>
          <w:rFonts w:cs="Times New Roman"/>
        </w:rPr>
        <w:footnoteReference w:id="37"/>
      </w:r>
      <w:r w:rsidRPr="00375AE2">
        <w:rPr>
          <w:rFonts w:cs="Times New Roman"/>
        </w:rPr>
        <w:t xml:space="preserve"> </w:t>
      </w:r>
    </w:p>
    <w:p w:rsidR="00412455" w:rsidRPr="00375AE2" w:rsidP="00412455" w14:paraId="3F88522A" w14:textId="77777777">
      <w:pPr>
        <w:spacing w:line="480" w:lineRule="auto"/>
        <w:ind w:firstLine="720"/>
        <w:rPr>
          <w:rFonts w:cs="Times New Roman"/>
        </w:rPr>
      </w:pPr>
      <w:r w:rsidRPr="00375AE2">
        <w:rPr>
          <w:rFonts w:cs="Times New Roman"/>
        </w:rPr>
        <w:t>While D-SCADA may help AEP Ohio obtain better and more accurate outage information and contribute to better reliability, this is not a new technology that should be funded under gridSMART III.  AEP Ohio claims that the D-SCADA will support the rural broadband initiatives.</w:t>
      </w:r>
      <w:r>
        <w:rPr>
          <w:rStyle w:val="FootnoteReference"/>
          <w:rFonts w:cs="Times New Roman"/>
        </w:rPr>
        <w:footnoteReference w:id="38"/>
      </w:r>
      <w:r w:rsidRPr="00375AE2">
        <w:rPr>
          <w:rFonts w:cs="Times New Roman"/>
        </w:rPr>
        <w:t xml:space="preserve">  SCADA capabilities have been around for decades. AEP Ohio can and should fund and install D-SCADA capabilities as part of its normal capital budgeting process if it can be implemented in a cost effective manner that is needed to provide safe and reliable electric services.    </w:t>
      </w:r>
    </w:p>
    <w:p w:rsidR="00412455" w:rsidRPr="00375AE2" w:rsidP="005752B2" w14:paraId="6BC4E474" w14:textId="6AC38DB3">
      <w:pPr>
        <w:pStyle w:val="Heading3"/>
        <w:rPr>
          <w:rFonts w:ascii="Times New Roman" w:hAnsi="Times New Roman" w:cs="Times New Roman"/>
        </w:rPr>
      </w:pPr>
      <w:bookmarkStart w:id="19" w:name="_Toc49953925"/>
      <w:bookmarkStart w:id="20" w:name="_Toc50560069"/>
      <w:r w:rsidRPr="00375AE2">
        <w:rPr>
          <w:rFonts w:ascii="Times New Roman" w:hAnsi="Times New Roman" w:cs="Times New Roman"/>
        </w:rPr>
        <w:t>2</w:t>
      </w:r>
      <w:r w:rsidRPr="00375AE2">
        <w:rPr>
          <w:rFonts w:ascii="Times New Roman" w:hAnsi="Times New Roman" w:cs="Times New Roman"/>
        </w:rPr>
        <w:t>.</w:t>
      </w:r>
      <w:r w:rsidRPr="00375AE2">
        <w:rPr>
          <w:rFonts w:ascii="Times New Roman" w:hAnsi="Times New Roman" w:cs="Times New Roman"/>
        </w:rPr>
        <w:tab/>
        <w:t xml:space="preserve">To protect consumers, the PUCO should not allow AEP Ohio to charge consumers for </w:t>
      </w:r>
      <w:r w:rsidRPr="00375AE2" w:rsidR="00CC4C81">
        <w:rPr>
          <w:rFonts w:ascii="Times New Roman" w:hAnsi="Times New Roman" w:cs="Times New Roman"/>
        </w:rPr>
        <w:t xml:space="preserve">the installation of </w:t>
      </w:r>
      <w:r w:rsidRPr="00375AE2">
        <w:rPr>
          <w:rFonts w:ascii="Times New Roman" w:hAnsi="Times New Roman" w:cs="Times New Roman"/>
        </w:rPr>
        <w:t>fiber optics</w:t>
      </w:r>
      <w:r w:rsidRPr="00375AE2" w:rsidR="00CC4C81">
        <w:rPr>
          <w:rFonts w:ascii="Times New Roman" w:hAnsi="Times New Roman" w:cs="Times New Roman"/>
        </w:rPr>
        <w:t xml:space="preserve"> that are not necessary for AEP Ohio to provide safe and reliable service</w:t>
      </w:r>
      <w:r w:rsidRPr="00375AE2">
        <w:rPr>
          <w:rFonts w:ascii="Times New Roman" w:hAnsi="Times New Roman" w:cs="Times New Roman"/>
        </w:rPr>
        <w:t>.</w:t>
      </w:r>
      <w:bookmarkEnd w:id="19"/>
      <w:bookmarkEnd w:id="20"/>
    </w:p>
    <w:p w:rsidR="00412455" w:rsidRPr="00375AE2" w:rsidP="00412455" w14:paraId="7B7D361D" w14:textId="77777777">
      <w:pPr>
        <w:spacing w:line="480" w:lineRule="auto"/>
        <w:rPr>
          <w:rFonts w:cs="Times New Roman"/>
        </w:rPr>
      </w:pPr>
      <w:r w:rsidRPr="00375AE2">
        <w:rPr>
          <w:rFonts w:cs="Times New Roman"/>
        </w:rPr>
        <w:tab/>
        <w:t>AEP Ohio has proposed installing fiber optical cable (rather than traditional wireless communications) to select access points outside of distribution substations as it installs DACR and VVOs.</w:t>
      </w:r>
      <w:r>
        <w:rPr>
          <w:rStyle w:val="FootnoteReference"/>
          <w:rFonts w:cs="Times New Roman"/>
        </w:rPr>
        <w:footnoteReference w:id="39"/>
      </w:r>
      <w:r w:rsidRPr="00375AE2">
        <w:rPr>
          <w:rFonts w:cs="Times New Roman"/>
        </w:rPr>
        <w:t xml:space="preserve"> AEP Ohio claims that the fiber optics will provide operational benefits such as better cybersecurity and reduced dependency on third-party cellular providers.</w:t>
      </w:r>
      <w:r>
        <w:rPr>
          <w:rStyle w:val="FootnoteReference"/>
          <w:rFonts w:cs="Times New Roman"/>
        </w:rPr>
        <w:footnoteReference w:id="40"/>
      </w:r>
      <w:r w:rsidRPr="00375AE2">
        <w:rPr>
          <w:rFonts w:cs="Times New Roman"/>
        </w:rPr>
        <w:t xml:space="preserve"> </w:t>
      </w:r>
    </w:p>
    <w:p w:rsidR="00412455" w:rsidRPr="00375AE2" w:rsidP="00412455" w14:paraId="0D920008" w14:textId="79062175">
      <w:pPr>
        <w:spacing w:line="480" w:lineRule="auto"/>
        <w:ind w:firstLine="720"/>
        <w:rPr>
          <w:rFonts w:cs="Times New Roman"/>
        </w:rPr>
      </w:pPr>
      <w:r w:rsidRPr="00375AE2">
        <w:rPr>
          <w:rFonts w:cs="Times New Roman"/>
        </w:rPr>
        <w:t>The incremental costs of AEP Ohio’s proposal over a 15-year period is $52.6 million.</w:t>
      </w:r>
      <w:r>
        <w:rPr>
          <w:rStyle w:val="FootnoteReference"/>
          <w:rFonts w:cs="Times New Roman"/>
        </w:rPr>
        <w:footnoteReference w:id="41"/>
      </w:r>
      <w:r w:rsidRPr="00375AE2">
        <w:rPr>
          <w:rFonts w:cs="Times New Roman"/>
        </w:rPr>
        <w:t xml:space="preserve"> AEP Ohio claims that dark fiber leases on these segments and other AEP Ohio fiber installations could equal or be greater than the $52.6 million cost. Dark fiber is the portion of the communications capacity available on the fiber that is not needed for AEP Ohio operational reasons. AEP Ohio is not guaranteeing that the additional capacity will be leased by third-party communication providers.</w:t>
      </w:r>
      <w:r>
        <w:rPr>
          <w:rStyle w:val="FootnoteReference"/>
          <w:rFonts w:cs="Times New Roman"/>
        </w:rPr>
        <w:footnoteReference w:id="42"/>
      </w:r>
      <w:r w:rsidRPr="00375AE2">
        <w:rPr>
          <w:rFonts w:cs="Times New Roman"/>
        </w:rPr>
        <w:t xml:space="preserve">  AEP Ohio is not guaranteeing that such leases would generate the $52.6 million cost of the proposal, or (even if it does) that consumers would not therefore be charged for the proposal.  </w:t>
      </w:r>
      <w:r w:rsidRPr="00375AE2" w:rsidR="00CC4C81">
        <w:rPr>
          <w:rFonts w:cs="Times New Roman"/>
        </w:rPr>
        <w:t xml:space="preserve">And there is no rationale for why captive electric customers who receive no benefits from the fiber optics </w:t>
      </w:r>
      <w:r w:rsidRPr="00375AE2" w:rsidR="00356CC8">
        <w:rPr>
          <w:rFonts w:cs="Times New Roman"/>
        </w:rPr>
        <w:t>should</w:t>
      </w:r>
      <w:r w:rsidRPr="00375AE2" w:rsidR="00CC4C81">
        <w:rPr>
          <w:rFonts w:cs="Times New Roman"/>
        </w:rPr>
        <w:t xml:space="preserve"> pay for the fiber optic deployment. </w:t>
      </w:r>
      <w:r w:rsidRPr="00375AE2">
        <w:rPr>
          <w:rFonts w:cs="Times New Roman"/>
        </w:rPr>
        <w:t>AEP Ohio believes that the fiber optics will help make broadband communications more readily available in rural Ohio. But while the incremental amount of fiber optics that would be deployed under the proposal increases customer electric bills, there is no indication that it will be used by Internet Service Providers (ISP’s) to actually bring broadband access into customer homes.</w:t>
      </w:r>
      <w:r>
        <w:rPr>
          <w:rStyle w:val="FootnoteReference"/>
          <w:rFonts w:cs="Times New Roman"/>
        </w:rPr>
        <w:footnoteReference w:id="43"/>
      </w:r>
      <w:r w:rsidRPr="00375AE2">
        <w:rPr>
          <w:rFonts w:cs="Times New Roman"/>
        </w:rPr>
        <w:t xml:space="preserve">    </w:t>
      </w:r>
    </w:p>
    <w:p w:rsidR="00412455" w:rsidRPr="00375AE2" w:rsidP="00412455" w14:paraId="3517F25F" w14:textId="7B3E81BB">
      <w:pPr>
        <w:spacing w:line="480" w:lineRule="auto"/>
        <w:ind w:firstLine="720"/>
        <w:rPr>
          <w:rFonts w:cs="Times New Roman"/>
        </w:rPr>
      </w:pPr>
      <w:r w:rsidRPr="00375AE2">
        <w:rPr>
          <w:rFonts w:cs="Times New Roman"/>
        </w:rPr>
        <w:t>AEP Ohio’s plan to install fiber optics contradicts R.C. 4928.02(A).  The fiber optics are not needed for AEP Ohio to provide safe and reliable distribution service. Additionally, spending $52.6 million in unneeded fiber optics contributes to unreasonably priced retail electric service. The deployment of fiber optics is not cost effective given other, less costly options. The projected costs for using cellular service (rather than fiber optics) to communicate is approximately $5.5 million over 10 years.</w:t>
      </w:r>
      <w:r>
        <w:rPr>
          <w:rStyle w:val="FootnoteReference"/>
          <w:rFonts w:cs="Times New Roman"/>
        </w:rPr>
        <w:footnoteReference w:id="44"/>
      </w:r>
      <w:r w:rsidRPr="00375AE2">
        <w:rPr>
          <w:rFonts w:cs="Times New Roman"/>
        </w:rPr>
        <w:t xml:space="preserve"> </w:t>
      </w:r>
      <w:r w:rsidRPr="00375AE2" w:rsidR="00CC4C81">
        <w:rPr>
          <w:rFonts w:cs="Times New Roman"/>
        </w:rPr>
        <w:t xml:space="preserve">The cellular </w:t>
      </w:r>
      <w:r w:rsidRPr="00375AE2" w:rsidR="004A3347">
        <w:rPr>
          <w:rFonts w:cs="Times New Roman"/>
        </w:rPr>
        <w:t xml:space="preserve">capabilities are </w:t>
      </w:r>
      <w:r w:rsidRPr="00375AE2" w:rsidR="00CC4C81">
        <w:rPr>
          <w:rFonts w:cs="Times New Roman"/>
        </w:rPr>
        <w:t xml:space="preserve">more than </w:t>
      </w:r>
      <w:r w:rsidRPr="00375AE2" w:rsidR="00356CC8">
        <w:rPr>
          <w:rFonts w:cs="Times New Roman"/>
        </w:rPr>
        <w:t>sufficient</w:t>
      </w:r>
      <w:r w:rsidRPr="00375AE2" w:rsidR="00CC4C81">
        <w:rPr>
          <w:rFonts w:cs="Times New Roman"/>
        </w:rPr>
        <w:t xml:space="preserve"> for the</w:t>
      </w:r>
      <w:r w:rsidRPr="00375AE2" w:rsidR="004A3347">
        <w:rPr>
          <w:rFonts w:cs="Times New Roman"/>
        </w:rPr>
        <w:t xml:space="preserve"> communications that is needed between distribution infrastructure.  </w:t>
      </w:r>
      <w:r w:rsidRPr="00375AE2">
        <w:rPr>
          <w:rFonts w:cs="Times New Roman"/>
        </w:rPr>
        <w:t xml:space="preserve">The PUCO should reject AEP Ohio’s plan to include costs for fiber optics communications in gridSMART Phase III.          </w:t>
      </w:r>
    </w:p>
    <w:p w:rsidR="00412455" w:rsidRPr="00375AE2" w:rsidP="005752B2" w14:paraId="72B9FA94" w14:textId="77777777">
      <w:pPr>
        <w:pStyle w:val="Heading3"/>
        <w:rPr>
          <w:rFonts w:ascii="Times New Roman" w:hAnsi="Times New Roman" w:cs="Times New Roman"/>
        </w:rPr>
      </w:pPr>
      <w:bookmarkStart w:id="21" w:name="_Toc49953926"/>
      <w:bookmarkStart w:id="22" w:name="_Toc50560070"/>
      <w:r w:rsidRPr="00375AE2">
        <w:rPr>
          <w:rFonts w:ascii="Times New Roman" w:hAnsi="Times New Roman" w:cs="Times New Roman"/>
        </w:rPr>
        <w:t>3</w:t>
      </w:r>
      <w:r w:rsidRPr="00375AE2">
        <w:rPr>
          <w:rFonts w:ascii="Times New Roman" w:hAnsi="Times New Roman" w:cs="Times New Roman"/>
        </w:rPr>
        <w:t>.</w:t>
      </w:r>
      <w:r w:rsidRPr="00375AE2">
        <w:rPr>
          <w:rFonts w:ascii="Times New Roman" w:hAnsi="Times New Roman" w:cs="Times New Roman"/>
        </w:rPr>
        <w:tab/>
        <w:t>To protect consumers, the PUCO should not allow AEP Ohio to charge consumers for a Distribution Line Sensors Demonstration.</w:t>
      </w:r>
      <w:bookmarkEnd w:id="21"/>
      <w:bookmarkEnd w:id="22"/>
    </w:p>
    <w:p w:rsidR="00412455" w:rsidRPr="00375AE2" w:rsidP="00412455" w14:paraId="63CEF853" w14:textId="77777777">
      <w:pPr>
        <w:spacing w:line="480" w:lineRule="auto"/>
        <w:ind w:firstLine="720"/>
        <w:rPr>
          <w:rFonts w:cs="Times New Roman"/>
        </w:rPr>
      </w:pPr>
      <w:r w:rsidRPr="00375AE2">
        <w:rPr>
          <w:rFonts w:cs="Times New Roman"/>
        </w:rPr>
        <w:t>AEP Ohio is proposing to install intelligent distribution line sensors on select circuits to determine the value of the technology in collecting data that monitors the status of the grid, identifies and locates faults.</w:t>
      </w:r>
      <w:r>
        <w:rPr>
          <w:rStyle w:val="FootnoteReference"/>
          <w:rFonts w:cs="Times New Roman"/>
        </w:rPr>
        <w:footnoteReference w:id="45"/>
      </w:r>
      <w:r w:rsidRPr="00375AE2">
        <w:rPr>
          <w:rFonts w:cs="Times New Roman"/>
        </w:rPr>
        <w:t xml:space="preserve">  The cost of the project is approximately $9.9 million in capital and $1.8 million in operation and maintenance costs. </w:t>
      </w:r>
      <w:r>
        <w:rPr>
          <w:rStyle w:val="FootnoteReference"/>
          <w:rFonts w:cs="Times New Roman"/>
        </w:rPr>
        <w:footnoteReference w:id="46"/>
      </w:r>
    </w:p>
    <w:p w:rsidR="00412455" w:rsidRPr="00375AE2" w:rsidP="00412455" w14:paraId="16196C09" w14:textId="0D61C3BC">
      <w:pPr>
        <w:spacing w:line="480" w:lineRule="auto"/>
        <w:ind w:firstLine="720"/>
        <w:rPr>
          <w:rFonts w:cs="Times New Roman"/>
        </w:rPr>
      </w:pPr>
      <w:r w:rsidRPr="00375AE2">
        <w:rPr>
          <w:rFonts w:cs="Times New Roman"/>
        </w:rPr>
        <w:t>While OCC recognizes that there may be additional reliability benefits associated with deploying line sensors, this is not a new technology that should be funded under gridSMART Phase III.</w:t>
      </w:r>
      <w:r>
        <w:rPr>
          <w:rStyle w:val="FootnoteReference"/>
          <w:rFonts w:cs="Times New Roman"/>
        </w:rPr>
        <w:footnoteReference w:id="47"/>
      </w:r>
      <w:r w:rsidRPr="00375AE2">
        <w:rPr>
          <w:rFonts w:cs="Times New Roman"/>
        </w:rPr>
        <w:t xml:space="preserve">  AEP Ohio can and should install line sensors as part of its normal budgeting process </w:t>
      </w:r>
      <w:r w:rsidRPr="00375AE2" w:rsidR="002C1611">
        <w:rPr>
          <w:rFonts w:cs="Times New Roman"/>
        </w:rPr>
        <w:t xml:space="preserve">and collected from customers under traditional ratemaking </w:t>
      </w:r>
      <w:r w:rsidRPr="00375AE2">
        <w:rPr>
          <w:rFonts w:cs="Times New Roman"/>
        </w:rPr>
        <w:t xml:space="preserve">if it determines that the technology has sufficient benefits to be deployed on a more permanent and widescale basis.     </w:t>
      </w:r>
    </w:p>
    <w:p w:rsidR="00412455" w:rsidRPr="00375AE2" w:rsidP="005752B2" w14:paraId="68524D9D" w14:textId="77777777">
      <w:pPr>
        <w:pStyle w:val="Heading3"/>
        <w:rPr>
          <w:rFonts w:ascii="Times New Roman" w:hAnsi="Times New Roman" w:cs="Times New Roman"/>
        </w:rPr>
      </w:pPr>
      <w:bookmarkStart w:id="23" w:name="_Toc49953927"/>
      <w:bookmarkStart w:id="24" w:name="_Toc50560071"/>
      <w:r w:rsidRPr="00375AE2">
        <w:rPr>
          <w:rFonts w:ascii="Times New Roman" w:hAnsi="Times New Roman" w:cs="Times New Roman"/>
        </w:rPr>
        <w:t>4</w:t>
      </w:r>
      <w:r w:rsidRPr="00375AE2">
        <w:rPr>
          <w:rFonts w:ascii="Times New Roman" w:hAnsi="Times New Roman" w:cs="Times New Roman"/>
        </w:rPr>
        <w:t>.</w:t>
      </w:r>
      <w:r w:rsidRPr="00375AE2">
        <w:rPr>
          <w:rFonts w:ascii="Times New Roman" w:hAnsi="Times New Roman" w:cs="Times New Roman"/>
        </w:rPr>
        <w:tab/>
        <w:t>To protect consumers, the PUCO should not allow AEP Ohio to charge consumers for an Enhanced VVO Pilot Program.</w:t>
      </w:r>
      <w:bookmarkEnd w:id="23"/>
      <w:bookmarkEnd w:id="24"/>
    </w:p>
    <w:p w:rsidR="00412455" w:rsidRPr="00375AE2" w:rsidP="00412455" w14:paraId="387870A7" w14:textId="77777777">
      <w:pPr>
        <w:spacing w:line="480" w:lineRule="auto"/>
        <w:ind w:firstLine="720"/>
        <w:rPr>
          <w:rFonts w:cs="Times New Roman"/>
        </w:rPr>
      </w:pPr>
      <w:r w:rsidRPr="00375AE2">
        <w:rPr>
          <w:rFonts w:cs="Times New Roman"/>
        </w:rPr>
        <w:t>AEP Ohio has proposed a pilot program under gridSMART Phase III for evaluating newer generation VVO technologies on 20 circuits with a cost of approximately $1.2 million.</w:t>
      </w:r>
      <w:r>
        <w:rPr>
          <w:rStyle w:val="FootnoteReference"/>
          <w:rFonts w:cs="Times New Roman"/>
        </w:rPr>
        <w:footnoteReference w:id="48"/>
      </w:r>
      <w:r w:rsidRPr="00375AE2">
        <w:rPr>
          <w:rFonts w:cs="Times New Roman"/>
        </w:rPr>
        <w:t xml:space="preserve">  These evaluations may be helpful in planning future generations of VVO deployments.  But gridSMART Phase III should be limited to deploying existing proven technologies that can provide used and useful benefits for consumers. AEP Ohio can and should evaluate the effectiveness of newer generation VVO technology with corporate funding.   </w:t>
      </w:r>
    </w:p>
    <w:p w:rsidR="00412455" w:rsidRPr="00375AE2" w:rsidP="005752B2" w14:paraId="7F8690BA" w14:textId="77777777">
      <w:pPr>
        <w:pStyle w:val="Heading3"/>
        <w:rPr>
          <w:rFonts w:ascii="Times New Roman" w:hAnsi="Times New Roman" w:cs="Times New Roman"/>
        </w:rPr>
      </w:pPr>
      <w:bookmarkStart w:id="25" w:name="_Toc49953928"/>
      <w:bookmarkStart w:id="26" w:name="_Toc50560072"/>
      <w:r w:rsidRPr="00375AE2">
        <w:rPr>
          <w:rFonts w:ascii="Times New Roman" w:hAnsi="Times New Roman" w:cs="Times New Roman"/>
        </w:rPr>
        <w:t>5</w:t>
      </w:r>
      <w:r w:rsidRPr="00375AE2">
        <w:rPr>
          <w:rFonts w:ascii="Times New Roman" w:hAnsi="Times New Roman" w:cs="Times New Roman"/>
        </w:rPr>
        <w:t>.</w:t>
      </w:r>
      <w:r w:rsidRPr="00375AE2">
        <w:rPr>
          <w:rFonts w:ascii="Times New Roman" w:hAnsi="Times New Roman" w:cs="Times New Roman"/>
        </w:rPr>
        <w:tab/>
        <w:t>To protect consumers, the PUCO should reject AEP Ohio’s “It’s Your Power” proposal.</w:t>
      </w:r>
      <w:bookmarkEnd w:id="25"/>
      <w:bookmarkEnd w:id="26"/>
    </w:p>
    <w:p w:rsidR="00412455" w:rsidRPr="00375AE2" w:rsidP="00412455" w14:paraId="686B3C82" w14:textId="77777777">
      <w:pPr>
        <w:spacing w:line="480" w:lineRule="auto"/>
        <w:ind w:firstLine="720"/>
        <w:rPr>
          <w:rFonts w:cs="Times New Roman"/>
        </w:rPr>
      </w:pPr>
      <w:r w:rsidRPr="00375AE2">
        <w:rPr>
          <w:rFonts w:cs="Times New Roman"/>
        </w:rPr>
        <w:t>AEP Ohio has proposed expanding the existing “It’s Your Power” application and the energy bridge so that customers can obtain real-time access to smart meter interval usage information.</w:t>
      </w:r>
      <w:r>
        <w:rPr>
          <w:rStyle w:val="FootnoteReference"/>
          <w:rFonts w:cs="Times New Roman"/>
        </w:rPr>
        <w:footnoteReference w:id="49"/>
      </w:r>
      <w:r w:rsidRPr="00375AE2">
        <w:rPr>
          <w:rFonts w:cs="Times New Roman"/>
        </w:rPr>
        <w:t xml:space="preserve">  The energy bridge connects to a customer’s smart meter and serves as the interface between the meter and the application.</w:t>
      </w:r>
      <w:r>
        <w:rPr>
          <w:rStyle w:val="FootnoteReference"/>
          <w:rFonts w:cs="Times New Roman"/>
        </w:rPr>
        <w:footnoteReference w:id="50"/>
      </w:r>
      <w:r w:rsidRPr="00375AE2">
        <w:rPr>
          <w:rFonts w:cs="Times New Roman"/>
        </w:rPr>
        <w:t xml:space="preserve"> Both projects were previously funded through the AEP Ohio energy efficiency rider. But AEP Ohio’s energy efficiency programs are ending between now and the end of the year.   AEP Ohio has projected a $1.275 million per year costs to continue the Its Your Power application. </w:t>
      </w:r>
      <w:r>
        <w:rPr>
          <w:rStyle w:val="FootnoteReference"/>
          <w:rFonts w:cs="Times New Roman"/>
        </w:rPr>
        <w:footnoteReference w:id="51"/>
      </w:r>
    </w:p>
    <w:p w:rsidR="00412455" w:rsidRPr="00375AE2" w:rsidP="00412455" w14:paraId="74FD3AB0" w14:textId="2803E96F">
      <w:pPr>
        <w:spacing w:line="480" w:lineRule="auto"/>
        <w:ind w:firstLine="720"/>
        <w:rPr>
          <w:rFonts w:cs="Times New Roman"/>
        </w:rPr>
      </w:pPr>
      <w:r w:rsidRPr="00375AE2">
        <w:rPr>
          <w:rFonts w:cs="Times New Roman"/>
        </w:rPr>
        <w:t xml:space="preserve">Given that fewer than </w:t>
      </w:r>
      <w:r w:rsidRPr="00375AE2" w:rsidR="00F45E9A">
        <w:rPr>
          <w:rFonts w:cs="Times New Roman"/>
        </w:rPr>
        <w:t>eight percent</w:t>
      </w:r>
      <w:r w:rsidRPr="00375AE2">
        <w:rPr>
          <w:rFonts w:cs="Times New Roman"/>
        </w:rPr>
        <w:t xml:space="preserve"> of the customers who receive smart meters also download the application, it is unreasonable to continue funding the application under the gridSMART rider. If customers want near real-time access to their energy usage, then the market should provide such access. AEP, through an unregulated affiliate, can compete with other competitive entities to provide an app that can connect to AEP’s smart meters. Captive customers should not be required to subsidize the It’s Your Power app, thus giving AEP Ohio a competitive advantage in what should be a competitive market.    </w:t>
      </w:r>
    </w:p>
    <w:p w:rsidR="00412455" w:rsidRPr="00375AE2" w:rsidP="005752B2" w14:paraId="31C16E9F" w14:textId="74CD590A">
      <w:pPr>
        <w:pStyle w:val="Heading3"/>
        <w:rPr>
          <w:rFonts w:ascii="Times New Roman" w:hAnsi="Times New Roman" w:cs="Times New Roman"/>
        </w:rPr>
      </w:pPr>
      <w:bookmarkStart w:id="27" w:name="_Toc49953929"/>
      <w:bookmarkStart w:id="28" w:name="_Toc50560073"/>
      <w:r w:rsidRPr="00375AE2">
        <w:rPr>
          <w:rFonts w:ascii="Times New Roman" w:hAnsi="Times New Roman" w:cs="Times New Roman"/>
        </w:rPr>
        <w:t>6</w:t>
      </w:r>
      <w:r w:rsidRPr="00375AE2">
        <w:rPr>
          <w:rFonts w:ascii="Times New Roman" w:hAnsi="Times New Roman" w:cs="Times New Roman"/>
        </w:rPr>
        <w:t>.</w:t>
      </w:r>
      <w:r w:rsidRPr="00375AE2">
        <w:rPr>
          <w:rFonts w:ascii="Times New Roman" w:hAnsi="Times New Roman" w:cs="Times New Roman"/>
        </w:rPr>
        <w:tab/>
        <w:t xml:space="preserve">To protect consumers, the PUCO should reject AEP Ohio’s proposal for expanding the functionality of customer usage information given to </w:t>
      </w:r>
      <w:r w:rsidRPr="00375AE2" w:rsidR="002C1611">
        <w:rPr>
          <w:rFonts w:ascii="Times New Roman" w:hAnsi="Times New Roman" w:cs="Times New Roman"/>
        </w:rPr>
        <w:t>Marketers</w:t>
      </w:r>
      <w:bookmarkEnd w:id="27"/>
      <w:r w:rsidRPr="00375AE2" w:rsidR="005752B2">
        <w:rPr>
          <w:rFonts w:ascii="Times New Roman" w:hAnsi="Times New Roman" w:cs="Times New Roman"/>
        </w:rPr>
        <w:t>.</w:t>
      </w:r>
      <w:bookmarkEnd w:id="28"/>
      <w:r w:rsidRPr="00375AE2">
        <w:rPr>
          <w:rFonts w:ascii="Times New Roman" w:hAnsi="Times New Roman" w:cs="Times New Roman"/>
        </w:rPr>
        <w:t xml:space="preserve"> </w:t>
      </w:r>
    </w:p>
    <w:p w:rsidR="00412455" w:rsidRPr="00375AE2" w:rsidP="00412455" w14:paraId="64BD86D4" w14:textId="4BAC85D1">
      <w:pPr>
        <w:spacing w:line="480" w:lineRule="auto"/>
        <w:ind w:firstLine="720"/>
        <w:rPr>
          <w:rFonts w:cs="Times New Roman"/>
        </w:rPr>
      </w:pPr>
      <w:r w:rsidRPr="00375AE2">
        <w:rPr>
          <w:rFonts w:cs="Times New Roman"/>
        </w:rPr>
        <w:t xml:space="preserve">AEP Ohio has proposed streamlining the existing capabilities that it provides </w:t>
      </w:r>
      <w:r w:rsidRPr="00375AE2" w:rsidR="002C1611">
        <w:rPr>
          <w:rFonts w:cs="Times New Roman"/>
        </w:rPr>
        <w:t>Marketers</w:t>
      </w:r>
      <w:r w:rsidRPr="00375AE2">
        <w:rPr>
          <w:rFonts w:cs="Times New Roman"/>
        </w:rPr>
        <w:t xml:space="preserve"> for obtaining access to smart meter interval usage information. This includes additional electronic data access and more automation in gathering usage information.</w:t>
      </w:r>
      <w:r>
        <w:rPr>
          <w:rStyle w:val="FootnoteReference"/>
          <w:rFonts w:cs="Times New Roman"/>
        </w:rPr>
        <w:footnoteReference w:id="52"/>
      </w:r>
      <w:r w:rsidRPr="00375AE2">
        <w:rPr>
          <w:rFonts w:cs="Times New Roman"/>
        </w:rPr>
        <w:t xml:space="preserve"> The total costs for the additional functionality are projected at $700,000.</w:t>
      </w:r>
      <w:r>
        <w:rPr>
          <w:rStyle w:val="FootnoteReference"/>
          <w:rFonts w:cs="Times New Roman"/>
        </w:rPr>
        <w:footnoteReference w:id="53"/>
      </w:r>
    </w:p>
    <w:p w:rsidR="00412455" w:rsidRPr="00375AE2" w:rsidP="00B421A2" w14:paraId="55EA4E47" w14:textId="45E17EEB">
      <w:pPr>
        <w:spacing w:line="480" w:lineRule="auto"/>
        <w:ind w:firstLine="720"/>
        <w:rPr>
          <w:rFonts w:cs="Times New Roman"/>
        </w:rPr>
      </w:pPr>
      <w:r w:rsidRPr="00375AE2">
        <w:rPr>
          <w:rFonts w:cs="Times New Roman"/>
        </w:rPr>
        <w:t xml:space="preserve">The costs associated with streamlining data sharing between AEP Ohio and </w:t>
      </w:r>
      <w:r w:rsidRPr="00375AE2" w:rsidR="00D00D14">
        <w:rPr>
          <w:rFonts w:cs="Times New Roman"/>
        </w:rPr>
        <w:t>Marketers</w:t>
      </w:r>
      <w:r w:rsidRPr="00375AE2">
        <w:rPr>
          <w:rFonts w:cs="Times New Roman"/>
        </w:rPr>
        <w:t xml:space="preserve"> should be paid by the </w:t>
      </w:r>
      <w:r w:rsidRPr="00375AE2" w:rsidR="00D00D14">
        <w:rPr>
          <w:rFonts w:cs="Times New Roman"/>
        </w:rPr>
        <w:t>Marketers</w:t>
      </w:r>
      <w:r w:rsidRPr="00375AE2">
        <w:rPr>
          <w:rFonts w:cs="Times New Roman"/>
        </w:rPr>
        <w:t xml:space="preserve">, not customers through the gridSMART rider.  </w:t>
      </w:r>
      <w:r w:rsidRPr="00375AE2" w:rsidR="00D00D14">
        <w:rPr>
          <w:rFonts w:cs="Times New Roman"/>
        </w:rPr>
        <w:t>Marketers</w:t>
      </w:r>
      <w:r w:rsidRPr="00375AE2">
        <w:rPr>
          <w:rFonts w:cs="Times New Roman"/>
        </w:rPr>
        <w:t xml:space="preserve"> are the ones that purportedly benefit from the data.  </w:t>
      </w:r>
    </w:p>
    <w:p w:rsidR="00412455" w:rsidRPr="00375AE2" w:rsidP="005752B2" w14:paraId="18C9DCC7" w14:textId="77777777">
      <w:pPr>
        <w:pStyle w:val="Heading3"/>
        <w:rPr>
          <w:rFonts w:ascii="Times New Roman" w:hAnsi="Times New Roman" w:cs="Times New Roman"/>
        </w:rPr>
      </w:pPr>
      <w:bookmarkStart w:id="29" w:name="_Toc49953930"/>
      <w:bookmarkStart w:id="30" w:name="_Toc50560074"/>
      <w:r w:rsidRPr="00375AE2">
        <w:rPr>
          <w:rFonts w:ascii="Times New Roman" w:hAnsi="Times New Roman" w:cs="Times New Roman"/>
        </w:rPr>
        <w:t>7</w:t>
      </w:r>
      <w:r w:rsidRPr="00375AE2">
        <w:rPr>
          <w:rFonts w:ascii="Times New Roman" w:hAnsi="Times New Roman" w:cs="Times New Roman"/>
        </w:rPr>
        <w:t>.</w:t>
      </w:r>
      <w:r w:rsidRPr="00375AE2">
        <w:rPr>
          <w:rFonts w:ascii="Times New Roman" w:hAnsi="Times New Roman" w:cs="Times New Roman"/>
        </w:rPr>
        <w:tab/>
        <w:t>To protect consumers, the PUCO should reject AEP Ohio’s proposal to approve gridSMART Phase III without a hearing.</w:t>
      </w:r>
      <w:bookmarkEnd w:id="29"/>
      <w:bookmarkEnd w:id="30"/>
    </w:p>
    <w:p w:rsidR="00412455" w:rsidRPr="00375AE2" w:rsidP="00B421A2" w14:paraId="13276FC0" w14:textId="76CEE3B8">
      <w:pPr>
        <w:spacing w:line="480" w:lineRule="auto"/>
        <w:ind w:firstLine="720"/>
        <w:rPr>
          <w:rFonts w:cs="Times New Roman"/>
        </w:rPr>
      </w:pPr>
      <w:r w:rsidRPr="00375AE2">
        <w:rPr>
          <w:rFonts w:cs="Times New Roman"/>
        </w:rPr>
        <w:t>AEP Ohio claims that there is no reason for a hearing given the level of detail of the equipment and technology in the application and supporting testimony.</w:t>
      </w:r>
      <w:r>
        <w:rPr>
          <w:rStyle w:val="FootnoteReference"/>
          <w:rFonts w:cs="Times New Roman"/>
        </w:rPr>
        <w:footnoteReference w:id="54"/>
      </w:r>
      <w:r w:rsidRPr="00375AE2">
        <w:rPr>
          <w:rFonts w:cs="Times New Roman"/>
        </w:rPr>
        <w:t xml:space="preserve">  But AEP Ohio seeks to expand gridSMART to include additional technologies beyond those previous deployed. </w:t>
      </w:r>
      <w:r w:rsidRPr="00375AE2" w:rsidR="002C1611">
        <w:rPr>
          <w:rFonts w:cs="Times New Roman"/>
        </w:rPr>
        <w:t xml:space="preserve">Further, AEP has not yet fully deployed its Phase II technologies.  There should not be an approval to move forward into Phase III without a full deployment of Phase II technologies and demonstration that the touted consumer benefits are being achieved.  </w:t>
      </w:r>
      <w:r w:rsidRPr="00375AE2">
        <w:rPr>
          <w:rFonts w:cs="Times New Roman"/>
        </w:rPr>
        <w:t xml:space="preserve">Additionally, as evidenced in these comments, the cost effectiveness of the gridSMART program overall is in question.  A hearing is necessary to develop a robust record to allow the PUCO to decide if AEP Ohio’s out-of-control spending on so-called smart grid should continue.   </w:t>
      </w:r>
    </w:p>
    <w:p w:rsidR="00412455" w:rsidRPr="00375AE2" w:rsidP="00412455" w14:paraId="6AF6C7BA" w14:textId="77777777">
      <w:pPr>
        <w:ind w:firstLine="360"/>
        <w:rPr>
          <w:rFonts w:cs="Times New Roman"/>
        </w:rPr>
      </w:pPr>
    </w:p>
    <w:p w:rsidR="00412455" w:rsidRPr="00375AE2" w:rsidP="00412455" w14:paraId="18592681" w14:textId="77777777">
      <w:pPr>
        <w:pStyle w:val="Heading1"/>
        <w:rPr>
          <w:rFonts w:ascii="Times New Roman" w:hAnsi="Times New Roman" w:cs="Times New Roman"/>
          <w:szCs w:val="24"/>
        </w:rPr>
      </w:pPr>
      <w:bookmarkStart w:id="31" w:name="_Toc49953931"/>
      <w:bookmarkStart w:id="32" w:name="_Toc50560075"/>
      <w:r w:rsidRPr="00375AE2">
        <w:rPr>
          <w:rFonts w:ascii="Times New Roman" w:hAnsi="Times New Roman" w:cs="Times New Roman"/>
          <w:szCs w:val="24"/>
        </w:rPr>
        <w:t>IV.</w:t>
      </w:r>
      <w:r w:rsidRPr="00375AE2">
        <w:rPr>
          <w:rFonts w:ascii="Times New Roman" w:hAnsi="Times New Roman" w:cs="Times New Roman"/>
          <w:szCs w:val="24"/>
        </w:rPr>
        <w:tab/>
        <w:t>CONCLUSION</w:t>
      </w:r>
      <w:bookmarkEnd w:id="31"/>
      <w:bookmarkEnd w:id="32"/>
    </w:p>
    <w:p w:rsidR="00412455" w:rsidP="00412455" w14:paraId="2F26E720" w14:textId="43C50CF8">
      <w:pPr>
        <w:spacing w:line="480" w:lineRule="auto"/>
        <w:ind w:firstLine="360"/>
        <w:rPr>
          <w:rFonts w:cs="Times New Roman"/>
        </w:rPr>
      </w:pPr>
      <w:r w:rsidRPr="00375AE2">
        <w:rPr>
          <w:rFonts w:cs="Times New Roman"/>
        </w:rPr>
        <w:t xml:space="preserve">AEP Ohio has charged consumers hundreds of millions of dollars for smart grid technologies.  It is far from certain </w:t>
      </w:r>
      <w:r w:rsidRPr="00375AE2" w:rsidR="00F45E9A">
        <w:rPr>
          <w:rFonts w:cs="Times New Roman"/>
        </w:rPr>
        <w:t xml:space="preserve">whether this staggering amount </w:t>
      </w:r>
      <w:r w:rsidRPr="00375AE2">
        <w:rPr>
          <w:rFonts w:cs="Times New Roman"/>
        </w:rPr>
        <w:t>has been worth it for consumers.  Unless and until AEP Ohio shows that it has been, it should not be allowed to spend an additional billion dollars on more smart grid.  AEP Ohio’s application should be rejected.</w:t>
      </w:r>
    </w:p>
    <w:p w:rsidR="00580848" w:rsidRPr="00375AE2" w:rsidP="00412455" w14:paraId="39DE90B9" w14:textId="77777777">
      <w:pPr>
        <w:pStyle w:val="BodyTextIndent3"/>
        <w:widowControl w:val="0"/>
        <w:spacing w:line="480" w:lineRule="auto"/>
        <w:ind w:left="3600"/>
        <w:rPr>
          <w:rFonts w:cs="Times New Roman"/>
          <w:sz w:val="24"/>
          <w:szCs w:val="24"/>
        </w:rPr>
      </w:pPr>
      <w:r w:rsidRPr="00375AE2">
        <w:rPr>
          <w:rFonts w:cs="Times New Roman"/>
          <w:sz w:val="24"/>
          <w:szCs w:val="24"/>
        </w:rPr>
        <w:t>Respectfully submitted,</w:t>
      </w:r>
    </w:p>
    <w:p w:rsidR="00580848" w:rsidRPr="00375AE2" w:rsidP="00412455" w14:paraId="2A62D663" w14:textId="77777777">
      <w:pPr>
        <w:ind w:left="3600"/>
        <w:rPr>
          <w:rFonts w:cs="Times New Roman"/>
        </w:rPr>
      </w:pPr>
      <w:r w:rsidRPr="00375AE2">
        <w:rPr>
          <w:rFonts w:cs="Times New Roman"/>
        </w:rPr>
        <w:t>Bruce Weston (0016973)</w:t>
      </w:r>
    </w:p>
    <w:p w:rsidR="00580848" w:rsidRPr="00375AE2" w:rsidP="00412455" w14:paraId="2CC74AE4" w14:textId="77777777">
      <w:pPr>
        <w:tabs>
          <w:tab w:val="left" w:pos="4320"/>
        </w:tabs>
        <w:ind w:left="3600"/>
        <w:rPr>
          <w:rFonts w:cs="Times New Roman"/>
        </w:rPr>
      </w:pPr>
      <w:r w:rsidRPr="00375AE2">
        <w:rPr>
          <w:rFonts w:cs="Times New Roman"/>
        </w:rPr>
        <w:t>Ohio Consumers’ Counsel</w:t>
      </w:r>
    </w:p>
    <w:p w:rsidR="00580848" w:rsidRPr="00375AE2" w:rsidP="00412455" w14:paraId="7490C5C5" w14:textId="77777777">
      <w:pPr>
        <w:tabs>
          <w:tab w:val="left" w:pos="4320"/>
        </w:tabs>
        <w:ind w:left="3600"/>
        <w:rPr>
          <w:rFonts w:cs="Times New Roman"/>
        </w:rPr>
      </w:pPr>
    </w:p>
    <w:p w:rsidR="00580848" w:rsidRPr="00375AE2" w:rsidP="00412455" w14:paraId="71001890" w14:textId="77777777">
      <w:pPr>
        <w:autoSpaceDE w:val="0"/>
        <w:autoSpaceDN w:val="0"/>
        <w:adjustRightInd w:val="0"/>
        <w:ind w:left="3600"/>
        <w:rPr>
          <w:rFonts w:cs="Times New Roman"/>
          <w:i/>
        </w:rPr>
      </w:pPr>
      <w:r w:rsidRPr="00375AE2">
        <w:rPr>
          <w:rFonts w:cs="Times New Roman"/>
          <w:i/>
          <w:u w:val="single"/>
        </w:rPr>
        <w:t>/s/ William J. Michael</w:t>
      </w:r>
      <w:r w:rsidRPr="00375AE2">
        <w:rPr>
          <w:rFonts w:cs="Times New Roman"/>
          <w:i/>
          <w:u w:val="single"/>
        </w:rPr>
        <w:tab/>
      </w:r>
    </w:p>
    <w:p w:rsidR="00580848" w:rsidRPr="00375AE2" w:rsidP="00412455" w14:paraId="2BBB5236" w14:textId="77777777">
      <w:pPr>
        <w:tabs>
          <w:tab w:val="left" w:pos="4320"/>
        </w:tabs>
        <w:ind w:left="3600"/>
        <w:rPr>
          <w:rFonts w:cs="Times New Roman"/>
        </w:rPr>
      </w:pPr>
      <w:r w:rsidRPr="00375AE2">
        <w:rPr>
          <w:rFonts w:cs="Times New Roman"/>
        </w:rPr>
        <w:t>William J. Michael (0070921)</w:t>
      </w:r>
    </w:p>
    <w:p w:rsidR="00580848" w:rsidRPr="00375AE2" w:rsidP="00412455" w14:paraId="4C4DABDF" w14:textId="77777777">
      <w:pPr>
        <w:tabs>
          <w:tab w:val="left" w:pos="4320"/>
        </w:tabs>
        <w:ind w:left="3600"/>
        <w:rPr>
          <w:rFonts w:cs="Times New Roman"/>
        </w:rPr>
      </w:pPr>
      <w:r w:rsidRPr="00375AE2">
        <w:rPr>
          <w:rFonts w:cs="Times New Roman"/>
        </w:rPr>
        <w:t>Counsel of Record</w:t>
      </w:r>
    </w:p>
    <w:p w:rsidR="00580848" w:rsidRPr="00375AE2" w:rsidP="00412455" w14:paraId="5AC76413" w14:textId="77777777">
      <w:pPr>
        <w:tabs>
          <w:tab w:val="left" w:pos="4320"/>
        </w:tabs>
        <w:ind w:left="3600"/>
        <w:rPr>
          <w:rFonts w:cs="Times New Roman"/>
        </w:rPr>
      </w:pPr>
      <w:r w:rsidRPr="00375AE2">
        <w:rPr>
          <w:rFonts w:cs="Times New Roman"/>
        </w:rPr>
        <w:t>Amy Botschner O’Brien (0074423)</w:t>
      </w:r>
    </w:p>
    <w:p w:rsidR="00580848" w:rsidRPr="00375AE2" w:rsidP="00412455" w14:paraId="2E57137B" w14:textId="77777777">
      <w:pPr>
        <w:tabs>
          <w:tab w:val="left" w:pos="4320"/>
        </w:tabs>
        <w:ind w:left="3600"/>
        <w:rPr>
          <w:rFonts w:cs="Times New Roman"/>
        </w:rPr>
      </w:pPr>
      <w:r w:rsidRPr="00375AE2">
        <w:rPr>
          <w:rFonts w:cs="Times New Roman"/>
        </w:rPr>
        <w:t>Ambrosia Logsdon (0096598)</w:t>
      </w:r>
    </w:p>
    <w:p w:rsidR="00580848" w:rsidRPr="00375AE2" w:rsidP="00412455" w14:paraId="5D9322B5" w14:textId="77777777">
      <w:pPr>
        <w:tabs>
          <w:tab w:val="left" w:pos="4320"/>
        </w:tabs>
        <w:ind w:left="3600"/>
        <w:rPr>
          <w:rFonts w:cs="Times New Roman"/>
        </w:rPr>
      </w:pPr>
      <w:r w:rsidRPr="00375AE2">
        <w:rPr>
          <w:rFonts w:cs="Times New Roman"/>
        </w:rPr>
        <w:t>Assistant Consumers’ Counsel</w:t>
      </w:r>
    </w:p>
    <w:p w:rsidR="00412455" w:rsidRPr="00375AE2" w:rsidP="00412455" w14:paraId="70A76F77" w14:textId="77777777">
      <w:pPr>
        <w:ind w:left="3600"/>
        <w:rPr>
          <w:rFonts w:cs="Times New Roman"/>
        </w:rPr>
      </w:pPr>
    </w:p>
    <w:p w:rsidR="00580848" w:rsidRPr="00375AE2" w:rsidP="00412455" w14:paraId="626C0FC8" w14:textId="77777777">
      <w:pPr>
        <w:ind w:left="3600"/>
        <w:rPr>
          <w:rFonts w:cs="Times New Roman"/>
          <w:b/>
          <w:bCs/>
        </w:rPr>
      </w:pPr>
      <w:r w:rsidRPr="00375AE2">
        <w:rPr>
          <w:rFonts w:cs="Times New Roman"/>
          <w:b/>
          <w:bCs/>
        </w:rPr>
        <w:t>Office of the Ohio Consumers’ Counsel</w:t>
      </w:r>
    </w:p>
    <w:p w:rsidR="00580848" w:rsidRPr="00375AE2" w:rsidP="00412455" w14:paraId="66A646B1" w14:textId="77777777">
      <w:pPr>
        <w:ind w:left="3600"/>
        <w:rPr>
          <w:rFonts w:cs="Times New Roman"/>
        </w:rPr>
      </w:pPr>
      <w:r w:rsidRPr="00375AE2">
        <w:rPr>
          <w:rFonts w:cs="Times New Roman"/>
        </w:rPr>
        <w:t>65 East State Street, 7</w:t>
      </w:r>
      <w:r w:rsidRPr="00375AE2">
        <w:rPr>
          <w:rFonts w:cs="Times New Roman"/>
          <w:vertAlign w:val="superscript"/>
        </w:rPr>
        <w:t>th</w:t>
      </w:r>
      <w:r w:rsidRPr="00375AE2">
        <w:rPr>
          <w:rFonts w:cs="Times New Roman"/>
        </w:rPr>
        <w:t xml:space="preserve"> Floor</w:t>
      </w:r>
    </w:p>
    <w:p w:rsidR="00580848" w:rsidRPr="00375AE2" w:rsidP="00412455" w14:paraId="13F2E8BE" w14:textId="77777777">
      <w:pPr>
        <w:ind w:left="3600"/>
        <w:rPr>
          <w:rFonts w:cs="Times New Roman"/>
        </w:rPr>
      </w:pPr>
      <w:r w:rsidRPr="00375AE2">
        <w:rPr>
          <w:rFonts w:cs="Times New Roman"/>
        </w:rPr>
        <w:t>Columbus, Ohio 43215-4213</w:t>
      </w:r>
    </w:p>
    <w:p w:rsidR="00580848" w:rsidRPr="00375AE2" w:rsidP="00412455" w14:paraId="68D77ED6" w14:textId="77777777">
      <w:pPr>
        <w:autoSpaceDE w:val="0"/>
        <w:autoSpaceDN w:val="0"/>
        <w:adjustRightInd w:val="0"/>
        <w:ind w:left="3600"/>
        <w:rPr>
          <w:rFonts w:cs="Times New Roman"/>
        </w:rPr>
      </w:pPr>
      <w:r w:rsidRPr="00375AE2">
        <w:rPr>
          <w:rFonts w:cs="Times New Roman"/>
        </w:rPr>
        <w:t>Telephone [M</w:t>
      </w:r>
      <w:r w:rsidRPr="00375AE2" w:rsidR="00637D8D">
        <w:rPr>
          <w:rFonts w:cs="Times New Roman"/>
        </w:rPr>
        <w:t>ichael</w:t>
      </w:r>
      <w:r w:rsidRPr="00375AE2">
        <w:rPr>
          <w:rFonts w:cs="Times New Roman"/>
        </w:rPr>
        <w:t>]: (614) 466-</w:t>
      </w:r>
      <w:r w:rsidRPr="00375AE2" w:rsidR="00637D8D">
        <w:rPr>
          <w:rFonts w:cs="Times New Roman"/>
        </w:rPr>
        <w:t>1291</w:t>
      </w:r>
    </w:p>
    <w:p w:rsidR="00580848" w:rsidRPr="00375AE2" w:rsidP="00412455" w14:paraId="2E29D254" w14:textId="77777777">
      <w:pPr>
        <w:autoSpaceDE w:val="0"/>
        <w:autoSpaceDN w:val="0"/>
        <w:adjustRightInd w:val="0"/>
        <w:ind w:left="3600"/>
        <w:rPr>
          <w:rFonts w:cs="Times New Roman"/>
        </w:rPr>
      </w:pPr>
      <w:r w:rsidRPr="00375AE2">
        <w:rPr>
          <w:rFonts w:cs="Times New Roman"/>
        </w:rPr>
        <w:t>Telephone [Botschner O’Brien]: (614) 466-9575</w:t>
      </w:r>
    </w:p>
    <w:p w:rsidR="00637D8D" w:rsidRPr="00375AE2" w:rsidP="00412455" w14:paraId="15769A4A" w14:textId="77777777">
      <w:pPr>
        <w:autoSpaceDE w:val="0"/>
        <w:autoSpaceDN w:val="0"/>
        <w:adjustRightInd w:val="0"/>
        <w:ind w:left="3600"/>
        <w:rPr>
          <w:rFonts w:cs="Times New Roman"/>
        </w:rPr>
      </w:pPr>
      <w:r w:rsidRPr="00375AE2">
        <w:rPr>
          <w:rFonts w:cs="Times New Roman"/>
        </w:rPr>
        <w:t>Telephone [Logsdon]: (614) 466-1292</w:t>
      </w:r>
    </w:p>
    <w:p w:rsidR="00580848" w:rsidRPr="00375AE2" w:rsidP="00412455" w14:paraId="0209BE16" w14:textId="77777777">
      <w:pPr>
        <w:ind w:left="3600"/>
        <w:rPr>
          <w:rStyle w:val="Hyperlink"/>
          <w:rFonts w:cs="Times New Roman"/>
        </w:rPr>
      </w:pPr>
      <w:hyperlink r:id="rId6" w:history="1">
        <w:r w:rsidRPr="00375AE2" w:rsidR="00637D8D">
          <w:rPr>
            <w:rStyle w:val="Hyperlink"/>
            <w:rFonts w:cs="Times New Roman"/>
          </w:rPr>
          <w:t>william.michael@occ.ohio.gov</w:t>
        </w:r>
      </w:hyperlink>
    </w:p>
    <w:p w:rsidR="00580848" w:rsidRPr="00375AE2" w:rsidP="00412455" w14:paraId="4ACE041E" w14:textId="77777777">
      <w:pPr>
        <w:ind w:left="3600"/>
        <w:rPr>
          <w:rStyle w:val="Hyperlink"/>
          <w:rFonts w:cs="Times New Roman"/>
        </w:rPr>
      </w:pPr>
      <w:hyperlink r:id="rId7" w:history="1">
        <w:r w:rsidRPr="00375AE2" w:rsidR="00412455">
          <w:rPr>
            <w:rStyle w:val="Hyperlink"/>
            <w:rFonts w:cs="Times New Roman"/>
          </w:rPr>
          <w:t>amy.botschner.obrien@occ.ohio.gov</w:t>
        </w:r>
      </w:hyperlink>
    </w:p>
    <w:p w:rsidR="00637D8D" w:rsidRPr="00375AE2" w:rsidP="00412455" w14:paraId="5C80E098" w14:textId="77777777">
      <w:pPr>
        <w:ind w:left="3600"/>
        <w:rPr>
          <w:rStyle w:val="Hyperlink"/>
          <w:rFonts w:cs="Times New Roman"/>
        </w:rPr>
      </w:pPr>
      <w:r w:rsidRPr="00375AE2">
        <w:rPr>
          <w:rStyle w:val="Hyperlink"/>
          <w:rFonts w:cs="Times New Roman"/>
        </w:rPr>
        <w:t>ambrosia.logsdon@occ.ohio.gov</w:t>
      </w:r>
    </w:p>
    <w:p w:rsidR="00580848" w:rsidRPr="00375AE2" w:rsidP="00412455" w14:paraId="57351510" w14:textId="77777777">
      <w:pPr>
        <w:ind w:left="3600"/>
        <w:rPr>
          <w:rFonts w:cs="Times New Roman"/>
        </w:rPr>
      </w:pPr>
      <w:r w:rsidRPr="00375AE2">
        <w:rPr>
          <w:rFonts w:cs="Times New Roman"/>
        </w:rPr>
        <w:t>(willing to accept service by e-mail)</w:t>
      </w:r>
    </w:p>
    <w:p w:rsidR="00580848" w:rsidRPr="00375AE2" w:rsidP="00580848" w14:paraId="2A75EB98" w14:textId="77777777">
      <w:pPr>
        <w:ind w:left="4320"/>
        <w:rPr>
          <w:rFonts w:cs="Times New Roman"/>
        </w:rPr>
      </w:pPr>
    </w:p>
    <w:p w:rsidR="00580848" w:rsidRPr="00375AE2" w:rsidP="00580848" w14:paraId="08DBE576" w14:textId="77777777">
      <w:pPr>
        <w:rPr>
          <w:rFonts w:cs="Times New Roman"/>
        </w:rPr>
      </w:pP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rPr>
        <w:tab/>
      </w:r>
      <w:r w:rsidRPr="00375AE2">
        <w:rPr>
          <w:rFonts w:cs="Times New Roman"/>
        </w:rPr>
        <w:tab/>
      </w:r>
    </w:p>
    <w:p w:rsidR="00580848" w:rsidRPr="00375AE2" w:rsidP="00580848" w14:paraId="76FE9F07" w14:textId="77777777">
      <w:pPr>
        <w:jc w:val="center"/>
        <w:rPr>
          <w:rFonts w:cs="Times New Roman"/>
          <w:b/>
          <w:bCs/>
          <w:u w:val="single"/>
        </w:rPr>
        <w:sectPr w:rsidSect="00E075D1">
          <w:headerReference w:type="default" r:id="rId10"/>
          <w:pgSz w:w="12240" w:h="15840"/>
          <w:pgMar w:top="1440" w:right="1800" w:bottom="1440" w:left="1800" w:header="720" w:footer="720" w:gutter="0"/>
          <w:pgNumType w:start="1"/>
          <w:cols w:space="720"/>
          <w:docGrid w:linePitch="360"/>
        </w:sectPr>
      </w:pPr>
    </w:p>
    <w:p w:rsidR="00637D8D" w:rsidRPr="00375AE2" w14:paraId="2127D478" w14:textId="77777777">
      <w:pPr>
        <w:spacing w:line="276" w:lineRule="auto"/>
        <w:rPr>
          <w:rFonts w:cs="Times New Roman"/>
          <w:b/>
          <w:bCs/>
          <w:u w:val="single"/>
        </w:rPr>
      </w:pPr>
      <w:r w:rsidRPr="00375AE2">
        <w:rPr>
          <w:rFonts w:cs="Times New Roman"/>
          <w:b/>
          <w:bCs/>
          <w:u w:val="single"/>
        </w:rPr>
        <w:br w:type="page"/>
      </w:r>
    </w:p>
    <w:p w:rsidR="00580848" w:rsidRPr="00375AE2" w:rsidP="00580848" w14:paraId="100EBC10" w14:textId="77777777">
      <w:pPr>
        <w:jc w:val="center"/>
        <w:rPr>
          <w:rFonts w:cs="Times New Roman"/>
          <w:b/>
          <w:bCs/>
          <w:u w:val="single"/>
        </w:rPr>
      </w:pPr>
      <w:r w:rsidRPr="00375AE2">
        <w:rPr>
          <w:rFonts w:cs="Times New Roman"/>
          <w:b/>
          <w:bCs/>
          <w:u w:val="single"/>
        </w:rPr>
        <w:t>CERTIFICATE OF SERVICE</w:t>
      </w:r>
    </w:p>
    <w:p w:rsidR="00580848" w:rsidRPr="00375AE2" w:rsidP="00580848" w14:paraId="20517BB2" w14:textId="77777777">
      <w:pPr>
        <w:jc w:val="center"/>
        <w:rPr>
          <w:rFonts w:cs="Times New Roman"/>
          <w:b/>
          <w:bCs/>
          <w:u w:val="single"/>
        </w:rPr>
      </w:pPr>
    </w:p>
    <w:p w:rsidR="00580848" w:rsidRPr="00375AE2" w:rsidP="00580848" w14:paraId="710312E2" w14:textId="77777777">
      <w:pPr>
        <w:spacing w:line="480" w:lineRule="atLeast"/>
        <w:ind w:firstLine="720"/>
        <w:rPr>
          <w:rFonts w:cs="Times New Roman"/>
        </w:rPr>
      </w:pPr>
      <w:r w:rsidRPr="00375AE2">
        <w:rPr>
          <w:rFonts w:cs="Times New Roman"/>
        </w:rPr>
        <w:t xml:space="preserve">I hereby certify that a copy of these Comments </w:t>
      </w:r>
      <w:r w:rsidRPr="00375AE2" w:rsidR="00637D8D">
        <w:rPr>
          <w:rFonts w:cs="Times New Roman"/>
        </w:rPr>
        <w:t>w</w:t>
      </w:r>
      <w:r w:rsidRPr="00375AE2">
        <w:rPr>
          <w:rFonts w:cs="Times New Roman"/>
        </w:rPr>
        <w:t>ere served on the persons stated below via</w:t>
      </w:r>
      <w:r w:rsidRPr="00375AE2">
        <w:rPr>
          <w:rFonts w:cs="Times New Roman"/>
          <w:i/>
        </w:rPr>
        <w:t xml:space="preserve"> </w:t>
      </w:r>
      <w:r w:rsidRPr="00375AE2">
        <w:rPr>
          <w:rFonts w:cs="Times New Roman"/>
        </w:rPr>
        <w:t>electric transmission this</w:t>
      </w:r>
      <w:r w:rsidRPr="00375AE2" w:rsidR="00764FF4">
        <w:rPr>
          <w:rFonts w:cs="Times New Roman"/>
        </w:rPr>
        <w:t xml:space="preserve"> </w:t>
      </w:r>
      <w:r w:rsidRPr="00375AE2">
        <w:rPr>
          <w:rFonts w:cs="Times New Roman"/>
        </w:rPr>
        <w:t>9</w:t>
      </w:r>
      <w:r w:rsidRPr="00375AE2" w:rsidR="00764FF4">
        <w:rPr>
          <w:rFonts w:cs="Times New Roman"/>
          <w:vertAlign w:val="superscript"/>
        </w:rPr>
        <w:t>th</w:t>
      </w:r>
      <w:r w:rsidRPr="00375AE2" w:rsidR="00764FF4">
        <w:rPr>
          <w:rFonts w:cs="Times New Roman"/>
        </w:rPr>
        <w:t xml:space="preserve"> </w:t>
      </w:r>
      <w:r w:rsidRPr="00375AE2">
        <w:rPr>
          <w:rFonts w:cs="Times New Roman"/>
        </w:rPr>
        <w:t>day of September</w:t>
      </w:r>
      <w:r w:rsidRPr="00375AE2" w:rsidR="00637D8D">
        <w:rPr>
          <w:rFonts w:cs="Times New Roman"/>
        </w:rPr>
        <w:t xml:space="preserve"> 2020</w:t>
      </w:r>
      <w:r w:rsidRPr="00375AE2">
        <w:rPr>
          <w:rFonts w:cs="Times New Roman"/>
        </w:rPr>
        <w:t>.</w:t>
      </w:r>
    </w:p>
    <w:p w:rsidR="00580848" w:rsidRPr="00375AE2" w:rsidP="00580848" w14:paraId="1DF86349" w14:textId="77777777">
      <w:pPr>
        <w:spacing w:line="480" w:lineRule="atLeast"/>
        <w:rPr>
          <w:rFonts w:cs="Times New Roman"/>
        </w:rPr>
      </w:pPr>
    </w:p>
    <w:p w:rsidR="00580848" w:rsidRPr="00375AE2" w:rsidP="00580848" w14:paraId="5D05B2AC" w14:textId="77777777">
      <w:pPr>
        <w:autoSpaceDE w:val="0"/>
        <w:autoSpaceDN w:val="0"/>
        <w:adjustRightInd w:val="0"/>
        <w:ind w:left="4320"/>
        <w:rPr>
          <w:rFonts w:cs="Times New Roman"/>
          <w:i/>
        </w:rPr>
      </w:pPr>
      <w:r w:rsidRPr="00375AE2">
        <w:rPr>
          <w:rFonts w:cs="Times New Roman"/>
          <w:i/>
          <w:u w:val="single"/>
        </w:rPr>
        <w:t>/s/ </w:t>
      </w:r>
      <w:r w:rsidRPr="00375AE2" w:rsidR="00637D8D">
        <w:rPr>
          <w:rFonts w:cs="Times New Roman"/>
          <w:i/>
          <w:u w:val="single"/>
        </w:rPr>
        <w:t>William J. Michael</w:t>
      </w:r>
      <w:r w:rsidRPr="00375AE2">
        <w:rPr>
          <w:rFonts w:cs="Times New Roman"/>
          <w:i/>
          <w:u w:val="single"/>
        </w:rPr>
        <w:tab/>
      </w:r>
    </w:p>
    <w:p w:rsidR="00580848" w:rsidRPr="00375AE2" w:rsidP="00580848" w14:paraId="3EA45171" w14:textId="77777777">
      <w:pPr>
        <w:tabs>
          <w:tab w:val="left" w:pos="4320"/>
        </w:tabs>
        <w:ind w:left="4320"/>
        <w:rPr>
          <w:rFonts w:cs="Times New Roman"/>
        </w:rPr>
      </w:pPr>
      <w:r w:rsidRPr="00375AE2">
        <w:rPr>
          <w:rFonts w:cs="Times New Roman"/>
        </w:rPr>
        <w:t>William J. Michael</w:t>
      </w:r>
    </w:p>
    <w:p w:rsidR="00637D8D" w:rsidRPr="00375AE2" w:rsidP="00580848" w14:paraId="40D5378A" w14:textId="77777777">
      <w:pPr>
        <w:tabs>
          <w:tab w:val="left" w:pos="4320"/>
        </w:tabs>
        <w:ind w:left="4320"/>
        <w:rPr>
          <w:rFonts w:cs="Times New Roman"/>
        </w:rPr>
      </w:pPr>
      <w:r w:rsidRPr="00375AE2">
        <w:rPr>
          <w:rFonts w:cs="Times New Roman"/>
        </w:rPr>
        <w:t>Assistant Consumers’ Counsel</w:t>
      </w:r>
    </w:p>
    <w:p w:rsidR="00580848" w:rsidRPr="00375AE2" w:rsidP="00580848" w14:paraId="4EC07AA7" w14:textId="77777777">
      <w:pPr>
        <w:pStyle w:val="CommentSubject"/>
        <w:rPr>
          <w:szCs w:val="24"/>
        </w:rPr>
      </w:pPr>
    </w:p>
    <w:p w:rsidR="00580848" w:rsidRPr="00375AE2" w:rsidP="00580848" w14:paraId="492E4A7C" w14:textId="77777777">
      <w:pPr>
        <w:pStyle w:val="CommentText"/>
        <w:rPr>
          <w:rFonts w:cs="Times New Roman"/>
        </w:rPr>
      </w:pPr>
      <w:r w:rsidRPr="00375AE2">
        <w:rPr>
          <w:rFonts w:cs="Times New Roman"/>
        </w:rPr>
        <w:t>The PUCO’s e-filing system will electronically serve notice of the filing of this document on the following parties:</w:t>
      </w:r>
    </w:p>
    <w:p w:rsidR="00580848" w:rsidRPr="00375AE2" w:rsidP="00580848" w14:paraId="0FEC4D84" w14:textId="77777777">
      <w:pPr>
        <w:pStyle w:val="CommentText"/>
        <w:rPr>
          <w:rFonts w:cs="Times New Roman"/>
        </w:rPr>
      </w:pPr>
    </w:p>
    <w:p w:rsidR="00580848" w:rsidRPr="00375AE2" w:rsidP="00580848" w14:paraId="77668BF4" w14:textId="77777777">
      <w:pPr>
        <w:pStyle w:val="CommentText"/>
        <w:jc w:val="center"/>
        <w:rPr>
          <w:rFonts w:cs="Times New Roman"/>
          <w:b/>
          <w:u w:val="single"/>
        </w:rPr>
      </w:pPr>
      <w:r w:rsidRPr="00375AE2">
        <w:rPr>
          <w:rFonts w:cs="Times New Roman"/>
          <w:b/>
          <w:u w:val="single"/>
        </w:rPr>
        <w:t>SERVICE LIST</w:t>
      </w:r>
    </w:p>
    <w:p w:rsidR="00580848" w:rsidRPr="00375AE2" w:rsidP="00580848" w14:paraId="34140907" w14:textId="77777777">
      <w:pPr>
        <w:pStyle w:val="CommentText"/>
        <w:jc w:val="center"/>
        <w:rPr>
          <w:rFonts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6"/>
        <w:gridCol w:w="4284"/>
      </w:tblGrid>
      <w:tr w14:paraId="3E6D3A3C" w14:textId="77777777" w:rsidTr="008849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580848" w:rsidRPr="00375AE2" w:rsidP="00884997" w14:paraId="7FAB0EE8" w14:textId="77777777">
            <w:pPr>
              <w:pStyle w:val="CommentText"/>
              <w:rPr>
                <w:rFonts w:ascii="Times New Roman" w:hAnsi="Times New Roman" w:cs="Times New Roman"/>
                <w:sz w:val="24"/>
              </w:rPr>
            </w:pPr>
            <w:hyperlink r:id="rId11" w:history="1">
              <w:r w:rsidRPr="00375AE2" w:rsidR="00F1015E">
                <w:rPr>
                  <w:rStyle w:val="Hyperlink"/>
                  <w:rFonts w:ascii="Times New Roman" w:hAnsi="Times New Roman" w:cs="Times New Roman"/>
                  <w:sz w:val="24"/>
                </w:rPr>
                <w:t>Werner.margard@ohioattorneygeneral.gov</w:t>
              </w:r>
            </w:hyperlink>
          </w:p>
          <w:p w:rsidR="00580848" w:rsidRPr="00375AE2" w:rsidP="00884997" w14:paraId="6067D16A" w14:textId="77777777">
            <w:pPr>
              <w:pStyle w:val="CommentText"/>
              <w:rPr>
                <w:rFonts w:ascii="Times New Roman" w:hAnsi="Times New Roman" w:cs="Times New Roman"/>
                <w:color w:val="0000FF"/>
                <w:sz w:val="24"/>
              </w:rPr>
            </w:pPr>
            <w:hyperlink r:id="rId12" w:history="1">
              <w:r w:rsidRPr="00375AE2" w:rsidR="00412455">
                <w:rPr>
                  <w:rStyle w:val="Hyperlink"/>
                  <w:rFonts w:ascii="Times New Roman" w:hAnsi="Times New Roman" w:cs="Times New Roman"/>
                  <w:sz w:val="24"/>
                </w:rPr>
                <w:t>bethany.allen@igs.com</w:t>
              </w:r>
            </w:hyperlink>
          </w:p>
          <w:p w:rsidR="00580848" w:rsidRPr="00375AE2" w:rsidP="00884997" w14:paraId="09D9C885" w14:textId="77777777">
            <w:pPr>
              <w:pStyle w:val="CommentText"/>
              <w:rPr>
                <w:rFonts w:ascii="Times New Roman" w:hAnsi="Times New Roman" w:cs="Times New Roman"/>
                <w:color w:val="0000FF"/>
                <w:sz w:val="24"/>
              </w:rPr>
            </w:pPr>
            <w:hyperlink r:id="rId13" w:history="1">
              <w:r w:rsidRPr="00375AE2" w:rsidR="00412455">
                <w:rPr>
                  <w:rStyle w:val="Hyperlink"/>
                  <w:rFonts w:ascii="Times New Roman" w:hAnsi="Times New Roman" w:cs="Times New Roman"/>
                  <w:sz w:val="24"/>
                </w:rPr>
                <w:t>joe.oliker@igs.com</w:t>
              </w:r>
            </w:hyperlink>
          </w:p>
          <w:p w:rsidR="00580848" w:rsidRPr="00375AE2" w:rsidP="00884997" w14:paraId="02EE5735" w14:textId="77777777">
            <w:pPr>
              <w:pStyle w:val="CommentText"/>
              <w:rPr>
                <w:rStyle w:val="Hyperlink"/>
                <w:rFonts w:ascii="Times New Roman" w:hAnsi="Times New Roman" w:cs="Times New Roman"/>
                <w:sz w:val="24"/>
              </w:rPr>
            </w:pPr>
            <w:hyperlink r:id="rId14" w:history="1">
              <w:r w:rsidRPr="00375AE2" w:rsidR="00412455">
                <w:rPr>
                  <w:rStyle w:val="Hyperlink"/>
                  <w:rFonts w:ascii="Times New Roman" w:hAnsi="Times New Roman" w:cs="Times New Roman"/>
                  <w:sz w:val="24"/>
                </w:rPr>
                <w:t>michael.nugent@igs.com</w:t>
              </w:r>
            </w:hyperlink>
          </w:p>
          <w:p w:rsidR="00580848" w:rsidRPr="00375AE2" w:rsidP="00884997" w14:paraId="0C944B46" w14:textId="77777777">
            <w:pPr>
              <w:pStyle w:val="CommentText"/>
              <w:rPr>
                <w:rFonts w:ascii="Times New Roman" w:hAnsi="Times New Roman" w:cs="Times New Roman"/>
                <w:color w:val="0000FF"/>
                <w:sz w:val="24"/>
              </w:rPr>
            </w:pPr>
            <w:hyperlink r:id="rId15" w:history="1">
              <w:r w:rsidRPr="00375AE2" w:rsidR="00412455">
                <w:rPr>
                  <w:rStyle w:val="Hyperlink"/>
                  <w:rFonts w:ascii="Times New Roman" w:hAnsi="Times New Roman" w:cs="Times New Roman"/>
                  <w:sz w:val="24"/>
                </w:rPr>
                <w:t>paul@carpenterlipps.com</w:t>
              </w:r>
            </w:hyperlink>
          </w:p>
          <w:p w:rsidR="00580848" w:rsidRPr="00375AE2" w:rsidP="00884997" w14:paraId="301866B1" w14:textId="77777777">
            <w:pPr>
              <w:pStyle w:val="CommentText"/>
              <w:rPr>
                <w:rStyle w:val="Hyperlink"/>
                <w:rFonts w:ascii="Times New Roman" w:hAnsi="Times New Roman" w:cs="Times New Roman"/>
                <w:sz w:val="24"/>
              </w:rPr>
            </w:pPr>
            <w:hyperlink r:id="rId16" w:history="1">
              <w:r w:rsidRPr="00375AE2" w:rsidR="00412455">
                <w:rPr>
                  <w:rStyle w:val="Hyperlink"/>
                  <w:rFonts w:ascii="Times New Roman" w:hAnsi="Times New Roman" w:cs="Times New Roman"/>
                  <w:sz w:val="24"/>
                </w:rPr>
                <w:t>mfleisher@dickinsonwright.com</w:t>
              </w:r>
            </w:hyperlink>
          </w:p>
          <w:p w:rsidR="00F1015E" w:rsidRPr="00375AE2" w:rsidP="00884997" w14:paraId="33286FDB" w14:textId="77777777">
            <w:pPr>
              <w:pStyle w:val="CommentText"/>
              <w:rPr>
                <w:rFonts w:ascii="Times New Roman" w:hAnsi="Times New Roman" w:cs="Times New Roman"/>
                <w:sz w:val="24"/>
              </w:rPr>
            </w:pPr>
            <w:hyperlink r:id="rId17" w:history="1">
              <w:r w:rsidRPr="00375AE2">
                <w:rPr>
                  <w:rStyle w:val="Hyperlink"/>
                  <w:rFonts w:ascii="Times New Roman" w:hAnsi="Times New Roman" w:cs="Times New Roman"/>
                  <w:sz w:val="24"/>
                </w:rPr>
                <w:t>Fdarr2019@gmail.com</w:t>
              </w:r>
            </w:hyperlink>
          </w:p>
          <w:p w:rsidR="00F1015E" w:rsidRPr="00375AE2" w:rsidP="00884997" w14:paraId="3157EDCD" w14:textId="77777777">
            <w:pPr>
              <w:pStyle w:val="CommentText"/>
              <w:rPr>
                <w:rFonts w:ascii="Times New Roman" w:hAnsi="Times New Roman" w:cs="Times New Roman"/>
                <w:sz w:val="24"/>
              </w:rPr>
            </w:pPr>
            <w:hyperlink r:id="rId18" w:history="1">
              <w:r w:rsidRPr="00375AE2">
                <w:rPr>
                  <w:rStyle w:val="Hyperlink"/>
                  <w:rFonts w:ascii="Times New Roman" w:hAnsi="Times New Roman" w:cs="Times New Roman"/>
                  <w:sz w:val="24"/>
                </w:rPr>
                <w:t>mpritchard@mcneeslaw.com</w:t>
              </w:r>
            </w:hyperlink>
          </w:p>
          <w:p w:rsidR="00F1015E" w:rsidRPr="00375AE2" w:rsidP="00884997" w14:paraId="154AAD60" w14:textId="77777777">
            <w:pPr>
              <w:pStyle w:val="CommentText"/>
              <w:rPr>
                <w:rFonts w:ascii="Times New Roman" w:hAnsi="Times New Roman" w:cs="Times New Roman"/>
                <w:color w:val="0000FF"/>
                <w:sz w:val="24"/>
              </w:rPr>
            </w:pPr>
            <w:hyperlink r:id="rId19" w:history="1">
              <w:r w:rsidRPr="00375AE2">
                <w:rPr>
                  <w:rStyle w:val="Hyperlink"/>
                  <w:rFonts w:ascii="Times New Roman" w:hAnsi="Times New Roman" w:cs="Times New Roman"/>
                  <w:sz w:val="24"/>
                </w:rPr>
                <w:t>rkelter@elpc.org</w:t>
              </w:r>
            </w:hyperlink>
          </w:p>
          <w:p w:rsidR="00F1015E" w:rsidRPr="00375AE2" w:rsidP="00884997" w14:paraId="6CE9FA2D" w14:textId="77777777">
            <w:pPr>
              <w:pStyle w:val="CommentText"/>
              <w:rPr>
                <w:rFonts w:ascii="Times New Roman" w:hAnsi="Times New Roman" w:cs="Times New Roman"/>
                <w:color w:val="0000FF"/>
                <w:sz w:val="24"/>
              </w:rPr>
            </w:pPr>
            <w:hyperlink r:id="rId20" w:history="1">
              <w:r w:rsidRPr="00375AE2">
                <w:rPr>
                  <w:rStyle w:val="Hyperlink"/>
                  <w:rFonts w:ascii="Times New Roman" w:hAnsi="Times New Roman" w:cs="Times New Roman"/>
                  <w:sz w:val="24"/>
                </w:rPr>
                <w:t>mo2753@att.com</w:t>
              </w:r>
            </w:hyperlink>
          </w:p>
          <w:p w:rsidR="0041074E" w:rsidRPr="00375AE2" w:rsidP="0041074E" w14:paraId="672F7EAD" w14:textId="77777777">
            <w:pPr>
              <w:autoSpaceDE w:val="0"/>
              <w:autoSpaceDN w:val="0"/>
              <w:adjustRightInd w:val="0"/>
              <w:rPr>
                <w:rFonts w:ascii="Times New Roman" w:hAnsi="Times New Roman" w:cs="Times New Roman"/>
                <w:color w:val="0000FF"/>
                <w:sz w:val="24"/>
              </w:rPr>
            </w:pPr>
            <w:hyperlink r:id="rId21" w:history="1">
              <w:r w:rsidRPr="00375AE2">
                <w:rPr>
                  <w:rStyle w:val="Hyperlink"/>
                  <w:rFonts w:ascii="Times New Roman" w:hAnsi="Times New Roman" w:cs="Times New Roman"/>
                  <w:sz w:val="24"/>
                </w:rPr>
                <w:t>dborcher@bricker.com</w:t>
              </w:r>
            </w:hyperlink>
          </w:p>
          <w:p w:rsidR="0041074E" w:rsidRPr="00375AE2" w:rsidP="0041074E" w14:paraId="241BB1DA" w14:textId="77777777">
            <w:pPr>
              <w:pStyle w:val="CommentText"/>
              <w:rPr>
                <w:rFonts w:ascii="Times New Roman" w:hAnsi="Times New Roman" w:cs="Times New Roman"/>
                <w:color w:val="0000FF"/>
                <w:sz w:val="24"/>
              </w:rPr>
            </w:pPr>
            <w:hyperlink r:id="rId22" w:history="1">
              <w:r w:rsidRPr="00375AE2">
                <w:rPr>
                  <w:rStyle w:val="Hyperlink"/>
                  <w:rFonts w:ascii="Times New Roman" w:hAnsi="Times New Roman" w:cs="Times New Roman"/>
                  <w:sz w:val="24"/>
                </w:rPr>
                <w:t>dparram@bricker.com</w:t>
              </w:r>
            </w:hyperlink>
          </w:p>
          <w:p w:rsidR="0041074E" w:rsidRPr="00375AE2" w:rsidP="0041074E" w14:paraId="5582CD76" w14:textId="77777777">
            <w:pPr>
              <w:pStyle w:val="CommentText"/>
              <w:rPr>
                <w:rFonts w:ascii="Times New Roman" w:hAnsi="Times New Roman" w:cs="Times New Roman"/>
                <w:color w:val="0000FF"/>
                <w:sz w:val="24"/>
              </w:rPr>
            </w:pPr>
          </w:p>
          <w:p w:rsidR="00580848" w:rsidRPr="00375AE2" w:rsidP="00884997" w14:paraId="16111CD5" w14:textId="77777777">
            <w:pPr>
              <w:pStyle w:val="CommentText"/>
              <w:rPr>
                <w:rFonts w:ascii="Times New Roman" w:hAnsi="Times New Roman" w:cs="Times New Roman"/>
                <w:sz w:val="24"/>
              </w:rPr>
            </w:pPr>
            <w:r w:rsidRPr="00375AE2">
              <w:rPr>
                <w:rFonts w:ascii="Times New Roman" w:hAnsi="Times New Roman" w:cs="Times New Roman"/>
                <w:sz w:val="24"/>
              </w:rPr>
              <w:t>Attorney Examiners:</w:t>
            </w:r>
          </w:p>
          <w:p w:rsidR="00580848" w:rsidRPr="00375AE2" w:rsidP="00884997" w14:paraId="298BDF9D" w14:textId="77777777">
            <w:pPr>
              <w:pStyle w:val="CommentText"/>
              <w:rPr>
                <w:rFonts w:ascii="Times New Roman" w:hAnsi="Times New Roman" w:cs="Times New Roman"/>
                <w:sz w:val="24"/>
              </w:rPr>
            </w:pPr>
            <w:hyperlink r:id="rId23" w:history="1">
              <w:r w:rsidRPr="00375AE2" w:rsidR="00412455">
                <w:rPr>
                  <w:rStyle w:val="Hyperlink"/>
                  <w:rFonts w:ascii="Times New Roman" w:hAnsi="Times New Roman" w:cs="Times New Roman"/>
                  <w:sz w:val="24"/>
                </w:rPr>
                <w:t>Sarah.parrot@puco.ohio.gov</w:t>
              </w:r>
            </w:hyperlink>
          </w:p>
          <w:p w:rsidR="00580848" w:rsidRPr="00375AE2" w:rsidP="00884997" w14:paraId="760E4167" w14:textId="77777777">
            <w:pPr>
              <w:pStyle w:val="CommentText"/>
              <w:rPr>
                <w:rFonts w:ascii="Times New Roman" w:hAnsi="Times New Roman" w:cs="Times New Roman"/>
                <w:sz w:val="24"/>
              </w:rPr>
            </w:pPr>
            <w:hyperlink r:id="rId24" w:history="1">
              <w:r w:rsidRPr="00375AE2" w:rsidR="00412455">
                <w:rPr>
                  <w:rStyle w:val="Hyperlink"/>
                  <w:rFonts w:ascii="Times New Roman" w:hAnsi="Times New Roman" w:cs="Times New Roman"/>
                  <w:sz w:val="24"/>
                </w:rPr>
                <w:t>Greta.see@puco.ohio.gov</w:t>
              </w:r>
            </w:hyperlink>
          </w:p>
          <w:p w:rsidR="00580848" w:rsidRPr="00375AE2" w:rsidP="00884997" w14:paraId="1BF0158A" w14:textId="77777777">
            <w:pPr>
              <w:pStyle w:val="CommentText"/>
              <w:rPr>
                <w:rFonts w:ascii="Times New Roman" w:hAnsi="Times New Roman" w:cs="Times New Roman"/>
                <w:sz w:val="24"/>
              </w:rPr>
            </w:pPr>
          </w:p>
        </w:tc>
        <w:tc>
          <w:tcPr>
            <w:tcW w:w="4315" w:type="dxa"/>
          </w:tcPr>
          <w:p w:rsidR="00580848" w:rsidRPr="00375AE2" w:rsidP="00580848" w14:paraId="64771231" w14:textId="77777777">
            <w:pPr>
              <w:pStyle w:val="CommentText"/>
              <w:ind w:left="702"/>
              <w:rPr>
                <w:rFonts w:ascii="Times New Roman" w:hAnsi="Times New Roman" w:cs="Times New Roman"/>
                <w:sz w:val="24"/>
              </w:rPr>
            </w:pPr>
            <w:hyperlink r:id="rId25" w:history="1">
              <w:r w:rsidRPr="00375AE2" w:rsidR="00412455">
                <w:rPr>
                  <w:rStyle w:val="Hyperlink"/>
                  <w:rFonts w:ascii="Times New Roman" w:hAnsi="Times New Roman" w:cs="Times New Roman"/>
                  <w:sz w:val="24"/>
                </w:rPr>
                <w:t>stnourse@aep.com</w:t>
              </w:r>
            </w:hyperlink>
          </w:p>
          <w:p w:rsidR="00580848" w:rsidRPr="00375AE2" w:rsidP="00580848" w14:paraId="4701D172" w14:textId="77777777">
            <w:pPr>
              <w:pStyle w:val="CommentText"/>
              <w:ind w:left="702"/>
              <w:rPr>
                <w:rFonts w:ascii="Times New Roman" w:hAnsi="Times New Roman" w:cs="Times New Roman"/>
                <w:sz w:val="24"/>
              </w:rPr>
            </w:pPr>
            <w:hyperlink r:id="rId26" w:history="1">
              <w:r w:rsidRPr="00375AE2" w:rsidR="00412455">
                <w:rPr>
                  <w:rStyle w:val="Hyperlink"/>
                  <w:rFonts w:ascii="Times New Roman" w:hAnsi="Times New Roman" w:cs="Times New Roman"/>
                  <w:sz w:val="24"/>
                </w:rPr>
                <w:t>cmblend@aep.com</w:t>
              </w:r>
            </w:hyperlink>
          </w:p>
          <w:p w:rsidR="00580848" w:rsidRPr="00375AE2" w:rsidP="00580848" w14:paraId="2BCCCE9E" w14:textId="77777777">
            <w:pPr>
              <w:pStyle w:val="CommentText"/>
              <w:ind w:left="702"/>
              <w:rPr>
                <w:rFonts w:ascii="Times New Roman" w:hAnsi="Times New Roman" w:cs="Times New Roman"/>
                <w:color w:val="0000FF"/>
                <w:sz w:val="24"/>
              </w:rPr>
            </w:pPr>
            <w:hyperlink r:id="rId27" w:history="1">
              <w:r w:rsidRPr="00375AE2" w:rsidR="00412455">
                <w:rPr>
                  <w:rStyle w:val="Hyperlink"/>
                  <w:rFonts w:ascii="Times New Roman" w:hAnsi="Times New Roman" w:cs="Times New Roman"/>
                  <w:sz w:val="24"/>
                </w:rPr>
                <w:t>glpetrucci@vorys.com</w:t>
              </w:r>
            </w:hyperlink>
          </w:p>
          <w:p w:rsidR="00580848" w:rsidRPr="00375AE2" w:rsidP="00580848" w14:paraId="6B1F52D2" w14:textId="77777777">
            <w:pPr>
              <w:autoSpaceDE w:val="0"/>
              <w:autoSpaceDN w:val="0"/>
              <w:adjustRightInd w:val="0"/>
              <w:ind w:left="702"/>
              <w:rPr>
                <w:rStyle w:val="Hyperlink"/>
                <w:rFonts w:ascii="Times New Roman" w:hAnsi="Times New Roman" w:cs="Times New Roman"/>
                <w:sz w:val="24"/>
              </w:rPr>
            </w:pPr>
            <w:hyperlink r:id="rId28" w:history="1">
              <w:r w:rsidRPr="00375AE2" w:rsidR="00412455">
                <w:rPr>
                  <w:rStyle w:val="Hyperlink"/>
                  <w:rFonts w:ascii="Times New Roman" w:hAnsi="Times New Roman" w:cs="Times New Roman"/>
                  <w:sz w:val="24"/>
                </w:rPr>
                <w:t>whitt@whitt-sturtevant.com</w:t>
              </w:r>
            </w:hyperlink>
          </w:p>
          <w:p w:rsidR="00F1015E" w:rsidRPr="00375AE2" w:rsidP="00580848" w14:paraId="2BB930CF" w14:textId="77777777">
            <w:pPr>
              <w:autoSpaceDE w:val="0"/>
              <w:autoSpaceDN w:val="0"/>
              <w:adjustRightInd w:val="0"/>
              <w:ind w:left="702"/>
              <w:rPr>
                <w:rFonts w:ascii="Times New Roman" w:hAnsi="Times New Roman" w:cs="Times New Roman"/>
                <w:sz w:val="24"/>
              </w:rPr>
            </w:pPr>
            <w:hyperlink r:id="rId29" w:history="1">
              <w:r w:rsidRPr="00375AE2">
                <w:rPr>
                  <w:rStyle w:val="Hyperlink"/>
                  <w:rFonts w:ascii="Times New Roman" w:hAnsi="Times New Roman" w:cs="Times New Roman"/>
                  <w:sz w:val="24"/>
                </w:rPr>
                <w:t>fykes@whitt-sturtevant.com</w:t>
              </w:r>
            </w:hyperlink>
          </w:p>
          <w:p w:rsidR="00580848" w:rsidRPr="00375AE2" w:rsidP="00580848" w14:paraId="7A924C0A" w14:textId="77777777">
            <w:pPr>
              <w:pStyle w:val="CommentText"/>
              <w:ind w:left="702"/>
              <w:rPr>
                <w:rStyle w:val="Hyperlink"/>
                <w:rFonts w:ascii="Times New Roman" w:hAnsi="Times New Roman" w:cs="Times New Roman"/>
                <w:sz w:val="24"/>
              </w:rPr>
            </w:pPr>
            <w:hyperlink r:id="rId30" w:history="1">
              <w:r w:rsidRPr="00375AE2" w:rsidR="00412455">
                <w:rPr>
                  <w:rStyle w:val="Hyperlink"/>
                  <w:rFonts w:ascii="Times New Roman" w:hAnsi="Times New Roman" w:cs="Times New Roman"/>
                  <w:sz w:val="24"/>
                </w:rPr>
                <w:t>Bojko@carpenterlipps.com</w:t>
              </w:r>
            </w:hyperlink>
          </w:p>
          <w:p w:rsidR="00F1015E" w:rsidRPr="00375AE2" w:rsidP="00F1015E" w14:paraId="597C097A" w14:textId="77777777">
            <w:pPr>
              <w:autoSpaceDE w:val="0"/>
              <w:autoSpaceDN w:val="0"/>
              <w:adjustRightInd w:val="0"/>
              <w:ind w:left="702"/>
              <w:rPr>
                <w:rFonts w:ascii="Times New Roman" w:hAnsi="Times New Roman" w:cs="Times New Roman"/>
                <w:color w:val="3C78D9"/>
                <w:sz w:val="24"/>
              </w:rPr>
            </w:pPr>
            <w:hyperlink r:id="rId31" w:history="1">
              <w:r w:rsidRPr="00375AE2">
                <w:rPr>
                  <w:rStyle w:val="Hyperlink"/>
                  <w:rFonts w:ascii="Times New Roman" w:hAnsi="Times New Roman" w:cs="Times New Roman"/>
                  <w:sz w:val="24"/>
                </w:rPr>
                <w:t>mleppla@theOEC.org</w:t>
              </w:r>
            </w:hyperlink>
          </w:p>
          <w:p w:rsidR="00F1015E" w:rsidRPr="00375AE2" w:rsidP="00F1015E" w14:paraId="06847241" w14:textId="77777777">
            <w:pPr>
              <w:pStyle w:val="CommentText"/>
              <w:ind w:left="702"/>
              <w:rPr>
                <w:rFonts w:ascii="Times New Roman" w:hAnsi="Times New Roman" w:cs="Times New Roman"/>
                <w:color w:val="1155CD"/>
                <w:sz w:val="24"/>
              </w:rPr>
            </w:pPr>
            <w:hyperlink r:id="rId32" w:history="1">
              <w:r w:rsidRPr="00375AE2">
                <w:rPr>
                  <w:rStyle w:val="Hyperlink"/>
                  <w:rFonts w:ascii="Times New Roman" w:hAnsi="Times New Roman" w:cs="Times New Roman"/>
                  <w:sz w:val="24"/>
                </w:rPr>
                <w:t>ctavenor@theoec.or</w:t>
              </w:r>
            </w:hyperlink>
          </w:p>
          <w:p w:rsidR="00F1015E" w:rsidRPr="00375AE2" w:rsidP="00F1015E" w14:paraId="221FCE6E" w14:textId="77777777">
            <w:pPr>
              <w:pStyle w:val="CommentText"/>
              <w:ind w:left="702"/>
              <w:rPr>
                <w:rFonts w:ascii="Times New Roman" w:hAnsi="Times New Roman" w:cs="Times New Roman"/>
                <w:color w:val="0000FF"/>
                <w:sz w:val="24"/>
              </w:rPr>
            </w:pPr>
            <w:hyperlink r:id="rId33" w:history="1">
              <w:r w:rsidRPr="00375AE2">
                <w:rPr>
                  <w:rStyle w:val="Hyperlink"/>
                  <w:rFonts w:ascii="Times New Roman" w:hAnsi="Times New Roman" w:cs="Times New Roman"/>
                  <w:sz w:val="24"/>
                </w:rPr>
                <w:t>nvijaykar@elpc.org</w:t>
              </w:r>
            </w:hyperlink>
          </w:p>
          <w:p w:rsidR="00F1015E" w:rsidRPr="00375AE2" w:rsidP="00F1015E" w14:paraId="393F08E2" w14:textId="77777777">
            <w:pPr>
              <w:pStyle w:val="CommentText"/>
              <w:ind w:left="702"/>
              <w:rPr>
                <w:rFonts w:ascii="Times New Roman" w:hAnsi="Times New Roman" w:cs="Times New Roman"/>
                <w:sz w:val="24"/>
              </w:rPr>
            </w:pPr>
            <w:hyperlink r:id="rId34" w:history="1">
              <w:r w:rsidRPr="00375AE2">
                <w:rPr>
                  <w:rStyle w:val="Hyperlink"/>
                  <w:rFonts w:ascii="Times New Roman" w:hAnsi="Times New Roman" w:cs="Times New Roman"/>
                  <w:sz w:val="24"/>
                </w:rPr>
                <w:t>BarthRoyer@aol.com</w:t>
              </w:r>
            </w:hyperlink>
          </w:p>
          <w:p w:rsidR="0041074E" w:rsidRPr="00375AE2" w:rsidP="00F1015E" w14:paraId="4244A569" w14:textId="77777777">
            <w:pPr>
              <w:pStyle w:val="CommentText"/>
              <w:ind w:left="702"/>
              <w:rPr>
                <w:rFonts w:ascii="Times New Roman" w:hAnsi="Times New Roman" w:cs="Times New Roman"/>
                <w:color w:val="0000FF"/>
                <w:sz w:val="24"/>
              </w:rPr>
            </w:pPr>
            <w:hyperlink r:id="rId35" w:history="1">
              <w:r w:rsidRPr="00375AE2">
                <w:rPr>
                  <w:rStyle w:val="Hyperlink"/>
                  <w:rFonts w:ascii="Times New Roman" w:hAnsi="Times New Roman" w:cs="Times New Roman"/>
                  <w:sz w:val="24"/>
                </w:rPr>
                <w:t>ccox@elpc.org</w:t>
              </w:r>
            </w:hyperlink>
          </w:p>
          <w:p w:rsidR="0041074E" w:rsidRPr="00375AE2" w:rsidP="00F1015E" w14:paraId="5E8A88C8" w14:textId="77777777">
            <w:pPr>
              <w:pStyle w:val="CommentText"/>
              <w:ind w:left="702"/>
              <w:rPr>
                <w:rFonts w:ascii="Times New Roman" w:hAnsi="Times New Roman" w:cs="Times New Roman"/>
                <w:i/>
                <w:iCs/>
                <w:sz w:val="24"/>
              </w:rPr>
            </w:pPr>
          </w:p>
          <w:p w:rsidR="00F1015E" w:rsidRPr="00375AE2" w:rsidP="00F1015E" w14:paraId="03AE401E" w14:textId="77777777">
            <w:pPr>
              <w:pStyle w:val="CommentText"/>
              <w:ind w:left="702"/>
              <w:rPr>
                <w:rFonts w:ascii="Times New Roman" w:hAnsi="Times New Roman" w:cs="Times New Roman"/>
                <w:color w:val="0000FF"/>
                <w:sz w:val="24"/>
              </w:rPr>
            </w:pPr>
          </w:p>
          <w:p w:rsidR="00F1015E" w:rsidRPr="00375AE2" w:rsidP="00F1015E" w14:paraId="4EDE821C" w14:textId="77777777">
            <w:pPr>
              <w:pStyle w:val="CommentText"/>
              <w:ind w:left="702"/>
              <w:rPr>
                <w:rFonts w:ascii="Times New Roman" w:hAnsi="Times New Roman" w:cs="Times New Roman"/>
                <w:color w:val="1155CD"/>
                <w:sz w:val="24"/>
              </w:rPr>
            </w:pPr>
          </w:p>
          <w:p w:rsidR="00F1015E" w:rsidRPr="00375AE2" w:rsidP="00F1015E" w14:paraId="49324363" w14:textId="77777777">
            <w:pPr>
              <w:pStyle w:val="CommentText"/>
              <w:ind w:left="702"/>
              <w:rPr>
                <w:rFonts w:ascii="Times New Roman" w:hAnsi="Times New Roman" w:cs="Times New Roman"/>
                <w:color w:val="0000FF"/>
                <w:sz w:val="24"/>
              </w:rPr>
            </w:pPr>
          </w:p>
          <w:p w:rsidR="00580848" w:rsidRPr="00375AE2" w:rsidP="00884997" w14:paraId="2850174A" w14:textId="77777777">
            <w:pPr>
              <w:pStyle w:val="CommentText"/>
              <w:rPr>
                <w:rFonts w:ascii="Times New Roman" w:hAnsi="Times New Roman" w:cs="Times New Roman"/>
                <w:sz w:val="24"/>
              </w:rPr>
            </w:pPr>
          </w:p>
          <w:p w:rsidR="00580848" w:rsidRPr="00375AE2" w:rsidP="00884997" w14:paraId="239A420F" w14:textId="77777777">
            <w:pPr>
              <w:pStyle w:val="CommentText"/>
              <w:rPr>
                <w:rFonts w:ascii="Times New Roman" w:hAnsi="Times New Roman" w:cs="Times New Roman"/>
                <w:sz w:val="24"/>
              </w:rPr>
            </w:pPr>
          </w:p>
          <w:p w:rsidR="00580848" w:rsidRPr="00375AE2" w:rsidP="00884997" w14:paraId="6FE4FA8F" w14:textId="77777777">
            <w:pPr>
              <w:pStyle w:val="CommentText"/>
              <w:rPr>
                <w:rFonts w:ascii="Times New Roman" w:hAnsi="Times New Roman" w:cs="Times New Roman"/>
                <w:sz w:val="24"/>
              </w:rPr>
            </w:pPr>
          </w:p>
        </w:tc>
      </w:tr>
      <w:tr w14:paraId="1806347F" w14:textId="77777777" w:rsidTr="00884997">
        <w:tblPrEx>
          <w:tblW w:w="0" w:type="auto"/>
          <w:tblLook w:val="04A0"/>
        </w:tblPrEx>
        <w:tc>
          <w:tcPr>
            <w:tcW w:w="4315" w:type="dxa"/>
          </w:tcPr>
          <w:p w:rsidR="00F1015E" w:rsidRPr="00375AE2" w:rsidP="00884997" w14:paraId="7F5FD40E" w14:textId="77777777">
            <w:pPr>
              <w:pStyle w:val="CommentText"/>
              <w:rPr>
                <w:rFonts w:ascii="Times New Roman" w:hAnsi="Times New Roman" w:cs="Times New Roman"/>
                <w:sz w:val="24"/>
              </w:rPr>
            </w:pPr>
          </w:p>
        </w:tc>
        <w:tc>
          <w:tcPr>
            <w:tcW w:w="4315" w:type="dxa"/>
          </w:tcPr>
          <w:p w:rsidR="00F1015E" w:rsidRPr="00375AE2" w:rsidP="00580848" w14:paraId="1A570923" w14:textId="77777777">
            <w:pPr>
              <w:pStyle w:val="CommentText"/>
              <w:ind w:left="702"/>
              <w:rPr>
                <w:rFonts w:ascii="Times New Roman" w:hAnsi="Times New Roman" w:cs="Times New Roman"/>
                <w:sz w:val="24"/>
              </w:rPr>
            </w:pPr>
          </w:p>
        </w:tc>
      </w:tr>
    </w:tbl>
    <w:p w:rsidR="00580848" w:rsidRPr="00375AE2" w:rsidP="00580848" w14:paraId="4118A921" w14:textId="77777777">
      <w:pPr>
        <w:pStyle w:val="CommentText"/>
        <w:rPr>
          <w:rFonts w:cs="Times New Roman"/>
          <w:b/>
          <w:bCs/>
        </w:rPr>
      </w:pPr>
    </w:p>
    <w:sectPr w:rsidSect="00E91B44">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455" w14:paraId="70629CA2" w14:textId="77777777">
    <w:pPr>
      <w:pStyle w:val="Footer"/>
      <w:jc w:val="center"/>
    </w:pPr>
  </w:p>
  <w:p w:rsidR="00412455" w:rsidRPr="006D4270" w14:paraId="121FD41D"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4279079"/>
      <w:docPartObj>
        <w:docPartGallery w:val="Page Numbers (Bottom of Page)"/>
        <w:docPartUnique/>
      </w:docPartObj>
    </w:sdtPr>
    <w:sdtEndPr>
      <w:rPr>
        <w:noProof/>
      </w:rPr>
    </w:sdtEndPr>
    <w:sdtContent>
      <w:p w:rsidR="00412455" w14:paraId="5D3AA3C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12455" w:rsidRPr="006D4270" w14:paraId="2DA95AEA"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455" w14:paraId="5FFA540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0131314"/>
      <w:docPartObj>
        <w:docPartGallery w:val="Page Numbers (Bottom of Page)"/>
        <w:docPartUnique/>
      </w:docPartObj>
    </w:sdtPr>
    <w:sdtContent>
      <w:p w:rsidR="00412455" w14:paraId="01227C5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12455" w14:paraId="2309C42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455" w14:paraId="4B221FA1" w14:textId="77777777">
    <w:pPr>
      <w:pStyle w:val="Footer"/>
    </w:pPr>
  </w:p>
  <w:p w:rsidR="00412455" w14:paraId="772437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7B1C" w14:paraId="3A224FDC" w14:textId="77777777">
      <w:r>
        <w:separator/>
      </w:r>
    </w:p>
  </w:footnote>
  <w:footnote w:type="continuationSeparator" w:id="1">
    <w:p w:rsidR="008A7B1C" w14:paraId="32573BAB" w14:textId="77777777">
      <w:r>
        <w:continuationSeparator/>
      </w:r>
    </w:p>
  </w:footnote>
  <w:footnote w:id="2">
    <w:p w:rsidR="00412455" w:rsidRPr="00375AE2" w:rsidP="00375AE2" w14:paraId="644CED48"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Case No. 19-1475-EL-RDR, Direct Testimony of Scott S. Osterholt, Exhibit SSO-3  (July 26, 2019) at 20 (“Osterholt Direct”). </w:t>
      </w:r>
    </w:p>
  </w:footnote>
  <w:footnote w:id="3">
    <w:p w:rsidR="00412455" w:rsidRPr="00375AE2" w:rsidP="00375AE2" w14:paraId="7637C289"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(July 26, 2019) at 3; </w:t>
      </w:r>
      <w:r w:rsidRPr="00375AE2">
        <w:rPr>
          <w:rFonts w:ascii="Times New Roman" w:hAnsi="Times New Roman" w:cs="Times New Roman"/>
          <w:i/>
          <w:iCs/>
          <w:sz w:val="24"/>
          <w:szCs w:val="24"/>
        </w:rPr>
        <w:t>see also</w:t>
      </w:r>
      <w:r w:rsidRPr="00375AE2">
        <w:rPr>
          <w:rFonts w:ascii="Times New Roman" w:hAnsi="Times New Roman" w:cs="Times New Roman"/>
          <w:sz w:val="24"/>
          <w:szCs w:val="24"/>
        </w:rPr>
        <w:t xml:space="preserve"> Osterholt Direct</w:t>
      </w:r>
      <w:r w:rsidRPr="00375AE2" w:rsidR="00E91B44">
        <w:rPr>
          <w:rFonts w:ascii="Times New Roman" w:hAnsi="Times New Roman" w:cs="Times New Roman"/>
          <w:sz w:val="24"/>
          <w:szCs w:val="24"/>
        </w:rPr>
        <w:t xml:space="preserve"> </w:t>
      </w:r>
      <w:r w:rsidRPr="00375AE2">
        <w:rPr>
          <w:rFonts w:ascii="Times New Roman" w:hAnsi="Times New Roman" w:cs="Times New Roman"/>
          <w:sz w:val="24"/>
          <w:szCs w:val="24"/>
        </w:rPr>
        <w:t xml:space="preserve">at 5 (The DACR is intended to automatically reroute electricity during outages to reduce the number of customers interrupted).  </w:t>
      </w:r>
    </w:p>
  </w:footnote>
  <w:footnote w:id="4">
    <w:p w:rsidR="00412455" w:rsidRPr="00375AE2" w:rsidP="00375AE2" w14:paraId="542F0ABD"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at 4</w:t>
      </w:r>
      <w:r w:rsidRPr="00375AE2" w:rsidR="004F2787">
        <w:rPr>
          <w:rFonts w:ascii="Times New Roman" w:hAnsi="Times New Roman" w:cs="Times New Roman"/>
          <w:sz w:val="24"/>
          <w:szCs w:val="24"/>
        </w:rPr>
        <w:t xml:space="preserve">; </w:t>
      </w:r>
      <w:r w:rsidRPr="00375AE2">
        <w:rPr>
          <w:rFonts w:ascii="Times New Roman" w:hAnsi="Times New Roman" w:cs="Times New Roman"/>
          <w:i/>
          <w:iCs/>
          <w:sz w:val="24"/>
          <w:szCs w:val="24"/>
        </w:rPr>
        <w:t>see also</w:t>
      </w:r>
      <w:r w:rsidRPr="00375AE2">
        <w:rPr>
          <w:rFonts w:ascii="Times New Roman" w:hAnsi="Times New Roman" w:cs="Times New Roman"/>
          <w:sz w:val="24"/>
          <w:szCs w:val="24"/>
        </w:rPr>
        <w:t xml:space="preserve"> Osterholt Direct at 22.</w:t>
      </w:r>
    </w:p>
  </w:footnote>
  <w:footnote w:id="5">
    <w:p w:rsidR="00412455" w:rsidRPr="00375AE2" w:rsidP="00375AE2" w14:paraId="2BBBD000"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at 4; </w:t>
      </w:r>
      <w:r w:rsidRPr="00375AE2">
        <w:rPr>
          <w:rFonts w:ascii="Times New Roman" w:hAnsi="Times New Roman" w:cs="Times New Roman"/>
          <w:i/>
          <w:iCs/>
          <w:sz w:val="24"/>
          <w:szCs w:val="24"/>
        </w:rPr>
        <w:t>see also</w:t>
      </w:r>
      <w:r w:rsidRPr="00375AE2">
        <w:rPr>
          <w:rFonts w:ascii="Times New Roman" w:hAnsi="Times New Roman" w:cs="Times New Roman"/>
          <w:sz w:val="24"/>
          <w:szCs w:val="24"/>
        </w:rPr>
        <w:t xml:space="preserve"> Osterholt Dire</w:t>
      </w:r>
      <w:r w:rsidRPr="00375AE2" w:rsidR="00E91B44">
        <w:rPr>
          <w:rFonts w:ascii="Times New Roman" w:hAnsi="Times New Roman" w:cs="Times New Roman"/>
          <w:sz w:val="24"/>
          <w:szCs w:val="24"/>
        </w:rPr>
        <w:t>c</w:t>
      </w:r>
      <w:r w:rsidRPr="00375AE2">
        <w:rPr>
          <w:rFonts w:ascii="Times New Roman" w:hAnsi="Times New Roman" w:cs="Times New Roman"/>
          <w:sz w:val="24"/>
          <w:szCs w:val="24"/>
        </w:rPr>
        <w:t>t at 19.</w:t>
      </w:r>
    </w:p>
  </w:footnote>
  <w:footnote w:id="6">
    <w:p w:rsidR="00412455" w:rsidRPr="00375AE2" w:rsidP="00375AE2" w14:paraId="5F275395"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at 3; </w:t>
      </w:r>
      <w:r w:rsidRPr="00375AE2">
        <w:rPr>
          <w:rFonts w:ascii="Times New Roman" w:hAnsi="Times New Roman" w:cs="Times New Roman"/>
          <w:i/>
          <w:iCs/>
          <w:sz w:val="24"/>
          <w:szCs w:val="24"/>
        </w:rPr>
        <w:t>see also</w:t>
      </w:r>
      <w:r w:rsidRPr="00375AE2">
        <w:rPr>
          <w:rFonts w:ascii="Times New Roman" w:hAnsi="Times New Roman" w:cs="Times New Roman"/>
          <w:sz w:val="24"/>
          <w:szCs w:val="24"/>
        </w:rPr>
        <w:t xml:space="preserve"> Osterholt Direct at 15 (SCADA is intended to provide more accurate and detailed information to AEP Ohio about outages). </w:t>
      </w:r>
    </w:p>
  </w:footnote>
  <w:footnote w:id="7">
    <w:p w:rsidR="00412455" w:rsidRPr="00375AE2" w:rsidP="00375AE2" w14:paraId="02BE7531"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at 4; </w:t>
      </w:r>
      <w:r w:rsidRPr="00375AE2">
        <w:rPr>
          <w:rFonts w:ascii="Times New Roman" w:hAnsi="Times New Roman" w:cs="Times New Roman"/>
          <w:i/>
          <w:iCs/>
          <w:sz w:val="24"/>
          <w:szCs w:val="24"/>
        </w:rPr>
        <w:t>see also</w:t>
      </w:r>
      <w:r w:rsidRPr="00375AE2">
        <w:rPr>
          <w:rFonts w:ascii="Times New Roman" w:hAnsi="Times New Roman" w:cs="Times New Roman"/>
          <w:sz w:val="24"/>
          <w:szCs w:val="24"/>
        </w:rPr>
        <w:t xml:space="preserve"> Osterholt Direct at 24.</w:t>
      </w:r>
    </w:p>
  </w:footnote>
  <w:footnote w:id="8">
    <w:p w:rsidR="00412455" w:rsidRPr="00375AE2" w:rsidP="00375AE2" w14:paraId="5FA28827"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at 4; </w:t>
      </w:r>
      <w:r w:rsidRPr="00375AE2">
        <w:rPr>
          <w:rFonts w:ascii="Times New Roman" w:hAnsi="Times New Roman" w:cs="Times New Roman"/>
          <w:i/>
          <w:iCs/>
          <w:sz w:val="24"/>
          <w:szCs w:val="24"/>
        </w:rPr>
        <w:t>see also</w:t>
      </w:r>
      <w:r w:rsidRPr="00375AE2">
        <w:rPr>
          <w:rFonts w:ascii="Times New Roman" w:hAnsi="Times New Roman" w:cs="Times New Roman"/>
          <w:sz w:val="24"/>
          <w:szCs w:val="24"/>
        </w:rPr>
        <w:t xml:space="preserve"> Osterholt Direct at</w:t>
      </w:r>
      <w:r w:rsidRPr="00375AE2" w:rsidR="00E91B44">
        <w:rPr>
          <w:rFonts w:ascii="Times New Roman" w:hAnsi="Times New Roman" w:cs="Times New Roman"/>
          <w:sz w:val="24"/>
          <w:szCs w:val="24"/>
        </w:rPr>
        <w:t xml:space="preserve"> </w:t>
      </w:r>
      <w:r w:rsidRPr="00375AE2">
        <w:rPr>
          <w:rFonts w:ascii="Times New Roman" w:hAnsi="Times New Roman" w:cs="Times New Roman"/>
          <w:sz w:val="24"/>
          <w:szCs w:val="24"/>
        </w:rPr>
        <w:t>35.</w:t>
      </w:r>
    </w:p>
  </w:footnote>
  <w:footnote w:id="9">
    <w:p w:rsidR="00412455" w:rsidRPr="00375AE2" w:rsidP="00375AE2" w14:paraId="794E3894"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at 4; </w:t>
      </w:r>
      <w:r w:rsidRPr="00375AE2">
        <w:rPr>
          <w:rFonts w:ascii="Times New Roman" w:hAnsi="Times New Roman" w:cs="Times New Roman"/>
          <w:i/>
          <w:iCs/>
          <w:sz w:val="24"/>
          <w:szCs w:val="24"/>
        </w:rPr>
        <w:t>see also</w:t>
      </w:r>
      <w:r w:rsidRPr="00375AE2">
        <w:rPr>
          <w:rFonts w:ascii="Times New Roman" w:hAnsi="Times New Roman" w:cs="Times New Roman"/>
          <w:sz w:val="24"/>
          <w:szCs w:val="24"/>
        </w:rPr>
        <w:t xml:space="preserve"> Osterholt Direct at 39</w:t>
      </w:r>
      <w:r w:rsidRPr="00375AE2" w:rsidR="00E91B44">
        <w:rPr>
          <w:rFonts w:ascii="Times New Roman" w:hAnsi="Times New Roman" w:cs="Times New Roman"/>
          <w:sz w:val="24"/>
          <w:szCs w:val="24"/>
        </w:rPr>
        <w:t>.</w:t>
      </w:r>
    </w:p>
  </w:footnote>
  <w:footnote w:id="10">
    <w:p w:rsidR="00412455" w:rsidRPr="00375AE2" w:rsidP="00375AE2" w14:paraId="48DD72A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at 4; </w:t>
      </w:r>
      <w:r w:rsidRPr="00375AE2">
        <w:rPr>
          <w:rFonts w:ascii="Times New Roman" w:hAnsi="Times New Roman" w:cs="Times New Roman"/>
          <w:i/>
          <w:iCs/>
          <w:sz w:val="24"/>
          <w:szCs w:val="24"/>
        </w:rPr>
        <w:t>see also</w:t>
      </w:r>
      <w:r w:rsidRPr="00375AE2">
        <w:rPr>
          <w:rFonts w:ascii="Times New Roman" w:hAnsi="Times New Roman" w:cs="Times New Roman"/>
          <w:sz w:val="24"/>
          <w:szCs w:val="24"/>
        </w:rPr>
        <w:t xml:space="preserve"> Osterholt Direct at 44; 46.</w:t>
      </w:r>
    </w:p>
  </w:footnote>
  <w:footnote w:id="11">
    <w:p w:rsidR="00412455" w:rsidRPr="00375AE2" w:rsidP="00375AE2" w14:paraId="7283AE34"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Osterholt Direct at 5.</w:t>
      </w:r>
    </w:p>
  </w:footnote>
  <w:footnote w:id="12">
    <w:p w:rsidR="00412455" w:rsidRPr="00375AE2" w:rsidP="00375AE2" w14:paraId="40BEFCAC"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 xml:space="preserve">In the Matter of the Application of Ohio Power Company to Initiate Phase 2 of its GridSmart Project and to Establish the GridSmart Phase 2 Rider, </w:t>
      </w:r>
      <w:r w:rsidRPr="00375AE2">
        <w:rPr>
          <w:rFonts w:ascii="Times New Roman" w:hAnsi="Times New Roman" w:cs="Times New Roman"/>
          <w:sz w:val="24"/>
          <w:szCs w:val="24"/>
        </w:rPr>
        <w:t>Case 13-1939-EL-RDR</w:t>
      </w:r>
      <w:r w:rsidRPr="00375AE2">
        <w:rPr>
          <w:rFonts w:ascii="Times New Roman" w:hAnsi="Times New Roman" w:cs="Times New Roman"/>
          <w:i/>
          <w:iCs/>
          <w:sz w:val="24"/>
          <w:szCs w:val="24"/>
        </w:rPr>
        <w:t xml:space="preserve">, </w:t>
      </w:r>
      <w:r w:rsidRPr="00375AE2">
        <w:rPr>
          <w:rFonts w:ascii="Times New Roman" w:hAnsi="Times New Roman" w:cs="Times New Roman"/>
          <w:sz w:val="24"/>
          <w:szCs w:val="24"/>
        </w:rPr>
        <w:t>Opinion and Order (February 1, 2017)</w:t>
      </w:r>
      <w:r w:rsidRPr="00375AE2">
        <w:rPr>
          <w:rFonts w:ascii="Times New Roman" w:hAnsi="Times New Roman" w:cs="Times New Roman"/>
          <w:i/>
          <w:iCs/>
          <w:sz w:val="24"/>
          <w:szCs w:val="24"/>
        </w:rPr>
        <w:t xml:space="preserve">. </w:t>
      </w:r>
    </w:p>
  </w:footnote>
  <w:footnote w:id="13">
    <w:p w:rsidR="00412455" w:rsidRPr="00375AE2" w:rsidP="00375AE2" w14:paraId="79F02F05"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Case 13-1939-EL-RDR, Direct Testimony of Scott Osterholt, Exhibit SSO-1 (April 20, 2016) at 9 (“Osterholt Testimony”).</w:t>
      </w:r>
    </w:p>
  </w:footnote>
  <w:footnote w:id="14">
    <w:p w:rsidR="00412455" w:rsidRPr="00375AE2" w:rsidP="00375AE2" w14:paraId="0E48B92C"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sidR="004F2787">
        <w:rPr>
          <w:rFonts w:ascii="Times New Roman" w:hAnsi="Times New Roman" w:cs="Times New Roman"/>
          <w:sz w:val="24"/>
          <w:szCs w:val="24"/>
        </w:rPr>
        <w:t>;</w:t>
      </w:r>
      <w:r w:rsidRPr="00375AE2">
        <w:rPr>
          <w:rFonts w:ascii="Times New Roman" w:hAnsi="Times New Roman" w:cs="Times New Roman"/>
          <w:sz w:val="24"/>
          <w:szCs w:val="24"/>
        </w:rPr>
        <w:t xml:space="preserve"> Application.</w:t>
      </w:r>
    </w:p>
  </w:footnote>
  <w:footnote w:id="15">
    <w:p w:rsidR="00412455" w:rsidRPr="00375AE2" w:rsidP="00375AE2" w14:paraId="16F48542"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w:t>
      </w:r>
    </w:p>
  </w:footnote>
  <w:footnote w:id="16">
    <w:p w:rsidR="00412455" w:rsidRPr="00375AE2" w:rsidP="00375AE2" w14:paraId="3DA8F84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Osterholt Testimony at 9. </w:t>
      </w:r>
    </w:p>
  </w:footnote>
  <w:footnote w:id="17">
    <w:p w:rsidR="00412455" w:rsidRPr="00375AE2" w:rsidP="00375AE2" w14:paraId="16490087"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Case 13-1939-EL-RDR, Opinion and Order at 8.</w:t>
      </w:r>
    </w:p>
  </w:footnote>
  <w:footnote w:id="18">
    <w:p w:rsidR="00412455" w:rsidRPr="00375AE2" w:rsidP="00375AE2" w14:paraId="09A5FAE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Smart Grid Phase 2 Collaborative (August 6, 2020).</w:t>
      </w:r>
    </w:p>
  </w:footnote>
  <w:footnote w:id="19">
    <w:p w:rsidR="00412455" w:rsidRPr="00375AE2" w:rsidP="00375AE2" w14:paraId="3F9680A6"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w:t>
      </w:r>
    </w:p>
  </w:footnote>
  <w:footnote w:id="20">
    <w:p w:rsidR="00412455" w:rsidRPr="00375AE2" w:rsidP="00375AE2" w14:paraId="0BD2444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Case 19-0992-EL-ESS, Annual Distribution Reliability Report (March 29, 2019) at 2 (AEP Ohio failed to meet both the System Average Interruption Frequency Index (“SAIFI”) and the Customer Average Interruption Duration Index (“CAIDI”)).</w:t>
      </w:r>
    </w:p>
  </w:footnote>
  <w:footnote w:id="21">
    <w:p w:rsidR="00412455" w:rsidRPr="00375AE2" w:rsidP="00375AE2" w14:paraId="1C917DA8"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Case 20-0992-EL-ESS, Annual Distribution Reliability Report (March 31, 2020) at 2 (AEP Ohio failed to meet the SAIFI standard). </w:t>
      </w:r>
    </w:p>
  </w:footnote>
  <w:footnote w:id="22">
    <w:p w:rsidR="00412455" w:rsidRPr="00375AE2" w:rsidP="00375AE2" w14:paraId="148E5C2B" w14:textId="62577816">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Case 20-1111-EL-ESS, OCC INT-01-007.</w:t>
      </w:r>
    </w:p>
  </w:footnote>
  <w:footnote w:id="23">
    <w:p w:rsidR="00412455" w:rsidRPr="00375AE2" w:rsidP="00375AE2" w14:paraId="347291B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w:t>
      </w:r>
    </w:p>
  </w:footnote>
  <w:footnote w:id="24">
    <w:p w:rsidR="00412455" w:rsidRPr="00375AE2" w:rsidP="00375AE2" w14:paraId="2A4C3CB9"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w:t>
      </w:r>
    </w:p>
  </w:footnote>
  <w:footnote w:id="25">
    <w:p w:rsidR="00412455" w:rsidRPr="00375AE2" w:rsidP="00375AE2" w14:paraId="49C23DA1"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Osterholt Direct at 24.</w:t>
      </w:r>
    </w:p>
  </w:footnote>
  <w:footnote w:id="26">
    <w:p w:rsidR="00412455" w:rsidRPr="00375AE2" w:rsidP="00375AE2" w14:paraId="3BC31AB6"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Osterholt Testimony, Exhibit SSO-1 at 9</w:t>
      </w:r>
      <w:r w:rsidRPr="00375AE2" w:rsidR="00E91B44">
        <w:rPr>
          <w:rFonts w:ascii="Times New Roman" w:hAnsi="Times New Roman" w:cs="Times New Roman"/>
          <w:sz w:val="24"/>
          <w:szCs w:val="24"/>
        </w:rPr>
        <w:t>.</w:t>
      </w:r>
      <w:r w:rsidRPr="00375AE2">
        <w:rPr>
          <w:rFonts w:ascii="Times New Roman" w:hAnsi="Times New Roman" w:cs="Times New Roman"/>
          <w:sz w:val="24"/>
          <w:szCs w:val="24"/>
        </w:rPr>
        <w:t xml:space="preserve"> </w:t>
      </w:r>
    </w:p>
  </w:footnote>
  <w:footnote w:id="27">
    <w:p w:rsidR="00412455" w:rsidRPr="00375AE2" w:rsidP="00375AE2" w14:paraId="46E48E0F"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Case 18-1618-EL-RDR, Finding and Order (November 21, 2019) at 7.</w:t>
      </w:r>
    </w:p>
  </w:footnote>
  <w:footnote w:id="28">
    <w:p w:rsidR="00412455" w:rsidRPr="00375AE2" w:rsidP="00375AE2" w14:paraId="492ABC67"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Osterholt Testimony, Exhibit SSO-3, at 19</w:t>
      </w:r>
      <w:r w:rsidRPr="00375AE2" w:rsidR="00E91B44">
        <w:rPr>
          <w:rFonts w:ascii="Times New Roman" w:hAnsi="Times New Roman" w:cs="Times New Roman"/>
          <w:sz w:val="24"/>
          <w:szCs w:val="24"/>
        </w:rPr>
        <w:t>.</w:t>
      </w:r>
    </w:p>
  </w:footnote>
  <w:footnote w:id="29">
    <w:p w:rsidR="00412455" w:rsidRPr="00375AE2" w:rsidP="00375AE2" w14:paraId="078A84ED"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 xml:space="preserve"> at  22.</w:t>
      </w:r>
    </w:p>
  </w:footnote>
  <w:footnote w:id="30">
    <w:p w:rsidR="00412455" w:rsidRPr="00375AE2" w:rsidP="00375AE2" w14:paraId="681A32D7"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Grid Smart Collaborative Presentation (August 6, 2020).</w:t>
      </w:r>
    </w:p>
  </w:footnote>
  <w:footnote w:id="31">
    <w:p w:rsidR="00412455" w:rsidRPr="00375AE2" w:rsidP="00375AE2" w14:paraId="501D4B87"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Osterholt Direct, Exhibit 3 at 16.</w:t>
      </w:r>
    </w:p>
  </w:footnote>
  <w:footnote w:id="32">
    <w:p w:rsidR="00412455" w:rsidRPr="00375AE2" w:rsidP="00375AE2" w14:paraId="0EE769B0"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Case No. 13-1939-EL-RDR, Application, Attachment 1 at 6 (September 13, 2013).  </w:t>
      </w:r>
    </w:p>
  </w:footnote>
  <w:footnote w:id="33">
    <w:p w:rsidR="0024332F" w:rsidRPr="00375AE2" w:rsidP="00375AE2" w14:paraId="02AC88CE" w14:textId="4F945706">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https://www.power-grid.com/2015/08/20/determining-the-impacts-of-volt-var-optimization-a-tale-of-two-approaches/#gref</w:t>
      </w:r>
      <w:r w:rsidRPr="00375AE2" w:rsidR="00356CC8">
        <w:rPr>
          <w:rFonts w:ascii="Times New Roman" w:hAnsi="Times New Roman" w:cs="Times New Roman"/>
          <w:sz w:val="24"/>
          <w:szCs w:val="24"/>
        </w:rPr>
        <w:t>.</w:t>
      </w:r>
    </w:p>
  </w:footnote>
  <w:footnote w:id="34">
    <w:p w:rsidR="00412455" w:rsidRPr="00375AE2" w:rsidP="00375AE2" w14:paraId="5ECE512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at 3-5</w:t>
      </w:r>
      <w:r w:rsidRPr="00375AE2" w:rsidR="00E91B44">
        <w:rPr>
          <w:rFonts w:ascii="Times New Roman" w:hAnsi="Times New Roman" w:cs="Times New Roman"/>
          <w:sz w:val="24"/>
          <w:szCs w:val="24"/>
        </w:rPr>
        <w:t>.</w:t>
      </w:r>
    </w:p>
  </w:footnote>
  <w:footnote w:id="35">
    <w:p w:rsidR="00412455" w:rsidRPr="00375AE2" w:rsidP="00375AE2" w14:paraId="2C0BA181"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 xml:space="preserve"> at 3.</w:t>
      </w:r>
    </w:p>
  </w:footnote>
  <w:footnote w:id="36">
    <w:p w:rsidR="00412455" w:rsidRPr="00375AE2" w:rsidP="00375AE2" w14:paraId="553F9A05"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Osterholt Direct at 17.</w:t>
      </w:r>
    </w:p>
  </w:footnote>
  <w:footnote w:id="37">
    <w:p w:rsidR="00412455" w:rsidRPr="00375AE2" w:rsidP="00375AE2" w14:paraId="04048896"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Lawson Testimony at 6.</w:t>
      </w:r>
    </w:p>
  </w:footnote>
  <w:footnote w:id="38">
    <w:p w:rsidR="00412455" w:rsidRPr="00375AE2" w:rsidP="00375AE2" w14:paraId="3CF8A302"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Osterholt Direct at 17. </w:t>
      </w:r>
    </w:p>
  </w:footnote>
  <w:footnote w:id="39">
    <w:p w:rsidR="00412455" w:rsidRPr="00375AE2" w:rsidP="00375AE2" w14:paraId="29924644"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 xml:space="preserve"> at 24.</w:t>
      </w:r>
    </w:p>
  </w:footnote>
  <w:footnote w:id="40">
    <w:p w:rsidR="00412455" w:rsidRPr="00375AE2" w:rsidP="00375AE2" w14:paraId="6B9E5D91"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 xml:space="preserve"> at 25.</w:t>
      </w:r>
    </w:p>
  </w:footnote>
  <w:footnote w:id="41">
    <w:p w:rsidR="00412455" w:rsidRPr="00375AE2" w:rsidP="00375AE2" w14:paraId="35786CBA"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 xml:space="preserve"> at 26.</w:t>
      </w:r>
    </w:p>
  </w:footnote>
  <w:footnote w:id="42">
    <w:p w:rsidR="00412455" w:rsidRPr="00375AE2" w:rsidP="00375AE2" w14:paraId="67EFE885"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 xml:space="preserve"> at 31.</w:t>
      </w:r>
    </w:p>
  </w:footnote>
  <w:footnote w:id="43">
    <w:p w:rsidR="00412455" w:rsidRPr="00375AE2" w:rsidP="00375AE2" w14:paraId="79B8250F"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 xml:space="preserve"> at 33.</w:t>
      </w:r>
    </w:p>
  </w:footnote>
  <w:footnote w:id="44">
    <w:p w:rsidR="00412455" w:rsidRPr="00375AE2" w:rsidP="00375AE2" w14:paraId="28729C1F"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at 26.</w:t>
      </w:r>
    </w:p>
  </w:footnote>
  <w:footnote w:id="45">
    <w:p w:rsidR="00412455" w:rsidRPr="00375AE2" w:rsidP="00375AE2" w14:paraId="4FDC2BD9"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at 35.</w:t>
      </w:r>
    </w:p>
  </w:footnote>
  <w:footnote w:id="46">
    <w:p w:rsidR="00412455" w:rsidRPr="00375AE2" w:rsidP="00375AE2" w14:paraId="4C8B14D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at 39.</w:t>
      </w:r>
    </w:p>
  </w:footnote>
  <w:footnote w:id="47">
    <w:p w:rsidR="00412455" w:rsidRPr="00375AE2" w:rsidP="00375AE2" w14:paraId="0EAAB93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at 36.</w:t>
      </w:r>
    </w:p>
  </w:footnote>
  <w:footnote w:id="48">
    <w:p w:rsidR="00412455" w:rsidRPr="00375AE2" w:rsidP="00375AE2" w14:paraId="468F852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at 42.</w:t>
      </w:r>
    </w:p>
  </w:footnote>
  <w:footnote w:id="49">
    <w:p w:rsidR="00412455" w:rsidRPr="00375AE2" w:rsidP="00375AE2" w14:paraId="0AF35E9E"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at 44.</w:t>
      </w:r>
    </w:p>
  </w:footnote>
  <w:footnote w:id="50">
    <w:p w:rsidR="00412455" w:rsidRPr="00375AE2" w:rsidP="00375AE2" w14:paraId="35819124"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at 45.</w:t>
      </w:r>
    </w:p>
  </w:footnote>
  <w:footnote w:id="51">
    <w:p w:rsidR="00412455" w:rsidRPr="00375AE2" w:rsidP="00375AE2" w14:paraId="46A9DF54"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w:t>
      </w:r>
    </w:p>
  </w:footnote>
  <w:footnote w:id="52">
    <w:p w:rsidR="00412455" w:rsidRPr="00375AE2" w:rsidP="00375AE2" w14:paraId="7DE97DC4"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at 46.</w:t>
      </w:r>
    </w:p>
  </w:footnote>
  <w:footnote w:id="53">
    <w:p w:rsidR="00412455" w:rsidRPr="00375AE2" w:rsidP="00375AE2" w14:paraId="018AC9C2"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w:t>
      </w:r>
      <w:r w:rsidRPr="00375AE2">
        <w:rPr>
          <w:rFonts w:ascii="Times New Roman" w:hAnsi="Times New Roman" w:cs="Times New Roman"/>
          <w:i/>
          <w:iCs/>
          <w:sz w:val="24"/>
          <w:szCs w:val="24"/>
        </w:rPr>
        <w:t>Id.</w:t>
      </w:r>
      <w:r w:rsidRPr="00375AE2">
        <w:rPr>
          <w:rFonts w:ascii="Times New Roman" w:hAnsi="Times New Roman" w:cs="Times New Roman"/>
          <w:sz w:val="24"/>
          <w:szCs w:val="24"/>
        </w:rPr>
        <w:t>at 47.</w:t>
      </w:r>
    </w:p>
  </w:footnote>
  <w:footnote w:id="54">
    <w:p w:rsidR="00412455" w:rsidRPr="00375AE2" w:rsidP="00375AE2" w14:paraId="446ACD33" w14:textId="77777777">
      <w:pPr>
        <w:pStyle w:val="FootnoteText"/>
        <w:spacing w:after="120"/>
        <w:rPr>
          <w:rFonts w:ascii="Times New Roman" w:hAnsi="Times New Roman" w:cs="Times New Roman"/>
          <w:sz w:val="24"/>
          <w:szCs w:val="24"/>
        </w:rPr>
      </w:pPr>
      <w:r w:rsidRPr="00375AE2">
        <w:rPr>
          <w:rStyle w:val="FootnoteReference"/>
          <w:rFonts w:ascii="Times New Roman" w:hAnsi="Times New Roman" w:cs="Times New Roman"/>
          <w:sz w:val="24"/>
          <w:szCs w:val="24"/>
        </w:rPr>
        <w:footnoteRef/>
      </w:r>
      <w:r w:rsidRPr="00375AE2">
        <w:rPr>
          <w:rFonts w:ascii="Times New Roman" w:hAnsi="Times New Roman" w:cs="Times New Roman"/>
          <w:sz w:val="24"/>
          <w:szCs w:val="24"/>
        </w:rPr>
        <w:t xml:space="preserve"> Application at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455" w14:paraId="1D39FF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455" w14:paraId="556FF6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455" w:rsidP="00746FD6" w14:paraId="31433DC4" w14:textId="77777777">
    <w:pPr>
      <w:pStyle w:val="Header"/>
    </w:pPr>
  </w:p>
  <w:p w:rsidR="00412455" w14:paraId="7BA546FD" w14:textId="77777777">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455" w14:paraId="3F8E12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8A0BE7"/>
    <w:multiLevelType w:val="hybridMultilevel"/>
    <w:tmpl w:val="04F216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47357AC"/>
    <w:multiLevelType w:val="hybridMultilevel"/>
    <w:tmpl w:val="94D433D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57"/>
    <w:rsid w:val="00017D52"/>
    <w:rsid w:val="00076020"/>
    <w:rsid w:val="000C5B51"/>
    <w:rsid w:val="000E532A"/>
    <w:rsid w:val="00105804"/>
    <w:rsid w:val="001A2C3A"/>
    <w:rsid w:val="001B68BD"/>
    <w:rsid w:val="002344D7"/>
    <w:rsid w:val="00240877"/>
    <w:rsid w:val="0024332F"/>
    <w:rsid w:val="002C1611"/>
    <w:rsid w:val="00356CC8"/>
    <w:rsid w:val="00375AE2"/>
    <w:rsid w:val="0041074E"/>
    <w:rsid w:val="00412455"/>
    <w:rsid w:val="00461EAA"/>
    <w:rsid w:val="004958BB"/>
    <w:rsid w:val="004A3347"/>
    <w:rsid w:val="004F2787"/>
    <w:rsid w:val="00541AAF"/>
    <w:rsid w:val="0056338C"/>
    <w:rsid w:val="005752B2"/>
    <w:rsid w:val="00580848"/>
    <w:rsid w:val="00591B07"/>
    <w:rsid w:val="005F140A"/>
    <w:rsid w:val="00632709"/>
    <w:rsid w:val="00637D8D"/>
    <w:rsid w:val="006A709F"/>
    <w:rsid w:val="006D4270"/>
    <w:rsid w:val="00746FD6"/>
    <w:rsid w:val="00764FF4"/>
    <w:rsid w:val="007C39B4"/>
    <w:rsid w:val="00840137"/>
    <w:rsid w:val="008555B5"/>
    <w:rsid w:val="00866DEB"/>
    <w:rsid w:val="00884997"/>
    <w:rsid w:val="008A7B1C"/>
    <w:rsid w:val="008E7CEB"/>
    <w:rsid w:val="00927BF2"/>
    <w:rsid w:val="00957B97"/>
    <w:rsid w:val="00984727"/>
    <w:rsid w:val="0098561D"/>
    <w:rsid w:val="00A3248E"/>
    <w:rsid w:val="00AF3D31"/>
    <w:rsid w:val="00B30987"/>
    <w:rsid w:val="00B421A2"/>
    <w:rsid w:val="00B5483A"/>
    <w:rsid w:val="00B65494"/>
    <w:rsid w:val="00C54DC3"/>
    <w:rsid w:val="00CC4C81"/>
    <w:rsid w:val="00CC5C0E"/>
    <w:rsid w:val="00D00D14"/>
    <w:rsid w:val="00D16727"/>
    <w:rsid w:val="00D31157"/>
    <w:rsid w:val="00D34811"/>
    <w:rsid w:val="00E075D1"/>
    <w:rsid w:val="00E91B44"/>
    <w:rsid w:val="00F1015E"/>
    <w:rsid w:val="00F45E9A"/>
    <w:rsid w:val="00F51FE0"/>
    <w:rsid w:val="00FF49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709"/>
    <w:pPr>
      <w:spacing w:line="240" w:lineRule="auto"/>
    </w:pPr>
  </w:style>
  <w:style w:type="paragraph" w:styleId="Heading1">
    <w:name w:val="heading 1"/>
    <w:basedOn w:val="Normal"/>
    <w:next w:val="Normal"/>
    <w:link w:val="Heading1Char"/>
    <w:autoRedefine/>
    <w:uiPriority w:val="9"/>
    <w:qFormat/>
    <w:rsid w:val="00412455"/>
    <w:pPr>
      <w:keepNext/>
      <w:keepLines/>
      <w:spacing w:after="240"/>
      <w:ind w:left="720" w:hanging="720"/>
      <w:outlineLvl w:val="0"/>
    </w:pPr>
    <w:rPr>
      <w:rFonts w:ascii="Times New Roman Bold" w:hAnsi="Times New Roman Bold" w:eastAsiaTheme="majorEastAsia" w:cstheme="majorBidi"/>
      <w:b/>
      <w:szCs w:val="32"/>
    </w:rPr>
  </w:style>
  <w:style w:type="paragraph" w:styleId="Heading2">
    <w:name w:val="heading 2"/>
    <w:basedOn w:val="Normal"/>
    <w:next w:val="Normal"/>
    <w:link w:val="Heading2Char"/>
    <w:autoRedefine/>
    <w:uiPriority w:val="9"/>
    <w:unhideWhenUsed/>
    <w:qFormat/>
    <w:rsid w:val="00B421A2"/>
    <w:pPr>
      <w:keepNext/>
      <w:keepLines/>
      <w:spacing w:after="240"/>
      <w:ind w:left="1440" w:hanging="720"/>
      <w:outlineLvl w:val="1"/>
    </w:pPr>
    <w:rPr>
      <w:rFonts w:ascii="Times New Roman Bold" w:hAnsi="Times New Roman Bold" w:eastAsiaTheme="majorEastAsia" w:cstheme="majorBidi"/>
      <w:b/>
      <w:szCs w:val="26"/>
    </w:rPr>
  </w:style>
  <w:style w:type="paragraph" w:styleId="Heading3">
    <w:name w:val="heading 3"/>
    <w:basedOn w:val="Normal"/>
    <w:next w:val="Normal"/>
    <w:link w:val="Heading3Char"/>
    <w:autoRedefine/>
    <w:uiPriority w:val="9"/>
    <w:unhideWhenUsed/>
    <w:qFormat/>
    <w:rsid w:val="005752B2"/>
    <w:pPr>
      <w:keepNext/>
      <w:keepLines/>
      <w:spacing w:after="240"/>
      <w:ind w:left="2160" w:hanging="72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0E7980"/>
    <w:pPr>
      <w:keepNext/>
      <w:overflowPunct w:val="0"/>
      <w:autoSpaceDE w:val="0"/>
      <w:autoSpaceDN w:val="0"/>
      <w:adjustRightInd w:val="0"/>
      <w:jc w:val="right"/>
      <w:textAlignment w:val="baseline"/>
      <w:outlineLvl w:val="3"/>
    </w:pPr>
    <w:rPr>
      <w:b/>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E7980"/>
    <w:rPr>
      <w:rFonts w:eastAsia="Times New Roman" w:cs="Times New Roman"/>
      <w:b/>
      <w:i/>
      <w:iCs/>
      <w:sz w:val="20"/>
      <w:szCs w:val="20"/>
      <w:u w:val="single"/>
    </w:rPr>
  </w:style>
  <w:style w:type="paragraph" w:styleId="Header">
    <w:name w:val="header"/>
    <w:basedOn w:val="Normal"/>
    <w:link w:val="HeaderChar"/>
    <w:rsid w:val="000E7980"/>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0E7980"/>
    <w:rPr>
      <w:rFonts w:eastAsia="Times New Roman" w:cs="Times New Roman"/>
      <w:szCs w:val="20"/>
    </w:rPr>
  </w:style>
  <w:style w:type="paragraph" w:styleId="Footer">
    <w:name w:val="footer"/>
    <w:basedOn w:val="Normal"/>
    <w:link w:val="FooterChar"/>
    <w:uiPriority w:val="99"/>
    <w:rsid w:val="000E7980"/>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0E7980"/>
    <w:rPr>
      <w:rFonts w:eastAsia="Times New Roman" w:cs="Times New Roman"/>
      <w:szCs w:val="20"/>
    </w:rPr>
  </w:style>
  <w:style w:type="character" w:styleId="PageNumber">
    <w:name w:val="page number"/>
    <w:basedOn w:val="DefaultParagraphFont"/>
    <w:rsid w:val="000E7980"/>
  </w:style>
  <w:style w:type="paragraph" w:styleId="BodyTextIndent">
    <w:name w:val="Body Text Indent"/>
    <w:basedOn w:val="Normal"/>
    <w:link w:val="BodyTextIndentChar"/>
    <w:semiHidden/>
    <w:rsid w:val="000E7980"/>
    <w:pPr>
      <w:overflowPunct w:val="0"/>
      <w:autoSpaceDE w:val="0"/>
      <w:autoSpaceDN w:val="0"/>
      <w:adjustRightInd w:val="0"/>
      <w:ind w:firstLine="1440"/>
      <w:textAlignment w:val="baseline"/>
    </w:pPr>
    <w:rPr>
      <w:szCs w:val="20"/>
    </w:rPr>
  </w:style>
  <w:style w:type="character" w:customStyle="1" w:styleId="BodyTextIndentChar">
    <w:name w:val="Body Text Indent Char"/>
    <w:basedOn w:val="DefaultParagraphFont"/>
    <w:link w:val="BodyTextIndent"/>
    <w:semiHidden/>
    <w:rsid w:val="000E7980"/>
    <w:rPr>
      <w:rFonts w:eastAsia="Times New Roman" w:cs="Times New Roman"/>
      <w:szCs w:val="20"/>
    </w:rPr>
  </w:style>
  <w:style w:type="paragraph" w:styleId="BodyTextIndent2">
    <w:name w:val="Body Text Indent 2"/>
    <w:basedOn w:val="Normal"/>
    <w:link w:val="BodyTextIndent2Char"/>
    <w:semiHidden/>
    <w:rsid w:val="000E7980"/>
    <w:pPr>
      <w:spacing w:line="480" w:lineRule="auto"/>
      <w:ind w:firstLine="720"/>
    </w:pPr>
  </w:style>
  <w:style w:type="character" w:customStyle="1" w:styleId="BodyTextIndent2Char">
    <w:name w:val="Body Text Indent 2 Char"/>
    <w:basedOn w:val="DefaultParagraphFont"/>
    <w:link w:val="BodyTextIndent2"/>
    <w:semiHidden/>
    <w:rsid w:val="000E7980"/>
    <w:rPr>
      <w:rFonts w:eastAsia="Times New Roman" w:cs="Times New Roman"/>
      <w:szCs w:val="24"/>
    </w:rPr>
  </w:style>
  <w:style w:type="paragraph" w:styleId="FootnoteText">
    <w:name w:val="footnote text"/>
    <w:basedOn w:val="Normal"/>
    <w:link w:val="FootnoteTextChar"/>
    <w:uiPriority w:val="99"/>
    <w:unhideWhenUsed/>
    <w:rsid w:val="00746FD6"/>
    <w:rPr>
      <w:rFonts w:asciiTheme="minorHAnsi" w:hAnsiTheme="minorHAnsi"/>
      <w:sz w:val="20"/>
      <w:szCs w:val="20"/>
    </w:rPr>
  </w:style>
  <w:style w:type="character" w:customStyle="1" w:styleId="FootnoteTextChar">
    <w:name w:val="Footnote Text Char"/>
    <w:basedOn w:val="DefaultParagraphFont"/>
    <w:link w:val="FootnoteText"/>
    <w:uiPriority w:val="99"/>
    <w:rsid w:val="00746FD6"/>
    <w:rPr>
      <w:rFonts w:asciiTheme="minorHAnsi" w:hAnsiTheme="minorHAnsi"/>
      <w:sz w:val="20"/>
      <w:szCs w:val="20"/>
    </w:rPr>
  </w:style>
  <w:style w:type="character" w:styleId="FootnoteReference">
    <w:name w:val="footnote reference"/>
    <w:basedOn w:val="DefaultParagraphFont"/>
    <w:uiPriority w:val="99"/>
    <w:semiHidden/>
    <w:unhideWhenUsed/>
    <w:rsid w:val="00746FD6"/>
    <w:rPr>
      <w:vertAlign w:val="superscript"/>
    </w:rPr>
  </w:style>
  <w:style w:type="character" w:styleId="Hyperlink">
    <w:name w:val="Hyperlink"/>
    <w:basedOn w:val="DefaultParagraphFont"/>
    <w:uiPriority w:val="99"/>
    <w:unhideWhenUsed/>
    <w:rsid w:val="003A66BF"/>
    <w:rPr>
      <w:color w:val="0000FF" w:themeColor="hyperlink"/>
      <w:u w:val="single"/>
    </w:rPr>
  </w:style>
  <w:style w:type="table" w:styleId="TableGrid">
    <w:name w:val="Table Grid"/>
    <w:basedOn w:val="TableNormal"/>
    <w:rsid w:val="00636926"/>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rsid w:val="00D3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34811"/>
    <w:rPr>
      <w:rFonts w:ascii="Courier New" w:eastAsia="Courier New" w:hAnsi="Courier New" w:cs="Courier New"/>
      <w:sz w:val="20"/>
      <w:szCs w:val="20"/>
    </w:rPr>
  </w:style>
  <w:style w:type="paragraph" w:styleId="BodyText">
    <w:name w:val="Body Text"/>
    <w:basedOn w:val="Normal"/>
    <w:link w:val="BodyTextChar"/>
    <w:uiPriority w:val="99"/>
    <w:unhideWhenUsed/>
    <w:rsid w:val="005136F7"/>
    <w:pPr>
      <w:spacing w:after="120"/>
    </w:pPr>
  </w:style>
  <w:style w:type="character" w:customStyle="1" w:styleId="BodyTextChar">
    <w:name w:val="Body Text Char"/>
    <w:basedOn w:val="DefaultParagraphFont"/>
    <w:link w:val="BodyText"/>
    <w:uiPriority w:val="99"/>
    <w:rsid w:val="005136F7"/>
    <w:rPr>
      <w:rFonts w:eastAsia="Times New Roman" w:cs="Times New Roman"/>
      <w:szCs w:val="24"/>
    </w:rPr>
  </w:style>
  <w:style w:type="paragraph" w:styleId="CommentText">
    <w:name w:val="annotation text"/>
    <w:basedOn w:val="Normal"/>
    <w:link w:val="CommentTextChar"/>
    <w:uiPriority w:val="99"/>
    <w:rsid w:val="005136F7"/>
  </w:style>
  <w:style w:type="character" w:customStyle="1" w:styleId="CommentTextChar">
    <w:name w:val="Comment Text Char"/>
    <w:basedOn w:val="DefaultParagraphFont"/>
    <w:link w:val="CommentText"/>
    <w:uiPriority w:val="99"/>
    <w:rsid w:val="005136F7"/>
    <w:rPr>
      <w:rFonts w:eastAsia="Times New Roman" w:cs="Times New Roman"/>
      <w:szCs w:val="24"/>
    </w:rPr>
  </w:style>
  <w:style w:type="character" w:customStyle="1" w:styleId="Heading3Char">
    <w:name w:val="Heading 3 Char"/>
    <w:basedOn w:val="DefaultParagraphFont"/>
    <w:link w:val="Heading3"/>
    <w:uiPriority w:val="9"/>
    <w:rsid w:val="005752B2"/>
    <w:rPr>
      <w:rFonts w:asciiTheme="majorHAnsi" w:eastAsiaTheme="majorEastAsia" w:hAnsiTheme="majorHAnsi" w:cstheme="majorBidi"/>
      <w:b/>
      <w:bCs/>
    </w:rPr>
  </w:style>
  <w:style w:type="character" w:customStyle="1" w:styleId="UnresolvedMention1">
    <w:name w:val="Unresolved Mention1"/>
    <w:basedOn w:val="DefaultParagraphFont"/>
    <w:uiPriority w:val="99"/>
    <w:semiHidden/>
    <w:unhideWhenUsed/>
    <w:rsid w:val="00F318E6"/>
    <w:rPr>
      <w:color w:val="605E5C"/>
      <w:shd w:val="clear" w:color="auto" w:fill="E1DFDD"/>
    </w:rPr>
  </w:style>
  <w:style w:type="character" w:customStyle="1" w:styleId="Heading1Char">
    <w:name w:val="Heading 1 Char"/>
    <w:basedOn w:val="DefaultParagraphFont"/>
    <w:link w:val="Heading1"/>
    <w:uiPriority w:val="9"/>
    <w:rsid w:val="00412455"/>
    <w:rPr>
      <w:rFonts w:ascii="Times New Roman Bold" w:hAnsi="Times New Roman Bold" w:eastAsiaTheme="majorEastAsia" w:cstheme="majorBidi"/>
      <w:b/>
      <w:szCs w:val="32"/>
    </w:rPr>
  </w:style>
  <w:style w:type="paragraph" w:styleId="BodyTextIndent3">
    <w:name w:val="Body Text Indent 3"/>
    <w:basedOn w:val="Normal"/>
    <w:link w:val="BodyTextIndent3Char"/>
    <w:uiPriority w:val="99"/>
    <w:semiHidden/>
    <w:unhideWhenUsed/>
    <w:rsid w:val="0058084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0848"/>
    <w:rPr>
      <w:sz w:val="16"/>
      <w:szCs w:val="16"/>
    </w:rPr>
  </w:style>
  <w:style w:type="paragraph" w:styleId="CommentSubject">
    <w:name w:val="annotation subject"/>
    <w:basedOn w:val="CommentText"/>
    <w:next w:val="CommentText"/>
    <w:link w:val="CommentSubjectChar"/>
    <w:semiHidden/>
    <w:rsid w:val="00580848"/>
    <w:rPr>
      <w:rFonts w:eastAsia="Times New Roman" w:cs="Times New Roman"/>
      <w:szCs w:val="20"/>
    </w:rPr>
  </w:style>
  <w:style w:type="character" w:customStyle="1" w:styleId="CommentSubjectChar">
    <w:name w:val="Comment Subject Char"/>
    <w:basedOn w:val="CommentTextChar"/>
    <w:link w:val="CommentSubject"/>
    <w:semiHidden/>
    <w:rsid w:val="00580848"/>
    <w:rPr>
      <w:rFonts w:eastAsia="Times New Roman" w:cs="Times New Roman"/>
      <w:szCs w:val="20"/>
    </w:rPr>
  </w:style>
  <w:style w:type="paragraph" w:styleId="ListParagraph">
    <w:name w:val="List Paragraph"/>
    <w:basedOn w:val="Normal"/>
    <w:uiPriority w:val="34"/>
    <w:qFormat/>
    <w:rsid w:val="00412455"/>
    <w:pPr>
      <w:spacing w:after="160" w:line="259" w:lineRule="auto"/>
      <w:ind w:left="720"/>
      <w:contextualSpacing/>
    </w:pPr>
    <w:rPr>
      <w:rFonts w:asciiTheme="minorHAnsi" w:hAnsiTheme="minorHAnsi"/>
      <w:sz w:val="22"/>
      <w:szCs w:val="22"/>
    </w:rPr>
  </w:style>
  <w:style w:type="character" w:customStyle="1" w:styleId="Heading2Char">
    <w:name w:val="Heading 2 Char"/>
    <w:basedOn w:val="DefaultParagraphFont"/>
    <w:link w:val="Heading2"/>
    <w:uiPriority w:val="9"/>
    <w:rsid w:val="00B421A2"/>
    <w:rPr>
      <w:rFonts w:ascii="Times New Roman Bold" w:hAnsi="Times New Roman Bold" w:eastAsiaTheme="majorEastAsia" w:cstheme="majorBidi"/>
      <w:b/>
      <w:szCs w:val="26"/>
    </w:rPr>
  </w:style>
  <w:style w:type="paragraph" w:styleId="TOC1">
    <w:name w:val="toc 1"/>
    <w:basedOn w:val="Normal"/>
    <w:next w:val="Normal"/>
    <w:autoRedefine/>
    <w:uiPriority w:val="39"/>
    <w:unhideWhenUsed/>
    <w:qFormat/>
    <w:rsid w:val="00412455"/>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412455"/>
    <w:pPr>
      <w:tabs>
        <w:tab w:val="decimal" w:leader="dot" w:pos="8640"/>
      </w:tabs>
      <w:spacing w:after="240"/>
      <w:ind w:left="1440" w:hanging="720"/>
    </w:pPr>
  </w:style>
  <w:style w:type="character" w:customStyle="1" w:styleId="UnresolvedMention">
    <w:name w:val="Unresolved Mention"/>
    <w:basedOn w:val="DefaultParagraphFont"/>
    <w:uiPriority w:val="99"/>
    <w:rsid w:val="00F1015E"/>
    <w:rPr>
      <w:color w:val="605E5C"/>
      <w:shd w:val="clear" w:color="auto" w:fill="E1DFDD"/>
    </w:rPr>
  </w:style>
  <w:style w:type="paragraph" w:styleId="TOC3">
    <w:name w:val="toc 3"/>
    <w:basedOn w:val="Normal"/>
    <w:next w:val="Normal"/>
    <w:autoRedefine/>
    <w:uiPriority w:val="39"/>
    <w:unhideWhenUsed/>
    <w:qFormat/>
    <w:rsid w:val="005752B2"/>
    <w:pPr>
      <w:tabs>
        <w:tab w:val="decimal" w:leader="dot" w:pos="8640"/>
      </w:tabs>
      <w:spacing w:after="240"/>
      <w:ind w:left="2160" w:hanging="720"/>
    </w:pPr>
  </w:style>
  <w:style w:type="paragraph" w:styleId="BalloonText">
    <w:name w:val="Balloon Text"/>
    <w:basedOn w:val="Normal"/>
    <w:link w:val="BalloonTextChar"/>
    <w:uiPriority w:val="99"/>
    <w:semiHidden/>
    <w:unhideWhenUsed/>
    <w:rsid w:val="00B65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94"/>
    <w:rPr>
      <w:rFonts w:ascii="Segoe UI" w:hAnsi="Segoe UI" w:cs="Segoe UI"/>
      <w:sz w:val="18"/>
      <w:szCs w:val="18"/>
    </w:rPr>
  </w:style>
  <w:style w:type="character" w:styleId="CommentReference">
    <w:name w:val="annotation reference"/>
    <w:basedOn w:val="DefaultParagraphFont"/>
    <w:uiPriority w:val="99"/>
    <w:semiHidden/>
    <w:unhideWhenUsed/>
    <w:rsid w:val="009847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yperlink" Target="mailto:Werner.margard@ohioattorneygeneral.gov" TargetMode="External" /><Relationship Id="rId12" Type="http://schemas.openxmlformats.org/officeDocument/2006/relationships/hyperlink" Target="mailto:bethany.allen@igs.com" TargetMode="External" /><Relationship Id="rId13" Type="http://schemas.openxmlformats.org/officeDocument/2006/relationships/hyperlink" Target="mailto:joe.oliker@igs.com" TargetMode="External" /><Relationship Id="rId14" Type="http://schemas.openxmlformats.org/officeDocument/2006/relationships/hyperlink" Target="mailto:michael.nugent@igs.com" TargetMode="External" /><Relationship Id="rId15" Type="http://schemas.openxmlformats.org/officeDocument/2006/relationships/hyperlink" Target="mailto:paul@carpenterlipps.com" TargetMode="External" /><Relationship Id="rId16" Type="http://schemas.openxmlformats.org/officeDocument/2006/relationships/hyperlink" Target="mailto:mfleisher@dickinsonwright.com" TargetMode="External" /><Relationship Id="rId17" Type="http://schemas.openxmlformats.org/officeDocument/2006/relationships/hyperlink" Target="mailto:Fdarr2019@gmail.com" TargetMode="External" /><Relationship Id="rId18" Type="http://schemas.openxmlformats.org/officeDocument/2006/relationships/hyperlink" Target="mailto:mpritchard@mcneeslaw.com" TargetMode="External" /><Relationship Id="rId19" Type="http://schemas.openxmlformats.org/officeDocument/2006/relationships/hyperlink" Target="mailto:rkelter@elpc.org" TargetMode="External" /><Relationship Id="rId2" Type="http://schemas.openxmlformats.org/officeDocument/2006/relationships/settings" Target="settings.xml" /><Relationship Id="rId20" Type="http://schemas.openxmlformats.org/officeDocument/2006/relationships/hyperlink" Target="mailto:mo2753@att.com" TargetMode="External" /><Relationship Id="rId21" Type="http://schemas.openxmlformats.org/officeDocument/2006/relationships/hyperlink" Target="mailto:dborcher@bricker.com" TargetMode="External" /><Relationship Id="rId22" Type="http://schemas.openxmlformats.org/officeDocument/2006/relationships/hyperlink" Target="mailto:dparram@bricker.com" TargetMode="External" /><Relationship Id="rId23" Type="http://schemas.openxmlformats.org/officeDocument/2006/relationships/hyperlink" Target="mailto:Sarah.parrot@puco.ohio.gov" TargetMode="External" /><Relationship Id="rId24" Type="http://schemas.openxmlformats.org/officeDocument/2006/relationships/hyperlink" Target="mailto:Greta.see@puco.ohio.gov" TargetMode="External" /><Relationship Id="rId25" Type="http://schemas.openxmlformats.org/officeDocument/2006/relationships/hyperlink" Target="mailto:stnourse@aep.com" TargetMode="External" /><Relationship Id="rId26" Type="http://schemas.openxmlformats.org/officeDocument/2006/relationships/hyperlink" Target="mailto:cmblend@aep.com" TargetMode="External" /><Relationship Id="rId27" Type="http://schemas.openxmlformats.org/officeDocument/2006/relationships/hyperlink" Target="mailto:glpetrucci@vorys.com" TargetMode="External" /><Relationship Id="rId28" Type="http://schemas.openxmlformats.org/officeDocument/2006/relationships/hyperlink" Target="mailto:whitt@whitt-sturtevant.com" TargetMode="External" /><Relationship Id="rId29" Type="http://schemas.openxmlformats.org/officeDocument/2006/relationships/hyperlink" Target="mailto:fykes@whitt-sturtevant.com" TargetMode="External" /><Relationship Id="rId3" Type="http://schemas.openxmlformats.org/officeDocument/2006/relationships/webSettings" Target="webSettings.xml" /><Relationship Id="rId30" Type="http://schemas.openxmlformats.org/officeDocument/2006/relationships/hyperlink" Target="mailto:Bojko@carpenterlipps.com" TargetMode="External" /><Relationship Id="rId31" Type="http://schemas.openxmlformats.org/officeDocument/2006/relationships/hyperlink" Target="mailto:mleppla@theOEC.org" TargetMode="External" /><Relationship Id="rId32" Type="http://schemas.openxmlformats.org/officeDocument/2006/relationships/hyperlink" Target="mailto:ctavenor@theoec.or" TargetMode="External" /><Relationship Id="rId33" Type="http://schemas.openxmlformats.org/officeDocument/2006/relationships/hyperlink" Target="mailto:nvijaykar@elpc.org" TargetMode="External" /><Relationship Id="rId34" Type="http://schemas.openxmlformats.org/officeDocument/2006/relationships/hyperlink" Target="mailto:BarthRoyer@aol.com" TargetMode="External" /><Relationship Id="rId35" Type="http://schemas.openxmlformats.org/officeDocument/2006/relationships/hyperlink" Target="mailto:ccox@elpc.org" TargetMode="Externa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3.xml" /><Relationship Id="rId39" Type="http://schemas.openxmlformats.org/officeDocument/2006/relationships/footer" Target="footer4.xml" /><Relationship Id="rId4" Type="http://schemas.openxmlformats.org/officeDocument/2006/relationships/fontTable" Target="fontTable.xml" /><Relationship Id="rId40" Type="http://schemas.openxmlformats.org/officeDocument/2006/relationships/header" Target="header4.xml" /><Relationship Id="rId41" Type="http://schemas.openxmlformats.org/officeDocument/2006/relationships/footer" Target="footer5.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bryce.mckenney@occ.ohio.gov" TargetMode="External" /><Relationship Id="rId7" Type="http://schemas.openxmlformats.org/officeDocument/2006/relationships/hyperlink" Target="mailto:amy.botschner.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D550B-F067-483A-8C73-F52DBC72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Comments - AEP gridSMART 19-1475 w/dfs  (00146504.DOCX;1)</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2020-09-09T20:53:59Z</dcterms:created>
  <dcterms:modified xsi:type="dcterms:W3CDTF">2020-09-09T20:53:59Z</dcterms:modified>
</cp:coreProperties>
</file>