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FF" w:rsidRDefault="007C3439">
      <w:pPr>
        <w:spacing w:line="240" w:lineRule="auto"/>
        <w:jc w:val="center"/>
        <w:rPr>
          <w:rFonts w:ascii="Arial Bold" w:hAnsi="Arial Bold"/>
          <w:b/>
          <w:smallCaps/>
          <w:sz w:val="32"/>
          <w:szCs w:val="32"/>
        </w:rPr>
      </w:pPr>
      <w:r>
        <w:rPr>
          <w:rFonts w:ascii="Arial Bold" w:hAnsi="Arial Bold"/>
          <w:b/>
          <w:smallCaps/>
          <w:sz w:val="32"/>
          <w:szCs w:val="32"/>
        </w:rPr>
        <w:t>Before</w:t>
      </w:r>
    </w:p>
    <w:p w:rsidR="00CA02FF" w:rsidRDefault="007C3439">
      <w:pPr>
        <w:spacing w:line="240" w:lineRule="auto"/>
        <w:jc w:val="center"/>
        <w:rPr>
          <w:rFonts w:cs="Arial"/>
          <w:b/>
          <w:smallCaps/>
          <w:sz w:val="32"/>
          <w:szCs w:val="32"/>
        </w:rPr>
      </w:pPr>
      <w:r>
        <w:rPr>
          <w:rFonts w:cs="Arial"/>
          <w:b/>
          <w:smallCaps/>
          <w:sz w:val="32"/>
          <w:szCs w:val="32"/>
        </w:rPr>
        <w:t>The Public Utilities Commission of Ohio</w:t>
      </w:r>
    </w:p>
    <w:p w:rsidR="00CA02FF" w:rsidRDefault="00CA02FF">
      <w:pPr>
        <w:spacing w:line="240" w:lineRule="auto"/>
      </w:pPr>
    </w:p>
    <w:p w:rsidR="00CA02FF" w:rsidRDefault="007C3439">
      <w:pPr>
        <w:tabs>
          <w:tab w:val="left" w:pos="4860"/>
          <w:tab w:val="left" w:pos="5400"/>
        </w:tabs>
        <w:spacing w:line="240" w:lineRule="auto"/>
        <w:rPr>
          <w:rFonts w:cs="Arial"/>
          <w:bCs/>
        </w:rPr>
      </w:pPr>
      <w:r>
        <w:rPr>
          <w:rFonts w:cs="Arial"/>
          <w:bCs/>
        </w:rPr>
        <w:t xml:space="preserve">In the Matter of the Application of </w:t>
      </w:r>
      <w:r>
        <w:rPr>
          <w:rFonts w:cs="Arial"/>
          <w:bCs/>
        </w:rPr>
        <w:tab/>
        <w:t>)</w:t>
      </w:r>
    </w:p>
    <w:p w:rsidR="00CA02FF" w:rsidRDefault="007C3439">
      <w:pPr>
        <w:tabs>
          <w:tab w:val="left" w:pos="4860"/>
          <w:tab w:val="left" w:pos="5400"/>
        </w:tabs>
        <w:spacing w:line="240" w:lineRule="auto"/>
        <w:rPr>
          <w:rFonts w:cs="Arial"/>
          <w:bCs/>
        </w:rPr>
      </w:pPr>
      <w:r>
        <w:rPr>
          <w:rFonts w:cs="Arial"/>
          <w:bCs/>
        </w:rPr>
        <w:t>The Dayton Power and Light Company to</w:t>
      </w:r>
      <w:r>
        <w:rPr>
          <w:rFonts w:cs="Arial"/>
          <w:bCs/>
        </w:rPr>
        <w:tab/>
        <w:t>)</w:t>
      </w:r>
      <w:r>
        <w:rPr>
          <w:rFonts w:cs="Arial"/>
          <w:bCs/>
        </w:rPr>
        <w:tab/>
        <w:t>Case No. 15-361-EL-RDR</w:t>
      </w:r>
    </w:p>
    <w:p w:rsidR="00CA02FF" w:rsidRDefault="007C3439">
      <w:pPr>
        <w:tabs>
          <w:tab w:val="left" w:pos="4860"/>
          <w:tab w:val="left" w:pos="5400"/>
        </w:tabs>
        <w:spacing w:line="240" w:lineRule="auto"/>
        <w:rPr>
          <w:rFonts w:cs="Arial"/>
          <w:bCs/>
        </w:rPr>
      </w:pPr>
      <w:r>
        <w:rPr>
          <w:rFonts w:cs="Arial"/>
          <w:bCs/>
        </w:rPr>
        <w:t>Update its Transmission Cost Recovery</w:t>
      </w:r>
      <w:r>
        <w:rPr>
          <w:rFonts w:cs="Arial"/>
          <w:bCs/>
        </w:rPr>
        <w:tab/>
        <w:t>)</w:t>
      </w:r>
    </w:p>
    <w:p w:rsidR="00CA02FF" w:rsidRDefault="007C3439">
      <w:pPr>
        <w:tabs>
          <w:tab w:val="left" w:pos="4860"/>
          <w:tab w:val="left" w:pos="5400"/>
        </w:tabs>
        <w:spacing w:line="240" w:lineRule="auto"/>
        <w:rPr>
          <w:rFonts w:cs="Arial"/>
        </w:rPr>
      </w:pPr>
      <w:r>
        <w:rPr>
          <w:rFonts w:cs="Arial"/>
          <w:bCs/>
        </w:rPr>
        <w:t xml:space="preserve">Rider–Non-Bypassable </w:t>
      </w:r>
      <w:r>
        <w:rPr>
          <w:rFonts w:cs="Arial"/>
          <w:bCs/>
        </w:rPr>
        <w:tab/>
        <w:t>)</w:t>
      </w:r>
    </w:p>
    <w:p w:rsidR="00CA02FF" w:rsidRDefault="00CA02FF">
      <w:pPr>
        <w:tabs>
          <w:tab w:val="left" w:pos="4680"/>
          <w:tab w:val="left" w:pos="5220"/>
        </w:tabs>
        <w:autoSpaceDE w:val="0"/>
        <w:autoSpaceDN w:val="0"/>
        <w:adjustRightInd w:val="0"/>
        <w:spacing w:line="240" w:lineRule="auto"/>
        <w:rPr>
          <w:rFonts w:cs="Arial"/>
        </w:rPr>
      </w:pPr>
    </w:p>
    <w:p w:rsidR="00CA02FF" w:rsidRDefault="00CA02FF">
      <w:pPr>
        <w:tabs>
          <w:tab w:val="left" w:pos="4680"/>
          <w:tab w:val="left" w:pos="5220"/>
        </w:tabs>
        <w:autoSpaceDE w:val="0"/>
        <w:autoSpaceDN w:val="0"/>
        <w:adjustRightInd w:val="0"/>
        <w:spacing w:line="240" w:lineRule="auto"/>
        <w:rPr>
          <w:rFonts w:cs="Arial"/>
        </w:rPr>
      </w:pPr>
    </w:p>
    <w:p w:rsidR="00CA02FF" w:rsidRDefault="00CA02FF">
      <w:pPr>
        <w:tabs>
          <w:tab w:val="left" w:pos="4680"/>
          <w:tab w:val="left" w:pos="5220"/>
        </w:tabs>
        <w:autoSpaceDE w:val="0"/>
        <w:autoSpaceDN w:val="0"/>
        <w:adjustRightInd w:val="0"/>
        <w:spacing w:line="240" w:lineRule="auto"/>
        <w:rPr>
          <w:rFonts w:cs="Arial"/>
        </w:rPr>
      </w:pPr>
    </w:p>
    <w:p w:rsidR="00CA02FF" w:rsidRDefault="00CA02FF">
      <w:pPr>
        <w:tabs>
          <w:tab w:val="left" w:pos="5040"/>
        </w:tabs>
        <w:spacing w:line="240" w:lineRule="auto"/>
        <w:rPr>
          <w:rFonts w:cs="Arial"/>
        </w:rPr>
      </w:pPr>
    </w:p>
    <w:p w:rsidR="00CA02FF" w:rsidRDefault="00CA02FF">
      <w:pPr>
        <w:keepNext/>
        <w:pBdr>
          <w:top w:val="single" w:sz="12" w:space="1" w:color="auto"/>
        </w:pBdr>
        <w:tabs>
          <w:tab w:val="left" w:pos="7320"/>
        </w:tabs>
        <w:spacing w:line="240" w:lineRule="auto"/>
        <w:jc w:val="center"/>
        <w:outlineLvl w:val="0"/>
        <w:rPr>
          <w:rFonts w:cs="Arial"/>
          <w:b/>
          <w:smallCaps/>
        </w:rPr>
      </w:pPr>
    </w:p>
    <w:p w:rsidR="00CA02FF" w:rsidRDefault="007C3439">
      <w:pPr>
        <w:pStyle w:val="Heading1"/>
        <w:numPr>
          <w:ilvl w:val="0"/>
          <w:numId w:val="0"/>
        </w:numPr>
        <w:tabs>
          <w:tab w:val="left" w:pos="7320"/>
        </w:tabs>
        <w:spacing w:after="0" w:line="240" w:lineRule="auto"/>
        <w:jc w:val="center"/>
        <w:rPr>
          <w:smallCaps/>
          <w:sz w:val="36"/>
          <w:szCs w:val="36"/>
          <w:u w:val="none"/>
        </w:rPr>
      </w:pPr>
      <w:r>
        <w:rPr>
          <w:caps w:val="0"/>
          <w:smallCaps/>
          <w:sz w:val="36"/>
          <w:szCs w:val="36"/>
          <w:u w:val="none"/>
        </w:rPr>
        <w:t>Motion to Intervene and Memorandum in Support</w:t>
      </w:r>
    </w:p>
    <w:p w:rsidR="00CA02FF" w:rsidRDefault="007C3439">
      <w:pPr>
        <w:pStyle w:val="Heading1"/>
        <w:numPr>
          <w:ilvl w:val="0"/>
          <w:numId w:val="0"/>
        </w:numPr>
        <w:tabs>
          <w:tab w:val="left" w:pos="7320"/>
        </w:tabs>
        <w:spacing w:after="0" w:line="240" w:lineRule="auto"/>
        <w:jc w:val="center"/>
        <w:rPr>
          <w:smallCaps/>
          <w:sz w:val="36"/>
          <w:szCs w:val="36"/>
          <w:u w:val="none"/>
        </w:rPr>
      </w:pPr>
      <w:r>
        <w:rPr>
          <w:caps w:val="0"/>
          <w:smallCaps/>
          <w:sz w:val="36"/>
          <w:szCs w:val="36"/>
          <w:u w:val="none"/>
        </w:rPr>
        <w:t>of Industrial Energy Users-Ohio</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7C3439">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CA02FF" w:rsidRDefault="007C3439">
      <w:pPr>
        <w:widowControl w:val="0"/>
        <w:tabs>
          <w:tab w:val="left" w:pos="4320"/>
        </w:tabs>
        <w:spacing w:line="240" w:lineRule="auto"/>
        <w:ind w:left="4320"/>
        <w:rPr>
          <w:rFonts w:eastAsia="Calibri" w:cs="Arial"/>
          <w:bCs/>
        </w:rPr>
      </w:pPr>
      <w:r>
        <w:rPr>
          <w:rFonts w:eastAsia="Calibri" w:cs="Arial"/>
        </w:rPr>
        <w:t>(Counsel of Record)</w:t>
      </w:r>
    </w:p>
    <w:p w:rsidR="00CA02FF" w:rsidRDefault="007C3439">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Cs/>
        </w:rPr>
      </w:pPr>
      <w:r>
        <w:rPr>
          <w:rFonts w:eastAsia="Calibri" w:cs="Arial"/>
          <w:bCs/>
        </w:rPr>
        <w:t>Samuel C. Randazzo (Reg. No. 0016386)</w:t>
      </w:r>
    </w:p>
    <w:p w:rsidR="00CA02FF" w:rsidRDefault="007C3439">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CA02FF" w:rsidRDefault="007C3439">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CA02FF" w:rsidRDefault="007C3439">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CA02FF" w:rsidRDefault="007C3439">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CA02FF" w:rsidRDefault="007C3439">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CA02FF" w:rsidRDefault="007C3439">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CA02FF" w:rsidRDefault="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CA02FF" w:rsidRDefault="007C3439">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CA02FF" w:rsidRDefault="007C3439">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Pr="00D70E8C" w:rsidRDefault="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themeColor="text1"/>
        </w:rPr>
      </w:pPr>
      <w:r w:rsidRPr="004337A6">
        <w:rPr>
          <w:rFonts w:eastAsia="Calibri" w:cs="Arial"/>
          <w:color w:val="000000" w:themeColor="text1"/>
        </w:rPr>
        <w:t>sam@mwncmh.com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Default="00D70E8C">
      <w:pPr>
        <w:spacing w:line="240" w:lineRule="auto"/>
        <w:ind w:left="4320" w:hanging="4320"/>
        <w:rPr>
          <w:rFonts w:eastAsia="Calibri" w:cs="Arial"/>
          <w:b/>
        </w:rPr>
      </w:pPr>
    </w:p>
    <w:p w:rsidR="00C80791" w:rsidRDefault="007C3439">
      <w:pPr>
        <w:spacing w:line="240" w:lineRule="auto"/>
        <w:ind w:left="4320" w:hanging="4320"/>
        <w:rPr>
          <w:rFonts w:eastAsia="Calibri" w:cs="Arial"/>
          <w:b/>
        </w:rPr>
        <w:sectPr w:rsidR="00C80791" w:rsidSect="00D70E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38" w:left="1440" w:header="720" w:footer="360" w:gutter="0"/>
          <w:pgNumType w:start="1"/>
          <w:cols w:space="720"/>
          <w:titlePg/>
          <w:docGrid w:linePitch="326"/>
        </w:sectPr>
      </w:pPr>
      <w:r>
        <w:rPr>
          <w:rFonts w:eastAsia="Calibri" w:cs="Arial"/>
          <w:b/>
        </w:rPr>
        <w:t>April 27, 2015</w:t>
      </w:r>
      <w:r>
        <w:rPr>
          <w:rFonts w:eastAsia="Calibri" w:cs="Arial"/>
          <w:b/>
        </w:rPr>
        <w:tab/>
        <w:t>Attorneys for Industrial Energy Users-Ohio</w:t>
      </w:r>
    </w:p>
    <w:p w:rsidR="00CA02FF" w:rsidRDefault="00CA02FF">
      <w:pPr>
        <w:spacing w:line="240" w:lineRule="auto"/>
        <w:ind w:left="4320" w:hanging="4320"/>
        <w:rPr>
          <w:rFonts w:cs="Arial"/>
          <w:u w:val="single"/>
        </w:rPr>
      </w:pPr>
    </w:p>
    <w:p w:rsidR="00CA02FF" w:rsidRDefault="007C3439">
      <w:pPr>
        <w:spacing w:line="240" w:lineRule="auto"/>
        <w:jc w:val="center"/>
        <w:rPr>
          <w:rFonts w:ascii="Arial Bold" w:hAnsi="Arial Bold"/>
          <w:b/>
          <w:smallCaps/>
          <w:sz w:val="28"/>
          <w:szCs w:val="28"/>
        </w:rPr>
      </w:pPr>
      <w:r>
        <w:rPr>
          <w:rFonts w:ascii="Arial Bold" w:hAnsi="Arial Bold"/>
          <w:b/>
          <w:smallCaps/>
          <w:sz w:val="28"/>
          <w:szCs w:val="28"/>
        </w:rPr>
        <w:t>Before</w:t>
      </w:r>
    </w:p>
    <w:p w:rsidR="00CA02FF" w:rsidRDefault="007C3439">
      <w:pPr>
        <w:spacing w:line="240" w:lineRule="auto"/>
        <w:jc w:val="center"/>
        <w:rPr>
          <w:rFonts w:cs="Arial"/>
          <w:b/>
          <w:smallCaps/>
          <w:sz w:val="28"/>
          <w:szCs w:val="28"/>
        </w:rPr>
      </w:pPr>
      <w:r>
        <w:rPr>
          <w:rFonts w:cs="Arial"/>
          <w:b/>
          <w:smallCaps/>
          <w:sz w:val="28"/>
          <w:szCs w:val="28"/>
        </w:rPr>
        <w:t>The Public Utilities Commission of Ohio</w:t>
      </w:r>
    </w:p>
    <w:p w:rsidR="00CA02FF" w:rsidRDefault="00CA02FF">
      <w:pPr>
        <w:spacing w:line="240" w:lineRule="auto"/>
      </w:pPr>
    </w:p>
    <w:p w:rsidR="00CA02FF" w:rsidRDefault="007C3439">
      <w:pPr>
        <w:tabs>
          <w:tab w:val="left" w:pos="4860"/>
          <w:tab w:val="left" w:pos="5400"/>
        </w:tabs>
        <w:spacing w:line="240" w:lineRule="auto"/>
        <w:rPr>
          <w:rFonts w:cs="Arial"/>
          <w:bCs/>
        </w:rPr>
      </w:pPr>
      <w:r>
        <w:rPr>
          <w:rFonts w:cs="Arial"/>
          <w:bCs/>
        </w:rPr>
        <w:t xml:space="preserve">In the Matter of the Application of </w:t>
      </w:r>
      <w:r>
        <w:rPr>
          <w:rFonts w:cs="Arial"/>
          <w:bCs/>
        </w:rPr>
        <w:tab/>
        <w:t>)</w:t>
      </w:r>
    </w:p>
    <w:p w:rsidR="00CA02FF" w:rsidRDefault="007C3439">
      <w:pPr>
        <w:tabs>
          <w:tab w:val="left" w:pos="4860"/>
          <w:tab w:val="left" w:pos="5400"/>
        </w:tabs>
        <w:spacing w:line="240" w:lineRule="auto"/>
        <w:rPr>
          <w:rFonts w:cs="Arial"/>
          <w:bCs/>
        </w:rPr>
      </w:pPr>
      <w:r>
        <w:rPr>
          <w:rFonts w:cs="Arial"/>
          <w:bCs/>
        </w:rPr>
        <w:t>The Dayton Power and Light Company to</w:t>
      </w:r>
      <w:r>
        <w:rPr>
          <w:rFonts w:cs="Arial"/>
          <w:bCs/>
        </w:rPr>
        <w:tab/>
        <w:t>)</w:t>
      </w:r>
      <w:r>
        <w:rPr>
          <w:rFonts w:cs="Arial"/>
          <w:bCs/>
        </w:rPr>
        <w:tab/>
        <w:t>Case No. 15-361-EL-RDR</w:t>
      </w:r>
    </w:p>
    <w:p w:rsidR="00CA02FF" w:rsidRDefault="007C3439">
      <w:pPr>
        <w:tabs>
          <w:tab w:val="left" w:pos="4860"/>
          <w:tab w:val="left" w:pos="5400"/>
        </w:tabs>
        <w:spacing w:line="240" w:lineRule="auto"/>
        <w:rPr>
          <w:rFonts w:cs="Arial"/>
          <w:bCs/>
        </w:rPr>
      </w:pPr>
      <w:r>
        <w:rPr>
          <w:rFonts w:cs="Arial"/>
          <w:bCs/>
        </w:rPr>
        <w:t>Update its Transmission Cost Recovery</w:t>
      </w:r>
      <w:r>
        <w:rPr>
          <w:rFonts w:cs="Arial"/>
          <w:bCs/>
        </w:rPr>
        <w:tab/>
        <w:t>)</w:t>
      </w:r>
    </w:p>
    <w:p w:rsidR="00CA02FF" w:rsidRDefault="007C3439">
      <w:pPr>
        <w:tabs>
          <w:tab w:val="left" w:pos="4860"/>
          <w:tab w:val="left" w:pos="5400"/>
        </w:tabs>
        <w:spacing w:line="240" w:lineRule="auto"/>
        <w:rPr>
          <w:rFonts w:cs="Arial"/>
        </w:rPr>
      </w:pPr>
      <w:r>
        <w:rPr>
          <w:rFonts w:cs="Arial"/>
          <w:bCs/>
        </w:rPr>
        <w:t xml:space="preserve">Rider–Non-Bypassable </w:t>
      </w:r>
      <w:r>
        <w:rPr>
          <w:rFonts w:cs="Arial"/>
          <w:bCs/>
        </w:rPr>
        <w:tab/>
        <w:t>)</w:t>
      </w:r>
    </w:p>
    <w:p w:rsidR="00CA02FF" w:rsidRDefault="00CA02FF">
      <w:pPr>
        <w:tabs>
          <w:tab w:val="left" w:pos="5040"/>
        </w:tabs>
        <w:spacing w:line="240" w:lineRule="auto"/>
        <w:rPr>
          <w:rFonts w:cs="Arial"/>
        </w:rPr>
      </w:pPr>
    </w:p>
    <w:p w:rsidR="00CA02FF" w:rsidRDefault="00CA02FF">
      <w:pPr>
        <w:keepNext/>
        <w:pBdr>
          <w:top w:val="single" w:sz="12" w:space="1" w:color="auto"/>
        </w:pBdr>
        <w:tabs>
          <w:tab w:val="left" w:pos="7320"/>
        </w:tabs>
        <w:spacing w:line="240" w:lineRule="auto"/>
        <w:jc w:val="center"/>
        <w:outlineLvl w:val="0"/>
        <w:rPr>
          <w:rFonts w:cs="Arial"/>
          <w:b/>
          <w:smallCaps/>
        </w:rPr>
      </w:pPr>
    </w:p>
    <w:p w:rsidR="00CA02FF" w:rsidRDefault="007C3439">
      <w:pPr>
        <w:pStyle w:val="Heading1"/>
        <w:numPr>
          <w:ilvl w:val="0"/>
          <w:numId w:val="0"/>
        </w:numPr>
        <w:tabs>
          <w:tab w:val="left" w:pos="7320"/>
        </w:tabs>
        <w:spacing w:after="0" w:line="240" w:lineRule="auto"/>
        <w:jc w:val="center"/>
        <w:rPr>
          <w:caps w:val="0"/>
          <w:smallCaps/>
          <w:sz w:val="28"/>
          <w:u w:val="none"/>
        </w:rPr>
      </w:pPr>
      <w:r>
        <w:rPr>
          <w:caps w:val="0"/>
          <w:smallCaps/>
          <w:sz w:val="28"/>
          <w:u w:val="none"/>
        </w:rPr>
        <w:t xml:space="preserve">Motion to Intervene of </w:t>
      </w:r>
    </w:p>
    <w:p w:rsidR="00CA02FF" w:rsidRDefault="007C3439">
      <w:pPr>
        <w:pStyle w:val="Heading1"/>
        <w:numPr>
          <w:ilvl w:val="0"/>
          <w:numId w:val="0"/>
        </w:numPr>
        <w:tabs>
          <w:tab w:val="left" w:pos="7320"/>
        </w:tabs>
        <w:spacing w:after="0" w:line="240" w:lineRule="auto"/>
        <w:jc w:val="center"/>
        <w:rPr>
          <w:smallCaps/>
          <w:sz w:val="28"/>
          <w:u w:val="none"/>
        </w:rPr>
      </w:pPr>
      <w:r>
        <w:rPr>
          <w:caps w:val="0"/>
          <w:smallCaps/>
          <w:sz w:val="28"/>
          <w:u w:val="none"/>
        </w:rPr>
        <w:t>Industrial Energy Users-Ohio</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7C3439">
      <w:pPr>
        <w:pStyle w:val="BodyTextIndent"/>
        <w:spacing w:before="120" w:after="0"/>
        <w:ind w:left="0" w:firstLine="720"/>
      </w:pPr>
      <w:r>
        <w:t>Industrial Energy Users-Ohio (“IEU-Ohio”) hereby respectfully moves the Public Utilities Commission of Ohio (“Commission”), pursuant to R.C. 4903.221 and Rule 4901-1-11, Ohio Administrative Code, for leave to intervene in the above-captioned matter with the full powers and rights granted by the Commission, specifically by statute or by the provisions of the Ohio Administrative Code, to intervening parties.</w:t>
      </w:r>
    </w:p>
    <w:p w:rsidR="00CA02FF" w:rsidRDefault="007C3439" w:rsidP="005776E1">
      <w:pPr>
        <w:ind w:firstLine="720"/>
        <w:contextualSpacing/>
        <w:rPr>
          <w:rFonts w:eastAsia="Calibri" w:cs="Arial"/>
        </w:rPr>
      </w:pPr>
      <w:r>
        <w:rPr>
          <w:rFonts w:eastAsia="Calibri" w:cs="Arial"/>
        </w:rPr>
        <w:t>On March 16, 2015, The Dayton Power and Light Company (“DP&amp;L”) filed an application to update its Transmission Cost Recovery Rider-Non-Bypassable (“TCRR</w:t>
      </w:r>
      <w:r>
        <w:rPr>
          <w:rFonts w:eastAsia="Calibri" w:cs="Arial"/>
        </w:rPr>
        <w:noBreakHyphen/>
        <w:t>N”).  In addition to updating its proposed charges, DP&amp;L requested that the</w:t>
      </w:r>
      <w:bookmarkStart w:id="0" w:name="_GoBack"/>
      <w:bookmarkEnd w:id="0"/>
      <w:r>
        <w:rPr>
          <w:rFonts w:eastAsia="Calibri" w:cs="Arial"/>
        </w:rPr>
        <w:t xml:space="preserve"> Commission authorize two adjustments to the TCRR-N.  First, DP&amp;L requested authority to include in the TCRR-N any Operating Reserves costs that are assigned to DP&amp;L, solely as a transmission owner.</w:t>
      </w:r>
      <w:r>
        <w:rPr>
          <w:rFonts w:eastAsia="Calibri" w:cs="Arial"/>
          <w:vertAlign w:val="superscript"/>
        </w:rPr>
        <w:footnoteReference w:id="1"/>
      </w:r>
      <w:r>
        <w:rPr>
          <w:rFonts w:eastAsia="Calibri" w:cs="Arial"/>
        </w:rPr>
        <w:t xml:space="preserve">  Second, DP&amp;L sought authority to transfer to the TCRR-N a potential future under-recovery balance that may exist for the Transmission Cost Recovery Rider–Bypassable (“TCRR-B”) as of January 1, 2016, and any future adjustments to TCRR-B costs incurred prior to January 1, 2016.</w:t>
      </w:r>
      <w:r>
        <w:rPr>
          <w:rFonts w:eastAsia="Calibri" w:cs="Arial"/>
          <w:vertAlign w:val="superscript"/>
        </w:rPr>
        <w:footnoteReference w:id="2"/>
      </w:r>
      <w:r>
        <w:rPr>
          <w:rFonts w:eastAsia="Calibri" w:cs="Arial"/>
        </w:rPr>
        <w:t xml:space="preserve">  </w:t>
      </w:r>
    </w:p>
    <w:p w:rsidR="00CA02FF" w:rsidRDefault="007C3439" w:rsidP="005776E1">
      <w:pPr>
        <w:pStyle w:val="BodyText"/>
        <w:tabs>
          <w:tab w:val="left" w:pos="720"/>
          <w:tab w:val="left" w:pos="5040"/>
        </w:tabs>
        <w:spacing w:after="0" w:line="480" w:lineRule="auto"/>
        <w:ind w:firstLine="720"/>
        <w:jc w:val="both"/>
      </w:pPr>
      <w:r>
        <w:lastRenderedPageBreak/>
        <w:t>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CA02FF" w:rsidRDefault="007C3439">
      <w:pPr>
        <w:tabs>
          <w:tab w:val="left" w:pos="4320"/>
          <w:tab w:val="right" w:pos="8640"/>
        </w:tabs>
        <w:spacing w:line="240" w:lineRule="auto"/>
        <w:rPr>
          <w:rFonts w:cs="Arial"/>
        </w:rPr>
      </w:pPr>
      <w:r>
        <w:rPr>
          <w:rFonts w:cs="Arial"/>
        </w:rPr>
        <w:tab/>
        <w:t>Respectfully submitted,</w:t>
      </w:r>
    </w:p>
    <w:p w:rsidR="00CA02FF" w:rsidRDefault="00CA02FF">
      <w:pPr>
        <w:tabs>
          <w:tab w:val="left" w:pos="4320"/>
          <w:tab w:val="right" w:pos="8640"/>
        </w:tabs>
        <w:spacing w:line="240" w:lineRule="auto"/>
        <w:rPr>
          <w:rFonts w:cs="Arial"/>
        </w:rPr>
      </w:pPr>
    </w:p>
    <w:p w:rsidR="00CA02FF" w:rsidRDefault="00CA02FF">
      <w:pPr>
        <w:tabs>
          <w:tab w:val="left" w:pos="4320"/>
          <w:tab w:val="right" w:pos="8640"/>
        </w:tabs>
        <w:spacing w:line="240" w:lineRule="auto"/>
        <w:rPr>
          <w:rFonts w:cs="Arial"/>
        </w:rPr>
      </w:pPr>
    </w:p>
    <w:p w:rsidR="00CA02FF" w:rsidRPr="00D70E8C" w:rsidRDefault="007C3439">
      <w:pPr>
        <w:tabs>
          <w:tab w:val="left" w:pos="4320"/>
          <w:tab w:val="right" w:pos="8640"/>
        </w:tabs>
        <w:spacing w:line="240" w:lineRule="auto"/>
        <w:rPr>
          <w:rFonts w:cs="Arial"/>
          <w:i/>
          <w:u w:val="single"/>
        </w:rPr>
      </w:pPr>
      <w:r w:rsidRPr="00D70E8C">
        <w:rPr>
          <w:rFonts w:cs="Arial"/>
          <w:i/>
        </w:rPr>
        <w:tab/>
      </w:r>
      <w:r w:rsidRPr="00D70E8C">
        <w:rPr>
          <w:rFonts w:cs="Arial"/>
          <w:i/>
          <w:u w:val="single"/>
        </w:rPr>
        <w:t>/s/ Matthew R. Pritchard</w:t>
      </w:r>
      <w:r w:rsidRPr="00D70E8C">
        <w:rPr>
          <w:rFonts w:cs="Arial"/>
          <w:i/>
          <w:u w:val="single"/>
        </w:rPr>
        <w:tab/>
      </w:r>
    </w:p>
    <w:p w:rsidR="00D70E8C" w:rsidRDefault="00D70E8C" w:rsidP="00D70E8C">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D70E8C" w:rsidRDefault="00D70E8C" w:rsidP="00D70E8C">
      <w:pPr>
        <w:widowControl w:val="0"/>
        <w:tabs>
          <w:tab w:val="left" w:pos="4320"/>
        </w:tabs>
        <w:spacing w:line="240" w:lineRule="auto"/>
        <w:ind w:left="4320"/>
        <w:rPr>
          <w:rFonts w:eastAsia="Calibri" w:cs="Arial"/>
          <w:bCs/>
        </w:rPr>
      </w:pPr>
      <w:r>
        <w:rPr>
          <w:rFonts w:eastAsia="Calibri" w:cs="Arial"/>
        </w:rPr>
        <w:t>(Counsel of Record)</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Cs/>
        </w:rPr>
      </w:pPr>
      <w:r>
        <w:rPr>
          <w:rFonts w:eastAsia="Calibri" w:cs="Arial"/>
          <w:bCs/>
        </w:rPr>
        <w:t>Samuel C. Randazzo (Reg. No. 0016386)</w:t>
      </w:r>
    </w:p>
    <w:p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P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themeColor="text1"/>
        </w:rPr>
      </w:pPr>
      <w:r w:rsidRPr="004337A6">
        <w:rPr>
          <w:rFonts w:eastAsia="Calibri" w:cs="Arial"/>
          <w:color w:val="000000" w:themeColor="text1"/>
        </w:rPr>
        <w:t>sam@mwncmh.com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CA02FF" w:rsidRDefault="00CA02FF">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rsidR="00CA02FF" w:rsidRDefault="007C3439">
      <w:pPr>
        <w:spacing w:line="240" w:lineRule="auto"/>
        <w:ind w:left="4320" w:hanging="4320"/>
        <w:rPr>
          <w:rFonts w:cs="Arial"/>
          <w:sz w:val="28"/>
          <w:u w:val="single"/>
        </w:rPr>
      </w:pPr>
      <w:r>
        <w:rPr>
          <w:rFonts w:eastAsia="Calibri" w:cs="Arial"/>
          <w:b/>
        </w:rPr>
        <w:tab/>
        <w:t>Attorneys for Industrial Energy Users-Ohio</w:t>
      </w:r>
    </w:p>
    <w:p w:rsidR="00CA02FF" w:rsidRDefault="00CA02FF">
      <w:pPr>
        <w:tabs>
          <w:tab w:val="left" w:pos="4320"/>
          <w:tab w:val="right" w:pos="8640"/>
        </w:tabs>
        <w:spacing w:line="240" w:lineRule="auto"/>
        <w:ind w:left="4320"/>
        <w:rPr>
          <w:rFonts w:cs="Arial"/>
          <w:b/>
        </w:rPr>
      </w:pPr>
    </w:p>
    <w:p w:rsidR="00CA02FF" w:rsidRDefault="007C3439">
      <w:pPr>
        <w:spacing w:line="240" w:lineRule="auto"/>
        <w:jc w:val="center"/>
        <w:rPr>
          <w:rFonts w:ascii="Arial Bold" w:hAnsi="Arial Bold"/>
          <w:b/>
          <w:smallCaps/>
          <w:sz w:val="28"/>
          <w:szCs w:val="28"/>
        </w:rPr>
      </w:pPr>
      <w:r>
        <w:br w:type="page"/>
      </w:r>
      <w:r>
        <w:rPr>
          <w:rFonts w:ascii="Arial Bold" w:hAnsi="Arial Bold"/>
          <w:b/>
          <w:smallCaps/>
          <w:sz w:val="28"/>
          <w:szCs w:val="28"/>
        </w:rPr>
        <w:lastRenderedPageBreak/>
        <w:t>Before</w:t>
      </w:r>
    </w:p>
    <w:p w:rsidR="00CA02FF" w:rsidRDefault="007C3439">
      <w:pPr>
        <w:spacing w:line="240" w:lineRule="auto"/>
        <w:jc w:val="center"/>
        <w:rPr>
          <w:rFonts w:cs="Arial"/>
          <w:b/>
          <w:smallCaps/>
          <w:sz w:val="28"/>
          <w:szCs w:val="28"/>
        </w:rPr>
      </w:pPr>
      <w:r>
        <w:rPr>
          <w:rFonts w:cs="Arial"/>
          <w:b/>
          <w:smallCaps/>
          <w:sz w:val="28"/>
          <w:szCs w:val="28"/>
        </w:rPr>
        <w:t>The Public Utilities Commission of Ohio</w:t>
      </w:r>
    </w:p>
    <w:p w:rsidR="00CA02FF" w:rsidRDefault="00CA02FF">
      <w:pPr>
        <w:spacing w:line="240" w:lineRule="auto"/>
      </w:pPr>
    </w:p>
    <w:p w:rsidR="00CA02FF" w:rsidRDefault="007C3439">
      <w:pPr>
        <w:tabs>
          <w:tab w:val="left" w:pos="4860"/>
          <w:tab w:val="left" w:pos="5400"/>
        </w:tabs>
        <w:spacing w:line="240" w:lineRule="auto"/>
        <w:rPr>
          <w:rFonts w:cs="Arial"/>
          <w:bCs/>
        </w:rPr>
      </w:pPr>
      <w:r>
        <w:rPr>
          <w:rFonts w:cs="Arial"/>
          <w:bCs/>
        </w:rPr>
        <w:t xml:space="preserve">In the Matter of the Application of </w:t>
      </w:r>
      <w:r>
        <w:rPr>
          <w:rFonts w:cs="Arial"/>
          <w:bCs/>
        </w:rPr>
        <w:tab/>
        <w:t>)</w:t>
      </w:r>
    </w:p>
    <w:p w:rsidR="00CA02FF" w:rsidRDefault="007C3439">
      <w:pPr>
        <w:tabs>
          <w:tab w:val="left" w:pos="4860"/>
          <w:tab w:val="left" w:pos="5400"/>
        </w:tabs>
        <w:spacing w:line="240" w:lineRule="auto"/>
        <w:rPr>
          <w:rFonts w:cs="Arial"/>
          <w:bCs/>
        </w:rPr>
      </w:pPr>
      <w:r>
        <w:rPr>
          <w:rFonts w:cs="Arial"/>
          <w:bCs/>
        </w:rPr>
        <w:t>The Dayton Power and Light Company to</w:t>
      </w:r>
      <w:r>
        <w:rPr>
          <w:rFonts w:cs="Arial"/>
          <w:bCs/>
        </w:rPr>
        <w:tab/>
        <w:t>)</w:t>
      </w:r>
      <w:r>
        <w:rPr>
          <w:rFonts w:cs="Arial"/>
          <w:bCs/>
        </w:rPr>
        <w:tab/>
        <w:t>Case No. 15-361-EL-RDR</w:t>
      </w:r>
    </w:p>
    <w:p w:rsidR="00CA02FF" w:rsidRDefault="007C3439">
      <w:pPr>
        <w:tabs>
          <w:tab w:val="left" w:pos="4860"/>
          <w:tab w:val="left" w:pos="5400"/>
        </w:tabs>
        <w:spacing w:line="240" w:lineRule="auto"/>
        <w:rPr>
          <w:rFonts w:cs="Arial"/>
          <w:bCs/>
        </w:rPr>
      </w:pPr>
      <w:r>
        <w:rPr>
          <w:rFonts w:cs="Arial"/>
          <w:bCs/>
        </w:rPr>
        <w:t>Update its Transmission Cost Recovery</w:t>
      </w:r>
      <w:r>
        <w:rPr>
          <w:rFonts w:cs="Arial"/>
          <w:bCs/>
        </w:rPr>
        <w:tab/>
        <w:t>)</w:t>
      </w:r>
    </w:p>
    <w:p w:rsidR="00CA02FF" w:rsidRDefault="007C3439">
      <w:pPr>
        <w:tabs>
          <w:tab w:val="left" w:pos="4860"/>
          <w:tab w:val="left" w:pos="5400"/>
        </w:tabs>
        <w:spacing w:line="240" w:lineRule="auto"/>
        <w:rPr>
          <w:rFonts w:cs="Arial"/>
        </w:rPr>
      </w:pPr>
      <w:r>
        <w:rPr>
          <w:rFonts w:cs="Arial"/>
          <w:bCs/>
        </w:rPr>
        <w:t xml:space="preserve">Rider–Non-Bypassable </w:t>
      </w:r>
      <w:r>
        <w:rPr>
          <w:rFonts w:cs="Arial"/>
          <w:bCs/>
        </w:rPr>
        <w:tab/>
        <w:t>)</w:t>
      </w:r>
    </w:p>
    <w:p w:rsidR="00CA02FF" w:rsidRDefault="00CA02FF">
      <w:pPr>
        <w:tabs>
          <w:tab w:val="left" w:pos="5040"/>
        </w:tabs>
        <w:spacing w:line="240" w:lineRule="auto"/>
        <w:rPr>
          <w:rFonts w:cs="Arial"/>
        </w:rPr>
      </w:pPr>
    </w:p>
    <w:p w:rsidR="00CA02FF" w:rsidRDefault="00CA02FF">
      <w:pPr>
        <w:keepNext/>
        <w:pBdr>
          <w:top w:val="single" w:sz="12" w:space="1" w:color="auto"/>
        </w:pBdr>
        <w:tabs>
          <w:tab w:val="left" w:pos="7320"/>
        </w:tabs>
        <w:spacing w:line="240" w:lineRule="auto"/>
        <w:jc w:val="center"/>
        <w:outlineLvl w:val="0"/>
        <w:rPr>
          <w:rFonts w:cs="Arial"/>
          <w:b/>
          <w:smallCaps/>
        </w:rPr>
      </w:pPr>
    </w:p>
    <w:p w:rsidR="00CA02FF" w:rsidRDefault="007C3439">
      <w:pPr>
        <w:pStyle w:val="Heading1"/>
        <w:numPr>
          <w:ilvl w:val="0"/>
          <w:numId w:val="0"/>
        </w:numPr>
        <w:tabs>
          <w:tab w:val="left" w:pos="7320"/>
        </w:tabs>
        <w:spacing w:after="0" w:line="240" w:lineRule="auto"/>
        <w:jc w:val="center"/>
        <w:rPr>
          <w:smallCaps/>
          <w:sz w:val="28"/>
          <w:u w:val="none"/>
        </w:rPr>
      </w:pPr>
      <w:r>
        <w:rPr>
          <w:caps w:val="0"/>
          <w:smallCaps/>
          <w:sz w:val="28"/>
          <w:u w:val="none"/>
        </w:rPr>
        <w:t>Memorandum in Support</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7C3439">
      <w:pPr>
        <w:pStyle w:val="BodyText2"/>
        <w:spacing w:before="120" w:after="0"/>
        <w:rPr>
          <w:rFonts w:cs="Arial"/>
        </w:rPr>
      </w:pPr>
      <w:r>
        <w:rPr>
          <w:rFonts w:cs="Arial"/>
        </w:rPr>
        <w:tab/>
        <w:t xml:space="preserve">In support of this Motion to Intervene, IEU-Ohio states that it is an association of ultimate customers.  A current listing of IEU-Ohio member companies is available on IEU-Ohio's website at </w:t>
      </w:r>
      <w:r w:rsidRPr="004337A6">
        <w:rPr>
          <w:rFonts w:cs="Arial"/>
        </w:rPr>
        <w:t>http://www.ieu-ohio.org/member_list.aspx</w:t>
      </w:r>
      <w:r>
        <w:rPr>
          <w:rFonts w:cs="Arial"/>
        </w:rPr>
        <w:t>.  IEU-Ohio’s members purchase substantial amounts of electric and related services from Ohio’s electric distribution utilities (“EDU”), including DP&amp;L.</w:t>
      </w:r>
    </w:p>
    <w:p w:rsidR="00CA02FF" w:rsidRDefault="007C3439" w:rsidP="005776E1">
      <w:pPr>
        <w:ind w:firstLine="720"/>
        <w:rPr>
          <w:rFonts w:cs="Arial"/>
        </w:rPr>
      </w:pPr>
      <w:proofErr w:type="gramStart"/>
      <w:r>
        <w:rPr>
          <w:rFonts w:cs="Arial"/>
        </w:rPr>
        <w:t>IEU-Ohio’s members work together to address matters that affect the availability and price of utility services.</w:t>
      </w:r>
      <w:proofErr w:type="gramEnd"/>
      <w:r>
        <w:rPr>
          <w:rFonts w:cs="Arial"/>
        </w:rPr>
        <w:t xml:space="preserve">  Additionally, IEU-Ohio seeks to promote customer-driven policies that will assure an adequate, reliable, and efficient supply of energy for all consumers at competitive prices.  To this end, IEU-Ohio has worked to produce legislative, regulatory, and market outcomes that are consistent with the State policy contained in R.C. 4928.02.</w:t>
      </w:r>
    </w:p>
    <w:p w:rsidR="00CA02FF" w:rsidRDefault="007C3439" w:rsidP="00577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Arial"/>
        </w:rPr>
      </w:pPr>
      <w:r>
        <w:rPr>
          <w:rFonts w:eastAsia="Times New Roman" w:cs="Arial"/>
        </w:rPr>
        <w:t>IEU-Ohio has a real and substantial interest inasmuch as this proceeding may directly or indirectly impact the provision of electric service to IEU-Ohio members’ Ohio facilities.  Specifically, IEU-Ohio’s direct interest in this proceeding is the result of the effect that this proceeding shall have upon the price, adequacy, and reliability of the electric supply and related services</w:t>
      </w:r>
      <w:r>
        <w:rPr>
          <w:rFonts w:ascii="Courier New" w:eastAsia="Times New Roman" w:hAnsi="Courier New" w:cs="Courier New"/>
          <w:sz w:val="20"/>
          <w:szCs w:val="20"/>
        </w:rPr>
        <w:t xml:space="preserve"> </w:t>
      </w:r>
      <w:r>
        <w:rPr>
          <w:rFonts w:eastAsia="Times New Roman" w:cs="Arial"/>
        </w:rPr>
        <w:t>within Ohio to IEU-Ohio members’ facilities.</w:t>
      </w:r>
    </w:p>
    <w:p w:rsidR="00C80791" w:rsidRDefault="00C80791">
      <w:pPr>
        <w:spacing w:after="120" w:line="240" w:lineRule="auto"/>
        <w:jc w:val="left"/>
      </w:pPr>
      <w:r>
        <w:br w:type="page"/>
      </w:r>
    </w:p>
    <w:p w:rsidR="00CA02FF" w:rsidRDefault="007C3439">
      <w:pPr>
        <w:pStyle w:val="BodyText2"/>
        <w:spacing w:after="0" w:line="240" w:lineRule="auto"/>
      </w:pPr>
      <w:r>
        <w:lastRenderedPageBreak/>
        <w:tab/>
      </w:r>
      <w:r>
        <w:tab/>
      </w:r>
      <w:r>
        <w:tab/>
      </w:r>
      <w:r>
        <w:tab/>
      </w:r>
      <w:r>
        <w:tab/>
      </w:r>
      <w:r>
        <w:tab/>
        <w:t>Respectfully submitted,</w:t>
      </w:r>
    </w:p>
    <w:p w:rsidR="00CA02FF" w:rsidRDefault="00CA02FF">
      <w:pPr>
        <w:tabs>
          <w:tab w:val="left" w:pos="-1440"/>
          <w:tab w:val="left" w:pos="-720"/>
          <w:tab w:val="left" w:pos="4320"/>
          <w:tab w:val="left" w:pos="4680"/>
          <w:tab w:val="left" w:pos="8640"/>
        </w:tabs>
        <w:spacing w:line="240" w:lineRule="auto"/>
        <w:rPr>
          <w:rFonts w:cs="Arial"/>
        </w:rPr>
      </w:pPr>
    </w:p>
    <w:p w:rsidR="00CA02FF" w:rsidRDefault="00CA02FF">
      <w:pPr>
        <w:tabs>
          <w:tab w:val="left" w:pos="-1440"/>
          <w:tab w:val="left" w:pos="-720"/>
          <w:tab w:val="left" w:pos="4320"/>
          <w:tab w:val="left" w:pos="4680"/>
          <w:tab w:val="left" w:pos="8640"/>
        </w:tabs>
        <w:spacing w:line="240" w:lineRule="auto"/>
        <w:rPr>
          <w:rFonts w:cs="Arial"/>
        </w:rPr>
      </w:pPr>
    </w:p>
    <w:p w:rsidR="00CA02FF" w:rsidRPr="00D70E8C" w:rsidRDefault="007C3439">
      <w:pPr>
        <w:tabs>
          <w:tab w:val="left" w:pos="-1440"/>
          <w:tab w:val="left" w:pos="-720"/>
          <w:tab w:val="left" w:pos="4320"/>
          <w:tab w:val="left" w:pos="4680"/>
          <w:tab w:val="left" w:pos="8640"/>
        </w:tabs>
        <w:spacing w:line="240" w:lineRule="auto"/>
        <w:rPr>
          <w:rFonts w:cs="Arial"/>
          <w:i/>
          <w:u w:val="single"/>
        </w:rPr>
      </w:pPr>
      <w:r w:rsidRPr="00D70E8C">
        <w:rPr>
          <w:rFonts w:cs="Arial"/>
          <w:i/>
        </w:rPr>
        <w:tab/>
      </w:r>
      <w:r w:rsidRPr="00D70E8C">
        <w:rPr>
          <w:rFonts w:cs="Arial"/>
          <w:i/>
          <w:u w:val="single"/>
        </w:rPr>
        <w:t>/s/ Matthew R. Pritchard</w:t>
      </w:r>
      <w:r w:rsidRPr="00D70E8C">
        <w:rPr>
          <w:rFonts w:cs="Arial"/>
          <w:i/>
          <w:u w:val="single"/>
        </w:rPr>
        <w:tab/>
      </w:r>
    </w:p>
    <w:p w:rsidR="00D70E8C" w:rsidRDefault="00D70E8C" w:rsidP="00D70E8C">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D70E8C" w:rsidRDefault="00D70E8C" w:rsidP="00D70E8C">
      <w:pPr>
        <w:widowControl w:val="0"/>
        <w:tabs>
          <w:tab w:val="left" w:pos="4320"/>
        </w:tabs>
        <w:spacing w:line="240" w:lineRule="auto"/>
        <w:ind w:left="4320"/>
        <w:rPr>
          <w:rFonts w:eastAsia="Calibri" w:cs="Arial"/>
          <w:bCs/>
        </w:rPr>
      </w:pPr>
      <w:r>
        <w:rPr>
          <w:rFonts w:eastAsia="Calibri" w:cs="Arial"/>
        </w:rPr>
        <w:t>(Counsel of Record)</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Cs/>
        </w:rPr>
      </w:pPr>
      <w:r>
        <w:rPr>
          <w:rFonts w:eastAsia="Calibri" w:cs="Arial"/>
          <w:bCs/>
        </w:rPr>
        <w:t>Samuel C. Randazzo (Reg. No. 0016386)</w:t>
      </w:r>
    </w:p>
    <w:p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P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themeColor="text1"/>
        </w:rPr>
      </w:pPr>
      <w:r w:rsidRPr="004337A6">
        <w:rPr>
          <w:rFonts w:eastAsia="Calibri" w:cs="Arial"/>
          <w:color w:val="000000" w:themeColor="text1"/>
        </w:rPr>
        <w:t>sam@mwncmh.com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Default="00D70E8C" w:rsidP="00D70E8C">
      <w:pPr>
        <w:spacing w:line="240" w:lineRule="auto"/>
        <w:ind w:left="4320" w:hanging="4320"/>
        <w:rPr>
          <w:rFonts w:eastAsia="Calibri" w:cs="Arial"/>
          <w:b/>
        </w:rPr>
      </w:pPr>
    </w:p>
    <w:p w:rsidR="00CA02FF" w:rsidRDefault="00CA02FF">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rsidR="00CA02FF" w:rsidRDefault="007C3439">
      <w:pPr>
        <w:spacing w:line="240" w:lineRule="auto"/>
        <w:ind w:left="4320" w:hanging="4320"/>
        <w:rPr>
          <w:rFonts w:eastAsia="Calibri" w:cs="Arial"/>
          <w:b/>
        </w:rPr>
      </w:pPr>
      <w:r>
        <w:rPr>
          <w:rFonts w:eastAsia="Calibri" w:cs="Arial"/>
          <w:b/>
        </w:rPr>
        <w:tab/>
        <w:t>Attorneys for Industrial Energy Users-Ohio</w:t>
      </w:r>
    </w:p>
    <w:p w:rsidR="00CA02FF" w:rsidRDefault="00CA02FF">
      <w:pPr>
        <w:spacing w:line="240" w:lineRule="auto"/>
        <w:ind w:left="4320" w:hanging="4320"/>
        <w:rPr>
          <w:rFonts w:cs="Arial"/>
          <w:sz w:val="28"/>
          <w:u w:val="single"/>
        </w:rPr>
      </w:pPr>
    </w:p>
    <w:p w:rsidR="00CA02FF" w:rsidRDefault="00CA02FF">
      <w:pPr>
        <w:tabs>
          <w:tab w:val="left" w:pos="4320"/>
          <w:tab w:val="right" w:pos="8640"/>
        </w:tabs>
        <w:spacing w:line="240" w:lineRule="auto"/>
        <w:rPr>
          <w:rFonts w:cs="Arial"/>
        </w:rPr>
        <w:sectPr w:rsidR="00CA02FF" w:rsidSect="00C80791">
          <w:pgSz w:w="12240" w:h="15840" w:code="1"/>
          <w:pgMar w:top="1440" w:right="1440" w:bottom="1141" w:left="1440" w:header="720" w:footer="720" w:gutter="0"/>
          <w:pgNumType w:start="1"/>
          <w:cols w:space="720"/>
          <w:titlePg/>
          <w:docGrid w:linePitch="326"/>
        </w:sectPr>
      </w:pPr>
    </w:p>
    <w:p w:rsidR="00CA02FF" w:rsidRDefault="007C3439">
      <w:pPr>
        <w:tabs>
          <w:tab w:val="left" w:pos="2160"/>
          <w:tab w:val="left" w:pos="2280"/>
        </w:tabs>
        <w:spacing w:line="240" w:lineRule="auto"/>
        <w:jc w:val="center"/>
        <w:rPr>
          <w:rFonts w:cs="Arial"/>
          <w:b/>
          <w:smallCaps/>
          <w:sz w:val="28"/>
          <w:u w:val="single"/>
        </w:rPr>
      </w:pPr>
      <w:r>
        <w:rPr>
          <w:rFonts w:cs="Arial"/>
          <w:b/>
          <w:smallCaps/>
          <w:sz w:val="28"/>
          <w:u w:val="single"/>
        </w:rPr>
        <w:lastRenderedPageBreak/>
        <w:t>Certificate of Service</w:t>
      </w:r>
    </w:p>
    <w:p w:rsidR="00CA02FF" w:rsidRDefault="00CA02FF">
      <w:pPr>
        <w:spacing w:line="240" w:lineRule="auto"/>
        <w:rPr>
          <w:rFonts w:cs="Arial"/>
        </w:rPr>
      </w:pPr>
    </w:p>
    <w:p w:rsidR="00CA02FF" w:rsidRDefault="007C3439">
      <w:pPr>
        <w:pStyle w:val="BodyText"/>
        <w:spacing w:line="480" w:lineRule="auto"/>
        <w:ind w:firstLine="720"/>
        <w:jc w:val="both"/>
        <w:rPr>
          <w:b/>
          <w:smallCaps/>
        </w:rPr>
      </w:pPr>
      <w:r>
        <w:t>In accordance with Rule 4901-1-05, Ohio Administrative Code, the PUCO's e</w:t>
      </w:r>
      <w:r>
        <w:noBreakHyphen/>
        <w:t xml:space="preserve">filing system will electronically serve notice of the filing of this document upon the following parties.  In addition, I hereby certify that a service copy of the foregoing </w:t>
      </w:r>
      <w:r>
        <w:rPr>
          <w:i/>
        </w:rPr>
        <w:t xml:space="preserve">Motion to Intervene and Memorandum in Support of Industrial Energy Users-Ohio </w:t>
      </w:r>
      <w:r>
        <w:t>was sent by, or on behalf of, the undersigned counsel for IEU-Ohio to the following parties of record this 27</w:t>
      </w:r>
      <w:r>
        <w:rPr>
          <w:vertAlign w:val="superscript"/>
        </w:rPr>
        <w:t>th</w:t>
      </w:r>
      <w:r>
        <w:t xml:space="preserve"> day of April 2015, </w:t>
      </w:r>
      <w:r>
        <w:rPr>
          <w:i/>
        </w:rPr>
        <w:t>via</w:t>
      </w:r>
      <w:r>
        <w:t xml:space="preserve"> electronic transmission. </w:t>
      </w:r>
    </w:p>
    <w:p w:rsidR="00CA02FF" w:rsidRDefault="007C3439">
      <w:pPr>
        <w:tabs>
          <w:tab w:val="center" w:pos="7200"/>
          <w:tab w:val="right" w:pos="9360"/>
        </w:tabs>
        <w:spacing w:line="240" w:lineRule="auto"/>
        <w:ind w:left="5040"/>
        <w:rPr>
          <w:rFonts w:cs="Arial"/>
          <w:i/>
          <w:u w:val="single"/>
        </w:rPr>
      </w:pPr>
      <w:r>
        <w:rPr>
          <w:rFonts w:cs="Arial"/>
          <w:i/>
          <w:u w:val="single"/>
        </w:rPr>
        <w:t>/s/ Matthew R. Pritchard</w:t>
      </w:r>
      <w:r>
        <w:rPr>
          <w:rFonts w:cs="Arial"/>
          <w:i/>
          <w:u w:val="single"/>
        </w:rPr>
        <w:tab/>
      </w:r>
    </w:p>
    <w:p w:rsidR="00CA02FF" w:rsidRDefault="007C3439">
      <w:pPr>
        <w:tabs>
          <w:tab w:val="center" w:pos="7200"/>
          <w:tab w:val="right" w:pos="9360"/>
        </w:tabs>
        <w:spacing w:line="240" w:lineRule="auto"/>
        <w:ind w:left="5040"/>
        <w:rPr>
          <w:rFonts w:cs="Arial"/>
        </w:rPr>
      </w:pPr>
      <w:r>
        <w:rPr>
          <w:rFonts w:cs="Arial"/>
        </w:rPr>
        <w:tab/>
        <w:t>Matthew R. Pritchard</w:t>
      </w:r>
    </w:p>
    <w:p w:rsidR="00CA02FF" w:rsidRDefault="00CA02FF">
      <w:pPr>
        <w:spacing w:line="240" w:lineRule="auto"/>
        <w:rPr>
          <w:rFonts w:cs="Arial"/>
        </w:rPr>
      </w:pPr>
    </w:p>
    <w:p w:rsidR="00CA02FF" w:rsidRDefault="00CA02FF">
      <w:pPr>
        <w:spacing w:line="240" w:lineRule="auto"/>
        <w:rPr>
          <w:rFonts w:cs="Arial"/>
        </w:rPr>
        <w:sectPr w:rsidR="00CA02F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rsidR="00CA02FF" w:rsidRDefault="007C3439">
      <w:pPr>
        <w:spacing w:line="240" w:lineRule="auto"/>
        <w:jc w:val="left"/>
        <w:rPr>
          <w:rFonts w:cs="Arial"/>
          <w:sz w:val="22"/>
          <w:szCs w:val="22"/>
        </w:rPr>
      </w:pPr>
      <w:r>
        <w:rPr>
          <w:rFonts w:cs="Arial"/>
          <w:sz w:val="22"/>
          <w:szCs w:val="22"/>
        </w:rPr>
        <w:lastRenderedPageBreak/>
        <w:t xml:space="preserve">Judi L. </w:t>
      </w:r>
      <w:proofErr w:type="spellStart"/>
      <w:r>
        <w:rPr>
          <w:rFonts w:cs="Arial"/>
          <w:sz w:val="22"/>
          <w:szCs w:val="22"/>
        </w:rPr>
        <w:t>Sobecki</w:t>
      </w:r>
      <w:proofErr w:type="spellEnd"/>
      <w:r>
        <w:rPr>
          <w:rFonts w:cs="Arial"/>
          <w:sz w:val="22"/>
          <w:szCs w:val="22"/>
        </w:rPr>
        <w:t xml:space="preserve"> (Reg. No. 0067186)</w:t>
      </w:r>
    </w:p>
    <w:p w:rsidR="00CA02FF" w:rsidRDefault="007C3439">
      <w:pPr>
        <w:spacing w:line="240" w:lineRule="auto"/>
        <w:jc w:val="left"/>
        <w:rPr>
          <w:rFonts w:cs="Arial"/>
          <w:sz w:val="22"/>
          <w:szCs w:val="22"/>
        </w:rPr>
      </w:pPr>
      <w:r>
        <w:rPr>
          <w:rFonts w:cs="Arial"/>
          <w:sz w:val="22"/>
          <w:szCs w:val="22"/>
        </w:rPr>
        <w:t>The Dayton Power and Light Company</w:t>
      </w:r>
    </w:p>
    <w:p w:rsidR="00CA02FF" w:rsidRDefault="007C3439">
      <w:pPr>
        <w:spacing w:line="240" w:lineRule="auto"/>
        <w:jc w:val="left"/>
        <w:rPr>
          <w:rFonts w:cs="Arial"/>
          <w:sz w:val="22"/>
          <w:szCs w:val="22"/>
        </w:rPr>
      </w:pPr>
      <w:r>
        <w:rPr>
          <w:rFonts w:cs="Arial"/>
          <w:sz w:val="22"/>
          <w:szCs w:val="22"/>
        </w:rPr>
        <w:t>1065 Woodman Drive</w:t>
      </w:r>
    </w:p>
    <w:p w:rsidR="00CA02FF" w:rsidRDefault="007C3439">
      <w:pPr>
        <w:spacing w:line="240" w:lineRule="auto"/>
        <w:jc w:val="left"/>
        <w:rPr>
          <w:rFonts w:cs="Arial"/>
          <w:sz w:val="22"/>
          <w:szCs w:val="22"/>
        </w:rPr>
      </w:pPr>
      <w:r>
        <w:rPr>
          <w:rFonts w:cs="Arial"/>
          <w:sz w:val="22"/>
          <w:szCs w:val="22"/>
        </w:rPr>
        <w:t>Dayton, OH  45432</w:t>
      </w:r>
    </w:p>
    <w:p w:rsidR="00CA02FF" w:rsidRDefault="007C3439">
      <w:pPr>
        <w:spacing w:line="240" w:lineRule="auto"/>
        <w:jc w:val="left"/>
        <w:rPr>
          <w:rFonts w:cs="Arial"/>
          <w:sz w:val="22"/>
          <w:szCs w:val="22"/>
        </w:rPr>
      </w:pPr>
      <w:r>
        <w:rPr>
          <w:rFonts w:cs="Arial"/>
          <w:sz w:val="22"/>
          <w:szCs w:val="22"/>
        </w:rPr>
        <w:t>Judi.sobecki@aes.com</w:t>
      </w:r>
    </w:p>
    <w:p w:rsidR="00CA02FF" w:rsidRDefault="00CA02FF">
      <w:pPr>
        <w:spacing w:line="240" w:lineRule="auto"/>
        <w:jc w:val="left"/>
        <w:rPr>
          <w:rFonts w:cs="Arial"/>
          <w:sz w:val="22"/>
          <w:szCs w:val="22"/>
        </w:rPr>
      </w:pPr>
    </w:p>
    <w:p w:rsidR="00CA02FF" w:rsidRDefault="007C3439">
      <w:pPr>
        <w:spacing w:line="240" w:lineRule="auto"/>
        <w:jc w:val="left"/>
        <w:rPr>
          <w:rFonts w:ascii="Arial Bold" w:hAnsi="Arial Bold" w:cs="Arial"/>
          <w:b/>
          <w:smallCaps/>
          <w:sz w:val="22"/>
          <w:szCs w:val="22"/>
        </w:rPr>
      </w:pPr>
      <w:r>
        <w:rPr>
          <w:rFonts w:ascii="Arial Bold" w:hAnsi="Arial Bold" w:cs="Arial"/>
          <w:b/>
          <w:smallCaps/>
          <w:sz w:val="22"/>
          <w:szCs w:val="22"/>
        </w:rPr>
        <w:t>Attorney for The Dayton Power and Light Company</w:t>
      </w:r>
    </w:p>
    <w:p w:rsidR="00CA02FF" w:rsidRDefault="00CA02FF">
      <w:pPr>
        <w:spacing w:line="240" w:lineRule="auto"/>
        <w:jc w:val="left"/>
        <w:rPr>
          <w:rFonts w:cs="Arial"/>
          <w:sz w:val="22"/>
          <w:szCs w:val="22"/>
        </w:rPr>
      </w:pPr>
    </w:p>
    <w:p w:rsidR="00CA02FF" w:rsidRDefault="007C3439">
      <w:pPr>
        <w:autoSpaceDE w:val="0"/>
        <w:autoSpaceDN w:val="0"/>
        <w:adjustRightInd w:val="0"/>
        <w:snapToGrid w:val="0"/>
        <w:spacing w:line="240" w:lineRule="auto"/>
        <w:jc w:val="left"/>
        <w:rPr>
          <w:sz w:val="22"/>
          <w:szCs w:val="22"/>
        </w:rPr>
      </w:pPr>
      <w:r>
        <w:rPr>
          <w:sz w:val="22"/>
          <w:szCs w:val="22"/>
        </w:rPr>
        <w:t>William L. Wright</w:t>
      </w:r>
    </w:p>
    <w:p w:rsidR="00CA02FF" w:rsidRDefault="007C3439">
      <w:pPr>
        <w:autoSpaceDE w:val="0"/>
        <w:autoSpaceDN w:val="0"/>
        <w:adjustRightInd w:val="0"/>
        <w:snapToGrid w:val="0"/>
        <w:spacing w:line="240" w:lineRule="auto"/>
        <w:jc w:val="left"/>
        <w:rPr>
          <w:sz w:val="22"/>
          <w:szCs w:val="22"/>
        </w:rPr>
      </w:pPr>
      <w:r>
        <w:rPr>
          <w:sz w:val="22"/>
          <w:szCs w:val="22"/>
        </w:rPr>
        <w:t>Assistant Attorney General</w:t>
      </w:r>
    </w:p>
    <w:p w:rsidR="00CA02FF" w:rsidRDefault="007C3439">
      <w:pPr>
        <w:autoSpaceDE w:val="0"/>
        <w:autoSpaceDN w:val="0"/>
        <w:adjustRightInd w:val="0"/>
        <w:snapToGrid w:val="0"/>
        <w:spacing w:line="240" w:lineRule="auto"/>
        <w:jc w:val="left"/>
        <w:rPr>
          <w:sz w:val="22"/>
          <w:szCs w:val="22"/>
        </w:rPr>
      </w:pPr>
      <w:r>
        <w:rPr>
          <w:sz w:val="22"/>
          <w:szCs w:val="22"/>
        </w:rPr>
        <w:t xml:space="preserve">Chief, Public Utilities Section </w:t>
      </w:r>
    </w:p>
    <w:p w:rsidR="00CA02FF" w:rsidRDefault="007C3439">
      <w:pPr>
        <w:autoSpaceDE w:val="0"/>
        <w:autoSpaceDN w:val="0"/>
        <w:adjustRightInd w:val="0"/>
        <w:snapToGrid w:val="0"/>
        <w:spacing w:line="240" w:lineRule="auto"/>
        <w:jc w:val="left"/>
        <w:rPr>
          <w:sz w:val="22"/>
          <w:szCs w:val="22"/>
        </w:rPr>
      </w:pPr>
      <w:r>
        <w:rPr>
          <w:sz w:val="22"/>
          <w:szCs w:val="22"/>
        </w:rPr>
        <w:t>180 East Broad Street, 6th Floor</w:t>
      </w:r>
    </w:p>
    <w:p w:rsidR="00CA02FF" w:rsidRDefault="007C3439">
      <w:pPr>
        <w:autoSpaceDE w:val="0"/>
        <w:autoSpaceDN w:val="0"/>
        <w:adjustRightInd w:val="0"/>
        <w:snapToGrid w:val="0"/>
        <w:spacing w:line="240" w:lineRule="auto"/>
        <w:jc w:val="left"/>
        <w:rPr>
          <w:sz w:val="22"/>
          <w:szCs w:val="22"/>
        </w:rPr>
      </w:pPr>
      <w:r>
        <w:rPr>
          <w:sz w:val="22"/>
          <w:szCs w:val="22"/>
        </w:rPr>
        <w:t>Columbus, OH 43215-3793</w:t>
      </w:r>
    </w:p>
    <w:p w:rsidR="00CA02FF" w:rsidRDefault="007C3439">
      <w:pPr>
        <w:spacing w:line="240" w:lineRule="auto"/>
        <w:jc w:val="left"/>
        <w:rPr>
          <w:rFonts w:eastAsia="Calibri"/>
          <w:sz w:val="22"/>
          <w:szCs w:val="22"/>
        </w:rPr>
      </w:pPr>
      <w:r>
        <w:rPr>
          <w:rFonts w:eastAsia="Calibri"/>
          <w:sz w:val="22"/>
          <w:szCs w:val="22"/>
        </w:rPr>
        <w:t>william.wright@puc.state.oh.us</w:t>
      </w:r>
    </w:p>
    <w:p w:rsidR="00CA02FF" w:rsidRDefault="00CA02FF">
      <w:pPr>
        <w:spacing w:line="240" w:lineRule="auto"/>
        <w:jc w:val="left"/>
        <w:rPr>
          <w:rFonts w:eastAsia="Calibri"/>
          <w:sz w:val="22"/>
          <w:szCs w:val="22"/>
        </w:rPr>
      </w:pPr>
    </w:p>
    <w:p w:rsidR="00CA02FF" w:rsidRDefault="007C3439">
      <w:pPr>
        <w:spacing w:line="240" w:lineRule="auto"/>
        <w:jc w:val="left"/>
        <w:rPr>
          <w:rFonts w:eastAsia="Calibri"/>
          <w:sz w:val="22"/>
          <w:szCs w:val="22"/>
        </w:rPr>
      </w:pPr>
      <w:r>
        <w:rPr>
          <w:rFonts w:eastAsia="Calibri"/>
          <w:b/>
          <w:smallCaps/>
          <w:sz w:val="22"/>
          <w:szCs w:val="22"/>
        </w:rPr>
        <w:t>On Behalf of the Staff of the Public Utilities Commission of Ohio</w:t>
      </w:r>
    </w:p>
    <w:p w:rsidR="00CA02FF" w:rsidRDefault="00CA02FF">
      <w:pPr>
        <w:spacing w:line="240" w:lineRule="auto"/>
        <w:jc w:val="left"/>
        <w:rPr>
          <w:rFonts w:eastAsia="Calibri"/>
          <w:sz w:val="22"/>
          <w:szCs w:val="22"/>
        </w:rPr>
      </w:pPr>
    </w:p>
    <w:p w:rsidR="00CA02FF" w:rsidRDefault="007C3439">
      <w:pPr>
        <w:spacing w:line="240" w:lineRule="auto"/>
        <w:jc w:val="left"/>
        <w:rPr>
          <w:rFonts w:eastAsia="Calibri"/>
          <w:sz w:val="22"/>
          <w:szCs w:val="22"/>
        </w:rPr>
      </w:pPr>
      <w:r>
        <w:rPr>
          <w:rFonts w:eastAsia="Calibri"/>
          <w:sz w:val="22"/>
          <w:szCs w:val="22"/>
        </w:rPr>
        <w:t xml:space="preserve">Bryce A. </w:t>
      </w:r>
      <w:proofErr w:type="spellStart"/>
      <w:r>
        <w:rPr>
          <w:rFonts w:eastAsia="Calibri"/>
          <w:sz w:val="22"/>
          <w:szCs w:val="22"/>
        </w:rPr>
        <w:t>McKenney</w:t>
      </w:r>
      <w:proofErr w:type="spellEnd"/>
    </w:p>
    <w:p w:rsidR="00CA02FF" w:rsidRDefault="007C3439">
      <w:pPr>
        <w:spacing w:line="240" w:lineRule="auto"/>
        <w:jc w:val="left"/>
        <w:rPr>
          <w:rFonts w:eastAsia="Calibri"/>
          <w:sz w:val="22"/>
          <w:szCs w:val="22"/>
        </w:rPr>
      </w:pPr>
      <w:r>
        <w:rPr>
          <w:rFonts w:eastAsia="Calibri"/>
          <w:sz w:val="22"/>
          <w:szCs w:val="22"/>
        </w:rPr>
        <w:t>Gregory Price</w:t>
      </w:r>
    </w:p>
    <w:p w:rsidR="00CA02FF" w:rsidRDefault="007C3439">
      <w:pPr>
        <w:spacing w:line="240" w:lineRule="auto"/>
        <w:jc w:val="left"/>
        <w:rPr>
          <w:rFonts w:eastAsia="Calibri"/>
          <w:sz w:val="22"/>
          <w:szCs w:val="22"/>
        </w:rPr>
      </w:pPr>
      <w:r>
        <w:rPr>
          <w:rFonts w:eastAsia="Calibri"/>
          <w:sz w:val="22"/>
          <w:szCs w:val="22"/>
        </w:rPr>
        <w:t>Attorney Examiners</w:t>
      </w:r>
    </w:p>
    <w:p w:rsidR="00CA02FF" w:rsidRDefault="007C3439">
      <w:pPr>
        <w:spacing w:line="240" w:lineRule="auto"/>
        <w:jc w:val="left"/>
        <w:rPr>
          <w:rFonts w:eastAsia="Calibri"/>
          <w:sz w:val="22"/>
          <w:szCs w:val="22"/>
        </w:rPr>
      </w:pPr>
      <w:r>
        <w:rPr>
          <w:rFonts w:eastAsia="Calibri"/>
          <w:sz w:val="22"/>
          <w:szCs w:val="22"/>
        </w:rPr>
        <w:t>Public Utilities Commission of Ohio</w:t>
      </w:r>
    </w:p>
    <w:p w:rsidR="00CA02FF" w:rsidRDefault="007C3439">
      <w:pPr>
        <w:spacing w:line="240" w:lineRule="auto"/>
        <w:jc w:val="left"/>
        <w:rPr>
          <w:rFonts w:eastAsia="Calibri"/>
          <w:sz w:val="22"/>
          <w:szCs w:val="22"/>
        </w:rPr>
      </w:pPr>
      <w:r>
        <w:rPr>
          <w:rFonts w:eastAsia="Calibri"/>
          <w:sz w:val="22"/>
          <w:szCs w:val="22"/>
        </w:rPr>
        <w:t>180 East Broad Street</w:t>
      </w:r>
    </w:p>
    <w:p w:rsidR="00CA02FF" w:rsidRDefault="007C3439">
      <w:pPr>
        <w:spacing w:line="240" w:lineRule="auto"/>
        <w:jc w:val="left"/>
        <w:rPr>
          <w:rFonts w:eastAsia="Calibri"/>
          <w:sz w:val="22"/>
          <w:szCs w:val="22"/>
        </w:rPr>
      </w:pPr>
      <w:r>
        <w:rPr>
          <w:rFonts w:eastAsia="Calibri"/>
          <w:sz w:val="22"/>
          <w:szCs w:val="22"/>
        </w:rPr>
        <w:t>Columbus, OH  43215</w:t>
      </w:r>
    </w:p>
    <w:p w:rsidR="00CA02FF" w:rsidRDefault="007C3439">
      <w:pPr>
        <w:tabs>
          <w:tab w:val="left" w:pos="2160"/>
          <w:tab w:val="left" w:pos="2280"/>
        </w:tabs>
        <w:spacing w:line="240" w:lineRule="auto"/>
        <w:jc w:val="left"/>
        <w:rPr>
          <w:rFonts w:eastAsia="Calibri"/>
          <w:sz w:val="22"/>
          <w:szCs w:val="22"/>
        </w:rPr>
      </w:pPr>
      <w:r>
        <w:rPr>
          <w:rFonts w:eastAsia="Calibri"/>
          <w:sz w:val="22"/>
          <w:szCs w:val="22"/>
        </w:rPr>
        <w:t>bryce.mckenney@puc.state.oh.us</w:t>
      </w:r>
    </w:p>
    <w:p w:rsidR="00CA02FF" w:rsidRDefault="007C3439">
      <w:pPr>
        <w:tabs>
          <w:tab w:val="left" w:pos="2160"/>
          <w:tab w:val="left" w:pos="2280"/>
        </w:tabs>
        <w:spacing w:line="240" w:lineRule="auto"/>
        <w:jc w:val="left"/>
        <w:rPr>
          <w:rFonts w:eastAsia="Calibri"/>
          <w:sz w:val="22"/>
          <w:szCs w:val="22"/>
        </w:rPr>
      </w:pPr>
      <w:r>
        <w:rPr>
          <w:rFonts w:eastAsia="Calibri"/>
          <w:sz w:val="22"/>
          <w:szCs w:val="22"/>
        </w:rPr>
        <w:t>greg.price@puc.state.oh.us</w:t>
      </w:r>
    </w:p>
    <w:p w:rsidR="00CA02FF" w:rsidRDefault="00CA02FF">
      <w:pPr>
        <w:tabs>
          <w:tab w:val="left" w:pos="2160"/>
          <w:tab w:val="left" w:pos="2280"/>
        </w:tabs>
        <w:spacing w:line="240" w:lineRule="auto"/>
        <w:jc w:val="left"/>
        <w:rPr>
          <w:rFonts w:eastAsia="Calibri"/>
          <w:sz w:val="22"/>
          <w:szCs w:val="22"/>
        </w:rPr>
      </w:pPr>
    </w:p>
    <w:p w:rsidR="00CA02FF" w:rsidRPr="00D70E8C" w:rsidRDefault="007C3439" w:rsidP="00D70E8C">
      <w:pPr>
        <w:spacing w:line="240" w:lineRule="auto"/>
        <w:jc w:val="left"/>
        <w:rPr>
          <w:rFonts w:eastAsia="Calibri"/>
          <w:b/>
          <w:smallCaps/>
          <w:sz w:val="22"/>
          <w:szCs w:val="22"/>
        </w:rPr>
      </w:pPr>
      <w:r>
        <w:rPr>
          <w:rFonts w:eastAsia="Calibri"/>
          <w:b/>
          <w:smallCaps/>
          <w:sz w:val="22"/>
          <w:szCs w:val="22"/>
        </w:rPr>
        <w:t>Attorney Examiners</w:t>
      </w:r>
    </w:p>
    <w:sectPr w:rsidR="00CA02FF" w:rsidRPr="00D70E8C">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FF" w:rsidRDefault="007C3439">
      <w:r>
        <w:separator/>
      </w:r>
    </w:p>
  </w:endnote>
  <w:endnote w:type="continuationSeparator" w:id="0">
    <w:p w:rsidR="00CA02FF" w:rsidRDefault="007C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7C3439">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4337A6">
      <w:rPr>
        <w:rStyle w:val="PageNumber"/>
        <w:noProof/>
      </w:rPr>
      <w:t>4</w:t>
    </w:r>
    <w:r>
      <w:rPr>
        <w:rStyle w:val="PageNumber"/>
      </w:rPr>
      <w:fldChar w:fldCharType="end"/>
    </w:r>
  </w:p>
  <w:p w:rsidR="00CA02FF" w:rsidRDefault="00CA0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C80791">
    <w:pPr>
      <w:pStyle w:val="Footer"/>
      <w:framePr w:wrap="around" w:vAnchor="text" w:hAnchor="margin" w:xAlign="center" w:y="1"/>
      <w:rPr>
        <w:rStyle w:val="PageNumber"/>
        <w:rFonts w:cs="Arial"/>
        <w:noProof/>
      </w:rPr>
    </w:pPr>
    <w:r w:rsidRPr="00C80791">
      <w:rPr>
        <w:rStyle w:val="PageNumber"/>
        <w:rFonts w:cs="Arial"/>
        <w:noProof/>
      </w:rPr>
      <w:fldChar w:fldCharType="begin"/>
    </w:r>
    <w:r w:rsidRPr="00C80791">
      <w:rPr>
        <w:rStyle w:val="PageNumber"/>
        <w:rFonts w:cs="Arial"/>
        <w:noProof/>
      </w:rPr>
      <w:instrText xml:space="preserve"> PAGE   \* MERGEFORMAT </w:instrText>
    </w:r>
    <w:r w:rsidRPr="00C80791">
      <w:rPr>
        <w:rStyle w:val="PageNumber"/>
        <w:rFonts w:cs="Arial"/>
        <w:noProof/>
      </w:rPr>
      <w:fldChar w:fldCharType="separate"/>
    </w:r>
    <w:r w:rsidR="001C0B5B">
      <w:rPr>
        <w:rStyle w:val="PageNumber"/>
        <w:rFonts w:cs="Arial"/>
        <w:noProof/>
      </w:rPr>
      <w:t>4</w:t>
    </w:r>
    <w:r w:rsidRPr="00C80791">
      <w:rPr>
        <w:rStyle w:val="PageNumber"/>
        <w:rFonts w:cs="Arial"/>
        <w:noProof/>
      </w:rPr>
      <w:fldChar w:fldCharType="end"/>
    </w:r>
  </w:p>
  <w:p w:rsidR="00CA02FF" w:rsidRDefault="00535D77">
    <w:pPr>
      <w:pStyle w:val="Footer"/>
    </w:pPr>
    <w:r w:rsidRPr="00535D77">
      <w:rPr>
        <w:sz w:val="16"/>
      </w:rPr>
      <w:t>{</w:t>
    </w:r>
    <w:proofErr w:type="gramStart"/>
    <w:r w:rsidRPr="00535D77">
      <w:rPr>
        <w:sz w:val="16"/>
      </w:rPr>
      <w:t>C47118:3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535D77">
    <w:pPr>
      <w:pStyle w:val="Footer"/>
    </w:pPr>
    <w:r w:rsidRPr="00535D77">
      <w:rPr>
        <w:noProof/>
        <w:sz w:val="16"/>
      </w:rPr>
      <w:t>{C47118:3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CA02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535D77">
    <w:pPr>
      <w:pStyle w:val="Footer"/>
      <w:rPr>
        <w:rFonts w:cs="Arial"/>
      </w:rPr>
    </w:pPr>
    <w:r w:rsidRPr="00535D77">
      <w:rPr>
        <w:rFonts w:cs="Arial"/>
        <w:noProof/>
        <w:sz w:val="16"/>
      </w:rPr>
      <w:t>{C47118:3 }</w:t>
    </w:r>
    <w:sdt>
      <w:sdtPr>
        <w:rPr>
          <w:rFonts w:cs="Arial"/>
        </w:rPr>
        <w:id w:val="137851187"/>
        <w:docPartObj>
          <w:docPartGallery w:val="Page Numbers (Bottom of Page)"/>
          <w:docPartUnique/>
        </w:docPartObj>
      </w:sdtPr>
      <w:sdtEndPr>
        <w:rPr>
          <w:noProof/>
        </w:rPr>
      </w:sdtEndPr>
      <w:sdtContent>
        <w:r w:rsidR="007C3439">
          <w:rPr>
            <w:rFonts w:cs="Arial"/>
          </w:rPr>
          <w:tab/>
        </w:r>
        <w:r w:rsidR="007C3439">
          <w:rPr>
            <w:rFonts w:cs="Arial"/>
          </w:rPr>
          <w:fldChar w:fldCharType="begin"/>
        </w:r>
        <w:r w:rsidR="007C3439">
          <w:rPr>
            <w:rFonts w:cs="Arial"/>
          </w:rPr>
          <w:instrText xml:space="preserve"> PAGE   \* MERGEFORMAT </w:instrText>
        </w:r>
        <w:r w:rsidR="007C3439">
          <w:rPr>
            <w:rFonts w:cs="Arial"/>
          </w:rPr>
          <w:fldChar w:fldCharType="separate"/>
        </w:r>
        <w:r w:rsidR="004337A6">
          <w:rPr>
            <w:rFonts w:cs="Arial"/>
            <w:noProof/>
          </w:rPr>
          <w:t>5</w:t>
        </w:r>
        <w:r w:rsidR="007C3439">
          <w:rPr>
            <w:rFonts w:cs="Arial"/>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535D77">
    <w:pPr>
      <w:pStyle w:val="Footer"/>
      <w:rPr>
        <w:rFonts w:cs="Arial"/>
      </w:rPr>
    </w:pPr>
    <w:r w:rsidRPr="00535D77">
      <w:rPr>
        <w:rFonts w:cs="Arial"/>
        <w:noProof/>
        <w:sz w:val="16"/>
      </w:rPr>
      <w:t>{C47118:3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FF" w:rsidRDefault="007C3439">
      <w:pPr>
        <w:rPr>
          <w:noProof/>
        </w:rPr>
      </w:pPr>
      <w:r>
        <w:rPr>
          <w:noProof/>
        </w:rPr>
        <w:separator/>
      </w:r>
    </w:p>
  </w:footnote>
  <w:footnote w:type="continuationSeparator" w:id="0">
    <w:p w:rsidR="00CA02FF" w:rsidRDefault="007C3439">
      <w:r>
        <w:continuationSeparator/>
      </w:r>
    </w:p>
  </w:footnote>
  <w:footnote w:id="1">
    <w:p w:rsidR="00CA02FF" w:rsidRDefault="007C3439">
      <w:pPr>
        <w:pStyle w:val="FootnoteText"/>
      </w:pPr>
      <w:r>
        <w:rPr>
          <w:rStyle w:val="FootnoteReference"/>
        </w:rPr>
        <w:footnoteRef/>
      </w:r>
      <w:r>
        <w:t xml:space="preserve"> </w:t>
      </w:r>
      <w:proofErr w:type="gramStart"/>
      <w:r>
        <w:t>Application at 2.</w:t>
      </w:r>
      <w:proofErr w:type="gramEnd"/>
    </w:p>
  </w:footnote>
  <w:footnote w:id="2">
    <w:p w:rsidR="00CA02FF" w:rsidRDefault="007C3439">
      <w:pPr>
        <w:pStyle w:val="FootnoteText"/>
      </w:pPr>
      <w:r>
        <w:rPr>
          <w:rStyle w:val="FootnoteReference"/>
        </w:rPr>
        <w:footnoteRef/>
      </w:r>
      <w:r>
        <w:t xml:space="preserve"> </w:t>
      </w:r>
      <w:proofErr w:type="gramStart"/>
      <w:r>
        <w:rPr>
          <w:i/>
        </w:rPr>
        <w:t xml:space="preserve">Id. </w:t>
      </w:r>
      <w:r>
        <w:t>at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77" w:rsidRDefault="00535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77" w:rsidRDefault="00535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77" w:rsidRDefault="00535D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CA02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CA02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F" w:rsidRDefault="00CA0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71568"/>
    <w:multiLevelType w:val="multilevel"/>
    <w:tmpl w:val="37040A7A"/>
    <w:lvl w:ilvl="0">
      <w:start w:val="1"/>
      <w:numFmt w:val="upperRoman"/>
      <w:pStyle w:val="Heading1"/>
      <w:lvlText w:val="%1."/>
      <w:lvlJc w:val="left"/>
      <w:pPr>
        <w:tabs>
          <w:tab w:val="num" w:pos="720"/>
        </w:tabs>
        <w:ind w:left="720" w:hanging="720"/>
      </w:pPr>
      <w:rPr>
        <w:b w:val="0"/>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val="0"/>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0"/>
  </w:num>
  <w:num w:numId="21">
    <w:abstractNumId w:val="3"/>
  </w:num>
  <w:num w:numId="22">
    <w:abstractNumId w:val="3"/>
  </w:num>
  <w:num w:numId="23">
    <w:abstractNumId w:val="3"/>
  </w:num>
  <w:num w:numId="24">
    <w:abstractNumId w:val="3"/>
  </w:num>
  <w:num w:numId="25">
    <w:abstractNumId w:val="3"/>
  </w:num>
  <w:num w:numId="26">
    <w:abstractNumId w:val="2"/>
  </w:num>
  <w:num w:numId="27">
    <w:abstractNumId w:val="0"/>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A02FF"/>
    <w:rsid w:val="001C0B5B"/>
    <w:rsid w:val="004337A6"/>
    <w:rsid w:val="00535D77"/>
    <w:rsid w:val="005776E1"/>
    <w:rsid w:val="00730EB8"/>
    <w:rsid w:val="007C3439"/>
    <w:rsid w:val="00C80791"/>
    <w:rsid w:val="00CA02FF"/>
    <w:rsid w:val="00D7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HTML Preformatted" w:uiPriority="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pPr>
      <w:numPr>
        <w:numId w:val="29"/>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pPr>
      <w:numPr>
        <w:ilvl w:val="3"/>
        <w:numId w:val="29"/>
      </w:numPr>
      <w:spacing w:after="240"/>
      <w:outlineLvl w:val="3"/>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4"/>
    <w:rPr>
      <w:rFonts w:eastAsiaTheme="majorEastAsia"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iPriority w:val="99"/>
    <w:unhideWhenUsed/>
    <w:rPr>
      <w:vertAlign w:val="super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eastAsiaTheme="minorHAnsi" w:hAnsi="Arial" w:cstheme="minorBidi"/>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semiHidden/>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semiHidden/>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semiHidden/>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sz w:val="24"/>
      <w:szCs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rFonts w:ascii="Arial" w:eastAsiaTheme="minorHAnsi" w:hAnsi="Arial" w:cstheme="minorBidi"/>
      <w:sz w:val="24"/>
      <w:szCs w:val="24"/>
    </w:rPr>
  </w:style>
  <w:style w:type="character" w:styleId="PageNumber">
    <w:name w:val="pag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914">
      <w:bodyDiv w:val="1"/>
      <w:marLeft w:val="0"/>
      <w:marRight w:val="0"/>
      <w:marTop w:val="0"/>
      <w:marBottom w:val="0"/>
      <w:divBdr>
        <w:top w:val="none" w:sz="0" w:space="0" w:color="auto"/>
        <w:left w:val="none" w:sz="0" w:space="0" w:color="auto"/>
        <w:bottom w:val="none" w:sz="0" w:space="0" w:color="auto"/>
        <w:right w:val="none" w:sz="0" w:space="0" w:color="auto"/>
      </w:divBdr>
    </w:div>
    <w:div w:id="406538069">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472483483">
      <w:bodyDiv w:val="1"/>
      <w:marLeft w:val="0"/>
      <w:marRight w:val="0"/>
      <w:marTop w:val="0"/>
      <w:marBottom w:val="0"/>
      <w:divBdr>
        <w:top w:val="none" w:sz="0" w:space="0" w:color="auto"/>
        <w:left w:val="none" w:sz="0" w:space="0" w:color="auto"/>
        <w:bottom w:val="none" w:sz="0" w:space="0" w:color="auto"/>
        <w:right w:val="none" w:sz="0" w:space="0" w:color="auto"/>
      </w:divBdr>
    </w:div>
    <w:div w:id="19359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5776</Characters>
  <Application>Microsoft Office Word</Application>
  <DocSecurity>0</DocSecurity>
  <PresentationFormat>12|.DOCX</PresentationFormat>
  <Lines>203</Lines>
  <Paragraphs>107</Paragraphs>
  <ScaleCrop>false</ScaleCrop>
  <HeadingPairs>
    <vt:vector size="2" baseType="variant">
      <vt:variant>
        <vt:lpstr>Title</vt:lpstr>
      </vt:variant>
      <vt:variant>
        <vt:i4>1</vt:i4>
      </vt:variant>
    </vt:vector>
  </HeadingPairs>
  <TitlesOfParts>
    <vt:vector size="1" baseType="lpstr">
      <vt:lpstr>IEU-Ohio's Motion to Intervene (15-361) (C47118-3).DOCX</vt:lpstr>
    </vt:vector>
  </TitlesOfParts>
  <Company>Some Company, Inc.</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IEU-Ohio's Motion to Intervene (15-361) (C47118-3).DOCX</dc:title>
  <dc:subject>C47118:3 /font=8</dc:subject>
  <dc:creator>Debbie Ryan</dc:creator>
  <cp:lastModifiedBy>Debbie Ryan</cp:lastModifiedBy>
  <cp:revision>2</cp:revision>
  <cp:lastPrinted>2015-04-27T15:20:00Z</cp:lastPrinted>
  <dcterms:created xsi:type="dcterms:W3CDTF">2015-04-27T15:49:00Z</dcterms:created>
  <dcterms:modified xsi:type="dcterms:W3CDTF">2015-04-27T15:49:00Z</dcterms:modified>
</cp:coreProperties>
</file>