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EC" w:rsidRPr="0023677B" w:rsidRDefault="004846EC" w:rsidP="004846EC">
      <w:pPr>
        <w:spacing w:line="240" w:lineRule="auto"/>
        <w:ind w:left="4320" w:firstLine="720"/>
        <w:jc w:val="right"/>
        <w:rPr>
          <w:b/>
          <w:bCs/>
          <w:i/>
          <w:iCs/>
          <w:szCs w:val="24"/>
        </w:rPr>
      </w:pPr>
      <w:bookmarkStart w:id="0" w:name="_Toc249780366"/>
      <w:bookmarkStart w:id="1" w:name="_Toc249782093"/>
      <w:bookmarkStart w:id="2" w:name="_GoBack"/>
      <w:bookmarkEnd w:id="2"/>
      <w:r w:rsidRPr="0023677B">
        <w:rPr>
          <w:b/>
          <w:bCs/>
          <w:i/>
          <w:iCs/>
          <w:szCs w:val="24"/>
        </w:rPr>
        <w:t>OCC EXHIBIT ______</w:t>
      </w:r>
      <w:bookmarkEnd w:id="0"/>
      <w:bookmarkEnd w:id="1"/>
    </w:p>
    <w:p w:rsidR="00F1066F" w:rsidRDefault="00F1066F" w:rsidP="00F1066F">
      <w:pPr>
        <w:pStyle w:val="Title"/>
        <w:spacing w:after="0" w:line="240" w:lineRule="auto"/>
      </w:pPr>
    </w:p>
    <w:p w:rsidR="00F1066F" w:rsidRDefault="00F1066F" w:rsidP="00F1066F">
      <w:pPr>
        <w:pStyle w:val="Title"/>
        <w:spacing w:after="0" w:line="240" w:lineRule="auto"/>
      </w:pPr>
    </w:p>
    <w:p w:rsidR="00F1066F" w:rsidRPr="00DF4A19" w:rsidRDefault="00DF4A19" w:rsidP="00F1066F">
      <w:pPr>
        <w:pStyle w:val="Title"/>
        <w:spacing w:after="0" w:line="240" w:lineRule="auto"/>
        <w:rPr>
          <w:bCs/>
        </w:rPr>
      </w:pPr>
      <w:r w:rsidRPr="00DF4A19">
        <w:rPr>
          <w:bCs/>
        </w:rPr>
        <w:t xml:space="preserve">BEFORE </w:t>
      </w:r>
    </w:p>
    <w:p w:rsidR="004722B6" w:rsidRPr="00DF4A19" w:rsidRDefault="00DF4A19" w:rsidP="00F1066F">
      <w:pPr>
        <w:pStyle w:val="Title"/>
        <w:spacing w:after="0" w:line="240" w:lineRule="auto"/>
        <w:rPr>
          <w:bCs/>
        </w:rPr>
      </w:pPr>
      <w:r w:rsidRPr="00DF4A19">
        <w:rPr>
          <w:bCs/>
        </w:rPr>
        <w:t>THE PUBLIC UTILITIES COMMISSION OF OHIO</w:t>
      </w:r>
    </w:p>
    <w:p w:rsidR="00F1066F" w:rsidRDefault="00F1066F" w:rsidP="00F1066F">
      <w:pPr>
        <w:pStyle w:val="HTMLPreformatted"/>
        <w:jc w:val="center"/>
        <w:rPr>
          <w:rFonts w:ascii="Times New Roman" w:hAnsi="Times New Roman" w:cs="Times New Roman"/>
          <w:sz w:val="24"/>
          <w:szCs w:val="24"/>
        </w:rPr>
      </w:pPr>
    </w:p>
    <w:tbl>
      <w:tblPr>
        <w:tblW w:w="9092" w:type="dxa"/>
        <w:tblInd w:w="-106" w:type="dxa"/>
        <w:tblLook w:val="01E0" w:firstRow="1" w:lastRow="1" w:firstColumn="1" w:lastColumn="1" w:noHBand="0" w:noVBand="0"/>
      </w:tblPr>
      <w:tblGrid>
        <w:gridCol w:w="4326"/>
        <w:gridCol w:w="376"/>
        <w:gridCol w:w="4390"/>
      </w:tblGrid>
      <w:tr w:rsidR="00F1066F" w:rsidRPr="00846023" w:rsidTr="001718E3">
        <w:trPr>
          <w:trHeight w:val="807"/>
        </w:trPr>
        <w:tc>
          <w:tcPr>
            <w:tcW w:w="4326" w:type="dxa"/>
          </w:tcPr>
          <w:p w:rsidR="00F1066F" w:rsidRPr="00846023" w:rsidRDefault="00F1066F" w:rsidP="00846023">
            <w:pPr>
              <w:autoSpaceDE w:val="0"/>
              <w:autoSpaceDN w:val="0"/>
              <w:adjustRightInd w:val="0"/>
              <w:spacing w:line="240" w:lineRule="auto"/>
              <w:rPr>
                <w:szCs w:val="24"/>
              </w:rPr>
            </w:pPr>
            <w:r w:rsidRPr="00846023">
              <w:rPr>
                <w:szCs w:val="24"/>
              </w:rPr>
              <w:t>In the Matter of the Application of</w:t>
            </w:r>
          </w:p>
          <w:p w:rsidR="00F1066F" w:rsidRPr="00846023" w:rsidRDefault="00F1066F" w:rsidP="00846023">
            <w:pPr>
              <w:pStyle w:val="HTMLPreformatted"/>
              <w:rPr>
                <w:rFonts w:ascii="Times New Roman" w:hAnsi="Times New Roman" w:cs="Times New Roman"/>
                <w:sz w:val="24"/>
                <w:szCs w:val="24"/>
              </w:rPr>
            </w:pPr>
            <w:r w:rsidRPr="00846023">
              <w:rPr>
                <w:rFonts w:ascii="Times New Roman" w:hAnsi="Times New Roman" w:cs="Times New Roman"/>
                <w:sz w:val="24"/>
                <w:szCs w:val="24"/>
              </w:rPr>
              <w:t>Ohio Power Company for Authority to Establish a Standard Service Offer Pursuant to Section 4928.143, Ohio Rev. Code, in the Form of an Electric Security Plan.</w:t>
            </w:r>
          </w:p>
        </w:tc>
        <w:tc>
          <w:tcPr>
            <w:tcW w:w="376" w:type="dxa"/>
          </w:tcPr>
          <w:p w:rsidR="00F1066F" w:rsidRPr="00846023" w:rsidRDefault="00F1066F" w:rsidP="00846023">
            <w:pPr>
              <w:pStyle w:val="HTMLPreformatted"/>
              <w:jc w:val="center"/>
              <w:rPr>
                <w:rFonts w:ascii="Times New Roman" w:hAnsi="Times New Roman" w:cs="Times New Roman"/>
                <w:sz w:val="24"/>
                <w:szCs w:val="24"/>
              </w:rPr>
            </w:pPr>
            <w:r w:rsidRPr="00846023">
              <w:rPr>
                <w:rFonts w:ascii="Times New Roman" w:hAnsi="Times New Roman" w:cs="Times New Roman"/>
                <w:sz w:val="24"/>
                <w:szCs w:val="24"/>
              </w:rPr>
              <w:t>)</w:t>
            </w:r>
          </w:p>
          <w:p w:rsidR="00F1066F" w:rsidRPr="00846023" w:rsidRDefault="00F1066F" w:rsidP="00846023">
            <w:pPr>
              <w:pStyle w:val="HTMLPreformatted"/>
              <w:jc w:val="center"/>
              <w:rPr>
                <w:rFonts w:ascii="Times New Roman" w:hAnsi="Times New Roman" w:cs="Times New Roman"/>
                <w:sz w:val="24"/>
                <w:szCs w:val="24"/>
              </w:rPr>
            </w:pPr>
            <w:r w:rsidRPr="00846023">
              <w:rPr>
                <w:rFonts w:ascii="Times New Roman" w:hAnsi="Times New Roman" w:cs="Times New Roman"/>
                <w:sz w:val="24"/>
                <w:szCs w:val="24"/>
              </w:rPr>
              <w:t>)</w:t>
            </w:r>
          </w:p>
          <w:p w:rsidR="00F1066F" w:rsidRPr="00846023" w:rsidRDefault="00F1066F" w:rsidP="00846023">
            <w:pPr>
              <w:pStyle w:val="HTMLPreformatted"/>
              <w:jc w:val="center"/>
              <w:rPr>
                <w:rFonts w:ascii="Times New Roman" w:hAnsi="Times New Roman" w:cs="Times New Roman"/>
                <w:sz w:val="24"/>
                <w:szCs w:val="24"/>
              </w:rPr>
            </w:pPr>
            <w:r w:rsidRPr="00846023">
              <w:rPr>
                <w:rFonts w:ascii="Times New Roman" w:hAnsi="Times New Roman" w:cs="Times New Roman"/>
                <w:sz w:val="24"/>
                <w:szCs w:val="24"/>
              </w:rPr>
              <w:t>)</w:t>
            </w:r>
          </w:p>
          <w:p w:rsidR="00F1066F" w:rsidRPr="00846023" w:rsidRDefault="00F1066F" w:rsidP="00846023">
            <w:pPr>
              <w:pStyle w:val="HTMLPreformatted"/>
              <w:jc w:val="center"/>
              <w:rPr>
                <w:rFonts w:ascii="Times New Roman" w:hAnsi="Times New Roman" w:cs="Times New Roman"/>
                <w:sz w:val="24"/>
                <w:szCs w:val="24"/>
              </w:rPr>
            </w:pPr>
            <w:r w:rsidRPr="00846023">
              <w:rPr>
                <w:rFonts w:ascii="Times New Roman" w:hAnsi="Times New Roman" w:cs="Times New Roman"/>
                <w:sz w:val="24"/>
                <w:szCs w:val="24"/>
              </w:rPr>
              <w:t>)</w:t>
            </w:r>
          </w:p>
          <w:p w:rsidR="00F1066F" w:rsidRPr="00846023" w:rsidRDefault="00F1066F" w:rsidP="00846023">
            <w:pPr>
              <w:pStyle w:val="HTMLPreformatted"/>
              <w:jc w:val="center"/>
              <w:rPr>
                <w:rFonts w:ascii="Times New Roman" w:hAnsi="Times New Roman" w:cs="Times New Roman"/>
                <w:sz w:val="24"/>
                <w:szCs w:val="24"/>
              </w:rPr>
            </w:pPr>
            <w:r w:rsidRPr="00846023">
              <w:rPr>
                <w:rFonts w:ascii="Times New Roman" w:hAnsi="Times New Roman" w:cs="Times New Roman"/>
                <w:sz w:val="24"/>
                <w:szCs w:val="24"/>
              </w:rPr>
              <w:t>)</w:t>
            </w:r>
          </w:p>
          <w:p w:rsidR="00F1066F" w:rsidRPr="00846023" w:rsidRDefault="00F1066F" w:rsidP="00846023">
            <w:pPr>
              <w:pStyle w:val="HTMLPreformatted"/>
              <w:jc w:val="center"/>
              <w:rPr>
                <w:rFonts w:ascii="Times New Roman" w:hAnsi="Times New Roman" w:cs="Times New Roman"/>
                <w:sz w:val="24"/>
                <w:szCs w:val="24"/>
              </w:rPr>
            </w:pPr>
            <w:r w:rsidRPr="00846023">
              <w:rPr>
                <w:rFonts w:ascii="Times New Roman" w:hAnsi="Times New Roman" w:cs="Times New Roman"/>
                <w:sz w:val="24"/>
                <w:szCs w:val="24"/>
              </w:rPr>
              <w:t>)</w:t>
            </w:r>
          </w:p>
        </w:tc>
        <w:tc>
          <w:tcPr>
            <w:tcW w:w="4390" w:type="dxa"/>
          </w:tcPr>
          <w:p w:rsidR="00F1066F" w:rsidRPr="00846023" w:rsidRDefault="00F1066F" w:rsidP="00846023">
            <w:pPr>
              <w:pStyle w:val="HTMLPreformatted"/>
              <w:jc w:val="center"/>
              <w:rPr>
                <w:rFonts w:ascii="Times New Roman" w:hAnsi="Times New Roman" w:cs="Times New Roman"/>
                <w:sz w:val="24"/>
                <w:szCs w:val="24"/>
              </w:rPr>
            </w:pPr>
          </w:p>
          <w:p w:rsidR="00DF4A19" w:rsidRPr="00846023" w:rsidRDefault="00DF4A19" w:rsidP="00846023">
            <w:pPr>
              <w:pStyle w:val="HTMLPreformatted"/>
              <w:rPr>
                <w:rFonts w:ascii="Times New Roman" w:hAnsi="Times New Roman" w:cs="Times New Roman"/>
                <w:sz w:val="24"/>
                <w:szCs w:val="24"/>
              </w:rPr>
            </w:pPr>
          </w:p>
          <w:p w:rsidR="00F1066F" w:rsidRPr="00846023" w:rsidRDefault="00F1066F" w:rsidP="00846023">
            <w:pPr>
              <w:pStyle w:val="HTMLPreformatted"/>
              <w:rPr>
                <w:rFonts w:ascii="Times New Roman" w:hAnsi="Times New Roman" w:cs="Times New Roman"/>
                <w:sz w:val="24"/>
                <w:szCs w:val="24"/>
              </w:rPr>
            </w:pPr>
            <w:r w:rsidRPr="00846023">
              <w:rPr>
                <w:rFonts w:ascii="Times New Roman" w:hAnsi="Times New Roman" w:cs="Times New Roman"/>
                <w:sz w:val="24"/>
                <w:szCs w:val="24"/>
              </w:rPr>
              <w:t>Case No. 13-2385-EL-SSO</w:t>
            </w:r>
          </w:p>
          <w:p w:rsidR="00F1066F" w:rsidRPr="00846023" w:rsidRDefault="00F1066F" w:rsidP="00846023">
            <w:pPr>
              <w:pStyle w:val="HTMLPreformatted"/>
              <w:jc w:val="center"/>
              <w:rPr>
                <w:rFonts w:ascii="Times New Roman" w:hAnsi="Times New Roman" w:cs="Times New Roman"/>
                <w:sz w:val="24"/>
                <w:szCs w:val="24"/>
              </w:rPr>
            </w:pPr>
          </w:p>
          <w:p w:rsidR="00F1066F" w:rsidRPr="00846023" w:rsidRDefault="00F1066F" w:rsidP="00846023">
            <w:pPr>
              <w:pStyle w:val="HTMLPreformatted"/>
              <w:jc w:val="center"/>
              <w:rPr>
                <w:rFonts w:ascii="Times New Roman" w:hAnsi="Times New Roman" w:cs="Times New Roman"/>
                <w:sz w:val="24"/>
                <w:szCs w:val="24"/>
              </w:rPr>
            </w:pPr>
          </w:p>
        </w:tc>
      </w:tr>
    </w:tbl>
    <w:p w:rsidR="00F1066F" w:rsidRPr="00846023" w:rsidRDefault="00F1066F" w:rsidP="00846023">
      <w:pPr>
        <w:pStyle w:val="HTMLPreformatted"/>
        <w:jc w:val="center"/>
        <w:rPr>
          <w:rFonts w:ascii="Times New Roman" w:hAnsi="Times New Roman" w:cs="Times New Roman"/>
          <w:b/>
          <w:bCs/>
          <w:sz w:val="24"/>
          <w:szCs w:val="24"/>
        </w:rPr>
      </w:pPr>
    </w:p>
    <w:tbl>
      <w:tblPr>
        <w:tblW w:w="9092" w:type="dxa"/>
        <w:tblInd w:w="-106" w:type="dxa"/>
        <w:tblLook w:val="01E0" w:firstRow="1" w:lastRow="1" w:firstColumn="1" w:lastColumn="1" w:noHBand="0" w:noVBand="0"/>
      </w:tblPr>
      <w:tblGrid>
        <w:gridCol w:w="4326"/>
        <w:gridCol w:w="376"/>
        <w:gridCol w:w="4390"/>
      </w:tblGrid>
      <w:tr w:rsidR="00F1066F" w:rsidRPr="00846023" w:rsidTr="001718E3">
        <w:trPr>
          <w:trHeight w:val="807"/>
        </w:trPr>
        <w:tc>
          <w:tcPr>
            <w:tcW w:w="4326" w:type="dxa"/>
          </w:tcPr>
          <w:p w:rsidR="00F1066F" w:rsidRPr="00846023" w:rsidRDefault="00F1066F" w:rsidP="00846023">
            <w:pPr>
              <w:autoSpaceDE w:val="0"/>
              <w:autoSpaceDN w:val="0"/>
              <w:adjustRightInd w:val="0"/>
              <w:spacing w:line="240" w:lineRule="auto"/>
              <w:rPr>
                <w:szCs w:val="24"/>
              </w:rPr>
            </w:pPr>
            <w:r w:rsidRPr="00846023">
              <w:rPr>
                <w:szCs w:val="24"/>
              </w:rPr>
              <w:t>In the Matter of the Application of</w:t>
            </w:r>
          </w:p>
          <w:p w:rsidR="00F1066F" w:rsidRPr="00846023" w:rsidRDefault="00F1066F" w:rsidP="00846023">
            <w:pPr>
              <w:pStyle w:val="HTMLPreformatted"/>
              <w:rPr>
                <w:rFonts w:ascii="Times New Roman" w:hAnsi="Times New Roman" w:cs="Times New Roman"/>
                <w:sz w:val="24"/>
                <w:szCs w:val="24"/>
              </w:rPr>
            </w:pPr>
            <w:r w:rsidRPr="00846023">
              <w:rPr>
                <w:rFonts w:ascii="Times New Roman" w:hAnsi="Times New Roman" w:cs="Times New Roman"/>
                <w:sz w:val="24"/>
                <w:szCs w:val="24"/>
              </w:rPr>
              <w:t>Ohio Power Company for Approval of Certain Accounting Authority.</w:t>
            </w:r>
          </w:p>
        </w:tc>
        <w:tc>
          <w:tcPr>
            <w:tcW w:w="376" w:type="dxa"/>
          </w:tcPr>
          <w:p w:rsidR="00F1066F" w:rsidRPr="00846023" w:rsidRDefault="00F1066F" w:rsidP="00846023">
            <w:pPr>
              <w:pStyle w:val="HTMLPreformatted"/>
              <w:jc w:val="center"/>
              <w:rPr>
                <w:rFonts w:ascii="Times New Roman" w:hAnsi="Times New Roman" w:cs="Times New Roman"/>
                <w:sz w:val="24"/>
                <w:szCs w:val="24"/>
              </w:rPr>
            </w:pPr>
            <w:r w:rsidRPr="00846023">
              <w:rPr>
                <w:rFonts w:ascii="Times New Roman" w:hAnsi="Times New Roman" w:cs="Times New Roman"/>
                <w:sz w:val="24"/>
                <w:szCs w:val="24"/>
              </w:rPr>
              <w:t>)</w:t>
            </w:r>
          </w:p>
          <w:p w:rsidR="00F1066F" w:rsidRPr="00846023" w:rsidRDefault="00F1066F" w:rsidP="00846023">
            <w:pPr>
              <w:pStyle w:val="HTMLPreformatted"/>
              <w:jc w:val="center"/>
              <w:rPr>
                <w:rFonts w:ascii="Times New Roman" w:hAnsi="Times New Roman" w:cs="Times New Roman"/>
                <w:sz w:val="24"/>
                <w:szCs w:val="24"/>
              </w:rPr>
            </w:pPr>
            <w:r w:rsidRPr="00846023">
              <w:rPr>
                <w:rFonts w:ascii="Times New Roman" w:hAnsi="Times New Roman" w:cs="Times New Roman"/>
                <w:sz w:val="24"/>
                <w:szCs w:val="24"/>
              </w:rPr>
              <w:t>)</w:t>
            </w:r>
          </w:p>
          <w:p w:rsidR="00F1066F" w:rsidRPr="00846023" w:rsidRDefault="00F1066F" w:rsidP="00846023">
            <w:pPr>
              <w:pStyle w:val="HTMLPreformatted"/>
              <w:jc w:val="center"/>
              <w:rPr>
                <w:rFonts w:ascii="Times New Roman" w:hAnsi="Times New Roman" w:cs="Times New Roman"/>
                <w:sz w:val="24"/>
                <w:szCs w:val="24"/>
              </w:rPr>
            </w:pPr>
            <w:r w:rsidRPr="00846023">
              <w:rPr>
                <w:rFonts w:ascii="Times New Roman" w:hAnsi="Times New Roman" w:cs="Times New Roman"/>
                <w:sz w:val="24"/>
                <w:szCs w:val="24"/>
              </w:rPr>
              <w:t>)</w:t>
            </w:r>
          </w:p>
        </w:tc>
        <w:tc>
          <w:tcPr>
            <w:tcW w:w="4390" w:type="dxa"/>
          </w:tcPr>
          <w:p w:rsidR="00DF4A19" w:rsidRPr="00846023" w:rsidRDefault="00DF4A19" w:rsidP="00846023">
            <w:pPr>
              <w:pStyle w:val="HTMLPreformatted"/>
              <w:rPr>
                <w:rFonts w:ascii="Times New Roman" w:hAnsi="Times New Roman" w:cs="Times New Roman"/>
                <w:sz w:val="24"/>
                <w:szCs w:val="24"/>
              </w:rPr>
            </w:pPr>
          </w:p>
          <w:p w:rsidR="00F1066F" w:rsidRPr="00846023" w:rsidRDefault="00F1066F" w:rsidP="00846023">
            <w:pPr>
              <w:pStyle w:val="HTMLPreformatted"/>
              <w:rPr>
                <w:rFonts w:ascii="Times New Roman" w:hAnsi="Times New Roman" w:cs="Times New Roman"/>
                <w:sz w:val="24"/>
                <w:szCs w:val="24"/>
              </w:rPr>
            </w:pPr>
            <w:r w:rsidRPr="00846023">
              <w:rPr>
                <w:rFonts w:ascii="Times New Roman" w:hAnsi="Times New Roman" w:cs="Times New Roman"/>
                <w:sz w:val="24"/>
                <w:szCs w:val="24"/>
              </w:rPr>
              <w:t>Case No. 13-2386-EL-AAM</w:t>
            </w:r>
          </w:p>
          <w:p w:rsidR="00F1066F" w:rsidRPr="00846023" w:rsidRDefault="00F1066F" w:rsidP="00846023">
            <w:pPr>
              <w:pStyle w:val="HTMLPreformatted"/>
              <w:jc w:val="center"/>
              <w:rPr>
                <w:rFonts w:ascii="Times New Roman" w:hAnsi="Times New Roman" w:cs="Times New Roman"/>
                <w:sz w:val="24"/>
                <w:szCs w:val="24"/>
              </w:rPr>
            </w:pPr>
          </w:p>
        </w:tc>
      </w:tr>
    </w:tbl>
    <w:p w:rsidR="004722B6" w:rsidRDefault="004722B6">
      <w:pPr>
        <w:tabs>
          <w:tab w:val="right" w:pos="5130"/>
          <w:tab w:val="right" w:pos="8626"/>
        </w:tabs>
        <w:spacing w:line="400" w:lineRule="exact"/>
        <w:ind w:right="3586"/>
      </w:pPr>
    </w:p>
    <w:p w:rsidR="00DF4A19" w:rsidRDefault="00DF4A19">
      <w:pPr>
        <w:tabs>
          <w:tab w:val="right" w:pos="5130"/>
          <w:tab w:val="right" w:pos="8626"/>
        </w:tabs>
        <w:spacing w:line="400" w:lineRule="exact"/>
        <w:ind w:right="3586"/>
      </w:pPr>
    </w:p>
    <w:p w:rsidR="00F1066F" w:rsidRPr="00DF4A19" w:rsidRDefault="00DF4A19" w:rsidP="00F1066F">
      <w:pPr>
        <w:pStyle w:val="Title"/>
        <w:spacing w:after="0" w:line="240" w:lineRule="auto"/>
        <w:rPr>
          <w:bCs/>
          <w:szCs w:val="24"/>
        </w:rPr>
      </w:pPr>
      <w:bookmarkStart w:id="3" w:name="TypeOTestimony"/>
      <w:r w:rsidRPr="00DF4A19">
        <w:rPr>
          <w:bCs/>
          <w:szCs w:val="24"/>
        </w:rPr>
        <w:t xml:space="preserve">DIRECT TESTIMONY </w:t>
      </w:r>
    </w:p>
    <w:p w:rsidR="00DF4A19" w:rsidRDefault="00DF4A19" w:rsidP="00F1066F">
      <w:pPr>
        <w:pStyle w:val="Title"/>
        <w:spacing w:after="0" w:line="240" w:lineRule="auto"/>
        <w:rPr>
          <w:bCs/>
          <w:szCs w:val="24"/>
        </w:rPr>
      </w:pPr>
      <w:r w:rsidRPr="00DF4A19">
        <w:rPr>
          <w:bCs/>
          <w:szCs w:val="24"/>
        </w:rPr>
        <w:t>OF</w:t>
      </w:r>
      <w:bookmarkEnd w:id="3"/>
    </w:p>
    <w:p w:rsidR="0048260D" w:rsidRDefault="00DF4A19" w:rsidP="00DF4A19">
      <w:pPr>
        <w:pStyle w:val="Title"/>
        <w:spacing w:after="0" w:line="240" w:lineRule="auto"/>
        <w:rPr>
          <w:bCs/>
          <w:szCs w:val="24"/>
        </w:rPr>
      </w:pPr>
      <w:r>
        <w:rPr>
          <w:bCs/>
          <w:szCs w:val="24"/>
        </w:rPr>
        <w:t>JONATHAN WA</w:t>
      </w:r>
      <w:r w:rsidR="006E2B33">
        <w:rPr>
          <w:bCs/>
          <w:szCs w:val="24"/>
        </w:rPr>
        <w:t>L</w:t>
      </w:r>
      <w:r>
        <w:rPr>
          <w:bCs/>
          <w:szCs w:val="24"/>
        </w:rPr>
        <w:t>LACH</w:t>
      </w:r>
      <w:r w:rsidRPr="00DF4A19">
        <w:rPr>
          <w:bCs/>
          <w:szCs w:val="24"/>
        </w:rPr>
        <w:br/>
      </w:r>
    </w:p>
    <w:p w:rsidR="00DF4A19" w:rsidRPr="00DF4A19" w:rsidRDefault="00DF4A19" w:rsidP="00DF4A19"/>
    <w:p w:rsidR="0048260D" w:rsidRDefault="0048260D" w:rsidP="0001486E">
      <w:pPr>
        <w:spacing w:line="240" w:lineRule="auto"/>
        <w:jc w:val="center"/>
        <w:rPr>
          <w:i/>
          <w:iCs/>
          <w:szCs w:val="24"/>
        </w:rPr>
      </w:pPr>
      <w:bookmarkStart w:id="4" w:name="_Toc249780371"/>
      <w:bookmarkStart w:id="5" w:name="_Toc249782097"/>
      <w:r w:rsidRPr="0023677B">
        <w:rPr>
          <w:b/>
          <w:bCs/>
          <w:szCs w:val="24"/>
        </w:rPr>
        <w:t>On Behalf of</w:t>
      </w:r>
      <w:r>
        <w:rPr>
          <w:b/>
          <w:bCs/>
          <w:szCs w:val="24"/>
        </w:rPr>
        <w:br/>
      </w:r>
      <w:r w:rsidRPr="0023677B">
        <w:rPr>
          <w:b/>
          <w:bCs/>
          <w:szCs w:val="24"/>
        </w:rPr>
        <w:t>The Office of the Ohio Consumers’ Counsel</w:t>
      </w:r>
      <w:r>
        <w:rPr>
          <w:b/>
          <w:bCs/>
          <w:szCs w:val="24"/>
        </w:rPr>
        <w:br/>
      </w:r>
      <w:r w:rsidRPr="0023677B">
        <w:rPr>
          <w:i/>
          <w:iCs/>
          <w:szCs w:val="24"/>
        </w:rPr>
        <w:t>10 West Broad Street, Suite 1800</w:t>
      </w:r>
      <w:r>
        <w:rPr>
          <w:i/>
          <w:iCs/>
          <w:szCs w:val="24"/>
        </w:rPr>
        <w:br/>
      </w:r>
      <w:r w:rsidRPr="0023677B">
        <w:rPr>
          <w:i/>
          <w:iCs/>
          <w:szCs w:val="24"/>
        </w:rPr>
        <w:t>Columbus, Ohio</w:t>
      </w:r>
      <w:r w:rsidR="00CE29FB">
        <w:rPr>
          <w:i/>
          <w:iCs/>
          <w:szCs w:val="24"/>
        </w:rPr>
        <w:t xml:space="preserve"> </w:t>
      </w:r>
      <w:r w:rsidRPr="0023677B">
        <w:rPr>
          <w:i/>
          <w:iCs/>
          <w:szCs w:val="24"/>
        </w:rPr>
        <w:t>43215-3485</w:t>
      </w:r>
      <w:r>
        <w:rPr>
          <w:i/>
          <w:iCs/>
          <w:szCs w:val="24"/>
        </w:rPr>
        <w:br/>
      </w:r>
    </w:p>
    <w:p w:rsidR="00DF4A19" w:rsidRDefault="00DF4A19" w:rsidP="00DF4A19">
      <w:pPr>
        <w:spacing w:line="240" w:lineRule="auto"/>
        <w:jc w:val="center"/>
        <w:rPr>
          <w:i/>
          <w:iCs/>
          <w:szCs w:val="24"/>
        </w:rPr>
      </w:pPr>
    </w:p>
    <w:p w:rsidR="00DF4A19" w:rsidRDefault="00DF4A19" w:rsidP="00DF4A19">
      <w:pPr>
        <w:spacing w:line="240" w:lineRule="auto"/>
        <w:jc w:val="center"/>
        <w:rPr>
          <w:i/>
          <w:iCs/>
          <w:szCs w:val="24"/>
        </w:rPr>
      </w:pPr>
    </w:p>
    <w:p w:rsidR="00DF4A19" w:rsidRDefault="00DF4A19" w:rsidP="00DF4A19">
      <w:pPr>
        <w:spacing w:line="240" w:lineRule="auto"/>
        <w:jc w:val="center"/>
        <w:rPr>
          <w:i/>
          <w:iCs/>
          <w:szCs w:val="24"/>
        </w:rPr>
      </w:pPr>
    </w:p>
    <w:p w:rsidR="00DF4A19" w:rsidRDefault="00DF4A19" w:rsidP="00DF4A19">
      <w:pPr>
        <w:spacing w:line="240" w:lineRule="auto"/>
        <w:jc w:val="center"/>
        <w:rPr>
          <w:i/>
          <w:iCs/>
          <w:szCs w:val="24"/>
        </w:rPr>
      </w:pPr>
    </w:p>
    <w:p w:rsidR="00DF4A19" w:rsidRPr="00DF4A19" w:rsidRDefault="00DF4A19" w:rsidP="00DF4A19">
      <w:pPr>
        <w:spacing w:line="240" w:lineRule="auto"/>
        <w:jc w:val="center"/>
        <w:rPr>
          <w:b/>
          <w:bCs/>
          <w:szCs w:val="24"/>
        </w:rPr>
      </w:pPr>
      <w:r w:rsidRPr="00DF4A19">
        <w:rPr>
          <w:b/>
          <w:bCs/>
          <w:szCs w:val="24"/>
        </w:rPr>
        <w:t>MAY 6, 2014</w:t>
      </w:r>
    </w:p>
    <w:bookmarkEnd w:id="4"/>
    <w:bookmarkEnd w:id="5"/>
    <w:p w:rsidR="004722B6" w:rsidRDefault="004722B6">
      <w:pPr>
        <w:spacing w:line="360" w:lineRule="auto"/>
      </w:pPr>
    </w:p>
    <w:p w:rsidR="007A3414" w:rsidRDefault="004722B6">
      <w:pPr>
        <w:spacing w:line="360" w:lineRule="auto"/>
        <w:sectPr w:rsidR="007A3414" w:rsidSect="00D7274E">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936" w:gutter="0"/>
          <w:pgNumType w:start="1"/>
          <w:cols w:space="720"/>
          <w:titlePg/>
          <w:docGrid w:linePitch="326"/>
        </w:sectPr>
      </w:pPr>
      <w:r>
        <w:t> </w:t>
      </w:r>
    </w:p>
    <w:p w:rsidR="004722B6" w:rsidRPr="007A3414" w:rsidRDefault="007A3414" w:rsidP="007A3414">
      <w:pPr>
        <w:spacing w:line="360" w:lineRule="auto"/>
        <w:jc w:val="center"/>
        <w:rPr>
          <w:b/>
        </w:rPr>
      </w:pPr>
      <w:r w:rsidRPr="007A3414">
        <w:rPr>
          <w:b/>
        </w:rPr>
        <w:lastRenderedPageBreak/>
        <w:t>TABLE OF CONTENTS</w:t>
      </w:r>
    </w:p>
    <w:p w:rsidR="00C90D8B" w:rsidRDefault="00C90D8B" w:rsidP="00DF4A19">
      <w:pPr>
        <w:spacing w:line="360" w:lineRule="auto"/>
        <w:jc w:val="right"/>
      </w:pPr>
    </w:p>
    <w:p w:rsidR="007A3414" w:rsidRDefault="007A3414" w:rsidP="00DF4A19">
      <w:pPr>
        <w:spacing w:line="360" w:lineRule="auto"/>
        <w:jc w:val="right"/>
      </w:pPr>
      <w:r>
        <w:t>PAGE</w:t>
      </w:r>
    </w:p>
    <w:p w:rsidR="00E061E6" w:rsidRDefault="007A3414">
      <w:pPr>
        <w:pStyle w:val="TOC1"/>
        <w:rPr>
          <w:rFonts w:asciiTheme="minorHAnsi" w:eastAsiaTheme="minorEastAsia" w:hAnsiTheme="minorHAnsi" w:cstheme="minorBidi"/>
          <w:caps w:val="0"/>
          <w:kern w:val="0"/>
          <w:sz w:val="22"/>
          <w:szCs w:val="22"/>
          <w:lang w:bidi="he-IL"/>
        </w:rPr>
      </w:pPr>
      <w:r>
        <w:fldChar w:fldCharType="begin"/>
      </w:r>
      <w:r>
        <w:instrText xml:space="preserve"> TOC \o "1-1" \h \z \u </w:instrText>
      </w:r>
      <w:r>
        <w:fldChar w:fldCharType="separate"/>
      </w:r>
      <w:hyperlink w:anchor="_Toc387059954" w:history="1">
        <w:r w:rsidR="00E061E6" w:rsidRPr="008915F0">
          <w:rPr>
            <w:rStyle w:val="Hyperlink"/>
          </w:rPr>
          <w:t>I.</w:t>
        </w:r>
        <w:r w:rsidR="00E061E6">
          <w:rPr>
            <w:rFonts w:asciiTheme="minorHAnsi" w:eastAsiaTheme="minorEastAsia" w:hAnsiTheme="minorHAnsi" w:cstheme="minorBidi"/>
            <w:caps w:val="0"/>
            <w:kern w:val="0"/>
            <w:sz w:val="22"/>
            <w:szCs w:val="22"/>
            <w:lang w:bidi="he-IL"/>
          </w:rPr>
          <w:tab/>
        </w:r>
        <w:r w:rsidR="00E061E6" w:rsidRPr="008915F0">
          <w:rPr>
            <w:rStyle w:val="Hyperlink"/>
          </w:rPr>
          <w:t>Introduction</w:t>
        </w:r>
        <w:r w:rsidR="00E061E6">
          <w:rPr>
            <w:webHidden/>
          </w:rPr>
          <w:tab/>
        </w:r>
        <w:r w:rsidR="00E061E6">
          <w:rPr>
            <w:webHidden/>
          </w:rPr>
          <w:fldChar w:fldCharType="begin"/>
        </w:r>
        <w:r w:rsidR="00E061E6">
          <w:rPr>
            <w:webHidden/>
          </w:rPr>
          <w:instrText xml:space="preserve"> PAGEREF _Toc387059954 \h </w:instrText>
        </w:r>
        <w:r w:rsidR="00E061E6">
          <w:rPr>
            <w:webHidden/>
          </w:rPr>
        </w:r>
        <w:r w:rsidR="00E061E6">
          <w:rPr>
            <w:webHidden/>
          </w:rPr>
          <w:fldChar w:fldCharType="separate"/>
        </w:r>
        <w:r w:rsidR="006F29B8">
          <w:rPr>
            <w:webHidden/>
          </w:rPr>
          <w:t>1</w:t>
        </w:r>
        <w:r w:rsidR="00E061E6">
          <w:rPr>
            <w:webHidden/>
          </w:rPr>
          <w:fldChar w:fldCharType="end"/>
        </w:r>
      </w:hyperlink>
    </w:p>
    <w:p w:rsidR="00E061E6" w:rsidRDefault="00C106B0">
      <w:pPr>
        <w:pStyle w:val="TOC1"/>
        <w:rPr>
          <w:rFonts w:asciiTheme="minorHAnsi" w:eastAsiaTheme="minorEastAsia" w:hAnsiTheme="minorHAnsi" w:cstheme="minorBidi"/>
          <w:caps w:val="0"/>
          <w:kern w:val="0"/>
          <w:sz w:val="22"/>
          <w:szCs w:val="22"/>
          <w:lang w:bidi="he-IL"/>
        </w:rPr>
      </w:pPr>
      <w:hyperlink w:anchor="_Toc387059955" w:history="1">
        <w:r w:rsidR="00E061E6" w:rsidRPr="008915F0">
          <w:rPr>
            <w:rStyle w:val="Hyperlink"/>
          </w:rPr>
          <w:t>II.</w:t>
        </w:r>
        <w:r w:rsidR="00E061E6">
          <w:rPr>
            <w:rFonts w:asciiTheme="minorHAnsi" w:eastAsiaTheme="minorEastAsia" w:hAnsiTheme="minorHAnsi" w:cstheme="minorBidi"/>
            <w:caps w:val="0"/>
            <w:kern w:val="0"/>
            <w:sz w:val="22"/>
            <w:szCs w:val="22"/>
            <w:lang w:bidi="he-IL"/>
          </w:rPr>
          <w:tab/>
        </w:r>
        <w:r w:rsidR="00E061E6" w:rsidRPr="008915F0">
          <w:rPr>
            <w:rStyle w:val="Hyperlink"/>
          </w:rPr>
          <w:t>The Cost-Allocation Process</w:t>
        </w:r>
        <w:r w:rsidR="00E061E6">
          <w:rPr>
            <w:webHidden/>
          </w:rPr>
          <w:tab/>
        </w:r>
        <w:r w:rsidR="00E061E6">
          <w:rPr>
            <w:webHidden/>
          </w:rPr>
          <w:fldChar w:fldCharType="begin"/>
        </w:r>
        <w:r w:rsidR="00E061E6">
          <w:rPr>
            <w:webHidden/>
          </w:rPr>
          <w:instrText xml:space="preserve"> PAGEREF _Toc387059955 \h </w:instrText>
        </w:r>
        <w:r w:rsidR="00E061E6">
          <w:rPr>
            <w:webHidden/>
          </w:rPr>
        </w:r>
        <w:r w:rsidR="00E061E6">
          <w:rPr>
            <w:webHidden/>
          </w:rPr>
          <w:fldChar w:fldCharType="separate"/>
        </w:r>
        <w:r w:rsidR="006F29B8">
          <w:rPr>
            <w:webHidden/>
          </w:rPr>
          <w:t>3</w:t>
        </w:r>
        <w:r w:rsidR="00E061E6">
          <w:rPr>
            <w:webHidden/>
          </w:rPr>
          <w:fldChar w:fldCharType="end"/>
        </w:r>
      </w:hyperlink>
    </w:p>
    <w:p w:rsidR="00E061E6" w:rsidRDefault="00C106B0">
      <w:pPr>
        <w:pStyle w:val="TOC1"/>
        <w:rPr>
          <w:rFonts w:asciiTheme="minorHAnsi" w:eastAsiaTheme="minorEastAsia" w:hAnsiTheme="minorHAnsi" w:cstheme="minorBidi"/>
          <w:caps w:val="0"/>
          <w:kern w:val="0"/>
          <w:sz w:val="22"/>
          <w:szCs w:val="22"/>
          <w:lang w:bidi="he-IL"/>
        </w:rPr>
      </w:pPr>
      <w:hyperlink w:anchor="_Toc387059956" w:history="1">
        <w:r w:rsidR="00E061E6" w:rsidRPr="008915F0">
          <w:rPr>
            <w:rStyle w:val="Hyperlink"/>
          </w:rPr>
          <w:t>III.</w:t>
        </w:r>
        <w:r w:rsidR="00E061E6">
          <w:rPr>
            <w:rFonts w:asciiTheme="minorHAnsi" w:eastAsiaTheme="minorEastAsia" w:hAnsiTheme="minorHAnsi" w:cstheme="minorBidi"/>
            <w:caps w:val="0"/>
            <w:kern w:val="0"/>
            <w:sz w:val="22"/>
            <w:szCs w:val="22"/>
            <w:lang w:bidi="he-IL"/>
          </w:rPr>
          <w:tab/>
        </w:r>
        <w:r w:rsidR="00E061E6" w:rsidRPr="008915F0">
          <w:rPr>
            <w:rStyle w:val="Hyperlink"/>
          </w:rPr>
          <w:t>Proposed Allocation of Distribution Rider Costs</w:t>
        </w:r>
        <w:r w:rsidR="00E061E6">
          <w:rPr>
            <w:webHidden/>
          </w:rPr>
          <w:tab/>
        </w:r>
        <w:r w:rsidR="00E061E6">
          <w:rPr>
            <w:webHidden/>
          </w:rPr>
          <w:fldChar w:fldCharType="begin"/>
        </w:r>
        <w:r w:rsidR="00E061E6">
          <w:rPr>
            <w:webHidden/>
          </w:rPr>
          <w:instrText xml:space="preserve"> PAGEREF _Toc387059956 \h </w:instrText>
        </w:r>
        <w:r w:rsidR="00E061E6">
          <w:rPr>
            <w:webHidden/>
          </w:rPr>
        </w:r>
        <w:r w:rsidR="00E061E6">
          <w:rPr>
            <w:webHidden/>
          </w:rPr>
          <w:fldChar w:fldCharType="separate"/>
        </w:r>
        <w:r w:rsidR="006F29B8">
          <w:rPr>
            <w:webHidden/>
          </w:rPr>
          <w:t>5</w:t>
        </w:r>
        <w:r w:rsidR="00E061E6">
          <w:rPr>
            <w:webHidden/>
          </w:rPr>
          <w:fldChar w:fldCharType="end"/>
        </w:r>
      </w:hyperlink>
    </w:p>
    <w:p w:rsidR="007A3414" w:rsidRDefault="007A3414" w:rsidP="007A3414">
      <w:pPr>
        <w:spacing w:line="360" w:lineRule="auto"/>
        <w:jc w:val="center"/>
      </w:pPr>
      <w:r>
        <w:fldChar w:fldCharType="end"/>
      </w:r>
    </w:p>
    <w:p w:rsidR="00C90D8B" w:rsidRDefault="00C90D8B" w:rsidP="00A33EB9">
      <w:pPr>
        <w:spacing w:line="360" w:lineRule="auto"/>
        <w:rPr>
          <w:b/>
        </w:rPr>
      </w:pPr>
    </w:p>
    <w:p w:rsidR="00A33EB9" w:rsidRPr="00A33EB9" w:rsidRDefault="00A33EB9" w:rsidP="00A33EB9">
      <w:pPr>
        <w:spacing w:line="360" w:lineRule="auto"/>
        <w:rPr>
          <w:b/>
        </w:rPr>
      </w:pPr>
      <w:r w:rsidRPr="00A33EB9">
        <w:rPr>
          <w:b/>
        </w:rPr>
        <w:t>ATTACHMENTS:</w:t>
      </w:r>
    </w:p>
    <w:p w:rsidR="00F23E7C" w:rsidRDefault="00BB526A" w:rsidP="00BB526A">
      <w:pPr>
        <w:spacing w:line="360" w:lineRule="auto"/>
      </w:pPr>
      <w:r>
        <w:t xml:space="preserve">Attachment </w:t>
      </w:r>
      <w:r w:rsidR="00A33EB9">
        <w:t>W</w:t>
      </w:r>
      <w:r>
        <w:t>allach</w:t>
      </w:r>
      <w:r w:rsidR="00A33EB9">
        <w:t>-1</w:t>
      </w:r>
      <w:r w:rsidR="007A3414">
        <w:tab/>
      </w:r>
    </w:p>
    <w:p w:rsidR="007A3414" w:rsidRDefault="00BB526A" w:rsidP="00BB526A">
      <w:pPr>
        <w:spacing w:line="360" w:lineRule="auto"/>
      </w:pPr>
      <w:r>
        <w:t xml:space="preserve">Attachment </w:t>
      </w:r>
      <w:r w:rsidR="00F23E7C">
        <w:t>W</w:t>
      </w:r>
      <w:r>
        <w:t>allach</w:t>
      </w:r>
      <w:r w:rsidR="00F23E7C">
        <w:t>-2</w:t>
      </w:r>
      <w:r w:rsidR="007A3414">
        <w:tab/>
      </w:r>
    </w:p>
    <w:p w:rsidR="007A3414" w:rsidRDefault="007A3414" w:rsidP="00A33EB9">
      <w:pPr>
        <w:spacing w:line="360" w:lineRule="auto"/>
        <w:sectPr w:rsidR="007A3414" w:rsidSect="00D7274E">
          <w:footerReference w:type="first" r:id="rId14"/>
          <w:pgSz w:w="12240" w:h="15840" w:code="1"/>
          <w:pgMar w:top="1440" w:right="1800" w:bottom="1440" w:left="1800" w:header="720" w:footer="936" w:gutter="0"/>
          <w:pgNumType w:fmt="lowerRoman" w:start="1"/>
          <w:cols w:space="720"/>
          <w:titlePg/>
          <w:docGrid w:linePitch="326"/>
        </w:sectPr>
      </w:pPr>
      <w:r>
        <w:tab/>
      </w:r>
      <w:r>
        <w:tab/>
      </w:r>
      <w:r>
        <w:tab/>
      </w:r>
      <w:r>
        <w:tab/>
      </w:r>
      <w:r>
        <w:tab/>
      </w:r>
    </w:p>
    <w:p w:rsidR="00F954ED" w:rsidRDefault="00F954ED" w:rsidP="00F1066F">
      <w:pPr>
        <w:pStyle w:val="Heading1"/>
        <w:spacing w:before="0" w:line="480" w:lineRule="auto"/>
        <w:ind w:left="720" w:hanging="720"/>
      </w:pPr>
      <w:bookmarkStart w:id="6" w:name="_Toc387059954"/>
      <w:r w:rsidRPr="003E3167">
        <w:t>Introduction</w:t>
      </w:r>
      <w:bookmarkEnd w:id="6"/>
    </w:p>
    <w:p w:rsidR="00F1066F" w:rsidRPr="00F1066F" w:rsidRDefault="00F1066F" w:rsidP="00F1066F">
      <w:pPr>
        <w:pStyle w:val="Testimony"/>
        <w:spacing w:line="480" w:lineRule="auto"/>
      </w:pPr>
    </w:p>
    <w:p w:rsidR="009B16EF" w:rsidRPr="00FD1BD5" w:rsidRDefault="00DF4A19" w:rsidP="00FD1BD5">
      <w:pPr>
        <w:spacing w:line="480" w:lineRule="auto"/>
        <w:ind w:left="720" w:hanging="720"/>
        <w:rPr>
          <w:b/>
          <w:bCs/>
          <w:i/>
          <w:iCs/>
        </w:rPr>
      </w:pPr>
      <w:r w:rsidRPr="00FD1BD5">
        <w:rPr>
          <w:b/>
          <w:bCs/>
          <w:i/>
          <w:iCs/>
        </w:rPr>
        <w:t>Q1.</w:t>
      </w:r>
      <w:r w:rsidR="009B16EF" w:rsidRPr="00FD1BD5">
        <w:rPr>
          <w:b/>
          <w:bCs/>
          <w:i/>
          <w:iCs/>
        </w:rPr>
        <w:tab/>
      </w:r>
      <w:r w:rsidR="00FD1BD5" w:rsidRPr="00FD1BD5">
        <w:rPr>
          <w:b/>
          <w:bCs/>
          <w:i/>
          <w:iCs/>
        </w:rPr>
        <w:t>PLEASE STATE YOUR NAME, OCCUPATION, AND BUSINESS ADDRESS.</w:t>
      </w:r>
    </w:p>
    <w:p w:rsidR="009B16EF" w:rsidRPr="00FD1BD5" w:rsidRDefault="00DF4A19" w:rsidP="00FD1BD5">
      <w:pPr>
        <w:spacing w:line="480" w:lineRule="auto"/>
        <w:ind w:left="720" w:hanging="720"/>
      </w:pPr>
      <w:r w:rsidRPr="00FD1BD5">
        <w:rPr>
          <w:b/>
          <w:bCs/>
          <w:i/>
          <w:iCs/>
        </w:rPr>
        <w:t>A1.</w:t>
      </w:r>
      <w:r w:rsidR="009B16EF" w:rsidRPr="00FD1BD5">
        <w:tab/>
        <w:t>I am Jonathan F. Wallach. I am Vice President of Resource Insight, Inc., 5 Water Street, Arlington, Massachusetts.</w:t>
      </w:r>
    </w:p>
    <w:p w:rsidR="00F1066F" w:rsidRPr="00FD1BD5" w:rsidRDefault="00F1066F" w:rsidP="00FD1BD5">
      <w:pPr>
        <w:spacing w:line="480" w:lineRule="auto"/>
        <w:ind w:left="720" w:hanging="720"/>
      </w:pPr>
    </w:p>
    <w:p w:rsidR="009B16EF" w:rsidRPr="00FD1BD5" w:rsidRDefault="00DF4A19" w:rsidP="00FD1BD5">
      <w:pPr>
        <w:spacing w:line="480" w:lineRule="auto"/>
        <w:ind w:left="720" w:hanging="720"/>
        <w:rPr>
          <w:b/>
          <w:bCs/>
          <w:i/>
          <w:iCs/>
        </w:rPr>
      </w:pPr>
      <w:r w:rsidRPr="00FD1BD5">
        <w:rPr>
          <w:b/>
          <w:bCs/>
          <w:i/>
          <w:iCs/>
        </w:rPr>
        <w:t>Q2.</w:t>
      </w:r>
      <w:r w:rsidR="009B16EF" w:rsidRPr="00FD1BD5">
        <w:rPr>
          <w:b/>
          <w:bCs/>
          <w:i/>
          <w:iCs/>
        </w:rPr>
        <w:tab/>
      </w:r>
      <w:r w:rsidR="00FD1BD5" w:rsidRPr="00FD1BD5">
        <w:rPr>
          <w:b/>
          <w:bCs/>
          <w:i/>
          <w:iCs/>
        </w:rPr>
        <w:t>PLEASE SUMMARIZE YOUR PROFESSIONAL EDUCATION AND EXPERIENCE.</w:t>
      </w:r>
    </w:p>
    <w:p w:rsidR="009B16EF" w:rsidRPr="00FD1BD5" w:rsidRDefault="00DF4A19" w:rsidP="00E06D55">
      <w:pPr>
        <w:spacing w:line="480" w:lineRule="auto"/>
        <w:ind w:left="720" w:hanging="720"/>
      </w:pPr>
      <w:r w:rsidRPr="00FD1BD5">
        <w:rPr>
          <w:b/>
          <w:bCs/>
          <w:i/>
          <w:iCs/>
        </w:rPr>
        <w:t>A2.</w:t>
      </w:r>
      <w:r w:rsidR="009B16EF" w:rsidRPr="00FD1BD5">
        <w:tab/>
        <w:t xml:space="preserve">I have worked as a consultant to the electric-power industry since 1981. </w:t>
      </w:r>
      <w:r w:rsidR="009D0CD9" w:rsidRPr="00FD1BD5">
        <w:t xml:space="preserve"> </w:t>
      </w:r>
      <w:r w:rsidR="009B16EF" w:rsidRPr="00FD1BD5">
        <w:t xml:space="preserve">From 1981 to 1986, I was a research associate at Energy Systems Research Group. </w:t>
      </w:r>
      <w:r w:rsidR="009D0CD9" w:rsidRPr="00FD1BD5">
        <w:t xml:space="preserve"> </w:t>
      </w:r>
      <w:r w:rsidR="009B16EF" w:rsidRPr="00FD1BD5">
        <w:t xml:space="preserve">In 1987 and 1988, I was an independent consultant. </w:t>
      </w:r>
      <w:r w:rsidR="009D0CD9" w:rsidRPr="00FD1BD5">
        <w:t xml:space="preserve"> </w:t>
      </w:r>
      <w:r w:rsidR="009B16EF" w:rsidRPr="00FD1BD5">
        <w:t xml:space="preserve">From 1989 to 1990, I was a senior analyst at Komanoff Energy Associates. </w:t>
      </w:r>
      <w:r w:rsidR="009D0CD9" w:rsidRPr="00FD1BD5">
        <w:t xml:space="preserve"> </w:t>
      </w:r>
      <w:r w:rsidR="009B16EF" w:rsidRPr="00FD1BD5">
        <w:t>I have been in my current position at Resource Insight since September of 1990.</w:t>
      </w:r>
    </w:p>
    <w:p w:rsidR="00F1066F" w:rsidRPr="00FD1BD5" w:rsidRDefault="00F1066F" w:rsidP="00E06D55">
      <w:pPr>
        <w:spacing w:line="480" w:lineRule="auto"/>
        <w:ind w:left="720" w:hanging="720"/>
      </w:pPr>
    </w:p>
    <w:p w:rsidR="009B16EF" w:rsidRPr="00FD1BD5" w:rsidRDefault="009B16EF" w:rsidP="00B42C16">
      <w:pPr>
        <w:spacing w:line="480" w:lineRule="auto"/>
        <w:ind w:left="720"/>
        <w:rPr>
          <w:b/>
          <w:bCs/>
          <w:i/>
          <w:iCs/>
        </w:rPr>
      </w:pPr>
      <w:r w:rsidRPr="00FD1BD5">
        <w:t xml:space="preserve">Over the past thirty years, I have advised and testified on behalf of clients on a wide range of economic, planning, and policy issues relating to the regulation of electric utilities, including: electric-utility restructuring; wholesale-power market design and operations; transmission pricing and policy; market-price forecasting; market valuation of generating assets and purchase contracts; power-procurement strategies; risk assessment and mitigation; integrated resource planning; mergers and acquisitions; cost allocation and rate design; and energy-efficiency program </w:t>
      </w:r>
      <w:r w:rsidRPr="00E06D55">
        <w:t>design and planning.</w:t>
      </w:r>
      <w:r w:rsidR="00CE29FB" w:rsidRPr="00E06D55">
        <w:t xml:space="preserve"> My res</w:t>
      </w:r>
      <w:r w:rsidR="00E06D55">
        <w:t>ume is attached as Attachment Wallach</w:t>
      </w:r>
      <w:r w:rsidR="00CE29FB" w:rsidRPr="00E06D55">
        <w:t>-1.</w:t>
      </w:r>
    </w:p>
    <w:p w:rsidR="00E06D55" w:rsidRDefault="00E06D55" w:rsidP="00FD1BD5">
      <w:pPr>
        <w:spacing w:line="480" w:lineRule="auto"/>
        <w:ind w:left="720" w:hanging="720"/>
        <w:rPr>
          <w:b/>
          <w:bCs/>
          <w:i/>
          <w:iCs/>
        </w:rPr>
      </w:pPr>
      <w:r>
        <w:rPr>
          <w:b/>
          <w:bCs/>
          <w:i/>
          <w:iCs/>
        </w:rPr>
        <w:t>Q3.</w:t>
      </w:r>
      <w:r>
        <w:rPr>
          <w:b/>
          <w:bCs/>
          <w:i/>
          <w:iCs/>
        </w:rPr>
        <w:tab/>
        <w:t>HAVE YOU TESTIFIED PREVIOUSLY IN UTILITY REGULATORY PROCEDINGS?</w:t>
      </w:r>
    </w:p>
    <w:p w:rsidR="009B16EF" w:rsidRPr="00FD1BD5" w:rsidRDefault="00DF4A19" w:rsidP="00FD1BD5">
      <w:pPr>
        <w:spacing w:line="480" w:lineRule="auto"/>
        <w:ind w:left="720" w:hanging="720"/>
      </w:pPr>
      <w:r w:rsidRPr="00FD1BD5">
        <w:rPr>
          <w:b/>
          <w:bCs/>
          <w:i/>
          <w:iCs/>
        </w:rPr>
        <w:t>A3.</w:t>
      </w:r>
      <w:r w:rsidR="009B16EF" w:rsidRPr="00FD1BD5">
        <w:tab/>
        <w:t xml:space="preserve">Yes. </w:t>
      </w:r>
      <w:r w:rsidR="009D0CD9" w:rsidRPr="00FD1BD5">
        <w:t xml:space="preserve"> </w:t>
      </w:r>
      <w:r w:rsidR="009B16EF" w:rsidRPr="00FD1BD5">
        <w:t>I have sponsored expert testimony in more than sixty state, provincial, or federal proceedings in the U.S. and Canada</w:t>
      </w:r>
      <w:r w:rsidR="00C9269E" w:rsidRPr="00FD1BD5">
        <w:t>, including in PUCO Case Nos. 09-906-EL-SSO, 10-338-EL-SSO, and 11-346-EL-SSO</w:t>
      </w:r>
      <w:r w:rsidR="009B16EF" w:rsidRPr="00FD1BD5">
        <w:t xml:space="preserve">. </w:t>
      </w:r>
      <w:r w:rsidR="009D0CD9" w:rsidRPr="00FD1BD5">
        <w:t xml:space="preserve"> </w:t>
      </w:r>
      <w:r w:rsidR="005C4AD3" w:rsidRPr="00FD1BD5">
        <w:t>Attachment WALLACH</w:t>
      </w:r>
      <w:r w:rsidR="009B16EF" w:rsidRPr="00FD1BD5">
        <w:t>-1 includes a detailed list of my previous testimony.</w:t>
      </w:r>
    </w:p>
    <w:p w:rsidR="00F1066F" w:rsidRPr="00FD1BD5" w:rsidRDefault="00F1066F" w:rsidP="00FD1BD5">
      <w:pPr>
        <w:spacing w:line="480" w:lineRule="auto"/>
        <w:ind w:left="720" w:hanging="720"/>
      </w:pPr>
    </w:p>
    <w:p w:rsidR="009B16EF" w:rsidRPr="00FD1BD5" w:rsidRDefault="00DF4A19" w:rsidP="00FD1BD5">
      <w:pPr>
        <w:spacing w:line="480" w:lineRule="auto"/>
        <w:ind w:left="720" w:hanging="720"/>
        <w:rPr>
          <w:b/>
          <w:bCs/>
          <w:i/>
          <w:iCs/>
        </w:rPr>
      </w:pPr>
      <w:r w:rsidRPr="00FD1BD5">
        <w:rPr>
          <w:b/>
          <w:bCs/>
          <w:i/>
          <w:iCs/>
        </w:rPr>
        <w:t>Q4.</w:t>
      </w:r>
      <w:r w:rsidR="009B16EF" w:rsidRPr="00FD1BD5">
        <w:rPr>
          <w:b/>
          <w:bCs/>
          <w:i/>
          <w:iCs/>
        </w:rPr>
        <w:tab/>
      </w:r>
      <w:r w:rsidR="00FD1BD5" w:rsidRPr="00FD1BD5">
        <w:rPr>
          <w:b/>
          <w:bCs/>
          <w:i/>
          <w:iCs/>
        </w:rPr>
        <w:t>ON WHOSE BEHALF ARE YOU TESTIFYING?</w:t>
      </w:r>
    </w:p>
    <w:p w:rsidR="009B16EF" w:rsidRPr="00FD1BD5" w:rsidRDefault="00DF4A19" w:rsidP="00FD1BD5">
      <w:pPr>
        <w:spacing w:line="480" w:lineRule="auto"/>
        <w:ind w:left="720" w:hanging="720"/>
      </w:pPr>
      <w:r w:rsidRPr="00FD1BD5">
        <w:rPr>
          <w:b/>
          <w:bCs/>
          <w:i/>
          <w:iCs/>
        </w:rPr>
        <w:t>A4.</w:t>
      </w:r>
      <w:r w:rsidR="009B16EF" w:rsidRPr="00FD1BD5">
        <w:tab/>
        <w:t xml:space="preserve">I am testifying on behalf of the Office of </w:t>
      </w:r>
      <w:r w:rsidR="005C4AD3" w:rsidRPr="00FD1BD5">
        <w:t>the Ohio Consumers’</w:t>
      </w:r>
      <w:r w:rsidR="009B16EF" w:rsidRPr="00FD1BD5">
        <w:t xml:space="preserve"> Counsel</w:t>
      </w:r>
      <w:r w:rsidR="005C4AD3" w:rsidRPr="00FD1BD5">
        <w:t xml:space="preserve"> (“OCC”)</w:t>
      </w:r>
      <w:r w:rsidR="009B16EF" w:rsidRPr="00FD1BD5">
        <w:t>.</w:t>
      </w:r>
    </w:p>
    <w:p w:rsidR="00F1066F" w:rsidRPr="00FD1BD5" w:rsidRDefault="00F1066F" w:rsidP="00FD1BD5">
      <w:pPr>
        <w:spacing w:line="480" w:lineRule="auto"/>
        <w:ind w:left="720" w:hanging="720"/>
      </w:pPr>
    </w:p>
    <w:p w:rsidR="009B16EF" w:rsidRPr="00E06D55" w:rsidRDefault="00DF4A19" w:rsidP="00FD1BD5">
      <w:pPr>
        <w:spacing w:line="480" w:lineRule="auto"/>
        <w:ind w:left="720" w:hanging="720"/>
        <w:rPr>
          <w:b/>
          <w:bCs/>
          <w:i/>
          <w:iCs/>
        </w:rPr>
      </w:pPr>
      <w:r w:rsidRPr="00E06D55">
        <w:rPr>
          <w:b/>
          <w:bCs/>
          <w:i/>
          <w:iCs/>
        </w:rPr>
        <w:t>Q5.</w:t>
      </w:r>
      <w:r w:rsidR="009B16EF" w:rsidRPr="00E06D55">
        <w:rPr>
          <w:b/>
          <w:bCs/>
          <w:i/>
          <w:iCs/>
        </w:rPr>
        <w:tab/>
      </w:r>
      <w:r w:rsidR="00E06D55" w:rsidRPr="00E06D55">
        <w:rPr>
          <w:b/>
          <w:bCs/>
          <w:i/>
          <w:iCs/>
        </w:rPr>
        <w:t>WHAT IS THE PURPOSE OF YOUR TESTIMONY?</w:t>
      </w:r>
    </w:p>
    <w:p w:rsidR="00A9793A" w:rsidRPr="00FD1BD5" w:rsidRDefault="00DF4A19" w:rsidP="00E06D55">
      <w:pPr>
        <w:spacing w:line="480" w:lineRule="auto"/>
        <w:ind w:left="720" w:hanging="720"/>
      </w:pPr>
      <w:r w:rsidRPr="00E06D55">
        <w:rPr>
          <w:b/>
          <w:bCs/>
          <w:i/>
          <w:iCs/>
        </w:rPr>
        <w:t>A5.</w:t>
      </w:r>
      <w:r w:rsidR="009C2173" w:rsidRPr="00FD1BD5">
        <w:tab/>
      </w:r>
      <w:r w:rsidR="00A85633" w:rsidRPr="00FD1BD5">
        <w:t xml:space="preserve">On December 20, 2013, Ohio Power Company (“AEP Ohio” or “the Utility”) filed an application and supporting testimony seeking approval of its proposal for an electric security plan </w:t>
      </w:r>
      <w:r w:rsidR="00D00FC5" w:rsidRPr="00FD1BD5">
        <w:t>that would be in effect from June of 2015 through May of 2018 (“ESP III”).</w:t>
      </w:r>
      <w:r w:rsidR="009D0CD9" w:rsidRPr="00FD1BD5">
        <w:t xml:space="preserve"> </w:t>
      </w:r>
      <w:r w:rsidR="00D00FC5" w:rsidRPr="00FD1BD5">
        <w:t xml:space="preserve"> As part of the proposed ESP III, AEP Ohio proposes continuation of a number of existing distribution rate riders and implementation of several new riders. </w:t>
      </w:r>
      <w:r w:rsidR="009D0CD9" w:rsidRPr="00FD1BD5">
        <w:t xml:space="preserve"> </w:t>
      </w:r>
      <w:r w:rsidR="00D00FC5" w:rsidRPr="00FD1BD5">
        <w:t xml:space="preserve">This testimony addresses AEP Ohio’s proposals for allocating to customer classes the costs to be collected through four proposed riders: </w:t>
      </w:r>
      <w:r w:rsidR="00F214FF">
        <w:t xml:space="preserve"> </w:t>
      </w:r>
      <w:r w:rsidR="00D00FC5" w:rsidRPr="00FD1BD5">
        <w:t xml:space="preserve">(1) Distribution Investment Rider (“DIR”); (2) </w:t>
      </w:r>
      <w:r w:rsidR="0022342F" w:rsidRPr="00FD1BD5">
        <w:t>Enhanced Service Reliability Rider (“ESRR”); (3) Storm Damage Recovery Rider (“SDRR”); and (4) Sustained and Skilled Workforce Rider (“SSWR”).</w:t>
      </w:r>
    </w:p>
    <w:p w:rsidR="00E06D55" w:rsidRPr="00E06D55" w:rsidRDefault="00E06D55" w:rsidP="00E06D55">
      <w:pPr>
        <w:spacing w:line="480" w:lineRule="auto"/>
        <w:ind w:left="720" w:hanging="720"/>
        <w:rPr>
          <w:b/>
          <w:bCs/>
          <w:i/>
          <w:iCs/>
        </w:rPr>
      </w:pPr>
      <w:r>
        <w:rPr>
          <w:b/>
          <w:bCs/>
          <w:i/>
          <w:iCs/>
        </w:rPr>
        <w:br w:type="page"/>
      </w:r>
      <w:r w:rsidRPr="00E06D55">
        <w:rPr>
          <w:b/>
          <w:bCs/>
          <w:i/>
          <w:iCs/>
        </w:rPr>
        <w:t>Q6.</w:t>
      </w:r>
      <w:r w:rsidRPr="00E06D55">
        <w:rPr>
          <w:b/>
          <w:bCs/>
          <w:i/>
          <w:iCs/>
        </w:rPr>
        <w:tab/>
        <w:t>DOES YOUR TESTIMONY ADDRESS WHETHER AEP OHIO’S PROPOSAL TO COLLECT COSTS FROM CUSTOMERS THROUGH THESE FOUR RIDERS, RATHER THAN THROUGH BASE DISTRIBUTION RATES, IS REASONABLE OR WHETHER THE AMOUNTS TO BE COLLECTED THROUGH THESE RIDERS IS APPROPRIATE?</w:t>
      </w:r>
    </w:p>
    <w:p w:rsidR="00A9793A" w:rsidRDefault="00FD1BD5" w:rsidP="00FD1BD5">
      <w:pPr>
        <w:spacing w:line="480" w:lineRule="auto"/>
        <w:ind w:left="720" w:hanging="720"/>
      </w:pPr>
      <w:r w:rsidRPr="00E06D55">
        <w:rPr>
          <w:b/>
          <w:bCs/>
          <w:i/>
          <w:iCs/>
        </w:rPr>
        <w:t>A6.</w:t>
      </w:r>
      <w:r w:rsidR="00A9793A">
        <w:tab/>
        <w:t xml:space="preserve">No. </w:t>
      </w:r>
      <w:r w:rsidR="009D0CD9">
        <w:t xml:space="preserve"> </w:t>
      </w:r>
      <w:r w:rsidR="00A9793A">
        <w:t>Other OCC witnesses provide testimony on th</w:t>
      </w:r>
      <w:r w:rsidR="00440B9F">
        <w:t>o</w:t>
      </w:r>
      <w:r w:rsidR="00A9793A">
        <w:t>se issues.</w:t>
      </w:r>
    </w:p>
    <w:p w:rsidR="00F1066F" w:rsidRPr="00F1066F" w:rsidRDefault="00F1066F" w:rsidP="00F1066F">
      <w:pPr>
        <w:pStyle w:val="Testimony"/>
        <w:spacing w:line="480" w:lineRule="auto"/>
        <w:ind w:left="720" w:hanging="720"/>
      </w:pPr>
    </w:p>
    <w:p w:rsidR="00F954ED" w:rsidRDefault="00F954ED" w:rsidP="00F1066F">
      <w:pPr>
        <w:pStyle w:val="Heading1"/>
        <w:spacing w:before="0" w:line="480" w:lineRule="auto"/>
        <w:ind w:left="720" w:hanging="720"/>
      </w:pPr>
      <w:bookmarkStart w:id="7" w:name="_Toc387059955"/>
      <w:r>
        <w:t>The Cost-Allocation Process</w:t>
      </w:r>
      <w:bookmarkEnd w:id="7"/>
    </w:p>
    <w:p w:rsidR="00F1066F" w:rsidRPr="00F1066F" w:rsidRDefault="00F1066F" w:rsidP="00F1066F">
      <w:pPr>
        <w:pStyle w:val="Testimony"/>
        <w:spacing w:line="480" w:lineRule="auto"/>
        <w:ind w:left="720" w:hanging="720"/>
      </w:pPr>
    </w:p>
    <w:p w:rsidR="00F954ED" w:rsidRDefault="00FD1BD5" w:rsidP="00F1066F">
      <w:pPr>
        <w:pStyle w:val="Q"/>
        <w:spacing w:before="0" w:line="480" w:lineRule="auto"/>
        <w:ind w:left="720" w:hanging="720"/>
      </w:pPr>
      <w:r>
        <w:t>Q7.</w:t>
      </w:r>
      <w:r w:rsidR="00F954ED">
        <w:tab/>
      </w:r>
      <w:r w:rsidR="004E7ABB">
        <w:t>What is the role of the cost-allocation process in the setting of rates for distribution service?</w:t>
      </w:r>
    </w:p>
    <w:p w:rsidR="004E7ABB" w:rsidRDefault="00FD1BD5" w:rsidP="00F214FF">
      <w:pPr>
        <w:pStyle w:val="A"/>
        <w:spacing w:line="480" w:lineRule="auto"/>
        <w:ind w:left="720" w:hanging="720"/>
      </w:pPr>
      <w:r>
        <w:rPr>
          <w:b/>
          <w:i/>
        </w:rPr>
        <w:t>A7.</w:t>
      </w:r>
      <w:r w:rsidR="004E7ABB">
        <w:tab/>
        <w:t xml:space="preserve">In general, distribution rates are designed to collect a utility’s total cost of service from all customer classes in a manner that </w:t>
      </w:r>
      <w:r w:rsidR="00006951">
        <w:t xml:space="preserve">reasonably </w:t>
      </w:r>
      <w:r w:rsidR="004E7ABB">
        <w:t xml:space="preserve">reflects the </w:t>
      </w:r>
      <w:r w:rsidR="00440B9F">
        <w:t xml:space="preserve">actual </w:t>
      </w:r>
      <w:r w:rsidR="004E7ABB">
        <w:t xml:space="preserve">cost to provide distribution service to each customer class. </w:t>
      </w:r>
      <w:r w:rsidR="009D0CD9">
        <w:t xml:space="preserve"> </w:t>
      </w:r>
      <w:r w:rsidR="00006951">
        <w:t>T</w:t>
      </w:r>
      <w:r w:rsidR="004E7ABB">
        <w:t xml:space="preserve">he cost-allocation process </w:t>
      </w:r>
      <w:r w:rsidR="000358A2">
        <w:t>can facilitate</w:t>
      </w:r>
      <w:r w:rsidR="00006951">
        <w:t xml:space="preserve"> rate design by</w:t>
      </w:r>
      <w:r w:rsidR="001A1642">
        <w:t xml:space="preserve"> apportioning a utility’s total cost of service among customer classes based on “cost causation</w:t>
      </w:r>
      <w:r w:rsidR="0061049C">
        <w:t>,</w:t>
      </w:r>
      <w:r w:rsidR="001A1642">
        <w:t xml:space="preserve">” i.e., how </w:t>
      </w:r>
      <w:r w:rsidR="000B64EC">
        <w:t xml:space="preserve">the cost to provide service to </w:t>
      </w:r>
      <w:r w:rsidR="001A1642">
        <w:t>each customer class contributed to the total cost of service.</w:t>
      </w:r>
    </w:p>
    <w:p w:rsidR="00F1066F" w:rsidRPr="00F1066F" w:rsidRDefault="00F1066F" w:rsidP="00F1066F">
      <w:pPr>
        <w:pStyle w:val="Testimony"/>
        <w:spacing w:line="480" w:lineRule="auto"/>
      </w:pPr>
    </w:p>
    <w:p w:rsidR="009041D2" w:rsidRDefault="00FD1BD5" w:rsidP="00F1066F">
      <w:pPr>
        <w:pStyle w:val="Q"/>
        <w:spacing w:before="0" w:line="480" w:lineRule="auto"/>
        <w:ind w:left="720" w:hanging="720"/>
      </w:pPr>
      <w:r>
        <w:t>Q8.</w:t>
      </w:r>
      <w:r w:rsidR="009041D2">
        <w:tab/>
        <w:t xml:space="preserve">Please describe the </w:t>
      </w:r>
      <w:r w:rsidR="00DB41A0">
        <w:t>typical process for allocating a utility’s cost of service to customer classes</w:t>
      </w:r>
      <w:r w:rsidR="009041D2">
        <w:t>.</w:t>
      </w:r>
    </w:p>
    <w:p w:rsidR="009041D2" w:rsidRDefault="00FD1BD5" w:rsidP="00F1066F">
      <w:pPr>
        <w:pStyle w:val="A"/>
        <w:spacing w:line="480" w:lineRule="auto"/>
        <w:ind w:left="720" w:hanging="720"/>
      </w:pPr>
      <w:r>
        <w:rPr>
          <w:b/>
          <w:i/>
        </w:rPr>
        <w:t>A8.</w:t>
      </w:r>
      <w:r w:rsidR="009041D2">
        <w:tab/>
      </w:r>
      <w:r w:rsidR="002D2F02">
        <w:t>Cost of service is typically allocated on the basis of the results of a class cost of service study (“COSS”).</w:t>
      </w:r>
      <w:r w:rsidR="00F214FF">
        <w:t xml:space="preserve"> </w:t>
      </w:r>
      <w:r w:rsidR="002D2F02">
        <w:t xml:space="preserve"> The COSS allocates the total cost of service to customer classes in three stages:</w:t>
      </w:r>
      <w:r w:rsidR="00F214FF">
        <w:t xml:space="preserve"> </w:t>
      </w:r>
      <w:r w:rsidR="002D2F02">
        <w:t xml:space="preserve"> (1) functionalization; (2) classification; and (3) allocation. First, the </w:t>
      </w:r>
      <w:r w:rsidR="003344E0">
        <w:t xml:space="preserve">total </w:t>
      </w:r>
      <w:r w:rsidR="002D2F02">
        <w:t xml:space="preserve">cost of service </w:t>
      </w:r>
      <w:r w:rsidR="003344E0">
        <w:t xml:space="preserve">is separated into either </w:t>
      </w:r>
      <w:r w:rsidR="000B3D6B">
        <w:t>generation</w:t>
      </w:r>
      <w:r w:rsidR="003344E0">
        <w:t>, transmission, or distribution categories. Second, functionalized costs are classified as either demand-</w:t>
      </w:r>
      <w:r w:rsidR="005055E8">
        <w:t>related,</w:t>
      </w:r>
      <w:r w:rsidR="003344E0">
        <w:t xml:space="preserve"> energy-</w:t>
      </w:r>
      <w:r w:rsidR="005055E8">
        <w:t>related</w:t>
      </w:r>
      <w:r w:rsidR="003344E0">
        <w:t xml:space="preserve">, or customer-related depending on whether such costs vary with changes in demand, energy, or number of customers, respectively. </w:t>
      </w:r>
      <w:r w:rsidR="00F214FF">
        <w:t xml:space="preserve"> </w:t>
      </w:r>
      <w:r w:rsidR="003344E0">
        <w:t>Finally, demand-, energy-, or customer-related costs are allocated to customer classes on the basis of each class’</w:t>
      </w:r>
      <w:r w:rsidR="005055E8">
        <w:t>s contribution to a utility’s total</w:t>
      </w:r>
      <w:r w:rsidR="003344E0">
        <w:t xml:space="preserve"> demand, energy requirements, or number of customers, respectively.</w:t>
      </w:r>
    </w:p>
    <w:p w:rsidR="00F1066F" w:rsidRPr="00F1066F" w:rsidRDefault="00F1066F" w:rsidP="00F1066F">
      <w:pPr>
        <w:pStyle w:val="Testimony"/>
        <w:spacing w:line="480" w:lineRule="auto"/>
        <w:ind w:left="720"/>
      </w:pPr>
    </w:p>
    <w:p w:rsidR="005055E8" w:rsidRDefault="00FD1BD5" w:rsidP="00F1066F">
      <w:pPr>
        <w:pStyle w:val="Q"/>
        <w:spacing w:before="0" w:line="480" w:lineRule="auto"/>
        <w:ind w:left="720" w:hanging="720"/>
      </w:pPr>
      <w:r>
        <w:t>Q9.</w:t>
      </w:r>
      <w:r w:rsidR="005055E8">
        <w:tab/>
        <w:t>Has AEP Ohio relied on class cost of service studies to allocate distribution cost</w:t>
      </w:r>
      <w:r w:rsidR="00440B9F">
        <w:t>s</w:t>
      </w:r>
      <w:r w:rsidR="005055E8">
        <w:t xml:space="preserve"> of service</w:t>
      </w:r>
      <w:r w:rsidR="0046438F">
        <w:t xml:space="preserve"> in the past</w:t>
      </w:r>
      <w:r w:rsidR="005055E8">
        <w:t>?</w:t>
      </w:r>
    </w:p>
    <w:p w:rsidR="00F1066F" w:rsidRPr="00F1066F" w:rsidRDefault="00FD1BD5" w:rsidP="00E06D55">
      <w:pPr>
        <w:pStyle w:val="A"/>
        <w:spacing w:line="480" w:lineRule="auto"/>
        <w:ind w:left="720" w:hanging="720"/>
      </w:pPr>
      <w:r>
        <w:rPr>
          <w:b/>
          <w:i/>
        </w:rPr>
        <w:t>A9.</w:t>
      </w:r>
      <w:r w:rsidR="005055E8">
        <w:tab/>
        <w:t xml:space="preserve">Yes. </w:t>
      </w:r>
      <w:r w:rsidR="00F214FF">
        <w:t xml:space="preserve"> </w:t>
      </w:r>
      <w:r w:rsidR="005055E8">
        <w:t>The Utility most</w:t>
      </w:r>
      <w:r w:rsidR="0072792F">
        <w:t xml:space="preserve"> </w:t>
      </w:r>
      <w:r w:rsidR="005055E8">
        <w:t>recently relied on cost of service studies to allocate</w:t>
      </w:r>
      <w:r w:rsidR="0046438F">
        <w:t xml:space="preserve"> base</w:t>
      </w:r>
      <w:r w:rsidR="005055E8">
        <w:t xml:space="preserve"> distribution costs in </w:t>
      </w:r>
      <w:r w:rsidR="00D32DA4">
        <w:t xml:space="preserve">PUCO </w:t>
      </w:r>
      <w:r w:rsidR="005055E8">
        <w:t>Case Nos. 11-351-EL-AIR and 11-352-EL-AIR.</w:t>
      </w:r>
      <w:r w:rsidR="000E7C0F">
        <w:rPr>
          <w:rStyle w:val="FootnoteReference"/>
        </w:rPr>
        <w:footnoteReference w:id="1"/>
      </w:r>
    </w:p>
    <w:p w:rsidR="005055E8" w:rsidRDefault="00E06D55" w:rsidP="00F1066F">
      <w:pPr>
        <w:pStyle w:val="Heading1"/>
        <w:spacing w:before="0" w:line="480" w:lineRule="auto"/>
        <w:ind w:left="720" w:hanging="720"/>
      </w:pPr>
      <w:r>
        <w:br w:type="page"/>
      </w:r>
      <w:bookmarkStart w:id="8" w:name="_Toc387059956"/>
      <w:r w:rsidR="00273CD7">
        <w:t>Proposed Allocation of Distribution Rider Costs</w:t>
      </w:r>
      <w:bookmarkEnd w:id="8"/>
      <w:r w:rsidR="005055E8">
        <w:t xml:space="preserve"> </w:t>
      </w:r>
    </w:p>
    <w:p w:rsidR="00F1066F" w:rsidRPr="00F1066F" w:rsidRDefault="00F1066F" w:rsidP="00F1066F">
      <w:pPr>
        <w:pStyle w:val="Testimony"/>
        <w:spacing w:line="480" w:lineRule="auto"/>
        <w:ind w:left="720"/>
      </w:pPr>
    </w:p>
    <w:p w:rsidR="00273CD7" w:rsidRDefault="00FD1BD5" w:rsidP="00F1066F">
      <w:pPr>
        <w:pStyle w:val="Q"/>
        <w:spacing w:before="0" w:line="480" w:lineRule="auto"/>
        <w:ind w:left="720" w:hanging="720"/>
      </w:pPr>
      <w:r>
        <w:t>Q10.</w:t>
      </w:r>
      <w:r w:rsidR="00273CD7">
        <w:tab/>
        <w:t xml:space="preserve">What types of costs does AEP Ohio propose to collect </w:t>
      </w:r>
      <w:r w:rsidR="00440B9F">
        <w:t xml:space="preserve">from customers </w:t>
      </w:r>
      <w:r w:rsidR="00273CD7">
        <w:t xml:space="preserve">through the </w:t>
      </w:r>
      <w:r w:rsidR="00F578F1" w:rsidRPr="005F76C5">
        <w:t>DISTRIBUTION INVESTMENT RIDER</w:t>
      </w:r>
      <w:r w:rsidR="00273CD7">
        <w:t xml:space="preserve">, </w:t>
      </w:r>
      <w:r w:rsidR="00F578F1">
        <w:t>Enhanced Service Reliability Rider</w:t>
      </w:r>
      <w:r w:rsidR="00273CD7">
        <w:t>, S</w:t>
      </w:r>
      <w:r w:rsidR="00F578F1">
        <w:t xml:space="preserve">torm </w:t>
      </w:r>
      <w:r w:rsidR="00273CD7">
        <w:t>D</w:t>
      </w:r>
      <w:r w:rsidR="00F578F1">
        <w:t xml:space="preserve">amage </w:t>
      </w:r>
      <w:r w:rsidR="00273CD7">
        <w:t>R</w:t>
      </w:r>
      <w:r w:rsidR="00F578F1">
        <w:t xml:space="preserve">ecovery </w:t>
      </w:r>
      <w:r w:rsidR="00273CD7">
        <w:t>R</w:t>
      </w:r>
      <w:r w:rsidR="00F578F1">
        <w:t>ider</w:t>
      </w:r>
      <w:r w:rsidR="00273CD7">
        <w:t xml:space="preserve">, and </w:t>
      </w:r>
      <w:r w:rsidR="00F578F1">
        <w:t xml:space="preserve">the </w:t>
      </w:r>
      <w:r w:rsidR="00440B9F" w:rsidRPr="00CE29FB">
        <w:t>Sustained and Skilled Workforce Rider</w:t>
      </w:r>
      <w:r w:rsidR="00273CD7">
        <w:t>?</w:t>
      </w:r>
    </w:p>
    <w:p w:rsidR="00273CD7" w:rsidRDefault="00FD1BD5" w:rsidP="00FD1BD5">
      <w:pPr>
        <w:pStyle w:val="A"/>
        <w:spacing w:line="480" w:lineRule="auto"/>
        <w:ind w:left="720" w:hanging="720"/>
      </w:pPr>
      <w:r>
        <w:rPr>
          <w:b/>
          <w:i/>
        </w:rPr>
        <w:t>A10.</w:t>
      </w:r>
      <w:r w:rsidR="00273CD7">
        <w:tab/>
      </w:r>
      <w:r w:rsidR="00474FBB">
        <w:t xml:space="preserve">According to AEP Ohio witness Andrea E. Moore, the Utility proposes to collect </w:t>
      </w:r>
      <w:r w:rsidR="002E3EDD">
        <w:t xml:space="preserve">from customers through the DIR </w:t>
      </w:r>
      <w:r w:rsidR="00474FBB">
        <w:t xml:space="preserve">the revenue requirements associated with capital investments in distribution and general plant over and above those revenue requirements already collected through base distribution rates. </w:t>
      </w:r>
      <w:r w:rsidR="009D0CD9">
        <w:t xml:space="preserve"> </w:t>
      </w:r>
      <w:r w:rsidR="00474FBB">
        <w:t>The Utility further proposes to cap the annual amount of revenue requirements collected through the DIR.</w:t>
      </w:r>
      <w:r w:rsidR="00BE74AA">
        <w:rPr>
          <w:rStyle w:val="FootnoteReference"/>
        </w:rPr>
        <w:footnoteReference w:id="2"/>
      </w:r>
    </w:p>
    <w:p w:rsidR="007A3414" w:rsidRDefault="007A3414" w:rsidP="007A3414">
      <w:pPr>
        <w:pStyle w:val="Testimony"/>
        <w:spacing w:line="480" w:lineRule="auto"/>
        <w:ind w:firstLine="0"/>
      </w:pPr>
    </w:p>
    <w:p w:rsidR="007A3414" w:rsidRPr="00BE74AA" w:rsidRDefault="00BE74AA" w:rsidP="00E06D55">
      <w:pPr>
        <w:pStyle w:val="Testimony"/>
        <w:spacing w:line="480" w:lineRule="auto"/>
        <w:ind w:left="720" w:firstLine="0"/>
      </w:pPr>
      <w:r>
        <w:t xml:space="preserve">According to AEP Ohio witness Selwyn J. Dias, the Utility proposes to collect through the ESRR the revenue requirements associated with capital investments and O&amp;M spending for </w:t>
      </w:r>
      <w:r w:rsidR="00DE27FB">
        <w:t xml:space="preserve">AEP Ohio’s vegetation management program. </w:t>
      </w:r>
      <w:r w:rsidR="009D0CD9">
        <w:t xml:space="preserve"> </w:t>
      </w:r>
      <w:r w:rsidR="00DE27FB">
        <w:t xml:space="preserve">Mr. Dias also indicates that the SDRR is designed to collect all </w:t>
      </w:r>
      <w:r w:rsidR="002E3EDD">
        <w:t>Operation and Maintenance (“</w:t>
      </w:r>
      <w:r w:rsidR="00DE27FB">
        <w:t>O&amp;M</w:t>
      </w:r>
      <w:r w:rsidR="002E3EDD">
        <w:t>”)</w:t>
      </w:r>
      <w:r w:rsidR="00DE27FB">
        <w:t xml:space="preserve"> expenditures associated with major storm events above a $5 million baseline.</w:t>
      </w:r>
      <w:r w:rsidR="008D6140">
        <w:t xml:space="preserve"> </w:t>
      </w:r>
      <w:r w:rsidR="0061049C" w:rsidRPr="0061049C">
        <w:t xml:space="preserve"> </w:t>
      </w:r>
      <w:r w:rsidR="0061049C">
        <w:t>Finally, according to Mr. Dias, the SSWR is designed to collect incremental O&amp;M labor costs associated with the hiring of new employees.</w:t>
      </w:r>
    </w:p>
    <w:p w:rsidR="0022342F" w:rsidRDefault="00FD1BD5" w:rsidP="00FD1BD5">
      <w:pPr>
        <w:pStyle w:val="Q"/>
        <w:spacing w:before="0" w:line="480" w:lineRule="auto"/>
        <w:ind w:left="720" w:hanging="720"/>
      </w:pPr>
      <w:r>
        <w:t>Q11.</w:t>
      </w:r>
      <w:r w:rsidR="0022342F">
        <w:tab/>
      </w:r>
      <w:r w:rsidR="00116FEA">
        <w:t>How does AEP Ohio propose to allocate the costs collected through these four distribution rate riders?</w:t>
      </w:r>
    </w:p>
    <w:p w:rsidR="00116FEA" w:rsidRDefault="00FD1BD5" w:rsidP="007A3414">
      <w:pPr>
        <w:pStyle w:val="A"/>
        <w:spacing w:line="480" w:lineRule="auto"/>
        <w:ind w:left="720" w:hanging="720"/>
      </w:pPr>
      <w:r>
        <w:rPr>
          <w:b/>
          <w:i/>
        </w:rPr>
        <w:t>A11.</w:t>
      </w:r>
      <w:r w:rsidR="00116FEA">
        <w:tab/>
      </w:r>
      <w:r w:rsidR="00511BD3">
        <w:t>The Utility proposes to allocate these costs to customer classes on the basis of each class’s contribution to total base distribution revenues.</w:t>
      </w:r>
      <w:r w:rsidR="00383611">
        <w:rPr>
          <w:rStyle w:val="FootnoteReference"/>
        </w:rPr>
        <w:footnoteReference w:id="3"/>
      </w:r>
      <w:r w:rsidR="00511BD3">
        <w:t xml:space="preserve"> </w:t>
      </w:r>
      <w:r w:rsidR="002D0EBF">
        <w:t xml:space="preserve"> </w:t>
      </w:r>
      <w:r w:rsidR="00511BD3">
        <w:t xml:space="preserve">Specifically, for each of these four riders, AEP Ohio proposes to calculate the percentage ratio </w:t>
      </w:r>
      <w:r w:rsidR="0075633C">
        <w:t xml:space="preserve">of </w:t>
      </w:r>
      <w:r w:rsidR="00511BD3">
        <w:t xml:space="preserve">costs to be collected through the rider to total base distribution revenues. </w:t>
      </w:r>
      <w:r w:rsidR="002D0EBF">
        <w:t xml:space="preserve"> </w:t>
      </w:r>
      <w:r w:rsidR="00511BD3">
        <w:t xml:space="preserve">This percentage ratio will then be applied uniformly to each class’s base distribution revenues to derive the share of the total rider cost to be collected from each class. </w:t>
      </w:r>
      <w:r w:rsidR="002D0EBF">
        <w:t xml:space="preserve"> </w:t>
      </w:r>
      <w:r w:rsidR="00511BD3">
        <w:t xml:space="preserve">By applying this percentage ratio uniformly, </w:t>
      </w:r>
      <w:r w:rsidR="00383611">
        <w:t xml:space="preserve">the Utility’s proposed approach would allocate total costs </w:t>
      </w:r>
      <w:r w:rsidR="00011849">
        <w:t xml:space="preserve">collected through each rider </w:t>
      </w:r>
      <w:r w:rsidR="00383611">
        <w:t>to customer classes in proportion to each class’s contribution to total base distribution revenues.</w:t>
      </w:r>
    </w:p>
    <w:p w:rsidR="007A3414" w:rsidRPr="007A3414" w:rsidRDefault="007A3414" w:rsidP="007A3414">
      <w:pPr>
        <w:pStyle w:val="Testimony"/>
        <w:spacing w:line="480" w:lineRule="auto"/>
      </w:pPr>
    </w:p>
    <w:p w:rsidR="004B1713" w:rsidRDefault="00FD1BD5" w:rsidP="007A3414">
      <w:pPr>
        <w:pStyle w:val="Q"/>
        <w:spacing w:before="0" w:line="480" w:lineRule="auto"/>
        <w:ind w:left="720" w:hanging="720"/>
      </w:pPr>
      <w:r>
        <w:t>Q12.</w:t>
      </w:r>
      <w:r w:rsidR="004B1713">
        <w:tab/>
      </w:r>
      <w:r w:rsidR="00011849">
        <w:t xml:space="preserve">Is AEP Ohio’s proposal for allocating the costs collected </w:t>
      </w:r>
      <w:r w:rsidR="002E3EDD">
        <w:t xml:space="preserve">FROM CUSTOMERS </w:t>
      </w:r>
      <w:r w:rsidR="00011849">
        <w:t xml:space="preserve">through these four riders consistent with the way such </w:t>
      </w:r>
      <w:r w:rsidR="005F238A">
        <w:t xml:space="preserve">types of </w:t>
      </w:r>
      <w:r w:rsidR="00011849">
        <w:t>costs are allocated in the Utility’s most-recent cost of service study?</w:t>
      </w:r>
    </w:p>
    <w:p w:rsidR="00011849" w:rsidRDefault="00FD1BD5" w:rsidP="00B42C16">
      <w:pPr>
        <w:pStyle w:val="A"/>
        <w:spacing w:line="480" w:lineRule="auto"/>
        <w:ind w:left="720" w:hanging="720"/>
      </w:pPr>
      <w:r>
        <w:rPr>
          <w:b/>
          <w:i/>
        </w:rPr>
        <w:t>A12.</w:t>
      </w:r>
      <w:r w:rsidR="00011849">
        <w:tab/>
        <w:t xml:space="preserve">No. </w:t>
      </w:r>
      <w:r w:rsidR="002D0EBF">
        <w:t xml:space="preserve"> </w:t>
      </w:r>
      <w:r w:rsidR="00011849">
        <w:t xml:space="preserve">As AEP Ohio acknowledges, its proposal for </w:t>
      </w:r>
      <w:r w:rsidR="00014677">
        <w:t xml:space="preserve">allocating costs collected through </w:t>
      </w:r>
      <w:r w:rsidR="00011849">
        <w:t xml:space="preserve">these four riders </w:t>
      </w:r>
      <w:r w:rsidR="005F238A">
        <w:t xml:space="preserve">in the ESP III </w:t>
      </w:r>
      <w:r w:rsidR="00014677">
        <w:t>is</w:t>
      </w:r>
      <w:r w:rsidR="00DC567D">
        <w:t xml:space="preserve"> inconsistent</w:t>
      </w:r>
      <w:r w:rsidR="00011849">
        <w:t xml:space="preserve"> with </w:t>
      </w:r>
      <w:r w:rsidR="00956F1B">
        <w:t xml:space="preserve">the </w:t>
      </w:r>
      <w:r w:rsidR="00E13AB4">
        <w:t>approach used to allocate</w:t>
      </w:r>
      <w:r w:rsidR="00011849">
        <w:t xml:space="preserve"> the same type</w:t>
      </w:r>
      <w:r w:rsidR="00956F1B">
        <w:t>s</w:t>
      </w:r>
      <w:r w:rsidR="00011849">
        <w:t xml:space="preserve"> of costs</w:t>
      </w:r>
      <w:r w:rsidR="00E13AB4">
        <w:t xml:space="preserve"> currently</w:t>
      </w:r>
      <w:r w:rsidR="00011849">
        <w:t xml:space="preserve"> collec</w:t>
      </w:r>
      <w:r w:rsidR="00E13AB4">
        <w:t>ted through base distribution rates.</w:t>
      </w:r>
      <w:r w:rsidR="00E13AB4">
        <w:rPr>
          <w:rStyle w:val="FootnoteReference"/>
        </w:rPr>
        <w:footnoteReference w:id="4"/>
      </w:r>
      <w:r w:rsidR="005F238A">
        <w:t xml:space="preserve"> </w:t>
      </w:r>
      <w:r w:rsidR="002D0EBF">
        <w:t xml:space="preserve"> </w:t>
      </w:r>
      <w:r w:rsidR="005F238A">
        <w:t xml:space="preserve">For example, the Utility proposes to allocate net plant costs </w:t>
      </w:r>
      <w:r w:rsidR="004B0BBE">
        <w:t xml:space="preserve">associated with plant investments </w:t>
      </w:r>
      <w:r w:rsidR="005F238A">
        <w:t xml:space="preserve">collected through the DIR in proportion to each customer class’s contribution to total base distribution revenues. </w:t>
      </w:r>
      <w:r w:rsidR="001D45E7">
        <w:t xml:space="preserve"> </w:t>
      </w:r>
      <w:r w:rsidR="005F238A">
        <w:t xml:space="preserve">In contrast, in AEP Ohio’s most-recent cost of service studies, net plant costs </w:t>
      </w:r>
      <w:r w:rsidR="004B0BBE">
        <w:t xml:space="preserve">associated with plant investments collected through base distribution rates </w:t>
      </w:r>
      <w:r w:rsidR="005F238A">
        <w:t>were allocated</w:t>
      </w:r>
      <w:r w:rsidR="004B0BBE">
        <w:t xml:space="preserve"> generally</w:t>
      </w:r>
      <w:r w:rsidR="005F238A">
        <w:t xml:space="preserve"> in proportion to each customer class’s </w:t>
      </w:r>
      <w:r w:rsidR="004B0BBE">
        <w:t>contribution to distribution-system peak</w:t>
      </w:r>
      <w:r w:rsidR="00CE29FB">
        <w:t xml:space="preserve"> demand</w:t>
      </w:r>
      <w:r w:rsidR="004B0BBE">
        <w:t>.</w:t>
      </w:r>
      <w:r w:rsidR="005926CA">
        <w:t xml:space="preserve"> </w:t>
      </w:r>
      <w:r w:rsidR="001D45E7">
        <w:t xml:space="preserve"> </w:t>
      </w:r>
      <w:r w:rsidR="005926CA">
        <w:t>In other words, AEP Ohi</w:t>
      </w:r>
      <w:r w:rsidR="00C028B4">
        <w:t>o’s proposal would allocate</w:t>
      </w:r>
      <w:r w:rsidR="005926CA">
        <w:t xml:space="preserve"> costs collected through these four riders</w:t>
      </w:r>
      <w:r w:rsidR="00DC567D">
        <w:t xml:space="preserve"> inconsistent</w:t>
      </w:r>
      <w:r w:rsidR="00C028B4">
        <w:t>ly</w:t>
      </w:r>
      <w:r w:rsidR="005926CA">
        <w:t xml:space="preserve"> with the way these costs would be allocated if they were instead collected through base distribution rates.</w:t>
      </w:r>
    </w:p>
    <w:p w:rsidR="00E06D55" w:rsidRPr="00B42C16" w:rsidRDefault="00E06D55" w:rsidP="00B42C16">
      <w:pPr>
        <w:spacing w:line="480" w:lineRule="auto"/>
        <w:ind w:left="720" w:hanging="720"/>
        <w:rPr>
          <w:b/>
          <w:bCs/>
          <w:i/>
          <w:iCs/>
        </w:rPr>
      </w:pPr>
    </w:p>
    <w:p w:rsidR="00956F1B" w:rsidRPr="00B42C16" w:rsidRDefault="00FD1BD5" w:rsidP="00B42C16">
      <w:pPr>
        <w:spacing w:line="480" w:lineRule="auto"/>
        <w:ind w:left="720" w:hanging="720"/>
        <w:rPr>
          <w:b/>
          <w:bCs/>
          <w:i/>
          <w:iCs/>
        </w:rPr>
      </w:pPr>
      <w:r w:rsidRPr="00B42C16">
        <w:rPr>
          <w:b/>
          <w:bCs/>
          <w:i/>
          <w:iCs/>
        </w:rPr>
        <w:t>Q13.</w:t>
      </w:r>
      <w:r w:rsidR="00956F1B" w:rsidRPr="00B42C16">
        <w:rPr>
          <w:b/>
          <w:bCs/>
          <w:i/>
          <w:iCs/>
        </w:rPr>
        <w:tab/>
      </w:r>
      <w:r w:rsidR="00B42C16" w:rsidRPr="00B42C16">
        <w:rPr>
          <w:b/>
          <w:bCs/>
          <w:i/>
          <w:iCs/>
        </w:rPr>
        <w:t>IS THE UTILITY’S COST-ALLOCATION PROPOSAL FOR THE DISTRIBUTION INVESTMENT RIDER, ENHANCED SERVICE RELIABILITY RIDER, STORM DAMAGE RECOVERY RIDER, AND THE SUSTAINED AND SKILLED WORKFORCE RIDER REASONABLE?</w:t>
      </w:r>
    </w:p>
    <w:p w:rsidR="001237F3" w:rsidRDefault="00FD1BD5" w:rsidP="007A3414">
      <w:pPr>
        <w:pStyle w:val="A"/>
        <w:ind w:left="720" w:hanging="720"/>
      </w:pPr>
      <w:r>
        <w:rPr>
          <w:b/>
          <w:i/>
        </w:rPr>
        <w:t>A13.</w:t>
      </w:r>
      <w:r w:rsidR="00956F1B">
        <w:tab/>
        <w:t xml:space="preserve">No. </w:t>
      </w:r>
      <w:r w:rsidR="001D45E7">
        <w:t xml:space="preserve"> </w:t>
      </w:r>
      <w:r w:rsidR="006B4D4C">
        <w:t>The Utility’s proposal would all</w:t>
      </w:r>
      <w:r w:rsidR="00C028B4">
        <w:t>ocate rider costs inconsistently</w:t>
      </w:r>
      <w:r w:rsidR="006B4D4C">
        <w:t xml:space="preserve"> with the way</w:t>
      </w:r>
      <w:r w:rsidR="00DC567D">
        <w:t xml:space="preserve"> these same costs would be allocated if they were instead collected through base distribution rates</w:t>
      </w:r>
      <w:r w:rsidR="006B4D4C">
        <w:t xml:space="preserve">. </w:t>
      </w:r>
      <w:r w:rsidR="00945155">
        <w:t xml:space="preserve"> </w:t>
      </w:r>
      <w:r w:rsidR="006B4D4C">
        <w:t xml:space="preserve">As such, AEP Ohio’s proposal would allocate rider costs to customer classes </w:t>
      </w:r>
      <w:r w:rsidR="00557495">
        <w:t>disproportionately</w:t>
      </w:r>
      <w:r w:rsidR="006B4D4C">
        <w:t xml:space="preserve"> with each </w:t>
      </w:r>
      <w:r w:rsidR="00557495">
        <w:t>class’s responsibility for those rider costs</w:t>
      </w:r>
      <w:r w:rsidR="00DC567D">
        <w:t xml:space="preserve"> and thus inconsistent</w:t>
      </w:r>
      <w:r w:rsidR="00C028B4">
        <w:t>ly</w:t>
      </w:r>
      <w:r w:rsidR="00DC567D">
        <w:t xml:space="preserve"> with </w:t>
      </w:r>
      <w:r w:rsidR="00C028B4">
        <w:t>the cost-causation principles embodied in the Utility’s most-recent cost of service studies</w:t>
      </w:r>
      <w:r w:rsidR="00557495">
        <w:t>.</w:t>
      </w:r>
    </w:p>
    <w:p w:rsidR="007A3414" w:rsidRDefault="007A3414" w:rsidP="007A3414">
      <w:pPr>
        <w:pStyle w:val="Testimony"/>
        <w:ind w:firstLine="0"/>
      </w:pPr>
    </w:p>
    <w:p w:rsidR="001237F3" w:rsidRDefault="001237F3" w:rsidP="00F312F3">
      <w:pPr>
        <w:pStyle w:val="Testimony"/>
        <w:spacing w:line="480" w:lineRule="auto"/>
        <w:ind w:left="720" w:firstLine="0"/>
      </w:pPr>
      <w:r>
        <w:t>AEP Ohio has not reasonably justified allocating the costs collected through these four riders disproportionately with each class’s responsibility for such costs.</w:t>
      </w:r>
      <w:r w:rsidR="000900A5">
        <w:t xml:space="preserve">  </w:t>
      </w:r>
      <w:r>
        <w:t>Instead, the Utility supports its proposal by noting that the proposed allocation of rider costs in proportion to distribution revenues “</w:t>
      </w:r>
      <w:r w:rsidRPr="007F06C1">
        <w:t xml:space="preserve">is consistent with the </w:t>
      </w:r>
      <w:r w:rsidRPr="007F06C1">
        <w:rPr>
          <w:i/>
        </w:rPr>
        <w:t>overall</w:t>
      </w:r>
      <w:r w:rsidRPr="007F06C1">
        <w:t xml:space="preserve"> cost of each customer to support the distribution function of the Company.</w:t>
      </w:r>
      <w:r>
        <w:t>”</w:t>
      </w:r>
      <w:r>
        <w:rPr>
          <w:rStyle w:val="FootnoteReference"/>
        </w:rPr>
        <w:footnoteReference w:id="5"/>
      </w:r>
      <w:r>
        <w:t xml:space="preserve"> </w:t>
      </w:r>
      <w:r w:rsidR="000900A5">
        <w:t xml:space="preserve"> </w:t>
      </w:r>
      <w:r>
        <w:t xml:space="preserve">AEP Ohio’s logic in this regard is circular, </w:t>
      </w:r>
      <w:r w:rsidR="0061049C">
        <w:t xml:space="preserve">because </w:t>
      </w:r>
      <w:r>
        <w:t>the</w:t>
      </w:r>
      <w:r>
        <w:rPr>
          <w:i/>
        </w:rPr>
        <w:t xml:space="preserve"> </w:t>
      </w:r>
      <w:r w:rsidR="00CE30E7">
        <w:rPr>
          <w:i/>
        </w:rPr>
        <w:t>overall</w:t>
      </w:r>
      <w:r w:rsidR="00CE30E7">
        <w:t xml:space="preserve"> </w:t>
      </w:r>
      <w:r>
        <w:t xml:space="preserve">allocation of </w:t>
      </w:r>
      <w:r w:rsidR="00CE30E7">
        <w:t xml:space="preserve">base </w:t>
      </w:r>
      <w:r>
        <w:t xml:space="preserve">distribution costs </w:t>
      </w:r>
      <w:r w:rsidR="00CE30E7">
        <w:t xml:space="preserve">in total </w:t>
      </w:r>
      <w:r>
        <w:t>i</w:t>
      </w:r>
      <w:r w:rsidR="00013FDB">
        <w:t xml:space="preserve">s simply the sum of a number of </w:t>
      </w:r>
      <w:r w:rsidR="00CE30E7">
        <w:rPr>
          <w:i/>
        </w:rPr>
        <w:t>specific</w:t>
      </w:r>
      <w:r>
        <w:t xml:space="preserve"> allocation</w:t>
      </w:r>
      <w:r w:rsidR="00013FDB">
        <w:t>s</w:t>
      </w:r>
      <w:r>
        <w:t xml:space="preserve"> of </w:t>
      </w:r>
      <w:r w:rsidR="00CE30E7">
        <w:t>different</w:t>
      </w:r>
      <w:r w:rsidR="00013FDB">
        <w:t xml:space="preserve"> cost accounts, such as net plant costs or O&amp;M expenses. </w:t>
      </w:r>
      <w:r w:rsidR="000900A5">
        <w:t xml:space="preserve"> </w:t>
      </w:r>
      <w:r w:rsidR="00DC4E15">
        <w:t xml:space="preserve">Thus, for example, </w:t>
      </w:r>
      <w:r w:rsidR="00013FDB">
        <w:t>the allocati</w:t>
      </w:r>
      <w:r w:rsidR="00DC4E15">
        <w:t xml:space="preserve">on </w:t>
      </w:r>
      <w:r w:rsidR="00013FDB">
        <w:t>of</w:t>
      </w:r>
      <w:r w:rsidR="00DC4E15">
        <w:t xml:space="preserve"> net plant </w:t>
      </w:r>
      <w:r w:rsidR="00013FDB">
        <w:t>costs collected through</w:t>
      </w:r>
      <w:r w:rsidR="00DC4E15">
        <w:t xml:space="preserve"> DIR</w:t>
      </w:r>
      <w:r w:rsidR="00013FDB">
        <w:t xml:space="preserve"> under the Utility’s proposal might be consistent with the overall allocation of </w:t>
      </w:r>
      <w:r w:rsidR="00DC4E15">
        <w:t xml:space="preserve">base </w:t>
      </w:r>
      <w:r w:rsidR="00013FDB">
        <w:t>distribution costs in total</w:t>
      </w:r>
      <w:r w:rsidR="00DC4E15">
        <w:t xml:space="preserve">. </w:t>
      </w:r>
      <w:r w:rsidR="000900A5">
        <w:t xml:space="preserve"> </w:t>
      </w:r>
      <w:r w:rsidR="00DC4E15">
        <w:t>However, the allocation of DIR net plant costs under the Utility’s proposal would not be consistent with the all</w:t>
      </w:r>
      <w:r w:rsidR="00CE30E7">
        <w:t>ocation of net plant costs that underlies the overall allocation of base distribution costs in total.</w:t>
      </w:r>
    </w:p>
    <w:p w:rsidR="00E06D55" w:rsidRPr="00013FDB" w:rsidRDefault="00E06D55" w:rsidP="00F312F3">
      <w:pPr>
        <w:pStyle w:val="Testimony"/>
        <w:spacing w:line="480" w:lineRule="auto"/>
        <w:ind w:left="720" w:firstLine="0"/>
      </w:pPr>
    </w:p>
    <w:p w:rsidR="00314852" w:rsidRDefault="00FD1BD5" w:rsidP="00F312F3">
      <w:pPr>
        <w:pStyle w:val="Q"/>
        <w:spacing w:before="0" w:line="480" w:lineRule="auto"/>
        <w:ind w:left="720" w:hanging="720"/>
      </w:pPr>
      <w:r>
        <w:t>Q14.</w:t>
      </w:r>
      <w:r w:rsidR="00314852">
        <w:tab/>
        <w:t xml:space="preserve">How should the costs collected through the </w:t>
      </w:r>
      <w:r w:rsidR="006956C5" w:rsidRPr="005F76C5">
        <w:t>DISTRIBUTION INVESTMENT RIDER</w:t>
      </w:r>
      <w:r w:rsidR="006956C5">
        <w:t xml:space="preserve">, Enhanced Service Reliability Rider, Storm Damage Recovery Rider, and the </w:t>
      </w:r>
      <w:r w:rsidR="006956C5" w:rsidRPr="00CE29FB">
        <w:t>Sustained and Skilled Workforce Rider</w:t>
      </w:r>
      <w:r w:rsidR="00314852">
        <w:t xml:space="preserve"> be allocated to customer classes?</w:t>
      </w:r>
    </w:p>
    <w:p w:rsidR="004A253D" w:rsidRPr="00E06D55" w:rsidRDefault="00FD1BD5" w:rsidP="00F214FF">
      <w:pPr>
        <w:spacing w:line="480" w:lineRule="auto"/>
        <w:ind w:left="720" w:hanging="720"/>
      </w:pPr>
      <w:r>
        <w:rPr>
          <w:b/>
          <w:i/>
        </w:rPr>
        <w:t>A14.</w:t>
      </w:r>
      <w:r w:rsidR="00314852">
        <w:tab/>
      </w:r>
      <w:r w:rsidR="00EB58A8">
        <w:t xml:space="preserve">As with costs collected through base distribution rates, the costs collected through these four riders should be allocated to customer classes in a </w:t>
      </w:r>
      <w:r w:rsidR="00D31CAA">
        <w:t>manner</w:t>
      </w:r>
      <w:r w:rsidR="00EB58A8">
        <w:t xml:space="preserve"> that reflects cost causation. </w:t>
      </w:r>
      <w:r w:rsidR="00BC2C57">
        <w:t xml:space="preserve"> </w:t>
      </w:r>
      <w:r w:rsidR="004A253D">
        <w:t xml:space="preserve">I </w:t>
      </w:r>
      <w:r w:rsidR="00EB58A8">
        <w:t xml:space="preserve">therefore </w:t>
      </w:r>
      <w:r w:rsidR="004A253D">
        <w:t xml:space="preserve">recommend that the </w:t>
      </w:r>
      <w:r w:rsidR="008B35F1">
        <w:t xml:space="preserve">net plant, O&amp;M, or labor </w:t>
      </w:r>
      <w:r w:rsidR="004A253D">
        <w:t xml:space="preserve">costs </w:t>
      </w:r>
      <w:r w:rsidR="004A253D" w:rsidRPr="00E06D55">
        <w:t xml:space="preserve">collected through the DIR, ESRR, SDRR, and SSWR be allocated to customer classes in proportion to the allocation of </w:t>
      </w:r>
      <w:r w:rsidR="008B35F1" w:rsidRPr="00E06D55">
        <w:t>net plant, O&amp;M, or labor</w:t>
      </w:r>
      <w:r w:rsidR="004A253D" w:rsidRPr="00E06D55">
        <w:t xml:space="preserve"> costs in the cost of service studies filed in Case Nos. 11-351-EL-AIR and 11-352-EL-AIR. Specifically, I recommend that:</w:t>
      </w:r>
    </w:p>
    <w:p w:rsidR="004A253D" w:rsidRPr="00E06D55" w:rsidRDefault="004A253D" w:rsidP="00D7274E">
      <w:pPr>
        <w:numPr>
          <w:ilvl w:val="0"/>
          <w:numId w:val="22"/>
        </w:numPr>
        <w:tabs>
          <w:tab w:val="left" w:pos="2160"/>
        </w:tabs>
        <w:spacing w:line="480" w:lineRule="auto"/>
        <w:ind w:left="2160" w:right="720" w:hanging="720"/>
      </w:pPr>
      <w:r w:rsidRPr="00E06D55">
        <w:t>DIR costs be allocated in proportion to the allocation of net electric plant in service.</w:t>
      </w:r>
    </w:p>
    <w:p w:rsidR="004A253D" w:rsidRPr="00E06D55" w:rsidRDefault="004C5600" w:rsidP="00D7274E">
      <w:pPr>
        <w:numPr>
          <w:ilvl w:val="0"/>
          <w:numId w:val="22"/>
        </w:numPr>
        <w:tabs>
          <w:tab w:val="left" w:pos="2160"/>
        </w:tabs>
        <w:spacing w:line="480" w:lineRule="auto"/>
        <w:ind w:left="2160" w:right="720" w:hanging="720"/>
      </w:pPr>
      <w:r w:rsidRPr="00E06D55">
        <w:t>ESRR capital costs be allocated in proportion to the allocation of net electric plant in service.</w:t>
      </w:r>
    </w:p>
    <w:p w:rsidR="004C5600" w:rsidRPr="00E06D55" w:rsidRDefault="004C5600" w:rsidP="00D7274E">
      <w:pPr>
        <w:numPr>
          <w:ilvl w:val="0"/>
          <w:numId w:val="22"/>
        </w:numPr>
        <w:tabs>
          <w:tab w:val="left" w:pos="2160"/>
        </w:tabs>
        <w:spacing w:line="480" w:lineRule="auto"/>
        <w:ind w:left="2160" w:right="720" w:hanging="720"/>
      </w:pPr>
      <w:r w:rsidRPr="00E06D55">
        <w:t>ESRR O&amp;</w:t>
      </w:r>
      <w:r w:rsidR="00543C3D" w:rsidRPr="00E06D55">
        <w:t>M costs</w:t>
      </w:r>
      <w:r w:rsidRPr="00E06D55">
        <w:t xml:space="preserve"> be allocated in proportion to the allocation of distribution O&amp;M expenses.</w:t>
      </w:r>
      <w:r w:rsidR="00354CB7" w:rsidRPr="00B42C16">
        <w:rPr>
          <w:sz w:val="20"/>
          <w:vertAlign w:val="superscript"/>
        </w:rPr>
        <w:footnoteReference w:id="6"/>
      </w:r>
    </w:p>
    <w:p w:rsidR="004C5600" w:rsidRPr="00E06D55" w:rsidRDefault="004C5600" w:rsidP="00D7274E">
      <w:pPr>
        <w:numPr>
          <w:ilvl w:val="0"/>
          <w:numId w:val="22"/>
        </w:numPr>
        <w:tabs>
          <w:tab w:val="left" w:pos="2160"/>
        </w:tabs>
        <w:spacing w:line="480" w:lineRule="auto"/>
        <w:ind w:left="2160" w:right="720" w:hanging="720"/>
      </w:pPr>
      <w:r w:rsidRPr="00E06D55">
        <w:t>SDRR costs be allocated in proportion to the allocation of distribution O&amp;M expenses.</w:t>
      </w:r>
    </w:p>
    <w:p w:rsidR="00653B3B" w:rsidRDefault="002F31CD" w:rsidP="00D7274E">
      <w:pPr>
        <w:numPr>
          <w:ilvl w:val="0"/>
          <w:numId w:val="22"/>
        </w:numPr>
        <w:tabs>
          <w:tab w:val="left" w:pos="2160"/>
        </w:tabs>
        <w:spacing w:line="480" w:lineRule="auto"/>
        <w:ind w:left="2160" w:right="720" w:hanging="720"/>
      </w:pPr>
      <w:r w:rsidRPr="00E06D55">
        <w:t>SSWR costs be allocated in proportion to the allocation of distribution O&amp;M labor expenses.</w:t>
      </w:r>
    </w:p>
    <w:p w:rsidR="00E06D55" w:rsidRPr="00E06D55" w:rsidRDefault="00E06D55" w:rsidP="00E06D55">
      <w:pPr>
        <w:spacing w:line="480" w:lineRule="auto"/>
      </w:pPr>
    </w:p>
    <w:p w:rsidR="004C5600" w:rsidRPr="00E06D55" w:rsidRDefault="00FD1BD5" w:rsidP="00E06D55">
      <w:pPr>
        <w:spacing w:line="480" w:lineRule="auto"/>
        <w:ind w:left="720" w:hanging="720"/>
        <w:rPr>
          <w:b/>
          <w:bCs/>
          <w:i/>
          <w:iCs/>
        </w:rPr>
      </w:pPr>
      <w:r w:rsidRPr="00E06D55">
        <w:rPr>
          <w:b/>
          <w:bCs/>
          <w:i/>
          <w:iCs/>
        </w:rPr>
        <w:t>Q15.</w:t>
      </w:r>
      <w:r w:rsidR="007A3414" w:rsidRPr="00E06D55">
        <w:rPr>
          <w:b/>
          <w:bCs/>
          <w:i/>
          <w:iCs/>
        </w:rPr>
        <w:tab/>
        <w:t xml:space="preserve">HAVE YOU ESTIMATED THE ALLOCATORS THAT SHOULD BE APPLIED TO COSTS COLLECTED THROUGH THE </w:t>
      </w:r>
      <w:r w:rsidR="006956C5" w:rsidRPr="00E06D55">
        <w:rPr>
          <w:b/>
          <w:bCs/>
          <w:i/>
          <w:iCs/>
        </w:rPr>
        <w:t xml:space="preserve">DISTRIBUTION INVESTMENT RIDER, </w:t>
      </w:r>
      <w:r w:rsidR="00B42C16" w:rsidRPr="00E06D55">
        <w:rPr>
          <w:b/>
          <w:bCs/>
          <w:i/>
          <w:iCs/>
        </w:rPr>
        <w:t>ENHANCED SERVICE RELIABILITY RIDER, STORM DAMAGE RECOVERY RIDER, AND THE SUSTAINED AND SKILLED WORKFORCE RIDER?</w:t>
      </w:r>
    </w:p>
    <w:p w:rsidR="007139B6" w:rsidRPr="00B42C16" w:rsidRDefault="00FD1BD5" w:rsidP="00B42C16">
      <w:pPr>
        <w:spacing w:line="480" w:lineRule="auto"/>
        <w:ind w:left="720" w:hanging="720"/>
      </w:pPr>
      <w:r w:rsidRPr="00E06D55">
        <w:rPr>
          <w:b/>
          <w:bCs/>
          <w:i/>
          <w:iCs/>
        </w:rPr>
        <w:t>A15.</w:t>
      </w:r>
      <w:r w:rsidR="007139B6" w:rsidRPr="00E06D55">
        <w:rPr>
          <w:b/>
          <w:bCs/>
          <w:i/>
          <w:iCs/>
        </w:rPr>
        <w:tab/>
      </w:r>
      <w:r w:rsidR="007139B6" w:rsidRPr="00E06D55">
        <w:t xml:space="preserve">Yes. </w:t>
      </w:r>
      <w:r w:rsidR="00BC2C57" w:rsidRPr="00E06D55">
        <w:t xml:space="preserve"> </w:t>
      </w:r>
      <w:r w:rsidR="0039605F" w:rsidRPr="00E06D55">
        <w:t>In accordance</w:t>
      </w:r>
      <w:r w:rsidR="007139B6" w:rsidRPr="00E06D55">
        <w:t xml:space="preserve"> with my recommended approach, I have estimated the percentage allocators associ</w:t>
      </w:r>
      <w:r w:rsidR="007139B6">
        <w:t xml:space="preserve">ated with the allocation of net electric plant in service, </w:t>
      </w:r>
      <w:r w:rsidR="00354CB7">
        <w:t xml:space="preserve">distribution </w:t>
      </w:r>
      <w:r w:rsidR="007139B6">
        <w:t xml:space="preserve">O&amp;M expenses, and O&amp;M labor costs in AEP Ohio’s most-recent cost of service studies. </w:t>
      </w:r>
      <w:r w:rsidR="00BC2C57">
        <w:t xml:space="preserve"> </w:t>
      </w:r>
      <w:r w:rsidR="007139B6">
        <w:t xml:space="preserve">Each allocator represents the average cost allocation across the cost of service studies for Ohio Power Company (“OP”) and Columbus Southern Power Company (“CSP”). </w:t>
      </w:r>
      <w:r w:rsidR="00BC2C57">
        <w:t xml:space="preserve"> </w:t>
      </w:r>
      <w:r w:rsidR="007139B6">
        <w:t xml:space="preserve">For example, the percentage allocator for the residential class for net electric plant in service is derived as the ratio of: </w:t>
      </w:r>
      <w:r w:rsidR="008D6140">
        <w:t xml:space="preserve"> </w:t>
      </w:r>
      <w:r w:rsidR="007139B6">
        <w:t xml:space="preserve">(1) the sum of OP and CSP </w:t>
      </w:r>
      <w:r w:rsidR="0075633C">
        <w:t xml:space="preserve">allocated </w:t>
      </w:r>
      <w:r w:rsidR="007139B6">
        <w:t xml:space="preserve">residential net electric plant in service; and (2) the sum of OP and CSP total retail net electric plant in service. </w:t>
      </w:r>
      <w:r w:rsidR="00BC2C57">
        <w:t xml:space="preserve"> </w:t>
      </w:r>
      <w:r w:rsidR="007139B6">
        <w:t xml:space="preserve">I provide my </w:t>
      </w:r>
      <w:r w:rsidR="007139B6" w:rsidRPr="00B42C16">
        <w:t>estimated allocators in Table 1.</w:t>
      </w:r>
      <w:r w:rsidR="00FC7D36" w:rsidRPr="00B42C16">
        <w:rPr>
          <w:sz w:val="20"/>
          <w:vertAlign w:val="superscript"/>
        </w:rPr>
        <w:footnoteReference w:id="7"/>
      </w:r>
    </w:p>
    <w:p w:rsidR="007139B6" w:rsidRPr="001B7CBF" w:rsidRDefault="007139B6" w:rsidP="00B42C16">
      <w:pPr>
        <w:spacing w:line="480" w:lineRule="auto"/>
        <w:ind w:left="720" w:hanging="720"/>
        <w:jc w:val="center"/>
        <w:rPr>
          <w:b/>
          <w:bCs/>
          <w:szCs w:val="24"/>
        </w:rPr>
      </w:pPr>
      <w:r w:rsidRPr="001B7CBF">
        <w:rPr>
          <w:b/>
          <w:bCs/>
        </w:rPr>
        <w:t>Table</w:t>
      </w:r>
      <w:r w:rsidRPr="001B7CBF">
        <w:rPr>
          <w:b/>
          <w:bCs/>
          <w:szCs w:val="24"/>
        </w:rPr>
        <w:t xml:space="preserve"> 1. Customer Class Allocators</w:t>
      </w:r>
    </w:p>
    <w:tbl>
      <w:tblPr>
        <w:tblW w:w="4341" w:type="dxa"/>
        <w:jc w:val="center"/>
        <w:tblInd w:w="16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63"/>
        <w:gridCol w:w="1116"/>
        <w:gridCol w:w="1116"/>
        <w:gridCol w:w="1116"/>
      </w:tblGrid>
      <w:tr w:rsidR="00A44C6E" w:rsidRPr="005E2803" w:rsidTr="005A1FA2">
        <w:trPr>
          <w:trHeight w:val="692"/>
          <w:jc w:val="center"/>
        </w:trPr>
        <w:tc>
          <w:tcPr>
            <w:tcW w:w="1380" w:type="dxa"/>
            <w:tcBorders>
              <w:top w:val="single" w:sz="4" w:space="0" w:color="auto"/>
              <w:bottom w:val="single" w:sz="4" w:space="0" w:color="auto"/>
              <w:right w:val="single" w:sz="4" w:space="0" w:color="auto"/>
            </w:tcBorders>
            <w:shd w:val="clear" w:color="auto" w:fill="auto"/>
            <w:noWrap/>
            <w:vAlign w:val="bottom"/>
            <w:hideMark/>
          </w:tcPr>
          <w:p w:rsidR="00A44C6E" w:rsidRPr="005E2803" w:rsidRDefault="00A44C6E" w:rsidP="00A44C6E">
            <w:pPr>
              <w:spacing w:line="240" w:lineRule="auto"/>
              <w:rPr>
                <w:color w:val="000000"/>
                <w:kern w:val="0"/>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4C6E" w:rsidRPr="001B7CBF" w:rsidRDefault="00A44C6E" w:rsidP="00A44C6E">
            <w:pPr>
              <w:spacing w:line="240" w:lineRule="auto"/>
              <w:jc w:val="center"/>
              <w:rPr>
                <w:b/>
                <w:bCs/>
                <w:color w:val="000000"/>
                <w:kern w:val="0"/>
                <w:szCs w:val="24"/>
              </w:rPr>
            </w:pPr>
            <w:r w:rsidRPr="001B7CBF">
              <w:rPr>
                <w:b/>
                <w:bCs/>
                <w:color w:val="000000"/>
                <w:kern w:val="0"/>
                <w:szCs w:val="24"/>
              </w:rPr>
              <w:t>Net Plant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4C6E" w:rsidRPr="001B7CBF" w:rsidRDefault="00A44C6E" w:rsidP="00A44C6E">
            <w:pPr>
              <w:spacing w:line="240" w:lineRule="auto"/>
              <w:jc w:val="center"/>
              <w:rPr>
                <w:b/>
                <w:bCs/>
                <w:color w:val="000000"/>
                <w:kern w:val="0"/>
                <w:szCs w:val="24"/>
              </w:rPr>
            </w:pPr>
            <w:r w:rsidRPr="001B7CBF">
              <w:rPr>
                <w:b/>
                <w:bCs/>
                <w:color w:val="000000"/>
                <w:kern w:val="0"/>
                <w:szCs w:val="24"/>
              </w:rPr>
              <w:t>O&amp;M</w:t>
            </w:r>
          </w:p>
        </w:tc>
        <w:tc>
          <w:tcPr>
            <w:tcW w:w="987" w:type="dxa"/>
            <w:tcBorders>
              <w:top w:val="single" w:sz="4" w:space="0" w:color="auto"/>
              <w:left w:val="single" w:sz="4" w:space="0" w:color="auto"/>
              <w:bottom w:val="single" w:sz="4" w:space="0" w:color="auto"/>
            </w:tcBorders>
            <w:shd w:val="clear" w:color="auto" w:fill="auto"/>
            <w:vAlign w:val="bottom"/>
            <w:hideMark/>
          </w:tcPr>
          <w:p w:rsidR="00A44C6E" w:rsidRPr="001B7CBF" w:rsidRDefault="00A44C6E" w:rsidP="00A44C6E">
            <w:pPr>
              <w:spacing w:line="240" w:lineRule="auto"/>
              <w:jc w:val="center"/>
              <w:rPr>
                <w:b/>
                <w:bCs/>
                <w:color w:val="000000"/>
                <w:kern w:val="0"/>
                <w:szCs w:val="24"/>
              </w:rPr>
            </w:pPr>
            <w:r w:rsidRPr="001B7CBF">
              <w:rPr>
                <w:b/>
                <w:bCs/>
                <w:color w:val="000000"/>
                <w:kern w:val="0"/>
                <w:szCs w:val="24"/>
              </w:rPr>
              <w:t>Labor</w:t>
            </w:r>
          </w:p>
        </w:tc>
      </w:tr>
      <w:tr w:rsidR="00A44C6E" w:rsidRPr="005E2803" w:rsidTr="001B7CBF">
        <w:trPr>
          <w:trHeight w:val="300"/>
          <w:jc w:val="center"/>
        </w:trPr>
        <w:tc>
          <w:tcPr>
            <w:tcW w:w="1380" w:type="dxa"/>
            <w:tcBorders>
              <w:top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rPr>
                <w:color w:val="000000"/>
                <w:kern w:val="0"/>
                <w:szCs w:val="24"/>
              </w:rPr>
            </w:pPr>
            <w:r w:rsidRPr="005E2803">
              <w:rPr>
                <w:color w:val="000000"/>
                <w:kern w:val="0"/>
                <w:szCs w:val="24"/>
              </w:rPr>
              <w:t>RS</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58.52%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55.57%</w:t>
            </w:r>
          </w:p>
        </w:tc>
        <w:tc>
          <w:tcPr>
            <w:tcW w:w="987" w:type="dxa"/>
            <w:tcBorders>
              <w:top w:val="single" w:sz="4" w:space="0" w:color="auto"/>
              <w:left w:val="single" w:sz="4" w:space="0" w:color="auto"/>
              <w:bottom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55.71%</w:t>
            </w:r>
          </w:p>
        </w:tc>
      </w:tr>
      <w:tr w:rsidR="00A44C6E" w:rsidRPr="005E2803" w:rsidTr="001B7CBF">
        <w:trPr>
          <w:trHeight w:val="300"/>
          <w:jc w:val="center"/>
        </w:trPr>
        <w:tc>
          <w:tcPr>
            <w:tcW w:w="1380" w:type="dxa"/>
            <w:tcBorders>
              <w:top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rPr>
                <w:color w:val="000000"/>
                <w:kern w:val="0"/>
                <w:szCs w:val="24"/>
              </w:rPr>
            </w:pPr>
            <w:r w:rsidRPr="005E2803">
              <w:rPr>
                <w:color w:val="000000"/>
                <w:kern w:val="0"/>
                <w:szCs w:val="24"/>
              </w:rPr>
              <w:t>GS-1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3.04%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2.65%</w:t>
            </w:r>
          </w:p>
        </w:tc>
        <w:tc>
          <w:tcPr>
            <w:tcW w:w="987" w:type="dxa"/>
            <w:tcBorders>
              <w:top w:val="single" w:sz="4" w:space="0" w:color="auto"/>
              <w:left w:val="single" w:sz="4" w:space="0" w:color="auto"/>
              <w:bottom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2.64%</w:t>
            </w:r>
          </w:p>
        </w:tc>
      </w:tr>
      <w:tr w:rsidR="00A44C6E" w:rsidRPr="005E2803" w:rsidTr="001B7CBF">
        <w:trPr>
          <w:trHeight w:val="300"/>
          <w:jc w:val="center"/>
        </w:trPr>
        <w:tc>
          <w:tcPr>
            <w:tcW w:w="1380" w:type="dxa"/>
            <w:tcBorders>
              <w:top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rPr>
                <w:color w:val="000000"/>
                <w:kern w:val="0"/>
                <w:szCs w:val="24"/>
              </w:rPr>
            </w:pPr>
            <w:r w:rsidRPr="005E2803">
              <w:rPr>
                <w:color w:val="000000"/>
                <w:kern w:val="0"/>
                <w:szCs w:val="24"/>
              </w:rPr>
              <w:t>GS-2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13.44%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14.30%</w:t>
            </w:r>
          </w:p>
        </w:tc>
        <w:tc>
          <w:tcPr>
            <w:tcW w:w="987" w:type="dxa"/>
            <w:tcBorders>
              <w:top w:val="single" w:sz="4" w:space="0" w:color="auto"/>
              <w:left w:val="single" w:sz="4" w:space="0" w:color="auto"/>
              <w:bottom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13.81%</w:t>
            </w:r>
          </w:p>
        </w:tc>
      </w:tr>
      <w:tr w:rsidR="00A44C6E" w:rsidRPr="005E2803" w:rsidTr="001B7CBF">
        <w:trPr>
          <w:trHeight w:val="300"/>
          <w:jc w:val="center"/>
        </w:trPr>
        <w:tc>
          <w:tcPr>
            <w:tcW w:w="1380" w:type="dxa"/>
            <w:tcBorders>
              <w:top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rPr>
                <w:color w:val="000000"/>
                <w:kern w:val="0"/>
                <w:szCs w:val="24"/>
              </w:rPr>
            </w:pPr>
            <w:r w:rsidRPr="005E2803">
              <w:rPr>
                <w:color w:val="000000"/>
                <w:kern w:val="0"/>
                <w:szCs w:val="24"/>
              </w:rPr>
              <w:t>GS-3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21.10%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22.86%</w:t>
            </w:r>
          </w:p>
        </w:tc>
        <w:tc>
          <w:tcPr>
            <w:tcW w:w="987" w:type="dxa"/>
            <w:tcBorders>
              <w:top w:val="single" w:sz="4" w:space="0" w:color="auto"/>
              <w:left w:val="single" w:sz="4" w:space="0" w:color="auto"/>
              <w:bottom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23.29%</w:t>
            </w:r>
          </w:p>
        </w:tc>
      </w:tr>
      <w:tr w:rsidR="00A44C6E" w:rsidRPr="005E2803" w:rsidTr="001B7CBF">
        <w:trPr>
          <w:trHeight w:val="300"/>
          <w:jc w:val="center"/>
        </w:trPr>
        <w:tc>
          <w:tcPr>
            <w:tcW w:w="1380" w:type="dxa"/>
            <w:tcBorders>
              <w:top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rPr>
                <w:color w:val="000000"/>
                <w:kern w:val="0"/>
                <w:szCs w:val="24"/>
              </w:rPr>
            </w:pPr>
            <w:r w:rsidRPr="005E2803">
              <w:rPr>
                <w:color w:val="000000"/>
                <w:kern w:val="0"/>
                <w:szCs w:val="24"/>
              </w:rPr>
              <w:t>GS-4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0.40%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0.44%</w:t>
            </w:r>
          </w:p>
        </w:tc>
        <w:tc>
          <w:tcPr>
            <w:tcW w:w="987" w:type="dxa"/>
            <w:tcBorders>
              <w:top w:val="single" w:sz="4" w:space="0" w:color="auto"/>
              <w:left w:val="single" w:sz="4" w:space="0" w:color="auto"/>
              <w:bottom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0.41%</w:t>
            </w:r>
          </w:p>
        </w:tc>
      </w:tr>
      <w:tr w:rsidR="00A44C6E" w:rsidRPr="005E2803" w:rsidTr="001B7CBF">
        <w:trPr>
          <w:trHeight w:val="300"/>
          <w:jc w:val="center"/>
        </w:trPr>
        <w:tc>
          <w:tcPr>
            <w:tcW w:w="1380" w:type="dxa"/>
            <w:tcBorders>
              <w:top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rPr>
                <w:color w:val="000000"/>
                <w:kern w:val="0"/>
                <w:szCs w:val="24"/>
              </w:rPr>
            </w:pPr>
            <w:r w:rsidRPr="005E2803">
              <w:rPr>
                <w:color w:val="000000"/>
                <w:kern w:val="0"/>
                <w:szCs w:val="24"/>
              </w:rPr>
              <w:t>EHG/EHS/SS</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0.21%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0.23%</w:t>
            </w:r>
          </w:p>
        </w:tc>
        <w:tc>
          <w:tcPr>
            <w:tcW w:w="987" w:type="dxa"/>
            <w:tcBorders>
              <w:top w:val="single" w:sz="4" w:space="0" w:color="auto"/>
              <w:left w:val="single" w:sz="4" w:space="0" w:color="auto"/>
              <w:bottom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0.21%</w:t>
            </w:r>
          </w:p>
        </w:tc>
      </w:tr>
      <w:tr w:rsidR="00A44C6E" w:rsidRPr="005E2803" w:rsidTr="005A1FA2">
        <w:trPr>
          <w:trHeight w:val="300"/>
          <w:jc w:val="center"/>
        </w:trPr>
        <w:tc>
          <w:tcPr>
            <w:tcW w:w="1380" w:type="dxa"/>
            <w:tcBorders>
              <w:top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rPr>
                <w:color w:val="000000"/>
                <w:kern w:val="0"/>
                <w:szCs w:val="24"/>
              </w:rPr>
            </w:pPr>
            <w:r w:rsidRPr="005E2803">
              <w:rPr>
                <w:color w:val="000000"/>
                <w:kern w:val="0"/>
                <w:szCs w:val="24"/>
              </w:rPr>
              <w:t>Lighting</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3.28%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3.95%</w:t>
            </w:r>
          </w:p>
        </w:tc>
        <w:tc>
          <w:tcPr>
            <w:tcW w:w="987" w:type="dxa"/>
            <w:tcBorders>
              <w:top w:val="single" w:sz="4" w:space="0" w:color="auto"/>
              <w:left w:val="single" w:sz="4" w:space="0" w:color="auto"/>
              <w:bottom w:val="single" w:sz="4" w:space="0" w:color="auto"/>
            </w:tcBorders>
            <w:shd w:val="clear" w:color="auto" w:fill="auto"/>
            <w:noWrap/>
            <w:vAlign w:val="center"/>
            <w:hideMark/>
          </w:tcPr>
          <w:p w:rsidR="00A44C6E" w:rsidRPr="005E2803" w:rsidRDefault="00A44C6E" w:rsidP="001B7CBF">
            <w:pPr>
              <w:spacing w:line="240" w:lineRule="auto"/>
              <w:jc w:val="center"/>
              <w:rPr>
                <w:color w:val="000000"/>
                <w:kern w:val="0"/>
                <w:szCs w:val="24"/>
              </w:rPr>
            </w:pPr>
            <w:r w:rsidRPr="005E2803">
              <w:rPr>
                <w:color w:val="000000"/>
                <w:kern w:val="0"/>
                <w:szCs w:val="24"/>
              </w:rPr>
              <w:t>3.93%</w:t>
            </w:r>
          </w:p>
        </w:tc>
      </w:tr>
      <w:tr w:rsidR="00A44C6E" w:rsidRPr="005E2803" w:rsidTr="005A1FA2">
        <w:trPr>
          <w:trHeight w:val="300"/>
          <w:jc w:val="center"/>
        </w:trPr>
        <w:tc>
          <w:tcPr>
            <w:tcW w:w="1380" w:type="dxa"/>
            <w:tcBorders>
              <w:top w:val="single" w:sz="4" w:space="0" w:color="auto"/>
              <w:bottom w:val="single" w:sz="4" w:space="0" w:color="auto"/>
              <w:right w:val="single" w:sz="4" w:space="0" w:color="auto"/>
            </w:tcBorders>
            <w:shd w:val="clear" w:color="auto" w:fill="auto"/>
            <w:noWrap/>
            <w:vAlign w:val="center"/>
            <w:hideMark/>
          </w:tcPr>
          <w:p w:rsidR="00A44C6E" w:rsidRPr="001B7CBF" w:rsidRDefault="00A44C6E" w:rsidP="001B7CBF">
            <w:pPr>
              <w:spacing w:line="240" w:lineRule="auto"/>
              <w:jc w:val="center"/>
              <w:rPr>
                <w:b/>
                <w:bCs/>
                <w:color w:val="000000"/>
                <w:kern w:val="0"/>
                <w:szCs w:val="24"/>
              </w:rPr>
            </w:pPr>
            <w:r w:rsidRPr="001B7CBF">
              <w:rPr>
                <w:b/>
                <w:bCs/>
                <w:color w:val="000000"/>
                <w:kern w:val="0"/>
                <w:szCs w:val="24"/>
              </w:rPr>
              <w:t>Total Retail</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1B7CBF" w:rsidRDefault="00A44C6E" w:rsidP="001B7CBF">
            <w:pPr>
              <w:spacing w:line="240" w:lineRule="auto"/>
              <w:jc w:val="center"/>
              <w:rPr>
                <w:b/>
                <w:bCs/>
                <w:color w:val="000000"/>
                <w:kern w:val="0"/>
                <w:szCs w:val="24"/>
              </w:rPr>
            </w:pPr>
            <w:r w:rsidRPr="001B7CBF">
              <w:rPr>
                <w:b/>
                <w:bCs/>
                <w:color w:val="000000"/>
                <w:kern w:val="0"/>
                <w:szCs w:val="24"/>
              </w:rPr>
              <w:t>100.00%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C6E" w:rsidRPr="001B7CBF" w:rsidRDefault="00A44C6E" w:rsidP="001B7CBF">
            <w:pPr>
              <w:spacing w:line="240" w:lineRule="auto"/>
              <w:jc w:val="center"/>
              <w:rPr>
                <w:b/>
                <w:bCs/>
                <w:color w:val="000000"/>
                <w:kern w:val="0"/>
                <w:szCs w:val="24"/>
              </w:rPr>
            </w:pPr>
            <w:r w:rsidRPr="001B7CBF">
              <w:rPr>
                <w:b/>
                <w:bCs/>
                <w:color w:val="000000"/>
                <w:kern w:val="0"/>
                <w:szCs w:val="24"/>
              </w:rPr>
              <w:t>100.00%</w:t>
            </w:r>
          </w:p>
        </w:tc>
        <w:tc>
          <w:tcPr>
            <w:tcW w:w="987" w:type="dxa"/>
            <w:tcBorders>
              <w:top w:val="single" w:sz="4" w:space="0" w:color="auto"/>
              <w:left w:val="single" w:sz="4" w:space="0" w:color="auto"/>
              <w:bottom w:val="single" w:sz="4" w:space="0" w:color="auto"/>
            </w:tcBorders>
            <w:shd w:val="clear" w:color="auto" w:fill="auto"/>
            <w:noWrap/>
            <w:vAlign w:val="center"/>
            <w:hideMark/>
          </w:tcPr>
          <w:p w:rsidR="00A44C6E" w:rsidRPr="001B7CBF" w:rsidRDefault="00A44C6E" w:rsidP="001B7CBF">
            <w:pPr>
              <w:spacing w:line="240" w:lineRule="auto"/>
              <w:jc w:val="center"/>
              <w:rPr>
                <w:b/>
                <w:bCs/>
                <w:color w:val="000000"/>
                <w:kern w:val="0"/>
                <w:szCs w:val="24"/>
              </w:rPr>
            </w:pPr>
            <w:r w:rsidRPr="001B7CBF">
              <w:rPr>
                <w:b/>
                <w:bCs/>
                <w:color w:val="000000"/>
                <w:kern w:val="0"/>
                <w:szCs w:val="24"/>
              </w:rPr>
              <w:t>100.00%</w:t>
            </w:r>
          </w:p>
        </w:tc>
      </w:tr>
    </w:tbl>
    <w:p w:rsidR="00A44C6E" w:rsidRDefault="00F312F3" w:rsidP="007A3414">
      <w:pPr>
        <w:pStyle w:val="Q"/>
        <w:spacing w:before="0" w:line="480" w:lineRule="auto"/>
        <w:ind w:left="720" w:hanging="720"/>
      </w:pPr>
      <w:r>
        <w:br w:type="page"/>
      </w:r>
      <w:r w:rsidR="00FD1BD5">
        <w:t>Q16.</w:t>
      </w:r>
      <w:r w:rsidR="00A44C6E">
        <w:tab/>
        <w:t xml:space="preserve">Have you estimated the impact of your recommended approach for allocating the costs collected through the </w:t>
      </w:r>
      <w:r w:rsidR="006956C5" w:rsidRPr="005F76C5">
        <w:t>DISTRIBUTION INVESTMENT RIDER</w:t>
      </w:r>
      <w:r w:rsidR="006956C5">
        <w:t xml:space="preserve">, Enhanced Service Reliability Rider, Storm Damage Recovery Rider, and the </w:t>
      </w:r>
      <w:r w:rsidR="006956C5" w:rsidRPr="00CE29FB">
        <w:t>Sustained and Skilled Workforce Rider</w:t>
      </w:r>
      <w:r w:rsidR="00A44C6E">
        <w:t>?</w:t>
      </w:r>
    </w:p>
    <w:p w:rsidR="007A3414" w:rsidRDefault="00FD1BD5" w:rsidP="00B42C16">
      <w:pPr>
        <w:pStyle w:val="A"/>
        <w:spacing w:line="480" w:lineRule="auto"/>
        <w:ind w:left="720" w:hanging="720"/>
      </w:pPr>
      <w:r>
        <w:rPr>
          <w:b/>
          <w:i/>
        </w:rPr>
        <w:t>A16.</w:t>
      </w:r>
      <w:r w:rsidR="00A44C6E">
        <w:tab/>
        <w:t xml:space="preserve">I have estimated the impact of my recommended approach for the DIR, ESRR, and SSWR, but not the SDRR, </w:t>
      </w:r>
      <w:r w:rsidR="0061049C">
        <w:t xml:space="preserve">because </w:t>
      </w:r>
      <w:r w:rsidR="00A44C6E">
        <w:t xml:space="preserve">AEP Ohio has not forecast </w:t>
      </w:r>
      <w:r w:rsidR="00BA7A53">
        <w:t>SDRR costs.</w:t>
      </w:r>
    </w:p>
    <w:p w:rsidR="00BA7A53" w:rsidRDefault="00BA7A53" w:rsidP="008D6140">
      <w:pPr>
        <w:pStyle w:val="Testimony"/>
        <w:spacing w:line="480" w:lineRule="auto"/>
        <w:ind w:left="720" w:firstLine="0"/>
      </w:pPr>
      <w:r>
        <w:t xml:space="preserve">In Attachment Wallach-2, I show for each year of the proposed ESP III the allocation to customer class of DIR, ESRR, and SSWR costs under both AEP Ohio’s proposed approach and my recommended approach. As indicated in Attachment Wallach-2, the Utility’s proposed approach would allocate to the residential class between $8.7 million and $10.8 million more per year than would be the case under my recommended approach. In other words, </w:t>
      </w:r>
      <w:r w:rsidR="00361925">
        <w:t>over the three-year term of the proposed ESP III,</w:t>
      </w:r>
      <w:r w:rsidR="0061049C">
        <w:t xml:space="preserve"> </w:t>
      </w:r>
      <w:r>
        <w:t xml:space="preserve">AEP Ohio’s proposed approach would </w:t>
      </w:r>
      <w:r w:rsidR="00361925">
        <w:t xml:space="preserve">allocate to the residential class </w:t>
      </w:r>
      <w:r>
        <w:t xml:space="preserve">about </w:t>
      </w:r>
      <w:r w:rsidR="00361925">
        <w:t>$29 million more in rider costs than would be the case if rider costs were allocated in proportion to the residential class’s contribution to such costs.</w:t>
      </w:r>
    </w:p>
    <w:p w:rsidR="007A3414" w:rsidRDefault="007A3414" w:rsidP="00FD1BD5">
      <w:pPr>
        <w:pStyle w:val="Testimony"/>
        <w:spacing w:line="480" w:lineRule="auto"/>
        <w:ind w:left="720" w:firstLine="0"/>
      </w:pPr>
    </w:p>
    <w:p w:rsidR="006A4507" w:rsidRDefault="00062257" w:rsidP="006A4507">
      <w:pPr>
        <w:spacing w:line="480" w:lineRule="auto"/>
        <w:ind w:left="720"/>
      </w:pPr>
      <w:r>
        <w:t xml:space="preserve">In Table 2, I provide </w:t>
      </w:r>
      <w:r w:rsidR="00587409">
        <w:t xml:space="preserve">for each year of the proposed ESP III the reallocation of total </w:t>
      </w:r>
      <w:r w:rsidR="00587409" w:rsidRPr="00FD1BD5">
        <w:t>costs collected through the DIR, ESRR, and SSWR that would result by substituting my recommended cost-allocation approach for AEP Ohio’s proposed approach.</w:t>
      </w:r>
    </w:p>
    <w:p w:rsidR="003017B9" w:rsidRPr="001B7CBF" w:rsidRDefault="006A4507" w:rsidP="006A4507">
      <w:pPr>
        <w:spacing w:line="480" w:lineRule="auto"/>
        <w:jc w:val="center"/>
        <w:rPr>
          <w:b/>
          <w:bCs/>
        </w:rPr>
      </w:pPr>
      <w:r>
        <w:br w:type="page"/>
      </w:r>
      <w:r w:rsidR="003017B9" w:rsidRPr="001B7CBF">
        <w:rPr>
          <w:b/>
          <w:bCs/>
        </w:rPr>
        <w:t>Table 2. Rider Cost Reallocation under OCC Allocation</w:t>
      </w:r>
      <w:r w:rsidR="00210678" w:rsidRPr="001B7CBF">
        <w:rPr>
          <w:b/>
          <w:bCs/>
        </w:rPr>
        <w:t xml:space="preserve"> Approach</w:t>
      </w:r>
    </w:p>
    <w:tbl>
      <w:tblPr>
        <w:tblW w:w="7488"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491"/>
        <w:gridCol w:w="1566"/>
        <w:gridCol w:w="1530"/>
        <w:gridCol w:w="1584"/>
      </w:tblGrid>
      <w:tr w:rsidR="00210678" w:rsidRPr="00FD1BD5" w:rsidTr="001B7CBF">
        <w:trPr>
          <w:trHeight w:val="602"/>
          <w:jc w:val="center"/>
        </w:trPr>
        <w:tc>
          <w:tcPr>
            <w:tcW w:w="1317" w:type="dxa"/>
            <w:shd w:val="clear" w:color="auto" w:fill="auto"/>
            <w:noWrap/>
            <w:vAlign w:val="center"/>
            <w:hideMark/>
          </w:tcPr>
          <w:p w:rsidR="00210678" w:rsidRPr="00FD1BD5" w:rsidRDefault="00210678" w:rsidP="001B7CBF">
            <w:pPr>
              <w:spacing w:line="240" w:lineRule="auto"/>
            </w:pPr>
          </w:p>
        </w:tc>
        <w:tc>
          <w:tcPr>
            <w:tcW w:w="1491" w:type="dxa"/>
            <w:shd w:val="clear" w:color="auto" w:fill="auto"/>
            <w:noWrap/>
            <w:vAlign w:val="center"/>
            <w:hideMark/>
          </w:tcPr>
          <w:p w:rsidR="00210678" w:rsidRPr="001B7CBF" w:rsidRDefault="00210678" w:rsidP="001B7CBF">
            <w:pPr>
              <w:spacing w:line="240" w:lineRule="auto"/>
              <w:jc w:val="center"/>
              <w:rPr>
                <w:b/>
                <w:bCs/>
              </w:rPr>
            </w:pPr>
            <w:r w:rsidRPr="001B7CBF">
              <w:rPr>
                <w:b/>
                <w:bCs/>
              </w:rPr>
              <w:t>June, 2015 – May, 2016</w:t>
            </w:r>
          </w:p>
        </w:tc>
        <w:tc>
          <w:tcPr>
            <w:tcW w:w="1566" w:type="dxa"/>
            <w:shd w:val="clear" w:color="auto" w:fill="auto"/>
            <w:noWrap/>
            <w:vAlign w:val="center"/>
            <w:hideMark/>
          </w:tcPr>
          <w:p w:rsidR="00210678" w:rsidRPr="001B7CBF" w:rsidRDefault="00210678" w:rsidP="001B7CBF">
            <w:pPr>
              <w:spacing w:line="240" w:lineRule="auto"/>
              <w:jc w:val="center"/>
              <w:rPr>
                <w:b/>
                <w:bCs/>
              </w:rPr>
            </w:pPr>
            <w:r w:rsidRPr="001B7CBF">
              <w:rPr>
                <w:b/>
                <w:bCs/>
              </w:rPr>
              <w:t>June, 2016 – May, 2017</w:t>
            </w:r>
          </w:p>
        </w:tc>
        <w:tc>
          <w:tcPr>
            <w:tcW w:w="1530" w:type="dxa"/>
            <w:shd w:val="clear" w:color="auto" w:fill="auto"/>
            <w:noWrap/>
            <w:vAlign w:val="center"/>
            <w:hideMark/>
          </w:tcPr>
          <w:p w:rsidR="00210678" w:rsidRPr="001B7CBF" w:rsidRDefault="00210678" w:rsidP="001B7CBF">
            <w:pPr>
              <w:spacing w:line="240" w:lineRule="auto"/>
              <w:jc w:val="center"/>
              <w:rPr>
                <w:b/>
                <w:bCs/>
              </w:rPr>
            </w:pPr>
            <w:r w:rsidRPr="001B7CBF">
              <w:rPr>
                <w:b/>
                <w:bCs/>
              </w:rPr>
              <w:t>June, 2017 – May, 2018</w:t>
            </w:r>
          </w:p>
        </w:tc>
        <w:tc>
          <w:tcPr>
            <w:tcW w:w="1584" w:type="dxa"/>
            <w:shd w:val="clear" w:color="auto" w:fill="auto"/>
            <w:noWrap/>
            <w:vAlign w:val="center"/>
            <w:hideMark/>
          </w:tcPr>
          <w:p w:rsidR="00210678" w:rsidRPr="001B7CBF" w:rsidRDefault="00210678" w:rsidP="001B7CBF">
            <w:pPr>
              <w:spacing w:line="240" w:lineRule="auto"/>
              <w:jc w:val="center"/>
              <w:rPr>
                <w:b/>
                <w:bCs/>
              </w:rPr>
            </w:pPr>
            <w:r w:rsidRPr="001B7CBF">
              <w:rPr>
                <w:b/>
                <w:bCs/>
              </w:rPr>
              <w:t>Total</w:t>
            </w:r>
          </w:p>
        </w:tc>
      </w:tr>
      <w:tr w:rsidR="00210678" w:rsidRPr="005E2803" w:rsidTr="001B7CBF">
        <w:trPr>
          <w:trHeight w:val="317"/>
          <w:jc w:val="center"/>
        </w:trPr>
        <w:tc>
          <w:tcPr>
            <w:tcW w:w="1317" w:type="dxa"/>
            <w:shd w:val="clear" w:color="auto" w:fill="auto"/>
            <w:noWrap/>
            <w:vAlign w:val="center"/>
            <w:hideMark/>
          </w:tcPr>
          <w:p w:rsidR="00210678" w:rsidRPr="005E2803" w:rsidRDefault="00210678" w:rsidP="001B7CBF">
            <w:pPr>
              <w:spacing w:line="240" w:lineRule="auto"/>
              <w:rPr>
                <w:color w:val="000000"/>
                <w:kern w:val="0"/>
                <w:sz w:val="18"/>
                <w:szCs w:val="18"/>
              </w:rPr>
            </w:pPr>
            <w:r w:rsidRPr="005E2803">
              <w:rPr>
                <w:color w:val="000000"/>
                <w:kern w:val="0"/>
                <w:sz w:val="18"/>
                <w:szCs w:val="18"/>
              </w:rPr>
              <w:t>RS</w:t>
            </w:r>
          </w:p>
        </w:tc>
        <w:tc>
          <w:tcPr>
            <w:tcW w:w="1491"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(8,745,684)</w:t>
            </w:r>
          </w:p>
        </w:tc>
        <w:tc>
          <w:tcPr>
            <w:tcW w:w="1566"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(9,620,497)</w:t>
            </w:r>
          </w:p>
        </w:tc>
        <w:tc>
          <w:tcPr>
            <w:tcW w:w="1530"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(10,774,811)</w:t>
            </w:r>
          </w:p>
        </w:tc>
        <w:tc>
          <w:tcPr>
            <w:tcW w:w="1584"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(29,140,992)</w:t>
            </w:r>
          </w:p>
        </w:tc>
      </w:tr>
      <w:tr w:rsidR="00210678" w:rsidRPr="005E2803" w:rsidTr="001B7CBF">
        <w:trPr>
          <w:trHeight w:val="317"/>
          <w:jc w:val="center"/>
        </w:trPr>
        <w:tc>
          <w:tcPr>
            <w:tcW w:w="1317" w:type="dxa"/>
            <w:shd w:val="clear" w:color="auto" w:fill="auto"/>
            <w:noWrap/>
            <w:vAlign w:val="center"/>
            <w:hideMark/>
          </w:tcPr>
          <w:p w:rsidR="00210678" w:rsidRPr="005E2803" w:rsidRDefault="00210678" w:rsidP="001B7CBF">
            <w:pPr>
              <w:spacing w:line="240" w:lineRule="auto"/>
              <w:rPr>
                <w:color w:val="000000"/>
                <w:kern w:val="0"/>
                <w:sz w:val="18"/>
                <w:szCs w:val="18"/>
              </w:rPr>
            </w:pPr>
            <w:r w:rsidRPr="005E2803">
              <w:rPr>
                <w:color w:val="000000"/>
                <w:kern w:val="0"/>
                <w:sz w:val="18"/>
                <w:szCs w:val="18"/>
              </w:rPr>
              <w:t>GS-1</w:t>
            </w:r>
          </w:p>
        </w:tc>
        <w:tc>
          <w:tcPr>
            <w:tcW w:w="1491"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(529,785)</w:t>
            </w:r>
          </w:p>
        </w:tc>
        <w:tc>
          <w:tcPr>
            <w:tcW w:w="1566"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(582,034)</w:t>
            </w:r>
          </w:p>
        </w:tc>
        <w:tc>
          <w:tcPr>
            <w:tcW w:w="1530"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(648,642)</w:t>
            </w:r>
          </w:p>
        </w:tc>
        <w:tc>
          <w:tcPr>
            <w:tcW w:w="1584"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(1,760,461)</w:t>
            </w:r>
          </w:p>
        </w:tc>
      </w:tr>
      <w:tr w:rsidR="00210678" w:rsidRPr="005E2803" w:rsidTr="001B7CBF">
        <w:trPr>
          <w:trHeight w:val="317"/>
          <w:jc w:val="center"/>
        </w:trPr>
        <w:tc>
          <w:tcPr>
            <w:tcW w:w="1317" w:type="dxa"/>
            <w:shd w:val="clear" w:color="auto" w:fill="auto"/>
            <w:noWrap/>
            <w:vAlign w:val="center"/>
            <w:hideMark/>
          </w:tcPr>
          <w:p w:rsidR="00210678" w:rsidRPr="005E2803" w:rsidRDefault="00210678" w:rsidP="001B7CBF">
            <w:pPr>
              <w:spacing w:line="240" w:lineRule="auto"/>
              <w:rPr>
                <w:color w:val="000000"/>
                <w:kern w:val="0"/>
                <w:sz w:val="18"/>
                <w:szCs w:val="18"/>
              </w:rPr>
            </w:pPr>
            <w:r w:rsidRPr="005E2803">
              <w:rPr>
                <w:color w:val="000000"/>
                <w:kern w:val="0"/>
                <w:sz w:val="18"/>
                <w:szCs w:val="18"/>
              </w:rPr>
              <w:t>GS-2</w:t>
            </w:r>
          </w:p>
        </w:tc>
        <w:tc>
          <w:tcPr>
            <w:tcW w:w="1491"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(2,183,224)</w:t>
            </w:r>
          </w:p>
        </w:tc>
        <w:tc>
          <w:tcPr>
            <w:tcW w:w="1566"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(2,420,232)</w:t>
            </w:r>
          </w:p>
        </w:tc>
        <w:tc>
          <w:tcPr>
            <w:tcW w:w="1530"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(2,741,146)</w:t>
            </w:r>
          </w:p>
        </w:tc>
        <w:tc>
          <w:tcPr>
            <w:tcW w:w="1584"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(7,344,602)</w:t>
            </w:r>
          </w:p>
        </w:tc>
      </w:tr>
      <w:tr w:rsidR="00210678" w:rsidRPr="005E2803" w:rsidTr="001B7CBF">
        <w:trPr>
          <w:trHeight w:val="317"/>
          <w:jc w:val="center"/>
        </w:trPr>
        <w:tc>
          <w:tcPr>
            <w:tcW w:w="1317" w:type="dxa"/>
            <w:shd w:val="clear" w:color="auto" w:fill="auto"/>
            <w:noWrap/>
            <w:vAlign w:val="center"/>
            <w:hideMark/>
          </w:tcPr>
          <w:p w:rsidR="00210678" w:rsidRPr="005E2803" w:rsidRDefault="00210678" w:rsidP="001B7CBF">
            <w:pPr>
              <w:spacing w:line="240" w:lineRule="auto"/>
              <w:rPr>
                <w:color w:val="000000"/>
                <w:kern w:val="0"/>
                <w:sz w:val="18"/>
                <w:szCs w:val="18"/>
              </w:rPr>
            </w:pPr>
            <w:r w:rsidRPr="005E2803">
              <w:rPr>
                <w:color w:val="000000"/>
                <w:kern w:val="0"/>
                <w:sz w:val="18"/>
                <w:szCs w:val="18"/>
              </w:rPr>
              <w:t>GS-3</w:t>
            </w:r>
          </w:p>
        </w:tc>
        <w:tc>
          <w:tcPr>
            <w:tcW w:w="1491"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9,306,807</w:t>
            </w:r>
          </w:p>
        </w:tc>
        <w:tc>
          <w:tcPr>
            <w:tcW w:w="1566"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10,256,546</w:t>
            </w:r>
          </w:p>
        </w:tc>
        <w:tc>
          <w:tcPr>
            <w:tcW w:w="1530"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11,515,031</w:t>
            </w:r>
          </w:p>
        </w:tc>
        <w:tc>
          <w:tcPr>
            <w:tcW w:w="1584"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31,078,384</w:t>
            </w:r>
          </w:p>
        </w:tc>
      </w:tr>
      <w:tr w:rsidR="00210678" w:rsidRPr="005E2803" w:rsidTr="001B7CBF">
        <w:trPr>
          <w:trHeight w:val="317"/>
          <w:jc w:val="center"/>
        </w:trPr>
        <w:tc>
          <w:tcPr>
            <w:tcW w:w="1317" w:type="dxa"/>
            <w:shd w:val="clear" w:color="auto" w:fill="auto"/>
            <w:noWrap/>
            <w:vAlign w:val="center"/>
            <w:hideMark/>
          </w:tcPr>
          <w:p w:rsidR="00210678" w:rsidRPr="005E2803" w:rsidRDefault="00210678" w:rsidP="001B7CBF">
            <w:pPr>
              <w:spacing w:line="240" w:lineRule="auto"/>
              <w:rPr>
                <w:color w:val="000000"/>
                <w:kern w:val="0"/>
                <w:sz w:val="18"/>
                <w:szCs w:val="18"/>
              </w:rPr>
            </w:pPr>
            <w:r w:rsidRPr="005E2803">
              <w:rPr>
                <w:color w:val="000000"/>
                <w:kern w:val="0"/>
                <w:sz w:val="18"/>
                <w:szCs w:val="18"/>
              </w:rPr>
              <w:t>GS-4</w:t>
            </w:r>
          </w:p>
        </w:tc>
        <w:tc>
          <w:tcPr>
            <w:tcW w:w="1491"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(222,517)</w:t>
            </w:r>
          </w:p>
        </w:tc>
        <w:tc>
          <w:tcPr>
            <w:tcW w:w="1566"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(246,193)</w:t>
            </w:r>
          </w:p>
        </w:tc>
        <w:tc>
          <w:tcPr>
            <w:tcW w:w="1530"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(278,067)</w:t>
            </w:r>
          </w:p>
        </w:tc>
        <w:tc>
          <w:tcPr>
            <w:tcW w:w="1584"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(746,776)</w:t>
            </w:r>
          </w:p>
        </w:tc>
      </w:tr>
      <w:tr w:rsidR="00210678" w:rsidRPr="005E2803" w:rsidTr="001B7CBF">
        <w:trPr>
          <w:trHeight w:val="317"/>
          <w:jc w:val="center"/>
        </w:trPr>
        <w:tc>
          <w:tcPr>
            <w:tcW w:w="1317" w:type="dxa"/>
            <w:shd w:val="clear" w:color="auto" w:fill="auto"/>
            <w:noWrap/>
            <w:vAlign w:val="center"/>
            <w:hideMark/>
          </w:tcPr>
          <w:p w:rsidR="00210678" w:rsidRPr="005E2803" w:rsidRDefault="00210678" w:rsidP="001B7CBF">
            <w:pPr>
              <w:spacing w:line="240" w:lineRule="auto"/>
              <w:rPr>
                <w:color w:val="000000"/>
                <w:kern w:val="0"/>
                <w:sz w:val="18"/>
                <w:szCs w:val="18"/>
              </w:rPr>
            </w:pPr>
            <w:r w:rsidRPr="005E2803">
              <w:rPr>
                <w:color w:val="000000"/>
                <w:kern w:val="0"/>
                <w:sz w:val="18"/>
                <w:szCs w:val="18"/>
              </w:rPr>
              <w:t>EHG/EHS/SS</w:t>
            </w:r>
          </w:p>
        </w:tc>
        <w:tc>
          <w:tcPr>
            <w:tcW w:w="1491"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166,473</w:t>
            </w:r>
          </w:p>
        </w:tc>
        <w:tc>
          <w:tcPr>
            <w:tcW w:w="1566"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182,913</w:t>
            </w:r>
          </w:p>
        </w:tc>
        <w:tc>
          <w:tcPr>
            <w:tcW w:w="1530"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205,253</w:t>
            </w:r>
          </w:p>
        </w:tc>
        <w:tc>
          <w:tcPr>
            <w:tcW w:w="1584"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554,638</w:t>
            </w:r>
          </w:p>
        </w:tc>
      </w:tr>
      <w:tr w:rsidR="00210678" w:rsidRPr="005E2803" w:rsidTr="001B7CBF">
        <w:trPr>
          <w:trHeight w:val="317"/>
          <w:jc w:val="center"/>
        </w:trPr>
        <w:tc>
          <w:tcPr>
            <w:tcW w:w="1317" w:type="dxa"/>
            <w:shd w:val="clear" w:color="auto" w:fill="auto"/>
            <w:noWrap/>
            <w:vAlign w:val="center"/>
            <w:hideMark/>
          </w:tcPr>
          <w:p w:rsidR="00210678" w:rsidRPr="005E2803" w:rsidRDefault="00210678" w:rsidP="001B7CBF">
            <w:pPr>
              <w:spacing w:line="240" w:lineRule="auto"/>
              <w:rPr>
                <w:color w:val="000000"/>
                <w:kern w:val="0"/>
                <w:sz w:val="18"/>
                <w:szCs w:val="18"/>
              </w:rPr>
            </w:pPr>
            <w:r w:rsidRPr="005E2803">
              <w:rPr>
                <w:color w:val="000000"/>
                <w:kern w:val="0"/>
                <w:sz w:val="18"/>
                <w:szCs w:val="18"/>
              </w:rPr>
              <w:t>Lighting</w:t>
            </w:r>
          </w:p>
        </w:tc>
        <w:tc>
          <w:tcPr>
            <w:tcW w:w="1491"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2,207,929</w:t>
            </w:r>
          </w:p>
        </w:tc>
        <w:tc>
          <w:tcPr>
            <w:tcW w:w="1566"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2,429,497</w:t>
            </w:r>
          </w:p>
        </w:tc>
        <w:tc>
          <w:tcPr>
            <w:tcW w:w="1530"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2,722,382</w:t>
            </w:r>
          </w:p>
        </w:tc>
        <w:tc>
          <w:tcPr>
            <w:tcW w:w="1584" w:type="dxa"/>
            <w:shd w:val="clear" w:color="auto" w:fill="auto"/>
            <w:noWrap/>
            <w:vAlign w:val="center"/>
            <w:hideMark/>
          </w:tcPr>
          <w:p w:rsidR="00210678" w:rsidRPr="005E2803" w:rsidRDefault="00210678" w:rsidP="001B7CBF">
            <w:pPr>
              <w:spacing w:line="240" w:lineRule="auto"/>
              <w:jc w:val="center"/>
              <w:rPr>
                <w:color w:val="000000"/>
                <w:kern w:val="0"/>
                <w:sz w:val="18"/>
                <w:szCs w:val="18"/>
              </w:rPr>
            </w:pPr>
            <w:r w:rsidRPr="005E2803">
              <w:rPr>
                <w:color w:val="000000"/>
                <w:kern w:val="0"/>
                <w:sz w:val="18"/>
                <w:szCs w:val="18"/>
              </w:rPr>
              <w:t>7,359,809</w:t>
            </w:r>
          </w:p>
        </w:tc>
      </w:tr>
    </w:tbl>
    <w:p w:rsidR="00DD6270" w:rsidRDefault="00FD1BD5" w:rsidP="007A3414">
      <w:pPr>
        <w:pStyle w:val="Q"/>
        <w:ind w:left="720" w:hanging="720"/>
      </w:pPr>
      <w:r>
        <w:t>Q17.</w:t>
      </w:r>
      <w:r w:rsidR="00DD6270">
        <w:tab/>
        <w:t>Does this complete your direct testimony?</w:t>
      </w:r>
    </w:p>
    <w:p w:rsidR="00A33EB9" w:rsidRDefault="00FD1BD5" w:rsidP="008A5CDB">
      <w:pPr>
        <w:pStyle w:val="A"/>
        <w:ind w:left="720" w:hanging="720"/>
      </w:pPr>
      <w:r>
        <w:rPr>
          <w:b/>
          <w:i/>
        </w:rPr>
        <w:t>A17.</w:t>
      </w:r>
      <w:r w:rsidR="00DD6270">
        <w:tab/>
        <w:t>Yes.</w:t>
      </w:r>
      <w:r w:rsidR="008D6140">
        <w:t xml:space="preserve"> </w:t>
      </w:r>
      <w:r w:rsidR="00DD6270">
        <w:t xml:space="preserve"> However, I reserve the right to incorporate new information or supplement my testimony with information that may subsequently be made available to OCC.</w:t>
      </w:r>
    </w:p>
    <w:p w:rsidR="00A33EB9" w:rsidRDefault="00A33EB9" w:rsidP="00A33EB9">
      <w:pPr>
        <w:pStyle w:val="Testimony"/>
      </w:pPr>
    </w:p>
    <w:p w:rsidR="006A4507" w:rsidRDefault="006A4507" w:rsidP="00A33EB9">
      <w:pPr>
        <w:pStyle w:val="Testimony"/>
        <w:sectPr w:rsidR="006A4507" w:rsidSect="00D7274E">
          <w:footerReference w:type="default" r:id="rId15"/>
          <w:pgSz w:w="12240" w:h="15840" w:code="1"/>
          <w:pgMar w:top="1440" w:right="1800" w:bottom="1440" w:left="1800" w:header="720" w:footer="936" w:gutter="0"/>
          <w:lnNumType w:countBy="1"/>
          <w:pgNumType w:start="1"/>
          <w:cols w:space="720"/>
          <w:docGrid w:linePitch="326"/>
        </w:sectPr>
      </w:pPr>
    </w:p>
    <w:p w:rsidR="008A5CDB" w:rsidRDefault="008A5CDB" w:rsidP="008A5CDB">
      <w:pPr>
        <w:spacing w:line="240" w:lineRule="auto"/>
        <w:ind w:right="-90"/>
        <w:jc w:val="center"/>
        <w:rPr>
          <w:b/>
          <w:u w:val="single"/>
        </w:rPr>
      </w:pPr>
      <w:r>
        <w:rPr>
          <w:b/>
          <w:u w:val="single"/>
        </w:rPr>
        <w:t>CERTIFICATE OF SERVICE</w:t>
      </w:r>
    </w:p>
    <w:p w:rsidR="008A5CDB" w:rsidRDefault="008A5CDB" w:rsidP="008A5CDB">
      <w:pPr>
        <w:spacing w:line="240" w:lineRule="auto"/>
        <w:ind w:right="-90"/>
        <w:jc w:val="center"/>
      </w:pPr>
    </w:p>
    <w:p w:rsidR="008A5CDB" w:rsidRDefault="008A5CDB" w:rsidP="008A5CDB">
      <w:pPr>
        <w:suppressAutoHyphens/>
        <w:spacing w:line="480" w:lineRule="auto"/>
        <w:ind w:right="-90" w:firstLine="720"/>
        <w:rPr>
          <w:bCs/>
          <w:spacing w:val="-3"/>
        </w:rPr>
      </w:pPr>
      <w:r>
        <w:rPr>
          <w:bCs/>
          <w:spacing w:val="-3"/>
        </w:rPr>
        <w:t xml:space="preserve">It is hereby certified that a true copy of the foregoing </w:t>
      </w:r>
      <w:r>
        <w:rPr>
          <w:bCs/>
          <w:i/>
          <w:spacing w:val="-3"/>
        </w:rPr>
        <w:t>Direct Testimony of</w:t>
      </w:r>
      <w:r w:rsidRPr="006A4507">
        <w:rPr>
          <w:bCs/>
          <w:i/>
          <w:spacing w:val="-3"/>
        </w:rPr>
        <w:t xml:space="preserve"> </w:t>
      </w:r>
      <w:r>
        <w:rPr>
          <w:bCs/>
          <w:i/>
          <w:spacing w:val="-3"/>
        </w:rPr>
        <w:t xml:space="preserve">Jonathan Wallach on Behalf of The </w:t>
      </w:r>
      <w:r>
        <w:rPr>
          <w:bCs/>
          <w:i/>
          <w:iCs/>
          <w:spacing w:val="-3"/>
        </w:rPr>
        <w:t>Ohio Consumers’ Counsel</w:t>
      </w:r>
      <w:r>
        <w:rPr>
          <w:bCs/>
          <w:spacing w:val="-3"/>
        </w:rPr>
        <w:t xml:space="preserve"> was served via electronic transmission this 6</w:t>
      </w:r>
      <w:r>
        <w:rPr>
          <w:bCs/>
          <w:spacing w:val="-3"/>
          <w:u w:val="single"/>
          <w:vertAlign w:val="superscript"/>
        </w:rPr>
        <w:t>th</w:t>
      </w:r>
      <w:r>
        <w:rPr>
          <w:bCs/>
          <w:spacing w:val="-3"/>
        </w:rPr>
        <w:t xml:space="preserve"> day of May, 2014.</w:t>
      </w:r>
    </w:p>
    <w:p w:rsidR="008A5CDB" w:rsidRDefault="008A5CDB" w:rsidP="008A5CDB">
      <w:pPr>
        <w:pStyle w:val="EndnoteText"/>
        <w:widowControl/>
        <w:tabs>
          <w:tab w:val="left" w:pos="-720"/>
        </w:tabs>
        <w:suppressAutoHyphens/>
        <w:ind w:right="-90"/>
        <w:rPr>
          <w:rFonts w:ascii="Times New Roman" w:hAnsi="Times New Roman"/>
          <w:bCs/>
          <w:spacing w:val="-3"/>
          <w:szCs w:val="24"/>
        </w:rPr>
      </w:pPr>
    </w:p>
    <w:p w:rsidR="008A5CDB" w:rsidRDefault="008A5CDB" w:rsidP="008A5CDB">
      <w:pPr>
        <w:tabs>
          <w:tab w:val="left" w:pos="4320"/>
        </w:tabs>
        <w:spacing w:line="240" w:lineRule="auto"/>
        <w:ind w:right="-90"/>
        <w:rPr>
          <w:rFonts w:eastAsia="Calibri"/>
          <w:i/>
          <w:iCs/>
          <w:u w:val="single"/>
        </w:rPr>
      </w:pPr>
      <w:r>
        <w:rPr>
          <w:rFonts w:eastAsia="Calibri"/>
          <w:i/>
          <w:iCs/>
        </w:rPr>
        <w:tab/>
        <w:t xml:space="preserve"> </w:t>
      </w:r>
      <w:r>
        <w:rPr>
          <w:rFonts w:eastAsia="Calibri"/>
          <w:i/>
          <w:iCs/>
          <w:u w:val="single"/>
        </w:rPr>
        <w:t>/s/ Maureen R. Grady</w:t>
      </w:r>
      <w:r>
        <w:rPr>
          <w:rFonts w:eastAsia="Calibri"/>
          <w:i/>
          <w:iCs/>
          <w:u w:val="single"/>
        </w:rPr>
        <w:tab/>
      </w:r>
      <w:r>
        <w:rPr>
          <w:rFonts w:eastAsia="Calibri"/>
          <w:i/>
          <w:iCs/>
          <w:u w:val="single"/>
        </w:rPr>
        <w:tab/>
      </w:r>
    </w:p>
    <w:p w:rsidR="008A5CDB" w:rsidRDefault="008A5CDB" w:rsidP="008A5CDB">
      <w:pPr>
        <w:pStyle w:val="EndnoteText"/>
        <w:widowControl/>
        <w:ind w:right="-90"/>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Maureen R. Grady</w:t>
      </w:r>
    </w:p>
    <w:p w:rsidR="008A5CDB" w:rsidRDefault="008A5CDB" w:rsidP="008A5CDB">
      <w:pPr>
        <w:pStyle w:val="EndnoteText"/>
        <w:widowControl/>
        <w:ind w:right="-90"/>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Assistant Consumers’ Counsel</w:t>
      </w:r>
    </w:p>
    <w:p w:rsidR="008A5CDB" w:rsidRDefault="008A5CDB" w:rsidP="008A5CDB">
      <w:pPr>
        <w:pStyle w:val="EndnoteText"/>
        <w:widowControl/>
        <w:ind w:right="-90"/>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rsidR="008A5CDB" w:rsidRDefault="006A4507" w:rsidP="008A5CDB">
      <w:pPr>
        <w:pStyle w:val="EndnoteText"/>
        <w:widowControl/>
        <w:ind w:right="-90"/>
        <w:jc w:val="center"/>
        <w:rPr>
          <w:rFonts w:ascii="Times New Roman" w:hAnsi="Times New Roman"/>
          <w:b/>
          <w:bCs/>
          <w:szCs w:val="24"/>
        </w:rPr>
      </w:pPr>
      <w:r>
        <w:rPr>
          <w:rFonts w:ascii="Times New Roman" w:hAnsi="Times New Roman"/>
          <w:b/>
          <w:bCs/>
          <w:szCs w:val="24"/>
        </w:rPr>
        <w:t>SERVICE LIST</w:t>
      </w:r>
    </w:p>
    <w:p w:rsidR="006A4507" w:rsidRDefault="006A4507" w:rsidP="008A5CDB">
      <w:pPr>
        <w:pStyle w:val="EndnoteText"/>
        <w:widowControl/>
        <w:ind w:right="-90"/>
        <w:jc w:val="center"/>
        <w:rPr>
          <w:rFonts w:ascii="Times New Roman" w:hAnsi="Times New Roman"/>
          <w:b/>
          <w:bCs/>
          <w:szCs w:val="24"/>
        </w:rPr>
      </w:pPr>
    </w:p>
    <w:tbl>
      <w:tblPr>
        <w:tblW w:w="0" w:type="auto"/>
        <w:tblLook w:val="01E0" w:firstRow="1" w:lastRow="1" w:firstColumn="1" w:lastColumn="1" w:noHBand="0" w:noVBand="0"/>
      </w:tblPr>
      <w:tblGrid>
        <w:gridCol w:w="4428"/>
        <w:gridCol w:w="4428"/>
      </w:tblGrid>
      <w:tr w:rsidR="006A4507" w:rsidRPr="00B671C0" w:rsidTr="005B0894">
        <w:tc>
          <w:tcPr>
            <w:tcW w:w="4428" w:type="dxa"/>
          </w:tcPr>
          <w:p w:rsidR="006A4507" w:rsidRPr="00B671C0" w:rsidRDefault="006A4507" w:rsidP="006A4507">
            <w:pPr>
              <w:autoSpaceDE w:val="0"/>
              <w:autoSpaceDN w:val="0"/>
              <w:adjustRightInd w:val="0"/>
              <w:spacing w:line="240" w:lineRule="auto"/>
              <w:rPr>
                <w:rFonts w:eastAsia="Calibri"/>
                <w:bCs/>
                <w:szCs w:val="24"/>
              </w:rPr>
            </w:pPr>
            <w:r w:rsidRPr="00B671C0">
              <w:rPr>
                <w:rFonts w:eastAsia="Calibri"/>
                <w:bCs/>
                <w:color w:val="0000FF"/>
                <w:szCs w:val="24"/>
                <w:u w:val="single"/>
              </w:rPr>
              <w:t>Devin.parram@puc.state.oh.us</w:t>
            </w:r>
          </w:p>
          <w:p w:rsidR="006A4507" w:rsidRPr="00B671C0" w:rsidRDefault="006A4507" w:rsidP="006A4507">
            <w:pPr>
              <w:autoSpaceDE w:val="0"/>
              <w:autoSpaceDN w:val="0"/>
              <w:adjustRightInd w:val="0"/>
              <w:spacing w:line="240" w:lineRule="auto"/>
              <w:rPr>
                <w:rFonts w:eastAsia="Calibri"/>
                <w:bCs/>
                <w:szCs w:val="24"/>
              </w:rPr>
            </w:pPr>
            <w:r w:rsidRPr="00B671C0">
              <w:rPr>
                <w:rFonts w:eastAsia="Calibri"/>
                <w:bCs/>
                <w:color w:val="0000FF"/>
                <w:szCs w:val="24"/>
                <w:u w:val="single"/>
              </w:rPr>
              <w:t>Katie.johnson@puc.state.oh.us</w:t>
            </w:r>
          </w:p>
          <w:p w:rsidR="006A4507" w:rsidRPr="00B671C0" w:rsidRDefault="006A4507" w:rsidP="006A4507">
            <w:pPr>
              <w:autoSpaceDE w:val="0"/>
              <w:autoSpaceDN w:val="0"/>
              <w:adjustRightInd w:val="0"/>
              <w:spacing w:line="240" w:lineRule="auto"/>
              <w:rPr>
                <w:rFonts w:eastAsia="Calibri"/>
                <w:bCs/>
                <w:szCs w:val="24"/>
              </w:rPr>
            </w:pPr>
            <w:r w:rsidRPr="00B671C0">
              <w:rPr>
                <w:rFonts w:eastAsia="Calibri"/>
                <w:bCs/>
                <w:color w:val="0000FF"/>
                <w:szCs w:val="24"/>
                <w:u w:val="single"/>
              </w:rPr>
              <w:t>Werner.margard@puc.state.oh.us</w:t>
            </w:r>
          </w:p>
          <w:p w:rsidR="006A4507" w:rsidRPr="00B671C0" w:rsidRDefault="006A4507" w:rsidP="006A4507">
            <w:pPr>
              <w:autoSpaceDE w:val="0"/>
              <w:autoSpaceDN w:val="0"/>
              <w:adjustRightInd w:val="0"/>
              <w:spacing w:line="240" w:lineRule="auto"/>
              <w:rPr>
                <w:rFonts w:eastAsia="Calibri"/>
                <w:szCs w:val="24"/>
              </w:rPr>
            </w:pPr>
            <w:r w:rsidRPr="00B671C0">
              <w:rPr>
                <w:rFonts w:eastAsia="Calibri"/>
                <w:color w:val="0000FF"/>
                <w:szCs w:val="24"/>
                <w:u w:val="single"/>
              </w:rPr>
              <w:t>sam@mwncmh.com</w:t>
            </w:r>
          </w:p>
          <w:p w:rsidR="006A4507" w:rsidRPr="00B671C0" w:rsidRDefault="006A4507" w:rsidP="006A4507">
            <w:pPr>
              <w:autoSpaceDE w:val="0"/>
              <w:autoSpaceDN w:val="0"/>
              <w:adjustRightInd w:val="0"/>
              <w:spacing w:line="240" w:lineRule="auto"/>
              <w:rPr>
                <w:rFonts w:eastAsia="Calibri"/>
                <w:szCs w:val="24"/>
              </w:rPr>
            </w:pPr>
            <w:r w:rsidRPr="00B671C0">
              <w:rPr>
                <w:rFonts w:eastAsia="Calibri"/>
                <w:color w:val="0000FF"/>
                <w:szCs w:val="24"/>
                <w:u w:val="single"/>
              </w:rPr>
              <w:t>fdarr@mwncmh.com</w:t>
            </w:r>
          </w:p>
          <w:p w:rsidR="006A4507" w:rsidRPr="00B671C0" w:rsidRDefault="006A4507" w:rsidP="006A4507">
            <w:pPr>
              <w:autoSpaceDE w:val="0"/>
              <w:autoSpaceDN w:val="0"/>
              <w:adjustRightInd w:val="0"/>
              <w:spacing w:line="240" w:lineRule="auto"/>
              <w:rPr>
                <w:rFonts w:eastAsia="Calibri"/>
                <w:szCs w:val="24"/>
              </w:rPr>
            </w:pPr>
            <w:r w:rsidRPr="00B671C0">
              <w:rPr>
                <w:rFonts w:eastAsia="Calibri"/>
                <w:color w:val="0000FF"/>
                <w:szCs w:val="24"/>
                <w:u w:val="single"/>
              </w:rPr>
              <w:t>mpritchard@mwncmh.com</w:t>
            </w:r>
          </w:p>
          <w:p w:rsidR="006A4507" w:rsidRPr="00B671C0" w:rsidRDefault="006A4507" w:rsidP="006A4507">
            <w:pPr>
              <w:autoSpaceDE w:val="0"/>
              <w:autoSpaceDN w:val="0"/>
              <w:adjustRightInd w:val="0"/>
              <w:spacing w:line="240" w:lineRule="auto"/>
              <w:rPr>
                <w:rFonts w:eastAsia="Calibri"/>
                <w:color w:val="0000FF"/>
                <w:szCs w:val="24"/>
              </w:rPr>
            </w:pPr>
            <w:r w:rsidRPr="00B671C0">
              <w:rPr>
                <w:rFonts w:eastAsia="Calibri"/>
                <w:color w:val="0000FF"/>
                <w:szCs w:val="24"/>
                <w:u w:val="single"/>
              </w:rPr>
              <w:t>Philip.Sineneng@ThompsonHine.com</w:t>
            </w:r>
          </w:p>
          <w:p w:rsidR="006A4507" w:rsidRPr="00B671C0" w:rsidRDefault="006A4507" w:rsidP="006A4507">
            <w:pPr>
              <w:autoSpaceDE w:val="0"/>
              <w:autoSpaceDN w:val="0"/>
              <w:adjustRightInd w:val="0"/>
              <w:spacing w:line="240" w:lineRule="auto"/>
              <w:rPr>
                <w:rFonts w:eastAsia="Calibri"/>
                <w:color w:val="0000FF"/>
                <w:szCs w:val="24"/>
              </w:rPr>
            </w:pPr>
            <w:r w:rsidRPr="00B671C0">
              <w:rPr>
                <w:rFonts w:eastAsia="Calibri"/>
                <w:color w:val="0000FF"/>
                <w:szCs w:val="24"/>
                <w:u w:val="single"/>
              </w:rPr>
              <w:t>ricks@ohanet.org</w:t>
            </w:r>
          </w:p>
          <w:p w:rsidR="006A4507" w:rsidRPr="00B671C0" w:rsidRDefault="006A4507" w:rsidP="006A4507">
            <w:pPr>
              <w:autoSpaceDE w:val="0"/>
              <w:autoSpaceDN w:val="0"/>
              <w:adjustRightInd w:val="0"/>
              <w:spacing w:line="240" w:lineRule="auto"/>
              <w:rPr>
                <w:rFonts w:eastAsia="Calibri"/>
                <w:color w:val="0000FF"/>
                <w:szCs w:val="24"/>
              </w:rPr>
            </w:pPr>
            <w:r w:rsidRPr="00B671C0">
              <w:rPr>
                <w:rFonts w:eastAsia="Calibri"/>
                <w:color w:val="0000FF"/>
                <w:szCs w:val="24"/>
                <w:u w:val="single"/>
              </w:rPr>
              <w:t>tobrien@bricker.com</w:t>
            </w:r>
          </w:p>
          <w:p w:rsidR="006A4507" w:rsidRPr="00B671C0" w:rsidRDefault="006A4507" w:rsidP="006A4507">
            <w:pPr>
              <w:autoSpaceDE w:val="0"/>
              <w:autoSpaceDN w:val="0"/>
              <w:adjustRightInd w:val="0"/>
              <w:spacing w:line="240" w:lineRule="auto"/>
              <w:rPr>
                <w:rFonts w:eastAsia="Calibri"/>
                <w:color w:val="0000FF"/>
                <w:szCs w:val="24"/>
              </w:rPr>
            </w:pPr>
            <w:r w:rsidRPr="00B671C0">
              <w:rPr>
                <w:rFonts w:eastAsia="Calibri"/>
                <w:color w:val="0000FF"/>
                <w:szCs w:val="24"/>
                <w:u w:val="single"/>
              </w:rPr>
              <w:t>dborchers@bricker.com</w:t>
            </w:r>
          </w:p>
          <w:p w:rsidR="006A4507" w:rsidRPr="006A4507" w:rsidRDefault="006A4507" w:rsidP="006A4507">
            <w:pPr>
              <w:autoSpaceDE w:val="0"/>
              <w:autoSpaceDN w:val="0"/>
              <w:adjustRightInd w:val="0"/>
              <w:spacing w:line="240" w:lineRule="auto"/>
              <w:rPr>
                <w:rFonts w:eastAsia="Calibri"/>
                <w:color w:val="0000FF"/>
                <w:szCs w:val="24"/>
                <w:u w:val="single"/>
              </w:rPr>
            </w:pPr>
            <w:r w:rsidRPr="006F29B8">
              <w:rPr>
                <w:rFonts w:eastAsia="Calibri"/>
                <w:szCs w:val="24"/>
              </w:rPr>
              <w:t>Rocco.dascenzo@duke-energy.com</w:t>
            </w:r>
          </w:p>
          <w:p w:rsidR="006A4507" w:rsidRPr="006A4507" w:rsidRDefault="006A4507" w:rsidP="006A4507">
            <w:pPr>
              <w:autoSpaceDE w:val="0"/>
              <w:autoSpaceDN w:val="0"/>
              <w:adjustRightInd w:val="0"/>
              <w:spacing w:line="240" w:lineRule="auto"/>
              <w:rPr>
                <w:rFonts w:eastAsia="Calibri"/>
                <w:color w:val="0000FF"/>
                <w:szCs w:val="24"/>
                <w:u w:val="single"/>
              </w:rPr>
            </w:pPr>
            <w:r w:rsidRPr="006F29B8">
              <w:rPr>
                <w:rFonts w:eastAsia="Calibri"/>
                <w:szCs w:val="24"/>
              </w:rPr>
              <w:t>Elizabeth.watts@duke-energy.com</w:t>
            </w:r>
          </w:p>
          <w:p w:rsidR="006A4507" w:rsidRPr="006A4507" w:rsidRDefault="006A4507" w:rsidP="006A4507">
            <w:pPr>
              <w:autoSpaceDE w:val="0"/>
              <w:autoSpaceDN w:val="0"/>
              <w:adjustRightInd w:val="0"/>
              <w:spacing w:line="240" w:lineRule="auto"/>
              <w:rPr>
                <w:rFonts w:eastAsia="Calibri"/>
                <w:color w:val="0000FF"/>
                <w:szCs w:val="24"/>
              </w:rPr>
            </w:pPr>
            <w:r w:rsidRPr="006A4507">
              <w:rPr>
                <w:rFonts w:eastAsia="Calibri"/>
                <w:color w:val="0000FF"/>
                <w:szCs w:val="24"/>
                <w:u w:val="single"/>
              </w:rPr>
              <w:t>BarthRoyer@aol.com</w:t>
            </w:r>
          </w:p>
          <w:p w:rsidR="006A4507" w:rsidRPr="006A4507" w:rsidRDefault="006A4507" w:rsidP="006A4507">
            <w:pPr>
              <w:autoSpaceDE w:val="0"/>
              <w:autoSpaceDN w:val="0"/>
              <w:adjustRightInd w:val="0"/>
              <w:spacing w:line="240" w:lineRule="auto"/>
              <w:rPr>
                <w:rFonts w:eastAsia="Calibri"/>
                <w:color w:val="0000FF"/>
                <w:szCs w:val="24"/>
              </w:rPr>
            </w:pPr>
            <w:r w:rsidRPr="006A4507">
              <w:rPr>
                <w:rFonts w:eastAsia="Calibri"/>
                <w:color w:val="0000FF"/>
                <w:szCs w:val="24"/>
                <w:u w:val="single"/>
              </w:rPr>
              <w:t>dboehm@BKLlawfirm.com</w:t>
            </w:r>
          </w:p>
          <w:p w:rsidR="006A4507" w:rsidRPr="006A4507" w:rsidRDefault="006A4507" w:rsidP="006A4507">
            <w:pPr>
              <w:autoSpaceDE w:val="0"/>
              <w:autoSpaceDN w:val="0"/>
              <w:adjustRightInd w:val="0"/>
              <w:spacing w:line="240" w:lineRule="auto"/>
              <w:rPr>
                <w:rFonts w:eastAsia="Calibri"/>
                <w:color w:val="0000FF"/>
                <w:szCs w:val="24"/>
              </w:rPr>
            </w:pPr>
            <w:r w:rsidRPr="006A4507">
              <w:rPr>
                <w:rFonts w:eastAsia="Calibri"/>
                <w:color w:val="0000FF"/>
                <w:szCs w:val="24"/>
                <w:u w:val="single"/>
              </w:rPr>
              <w:t>mkurtz@BKLlawfirm.com</w:t>
            </w:r>
          </w:p>
          <w:p w:rsidR="006A4507" w:rsidRPr="006A4507" w:rsidRDefault="006A4507" w:rsidP="006A4507">
            <w:pPr>
              <w:autoSpaceDE w:val="0"/>
              <w:autoSpaceDN w:val="0"/>
              <w:adjustRightInd w:val="0"/>
              <w:spacing w:line="240" w:lineRule="auto"/>
              <w:rPr>
                <w:rFonts w:eastAsia="Calibri"/>
                <w:color w:val="0000FF"/>
                <w:szCs w:val="24"/>
              </w:rPr>
            </w:pPr>
            <w:r w:rsidRPr="006A4507">
              <w:rPr>
                <w:rFonts w:eastAsia="Calibri"/>
                <w:color w:val="0000FF"/>
                <w:szCs w:val="24"/>
                <w:u w:val="single"/>
              </w:rPr>
              <w:t>jkylercohn@BKLlawfirm.com</w:t>
            </w:r>
          </w:p>
          <w:p w:rsidR="006A4507" w:rsidRPr="006A4507" w:rsidRDefault="006A4507" w:rsidP="006A4507">
            <w:pPr>
              <w:autoSpaceDE w:val="0"/>
              <w:autoSpaceDN w:val="0"/>
              <w:adjustRightInd w:val="0"/>
              <w:spacing w:line="240" w:lineRule="auto"/>
              <w:rPr>
                <w:rFonts w:eastAsia="Calibri"/>
                <w:color w:val="0000FF"/>
                <w:szCs w:val="24"/>
              </w:rPr>
            </w:pPr>
            <w:r w:rsidRPr="006A4507">
              <w:rPr>
                <w:rFonts w:eastAsia="Calibri"/>
                <w:color w:val="0000FF"/>
                <w:szCs w:val="24"/>
                <w:u w:val="single"/>
              </w:rPr>
              <w:t>myurick@taftlaw.com</w:t>
            </w:r>
          </w:p>
          <w:p w:rsidR="006A4507" w:rsidRPr="006A4507" w:rsidRDefault="006A4507" w:rsidP="006A4507">
            <w:pPr>
              <w:autoSpaceDE w:val="0"/>
              <w:autoSpaceDN w:val="0"/>
              <w:adjustRightInd w:val="0"/>
              <w:spacing w:line="240" w:lineRule="auto"/>
              <w:rPr>
                <w:rFonts w:eastAsia="Calibri"/>
                <w:color w:val="0000FF"/>
                <w:szCs w:val="24"/>
              </w:rPr>
            </w:pPr>
            <w:r w:rsidRPr="006A4507">
              <w:rPr>
                <w:rFonts w:eastAsia="Calibri"/>
                <w:color w:val="0000FF"/>
                <w:szCs w:val="24"/>
                <w:u w:val="single"/>
              </w:rPr>
              <w:t>zkravitz@taftlaw.com</w:t>
            </w:r>
          </w:p>
          <w:p w:rsidR="006A4507" w:rsidRPr="006A4507" w:rsidRDefault="006A4507" w:rsidP="006A4507">
            <w:pPr>
              <w:autoSpaceDE w:val="0"/>
              <w:autoSpaceDN w:val="0"/>
              <w:adjustRightInd w:val="0"/>
              <w:spacing w:line="240" w:lineRule="auto"/>
              <w:rPr>
                <w:rFonts w:eastAsia="Calibri"/>
                <w:color w:val="0000FF"/>
                <w:szCs w:val="24"/>
                <w:u w:val="single"/>
              </w:rPr>
            </w:pPr>
            <w:r w:rsidRPr="006A4507">
              <w:rPr>
                <w:rFonts w:eastAsia="Calibri"/>
                <w:color w:val="0000FF"/>
                <w:szCs w:val="24"/>
                <w:u w:val="single"/>
              </w:rPr>
              <w:t>tdougherty@theOEC.org</w:t>
            </w:r>
          </w:p>
          <w:p w:rsidR="006A4507" w:rsidRPr="006A4507" w:rsidRDefault="006A4507" w:rsidP="006A4507">
            <w:pPr>
              <w:autoSpaceDE w:val="0"/>
              <w:autoSpaceDN w:val="0"/>
              <w:adjustRightInd w:val="0"/>
              <w:spacing w:line="240" w:lineRule="auto"/>
              <w:rPr>
                <w:rFonts w:eastAsia="Calibri"/>
                <w:color w:val="0000FF"/>
                <w:szCs w:val="24"/>
                <w:u w:val="single"/>
              </w:rPr>
            </w:pPr>
            <w:r w:rsidRPr="006A4507">
              <w:rPr>
                <w:rFonts w:eastAsia="Calibri"/>
                <w:color w:val="0000FF"/>
                <w:szCs w:val="24"/>
                <w:u w:val="single"/>
              </w:rPr>
              <w:t>msmalz@ohiopovertylaw.org</w:t>
            </w:r>
          </w:p>
          <w:p w:rsidR="006A4507" w:rsidRPr="006A4507" w:rsidRDefault="006A4507" w:rsidP="006A4507">
            <w:pPr>
              <w:autoSpaceDE w:val="0"/>
              <w:autoSpaceDN w:val="0"/>
              <w:adjustRightInd w:val="0"/>
              <w:spacing w:line="240" w:lineRule="auto"/>
              <w:rPr>
                <w:rFonts w:eastAsia="Calibri"/>
                <w:color w:val="0000FF"/>
                <w:szCs w:val="24"/>
                <w:u w:val="single"/>
              </w:rPr>
            </w:pPr>
            <w:r w:rsidRPr="006A4507">
              <w:rPr>
                <w:rFonts w:eastAsia="Calibri"/>
                <w:color w:val="0000FF"/>
                <w:szCs w:val="24"/>
                <w:u w:val="single"/>
              </w:rPr>
              <w:t>mhpetricoff@vorys.com</w:t>
            </w:r>
          </w:p>
          <w:p w:rsidR="006A4507" w:rsidRPr="006A4507" w:rsidRDefault="006A4507" w:rsidP="006A4507">
            <w:pPr>
              <w:autoSpaceDE w:val="0"/>
              <w:autoSpaceDN w:val="0"/>
              <w:adjustRightInd w:val="0"/>
              <w:spacing w:line="240" w:lineRule="auto"/>
              <w:rPr>
                <w:color w:val="0000FF"/>
                <w:szCs w:val="24"/>
              </w:rPr>
            </w:pPr>
            <w:r w:rsidRPr="006A4507">
              <w:rPr>
                <w:rFonts w:eastAsia="Calibri"/>
                <w:color w:val="0000FF"/>
                <w:szCs w:val="24"/>
                <w:u w:val="single"/>
              </w:rPr>
              <w:t>glpetrucci@vorys.com</w:t>
            </w:r>
          </w:p>
          <w:p w:rsidR="006A4507" w:rsidRPr="006A4507" w:rsidRDefault="006A4507" w:rsidP="006A4507">
            <w:pPr>
              <w:autoSpaceDE w:val="0"/>
              <w:autoSpaceDN w:val="0"/>
              <w:adjustRightInd w:val="0"/>
              <w:spacing w:line="240" w:lineRule="auto"/>
              <w:rPr>
                <w:rFonts w:eastAsia="Calibri"/>
                <w:color w:val="0000FF"/>
                <w:szCs w:val="24"/>
              </w:rPr>
            </w:pPr>
            <w:r w:rsidRPr="006A4507">
              <w:rPr>
                <w:rFonts w:eastAsia="Calibri"/>
                <w:color w:val="0000FF"/>
                <w:szCs w:val="24"/>
                <w:u w:val="single"/>
              </w:rPr>
              <w:t>Stephanie.Chmiel@ThompsonHine.com</w:t>
            </w:r>
          </w:p>
          <w:p w:rsidR="006A4507" w:rsidRPr="006A4507" w:rsidRDefault="006A4507" w:rsidP="006A4507">
            <w:pPr>
              <w:autoSpaceDE w:val="0"/>
              <w:autoSpaceDN w:val="0"/>
              <w:adjustRightInd w:val="0"/>
              <w:spacing w:line="240" w:lineRule="auto"/>
              <w:rPr>
                <w:rFonts w:eastAsia="Calibri"/>
                <w:color w:val="0000FF"/>
                <w:szCs w:val="24"/>
                <w:u w:val="single"/>
              </w:rPr>
            </w:pPr>
            <w:r w:rsidRPr="006A4507">
              <w:rPr>
                <w:rFonts w:eastAsia="Calibri"/>
                <w:color w:val="0000FF"/>
                <w:szCs w:val="24"/>
                <w:u w:val="single"/>
              </w:rPr>
              <w:t>swilliams@nrdc.org</w:t>
            </w:r>
          </w:p>
          <w:p w:rsidR="006A4507" w:rsidRPr="006A4507" w:rsidRDefault="006A4507" w:rsidP="006A4507">
            <w:pPr>
              <w:autoSpaceDE w:val="0"/>
              <w:autoSpaceDN w:val="0"/>
              <w:adjustRightInd w:val="0"/>
              <w:spacing w:line="240" w:lineRule="auto"/>
              <w:rPr>
                <w:rFonts w:eastAsia="Calibri"/>
                <w:color w:val="0000FF"/>
                <w:szCs w:val="24"/>
                <w:u w:val="single"/>
              </w:rPr>
            </w:pPr>
            <w:r w:rsidRPr="006F29B8">
              <w:rPr>
                <w:rFonts w:eastAsia="Calibri"/>
                <w:szCs w:val="24"/>
              </w:rPr>
              <w:t>tsiwo@bricker.com</w:t>
            </w:r>
          </w:p>
          <w:p w:rsidR="006A4507" w:rsidRDefault="006A4507" w:rsidP="006A4507">
            <w:pPr>
              <w:autoSpaceDE w:val="0"/>
              <w:autoSpaceDN w:val="0"/>
              <w:adjustRightInd w:val="0"/>
              <w:spacing w:line="240" w:lineRule="auto"/>
              <w:rPr>
                <w:rFonts w:eastAsia="Calibri"/>
                <w:color w:val="0000FF"/>
                <w:szCs w:val="24"/>
                <w:u w:val="single"/>
              </w:rPr>
            </w:pPr>
          </w:p>
          <w:p w:rsidR="006A4507" w:rsidRPr="00477EEA" w:rsidRDefault="006A4507" w:rsidP="006A4507">
            <w:pPr>
              <w:autoSpaceDE w:val="0"/>
              <w:autoSpaceDN w:val="0"/>
              <w:adjustRightInd w:val="0"/>
              <w:spacing w:line="240" w:lineRule="auto"/>
              <w:rPr>
                <w:rFonts w:eastAsia="Calibri"/>
                <w:szCs w:val="24"/>
              </w:rPr>
            </w:pPr>
            <w:r w:rsidRPr="00477EEA">
              <w:rPr>
                <w:rFonts w:eastAsia="Calibri"/>
                <w:szCs w:val="24"/>
              </w:rPr>
              <w:t>Attorney Examiner:</w:t>
            </w:r>
          </w:p>
          <w:p w:rsidR="006A4507" w:rsidRDefault="006A4507" w:rsidP="006A4507">
            <w:pPr>
              <w:autoSpaceDE w:val="0"/>
              <w:autoSpaceDN w:val="0"/>
              <w:adjustRightInd w:val="0"/>
              <w:spacing w:line="240" w:lineRule="auto"/>
              <w:rPr>
                <w:rFonts w:eastAsia="Calibri"/>
                <w:color w:val="0000FF"/>
                <w:szCs w:val="24"/>
                <w:u w:val="single"/>
              </w:rPr>
            </w:pPr>
          </w:p>
          <w:p w:rsidR="006A4507" w:rsidRPr="006A4507" w:rsidRDefault="006A4507" w:rsidP="006A4507">
            <w:pPr>
              <w:autoSpaceDE w:val="0"/>
              <w:autoSpaceDN w:val="0"/>
              <w:adjustRightInd w:val="0"/>
              <w:spacing w:line="240" w:lineRule="auto"/>
              <w:rPr>
                <w:rFonts w:eastAsia="Calibri"/>
                <w:color w:val="0000FF"/>
                <w:szCs w:val="24"/>
                <w:u w:val="single"/>
              </w:rPr>
            </w:pPr>
            <w:r w:rsidRPr="006F29B8">
              <w:rPr>
                <w:rFonts w:eastAsia="Calibri"/>
                <w:szCs w:val="24"/>
              </w:rPr>
              <w:t>Sarah.parrot@puc.state.oh.us</w:t>
            </w:r>
          </w:p>
          <w:p w:rsidR="006A4507" w:rsidRPr="00B671C0" w:rsidRDefault="006A4507" w:rsidP="006A4507">
            <w:pPr>
              <w:autoSpaceDE w:val="0"/>
              <w:autoSpaceDN w:val="0"/>
              <w:adjustRightInd w:val="0"/>
              <w:spacing w:line="240" w:lineRule="auto"/>
              <w:rPr>
                <w:rFonts w:eastAsia="Calibri"/>
                <w:bCs/>
                <w:szCs w:val="24"/>
              </w:rPr>
            </w:pPr>
          </w:p>
        </w:tc>
        <w:tc>
          <w:tcPr>
            <w:tcW w:w="4428" w:type="dxa"/>
          </w:tcPr>
          <w:p w:rsidR="006A4507" w:rsidRPr="00B671C0" w:rsidRDefault="006A4507" w:rsidP="006A4507">
            <w:pPr>
              <w:autoSpaceDE w:val="0"/>
              <w:autoSpaceDN w:val="0"/>
              <w:adjustRightInd w:val="0"/>
              <w:spacing w:line="240" w:lineRule="auto"/>
              <w:rPr>
                <w:rFonts w:eastAsia="Calibri"/>
                <w:szCs w:val="24"/>
              </w:rPr>
            </w:pPr>
            <w:r w:rsidRPr="00B671C0">
              <w:rPr>
                <w:rFonts w:eastAsia="Calibri"/>
                <w:color w:val="0000FF"/>
                <w:szCs w:val="24"/>
                <w:u w:val="single"/>
              </w:rPr>
              <w:t>stnourse@aep.com</w:t>
            </w:r>
          </w:p>
          <w:p w:rsidR="006A4507" w:rsidRPr="00B671C0" w:rsidRDefault="006A4507" w:rsidP="006A4507">
            <w:pPr>
              <w:autoSpaceDE w:val="0"/>
              <w:autoSpaceDN w:val="0"/>
              <w:adjustRightInd w:val="0"/>
              <w:spacing w:line="240" w:lineRule="auto"/>
              <w:rPr>
                <w:rFonts w:eastAsia="Calibri"/>
                <w:szCs w:val="24"/>
              </w:rPr>
            </w:pPr>
            <w:r w:rsidRPr="00B671C0">
              <w:rPr>
                <w:rFonts w:eastAsia="Calibri"/>
                <w:color w:val="0000FF"/>
                <w:szCs w:val="24"/>
                <w:u w:val="single"/>
              </w:rPr>
              <w:t>mjsatterwhite@aep.com</w:t>
            </w:r>
          </w:p>
          <w:p w:rsidR="006A4507" w:rsidRPr="00B671C0" w:rsidRDefault="006A4507" w:rsidP="006A4507">
            <w:pPr>
              <w:autoSpaceDE w:val="0"/>
              <w:autoSpaceDN w:val="0"/>
              <w:adjustRightInd w:val="0"/>
              <w:spacing w:line="240" w:lineRule="auto"/>
              <w:rPr>
                <w:rFonts w:eastAsia="Calibri"/>
                <w:szCs w:val="24"/>
              </w:rPr>
            </w:pPr>
            <w:r w:rsidRPr="00B671C0">
              <w:rPr>
                <w:rFonts w:eastAsia="Calibri"/>
                <w:color w:val="0000FF"/>
                <w:szCs w:val="24"/>
                <w:u w:val="single"/>
              </w:rPr>
              <w:t>dconway@porterwright.com</w:t>
            </w:r>
          </w:p>
          <w:p w:rsidR="006A4507" w:rsidRPr="00B671C0" w:rsidRDefault="006A4507" w:rsidP="006A4507">
            <w:pPr>
              <w:autoSpaceDE w:val="0"/>
              <w:autoSpaceDN w:val="0"/>
              <w:adjustRightInd w:val="0"/>
              <w:spacing w:line="240" w:lineRule="auto"/>
              <w:rPr>
                <w:rFonts w:eastAsia="Calibri"/>
                <w:szCs w:val="24"/>
              </w:rPr>
            </w:pPr>
            <w:r w:rsidRPr="00B671C0">
              <w:rPr>
                <w:rFonts w:eastAsia="Calibri"/>
                <w:color w:val="0000FF"/>
                <w:szCs w:val="24"/>
                <w:u w:val="single"/>
              </w:rPr>
              <w:t>Bojko@carpenterlipps.com</w:t>
            </w:r>
          </w:p>
          <w:p w:rsidR="006A4507" w:rsidRPr="00B671C0" w:rsidRDefault="006A4507" w:rsidP="006A4507">
            <w:pPr>
              <w:spacing w:line="240" w:lineRule="auto"/>
              <w:rPr>
                <w:color w:val="0000FF"/>
                <w:szCs w:val="24"/>
                <w:u w:val="single"/>
              </w:rPr>
            </w:pPr>
            <w:r w:rsidRPr="00B671C0">
              <w:rPr>
                <w:rFonts w:eastAsia="Calibri"/>
                <w:color w:val="0000FF"/>
                <w:szCs w:val="24"/>
                <w:u w:val="single"/>
              </w:rPr>
              <w:t>Mohler@carpenterlipps.com</w:t>
            </w:r>
          </w:p>
          <w:p w:rsidR="006A4507" w:rsidRPr="00B671C0" w:rsidRDefault="006A4507" w:rsidP="006A4507">
            <w:pPr>
              <w:autoSpaceDE w:val="0"/>
              <w:autoSpaceDN w:val="0"/>
              <w:adjustRightInd w:val="0"/>
              <w:spacing w:line="240" w:lineRule="auto"/>
              <w:rPr>
                <w:rFonts w:eastAsia="Calibri"/>
                <w:color w:val="0000FF"/>
                <w:szCs w:val="24"/>
              </w:rPr>
            </w:pPr>
            <w:r w:rsidRPr="00B671C0">
              <w:rPr>
                <w:rFonts w:eastAsia="Calibri"/>
                <w:color w:val="0000FF"/>
                <w:szCs w:val="24"/>
                <w:u w:val="single"/>
              </w:rPr>
              <w:t>haydenm@firstenergycorp.com</w:t>
            </w:r>
          </w:p>
          <w:p w:rsidR="006A4507" w:rsidRPr="00B671C0" w:rsidRDefault="006A4507" w:rsidP="006A4507">
            <w:pPr>
              <w:autoSpaceDE w:val="0"/>
              <w:autoSpaceDN w:val="0"/>
              <w:adjustRightInd w:val="0"/>
              <w:spacing w:line="240" w:lineRule="auto"/>
              <w:rPr>
                <w:rFonts w:eastAsia="Calibri"/>
                <w:color w:val="0000FF"/>
                <w:szCs w:val="24"/>
              </w:rPr>
            </w:pPr>
            <w:r w:rsidRPr="00B671C0">
              <w:rPr>
                <w:rFonts w:eastAsia="Calibri"/>
                <w:color w:val="0000FF"/>
                <w:szCs w:val="24"/>
                <w:u w:val="single"/>
              </w:rPr>
              <w:t>jmcdermott@firstenergycorp.com</w:t>
            </w:r>
          </w:p>
          <w:p w:rsidR="006A4507" w:rsidRPr="00B671C0" w:rsidRDefault="006A4507" w:rsidP="006A4507">
            <w:pPr>
              <w:autoSpaceDE w:val="0"/>
              <w:autoSpaceDN w:val="0"/>
              <w:adjustRightInd w:val="0"/>
              <w:spacing w:line="240" w:lineRule="auto"/>
              <w:rPr>
                <w:rFonts w:eastAsia="Calibri"/>
                <w:color w:val="0000FF"/>
                <w:szCs w:val="24"/>
              </w:rPr>
            </w:pPr>
            <w:r w:rsidRPr="00B671C0">
              <w:rPr>
                <w:rFonts w:eastAsia="Calibri"/>
                <w:color w:val="0000FF"/>
                <w:szCs w:val="24"/>
                <w:u w:val="single"/>
              </w:rPr>
              <w:t>scasto@firstenergycorp.com</w:t>
            </w:r>
          </w:p>
          <w:p w:rsidR="006A4507" w:rsidRPr="00B671C0" w:rsidRDefault="006A4507" w:rsidP="006A4507">
            <w:pPr>
              <w:autoSpaceDE w:val="0"/>
              <w:autoSpaceDN w:val="0"/>
              <w:adjustRightInd w:val="0"/>
              <w:spacing w:line="240" w:lineRule="auto"/>
              <w:rPr>
                <w:rFonts w:eastAsia="Calibri"/>
                <w:szCs w:val="24"/>
              </w:rPr>
            </w:pPr>
            <w:r w:rsidRPr="00B671C0">
              <w:rPr>
                <w:rFonts w:eastAsia="Calibri"/>
                <w:color w:val="0000FF"/>
                <w:szCs w:val="24"/>
                <w:u w:val="single"/>
              </w:rPr>
              <w:t>whitt@whitt-sturtevant.com</w:t>
            </w:r>
          </w:p>
          <w:p w:rsidR="006A4507" w:rsidRPr="00B671C0" w:rsidRDefault="006A4507" w:rsidP="006A4507">
            <w:pPr>
              <w:autoSpaceDE w:val="0"/>
              <w:autoSpaceDN w:val="0"/>
              <w:adjustRightInd w:val="0"/>
              <w:spacing w:line="240" w:lineRule="auto"/>
              <w:rPr>
                <w:rFonts w:eastAsia="Calibri"/>
                <w:szCs w:val="24"/>
              </w:rPr>
            </w:pPr>
            <w:r w:rsidRPr="00B671C0">
              <w:rPr>
                <w:rFonts w:eastAsia="Calibri"/>
                <w:color w:val="0000FF"/>
                <w:szCs w:val="24"/>
                <w:u w:val="single"/>
              </w:rPr>
              <w:t>campbell@whitt-sturtevant.com</w:t>
            </w:r>
          </w:p>
          <w:p w:rsidR="006A4507" w:rsidRPr="00B671C0" w:rsidRDefault="006A4507" w:rsidP="006A4507">
            <w:pPr>
              <w:spacing w:line="240" w:lineRule="auto"/>
              <w:rPr>
                <w:color w:val="0000FF"/>
                <w:szCs w:val="24"/>
                <w:u w:val="single"/>
              </w:rPr>
            </w:pPr>
            <w:r w:rsidRPr="00B671C0">
              <w:rPr>
                <w:rFonts w:eastAsia="Calibri"/>
                <w:color w:val="0000FF"/>
                <w:szCs w:val="24"/>
                <w:u w:val="single"/>
              </w:rPr>
              <w:t>williams@whitt-sturtevant.com</w:t>
            </w:r>
          </w:p>
          <w:p w:rsidR="006A4507" w:rsidRPr="00B671C0" w:rsidRDefault="006A4507" w:rsidP="006A4507">
            <w:pPr>
              <w:autoSpaceDE w:val="0"/>
              <w:autoSpaceDN w:val="0"/>
              <w:adjustRightInd w:val="0"/>
              <w:spacing w:line="240" w:lineRule="auto"/>
              <w:rPr>
                <w:rFonts w:eastAsia="Calibri"/>
                <w:szCs w:val="24"/>
              </w:rPr>
            </w:pPr>
            <w:r w:rsidRPr="00B671C0">
              <w:rPr>
                <w:rFonts w:eastAsia="Calibri"/>
                <w:color w:val="0000FF"/>
                <w:szCs w:val="24"/>
                <w:u w:val="single"/>
              </w:rPr>
              <w:t>vparisi@igsenergy.com</w:t>
            </w:r>
          </w:p>
          <w:p w:rsidR="006A4507" w:rsidRPr="00B671C0" w:rsidRDefault="006A4507" w:rsidP="006A4507">
            <w:pPr>
              <w:autoSpaceDE w:val="0"/>
              <w:autoSpaceDN w:val="0"/>
              <w:adjustRightInd w:val="0"/>
              <w:spacing w:line="240" w:lineRule="auto"/>
              <w:rPr>
                <w:rFonts w:eastAsia="Calibri"/>
                <w:szCs w:val="24"/>
              </w:rPr>
            </w:pPr>
            <w:r w:rsidRPr="00B671C0">
              <w:rPr>
                <w:rFonts w:eastAsia="Calibri"/>
                <w:color w:val="0000FF"/>
                <w:szCs w:val="24"/>
                <w:u w:val="single"/>
              </w:rPr>
              <w:t>lfriedeman@igsenergy.com</w:t>
            </w:r>
          </w:p>
          <w:p w:rsidR="006A4507" w:rsidRPr="00B671C0" w:rsidRDefault="006A4507" w:rsidP="006A4507">
            <w:pPr>
              <w:spacing w:line="240" w:lineRule="auto"/>
              <w:rPr>
                <w:color w:val="0000FF"/>
                <w:szCs w:val="24"/>
                <w:u w:val="single"/>
              </w:rPr>
            </w:pPr>
            <w:r w:rsidRPr="00B671C0">
              <w:rPr>
                <w:rFonts w:eastAsia="Calibri"/>
                <w:color w:val="0000FF"/>
                <w:szCs w:val="24"/>
                <w:u w:val="single"/>
              </w:rPr>
              <w:t>mswhite@igsenergy.com</w:t>
            </w:r>
          </w:p>
          <w:p w:rsidR="006A4507" w:rsidRPr="00B671C0" w:rsidRDefault="006A4507" w:rsidP="006A4507">
            <w:pPr>
              <w:autoSpaceDE w:val="0"/>
              <w:autoSpaceDN w:val="0"/>
              <w:adjustRightInd w:val="0"/>
              <w:spacing w:line="240" w:lineRule="auto"/>
              <w:rPr>
                <w:rFonts w:eastAsia="Calibri"/>
                <w:szCs w:val="24"/>
              </w:rPr>
            </w:pPr>
            <w:r w:rsidRPr="00B671C0">
              <w:rPr>
                <w:rFonts w:eastAsia="Calibri"/>
                <w:color w:val="0000FF"/>
                <w:szCs w:val="24"/>
                <w:u w:val="single"/>
              </w:rPr>
              <w:t>Gary.A.Jeffries@dom.com</w:t>
            </w:r>
          </w:p>
          <w:p w:rsidR="006A4507" w:rsidRPr="00B671C0" w:rsidRDefault="006A4507" w:rsidP="006A4507">
            <w:pPr>
              <w:autoSpaceDE w:val="0"/>
              <w:autoSpaceDN w:val="0"/>
              <w:adjustRightInd w:val="0"/>
              <w:spacing w:line="240" w:lineRule="auto"/>
              <w:rPr>
                <w:rFonts w:eastAsia="Calibri"/>
                <w:szCs w:val="24"/>
              </w:rPr>
            </w:pPr>
            <w:r w:rsidRPr="00B671C0">
              <w:rPr>
                <w:rFonts w:eastAsia="Calibri"/>
                <w:color w:val="0000FF"/>
                <w:szCs w:val="24"/>
                <w:u w:val="single"/>
              </w:rPr>
              <w:t>Judi.sobecki@aes.com</w:t>
            </w:r>
          </w:p>
          <w:p w:rsidR="006A4507" w:rsidRPr="00B671C0" w:rsidRDefault="006A4507" w:rsidP="006A4507">
            <w:pPr>
              <w:autoSpaceDE w:val="0"/>
              <w:autoSpaceDN w:val="0"/>
              <w:adjustRightInd w:val="0"/>
              <w:spacing w:line="240" w:lineRule="auto"/>
              <w:rPr>
                <w:rFonts w:eastAsia="Calibri"/>
                <w:color w:val="0000FF"/>
                <w:szCs w:val="24"/>
              </w:rPr>
            </w:pPr>
            <w:r w:rsidRPr="00B671C0">
              <w:rPr>
                <w:rFonts w:eastAsia="Calibri"/>
                <w:color w:val="0000FF"/>
                <w:szCs w:val="24"/>
                <w:u w:val="single"/>
              </w:rPr>
              <w:t>cmooney@ohiopartners.org</w:t>
            </w:r>
          </w:p>
          <w:p w:rsidR="006A4507" w:rsidRPr="00B671C0" w:rsidRDefault="006A4507" w:rsidP="006A4507">
            <w:pPr>
              <w:autoSpaceDE w:val="0"/>
              <w:autoSpaceDN w:val="0"/>
              <w:adjustRightInd w:val="0"/>
              <w:spacing w:line="240" w:lineRule="auto"/>
              <w:rPr>
                <w:rFonts w:eastAsia="Calibri"/>
                <w:color w:val="0000FF"/>
                <w:szCs w:val="24"/>
              </w:rPr>
            </w:pPr>
            <w:r w:rsidRPr="00B671C0">
              <w:rPr>
                <w:rFonts w:eastAsia="Calibri"/>
                <w:color w:val="0000FF"/>
                <w:szCs w:val="24"/>
                <w:u w:val="single"/>
              </w:rPr>
              <w:t>cloucas@ohiopartners.org</w:t>
            </w:r>
          </w:p>
          <w:p w:rsidR="006A4507" w:rsidRPr="00B671C0" w:rsidRDefault="006A4507" w:rsidP="006A4507">
            <w:pPr>
              <w:spacing w:line="240" w:lineRule="auto"/>
              <w:rPr>
                <w:color w:val="0000FF"/>
                <w:szCs w:val="24"/>
                <w:u w:val="single"/>
              </w:rPr>
            </w:pPr>
            <w:r w:rsidRPr="00B671C0">
              <w:rPr>
                <w:rFonts w:eastAsia="Calibri"/>
                <w:color w:val="0000FF"/>
                <w:szCs w:val="24"/>
                <w:u w:val="single"/>
              </w:rPr>
              <w:t>jfinnigan@edf.org</w:t>
            </w:r>
          </w:p>
          <w:p w:rsidR="006A4507" w:rsidRPr="00B671C0" w:rsidRDefault="006A4507" w:rsidP="006A4507">
            <w:pPr>
              <w:spacing w:line="240" w:lineRule="auto"/>
              <w:rPr>
                <w:rFonts w:eastAsia="Calibri"/>
                <w:color w:val="0000FF"/>
                <w:szCs w:val="24"/>
              </w:rPr>
            </w:pPr>
            <w:r w:rsidRPr="00B671C0">
              <w:rPr>
                <w:rFonts w:eastAsia="Calibri"/>
                <w:color w:val="0000FF"/>
                <w:szCs w:val="24"/>
                <w:u w:val="single"/>
              </w:rPr>
              <w:t>joseph.clark@directenergy.com</w:t>
            </w:r>
          </w:p>
          <w:p w:rsidR="006A4507" w:rsidRPr="00B671C0" w:rsidRDefault="006A4507" w:rsidP="006A4507">
            <w:pPr>
              <w:spacing w:line="240" w:lineRule="auto"/>
              <w:rPr>
                <w:rFonts w:eastAsia="Calibri"/>
                <w:szCs w:val="24"/>
              </w:rPr>
            </w:pPr>
            <w:r w:rsidRPr="00B671C0">
              <w:rPr>
                <w:rFonts w:eastAsia="Calibri"/>
                <w:color w:val="0000FF"/>
                <w:szCs w:val="24"/>
                <w:u w:val="single"/>
              </w:rPr>
              <w:t>NMcDaniel@elpc.org</w:t>
            </w:r>
          </w:p>
          <w:p w:rsidR="006A4507" w:rsidRPr="00B671C0" w:rsidRDefault="006A4507" w:rsidP="006A4507">
            <w:pPr>
              <w:spacing w:line="240" w:lineRule="auto"/>
              <w:rPr>
                <w:rFonts w:eastAsia="Calibri"/>
                <w:szCs w:val="24"/>
              </w:rPr>
            </w:pPr>
            <w:r w:rsidRPr="00B671C0">
              <w:rPr>
                <w:rFonts w:eastAsia="Calibri"/>
                <w:color w:val="0000FF"/>
                <w:szCs w:val="24"/>
                <w:u w:val="single"/>
              </w:rPr>
              <w:t>lhawrot@spilmanlaw.com</w:t>
            </w:r>
          </w:p>
          <w:p w:rsidR="006A4507" w:rsidRPr="006A4507" w:rsidRDefault="006A4507" w:rsidP="006A4507">
            <w:pPr>
              <w:spacing w:line="240" w:lineRule="auto"/>
              <w:rPr>
                <w:rFonts w:eastAsia="Calibri"/>
                <w:color w:val="0000FF"/>
                <w:szCs w:val="24"/>
                <w:u w:val="single"/>
              </w:rPr>
            </w:pPr>
            <w:r w:rsidRPr="006F29B8">
              <w:rPr>
                <w:rFonts w:eastAsia="Calibri"/>
                <w:szCs w:val="24"/>
              </w:rPr>
              <w:t>dwilliamson@spilmanlaw.com</w:t>
            </w:r>
          </w:p>
          <w:p w:rsidR="006A4507" w:rsidRPr="006A4507" w:rsidRDefault="006A4507" w:rsidP="006A4507">
            <w:pPr>
              <w:spacing w:line="240" w:lineRule="auto"/>
              <w:rPr>
                <w:color w:val="0000FF"/>
                <w:szCs w:val="24"/>
                <w:u w:val="single"/>
              </w:rPr>
            </w:pPr>
            <w:r w:rsidRPr="006F29B8">
              <w:rPr>
                <w:szCs w:val="24"/>
              </w:rPr>
              <w:t>tshadrick@spilmanlaw.com</w:t>
            </w:r>
          </w:p>
          <w:p w:rsidR="006A4507" w:rsidRPr="006A4507" w:rsidRDefault="006A4507" w:rsidP="006A4507">
            <w:pPr>
              <w:spacing w:line="240" w:lineRule="auto"/>
              <w:rPr>
                <w:rFonts w:eastAsia="Calibri"/>
                <w:bCs/>
                <w:color w:val="0000FF"/>
                <w:szCs w:val="24"/>
                <w:u w:val="single"/>
              </w:rPr>
            </w:pPr>
            <w:r w:rsidRPr="006F29B8">
              <w:rPr>
                <w:rFonts w:eastAsia="Calibri"/>
                <w:bCs/>
                <w:szCs w:val="24"/>
              </w:rPr>
              <w:t>gpoulos@enernoc.com</w:t>
            </w:r>
          </w:p>
          <w:p w:rsidR="006A4507" w:rsidRPr="006A4507" w:rsidRDefault="006A4507" w:rsidP="006A4507">
            <w:pPr>
              <w:spacing w:line="240" w:lineRule="auto"/>
              <w:rPr>
                <w:rFonts w:eastAsia="Calibri"/>
                <w:bCs/>
                <w:color w:val="0000FF"/>
                <w:szCs w:val="24"/>
                <w:u w:val="single"/>
              </w:rPr>
            </w:pPr>
            <w:r w:rsidRPr="006F29B8">
              <w:rPr>
                <w:rFonts w:eastAsia="Calibri"/>
                <w:bCs/>
                <w:szCs w:val="24"/>
              </w:rPr>
              <w:t>Schmidt@sppgrp.com</w:t>
            </w:r>
          </w:p>
          <w:p w:rsidR="006A4507" w:rsidRPr="00B671C0" w:rsidRDefault="006A4507" w:rsidP="006A4507">
            <w:pPr>
              <w:spacing w:line="240" w:lineRule="auto"/>
              <w:rPr>
                <w:rFonts w:eastAsia="Calibri"/>
                <w:bCs/>
                <w:szCs w:val="24"/>
              </w:rPr>
            </w:pPr>
          </w:p>
        </w:tc>
      </w:tr>
    </w:tbl>
    <w:p w:rsidR="00A33EB9" w:rsidRPr="00A33EB9" w:rsidRDefault="00A33EB9" w:rsidP="008A5CDB">
      <w:pPr>
        <w:pStyle w:val="EndnoteText"/>
        <w:widowControl/>
        <w:ind w:right="-90"/>
      </w:pPr>
    </w:p>
    <w:sectPr w:rsidR="00A33EB9" w:rsidRPr="00A33EB9" w:rsidSect="008A5CDB">
      <w:headerReference w:type="default" r:id="rId16"/>
      <w:footerReference w:type="default" r:id="rId17"/>
      <w:pgSz w:w="12240" w:h="15840" w:code="1"/>
      <w:pgMar w:top="1440" w:right="1584" w:bottom="1440" w:left="2016" w:header="720" w:footer="936" w:gutter="0"/>
      <w:pgNumType w:start="1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B8D" w:rsidRDefault="00822B8D">
      <w:r>
        <w:separator/>
      </w:r>
    </w:p>
  </w:endnote>
  <w:endnote w:type="continuationSeparator" w:id="0">
    <w:p w:rsidR="00822B8D" w:rsidRDefault="0082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3D" w:rsidRDefault="00EC663D">
    <w:pPr>
      <w:pStyle w:val="Footer"/>
    </w:pPr>
    <w:r>
      <w:t xml:space="preserve">Page </w:t>
    </w:r>
    <w:r>
      <w:fldChar w:fldCharType="begin"/>
    </w:r>
    <w:r>
      <w:instrText>PAGE</w:instrText>
    </w:r>
    <w:r>
      <w:fldChar w:fldCharType="separate"/>
    </w:r>
    <w:r w:rsidR="006F29B8">
      <w:rPr>
        <w:noProof/>
      </w:rPr>
      <w:t>1</w:t>
    </w:r>
    <w:r>
      <w:fldChar w:fldCharType="end"/>
    </w:r>
    <w:r>
      <w:tab/>
      <w:t>Resource Insight,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B8" w:rsidRDefault="006F29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14" w:rsidRDefault="007A3414">
    <w:pPr>
      <w:pStyle w:val="Footer"/>
      <w:jc w:val="center"/>
    </w:pPr>
  </w:p>
  <w:p w:rsidR="007A3414" w:rsidRDefault="007A34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431"/>
      <w:docPartObj>
        <w:docPartGallery w:val="Page Numbers (Bottom of Page)"/>
        <w:docPartUnique/>
      </w:docPartObj>
    </w:sdtPr>
    <w:sdtEndPr>
      <w:rPr>
        <w:i w:val="0"/>
        <w:noProof/>
      </w:rPr>
    </w:sdtEndPr>
    <w:sdtContent>
      <w:p w:rsidR="007A3414" w:rsidRPr="00F23E7C" w:rsidRDefault="007A3414">
        <w:pPr>
          <w:pStyle w:val="Footer"/>
          <w:jc w:val="center"/>
          <w:rPr>
            <w:i w:val="0"/>
          </w:rPr>
        </w:pPr>
        <w:r w:rsidRPr="00F23E7C">
          <w:rPr>
            <w:i w:val="0"/>
          </w:rPr>
          <w:fldChar w:fldCharType="begin"/>
        </w:r>
        <w:r w:rsidRPr="00F23E7C">
          <w:rPr>
            <w:i w:val="0"/>
          </w:rPr>
          <w:instrText xml:space="preserve"> PAGE   \* MERGEFORMAT </w:instrText>
        </w:r>
        <w:r w:rsidRPr="00F23E7C">
          <w:rPr>
            <w:i w:val="0"/>
          </w:rPr>
          <w:fldChar w:fldCharType="separate"/>
        </w:r>
        <w:r w:rsidR="006F29B8">
          <w:rPr>
            <w:i w:val="0"/>
            <w:noProof/>
          </w:rPr>
          <w:t>i</w:t>
        </w:r>
        <w:r w:rsidRPr="00F23E7C">
          <w:rPr>
            <w:i w:val="0"/>
            <w:noProof/>
          </w:rPr>
          <w:fldChar w:fldCharType="end"/>
        </w:r>
      </w:p>
    </w:sdtContent>
  </w:sdt>
  <w:p w:rsidR="007A3414" w:rsidRDefault="007A34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484892"/>
      <w:docPartObj>
        <w:docPartGallery w:val="Page Numbers (Bottom of Page)"/>
        <w:docPartUnique/>
      </w:docPartObj>
    </w:sdtPr>
    <w:sdtEndPr>
      <w:rPr>
        <w:i w:val="0"/>
        <w:noProof/>
      </w:rPr>
    </w:sdtEndPr>
    <w:sdtContent>
      <w:p w:rsidR="008A5CDB" w:rsidRPr="00F23E7C" w:rsidRDefault="008A5CDB">
        <w:pPr>
          <w:pStyle w:val="Footer"/>
          <w:jc w:val="center"/>
          <w:rPr>
            <w:i w:val="0"/>
          </w:rPr>
        </w:pPr>
        <w:r w:rsidRPr="00F23E7C">
          <w:rPr>
            <w:i w:val="0"/>
          </w:rPr>
          <w:fldChar w:fldCharType="begin"/>
        </w:r>
        <w:r w:rsidRPr="00F23E7C">
          <w:rPr>
            <w:i w:val="0"/>
          </w:rPr>
          <w:instrText xml:space="preserve"> PAGE   \* MERGEFORMAT </w:instrText>
        </w:r>
        <w:r w:rsidRPr="00F23E7C">
          <w:rPr>
            <w:i w:val="0"/>
          </w:rPr>
          <w:fldChar w:fldCharType="separate"/>
        </w:r>
        <w:r w:rsidR="006F29B8">
          <w:rPr>
            <w:i w:val="0"/>
            <w:noProof/>
          </w:rPr>
          <w:t>12</w:t>
        </w:r>
        <w:r w:rsidRPr="00F23E7C">
          <w:rPr>
            <w:i w:val="0"/>
            <w:noProof/>
          </w:rPr>
          <w:fldChar w:fldCharType="end"/>
        </w:r>
      </w:p>
    </w:sdtContent>
  </w:sdt>
  <w:p w:rsidR="00EC663D" w:rsidRPr="00584845" w:rsidRDefault="00EC663D" w:rsidP="00584845">
    <w:pPr>
      <w:pStyle w:val="Footer"/>
      <w:rPr>
        <w:i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507" w:rsidRPr="00584845" w:rsidRDefault="006A4507" w:rsidP="00584845">
    <w:pPr>
      <w:pStyle w:val="Footer"/>
      <w:rPr>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B8D" w:rsidRDefault="00822B8D">
      <w:pPr>
        <w:spacing w:before="120" w:line="240" w:lineRule="auto"/>
        <w:ind w:left="-576"/>
      </w:pPr>
      <w:r>
        <w:separator/>
      </w:r>
    </w:p>
  </w:footnote>
  <w:footnote w:type="continuationSeparator" w:id="0">
    <w:p w:rsidR="00822B8D" w:rsidRDefault="00822B8D">
      <w:pPr>
        <w:spacing w:before="120" w:line="240" w:lineRule="auto"/>
      </w:pPr>
      <w:r>
        <w:continuationSeparator/>
      </w:r>
    </w:p>
  </w:footnote>
  <w:footnote w:id="1">
    <w:p w:rsidR="000E7C0F" w:rsidRPr="00D0089F" w:rsidRDefault="000E7C0F" w:rsidP="00F1066F">
      <w:pPr>
        <w:pStyle w:val="FootnoteText"/>
        <w:spacing w:after="120" w:line="240" w:lineRule="auto"/>
        <w:ind w:left="0" w:firstLine="0"/>
      </w:pPr>
      <w:r>
        <w:rPr>
          <w:rStyle w:val="FootnoteReference"/>
        </w:rPr>
        <w:footnoteRef/>
      </w:r>
      <w:r>
        <w:t xml:space="preserve"> </w:t>
      </w:r>
      <w:r w:rsidR="00D32DA4" w:rsidRPr="00D0089F">
        <w:rPr>
          <w:i/>
        </w:rPr>
        <w:t>In the Matter of the Application of Columbus Southern Power Company and Ohio Power Company, Individually and, if their Proposed Merger is Approved, as a Merged Company (collectively, AEP Ohio)for an Increase in Electric Distribution Rates</w:t>
      </w:r>
      <w:r w:rsidR="00D32DA4" w:rsidRPr="00D0089F">
        <w:t>, PUCO Case Nos. 11-351-EL-AIR and 11-352-EL-AIR, Columbus Southern Power Company Schedule E-3.2 and Ohio Power Company Schedule E-3.2 (February 28, 2011).</w:t>
      </w:r>
    </w:p>
  </w:footnote>
  <w:footnote w:id="2">
    <w:p w:rsidR="00BE74AA" w:rsidRPr="00D0089F" w:rsidRDefault="00BE74AA" w:rsidP="00F1066F">
      <w:pPr>
        <w:pStyle w:val="FootnoteText"/>
        <w:spacing w:after="120" w:line="240" w:lineRule="auto"/>
        <w:ind w:left="0" w:firstLine="0"/>
      </w:pPr>
      <w:r w:rsidRPr="00D0089F">
        <w:rPr>
          <w:rStyle w:val="FootnoteReference"/>
          <w:sz w:val="20"/>
        </w:rPr>
        <w:footnoteRef/>
      </w:r>
      <w:r w:rsidRPr="00D0089F">
        <w:t xml:space="preserve"> See page 2 of Exhibit AEM-2 for the proposed annual caps.</w:t>
      </w:r>
    </w:p>
  </w:footnote>
  <w:footnote w:id="3">
    <w:p w:rsidR="00383611" w:rsidRPr="00D0089F" w:rsidRDefault="00383611" w:rsidP="00F1066F">
      <w:pPr>
        <w:pStyle w:val="FootnoteText"/>
        <w:spacing w:after="120" w:line="240" w:lineRule="auto"/>
        <w:ind w:left="0" w:firstLine="0"/>
      </w:pPr>
      <w:r w:rsidRPr="00D0089F">
        <w:rPr>
          <w:rStyle w:val="FootnoteReference"/>
          <w:sz w:val="20"/>
        </w:rPr>
        <w:footnoteRef/>
      </w:r>
      <w:r w:rsidRPr="00D0089F">
        <w:t xml:space="preserve"> </w:t>
      </w:r>
      <w:r w:rsidR="00F80337" w:rsidRPr="00D0089F">
        <w:t>For the Utility’s cost-allocation proposals for costs collected through the DIR</w:t>
      </w:r>
      <w:r w:rsidR="004B1713" w:rsidRPr="00D0089F">
        <w:t>,</w:t>
      </w:r>
      <w:r w:rsidR="00F80337" w:rsidRPr="00D0089F">
        <w:t xml:space="preserve"> ESRR</w:t>
      </w:r>
      <w:r w:rsidR="004B1713" w:rsidRPr="00D0089F">
        <w:t>, SDRR, and SSWR</w:t>
      </w:r>
      <w:r w:rsidR="00F80337" w:rsidRPr="00D0089F">
        <w:t>, s</w:t>
      </w:r>
      <w:r w:rsidRPr="00D0089F">
        <w:t>ee AEP Ohio’s responses to OCC Int. 122</w:t>
      </w:r>
      <w:r w:rsidR="004B1713" w:rsidRPr="00D0089F">
        <w:t>,</w:t>
      </w:r>
      <w:r w:rsidR="00F80337" w:rsidRPr="00D0089F">
        <w:t xml:space="preserve"> </w:t>
      </w:r>
      <w:r w:rsidRPr="00D0089F">
        <w:t>126</w:t>
      </w:r>
      <w:r w:rsidR="004B1713" w:rsidRPr="00D0089F">
        <w:t>, 116, and 119</w:t>
      </w:r>
      <w:r w:rsidRPr="00D0089F">
        <w:t>,</w:t>
      </w:r>
      <w:r w:rsidR="00F80337" w:rsidRPr="00D0089F">
        <w:t xml:space="preserve"> respectively.</w:t>
      </w:r>
    </w:p>
  </w:footnote>
  <w:footnote w:id="4">
    <w:p w:rsidR="00E13AB4" w:rsidRPr="00D0089F" w:rsidRDefault="00E13AB4" w:rsidP="00F1066F">
      <w:pPr>
        <w:pStyle w:val="FootnoteText"/>
        <w:spacing w:after="120" w:line="240" w:lineRule="auto"/>
        <w:ind w:left="0" w:firstLine="0"/>
      </w:pPr>
      <w:r w:rsidRPr="00D0089F">
        <w:rPr>
          <w:rStyle w:val="FootnoteReference"/>
          <w:sz w:val="20"/>
        </w:rPr>
        <w:footnoteRef/>
      </w:r>
      <w:r w:rsidRPr="00D0089F">
        <w:t xml:space="preserve"> See AEP Ohio’s responses </w:t>
      </w:r>
      <w:r w:rsidR="00314852" w:rsidRPr="00D0089F">
        <w:t xml:space="preserve">to </w:t>
      </w:r>
      <w:r w:rsidRPr="00D0089F">
        <w:t>OCC Int. 117, 120, 123, 127, and 130.</w:t>
      </w:r>
    </w:p>
  </w:footnote>
  <w:footnote w:id="5">
    <w:p w:rsidR="001237F3" w:rsidRPr="00D0089F" w:rsidRDefault="001237F3" w:rsidP="00F1066F">
      <w:pPr>
        <w:pStyle w:val="FootnoteText"/>
        <w:spacing w:after="120" w:line="240" w:lineRule="auto"/>
        <w:ind w:left="0" w:firstLine="0"/>
      </w:pPr>
      <w:r w:rsidRPr="00D0089F">
        <w:rPr>
          <w:rStyle w:val="FootnoteReference"/>
          <w:sz w:val="20"/>
        </w:rPr>
        <w:footnoteRef/>
      </w:r>
      <w:r w:rsidRPr="00D0089F">
        <w:t xml:space="preserve"> AEP Ohio’s response to OCC Int. 123 with respect to net plant costs collected through the DIR. </w:t>
      </w:r>
      <w:r w:rsidR="00F312F3">
        <w:t xml:space="preserve"> </w:t>
      </w:r>
      <w:r w:rsidR="006956C5" w:rsidRPr="00D0089F">
        <w:t>(</w:t>
      </w:r>
      <w:r w:rsidRPr="00D0089F">
        <w:t>Emphasis added.</w:t>
      </w:r>
      <w:r w:rsidR="006956C5" w:rsidRPr="00D0089F">
        <w:t>)</w:t>
      </w:r>
    </w:p>
  </w:footnote>
  <w:footnote w:id="6">
    <w:p w:rsidR="00354CB7" w:rsidRPr="00D0089F" w:rsidRDefault="00354CB7" w:rsidP="00F1066F">
      <w:pPr>
        <w:pStyle w:val="FootnoteText"/>
        <w:spacing w:after="120" w:line="240" w:lineRule="auto"/>
        <w:ind w:left="0" w:firstLine="0"/>
      </w:pPr>
      <w:r w:rsidRPr="00D0089F">
        <w:rPr>
          <w:rStyle w:val="FootnoteReference"/>
          <w:sz w:val="20"/>
        </w:rPr>
        <w:footnoteRef/>
      </w:r>
      <w:r w:rsidRPr="00D0089F">
        <w:t xml:space="preserve"> Distribution O&amp;M expenses include spending for distribution plant O&amp;M, but excludes customer account expenses, customer services and sales expenses, and administrative and general expenses.</w:t>
      </w:r>
    </w:p>
  </w:footnote>
  <w:footnote w:id="7">
    <w:p w:rsidR="00FC7D36" w:rsidRPr="00D0089F" w:rsidRDefault="00FC7D36" w:rsidP="00F312F3">
      <w:pPr>
        <w:pStyle w:val="FootnoteText"/>
        <w:spacing w:after="120" w:line="240" w:lineRule="auto"/>
        <w:ind w:left="0" w:firstLine="0"/>
      </w:pPr>
      <w:r w:rsidRPr="00D0089F">
        <w:rPr>
          <w:rStyle w:val="FootnoteReference"/>
          <w:sz w:val="20"/>
        </w:rPr>
        <w:footnoteRef/>
      </w:r>
      <w:r w:rsidRPr="00D0089F">
        <w:t xml:space="preserve"> These allocators are derived from the cost allocations provided in the cost of service spreadsheet models provided by AEP Ohio in Case Nos. 11-351-EL-AIR and 11-352-EL-AIR. Specifically, the cost allocations are provided in Tab E-3.2 in the spreadsheet files </w:t>
      </w:r>
      <w:r w:rsidR="00033B27" w:rsidRPr="00D0089F">
        <w:t>‘2011-02-24 CSP CCOS Sched. 3.1 and 3.2 (Final).xls’ and ‘2011-02-24 OPCo CCOS Sched 3.1 and 3.2 (Final).xls</w:t>
      </w:r>
      <w:r w:rsidR="00F312F3">
        <w:t>.</w:t>
      </w:r>
      <w:r w:rsidR="00033B27" w:rsidRPr="00D0089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B8" w:rsidRDefault="006F29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25" w:rsidRPr="0023677B" w:rsidRDefault="00A96C16" w:rsidP="00C84725">
    <w:pPr>
      <w:pStyle w:val="Header"/>
      <w:spacing w:after="240" w:line="240" w:lineRule="exact"/>
      <w:jc w:val="center"/>
      <w:rPr>
        <w:i/>
        <w:iCs/>
        <w:sz w:val="20"/>
      </w:rPr>
    </w:pPr>
    <w:r>
      <w:rPr>
        <w:i/>
        <w:sz w:val="20"/>
      </w:rPr>
      <w:t>Direct Testimony of Jonathan Wallach</w:t>
    </w:r>
    <w:r w:rsidRPr="00C84725">
      <w:rPr>
        <w:i/>
        <w:sz w:val="20"/>
      </w:rPr>
      <w:t xml:space="preserve"> </w:t>
    </w:r>
    <w:r w:rsidR="00C84725" w:rsidRPr="00C84725">
      <w:rPr>
        <w:i/>
        <w:sz w:val="20"/>
      </w:rPr>
      <w:br/>
    </w:r>
    <w:r w:rsidR="00C84725" w:rsidRPr="0023677B">
      <w:rPr>
        <w:i/>
        <w:iCs/>
        <w:sz w:val="20"/>
      </w:rPr>
      <w:t>On Behalf of the Office of the Ohio Consumers’ Counsel</w:t>
    </w:r>
    <w:r w:rsidR="00C84725">
      <w:rPr>
        <w:i/>
        <w:iCs/>
        <w:sz w:val="20"/>
      </w:rPr>
      <w:br/>
    </w:r>
    <w:r w:rsidR="004846EC">
      <w:rPr>
        <w:i/>
        <w:iCs/>
        <w:sz w:val="20"/>
      </w:rPr>
      <w:t xml:space="preserve">PUCO </w:t>
    </w:r>
    <w:r w:rsidR="004846EC" w:rsidRPr="004846EC">
      <w:rPr>
        <w:i/>
        <w:iCs/>
        <w:sz w:val="20"/>
      </w:rPr>
      <w:t>Case Nos. 13-2385-EL-SSO</w:t>
    </w:r>
    <w:r w:rsidR="00F1066F">
      <w:rPr>
        <w:i/>
        <w:iCs/>
        <w:sz w:val="20"/>
      </w:rPr>
      <w:t>, 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B8" w:rsidRDefault="006F2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B9" w:rsidRPr="00A33EB9" w:rsidRDefault="00A33EB9" w:rsidP="00A33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86A892"/>
    <w:lvl w:ilvl="0">
      <w:start w:val="1"/>
      <w:numFmt w:val="decimal"/>
      <w:lvlText w:val="%1."/>
      <w:lvlJc w:val="left"/>
      <w:pPr>
        <w:tabs>
          <w:tab w:val="num" w:pos="1800"/>
        </w:tabs>
        <w:ind w:left="1800" w:hanging="360"/>
      </w:pPr>
    </w:lvl>
  </w:abstractNum>
  <w:abstractNum w:abstractNumId="1">
    <w:nsid w:val="FFFFFF7D"/>
    <w:multiLevelType w:val="singleLevel"/>
    <w:tmpl w:val="D366A282"/>
    <w:lvl w:ilvl="0">
      <w:start w:val="1"/>
      <w:numFmt w:val="decimal"/>
      <w:lvlText w:val="%1."/>
      <w:lvlJc w:val="left"/>
      <w:pPr>
        <w:tabs>
          <w:tab w:val="num" w:pos="1440"/>
        </w:tabs>
        <w:ind w:left="1440" w:hanging="360"/>
      </w:pPr>
    </w:lvl>
  </w:abstractNum>
  <w:abstractNum w:abstractNumId="2">
    <w:nsid w:val="FFFFFF7E"/>
    <w:multiLevelType w:val="singleLevel"/>
    <w:tmpl w:val="6BEA7854"/>
    <w:lvl w:ilvl="0">
      <w:start w:val="1"/>
      <w:numFmt w:val="decimal"/>
      <w:lvlText w:val="%1."/>
      <w:lvlJc w:val="left"/>
      <w:pPr>
        <w:tabs>
          <w:tab w:val="num" w:pos="1080"/>
        </w:tabs>
        <w:ind w:left="1080" w:hanging="360"/>
      </w:pPr>
    </w:lvl>
  </w:abstractNum>
  <w:abstractNum w:abstractNumId="3">
    <w:nsid w:val="FFFFFF7F"/>
    <w:multiLevelType w:val="singleLevel"/>
    <w:tmpl w:val="11A088A4"/>
    <w:lvl w:ilvl="0">
      <w:start w:val="1"/>
      <w:numFmt w:val="decimal"/>
      <w:lvlText w:val="%1."/>
      <w:lvlJc w:val="left"/>
      <w:pPr>
        <w:tabs>
          <w:tab w:val="num" w:pos="720"/>
        </w:tabs>
        <w:ind w:left="720" w:hanging="360"/>
      </w:pPr>
    </w:lvl>
  </w:abstractNum>
  <w:abstractNum w:abstractNumId="4">
    <w:nsid w:val="FFFFFF80"/>
    <w:multiLevelType w:val="singleLevel"/>
    <w:tmpl w:val="E1983E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D2449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A4401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56234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0AA14A"/>
    <w:lvl w:ilvl="0">
      <w:start w:val="1"/>
      <w:numFmt w:val="decimal"/>
      <w:lvlText w:val="%1."/>
      <w:lvlJc w:val="left"/>
      <w:pPr>
        <w:tabs>
          <w:tab w:val="num" w:pos="360"/>
        </w:tabs>
        <w:ind w:left="360" w:hanging="360"/>
      </w:pPr>
    </w:lvl>
  </w:abstractNum>
  <w:abstractNum w:abstractNumId="9">
    <w:nsid w:val="FFFFFF89"/>
    <w:multiLevelType w:val="singleLevel"/>
    <w:tmpl w:val="794CEBF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upperRoman"/>
      <w:pStyle w:val="Heading1"/>
      <w:lvlText w:val="%1."/>
      <w:legacy w:legacy="1" w:legacySpace="0" w:legacyIndent="547"/>
      <w:lvlJc w:val="left"/>
      <w:pPr>
        <w:ind w:left="547" w:hanging="547"/>
      </w:pPr>
    </w:lvl>
    <w:lvl w:ilvl="1">
      <w:start w:val="1"/>
      <w:numFmt w:val="upperLetter"/>
      <w:pStyle w:val="Heading2"/>
      <w:lvlText w:val="%2."/>
      <w:legacy w:legacy="1" w:legacySpace="0" w:legacyIndent="547"/>
      <w:lvlJc w:val="left"/>
      <w:pPr>
        <w:ind w:left="540" w:hanging="547"/>
      </w:pPr>
    </w:lvl>
    <w:lvl w:ilvl="2">
      <w:start w:val="1"/>
      <w:numFmt w:val="decimal"/>
      <w:pStyle w:val="Heading3"/>
      <w:lvlText w:val="%3."/>
      <w:legacy w:legacy="1" w:legacySpace="0" w:legacyIndent="547"/>
      <w:lvlJc w:val="left"/>
      <w:pPr>
        <w:ind w:left="540" w:hanging="547"/>
      </w:pPr>
    </w:lvl>
    <w:lvl w:ilvl="3">
      <w:start w:val="1"/>
      <w:numFmt w:val="lowerLetter"/>
      <w:pStyle w:val="Heading4"/>
      <w:lvlText w:val="%4)"/>
      <w:legacy w:legacy="1" w:legacySpace="0" w:legacyIndent="547"/>
      <w:lvlJc w:val="left"/>
      <w:pPr>
        <w:ind w:left="1094" w:hanging="547"/>
      </w:pPr>
    </w:lvl>
    <w:lvl w:ilvl="4">
      <w:start w:val="1"/>
      <w:numFmt w:val="decimal"/>
      <w:pStyle w:val="Heading5"/>
      <w:lvlText w:val="(%5)"/>
      <w:legacy w:legacy="1" w:legacySpace="0" w:legacyIndent="547"/>
      <w:lvlJc w:val="left"/>
      <w:pPr>
        <w:ind w:left="1080" w:hanging="547"/>
      </w:pPr>
    </w:lvl>
    <w:lvl w:ilvl="5">
      <w:start w:val="1"/>
      <w:numFmt w:val="lowerLetter"/>
      <w:pStyle w:val="Heading6"/>
      <w:lvlText w:val="(%6)"/>
      <w:legacy w:legacy="1" w:legacySpace="0" w:legacyIndent="547"/>
      <w:lvlJc w:val="left"/>
      <w:pPr>
        <w:ind w:left="1620" w:hanging="547"/>
      </w:pPr>
    </w:lvl>
    <w:lvl w:ilvl="6">
      <w:start w:val="1"/>
      <w:numFmt w:val="lowerRoman"/>
      <w:pStyle w:val="Heading7"/>
      <w:lvlText w:val="(%7)"/>
      <w:legacy w:legacy="1" w:legacySpace="0" w:legacyIndent="547"/>
      <w:lvlJc w:val="left"/>
      <w:pPr>
        <w:ind w:left="1620" w:hanging="547"/>
      </w:pPr>
    </w:lvl>
    <w:lvl w:ilvl="7">
      <w:start w:val="1"/>
      <w:numFmt w:val="lowerLetter"/>
      <w:pStyle w:val="Heading8"/>
      <w:lvlText w:val="(%8)"/>
      <w:legacy w:legacy="1" w:legacySpace="0" w:legacyIndent="547"/>
      <w:lvlJc w:val="left"/>
      <w:pPr>
        <w:ind w:left="4376" w:hanging="547"/>
      </w:pPr>
    </w:lvl>
    <w:lvl w:ilvl="8">
      <w:start w:val="1"/>
      <w:numFmt w:val="lowerRoman"/>
      <w:pStyle w:val="Heading9"/>
      <w:lvlText w:val="(%9)"/>
      <w:legacy w:legacy="1" w:legacySpace="0" w:legacyIndent="720"/>
      <w:lvlJc w:val="left"/>
      <w:pPr>
        <w:ind w:left="5096" w:hanging="720"/>
      </w:pPr>
    </w:lvl>
  </w:abstractNum>
  <w:abstractNum w:abstractNumId="11">
    <w:nsid w:val="51C53D20"/>
    <w:multiLevelType w:val="singleLevel"/>
    <w:tmpl w:val="BA4C678C"/>
    <w:lvl w:ilvl="0">
      <w:start w:val="1"/>
      <w:numFmt w:val="bullet"/>
      <w:lvlText w:val=""/>
      <w:lvlJc w:val="left"/>
      <w:pPr>
        <w:ind w:left="540" w:hanging="540"/>
      </w:pPr>
      <w:rPr>
        <w:rFonts w:ascii="Symbol" w:hAnsi="Symbol" w:cs="Courier New" w:hint="default"/>
      </w:rPr>
    </w:lvl>
  </w:abstractNum>
  <w:abstractNum w:abstractNumId="12">
    <w:nsid w:val="708D2A7B"/>
    <w:multiLevelType w:val="hybridMultilevel"/>
    <w:tmpl w:val="C2C2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4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16EF"/>
    <w:rsid w:val="00006951"/>
    <w:rsid w:val="00011849"/>
    <w:rsid w:val="00013FDB"/>
    <w:rsid w:val="00014677"/>
    <w:rsid w:val="0001486E"/>
    <w:rsid w:val="00017095"/>
    <w:rsid w:val="00033B27"/>
    <w:rsid w:val="000358A2"/>
    <w:rsid w:val="00062257"/>
    <w:rsid w:val="000900A5"/>
    <w:rsid w:val="000B3D6B"/>
    <w:rsid w:val="000B64EC"/>
    <w:rsid w:val="000E7C0F"/>
    <w:rsid w:val="00104977"/>
    <w:rsid w:val="00115FF7"/>
    <w:rsid w:val="00116FEA"/>
    <w:rsid w:val="001237F3"/>
    <w:rsid w:val="001650CE"/>
    <w:rsid w:val="00177587"/>
    <w:rsid w:val="001A1642"/>
    <w:rsid w:val="001B7CBF"/>
    <w:rsid w:val="001D45E7"/>
    <w:rsid w:val="001E4D79"/>
    <w:rsid w:val="00210678"/>
    <w:rsid w:val="0022342F"/>
    <w:rsid w:val="00246048"/>
    <w:rsid w:val="002629BE"/>
    <w:rsid w:val="00267E7E"/>
    <w:rsid w:val="00273CD7"/>
    <w:rsid w:val="002A51A5"/>
    <w:rsid w:val="002C2945"/>
    <w:rsid w:val="002D0EBF"/>
    <w:rsid w:val="002D2F02"/>
    <w:rsid w:val="002E3EDD"/>
    <w:rsid w:val="002F31CD"/>
    <w:rsid w:val="002F561A"/>
    <w:rsid w:val="003017B9"/>
    <w:rsid w:val="0030358F"/>
    <w:rsid w:val="00313DE6"/>
    <w:rsid w:val="00314852"/>
    <w:rsid w:val="003344E0"/>
    <w:rsid w:val="00354CB7"/>
    <w:rsid w:val="00357C2B"/>
    <w:rsid w:val="00361925"/>
    <w:rsid w:val="00383611"/>
    <w:rsid w:val="0039605F"/>
    <w:rsid w:val="003E3167"/>
    <w:rsid w:val="00440B9F"/>
    <w:rsid w:val="0046438F"/>
    <w:rsid w:val="004722B6"/>
    <w:rsid w:val="00474FBB"/>
    <w:rsid w:val="0048260D"/>
    <w:rsid w:val="004846EC"/>
    <w:rsid w:val="004A253D"/>
    <w:rsid w:val="004B0BBE"/>
    <w:rsid w:val="004B1713"/>
    <w:rsid w:val="004C48A0"/>
    <w:rsid w:val="004C5600"/>
    <w:rsid w:val="004E7ABB"/>
    <w:rsid w:val="004F545E"/>
    <w:rsid w:val="005055E8"/>
    <w:rsid w:val="00511BD3"/>
    <w:rsid w:val="00533757"/>
    <w:rsid w:val="00543C3D"/>
    <w:rsid w:val="00557495"/>
    <w:rsid w:val="00565F81"/>
    <w:rsid w:val="00584845"/>
    <w:rsid w:val="00587409"/>
    <w:rsid w:val="005926CA"/>
    <w:rsid w:val="005A1FA2"/>
    <w:rsid w:val="005A7659"/>
    <w:rsid w:val="005C4AD3"/>
    <w:rsid w:val="005E2803"/>
    <w:rsid w:val="005E4248"/>
    <w:rsid w:val="005F238A"/>
    <w:rsid w:val="005F2CE4"/>
    <w:rsid w:val="0061049C"/>
    <w:rsid w:val="0061669F"/>
    <w:rsid w:val="00652431"/>
    <w:rsid w:val="00653B3B"/>
    <w:rsid w:val="00670825"/>
    <w:rsid w:val="0067428C"/>
    <w:rsid w:val="00677836"/>
    <w:rsid w:val="006956C5"/>
    <w:rsid w:val="006A4507"/>
    <w:rsid w:val="006A47D7"/>
    <w:rsid w:val="006B2096"/>
    <w:rsid w:val="006B4D4C"/>
    <w:rsid w:val="006E2B33"/>
    <w:rsid w:val="006F29B8"/>
    <w:rsid w:val="007139B6"/>
    <w:rsid w:val="0072792F"/>
    <w:rsid w:val="00746CCD"/>
    <w:rsid w:val="0075633C"/>
    <w:rsid w:val="00767F84"/>
    <w:rsid w:val="007A3414"/>
    <w:rsid w:val="007C7DE5"/>
    <w:rsid w:val="007D10D4"/>
    <w:rsid w:val="00814661"/>
    <w:rsid w:val="00822B8D"/>
    <w:rsid w:val="00846023"/>
    <w:rsid w:val="00886A6A"/>
    <w:rsid w:val="008A5CDB"/>
    <w:rsid w:val="008B35F1"/>
    <w:rsid w:val="008D6140"/>
    <w:rsid w:val="008E069B"/>
    <w:rsid w:val="009041D2"/>
    <w:rsid w:val="00937A45"/>
    <w:rsid w:val="00945155"/>
    <w:rsid w:val="00947D4E"/>
    <w:rsid w:val="00956F1B"/>
    <w:rsid w:val="009A4B4B"/>
    <w:rsid w:val="009B16EF"/>
    <w:rsid w:val="009C003B"/>
    <w:rsid w:val="009C2173"/>
    <w:rsid w:val="009D0CD9"/>
    <w:rsid w:val="009D3910"/>
    <w:rsid w:val="009D5772"/>
    <w:rsid w:val="00A33EB9"/>
    <w:rsid w:val="00A44C6E"/>
    <w:rsid w:val="00A517C2"/>
    <w:rsid w:val="00A85633"/>
    <w:rsid w:val="00A919F1"/>
    <w:rsid w:val="00A96C16"/>
    <w:rsid w:val="00A9793A"/>
    <w:rsid w:val="00AA4324"/>
    <w:rsid w:val="00AA7DBC"/>
    <w:rsid w:val="00B03353"/>
    <w:rsid w:val="00B0617F"/>
    <w:rsid w:val="00B42C16"/>
    <w:rsid w:val="00B90558"/>
    <w:rsid w:val="00B90FBE"/>
    <w:rsid w:val="00BA7A53"/>
    <w:rsid w:val="00BB23CB"/>
    <w:rsid w:val="00BB526A"/>
    <w:rsid w:val="00BC2C57"/>
    <w:rsid w:val="00BE74AA"/>
    <w:rsid w:val="00C028B4"/>
    <w:rsid w:val="00C106B0"/>
    <w:rsid w:val="00C660C8"/>
    <w:rsid w:val="00C72B58"/>
    <w:rsid w:val="00C84725"/>
    <w:rsid w:val="00C84EFA"/>
    <w:rsid w:val="00C90D8B"/>
    <w:rsid w:val="00C9269E"/>
    <w:rsid w:val="00CB736A"/>
    <w:rsid w:val="00CE29FB"/>
    <w:rsid w:val="00CE30E7"/>
    <w:rsid w:val="00D0089F"/>
    <w:rsid w:val="00D00FC5"/>
    <w:rsid w:val="00D0375B"/>
    <w:rsid w:val="00D261F1"/>
    <w:rsid w:val="00D31644"/>
    <w:rsid w:val="00D31CAA"/>
    <w:rsid w:val="00D32DA4"/>
    <w:rsid w:val="00D7274E"/>
    <w:rsid w:val="00DB41A0"/>
    <w:rsid w:val="00DC4E15"/>
    <w:rsid w:val="00DC567D"/>
    <w:rsid w:val="00DD18EA"/>
    <w:rsid w:val="00DD6270"/>
    <w:rsid w:val="00DE27FB"/>
    <w:rsid w:val="00DF4A19"/>
    <w:rsid w:val="00E061E6"/>
    <w:rsid w:val="00E06D55"/>
    <w:rsid w:val="00E13AB4"/>
    <w:rsid w:val="00E155AF"/>
    <w:rsid w:val="00E21AF6"/>
    <w:rsid w:val="00EB58A8"/>
    <w:rsid w:val="00EC663D"/>
    <w:rsid w:val="00EE6DB2"/>
    <w:rsid w:val="00F1066F"/>
    <w:rsid w:val="00F214FF"/>
    <w:rsid w:val="00F23E7C"/>
    <w:rsid w:val="00F312F3"/>
    <w:rsid w:val="00F578F1"/>
    <w:rsid w:val="00F634A8"/>
    <w:rsid w:val="00F80337"/>
    <w:rsid w:val="00F954ED"/>
    <w:rsid w:val="00FC7D36"/>
    <w:rsid w:val="00FD1BD5"/>
    <w:rsid w:val="00FD76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173"/>
    <w:pPr>
      <w:spacing w:line="480" w:lineRule="exact"/>
    </w:pPr>
    <w:rPr>
      <w:rFonts w:ascii="Times New Roman" w:hAnsi="Times New Roman"/>
      <w:kern w:val="22"/>
      <w:sz w:val="24"/>
    </w:rPr>
  </w:style>
  <w:style w:type="paragraph" w:styleId="Heading1">
    <w:name w:val="heading 1"/>
    <w:basedOn w:val="Normal"/>
    <w:next w:val="Testimony"/>
    <w:qFormat/>
    <w:rsid w:val="003E3167"/>
    <w:pPr>
      <w:keepNext/>
      <w:keepLines/>
      <w:numPr>
        <w:numId w:val="10"/>
      </w:numPr>
      <w:spacing w:before="240"/>
      <w:outlineLvl w:val="0"/>
    </w:pPr>
    <w:rPr>
      <w:b/>
      <w:caps/>
    </w:rPr>
  </w:style>
  <w:style w:type="paragraph" w:styleId="Heading2">
    <w:name w:val="heading 2"/>
    <w:basedOn w:val="Heading1"/>
    <w:next w:val="Testimony"/>
    <w:qFormat/>
    <w:rsid w:val="00B90558"/>
    <w:pPr>
      <w:numPr>
        <w:ilvl w:val="1"/>
      </w:numPr>
      <w:outlineLvl w:val="1"/>
    </w:pPr>
    <w:rPr>
      <w:i/>
    </w:rPr>
  </w:style>
  <w:style w:type="paragraph" w:styleId="Heading3">
    <w:name w:val="heading 3"/>
    <w:basedOn w:val="Heading1"/>
    <w:next w:val="Testimony"/>
    <w:qFormat/>
    <w:rsid w:val="00B90558"/>
    <w:pPr>
      <w:numPr>
        <w:ilvl w:val="2"/>
      </w:numPr>
      <w:outlineLvl w:val="2"/>
    </w:pPr>
    <w:rPr>
      <w:b w:val="0"/>
      <w:i/>
    </w:rPr>
  </w:style>
  <w:style w:type="paragraph" w:styleId="Heading4">
    <w:name w:val="heading 4"/>
    <w:basedOn w:val="Heading1"/>
    <w:next w:val="Testimony"/>
    <w:qFormat/>
    <w:rsid w:val="00B90558"/>
    <w:pPr>
      <w:numPr>
        <w:ilvl w:val="3"/>
      </w:numPr>
      <w:outlineLvl w:val="3"/>
    </w:pPr>
    <w:rPr>
      <w:b w:val="0"/>
      <w:i/>
    </w:rPr>
  </w:style>
  <w:style w:type="paragraph" w:styleId="Heading5">
    <w:name w:val="heading 5"/>
    <w:basedOn w:val="Heading1"/>
    <w:next w:val="Testimony"/>
    <w:qFormat/>
    <w:rsid w:val="00B90558"/>
    <w:pPr>
      <w:numPr>
        <w:ilvl w:val="4"/>
      </w:numPr>
      <w:spacing w:before="120"/>
      <w:outlineLvl w:val="4"/>
    </w:pPr>
    <w:rPr>
      <w:b w:val="0"/>
    </w:rPr>
  </w:style>
  <w:style w:type="paragraph" w:styleId="Heading6">
    <w:name w:val="heading 6"/>
    <w:basedOn w:val="Normal"/>
    <w:next w:val="Testimony"/>
    <w:qFormat/>
    <w:rsid w:val="00B90558"/>
    <w:pPr>
      <w:numPr>
        <w:ilvl w:val="5"/>
        <w:numId w:val="10"/>
      </w:numPr>
      <w:spacing w:before="80"/>
      <w:outlineLvl w:val="5"/>
    </w:pPr>
    <w:rPr>
      <w:i/>
    </w:rPr>
  </w:style>
  <w:style w:type="paragraph" w:styleId="Heading7">
    <w:name w:val="heading 7"/>
    <w:basedOn w:val="Normal"/>
    <w:next w:val="Testimony"/>
    <w:qFormat/>
    <w:rsid w:val="00B90558"/>
    <w:pPr>
      <w:numPr>
        <w:ilvl w:val="6"/>
        <w:numId w:val="10"/>
      </w:numPr>
      <w:spacing w:before="40"/>
      <w:outlineLvl w:val="6"/>
    </w:pPr>
  </w:style>
  <w:style w:type="paragraph" w:styleId="Heading8">
    <w:name w:val="heading 8"/>
    <w:basedOn w:val="Normal"/>
    <w:next w:val="Normal"/>
    <w:qFormat/>
    <w:rsid w:val="00B90558"/>
    <w:pPr>
      <w:numPr>
        <w:ilvl w:val="7"/>
        <w:numId w:val="10"/>
      </w:numPr>
      <w:spacing w:before="240" w:after="60"/>
      <w:outlineLvl w:val="7"/>
    </w:pPr>
    <w:rPr>
      <w:rFonts w:ascii="Arial" w:hAnsi="Arial"/>
      <w:i/>
      <w:sz w:val="20"/>
    </w:rPr>
  </w:style>
  <w:style w:type="paragraph" w:styleId="Heading9">
    <w:name w:val="heading 9"/>
    <w:basedOn w:val="Normal"/>
    <w:next w:val="Normal"/>
    <w:qFormat/>
    <w:rsid w:val="00B90558"/>
    <w:pPr>
      <w:numPr>
        <w:ilvl w:val="8"/>
        <w:numId w:val="10"/>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imony">
    <w:name w:val="Testimony"/>
    <w:basedOn w:val="A"/>
    <w:rsid w:val="009C2173"/>
    <w:pPr>
      <w:ind w:firstLine="547"/>
    </w:pPr>
  </w:style>
  <w:style w:type="paragraph" w:customStyle="1" w:styleId="A">
    <w:name w:val="A:"/>
    <w:basedOn w:val="Normal"/>
    <w:next w:val="Testimony"/>
    <w:rsid w:val="009C2173"/>
    <w:pPr>
      <w:ind w:left="547" w:hanging="547"/>
    </w:pPr>
  </w:style>
  <w:style w:type="paragraph" w:styleId="TOC5">
    <w:name w:val="toc 5"/>
    <w:basedOn w:val="Normal"/>
    <w:next w:val="Normal"/>
    <w:semiHidden/>
    <w:rsid w:val="00B90558"/>
    <w:pPr>
      <w:tabs>
        <w:tab w:val="right" w:leader="dot" w:pos="8640"/>
      </w:tabs>
      <w:ind w:left="2160" w:right="720" w:hanging="360"/>
    </w:pPr>
  </w:style>
  <w:style w:type="paragraph" w:styleId="TOC4">
    <w:name w:val="toc 4"/>
    <w:basedOn w:val="Normal"/>
    <w:next w:val="Normal"/>
    <w:semiHidden/>
    <w:rsid w:val="00B90558"/>
    <w:pPr>
      <w:tabs>
        <w:tab w:val="right" w:leader="dot" w:pos="8640"/>
      </w:tabs>
      <w:ind w:left="1800" w:right="720" w:hanging="374"/>
    </w:pPr>
  </w:style>
  <w:style w:type="paragraph" w:styleId="TOC3">
    <w:name w:val="toc 3"/>
    <w:basedOn w:val="Normal"/>
    <w:next w:val="Normal"/>
    <w:semiHidden/>
    <w:rsid w:val="00B90558"/>
    <w:pPr>
      <w:tabs>
        <w:tab w:val="left" w:pos="1800"/>
        <w:tab w:val="right" w:leader="dot" w:pos="9072"/>
      </w:tabs>
      <w:ind w:left="1440" w:right="720" w:hanging="360"/>
    </w:pPr>
    <w:rPr>
      <w:noProof/>
    </w:rPr>
  </w:style>
  <w:style w:type="paragraph" w:styleId="TOC2">
    <w:name w:val="toc 2"/>
    <w:basedOn w:val="Normal"/>
    <w:next w:val="Normal"/>
    <w:semiHidden/>
    <w:rsid w:val="00B90558"/>
    <w:pPr>
      <w:tabs>
        <w:tab w:val="left" w:pos="1440"/>
        <w:tab w:val="right" w:leader="dot" w:pos="9072"/>
      </w:tabs>
      <w:ind w:left="1022" w:right="720" w:hanging="403"/>
    </w:pPr>
    <w:rPr>
      <w:noProof/>
    </w:rPr>
  </w:style>
  <w:style w:type="paragraph" w:styleId="TOC1">
    <w:name w:val="toc 1"/>
    <w:basedOn w:val="Normal"/>
    <w:next w:val="Normal"/>
    <w:autoRedefine/>
    <w:uiPriority w:val="39"/>
    <w:qFormat/>
    <w:rsid w:val="007A3414"/>
    <w:pPr>
      <w:tabs>
        <w:tab w:val="left" w:pos="720"/>
        <w:tab w:val="decimal" w:leader="dot" w:pos="8640"/>
      </w:tabs>
      <w:spacing w:after="240" w:line="240" w:lineRule="auto"/>
      <w:ind w:left="619" w:hanging="619"/>
    </w:pPr>
    <w:rPr>
      <w:caps/>
      <w:noProof/>
    </w:rPr>
  </w:style>
  <w:style w:type="character" w:styleId="LineNumber">
    <w:name w:val="line number"/>
    <w:rsid w:val="00746CCD"/>
    <w:rPr>
      <w:rFonts w:ascii="Times New Roman" w:hAnsi="Times New Roman"/>
      <w:color w:val="auto"/>
      <w:sz w:val="20"/>
    </w:rPr>
  </w:style>
  <w:style w:type="paragraph" w:styleId="Footer">
    <w:name w:val="footer"/>
    <w:basedOn w:val="Normal"/>
    <w:next w:val="Normal"/>
    <w:link w:val="FooterChar"/>
    <w:uiPriority w:val="99"/>
    <w:rsid w:val="00B90558"/>
    <w:pPr>
      <w:tabs>
        <w:tab w:val="right" w:pos="8640"/>
      </w:tabs>
      <w:spacing w:line="240" w:lineRule="auto"/>
      <w:ind w:left="-576"/>
    </w:pPr>
    <w:rPr>
      <w:i/>
      <w:sz w:val="22"/>
    </w:rPr>
  </w:style>
  <w:style w:type="paragraph" w:styleId="Header">
    <w:name w:val="header"/>
    <w:basedOn w:val="Normal"/>
    <w:next w:val="Normal"/>
    <w:link w:val="HeaderChar"/>
    <w:rsid w:val="00B90558"/>
    <w:pPr>
      <w:tabs>
        <w:tab w:val="center" w:pos="4320"/>
        <w:tab w:val="right" w:pos="8640"/>
      </w:tabs>
    </w:pPr>
  </w:style>
  <w:style w:type="character" w:styleId="FootnoteReference">
    <w:name w:val="footnote reference"/>
    <w:semiHidden/>
    <w:rsid w:val="00746CCD"/>
    <w:rPr>
      <w:rFonts w:ascii="Times New Roman" w:hAnsi="Times New Roman"/>
      <w:color w:val="auto"/>
      <w:position w:val="7"/>
      <w:sz w:val="17"/>
    </w:rPr>
  </w:style>
  <w:style w:type="paragraph" w:styleId="FootnoteText">
    <w:name w:val="footnote text"/>
    <w:basedOn w:val="Normal"/>
    <w:semiHidden/>
    <w:rsid w:val="009C2173"/>
    <w:pPr>
      <w:spacing w:after="240" w:line="240" w:lineRule="atLeast"/>
      <w:ind w:left="-576" w:firstLine="360"/>
    </w:pPr>
    <w:rPr>
      <w:sz w:val="20"/>
    </w:rPr>
  </w:style>
  <w:style w:type="paragraph" w:styleId="NormalIndent">
    <w:name w:val="Normal Indent"/>
    <w:basedOn w:val="Normal"/>
    <w:next w:val="Normal"/>
    <w:rsid w:val="00B90558"/>
    <w:pPr>
      <w:ind w:left="547"/>
    </w:pPr>
  </w:style>
  <w:style w:type="paragraph" w:styleId="Title">
    <w:name w:val="Title"/>
    <w:basedOn w:val="Normal"/>
    <w:next w:val="Normal"/>
    <w:qFormat/>
    <w:rsid w:val="00677836"/>
    <w:pPr>
      <w:tabs>
        <w:tab w:val="left" w:pos="1440"/>
      </w:tabs>
      <w:spacing w:after="120" w:line="480" w:lineRule="atLeast"/>
      <w:jc w:val="center"/>
    </w:pPr>
    <w:rPr>
      <w:b/>
      <w:smallCaps/>
    </w:rPr>
  </w:style>
  <w:style w:type="paragraph" w:customStyle="1" w:styleId="BlockQuote">
    <w:name w:val="Block Quote"/>
    <w:basedOn w:val="Normal"/>
    <w:next w:val="Testimony"/>
    <w:rsid w:val="009C2173"/>
    <w:pPr>
      <w:keepLines/>
      <w:spacing w:before="100" w:after="100" w:line="280" w:lineRule="exact"/>
      <w:ind w:left="1080" w:right="547"/>
    </w:pPr>
    <w:rPr>
      <w:sz w:val="22"/>
      <w:szCs w:val="24"/>
    </w:rPr>
  </w:style>
  <w:style w:type="paragraph" w:customStyle="1" w:styleId="Subhead">
    <w:name w:val="Subhead"/>
    <w:basedOn w:val="Normal"/>
    <w:next w:val="Normal"/>
    <w:rsid w:val="00B90558"/>
    <w:pPr>
      <w:keepNext/>
      <w:keepLines/>
      <w:tabs>
        <w:tab w:val="left" w:pos="1440"/>
      </w:tabs>
      <w:spacing w:before="240" w:line="320" w:lineRule="exact"/>
      <w:ind w:left="540"/>
    </w:pPr>
    <w:rPr>
      <w:rFonts w:ascii="Arial" w:hAnsi="Arial"/>
      <w:b/>
    </w:rPr>
  </w:style>
  <w:style w:type="paragraph" w:customStyle="1" w:styleId="Q">
    <w:name w:val="Q:"/>
    <w:basedOn w:val="A"/>
    <w:next w:val="A"/>
    <w:rsid w:val="003E3167"/>
    <w:pPr>
      <w:keepNext/>
      <w:spacing w:before="480"/>
    </w:pPr>
    <w:rPr>
      <w:b/>
      <w:i/>
      <w:caps/>
    </w:rPr>
  </w:style>
  <w:style w:type="paragraph" w:customStyle="1" w:styleId="Equation">
    <w:name w:val="Equation"/>
    <w:basedOn w:val="BlockQuote"/>
    <w:rsid w:val="00B90558"/>
    <w:pPr>
      <w:tabs>
        <w:tab w:val="center" w:pos="4680"/>
        <w:tab w:val="right" w:pos="8640"/>
      </w:tabs>
      <w:spacing w:line="480" w:lineRule="exact"/>
      <w:ind w:left="900"/>
    </w:pPr>
    <w:rPr>
      <w:sz w:val="26"/>
    </w:rPr>
  </w:style>
  <w:style w:type="paragraph" w:styleId="List">
    <w:name w:val="List"/>
    <w:basedOn w:val="Normal"/>
    <w:rsid w:val="00B90558"/>
    <w:pPr>
      <w:ind w:left="1087" w:hanging="540"/>
      <w:jc w:val="both"/>
    </w:pPr>
  </w:style>
  <w:style w:type="paragraph" w:customStyle="1" w:styleId="List2">
    <w:name w:val="List2"/>
    <w:basedOn w:val="List"/>
    <w:rsid w:val="00B90558"/>
    <w:pPr>
      <w:ind w:left="1620"/>
    </w:pPr>
  </w:style>
  <w:style w:type="paragraph" w:customStyle="1" w:styleId="Table">
    <w:name w:val="Table"/>
    <w:basedOn w:val="Testimony"/>
    <w:rsid w:val="00B90558"/>
    <w:pPr>
      <w:spacing w:before="60" w:line="240" w:lineRule="auto"/>
      <w:ind w:left="0" w:firstLine="0"/>
    </w:pPr>
    <w:rPr>
      <w:rFonts w:ascii="Arial" w:hAnsi="Arial"/>
      <w:sz w:val="22"/>
    </w:rPr>
  </w:style>
  <w:style w:type="paragraph" w:styleId="TOC9">
    <w:name w:val="toc 9"/>
    <w:basedOn w:val="Normal"/>
    <w:next w:val="Normal"/>
    <w:semiHidden/>
    <w:rsid w:val="00B90558"/>
    <w:pPr>
      <w:tabs>
        <w:tab w:val="right" w:leader="dot" w:pos="8626"/>
      </w:tabs>
      <w:ind w:left="2080"/>
    </w:pPr>
  </w:style>
  <w:style w:type="character" w:styleId="PageNumber">
    <w:name w:val="page number"/>
    <w:rsid w:val="00B90558"/>
  </w:style>
  <w:style w:type="paragraph" w:styleId="MacroText">
    <w:name w:val="macro"/>
    <w:semiHidden/>
    <w:rsid w:val="00B9055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Arial" w:hAnsi="Arial"/>
    </w:rPr>
  </w:style>
  <w:style w:type="paragraph" w:customStyle="1" w:styleId="DocketNumber">
    <w:name w:val="Docket Number"/>
    <w:basedOn w:val="Normal"/>
    <w:rsid w:val="00B90558"/>
    <w:pPr>
      <w:spacing w:line="400" w:lineRule="exact"/>
      <w:jc w:val="right"/>
    </w:pPr>
    <w:rPr>
      <w:b/>
    </w:rPr>
  </w:style>
  <w:style w:type="character" w:styleId="Hyperlink">
    <w:name w:val="Hyperlink"/>
    <w:uiPriority w:val="99"/>
    <w:rsid w:val="00B90558"/>
    <w:rPr>
      <w:u w:val="none"/>
    </w:rPr>
  </w:style>
  <w:style w:type="paragraph" w:styleId="Caption">
    <w:name w:val="caption"/>
    <w:basedOn w:val="Normal"/>
    <w:next w:val="Normal"/>
    <w:unhideWhenUsed/>
    <w:qFormat/>
    <w:rsid w:val="00B90558"/>
    <w:pPr>
      <w:keepNext/>
      <w:spacing w:before="240" w:line="240" w:lineRule="exact"/>
      <w:ind w:left="1411" w:hanging="864"/>
    </w:pPr>
    <w:rPr>
      <w:b/>
      <w:bCs/>
      <w:szCs w:val="24"/>
    </w:rPr>
  </w:style>
  <w:style w:type="character" w:customStyle="1" w:styleId="HeaderChar">
    <w:name w:val="Header Char"/>
    <w:link w:val="Header"/>
    <w:rsid w:val="00C84725"/>
    <w:rPr>
      <w:rFonts w:ascii="Times New Roman" w:hAnsi="Times New Roman"/>
      <w:kern w:val="22"/>
      <w:sz w:val="26"/>
    </w:rPr>
  </w:style>
  <w:style w:type="character" w:customStyle="1" w:styleId="FooterChar">
    <w:name w:val="Footer Char"/>
    <w:link w:val="Footer"/>
    <w:uiPriority w:val="99"/>
    <w:rsid w:val="00584845"/>
    <w:rPr>
      <w:rFonts w:ascii="Times New Roman" w:hAnsi="Times New Roman"/>
      <w:i/>
      <w:kern w:val="22"/>
      <w:sz w:val="22"/>
    </w:rPr>
  </w:style>
  <w:style w:type="paragraph" w:styleId="BalloonText">
    <w:name w:val="Balloon Text"/>
    <w:basedOn w:val="Normal"/>
    <w:link w:val="BalloonTextChar"/>
    <w:rsid w:val="00357C2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57C2B"/>
    <w:rPr>
      <w:rFonts w:ascii="Tahoma" w:hAnsi="Tahoma" w:cs="Tahoma"/>
      <w:kern w:val="22"/>
      <w:sz w:val="16"/>
      <w:szCs w:val="16"/>
    </w:rPr>
  </w:style>
  <w:style w:type="paragraph" w:styleId="HTMLPreformatted">
    <w:name w:val="HTML Preformatted"/>
    <w:basedOn w:val="Normal"/>
    <w:link w:val="HTMLPreformattedChar"/>
    <w:uiPriority w:val="99"/>
    <w:rsid w:val="00F10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kern w:val="0"/>
      <w:sz w:val="20"/>
    </w:rPr>
  </w:style>
  <w:style w:type="character" w:customStyle="1" w:styleId="HTMLPreformattedChar">
    <w:name w:val="HTML Preformatted Char"/>
    <w:basedOn w:val="DefaultParagraphFont"/>
    <w:link w:val="HTMLPreformatted"/>
    <w:uiPriority w:val="99"/>
    <w:rsid w:val="00F1066F"/>
    <w:rPr>
      <w:rFonts w:ascii="Courier New" w:hAnsi="Courier New" w:cs="Courier New"/>
    </w:rPr>
  </w:style>
  <w:style w:type="paragraph" w:styleId="EndnoteText">
    <w:name w:val="endnote text"/>
    <w:basedOn w:val="Normal"/>
    <w:link w:val="EndnoteTextChar"/>
    <w:unhideWhenUsed/>
    <w:rsid w:val="008A5CDB"/>
    <w:pPr>
      <w:widowControl w:val="0"/>
      <w:snapToGrid w:val="0"/>
      <w:spacing w:line="240" w:lineRule="auto"/>
    </w:pPr>
    <w:rPr>
      <w:rFonts w:ascii="Courier New" w:hAnsi="Courier New"/>
      <w:kern w:val="0"/>
    </w:rPr>
  </w:style>
  <w:style w:type="character" w:customStyle="1" w:styleId="EndnoteTextChar">
    <w:name w:val="Endnote Text Char"/>
    <w:basedOn w:val="DefaultParagraphFont"/>
    <w:link w:val="EndnoteText"/>
    <w:rsid w:val="008A5CDB"/>
    <w:rPr>
      <w:rFonts w:ascii="Courier New" w:hAnsi="Courier New"/>
      <w:sz w:val="24"/>
    </w:rPr>
  </w:style>
  <w:style w:type="character" w:styleId="CommentReference">
    <w:name w:val="annotation reference"/>
    <w:basedOn w:val="DefaultParagraphFont"/>
    <w:rsid w:val="0061049C"/>
    <w:rPr>
      <w:sz w:val="16"/>
      <w:szCs w:val="16"/>
    </w:rPr>
  </w:style>
  <w:style w:type="paragraph" w:styleId="CommentText">
    <w:name w:val="annotation text"/>
    <w:basedOn w:val="Normal"/>
    <w:link w:val="CommentTextChar"/>
    <w:rsid w:val="0061049C"/>
    <w:pPr>
      <w:spacing w:line="240" w:lineRule="auto"/>
    </w:pPr>
    <w:rPr>
      <w:sz w:val="20"/>
    </w:rPr>
  </w:style>
  <w:style w:type="character" w:customStyle="1" w:styleId="CommentTextChar">
    <w:name w:val="Comment Text Char"/>
    <w:basedOn w:val="DefaultParagraphFont"/>
    <w:link w:val="CommentText"/>
    <w:rsid w:val="0061049C"/>
    <w:rPr>
      <w:rFonts w:ascii="Times New Roman" w:hAnsi="Times New Roman"/>
      <w:kern w:val="22"/>
    </w:rPr>
  </w:style>
  <w:style w:type="paragraph" w:styleId="CommentSubject">
    <w:name w:val="annotation subject"/>
    <w:basedOn w:val="CommentText"/>
    <w:next w:val="CommentText"/>
    <w:link w:val="CommentSubjectChar"/>
    <w:rsid w:val="0061049C"/>
    <w:rPr>
      <w:b/>
      <w:bCs/>
    </w:rPr>
  </w:style>
  <w:style w:type="character" w:customStyle="1" w:styleId="CommentSubjectChar">
    <w:name w:val="Comment Subject Char"/>
    <w:basedOn w:val="CommentTextChar"/>
    <w:link w:val="CommentSubject"/>
    <w:rsid w:val="0061049C"/>
    <w:rPr>
      <w:rFonts w:ascii="Times New Roman" w:hAnsi="Times New Roman"/>
      <w:b/>
      <w:bCs/>
      <w:kern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173"/>
    <w:pPr>
      <w:spacing w:line="480" w:lineRule="exact"/>
    </w:pPr>
    <w:rPr>
      <w:rFonts w:ascii="Times New Roman" w:hAnsi="Times New Roman"/>
      <w:kern w:val="22"/>
      <w:sz w:val="24"/>
    </w:rPr>
  </w:style>
  <w:style w:type="paragraph" w:styleId="Heading1">
    <w:name w:val="heading 1"/>
    <w:basedOn w:val="Normal"/>
    <w:next w:val="Testimony"/>
    <w:qFormat/>
    <w:rsid w:val="003E3167"/>
    <w:pPr>
      <w:keepNext/>
      <w:keepLines/>
      <w:numPr>
        <w:numId w:val="10"/>
      </w:numPr>
      <w:spacing w:before="240"/>
      <w:outlineLvl w:val="0"/>
    </w:pPr>
    <w:rPr>
      <w:b/>
      <w:caps/>
    </w:rPr>
  </w:style>
  <w:style w:type="paragraph" w:styleId="Heading2">
    <w:name w:val="heading 2"/>
    <w:basedOn w:val="Heading1"/>
    <w:next w:val="Testimony"/>
    <w:qFormat/>
    <w:rsid w:val="00B90558"/>
    <w:pPr>
      <w:numPr>
        <w:ilvl w:val="1"/>
      </w:numPr>
      <w:outlineLvl w:val="1"/>
    </w:pPr>
    <w:rPr>
      <w:i/>
    </w:rPr>
  </w:style>
  <w:style w:type="paragraph" w:styleId="Heading3">
    <w:name w:val="heading 3"/>
    <w:basedOn w:val="Heading1"/>
    <w:next w:val="Testimony"/>
    <w:qFormat/>
    <w:rsid w:val="00B90558"/>
    <w:pPr>
      <w:numPr>
        <w:ilvl w:val="2"/>
      </w:numPr>
      <w:outlineLvl w:val="2"/>
    </w:pPr>
    <w:rPr>
      <w:b w:val="0"/>
      <w:i/>
    </w:rPr>
  </w:style>
  <w:style w:type="paragraph" w:styleId="Heading4">
    <w:name w:val="heading 4"/>
    <w:basedOn w:val="Heading1"/>
    <w:next w:val="Testimony"/>
    <w:qFormat/>
    <w:rsid w:val="00B90558"/>
    <w:pPr>
      <w:numPr>
        <w:ilvl w:val="3"/>
      </w:numPr>
      <w:outlineLvl w:val="3"/>
    </w:pPr>
    <w:rPr>
      <w:b w:val="0"/>
      <w:i/>
    </w:rPr>
  </w:style>
  <w:style w:type="paragraph" w:styleId="Heading5">
    <w:name w:val="heading 5"/>
    <w:basedOn w:val="Heading1"/>
    <w:next w:val="Testimony"/>
    <w:qFormat/>
    <w:rsid w:val="00B90558"/>
    <w:pPr>
      <w:numPr>
        <w:ilvl w:val="4"/>
      </w:numPr>
      <w:spacing w:before="120"/>
      <w:outlineLvl w:val="4"/>
    </w:pPr>
    <w:rPr>
      <w:b w:val="0"/>
    </w:rPr>
  </w:style>
  <w:style w:type="paragraph" w:styleId="Heading6">
    <w:name w:val="heading 6"/>
    <w:basedOn w:val="Normal"/>
    <w:next w:val="Testimony"/>
    <w:qFormat/>
    <w:rsid w:val="00B90558"/>
    <w:pPr>
      <w:numPr>
        <w:ilvl w:val="5"/>
        <w:numId w:val="10"/>
      </w:numPr>
      <w:spacing w:before="80"/>
      <w:outlineLvl w:val="5"/>
    </w:pPr>
    <w:rPr>
      <w:i/>
    </w:rPr>
  </w:style>
  <w:style w:type="paragraph" w:styleId="Heading7">
    <w:name w:val="heading 7"/>
    <w:basedOn w:val="Normal"/>
    <w:next w:val="Testimony"/>
    <w:qFormat/>
    <w:rsid w:val="00B90558"/>
    <w:pPr>
      <w:numPr>
        <w:ilvl w:val="6"/>
        <w:numId w:val="10"/>
      </w:numPr>
      <w:spacing w:before="40"/>
      <w:outlineLvl w:val="6"/>
    </w:pPr>
  </w:style>
  <w:style w:type="paragraph" w:styleId="Heading8">
    <w:name w:val="heading 8"/>
    <w:basedOn w:val="Normal"/>
    <w:next w:val="Normal"/>
    <w:qFormat/>
    <w:rsid w:val="00B90558"/>
    <w:pPr>
      <w:numPr>
        <w:ilvl w:val="7"/>
        <w:numId w:val="10"/>
      </w:numPr>
      <w:spacing w:before="240" w:after="60"/>
      <w:outlineLvl w:val="7"/>
    </w:pPr>
    <w:rPr>
      <w:rFonts w:ascii="Arial" w:hAnsi="Arial"/>
      <w:i/>
      <w:sz w:val="20"/>
    </w:rPr>
  </w:style>
  <w:style w:type="paragraph" w:styleId="Heading9">
    <w:name w:val="heading 9"/>
    <w:basedOn w:val="Normal"/>
    <w:next w:val="Normal"/>
    <w:qFormat/>
    <w:rsid w:val="00B90558"/>
    <w:pPr>
      <w:numPr>
        <w:ilvl w:val="8"/>
        <w:numId w:val="10"/>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imony">
    <w:name w:val="Testimony"/>
    <w:basedOn w:val="A"/>
    <w:rsid w:val="009C2173"/>
    <w:pPr>
      <w:ind w:firstLine="547"/>
    </w:pPr>
  </w:style>
  <w:style w:type="paragraph" w:customStyle="1" w:styleId="A">
    <w:name w:val="A:"/>
    <w:basedOn w:val="Normal"/>
    <w:next w:val="Testimony"/>
    <w:rsid w:val="009C2173"/>
    <w:pPr>
      <w:ind w:left="547" w:hanging="547"/>
    </w:pPr>
  </w:style>
  <w:style w:type="paragraph" w:styleId="TOC5">
    <w:name w:val="toc 5"/>
    <w:basedOn w:val="Normal"/>
    <w:next w:val="Normal"/>
    <w:semiHidden/>
    <w:rsid w:val="00B90558"/>
    <w:pPr>
      <w:tabs>
        <w:tab w:val="right" w:leader="dot" w:pos="8640"/>
      </w:tabs>
      <w:ind w:left="2160" w:right="720" w:hanging="360"/>
    </w:pPr>
  </w:style>
  <w:style w:type="paragraph" w:styleId="TOC4">
    <w:name w:val="toc 4"/>
    <w:basedOn w:val="Normal"/>
    <w:next w:val="Normal"/>
    <w:semiHidden/>
    <w:rsid w:val="00B90558"/>
    <w:pPr>
      <w:tabs>
        <w:tab w:val="right" w:leader="dot" w:pos="8640"/>
      </w:tabs>
      <w:ind w:left="1800" w:right="720" w:hanging="374"/>
    </w:pPr>
  </w:style>
  <w:style w:type="paragraph" w:styleId="TOC3">
    <w:name w:val="toc 3"/>
    <w:basedOn w:val="Normal"/>
    <w:next w:val="Normal"/>
    <w:semiHidden/>
    <w:rsid w:val="00B90558"/>
    <w:pPr>
      <w:tabs>
        <w:tab w:val="left" w:pos="1800"/>
        <w:tab w:val="right" w:leader="dot" w:pos="9072"/>
      </w:tabs>
      <w:ind w:left="1440" w:right="720" w:hanging="360"/>
    </w:pPr>
    <w:rPr>
      <w:noProof/>
    </w:rPr>
  </w:style>
  <w:style w:type="paragraph" w:styleId="TOC2">
    <w:name w:val="toc 2"/>
    <w:basedOn w:val="Normal"/>
    <w:next w:val="Normal"/>
    <w:semiHidden/>
    <w:rsid w:val="00B90558"/>
    <w:pPr>
      <w:tabs>
        <w:tab w:val="left" w:pos="1440"/>
        <w:tab w:val="right" w:leader="dot" w:pos="9072"/>
      </w:tabs>
      <w:ind w:left="1022" w:right="720" w:hanging="403"/>
    </w:pPr>
    <w:rPr>
      <w:noProof/>
    </w:rPr>
  </w:style>
  <w:style w:type="paragraph" w:styleId="TOC1">
    <w:name w:val="toc 1"/>
    <w:basedOn w:val="Normal"/>
    <w:next w:val="Normal"/>
    <w:autoRedefine/>
    <w:uiPriority w:val="39"/>
    <w:qFormat/>
    <w:rsid w:val="007A3414"/>
    <w:pPr>
      <w:tabs>
        <w:tab w:val="left" w:pos="720"/>
        <w:tab w:val="decimal" w:leader="dot" w:pos="8640"/>
      </w:tabs>
      <w:spacing w:after="240" w:line="240" w:lineRule="auto"/>
      <w:ind w:left="619" w:hanging="619"/>
    </w:pPr>
    <w:rPr>
      <w:caps/>
      <w:noProof/>
    </w:rPr>
  </w:style>
  <w:style w:type="character" w:styleId="LineNumber">
    <w:name w:val="line number"/>
    <w:rsid w:val="00746CCD"/>
    <w:rPr>
      <w:rFonts w:ascii="Times New Roman" w:hAnsi="Times New Roman"/>
      <w:color w:val="auto"/>
      <w:sz w:val="20"/>
    </w:rPr>
  </w:style>
  <w:style w:type="paragraph" w:styleId="Footer">
    <w:name w:val="footer"/>
    <w:basedOn w:val="Normal"/>
    <w:next w:val="Normal"/>
    <w:link w:val="FooterChar"/>
    <w:uiPriority w:val="99"/>
    <w:rsid w:val="00B90558"/>
    <w:pPr>
      <w:tabs>
        <w:tab w:val="right" w:pos="8640"/>
      </w:tabs>
      <w:spacing w:line="240" w:lineRule="auto"/>
      <w:ind w:left="-576"/>
    </w:pPr>
    <w:rPr>
      <w:i/>
      <w:sz w:val="22"/>
    </w:rPr>
  </w:style>
  <w:style w:type="paragraph" w:styleId="Header">
    <w:name w:val="header"/>
    <w:basedOn w:val="Normal"/>
    <w:next w:val="Normal"/>
    <w:link w:val="HeaderChar"/>
    <w:rsid w:val="00B90558"/>
    <w:pPr>
      <w:tabs>
        <w:tab w:val="center" w:pos="4320"/>
        <w:tab w:val="right" w:pos="8640"/>
      </w:tabs>
    </w:pPr>
  </w:style>
  <w:style w:type="character" w:styleId="FootnoteReference">
    <w:name w:val="footnote reference"/>
    <w:semiHidden/>
    <w:rsid w:val="00746CCD"/>
    <w:rPr>
      <w:rFonts w:ascii="Times New Roman" w:hAnsi="Times New Roman"/>
      <w:color w:val="auto"/>
      <w:position w:val="7"/>
      <w:sz w:val="17"/>
    </w:rPr>
  </w:style>
  <w:style w:type="paragraph" w:styleId="FootnoteText">
    <w:name w:val="footnote text"/>
    <w:basedOn w:val="Normal"/>
    <w:semiHidden/>
    <w:rsid w:val="009C2173"/>
    <w:pPr>
      <w:spacing w:after="240" w:line="240" w:lineRule="atLeast"/>
      <w:ind w:left="-576" w:firstLine="360"/>
    </w:pPr>
    <w:rPr>
      <w:sz w:val="20"/>
    </w:rPr>
  </w:style>
  <w:style w:type="paragraph" w:styleId="NormalIndent">
    <w:name w:val="Normal Indent"/>
    <w:basedOn w:val="Normal"/>
    <w:next w:val="Normal"/>
    <w:rsid w:val="00B90558"/>
    <w:pPr>
      <w:ind w:left="547"/>
    </w:pPr>
  </w:style>
  <w:style w:type="paragraph" w:styleId="Title">
    <w:name w:val="Title"/>
    <w:basedOn w:val="Normal"/>
    <w:next w:val="Normal"/>
    <w:qFormat/>
    <w:rsid w:val="00677836"/>
    <w:pPr>
      <w:tabs>
        <w:tab w:val="left" w:pos="1440"/>
      </w:tabs>
      <w:spacing w:after="120" w:line="480" w:lineRule="atLeast"/>
      <w:jc w:val="center"/>
    </w:pPr>
    <w:rPr>
      <w:b/>
      <w:smallCaps/>
    </w:rPr>
  </w:style>
  <w:style w:type="paragraph" w:customStyle="1" w:styleId="BlockQuote">
    <w:name w:val="Block Quote"/>
    <w:basedOn w:val="Normal"/>
    <w:next w:val="Testimony"/>
    <w:rsid w:val="009C2173"/>
    <w:pPr>
      <w:keepLines/>
      <w:spacing w:before="100" w:after="100" w:line="280" w:lineRule="exact"/>
      <w:ind w:left="1080" w:right="547"/>
    </w:pPr>
    <w:rPr>
      <w:sz w:val="22"/>
      <w:szCs w:val="24"/>
    </w:rPr>
  </w:style>
  <w:style w:type="paragraph" w:customStyle="1" w:styleId="Subhead">
    <w:name w:val="Subhead"/>
    <w:basedOn w:val="Normal"/>
    <w:next w:val="Normal"/>
    <w:rsid w:val="00B90558"/>
    <w:pPr>
      <w:keepNext/>
      <w:keepLines/>
      <w:tabs>
        <w:tab w:val="left" w:pos="1440"/>
      </w:tabs>
      <w:spacing w:before="240" w:line="320" w:lineRule="exact"/>
      <w:ind w:left="540"/>
    </w:pPr>
    <w:rPr>
      <w:rFonts w:ascii="Arial" w:hAnsi="Arial"/>
      <w:b/>
    </w:rPr>
  </w:style>
  <w:style w:type="paragraph" w:customStyle="1" w:styleId="Q">
    <w:name w:val="Q:"/>
    <w:basedOn w:val="A"/>
    <w:next w:val="A"/>
    <w:rsid w:val="003E3167"/>
    <w:pPr>
      <w:keepNext/>
      <w:spacing w:before="480"/>
    </w:pPr>
    <w:rPr>
      <w:b/>
      <w:i/>
      <w:caps/>
    </w:rPr>
  </w:style>
  <w:style w:type="paragraph" w:customStyle="1" w:styleId="Equation">
    <w:name w:val="Equation"/>
    <w:basedOn w:val="BlockQuote"/>
    <w:rsid w:val="00B90558"/>
    <w:pPr>
      <w:tabs>
        <w:tab w:val="center" w:pos="4680"/>
        <w:tab w:val="right" w:pos="8640"/>
      </w:tabs>
      <w:spacing w:line="480" w:lineRule="exact"/>
      <w:ind w:left="900"/>
    </w:pPr>
    <w:rPr>
      <w:sz w:val="26"/>
    </w:rPr>
  </w:style>
  <w:style w:type="paragraph" w:styleId="List">
    <w:name w:val="List"/>
    <w:basedOn w:val="Normal"/>
    <w:rsid w:val="00B90558"/>
    <w:pPr>
      <w:ind w:left="1087" w:hanging="540"/>
      <w:jc w:val="both"/>
    </w:pPr>
  </w:style>
  <w:style w:type="paragraph" w:customStyle="1" w:styleId="List2">
    <w:name w:val="List2"/>
    <w:basedOn w:val="List"/>
    <w:rsid w:val="00B90558"/>
    <w:pPr>
      <w:ind w:left="1620"/>
    </w:pPr>
  </w:style>
  <w:style w:type="paragraph" w:customStyle="1" w:styleId="Table">
    <w:name w:val="Table"/>
    <w:basedOn w:val="Testimony"/>
    <w:rsid w:val="00B90558"/>
    <w:pPr>
      <w:spacing w:before="60" w:line="240" w:lineRule="auto"/>
      <w:ind w:left="0" w:firstLine="0"/>
    </w:pPr>
    <w:rPr>
      <w:rFonts w:ascii="Arial" w:hAnsi="Arial"/>
      <w:sz w:val="22"/>
    </w:rPr>
  </w:style>
  <w:style w:type="paragraph" w:styleId="TOC9">
    <w:name w:val="toc 9"/>
    <w:basedOn w:val="Normal"/>
    <w:next w:val="Normal"/>
    <w:semiHidden/>
    <w:rsid w:val="00B90558"/>
    <w:pPr>
      <w:tabs>
        <w:tab w:val="right" w:leader="dot" w:pos="8626"/>
      </w:tabs>
      <w:ind w:left="2080"/>
    </w:pPr>
  </w:style>
  <w:style w:type="character" w:styleId="PageNumber">
    <w:name w:val="page number"/>
    <w:rsid w:val="00B90558"/>
  </w:style>
  <w:style w:type="paragraph" w:styleId="MacroText">
    <w:name w:val="macro"/>
    <w:semiHidden/>
    <w:rsid w:val="00B9055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Arial" w:hAnsi="Arial"/>
    </w:rPr>
  </w:style>
  <w:style w:type="paragraph" w:customStyle="1" w:styleId="DocketNumber">
    <w:name w:val="Docket Number"/>
    <w:basedOn w:val="Normal"/>
    <w:rsid w:val="00B90558"/>
    <w:pPr>
      <w:spacing w:line="400" w:lineRule="exact"/>
      <w:jc w:val="right"/>
    </w:pPr>
    <w:rPr>
      <w:b/>
    </w:rPr>
  </w:style>
  <w:style w:type="character" w:styleId="Hyperlink">
    <w:name w:val="Hyperlink"/>
    <w:uiPriority w:val="99"/>
    <w:rsid w:val="00B90558"/>
    <w:rPr>
      <w:u w:val="none"/>
    </w:rPr>
  </w:style>
  <w:style w:type="paragraph" w:styleId="Caption">
    <w:name w:val="caption"/>
    <w:basedOn w:val="Normal"/>
    <w:next w:val="Normal"/>
    <w:unhideWhenUsed/>
    <w:qFormat/>
    <w:rsid w:val="00B90558"/>
    <w:pPr>
      <w:keepNext/>
      <w:spacing w:before="240" w:line="240" w:lineRule="exact"/>
      <w:ind w:left="1411" w:hanging="864"/>
    </w:pPr>
    <w:rPr>
      <w:b/>
      <w:bCs/>
      <w:szCs w:val="24"/>
    </w:rPr>
  </w:style>
  <w:style w:type="character" w:customStyle="1" w:styleId="HeaderChar">
    <w:name w:val="Header Char"/>
    <w:link w:val="Header"/>
    <w:rsid w:val="00C84725"/>
    <w:rPr>
      <w:rFonts w:ascii="Times New Roman" w:hAnsi="Times New Roman"/>
      <w:kern w:val="22"/>
      <w:sz w:val="26"/>
    </w:rPr>
  </w:style>
  <w:style w:type="character" w:customStyle="1" w:styleId="FooterChar">
    <w:name w:val="Footer Char"/>
    <w:link w:val="Footer"/>
    <w:uiPriority w:val="99"/>
    <w:rsid w:val="00584845"/>
    <w:rPr>
      <w:rFonts w:ascii="Times New Roman" w:hAnsi="Times New Roman"/>
      <w:i/>
      <w:kern w:val="22"/>
      <w:sz w:val="22"/>
    </w:rPr>
  </w:style>
  <w:style w:type="paragraph" w:styleId="BalloonText">
    <w:name w:val="Balloon Text"/>
    <w:basedOn w:val="Normal"/>
    <w:link w:val="BalloonTextChar"/>
    <w:rsid w:val="00357C2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57C2B"/>
    <w:rPr>
      <w:rFonts w:ascii="Tahoma" w:hAnsi="Tahoma" w:cs="Tahoma"/>
      <w:kern w:val="22"/>
      <w:sz w:val="16"/>
      <w:szCs w:val="16"/>
    </w:rPr>
  </w:style>
  <w:style w:type="paragraph" w:styleId="HTMLPreformatted">
    <w:name w:val="HTML Preformatted"/>
    <w:basedOn w:val="Normal"/>
    <w:link w:val="HTMLPreformattedChar"/>
    <w:uiPriority w:val="99"/>
    <w:rsid w:val="00F10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kern w:val="0"/>
      <w:sz w:val="20"/>
    </w:rPr>
  </w:style>
  <w:style w:type="character" w:customStyle="1" w:styleId="HTMLPreformattedChar">
    <w:name w:val="HTML Preformatted Char"/>
    <w:basedOn w:val="DefaultParagraphFont"/>
    <w:link w:val="HTMLPreformatted"/>
    <w:uiPriority w:val="99"/>
    <w:rsid w:val="00F1066F"/>
    <w:rPr>
      <w:rFonts w:ascii="Courier New" w:hAnsi="Courier New" w:cs="Courier New"/>
    </w:rPr>
  </w:style>
  <w:style w:type="paragraph" w:styleId="EndnoteText">
    <w:name w:val="endnote text"/>
    <w:basedOn w:val="Normal"/>
    <w:link w:val="EndnoteTextChar"/>
    <w:unhideWhenUsed/>
    <w:rsid w:val="008A5CDB"/>
    <w:pPr>
      <w:widowControl w:val="0"/>
      <w:snapToGrid w:val="0"/>
      <w:spacing w:line="240" w:lineRule="auto"/>
    </w:pPr>
    <w:rPr>
      <w:rFonts w:ascii="Courier New" w:hAnsi="Courier New"/>
      <w:kern w:val="0"/>
    </w:rPr>
  </w:style>
  <w:style w:type="character" w:customStyle="1" w:styleId="EndnoteTextChar">
    <w:name w:val="Endnote Text Char"/>
    <w:basedOn w:val="DefaultParagraphFont"/>
    <w:link w:val="EndnoteText"/>
    <w:rsid w:val="008A5CDB"/>
    <w:rPr>
      <w:rFonts w:ascii="Courier New" w:hAnsi="Courier New"/>
      <w:sz w:val="24"/>
    </w:rPr>
  </w:style>
  <w:style w:type="character" w:styleId="CommentReference">
    <w:name w:val="annotation reference"/>
    <w:basedOn w:val="DefaultParagraphFont"/>
    <w:rsid w:val="0061049C"/>
    <w:rPr>
      <w:sz w:val="16"/>
      <w:szCs w:val="16"/>
    </w:rPr>
  </w:style>
  <w:style w:type="paragraph" w:styleId="CommentText">
    <w:name w:val="annotation text"/>
    <w:basedOn w:val="Normal"/>
    <w:link w:val="CommentTextChar"/>
    <w:rsid w:val="0061049C"/>
    <w:pPr>
      <w:spacing w:line="240" w:lineRule="auto"/>
    </w:pPr>
    <w:rPr>
      <w:sz w:val="20"/>
    </w:rPr>
  </w:style>
  <w:style w:type="character" w:customStyle="1" w:styleId="CommentTextChar">
    <w:name w:val="Comment Text Char"/>
    <w:basedOn w:val="DefaultParagraphFont"/>
    <w:link w:val="CommentText"/>
    <w:rsid w:val="0061049C"/>
    <w:rPr>
      <w:rFonts w:ascii="Times New Roman" w:hAnsi="Times New Roman"/>
      <w:kern w:val="22"/>
    </w:rPr>
  </w:style>
  <w:style w:type="paragraph" w:styleId="CommentSubject">
    <w:name w:val="annotation subject"/>
    <w:basedOn w:val="CommentText"/>
    <w:next w:val="CommentText"/>
    <w:link w:val="CommentSubjectChar"/>
    <w:rsid w:val="0061049C"/>
    <w:rPr>
      <w:b/>
      <w:bCs/>
    </w:rPr>
  </w:style>
  <w:style w:type="character" w:customStyle="1" w:styleId="CommentSubjectChar">
    <w:name w:val="Comment Subject Char"/>
    <w:basedOn w:val="CommentTextChar"/>
    <w:link w:val="CommentSubject"/>
    <w:rsid w:val="0061049C"/>
    <w:rPr>
      <w:rFonts w:ascii="Times New Roman" w:hAnsi="Times New Roman"/>
      <w:b/>
      <w:bCs/>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5288">
      <w:bodyDiv w:val="1"/>
      <w:marLeft w:val="0"/>
      <w:marRight w:val="0"/>
      <w:marTop w:val="0"/>
      <w:marBottom w:val="0"/>
      <w:divBdr>
        <w:top w:val="none" w:sz="0" w:space="0" w:color="auto"/>
        <w:left w:val="none" w:sz="0" w:space="0" w:color="auto"/>
        <w:bottom w:val="none" w:sz="0" w:space="0" w:color="auto"/>
        <w:right w:val="none" w:sz="0" w:space="0" w:color="auto"/>
      </w:divBdr>
    </w:div>
    <w:div w:id="895120191">
      <w:bodyDiv w:val="1"/>
      <w:marLeft w:val="0"/>
      <w:marRight w:val="0"/>
      <w:marTop w:val="0"/>
      <w:marBottom w:val="0"/>
      <w:divBdr>
        <w:top w:val="none" w:sz="0" w:space="0" w:color="auto"/>
        <w:left w:val="none" w:sz="0" w:space="0" w:color="auto"/>
        <w:bottom w:val="none" w:sz="0" w:space="0" w:color="auto"/>
        <w:right w:val="none" w:sz="0" w:space="0" w:color="auto"/>
      </w:divBdr>
    </w:div>
    <w:div w:id="14026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2348</Words>
  <Characters>14072</Characters>
  <Application>Microsoft Office Word</Application>
  <DocSecurity>0</DocSecurity>
  <Lines>439</Lines>
  <Paragraphs>214</Paragraphs>
  <ScaleCrop>false</ScaleCrop>
  <HeadingPairs>
    <vt:vector size="2" baseType="variant">
      <vt:variant>
        <vt:lpstr>Title</vt:lpstr>
      </vt:variant>
      <vt:variant>
        <vt:i4>1</vt:i4>
      </vt:variant>
    </vt:vector>
  </HeadingPairs>
  <TitlesOfParts>
    <vt:vector size="1" baseType="lpstr">
      <vt:lpstr>Case No. 13-2385-EL-SSO</vt:lpstr>
    </vt:vector>
  </TitlesOfParts>
  <Manager/>
  <Company/>
  <LinksUpToDate>false</LinksUpToDate>
  <CharactersWithSpaces>16287</CharactersWithSpaces>
  <SharedDoc>false</SharedDoc>
  <HyperlinkBase> </HyperlinkBase>
  <HLinks>
    <vt:vector size="6" baseType="variant">
      <vt:variant>
        <vt:i4>3866723</vt:i4>
      </vt:variant>
      <vt:variant>
        <vt:i4>10</vt:i4>
      </vt:variant>
      <vt:variant>
        <vt:i4>0</vt:i4>
      </vt:variant>
      <vt:variant>
        <vt:i4>5</vt:i4>
      </vt:variant>
      <vt:variant>
        <vt:lpwstr>http://www.resourceinsight.com/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2014-05-05T17:30:00Z</cp:lastPrinted>
  <dcterms:created xsi:type="dcterms:W3CDTF">2014-05-05T17:40:00Z</dcterms:created>
  <dcterms:modified xsi:type="dcterms:W3CDTF">2014-05-05T17:40:00Z</dcterms:modified>
  <cp:category> </cp:category>
  <cp:contentStatus> </cp:contentStatus>
</cp:coreProperties>
</file>