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F9" w:rsidRDefault="00DF1AF9">
      <w:pPr>
        <w:tabs>
          <w:tab w:val="left" w:pos="-720"/>
        </w:tabs>
        <w:suppressAutoHyphens/>
        <w:spacing w:after="54"/>
        <w:jc w:val="both"/>
        <w:rPr>
          <w:spacing w:val="-3"/>
        </w:rPr>
      </w:pPr>
    </w:p>
    <w:p w:rsidR="00DF1AF9" w:rsidRDefault="00DF1AF9">
      <w:pPr>
        <w:tabs>
          <w:tab w:val="left" w:pos="-1560"/>
          <w:tab w:val="left" w:pos="-840"/>
          <w:tab w:val="left" w:pos="-120"/>
          <w:tab w:val="left" w:pos="600"/>
          <w:tab w:val="left" w:pos="996"/>
          <w:tab w:val="left" w:pos="1320"/>
          <w:tab w:val="left" w:pos="1752"/>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suppressAutoHyphens/>
        <w:ind w:left="720"/>
        <w:jc w:val="both"/>
        <w:rPr>
          <w:spacing w:val="-3"/>
        </w:rPr>
      </w:pPr>
      <w:r>
        <w:rPr>
          <w:spacing w:val="-3"/>
        </w:rPr>
        <w:t>The minimum rate shall not be less than the variable cost of providing service hereunder plus some contribution to total Company fixed costs. Unless otherwise agreed by Company and Customer, Customer shall pay the maximum rate for all volumes delivered hereunder.</w:t>
      </w:r>
    </w:p>
    <w:p w:rsidR="00DF1AF9" w:rsidRDefault="00DF1AF9">
      <w:pPr>
        <w:tabs>
          <w:tab w:val="left" w:pos="-720"/>
        </w:tabs>
        <w:suppressAutoHyphens/>
        <w:spacing w:after="54"/>
        <w:ind w:left="720"/>
        <w:jc w:val="both"/>
        <w:rPr>
          <w:spacing w:val="-3"/>
        </w:rPr>
      </w:pPr>
    </w:p>
    <w:p w:rsidR="00DF1AF9" w:rsidRDefault="00DF1AF9">
      <w:pPr>
        <w:tabs>
          <w:tab w:val="left" w:pos="-720"/>
        </w:tabs>
        <w:suppressAutoHyphens/>
        <w:ind w:left="720" w:hanging="720"/>
        <w:jc w:val="both"/>
        <w:rPr>
          <w:spacing w:val="-3"/>
        </w:rPr>
      </w:pPr>
      <w:r>
        <w:rPr>
          <w:spacing w:val="-3"/>
        </w:rPr>
        <w:tab/>
        <w:t>In the event that Customer no longer qualifies for service hereunder, Company may, upon thirty (30) days notice, terminate service hereunder and commence service under its Small General Service or General Service schedule.</w:t>
      </w:r>
    </w:p>
    <w:p w:rsidR="00DF1AF9" w:rsidRDefault="00DF1AF9">
      <w:pPr>
        <w:tabs>
          <w:tab w:val="left" w:pos="-720"/>
        </w:tabs>
        <w:suppressAutoHyphens/>
        <w:jc w:val="both"/>
        <w:rPr>
          <w:spacing w:val="-3"/>
        </w:rPr>
      </w:pPr>
    </w:p>
    <w:p w:rsidR="00DF1AF9" w:rsidRDefault="00DF1AF9">
      <w:pPr>
        <w:tabs>
          <w:tab w:val="left" w:pos="-720"/>
        </w:tabs>
        <w:suppressAutoHyphens/>
        <w:jc w:val="both"/>
        <w:rPr>
          <w:spacing w:val="-3"/>
        </w:rPr>
      </w:pPr>
    </w:p>
    <w:p w:rsidR="00DF1AF9" w:rsidRDefault="00DF1AF9">
      <w:pPr>
        <w:tabs>
          <w:tab w:val="left" w:pos="-1560"/>
          <w:tab w:val="left" w:pos="-840"/>
          <w:tab w:val="left" w:pos="240"/>
          <w:tab w:val="left" w:pos="600"/>
          <w:tab w:val="left" w:pos="940"/>
          <w:tab w:val="left" w:pos="1281"/>
          <w:tab w:val="left" w:pos="4693"/>
          <w:tab w:val="left" w:pos="5374"/>
        </w:tabs>
        <w:suppressAutoHyphens/>
        <w:jc w:val="both"/>
        <w:outlineLvl w:val="0"/>
        <w:rPr>
          <w:b/>
        </w:rPr>
      </w:pPr>
      <w:r>
        <w:rPr>
          <w:b/>
        </w:rPr>
        <w:t>BILLING ADJUSTMENTS</w:t>
      </w:r>
    </w:p>
    <w:p w:rsidR="00DF1AF9" w:rsidRDefault="00DF1AF9">
      <w:pPr>
        <w:tabs>
          <w:tab w:val="left" w:pos="-1560"/>
          <w:tab w:val="left" w:pos="-840"/>
          <w:tab w:val="left" w:pos="240"/>
          <w:tab w:val="left" w:pos="600"/>
          <w:tab w:val="left" w:pos="940"/>
          <w:tab w:val="left" w:pos="1281"/>
          <w:tab w:val="left" w:pos="4693"/>
          <w:tab w:val="left" w:pos="5374"/>
        </w:tabs>
        <w:suppressAutoHyphens/>
        <w:jc w:val="both"/>
      </w:pPr>
    </w:p>
    <w:p w:rsidR="00DF1AF9" w:rsidRDefault="00DF1AF9">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 Part No. 3 of the Company’s Rules and Regulations governing the distribution and sale of gas.</w:t>
      </w:r>
    </w:p>
    <w:p w:rsidR="00DF1AF9" w:rsidRDefault="00DF1AF9">
      <w:pPr>
        <w:tabs>
          <w:tab w:val="left" w:pos="-1560"/>
          <w:tab w:val="left" w:pos="-840"/>
          <w:tab w:val="left" w:pos="240"/>
          <w:tab w:val="left" w:pos="600"/>
          <w:tab w:val="left" w:pos="940"/>
          <w:tab w:val="left" w:pos="1281"/>
          <w:tab w:val="left" w:pos="4693"/>
          <w:tab w:val="left" w:pos="5374"/>
        </w:tabs>
        <w:suppressAutoHyphens/>
        <w:ind w:left="600"/>
        <w:jc w:val="both"/>
      </w:pP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 xml:space="preserve">Standard </w:t>
      </w:r>
      <w:r w:rsidR="00D33EBE">
        <w:t xml:space="preserve">Choice </w:t>
      </w:r>
      <w:r>
        <w:t>Offer Rider (S</w:t>
      </w:r>
      <w:r w:rsidR="00B656F3">
        <w:t>C</w:t>
      </w:r>
      <w:r>
        <w:t>O);</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PIP Plan Tariff Schedule Rider;</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Gross Receipts Tax Rider;</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 xml:space="preserve">Excise Tax Rider; </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CHOICE/S</w:t>
      </w:r>
      <w:r w:rsidR="00B656F3">
        <w:t>C</w:t>
      </w:r>
      <w:r>
        <w:t xml:space="preserve">O Reconciliation Rider; </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 xml:space="preserve">Regulatory Assessment Rider; </w:t>
      </w:r>
    </w:p>
    <w:p w:rsidR="001E027D" w:rsidRDefault="00DF1AF9">
      <w:pPr>
        <w:numPr>
          <w:ilvl w:val="0"/>
          <w:numId w:val="1"/>
        </w:numPr>
        <w:tabs>
          <w:tab w:val="clear" w:pos="960"/>
        </w:tabs>
        <w:suppressAutoHyphens/>
        <w:jc w:val="both"/>
      </w:pPr>
      <w:r>
        <w:t>Infrastructure Replacement Program Rider</w:t>
      </w:r>
      <w:r w:rsidR="001E027D">
        <w:t xml:space="preserve">; </w:t>
      </w:r>
    </w:p>
    <w:p w:rsidR="00DF1AF9" w:rsidRDefault="001E027D">
      <w:pPr>
        <w:numPr>
          <w:ilvl w:val="0"/>
          <w:numId w:val="1"/>
        </w:numPr>
        <w:tabs>
          <w:tab w:val="clear" w:pos="960"/>
        </w:tabs>
        <w:suppressAutoHyphens/>
        <w:jc w:val="both"/>
      </w:pPr>
      <w:r>
        <w:t xml:space="preserve">Non-Temperature </w:t>
      </w:r>
      <w:r w:rsidR="00C929D3">
        <w:t>Balancing</w:t>
      </w:r>
      <w:r>
        <w:t xml:space="preserve"> Service fee</w:t>
      </w:r>
      <w:r w:rsidR="008C471D">
        <w:t xml:space="preserve">; and </w:t>
      </w:r>
    </w:p>
    <w:p w:rsidR="008C471D" w:rsidRDefault="008C471D">
      <w:pPr>
        <w:numPr>
          <w:ilvl w:val="0"/>
          <w:numId w:val="1"/>
        </w:numPr>
        <w:tabs>
          <w:tab w:val="clear" w:pos="960"/>
        </w:tabs>
        <w:suppressAutoHyphens/>
        <w:jc w:val="both"/>
      </w:pPr>
      <w:r>
        <w:t>Infrastructure Development Rider.</w:t>
      </w:r>
    </w:p>
    <w:p w:rsidR="00DF1AF9" w:rsidRDefault="00DF1AF9">
      <w:pPr>
        <w:tabs>
          <w:tab w:val="left" w:pos="-720"/>
        </w:tabs>
        <w:suppressAutoHyphens/>
        <w:jc w:val="both"/>
        <w:rPr>
          <w:spacing w:val="-3"/>
        </w:rPr>
      </w:pPr>
    </w:p>
    <w:p w:rsidR="00DF1AF9" w:rsidRDefault="00DF1AF9">
      <w:pPr>
        <w:tabs>
          <w:tab w:val="left" w:pos="-720"/>
        </w:tabs>
        <w:suppressAutoHyphens/>
        <w:jc w:val="both"/>
        <w:rPr>
          <w:b/>
          <w:spacing w:val="-3"/>
        </w:rPr>
      </w:pPr>
    </w:p>
    <w:p w:rsidR="00DF1AF9" w:rsidRDefault="00DF1AF9">
      <w:pPr>
        <w:tabs>
          <w:tab w:val="left" w:pos="-720"/>
        </w:tabs>
        <w:suppressAutoHyphens/>
        <w:jc w:val="both"/>
        <w:outlineLvl w:val="0"/>
        <w:rPr>
          <w:spacing w:val="-3"/>
        </w:rPr>
      </w:pPr>
      <w:r>
        <w:rPr>
          <w:b/>
          <w:spacing w:val="-3"/>
        </w:rPr>
        <w:t>LATE PAYMENT CHARGE:</w:t>
      </w:r>
    </w:p>
    <w:p w:rsidR="00DF1AF9" w:rsidRDefault="00DF1AF9">
      <w:pPr>
        <w:tabs>
          <w:tab w:val="left" w:pos="-720"/>
        </w:tabs>
        <w:suppressAutoHyphens/>
        <w:jc w:val="both"/>
        <w:rPr>
          <w:spacing w:val="-3"/>
        </w:rPr>
      </w:pPr>
    </w:p>
    <w:p w:rsidR="00DF1AF9" w:rsidRDefault="00DF1AF9">
      <w:pPr>
        <w:tabs>
          <w:tab w:val="left" w:pos="-720"/>
          <w:tab w:val="left" w:pos="0"/>
        </w:tabs>
        <w:suppressAutoHyphens/>
        <w:ind w:left="690" w:hanging="690"/>
        <w:jc w:val="both"/>
        <w:rPr>
          <w:spacing w:val="-3"/>
        </w:rPr>
      </w:pPr>
      <w:r>
        <w:rPr>
          <w:spacing w:val="-3"/>
        </w:rPr>
        <w:tab/>
        <w:t xml:space="preserve">Upon next scheduled billing date, one and one-half percent (1-1/2%) will be applied to the unpaid balance, as provided in Section IV, Part No. 6 of the Company's Rules and Regulations governing the distribution and sales </w:t>
      </w:r>
      <w:proofErr w:type="gramStart"/>
      <w:r>
        <w:rPr>
          <w:spacing w:val="-3"/>
        </w:rPr>
        <w:t>of</w:t>
      </w:r>
      <w:proofErr w:type="gramEnd"/>
      <w:r>
        <w:rPr>
          <w:spacing w:val="-3"/>
        </w:rPr>
        <w:t xml:space="preserve"> gas.</w:t>
      </w:r>
    </w:p>
    <w:sectPr w:rsidR="00DF1A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95" w:rsidRDefault="00A47295">
      <w:r>
        <w:separator/>
      </w:r>
    </w:p>
  </w:endnote>
  <w:endnote w:type="continuationSeparator" w:id="0">
    <w:p w:rsidR="00A47295" w:rsidRDefault="00A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A8" w:rsidRDefault="00906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5F" w:rsidRDefault="00EC765F" w:rsidP="00EC765F">
    <w:pPr>
      <w:pStyle w:val="Footer"/>
      <w:jc w:val="center"/>
      <w:rPr>
        <w:sz w:val="16"/>
      </w:rPr>
    </w:pPr>
    <w:r>
      <w:rPr>
        <w:sz w:val="16"/>
      </w:rPr>
      <w:t xml:space="preserve">Filed in accordance with Public Utilities Commission of Ohio Entry dated </w:t>
    </w:r>
    <w:r w:rsidR="009061A8">
      <w:rPr>
        <w:sz w:val="16"/>
      </w:rPr>
      <w:t>May 24, 2017</w:t>
    </w:r>
    <w:r>
      <w:rPr>
        <w:sz w:val="16"/>
      </w:rPr>
      <w:t>in Case Nos. 16-2067-GA-ATA and 16-2068-GA-IDR</w:t>
    </w:r>
    <w:r w:rsidR="009061A8">
      <w:rPr>
        <w:sz w:val="16"/>
      </w:rPr>
      <w:t>.</w:t>
    </w:r>
  </w:p>
  <w:p w:rsidR="00EC765F" w:rsidRDefault="00EC765F" w:rsidP="00EC765F">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EC765F" w:rsidTr="002135F7">
      <w:tc>
        <w:tcPr>
          <w:tcW w:w="4320" w:type="dxa"/>
        </w:tcPr>
        <w:p w:rsidR="00EC765F" w:rsidRDefault="009061A8" w:rsidP="00EC765F">
          <w:pPr>
            <w:pStyle w:val="Footer"/>
            <w:rPr>
              <w:sz w:val="16"/>
            </w:rPr>
          </w:pPr>
          <w:r>
            <w:rPr>
              <w:sz w:val="16"/>
            </w:rPr>
            <w:t>Issued:  May 31, 2017</w:t>
          </w:r>
        </w:p>
      </w:tc>
      <w:tc>
        <w:tcPr>
          <w:tcW w:w="5040" w:type="dxa"/>
        </w:tcPr>
        <w:p w:rsidR="00EC765F" w:rsidRDefault="00EC765F" w:rsidP="00EC765F">
          <w:pPr>
            <w:pStyle w:val="Footer"/>
            <w:ind w:left="1062" w:right="-90"/>
            <w:jc w:val="center"/>
            <w:rPr>
              <w:sz w:val="16"/>
            </w:rPr>
          </w:pPr>
          <w:r>
            <w:rPr>
              <w:sz w:val="16"/>
            </w:rPr>
            <w:t>Effective:  With meter readings on or after</w:t>
          </w:r>
          <w:r w:rsidR="009061A8">
            <w:rPr>
              <w:sz w:val="16"/>
            </w:rPr>
            <w:t xml:space="preserve"> May 31, 2017</w:t>
          </w:r>
          <w:r>
            <w:rPr>
              <w:sz w:val="16"/>
            </w:rPr>
            <w:t xml:space="preserve">  </w:t>
          </w:r>
        </w:p>
      </w:tc>
    </w:tr>
  </w:tbl>
  <w:p w:rsidR="00EC765F" w:rsidRDefault="00EC765F" w:rsidP="00EC765F">
    <w:pPr>
      <w:pStyle w:val="Footer"/>
      <w:jc w:val="center"/>
      <w:rPr>
        <w:sz w:val="16"/>
      </w:rPr>
    </w:pPr>
    <w:r>
      <w:rPr>
        <w:sz w:val="16"/>
      </w:rPr>
      <w:t>Issued By</w:t>
    </w:r>
  </w:p>
  <w:p w:rsidR="00DF1AF9" w:rsidRPr="00EC765F" w:rsidRDefault="00EC765F" w:rsidP="00EC765F">
    <w:pPr>
      <w:pStyle w:val="Footer"/>
      <w:jc w:val="center"/>
    </w:pPr>
    <w:r>
      <w:rPr>
        <w:sz w:val="16"/>
      </w:rPr>
      <w:t>Daniel A. Creekmur,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A8" w:rsidRDefault="00906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95" w:rsidRDefault="00A47295">
      <w:r>
        <w:separator/>
      </w:r>
    </w:p>
  </w:footnote>
  <w:footnote w:type="continuationSeparator" w:id="0">
    <w:p w:rsidR="00A47295" w:rsidRDefault="00A4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1AF9">
      <w:tc>
        <w:tcPr>
          <w:tcW w:w="4428" w:type="dxa"/>
        </w:tcPr>
        <w:p w:rsidR="00DF1AF9" w:rsidRDefault="00DF1AF9">
          <w:pPr>
            <w:pStyle w:val="Header"/>
          </w:pPr>
        </w:p>
      </w:tc>
      <w:tc>
        <w:tcPr>
          <w:tcW w:w="4428" w:type="dxa"/>
        </w:tcPr>
        <w:p w:rsidR="00DF1AF9" w:rsidRDefault="00DF1AF9">
          <w:pPr>
            <w:pStyle w:val="Header"/>
          </w:pPr>
        </w:p>
      </w:tc>
    </w:tr>
  </w:tbl>
  <w:p w:rsidR="00DF1AF9" w:rsidRDefault="00DF1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F9" w:rsidRDefault="00DF1AF9">
    <w:pPr>
      <w:pStyle w:val="Header"/>
      <w:jc w:val="center"/>
      <w:rPr>
        <w:b/>
        <w:sz w:val="22"/>
        <w:szCs w:val="22"/>
      </w:rPr>
    </w:pPr>
    <w:r>
      <w:rPr>
        <w:b/>
        <w:sz w:val="22"/>
        <w:szCs w:val="22"/>
      </w:rPr>
      <w:t>P.U.C.O. No. 2</w:t>
    </w:r>
  </w:p>
  <w:p w:rsidR="00DF1AF9" w:rsidRDefault="00DF1AF9">
    <w:pPr>
      <w:pStyle w:val="Header"/>
      <w:jc w:val="center"/>
      <w:rPr>
        <w:b/>
        <w:sz w:val="22"/>
        <w:szCs w:val="22"/>
      </w:rPr>
    </w:pPr>
  </w:p>
  <w:p w:rsidR="00DF1AF9" w:rsidRDefault="00DF1AF9">
    <w:pPr>
      <w:pStyle w:val="Header"/>
      <w:jc w:val="center"/>
      <w:rPr>
        <w:b/>
        <w:sz w:val="22"/>
        <w:szCs w:val="22"/>
      </w:rPr>
    </w:pPr>
  </w:p>
  <w:p w:rsidR="00DF1AF9" w:rsidRDefault="00DF1AF9">
    <w:pPr>
      <w:pStyle w:val="Header"/>
      <w:tabs>
        <w:tab w:val="clear" w:pos="8640"/>
        <w:tab w:val="left" w:pos="5850"/>
        <w:tab w:val="right" w:pos="9360"/>
      </w:tabs>
      <w:rPr>
        <w:b/>
        <w:sz w:val="22"/>
        <w:szCs w:val="22"/>
      </w:rPr>
    </w:pPr>
    <w:r>
      <w:rPr>
        <w:b/>
        <w:sz w:val="22"/>
        <w:szCs w:val="22"/>
      </w:rPr>
      <w:tab/>
    </w:r>
    <w:r>
      <w:rPr>
        <w:b/>
        <w:sz w:val="22"/>
        <w:szCs w:val="22"/>
      </w:rPr>
      <w:tab/>
    </w:r>
    <w:r>
      <w:rPr>
        <w:b/>
        <w:sz w:val="22"/>
        <w:szCs w:val="22"/>
      </w:rPr>
      <w:tab/>
    </w:r>
    <w:r w:rsidR="008C471D">
      <w:rPr>
        <w:b/>
        <w:sz w:val="22"/>
        <w:szCs w:val="22"/>
      </w:rPr>
      <w:t>Sixth</w:t>
    </w:r>
    <w:r w:rsidR="001E027D">
      <w:rPr>
        <w:b/>
        <w:sz w:val="22"/>
        <w:szCs w:val="22"/>
      </w:rPr>
      <w:t xml:space="preserve"> </w:t>
    </w:r>
    <w:r>
      <w:rPr>
        <w:b/>
        <w:sz w:val="22"/>
        <w:szCs w:val="22"/>
      </w:rPr>
      <w:t>Revised Sheet No. 21</w:t>
    </w:r>
  </w:p>
  <w:p w:rsidR="00DF1AF9" w:rsidRDefault="00DF1AF9">
    <w:pPr>
      <w:pStyle w:val="Header"/>
      <w:tabs>
        <w:tab w:val="clear" w:pos="8640"/>
        <w:tab w:val="right" w:pos="9360"/>
      </w:tabs>
      <w:rPr>
        <w:b/>
        <w:sz w:val="22"/>
        <w:szCs w:val="22"/>
      </w:rPr>
    </w:pPr>
    <w:r>
      <w:rPr>
        <w:b/>
        <w:sz w:val="22"/>
        <w:szCs w:val="22"/>
      </w:rPr>
      <w:tab/>
    </w:r>
    <w:r>
      <w:rPr>
        <w:b/>
        <w:sz w:val="22"/>
        <w:szCs w:val="22"/>
      </w:rPr>
      <w:tab/>
      <w:t xml:space="preserve">Cancels </w:t>
    </w:r>
  </w:p>
  <w:p w:rsidR="00DF1AF9" w:rsidRDefault="009061A8" w:rsidP="009061A8">
    <w:pPr>
      <w:pStyle w:val="Header"/>
      <w:tabs>
        <w:tab w:val="clear" w:pos="8640"/>
        <w:tab w:val="right" w:pos="9360"/>
      </w:tabs>
      <w:jc w:val="right"/>
      <w:rPr>
        <w:b/>
        <w:sz w:val="22"/>
        <w:szCs w:val="22"/>
      </w:rPr>
    </w:pPr>
    <w:r>
      <w:rPr>
        <w:b/>
        <w:sz w:val="22"/>
        <w:szCs w:val="22"/>
      </w:rPr>
      <w:tab/>
    </w:r>
    <w:r w:rsidR="00DF1AF9">
      <w:rPr>
        <w:b/>
        <w:sz w:val="22"/>
        <w:szCs w:val="22"/>
      </w:rPr>
      <w:t>COLUMBIA GAS OF OHIO, INC.</w:t>
    </w:r>
    <w:r w:rsidR="00DF1AF9">
      <w:rPr>
        <w:b/>
        <w:sz w:val="22"/>
        <w:szCs w:val="22"/>
      </w:rPr>
      <w:tab/>
      <w:t xml:space="preserve">          </w:t>
    </w:r>
    <w:bookmarkStart w:id="0" w:name="_GoBack"/>
    <w:bookmarkEnd w:id="0"/>
    <w:r w:rsidR="00DF1AF9">
      <w:rPr>
        <w:b/>
        <w:sz w:val="22"/>
        <w:szCs w:val="22"/>
      </w:rPr>
      <w:t xml:space="preserve">   </w:t>
    </w:r>
    <w:r w:rsidR="008C471D">
      <w:rPr>
        <w:b/>
        <w:sz w:val="22"/>
        <w:szCs w:val="22"/>
      </w:rPr>
      <w:t xml:space="preserve">  Fifth </w:t>
    </w:r>
    <w:r w:rsidR="00DF1AF9">
      <w:rPr>
        <w:b/>
        <w:sz w:val="22"/>
        <w:szCs w:val="22"/>
      </w:rPr>
      <w:t>Revised Sheet No. 21</w:t>
    </w:r>
  </w:p>
  <w:p w:rsidR="00DF1AF9" w:rsidRDefault="00DF1AF9">
    <w:pPr>
      <w:pStyle w:val="Header"/>
      <w:rPr>
        <w:b/>
        <w:sz w:val="22"/>
        <w:szCs w:val="22"/>
      </w:rPr>
    </w:pPr>
  </w:p>
  <w:p w:rsidR="00DF1AF9" w:rsidRDefault="00DF1AF9">
    <w:pPr>
      <w:pStyle w:val="Header"/>
      <w:jc w:val="center"/>
      <w:rPr>
        <w:b/>
        <w:sz w:val="22"/>
        <w:szCs w:val="22"/>
      </w:rPr>
    </w:pPr>
    <w:r>
      <w:rPr>
        <w:b/>
        <w:sz w:val="22"/>
        <w:szCs w:val="22"/>
      </w:rPr>
      <w:t>RULES AND REGULATIONS GOVERNING THE DISTRIBUTION</w:t>
    </w:r>
  </w:p>
  <w:p w:rsidR="00DF1AF9" w:rsidRDefault="00DF1AF9">
    <w:pPr>
      <w:pStyle w:val="Header"/>
      <w:pBdr>
        <w:bottom w:val="single" w:sz="4" w:space="3" w:color="auto"/>
      </w:pBdr>
      <w:jc w:val="center"/>
      <w:rPr>
        <w:sz w:val="22"/>
        <w:szCs w:val="22"/>
        <w:u w:val="single"/>
      </w:rPr>
    </w:pPr>
    <w:r>
      <w:rPr>
        <w:b/>
        <w:sz w:val="22"/>
        <w:szCs w:val="22"/>
      </w:rPr>
      <w:t xml:space="preserve">AND </w:t>
    </w:r>
    <w:smartTag w:uri="urn:schemas-microsoft-com:office:smarttags" w:element="City">
      <w:smartTag w:uri="urn:schemas-microsoft-com:office:smarttags" w:element="place">
        <w:r>
          <w:rPr>
            <w:b/>
            <w:sz w:val="22"/>
            <w:szCs w:val="22"/>
          </w:rPr>
          <w:t>SALE</w:t>
        </w:r>
      </w:smartTag>
    </w:smartTag>
    <w:r>
      <w:rPr>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A8" w:rsidRDefault="00906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BE"/>
    <w:rsid w:val="001E027D"/>
    <w:rsid w:val="002C4A63"/>
    <w:rsid w:val="002C5ECC"/>
    <w:rsid w:val="003766A0"/>
    <w:rsid w:val="004062FF"/>
    <w:rsid w:val="00463741"/>
    <w:rsid w:val="00491CCC"/>
    <w:rsid w:val="004C1236"/>
    <w:rsid w:val="005A5F2E"/>
    <w:rsid w:val="006148A4"/>
    <w:rsid w:val="00695A2F"/>
    <w:rsid w:val="007578A7"/>
    <w:rsid w:val="007F4E30"/>
    <w:rsid w:val="00837F6F"/>
    <w:rsid w:val="008C471D"/>
    <w:rsid w:val="009061A8"/>
    <w:rsid w:val="0096333F"/>
    <w:rsid w:val="00A47295"/>
    <w:rsid w:val="00AC03E3"/>
    <w:rsid w:val="00B656F3"/>
    <w:rsid w:val="00BA3A3C"/>
    <w:rsid w:val="00C929D3"/>
    <w:rsid w:val="00CA1167"/>
    <w:rsid w:val="00D33EBE"/>
    <w:rsid w:val="00D43DD3"/>
    <w:rsid w:val="00DB56E3"/>
    <w:rsid w:val="00DF1AF9"/>
    <w:rsid w:val="00E62F47"/>
    <w:rsid w:val="00EC0B08"/>
    <w:rsid w:val="00EC765F"/>
    <w:rsid w:val="00FA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32B1457A-62E2-4927-9B08-8ABB49C3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center" w:pos="4560"/>
      </w:tabs>
      <w:suppressAutoHyphens/>
      <w:jc w:val="center"/>
      <w:outlineLvl w:val="0"/>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rsid w:val="00EC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199</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 - Sheet No 21.doc</vt:lpstr>
    </vt:vector>
  </TitlesOfParts>
  <Manager/>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21.doc</dc:title>
  <dc:subject/>
  <dc:creator>NiSource</dc:creator>
  <cp:keywords>Legal, State Regulatory &amp; Legislation, State Utility Commission, Ohio, tariffs, 2010, Auction, 08-1344-GA-EXM, final, V, VI, IV, VII, VIII</cp:keywords>
  <dc:description/>
  <cp:lastModifiedBy>Bell \ Melissa \ J</cp:lastModifiedBy>
  <cp:revision>3</cp:revision>
  <cp:lastPrinted>2017-05-31T13:49:00Z</cp:lastPrinted>
  <dcterms:created xsi:type="dcterms:W3CDTF">2016-10-21T01:43:00Z</dcterms:created>
  <dcterms:modified xsi:type="dcterms:W3CDTF">2017-05-31T15:13:00Z</dcterms:modified>
  <cp:category/>
</cp:coreProperties>
</file>