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1DB4" w14:textId="2DCEB70E" w:rsidR="0015099E" w:rsidRDefault="0015099E" w:rsidP="001E20FD">
      <w:pPr>
        <w:tabs>
          <w:tab w:val="left" w:pos="5805"/>
        </w:tabs>
      </w:pPr>
    </w:p>
    <w:p w14:paraId="6E51690D" w14:textId="4438172D" w:rsidR="00612B27" w:rsidRDefault="00612B27" w:rsidP="001E20FD">
      <w:pPr>
        <w:tabs>
          <w:tab w:val="left" w:pos="5805"/>
        </w:tabs>
      </w:pPr>
    </w:p>
    <w:p w14:paraId="36DDF223" w14:textId="1C47EF5D" w:rsidR="00612B27" w:rsidRDefault="00612B27" w:rsidP="00612B27">
      <w:pPr>
        <w:tabs>
          <w:tab w:val="left" w:pos="5805"/>
        </w:tabs>
        <w:spacing w:after="0" w:line="240" w:lineRule="auto"/>
        <w:jc w:val="right"/>
      </w:pPr>
      <w:r>
        <w:tab/>
      </w:r>
      <w:r w:rsidR="00DA79DE">
        <w:t>Evan Betterton</w:t>
      </w:r>
    </w:p>
    <w:p w14:paraId="5222691B" w14:textId="6DEAC735" w:rsidR="00612B27" w:rsidRDefault="00612B27" w:rsidP="00612B27">
      <w:pPr>
        <w:tabs>
          <w:tab w:val="left" w:pos="5805"/>
        </w:tabs>
        <w:spacing w:after="0" w:line="240" w:lineRule="auto"/>
        <w:jc w:val="right"/>
      </w:pPr>
      <w:r>
        <w:t>614-659-5</w:t>
      </w:r>
      <w:r w:rsidR="00DA79DE">
        <w:t>455</w:t>
      </w:r>
    </w:p>
    <w:p w14:paraId="48A773A0" w14:textId="3CBC7D42" w:rsidR="00612B27" w:rsidRDefault="00DA79DE" w:rsidP="00612B27">
      <w:pPr>
        <w:tabs>
          <w:tab w:val="left" w:pos="5805"/>
        </w:tabs>
        <w:spacing w:after="0" w:line="240" w:lineRule="auto"/>
        <w:jc w:val="right"/>
      </w:pPr>
      <w:r>
        <w:t>Evan.Betterton</w:t>
      </w:r>
      <w:r w:rsidR="00612B27">
        <w:t>@IGS.com</w:t>
      </w:r>
    </w:p>
    <w:p w14:paraId="2BBD5EA5" w14:textId="0CC2084D" w:rsidR="00612B27" w:rsidRDefault="00612B27" w:rsidP="00612B27">
      <w:pPr>
        <w:tabs>
          <w:tab w:val="left" w:pos="5805"/>
        </w:tabs>
        <w:spacing w:line="240" w:lineRule="auto"/>
        <w:jc w:val="right"/>
      </w:pPr>
    </w:p>
    <w:p w14:paraId="0AC522C1" w14:textId="5FDAB21E" w:rsidR="00612B27" w:rsidRDefault="00612B27" w:rsidP="00612B27">
      <w:pPr>
        <w:tabs>
          <w:tab w:val="left" w:pos="5805"/>
        </w:tabs>
        <w:spacing w:line="240" w:lineRule="auto"/>
        <w:jc w:val="center"/>
      </w:pPr>
      <w:r>
        <w:t>December 16, 2020</w:t>
      </w:r>
    </w:p>
    <w:p w14:paraId="114D981D" w14:textId="68D1480E" w:rsidR="00DA1EEF" w:rsidRDefault="00DA1EEF" w:rsidP="00DA1EEF">
      <w:pPr>
        <w:tabs>
          <w:tab w:val="left" w:pos="5805"/>
        </w:tabs>
        <w:spacing w:line="240" w:lineRule="auto"/>
      </w:pPr>
    </w:p>
    <w:p w14:paraId="3FC631C7" w14:textId="359F9A74" w:rsidR="00DA1EEF" w:rsidRDefault="00DA1EEF" w:rsidP="00DA1EEF">
      <w:pPr>
        <w:tabs>
          <w:tab w:val="left" w:pos="5805"/>
        </w:tabs>
        <w:spacing w:line="240" w:lineRule="auto"/>
        <w:rPr>
          <w:b/>
          <w:u w:val="single"/>
        </w:rPr>
      </w:pPr>
      <w:r w:rsidRPr="00DA1EEF">
        <w:rPr>
          <w:b/>
          <w:u w:val="single"/>
        </w:rPr>
        <w:t>ELECTRONIC MAIL</w:t>
      </w:r>
    </w:p>
    <w:p w14:paraId="46F51720" w14:textId="1309CD10" w:rsidR="00DA1EEF" w:rsidRDefault="00DA1EEF" w:rsidP="00DA1EEF">
      <w:pPr>
        <w:tabs>
          <w:tab w:val="left" w:pos="5805"/>
        </w:tabs>
        <w:spacing w:after="0" w:line="240" w:lineRule="auto"/>
      </w:pPr>
      <w:r>
        <w:t>Docketing Division</w:t>
      </w:r>
    </w:p>
    <w:p w14:paraId="7A0C91B0" w14:textId="148B2368" w:rsidR="00DA1EEF" w:rsidRDefault="00DA1EEF" w:rsidP="00DA1EEF">
      <w:pPr>
        <w:tabs>
          <w:tab w:val="left" w:pos="5805"/>
        </w:tabs>
        <w:spacing w:after="0" w:line="240" w:lineRule="auto"/>
      </w:pPr>
      <w:r>
        <w:t>180 East Broad Street</w:t>
      </w:r>
    </w:p>
    <w:p w14:paraId="38DA147D" w14:textId="53EA51FD" w:rsidR="00DA1EEF" w:rsidRDefault="00DA1EEF" w:rsidP="00DA1EEF">
      <w:pPr>
        <w:tabs>
          <w:tab w:val="left" w:pos="5805"/>
        </w:tabs>
        <w:spacing w:after="0" w:line="240" w:lineRule="auto"/>
      </w:pPr>
      <w:r>
        <w:t>11</w:t>
      </w:r>
      <w:r w:rsidRPr="00DA1EEF">
        <w:rPr>
          <w:vertAlign w:val="superscript"/>
        </w:rPr>
        <w:t>th</w:t>
      </w:r>
      <w:r>
        <w:t xml:space="preserve"> Floor</w:t>
      </w:r>
    </w:p>
    <w:p w14:paraId="51EEF9BC" w14:textId="75C359BB" w:rsidR="00612B27" w:rsidRDefault="00DA1EEF" w:rsidP="00DA1EEF">
      <w:pPr>
        <w:tabs>
          <w:tab w:val="left" w:pos="5805"/>
        </w:tabs>
        <w:spacing w:after="0" w:line="240" w:lineRule="auto"/>
      </w:pPr>
      <w:r>
        <w:t>Columbus, Ohio 43215</w:t>
      </w:r>
    </w:p>
    <w:p w14:paraId="6256476E" w14:textId="77777777" w:rsidR="00DA1EEF" w:rsidRDefault="00DA1EEF" w:rsidP="00612B27">
      <w:pPr>
        <w:tabs>
          <w:tab w:val="left" w:pos="5805"/>
        </w:tabs>
        <w:spacing w:line="240" w:lineRule="auto"/>
      </w:pPr>
    </w:p>
    <w:p w14:paraId="3AE79B0C" w14:textId="4938D4B1" w:rsidR="00612B27" w:rsidRPr="009E1F98" w:rsidRDefault="00612B27" w:rsidP="00612B27">
      <w:pPr>
        <w:spacing w:after="0"/>
        <w:ind w:left="720" w:hanging="720"/>
        <w:rPr>
          <w:b/>
        </w:rPr>
      </w:pPr>
      <w:r>
        <w:rPr>
          <w:b/>
        </w:rPr>
        <w:t xml:space="preserve">RE: </w:t>
      </w:r>
      <w:r>
        <w:rPr>
          <w:b/>
        </w:rPr>
        <w:tab/>
      </w:r>
      <w:r w:rsidRPr="009E1F98">
        <w:rPr>
          <w:b/>
        </w:rPr>
        <w:t>In the Matter of the Application of Ohio Power Company for an Increase in Electric Distribution Rates, Tariff Approval, and a Change in Accounting Methods.</w:t>
      </w:r>
    </w:p>
    <w:p w14:paraId="6233F7D2" w14:textId="77777777" w:rsidR="00612B27" w:rsidRPr="009E1F98" w:rsidRDefault="00612B27" w:rsidP="00612B27">
      <w:pPr>
        <w:spacing w:after="0"/>
        <w:ind w:firstLine="720"/>
        <w:rPr>
          <w:rFonts w:ascii="Century Schoolbook" w:hAnsi="Century Schoolbook"/>
          <w:b/>
          <w:sz w:val="24"/>
          <w:szCs w:val="24"/>
        </w:rPr>
      </w:pPr>
      <w:r w:rsidRPr="009E1F98">
        <w:rPr>
          <w:b/>
        </w:rPr>
        <w:t xml:space="preserve">Case No. 20-585-EL-AIR, </w:t>
      </w:r>
      <w:r w:rsidRPr="009E1F98">
        <w:rPr>
          <w:b/>
          <w:i/>
        </w:rPr>
        <w:t>et al</w:t>
      </w:r>
      <w:r w:rsidRPr="009E1F98">
        <w:rPr>
          <w:b/>
        </w:rPr>
        <w:t>.</w:t>
      </w:r>
    </w:p>
    <w:p w14:paraId="7923B05C" w14:textId="77777777" w:rsidR="00DA1EEF" w:rsidRDefault="00DA1EEF" w:rsidP="00DA1EEF">
      <w:pPr>
        <w:tabs>
          <w:tab w:val="left" w:pos="5805"/>
        </w:tabs>
        <w:spacing w:line="240" w:lineRule="auto"/>
      </w:pPr>
    </w:p>
    <w:p w14:paraId="4C123678" w14:textId="2E9CD045" w:rsidR="00DA1EEF" w:rsidRDefault="00DA1EEF" w:rsidP="00DA1EEF">
      <w:pPr>
        <w:tabs>
          <w:tab w:val="left" w:pos="5805"/>
        </w:tabs>
        <w:spacing w:line="360" w:lineRule="auto"/>
        <w:jc w:val="both"/>
      </w:pPr>
      <w:r>
        <w:t xml:space="preserve">          This letter is to advise the Public Utilities Commission of Ohio the Interstate Gas Supply, Inc. (“IGS Energy”) supports the Interlocutory Appeal and Application for Review of One Energy Enterprises LLC and The Environmental Law and Policy Center filed December 1</w:t>
      </w:r>
      <w:r w:rsidR="00F200B6">
        <w:t>4</w:t>
      </w:r>
      <w:bookmarkStart w:id="0" w:name="_GoBack"/>
      <w:bookmarkEnd w:id="0"/>
      <w:r>
        <w:t xml:space="preserve">, 2020 in the above-captioned proceedings. The appeal takes up the novel question of when the statutory clock outlined in Ohio Adm. Code 4901-1-17(B) and Revised Code 4909.19(C) should begin when the Commission’s Staff report is amended in its entirety. </w:t>
      </w:r>
    </w:p>
    <w:p w14:paraId="71C0766D" w14:textId="78002C6C" w:rsidR="00DA1EEF" w:rsidRDefault="00DA1EEF" w:rsidP="00DA1EEF">
      <w:pPr>
        <w:tabs>
          <w:tab w:val="left" w:pos="5805"/>
        </w:tabs>
        <w:spacing w:line="360" w:lineRule="auto"/>
        <w:jc w:val="both"/>
      </w:pPr>
      <w:r>
        <w:t xml:space="preserve">          The statutory language exists to ensure that all parties are given adequate time to seek discovery and file objections after the view of the Commission Staff is made known through the filing of the Staff Report. From both a logical and textual reading of the statutes, IGS believes that the dates should be set based on the correct and final version of the Staff Report as opposed to basing the statutory deadlines on the filing of a document that, for the purposes of the above captioned proceedings, no longer exists. The Bench determined that as a result of the errors in the Staff Report being “minor in scope” that the originally filed Staff Report did indeed start the Statutory clock for purposes of both objections and discovery requests.</w:t>
      </w:r>
    </w:p>
    <w:p w14:paraId="34D2D089" w14:textId="77777777" w:rsidR="00DA1EEF" w:rsidRDefault="00DA1EEF" w:rsidP="00DA1EEF">
      <w:pPr>
        <w:tabs>
          <w:tab w:val="left" w:pos="5805"/>
        </w:tabs>
        <w:spacing w:line="360" w:lineRule="auto"/>
        <w:jc w:val="both"/>
      </w:pPr>
      <w:r>
        <w:t xml:space="preserve">          It would be unfair and potentially harmful to allow statutory deadlines to begin based on a document that is later superseded in its entirety by another document. The amount or type of errors contained in </w:t>
      </w:r>
    </w:p>
    <w:p w14:paraId="33CBECDE" w14:textId="77777777" w:rsidR="00DA1EEF" w:rsidRDefault="00DA1EEF" w:rsidP="00DA1EEF">
      <w:pPr>
        <w:tabs>
          <w:tab w:val="left" w:pos="5805"/>
        </w:tabs>
        <w:spacing w:line="360" w:lineRule="auto"/>
        <w:jc w:val="both"/>
      </w:pPr>
    </w:p>
    <w:p w14:paraId="728A7ADD" w14:textId="14211FB4" w:rsidR="00DA1EEF" w:rsidRDefault="00DA1EEF" w:rsidP="00DA1EEF">
      <w:pPr>
        <w:tabs>
          <w:tab w:val="left" w:pos="5805"/>
        </w:tabs>
        <w:spacing w:line="360" w:lineRule="auto"/>
        <w:jc w:val="both"/>
      </w:pPr>
      <w:r>
        <w:t xml:space="preserve">the original document does not matter and making such a distinction only opens the door to more quarrels in later cases. When Commission Staff filed their amended Staff Report on November 25, 2020, page two of the document itself stated that the </w:t>
      </w:r>
      <w:proofErr w:type="gramStart"/>
      <w:r>
        <w:t>30 day</w:t>
      </w:r>
      <w:proofErr w:type="gramEnd"/>
      <w:r>
        <w:t xml:space="preserve"> clock shall begin upon the filing of the amended document. </w:t>
      </w:r>
      <w:r w:rsidR="00660A1D">
        <w:t>It is also important to not</w:t>
      </w:r>
      <w:r w:rsidR="00CE4BFD">
        <w:t>e</w:t>
      </w:r>
      <w:r w:rsidR="00660A1D">
        <w:t xml:space="preserve"> that Staff </w:t>
      </w:r>
      <w:r w:rsidR="00CE4BFD">
        <w:t>has amended</w:t>
      </w:r>
      <w:r w:rsidR="000A0DE9">
        <w:t xml:space="preserve"> Staff</w:t>
      </w:r>
      <w:r w:rsidR="00CE4BFD">
        <w:t xml:space="preserve"> </w:t>
      </w:r>
      <w:r w:rsidR="000A0DE9">
        <w:t>R</w:t>
      </w:r>
      <w:r w:rsidR="00CE4BFD">
        <w:t>eports in the past that have led</w:t>
      </w:r>
      <w:r w:rsidR="000A0DE9">
        <w:t xml:space="preserve"> to other procedural extensions. In Duke’s </w:t>
      </w:r>
      <w:r w:rsidR="00F8692B">
        <w:t>2017 rate case, case number 17-</w:t>
      </w:r>
      <w:r w:rsidR="00EE1A40">
        <w:t>00</w:t>
      </w:r>
      <w:r w:rsidR="00F8692B">
        <w:t>32</w:t>
      </w:r>
      <w:r w:rsidR="00EE1A40">
        <w:t>-EL-AIR</w:t>
      </w:r>
      <w:r w:rsidR="004203EC">
        <w:t xml:space="preserve">, Staff filed a supplement to the Staff Report which triggered an extension of the </w:t>
      </w:r>
      <w:r w:rsidR="000630E2">
        <w:t xml:space="preserve">testimony due date </w:t>
      </w:r>
      <w:r w:rsidR="00D66980">
        <w:t xml:space="preserve">by the Attorney Examiner on </w:t>
      </w:r>
      <w:r w:rsidR="009F3B9A">
        <w:t>October</w:t>
      </w:r>
      <w:r w:rsidR="00D66980">
        <w:t xml:space="preserve"> </w:t>
      </w:r>
      <w:r w:rsidR="006817B1">
        <w:t xml:space="preserve">18, </w:t>
      </w:r>
      <w:r w:rsidR="009F3B9A">
        <w:t>2017.</w:t>
      </w:r>
      <w:r w:rsidR="000E1991">
        <w:t xml:space="preserve"> While no objection was made to </w:t>
      </w:r>
      <w:r w:rsidR="001644A9">
        <w:t>the statutory</w:t>
      </w:r>
      <w:r w:rsidR="00180400">
        <w:t xml:space="preserve"> deadlines</w:t>
      </w:r>
      <w:r w:rsidR="001644A9">
        <w:t xml:space="preserve"> discussed above</w:t>
      </w:r>
      <w:r w:rsidR="00180400">
        <w:t xml:space="preserve"> in that </w:t>
      </w:r>
      <w:proofErr w:type="gramStart"/>
      <w:r w:rsidR="00180400">
        <w:t>particular case</w:t>
      </w:r>
      <w:proofErr w:type="gramEnd"/>
      <w:r w:rsidR="00180400">
        <w:t xml:space="preserve">, exposing parties to new information with truncated deadlines </w:t>
      </w:r>
      <w:r w:rsidR="009B3A1E">
        <w:t xml:space="preserve">without the possibly of extension </w:t>
      </w:r>
      <w:r w:rsidR="009946D0">
        <w:t>should be avoided.</w:t>
      </w:r>
      <w:r w:rsidR="00D66980">
        <w:t xml:space="preserve"> </w:t>
      </w:r>
      <w:r w:rsidR="00CE4BFD">
        <w:t xml:space="preserve"> </w:t>
      </w:r>
      <w:r>
        <w:t xml:space="preserve">Not allowing the statutory clocks to begin upon the filing of the correct and final version of the Staff Report would create a slippery slope, and likely </w:t>
      </w:r>
      <w:proofErr w:type="gramStart"/>
      <w:r>
        <w:t>a number of</w:t>
      </w:r>
      <w:proofErr w:type="gramEnd"/>
      <w:r>
        <w:t xml:space="preserve"> legal tests, in order to determine what errors can and should be considered clerical or minor versus changes that are more substantial in nature requiring a resetting of the clock. </w:t>
      </w:r>
    </w:p>
    <w:p w14:paraId="40F9ADCE" w14:textId="160555FD" w:rsidR="00DA1EEF" w:rsidRDefault="00DA1EEF" w:rsidP="00DA1EEF">
      <w:pPr>
        <w:tabs>
          <w:tab w:val="left" w:pos="5805"/>
        </w:tabs>
        <w:spacing w:line="360" w:lineRule="auto"/>
        <w:jc w:val="both"/>
      </w:pPr>
      <w:r>
        <w:t xml:space="preserve">          In sum, the Commission should reverse the Attorney Examiner’s ruling to not extend the statutory clock based on the filing of the final Staff Report and by doing so shut the door, once and for all, on any ambiguity as to the deadlines based on the filing of such a report in all future proceedings. </w:t>
      </w:r>
    </w:p>
    <w:p w14:paraId="458D7CB2" w14:textId="77777777" w:rsidR="00DA1EEF" w:rsidRDefault="00DA1EEF" w:rsidP="00DA1EEF">
      <w:pPr>
        <w:tabs>
          <w:tab w:val="left" w:pos="5805"/>
        </w:tabs>
        <w:spacing w:line="240" w:lineRule="auto"/>
        <w:jc w:val="both"/>
      </w:pPr>
    </w:p>
    <w:p w14:paraId="5FF58FBB" w14:textId="5F1C3B8D" w:rsidR="00DA1EEF" w:rsidRDefault="00DA1EEF" w:rsidP="00DA1EEF">
      <w:pPr>
        <w:tabs>
          <w:tab w:val="left" w:pos="5805"/>
        </w:tabs>
        <w:spacing w:line="240" w:lineRule="auto"/>
        <w:jc w:val="both"/>
      </w:pPr>
      <w:r>
        <w:t>By this filing, copies of this letter are being served upon all parties of record.</w:t>
      </w:r>
      <w:r>
        <w:tab/>
        <w:t xml:space="preserve"> </w:t>
      </w:r>
    </w:p>
    <w:p w14:paraId="6A97D551" w14:textId="77777777" w:rsidR="00DA1EEF" w:rsidRDefault="00DA1EEF" w:rsidP="00DA1EEF">
      <w:pPr>
        <w:tabs>
          <w:tab w:val="left" w:pos="5805"/>
        </w:tabs>
        <w:spacing w:line="240" w:lineRule="auto"/>
      </w:pPr>
    </w:p>
    <w:p w14:paraId="3E548D8B" w14:textId="1E433DB9" w:rsidR="00612B27" w:rsidRDefault="00DA1EEF" w:rsidP="00DA1EEF">
      <w:pPr>
        <w:tabs>
          <w:tab w:val="left" w:pos="5805"/>
        </w:tabs>
        <w:spacing w:line="240" w:lineRule="auto"/>
      </w:pPr>
      <w:r>
        <w:tab/>
      </w:r>
      <w:r>
        <w:tab/>
      </w:r>
      <w:r>
        <w:tab/>
      </w:r>
      <w:r>
        <w:tab/>
      </w:r>
      <w:r>
        <w:tab/>
      </w:r>
      <w:r>
        <w:tab/>
      </w:r>
      <w:r>
        <w:tab/>
      </w:r>
      <w:r>
        <w:tab/>
        <w:t>Sincerely,</w:t>
      </w:r>
    </w:p>
    <w:p w14:paraId="3A84588E" w14:textId="23237B39" w:rsidR="006C5466" w:rsidRPr="008B5CAA" w:rsidRDefault="002359D1" w:rsidP="006C5466">
      <w:pPr>
        <w:spacing w:after="0" w:line="240" w:lineRule="auto"/>
        <w:ind w:left="5040"/>
        <w:rPr>
          <w:rFonts w:eastAsia="Calibri" w:cstheme="minorHAnsi"/>
          <w:u w:val="single"/>
        </w:rPr>
      </w:pPr>
      <w:r>
        <w:tab/>
      </w:r>
      <w:r w:rsidR="006C5466" w:rsidRPr="008B5CAA">
        <w:rPr>
          <w:rFonts w:eastAsia="Arial" w:cstheme="minorHAnsi"/>
          <w:i/>
          <w:u w:val="single"/>
        </w:rPr>
        <w:t xml:space="preserve">/s/ </w:t>
      </w:r>
      <w:r w:rsidR="006C5466" w:rsidRPr="008B5CAA">
        <w:rPr>
          <w:rFonts w:eastAsia="Arial" w:cstheme="minorHAnsi"/>
          <w:i/>
          <w:u w:val="single"/>
        </w:rPr>
        <w:t>Evan Betterton</w:t>
      </w:r>
      <w:r w:rsidR="006C5466" w:rsidRPr="008B5CAA">
        <w:rPr>
          <w:rFonts w:eastAsia="Arial" w:cstheme="minorHAnsi"/>
          <w:i/>
          <w:u w:val="single"/>
        </w:rPr>
        <w:t>_____</w:t>
      </w:r>
    </w:p>
    <w:p w14:paraId="02462053" w14:textId="56CA1C9A" w:rsidR="006C5466" w:rsidRPr="008B5CAA" w:rsidRDefault="006C5466" w:rsidP="006C5466">
      <w:pPr>
        <w:spacing w:after="0" w:line="240" w:lineRule="auto"/>
        <w:ind w:left="5040" w:firstLine="720"/>
        <w:rPr>
          <w:rStyle w:val="Hyperlink"/>
          <w:rFonts w:cstheme="minorHAnsi"/>
          <w:color w:val="auto"/>
          <w:u w:val="none"/>
        </w:rPr>
      </w:pPr>
      <w:r w:rsidRPr="008B5CAA">
        <w:rPr>
          <w:rStyle w:val="Hyperlink"/>
          <w:rFonts w:cstheme="minorHAnsi"/>
          <w:color w:val="auto"/>
          <w:u w:val="none"/>
        </w:rPr>
        <w:t>Evan Betterton</w:t>
      </w:r>
      <w:r w:rsidRPr="008B5CAA">
        <w:rPr>
          <w:rStyle w:val="Hyperlink"/>
          <w:rFonts w:cstheme="minorHAnsi"/>
          <w:color w:val="auto"/>
          <w:u w:val="none"/>
        </w:rPr>
        <w:t xml:space="preserve"> (</w:t>
      </w:r>
      <w:r w:rsidRPr="008B5CAA">
        <w:rPr>
          <w:rStyle w:val="Hyperlink"/>
          <w:rFonts w:cstheme="minorHAnsi"/>
          <w:color w:val="auto"/>
          <w:u w:val="none"/>
        </w:rPr>
        <w:t>100089</w:t>
      </w:r>
      <w:r w:rsidRPr="008B5CAA">
        <w:rPr>
          <w:rStyle w:val="Hyperlink"/>
          <w:rFonts w:cstheme="minorHAnsi"/>
          <w:color w:val="auto"/>
          <w:u w:val="none"/>
        </w:rPr>
        <w:t>)</w:t>
      </w:r>
    </w:p>
    <w:p w14:paraId="22B81A76" w14:textId="73F00441" w:rsidR="006C5466" w:rsidRPr="008B5CAA" w:rsidRDefault="006C5466" w:rsidP="006C5466">
      <w:pPr>
        <w:spacing w:after="0" w:line="240" w:lineRule="auto"/>
        <w:ind w:left="5040" w:firstLine="720"/>
        <w:rPr>
          <w:rStyle w:val="Hyperlink"/>
          <w:rFonts w:cstheme="minorHAnsi"/>
          <w:color w:val="auto"/>
          <w:u w:val="none"/>
        </w:rPr>
      </w:pPr>
      <w:r w:rsidRPr="008B5CAA">
        <w:rPr>
          <w:rStyle w:val="Hyperlink"/>
          <w:rFonts w:cstheme="minorHAnsi"/>
          <w:color w:val="auto"/>
          <w:u w:val="none"/>
        </w:rPr>
        <w:t>IGS Energy</w:t>
      </w:r>
    </w:p>
    <w:p w14:paraId="59E02899" w14:textId="503E0506" w:rsidR="006C5466" w:rsidRPr="008B5CAA" w:rsidRDefault="006C5466" w:rsidP="006C5466">
      <w:pPr>
        <w:spacing w:after="0" w:line="240" w:lineRule="auto"/>
        <w:ind w:left="5040" w:firstLine="720"/>
        <w:rPr>
          <w:rStyle w:val="Hyperlink"/>
          <w:rFonts w:cstheme="minorHAnsi"/>
          <w:color w:val="auto"/>
          <w:u w:val="none"/>
        </w:rPr>
      </w:pPr>
      <w:r w:rsidRPr="008B5CAA">
        <w:rPr>
          <w:rStyle w:val="Hyperlink"/>
          <w:rFonts w:cstheme="minorHAnsi"/>
          <w:color w:val="auto"/>
          <w:u w:val="none"/>
        </w:rPr>
        <w:t xml:space="preserve">6100 Emerald Parkway </w:t>
      </w:r>
    </w:p>
    <w:p w14:paraId="765393DD" w14:textId="2318F550" w:rsidR="006C5466" w:rsidRPr="008B5CAA" w:rsidRDefault="006C5466" w:rsidP="006C5466">
      <w:pPr>
        <w:spacing w:after="0" w:line="240" w:lineRule="auto"/>
        <w:ind w:left="5040" w:firstLine="720"/>
        <w:rPr>
          <w:rStyle w:val="Hyperlink"/>
          <w:rFonts w:cstheme="minorHAnsi"/>
          <w:color w:val="auto"/>
          <w:u w:val="none"/>
        </w:rPr>
      </w:pPr>
      <w:r w:rsidRPr="008B5CAA">
        <w:rPr>
          <w:rStyle w:val="Hyperlink"/>
          <w:rFonts w:cstheme="minorHAnsi"/>
          <w:color w:val="auto"/>
          <w:u w:val="none"/>
        </w:rPr>
        <w:t>Dublin, Ohio 43016</w:t>
      </w:r>
    </w:p>
    <w:p w14:paraId="14A3934A" w14:textId="33D2CCB9" w:rsidR="001C56A4" w:rsidRPr="002359D1" w:rsidRDefault="001C56A4" w:rsidP="002359D1">
      <w:pPr>
        <w:tabs>
          <w:tab w:val="left" w:pos="5805"/>
        </w:tabs>
        <w:spacing w:line="240" w:lineRule="auto"/>
        <w:jc w:val="center"/>
        <w:rPr>
          <w:u w:val="single"/>
        </w:rPr>
      </w:pPr>
    </w:p>
    <w:p w14:paraId="74A0C6F3" w14:textId="1DF19B23" w:rsidR="00612B27" w:rsidRPr="0015099E" w:rsidRDefault="00612B27" w:rsidP="00612B27">
      <w:pPr>
        <w:tabs>
          <w:tab w:val="left" w:pos="5805"/>
        </w:tabs>
        <w:jc w:val="right"/>
      </w:pPr>
    </w:p>
    <w:p w14:paraId="0B73C00C" w14:textId="77777777" w:rsidR="0015099E" w:rsidRPr="0015099E" w:rsidRDefault="0015099E" w:rsidP="0015099E"/>
    <w:p w14:paraId="3D7A38E7" w14:textId="14E5C4AC" w:rsidR="0015099E" w:rsidRPr="0015099E" w:rsidRDefault="0015099E" w:rsidP="0015099E"/>
    <w:p w14:paraId="4DB6AA4A" w14:textId="73AFAE60" w:rsidR="0015099E" w:rsidRPr="0015099E" w:rsidRDefault="0015099E" w:rsidP="0015099E"/>
    <w:p w14:paraId="3BDFE66C" w14:textId="77777777" w:rsidR="00E94236" w:rsidRPr="00E94236" w:rsidRDefault="00E94236" w:rsidP="00E94236"/>
    <w:sectPr w:rsidR="00E94236" w:rsidRPr="00E94236" w:rsidSect="0015099E">
      <w:headerReference w:type="even" r:id="rId9"/>
      <w:headerReference w:type="default" r:id="rId10"/>
      <w:headerReference w:type="firs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7D1BC" w14:textId="77777777" w:rsidR="00027148" w:rsidRDefault="00027148" w:rsidP="00FA578E">
      <w:pPr>
        <w:spacing w:after="0" w:line="240" w:lineRule="auto"/>
      </w:pPr>
      <w:r>
        <w:separator/>
      </w:r>
    </w:p>
  </w:endnote>
  <w:endnote w:type="continuationSeparator" w:id="0">
    <w:p w14:paraId="1A0DC337" w14:textId="77777777" w:rsidR="00027148" w:rsidRDefault="00027148" w:rsidP="00FA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9A34C" w14:textId="77777777" w:rsidR="00027148" w:rsidRDefault="00027148" w:rsidP="00FA578E">
      <w:pPr>
        <w:spacing w:after="0" w:line="240" w:lineRule="auto"/>
      </w:pPr>
      <w:r>
        <w:separator/>
      </w:r>
    </w:p>
  </w:footnote>
  <w:footnote w:type="continuationSeparator" w:id="0">
    <w:p w14:paraId="46FF369F" w14:textId="77777777" w:rsidR="00027148" w:rsidRDefault="00027148" w:rsidP="00FA5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1A751" w14:textId="652F441F" w:rsidR="0015099E" w:rsidRDefault="00027148">
    <w:pPr>
      <w:pStyle w:val="Header"/>
    </w:pPr>
    <w:r>
      <w:rPr>
        <w:noProof/>
      </w:rPr>
      <w:pict w14:anchorId="61555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05563" o:spid="_x0000_s2074" type="#_x0000_t75" style="position:absolute;margin-left:0;margin-top:0;width:467.85pt;height:584.2pt;z-index:-251657216;mso-position-horizontal:center;mso-position-horizontal-relative:margin;mso-position-vertical:center;mso-position-vertical-relative:margin" o:allowincell="f">
          <v:imagedata r:id="rId1" o:title="icon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240E" w14:textId="50333144" w:rsidR="00FA578E" w:rsidRDefault="00114D85">
    <w:pPr>
      <w:pStyle w:val="Header"/>
    </w:pPr>
    <w:r>
      <w:rPr>
        <w:noProof/>
      </w:rPr>
      <w:drawing>
        <wp:anchor distT="0" distB="0" distL="114300" distR="114300" simplePos="0" relativeHeight="251661312" behindDoc="1" locked="0" layoutInCell="1" allowOverlap="1" wp14:anchorId="6498BB4B" wp14:editId="38B8A350">
          <wp:simplePos x="0" y="0"/>
          <wp:positionH relativeFrom="column">
            <wp:posOffset>-600075</wp:posOffset>
          </wp:positionH>
          <wp:positionV relativeFrom="paragraph">
            <wp:posOffset>-114300</wp:posOffset>
          </wp:positionV>
          <wp:extent cx="3400425" cy="708025"/>
          <wp:effectExtent l="0" t="0" r="9525" b="0"/>
          <wp:wrapTight wrapText="bothSides">
            <wp:wrapPolygon edited="0">
              <wp:start x="0" y="0"/>
              <wp:lineTo x="0" y="20922"/>
              <wp:lineTo x="21539" y="20922"/>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00425" cy="708025"/>
                  </a:xfrm>
                  <a:prstGeom prst="rect">
                    <a:avLst/>
                  </a:prstGeom>
                </pic:spPr>
              </pic:pic>
            </a:graphicData>
          </a:graphic>
        </wp:anchor>
      </w:drawing>
    </w:r>
    <w:r w:rsidR="00027148">
      <w:rPr>
        <w:noProof/>
      </w:rPr>
      <w:pict w14:anchorId="365F9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05564" o:spid="_x0000_s2075" type="#_x0000_t75" style="position:absolute;margin-left:146.2pt;margin-top:223.25pt;width:397.4pt;height:496.2pt;z-index:-251656192;mso-position-horizontal-relative:margin;mso-position-vertical-relative:margin" o:allowincell="f">
          <v:imagedata r:id="rId2" o:title="icon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9F66" w14:textId="3FCF6D59" w:rsidR="0015099E" w:rsidRDefault="00027148">
    <w:pPr>
      <w:pStyle w:val="Header"/>
    </w:pPr>
    <w:r>
      <w:rPr>
        <w:noProof/>
      </w:rPr>
      <w:pict w14:anchorId="13A2B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05562" o:spid="_x0000_s2073" type="#_x0000_t75" style="position:absolute;margin-left:0;margin-top:0;width:467.85pt;height:584.2pt;z-index:-251658240;mso-position-horizontal:center;mso-position-horizontal-relative:margin;mso-position-vertical:center;mso-position-vertical-relative:margin" o:allowincell="f">
          <v:imagedata r:id="rId1" o:title="icon 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8E"/>
    <w:rsid w:val="00027148"/>
    <w:rsid w:val="00057855"/>
    <w:rsid w:val="000630E2"/>
    <w:rsid w:val="000A0DE9"/>
    <w:rsid w:val="000E1991"/>
    <w:rsid w:val="00114D85"/>
    <w:rsid w:val="0015099E"/>
    <w:rsid w:val="001644A9"/>
    <w:rsid w:val="00180400"/>
    <w:rsid w:val="001C2109"/>
    <w:rsid w:val="001C56A4"/>
    <w:rsid w:val="001E20FD"/>
    <w:rsid w:val="002359D1"/>
    <w:rsid w:val="00346C2C"/>
    <w:rsid w:val="004073BD"/>
    <w:rsid w:val="004203EC"/>
    <w:rsid w:val="0050261A"/>
    <w:rsid w:val="00612B27"/>
    <w:rsid w:val="00660A1D"/>
    <w:rsid w:val="006817B1"/>
    <w:rsid w:val="006C5466"/>
    <w:rsid w:val="00722265"/>
    <w:rsid w:val="00732059"/>
    <w:rsid w:val="00746C35"/>
    <w:rsid w:val="008905C7"/>
    <w:rsid w:val="008B5CAA"/>
    <w:rsid w:val="009269D2"/>
    <w:rsid w:val="009946D0"/>
    <w:rsid w:val="009B3A1E"/>
    <w:rsid w:val="009F3B9A"/>
    <w:rsid w:val="00A4232B"/>
    <w:rsid w:val="00CE4BFD"/>
    <w:rsid w:val="00D66980"/>
    <w:rsid w:val="00DA1EEF"/>
    <w:rsid w:val="00DA79DE"/>
    <w:rsid w:val="00E94236"/>
    <w:rsid w:val="00EE1A40"/>
    <w:rsid w:val="00F200B6"/>
    <w:rsid w:val="00F7649F"/>
    <w:rsid w:val="00F8692B"/>
    <w:rsid w:val="00FA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611F0969"/>
  <w15:chartTrackingRefBased/>
  <w15:docId w15:val="{3A7E76CB-7F63-4336-A556-78B11870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8E"/>
  </w:style>
  <w:style w:type="paragraph" w:styleId="Footer">
    <w:name w:val="footer"/>
    <w:basedOn w:val="Normal"/>
    <w:link w:val="FooterChar"/>
    <w:uiPriority w:val="99"/>
    <w:unhideWhenUsed/>
    <w:rsid w:val="00FA5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8E"/>
  </w:style>
  <w:style w:type="character" w:styleId="Hyperlink">
    <w:name w:val="Hyperlink"/>
    <w:basedOn w:val="DefaultParagraphFont"/>
    <w:uiPriority w:val="99"/>
    <w:unhideWhenUsed/>
    <w:rsid w:val="00612B27"/>
    <w:rPr>
      <w:color w:val="0563C1" w:themeColor="hyperlink"/>
      <w:u w:val="single"/>
    </w:rPr>
  </w:style>
  <w:style w:type="character" w:styleId="UnresolvedMention">
    <w:name w:val="Unresolved Mention"/>
    <w:basedOn w:val="DefaultParagraphFont"/>
    <w:uiPriority w:val="99"/>
    <w:semiHidden/>
    <w:unhideWhenUsed/>
    <w:rsid w:val="00612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d5c4c6-b9eb-4cda-b39a-7fef7100373c">
      <UserInfo>
        <DisplayName>Dave Gilligan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8" ma:contentTypeDescription="Create a new document." ma:contentTypeScope="" ma:versionID="b123bb675f538c01cd1edc001d17f45a">
  <xsd:schema xmlns:xsd="http://www.w3.org/2001/XMLSchema" xmlns:xs="http://www.w3.org/2001/XMLSchema" xmlns:p="http://schemas.microsoft.com/office/2006/metadata/properties" xmlns:ns2="7b65a839-91ea-4ae8-a3e7-aa2e1fd1ecb0" xmlns:ns3="55d5c4c6-b9eb-4cda-b39a-7fef7100373c" targetNamespace="http://schemas.microsoft.com/office/2006/metadata/properties" ma:root="true" ma:fieldsID="c0175aaf1d765f7823cf700f99e3fa78" ns2:_="" ns3:_="">
    <xsd:import namespace="7b65a839-91ea-4ae8-a3e7-aa2e1fd1ecb0"/>
    <xsd:import namespace="55d5c4c6-b9eb-4cda-b39a-7fef710037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5c4c6-b9eb-4cda-b39a-7fef710037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D863C-6084-4308-9D05-6B53656EC751}">
  <ds:schemaRefs>
    <ds:schemaRef ds:uri="http://schemas.microsoft.com/office/2006/metadata/properties"/>
    <ds:schemaRef ds:uri="http://schemas.microsoft.com/office/infopath/2007/PartnerControls"/>
    <ds:schemaRef ds:uri="55d5c4c6-b9eb-4cda-b39a-7fef7100373c"/>
  </ds:schemaRefs>
</ds:datastoreItem>
</file>

<file path=customXml/itemProps2.xml><?xml version="1.0" encoding="utf-8"?>
<ds:datastoreItem xmlns:ds="http://schemas.openxmlformats.org/officeDocument/2006/customXml" ds:itemID="{73AC0A0D-62D2-47BD-B851-1BA7DCA05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55d5c4c6-b9eb-4cda-b39a-7fef71003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74629-901F-4655-9058-8A9BECC45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Spencer</dc:creator>
  <cp:keywords/>
  <dc:description/>
  <cp:lastModifiedBy>Evan Betterton</cp:lastModifiedBy>
  <cp:revision>3</cp:revision>
  <cp:lastPrinted>2020-12-16T21:59:00Z</cp:lastPrinted>
  <dcterms:created xsi:type="dcterms:W3CDTF">2020-12-16T22:08:00Z</dcterms:created>
  <dcterms:modified xsi:type="dcterms:W3CDTF">2020-12-17T03:34:00Z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