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D1" w:rsidRDefault="00DC2DD1">
      <w:pPr>
        <w:pStyle w:val="Heading5"/>
        <w:rPr>
          <w:i w:val="0"/>
          <w:sz w:val="20"/>
        </w:rPr>
      </w:pPr>
      <w:bookmarkStart w:id="0" w:name="_GoBack"/>
      <w:bookmarkEnd w:id="0"/>
      <w:r>
        <w:rPr>
          <w:i w:val="0"/>
          <w:sz w:val="20"/>
        </w:rPr>
        <w:t>SMALL GENERAL SCHOOLS TRANSPORTATION SERVICE DELIVERY CHARGE</w:t>
      </w:r>
    </w:p>
    <w:p w:rsidR="00DC2DD1" w:rsidRDefault="00DC2DD1">
      <w:pPr>
        <w:tabs>
          <w:tab w:val="left" w:pos="-720"/>
        </w:tabs>
        <w:suppressAutoHyphens/>
        <w:jc w:val="both"/>
        <w:rPr>
          <w:spacing w:val="-3"/>
        </w:rPr>
      </w:pPr>
    </w:p>
    <w:p w:rsidR="00DC2DD1" w:rsidRDefault="00DC2DD1">
      <w:pPr>
        <w:pStyle w:val="Heading4"/>
      </w:pPr>
      <w:r>
        <w:t>AVAILABILITY</w:t>
      </w:r>
    </w:p>
    <w:p w:rsidR="00DC2DD1" w:rsidRDefault="00DC2DD1">
      <w:pPr>
        <w:tabs>
          <w:tab w:val="left" w:pos="-720"/>
        </w:tabs>
        <w:suppressAutoHyphens/>
        <w:jc w:val="both"/>
        <w:rPr>
          <w:spacing w:val="-3"/>
        </w:rPr>
      </w:pPr>
    </w:p>
    <w:p w:rsidR="00DC2DD1" w:rsidRDefault="00DC2DD1">
      <w:pPr>
        <w:tabs>
          <w:tab w:val="left" w:pos="-720"/>
          <w:tab w:val="left" w:pos="0"/>
        </w:tabs>
        <w:suppressAutoHyphens/>
        <w:ind w:left="330" w:hanging="330"/>
        <w:jc w:val="both"/>
        <w:rPr>
          <w:spacing w:val="-3"/>
        </w:rPr>
      </w:pPr>
      <w:r>
        <w:rPr>
          <w:spacing w:val="-3"/>
        </w:rPr>
        <w:tab/>
        <w:t>Available to any primary or secondary school</w:t>
      </w:r>
      <w:r w:rsidR="00CB2620">
        <w:rPr>
          <w:spacing w:val="-3"/>
        </w:rPr>
        <w:t xml:space="preserve"> </w:t>
      </w:r>
      <w:r>
        <w:rPr>
          <w:spacing w:val="-3"/>
        </w:rPr>
        <w:t>Customer accounts provided that service can be rendered within the limits of Company</w:t>
      </w:r>
      <w:r w:rsidR="00CB2620">
        <w:rPr>
          <w:spacing w:val="-3"/>
        </w:rPr>
        <w:t>’</w:t>
      </w:r>
      <w:r>
        <w:rPr>
          <w:spacing w:val="-3"/>
        </w:rPr>
        <w:t>s operating conditions and facilities, Customer consumes less than 300 Mcf per year between September 1 and August 31</w:t>
      </w:r>
      <w:r w:rsidR="003724D4">
        <w:rPr>
          <w:spacing w:val="-3"/>
        </w:rPr>
        <w:t>; and Customer purchases 100% Backup Service</w:t>
      </w:r>
      <w:r>
        <w:rPr>
          <w:spacing w:val="-3"/>
        </w:rPr>
        <w:t>.</w:t>
      </w:r>
      <w:r w:rsidR="00CB2620">
        <w:rPr>
          <w:spacing w:val="-3"/>
        </w:rPr>
        <w:t xml:space="preserve"> </w:t>
      </w:r>
      <w:r w:rsidR="003724D4">
        <w:rPr>
          <w:spacing w:val="-3"/>
        </w:rPr>
        <w:t>This service is available to Public School Districts that were receiving Transportation Service as October 7, 2009, including any new or existing facility placed into service prior to March 31, 2013 regardless of</w:t>
      </w:r>
      <w:r w:rsidR="00CB2620">
        <w:rPr>
          <w:spacing w:val="-3"/>
        </w:rPr>
        <w:t xml:space="preserve"> </w:t>
      </w:r>
      <w:r w:rsidR="003724D4">
        <w:rPr>
          <w:spacing w:val="-3"/>
        </w:rPr>
        <w:t xml:space="preserve">Backup Service. </w:t>
      </w:r>
      <w:r>
        <w:rPr>
          <w:spacing w:val="-3"/>
        </w:rPr>
        <w:t>Annual consumption for Customers served hereunder will be reviewed each August 31</w:t>
      </w:r>
      <w:r w:rsidRPr="003724D4">
        <w:rPr>
          <w:spacing w:val="-3"/>
          <w:vertAlign w:val="superscript"/>
        </w:rPr>
        <w:t>st</w:t>
      </w:r>
      <w:r>
        <w:rPr>
          <w:spacing w:val="-3"/>
        </w:rPr>
        <w:t>.</w:t>
      </w:r>
      <w:r w:rsidR="00CB2620">
        <w:rPr>
          <w:spacing w:val="-3"/>
        </w:rPr>
        <w:t xml:space="preserve"> </w:t>
      </w:r>
      <w:r>
        <w:rPr>
          <w:spacing w:val="-3"/>
        </w:rPr>
        <w:t>Service is subject to the Rules and Regulations as set forth in Section VI, Part Nos. 1 through</w:t>
      </w:r>
      <w:r w:rsidR="003724D4">
        <w:rPr>
          <w:spacing w:val="-3"/>
        </w:rPr>
        <w:t xml:space="preserve"> </w:t>
      </w:r>
      <w:r>
        <w:rPr>
          <w:spacing w:val="-3"/>
        </w:rPr>
        <w:t>27.</w:t>
      </w:r>
    </w:p>
    <w:p w:rsidR="00DC2DD1" w:rsidRDefault="00DC2DD1">
      <w:pPr>
        <w:tabs>
          <w:tab w:val="left" w:pos="-720"/>
          <w:tab w:val="left" w:pos="0"/>
        </w:tabs>
        <w:suppressAutoHyphens/>
        <w:jc w:val="both"/>
      </w:pPr>
    </w:p>
    <w:p w:rsidR="00DC2DD1" w:rsidRDefault="00DC2DD1">
      <w:pPr>
        <w:tabs>
          <w:tab w:val="left" w:pos="-720"/>
          <w:tab w:val="left" w:pos="0"/>
        </w:tabs>
        <w:suppressAutoHyphens/>
        <w:ind w:left="360"/>
        <w:jc w:val="both"/>
      </w:pPr>
      <w:r>
        <w:t>The Company will charge the following maximum rates for all Customer-owned volumes delivered by Company to Customer's facility where gas is being consumed:</w:t>
      </w:r>
    </w:p>
    <w:p w:rsidR="00DC2DD1" w:rsidRDefault="00DC2DD1">
      <w:pPr>
        <w:tabs>
          <w:tab w:val="left" w:pos="-720"/>
          <w:tab w:val="left" w:pos="0"/>
        </w:tabs>
        <w:suppressAutoHyphens/>
        <w:ind w:left="360" w:hanging="360"/>
        <w:jc w:val="both"/>
        <w:rPr>
          <w:spacing w:val="-3"/>
        </w:rPr>
      </w:pPr>
    </w:p>
    <w:tbl>
      <w:tblPr>
        <w:tblW w:w="0" w:type="auto"/>
        <w:tblInd w:w="1434" w:type="dxa"/>
        <w:tblLook w:val="01E0" w:firstRow="1" w:lastRow="1" w:firstColumn="1" w:lastColumn="1" w:noHBand="0" w:noVBand="0"/>
      </w:tblPr>
      <w:tblGrid>
        <w:gridCol w:w="3960"/>
        <w:gridCol w:w="2538"/>
      </w:tblGrid>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both"/>
              <w:rPr>
                <w:spacing w:val="-3"/>
              </w:rPr>
            </w:pPr>
          </w:p>
        </w:tc>
        <w:tc>
          <w:tcPr>
            <w:tcW w:w="2538"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u w:val="single"/>
              </w:rPr>
            </w:pPr>
            <w:r w:rsidRPr="00F77E2F">
              <w:rPr>
                <w:spacing w:val="-3"/>
                <w:u w:val="single"/>
              </w:rPr>
              <w:t xml:space="preserve">On and After </w:t>
            </w:r>
          </w:p>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u w:val="single"/>
              </w:rPr>
            </w:pPr>
            <w:r w:rsidRPr="00F77E2F">
              <w:rPr>
                <w:spacing w:val="-3"/>
                <w:u w:val="single"/>
              </w:rPr>
              <w:t>December 3, 2009</w:t>
            </w:r>
          </w:p>
        </w:tc>
      </w:tr>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right"/>
              <w:rPr>
                <w:spacing w:val="-3"/>
              </w:rPr>
            </w:pPr>
          </w:p>
        </w:tc>
        <w:tc>
          <w:tcPr>
            <w:tcW w:w="2538"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center"/>
              <w:rPr>
                <w:spacing w:val="-3"/>
              </w:rPr>
            </w:pPr>
          </w:p>
        </w:tc>
      </w:tr>
      <w:tr w:rsidR="00DC2DD1" w:rsidRPr="00F77E2F" w:rsidTr="00F77E2F">
        <w:tc>
          <w:tcPr>
            <w:tcW w:w="3960" w:type="dxa"/>
            <w:shd w:val="clear" w:color="auto" w:fill="auto"/>
          </w:tcPr>
          <w:p w:rsidR="00DC2DD1" w:rsidRPr="00F77E2F" w:rsidRDefault="00DC2DD1" w:rsidP="00F77E2F">
            <w:pPr>
              <w:tabs>
                <w:tab w:val="left" w:pos="-1560"/>
                <w:tab w:val="left" w:pos="-840"/>
                <w:tab w:val="left" w:pos="240"/>
                <w:tab w:val="left" w:pos="600"/>
                <w:tab w:val="left" w:pos="960"/>
                <w:tab w:val="left" w:pos="4320"/>
              </w:tabs>
              <w:suppressAutoHyphens/>
              <w:jc w:val="right"/>
              <w:rPr>
                <w:spacing w:val="-3"/>
              </w:rPr>
            </w:pPr>
            <w:r w:rsidRPr="00F77E2F">
              <w:rPr>
                <w:spacing w:val="-3"/>
              </w:rPr>
              <w:t>Monthly Delivery Charge per account</w:t>
            </w:r>
          </w:p>
        </w:tc>
        <w:tc>
          <w:tcPr>
            <w:tcW w:w="2538" w:type="dxa"/>
            <w:shd w:val="clear" w:color="auto" w:fill="auto"/>
          </w:tcPr>
          <w:p w:rsidR="00DC2DD1" w:rsidRPr="00F77E2F" w:rsidRDefault="007C595F" w:rsidP="00F77E2F">
            <w:pPr>
              <w:tabs>
                <w:tab w:val="left" w:pos="-1560"/>
                <w:tab w:val="left" w:pos="-840"/>
                <w:tab w:val="left" w:pos="240"/>
                <w:tab w:val="left" w:pos="600"/>
                <w:tab w:val="left" w:pos="960"/>
                <w:tab w:val="left" w:pos="4320"/>
              </w:tabs>
              <w:suppressAutoHyphens/>
              <w:jc w:val="center"/>
              <w:rPr>
                <w:spacing w:val="-3"/>
              </w:rPr>
            </w:pPr>
            <w:r>
              <w:rPr>
                <w:spacing w:val="-3"/>
              </w:rPr>
              <w:t>$15.91</w:t>
            </w:r>
            <w:r w:rsidR="00DC2DD1" w:rsidRPr="00F77E2F">
              <w:rPr>
                <w:spacing w:val="-3"/>
              </w:rPr>
              <w:t xml:space="preserve"> per Month</w:t>
            </w:r>
          </w:p>
        </w:tc>
      </w:tr>
    </w:tbl>
    <w:p w:rsidR="00DC2DD1" w:rsidRDefault="00DC2DD1">
      <w:pPr>
        <w:tabs>
          <w:tab w:val="left" w:pos="-720"/>
          <w:tab w:val="left" w:pos="0"/>
        </w:tabs>
        <w:suppressAutoHyphens/>
        <w:ind w:left="360" w:hanging="360"/>
        <w:jc w:val="both"/>
        <w:rPr>
          <w:spacing w:val="-3"/>
        </w:rPr>
      </w:pPr>
      <w:r>
        <w:rPr>
          <w:spacing w:val="-3"/>
        </w:rPr>
        <w:tab/>
      </w:r>
    </w:p>
    <w:p w:rsidR="00DC2DD1" w:rsidRDefault="00DC2DD1">
      <w:pPr>
        <w:autoSpaceDE w:val="0"/>
        <w:autoSpaceDN w:val="0"/>
        <w:adjustRightInd w:val="0"/>
        <w:ind w:left="360"/>
        <w:rPr>
          <w:rFonts w:ascii="Tms Rmn" w:hAnsi="Tms Rmn"/>
          <w:sz w:val="24"/>
          <w:szCs w:val="24"/>
        </w:rPr>
      </w:pPr>
      <w:r>
        <w:rPr>
          <w:spacing w:val="-3"/>
        </w:rPr>
        <w:t>The maximum delivery charge for all deliveries by Company to Customer of Customer-owned gas under this provision will be equal to the Small General Schools Transportation Service base rate then in effect.</w:t>
      </w:r>
      <w:r w:rsidR="00CB2620">
        <w:rPr>
          <w:spacing w:val="-3"/>
        </w:rPr>
        <w:t xml:space="preserve"> </w:t>
      </w:r>
      <w:r>
        <w:rPr>
          <w:spacing w:val="-3"/>
        </w:rPr>
        <w:t>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w:t>
      </w:r>
      <w:r w:rsidR="00CB2620">
        <w:rPr>
          <w:spacing w:val="-3"/>
        </w:rPr>
        <w:t xml:space="preserve"> </w:t>
      </w:r>
    </w:p>
    <w:p w:rsidR="00DC2DD1" w:rsidRDefault="00DC2DD1">
      <w:pPr>
        <w:tabs>
          <w:tab w:val="left" w:pos="-720"/>
          <w:tab w:val="left" w:pos="0"/>
        </w:tabs>
        <w:suppressAutoHyphens/>
        <w:ind w:left="360" w:hanging="360"/>
        <w:jc w:val="both"/>
        <w:rPr>
          <w:spacing w:val="-3"/>
        </w:rPr>
      </w:pPr>
    </w:p>
    <w:p w:rsidR="00DC2DD1" w:rsidRDefault="00DC2DD1">
      <w:pPr>
        <w:tabs>
          <w:tab w:val="left" w:pos="-720"/>
          <w:tab w:val="left" w:pos="0"/>
        </w:tabs>
        <w:suppressAutoHyphens/>
        <w:ind w:left="360" w:hanging="360"/>
        <w:jc w:val="both"/>
        <w:rPr>
          <w:spacing w:val="-3"/>
        </w:rPr>
      </w:pPr>
      <w:r>
        <w:rPr>
          <w:spacing w:val="-3"/>
        </w:rPr>
        <w:tab/>
        <w:t>The minimum rate shall not be less than the variable cost of providing service hereunder plus some contribution to fixed costs.</w:t>
      </w:r>
      <w:r w:rsidR="00CB2620">
        <w:rPr>
          <w:spacing w:val="-3"/>
        </w:rPr>
        <w:t xml:space="preserve"> </w:t>
      </w:r>
      <w:r>
        <w:rPr>
          <w:spacing w:val="-3"/>
        </w:rPr>
        <w:t>Unless otherwise agreed by Company and customer, Customer shall pay the maximum rate for all volumes delivered hereunder.</w:t>
      </w:r>
    </w:p>
    <w:p w:rsidR="00DC2DD1" w:rsidRDefault="00DC2DD1">
      <w:pPr>
        <w:tabs>
          <w:tab w:val="left" w:pos="-720"/>
          <w:tab w:val="left" w:pos="0"/>
        </w:tabs>
        <w:suppressAutoHyphens/>
        <w:ind w:left="360" w:hanging="360"/>
        <w:jc w:val="both"/>
        <w:rPr>
          <w:spacing w:val="-3"/>
        </w:rPr>
      </w:pPr>
      <w:r>
        <w:rPr>
          <w:spacing w:val="-3"/>
        </w:rPr>
        <w:tab/>
      </w:r>
    </w:p>
    <w:p w:rsidR="00DC2DD1" w:rsidRDefault="00DC2DD1">
      <w:pPr>
        <w:tabs>
          <w:tab w:val="left" w:pos="-1560"/>
          <w:tab w:val="left" w:pos="-840"/>
          <w:tab w:val="left" w:pos="240"/>
          <w:tab w:val="left" w:pos="600"/>
          <w:tab w:val="left" w:pos="940"/>
          <w:tab w:val="left" w:pos="1281"/>
          <w:tab w:val="left" w:pos="4693"/>
          <w:tab w:val="left" w:pos="5374"/>
        </w:tabs>
        <w:suppressAutoHyphens/>
        <w:jc w:val="both"/>
        <w:rPr>
          <w:b/>
        </w:rPr>
      </w:pPr>
      <w:r>
        <w:rPr>
          <w:spacing w:val="-3"/>
        </w:rPr>
        <w:tab/>
      </w:r>
      <w:r>
        <w:rPr>
          <w:b/>
        </w:rPr>
        <w:t>BILLING ADJUSTMENTS</w:t>
      </w:r>
    </w:p>
    <w:p w:rsidR="00DC2DD1" w:rsidRDefault="00DC2DD1">
      <w:pPr>
        <w:tabs>
          <w:tab w:val="left" w:pos="-1560"/>
          <w:tab w:val="left" w:pos="-840"/>
          <w:tab w:val="left" w:pos="240"/>
          <w:tab w:val="left" w:pos="600"/>
          <w:tab w:val="left" w:pos="940"/>
          <w:tab w:val="left" w:pos="1281"/>
          <w:tab w:val="left" w:pos="4693"/>
          <w:tab w:val="left" w:pos="5374"/>
        </w:tabs>
        <w:suppressAutoHyphens/>
        <w:jc w:val="both"/>
      </w:pPr>
    </w:p>
    <w:p w:rsidR="00DC2DD1" w:rsidRDefault="00DC2DD1">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VI, Part No. 27</w:t>
      </w:r>
      <w:r w:rsidR="00CB2620">
        <w:t xml:space="preserve"> </w:t>
      </w:r>
      <w:r>
        <w:t>of the Company’s Rules and Regulations governing the distribution and sale of gas.</w:t>
      </w:r>
    </w:p>
    <w:p w:rsidR="00DC2DD1" w:rsidRDefault="00DC2DD1">
      <w:pPr>
        <w:tabs>
          <w:tab w:val="left" w:pos="-1560"/>
          <w:tab w:val="left" w:pos="-840"/>
          <w:tab w:val="left" w:pos="240"/>
          <w:tab w:val="left" w:pos="600"/>
          <w:tab w:val="left" w:pos="940"/>
          <w:tab w:val="left" w:pos="1281"/>
          <w:tab w:val="left" w:pos="4693"/>
          <w:tab w:val="left" w:pos="5374"/>
        </w:tabs>
        <w:suppressAutoHyphens/>
        <w:ind w:left="600"/>
        <w:jc w:val="both"/>
      </w:pP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PIP Plan Tariff Schedule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Uncollectible Expense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 xml:space="preserve">Gross Receipts Tax Rider; </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Excise Tax Rider;</w:t>
      </w:r>
    </w:p>
    <w:p w:rsidR="00DC2DD1"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Infrastructur</w:t>
      </w:r>
      <w:r w:rsidR="00854DC3">
        <w:t>e Replacement Program Rider;</w:t>
      </w:r>
    </w:p>
    <w:p w:rsidR="00854DC3" w:rsidRDefault="00DC2DD1">
      <w:pPr>
        <w:numPr>
          <w:ilvl w:val="0"/>
          <w:numId w:val="5"/>
        </w:numPr>
        <w:tabs>
          <w:tab w:val="left" w:pos="-1560"/>
          <w:tab w:val="left" w:pos="-840"/>
          <w:tab w:val="left" w:pos="240"/>
          <w:tab w:val="left" w:pos="600"/>
          <w:tab w:val="left" w:pos="1281"/>
          <w:tab w:val="left" w:pos="4693"/>
          <w:tab w:val="left" w:pos="5374"/>
        </w:tabs>
        <w:suppressAutoHyphens/>
        <w:jc w:val="both"/>
      </w:pPr>
      <w:r>
        <w:t>Demand Side Management Rider</w:t>
      </w:r>
      <w:r w:rsidR="007C595F">
        <w:t>;</w:t>
      </w:r>
    </w:p>
    <w:p w:rsidR="007C595F" w:rsidRDefault="00854DC3" w:rsidP="00AF2C4E">
      <w:pPr>
        <w:numPr>
          <w:ilvl w:val="0"/>
          <w:numId w:val="5"/>
        </w:numPr>
        <w:tabs>
          <w:tab w:val="left" w:pos="-1560"/>
          <w:tab w:val="left" w:pos="-840"/>
          <w:tab w:val="left" w:pos="240"/>
          <w:tab w:val="left" w:pos="600"/>
          <w:tab w:val="left" w:pos="1281"/>
          <w:tab w:val="left" w:pos="4693"/>
          <w:tab w:val="left" w:pos="5374"/>
        </w:tabs>
        <w:suppressAutoHyphens/>
        <w:jc w:val="both"/>
      </w:pPr>
      <w:r>
        <w:t>Infrastructure Development Rider</w:t>
      </w:r>
      <w:r w:rsidR="007C595F">
        <w:t>;</w:t>
      </w:r>
    </w:p>
    <w:p w:rsidR="007C595F" w:rsidRDefault="007C595F">
      <w:pPr>
        <w:numPr>
          <w:ilvl w:val="0"/>
          <w:numId w:val="5"/>
        </w:numPr>
        <w:tabs>
          <w:tab w:val="left" w:pos="-1560"/>
          <w:tab w:val="left" w:pos="-840"/>
          <w:tab w:val="left" w:pos="240"/>
          <w:tab w:val="left" w:pos="600"/>
          <w:tab w:val="left" w:pos="1281"/>
          <w:tab w:val="left" w:pos="4693"/>
          <w:tab w:val="left" w:pos="5374"/>
        </w:tabs>
        <w:suppressAutoHyphens/>
        <w:jc w:val="both"/>
      </w:pPr>
      <w:r>
        <w:t>Capital Expenditure Program Rider.</w:t>
      </w:r>
    </w:p>
    <w:p w:rsidR="00DC2DD1" w:rsidRDefault="00DC2DD1">
      <w:pPr>
        <w:tabs>
          <w:tab w:val="left" w:pos="-720"/>
          <w:tab w:val="left" w:pos="0"/>
        </w:tabs>
        <w:suppressAutoHyphens/>
        <w:ind w:left="360" w:hanging="360"/>
        <w:jc w:val="both"/>
      </w:pPr>
      <w:r>
        <w:tab/>
      </w:r>
    </w:p>
    <w:p w:rsidR="00DC2DD1" w:rsidRDefault="00DC2DD1">
      <w:pPr>
        <w:tabs>
          <w:tab w:val="left" w:pos="-720"/>
        </w:tabs>
        <w:suppressAutoHyphens/>
        <w:jc w:val="both"/>
        <w:rPr>
          <w:spacing w:val="-3"/>
        </w:rPr>
      </w:pPr>
    </w:p>
    <w:p w:rsidR="00DC2DD1" w:rsidRDefault="00DC2DD1">
      <w:pPr>
        <w:tabs>
          <w:tab w:val="left" w:pos="-720"/>
          <w:tab w:val="left" w:pos="0"/>
        </w:tabs>
        <w:suppressAutoHyphens/>
        <w:jc w:val="both"/>
      </w:pPr>
      <w:r>
        <w:rPr>
          <w:spacing w:val="-3"/>
        </w:rPr>
        <w:tab/>
      </w:r>
    </w:p>
    <w:sectPr w:rsidR="00DC2DD1" w:rsidSect="007C59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5A" w:rsidRDefault="008B305A">
      <w:r>
        <w:separator/>
      </w:r>
    </w:p>
  </w:endnote>
  <w:endnote w:type="continuationSeparator" w:id="0">
    <w:p w:rsidR="008B305A" w:rsidRDefault="008B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E3" w:rsidRDefault="00AE2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C3" w:rsidRDefault="00854DC3" w:rsidP="00854DC3"/>
  <w:p w:rsidR="00854DC3" w:rsidRDefault="00854DC3" w:rsidP="00854DC3">
    <w:pPr>
      <w:pStyle w:val="Footer"/>
      <w:jc w:val="center"/>
      <w:rPr>
        <w:sz w:val="16"/>
      </w:rPr>
    </w:pPr>
    <w:r>
      <w:rPr>
        <w:sz w:val="16"/>
      </w:rPr>
      <w:t xml:space="preserve">Filed in accordance with Public Utilities </w:t>
    </w:r>
    <w:r w:rsidR="000C276F">
      <w:rPr>
        <w:sz w:val="16"/>
      </w:rPr>
      <w:t xml:space="preserve">Commission of Ohio </w:t>
    </w:r>
    <w:r w:rsidR="007C595F">
      <w:rPr>
        <w:sz w:val="16"/>
      </w:rPr>
      <w:t>Opinion and Order dated November 28, 2018</w:t>
    </w:r>
    <w:r w:rsidR="000C276F">
      <w:rPr>
        <w:sz w:val="16"/>
      </w:rPr>
      <w:t xml:space="preserve"> </w:t>
    </w:r>
    <w:r w:rsidR="007C595F">
      <w:rPr>
        <w:sz w:val="16"/>
      </w:rPr>
      <w:t>in Case Nos. 17-2202-GA-ALT</w:t>
    </w:r>
    <w:r w:rsidR="000C276F">
      <w:rPr>
        <w:sz w:val="16"/>
      </w:rPr>
      <w:t>.</w:t>
    </w:r>
  </w:p>
  <w:p w:rsidR="00854DC3" w:rsidRDefault="00854DC3" w:rsidP="00854DC3">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854DC3" w:rsidTr="002135F7">
      <w:tc>
        <w:tcPr>
          <w:tcW w:w="4320" w:type="dxa"/>
        </w:tcPr>
        <w:p w:rsidR="00854DC3" w:rsidRDefault="00854DC3" w:rsidP="00854DC3">
          <w:pPr>
            <w:pStyle w:val="Footer"/>
            <w:rPr>
              <w:sz w:val="16"/>
            </w:rPr>
          </w:pPr>
          <w:r>
            <w:rPr>
              <w:sz w:val="16"/>
            </w:rPr>
            <w:t xml:space="preserve">Issued:  </w:t>
          </w:r>
          <w:r w:rsidR="007C595F">
            <w:rPr>
              <w:sz w:val="16"/>
            </w:rPr>
            <w:t xml:space="preserve">November </w:t>
          </w:r>
          <w:r w:rsidR="001E4FF8">
            <w:rPr>
              <w:sz w:val="16"/>
            </w:rPr>
            <w:t>26</w:t>
          </w:r>
          <w:r w:rsidR="007C595F">
            <w:rPr>
              <w:sz w:val="16"/>
            </w:rPr>
            <w:t>, 201</w:t>
          </w:r>
          <w:r w:rsidR="001E4FF8">
            <w:rPr>
              <w:sz w:val="16"/>
            </w:rPr>
            <w:t>9</w:t>
          </w:r>
          <w:r>
            <w:rPr>
              <w:sz w:val="16"/>
            </w:rPr>
            <w:t xml:space="preserve"> </w:t>
          </w:r>
        </w:p>
      </w:tc>
      <w:tc>
        <w:tcPr>
          <w:tcW w:w="5040" w:type="dxa"/>
        </w:tcPr>
        <w:p w:rsidR="007C595F" w:rsidRDefault="007C595F" w:rsidP="007C595F">
          <w:pPr>
            <w:pStyle w:val="Footer"/>
            <w:ind w:left="1062" w:right="-90"/>
            <w:jc w:val="center"/>
            <w:rPr>
              <w:sz w:val="16"/>
            </w:rPr>
          </w:pPr>
          <w:r>
            <w:rPr>
              <w:sz w:val="16"/>
            </w:rPr>
            <w:t xml:space="preserve">Effective: </w:t>
          </w:r>
          <w:r w:rsidR="00854DC3">
            <w:rPr>
              <w:sz w:val="16"/>
            </w:rPr>
            <w:t xml:space="preserve">With </w:t>
          </w:r>
          <w:r>
            <w:rPr>
              <w:sz w:val="16"/>
            </w:rPr>
            <w:t xml:space="preserve">bills rendered on or after </w:t>
          </w:r>
        </w:p>
        <w:p w:rsidR="00854DC3" w:rsidRDefault="007C595F" w:rsidP="00AE22E3">
          <w:pPr>
            <w:pStyle w:val="Footer"/>
            <w:ind w:left="1062" w:right="-90"/>
            <w:jc w:val="center"/>
            <w:rPr>
              <w:sz w:val="16"/>
            </w:rPr>
          </w:pPr>
          <w:r>
            <w:rPr>
              <w:sz w:val="16"/>
            </w:rPr>
            <w:t xml:space="preserve">November </w:t>
          </w:r>
          <w:r w:rsidR="00AE22E3">
            <w:rPr>
              <w:sz w:val="16"/>
            </w:rPr>
            <w:t>27</w:t>
          </w:r>
          <w:r>
            <w:rPr>
              <w:sz w:val="16"/>
            </w:rPr>
            <w:t>, 201</w:t>
          </w:r>
          <w:r w:rsidR="001E4FF8">
            <w:rPr>
              <w:sz w:val="16"/>
            </w:rPr>
            <w:t>9</w:t>
          </w:r>
          <w:r w:rsidR="00854DC3">
            <w:rPr>
              <w:sz w:val="16"/>
            </w:rPr>
            <w:t xml:space="preserve">  </w:t>
          </w:r>
        </w:p>
      </w:tc>
    </w:tr>
  </w:tbl>
  <w:p w:rsidR="00854DC3" w:rsidRDefault="00854DC3" w:rsidP="00854DC3">
    <w:pPr>
      <w:pStyle w:val="Footer"/>
      <w:jc w:val="center"/>
      <w:rPr>
        <w:sz w:val="16"/>
      </w:rPr>
    </w:pPr>
    <w:r>
      <w:rPr>
        <w:sz w:val="16"/>
      </w:rPr>
      <w:t>Issued By</w:t>
    </w:r>
  </w:p>
  <w:p w:rsidR="00854DC3" w:rsidRPr="00C07E23" w:rsidRDefault="00854DC3" w:rsidP="00854DC3">
    <w:pPr>
      <w:pStyle w:val="Footer"/>
      <w:jc w:val="center"/>
      <w:rPr>
        <w:sz w:val="16"/>
      </w:rPr>
    </w:pPr>
    <w:r>
      <w:rPr>
        <w:sz w:val="16"/>
      </w:rPr>
      <w:t>Daniel A. Creekmur, President</w:t>
    </w:r>
  </w:p>
  <w:p w:rsidR="00DC2DD1" w:rsidRPr="00854DC3" w:rsidRDefault="00DC2DD1" w:rsidP="00854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E3" w:rsidRDefault="00AE2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5A" w:rsidRDefault="008B305A">
      <w:r>
        <w:separator/>
      </w:r>
    </w:p>
  </w:footnote>
  <w:footnote w:type="continuationSeparator" w:id="0">
    <w:p w:rsidR="008B305A" w:rsidRDefault="008B3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DC2DD1">
      <w:tc>
        <w:tcPr>
          <w:tcW w:w="4428" w:type="dxa"/>
        </w:tcPr>
        <w:p w:rsidR="00DC2DD1" w:rsidRDefault="00DC2DD1">
          <w:pPr>
            <w:pStyle w:val="Header"/>
          </w:pPr>
        </w:p>
      </w:tc>
      <w:tc>
        <w:tcPr>
          <w:tcW w:w="4428" w:type="dxa"/>
        </w:tcPr>
        <w:p w:rsidR="00DC2DD1" w:rsidRDefault="00DC2DD1">
          <w:pPr>
            <w:pStyle w:val="Header"/>
          </w:pPr>
        </w:p>
      </w:tc>
    </w:tr>
  </w:tbl>
  <w:p w:rsidR="00DC2DD1" w:rsidRDefault="00DC2D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D1" w:rsidRDefault="00DC2DD1" w:rsidP="007C595F">
    <w:pPr>
      <w:pStyle w:val="Header"/>
      <w:jc w:val="center"/>
      <w:rPr>
        <w:b/>
        <w:sz w:val="22"/>
      </w:rPr>
    </w:pPr>
    <w:r>
      <w:rPr>
        <w:b/>
        <w:sz w:val="22"/>
      </w:rPr>
      <w:t>P</w:t>
    </w:r>
    <w:r w:rsidR="007C595F">
      <w:rPr>
        <w:b/>
        <w:sz w:val="22"/>
      </w:rPr>
      <w:t xml:space="preserve">.U.C.O. </w:t>
    </w:r>
  </w:p>
  <w:p w:rsidR="00DC2DD1" w:rsidRDefault="001E4FF8">
    <w:pPr>
      <w:pStyle w:val="Header"/>
      <w:jc w:val="right"/>
      <w:rPr>
        <w:b/>
        <w:sz w:val="22"/>
      </w:rPr>
    </w:pPr>
    <w:r>
      <w:rPr>
        <w:b/>
        <w:sz w:val="22"/>
      </w:rPr>
      <w:t>Eighth</w:t>
    </w:r>
    <w:r w:rsidR="00DC2DD1">
      <w:rPr>
        <w:b/>
        <w:sz w:val="22"/>
      </w:rPr>
      <w:t xml:space="preserve"> Revised Sheet No. 50</w:t>
    </w:r>
  </w:p>
  <w:p w:rsidR="00DC2DD1" w:rsidRDefault="00DC2DD1">
    <w:pPr>
      <w:pStyle w:val="Header"/>
      <w:jc w:val="right"/>
      <w:rPr>
        <w:b/>
        <w:sz w:val="22"/>
      </w:rPr>
    </w:pPr>
    <w:r>
      <w:rPr>
        <w:b/>
        <w:sz w:val="22"/>
      </w:rPr>
      <w:t xml:space="preserve">Cancels </w:t>
    </w:r>
  </w:p>
  <w:p w:rsidR="00DC2DD1" w:rsidRDefault="000C276F">
    <w:pPr>
      <w:pStyle w:val="Header"/>
      <w:tabs>
        <w:tab w:val="clear" w:pos="8640"/>
        <w:tab w:val="left" w:pos="5490"/>
        <w:tab w:val="right" w:pos="9360"/>
      </w:tabs>
      <w:rPr>
        <w:b/>
        <w:sz w:val="22"/>
      </w:rPr>
    </w:pPr>
    <w:r>
      <w:rPr>
        <w:b/>
        <w:sz w:val="22"/>
      </w:rPr>
      <w:tab/>
    </w:r>
    <w:r w:rsidR="00DC2DD1">
      <w:rPr>
        <w:b/>
        <w:sz w:val="22"/>
      </w:rPr>
      <w:t xml:space="preserve">COLUMBIA GAS OF OHIO, INC. </w:t>
    </w:r>
    <w:r w:rsidR="00DC2DD1">
      <w:rPr>
        <w:b/>
        <w:sz w:val="22"/>
      </w:rPr>
      <w:tab/>
    </w:r>
    <w:r w:rsidR="001E4FF8">
      <w:rPr>
        <w:b/>
        <w:sz w:val="22"/>
      </w:rPr>
      <w:t>Seventh</w:t>
    </w:r>
    <w:r w:rsidR="00DC2DD1">
      <w:rPr>
        <w:b/>
        <w:sz w:val="22"/>
      </w:rPr>
      <w:t xml:space="preserve"> Revised Sheet No.  50</w:t>
    </w:r>
  </w:p>
  <w:p w:rsidR="00DC2DD1" w:rsidRDefault="00DC2DD1">
    <w:pPr>
      <w:pStyle w:val="Header"/>
      <w:tabs>
        <w:tab w:val="left" w:pos="5490"/>
        <w:tab w:val="left" w:pos="6030"/>
        <w:tab w:val="left" w:pos="6480"/>
      </w:tabs>
      <w:rPr>
        <w:b/>
        <w:sz w:val="22"/>
      </w:rPr>
    </w:pPr>
  </w:p>
  <w:p w:rsidR="00DC2DD1" w:rsidRDefault="00DC2DD1">
    <w:pPr>
      <w:pStyle w:val="Header"/>
      <w:jc w:val="center"/>
      <w:rPr>
        <w:b/>
        <w:sz w:val="22"/>
      </w:rPr>
    </w:pPr>
    <w:r>
      <w:rPr>
        <w:b/>
        <w:sz w:val="22"/>
      </w:rPr>
      <w:t>RULES AND REGULATIONS GOVERNING THE DISTRIBUTION</w:t>
    </w:r>
  </w:p>
  <w:p w:rsidR="00DC2DD1" w:rsidRDefault="00DC2DD1">
    <w:pPr>
      <w:pStyle w:val="Header"/>
      <w:pBdr>
        <w:bottom w:val="single" w:sz="4" w:space="3" w:color="auto"/>
      </w:pBdr>
      <w:jc w:val="center"/>
      <w:rPr>
        <w:u w:val="single"/>
      </w:rPr>
    </w:pPr>
    <w:r>
      <w:rPr>
        <w:b/>
        <w:sz w:val="22"/>
      </w:rPr>
      <w:t xml:space="preserve">AND </w:t>
    </w:r>
    <w:smartTag w:uri="urn:schemas-microsoft-com:office:smarttags" w:element="City">
      <w:smartTag w:uri="urn:schemas-microsoft-com:office:smarttags" w:element="place">
        <w:r>
          <w:rPr>
            <w:b/>
            <w:sz w:val="22"/>
          </w:rPr>
          <w:t>SALE</w:t>
        </w:r>
      </w:smartTag>
    </w:smartTag>
    <w:r>
      <w:rPr>
        <w:b/>
        <w:sz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E3" w:rsidRDefault="00AE2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E4F50"/>
    <w:multiLevelType w:val="singleLevel"/>
    <w:tmpl w:val="05A6ED1C"/>
    <w:lvl w:ilvl="0">
      <w:start w:val="5"/>
      <w:numFmt w:val="upperLetter"/>
      <w:lvlText w:val="%1."/>
      <w:legacy w:legacy="1" w:legacySpace="0" w:legacyIndent="360"/>
      <w:lvlJc w:val="left"/>
      <w:pPr>
        <w:ind w:left="780" w:hanging="360"/>
      </w:pPr>
    </w:lvl>
  </w:abstractNum>
  <w:abstractNum w:abstractNumId="1" w15:restartNumberingAfterBreak="0">
    <w:nsid w:val="4B7B7D90"/>
    <w:multiLevelType w:val="singleLevel"/>
    <w:tmpl w:val="81446F2E"/>
    <w:lvl w:ilvl="0">
      <w:start w:val="15"/>
      <w:numFmt w:val="upperLetter"/>
      <w:lvlText w:val="%1."/>
      <w:lvlJc w:val="left"/>
      <w:pPr>
        <w:tabs>
          <w:tab w:val="num" w:pos="1305"/>
        </w:tabs>
        <w:ind w:left="1305" w:hanging="705"/>
      </w:pPr>
      <w:rPr>
        <w:rFonts w:hint="default"/>
      </w:rPr>
    </w:lvl>
  </w:abstractNum>
  <w:abstractNum w:abstractNumId="2"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7D980F1D"/>
    <w:multiLevelType w:val="singleLevel"/>
    <w:tmpl w:val="F304AA3C"/>
    <w:lvl w:ilvl="0">
      <w:start w:val="7"/>
      <w:numFmt w:val="upperLetter"/>
      <w:lvlText w:val="%1."/>
      <w:legacy w:legacy="1" w:legacySpace="0" w:legacyIndent="360"/>
      <w:lvlJc w:val="left"/>
      <w:pPr>
        <w:ind w:left="7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D4"/>
    <w:rsid w:val="000C276F"/>
    <w:rsid w:val="00187A7D"/>
    <w:rsid w:val="001E4FF8"/>
    <w:rsid w:val="002B15F9"/>
    <w:rsid w:val="00312FD4"/>
    <w:rsid w:val="003724D4"/>
    <w:rsid w:val="003C0AAB"/>
    <w:rsid w:val="003E7D6E"/>
    <w:rsid w:val="00467265"/>
    <w:rsid w:val="0049661A"/>
    <w:rsid w:val="0074782B"/>
    <w:rsid w:val="007C595F"/>
    <w:rsid w:val="00854DC3"/>
    <w:rsid w:val="008B305A"/>
    <w:rsid w:val="009542F8"/>
    <w:rsid w:val="00A971F8"/>
    <w:rsid w:val="00AE22E3"/>
    <w:rsid w:val="00AF2C4E"/>
    <w:rsid w:val="00C731EC"/>
    <w:rsid w:val="00CB2620"/>
    <w:rsid w:val="00DA612D"/>
    <w:rsid w:val="00DC2DD1"/>
    <w:rsid w:val="00EF7802"/>
    <w:rsid w:val="00F46CDD"/>
    <w:rsid w:val="00F7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541C39DD-8F95-4C10-8333-1289BEC0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paragraph" w:styleId="Heading2">
    <w:name w:val="heading 2"/>
    <w:basedOn w:val="Normal"/>
    <w:next w:val="Normal"/>
    <w:qFormat/>
    <w:pPr>
      <w:keepNext/>
      <w:tabs>
        <w:tab w:val="left" w:pos="-1560"/>
        <w:tab w:val="left" w:pos="-840"/>
        <w:tab w:val="left" w:pos="-120"/>
        <w:tab w:val="left" w:pos="240"/>
        <w:tab w:val="left" w:pos="600"/>
        <w:tab w:val="left" w:pos="1348"/>
        <w:tab w:val="left" w:pos="1933"/>
        <w:tab w:val="left" w:pos="2580"/>
        <w:tab w:val="left" w:pos="6360"/>
        <w:tab w:val="left" w:pos="6576"/>
        <w:tab w:val="left" w:pos="7080"/>
        <w:tab w:val="left" w:pos="7368"/>
      </w:tabs>
      <w:suppressAutoHyphens/>
      <w:spacing w:after="54"/>
      <w:outlineLvl w:val="1"/>
    </w:pPr>
    <w:rPr>
      <w:rFonts w:ascii="Arial" w:hAnsi="Arial"/>
      <w:spacing w:val="-2"/>
      <w:sz w:val="16"/>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tabs>
        <w:tab w:val="left" w:pos="-720"/>
      </w:tabs>
      <w:suppressAutoHyphens/>
      <w:jc w:val="both"/>
      <w:outlineLvl w:val="3"/>
    </w:pPr>
    <w:rPr>
      <w:b/>
      <w:spacing w:val="-3"/>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odyText2">
    <w:name w:val="Body Text 2"/>
    <w:basedOn w:val="Normal"/>
    <w:pPr>
      <w:ind w:left="600"/>
    </w:pPr>
    <w:rPr>
      <w:rFonts w:ascii="Arial" w:hAnsi="Arial"/>
    </w:rPr>
  </w:style>
  <w:style w:type="paragraph" w:styleId="Title">
    <w:name w:val="Title"/>
    <w:basedOn w:val="Normal"/>
    <w:qFormat/>
    <w:pPr>
      <w:tabs>
        <w:tab w:val="center" w:pos="4560"/>
      </w:tabs>
      <w:suppressAutoHyphens/>
      <w:jc w:val="center"/>
    </w:pPr>
    <w:rPr>
      <w:b/>
      <w:spacing w:val="-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9142">
      <w:bodyDiv w:val="1"/>
      <w:marLeft w:val="0"/>
      <w:marRight w:val="0"/>
      <w:marTop w:val="0"/>
      <w:marBottom w:val="0"/>
      <w:divBdr>
        <w:top w:val="none" w:sz="0" w:space="0" w:color="auto"/>
        <w:left w:val="none" w:sz="0" w:space="0" w:color="auto"/>
        <w:bottom w:val="none" w:sz="0" w:space="0" w:color="auto"/>
        <w:right w:val="none" w:sz="0" w:space="0" w:color="auto"/>
      </w:divBdr>
    </w:div>
    <w:div w:id="1590042209">
      <w:bodyDiv w:val="1"/>
      <w:marLeft w:val="0"/>
      <w:marRight w:val="0"/>
      <w:marTop w:val="0"/>
      <w:marBottom w:val="0"/>
      <w:divBdr>
        <w:top w:val="none" w:sz="0" w:space="0" w:color="auto"/>
        <w:left w:val="none" w:sz="0" w:space="0" w:color="auto"/>
        <w:bottom w:val="none" w:sz="0" w:space="0" w:color="auto"/>
        <w:right w:val="none" w:sz="0" w:space="0" w:color="auto"/>
      </w:divBdr>
    </w:div>
    <w:div w:id="16984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50 - 4th.doc</vt:lpstr>
    </vt:vector>
  </TitlesOfParts>
  <Manager/>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50 - 4th.doc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2017-05-31T13:49:00Z</cp:lastPrinted>
  <dcterms:created xsi:type="dcterms:W3CDTF">2019-11-26T01:16:00Z</dcterms:created>
  <dcterms:modified xsi:type="dcterms:W3CDTF">2019-11-26T01:16:00Z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ABAAdnH19QYq2YX63ZN4E4gF4atIxt7ZuwYrXfu3wSjd4QfYSN/ssQJ5xgMkdWDZekB/</vt:lpwstr>
  </property>
  <property fmtid="{D5CDD505-2E9C-101B-9397-08002B2CF9AE}" pid="3" name="RESPONSE_SENDER_NAME">
    <vt:lpwstr>gAAAdya76B99d4hLGUR1rQ+8TxTv0GGEPdix</vt:lpwstr>
  </property>
  <property fmtid="{D5CDD505-2E9C-101B-9397-08002B2CF9AE}" pid="4" name="EMAIL_OWNER_ADDRESS">
    <vt:lpwstr>4AAA9mrMv1QjWAsRr4usBqNLu+RL4jB53SxSE5lVF3TW4gl87TuUXfNC6Q==</vt:lpwstr>
  </property>
</Properties>
</file>