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C9" w:rsidRPr="00855121" w:rsidRDefault="00C448C9" w:rsidP="00C448C9">
      <w:pPr>
        <w:pStyle w:val="HTMLPreformatted"/>
        <w:jc w:val="center"/>
        <w:rPr>
          <w:rFonts w:ascii="Times New Roman" w:hAnsi="Times New Roman"/>
          <w:b/>
          <w:bCs/>
          <w:sz w:val="24"/>
          <w:szCs w:val="24"/>
        </w:rPr>
      </w:pPr>
      <w:r w:rsidRPr="00855121">
        <w:rPr>
          <w:rFonts w:ascii="Times New Roman" w:hAnsi="Times New Roman"/>
          <w:b/>
          <w:bCs/>
          <w:sz w:val="24"/>
          <w:szCs w:val="24"/>
        </w:rPr>
        <w:t>BEFORE</w:t>
      </w:r>
    </w:p>
    <w:p w:rsidR="00C448C9" w:rsidRPr="00855121" w:rsidRDefault="00C448C9" w:rsidP="00C448C9">
      <w:pPr>
        <w:pStyle w:val="HTMLPreformatted"/>
        <w:jc w:val="center"/>
        <w:rPr>
          <w:rFonts w:ascii="Times New Roman" w:hAnsi="Times New Roman"/>
          <w:sz w:val="24"/>
          <w:szCs w:val="24"/>
        </w:rPr>
      </w:pPr>
      <w:r w:rsidRPr="00855121">
        <w:rPr>
          <w:rFonts w:ascii="Times New Roman" w:hAnsi="Times New Roman"/>
          <w:b/>
          <w:bCs/>
          <w:sz w:val="24"/>
          <w:szCs w:val="24"/>
        </w:rPr>
        <w:t>THE PUBLIC UTILITIES COMMISSION OF OHIO</w:t>
      </w:r>
    </w:p>
    <w:p w:rsidR="00C448C9" w:rsidRPr="00855121" w:rsidRDefault="00C448C9" w:rsidP="00C448C9">
      <w:pPr>
        <w:pStyle w:val="HTMLPreformatted"/>
        <w:rPr>
          <w:rFonts w:ascii="Times New Roman" w:hAnsi="Times New Roman"/>
          <w:sz w:val="24"/>
          <w:szCs w:val="24"/>
        </w:rPr>
      </w:pPr>
    </w:p>
    <w:tbl>
      <w:tblPr>
        <w:tblW w:w="9092" w:type="dxa"/>
        <w:tblLook w:val="01E0" w:firstRow="1" w:lastRow="1" w:firstColumn="1" w:lastColumn="1" w:noHBand="0" w:noVBand="0"/>
      </w:tblPr>
      <w:tblGrid>
        <w:gridCol w:w="4332"/>
        <w:gridCol w:w="360"/>
        <w:gridCol w:w="4400"/>
      </w:tblGrid>
      <w:tr w:rsidR="00C448C9" w:rsidRPr="00855121" w:rsidTr="00627758">
        <w:trPr>
          <w:trHeight w:val="807"/>
        </w:trPr>
        <w:tc>
          <w:tcPr>
            <w:tcW w:w="4332" w:type="dxa"/>
            <w:hideMark/>
          </w:tcPr>
          <w:p w:rsidR="00C448C9" w:rsidRPr="00855121" w:rsidRDefault="00C448C9" w:rsidP="00627758">
            <w:pPr>
              <w:pStyle w:val="HTMLPreformatted"/>
              <w:rPr>
                <w:rFonts w:ascii="Times New Roman" w:hAnsi="Times New Roman" w:cs="Times New Roman"/>
                <w:sz w:val="24"/>
                <w:szCs w:val="24"/>
              </w:rPr>
            </w:pPr>
            <w:r w:rsidRPr="00855121">
              <w:rPr>
                <w:rFonts w:ascii="Times New Roman" w:hAnsi="Times New Roman" w:cs="Times New Roman"/>
                <w:sz w:val="24"/>
                <w:szCs w:val="24"/>
              </w:rPr>
              <w:t>In the Matter of the Application of Dayton Power and Light Company for Approval of a Revised Bill Format for Electric Service.</w:t>
            </w:r>
          </w:p>
          <w:p w:rsidR="00C448C9" w:rsidRPr="00855121" w:rsidRDefault="00C448C9" w:rsidP="00627758">
            <w:pPr>
              <w:pStyle w:val="HTMLPreformatted"/>
              <w:rPr>
                <w:rFonts w:ascii="Times New Roman" w:hAnsi="Times New Roman" w:cs="Times New Roman"/>
                <w:sz w:val="24"/>
                <w:szCs w:val="24"/>
              </w:rPr>
            </w:pPr>
          </w:p>
          <w:p w:rsidR="00C448C9" w:rsidRPr="00855121" w:rsidRDefault="00C448C9" w:rsidP="00627758">
            <w:pPr>
              <w:pStyle w:val="HTMLPreformatted"/>
              <w:rPr>
                <w:rFonts w:ascii="Times New Roman" w:hAnsi="Times New Roman" w:cs="Times New Roman"/>
                <w:sz w:val="24"/>
                <w:szCs w:val="24"/>
              </w:rPr>
            </w:pPr>
            <w:r w:rsidRPr="00855121">
              <w:rPr>
                <w:rFonts w:ascii="Times New Roman" w:hAnsi="Times New Roman" w:cs="Times New Roman"/>
                <w:sz w:val="24"/>
                <w:szCs w:val="24"/>
              </w:rPr>
              <w:t>In the Matter of the Application of the Dayton Power and Light Company for Approval of Certain Accounting Authority.</w:t>
            </w:r>
          </w:p>
        </w:tc>
        <w:tc>
          <w:tcPr>
            <w:tcW w:w="360" w:type="dxa"/>
            <w:hideMark/>
          </w:tcPr>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w:t>
            </w:r>
          </w:p>
          <w:p w:rsidR="00C448C9" w:rsidRPr="00855121" w:rsidRDefault="00C448C9" w:rsidP="00627758">
            <w:pPr>
              <w:pStyle w:val="HTMLPreformatted"/>
              <w:rPr>
                <w:rFonts w:ascii="Times New Roman" w:hAnsi="Times New Roman"/>
                <w:sz w:val="24"/>
                <w:szCs w:val="24"/>
              </w:rPr>
            </w:pPr>
          </w:p>
        </w:tc>
        <w:tc>
          <w:tcPr>
            <w:tcW w:w="4400" w:type="dxa"/>
          </w:tcPr>
          <w:p w:rsidR="00C448C9" w:rsidRPr="00855121" w:rsidRDefault="00C448C9" w:rsidP="00627758">
            <w:pPr>
              <w:pStyle w:val="HTMLPreformatted"/>
              <w:rPr>
                <w:rFonts w:ascii="Times New Roman" w:hAnsi="Times New Roman"/>
                <w:sz w:val="24"/>
                <w:szCs w:val="24"/>
              </w:rPr>
            </w:pP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Case No. 14-2043-EL-UNC</w:t>
            </w:r>
          </w:p>
          <w:p w:rsidR="00C448C9" w:rsidRPr="00855121" w:rsidRDefault="00C448C9" w:rsidP="00627758">
            <w:pPr>
              <w:pStyle w:val="HTMLPreformatted"/>
              <w:rPr>
                <w:rFonts w:ascii="Times New Roman" w:hAnsi="Times New Roman"/>
                <w:sz w:val="24"/>
                <w:szCs w:val="24"/>
              </w:rPr>
            </w:pPr>
          </w:p>
          <w:p w:rsidR="00C448C9" w:rsidRPr="00855121" w:rsidRDefault="00C448C9" w:rsidP="00627758">
            <w:pPr>
              <w:pStyle w:val="HTMLPreformatted"/>
              <w:rPr>
                <w:rFonts w:ascii="Times New Roman" w:hAnsi="Times New Roman"/>
                <w:sz w:val="24"/>
                <w:szCs w:val="24"/>
              </w:rPr>
            </w:pPr>
          </w:p>
          <w:p w:rsidR="00C448C9" w:rsidRPr="00855121" w:rsidRDefault="00C448C9" w:rsidP="00627758">
            <w:pPr>
              <w:pStyle w:val="HTMLPreformatted"/>
              <w:rPr>
                <w:rFonts w:ascii="Times New Roman" w:hAnsi="Times New Roman"/>
                <w:sz w:val="24"/>
                <w:szCs w:val="24"/>
              </w:rPr>
            </w:pPr>
          </w:p>
          <w:p w:rsidR="00C448C9" w:rsidRPr="00855121" w:rsidRDefault="00C448C9" w:rsidP="00627758">
            <w:pPr>
              <w:pStyle w:val="HTMLPreformatted"/>
              <w:rPr>
                <w:rFonts w:ascii="Times New Roman" w:hAnsi="Times New Roman"/>
                <w:sz w:val="24"/>
                <w:szCs w:val="24"/>
              </w:rPr>
            </w:pPr>
            <w:r w:rsidRPr="00855121">
              <w:rPr>
                <w:rFonts w:ascii="Times New Roman" w:hAnsi="Times New Roman"/>
                <w:sz w:val="24"/>
                <w:szCs w:val="24"/>
              </w:rPr>
              <w:t>Case No. 14-2042-EL-AAM</w:t>
            </w:r>
          </w:p>
        </w:tc>
      </w:tr>
    </w:tbl>
    <w:p w:rsidR="00C448C9" w:rsidRPr="00855121" w:rsidRDefault="00C448C9" w:rsidP="00C448C9">
      <w:pPr>
        <w:pStyle w:val="HTMLPreformatted"/>
        <w:pBdr>
          <w:top w:val="single" w:sz="12" w:space="1" w:color="auto"/>
        </w:pBdr>
        <w:rPr>
          <w:rFonts w:ascii="Times New Roman" w:hAnsi="Times New Roman"/>
          <w:sz w:val="24"/>
          <w:szCs w:val="24"/>
        </w:rPr>
      </w:pPr>
    </w:p>
    <w:p w:rsidR="00C448C9" w:rsidRDefault="00C448C9" w:rsidP="00C448C9">
      <w:pPr>
        <w:jc w:val="center"/>
        <w:rPr>
          <w:b/>
          <w:bCs/>
          <w:szCs w:val="24"/>
        </w:rPr>
      </w:pPr>
      <w:r>
        <w:rPr>
          <w:b/>
          <w:bCs/>
          <w:szCs w:val="24"/>
        </w:rPr>
        <w:t>COMMENTS</w:t>
      </w:r>
    </w:p>
    <w:p w:rsidR="00C448C9" w:rsidRPr="00855121" w:rsidRDefault="00C448C9" w:rsidP="00C448C9">
      <w:pPr>
        <w:jc w:val="center"/>
        <w:rPr>
          <w:b/>
          <w:bCs/>
          <w:szCs w:val="24"/>
        </w:rPr>
      </w:pPr>
      <w:r w:rsidRPr="00855121">
        <w:rPr>
          <w:b/>
          <w:bCs/>
          <w:szCs w:val="24"/>
        </w:rPr>
        <w:t>BY</w:t>
      </w:r>
    </w:p>
    <w:p w:rsidR="00C448C9" w:rsidRPr="00855121" w:rsidRDefault="00C448C9" w:rsidP="00C448C9">
      <w:pPr>
        <w:jc w:val="center"/>
        <w:rPr>
          <w:b/>
          <w:bCs/>
          <w:szCs w:val="24"/>
        </w:rPr>
      </w:pPr>
      <w:r w:rsidRPr="00855121">
        <w:rPr>
          <w:b/>
          <w:bCs/>
          <w:szCs w:val="24"/>
        </w:rPr>
        <w:t>THE OFFICE OF THE OHIO CONSUMERS’ COUNSEL</w:t>
      </w:r>
    </w:p>
    <w:p w:rsidR="00C448C9" w:rsidRPr="00855121" w:rsidRDefault="00C448C9" w:rsidP="00C448C9">
      <w:pPr>
        <w:pBdr>
          <w:bottom w:val="single" w:sz="12" w:space="1" w:color="auto"/>
        </w:pBdr>
        <w:jc w:val="center"/>
        <w:rPr>
          <w:b/>
          <w:bCs/>
          <w:szCs w:val="24"/>
        </w:rPr>
      </w:pPr>
    </w:p>
    <w:p w:rsidR="00C448C9" w:rsidRPr="00855121" w:rsidRDefault="00C448C9" w:rsidP="00C448C9">
      <w:pPr>
        <w:rPr>
          <w:b/>
          <w:bCs/>
          <w:szCs w:val="24"/>
        </w:rPr>
      </w:pPr>
    </w:p>
    <w:p w:rsidR="00C448C9" w:rsidRPr="00855121" w:rsidRDefault="00C448C9" w:rsidP="00C448C9">
      <w:pPr>
        <w:rPr>
          <w:szCs w:val="24"/>
        </w:rPr>
      </w:pPr>
    </w:p>
    <w:p w:rsidR="00C448C9" w:rsidRPr="00855121" w:rsidRDefault="00C448C9" w:rsidP="00C448C9">
      <w:pPr>
        <w:pStyle w:val="Heading1"/>
      </w:pPr>
      <w:r>
        <w:t>I.</w:t>
      </w:r>
      <w:r>
        <w:tab/>
      </w:r>
      <w:r w:rsidRPr="00855121">
        <w:t>INTRODUCTION</w:t>
      </w:r>
    </w:p>
    <w:p w:rsidR="00484A42" w:rsidRDefault="00817206" w:rsidP="00C448C9">
      <w:pPr>
        <w:pStyle w:val="ListParagraph"/>
        <w:spacing w:line="480" w:lineRule="auto"/>
        <w:ind w:left="0" w:firstLine="720"/>
        <w:rPr>
          <w:szCs w:val="24"/>
        </w:rPr>
      </w:pPr>
      <w:r>
        <w:rPr>
          <w:szCs w:val="24"/>
        </w:rPr>
        <w:t xml:space="preserve">This case is important to the </w:t>
      </w:r>
      <w:r w:rsidR="00484A42">
        <w:rPr>
          <w:szCs w:val="24"/>
        </w:rPr>
        <w:t xml:space="preserve">450,000 </w:t>
      </w:r>
      <w:r>
        <w:rPr>
          <w:szCs w:val="24"/>
        </w:rPr>
        <w:t xml:space="preserve">residential electric customers of Dayton Power and Light (“DP&amp;L” or “the Utility”) because the </w:t>
      </w:r>
      <w:r w:rsidR="004271CD">
        <w:rPr>
          <w:szCs w:val="24"/>
        </w:rPr>
        <w:t>U</w:t>
      </w:r>
      <w:r>
        <w:rPr>
          <w:szCs w:val="24"/>
        </w:rPr>
        <w:t xml:space="preserve">tility is requesting </w:t>
      </w:r>
      <w:r w:rsidR="00484A42">
        <w:rPr>
          <w:szCs w:val="24"/>
        </w:rPr>
        <w:t xml:space="preserve">authority to defer </w:t>
      </w:r>
      <w:r>
        <w:rPr>
          <w:szCs w:val="24"/>
        </w:rPr>
        <w:t xml:space="preserve">bill format </w:t>
      </w:r>
      <w:r w:rsidR="00484A42">
        <w:rPr>
          <w:szCs w:val="24"/>
        </w:rPr>
        <w:t>expenses, a prelude to collecting such expenses from customers.</w:t>
      </w:r>
      <w:r>
        <w:rPr>
          <w:szCs w:val="24"/>
        </w:rPr>
        <w:t xml:space="preserve"> </w:t>
      </w:r>
      <w:r w:rsidR="00484A42" w:rsidRPr="00855121">
        <w:rPr>
          <w:szCs w:val="24"/>
        </w:rPr>
        <w:t xml:space="preserve">OCC files </w:t>
      </w:r>
      <w:r w:rsidR="00484A42">
        <w:rPr>
          <w:szCs w:val="24"/>
        </w:rPr>
        <w:t>these Comments,</w:t>
      </w:r>
      <w:r w:rsidR="00484A42" w:rsidRPr="00855121">
        <w:rPr>
          <w:szCs w:val="24"/>
        </w:rPr>
        <w:t xml:space="preserve"> asking the P</w:t>
      </w:r>
      <w:r w:rsidR="00484A42">
        <w:rPr>
          <w:szCs w:val="24"/>
        </w:rPr>
        <w:t>ublic Utilities Commission of Ohio (“P</w:t>
      </w:r>
      <w:r w:rsidR="00484A42" w:rsidRPr="00855121">
        <w:rPr>
          <w:szCs w:val="24"/>
        </w:rPr>
        <w:t>UCO</w:t>
      </w:r>
      <w:r w:rsidR="00484A42">
        <w:rPr>
          <w:szCs w:val="24"/>
        </w:rPr>
        <w:t>”)</w:t>
      </w:r>
      <w:r w:rsidR="00484A42" w:rsidRPr="00855121">
        <w:rPr>
          <w:szCs w:val="24"/>
        </w:rPr>
        <w:t xml:space="preserve"> to deny the Utility’s request</w:t>
      </w:r>
      <w:r w:rsidR="00D15E16">
        <w:rPr>
          <w:szCs w:val="24"/>
        </w:rPr>
        <w:t xml:space="preserve"> to </w:t>
      </w:r>
      <w:r w:rsidR="00484A42" w:rsidRPr="00855121">
        <w:rPr>
          <w:szCs w:val="24"/>
        </w:rPr>
        <w:t>defer</w:t>
      </w:r>
      <w:r w:rsidR="00D15E16">
        <w:rPr>
          <w:szCs w:val="24"/>
        </w:rPr>
        <w:t xml:space="preserve"> (for later collection from customers) $577,</w:t>
      </w:r>
      <w:r w:rsidR="00523392">
        <w:rPr>
          <w:szCs w:val="24"/>
        </w:rPr>
        <w:t>99</w:t>
      </w:r>
      <w:r w:rsidR="00D15E16">
        <w:rPr>
          <w:szCs w:val="24"/>
        </w:rPr>
        <w:t>0.</w:t>
      </w:r>
      <w:r w:rsidR="00B64FD4">
        <w:rPr>
          <w:szCs w:val="24"/>
        </w:rPr>
        <w:t xml:space="preserve"> </w:t>
      </w:r>
    </w:p>
    <w:p w:rsidR="007619D1" w:rsidRDefault="00C448C9" w:rsidP="00C448C9">
      <w:pPr>
        <w:pStyle w:val="ListParagraph"/>
        <w:spacing w:line="480" w:lineRule="auto"/>
        <w:ind w:left="0" w:firstLine="720"/>
        <w:rPr>
          <w:szCs w:val="24"/>
        </w:rPr>
      </w:pPr>
      <w:r w:rsidRPr="00855121">
        <w:rPr>
          <w:szCs w:val="24"/>
        </w:rPr>
        <w:t>On November 21, 2014,</w:t>
      </w:r>
      <w:r w:rsidR="00081077">
        <w:rPr>
          <w:szCs w:val="24"/>
        </w:rPr>
        <w:t xml:space="preserve"> </w:t>
      </w:r>
      <w:r w:rsidR="00AA7B06">
        <w:rPr>
          <w:szCs w:val="24"/>
        </w:rPr>
        <w:t>the Utility</w:t>
      </w:r>
      <w:r w:rsidR="00BA0477" w:rsidRPr="00855121">
        <w:rPr>
          <w:szCs w:val="24"/>
        </w:rPr>
        <w:t xml:space="preserve"> filed</w:t>
      </w:r>
      <w:r w:rsidRPr="00855121">
        <w:rPr>
          <w:szCs w:val="24"/>
        </w:rPr>
        <w:t xml:space="preserve"> an Application requesting </w:t>
      </w:r>
      <w:r w:rsidR="00484A42">
        <w:rPr>
          <w:szCs w:val="24"/>
        </w:rPr>
        <w:t xml:space="preserve">the PUCO </w:t>
      </w:r>
      <w:r w:rsidRPr="00855121">
        <w:rPr>
          <w:szCs w:val="24"/>
        </w:rPr>
        <w:t>approv</w:t>
      </w:r>
      <w:r w:rsidR="00484A42">
        <w:rPr>
          <w:szCs w:val="24"/>
        </w:rPr>
        <w:t>e</w:t>
      </w:r>
      <w:r w:rsidRPr="00855121">
        <w:rPr>
          <w:szCs w:val="24"/>
        </w:rPr>
        <w:t xml:space="preserve"> its bill format changes</w:t>
      </w:r>
      <w:r w:rsidR="004271CD">
        <w:rPr>
          <w:szCs w:val="24"/>
        </w:rPr>
        <w:t>. DP&amp;L</w:t>
      </w:r>
      <w:r w:rsidR="00484A42">
        <w:rPr>
          <w:szCs w:val="24"/>
        </w:rPr>
        <w:t xml:space="preserve"> also sought permission </w:t>
      </w:r>
      <w:r w:rsidRPr="00855121">
        <w:rPr>
          <w:szCs w:val="24"/>
        </w:rPr>
        <w:t xml:space="preserve">to defer </w:t>
      </w:r>
      <w:r w:rsidR="00484A42">
        <w:rPr>
          <w:szCs w:val="24"/>
        </w:rPr>
        <w:t xml:space="preserve">the bill formatting </w:t>
      </w:r>
      <w:r w:rsidRPr="00855121">
        <w:rPr>
          <w:szCs w:val="24"/>
        </w:rPr>
        <w:t>expenses of approximately $500,000</w:t>
      </w:r>
      <w:r w:rsidR="00484A42">
        <w:rPr>
          <w:szCs w:val="24"/>
        </w:rPr>
        <w:t>.</w:t>
      </w:r>
      <w:r w:rsidR="00C237B0">
        <w:rPr>
          <w:rStyle w:val="FootnoteReference"/>
          <w:szCs w:val="24"/>
        </w:rPr>
        <w:footnoteReference w:id="1"/>
      </w:r>
      <w:r w:rsidRPr="00855121">
        <w:rPr>
          <w:szCs w:val="24"/>
        </w:rPr>
        <w:t xml:space="preserve"> The </w:t>
      </w:r>
      <w:r w:rsidR="00523392">
        <w:rPr>
          <w:szCs w:val="24"/>
        </w:rPr>
        <w:t>PUCO</w:t>
      </w:r>
      <w:r w:rsidRPr="00855121">
        <w:rPr>
          <w:szCs w:val="24"/>
        </w:rPr>
        <w:t xml:space="preserve"> </w:t>
      </w:r>
      <w:r w:rsidR="00817206">
        <w:rPr>
          <w:szCs w:val="24"/>
        </w:rPr>
        <w:t xml:space="preserve">initially </w:t>
      </w:r>
      <w:r w:rsidRPr="00855121">
        <w:rPr>
          <w:szCs w:val="24"/>
        </w:rPr>
        <w:t xml:space="preserve">granted DP&amp;L’s Application for deferral authority, </w:t>
      </w:r>
      <w:r w:rsidR="00C237B0">
        <w:rPr>
          <w:szCs w:val="24"/>
        </w:rPr>
        <w:t xml:space="preserve">allowing DP&amp;L to defer </w:t>
      </w:r>
      <w:r w:rsidR="009010DF">
        <w:rPr>
          <w:szCs w:val="24"/>
        </w:rPr>
        <w:t xml:space="preserve">bill formatting </w:t>
      </w:r>
      <w:r w:rsidR="00C237B0">
        <w:rPr>
          <w:szCs w:val="24"/>
        </w:rPr>
        <w:t xml:space="preserve">costs plus carrying charges, </w:t>
      </w:r>
      <w:r w:rsidRPr="00855121">
        <w:rPr>
          <w:szCs w:val="24"/>
        </w:rPr>
        <w:t>not to exceed $500,000.</w:t>
      </w:r>
      <w:r w:rsidR="00AA7B06">
        <w:rPr>
          <w:rStyle w:val="FootnoteReference"/>
          <w:szCs w:val="24"/>
        </w:rPr>
        <w:footnoteReference w:id="2"/>
      </w:r>
    </w:p>
    <w:p w:rsidR="00AA7B06" w:rsidRDefault="00C448C9" w:rsidP="00C448C9">
      <w:pPr>
        <w:pStyle w:val="ListParagraph"/>
        <w:spacing w:line="480" w:lineRule="auto"/>
        <w:ind w:left="0" w:firstLine="720"/>
        <w:rPr>
          <w:szCs w:val="24"/>
        </w:rPr>
      </w:pPr>
      <w:r w:rsidRPr="00855121">
        <w:rPr>
          <w:szCs w:val="24"/>
        </w:rPr>
        <w:lastRenderedPageBreak/>
        <w:t xml:space="preserve">DP&amp;L </w:t>
      </w:r>
      <w:r w:rsidR="00EA3CB7">
        <w:rPr>
          <w:szCs w:val="24"/>
        </w:rPr>
        <w:t xml:space="preserve">then </w:t>
      </w:r>
      <w:r>
        <w:rPr>
          <w:szCs w:val="24"/>
        </w:rPr>
        <w:t>filed an Application for Rehearing</w:t>
      </w:r>
      <w:r w:rsidRPr="00855121">
        <w:rPr>
          <w:szCs w:val="24"/>
        </w:rPr>
        <w:t xml:space="preserve">, requesting </w:t>
      </w:r>
      <w:r w:rsidR="003306B7">
        <w:rPr>
          <w:szCs w:val="24"/>
        </w:rPr>
        <w:t>that the PU</w:t>
      </w:r>
      <w:r w:rsidR="007619D1">
        <w:rPr>
          <w:szCs w:val="24"/>
        </w:rPr>
        <w:t>CO</w:t>
      </w:r>
      <w:r w:rsidR="003306B7">
        <w:rPr>
          <w:szCs w:val="24"/>
        </w:rPr>
        <w:t xml:space="preserve"> </w:t>
      </w:r>
      <w:r w:rsidR="007619D1">
        <w:rPr>
          <w:szCs w:val="24"/>
        </w:rPr>
        <w:t>“</w:t>
      </w:r>
      <w:r w:rsidR="003306B7">
        <w:rPr>
          <w:szCs w:val="24"/>
        </w:rPr>
        <w:t>remove any reference to a cap on the authorized amount</w:t>
      </w:r>
      <w:r w:rsidR="004271CD">
        <w:rPr>
          <w:szCs w:val="24"/>
        </w:rPr>
        <w:t>.</w:t>
      </w:r>
      <w:r w:rsidR="003306B7">
        <w:rPr>
          <w:szCs w:val="24"/>
        </w:rPr>
        <w:t>”</w:t>
      </w:r>
      <w:r w:rsidR="00AA7B06">
        <w:rPr>
          <w:rStyle w:val="FootnoteReference"/>
          <w:szCs w:val="24"/>
        </w:rPr>
        <w:footnoteReference w:id="3"/>
      </w:r>
      <w:r w:rsidRPr="00855121">
        <w:rPr>
          <w:szCs w:val="24"/>
        </w:rPr>
        <w:t xml:space="preserve"> </w:t>
      </w:r>
      <w:r w:rsidR="007619D1">
        <w:rPr>
          <w:szCs w:val="24"/>
        </w:rPr>
        <w:t xml:space="preserve">DP&amp;L alleged that the initial $500,000 estimate </w:t>
      </w:r>
      <w:r w:rsidR="00523392">
        <w:rPr>
          <w:szCs w:val="24"/>
        </w:rPr>
        <w:t>wa</w:t>
      </w:r>
      <w:r w:rsidR="007619D1">
        <w:rPr>
          <w:szCs w:val="24"/>
        </w:rPr>
        <w:t>s no longer appropriate because it has a “current estimate” that “slightly exceeds the $500,</w:t>
      </w:r>
      <w:r w:rsidR="009010DF">
        <w:rPr>
          <w:szCs w:val="24"/>
        </w:rPr>
        <w:t>0</w:t>
      </w:r>
      <w:r w:rsidR="007619D1">
        <w:rPr>
          <w:szCs w:val="24"/>
        </w:rPr>
        <w:t>00.”</w:t>
      </w:r>
      <w:r w:rsidR="007619D1">
        <w:rPr>
          <w:rStyle w:val="FootnoteReference"/>
          <w:szCs w:val="24"/>
        </w:rPr>
        <w:footnoteReference w:id="4"/>
      </w:r>
      <w:r w:rsidR="007619D1">
        <w:rPr>
          <w:szCs w:val="24"/>
        </w:rPr>
        <w:t xml:space="preserve"> </w:t>
      </w:r>
      <w:r>
        <w:rPr>
          <w:szCs w:val="24"/>
        </w:rPr>
        <w:t xml:space="preserve">OCC filed a </w:t>
      </w:r>
      <w:r w:rsidR="00AA7B06">
        <w:rPr>
          <w:szCs w:val="24"/>
        </w:rPr>
        <w:t>M</w:t>
      </w:r>
      <w:r>
        <w:rPr>
          <w:szCs w:val="24"/>
        </w:rPr>
        <w:t xml:space="preserve">emorandum </w:t>
      </w:r>
      <w:r w:rsidR="00AA7B06">
        <w:rPr>
          <w:szCs w:val="24"/>
        </w:rPr>
        <w:t>C</w:t>
      </w:r>
      <w:r>
        <w:rPr>
          <w:szCs w:val="24"/>
        </w:rPr>
        <w:t xml:space="preserve">ontra </w:t>
      </w:r>
      <w:r w:rsidR="008D4748">
        <w:rPr>
          <w:szCs w:val="24"/>
        </w:rPr>
        <w:t>DP&amp;L</w:t>
      </w:r>
      <w:r w:rsidR="00AA7B06">
        <w:rPr>
          <w:szCs w:val="24"/>
        </w:rPr>
        <w:t>’s Application for Rehearing</w:t>
      </w:r>
      <w:r w:rsidR="008D4748">
        <w:rPr>
          <w:szCs w:val="24"/>
        </w:rPr>
        <w:t xml:space="preserve"> </w:t>
      </w:r>
      <w:r w:rsidR="00AA7B06">
        <w:rPr>
          <w:szCs w:val="24"/>
        </w:rPr>
        <w:t>not</w:t>
      </w:r>
      <w:r w:rsidR="00EA3CB7">
        <w:rPr>
          <w:szCs w:val="24"/>
        </w:rPr>
        <w:t xml:space="preserve">ing that there was no </w:t>
      </w:r>
      <w:r w:rsidR="000D5F1B">
        <w:rPr>
          <w:szCs w:val="24"/>
        </w:rPr>
        <w:t>support</w:t>
      </w:r>
      <w:r w:rsidR="00AA7B06">
        <w:rPr>
          <w:szCs w:val="24"/>
        </w:rPr>
        <w:t>ing</w:t>
      </w:r>
      <w:r w:rsidR="000D5F1B">
        <w:rPr>
          <w:szCs w:val="24"/>
        </w:rPr>
        <w:t xml:space="preserve"> </w:t>
      </w:r>
      <w:r w:rsidR="00AA7B06">
        <w:rPr>
          <w:szCs w:val="24"/>
        </w:rPr>
        <w:t xml:space="preserve">documentation, </w:t>
      </w:r>
      <w:r w:rsidR="00EA3CB7">
        <w:rPr>
          <w:szCs w:val="24"/>
        </w:rPr>
        <w:t xml:space="preserve">workpapers, spreadsheets, testimony, or descriptions of the </w:t>
      </w:r>
      <w:r w:rsidR="00AA7B06">
        <w:rPr>
          <w:szCs w:val="24"/>
        </w:rPr>
        <w:t xml:space="preserve">alleged </w:t>
      </w:r>
      <w:r w:rsidR="00EA3CB7">
        <w:rPr>
          <w:szCs w:val="24"/>
        </w:rPr>
        <w:t>costs that ma</w:t>
      </w:r>
      <w:r w:rsidR="007619D1">
        <w:rPr>
          <w:szCs w:val="24"/>
        </w:rPr>
        <w:t>ke</w:t>
      </w:r>
      <w:r w:rsidR="00EA3CB7">
        <w:rPr>
          <w:szCs w:val="24"/>
        </w:rPr>
        <w:t xml:space="preserve"> up the </w:t>
      </w:r>
      <w:r w:rsidR="004271CD">
        <w:rPr>
          <w:szCs w:val="24"/>
        </w:rPr>
        <w:t>“current estimate.”</w:t>
      </w:r>
    </w:p>
    <w:p w:rsidR="007619D1" w:rsidRDefault="00EA3CB7" w:rsidP="00C448C9">
      <w:pPr>
        <w:pStyle w:val="ListParagraph"/>
        <w:spacing w:line="480" w:lineRule="auto"/>
        <w:ind w:left="0" w:firstLine="720"/>
        <w:rPr>
          <w:szCs w:val="24"/>
        </w:rPr>
      </w:pPr>
      <w:r>
        <w:rPr>
          <w:szCs w:val="24"/>
        </w:rPr>
        <w:t xml:space="preserve">On June 3, 2015, </w:t>
      </w:r>
      <w:r w:rsidR="00484A42">
        <w:rPr>
          <w:szCs w:val="24"/>
        </w:rPr>
        <w:t xml:space="preserve">in an Entry on Rehearing, </w:t>
      </w:r>
      <w:r>
        <w:rPr>
          <w:szCs w:val="24"/>
        </w:rPr>
        <w:t xml:space="preserve">the PUCO found that DP&amp;L failed to provide support for how it arrived at its </w:t>
      </w:r>
      <w:r w:rsidR="007619D1">
        <w:rPr>
          <w:szCs w:val="24"/>
        </w:rPr>
        <w:t xml:space="preserve">current </w:t>
      </w:r>
      <w:r>
        <w:rPr>
          <w:szCs w:val="24"/>
        </w:rPr>
        <w:t>estimate</w:t>
      </w:r>
      <w:r w:rsidR="004271CD">
        <w:rPr>
          <w:szCs w:val="24"/>
        </w:rPr>
        <w:t>.</w:t>
      </w:r>
      <w:r w:rsidR="00484A42">
        <w:rPr>
          <w:szCs w:val="24"/>
        </w:rPr>
        <w:t xml:space="preserve"> </w:t>
      </w:r>
      <w:r w:rsidR="004271CD">
        <w:rPr>
          <w:szCs w:val="24"/>
        </w:rPr>
        <w:t>The PUCO</w:t>
      </w:r>
      <w:r w:rsidR="00484A42">
        <w:rPr>
          <w:szCs w:val="24"/>
        </w:rPr>
        <w:t xml:space="preserve"> then </w:t>
      </w:r>
      <w:r>
        <w:rPr>
          <w:szCs w:val="24"/>
        </w:rPr>
        <w:t>ordered the Utility to file a supplemental application supporting the updated deferral amount.</w:t>
      </w:r>
      <w:r w:rsidR="00AA7B06">
        <w:rPr>
          <w:rStyle w:val="FootnoteReference"/>
          <w:szCs w:val="24"/>
        </w:rPr>
        <w:footnoteReference w:id="5"/>
      </w:r>
      <w:r>
        <w:rPr>
          <w:szCs w:val="24"/>
        </w:rPr>
        <w:t xml:space="preserve"> </w:t>
      </w:r>
    </w:p>
    <w:p w:rsidR="00C448C9" w:rsidRDefault="00EA3CB7" w:rsidP="00C448C9">
      <w:pPr>
        <w:pStyle w:val="ListParagraph"/>
        <w:spacing w:line="480" w:lineRule="auto"/>
        <w:ind w:left="0" w:firstLine="720"/>
        <w:rPr>
          <w:szCs w:val="24"/>
        </w:rPr>
      </w:pPr>
      <w:r>
        <w:rPr>
          <w:szCs w:val="24"/>
        </w:rPr>
        <w:t>DP&amp;L filed a</w:t>
      </w:r>
      <w:r w:rsidR="000929BB">
        <w:rPr>
          <w:szCs w:val="24"/>
        </w:rPr>
        <w:t xml:space="preserve"> Supplemental Application on August 25, 2015</w:t>
      </w:r>
      <w:r w:rsidR="00AA7B06">
        <w:rPr>
          <w:szCs w:val="24"/>
        </w:rPr>
        <w:t>.</w:t>
      </w:r>
      <w:r w:rsidR="007619D1">
        <w:rPr>
          <w:szCs w:val="24"/>
        </w:rPr>
        <w:t xml:space="preserve"> </w:t>
      </w:r>
      <w:r w:rsidR="00AA7B06">
        <w:rPr>
          <w:szCs w:val="24"/>
        </w:rPr>
        <w:t xml:space="preserve">However, again, the Utility provided no documentation in the form of </w:t>
      </w:r>
      <w:r w:rsidR="000929BB">
        <w:rPr>
          <w:szCs w:val="24"/>
        </w:rPr>
        <w:t xml:space="preserve">workpapers, spreadsheets, testimony, or descriptions of the costs that now total $577,990. </w:t>
      </w:r>
      <w:r w:rsidR="00D15E16">
        <w:rPr>
          <w:szCs w:val="24"/>
        </w:rPr>
        <w:t xml:space="preserve">Two days later, on August 27, 2015, the PUCO </w:t>
      </w:r>
      <w:r w:rsidR="00423EE9">
        <w:rPr>
          <w:szCs w:val="24"/>
        </w:rPr>
        <w:t>Staff filed its review and recommendation</w:t>
      </w:r>
      <w:r w:rsidR="00D15E16">
        <w:rPr>
          <w:szCs w:val="24"/>
        </w:rPr>
        <w:t>.</w:t>
      </w:r>
      <w:r w:rsidR="00423EE9">
        <w:rPr>
          <w:szCs w:val="24"/>
        </w:rPr>
        <w:t xml:space="preserve"> </w:t>
      </w:r>
      <w:r w:rsidR="008D4748">
        <w:rPr>
          <w:szCs w:val="24"/>
        </w:rPr>
        <w:t>I</w:t>
      </w:r>
      <w:r w:rsidR="00D15E16">
        <w:rPr>
          <w:szCs w:val="24"/>
        </w:rPr>
        <w:t xml:space="preserve">n its </w:t>
      </w:r>
      <w:r w:rsidR="004271CD">
        <w:rPr>
          <w:szCs w:val="24"/>
        </w:rPr>
        <w:t xml:space="preserve">scant </w:t>
      </w:r>
      <w:r w:rsidR="00D15E16">
        <w:rPr>
          <w:szCs w:val="24"/>
        </w:rPr>
        <w:t>one page review, the Staff indicated that it “believes that the supplemental application filed by DP&amp;L is reaso</w:t>
      </w:r>
      <w:r w:rsidR="004271CD">
        <w:rPr>
          <w:szCs w:val="24"/>
        </w:rPr>
        <w:t>nable and should be approved.”</w:t>
      </w:r>
    </w:p>
    <w:p w:rsidR="00C448C9" w:rsidRPr="00855121" w:rsidRDefault="00C448C9" w:rsidP="00C448C9">
      <w:pPr>
        <w:pStyle w:val="Heading1"/>
      </w:pPr>
      <w:r>
        <w:t>II.</w:t>
      </w:r>
      <w:r>
        <w:tab/>
      </w:r>
      <w:r w:rsidRPr="00855121">
        <w:t>ARGUMENT</w:t>
      </w:r>
    </w:p>
    <w:p w:rsidR="00C448C9" w:rsidRPr="00855121" w:rsidRDefault="00C448C9" w:rsidP="00BA0477">
      <w:pPr>
        <w:pStyle w:val="Heading2"/>
      </w:pPr>
      <w:r w:rsidRPr="00855121">
        <w:t>A.</w:t>
      </w:r>
      <w:r w:rsidRPr="00855121">
        <w:tab/>
      </w:r>
      <w:r w:rsidR="000929BB">
        <w:t>DP&amp;L</w:t>
      </w:r>
      <w:r w:rsidR="004271CD">
        <w:t xml:space="preserve"> failed to s</w:t>
      </w:r>
      <w:r w:rsidR="0078058E">
        <w:t>upport its deferr</w:t>
      </w:r>
      <w:r w:rsidR="00424A00">
        <w:t>ed</w:t>
      </w:r>
      <w:r w:rsidR="0078058E">
        <w:t xml:space="preserve"> cost</w:t>
      </w:r>
      <w:r w:rsidR="00424A00">
        <w:t>s</w:t>
      </w:r>
      <w:r w:rsidR="0078058E">
        <w:t xml:space="preserve"> </w:t>
      </w:r>
      <w:r w:rsidR="004271CD">
        <w:t xml:space="preserve">estimate </w:t>
      </w:r>
      <w:r w:rsidR="00424A00">
        <w:t>that it will seek to collect from customers in a future proceeding</w:t>
      </w:r>
      <w:r>
        <w:t>.</w:t>
      </w:r>
    </w:p>
    <w:p w:rsidR="00833B45" w:rsidRDefault="00833B45" w:rsidP="00BA0477">
      <w:pPr>
        <w:spacing w:line="480" w:lineRule="auto"/>
        <w:ind w:firstLine="720"/>
        <w:rPr>
          <w:szCs w:val="24"/>
        </w:rPr>
      </w:pPr>
      <w:r>
        <w:rPr>
          <w:szCs w:val="24"/>
        </w:rPr>
        <w:t xml:space="preserve">In its Rehearing Entry, the PUCO recognized that DP&amp;L initially failed to provide evidence showing how it arrived at its estimate and ordered the Utility to file a </w:t>
      </w:r>
      <w:r>
        <w:rPr>
          <w:szCs w:val="24"/>
        </w:rPr>
        <w:lastRenderedPageBreak/>
        <w:t>supplemental application that supports an updated estimate of costs.</w:t>
      </w:r>
      <w:r>
        <w:rPr>
          <w:rStyle w:val="FootnoteReference"/>
          <w:szCs w:val="24"/>
        </w:rPr>
        <w:footnoteReference w:id="6"/>
      </w:r>
      <w:r>
        <w:rPr>
          <w:szCs w:val="24"/>
        </w:rPr>
        <w:t xml:space="preserve"> But, f</w:t>
      </w:r>
      <w:r w:rsidR="000929BB">
        <w:rPr>
          <w:szCs w:val="24"/>
        </w:rPr>
        <w:t xml:space="preserve">or a second time, </w:t>
      </w:r>
      <w:r w:rsidR="00C448C9">
        <w:rPr>
          <w:szCs w:val="24"/>
        </w:rPr>
        <w:t>DP&amp;L fail</w:t>
      </w:r>
      <w:r>
        <w:rPr>
          <w:szCs w:val="24"/>
        </w:rPr>
        <w:t>s</w:t>
      </w:r>
      <w:r w:rsidR="00C448C9">
        <w:rPr>
          <w:szCs w:val="24"/>
        </w:rPr>
        <w:t xml:space="preserve"> to provide </w:t>
      </w:r>
      <w:r w:rsidR="00B64FD4">
        <w:rPr>
          <w:szCs w:val="24"/>
        </w:rPr>
        <w:t>support for how it arrived at its new estimate of bill formatting expenses</w:t>
      </w:r>
      <w:r w:rsidR="004271CD">
        <w:rPr>
          <w:szCs w:val="24"/>
        </w:rPr>
        <w:t>.</w:t>
      </w:r>
      <w:r w:rsidR="000929BB">
        <w:rPr>
          <w:szCs w:val="24"/>
        </w:rPr>
        <w:t xml:space="preserve"> </w:t>
      </w:r>
      <w:r>
        <w:rPr>
          <w:szCs w:val="24"/>
        </w:rPr>
        <w:t xml:space="preserve">And the </w:t>
      </w:r>
      <w:r>
        <w:rPr>
          <w:rFonts w:eastAsiaTheme="minorHAnsi"/>
          <w:bCs/>
          <w:szCs w:val="24"/>
        </w:rPr>
        <w:t xml:space="preserve">Utility now seeks to collect </w:t>
      </w:r>
      <w:r w:rsidRPr="00423EE9">
        <w:rPr>
          <w:rFonts w:eastAsiaTheme="minorHAnsi"/>
          <w:bCs/>
          <w:szCs w:val="24"/>
        </w:rPr>
        <w:t>carrying charges</w:t>
      </w:r>
      <w:r w:rsidR="004271CD">
        <w:rPr>
          <w:rFonts w:eastAsiaTheme="minorHAnsi"/>
          <w:bCs/>
          <w:szCs w:val="24"/>
        </w:rPr>
        <w:t xml:space="preserve"> on the deferred expenses -- </w:t>
      </w:r>
      <w:r>
        <w:rPr>
          <w:rFonts w:eastAsiaTheme="minorHAnsi"/>
          <w:bCs/>
          <w:szCs w:val="24"/>
        </w:rPr>
        <w:t xml:space="preserve">something that it did not request in its earlier </w:t>
      </w:r>
      <w:r w:rsidR="004271CD">
        <w:rPr>
          <w:rFonts w:eastAsiaTheme="minorHAnsi"/>
          <w:bCs/>
          <w:szCs w:val="24"/>
        </w:rPr>
        <w:t>A</w:t>
      </w:r>
      <w:r>
        <w:rPr>
          <w:rFonts w:eastAsiaTheme="minorHAnsi"/>
          <w:bCs/>
          <w:szCs w:val="24"/>
        </w:rPr>
        <w:t>pplic</w:t>
      </w:r>
      <w:r w:rsidR="009114EE">
        <w:rPr>
          <w:rFonts w:eastAsiaTheme="minorHAnsi"/>
          <w:bCs/>
          <w:szCs w:val="24"/>
        </w:rPr>
        <w:t>a</w:t>
      </w:r>
      <w:r>
        <w:rPr>
          <w:rFonts w:eastAsiaTheme="minorHAnsi"/>
          <w:bCs/>
          <w:szCs w:val="24"/>
        </w:rPr>
        <w:t>tion</w:t>
      </w:r>
      <w:r w:rsidR="004271CD">
        <w:rPr>
          <w:rFonts w:eastAsiaTheme="minorHAnsi"/>
          <w:bCs/>
          <w:szCs w:val="24"/>
        </w:rPr>
        <w:t>.</w:t>
      </w:r>
    </w:p>
    <w:p w:rsidR="00C448C9" w:rsidRDefault="00F610BD" w:rsidP="00BA0477">
      <w:pPr>
        <w:spacing w:line="480" w:lineRule="auto"/>
        <w:ind w:firstLine="720"/>
        <w:rPr>
          <w:szCs w:val="24"/>
        </w:rPr>
      </w:pPr>
      <w:r>
        <w:rPr>
          <w:szCs w:val="24"/>
        </w:rPr>
        <w:t>Instead of hee</w:t>
      </w:r>
      <w:r w:rsidR="00AA7B06">
        <w:rPr>
          <w:szCs w:val="24"/>
        </w:rPr>
        <w:t>ding the PUC</w:t>
      </w:r>
      <w:r w:rsidR="00893CEA">
        <w:rPr>
          <w:szCs w:val="24"/>
        </w:rPr>
        <w:t>O</w:t>
      </w:r>
      <w:r w:rsidR="00AA7B06">
        <w:rPr>
          <w:szCs w:val="24"/>
        </w:rPr>
        <w:t>’s</w:t>
      </w:r>
      <w:bookmarkStart w:id="0" w:name="_GoBack"/>
      <w:bookmarkEnd w:id="0"/>
      <w:r w:rsidR="00AA7B06">
        <w:rPr>
          <w:szCs w:val="24"/>
        </w:rPr>
        <w:t xml:space="preserve"> directive and providing sufficient documentation to support its claims,</w:t>
      </w:r>
      <w:r w:rsidR="00551B98">
        <w:rPr>
          <w:szCs w:val="24"/>
        </w:rPr>
        <w:t xml:space="preserve"> the Utility </w:t>
      </w:r>
      <w:r w:rsidR="00AA7B06">
        <w:rPr>
          <w:szCs w:val="24"/>
        </w:rPr>
        <w:t>submitted</w:t>
      </w:r>
      <w:r w:rsidR="00551B98">
        <w:rPr>
          <w:szCs w:val="24"/>
        </w:rPr>
        <w:t xml:space="preserve"> a small table showing three </w:t>
      </w:r>
      <w:r w:rsidR="00AA7B06">
        <w:rPr>
          <w:szCs w:val="24"/>
        </w:rPr>
        <w:t>line items</w:t>
      </w:r>
      <w:r w:rsidR="00551B98">
        <w:rPr>
          <w:szCs w:val="24"/>
        </w:rPr>
        <w:t xml:space="preserve"> totaling $512,542 plus carr</w:t>
      </w:r>
      <w:r w:rsidR="00F560A9">
        <w:rPr>
          <w:szCs w:val="24"/>
        </w:rPr>
        <w:t>y</w:t>
      </w:r>
      <w:r w:rsidR="00551B98">
        <w:rPr>
          <w:szCs w:val="24"/>
        </w:rPr>
        <w:t>ing costs of $65,448:</w:t>
      </w:r>
    </w:p>
    <w:p w:rsidR="00551B98" w:rsidRPr="00DA57CD" w:rsidRDefault="00551B98" w:rsidP="00DA57CD">
      <w:pPr>
        <w:autoSpaceDE w:val="0"/>
        <w:autoSpaceDN w:val="0"/>
        <w:adjustRightInd w:val="0"/>
        <w:ind w:left="1440"/>
        <w:rPr>
          <w:rFonts w:eastAsiaTheme="minorHAnsi"/>
          <w:b/>
          <w:bCs/>
          <w:szCs w:val="24"/>
        </w:rPr>
      </w:pPr>
      <w:r w:rsidRPr="00DA57CD">
        <w:rPr>
          <w:rFonts w:eastAsiaTheme="minorHAnsi"/>
          <w:b/>
          <w:bCs/>
          <w:szCs w:val="24"/>
        </w:rPr>
        <w:t xml:space="preserve">Contractor Services </w:t>
      </w:r>
      <w:r w:rsidR="00AA7B06">
        <w:rPr>
          <w:rFonts w:eastAsiaTheme="minorHAnsi"/>
          <w:b/>
          <w:bCs/>
          <w:szCs w:val="24"/>
        </w:rPr>
        <w:tab/>
      </w:r>
      <w:r w:rsidR="00AA7B06">
        <w:rPr>
          <w:rFonts w:eastAsiaTheme="minorHAnsi"/>
          <w:b/>
          <w:bCs/>
          <w:szCs w:val="24"/>
        </w:rPr>
        <w:tab/>
      </w:r>
      <w:r w:rsidR="00AA7B06">
        <w:rPr>
          <w:rFonts w:eastAsiaTheme="minorHAnsi"/>
          <w:b/>
          <w:bCs/>
          <w:szCs w:val="24"/>
        </w:rPr>
        <w:tab/>
      </w:r>
      <w:r w:rsidR="00AA7B06">
        <w:rPr>
          <w:rFonts w:eastAsiaTheme="minorHAnsi"/>
          <w:b/>
          <w:bCs/>
          <w:szCs w:val="24"/>
        </w:rPr>
        <w:tab/>
      </w:r>
      <w:r w:rsidRPr="00DA57CD">
        <w:rPr>
          <w:rFonts w:eastAsiaTheme="minorHAnsi"/>
          <w:b/>
          <w:bCs/>
          <w:szCs w:val="24"/>
        </w:rPr>
        <w:t>$512,542</w:t>
      </w:r>
    </w:p>
    <w:p w:rsidR="00551B98" w:rsidRPr="00DA57CD" w:rsidRDefault="00551B98" w:rsidP="00DA57CD">
      <w:pPr>
        <w:autoSpaceDE w:val="0"/>
        <w:autoSpaceDN w:val="0"/>
        <w:adjustRightInd w:val="0"/>
        <w:ind w:left="1440"/>
        <w:rPr>
          <w:rFonts w:eastAsiaTheme="minorHAnsi"/>
          <w:szCs w:val="24"/>
        </w:rPr>
      </w:pPr>
      <w:r w:rsidRPr="00DA57CD">
        <w:rPr>
          <w:rFonts w:eastAsiaTheme="minorHAnsi"/>
          <w:szCs w:val="24"/>
        </w:rPr>
        <w:t xml:space="preserve">Billing System Support/System Changes </w:t>
      </w:r>
      <w:r w:rsidR="00AA7B06">
        <w:rPr>
          <w:rFonts w:eastAsiaTheme="minorHAnsi"/>
          <w:szCs w:val="24"/>
        </w:rPr>
        <w:tab/>
      </w:r>
      <w:r w:rsidRPr="00DA57CD">
        <w:rPr>
          <w:rFonts w:eastAsiaTheme="minorHAnsi"/>
          <w:szCs w:val="24"/>
        </w:rPr>
        <w:t>$397,042</w:t>
      </w:r>
    </w:p>
    <w:p w:rsidR="00551B98" w:rsidRPr="00DA57CD" w:rsidRDefault="00551B98" w:rsidP="00DA57CD">
      <w:pPr>
        <w:autoSpaceDE w:val="0"/>
        <w:autoSpaceDN w:val="0"/>
        <w:adjustRightInd w:val="0"/>
        <w:ind w:left="1440"/>
        <w:rPr>
          <w:rFonts w:eastAsiaTheme="minorHAnsi"/>
          <w:szCs w:val="24"/>
        </w:rPr>
      </w:pPr>
      <w:r w:rsidRPr="00DA57CD">
        <w:rPr>
          <w:rFonts w:eastAsiaTheme="minorHAnsi"/>
          <w:szCs w:val="24"/>
        </w:rPr>
        <w:t xml:space="preserve">Bill Print and Mailing Services </w:t>
      </w:r>
      <w:r w:rsidR="00AA7B06">
        <w:rPr>
          <w:rFonts w:eastAsiaTheme="minorHAnsi"/>
          <w:szCs w:val="24"/>
        </w:rPr>
        <w:tab/>
      </w:r>
      <w:r w:rsidR="00AA7B06">
        <w:rPr>
          <w:rFonts w:eastAsiaTheme="minorHAnsi"/>
          <w:szCs w:val="24"/>
        </w:rPr>
        <w:tab/>
        <w:t xml:space="preserve">  </w:t>
      </w:r>
      <w:r w:rsidRPr="00DA57CD">
        <w:rPr>
          <w:rFonts w:eastAsiaTheme="minorHAnsi"/>
          <w:szCs w:val="24"/>
        </w:rPr>
        <w:t>$94,500</w:t>
      </w:r>
    </w:p>
    <w:p w:rsidR="00551B98" w:rsidRPr="00DA57CD" w:rsidRDefault="00551B98" w:rsidP="00DA57CD">
      <w:pPr>
        <w:autoSpaceDE w:val="0"/>
        <w:autoSpaceDN w:val="0"/>
        <w:adjustRightInd w:val="0"/>
        <w:ind w:left="1440"/>
        <w:rPr>
          <w:rFonts w:eastAsiaTheme="minorHAnsi"/>
          <w:szCs w:val="24"/>
        </w:rPr>
      </w:pPr>
      <w:r w:rsidRPr="00DA57CD">
        <w:rPr>
          <w:rFonts w:eastAsiaTheme="minorHAnsi"/>
          <w:szCs w:val="24"/>
        </w:rPr>
        <w:t>Electronic Bill Presentment Vendor</w:t>
      </w:r>
      <w:r w:rsidR="00AA7B06">
        <w:rPr>
          <w:rFonts w:eastAsiaTheme="minorHAnsi"/>
          <w:szCs w:val="24"/>
        </w:rPr>
        <w:tab/>
      </w:r>
      <w:r w:rsidR="00AA7B06">
        <w:rPr>
          <w:rFonts w:eastAsiaTheme="minorHAnsi"/>
          <w:szCs w:val="24"/>
        </w:rPr>
        <w:tab/>
      </w:r>
      <w:r w:rsidRPr="00DA57CD">
        <w:rPr>
          <w:rFonts w:eastAsiaTheme="minorHAnsi"/>
          <w:szCs w:val="24"/>
        </w:rPr>
        <w:t xml:space="preserve"> </w:t>
      </w:r>
      <w:r w:rsidR="00AA7B06">
        <w:rPr>
          <w:rFonts w:eastAsiaTheme="minorHAnsi"/>
          <w:szCs w:val="24"/>
        </w:rPr>
        <w:t xml:space="preserve">  </w:t>
      </w:r>
      <w:r w:rsidRPr="00DA57CD">
        <w:rPr>
          <w:rFonts w:eastAsiaTheme="minorHAnsi"/>
          <w:szCs w:val="24"/>
        </w:rPr>
        <w:t>$21,000</w:t>
      </w:r>
    </w:p>
    <w:p w:rsidR="00DA57CD" w:rsidRDefault="00551B98" w:rsidP="00DA57CD">
      <w:pPr>
        <w:autoSpaceDE w:val="0"/>
        <w:autoSpaceDN w:val="0"/>
        <w:adjustRightInd w:val="0"/>
        <w:ind w:left="1440"/>
        <w:rPr>
          <w:rFonts w:eastAsiaTheme="minorHAnsi"/>
          <w:b/>
          <w:bCs/>
          <w:szCs w:val="24"/>
        </w:rPr>
      </w:pPr>
      <w:r w:rsidRPr="00DA57CD">
        <w:rPr>
          <w:rFonts w:eastAsiaTheme="minorHAnsi"/>
          <w:b/>
          <w:bCs/>
          <w:szCs w:val="24"/>
        </w:rPr>
        <w:t xml:space="preserve">Carrying Costs </w:t>
      </w:r>
      <w:r w:rsidR="00AA7B06">
        <w:rPr>
          <w:rFonts w:eastAsiaTheme="minorHAnsi"/>
          <w:b/>
          <w:bCs/>
          <w:szCs w:val="24"/>
        </w:rPr>
        <w:tab/>
      </w:r>
      <w:r w:rsidR="00AA7B06">
        <w:rPr>
          <w:rFonts w:eastAsiaTheme="minorHAnsi"/>
          <w:b/>
          <w:bCs/>
          <w:szCs w:val="24"/>
        </w:rPr>
        <w:tab/>
      </w:r>
      <w:r w:rsidR="00AA7B06">
        <w:rPr>
          <w:rFonts w:eastAsiaTheme="minorHAnsi"/>
          <w:b/>
          <w:bCs/>
          <w:szCs w:val="24"/>
        </w:rPr>
        <w:tab/>
      </w:r>
      <w:r w:rsidR="00AA7B06">
        <w:rPr>
          <w:rFonts w:eastAsiaTheme="minorHAnsi"/>
          <w:b/>
          <w:bCs/>
          <w:szCs w:val="24"/>
        </w:rPr>
        <w:tab/>
      </w:r>
      <w:r w:rsidR="00AA7B06" w:rsidRPr="00394E20">
        <w:rPr>
          <w:rFonts w:eastAsiaTheme="minorHAnsi"/>
          <w:b/>
          <w:bCs/>
          <w:szCs w:val="24"/>
          <w:u w:val="single"/>
        </w:rPr>
        <w:t xml:space="preserve"> </w:t>
      </w:r>
      <w:r w:rsidR="00394E20" w:rsidRPr="00394E20">
        <w:rPr>
          <w:rFonts w:eastAsiaTheme="minorHAnsi"/>
          <w:b/>
          <w:bCs/>
          <w:szCs w:val="24"/>
          <w:u w:val="single"/>
        </w:rPr>
        <w:t xml:space="preserve"> </w:t>
      </w:r>
      <w:r w:rsidR="00AA7B06" w:rsidRPr="00394E20">
        <w:rPr>
          <w:rFonts w:eastAsiaTheme="minorHAnsi"/>
          <w:b/>
          <w:bCs/>
          <w:szCs w:val="24"/>
          <w:u w:val="single"/>
        </w:rPr>
        <w:t xml:space="preserve"> </w:t>
      </w:r>
      <w:r w:rsidRPr="00394E20">
        <w:rPr>
          <w:rFonts w:eastAsiaTheme="minorHAnsi"/>
          <w:b/>
          <w:bCs/>
          <w:szCs w:val="24"/>
          <w:u w:val="single"/>
        </w:rPr>
        <w:t>$65,448</w:t>
      </w:r>
    </w:p>
    <w:p w:rsidR="00551B98" w:rsidRPr="00DA57CD" w:rsidRDefault="00551B98" w:rsidP="00DA57CD">
      <w:pPr>
        <w:autoSpaceDE w:val="0"/>
        <w:autoSpaceDN w:val="0"/>
        <w:adjustRightInd w:val="0"/>
        <w:ind w:left="1440"/>
        <w:rPr>
          <w:rFonts w:eastAsiaTheme="minorHAnsi"/>
          <w:b/>
          <w:bCs/>
          <w:szCs w:val="24"/>
        </w:rPr>
      </w:pPr>
      <w:r w:rsidRPr="00DA57CD">
        <w:rPr>
          <w:rFonts w:eastAsiaTheme="minorHAnsi"/>
          <w:b/>
          <w:bCs/>
          <w:szCs w:val="24"/>
        </w:rPr>
        <w:t xml:space="preserve">Total </w:t>
      </w:r>
      <w:proofErr w:type="spellStart"/>
      <w:r w:rsidRPr="00DA57CD">
        <w:rPr>
          <w:rFonts w:eastAsiaTheme="minorHAnsi"/>
          <w:b/>
          <w:bCs/>
          <w:szCs w:val="24"/>
        </w:rPr>
        <w:t>O&amp;M</w:t>
      </w:r>
      <w:proofErr w:type="spellEnd"/>
      <w:r w:rsidRPr="00DA57CD">
        <w:rPr>
          <w:rFonts w:eastAsiaTheme="minorHAnsi"/>
          <w:b/>
          <w:bCs/>
          <w:szCs w:val="24"/>
        </w:rPr>
        <w:t xml:space="preserve"> Estimate </w:t>
      </w:r>
      <w:r w:rsidR="00394E20">
        <w:rPr>
          <w:rFonts w:eastAsiaTheme="minorHAnsi"/>
          <w:b/>
          <w:bCs/>
          <w:szCs w:val="24"/>
        </w:rPr>
        <w:tab/>
      </w:r>
      <w:r w:rsidR="00394E20">
        <w:rPr>
          <w:rFonts w:eastAsiaTheme="minorHAnsi"/>
          <w:b/>
          <w:bCs/>
          <w:szCs w:val="24"/>
        </w:rPr>
        <w:tab/>
      </w:r>
      <w:r w:rsidR="00394E20">
        <w:rPr>
          <w:rFonts w:eastAsiaTheme="minorHAnsi"/>
          <w:b/>
          <w:bCs/>
          <w:szCs w:val="24"/>
        </w:rPr>
        <w:tab/>
      </w:r>
      <w:r w:rsidRPr="00DA57CD">
        <w:rPr>
          <w:rFonts w:eastAsiaTheme="minorHAnsi"/>
          <w:b/>
          <w:bCs/>
          <w:szCs w:val="24"/>
        </w:rPr>
        <w:t>$577,990</w:t>
      </w:r>
      <w:r w:rsidR="00F560A9" w:rsidRPr="00DA57CD">
        <w:rPr>
          <w:rStyle w:val="FootnoteReference"/>
          <w:rFonts w:eastAsiaTheme="minorHAnsi"/>
          <w:b/>
          <w:bCs/>
          <w:szCs w:val="24"/>
        </w:rPr>
        <w:footnoteReference w:id="7"/>
      </w:r>
    </w:p>
    <w:p w:rsidR="00DA57CD" w:rsidRDefault="00DA57CD" w:rsidP="00551B98">
      <w:pPr>
        <w:spacing w:line="480" w:lineRule="auto"/>
        <w:rPr>
          <w:rFonts w:eastAsiaTheme="minorHAnsi"/>
          <w:bCs/>
          <w:szCs w:val="24"/>
        </w:rPr>
      </w:pPr>
    </w:p>
    <w:p w:rsidR="00424A00" w:rsidRDefault="00551B98" w:rsidP="00551B98">
      <w:pPr>
        <w:spacing w:line="480" w:lineRule="auto"/>
        <w:rPr>
          <w:rFonts w:eastAsiaTheme="minorHAnsi"/>
          <w:bCs/>
          <w:szCs w:val="24"/>
        </w:rPr>
      </w:pPr>
      <w:r w:rsidRPr="00423EE9">
        <w:rPr>
          <w:rFonts w:eastAsiaTheme="minorHAnsi"/>
          <w:bCs/>
          <w:szCs w:val="24"/>
        </w:rPr>
        <w:t xml:space="preserve">This table </w:t>
      </w:r>
      <w:r w:rsidR="00F560A9" w:rsidRPr="00423EE9">
        <w:rPr>
          <w:rFonts w:eastAsiaTheme="minorHAnsi"/>
          <w:bCs/>
          <w:szCs w:val="24"/>
        </w:rPr>
        <w:t xml:space="preserve">is the entirety of what DP&amp;L </w:t>
      </w:r>
      <w:r w:rsidR="00394E20">
        <w:rPr>
          <w:rFonts w:eastAsiaTheme="minorHAnsi"/>
          <w:bCs/>
          <w:szCs w:val="24"/>
        </w:rPr>
        <w:t>submitt</w:t>
      </w:r>
      <w:r w:rsidR="00F560A9" w:rsidRPr="00423EE9">
        <w:rPr>
          <w:rFonts w:eastAsiaTheme="minorHAnsi"/>
          <w:bCs/>
          <w:szCs w:val="24"/>
        </w:rPr>
        <w:t>ed in response to the PUCO’s directive that it “</w:t>
      </w:r>
      <w:proofErr w:type="gramStart"/>
      <w:r w:rsidR="00F560A9" w:rsidRPr="00423EE9">
        <w:rPr>
          <w:rFonts w:eastAsiaTheme="minorHAnsi"/>
          <w:bCs/>
          <w:szCs w:val="24"/>
        </w:rPr>
        <w:t>file</w:t>
      </w:r>
      <w:proofErr w:type="gramEnd"/>
      <w:r w:rsidR="00F560A9" w:rsidRPr="00423EE9">
        <w:rPr>
          <w:rFonts w:eastAsiaTheme="minorHAnsi"/>
          <w:bCs/>
          <w:szCs w:val="24"/>
        </w:rPr>
        <w:t xml:space="preserve"> a supplemental application that supports an updated estimate of the cost to make the</w:t>
      </w:r>
      <w:r w:rsidR="004271CD">
        <w:rPr>
          <w:rFonts w:eastAsiaTheme="minorHAnsi"/>
          <w:bCs/>
          <w:szCs w:val="24"/>
        </w:rPr>
        <w:t xml:space="preserve"> required bill format changes.”</w:t>
      </w:r>
    </w:p>
    <w:p w:rsidR="004271CD" w:rsidRDefault="004271CD" w:rsidP="00523392">
      <w:pPr>
        <w:spacing w:line="480" w:lineRule="auto"/>
        <w:ind w:firstLine="720"/>
        <w:rPr>
          <w:rFonts w:eastAsiaTheme="minorHAnsi"/>
          <w:bCs/>
          <w:szCs w:val="24"/>
        </w:rPr>
      </w:pPr>
      <w:r>
        <w:rPr>
          <w:rFonts w:eastAsiaTheme="minorHAnsi"/>
          <w:bCs/>
          <w:szCs w:val="24"/>
        </w:rPr>
        <w:t>Unfortunately</w:t>
      </w:r>
      <w:r w:rsidR="00424A00">
        <w:rPr>
          <w:rFonts w:eastAsiaTheme="minorHAnsi"/>
          <w:bCs/>
          <w:szCs w:val="24"/>
        </w:rPr>
        <w:t>, the information provided by the Utility raises m</w:t>
      </w:r>
      <w:r>
        <w:rPr>
          <w:rFonts w:eastAsiaTheme="minorHAnsi"/>
          <w:bCs/>
          <w:szCs w:val="24"/>
        </w:rPr>
        <w:t xml:space="preserve">ore questions than it answers. </w:t>
      </w:r>
      <w:r w:rsidR="00424A00">
        <w:rPr>
          <w:rFonts w:eastAsiaTheme="minorHAnsi"/>
          <w:bCs/>
          <w:szCs w:val="24"/>
        </w:rPr>
        <w:t>T</w:t>
      </w:r>
      <w:r w:rsidR="00F560A9" w:rsidRPr="00423EE9">
        <w:rPr>
          <w:rFonts w:eastAsiaTheme="minorHAnsi"/>
          <w:bCs/>
          <w:szCs w:val="24"/>
        </w:rPr>
        <w:t xml:space="preserve">here are </w:t>
      </w:r>
      <w:r w:rsidR="00394E20">
        <w:rPr>
          <w:rFonts w:eastAsiaTheme="minorHAnsi"/>
          <w:bCs/>
          <w:szCs w:val="24"/>
        </w:rPr>
        <w:t xml:space="preserve">still </w:t>
      </w:r>
      <w:r w:rsidR="00F610BD">
        <w:rPr>
          <w:rFonts w:eastAsiaTheme="minorHAnsi"/>
          <w:bCs/>
          <w:szCs w:val="24"/>
        </w:rPr>
        <w:t xml:space="preserve">no </w:t>
      </w:r>
      <w:r w:rsidR="00F560A9" w:rsidRPr="00423EE9">
        <w:rPr>
          <w:rFonts w:eastAsiaTheme="minorHAnsi"/>
          <w:bCs/>
          <w:szCs w:val="24"/>
        </w:rPr>
        <w:t>definition</w:t>
      </w:r>
      <w:r w:rsidR="00BB06D0" w:rsidRPr="00423EE9">
        <w:rPr>
          <w:rFonts w:eastAsiaTheme="minorHAnsi"/>
          <w:bCs/>
          <w:szCs w:val="24"/>
        </w:rPr>
        <w:t>s</w:t>
      </w:r>
      <w:r w:rsidR="00F560A9" w:rsidRPr="00423EE9">
        <w:rPr>
          <w:rFonts w:eastAsiaTheme="minorHAnsi"/>
          <w:bCs/>
          <w:szCs w:val="24"/>
        </w:rPr>
        <w:t xml:space="preserve"> or description</w:t>
      </w:r>
      <w:r w:rsidR="00BB06D0" w:rsidRPr="00423EE9">
        <w:rPr>
          <w:rFonts w:eastAsiaTheme="minorHAnsi"/>
          <w:bCs/>
          <w:szCs w:val="24"/>
        </w:rPr>
        <w:t xml:space="preserve">s of what </w:t>
      </w:r>
      <w:r w:rsidR="00394E20">
        <w:rPr>
          <w:rFonts w:eastAsiaTheme="minorHAnsi"/>
          <w:bCs/>
          <w:szCs w:val="24"/>
        </w:rPr>
        <w:t>“</w:t>
      </w:r>
      <w:r w:rsidR="00BB06D0" w:rsidRPr="00423EE9">
        <w:rPr>
          <w:rFonts w:eastAsiaTheme="minorHAnsi"/>
          <w:bCs/>
          <w:szCs w:val="24"/>
        </w:rPr>
        <w:t>Billing Sys</w:t>
      </w:r>
      <w:r w:rsidR="00877621" w:rsidRPr="00423EE9">
        <w:rPr>
          <w:rFonts w:eastAsiaTheme="minorHAnsi"/>
          <w:bCs/>
          <w:szCs w:val="24"/>
        </w:rPr>
        <w:t>tem S</w:t>
      </w:r>
      <w:r w:rsidR="00F560A9" w:rsidRPr="00423EE9">
        <w:rPr>
          <w:rFonts w:eastAsiaTheme="minorHAnsi"/>
          <w:bCs/>
          <w:szCs w:val="24"/>
        </w:rPr>
        <w:t>upport/</w:t>
      </w:r>
      <w:r w:rsidR="00877621" w:rsidRPr="00423EE9">
        <w:rPr>
          <w:rFonts w:eastAsiaTheme="minorHAnsi"/>
          <w:bCs/>
          <w:szCs w:val="24"/>
        </w:rPr>
        <w:t>S</w:t>
      </w:r>
      <w:r w:rsidR="00F560A9" w:rsidRPr="00423EE9">
        <w:rPr>
          <w:rFonts w:eastAsiaTheme="minorHAnsi"/>
          <w:bCs/>
          <w:szCs w:val="24"/>
        </w:rPr>
        <w:t>ystem Changes</w:t>
      </w:r>
      <w:r w:rsidR="00394E20">
        <w:rPr>
          <w:rFonts w:eastAsiaTheme="minorHAnsi"/>
          <w:bCs/>
          <w:szCs w:val="24"/>
        </w:rPr>
        <w:t>”</w:t>
      </w:r>
      <w:r w:rsidR="00F560A9" w:rsidRPr="00423EE9">
        <w:rPr>
          <w:rFonts w:eastAsiaTheme="minorHAnsi"/>
          <w:bCs/>
          <w:szCs w:val="24"/>
        </w:rPr>
        <w:t xml:space="preserve">; </w:t>
      </w:r>
      <w:r w:rsidR="00394E20">
        <w:rPr>
          <w:rFonts w:eastAsiaTheme="minorHAnsi"/>
          <w:bCs/>
          <w:szCs w:val="24"/>
        </w:rPr>
        <w:t>“</w:t>
      </w:r>
      <w:r w:rsidR="00F560A9" w:rsidRPr="00423EE9">
        <w:rPr>
          <w:rFonts w:eastAsiaTheme="minorHAnsi"/>
          <w:bCs/>
          <w:szCs w:val="24"/>
        </w:rPr>
        <w:t>Bill Print and Mailing Services</w:t>
      </w:r>
      <w:r w:rsidR="00394E20">
        <w:rPr>
          <w:rFonts w:eastAsiaTheme="minorHAnsi"/>
          <w:bCs/>
          <w:szCs w:val="24"/>
        </w:rPr>
        <w:t>”</w:t>
      </w:r>
      <w:r w:rsidR="00F560A9" w:rsidRPr="00423EE9">
        <w:rPr>
          <w:rFonts w:eastAsiaTheme="minorHAnsi"/>
          <w:bCs/>
          <w:szCs w:val="24"/>
        </w:rPr>
        <w:t>;</w:t>
      </w:r>
      <w:r w:rsidR="00D44123">
        <w:rPr>
          <w:rFonts w:eastAsiaTheme="minorHAnsi"/>
          <w:bCs/>
          <w:szCs w:val="24"/>
        </w:rPr>
        <w:t xml:space="preserve"> and</w:t>
      </w:r>
      <w:r w:rsidR="00F560A9" w:rsidRPr="00423EE9">
        <w:rPr>
          <w:rFonts w:eastAsiaTheme="minorHAnsi"/>
          <w:bCs/>
          <w:szCs w:val="24"/>
        </w:rPr>
        <w:t xml:space="preserve"> </w:t>
      </w:r>
      <w:r w:rsidR="00394E20">
        <w:rPr>
          <w:rFonts w:eastAsiaTheme="minorHAnsi"/>
          <w:bCs/>
          <w:szCs w:val="24"/>
        </w:rPr>
        <w:t>“</w:t>
      </w:r>
      <w:r w:rsidR="00F560A9" w:rsidRPr="00423EE9">
        <w:rPr>
          <w:rFonts w:eastAsiaTheme="minorHAnsi"/>
          <w:bCs/>
          <w:szCs w:val="24"/>
        </w:rPr>
        <w:t xml:space="preserve">Electronic Bill </w:t>
      </w:r>
      <w:r w:rsidR="003D736E" w:rsidRPr="00423EE9">
        <w:rPr>
          <w:rFonts w:eastAsiaTheme="minorHAnsi"/>
          <w:bCs/>
          <w:szCs w:val="24"/>
        </w:rPr>
        <w:t>Presentment Vendor</w:t>
      </w:r>
      <w:r w:rsidR="00F560A9" w:rsidRPr="00423EE9">
        <w:rPr>
          <w:rFonts w:eastAsiaTheme="minorHAnsi"/>
          <w:bCs/>
          <w:szCs w:val="24"/>
        </w:rPr>
        <w:t xml:space="preserve"> </w:t>
      </w:r>
      <w:r w:rsidR="00BB06D0" w:rsidRPr="00423EE9">
        <w:rPr>
          <w:rFonts w:eastAsiaTheme="minorHAnsi"/>
          <w:bCs/>
          <w:szCs w:val="24"/>
        </w:rPr>
        <w:t>Services</w:t>
      </w:r>
      <w:r w:rsidR="00394E20">
        <w:rPr>
          <w:rFonts w:eastAsiaTheme="minorHAnsi"/>
          <w:bCs/>
          <w:szCs w:val="24"/>
        </w:rPr>
        <w:t>”</w:t>
      </w:r>
      <w:r w:rsidR="00BB06D0" w:rsidRPr="00423EE9">
        <w:rPr>
          <w:rFonts w:eastAsiaTheme="minorHAnsi"/>
          <w:bCs/>
          <w:szCs w:val="24"/>
        </w:rPr>
        <w:t xml:space="preserve"> </w:t>
      </w:r>
      <w:r w:rsidR="00F560A9" w:rsidRPr="00423EE9">
        <w:rPr>
          <w:rFonts w:eastAsiaTheme="minorHAnsi"/>
          <w:bCs/>
          <w:szCs w:val="24"/>
        </w:rPr>
        <w:t xml:space="preserve">are. </w:t>
      </w:r>
      <w:r w:rsidR="00394E20">
        <w:rPr>
          <w:rFonts w:eastAsiaTheme="minorHAnsi"/>
          <w:bCs/>
          <w:szCs w:val="24"/>
        </w:rPr>
        <w:t>There is no explanation of the number of</w:t>
      </w:r>
      <w:r w:rsidR="00F560A9" w:rsidRPr="00423EE9">
        <w:rPr>
          <w:rFonts w:eastAsiaTheme="minorHAnsi"/>
          <w:bCs/>
          <w:szCs w:val="24"/>
        </w:rPr>
        <w:t xml:space="preserve"> billing system hours</w:t>
      </w:r>
      <w:r w:rsidR="00BB06D0" w:rsidRPr="00423EE9">
        <w:rPr>
          <w:rFonts w:eastAsiaTheme="minorHAnsi"/>
          <w:bCs/>
          <w:szCs w:val="24"/>
        </w:rPr>
        <w:t xml:space="preserve"> of labor</w:t>
      </w:r>
      <w:r w:rsidR="00F560A9" w:rsidRPr="00423EE9">
        <w:rPr>
          <w:rFonts w:eastAsiaTheme="minorHAnsi"/>
          <w:bCs/>
          <w:szCs w:val="24"/>
        </w:rPr>
        <w:t xml:space="preserve"> </w:t>
      </w:r>
      <w:r>
        <w:rPr>
          <w:rFonts w:eastAsiaTheme="minorHAnsi"/>
          <w:bCs/>
          <w:szCs w:val="24"/>
        </w:rPr>
        <w:t xml:space="preserve">that the estimate purports </w:t>
      </w:r>
      <w:r w:rsidR="00F560A9" w:rsidRPr="00423EE9">
        <w:rPr>
          <w:rFonts w:eastAsiaTheme="minorHAnsi"/>
          <w:bCs/>
          <w:szCs w:val="24"/>
        </w:rPr>
        <w:t>t</w:t>
      </w:r>
      <w:r>
        <w:rPr>
          <w:rFonts w:eastAsiaTheme="minorHAnsi"/>
          <w:bCs/>
          <w:szCs w:val="24"/>
        </w:rPr>
        <w:t>o</w:t>
      </w:r>
      <w:r w:rsidR="00F560A9" w:rsidRPr="00423EE9">
        <w:rPr>
          <w:rFonts w:eastAsiaTheme="minorHAnsi"/>
          <w:bCs/>
          <w:szCs w:val="24"/>
        </w:rPr>
        <w:t xml:space="preserve"> represent</w:t>
      </w:r>
      <w:r>
        <w:rPr>
          <w:rFonts w:eastAsiaTheme="minorHAnsi"/>
          <w:bCs/>
          <w:szCs w:val="24"/>
        </w:rPr>
        <w:t>. There is also nothing in the filing</w:t>
      </w:r>
      <w:r w:rsidR="003D4156">
        <w:rPr>
          <w:rFonts w:eastAsiaTheme="minorHAnsi"/>
          <w:bCs/>
          <w:szCs w:val="24"/>
        </w:rPr>
        <w:t xml:space="preserve"> </w:t>
      </w:r>
      <w:r w:rsidR="00EA79FA">
        <w:rPr>
          <w:rFonts w:eastAsiaTheme="minorHAnsi"/>
          <w:bCs/>
          <w:szCs w:val="24"/>
        </w:rPr>
        <w:t>th</w:t>
      </w:r>
      <w:r w:rsidR="00394E20">
        <w:rPr>
          <w:rFonts w:eastAsiaTheme="minorHAnsi"/>
          <w:bCs/>
          <w:szCs w:val="24"/>
        </w:rPr>
        <w:t>at details the</w:t>
      </w:r>
      <w:r w:rsidR="00EA79FA">
        <w:rPr>
          <w:rFonts w:eastAsiaTheme="minorHAnsi"/>
          <w:bCs/>
          <w:szCs w:val="24"/>
        </w:rPr>
        <w:t xml:space="preserve"> </w:t>
      </w:r>
      <w:r>
        <w:rPr>
          <w:rFonts w:eastAsiaTheme="minorHAnsi"/>
          <w:bCs/>
          <w:szCs w:val="24"/>
        </w:rPr>
        <w:t xml:space="preserve">alleged </w:t>
      </w:r>
      <w:r w:rsidR="00EA79FA">
        <w:rPr>
          <w:rFonts w:eastAsiaTheme="minorHAnsi"/>
          <w:bCs/>
          <w:szCs w:val="24"/>
        </w:rPr>
        <w:t>labor costs</w:t>
      </w:r>
      <w:r w:rsidR="003D4156">
        <w:rPr>
          <w:rFonts w:eastAsiaTheme="minorHAnsi"/>
          <w:bCs/>
          <w:szCs w:val="24"/>
        </w:rPr>
        <w:t>.</w:t>
      </w:r>
      <w:r w:rsidR="00F560A9" w:rsidRPr="00423EE9">
        <w:rPr>
          <w:rFonts w:eastAsiaTheme="minorHAnsi"/>
          <w:bCs/>
          <w:szCs w:val="24"/>
        </w:rPr>
        <w:t xml:space="preserve"> </w:t>
      </w:r>
      <w:r w:rsidR="00394E20">
        <w:rPr>
          <w:rFonts w:eastAsiaTheme="minorHAnsi"/>
          <w:bCs/>
          <w:szCs w:val="24"/>
        </w:rPr>
        <w:t>There is no explanation of whether</w:t>
      </w:r>
      <w:r w:rsidR="00F560A9" w:rsidRPr="00423EE9">
        <w:rPr>
          <w:rFonts w:eastAsiaTheme="minorHAnsi"/>
          <w:bCs/>
          <w:szCs w:val="24"/>
        </w:rPr>
        <w:t xml:space="preserve"> there </w:t>
      </w:r>
      <w:r w:rsidR="00394E20">
        <w:rPr>
          <w:rFonts w:eastAsiaTheme="minorHAnsi"/>
          <w:bCs/>
          <w:szCs w:val="24"/>
        </w:rPr>
        <w:t xml:space="preserve">are any </w:t>
      </w:r>
      <w:r w:rsidR="00F560A9" w:rsidRPr="00423EE9">
        <w:rPr>
          <w:rFonts w:eastAsiaTheme="minorHAnsi"/>
          <w:bCs/>
          <w:szCs w:val="24"/>
        </w:rPr>
        <w:t>softwar</w:t>
      </w:r>
      <w:r w:rsidR="00BB06D0" w:rsidRPr="00423EE9">
        <w:rPr>
          <w:rFonts w:eastAsiaTheme="minorHAnsi"/>
          <w:bCs/>
          <w:szCs w:val="24"/>
        </w:rPr>
        <w:t>e</w:t>
      </w:r>
      <w:r w:rsidR="00F560A9" w:rsidRPr="00423EE9">
        <w:rPr>
          <w:rFonts w:eastAsiaTheme="minorHAnsi"/>
          <w:bCs/>
          <w:szCs w:val="24"/>
        </w:rPr>
        <w:t xml:space="preserve"> </w:t>
      </w:r>
      <w:r w:rsidR="00EA79FA">
        <w:rPr>
          <w:rFonts w:eastAsiaTheme="minorHAnsi"/>
          <w:bCs/>
          <w:szCs w:val="24"/>
        </w:rPr>
        <w:t xml:space="preserve">programming </w:t>
      </w:r>
      <w:r w:rsidR="00F560A9" w:rsidRPr="00423EE9">
        <w:rPr>
          <w:rFonts w:eastAsiaTheme="minorHAnsi"/>
          <w:bCs/>
          <w:szCs w:val="24"/>
        </w:rPr>
        <w:t>ch</w:t>
      </w:r>
      <w:r w:rsidR="00BB06D0" w:rsidRPr="00423EE9">
        <w:rPr>
          <w:rFonts w:eastAsiaTheme="minorHAnsi"/>
          <w:bCs/>
          <w:szCs w:val="24"/>
        </w:rPr>
        <w:t>a</w:t>
      </w:r>
      <w:r w:rsidR="00F560A9" w:rsidRPr="00423EE9">
        <w:rPr>
          <w:rFonts w:eastAsiaTheme="minorHAnsi"/>
          <w:bCs/>
          <w:szCs w:val="24"/>
        </w:rPr>
        <w:t xml:space="preserve">nges </w:t>
      </w:r>
      <w:r w:rsidR="00394E20">
        <w:rPr>
          <w:rFonts w:eastAsiaTheme="minorHAnsi"/>
          <w:bCs/>
          <w:szCs w:val="24"/>
        </w:rPr>
        <w:t>or</w:t>
      </w:r>
      <w:r w:rsidR="00EA79FA">
        <w:rPr>
          <w:rFonts w:eastAsiaTheme="minorHAnsi"/>
          <w:bCs/>
          <w:szCs w:val="24"/>
        </w:rPr>
        <w:t xml:space="preserve"> how the </w:t>
      </w:r>
      <w:r w:rsidR="00F560A9" w:rsidRPr="00423EE9">
        <w:rPr>
          <w:rFonts w:eastAsiaTheme="minorHAnsi"/>
          <w:bCs/>
          <w:szCs w:val="24"/>
        </w:rPr>
        <w:t xml:space="preserve">programming </w:t>
      </w:r>
      <w:r w:rsidR="003D4156">
        <w:rPr>
          <w:rFonts w:eastAsiaTheme="minorHAnsi"/>
          <w:bCs/>
          <w:szCs w:val="24"/>
        </w:rPr>
        <w:t xml:space="preserve">change </w:t>
      </w:r>
      <w:r w:rsidR="00EA79FA">
        <w:rPr>
          <w:rFonts w:eastAsiaTheme="minorHAnsi"/>
          <w:bCs/>
          <w:szCs w:val="24"/>
        </w:rPr>
        <w:t xml:space="preserve">costs </w:t>
      </w:r>
      <w:r w:rsidR="00394E20">
        <w:rPr>
          <w:rFonts w:eastAsiaTheme="minorHAnsi"/>
          <w:bCs/>
          <w:szCs w:val="24"/>
        </w:rPr>
        <w:t xml:space="preserve">are </w:t>
      </w:r>
      <w:r w:rsidR="00EA79FA">
        <w:rPr>
          <w:rFonts w:eastAsiaTheme="minorHAnsi"/>
          <w:bCs/>
          <w:szCs w:val="24"/>
        </w:rPr>
        <w:t>calculated</w:t>
      </w:r>
      <w:r w:rsidR="00394E20">
        <w:rPr>
          <w:rFonts w:eastAsiaTheme="minorHAnsi"/>
          <w:bCs/>
          <w:szCs w:val="24"/>
        </w:rPr>
        <w:t>.</w:t>
      </w:r>
      <w:r w:rsidR="00F560A9" w:rsidRPr="00423EE9">
        <w:rPr>
          <w:rFonts w:eastAsiaTheme="minorHAnsi"/>
          <w:bCs/>
          <w:szCs w:val="24"/>
        </w:rPr>
        <w:t xml:space="preserve"> </w:t>
      </w:r>
      <w:r w:rsidR="00394E20">
        <w:rPr>
          <w:rFonts w:eastAsiaTheme="minorHAnsi"/>
          <w:bCs/>
          <w:szCs w:val="24"/>
        </w:rPr>
        <w:t>There is no explanation of w</w:t>
      </w:r>
      <w:r w:rsidR="00F560A9" w:rsidRPr="00423EE9">
        <w:rPr>
          <w:rFonts w:eastAsiaTheme="minorHAnsi"/>
          <w:bCs/>
          <w:szCs w:val="24"/>
        </w:rPr>
        <w:t>hat is involved in the mailing estimate</w:t>
      </w:r>
      <w:r w:rsidR="00394E20">
        <w:rPr>
          <w:rFonts w:eastAsiaTheme="minorHAnsi"/>
          <w:bCs/>
          <w:szCs w:val="24"/>
        </w:rPr>
        <w:t>.</w:t>
      </w:r>
      <w:r w:rsidR="00F560A9" w:rsidRPr="00423EE9">
        <w:rPr>
          <w:rFonts w:eastAsiaTheme="minorHAnsi"/>
          <w:bCs/>
          <w:szCs w:val="24"/>
        </w:rPr>
        <w:t xml:space="preserve"> </w:t>
      </w:r>
      <w:r w:rsidR="0022371A">
        <w:rPr>
          <w:rFonts w:eastAsiaTheme="minorHAnsi"/>
          <w:bCs/>
          <w:szCs w:val="24"/>
        </w:rPr>
        <w:t xml:space="preserve">There is no </w:t>
      </w:r>
      <w:r w:rsidR="0022371A">
        <w:rPr>
          <w:rFonts w:eastAsiaTheme="minorHAnsi"/>
          <w:bCs/>
          <w:szCs w:val="24"/>
        </w:rPr>
        <w:lastRenderedPageBreak/>
        <w:t xml:space="preserve">documentation of whether the Utility needs to purchase any </w:t>
      </w:r>
      <w:r w:rsidR="00F560A9" w:rsidRPr="00423EE9">
        <w:rPr>
          <w:rFonts w:eastAsiaTheme="minorHAnsi"/>
          <w:bCs/>
          <w:szCs w:val="24"/>
        </w:rPr>
        <w:t xml:space="preserve">new equipment, </w:t>
      </w:r>
      <w:r w:rsidR="0022371A">
        <w:rPr>
          <w:rFonts w:eastAsiaTheme="minorHAnsi"/>
          <w:bCs/>
          <w:szCs w:val="24"/>
        </w:rPr>
        <w:t xml:space="preserve">or incur additional or incremental </w:t>
      </w:r>
      <w:r w:rsidR="00F560A9" w:rsidRPr="00423EE9">
        <w:rPr>
          <w:rFonts w:eastAsiaTheme="minorHAnsi"/>
          <w:bCs/>
          <w:szCs w:val="24"/>
        </w:rPr>
        <w:t>labor expenses</w:t>
      </w:r>
      <w:r w:rsidR="0022371A">
        <w:rPr>
          <w:rFonts w:eastAsiaTheme="minorHAnsi"/>
          <w:bCs/>
          <w:szCs w:val="24"/>
        </w:rPr>
        <w:t>.</w:t>
      </w:r>
      <w:r w:rsidR="004D2582">
        <w:rPr>
          <w:rFonts w:eastAsiaTheme="minorHAnsi"/>
          <w:bCs/>
          <w:szCs w:val="24"/>
        </w:rPr>
        <w:t xml:space="preserve"> </w:t>
      </w:r>
      <w:r w:rsidR="00424A00">
        <w:rPr>
          <w:rFonts w:eastAsiaTheme="minorHAnsi"/>
          <w:bCs/>
          <w:szCs w:val="24"/>
        </w:rPr>
        <w:t>And</w:t>
      </w:r>
      <w:r w:rsidR="00833B45">
        <w:rPr>
          <w:rFonts w:eastAsiaTheme="minorHAnsi"/>
          <w:bCs/>
          <w:szCs w:val="24"/>
        </w:rPr>
        <w:t>, DP&amp;L fails to explain how the</w:t>
      </w:r>
      <w:r>
        <w:rPr>
          <w:rFonts w:eastAsiaTheme="minorHAnsi"/>
          <w:bCs/>
          <w:szCs w:val="24"/>
        </w:rPr>
        <w:t xml:space="preserve"> carrying costs were calculated -- </w:t>
      </w:r>
      <w:r w:rsidR="00833B45">
        <w:rPr>
          <w:rFonts w:eastAsiaTheme="minorHAnsi"/>
          <w:bCs/>
          <w:szCs w:val="24"/>
        </w:rPr>
        <w:t>there is no rate identified</w:t>
      </w:r>
      <w:r>
        <w:rPr>
          <w:rFonts w:eastAsiaTheme="minorHAnsi"/>
          <w:bCs/>
          <w:szCs w:val="24"/>
        </w:rPr>
        <w:t>.</w:t>
      </w:r>
      <w:r w:rsidR="00833B45">
        <w:rPr>
          <w:rFonts w:eastAsiaTheme="minorHAnsi"/>
          <w:bCs/>
          <w:szCs w:val="24"/>
        </w:rPr>
        <w:t xml:space="preserve"> </w:t>
      </w:r>
      <w:r>
        <w:rPr>
          <w:rFonts w:eastAsiaTheme="minorHAnsi"/>
          <w:bCs/>
          <w:szCs w:val="24"/>
        </w:rPr>
        <w:t>N</w:t>
      </w:r>
      <w:r w:rsidR="00833B45">
        <w:rPr>
          <w:rFonts w:eastAsiaTheme="minorHAnsi"/>
          <w:bCs/>
          <w:szCs w:val="24"/>
        </w:rPr>
        <w:t xml:space="preserve">or is there a period over which the carrying charges are accrued. </w:t>
      </w:r>
      <w:r w:rsidR="00817206">
        <w:rPr>
          <w:rFonts w:eastAsiaTheme="minorHAnsi"/>
          <w:bCs/>
          <w:szCs w:val="24"/>
        </w:rPr>
        <w:t xml:space="preserve">Finally, </w:t>
      </w:r>
      <w:r w:rsidR="00C237B0">
        <w:rPr>
          <w:rFonts w:eastAsiaTheme="minorHAnsi"/>
          <w:bCs/>
          <w:szCs w:val="24"/>
        </w:rPr>
        <w:t>and most importantly,</w:t>
      </w:r>
      <w:r w:rsidR="00833B45">
        <w:rPr>
          <w:rFonts w:eastAsiaTheme="minorHAnsi"/>
          <w:bCs/>
          <w:szCs w:val="24"/>
        </w:rPr>
        <w:t xml:space="preserve"> </w:t>
      </w:r>
      <w:r w:rsidR="00817206">
        <w:rPr>
          <w:rFonts w:eastAsiaTheme="minorHAnsi"/>
          <w:bCs/>
          <w:szCs w:val="24"/>
        </w:rPr>
        <w:t>t</w:t>
      </w:r>
      <w:r w:rsidR="003D4156">
        <w:rPr>
          <w:rFonts w:eastAsiaTheme="minorHAnsi"/>
          <w:bCs/>
          <w:szCs w:val="24"/>
        </w:rPr>
        <w:t>here is no explanation of</w:t>
      </w:r>
      <w:r w:rsidR="004D2582">
        <w:rPr>
          <w:rFonts w:eastAsiaTheme="minorHAnsi"/>
          <w:bCs/>
          <w:szCs w:val="24"/>
        </w:rPr>
        <w:t xml:space="preserve"> how any of these </w:t>
      </w:r>
      <w:r w:rsidR="00817206">
        <w:rPr>
          <w:rFonts w:eastAsiaTheme="minorHAnsi"/>
          <w:bCs/>
          <w:szCs w:val="24"/>
        </w:rPr>
        <w:t xml:space="preserve">estimated </w:t>
      </w:r>
      <w:r w:rsidR="004D2582">
        <w:rPr>
          <w:rFonts w:eastAsiaTheme="minorHAnsi"/>
          <w:bCs/>
          <w:szCs w:val="24"/>
        </w:rPr>
        <w:t>charges differ</w:t>
      </w:r>
      <w:r w:rsidR="00204CB5">
        <w:rPr>
          <w:rFonts w:eastAsiaTheme="minorHAnsi"/>
          <w:bCs/>
          <w:szCs w:val="24"/>
        </w:rPr>
        <w:t xml:space="preserve"> </w:t>
      </w:r>
      <w:r w:rsidR="004D2582">
        <w:rPr>
          <w:rFonts w:eastAsiaTheme="minorHAnsi"/>
          <w:bCs/>
          <w:szCs w:val="24"/>
        </w:rPr>
        <w:t xml:space="preserve">from what the Utility already recovers in </w:t>
      </w:r>
      <w:r w:rsidR="003D4156">
        <w:rPr>
          <w:rFonts w:eastAsiaTheme="minorHAnsi"/>
          <w:bCs/>
          <w:szCs w:val="24"/>
        </w:rPr>
        <w:t xml:space="preserve">its distribution base </w:t>
      </w:r>
      <w:r w:rsidR="004D2582">
        <w:rPr>
          <w:rFonts w:eastAsiaTheme="minorHAnsi"/>
          <w:bCs/>
          <w:szCs w:val="24"/>
        </w:rPr>
        <w:t>rates</w:t>
      </w:r>
      <w:r w:rsidR="003D4156">
        <w:rPr>
          <w:rFonts w:eastAsiaTheme="minorHAnsi"/>
          <w:bCs/>
          <w:szCs w:val="24"/>
        </w:rPr>
        <w:t>.</w:t>
      </w:r>
    </w:p>
    <w:p w:rsidR="00523392" w:rsidRDefault="00833B45" w:rsidP="00523392">
      <w:pPr>
        <w:spacing w:line="480" w:lineRule="auto"/>
        <w:ind w:firstLine="720"/>
        <w:rPr>
          <w:szCs w:val="24"/>
        </w:rPr>
      </w:pPr>
      <w:r w:rsidRPr="007353FD">
        <w:rPr>
          <w:rFonts w:eastAsiaTheme="minorHAnsi"/>
          <w:bCs/>
          <w:szCs w:val="24"/>
        </w:rPr>
        <w:t xml:space="preserve">In other words, DP&amp;L fails to show that the </w:t>
      </w:r>
      <w:r w:rsidR="004271CD" w:rsidRPr="007353FD">
        <w:rPr>
          <w:rFonts w:eastAsiaTheme="minorHAnsi"/>
          <w:bCs/>
          <w:szCs w:val="24"/>
        </w:rPr>
        <w:t xml:space="preserve">alleged </w:t>
      </w:r>
      <w:r w:rsidRPr="007353FD">
        <w:rPr>
          <w:rFonts w:eastAsiaTheme="minorHAnsi"/>
          <w:bCs/>
          <w:szCs w:val="24"/>
        </w:rPr>
        <w:t xml:space="preserve">costs of bill formatting are not already being collected in distribution rates. </w:t>
      </w:r>
      <w:r w:rsidR="00523392" w:rsidRPr="007353FD">
        <w:rPr>
          <w:szCs w:val="24"/>
        </w:rPr>
        <w:t>In the past, the PUCO has stated that “[a]</w:t>
      </w:r>
      <w:proofErr w:type="spellStart"/>
      <w:r w:rsidR="00523392" w:rsidRPr="007353FD">
        <w:rPr>
          <w:szCs w:val="24"/>
        </w:rPr>
        <w:t>lthough</w:t>
      </w:r>
      <w:proofErr w:type="spellEnd"/>
      <w:r w:rsidR="00523392" w:rsidRPr="007353FD">
        <w:rPr>
          <w:szCs w:val="24"/>
        </w:rPr>
        <w:t xml:space="preserve"> the granting of such deferral authority is within the discretion of the Commission, we believe that to approve such a measure requires that we find there to be both exigent circumstances and good reason demonstrated before such amounts shou</w:t>
      </w:r>
      <w:r w:rsidR="00CF232B" w:rsidRPr="007353FD">
        <w:rPr>
          <w:szCs w:val="24"/>
        </w:rPr>
        <w:t>l</w:t>
      </w:r>
      <w:r w:rsidR="00523392" w:rsidRPr="007353FD">
        <w:rPr>
          <w:szCs w:val="24"/>
        </w:rPr>
        <w:t>d be treated differently from ordinary utility expenses.”</w:t>
      </w:r>
      <w:r w:rsidR="003C4294" w:rsidRPr="007353FD">
        <w:rPr>
          <w:rStyle w:val="FootnoteReference"/>
          <w:szCs w:val="24"/>
        </w:rPr>
        <w:footnoteReference w:id="8"/>
      </w:r>
      <w:r w:rsidR="00523392" w:rsidRPr="007353FD">
        <w:rPr>
          <w:szCs w:val="24"/>
        </w:rPr>
        <w:t xml:space="preserve"> DP&amp;L has m</w:t>
      </w:r>
      <w:r w:rsidR="00CF232B" w:rsidRPr="007353FD">
        <w:rPr>
          <w:szCs w:val="24"/>
        </w:rPr>
        <w:t>a</w:t>
      </w:r>
      <w:r w:rsidR="00523392" w:rsidRPr="007353FD">
        <w:rPr>
          <w:szCs w:val="24"/>
        </w:rPr>
        <w:t>de no showing that demonstrates that these billings costs constitute exigent circumstances</w:t>
      </w:r>
      <w:r w:rsidR="007C1F02" w:rsidRPr="007353FD">
        <w:rPr>
          <w:szCs w:val="24"/>
        </w:rPr>
        <w:t>. Nor</w:t>
      </w:r>
      <w:r w:rsidR="00523392" w:rsidRPr="007353FD">
        <w:rPr>
          <w:szCs w:val="24"/>
        </w:rPr>
        <w:t xml:space="preserve"> has the Utility claimed that these amo</w:t>
      </w:r>
      <w:r w:rsidR="00CF232B" w:rsidRPr="007353FD">
        <w:rPr>
          <w:szCs w:val="24"/>
        </w:rPr>
        <w:t>u</w:t>
      </w:r>
      <w:r w:rsidR="00523392" w:rsidRPr="007353FD">
        <w:rPr>
          <w:szCs w:val="24"/>
        </w:rPr>
        <w:t>nts are any different from ordinary utility expenses</w:t>
      </w:r>
      <w:r w:rsidR="007C1F02" w:rsidRPr="007353FD">
        <w:rPr>
          <w:szCs w:val="24"/>
        </w:rPr>
        <w:t xml:space="preserve"> that are already being collected in distribution rates</w:t>
      </w:r>
      <w:r w:rsidR="00523392" w:rsidRPr="007353FD">
        <w:rPr>
          <w:szCs w:val="24"/>
        </w:rPr>
        <w:t>.</w:t>
      </w:r>
    </w:p>
    <w:p w:rsidR="00BB06D0" w:rsidRPr="00423EE9" w:rsidRDefault="00BB06D0" w:rsidP="00BA0477">
      <w:pPr>
        <w:spacing w:line="480" w:lineRule="auto"/>
        <w:ind w:firstLine="720"/>
        <w:rPr>
          <w:szCs w:val="24"/>
        </w:rPr>
      </w:pPr>
      <w:r w:rsidRPr="00423EE9">
        <w:rPr>
          <w:rFonts w:eastAsiaTheme="minorHAnsi"/>
          <w:bCs/>
          <w:szCs w:val="24"/>
        </w:rPr>
        <w:t>The Staff</w:t>
      </w:r>
      <w:r w:rsidR="00424A00">
        <w:rPr>
          <w:rFonts w:eastAsiaTheme="minorHAnsi"/>
          <w:bCs/>
          <w:szCs w:val="24"/>
        </w:rPr>
        <w:t xml:space="preserve">’s </w:t>
      </w:r>
      <w:r w:rsidR="00EA79FA">
        <w:rPr>
          <w:rFonts w:eastAsiaTheme="minorHAnsi"/>
          <w:bCs/>
          <w:szCs w:val="24"/>
        </w:rPr>
        <w:t xml:space="preserve">Review and Recommendation </w:t>
      </w:r>
      <w:r w:rsidR="007C1F02">
        <w:rPr>
          <w:rFonts w:eastAsiaTheme="minorHAnsi"/>
          <w:bCs/>
          <w:szCs w:val="24"/>
        </w:rPr>
        <w:t xml:space="preserve">appears to merely accept </w:t>
      </w:r>
      <w:r w:rsidRPr="00423EE9">
        <w:rPr>
          <w:rFonts w:eastAsiaTheme="minorHAnsi"/>
          <w:bCs/>
          <w:szCs w:val="24"/>
        </w:rPr>
        <w:t xml:space="preserve">the </w:t>
      </w:r>
      <w:r w:rsidR="005A0033">
        <w:rPr>
          <w:rFonts w:eastAsiaTheme="minorHAnsi"/>
          <w:bCs/>
          <w:szCs w:val="24"/>
        </w:rPr>
        <w:t>Utility</w:t>
      </w:r>
      <w:r w:rsidR="008877AE">
        <w:rPr>
          <w:rFonts w:eastAsiaTheme="minorHAnsi"/>
          <w:bCs/>
          <w:szCs w:val="24"/>
        </w:rPr>
        <w:t xml:space="preserve">’s representation </w:t>
      </w:r>
      <w:r w:rsidR="000D4F8B">
        <w:rPr>
          <w:rFonts w:eastAsiaTheme="minorHAnsi"/>
          <w:bCs/>
          <w:szCs w:val="24"/>
        </w:rPr>
        <w:t xml:space="preserve">of estimated billing expenses. </w:t>
      </w:r>
      <w:r w:rsidR="005A0033">
        <w:rPr>
          <w:rFonts w:eastAsiaTheme="minorHAnsi"/>
          <w:bCs/>
          <w:szCs w:val="24"/>
        </w:rPr>
        <w:t xml:space="preserve">The Staff </w:t>
      </w:r>
      <w:r w:rsidRPr="00423EE9">
        <w:rPr>
          <w:rFonts w:eastAsiaTheme="minorHAnsi"/>
          <w:bCs/>
          <w:szCs w:val="24"/>
        </w:rPr>
        <w:t xml:space="preserve">provided no </w:t>
      </w:r>
      <w:r w:rsidR="004D2582">
        <w:rPr>
          <w:rFonts w:eastAsiaTheme="minorHAnsi"/>
          <w:bCs/>
          <w:szCs w:val="24"/>
        </w:rPr>
        <w:t xml:space="preserve">independent </w:t>
      </w:r>
      <w:r w:rsidRPr="00423EE9">
        <w:rPr>
          <w:rFonts w:eastAsiaTheme="minorHAnsi"/>
          <w:bCs/>
          <w:szCs w:val="24"/>
        </w:rPr>
        <w:t>an</w:t>
      </w:r>
      <w:r w:rsidR="00877621" w:rsidRPr="00423EE9">
        <w:rPr>
          <w:rFonts w:eastAsiaTheme="minorHAnsi"/>
          <w:bCs/>
          <w:szCs w:val="24"/>
        </w:rPr>
        <w:t>a</w:t>
      </w:r>
      <w:r w:rsidRPr="00423EE9">
        <w:rPr>
          <w:rFonts w:eastAsiaTheme="minorHAnsi"/>
          <w:bCs/>
          <w:szCs w:val="24"/>
        </w:rPr>
        <w:t xml:space="preserve">lysis </w:t>
      </w:r>
      <w:r w:rsidR="003F2790">
        <w:rPr>
          <w:rFonts w:eastAsiaTheme="minorHAnsi"/>
          <w:bCs/>
          <w:szCs w:val="24"/>
        </w:rPr>
        <w:t>regarding</w:t>
      </w:r>
      <w:r w:rsidR="004D2582">
        <w:rPr>
          <w:rFonts w:eastAsiaTheme="minorHAnsi"/>
          <w:bCs/>
          <w:szCs w:val="24"/>
        </w:rPr>
        <w:t xml:space="preserve"> the </w:t>
      </w:r>
      <w:r w:rsidR="003F2790">
        <w:rPr>
          <w:rFonts w:eastAsiaTheme="minorHAnsi"/>
          <w:bCs/>
          <w:szCs w:val="24"/>
        </w:rPr>
        <w:t xml:space="preserve">appropriate </w:t>
      </w:r>
      <w:r w:rsidR="00F610BD">
        <w:rPr>
          <w:rFonts w:eastAsiaTheme="minorHAnsi"/>
          <w:bCs/>
          <w:szCs w:val="24"/>
        </w:rPr>
        <w:t>amount of the deferral</w:t>
      </w:r>
      <w:r w:rsidR="004D2582">
        <w:rPr>
          <w:rFonts w:eastAsiaTheme="minorHAnsi"/>
          <w:bCs/>
          <w:szCs w:val="24"/>
        </w:rPr>
        <w:t xml:space="preserve"> </w:t>
      </w:r>
      <w:r w:rsidRPr="00423EE9">
        <w:rPr>
          <w:rFonts w:eastAsiaTheme="minorHAnsi"/>
          <w:bCs/>
          <w:szCs w:val="24"/>
        </w:rPr>
        <w:t>and recommended approval.</w:t>
      </w:r>
      <w:r w:rsidRPr="00423EE9">
        <w:rPr>
          <w:rStyle w:val="FootnoteReference"/>
          <w:rFonts w:eastAsiaTheme="minorHAnsi"/>
          <w:bCs/>
          <w:szCs w:val="24"/>
        </w:rPr>
        <w:footnoteReference w:id="9"/>
      </w:r>
      <w:r w:rsidR="005A0033">
        <w:rPr>
          <w:rFonts w:eastAsiaTheme="minorHAnsi"/>
          <w:bCs/>
          <w:szCs w:val="24"/>
        </w:rPr>
        <w:t xml:space="preserve"> </w:t>
      </w:r>
      <w:r w:rsidR="007E6368">
        <w:rPr>
          <w:rFonts w:eastAsiaTheme="minorHAnsi"/>
          <w:bCs/>
          <w:szCs w:val="24"/>
        </w:rPr>
        <w:t xml:space="preserve">The Staff provides no explanation or rationale for its recommendation. </w:t>
      </w:r>
      <w:r w:rsidR="00523392">
        <w:rPr>
          <w:rFonts w:eastAsiaTheme="minorHAnsi"/>
          <w:bCs/>
          <w:szCs w:val="24"/>
        </w:rPr>
        <w:t>T</w:t>
      </w:r>
      <w:r w:rsidR="00C237B0">
        <w:rPr>
          <w:rFonts w:eastAsiaTheme="minorHAnsi"/>
          <w:bCs/>
          <w:szCs w:val="24"/>
        </w:rPr>
        <w:t>he Staff does not appear to have reviewed DP&amp;L’s request for carrying charges.</w:t>
      </w:r>
      <w:r w:rsidR="00424A00">
        <w:rPr>
          <w:rFonts w:eastAsiaTheme="minorHAnsi"/>
          <w:bCs/>
          <w:szCs w:val="24"/>
        </w:rPr>
        <w:t xml:space="preserve"> </w:t>
      </w:r>
      <w:r w:rsidR="008877AE">
        <w:rPr>
          <w:rFonts w:eastAsiaTheme="minorHAnsi"/>
          <w:bCs/>
          <w:szCs w:val="24"/>
        </w:rPr>
        <w:t xml:space="preserve">And the Staff does not appear to have reviewed whether the costs of bill formatting are already being collected in </w:t>
      </w:r>
      <w:r w:rsidR="008877AE">
        <w:rPr>
          <w:rFonts w:eastAsiaTheme="minorHAnsi"/>
          <w:bCs/>
          <w:szCs w:val="24"/>
        </w:rPr>
        <w:lastRenderedPageBreak/>
        <w:t xml:space="preserve">distribution rates. The Staff’s recommendation, thus, cannot be relied upon as a basis to support the Utility’s application. </w:t>
      </w:r>
      <w:r w:rsidR="00BE16A2">
        <w:rPr>
          <w:rFonts w:eastAsiaTheme="minorHAnsi"/>
          <w:bCs/>
          <w:szCs w:val="24"/>
        </w:rPr>
        <w:t>T</w:t>
      </w:r>
      <w:r w:rsidR="00191AC7">
        <w:rPr>
          <w:rFonts w:eastAsiaTheme="minorHAnsi"/>
          <w:bCs/>
          <w:szCs w:val="24"/>
        </w:rPr>
        <w:t>he PUCO must deny DP&amp;L’s deferral request for lack of support.</w:t>
      </w:r>
    </w:p>
    <w:p w:rsidR="00C448C9" w:rsidRPr="00855121" w:rsidRDefault="00C448C9" w:rsidP="00BA0477">
      <w:pPr>
        <w:pStyle w:val="Heading2"/>
      </w:pPr>
      <w:r w:rsidRPr="00855121">
        <w:t>B.</w:t>
      </w:r>
      <w:r w:rsidRPr="00855121">
        <w:tab/>
      </w:r>
      <w:r w:rsidR="002539EB">
        <w:t>The</w:t>
      </w:r>
      <w:r w:rsidR="00424A00">
        <w:t xml:space="preserve"> PUCO has no basis to determine that </w:t>
      </w:r>
      <w:r w:rsidR="002539EB">
        <w:t>DP</w:t>
      </w:r>
      <w:r w:rsidR="00D33F40">
        <w:t>&amp;L</w:t>
      </w:r>
      <w:r w:rsidR="002539EB">
        <w:t>’s deferral request</w:t>
      </w:r>
      <w:r w:rsidR="00424A00">
        <w:t xml:space="preserve"> is just and reasonable</w:t>
      </w:r>
      <w:r>
        <w:t>.</w:t>
      </w:r>
    </w:p>
    <w:p w:rsidR="00424A00" w:rsidRDefault="00424A00" w:rsidP="00424A00">
      <w:pPr>
        <w:spacing w:line="480" w:lineRule="auto"/>
        <w:ind w:firstLine="720"/>
        <w:rPr>
          <w:szCs w:val="24"/>
        </w:rPr>
      </w:pPr>
      <w:r>
        <w:rPr>
          <w:szCs w:val="24"/>
        </w:rPr>
        <w:t xml:space="preserve">In this case, the record contains nothing but DP&amp;L’s </w:t>
      </w:r>
      <w:r w:rsidR="004271CD">
        <w:rPr>
          <w:szCs w:val="24"/>
        </w:rPr>
        <w:t>minimal</w:t>
      </w:r>
      <w:r>
        <w:rPr>
          <w:szCs w:val="24"/>
        </w:rPr>
        <w:t xml:space="preserve"> estimate of costs plus carrying charges. There are no workpapers, spreadsheets, testimony, or descriptions of these alleged costs. None were provided in the Utility’s Application, or the Supplemental Application despite the fact that the PUCO ordered the Utility to file such support. No details can be found in the Staff Review and Recommendation to support Staff’s recommendation of the appropriate deferral amount. </w:t>
      </w:r>
    </w:p>
    <w:p w:rsidR="00C448C9" w:rsidRDefault="00032A8A" w:rsidP="00BA0477">
      <w:pPr>
        <w:spacing w:line="480" w:lineRule="auto"/>
        <w:ind w:firstLine="720"/>
        <w:rPr>
          <w:szCs w:val="24"/>
        </w:rPr>
      </w:pPr>
      <w:r>
        <w:rPr>
          <w:szCs w:val="24"/>
        </w:rPr>
        <w:t>The PUCO is a creature of statute and can exercise only the authority conferred upon it by the Legislature.</w:t>
      </w:r>
      <w:r>
        <w:rPr>
          <w:rStyle w:val="FootnoteReference"/>
          <w:szCs w:val="24"/>
        </w:rPr>
        <w:footnoteReference w:id="10"/>
      </w:r>
      <w:r w:rsidR="007E6368">
        <w:rPr>
          <w:szCs w:val="24"/>
        </w:rPr>
        <w:t xml:space="preserve"> </w:t>
      </w:r>
      <w:r>
        <w:rPr>
          <w:szCs w:val="24"/>
        </w:rPr>
        <w:t xml:space="preserve">As provided in </w:t>
      </w:r>
      <w:proofErr w:type="spellStart"/>
      <w:r>
        <w:rPr>
          <w:szCs w:val="24"/>
        </w:rPr>
        <w:t>R.C</w:t>
      </w:r>
      <w:proofErr w:type="spellEnd"/>
      <w:r>
        <w:rPr>
          <w:szCs w:val="24"/>
        </w:rPr>
        <w:t>. 4903.09</w:t>
      </w:r>
      <w:r w:rsidR="00223C2D">
        <w:rPr>
          <w:szCs w:val="24"/>
        </w:rPr>
        <w:t>:</w:t>
      </w:r>
    </w:p>
    <w:p w:rsidR="00032A8A" w:rsidRDefault="00032A8A" w:rsidP="00BA0477">
      <w:pPr>
        <w:ind w:left="1440" w:right="720"/>
        <w:rPr>
          <w:szCs w:val="24"/>
        </w:rPr>
      </w:pPr>
      <w:r w:rsidRPr="00B05ADB">
        <w:rPr>
          <w:szCs w:val="24"/>
        </w:rPr>
        <w:t xml:space="preserve">In all contested cases heard by the public utilities commission, a complete record of all the proceedings shall be made, </w:t>
      </w:r>
      <w:r w:rsidR="003D736E" w:rsidRPr="00B05ADB">
        <w:rPr>
          <w:szCs w:val="24"/>
        </w:rPr>
        <w:t>including</w:t>
      </w:r>
      <w:r w:rsidRPr="00B05ADB">
        <w:rPr>
          <w:szCs w:val="24"/>
        </w:rPr>
        <w:t xml:space="preserve"> a transcript of all testimony and of all exhibits, and the commission shall file, with the records of such cases, finding of fact and written opinions setting forth the reasons prompting the decisions arrived at, based upon said findings of fact.</w:t>
      </w:r>
    </w:p>
    <w:p w:rsidR="00B05ADB" w:rsidRPr="00B05ADB" w:rsidRDefault="00B05ADB" w:rsidP="00B05ADB">
      <w:pPr>
        <w:ind w:left="720" w:right="990"/>
        <w:rPr>
          <w:szCs w:val="24"/>
        </w:rPr>
      </w:pPr>
    </w:p>
    <w:p w:rsidR="008877AE" w:rsidRDefault="00032A8A" w:rsidP="00BA0477">
      <w:pPr>
        <w:spacing w:line="480" w:lineRule="auto"/>
        <w:ind w:firstLine="720"/>
        <w:rPr>
          <w:szCs w:val="24"/>
        </w:rPr>
      </w:pPr>
      <w:r>
        <w:rPr>
          <w:szCs w:val="24"/>
        </w:rPr>
        <w:t>The Ohio Supreme Court has consistently held that the PUCO’s orders must provide “in sufficient detail, the facts in the record upon which the order is based, and the reasoning followed by the PUCO in reaching its conclusion.”</w:t>
      </w:r>
      <w:r>
        <w:rPr>
          <w:rStyle w:val="FootnoteReference"/>
          <w:szCs w:val="24"/>
        </w:rPr>
        <w:footnoteReference w:id="11"/>
      </w:r>
      <w:r w:rsidR="00BE6C94">
        <w:rPr>
          <w:szCs w:val="24"/>
        </w:rPr>
        <w:t xml:space="preserve"> In the </w:t>
      </w:r>
      <w:proofErr w:type="spellStart"/>
      <w:r w:rsidR="00BE6C94" w:rsidRPr="00BE6C94">
        <w:rPr>
          <w:i/>
          <w:szCs w:val="24"/>
        </w:rPr>
        <w:t>Tongren</w:t>
      </w:r>
      <w:proofErr w:type="spellEnd"/>
      <w:r w:rsidR="00423EE9">
        <w:rPr>
          <w:szCs w:val="24"/>
        </w:rPr>
        <w:t xml:space="preserve"> case, t</w:t>
      </w:r>
      <w:r w:rsidR="00BE6C94">
        <w:rPr>
          <w:szCs w:val="24"/>
        </w:rPr>
        <w:t xml:space="preserve">he PUCO order referred to a number of recommendations made by PUCO staff and in one </w:t>
      </w:r>
      <w:r w:rsidR="00BE6C94">
        <w:rPr>
          <w:szCs w:val="24"/>
        </w:rPr>
        <w:lastRenderedPageBreak/>
        <w:t xml:space="preserve">finding the order stated that a staff recommendation resulted from </w:t>
      </w:r>
      <w:r w:rsidR="00F610BD">
        <w:rPr>
          <w:szCs w:val="24"/>
        </w:rPr>
        <w:t xml:space="preserve">a </w:t>
      </w:r>
      <w:r w:rsidR="00BE6C94">
        <w:rPr>
          <w:szCs w:val="24"/>
        </w:rPr>
        <w:t xml:space="preserve">discussion between the </w:t>
      </w:r>
      <w:r w:rsidR="003F2790">
        <w:rPr>
          <w:szCs w:val="24"/>
        </w:rPr>
        <w:t>S</w:t>
      </w:r>
      <w:r w:rsidR="00BE6C94">
        <w:rPr>
          <w:szCs w:val="24"/>
        </w:rPr>
        <w:t xml:space="preserve">taff and the Utility. </w:t>
      </w:r>
    </w:p>
    <w:p w:rsidR="00032A8A" w:rsidRDefault="003F2790" w:rsidP="00BA0477">
      <w:pPr>
        <w:spacing w:line="480" w:lineRule="auto"/>
        <w:ind w:firstLine="720"/>
        <w:rPr>
          <w:szCs w:val="24"/>
        </w:rPr>
      </w:pPr>
      <w:r>
        <w:rPr>
          <w:szCs w:val="24"/>
        </w:rPr>
        <w:t>Inasmuch as the Staff Review and Recommendation contains virtually no independent analysis,</w:t>
      </w:r>
      <w:r w:rsidR="007E6368">
        <w:rPr>
          <w:szCs w:val="24"/>
        </w:rPr>
        <w:t xml:space="preserve"> explanation or rationale for </w:t>
      </w:r>
      <w:r w:rsidR="008877AE">
        <w:rPr>
          <w:szCs w:val="24"/>
        </w:rPr>
        <w:t>its</w:t>
      </w:r>
      <w:r w:rsidR="007E6368">
        <w:rPr>
          <w:szCs w:val="24"/>
        </w:rPr>
        <w:t xml:space="preserve"> recommendation,</w:t>
      </w:r>
      <w:r>
        <w:rPr>
          <w:szCs w:val="24"/>
        </w:rPr>
        <w:t xml:space="preserve"> to the extent that the Staff is relying on information provided by the Utility that is not in the record, such action violate</w:t>
      </w:r>
      <w:r w:rsidR="00D54205">
        <w:rPr>
          <w:szCs w:val="24"/>
        </w:rPr>
        <w:t>s</w:t>
      </w:r>
      <w:r>
        <w:rPr>
          <w:szCs w:val="24"/>
        </w:rPr>
        <w:t xml:space="preserve"> </w:t>
      </w:r>
      <w:proofErr w:type="spellStart"/>
      <w:r w:rsidRPr="003F2790">
        <w:rPr>
          <w:i/>
          <w:szCs w:val="24"/>
        </w:rPr>
        <w:t>Tongren</w:t>
      </w:r>
      <w:proofErr w:type="spellEnd"/>
      <w:r>
        <w:rPr>
          <w:szCs w:val="24"/>
        </w:rPr>
        <w:t>. T</w:t>
      </w:r>
      <w:r w:rsidR="00BE6C94">
        <w:rPr>
          <w:szCs w:val="24"/>
        </w:rPr>
        <w:t>here is nothing in the record</w:t>
      </w:r>
      <w:r>
        <w:rPr>
          <w:szCs w:val="24"/>
        </w:rPr>
        <w:t xml:space="preserve"> that shows the decision-maker --</w:t>
      </w:r>
      <w:r w:rsidR="00BE6C94">
        <w:rPr>
          <w:szCs w:val="24"/>
        </w:rPr>
        <w:t xml:space="preserve"> the PUCO what is </w:t>
      </w:r>
      <w:r w:rsidR="00E94F59">
        <w:rPr>
          <w:szCs w:val="24"/>
        </w:rPr>
        <w:t xml:space="preserve">actually </w:t>
      </w:r>
      <w:r w:rsidR="00BE6C94">
        <w:rPr>
          <w:szCs w:val="24"/>
        </w:rPr>
        <w:t xml:space="preserve">being </w:t>
      </w:r>
      <w:r w:rsidR="00EF1362">
        <w:rPr>
          <w:szCs w:val="24"/>
        </w:rPr>
        <w:t xml:space="preserve">requested or </w:t>
      </w:r>
      <w:r w:rsidR="00BE6C94">
        <w:rPr>
          <w:szCs w:val="24"/>
        </w:rPr>
        <w:t xml:space="preserve">approved. Aside from </w:t>
      </w:r>
      <w:r w:rsidR="00E94F59">
        <w:rPr>
          <w:szCs w:val="24"/>
        </w:rPr>
        <w:t xml:space="preserve">the vague description of categories where </w:t>
      </w:r>
      <w:r w:rsidR="004271CD">
        <w:rPr>
          <w:szCs w:val="24"/>
        </w:rPr>
        <w:t xml:space="preserve">alleged </w:t>
      </w:r>
      <w:r w:rsidR="00E94F59">
        <w:rPr>
          <w:szCs w:val="24"/>
        </w:rPr>
        <w:t xml:space="preserve">costs </w:t>
      </w:r>
      <w:r w:rsidR="00E94F59" w:rsidRPr="00EF63DC">
        <w:rPr>
          <w:b/>
          <w:szCs w:val="24"/>
        </w:rPr>
        <w:t>may be</w:t>
      </w:r>
      <w:r w:rsidR="00E94F59">
        <w:rPr>
          <w:szCs w:val="24"/>
        </w:rPr>
        <w:t xml:space="preserve"> incurred and the </w:t>
      </w:r>
      <w:r w:rsidR="00BE6C94">
        <w:rPr>
          <w:szCs w:val="24"/>
        </w:rPr>
        <w:t xml:space="preserve">estimated amount, no workpapers, </w:t>
      </w:r>
      <w:r w:rsidR="003D736E">
        <w:rPr>
          <w:szCs w:val="24"/>
        </w:rPr>
        <w:t>spreadsheets</w:t>
      </w:r>
      <w:r w:rsidR="00BE6C94">
        <w:rPr>
          <w:szCs w:val="24"/>
        </w:rPr>
        <w:t xml:space="preserve">, </w:t>
      </w:r>
      <w:r w:rsidR="00E94F59">
        <w:rPr>
          <w:szCs w:val="24"/>
        </w:rPr>
        <w:t xml:space="preserve">or </w:t>
      </w:r>
      <w:r w:rsidR="00BE6C94">
        <w:rPr>
          <w:szCs w:val="24"/>
        </w:rPr>
        <w:t xml:space="preserve">testimony provide any detail or support for </w:t>
      </w:r>
      <w:r w:rsidR="00E94F59">
        <w:rPr>
          <w:szCs w:val="24"/>
        </w:rPr>
        <w:t xml:space="preserve">the </w:t>
      </w:r>
      <w:r w:rsidR="00BE6C94">
        <w:rPr>
          <w:szCs w:val="24"/>
        </w:rPr>
        <w:t>$577,990</w:t>
      </w:r>
      <w:r w:rsidR="00E94F59">
        <w:rPr>
          <w:szCs w:val="24"/>
        </w:rPr>
        <w:t xml:space="preserve"> </w:t>
      </w:r>
      <w:r w:rsidR="00204CB5">
        <w:rPr>
          <w:szCs w:val="24"/>
        </w:rPr>
        <w:t>de</w:t>
      </w:r>
      <w:r>
        <w:rPr>
          <w:szCs w:val="24"/>
        </w:rPr>
        <w:t>ferral request.</w:t>
      </w:r>
    </w:p>
    <w:p w:rsidR="00BE6C94" w:rsidRDefault="000C2BC5" w:rsidP="00BA0477">
      <w:pPr>
        <w:spacing w:line="480" w:lineRule="auto"/>
        <w:ind w:firstLine="720"/>
        <w:rPr>
          <w:szCs w:val="24"/>
        </w:rPr>
      </w:pPr>
      <w:r>
        <w:rPr>
          <w:szCs w:val="24"/>
        </w:rPr>
        <w:t xml:space="preserve">The </w:t>
      </w:r>
      <w:r w:rsidR="003F2790">
        <w:rPr>
          <w:szCs w:val="24"/>
        </w:rPr>
        <w:t xml:space="preserve">U.S. </w:t>
      </w:r>
      <w:r w:rsidR="003D736E">
        <w:rPr>
          <w:szCs w:val="24"/>
        </w:rPr>
        <w:t>Supreme</w:t>
      </w:r>
      <w:r>
        <w:rPr>
          <w:szCs w:val="24"/>
        </w:rPr>
        <w:t xml:space="preserve"> </w:t>
      </w:r>
      <w:r w:rsidR="003D736E">
        <w:rPr>
          <w:szCs w:val="24"/>
        </w:rPr>
        <w:t>Court</w:t>
      </w:r>
      <w:r>
        <w:rPr>
          <w:szCs w:val="24"/>
        </w:rPr>
        <w:t xml:space="preserve"> </w:t>
      </w:r>
      <w:r w:rsidR="003F2790">
        <w:rPr>
          <w:szCs w:val="24"/>
        </w:rPr>
        <w:t xml:space="preserve">has </w:t>
      </w:r>
      <w:r>
        <w:rPr>
          <w:szCs w:val="24"/>
        </w:rPr>
        <w:t xml:space="preserve">stated that in order to allow for an adequate appellate review “the record must exhibit in some way the facts relied upon by the court to repeal unimpeached evidence submitted for the company. If </w:t>
      </w:r>
      <w:r w:rsidR="003D736E">
        <w:rPr>
          <w:szCs w:val="24"/>
        </w:rPr>
        <w:t>that</w:t>
      </w:r>
      <w:r>
        <w:rPr>
          <w:szCs w:val="24"/>
        </w:rPr>
        <w:t xml:space="preserve"> were not so, a complainant would be helpless, for the inference would always be possible tha</w:t>
      </w:r>
      <w:r w:rsidR="001F4EAD">
        <w:rPr>
          <w:szCs w:val="24"/>
        </w:rPr>
        <w:t>t the court and the Co</w:t>
      </w:r>
      <w:r>
        <w:rPr>
          <w:szCs w:val="24"/>
        </w:rPr>
        <w:t xml:space="preserve">mmission had drawn upon undisclosed sources of information </w:t>
      </w:r>
      <w:r w:rsidR="003D736E">
        <w:rPr>
          <w:szCs w:val="24"/>
        </w:rPr>
        <w:t>unavailable</w:t>
      </w:r>
      <w:r>
        <w:rPr>
          <w:szCs w:val="24"/>
        </w:rPr>
        <w:t xml:space="preserve"> to others. A hearing is not </w:t>
      </w:r>
      <w:r w:rsidR="003D736E">
        <w:rPr>
          <w:szCs w:val="24"/>
        </w:rPr>
        <w:t>judicial</w:t>
      </w:r>
      <w:r>
        <w:rPr>
          <w:szCs w:val="24"/>
        </w:rPr>
        <w:t>, at least in any adequate sense, unless the evidence can be known.</w:t>
      </w:r>
      <w:r w:rsidR="00BE16A2">
        <w:rPr>
          <w:szCs w:val="24"/>
        </w:rPr>
        <w:t>”</w:t>
      </w:r>
      <w:r>
        <w:rPr>
          <w:rStyle w:val="FootnoteReference"/>
          <w:szCs w:val="24"/>
        </w:rPr>
        <w:footnoteReference w:id="12"/>
      </w:r>
      <w:r w:rsidR="00BF51D3">
        <w:rPr>
          <w:szCs w:val="24"/>
        </w:rPr>
        <w:t xml:space="preserve"> </w:t>
      </w:r>
    </w:p>
    <w:p w:rsidR="008877AE" w:rsidRDefault="008877AE" w:rsidP="00BA0477">
      <w:pPr>
        <w:spacing w:line="480" w:lineRule="auto"/>
        <w:ind w:firstLine="720"/>
        <w:rPr>
          <w:szCs w:val="24"/>
        </w:rPr>
      </w:pPr>
      <w:r>
        <w:rPr>
          <w:szCs w:val="24"/>
        </w:rPr>
        <w:t xml:space="preserve">There is no record evidence that was produced by the Utility to support its request to defer $577,990 of bill formatting expenses.  The PUCO should find that the Utility failed to bear its burden of proving its application is just and reasonable.  The application should be denied.  </w:t>
      </w:r>
    </w:p>
    <w:p w:rsidR="00C448C9" w:rsidRDefault="00C448C9" w:rsidP="00C448C9">
      <w:pPr>
        <w:ind w:firstLine="360"/>
        <w:rPr>
          <w:szCs w:val="24"/>
        </w:rPr>
      </w:pPr>
    </w:p>
    <w:p w:rsidR="00C448C9" w:rsidRDefault="00C448C9" w:rsidP="00C448C9">
      <w:pPr>
        <w:pStyle w:val="Heading1"/>
      </w:pPr>
      <w:r>
        <w:lastRenderedPageBreak/>
        <w:t>III.</w:t>
      </w:r>
      <w:r>
        <w:tab/>
        <w:t>CONCLUSION</w:t>
      </w:r>
    </w:p>
    <w:p w:rsidR="00C448C9" w:rsidRDefault="00C448C9" w:rsidP="00C448C9">
      <w:pPr>
        <w:spacing w:line="480" w:lineRule="auto"/>
        <w:ind w:firstLine="720"/>
      </w:pPr>
      <w:r w:rsidRPr="00855121">
        <w:rPr>
          <w:szCs w:val="24"/>
        </w:rPr>
        <w:t xml:space="preserve">Customers should not be put at risk to pay </w:t>
      </w:r>
      <w:r w:rsidR="004818CB">
        <w:rPr>
          <w:szCs w:val="24"/>
        </w:rPr>
        <w:t>unsupported bill formatting expenses.  Yet that is exactly what the Utility is asking for.</w:t>
      </w:r>
      <w:r w:rsidR="007353FD">
        <w:rPr>
          <w:szCs w:val="24"/>
        </w:rPr>
        <w:t xml:space="preserve"> </w:t>
      </w:r>
      <w:r w:rsidRPr="00855121">
        <w:rPr>
          <w:szCs w:val="24"/>
        </w:rPr>
        <w:t xml:space="preserve">OCC </w:t>
      </w:r>
      <w:r>
        <w:rPr>
          <w:szCs w:val="24"/>
        </w:rPr>
        <w:t>requests that</w:t>
      </w:r>
      <w:r w:rsidRPr="00855121">
        <w:rPr>
          <w:szCs w:val="24"/>
        </w:rPr>
        <w:t xml:space="preserve"> the PUCO deny the Utility’s request for deferral authority</w:t>
      </w:r>
      <w:r w:rsidR="007C1F02">
        <w:rPr>
          <w:szCs w:val="24"/>
        </w:rPr>
        <w:t>.</w:t>
      </w:r>
    </w:p>
    <w:p w:rsidR="00C448C9" w:rsidRDefault="00C448C9" w:rsidP="00C448C9">
      <w:pPr>
        <w:autoSpaceDE w:val="0"/>
        <w:autoSpaceDN w:val="0"/>
        <w:adjustRightInd w:val="0"/>
        <w:spacing w:line="480" w:lineRule="auto"/>
        <w:ind w:left="4320"/>
      </w:pPr>
      <w:r>
        <w:rPr>
          <w:szCs w:val="24"/>
        </w:rPr>
        <w:t>Respectfully submitted,</w:t>
      </w:r>
    </w:p>
    <w:p w:rsidR="00C448C9" w:rsidRDefault="00C448C9" w:rsidP="00C448C9">
      <w:pPr>
        <w:pStyle w:val="Footer"/>
        <w:tabs>
          <w:tab w:val="left" w:pos="4320"/>
        </w:tabs>
        <w:spacing w:before="240"/>
        <w:rPr>
          <w:sz w:val="24"/>
          <w:szCs w:val="24"/>
        </w:rPr>
      </w:pPr>
      <w:r>
        <w:rPr>
          <w:sz w:val="24"/>
          <w:szCs w:val="24"/>
        </w:rPr>
        <w:tab/>
        <w:t>BRUCE J. WESTON</w:t>
      </w:r>
    </w:p>
    <w:p w:rsidR="00C448C9" w:rsidRDefault="00C448C9" w:rsidP="00C448C9">
      <w:pPr>
        <w:tabs>
          <w:tab w:val="left" w:pos="4320"/>
        </w:tabs>
        <w:rPr>
          <w:szCs w:val="24"/>
        </w:rPr>
      </w:pPr>
      <w:r>
        <w:rPr>
          <w:szCs w:val="24"/>
        </w:rPr>
        <w:tab/>
        <w:t>OHIO CONSUMERS’ COUNSEL</w:t>
      </w:r>
    </w:p>
    <w:p w:rsidR="00C448C9" w:rsidRDefault="00C448C9" w:rsidP="00C448C9">
      <w:pPr>
        <w:tabs>
          <w:tab w:val="left" w:pos="4320"/>
        </w:tabs>
        <w:rPr>
          <w:szCs w:val="24"/>
        </w:rPr>
      </w:pPr>
      <w:r>
        <w:rPr>
          <w:szCs w:val="24"/>
        </w:rPr>
        <w:tab/>
      </w:r>
    </w:p>
    <w:p w:rsidR="00C448C9" w:rsidRDefault="00C448C9" w:rsidP="00C448C9">
      <w:pPr>
        <w:tabs>
          <w:tab w:val="left" w:pos="4320"/>
        </w:tabs>
        <w:rPr>
          <w:szCs w:val="24"/>
        </w:rPr>
      </w:pPr>
      <w:r>
        <w:rPr>
          <w:szCs w:val="24"/>
        </w:rPr>
        <w:tab/>
      </w:r>
      <w:r>
        <w:rPr>
          <w:i/>
          <w:szCs w:val="24"/>
          <w:u w:val="single"/>
        </w:rPr>
        <w:t xml:space="preserve">/s/ Joseph </w:t>
      </w:r>
      <w:r w:rsidR="00BA0477">
        <w:rPr>
          <w:i/>
          <w:szCs w:val="24"/>
          <w:u w:val="single"/>
        </w:rPr>
        <w:t xml:space="preserve">P. </w:t>
      </w:r>
      <w:r>
        <w:rPr>
          <w:i/>
          <w:szCs w:val="24"/>
          <w:u w:val="single"/>
        </w:rPr>
        <w:t>Serio</w:t>
      </w:r>
      <w:r>
        <w:rPr>
          <w:szCs w:val="24"/>
        </w:rPr>
        <w:t>____________________</w:t>
      </w:r>
    </w:p>
    <w:p w:rsidR="00C448C9" w:rsidRDefault="00C448C9" w:rsidP="00C448C9">
      <w:pPr>
        <w:tabs>
          <w:tab w:val="left" w:pos="4320"/>
        </w:tabs>
        <w:rPr>
          <w:szCs w:val="24"/>
        </w:rPr>
      </w:pPr>
      <w:r>
        <w:rPr>
          <w:szCs w:val="24"/>
        </w:rPr>
        <w:tab/>
        <w:t xml:space="preserve">Joseph </w:t>
      </w:r>
      <w:r w:rsidR="00BA0477">
        <w:rPr>
          <w:szCs w:val="24"/>
        </w:rPr>
        <w:t xml:space="preserve">P. </w:t>
      </w:r>
      <w:r>
        <w:rPr>
          <w:szCs w:val="24"/>
        </w:rPr>
        <w:t xml:space="preserve">Serio (Reg. No. 0036959) </w:t>
      </w:r>
    </w:p>
    <w:p w:rsidR="00C448C9" w:rsidRDefault="00C448C9" w:rsidP="00C448C9">
      <w:pPr>
        <w:tabs>
          <w:tab w:val="left" w:pos="4320"/>
        </w:tabs>
        <w:rPr>
          <w:szCs w:val="24"/>
        </w:rPr>
      </w:pPr>
      <w:r>
        <w:rPr>
          <w:szCs w:val="24"/>
        </w:rPr>
        <w:tab/>
        <w:t>Counsel of Record</w:t>
      </w:r>
    </w:p>
    <w:p w:rsidR="00C448C9" w:rsidRDefault="00C448C9" w:rsidP="00C448C9">
      <w:pPr>
        <w:tabs>
          <w:tab w:val="left" w:pos="4320"/>
        </w:tabs>
        <w:rPr>
          <w:szCs w:val="24"/>
        </w:rPr>
      </w:pPr>
      <w:r>
        <w:rPr>
          <w:szCs w:val="24"/>
        </w:rPr>
        <w:tab/>
        <w:t xml:space="preserve">Assistant Consumers’ Counsel </w:t>
      </w:r>
    </w:p>
    <w:p w:rsidR="00C448C9" w:rsidRDefault="00C448C9" w:rsidP="00C448C9">
      <w:r>
        <w:tab/>
      </w:r>
      <w:r>
        <w:tab/>
      </w:r>
      <w:r>
        <w:tab/>
      </w:r>
      <w:r>
        <w:tab/>
      </w:r>
      <w:r>
        <w:tab/>
      </w:r>
      <w:r>
        <w:tab/>
      </w:r>
    </w:p>
    <w:p w:rsidR="00C448C9" w:rsidRDefault="00C448C9" w:rsidP="00C448C9">
      <w:pPr>
        <w:ind w:left="3600" w:firstLine="720"/>
        <w:rPr>
          <w:b/>
        </w:rPr>
      </w:pPr>
      <w:r>
        <w:rPr>
          <w:b/>
        </w:rPr>
        <w:t>Office of the Ohio Consumers’ Counsel</w:t>
      </w:r>
    </w:p>
    <w:p w:rsidR="00C448C9" w:rsidRDefault="00C448C9" w:rsidP="00C448C9">
      <w:pPr>
        <w:ind w:left="4320"/>
      </w:pPr>
      <w:r>
        <w:t>10 West Broad Street, Suite 1800</w:t>
      </w:r>
    </w:p>
    <w:p w:rsidR="00C448C9" w:rsidRDefault="00C448C9" w:rsidP="00C448C9">
      <w:pPr>
        <w:ind w:left="4320"/>
      </w:pPr>
      <w:r>
        <w:t>Columbus, Ohio 43215-3485</w:t>
      </w:r>
    </w:p>
    <w:p w:rsidR="00C448C9" w:rsidRDefault="00C448C9" w:rsidP="00C448C9">
      <w:pPr>
        <w:autoSpaceDE w:val="0"/>
        <w:autoSpaceDN w:val="0"/>
        <w:adjustRightInd w:val="0"/>
        <w:ind w:left="3600" w:firstLine="720"/>
        <w:rPr>
          <w:szCs w:val="24"/>
        </w:rPr>
      </w:pPr>
      <w:r>
        <w:rPr>
          <w:szCs w:val="24"/>
        </w:rPr>
        <w:t>Telephone:  (Direct Serio</w:t>
      </w:r>
      <w:proofErr w:type="gramStart"/>
      <w:r>
        <w:rPr>
          <w:szCs w:val="24"/>
        </w:rPr>
        <w:t>)(</w:t>
      </w:r>
      <w:proofErr w:type="gramEnd"/>
      <w:r>
        <w:rPr>
          <w:szCs w:val="24"/>
        </w:rPr>
        <w:t>614) 466-9565</w:t>
      </w:r>
    </w:p>
    <w:p w:rsidR="00C448C9" w:rsidRDefault="00BA0477" w:rsidP="00C448C9">
      <w:pPr>
        <w:autoSpaceDE w:val="0"/>
        <w:autoSpaceDN w:val="0"/>
        <w:adjustRightInd w:val="0"/>
        <w:ind w:left="3600" w:firstLine="720"/>
        <w:rPr>
          <w:szCs w:val="24"/>
        </w:rPr>
      </w:pPr>
      <w:r w:rsidRPr="004B7115">
        <w:rPr>
          <w:szCs w:val="24"/>
        </w:rPr>
        <w:t>Joseph.serio@occ.ohio.gov</w:t>
      </w:r>
    </w:p>
    <w:p w:rsidR="00BA0477" w:rsidRDefault="00BA0477" w:rsidP="00BA0477">
      <w:pPr>
        <w:ind w:left="4320"/>
        <w:rPr>
          <w:i/>
          <w:szCs w:val="24"/>
        </w:rPr>
      </w:pPr>
      <w:r>
        <w:rPr>
          <w:bCs/>
        </w:rPr>
        <w:t>(</w:t>
      </w:r>
      <w:r w:rsidR="00C448C9">
        <w:rPr>
          <w:i/>
          <w:szCs w:val="24"/>
        </w:rPr>
        <w:t>Will accept service via e</w:t>
      </w:r>
      <w:r>
        <w:rPr>
          <w:i/>
          <w:szCs w:val="24"/>
        </w:rPr>
        <w:t>mail)</w:t>
      </w:r>
    </w:p>
    <w:p w:rsidR="00BA0477" w:rsidRDefault="00BA0477" w:rsidP="00BA0477">
      <w:pPr>
        <w:ind w:left="4320"/>
        <w:rPr>
          <w:b/>
          <w:bCs/>
          <w:u w:val="single"/>
        </w:rPr>
      </w:pPr>
    </w:p>
    <w:p w:rsidR="00CA252F" w:rsidRDefault="00CA252F">
      <w:pPr>
        <w:spacing w:after="200" w:line="276" w:lineRule="auto"/>
        <w:rPr>
          <w:b/>
          <w:bCs/>
          <w:u w:val="single"/>
        </w:rPr>
      </w:pPr>
      <w:r>
        <w:rPr>
          <w:b/>
          <w:bCs/>
          <w:u w:val="single"/>
        </w:rPr>
        <w:br w:type="page"/>
      </w:r>
    </w:p>
    <w:p w:rsidR="00C448C9" w:rsidRDefault="00C448C9" w:rsidP="00C448C9">
      <w:pPr>
        <w:jc w:val="center"/>
        <w:rPr>
          <w:b/>
          <w:bCs/>
          <w:u w:val="single"/>
        </w:rPr>
      </w:pPr>
      <w:r>
        <w:rPr>
          <w:b/>
          <w:bCs/>
          <w:u w:val="single"/>
        </w:rPr>
        <w:lastRenderedPageBreak/>
        <w:t>CERTIFICATE OF SERVICE</w:t>
      </w:r>
    </w:p>
    <w:p w:rsidR="00C448C9" w:rsidRDefault="00C448C9" w:rsidP="00C448C9">
      <w:pPr>
        <w:spacing w:line="480" w:lineRule="atLeast"/>
      </w:pPr>
      <w:r>
        <w:tab/>
        <w:t xml:space="preserve">I hereby certify that a copy of this </w:t>
      </w:r>
      <w:r>
        <w:rPr>
          <w:i/>
        </w:rPr>
        <w:t xml:space="preserve">Memorandum Contra </w:t>
      </w:r>
      <w:r>
        <w:t xml:space="preserve">were served on the persons stated below via electronic transmission this </w:t>
      </w:r>
      <w:r w:rsidR="007A79F7">
        <w:t>16</w:t>
      </w:r>
      <w:r>
        <w:t xml:space="preserve">th day of </w:t>
      </w:r>
      <w:r w:rsidR="00191AC7">
        <w:t>September</w:t>
      </w:r>
      <w:r>
        <w:t xml:space="preserve"> 2015.</w:t>
      </w:r>
    </w:p>
    <w:p w:rsidR="00C448C9" w:rsidRDefault="00C448C9" w:rsidP="00C448C9">
      <w:pPr>
        <w:spacing w:line="480" w:lineRule="atLeast"/>
      </w:pPr>
    </w:p>
    <w:p w:rsidR="00C448C9" w:rsidRDefault="00C448C9" w:rsidP="00C448C9">
      <w:pPr>
        <w:tabs>
          <w:tab w:val="left" w:pos="4320"/>
        </w:tabs>
      </w:pPr>
      <w:r>
        <w:tab/>
      </w:r>
      <w:r>
        <w:rPr>
          <w:i/>
          <w:u w:val="single"/>
        </w:rPr>
        <w:t xml:space="preserve">/s/ Joseph </w:t>
      </w:r>
      <w:r w:rsidR="00BA0477">
        <w:rPr>
          <w:i/>
          <w:u w:val="single"/>
        </w:rPr>
        <w:t xml:space="preserve">P. </w:t>
      </w:r>
      <w:r>
        <w:rPr>
          <w:i/>
          <w:u w:val="single"/>
        </w:rPr>
        <w:t>Serio</w:t>
      </w:r>
      <w:r>
        <w:t>_______________</w:t>
      </w:r>
    </w:p>
    <w:p w:rsidR="00C448C9" w:rsidRDefault="00C448C9" w:rsidP="00C448C9">
      <w:pPr>
        <w:tabs>
          <w:tab w:val="left" w:pos="4320"/>
        </w:tabs>
      </w:pPr>
      <w:r>
        <w:tab/>
        <w:t xml:space="preserve">Joseph </w:t>
      </w:r>
      <w:r w:rsidR="00BA0477">
        <w:t xml:space="preserve">P. </w:t>
      </w:r>
      <w:r>
        <w:t>Serio</w:t>
      </w:r>
    </w:p>
    <w:p w:rsidR="00C448C9" w:rsidRDefault="00C448C9" w:rsidP="00C448C9">
      <w:pPr>
        <w:tabs>
          <w:tab w:val="left" w:pos="4320"/>
        </w:tabs>
      </w:pPr>
      <w:r>
        <w:tab/>
        <w:t>Assistant Consumers’ Counsel</w:t>
      </w:r>
    </w:p>
    <w:p w:rsidR="00C448C9" w:rsidRDefault="00C448C9" w:rsidP="00C448C9">
      <w:pPr>
        <w:pStyle w:val="CommentSubject"/>
      </w:pPr>
    </w:p>
    <w:p w:rsidR="00C448C9" w:rsidRDefault="00C448C9" w:rsidP="00C448C9">
      <w:pPr>
        <w:pStyle w:val="CommentText"/>
      </w:pPr>
    </w:p>
    <w:p w:rsidR="00C448C9" w:rsidRDefault="00C448C9" w:rsidP="00C448C9">
      <w:pPr>
        <w:pStyle w:val="CommentText"/>
        <w:jc w:val="center"/>
        <w:rPr>
          <w:b/>
          <w:u w:val="single"/>
          <w:lang w:val="en-US"/>
        </w:rPr>
      </w:pPr>
      <w:r>
        <w:rPr>
          <w:b/>
          <w:u w:val="single"/>
        </w:rPr>
        <w:t>SERVICE LIS</w:t>
      </w:r>
      <w:r>
        <w:rPr>
          <w:b/>
          <w:u w:val="single"/>
          <w:lang w:val="en-US"/>
        </w:rPr>
        <w:t>T</w:t>
      </w:r>
    </w:p>
    <w:p w:rsidR="00C448C9" w:rsidRDefault="00C448C9" w:rsidP="00C448C9">
      <w:pPr>
        <w:pStyle w:val="CommentText"/>
        <w:jc w:val="center"/>
        <w:rPr>
          <w:b/>
          <w:u w:val="single"/>
          <w:lang w:val="en-US"/>
        </w:rPr>
      </w:pPr>
    </w:p>
    <w:p w:rsidR="00C448C9" w:rsidRDefault="00C448C9" w:rsidP="00C448C9">
      <w:pPr>
        <w:pStyle w:val="CommentText"/>
        <w:jc w:val="cente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20"/>
      </w:tblGrid>
      <w:tr w:rsidR="00C448C9" w:rsidTr="00627758">
        <w:tc>
          <w:tcPr>
            <w:tcW w:w="4788" w:type="dxa"/>
          </w:tcPr>
          <w:p w:rsidR="00C448C9" w:rsidRPr="005461EF" w:rsidRDefault="00C448C9" w:rsidP="00627758">
            <w:pPr>
              <w:jc w:val="both"/>
              <w:rPr>
                <w:bCs/>
                <w:lang w:eastAsia="x-none"/>
              </w:rPr>
            </w:pPr>
            <w:r>
              <w:rPr>
                <w:bCs/>
                <w:lang w:eastAsia="x-none"/>
              </w:rPr>
              <w:t>Thomas Lindgren</w:t>
            </w:r>
          </w:p>
          <w:p w:rsidR="00C448C9" w:rsidRPr="005461EF" w:rsidRDefault="00C448C9" w:rsidP="00627758">
            <w:pPr>
              <w:jc w:val="both"/>
              <w:rPr>
                <w:bCs/>
                <w:lang w:eastAsia="x-none"/>
              </w:rPr>
            </w:pPr>
            <w:r w:rsidRPr="005461EF">
              <w:rPr>
                <w:bCs/>
                <w:lang w:eastAsia="x-none"/>
              </w:rPr>
              <w:t>Attorney General’s Office</w:t>
            </w:r>
          </w:p>
          <w:p w:rsidR="00C448C9" w:rsidRPr="005461EF" w:rsidRDefault="00C448C9" w:rsidP="00627758">
            <w:pPr>
              <w:jc w:val="both"/>
              <w:rPr>
                <w:bCs/>
                <w:lang w:eastAsia="x-none"/>
              </w:rPr>
            </w:pPr>
            <w:r w:rsidRPr="005461EF">
              <w:rPr>
                <w:bCs/>
                <w:lang w:eastAsia="x-none"/>
              </w:rPr>
              <w:t>Public Utilities Commission of Ohio</w:t>
            </w:r>
          </w:p>
          <w:p w:rsidR="00C448C9" w:rsidRPr="005461EF" w:rsidRDefault="00C448C9" w:rsidP="00627758">
            <w:pPr>
              <w:jc w:val="both"/>
              <w:rPr>
                <w:bCs/>
                <w:lang w:eastAsia="x-none"/>
              </w:rPr>
            </w:pPr>
            <w:r w:rsidRPr="005461EF">
              <w:rPr>
                <w:bCs/>
                <w:lang w:eastAsia="x-none"/>
              </w:rPr>
              <w:t xml:space="preserve">180 E. Broad St., </w:t>
            </w:r>
            <w:r>
              <w:rPr>
                <w:bCs/>
                <w:lang w:eastAsia="x-none"/>
              </w:rPr>
              <w:t>6</w:t>
            </w:r>
            <w:r w:rsidRPr="005461EF">
              <w:rPr>
                <w:bCs/>
                <w:vertAlign w:val="superscript"/>
                <w:lang w:eastAsia="x-none"/>
              </w:rPr>
              <w:t>th</w:t>
            </w:r>
            <w:r w:rsidRPr="005461EF">
              <w:rPr>
                <w:bCs/>
                <w:lang w:eastAsia="x-none"/>
              </w:rPr>
              <w:t xml:space="preserve"> Fl.</w:t>
            </w:r>
          </w:p>
          <w:p w:rsidR="00C448C9" w:rsidRDefault="00C448C9" w:rsidP="00627758">
            <w:pPr>
              <w:jc w:val="both"/>
              <w:rPr>
                <w:bCs/>
                <w:lang w:eastAsia="x-none"/>
              </w:rPr>
            </w:pPr>
            <w:r w:rsidRPr="005461EF">
              <w:rPr>
                <w:bCs/>
                <w:lang w:eastAsia="x-none"/>
              </w:rPr>
              <w:t>Columbus, OH 43215</w:t>
            </w:r>
          </w:p>
          <w:p w:rsidR="00C448C9" w:rsidRDefault="00C448C9" w:rsidP="00627758">
            <w:pPr>
              <w:jc w:val="both"/>
              <w:rPr>
                <w:bCs/>
                <w:lang w:eastAsia="x-none"/>
              </w:rPr>
            </w:pPr>
            <w:r w:rsidRPr="004B7115">
              <w:rPr>
                <w:bCs/>
                <w:lang w:eastAsia="x-none"/>
              </w:rPr>
              <w:t>Thomas.lindgren@puc.state.oh.us</w:t>
            </w:r>
          </w:p>
          <w:p w:rsidR="00C448C9" w:rsidRDefault="00C448C9" w:rsidP="00627758">
            <w:pPr>
              <w:jc w:val="both"/>
              <w:rPr>
                <w:b/>
                <w:bCs/>
              </w:rPr>
            </w:pPr>
          </w:p>
        </w:tc>
        <w:tc>
          <w:tcPr>
            <w:tcW w:w="4788" w:type="dxa"/>
          </w:tcPr>
          <w:p w:rsidR="00C448C9" w:rsidRDefault="00C448C9" w:rsidP="00627758">
            <w:pPr>
              <w:autoSpaceDE w:val="0"/>
              <w:autoSpaceDN w:val="0"/>
              <w:adjustRightInd w:val="0"/>
              <w:rPr>
                <w:rFonts w:eastAsiaTheme="minorHAnsi"/>
                <w:color w:val="000000"/>
                <w:szCs w:val="24"/>
              </w:rPr>
            </w:pPr>
            <w:r>
              <w:rPr>
                <w:rFonts w:eastAsiaTheme="minorHAnsi"/>
                <w:color w:val="000000"/>
                <w:szCs w:val="24"/>
              </w:rPr>
              <w:t xml:space="preserve">Judi L. </w:t>
            </w:r>
            <w:proofErr w:type="spellStart"/>
            <w:r>
              <w:rPr>
                <w:rFonts w:eastAsiaTheme="minorHAnsi"/>
                <w:color w:val="000000"/>
                <w:szCs w:val="24"/>
              </w:rPr>
              <w:t>Sobecki</w:t>
            </w:r>
            <w:proofErr w:type="spellEnd"/>
            <w:r>
              <w:rPr>
                <w:rFonts w:eastAsiaTheme="minorHAnsi"/>
                <w:color w:val="000000"/>
                <w:szCs w:val="24"/>
              </w:rPr>
              <w:t xml:space="preserve"> </w:t>
            </w:r>
          </w:p>
          <w:p w:rsidR="00C448C9" w:rsidRDefault="00C448C9" w:rsidP="00627758">
            <w:pPr>
              <w:autoSpaceDE w:val="0"/>
              <w:autoSpaceDN w:val="0"/>
              <w:adjustRightInd w:val="0"/>
              <w:rPr>
                <w:rFonts w:eastAsiaTheme="minorHAnsi"/>
                <w:color w:val="000000"/>
                <w:szCs w:val="24"/>
              </w:rPr>
            </w:pPr>
            <w:r>
              <w:rPr>
                <w:rFonts w:eastAsiaTheme="minorHAnsi"/>
                <w:color w:val="000000"/>
                <w:szCs w:val="24"/>
              </w:rPr>
              <w:t>The Dayton Power and Light Company</w:t>
            </w:r>
          </w:p>
          <w:p w:rsidR="00C448C9" w:rsidRDefault="00C448C9" w:rsidP="00627758">
            <w:pPr>
              <w:autoSpaceDE w:val="0"/>
              <w:autoSpaceDN w:val="0"/>
              <w:adjustRightInd w:val="0"/>
              <w:rPr>
                <w:rFonts w:eastAsiaTheme="minorHAnsi"/>
                <w:color w:val="000000"/>
                <w:szCs w:val="24"/>
              </w:rPr>
            </w:pPr>
            <w:r>
              <w:rPr>
                <w:rFonts w:eastAsiaTheme="minorHAnsi"/>
                <w:color w:val="000000"/>
                <w:szCs w:val="24"/>
              </w:rPr>
              <w:t>1065 Woodman Drive</w:t>
            </w:r>
          </w:p>
          <w:p w:rsidR="00C448C9" w:rsidRDefault="00C448C9" w:rsidP="00627758">
            <w:pPr>
              <w:autoSpaceDE w:val="0"/>
              <w:autoSpaceDN w:val="0"/>
              <w:adjustRightInd w:val="0"/>
              <w:rPr>
                <w:rFonts w:eastAsiaTheme="minorHAnsi"/>
                <w:color w:val="000000"/>
                <w:szCs w:val="24"/>
              </w:rPr>
            </w:pPr>
            <w:r>
              <w:rPr>
                <w:rFonts w:eastAsiaTheme="minorHAnsi"/>
                <w:color w:val="000000"/>
                <w:szCs w:val="24"/>
              </w:rPr>
              <w:t>Dayton, OH 45432</w:t>
            </w:r>
          </w:p>
          <w:p w:rsidR="00C448C9" w:rsidRDefault="00C448C9" w:rsidP="00CA252F">
            <w:pPr>
              <w:pStyle w:val="BodyText"/>
              <w:rPr>
                <w:b/>
                <w:bCs/>
                <w:lang w:val="en-US"/>
              </w:rPr>
            </w:pPr>
            <w:proofErr w:type="spellStart"/>
            <w:r>
              <w:rPr>
                <w:rFonts w:eastAsiaTheme="minorHAnsi"/>
                <w:color w:val="0000FF"/>
                <w:szCs w:val="24"/>
              </w:rPr>
              <w:t>judi.sobecki@</w:t>
            </w:r>
            <w:r w:rsidR="00CA252F">
              <w:rPr>
                <w:rFonts w:eastAsiaTheme="minorHAnsi"/>
                <w:color w:val="0000FF"/>
                <w:szCs w:val="24"/>
                <w:lang w:val="en-US"/>
              </w:rPr>
              <w:t>aes</w:t>
            </w:r>
            <w:proofErr w:type="spellEnd"/>
            <w:r>
              <w:rPr>
                <w:rFonts w:eastAsiaTheme="minorHAnsi"/>
                <w:color w:val="0000FF"/>
                <w:szCs w:val="24"/>
              </w:rPr>
              <w:t>.com</w:t>
            </w:r>
          </w:p>
        </w:tc>
      </w:tr>
    </w:tbl>
    <w:p w:rsidR="00C448C9" w:rsidRDefault="00C448C9" w:rsidP="00C448C9">
      <w:pPr>
        <w:pStyle w:val="BodyText"/>
        <w:rPr>
          <w:b/>
          <w:bCs/>
          <w:lang w:val="en-US"/>
        </w:rPr>
      </w:pPr>
    </w:p>
    <w:p w:rsidR="00C448C9" w:rsidRPr="00CE4F8D" w:rsidRDefault="00C448C9" w:rsidP="00C448C9">
      <w:pPr>
        <w:pStyle w:val="BodyText"/>
        <w:rPr>
          <w:bCs/>
          <w:lang w:val="en-US"/>
        </w:rPr>
      </w:pPr>
      <w:r w:rsidRPr="00CE4F8D">
        <w:rPr>
          <w:bCs/>
          <w:lang w:val="en-US"/>
        </w:rPr>
        <w:t>Attorney Examiner:</w:t>
      </w:r>
    </w:p>
    <w:p w:rsidR="00C448C9" w:rsidRDefault="00C448C9" w:rsidP="00C448C9">
      <w:pPr>
        <w:pStyle w:val="BodyText"/>
        <w:rPr>
          <w:b/>
          <w:bCs/>
          <w:lang w:val="en-US"/>
        </w:rPr>
      </w:pPr>
    </w:p>
    <w:p w:rsidR="00C448C9" w:rsidRDefault="00C448C9" w:rsidP="00C448C9">
      <w:pPr>
        <w:pStyle w:val="BodyText"/>
        <w:rPr>
          <w:bCs/>
          <w:lang w:val="en-US"/>
        </w:rPr>
      </w:pPr>
      <w:r w:rsidRPr="004B7115">
        <w:rPr>
          <w:bCs/>
          <w:lang w:val="en-US"/>
        </w:rPr>
        <w:t>Bryce.mckenney@puc.state.oh.us</w:t>
      </w:r>
    </w:p>
    <w:p w:rsidR="00C448C9" w:rsidRPr="00CE4F8D" w:rsidRDefault="00C448C9" w:rsidP="00C448C9">
      <w:pPr>
        <w:pStyle w:val="BodyText"/>
        <w:rPr>
          <w:bCs/>
          <w:lang w:val="en-US"/>
        </w:rPr>
      </w:pPr>
    </w:p>
    <w:p w:rsidR="00C448C9" w:rsidRDefault="00C448C9" w:rsidP="00C448C9">
      <w:pPr>
        <w:pStyle w:val="BodyText"/>
        <w:rPr>
          <w:b/>
          <w:bCs/>
          <w:lang w:val="en-US"/>
        </w:rPr>
      </w:pPr>
    </w:p>
    <w:p w:rsidR="00C448C9" w:rsidRDefault="00C448C9" w:rsidP="00C448C9"/>
    <w:p w:rsidR="00C448C9" w:rsidRPr="00855121" w:rsidRDefault="00C448C9" w:rsidP="00C448C9"/>
    <w:p w:rsidR="00D26331" w:rsidRDefault="00D26331"/>
    <w:sectPr w:rsidR="00D26331" w:rsidSect="00CA252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2D" w:rsidRDefault="00460F2D" w:rsidP="00C448C9">
      <w:r>
        <w:separator/>
      </w:r>
    </w:p>
  </w:endnote>
  <w:endnote w:type="continuationSeparator" w:id="0">
    <w:p w:rsidR="00460F2D" w:rsidRDefault="00460F2D" w:rsidP="00C4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5" w:rsidRDefault="004B7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33446"/>
      <w:docPartObj>
        <w:docPartGallery w:val="Page Numbers (Bottom of Page)"/>
        <w:docPartUnique/>
      </w:docPartObj>
    </w:sdtPr>
    <w:sdtEndPr>
      <w:rPr>
        <w:noProof/>
      </w:rPr>
    </w:sdtEndPr>
    <w:sdtContent>
      <w:p w:rsidR="00CA252F" w:rsidRDefault="00CA252F">
        <w:pPr>
          <w:pStyle w:val="Footer"/>
          <w:jc w:val="center"/>
        </w:pPr>
        <w:r>
          <w:fldChar w:fldCharType="begin"/>
        </w:r>
        <w:r>
          <w:instrText xml:space="preserve"> PAGE   \* MERGEFORMAT </w:instrText>
        </w:r>
        <w:r>
          <w:fldChar w:fldCharType="separate"/>
        </w:r>
        <w:r w:rsidR="001D2603">
          <w:rPr>
            <w:noProof/>
          </w:rPr>
          <w:t>7</w:t>
        </w:r>
        <w:r>
          <w:rPr>
            <w:noProof/>
          </w:rPr>
          <w:fldChar w:fldCharType="end"/>
        </w:r>
      </w:p>
    </w:sdtContent>
  </w:sdt>
  <w:p w:rsidR="00CA252F" w:rsidRDefault="00CA25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5" w:rsidRDefault="004B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2D" w:rsidRDefault="00460F2D" w:rsidP="00C448C9">
      <w:r>
        <w:separator/>
      </w:r>
    </w:p>
  </w:footnote>
  <w:footnote w:type="continuationSeparator" w:id="0">
    <w:p w:rsidR="00460F2D" w:rsidRDefault="00460F2D" w:rsidP="00C448C9">
      <w:r>
        <w:continuationSeparator/>
      </w:r>
    </w:p>
  </w:footnote>
  <w:footnote w:id="1">
    <w:p w:rsidR="00C237B0" w:rsidRDefault="00C237B0" w:rsidP="00CA252F">
      <w:pPr>
        <w:pStyle w:val="FootnoteText"/>
        <w:spacing w:after="120"/>
      </w:pPr>
      <w:r>
        <w:rPr>
          <w:rStyle w:val="FootnoteReference"/>
        </w:rPr>
        <w:footnoteRef/>
      </w:r>
      <w:r>
        <w:t xml:space="preserve"> Notably, DP&amp;L did not seek carrying charges on its deferrals</w:t>
      </w:r>
      <w:r w:rsidR="004271CD">
        <w:t>.</w:t>
      </w:r>
    </w:p>
  </w:footnote>
  <w:footnote w:id="2">
    <w:p w:rsidR="00AA7B06" w:rsidRDefault="00AA7B06" w:rsidP="00CA252F">
      <w:pPr>
        <w:pStyle w:val="FootnoteText"/>
        <w:spacing w:after="120"/>
      </w:pPr>
      <w:r>
        <w:rPr>
          <w:rStyle w:val="FootnoteReference"/>
        </w:rPr>
        <w:footnoteRef/>
      </w:r>
      <w:r>
        <w:t xml:space="preserve"> </w:t>
      </w:r>
      <w:r w:rsidR="00893CEA">
        <w:t>Opinion and Order at 3 (April 8, 2015)</w:t>
      </w:r>
      <w:r>
        <w:t>.</w:t>
      </w:r>
    </w:p>
  </w:footnote>
  <w:footnote w:id="3">
    <w:p w:rsidR="00AA7B06" w:rsidRDefault="00AA7B06" w:rsidP="00CA252F">
      <w:pPr>
        <w:pStyle w:val="FootnoteText"/>
        <w:spacing w:after="120"/>
      </w:pPr>
      <w:r>
        <w:rPr>
          <w:rStyle w:val="FootnoteReference"/>
        </w:rPr>
        <w:footnoteRef/>
      </w:r>
      <w:r>
        <w:t xml:space="preserve"> </w:t>
      </w:r>
      <w:r w:rsidR="00893CEA">
        <w:t>DP&amp;L App. for Rehearing at 5 (May 8, 2015)</w:t>
      </w:r>
      <w:r>
        <w:t>.</w:t>
      </w:r>
    </w:p>
  </w:footnote>
  <w:footnote w:id="4">
    <w:p w:rsidR="00523392" w:rsidRDefault="007619D1" w:rsidP="00CA252F">
      <w:pPr>
        <w:pStyle w:val="FootnoteText"/>
        <w:spacing w:after="120"/>
      </w:pPr>
      <w:r>
        <w:rPr>
          <w:rStyle w:val="FootnoteReference"/>
        </w:rPr>
        <w:footnoteRef/>
      </w:r>
      <w:r w:rsidR="004271CD">
        <w:t xml:space="preserve"> Id.</w:t>
      </w:r>
    </w:p>
  </w:footnote>
  <w:footnote w:id="5">
    <w:p w:rsidR="00AA7B06" w:rsidRDefault="00AA7B06" w:rsidP="00CA252F">
      <w:pPr>
        <w:pStyle w:val="FootnoteText"/>
        <w:spacing w:after="120"/>
      </w:pPr>
      <w:r>
        <w:rPr>
          <w:rStyle w:val="FootnoteReference"/>
        </w:rPr>
        <w:footnoteRef/>
      </w:r>
      <w:r>
        <w:t xml:space="preserve"> </w:t>
      </w:r>
      <w:r w:rsidR="00893CEA">
        <w:t>Entry on Rehearing at 3 (June 3, 2015)</w:t>
      </w:r>
      <w:r>
        <w:t>.</w:t>
      </w:r>
    </w:p>
  </w:footnote>
  <w:footnote w:id="6">
    <w:p w:rsidR="00833B45" w:rsidRDefault="00833B45" w:rsidP="00CA252F">
      <w:pPr>
        <w:pStyle w:val="FootnoteText"/>
        <w:spacing w:after="120"/>
      </w:pPr>
      <w:r>
        <w:rPr>
          <w:rStyle w:val="FootnoteReference"/>
        </w:rPr>
        <w:footnoteRef/>
      </w:r>
      <w:r>
        <w:t xml:space="preserve"> </w:t>
      </w:r>
      <w:r w:rsidR="003971AC">
        <w:t>Entry on Rehearing at 3 (June 3, 2015).</w:t>
      </w:r>
    </w:p>
  </w:footnote>
  <w:footnote w:id="7">
    <w:p w:rsidR="00F560A9" w:rsidRDefault="00F560A9" w:rsidP="00CA252F">
      <w:pPr>
        <w:pStyle w:val="FootnoteText"/>
        <w:spacing w:after="120"/>
      </w:pPr>
      <w:r>
        <w:rPr>
          <w:rStyle w:val="FootnoteReference"/>
        </w:rPr>
        <w:footnoteRef/>
      </w:r>
      <w:r>
        <w:t xml:space="preserve"> </w:t>
      </w:r>
      <w:proofErr w:type="gramStart"/>
      <w:r>
        <w:t xml:space="preserve">DP&amp;L’s Supplemental </w:t>
      </w:r>
      <w:r w:rsidR="004271CD">
        <w:t>A</w:t>
      </w:r>
      <w:r>
        <w:t>pplication 2 (Aug. 25, 2015).</w:t>
      </w:r>
      <w:proofErr w:type="gramEnd"/>
    </w:p>
  </w:footnote>
  <w:footnote w:id="8">
    <w:p w:rsidR="003C4294" w:rsidRDefault="003C4294" w:rsidP="00CA252F">
      <w:pPr>
        <w:pStyle w:val="FootnoteText"/>
        <w:spacing w:after="120"/>
      </w:pPr>
      <w:r>
        <w:rPr>
          <w:rStyle w:val="FootnoteReference"/>
        </w:rPr>
        <w:footnoteRef/>
      </w:r>
      <w:r>
        <w:t xml:space="preserve"> </w:t>
      </w:r>
      <w:r w:rsidRPr="003C4294">
        <w:rPr>
          <w:i/>
        </w:rPr>
        <w:t>In the Matter of the Joint application of Ohio Edison Company, The Cleveland Electric Illuminating Company and The Toledo Edison Company for Approval of a Generation Charge Adjustment Rider</w:t>
      </w:r>
      <w:r>
        <w:t>, Case No. 05-704-EL-ATA, Opinion and Order at 9 (Jan. 4, 2006).</w:t>
      </w:r>
    </w:p>
  </w:footnote>
  <w:footnote w:id="9">
    <w:p w:rsidR="00BB06D0" w:rsidRPr="00DA57CD" w:rsidRDefault="00BB06D0" w:rsidP="00CA252F">
      <w:pPr>
        <w:pStyle w:val="FootnoteText"/>
        <w:spacing w:after="120"/>
      </w:pPr>
      <w:r w:rsidRPr="00DA57CD">
        <w:rPr>
          <w:rStyle w:val="FootnoteReference"/>
        </w:rPr>
        <w:footnoteRef/>
      </w:r>
      <w:r w:rsidRPr="00DA57CD">
        <w:t xml:space="preserve"> </w:t>
      </w:r>
      <w:proofErr w:type="gramStart"/>
      <w:r w:rsidRPr="00DA57CD">
        <w:t>Staff’s Review and Recommendation at 2 (August 27, 2015).</w:t>
      </w:r>
      <w:proofErr w:type="gramEnd"/>
    </w:p>
  </w:footnote>
  <w:footnote w:id="10">
    <w:p w:rsidR="00032A8A" w:rsidRPr="00DA57CD" w:rsidRDefault="00032A8A" w:rsidP="00CA252F">
      <w:pPr>
        <w:pStyle w:val="FootnoteText"/>
        <w:spacing w:after="120"/>
      </w:pPr>
      <w:r w:rsidRPr="00DA57CD">
        <w:rPr>
          <w:rStyle w:val="FootnoteReference"/>
        </w:rPr>
        <w:footnoteRef/>
      </w:r>
      <w:r w:rsidRPr="00DA57CD">
        <w:t xml:space="preserve"> </w:t>
      </w:r>
      <w:proofErr w:type="spellStart"/>
      <w:proofErr w:type="gramStart"/>
      <w:r w:rsidRPr="00DA57CD">
        <w:rPr>
          <w:i/>
        </w:rPr>
        <w:t>Tongren</w:t>
      </w:r>
      <w:proofErr w:type="spellEnd"/>
      <w:r w:rsidRPr="00DA57CD">
        <w:rPr>
          <w:i/>
        </w:rPr>
        <w:t xml:space="preserve"> v. Pub.</w:t>
      </w:r>
      <w:proofErr w:type="gramEnd"/>
      <w:r w:rsidRPr="00DA57CD">
        <w:rPr>
          <w:i/>
        </w:rPr>
        <w:t xml:space="preserve"> </w:t>
      </w:r>
      <w:proofErr w:type="gramStart"/>
      <w:r w:rsidRPr="00DA57CD">
        <w:rPr>
          <w:i/>
        </w:rPr>
        <w:t>Util. Comm</w:t>
      </w:r>
      <w:r w:rsidR="00BA0477" w:rsidRPr="00DA57CD">
        <w:rPr>
          <w:i/>
        </w:rPr>
        <w:t>.</w:t>
      </w:r>
      <w:r w:rsidRPr="00DA57CD">
        <w:t>, 85 Ohio St.3d 87 (1999).</w:t>
      </w:r>
      <w:proofErr w:type="gramEnd"/>
    </w:p>
  </w:footnote>
  <w:footnote w:id="11">
    <w:p w:rsidR="00032A8A" w:rsidRDefault="00032A8A" w:rsidP="00CA252F">
      <w:pPr>
        <w:pStyle w:val="FootnoteText"/>
        <w:spacing w:after="120"/>
      </w:pPr>
      <w:r>
        <w:rPr>
          <w:rStyle w:val="FootnoteReference"/>
        </w:rPr>
        <w:footnoteRef/>
      </w:r>
      <w:r>
        <w:t xml:space="preserve"> </w:t>
      </w:r>
      <w:proofErr w:type="spellStart"/>
      <w:proofErr w:type="gramStart"/>
      <w:r w:rsidRPr="00423EE9">
        <w:rPr>
          <w:i/>
        </w:rPr>
        <w:t>Tongren</w:t>
      </w:r>
      <w:proofErr w:type="spellEnd"/>
      <w:r w:rsidRPr="00423EE9">
        <w:rPr>
          <w:i/>
        </w:rPr>
        <w:t xml:space="preserve"> v. Pub.</w:t>
      </w:r>
      <w:proofErr w:type="gramEnd"/>
      <w:r w:rsidRPr="00423EE9">
        <w:rPr>
          <w:i/>
        </w:rPr>
        <w:t xml:space="preserve"> Util. Comm</w:t>
      </w:r>
      <w:r>
        <w:t xml:space="preserve">., </w:t>
      </w:r>
      <w:proofErr w:type="gramStart"/>
      <w:r>
        <w:t xml:space="preserve">85 Ohio </w:t>
      </w:r>
      <w:proofErr w:type="spellStart"/>
      <w:r>
        <w:t>St.ed</w:t>
      </w:r>
      <w:proofErr w:type="spellEnd"/>
      <w:r>
        <w:t xml:space="preserve"> (1999),</w:t>
      </w:r>
      <w:proofErr w:type="gramEnd"/>
      <w:r>
        <w:t xml:space="preserve"> </w:t>
      </w:r>
      <w:proofErr w:type="spellStart"/>
      <w:r w:rsidRPr="00423EE9">
        <w:rPr>
          <w:i/>
        </w:rPr>
        <w:t>Allnet</w:t>
      </w:r>
      <w:proofErr w:type="spellEnd"/>
      <w:r w:rsidRPr="00423EE9">
        <w:rPr>
          <w:i/>
        </w:rPr>
        <w:t xml:space="preserve"> Communications Serv., Inc. v. Pub. </w:t>
      </w:r>
      <w:proofErr w:type="gramStart"/>
      <w:r w:rsidRPr="00423EE9">
        <w:rPr>
          <w:i/>
        </w:rPr>
        <w:t>Util. Comm</w:t>
      </w:r>
      <w:r>
        <w:t xml:space="preserve">., 70 Ohio St.3d 202, 209 (1994), </w:t>
      </w:r>
      <w:r w:rsidRPr="00423EE9">
        <w:rPr>
          <w:i/>
        </w:rPr>
        <w:t>Commercial Motor Freight, Inc. v. Pub.</w:t>
      </w:r>
      <w:proofErr w:type="gramEnd"/>
      <w:r w:rsidRPr="00423EE9">
        <w:rPr>
          <w:i/>
        </w:rPr>
        <w:t xml:space="preserve"> Util. Comm</w:t>
      </w:r>
      <w:r>
        <w:t>., 156 Ohio St. 360, 363-364 (1951).</w:t>
      </w:r>
    </w:p>
  </w:footnote>
  <w:footnote w:id="12">
    <w:p w:rsidR="000C2BC5" w:rsidRDefault="000C2BC5" w:rsidP="00CA252F">
      <w:pPr>
        <w:pStyle w:val="FootnoteText"/>
        <w:spacing w:after="120"/>
      </w:pPr>
      <w:r>
        <w:rPr>
          <w:rStyle w:val="FootnoteReference"/>
        </w:rPr>
        <w:footnoteRef/>
      </w:r>
      <w:r>
        <w:t xml:space="preserve"> </w:t>
      </w:r>
      <w:proofErr w:type="gramStart"/>
      <w:r w:rsidRPr="00423EE9">
        <w:rPr>
          <w:i/>
        </w:rPr>
        <w:t>Ohio Bell Tel. Co. v. Pub.</w:t>
      </w:r>
      <w:proofErr w:type="gramEnd"/>
      <w:r w:rsidRPr="00423EE9">
        <w:rPr>
          <w:i/>
        </w:rPr>
        <w:t xml:space="preserve"> </w:t>
      </w:r>
      <w:proofErr w:type="gramStart"/>
      <w:r w:rsidRPr="00423EE9">
        <w:rPr>
          <w:i/>
        </w:rPr>
        <w:t>Util. Comm. of Ohio</w:t>
      </w:r>
      <w:r>
        <w:t>, 301 U.S. 292 (1937).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5" w:rsidRDefault="004B7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5" w:rsidRDefault="004B7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5" w:rsidRDefault="004B7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16BB"/>
    <w:multiLevelType w:val="hybridMultilevel"/>
    <w:tmpl w:val="907A0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C9"/>
    <w:rsid w:val="000210BF"/>
    <w:rsid w:val="00032A8A"/>
    <w:rsid w:val="00081077"/>
    <w:rsid w:val="000929BB"/>
    <w:rsid w:val="000C2BC5"/>
    <w:rsid w:val="000D4F8B"/>
    <w:rsid w:val="000D5F1B"/>
    <w:rsid w:val="0014089C"/>
    <w:rsid w:val="00191AC7"/>
    <w:rsid w:val="001D2603"/>
    <w:rsid w:val="001F4EAD"/>
    <w:rsid w:val="00204CB5"/>
    <w:rsid w:val="0022371A"/>
    <w:rsid w:val="00223C2D"/>
    <w:rsid w:val="0025371B"/>
    <w:rsid w:val="002539EB"/>
    <w:rsid w:val="003306B7"/>
    <w:rsid w:val="00394E20"/>
    <w:rsid w:val="003971AC"/>
    <w:rsid w:val="003C4294"/>
    <w:rsid w:val="003C5722"/>
    <w:rsid w:val="003C6210"/>
    <w:rsid w:val="003D4156"/>
    <w:rsid w:val="003D736E"/>
    <w:rsid w:val="003F2790"/>
    <w:rsid w:val="00423EE9"/>
    <w:rsid w:val="00424A00"/>
    <w:rsid w:val="004271CD"/>
    <w:rsid w:val="00460F2D"/>
    <w:rsid w:val="004818CB"/>
    <w:rsid w:val="00484A42"/>
    <w:rsid w:val="004939C2"/>
    <w:rsid w:val="004B7115"/>
    <w:rsid w:val="004D2582"/>
    <w:rsid w:val="00523392"/>
    <w:rsid w:val="00551B98"/>
    <w:rsid w:val="0059031D"/>
    <w:rsid w:val="005A0033"/>
    <w:rsid w:val="00636AAD"/>
    <w:rsid w:val="00647DC6"/>
    <w:rsid w:val="006A4A7A"/>
    <w:rsid w:val="007353FD"/>
    <w:rsid w:val="007619D1"/>
    <w:rsid w:val="00776BFE"/>
    <w:rsid w:val="0078058E"/>
    <w:rsid w:val="007A79F7"/>
    <w:rsid w:val="007C1F02"/>
    <w:rsid w:val="007E6368"/>
    <w:rsid w:val="008055DD"/>
    <w:rsid w:val="00817206"/>
    <w:rsid w:val="00833B45"/>
    <w:rsid w:val="00861EAB"/>
    <w:rsid w:val="00874874"/>
    <w:rsid w:val="00877621"/>
    <w:rsid w:val="008877AE"/>
    <w:rsid w:val="00893CEA"/>
    <w:rsid w:val="008B2513"/>
    <w:rsid w:val="008D4748"/>
    <w:rsid w:val="008E3E8F"/>
    <w:rsid w:val="009010DF"/>
    <w:rsid w:val="009114EE"/>
    <w:rsid w:val="009719BD"/>
    <w:rsid w:val="00A07689"/>
    <w:rsid w:val="00A53F35"/>
    <w:rsid w:val="00AA7B06"/>
    <w:rsid w:val="00B05ADB"/>
    <w:rsid w:val="00B64FD4"/>
    <w:rsid w:val="00BA0477"/>
    <w:rsid w:val="00BB06D0"/>
    <w:rsid w:val="00BD2594"/>
    <w:rsid w:val="00BE16A2"/>
    <w:rsid w:val="00BE6C94"/>
    <w:rsid w:val="00BF51D3"/>
    <w:rsid w:val="00C237B0"/>
    <w:rsid w:val="00C26E6D"/>
    <w:rsid w:val="00C448C9"/>
    <w:rsid w:val="00C832CF"/>
    <w:rsid w:val="00CA252F"/>
    <w:rsid w:val="00CA577E"/>
    <w:rsid w:val="00CF232B"/>
    <w:rsid w:val="00D15E16"/>
    <w:rsid w:val="00D26331"/>
    <w:rsid w:val="00D33F40"/>
    <w:rsid w:val="00D34715"/>
    <w:rsid w:val="00D40A02"/>
    <w:rsid w:val="00D44123"/>
    <w:rsid w:val="00D54205"/>
    <w:rsid w:val="00DA2573"/>
    <w:rsid w:val="00DA57CD"/>
    <w:rsid w:val="00DB27A0"/>
    <w:rsid w:val="00E04735"/>
    <w:rsid w:val="00E11915"/>
    <w:rsid w:val="00E94F59"/>
    <w:rsid w:val="00EA3CB7"/>
    <w:rsid w:val="00EA79FA"/>
    <w:rsid w:val="00ED6E6D"/>
    <w:rsid w:val="00EF1362"/>
    <w:rsid w:val="00EF63DC"/>
    <w:rsid w:val="00F23A5A"/>
    <w:rsid w:val="00F560A9"/>
    <w:rsid w:val="00F6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C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C448C9"/>
    <w:pPr>
      <w:keepNext/>
      <w:keepLines/>
      <w:spacing w:after="240"/>
      <w:ind w:left="720" w:hanging="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BA0477"/>
    <w:pPr>
      <w:keepNext/>
      <w:keepLines/>
      <w:spacing w:after="240"/>
      <w:ind w:left="1440" w:right="720"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C9"/>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BA0477"/>
    <w:rPr>
      <w:rFonts w:ascii="Times New Roman" w:eastAsiaTheme="majorEastAsia" w:hAnsi="Times New Roman" w:cstheme="majorBidi"/>
      <w:b/>
      <w:bCs/>
      <w:sz w:val="24"/>
      <w:szCs w:val="26"/>
    </w:rPr>
  </w:style>
  <w:style w:type="paragraph" w:styleId="HTMLPreformatted">
    <w:name w:val="HTML Preformatted"/>
    <w:basedOn w:val="Normal"/>
    <w:link w:val="HTMLPreformattedChar"/>
    <w:rsid w:val="00C4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C448C9"/>
    <w:rPr>
      <w:rFonts w:ascii="Courier New" w:eastAsia="Courier New" w:hAnsi="Courier New" w:cs="Courier New"/>
      <w:sz w:val="20"/>
      <w:szCs w:val="20"/>
    </w:rPr>
  </w:style>
  <w:style w:type="paragraph" w:styleId="ListParagraph">
    <w:name w:val="List Paragraph"/>
    <w:basedOn w:val="Normal"/>
    <w:uiPriority w:val="34"/>
    <w:qFormat/>
    <w:rsid w:val="00C448C9"/>
    <w:pPr>
      <w:ind w:left="720"/>
      <w:contextualSpacing/>
    </w:pPr>
  </w:style>
  <w:style w:type="paragraph" w:styleId="FootnoteText">
    <w:name w:val="footnote text"/>
    <w:basedOn w:val="Normal"/>
    <w:link w:val="FootnoteTextChar"/>
    <w:uiPriority w:val="99"/>
    <w:semiHidden/>
    <w:unhideWhenUsed/>
    <w:rsid w:val="00C448C9"/>
    <w:rPr>
      <w:sz w:val="20"/>
    </w:rPr>
  </w:style>
  <w:style w:type="character" w:customStyle="1" w:styleId="FootnoteTextChar">
    <w:name w:val="Footnote Text Char"/>
    <w:basedOn w:val="DefaultParagraphFont"/>
    <w:link w:val="FootnoteText"/>
    <w:uiPriority w:val="99"/>
    <w:semiHidden/>
    <w:rsid w:val="00C448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48C9"/>
    <w:rPr>
      <w:vertAlign w:val="superscript"/>
    </w:rPr>
  </w:style>
  <w:style w:type="paragraph" w:styleId="CommentText">
    <w:name w:val="annotation text"/>
    <w:basedOn w:val="Normal"/>
    <w:link w:val="CommentTextChar"/>
    <w:uiPriority w:val="99"/>
    <w:semiHidden/>
    <w:unhideWhenUsed/>
    <w:rsid w:val="00C448C9"/>
    <w:rPr>
      <w:szCs w:val="24"/>
      <w:lang w:val="x-none" w:eastAsia="x-none"/>
    </w:rPr>
  </w:style>
  <w:style w:type="character" w:customStyle="1" w:styleId="CommentTextChar">
    <w:name w:val="Comment Text Char"/>
    <w:basedOn w:val="DefaultParagraphFont"/>
    <w:link w:val="CommentText"/>
    <w:uiPriority w:val="99"/>
    <w:semiHidden/>
    <w:rsid w:val="00C448C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448C9"/>
    <w:pPr>
      <w:tabs>
        <w:tab w:val="center" w:pos="4320"/>
        <w:tab w:val="right" w:pos="8640"/>
      </w:tabs>
    </w:pPr>
    <w:rPr>
      <w:sz w:val="20"/>
    </w:rPr>
  </w:style>
  <w:style w:type="character" w:customStyle="1" w:styleId="FooterChar">
    <w:name w:val="Footer Char"/>
    <w:basedOn w:val="DefaultParagraphFont"/>
    <w:link w:val="Footer"/>
    <w:uiPriority w:val="99"/>
    <w:rsid w:val="00C448C9"/>
    <w:rPr>
      <w:rFonts w:ascii="Times New Roman" w:eastAsia="Times New Roman" w:hAnsi="Times New Roman" w:cs="Times New Roman"/>
      <w:sz w:val="20"/>
      <w:szCs w:val="20"/>
    </w:rPr>
  </w:style>
  <w:style w:type="paragraph" w:styleId="BodyText">
    <w:name w:val="Body Text"/>
    <w:basedOn w:val="Normal"/>
    <w:link w:val="BodyTextChar"/>
    <w:unhideWhenUsed/>
    <w:rsid w:val="00C448C9"/>
    <w:pPr>
      <w:jc w:val="both"/>
    </w:pPr>
    <w:rPr>
      <w:lang w:val="x-none" w:eastAsia="x-none"/>
    </w:rPr>
  </w:style>
  <w:style w:type="character" w:customStyle="1" w:styleId="BodyTextChar">
    <w:name w:val="Body Text Char"/>
    <w:basedOn w:val="DefaultParagraphFont"/>
    <w:link w:val="BodyText"/>
    <w:rsid w:val="00C448C9"/>
    <w:rPr>
      <w:rFonts w:ascii="Times New Roman" w:eastAsia="Times New Roman" w:hAnsi="Times New Roman" w:cs="Times New Roman"/>
      <w:sz w:val="24"/>
      <w:szCs w:val="20"/>
      <w:lang w:val="x-none" w:eastAsia="x-none"/>
    </w:rPr>
  </w:style>
  <w:style w:type="paragraph" w:styleId="CommentSubject">
    <w:name w:val="annotation subject"/>
    <w:basedOn w:val="CommentText"/>
    <w:next w:val="CommentText"/>
    <w:link w:val="CommentSubjectChar"/>
    <w:semiHidden/>
    <w:unhideWhenUsed/>
    <w:rsid w:val="00C448C9"/>
    <w:rPr>
      <w:szCs w:val="20"/>
    </w:rPr>
  </w:style>
  <w:style w:type="character" w:customStyle="1" w:styleId="CommentSubjectChar">
    <w:name w:val="Comment Subject Char"/>
    <w:basedOn w:val="CommentTextChar"/>
    <w:link w:val="CommentSubject"/>
    <w:semiHidden/>
    <w:rsid w:val="00C448C9"/>
    <w:rPr>
      <w:rFonts w:ascii="Times New Roman" w:eastAsia="Times New Roman" w:hAnsi="Times New Roman" w:cs="Times New Roman"/>
      <w:sz w:val="24"/>
      <w:szCs w:val="20"/>
      <w:lang w:val="x-none" w:eastAsia="x-none"/>
    </w:rPr>
  </w:style>
  <w:style w:type="table" w:styleId="TableGrid">
    <w:name w:val="Table Grid"/>
    <w:basedOn w:val="TableNormal"/>
    <w:uiPriority w:val="59"/>
    <w:rsid w:val="00C4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C9"/>
    <w:rPr>
      <w:color w:val="0000FF" w:themeColor="hyperlink"/>
      <w:u w:val="single"/>
    </w:rPr>
  </w:style>
  <w:style w:type="paragraph" w:styleId="BalloonText">
    <w:name w:val="Balloon Text"/>
    <w:basedOn w:val="Normal"/>
    <w:link w:val="BalloonTextChar"/>
    <w:uiPriority w:val="99"/>
    <w:semiHidden/>
    <w:unhideWhenUsed/>
    <w:rsid w:val="00BF51D3"/>
    <w:rPr>
      <w:rFonts w:ascii="Tahoma" w:hAnsi="Tahoma" w:cs="Tahoma"/>
      <w:sz w:val="16"/>
      <w:szCs w:val="16"/>
    </w:rPr>
  </w:style>
  <w:style w:type="character" w:customStyle="1" w:styleId="BalloonTextChar">
    <w:name w:val="Balloon Text Char"/>
    <w:basedOn w:val="DefaultParagraphFont"/>
    <w:link w:val="BalloonText"/>
    <w:uiPriority w:val="99"/>
    <w:semiHidden/>
    <w:rsid w:val="00BF51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2790"/>
    <w:rPr>
      <w:sz w:val="16"/>
      <w:szCs w:val="16"/>
    </w:rPr>
  </w:style>
  <w:style w:type="paragraph" w:styleId="Header">
    <w:name w:val="header"/>
    <w:basedOn w:val="Normal"/>
    <w:link w:val="HeaderChar"/>
    <w:uiPriority w:val="99"/>
    <w:unhideWhenUsed/>
    <w:rsid w:val="00CA252F"/>
    <w:pPr>
      <w:tabs>
        <w:tab w:val="center" w:pos="4680"/>
        <w:tab w:val="right" w:pos="9360"/>
      </w:tabs>
    </w:pPr>
  </w:style>
  <w:style w:type="character" w:customStyle="1" w:styleId="HeaderChar">
    <w:name w:val="Header Char"/>
    <w:basedOn w:val="DefaultParagraphFont"/>
    <w:link w:val="Header"/>
    <w:uiPriority w:val="99"/>
    <w:rsid w:val="00CA252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C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C448C9"/>
    <w:pPr>
      <w:keepNext/>
      <w:keepLines/>
      <w:spacing w:after="240"/>
      <w:ind w:left="720" w:hanging="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BA0477"/>
    <w:pPr>
      <w:keepNext/>
      <w:keepLines/>
      <w:spacing w:after="240"/>
      <w:ind w:left="1440" w:right="720"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C9"/>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BA0477"/>
    <w:rPr>
      <w:rFonts w:ascii="Times New Roman" w:eastAsiaTheme="majorEastAsia" w:hAnsi="Times New Roman" w:cstheme="majorBidi"/>
      <w:b/>
      <w:bCs/>
      <w:sz w:val="24"/>
      <w:szCs w:val="26"/>
    </w:rPr>
  </w:style>
  <w:style w:type="paragraph" w:styleId="HTMLPreformatted">
    <w:name w:val="HTML Preformatted"/>
    <w:basedOn w:val="Normal"/>
    <w:link w:val="HTMLPreformattedChar"/>
    <w:rsid w:val="00C4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C448C9"/>
    <w:rPr>
      <w:rFonts w:ascii="Courier New" w:eastAsia="Courier New" w:hAnsi="Courier New" w:cs="Courier New"/>
      <w:sz w:val="20"/>
      <w:szCs w:val="20"/>
    </w:rPr>
  </w:style>
  <w:style w:type="paragraph" w:styleId="ListParagraph">
    <w:name w:val="List Paragraph"/>
    <w:basedOn w:val="Normal"/>
    <w:uiPriority w:val="34"/>
    <w:qFormat/>
    <w:rsid w:val="00C448C9"/>
    <w:pPr>
      <w:ind w:left="720"/>
      <w:contextualSpacing/>
    </w:pPr>
  </w:style>
  <w:style w:type="paragraph" w:styleId="FootnoteText">
    <w:name w:val="footnote text"/>
    <w:basedOn w:val="Normal"/>
    <w:link w:val="FootnoteTextChar"/>
    <w:uiPriority w:val="99"/>
    <w:semiHidden/>
    <w:unhideWhenUsed/>
    <w:rsid w:val="00C448C9"/>
    <w:rPr>
      <w:sz w:val="20"/>
    </w:rPr>
  </w:style>
  <w:style w:type="character" w:customStyle="1" w:styleId="FootnoteTextChar">
    <w:name w:val="Footnote Text Char"/>
    <w:basedOn w:val="DefaultParagraphFont"/>
    <w:link w:val="FootnoteText"/>
    <w:uiPriority w:val="99"/>
    <w:semiHidden/>
    <w:rsid w:val="00C448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48C9"/>
    <w:rPr>
      <w:vertAlign w:val="superscript"/>
    </w:rPr>
  </w:style>
  <w:style w:type="paragraph" w:styleId="CommentText">
    <w:name w:val="annotation text"/>
    <w:basedOn w:val="Normal"/>
    <w:link w:val="CommentTextChar"/>
    <w:uiPriority w:val="99"/>
    <w:semiHidden/>
    <w:unhideWhenUsed/>
    <w:rsid w:val="00C448C9"/>
    <w:rPr>
      <w:szCs w:val="24"/>
      <w:lang w:val="x-none" w:eastAsia="x-none"/>
    </w:rPr>
  </w:style>
  <w:style w:type="character" w:customStyle="1" w:styleId="CommentTextChar">
    <w:name w:val="Comment Text Char"/>
    <w:basedOn w:val="DefaultParagraphFont"/>
    <w:link w:val="CommentText"/>
    <w:uiPriority w:val="99"/>
    <w:semiHidden/>
    <w:rsid w:val="00C448C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448C9"/>
    <w:pPr>
      <w:tabs>
        <w:tab w:val="center" w:pos="4320"/>
        <w:tab w:val="right" w:pos="8640"/>
      </w:tabs>
    </w:pPr>
    <w:rPr>
      <w:sz w:val="20"/>
    </w:rPr>
  </w:style>
  <w:style w:type="character" w:customStyle="1" w:styleId="FooterChar">
    <w:name w:val="Footer Char"/>
    <w:basedOn w:val="DefaultParagraphFont"/>
    <w:link w:val="Footer"/>
    <w:uiPriority w:val="99"/>
    <w:rsid w:val="00C448C9"/>
    <w:rPr>
      <w:rFonts w:ascii="Times New Roman" w:eastAsia="Times New Roman" w:hAnsi="Times New Roman" w:cs="Times New Roman"/>
      <w:sz w:val="20"/>
      <w:szCs w:val="20"/>
    </w:rPr>
  </w:style>
  <w:style w:type="paragraph" w:styleId="BodyText">
    <w:name w:val="Body Text"/>
    <w:basedOn w:val="Normal"/>
    <w:link w:val="BodyTextChar"/>
    <w:unhideWhenUsed/>
    <w:rsid w:val="00C448C9"/>
    <w:pPr>
      <w:jc w:val="both"/>
    </w:pPr>
    <w:rPr>
      <w:lang w:val="x-none" w:eastAsia="x-none"/>
    </w:rPr>
  </w:style>
  <w:style w:type="character" w:customStyle="1" w:styleId="BodyTextChar">
    <w:name w:val="Body Text Char"/>
    <w:basedOn w:val="DefaultParagraphFont"/>
    <w:link w:val="BodyText"/>
    <w:rsid w:val="00C448C9"/>
    <w:rPr>
      <w:rFonts w:ascii="Times New Roman" w:eastAsia="Times New Roman" w:hAnsi="Times New Roman" w:cs="Times New Roman"/>
      <w:sz w:val="24"/>
      <w:szCs w:val="20"/>
      <w:lang w:val="x-none" w:eastAsia="x-none"/>
    </w:rPr>
  </w:style>
  <w:style w:type="paragraph" w:styleId="CommentSubject">
    <w:name w:val="annotation subject"/>
    <w:basedOn w:val="CommentText"/>
    <w:next w:val="CommentText"/>
    <w:link w:val="CommentSubjectChar"/>
    <w:semiHidden/>
    <w:unhideWhenUsed/>
    <w:rsid w:val="00C448C9"/>
    <w:rPr>
      <w:szCs w:val="20"/>
    </w:rPr>
  </w:style>
  <w:style w:type="character" w:customStyle="1" w:styleId="CommentSubjectChar">
    <w:name w:val="Comment Subject Char"/>
    <w:basedOn w:val="CommentTextChar"/>
    <w:link w:val="CommentSubject"/>
    <w:semiHidden/>
    <w:rsid w:val="00C448C9"/>
    <w:rPr>
      <w:rFonts w:ascii="Times New Roman" w:eastAsia="Times New Roman" w:hAnsi="Times New Roman" w:cs="Times New Roman"/>
      <w:sz w:val="24"/>
      <w:szCs w:val="20"/>
      <w:lang w:val="x-none" w:eastAsia="x-none"/>
    </w:rPr>
  </w:style>
  <w:style w:type="table" w:styleId="TableGrid">
    <w:name w:val="Table Grid"/>
    <w:basedOn w:val="TableNormal"/>
    <w:uiPriority w:val="59"/>
    <w:rsid w:val="00C4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C9"/>
    <w:rPr>
      <w:color w:val="0000FF" w:themeColor="hyperlink"/>
      <w:u w:val="single"/>
    </w:rPr>
  </w:style>
  <w:style w:type="paragraph" w:styleId="BalloonText">
    <w:name w:val="Balloon Text"/>
    <w:basedOn w:val="Normal"/>
    <w:link w:val="BalloonTextChar"/>
    <w:uiPriority w:val="99"/>
    <w:semiHidden/>
    <w:unhideWhenUsed/>
    <w:rsid w:val="00BF51D3"/>
    <w:rPr>
      <w:rFonts w:ascii="Tahoma" w:hAnsi="Tahoma" w:cs="Tahoma"/>
      <w:sz w:val="16"/>
      <w:szCs w:val="16"/>
    </w:rPr>
  </w:style>
  <w:style w:type="character" w:customStyle="1" w:styleId="BalloonTextChar">
    <w:name w:val="Balloon Text Char"/>
    <w:basedOn w:val="DefaultParagraphFont"/>
    <w:link w:val="BalloonText"/>
    <w:uiPriority w:val="99"/>
    <w:semiHidden/>
    <w:rsid w:val="00BF51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2790"/>
    <w:rPr>
      <w:sz w:val="16"/>
      <w:szCs w:val="16"/>
    </w:rPr>
  </w:style>
  <w:style w:type="paragraph" w:styleId="Header">
    <w:name w:val="header"/>
    <w:basedOn w:val="Normal"/>
    <w:link w:val="HeaderChar"/>
    <w:uiPriority w:val="99"/>
    <w:unhideWhenUsed/>
    <w:rsid w:val="00CA252F"/>
    <w:pPr>
      <w:tabs>
        <w:tab w:val="center" w:pos="4680"/>
        <w:tab w:val="right" w:pos="9360"/>
      </w:tabs>
    </w:pPr>
  </w:style>
  <w:style w:type="character" w:customStyle="1" w:styleId="HeaderChar">
    <w:name w:val="Header Char"/>
    <w:basedOn w:val="DefaultParagraphFont"/>
    <w:link w:val="Header"/>
    <w:uiPriority w:val="99"/>
    <w:rsid w:val="00CA252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2015-09-16T13:50:00Z</cp:lastPrinted>
  <dcterms:created xsi:type="dcterms:W3CDTF">2015-09-16T19:44:00Z</dcterms:created>
  <dcterms:modified xsi:type="dcterms:W3CDTF">2015-09-16T19:59:00Z</dcterms:modified>
  <cp:category> </cp:category>
  <cp:contentStatus> </cp:contentStatus>
</cp:coreProperties>
</file>