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89B0F" w14:textId="77777777" w:rsidR="00171428" w:rsidRPr="00327285" w:rsidRDefault="00171428" w:rsidP="00171428">
      <w:pPr>
        <w:pStyle w:val="BodyText"/>
        <w:spacing w:line="240" w:lineRule="auto"/>
        <w:ind w:firstLine="0"/>
        <w:jc w:val="center"/>
        <w:rPr>
          <w:b/>
        </w:rPr>
      </w:pPr>
      <w:bookmarkStart w:id="0" w:name="_GoBack"/>
      <w:bookmarkEnd w:id="0"/>
      <w:r w:rsidRPr="00327285">
        <w:rPr>
          <w:b/>
        </w:rPr>
        <w:t>BEFORE</w:t>
      </w:r>
    </w:p>
    <w:p w14:paraId="18717EEB" w14:textId="77777777" w:rsidR="00171428" w:rsidRPr="00327285" w:rsidRDefault="00171428" w:rsidP="00171428">
      <w:pPr>
        <w:pStyle w:val="BodyText"/>
        <w:spacing w:line="240" w:lineRule="auto"/>
        <w:ind w:firstLine="0"/>
        <w:jc w:val="center"/>
        <w:rPr>
          <w:b/>
        </w:rPr>
      </w:pPr>
      <w:r w:rsidRPr="00327285">
        <w:rPr>
          <w:b/>
        </w:rPr>
        <w:t>THE PUBLIC UTILITIES COMMISSION OF OHIO</w:t>
      </w:r>
    </w:p>
    <w:p w14:paraId="551EC97F" w14:textId="77777777" w:rsidR="00171428" w:rsidRDefault="00171428" w:rsidP="00171428">
      <w:pPr>
        <w:jc w:val="center"/>
        <w:rPr>
          <w:b/>
        </w:rPr>
      </w:pPr>
    </w:p>
    <w:tbl>
      <w:tblPr>
        <w:tblW w:w="9092" w:type="dxa"/>
        <w:tblLook w:val="01E0" w:firstRow="1" w:lastRow="1" w:firstColumn="1" w:lastColumn="1" w:noHBand="0" w:noVBand="0"/>
      </w:tblPr>
      <w:tblGrid>
        <w:gridCol w:w="4332"/>
        <w:gridCol w:w="360"/>
        <w:gridCol w:w="4400"/>
      </w:tblGrid>
      <w:tr w:rsidR="00171428" w14:paraId="46F67E36" w14:textId="77777777" w:rsidTr="001F63FA">
        <w:trPr>
          <w:trHeight w:val="807"/>
        </w:trPr>
        <w:tc>
          <w:tcPr>
            <w:tcW w:w="4332" w:type="dxa"/>
          </w:tcPr>
          <w:p w14:paraId="1924FBF5"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t xml:space="preserve">In the Matter of the Review of The Alternative Energy Rider Contained in The Tariffs of Ohio Edison Company, The Cleveland Electric Illuminating Company and The Toledo Edison Company. </w:t>
            </w:r>
          </w:p>
        </w:tc>
        <w:tc>
          <w:tcPr>
            <w:tcW w:w="360" w:type="dxa"/>
          </w:tcPr>
          <w:p w14:paraId="3AE2B248"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Pr>
                <w:rFonts w:cs="Courier New"/>
                <w:szCs w:val="20"/>
              </w:rPr>
              <w:t>)</w:t>
            </w:r>
          </w:p>
          <w:p w14:paraId="25DE4A8D"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Pr>
                <w:rFonts w:cs="Courier New"/>
                <w:szCs w:val="20"/>
              </w:rPr>
              <w:t>)</w:t>
            </w:r>
          </w:p>
          <w:p w14:paraId="5BDEC742"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Pr>
                <w:rFonts w:cs="Courier New"/>
                <w:szCs w:val="20"/>
              </w:rPr>
              <w:t>)</w:t>
            </w:r>
          </w:p>
          <w:p w14:paraId="0C8F061F"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Pr>
                <w:rFonts w:cs="Courier New"/>
                <w:szCs w:val="20"/>
              </w:rPr>
              <w:t>)</w:t>
            </w:r>
          </w:p>
          <w:p w14:paraId="65EA9040"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Pr>
                <w:rFonts w:cs="Courier New"/>
                <w:szCs w:val="20"/>
              </w:rPr>
              <w:t>)</w:t>
            </w:r>
          </w:p>
        </w:tc>
        <w:tc>
          <w:tcPr>
            <w:tcW w:w="4400" w:type="dxa"/>
          </w:tcPr>
          <w:p w14:paraId="72ACE1E8"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p>
          <w:p w14:paraId="6D636861"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p>
          <w:p w14:paraId="19A84F0C"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Pr>
                <w:rFonts w:cs="Courier New"/>
                <w:szCs w:val="20"/>
              </w:rPr>
              <w:t>Case No. 11-5201-EL-RDR</w:t>
            </w:r>
          </w:p>
          <w:p w14:paraId="68ED31EF"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p>
          <w:p w14:paraId="6EA18EF7" w14:textId="77777777" w:rsidR="00171428" w:rsidRDefault="00171428" w:rsidP="001F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p>
        </w:tc>
      </w:tr>
    </w:tbl>
    <w:p w14:paraId="7954A76B" w14:textId="77777777" w:rsidR="00171428" w:rsidRDefault="00171428" w:rsidP="00171428">
      <w:pPr>
        <w:pStyle w:val="Footer"/>
        <w:spacing w:line="240" w:lineRule="auto"/>
        <w:rPr>
          <w:b/>
        </w:rPr>
      </w:pPr>
    </w:p>
    <w:p w14:paraId="3FA7B0DA" w14:textId="77777777" w:rsidR="00171428" w:rsidRDefault="00171428" w:rsidP="00171428">
      <w:pPr>
        <w:pStyle w:val="Footer"/>
        <w:pBdr>
          <w:top w:val="single" w:sz="12" w:space="1" w:color="auto"/>
        </w:pBdr>
        <w:spacing w:line="240" w:lineRule="auto"/>
        <w:jc w:val="center"/>
        <w:rPr>
          <w:b/>
        </w:rPr>
      </w:pPr>
    </w:p>
    <w:p w14:paraId="53CC2D7E" w14:textId="77777777" w:rsidR="00171428" w:rsidRDefault="00171428" w:rsidP="00171428">
      <w:pPr>
        <w:jc w:val="center"/>
        <w:rPr>
          <w:rFonts w:ascii="Times New Roman Bold" w:hAnsi="Times New Roman Bold"/>
          <w:b/>
          <w:caps/>
        </w:rPr>
      </w:pPr>
      <w:r>
        <w:rPr>
          <w:rFonts w:ascii="Times New Roman Bold" w:hAnsi="Times New Roman Bold"/>
          <w:b/>
          <w:caps/>
        </w:rPr>
        <w:t xml:space="preserve">REPLY TO FIRSTENERGY’S MEMORANDUM CONTRA </w:t>
      </w:r>
    </w:p>
    <w:p w14:paraId="5AFA1F40" w14:textId="31674F52" w:rsidR="00171428" w:rsidRDefault="00171428" w:rsidP="00171428">
      <w:pPr>
        <w:jc w:val="center"/>
        <w:rPr>
          <w:rFonts w:ascii="Times New Roman Bold" w:hAnsi="Times New Roman Bold"/>
          <w:b/>
          <w:caps/>
        </w:rPr>
      </w:pPr>
      <w:r>
        <w:rPr>
          <w:rFonts w:ascii="Times New Roman Bold" w:hAnsi="Times New Roman Bold"/>
          <w:b/>
          <w:caps/>
        </w:rPr>
        <w:t>OHIO</w:t>
      </w:r>
      <w:r w:rsidR="000A43FE">
        <w:rPr>
          <w:rFonts w:ascii="Times New Roman Bold" w:hAnsi="Times New Roman Bold"/>
          <w:b/>
          <w:caps/>
        </w:rPr>
        <w:t xml:space="preserve"> Power</w:t>
      </w:r>
      <w:r>
        <w:rPr>
          <w:rFonts w:ascii="Times New Roman Bold" w:hAnsi="Times New Roman Bold"/>
          <w:b/>
          <w:caps/>
        </w:rPr>
        <w:t>’S MOTION</w:t>
      </w:r>
      <w:r w:rsidR="002F038E">
        <w:rPr>
          <w:rFonts w:ascii="Times New Roman Bold" w:hAnsi="Times New Roman Bold"/>
          <w:b/>
          <w:caps/>
        </w:rPr>
        <w:t>S</w:t>
      </w:r>
      <w:r>
        <w:rPr>
          <w:rFonts w:ascii="Times New Roman Bold" w:hAnsi="Times New Roman Bold"/>
          <w:b/>
          <w:caps/>
        </w:rPr>
        <w:t xml:space="preserve"> TO </w:t>
      </w:r>
      <w:r w:rsidR="00EA187A">
        <w:rPr>
          <w:rFonts w:ascii="Times New Roman Bold" w:hAnsi="Times New Roman Bold"/>
          <w:b/>
          <w:caps/>
        </w:rPr>
        <w:t xml:space="preserve">Intervene and </w:t>
      </w:r>
      <w:r>
        <w:rPr>
          <w:rFonts w:ascii="Times New Roman Bold" w:hAnsi="Times New Roman Bold"/>
          <w:b/>
          <w:caps/>
        </w:rPr>
        <w:t>REOPEN PROCEEDINGS</w:t>
      </w:r>
    </w:p>
    <w:p w14:paraId="3EFDED45" w14:textId="2E844F27" w:rsidR="00EA187A" w:rsidRDefault="00EA187A" w:rsidP="00171428">
      <w:pPr>
        <w:jc w:val="center"/>
        <w:rPr>
          <w:rFonts w:ascii="Times New Roman Bold" w:hAnsi="Times New Roman Bold"/>
          <w:b/>
          <w:caps/>
        </w:rPr>
      </w:pPr>
      <w:r>
        <w:rPr>
          <w:rFonts w:ascii="Times New Roman Bold" w:hAnsi="Times New Roman Bold"/>
          <w:b/>
          <w:caps/>
        </w:rPr>
        <w:t>by</w:t>
      </w:r>
    </w:p>
    <w:p w14:paraId="577F055F" w14:textId="03C10C3E" w:rsidR="00EA187A" w:rsidRDefault="00EA187A" w:rsidP="00EA187A">
      <w:pPr>
        <w:jc w:val="center"/>
        <w:rPr>
          <w:rFonts w:ascii="Times New Roman Bold" w:hAnsi="Times New Roman Bold"/>
          <w:b/>
          <w:caps/>
        </w:rPr>
      </w:pPr>
      <w:r>
        <w:rPr>
          <w:rFonts w:ascii="Times New Roman Bold" w:hAnsi="Times New Roman Bold"/>
          <w:b/>
          <w:caps/>
        </w:rPr>
        <w:t>the OFFICE OF THE OHIO CONSUMERS’ COUNSEL</w:t>
      </w:r>
    </w:p>
    <w:p w14:paraId="488DCA58" w14:textId="77777777" w:rsidR="00171428" w:rsidRPr="001035FB" w:rsidRDefault="00171428" w:rsidP="001035FB">
      <w:pPr>
        <w:jc w:val="center"/>
        <w:rPr>
          <w:rFonts w:ascii="Times New Roman Bold" w:hAnsi="Times New Roman Bold"/>
          <w:b/>
          <w:caps/>
        </w:rPr>
      </w:pPr>
    </w:p>
    <w:p w14:paraId="0298619F" w14:textId="77777777" w:rsidR="00171428" w:rsidRPr="001035FB" w:rsidRDefault="00171428" w:rsidP="001035FB">
      <w:pPr>
        <w:pStyle w:val="Footer"/>
        <w:pBdr>
          <w:top w:val="single" w:sz="12" w:space="1" w:color="auto"/>
        </w:pBdr>
        <w:spacing w:line="240" w:lineRule="auto"/>
        <w:jc w:val="center"/>
        <w:rPr>
          <w:b/>
        </w:rPr>
      </w:pPr>
    </w:p>
    <w:p w14:paraId="0A7AF096" w14:textId="36A81444" w:rsidR="00D22DA3" w:rsidRDefault="00806806" w:rsidP="00E13C40">
      <w:pPr>
        <w:spacing w:line="480" w:lineRule="auto"/>
        <w:ind w:firstLine="720"/>
        <w:rPr>
          <w:lang w:eastAsia="x-none"/>
        </w:rPr>
      </w:pPr>
      <w:r>
        <w:rPr>
          <w:lang w:eastAsia="x-none"/>
        </w:rPr>
        <w:t>T</w:t>
      </w:r>
      <w:r w:rsidR="00136C73">
        <w:rPr>
          <w:lang w:eastAsia="x-none"/>
        </w:rPr>
        <w:t xml:space="preserve">he Public Utilities Commission of Ohio (“PUCO”) </w:t>
      </w:r>
      <w:r>
        <w:rPr>
          <w:lang w:eastAsia="x-none"/>
        </w:rPr>
        <w:t>has been</w:t>
      </w:r>
      <w:r w:rsidR="00136C73">
        <w:rPr>
          <w:lang w:eastAsia="x-none"/>
        </w:rPr>
        <w:t xml:space="preserve"> asked</w:t>
      </w:r>
      <w:r w:rsidR="002F038E">
        <w:rPr>
          <w:lang w:eastAsia="x-none"/>
        </w:rPr>
        <w:t xml:space="preserve"> in this case to</w:t>
      </w:r>
      <w:r w:rsidR="00426C8F">
        <w:rPr>
          <w:lang w:eastAsia="x-none"/>
        </w:rPr>
        <w:t xml:space="preserve"> </w:t>
      </w:r>
      <w:r w:rsidR="00032031">
        <w:rPr>
          <w:lang w:eastAsia="x-none"/>
        </w:rPr>
        <w:t>credit c</w:t>
      </w:r>
      <w:r w:rsidR="00136C73">
        <w:rPr>
          <w:lang w:eastAsia="x-none"/>
        </w:rPr>
        <w:t xml:space="preserve">ustomers for </w:t>
      </w:r>
      <w:r w:rsidR="00777677">
        <w:rPr>
          <w:lang w:eastAsia="x-none"/>
        </w:rPr>
        <w:t xml:space="preserve">overcharges </w:t>
      </w:r>
      <w:r w:rsidR="002F038E">
        <w:rPr>
          <w:lang w:eastAsia="x-none"/>
        </w:rPr>
        <w:t xml:space="preserve">by </w:t>
      </w:r>
      <w:r w:rsidR="00E13C40" w:rsidRPr="00E13C40">
        <w:t>FirstEnergy</w:t>
      </w:r>
      <w:r w:rsidR="00E13C40" w:rsidRPr="00E13C40">
        <w:rPr>
          <w:vertAlign w:val="superscript"/>
        </w:rPr>
        <w:footnoteReference w:id="2"/>
      </w:r>
      <w:r w:rsidR="00E13C40" w:rsidRPr="00E13C40">
        <w:t xml:space="preserve"> </w:t>
      </w:r>
      <w:r w:rsidR="002F038E">
        <w:t xml:space="preserve">in its </w:t>
      </w:r>
      <w:r w:rsidR="00777677">
        <w:rPr>
          <w:lang w:eastAsia="x-none"/>
        </w:rPr>
        <w:t>purchases of renewable energy</w:t>
      </w:r>
      <w:r w:rsidR="00E13C40">
        <w:rPr>
          <w:lang w:eastAsia="x-none"/>
        </w:rPr>
        <w:t xml:space="preserve"> credits (“RECs”)</w:t>
      </w:r>
      <w:r w:rsidR="00AD050D">
        <w:rPr>
          <w:lang w:eastAsia="x-none"/>
        </w:rPr>
        <w:t xml:space="preserve"> </w:t>
      </w:r>
      <w:r w:rsidR="00E13C40">
        <w:rPr>
          <w:lang w:eastAsia="x-none"/>
        </w:rPr>
        <w:t>from 2009 to 2011</w:t>
      </w:r>
      <w:r w:rsidR="00777677">
        <w:rPr>
          <w:lang w:eastAsia="x-none"/>
        </w:rPr>
        <w:t>.</w:t>
      </w:r>
      <w:r w:rsidR="00DF3BBC">
        <w:rPr>
          <w:lang w:eastAsia="x-none"/>
        </w:rPr>
        <w:t xml:space="preserve">  </w:t>
      </w:r>
      <w:r w:rsidR="002F038E">
        <w:rPr>
          <w:lang w:eastAsia="x-none"/>
        </w:rPr>
        <w:t xml:space="preserve">The parties are awaiting the PUCO’s decision. </w:t>
      </w:r>
      <w:r w:rsidR="004F4C66">
        <w:rPr>
          <w:lang w:eastAsia="x-none"/>
        </w:rPr>
        <w:t>Then, o</w:t>
      </w:r>
      <w:r w:rsidR="00171428">
        <w:rPr>
          <w:lang w:eastAsia="x-none"/>
        </w:rPr>
        <w:t>n June 21, 2013, Ohio Power Company Corp. (“AEP Ohio”) filed a Motion to Intervene and Reopen Proceedings (“Motion to Reopen”)</w:t>
      </w:r>
      <w:r w:rsidR="004F4C66">
        <w:rPr>
          <w:lang w:eastAsia="x-none"/>
        </w:rPr>
        <w:t xml:space="preserve">.  </w:t>
      </w:r>
      <w:r w:rsidR="009C3728">
        <w:rPr>
          <w:lang w:eastAsia="x-none"/>
        </w:rPr>
        <w:t xml:space="preserve">AEP </w:t>
      </w:r>
      <w:r w:rsidR="004F4C66">
        <w:rPr>
          <w:lang w:eastAsia="x-none"/>
        </w:rPr>
        <w:t>Ohio has raised more concerns about FirstEnergy’s charges to consumers for renewable energy</w:t>
      </w:r>
      <w:r w:rsidR="00171428">
        <w:rPr>
          <w:lang w:eastAsia="x-none"/>
        </w:rPr>
        <w:t xml:space="preserve">. </w:t>
      </w:r>
      <w:r w:rsidR="00D22DA3">
        <w:rPr>
          <w:lang w:eastAsia="x-none"/>
        </w:rPr>
        <w:t xml:space="preserve"> </w:t>
      </w:r>
    </w:p>
    <w:p w14:paraId="2AE5C776" w14:textId="4A56D60A" w:rsidR="009A309C" w:rsidRDefault="00171428" w:rsidP="00E13C40">
      <w:pPr>
        <w:spacing w:line="480" w:lineRule="auto"/>
        <w:ind w:firstLine="720"/>
        <w:rPr>
          <w:lang w:eastAsia="x-none"/>
        </w:rPr>
      </w:pPr>
      <w:r>
        <w:rPr>
          <w:lang w:eastAsia="x-none"/>
        </w:rPr>
        <w:t xml:space="preserve">AEP Ohio </w:t>
      </w:r>
      <w:r w:rsidR="00D22DA3">
        <w:rPr>
          <w:lang w:eastAsia="x-none"/>
        </w:rPr>
        <w:t>stated its</w:t>
      </w:r>
      <w:r>
        <w:rPr>
          <w:lang w:eastAsia="x-none"/>
        </w:rPr>
        <w:t xml:space="preserve"> inte</w:t>
      </w:r>
      <w:r w:rsidR="00D22DA3">
        <w:rPr>
          <w:lang w:eastAsia="x-none"/>
        </w:rPr>
        <w:t>ntion</w:t>
      </w:r>
      <w:r>
        <w:rPr>
          <w:lang w:eastAsia="x-none"/>
        </w:rPr>
        <w:t xml:space="preserve"> to provide information regarding the operation of the renewable energy</w:t>
      </w:r>
      <w:r w:rsidR="00E13C40">
        <w:rPr>
          <w:lang w:eastAsia="x-none"/>
        </w:rPr>
        <w:t xml:space="preserve"> </w:t>
      </w:r>
      <w:r w:rsidR="002C63F4">
        <w:rPr>
          <w:lang w:eastAsia="x-none"/>
        </w:rPr>
        <w:t>market</w:t>
      </w:r>
      <w:r>
        <w:rPr>
          <w:lang w:eastAsia="x-none"/>
        </w:rPr>
        <w:t xml:space="preserve"> that bear</w:t>
      </w:r>
      <w:r w:rsidR="002C63F4">
        <w:rPr>
          <w:lang w:eastAsia="x-none"/>
        </w:rPr>
        <w:t>s</w:t>
      </w:r>
      <w:r>
        <w:rPr>
          <w:lang w:eastAsia="x-none"/>
        </w:rPr>
        <w:t xml:space="preserve"> significantly upon the issues in this case.</w:t>
      </w:r>
      <w:r>
        <w:rPr>
          <w:rStyle w:val="FootnoteReference"/>
          <w:lang w:eastAsia="x-none"/>
        </w:rPr>
        <w:footnoteReference w:id="3"/>
      </w:r>
      <w:r>
        <w:rPr>
          <w:lang w:eastAsia="x-none"/>
        </w:rPr>
        <w:t xml:space="preserve">  On July 2, 2013, FirstEnergy filed a Memorandum Contra to AEP Ohio’s Motion to Reopen.  FirstEnergy contends that AEP Ohio has not met the standard for reopening </w:t>
      </w:r>
      <w:r w:rsidR="007270AF">
        <w:rPr>
          <w:lang w:eastAsia="x-none"/>
        </w:rPr>
        <w:t>the record as set forth in Ohio Adm</w:t>
      </w:r>
      <w:r>
        <w:rPr>
          <w:lang w:eastAsia="x-none"/>
        </w:rPr>
        <w:t>.</w:t>
      </w:r>
      <w:r w:rsidR="007270AF">
        <w:rPr>
          <w:lang w:eastAsia="x-none"/>
        </w:rPr>
        <w:t xml:space="preserve"> Code</w:t>
      </w:r>
      <w:r>
        <w:rPr>
          <w:lang w:eastAsia="x-none"/>
        </w:rPr>
        <w:t xml:space="preserve"> 4901-1-34</w:t>
      </w:r>
      <w:r w:rsidR="00180DBF">
        <w:rPr>
          <w:lang w:eastAsia="x-none"/>
        </w:rPr>
        <w:t xml:space="preserve"> or for intervention in the case</w:t>
      </w:r>
      <w:r>
        <w:rPr>
          <w:lang w:eastAsia="x-none"/>
        </w:rPr>
        <w:t>.</w:t>
      </w:r>
      <w:r>
        <w:rPr>
          <w:rStyle w:val="FootnoteReference"/>
          <w:lang w:eastAsia="x-none"/>
        </w:rPr>
        <w:footnoteReference w:id="4"/>
      </w:r>
      <w:r>
        <w:rPr>
          <w:lang w:eastAsia="x-none"/>
        </w:rPr>
        <w:t xml:space="preserve">  OCC, however, supports AEP Ohio’s </w:t>
      </w:r>
      <w:r w:rsidR="007270AF">
        <w:rPr>
          <w:lang w:eastAsia="x-none"/>
        </w:rPr>
        <w:t>Motion to Re</w:t>
      </w:r>
      <w:r>
        <w:rPr>
          <w:lang w:eastAsia="x-none"/>
        </w:rPr>
        <w:t>ope</w:t>
      </w:r>
      <w:r w:rsidR="0094216B">
        <w:rPr>
          <w:lang w:eastAsia="x-none"/>
        </w:rPr>
        <w:t>n the record in this proceeding</w:t>
      </w:r>
      <w:r>
        <w:rPr>
          <w:lang w:eastAsia="x-none"/>
        </w:rPr>
        <w:t xml:space="preserve"> so that this </w:t>
      </w:r>
      <w:r>
        <w:rPr>
          <w:lang w:eastAsia="x-none"/>
        </w:rPr>
        <w:lastRenderedPageBreak/>
        <w:t xml:space="preserve">Commission has the opportunity to review all available and relevant information </w:t>
      </w:r>
      <w:r w:rsidR="00F33A97">
        <w:rPr>
          <w:lang w:eastAsia="x-none"/>
        </w:rPr>
        <w:t>in this case involving</w:t>
      </w:r>
      <w:r>
        <w:rPr>
          <w:lang w:eastAsia="x-none"/>
        </w:rPr>
        <w:t xml:space="preserve"> an extraordinary </w:t>
      </w:r>
      <w:r w:rsidR="007270AF">
        <w:rPr>
          <w:lang w:eastAsia="x-none"/>
        </w:rPr>
        <w:t xml:space="preserve">large </w:t>
      </w:r>
      <w:r>
        <w:rPr>
          <w:lang w:eastAsia="x-none"/>
        </w:rPr>
        <w:t>amount of customer money.</w:t>
      </w:r>
      <w:r w:rsidR="002F038E">
        <w:rPr>
          <w:lang w:eastAsia="x-none"/>
        </w:rPr>
        <w:t xml:space="preserve"> A</w:t>
      </w:r>
      <w:r w:rsidR="00562E45">
        <w:rPr>
          <w:lang w:eastAsia="x-none"/>
        </w:rPr>
        <w:t xml:space="preserve">ny reopening should be done </w:t>
      </w:r>
      <w:r w:rsidR="002F038E">
        <w:rPr>
          <w:lang w:eastAsia="x-none"/>
        </w:rPr>
        <w:t xml:space="preserve">in a way that </w:t>
      </w:r>
      <w:r w:rsidR="00562E45">
        <w:rPr>
          <w:lang w:eastAsia="x-none"/>
        </w:rPr>
        <w:t>minimize</w:t>
      </w:r>
      <w:r w:rsidR="002F038E">
        <w:rPr>
          <w:lang w:eastAsia="x-none"/>
        </w:rPr>
        <w:t>s</w:t>
      </w:r>
      <w:r w:rsidR="00687ACA">
        <w:rPr>
          <w:lang w:eastAsia="x-none"/>
        </w:rPr>
        <w:t xml:space="preserve"> </w:t>
      </w:r>
      <w:r w:rsidR="00562E45">
        <w:rPr>
          <w:lang w:eastAsia="x-none"/>
        </w:rPr>
        <w:t>delay in a ruling</w:t>
      </w:r>
      <w:r w:rsidR="002F038E">
        <w:rPr>
          <w:lang w:eastAsia="x-none"/>
        </w:rPr>
        <w:t xml:space="preserve"> that has been awaited</w:t>
      </w:r>
      <w:r w:rsidR="00562E45">
        <w:rPr>
          <w:lang w:eastAsia="x-none"/>
        </w:rPr>
        <w:t xml:space="preserve"> in this case.</w:t>
      </w:r>
    </w:p>
    <w:p w14:paraId="4C21C446" w14:textId="35584A4E" w:rsidR="00171428" w:rsidRDefault="00C153E7" w:rsidP="009C3728">
      <w:pPr>
        <w:spacing w:line="480" w:lineRule="auto"/>
        <w:ind w:firstLine="720"/>
        <w:rPr>
          <w:lang w:eastAsia="x-none"/>
        </w:rPr>
      </w:pPr>
      <w:r>
        <w:rPr>
          <w:lang w:eastAsia="x-none"/>
        </w:rPr>
        <w:t>AEP Ohio is</w:t>
      </w:r>
      <w:r w:rsidR="00171428">
        <w:rPr>
          <w:lang w:eastAsia="x-none"/>
        </w:rPr>
        <w:t xml:space="preserve"> one of only four electric distribution utilities </w:t>
      </w:r>
      <w:r w:rsidR="00476198">
        <w:rPr>
          <w:lang w:eastAsia="x-none"/>
        </w:rPr>
        <w:t xml:space="preserve">(“EDUs”) </w:t>
      </w:r>
      <w:r w:rsidR="00171428">
        <w:rPr>
          <w:lang w:eastAsia="x-none"/>
        </w:rPr>
        <w:t xml:space="preserve">in this state </w:t>
      </w:r>
      <w:r w:rsidR="0094216B">
        <w:rPr>
          <w:lang w:eastAsia="x-none"/>
        </w:rPr>
        <w:t>that is</w:t>
      </w:r>
      <w:r w:rsidR="00171428">
        <w:rPr>
          <w:lang w:eastAsia="x-none"/>
        </w:rPr>
        <w:t xml:space="preserve"> subject to the same alternative energy benchmarks as FirstEnergy</w:t>
      </w:r>
      <w:r>
        <w:rPr>
          <w:lang w:eastAsia="x-none"/>
        </w:rPr>
        <w:t xml:space="preserve">.  </w:t>
      </w:r>
      <w:r w:rsidR="00171428">
        <w:rPr>
          <w:lang w:eastAsia="x-none"/>
        </w:rPr>
        <w:t>AEP Ohio is uniquely positioned to provide the PUCO with information regarding the REC market during the applicable time-period as well as the options that were availabl</w:t>
      </w:r>
      <w:r w:rsidR="00DC65AD">
        <w:rPr>
          <w:lang w:eastAsia="x-none"/>
        </w:rPr>
        <w:t xml:space="preserve">e to EDUs in a nascent market. </w:t>
      </w:r>
      <w:r w:rsidR="00171428">
        <w:rPr>
          <w:lang w:eastAsia="x-none"/>
        </w:rPr>
        <w:t>AEP Ohio</w:t>
      </w:r>
      <w:r w:rsidR="007270AF">
        <w:rPr>
          <w:lang w:eastAsia="x-none"/>
        </w:rPr>
        <w:t>’s willingness to provide relevant evidence</w:t>
      </w:r>
      <w:r w:rsidR="00171428">
        <w:rPr>
          <w:lang w:eastAsia="x-none"/>
        </w:rPr>
        <w:t xml:space="preserve"> regarding the </w:t>
      </w:r>
      <w:r w:rsidR="00F33A97">
        <w:rPr>
          <w:lang w:eastAsia="x-none"/>
        </w:rPr>
        <w:t>pricing and availability</w:t>
      </w:r>
      <w:r w:rsidR="00171428">
        <w:rPr>
          <w:lang w:eastAsia="x-none"/>
        </w:rPr>
        <w:t xml:space="preserve"> of the REC</w:t>
      </w:r>
      <w:r w:rsidR="00F33A97">
        <w:rPr>
          <w:lang w:eastAsia="x-none"/>
        </w:rPr>
        <w:t>s</w:t>
      </w:r>
      <w:r w:rsidR="00171428">
        <w:rPr>
          <w:lang w:eastAsia="x-none"/>
        </w:rPr>
        <w:t xml:space="preserve"> during </w:t>
      </w:r>
      <w:r w:rsidR="007270AF">
        <w:rPr>
          <w:lang w:eastAsia="x-none"/>
        </w:rPr>
        <w:t>the applicable</w:t>
      </w:r>
      <w:r w:rsidR="00F33A97">
        <w:rPr>
          <w:lang w:eastAsia="x-none"/>
        </w:rPr>
        <w:t xml:space="preserve"> time-</w:t>
      </w:r>
      <w:r w:rsidR="00171428">
        <w:rPr>
          <w:lang w:eastAsia="x-none"/>
        </w:rPr>
        <w:t xml:space="preserve">period </w:t>
      </w:r>
      <w:r w:rsidR="00F33A97">
        <w:rPr>
          <w:lang w:eastAsia="x-none"/>
        </w:rPr>
        <w:t>is likely to</w:t>
      </w:r>
      <w:r w:rsidR="00171428">
        <w:rPr>
          <w:lang w:eastAsia="x-none"/>
        </w:rPr>
        <w:t xml:space="preserve"> be extremely beneficial to </w:t>
      </w:r>
      <w:r w:rsidR="00F33A97">
        <w:rPr>
          <w:lang w:eastAsia="x-none"/>
        </w:rPr>
        <w:t>the PUCO</w:t>
      </w:r>
      <w:r w:rsidR="00CC32AC">
        <w:rPr>
          <w:lang w:eastAsia="x-none"/>
        </w:rPr>
        <w:t xml:space="preserve"> and to Ohio consumers who paid the excessive costs to FirstEnergy.</w:t>
      </w:r>
      <w:r w:rsidR="00FC3EB5">
        <w:rPr>
          <w:lang w:eastAsia="x-none"/>
        </w:rPr>
        <w:t xml:space="preserve"> Since AEP Ohio has demonstrated good cause,</w:t>
      </w:r>
      <w:r w:rsidR="00FC3EB5">
        <w:rPr>
          <w:rStyle w:val="FootnoteReference"/>
          <w:lang w:eastAsia="x-none"/>
        </w:rPr>
        <w:footnoteReference w:id="5"/>
      </w:r>
      <w:r w:rsidR="00FC3EB5">
        <w:rPr>
          <w:lang w:eastAsia="x-none"/>
        </w:rPr>
        <w:t xml:space="preserve"> the PUCO should reopen this proceeding and permit the presentation of additional evidence. </w:t>
      </w:r>
    </w:p>
    <w:p w14:paraId="710C8356" w14:textId="77777777" w:rsidR="006662C1" w:rsidRDefault="00C153E7" w:rsidP="00896FC1">
      <w:pPr>
        <w:spacing w:line="480" w:lineRule="auto"/>
        <w:ind w:firstLine="720"/>
        <w:rPr>
          <w:lang w:eastAsia="x-none"/>
        </w:rPr>
      </w:pPr>
      <w:r>
        <w:rPr>
          <w:lang w:eastAsia="x-none"/>
        </w:rPr>
        <w:t>In its Memorandum Contra</w:t>
      </w:r>
      <w:r w:rsidR="001F63FA">
        <w:rPr>
          <w:lang w:eastAsia="x-none"/>
        </w:rPr>
        <w:t>,</w:t>
      </w:r>
      <w:r w:rsidR="00171428">
        <w:rPr>
          <w:lang w:eastAsia="x-none"/>
        </w:rPr>
        <w:t xml:space="preserve"> FirstEnergy</w:t>
      </w:r>
      <w:r w:rsidR="00B418C9">
        <w:rPr>
          <w:lang w:eastAsia="x-none"/>
        </w:rPr>
        <w:t xml:space="preserve"> argues that</w:t>
      </w:r>
      <w:r w:rsidR="00171428">
        <w:rPr>
          <w:lang w:eastAsia="x-none"/>
        </w:rPr>
        <w:t xml:space="preserve"> AEP Ohio d</w:t>
      </w:r>
      <w:r w:rsidR="0094216B">
        <w:rPr>
          <w:lang w:eastAsia="x-none"/>
        </w:rPr>
        <w:t xml:space="preserve">oes not adequately describe the </w:t>
      </w:r>
      <w:r w:rsidR="00171428">
        <w:rPr>
          <w:lang w:eastAsia="x-none"/>
        </w:rPr>
        <w:t>nature and purpose of the additional evidence</w:t>
      </w:r>
      <w:r w:rsidR="00D71085">
        <w:rPr>
          <w:lang w:eastAsia="x-none"/>
        </w:rPr>
        <w:t>.</w:t>
      </w:r>
      <w:r w:rsidR="00171428">
        <w:rPr>
          <w:rStyle w:val="FootnoteReference"/>
          <w:lang w:eastAsia="x-none"/>
        </w:rPr>
        <w:footnoteReference w:id="6"/>
      </w:r>
      <w:r w:rsidR="00171428">
        <w:rPr>
          <w:lang w:eastAsia="x-none"/>
        </w:rPr>
        <w:t xml:space="preserve"> </w:t>
      </w:r>
      <w:r w:rsidR="00896FC1">
        <w:rPr>
          <w:lang w:eastAsia="x-none"/>
        </w:rPr>
        <w:t xml:space="preserve"> </w:t>
      </w:r>
      <w:r w:rsidR="00B418C9">
        <w:rPr>
          <w:lang w:eastAsia="x-none"/>
        </w:rPr>
        <w:t xml:space="preserve">But </w:t>
      </w:r>
      <w:r w:rsidR="00171428">
        <w:rPr>
          <w:lang w:eastAsia="x-none"/>
        </w:rPr>
        <w:t xml:space="preserve">AEP Ohio explained in detail the information it plans to share with the PUCO.  Specifically, </w:t>
      </w:r>
      <w:r w:rsidR="00F33A97">
        <w:rPr>
          <w:lang w:eastAsia="x-none"/>
        </w:rPr>
        <w:t>AEP Ohio intends to share how it “did consider lower cost RECs from other states to comply with Ohio standards,”</w:t>
      </w:r>
      <w:r w:rsidR="00F33A97">
        <w:rPr>
          <w:rStyle w:val="FootnoteReference"/>
          <w:lang w:eastAsia="x-none"/>
        </w:rPr>
        <w:footnoteReference w:id="7"/>
      </w:r>
      <w:r w:rsidR="00F33A97">
        <w:rPr>
          <w:lang w:eastAsia="x-none"/>
        </w:rPr>
        <w:t xml:space="preserve"> which is directly in response to FirstEnergy’s criticism of the Auditor’s reliance on other states’ REC markets. Throughout this case, FirstEnergy has </w:t>
      </w:r>
    </w:p>
    <w:p w14:paraId="08B2AE4D" w14:textId="77777777" w:rsidR="006662C1" w:rsidRDefault="006662C1">
      <w:pPr>
        <w:spacing w:after="200" w:line="276" w:lineRule="auto"/>
        <w:rPr>
          <w:lang w:eastAsia="x-none"/>
        </w:rPr>
      </w:pPr>
      <w:r>
        <w:rPr>
          <w:lang w:eastAsia="x-none"/>
        </w:rPr>
        <w:br w:type="page"/>
      </w:r>
    </w:p>
    <w:p w14:paraId="46738A12" w14:textId="49D57911" w:rsidR="002158EF" w:rsidRDefault="00F33A97" w:rsidP="00C102FE">
      <w:pPr>
        <w:spacing w:line="480" w:lineRule="auto"/>
        <w:rPr>
          <w:lang w:eastAsia="x-none"/>
        </w:rPr>
      </w:pPr>
      <w:r>
        <w:rPr>
          <w:lang w:eastAsia="x-none"/>
        </w:rPr>
        <w:lastRenderedPageBreak/>
        <w:t xml:space="preserve">maintained the position that it could not consider the </w:t>
      </w:r>
      <w:r w:rsidR="002E43A9">
        <w:rPr>
          <w:lang w:eastAsia="x-none"/>
        </w:rPr>
        <w:t xml:space="preserve">REC </w:t>
      </w:r>
      <w:r>
        <w:rPr>
          <w:lang w:eastAsia="x-none"/>
        </w:rPr>
        <w:t>prices in other states because of the lack of comparability of the markets and lack of transparency of market information.</w:t>
      </w:r>
      <w:r>
        <w:rPr>
          <w:rStyle w:val="FootnoteReference"/>
          <w:lang w:eastAsia="x-none"/>
        </w:rPr>
        <w:footnoteReference w:id="8"/>
      </w:r>
      <w:r w:rsidR="00DC65AD">
        <w:rPr>
          <w:lang w:eastAsia="x-none"/>
        </w:rPr>
        <w:t xml:space="preserve"> </w:t>
      </w:r>
      <w:r w:rsidR="006662C1">
        <w:rPr>
          <w:lang w:eastAsia="x-none"/>
        </w:rPr>
        <w:t xml:space="preserve"> </w:t>
      </w:r>
      <w:r w:rsidR="0094216B">
        <w:rPr>
          <w:lang w:eastAsia="x-none"/>
        </w:rPr>
        <w:t>AEP Ohio also indicates that it specifica</w:t>
      </w:r>
      <w:r w:rsidR="007270AF">
        <w:rPr>
          <w:lang w:eastAsia="x-none"/>
        </w:rPr>
        <w:t>lly could provide evidence showing</w:t>
      </w:r>
      <w:r w:rsidR="0094216B">
        <w:rPr>
          <w:lang w:eastAsia="x-none"/>
        </w:rPr>
        <w:t xml:space="preserve"> that it “relied on the broker and bilateral markets as a contingency to obtain renewable energy certificates when faced with high cost certificates held by a few bidders.”</w:t>
      </w:r>
      <w:r w:rsidR="0094216B">
        <w:rPr>
          <w:rStyle w:val="FootnoteReference"/>
          <w:lang w:eastAsia="x-none"/>
        </w:rPr>
        <w:footnoteReference w:id="9"/>
      </w:r>
      <w:r w:rsidR="0094216B">
        <w:rPr>
          <w:lang w:eastAsia="x-none"/>
        </w:rPr>
        <w:t xml:space="preserve">  This contrasts FirstEnergy’s </w:t>
      </w:r>
      <w:r w:rsidR="007270AF">
        <w:rPr>
          <w:lang w:eastAsia="x-none"/>
        </w:rPr>
        <w:t xml:space="preserve">litigation </w:t>
      </w:r>
      <w:r w:rsidR="0094216B">
        <w:rPr>
          <w:lang w:eastAsia="x-none"/>
        </w:rPr>
        <w:t xml:space="preserve">position that </w:t>
      </w:r>
      <w:r w:rsidR="00C77DEC">
        <w:rPr>
          <w:lang w:eastAsia="x-none"/>
        </w:rPr>
        <w:t>it was not required to</w:t>
      </w:r>
      <w:r w:rsidR="002158EF">
        <w:rPr>
          <w:lang w:eastAsia="x-none"/>
        </w:rPr>
        <w:t xml:space="preserve"> explore, nor were RECs available</w:t>
      </w:r>
      <w:r w:rsidR="00C77DEC">
        <w:rPr>
          <w:lang w:eastAsia="x-none"/>
        </w:rPr>
        <w:t xml:space="preserve"> </w:t>
      </w:r>
      <w:r w:rsidR="002158EF">
        <w:rPr>
          <w:lang w:eastAsia="x-none"/>
        </w:rPr>
        <w:t>in</w:t>
      </w:r>
      <w:r w:rsidR="0094216B">
        <w:rPr>
          <w:lang w:eastAsia="x-none"/>
        </w:rPr>
        <w:t xml:space="preserve"> broker and bilateral markets</w:t>
      </w:r>
      <w:r w:rsidR="002158EF">
        <w:rPr>
          <w:lang w:eastAsia="x-none"/>
        </w:rPr>
        <w:t xml:space="preserve"> at the time FirstEnergy was faced with the </w:t>
      </w:r>
      <w:r w:rsidR="002E43A9">
        <w:rPr>
          <w:lang w:eastAsia="x-none"/>
        </w:rPr>
        <w:t>exceedingly high-</w:t>
      </w:r>
      <w:r w:rsidR="002158EF">
        <w:rPr>
          <w:lang w:eastAsia="x-none"/>
        </w:rPr>
        <w:t>price</w:t>
      </w:r>
      <w:r w:rsidR="002E43A9">
        <w:rPr>
          <w:lang w:eastAsia="x-none"/>
        </w:rPr>
        <w:t>d RECs</w:t>
      </w:r>
      <w:r w:rsidR="007270AF">
        <w:rPr>
          <w:lang w:eastAsia="x-none"/>
        </w:rPr>
        <w:t xml:space="preserve"> bids</w:t>
      </w:r>
      <w:r w:rsidR="0094216B">
        <w:rPr>
          <w:lang w:eastAsia="x-none"/>
        </w:rPr>
        <w:t>.</w:t>
      </w:r>
      <w:r w:rsidR="0094216B">
        <w:rPr>
          <w:rStyle w:val="FootnoteReference"/>
          <w:lang w:eastAsia="x-none"/>
        </w:rPr>
        <w:footnoteReference w:id="10"/>
      </w:r>
      <w:r w:rsidR="00476198">
        <w:rPr>
          <w:lang w:eastAsia="x-none"/>
        </w:rPr>
        <w:t xml:space="preserve">  </w:t>
      </w:r>
    </w:p>
    <w:p w14:paraId="0D154ABB" w14:textId="77777777" w:rsidR="002F038E" w:rsidRDefault="009C3728" w:rsidP="002F038E">
      <w:pPr>
        <w:spacing w:line="480" w:lineRule="auto"/>
        <w:ind w:firstLine="720"/>
      </w:pPr>
      <w:r w:rsidRPr="009C3728">
        <w:t xml:space="preserve">Additionally, </w:t>
      </w:r>
      <w:r w:rsidR="00E101F9">
        <w:t>in its Motion to Reopen, AEP Ohio questions why the identity of the REC suppliers would be protected from public disclosure.</w:t>
      </w:r>
      <w:r w:rsidR="00E101F9">
        <w:rPr>
          <w:rStyle w:val="FootnoteReference"/>
        </w:rPr>
        <w:footnoteReference w:id="11"/>
      </w:r>
      <w:r w:rsidR="002F038E">
        <w:t xml:space="preserve"> AEP Ohio asks a good question. </w:t>
      </w:r>
      <w:r w:rsidR="00B05C1B">
        <w:t xml:space="preserve">And </w:t>
      </w:r>
      <w:r w:rsidRPr="00896FC1">
        <w:t>AEP</w:t>
      </w:r>
      <w:r w:rsidRPr="009C3728">
        <w:t xml:space="preserve"> Ohio</w:t>
      </w:r>
      <w:r w:rsidR="00E101F9">
        <w:t xml:space="preserve"> </w:t>
      </w:r>
      <w:r>
        <w:t>“</w:t>
      </w:r>
      <w:r w:rsidRPr="00896FC1">
        <w:t>questions FirstEnergy's motives for its repeated attempts to shroud the market-related issues in this case under a veil of secrecy.</w:t>
      </w:r>
      <w:r>
        <w:t>”</w:t>
      </w:r>
      <w:r>
        <w:rPr>
          <w:rStyle w:val="FootnoteReference"/>
        </w:rPr>
        <w:footnoteReference w:id="12"/>
      </w:r>
      <w:r w:rsidR="000A3AD4">
        <w:t xml:space="preserve"> </w:t>
      </w:r>
      <w:r w:rsidR="002F038E">
        <w:t>That is another good question from AEP Ohio.</w:t>
      </w:r>
    </w:p>
    <w:p w14:paraId="15161EF8" w14:textId="77777777" w:rsidR="006662C1" w:rsidRDefault="00E101F9" w:rsidP="00E9442F">
      <w:pPr>
        <w:spacing w:line="480" w:lineRule="auto"/>
        <w:ind w:firstLine="720"/>
        <w:rPr>
          <w:rFonts w:eastAsiaTheme="minorHAnsi"/>
        </w:rPr>
      </w:pPr>
      <w:r>
        <w:t xml:space="preserve">In response to AEP Ohio’s </w:t>
      </w:r>
      <w:r w:rsidR="009F3AB0">
        <w:t>concerns about FirstEnergy’s motives</w:t>
      </w:r>
      <w:r w:rsidR="006A4B0D">
        <w:t xml:space="preserve"> behind protecting </w:t>
      </w:r>
      <w:r w:rsidR="009F3AB0">
        <w:t>information in this case</w:t>
      </w:r>
      <w:r>
        <w:t xml:space="preserve">, </w:t>
      </w:r>
      <w:r w:rsidR="009A3C71" w:rsidRPr="000A3AD4">
        <w:rPr>
          <w:rFonts w:eastAsiaTheme="minorHAnsi"/>
        </w:rPr>
        <w:t>FirstEnergy misleadingly claims that “none of the a</w:t>
      </w:r>
      <w:r w:rsidR="00C7661C">
        <w:rPr>
          <w:rFonts w:eastAsiaTheme="minorHAnsi"/>
        </w:rPr>
        <w:t>ctual parties to this case, having seen the Companies redactions,</w:t>
      </w:r>
      <w:r w:rsidR="009A3C71" w:rsidRPr="000A3AD4">
        <w:rPr>
          <w:rFonts w:eastAsiaTheme="minorHAnsi"/>
        </w:rPr>
        <w:t xml:space="preserve"> have claimed that the </w:t>
      </w:r>
    </w:p>
    <w:p w14:paraId="2A09ED43" w14:textId="77777777" w:rsidR="006662C1" w:rsidRDefault="006662C1">
      <w:pPr>
        <w:spacing w:after="200" w:line="276" w:lineRule="auto"/>
        <w:rPr>
          <w:rFonts w:eastAsiaTheme="minorHAnsi"/>
        </w:rPr>
      </w:pPr>
      <w:r>
        <w:rPr>
          <w:rFonts w:eastAsiaTheme="minorHAnsi"/>
        </w:rPr>
        <w:br w:type="page"/>
      </w:r>
    </w:p>
    <w:p w14:paraId="7AE9984A" w14:textId="0CAED40F" w:rsidR="00520345" w:rsidRDefault="009A3C71" w:rsidP="006662C1">
      <w:pPr>
        <w:spacing w:line="480" w:lineRule="auto"/>
      </w:pPr>
      <w:r w:rsidRPr="000A3AD4">
        <w:rPr>
          <w:rFonts w:eastAsiaTheme="minorHAnsi"/>
        </w:rPr>
        <w:lastRenderedPageBreak/>
        <w:t>Comp</w:t>
      </w:r>
      <w:r>
        <w:rPr>
          <w:rFonts w:eastAsiaTheme="minorHAnsi"/>
        </w:rPr>
        <w:t>anies’ redactions were improper.</w:t>
      </w:r>
      <w:r w:rsidRPr="000A3AD4">
        <w:rPr>
          <w:rFonts w:eastAsiaTheme="minorHAnsi"/>
        </w:rPr>
        <w:t>”</w:t>
      </w:r>
      <w:r w:rsidRPr="000A3AD4">
        <w:rPr>
          <w:rFonts w:eastAsiaTheme="minorHAnsi"/>
          <w:vertAlign w:val="superscript"/>
        </w:rPr>
        <w:footnoteReference w:id="13"/>
      </w:r>
      <w:r w:rsidR="00C7661C">
        <w:rPr>
          <w:rFonts w:eastAsiaTheme="minorHAnsi"/>
        </w:rPr>
        <w:t xml:space="preserve"> </w:t>
      </w:r>
      <w:r w:rsidR="00896FC1">
        <w:rPr>
          <w:rFonts w:eastAsiaTheme="minorHAnsi"/>
        </w:rPr>
        <w:t xml:space="preserve"> </w:t>
      </w:r>
      <w:r w:rsidR="00520345">
        <w:rPr>
          <w:rFonts w:eastAsiaTheme="minorHAnsi"/>
        </w:rPr>
        <w:t>OCC</w:t>
      </w:r>
      <w:r w:rsidR="006B707F">
        <w:rPr>
          <w:rStyle w:val="FootnoteReference"/>
          <w:rFonts w:eastAsiaTheme="minorHAnsi"/>
        </w:rPr>
        <w:footnoteReference w:id="14"/>
      </w:r>
      <w:r w:rsidR="00520345">
        <w:rPr>
          <w:rFonts w:eastAsiaTheme="minorHAnsi"/>
        </w:rPr>
        <w:t xml:space="preserve"> (and other parties)</w:t>
      </w:r>
      <w:r w:rsidR="006B707F">
        <w:rPr>
          <w:rStyle w:val="FootnoteReference"/>
          <w:rFonts w:eastAsiaTheme="minorHAnsi"/>
        </w:rPr>
        <w:footnoteReference w:id="15"/>
      </w:r>
      <w:r w:rsidR="00520345">
        <w:rPr>
          <w:rFonts w:eastAsiaTheme="minorHAnsi"/>
        </w:rPr>
        <w:t xml:space="preserve"> </w:t>
      </w:r>
      <w:r w:rsidR="00520345" w:rsidRPr="000A3AD4">
        <w:rPr>
          <w:rFonts w:eastAsiaTheme="minorHAnsi"/>
        </w:rPr>
        <w:t xml:space="preserve">have consistently argued that </w:t>
      </w:r>
      <w:r w:rsidR="00520345">
        <w:t xml:space="preserve">the supplier-pricing and supplier-identifying information is not trade secret and therefore should </w:t>
      </w:r>
      <w:r w:rsidR="00520345" w:rsidRPr="00896FC1">
        <w:rPr>
          <w:i/>
        </w:rPr>
        <w:t>not</w:t>
      </w:r>
      <w:r w:rsidR="00520345">
        <w:t xml:space="preserve"> be concealed from the public (redacted).  </w:t>
      </w:r>
    </w:p>
    <w:p w14:paraId="7894A2E3" w14:textId="5059E8F1" w:rsidR="00E9442F" w:rsidRPr="00520345" w:rsidRDefault="00E9442F" w:rsidP="00E9442F">
      <w:pPr>
        <w:spacing w:line="480" w:lineRule="auto"/>
        <w:ind w:firstLine="720"/>
      </w:pPr>
      <w:r>
        <w:t>Perhaps the worst of FirstEnergy’s secrecy is that OCC has been denied permission to publicly state the dollar amount that OCC is recommending FirstEnergy be required to return to Ohio customers, to res</w:t>
      </w:r>
      <w:r w:rsidR="00DC65AD">
        <w:t xml:space="preserve">olve FirstEnergy’s overcharges. </w:t>
      </w:r>
      <w:r w:rsidRPr="0031086C">
        <w:t>OCC’s recommendation appears under seal</w:t>
      </w:r>
      <w:r>
        <w:t xml:space="preserve"> (not in the PUCO’s public docket)</w:t>
      </w:r>
      <w:r w:rsidRPr="0031086C">
        <w:t>, for example, in the testi</w:t>
      </w:r>
      <w:r>
        <w:t>mony of Mr. Gonzalez and in OCC’s Initial</w:t>
      </w:r>
      <w:r w:rsidRPr="0031086C">
        <w:t xml:space="preserve"> Brief.  OCC’s recommendation is based on aggregated information.  </w:t>
      </w:r>
      <w:r>
        <w:t xml:space="preserve">As OCC has noted in its appeal, in its April 15, 2013 </w:t>
      </w:r>
      <w:r w:rsidR="00DC65AD">
        <w:t xml:space="preserve">Initial </w:t>
      </w:r>
      <w:r>
        <w:t>Brief to the full Commission on this issue, t</w:t>
      </w:r>
      <w:r w:rsidRPr="0031086C">
        <w:t>he PUCO’s precedent is that aggregated information can be publicly used even where some information that forms the aggregate is protected.</w:t>
      </w:r>
      <w:r w:rsidRPr="0031086C">
        <w:rPr>
          <w:vertAlign w:val="superscript"/>
        </w:rPr>
        <w:footnoteReference w:id="16"/>
      </w:r>
      <w:r>
        <w:t xml:space="preserve"> OCC requests that, when the PU</w:t>
      </w:r>
      <w:r w:rsidR="00DC65AD">
        <w:t>CO rules upon AEP Ohio’s Motion to Reopen</w:t>
      </w:r>
      <w:r>
        <w:t xml:space="preserve">, the PUCO should grant OCC’s appeal and deny FirstEnergy’s confidentiality request that otherwise will continue to prevent the public from knowing critical information about this case including the recommendation of the state’s advocate for utility consumers.  </w:t>
      </w:r>
    </w:p>
    <w:p w14:paraId="7939D333" w14:textId="19C68608" w:rsidR="00E9442F" w:rsidRDefault="00E9442F" w:rsidP="00E9442F">
      <w:pPr>
        <w:spacing w:line="480" w:lineRule="auto"/>
        <w:ind w:firstLine="720"/>
        <w:rPr>
          <w:lang w:eastAsia="x-none"/>
        </w:rPr>
      </w:pPr>
      <w:r>
        <w:rPr>
          <w:lang w:eastAsia="x-none"/>
        </w:rPr>
        <w:t>AEP Ohio filed its Motion to Reopen after the close of the briefing period and before the PUCO’s ruling in the case.</w:t>
      </w:r>
      <w:r w:rsidR="0084579C">
        <w:rPr>
          <w:lang w:eastAsia="x-none"/>
        </w:rPr>
        <w:t xml:space="preserve"> </w:t>
      </w:r>
      <w:r>
        <w:rPr>
          <w:lang w:eastAsia="x-none"/>
        </w:rPr>
        <w:t>That makes AEP Ohio’s Motion to Reopen timely under the PUCO’s rules, which provide for a proceeding to be reopened “at any time prior to the issuance of a final order.”</w:t>
      </w:r>
      <w:r>
        <w:rPr>
          <w:rStyle w:val="FootnoteReference"/>
          <w:lang w:eastAsia="x-none"/>
        </w:rPr>
        <w:footnoteReference w:id="17"/>
      </w:r>
      <w:r w:rsidR="00DC65AD">
        <w:rPr>
          <w:lang w:eastAsia="x-none"/>
        </w:rPr>
        <w:t xml:space="preserve"> </w:t>
      </w:r>
      <w:r w:rsidR="00D9204B">
        <w:rPr>
          <w:lang w:eastAsia="x-none"/>
        </w:rPr>
        <w:t xml:space="preserve"> </w:t>
      </w:r>
      <w:r>
        <w:rPr>
          <w:lang w:eastAsia="x-none"/>
        </w:rPr>
        <w:t xml:space="preserve">Also, AEP Ohio can provide this Commission with unique information, which serves as good cause upon which to reopen this proceeding.   </w:t>
      </w:r>
    </w:p>
    <w:p w14:paraId="3A684B95" w14:textId="4C1476D1" w:rsidR="00E9442F" w:rsidRDefault="00E9442F" w:rsidP="00E9442F">
      <w:pPr>
        <w:spacing w:line="480" w:lineRule="auto"/>
        <w:ind w:firstLine="720"/>
      </w:pPr>
      <w:r>
        <w:rPr>
          <w:lang w:eastAsia="x-none"/>
        </w:rPr>
        <w:t>Accordingly, the PUCO should grant AEP Ohio’s Motion to Reopen so that the PUCO may render a decision based upon all relevant information and a complete record.</w:t>
      </w:r>
      <w:r>
        <w:rPr>
          <w:rStyle w:val="FootnoteReference"/>
          <w:lang w:eastAsia="x-none"/>
        </w:rPr>
        <w:footnoteReference w:id="18"/>
      </w:r>
      <w:r>
        <w:rPr>
          <w:lang w:eastAsia="x-none"/>
        </w:rPr>
        <w:t xml:space="preserve">  The specific factual information that AEP Ohio intends to present will certainly help the Commission to determine whether FirstEnergy fairly assessed the market prior to making purchases of excessively priced RECs. Finally, the PUCO should adopt a procedural </w:t>
      </w:r>
      <w:r w:rsidR="00DC65AD">
        <w:rPr>
          <w:lang w:eastAsia="x-none"/>
        </w:rPr>
        <w:t xml:space="preserve">schedule that minimizes </w:t>
      </w:r>
      <w:r>
        <w:rPr>
          <w:lang w:eastAsia="x-none"/>
        </w:rPr>
        <w:t>any delay in issuing a decision in this case.</w:t>
      </w:r>
    </w:p>
    <w:p w14:paraId="27400BB9" w14:textId="413ADD36" w:rsidR="001035FB" w:rsidRDefault="001035FB">
      <w:pPr>
        <w:spacing w:after="200" w:line="276" w:lineRule="auto"/>
      </w:pPr>
      <w:r>
        <w:br w:type="page"/>
      </w:r>
    </w:p>
    <w:p w14:paraId="4C56D8B4" w14:textId="56A23109" w:rsidR="002158EF" w:rsidRDefault="002158EF" w:rsidP="002158EF">
      <w:pPr>
        <w:spacing w:line="480" w:lineRule="auto"/>
        <w:ind w:left="3600" w:firstLine="720"/>
      </w:pPr>
      <w:r>
        <w:t>Respectfully submitted,</w:t>
      </w:r>
    </w:p>
    <w:p w14:paraId="3AC44F20" w14:textId="77777777" w:rsidR="002158EF" w:rsidRDefault="002158EF" w:rsidP="002158EF">
      <w:pPr>
        <w:pStyle w:val="Date"/>
        <w:ind w:left="4320"/>
        <w:rPr>
          <w:szCs w:val="24"/>
        </w:rPr>
      </w:pPr>
      <w:r>
        <w:rPr>
          <w:szCs w:val="24"/>
        </w:rPr>
        <w:t>BRUCE J. WESTON</w:t>
      </w:r>
    </w:p>
    <w:p w14:paraId="181C6162" w14:textId="77777777" w:rsidR="002158EF" w:rsidRDefault="002158EF" w:rsidP="002158EF">
      <w:pPr>
        <w:ind w:left="4320"/>
      </w:pPr>
      <w:r>
        <w:t>OHIO CONSUMERS’ COUNSEL</w:t>
      </w:r>
    </w:p>
    <w:p w14:paraId="13D0AF84" w14:textId="77777777" w:rsidR="002158EF" w:rsidRDefault="002158EF" w:rsidP="002158EF">
      <w:pPr>
        <w:ind w:left="4320"/>
      </w:pPr>
    </w:p>
    <w:p w14:paraId="47EA164C" w14:textId="77777777" w:rsidR="002158EF" w:rsidRPr="00881692" w:rsidRDefault="002158EF" w:rsidP="002158EF">
      <w:pPr>
        <w:ind w:left="4320" w:right="-378"/>
        <w:rPr>
          <w:i/>
          <w:u w:val="single"/>
        </w:rPr>
      </w:pPr>
      <w:r w:rsidRPr="00881692">
        <w:rPr>
          <w:i/>
          <w:u w:val="single"/>
        </w:rPr>
        <w:t>/s/ Melissa R. Yost</w:t>
      </w:r>
      <w:r w:rsidRPr="00881692">
        <w:rPr>
          <w:i/>
          <w:u w:val="single"/>
        </w:rPr>
        <w:tab/>
      </w:r>
      <w:r w:rsidRPr="00881692">
        <w:rPr>
          <w:i/>
          <w:u w:val="single"/>
        </w:rPr>
        <w:tab/>
      </w:r>
      <w:r w:rsidRPr="00881692">
        <w:rPr>
          <w:i/>
          <w:u w:val="single"/>
        </w:rPr>
        <w:tab/>
      </w:r>
    </w:p>
    <w:p w14:paraId="7A66360D" w14:textId="77777777" w:rsidR="002158EF" w:rsidRDefault="002158EF" w:rsidP="002158EF">
      <w:pPr>
        <w:pStyle w:val="ShortReturnAddress"/>
        <w:ind w:left="4320"/>
        <w:rPr>
          <w:szCs w:val="24"/>
        </w:rPr>
      </w:pPr>
      <w:r>
        <w:rPr>
          <w:szCs w:val="24"/>
        </w:rPr>
        <w:t>Melissa R. Yost, Counsel of Record</w:t>
      </w:r>
    </w:p>
    <w:p w14:paraId="31885273" w14:textId="0EA0984A" w:rsidR="00500D0C" w:rsidRDefault="00500D0C" w:rsidP="002158EF">
      <w:pPr>
        <w:pStyle w:val="ShortReturnAddress"/>
        <w:ind w:left="4320"/>
        <w:rPr>
          <w:szCs w:val="24"/>
        </w:rPr>
      </w:pPr>
      <w:r>
        <w:rPr>
          <w:szCs w:val="24"/>
        </w:rPr>
        <w:t>Deputy Consumers’ Counsel</w:t>
      </w:r>
    </w:p>
    <w:p w14:paraId="3E3485C3" w14:textId="77777777" w:rsidR="002158EF" w:rsidRDefault="002158EF" w:rsidP="002158EF">
      <w:pPr>
        <w:pStyle w:val="ShortReturnAddress"/>
        <w:ind w:left="4320"/>
        <w:rPr>
          <w:szCs w:val="24"/>
        </w:rPr>
      </w:pPr>
      <w:r>
        <w:rPr>
          <w:szCs w:val="24"/>
        </w:rPr>
        <w:t>Edmund “Tad” Berger</w:t>
      </w:r>
    </w:p>
    <w:p w14:paraId="7FFC5909" w14:textId="77777777" w:rsidR="002158EF" w:rsidRDefault="002158EF" w:rsidP="002158EF">
      <w:pPr>
        <w:pStyle w:val="ShortReturnAddress"/>
        <w:ind w:left="4320"/>
        <w:rPr>
          <w:szCs w:val="24"/>
        </w:rPr>
      </w:pPr>
      <w:r>
        <w:rPr>
          <w:szCs w:val="24"/>
        </w:rPr>
        <w:t>Michael Schuler</w:t>
      </w:r>
    </w:p>
    <w:p w14:paraId="0EF0AE40" w14:textId="77777777" w:rsidR="002158EF" w:rsidRDefault="002158EF" w:rsidP="002158EF">
      <w:pPr>
        <w:pStyle w:val="ShortReturnAddress"/>
        <w:ind w:left="4320"/>
        <w:rPr>
          <w:szCs w:val="24"/>
        </w:rPr>
      </w:pPr>
      <w:r>
        <w:rPr>
          <w:szCs w:val="24"/>
        </w:rPr>
        <w:t>Assistant Consumers’ Counsel</w:t>
      </w:r>
    </w:p>
    <w:p w14:paraId="42598A04" w14:textId="77777777" w:rsidR="002158EF" w:rsidRDefault="002158EF" w:rsidP="002158EF">
      <w:pPr>
        <w:pStyle w:val="ShortReturnAddress"/>
        <w:ind w:left="4320"/>
        <w:rPr>
          <w:szCs w:val="24"/>
        </w:rPr>
      </w:pPr>
    </w:p>
    <w:p w14:paraId="0010A136" w14:textId="77777777" w:rsidR="002158EF" w:rsidRDefault="002158EF" w:rsidP="002158EF">
      <w:pPr>
        <w:pStyle w:val="ShortReturnAddress"/>
        <w:ind w:left="4320" w:right="-180"/>
        <w:rPr>
          <w:szCs w:val="24"/>
        </w:rPr>
      </w:pPr>
      <w:r>
        <w:rPr>
          <w:b/>
          <w:szCs w:val="24"/>
        </w:rPr>
        <w:t>Office of the Ohio Consumers’ Counsel</w:t>
      </w:r>
    </w:p>
    <w:p w14:paraId="19053B5C" w14:textId="77777777" w:rsidR="002158EF" w:rsidRDefault="002158EF" w:rsidP="002158EF">
      <w:pPr>
        <w:pStyle w:val="ShortReturnAddress"/>
        <w:ind w:left="4320"/>
        <w:rPr>
          <w:szCs w:val="24"/>
        </w:rPr>
      </w:pPr>
      <w:r>
        <w:rPr>
          <w:szCs w:val="24"/>
        </w:rPr>
        <w:t>10 West Broad Street, Suite 1800</w:t>
      </w:r>
    </w:p>
    <w:p w14:paraId="78C2E860" w14:textId="77777777" w:rsidR="002158EF" w:rsidRDefault="002158EF" w:rsidP="002158EF">
      <w:pPr>
        <w:pStyle w:val="ShortReturnAddress"/>
        <w:ind w:left="4320"/>
        <w:rPr>
          <w:szCs w:val="24"/>
        </w:rPr>
      </w:pPr>
      <w:r>
        <w:rPr>
          <w:szCs w:val="24"/>
        </w:rPr>
        <w:t>Columbus, Ohio 43215-3485</w:t>
      </w:r>
    </w:p>
    <w:p w14:paraId="68599BF5" w14:textId="77777777" w:rsidR="002158EF" w:rsidRDefault="002158EF" w:rsidP="002158EF">
      <w:pPr>
        <w:pStyle w:val="Date"/>
        <w:ind w:left="4320"/>
        <w:rPr>
          <w:szCs w:val="24"/>
        </w:rPr>
      </w:pPr>
      <w:r>
        <w:rPr>
          <w:szCs w:val="24"/>
        </w:rPr>
        <w:t>(614) 466-1291 – Telephone (Yost)</w:t>
      </w:r>
    </w:p>
    <w:p w14:paraId="2C91C691" w14:textId="7B82A187" w:rsidR="002C63F4" w:rsidRDefault="002C63F4" w:rsidP="002C63F4">
      <w:pPr>
        <w:pStyle w:val="Date"/>
        <w:ind w:left="4320"/>
        <w:rPr>
          <w:szCs w:val="24"/>
        </w:rPr>
      </w:pPr>
      <w:r>
        <w:rPr>
          <w:szCs w:val="24"/>
        </w:rPr>
        <w:t>(614) 466-1292 – Telephone (Berger)</w:t>
      </w:r>
    </w:p>
    <w:p w14:paraId="50C10202" w14:textId="7DF031CA" w:rsidR="002158EF" w:rsidRDefault="002158EF" w:rsidP="002158EF">
      <w:r>
        <w:tab/>
      </w:r>
      <w:r>
        <w:tab/>
      </w:r>
      <w:r>
        <w:tab/>
      </w:r>
      <w:r>
        <w:tab/>
      </w:r>
      <w:r>
        <w:tab/>
      </w:r>
      <w:r>
        <w:tab/>
        <w:t>(614) 466-95</w:t>
      </w:r>
      <w:r w:rsidR="002C63F4">
        <w:t>47</w:t>
      </w:r>
      <w:r>
        <w:t xml:space="preserve"> – Telephone (S</w:t>
      </w:r>
      <w:r w:rsidR="002C63F4">
        <w:t>chuler</w:t>
      </w:r>
      <w:r>
        <w:t>)</w:t>
      </w:r>
    </w:p>
    <w:p w14:paraId="14D5C0DA" w14:textId="3C9D6A4A" w:rsidR="001035FB" w:rsidRDefault="001035FB" w:rsidP="002158EF">
      <w:r>
        <w:tab/>
      </w:r>
      <w:r>
        <w:tab/>
      </w:r>
      <w:r>
        <w:tab/>
      </w:r>
      <w:r>
        <w:tab/>
      </w:r>
      <w:r>
        <w:tab/>
      </w:r>
      <w:r>
        <w:tab/>
      </w:r>
      <w:r w:rsidRPr="000D07AB">
        <w:t>yost@occ.state.oh.us</w:t>
      </w:r>
    </w:p>
    <w:p w14:paraId="4F206284" w14:textId="65BF5018" w:rsidR="002C63F4" w:rsidRDefault="002158EF" w:rsidP="002C63F4">
      <w:pPr>
        <w:ind w:left="4320"/>
        <w:rPr>
          <w:rStyle w:val="Hyperlink"/>
          <w:color w:val="auto"/>
        </w:rPr>
      </w:pPr>
      <w:r w:rsidRPr="000D07AB">
        <w:t>berger@occ.state.oh.us</w:t>
      </w:r>
    </w:p>
    <w:p w14:paraId="17C93748" w14:textId="77777777" w:rsidR="002158EF" w:rsidRDefault="002158EF" w:rsidP="002158EF">
      <w:pPr>
        <w:ind w:left="4320"/>
      </w:pPr>
      <w:r>
        <w:t>schuler@occ.state.oh.us</w:t>
      </w:r>
    </w:p>
    <w:p w14:paraId="1D5A964E" w14:textId="77777777" w:rsidR="002158EF" w:rsidRDefault="002158EF" w:rsidP="002158EF"/>
    <w:p w14:paraId="3744FD50" w14:textId="77777777" w:rsidR="002158EF" w:rsidRDefault="002158EF" w:rsidP="002158EF"/>
    <w:p w14:paraId="6CB6AAC5" w14:textId="77777777" w:rsidR="002158EF" w:rsidRDefault="002158EF" w:rsidP="002158EF"/>
    <w:p w14:paraId="36C23710" w14:textId="77777777" w:rsidR="002E43A9" w:rsidRDefault="002E43A9">
      <w:pPr>
        <w:spacing w:after="200" w:line="276" w:lineRule="auto"/>
        <w:rPr>
          <w:b/>
          <w:szCs w:val="20"/>
          <w:u w:val="single"/>
        </w:rPr>
      </w:pPr>
      <w:r>
        <w:rPr>
          <w:b/>
          <w:u w:val="single"/>
        </w:rPr>
        <w:br w:type="page"/>
      </w:r>
    </w:p>
    <w:p w14:paraId="53C71F14" w14:textId="77777777" w:rsidR="002158EF" w:rsidRDefault="002158EF" w:rsidP="002158EF">
      <w:pPr>
        <w:pStyle w:val="BodyText"/>
        <w:spacing w:line="240" w:lineRule="auto"/>
        <w:ind w:left="2160"/>
      </w:pPr>
      <w:r>
        <w:rPr>
          <w:b/>
          <w:u w:val="single"/>
        </w:rPr>
        <w:t>CERTIFICATE OF SERVICE</w:t>
      </w:r>
    </w:p>
    <w:p w14:paraId="190019EF" w14:textId="302C48BC" w:rsidR="002158EF" w:rsidRDefault="002158EF" w:rsidP="002158EF">
      <w:pPr>
        <w:spacing w:line="480" w:lineRule="atLeast"/>
      </w:pPr>
      <w:r>
        <w:tab/>
        <w:t xml:space="preserve">I hereby certify that a copy of the </w:t>
      </w:r>
      <w:r>
        <w:rPr>
          <w:i/>
        </w:rPr>
        <w:t xml:space="preserve">Reply </w:t>
      </w:r>
      <w:r>
        <w:t xml:space="preserve">was served on the persons listed below, via electronic service, this </w:t>
      </w:r>
      <w:r w:rsidR="00B05C1B">
        <w:t>9</w:t>
      </w:r>
      <w:r>
        <w:t>th day of July 2013</w:t>
      </w:r>
      <w:r w:rsidR="00896FC1">
        <w:t>.</w:t>
      </w:r>
    </w:p>
    <w:p w14:paraId="2EEBA3DA" w14:textId="77777777" w:rsidR="001035FB" w:rsidRDefault="001035FB" w:rsidP="002158EF">
      <w:pPr>
        <w:tabs>
          <w:tab w:val="left" w:pos="4320"/>
        </w:tabs>
        <w:ind w:left="4320"/>
        <w:rPr>
          <w:i/>
          <w:u w:val="single"/>
        </w:rPr>
      </w:pPr>
    </w:p>
    <w:p w14:paraId="20F9AB8D" w14:textId="77777777" w:rsidR="001035FB" w:rsidRDefault="001035FB" w:rsidP="002158EF">
      <w:pPr>
        <w:tabs>
          <w:tab w:val="left" w:pos="4320"/>
        </w:tabs>
        <w:ind w:left="4320"/>
        <w:rPr>
          <w:i/>
          <w:u w:val="single"/>
        </w:rPr>
      </w:pPr>
    </w:p>
    <w:p w14:paraId="34135989" w14:textId="77777777" w:rsidR="002158EF" w:rsidRDefault="002158EF" w:rsidP="002158EF">
      <w:pPr>
        <w:tabs>
          <w:tab w:val="left" w:pos="4320"/>
        </w:tabs>
        <w:ind w:left="4320"/>
        <w:rPr>
          <w:i/>
          <w:u w:val="single"/>
        </w:rPr>
      </w:pPr>
      <w:r>
        <w:rPr>
          <w:i/>
          <w:u w:val="single"/>
        </w:rPr>
        <w:t>/s/ Melissa R. Yost</w:t>
      </w:r>
    </w:p>
    <w:p w14:paraId="655EA646" w14:textId="77777777" w:rsidR="002158EF" w:rsidRDefault="002158EF" w:rsidP="002158EF">
      <w:pPr>
        <w:tabs>
          <w:tab w:val="left" w:pos="4320"/>
        </w:tabs>
      </w:pPr>
      <w:r>
        <w:tab/>
        <w:t>Melissa R. Yost</w:t>
      </w:r>
    </w:p>
    <w:p w14:paraId="7B1DAC89" w14:textId="083FB08F" w:rsidR="002158EF" w:rsidRDefault="002158EF" w:rsidP="002158EF">
      <w:pPr>
        <w:tabs>
          <w:tab w:val="left" w:pos="4320"/>
        </w:tabs>
      </w:pPr>
      <w:r>
        <w:tab/>
      </w:r>
      <w:r w:rsidR="0050527A">
        <w:t xml:space="preserve">Deputy </w:t>
      </w:r>
      <w:r>
        <w:t>Consumers’ Counsel</w:t>
      </w:r>
    </w:p>
    <w:p w14:paraId="3C70ED32" w14:textId="77777777" w:rsidR="002158EF" w:rsidRDefault="002158EF" w:rsidP="002158EF"/>
    <w:p w14:paraId="746C3AEA" w14:textId="77777777" w:rsidR="001035FB" w:rsidRDefault="001035FB" w:rsidP="001035FB">
      <w:pPr>
        <w:pStyle w:val="Footer"/>
        <w:tabs>
          <w:tab w:val="clear" w:pos="8640"/>
          <w:tab w:val="left" w:pos="4320"/>
        </w:tabs>
        <w:jc w:val="center"/>
        <w:rPr>
          <w:b/>
          <w:u w:val="single"/>
          <w:lang w:val="en-US"/>
        </w:rPr>
      </w:pPr>
      <w:r>
        <w:rPr>
          <w:b/>
          <w:u w:val="single"/>
        </w:rPr>
        <w:t>SERVICE LIST</w:t>
      </w:r>
    </w:p>
    <w:tbl>
      <w:tblPr>
        <w:tblW w:w="0" w:type="auto"/>
        <w:tblLook w:val="01E0" w:firstRow="1" w:lastRow="1" w:firstColumn="1" w:lastColumn="1" w:noHBand="0" w:noVBand="0"/>
      </w:tblPr>
      <w:tblGrid>
        <w:gridCol w:w="4428"/>
        <w:gridCol w:w="4428"/>
      </w:tblGrid>
      <w:tr w:rsidR="001035FB" w14:paraId="3EF8F26D" w14:textId="77777777" w:rsidTr="001F63FA">
        <w:tc>
          <w:tcPr>
            <w:tcW w:w="4428" w:type="dxa"/>
            <w:shd w:val="clear" w:color="auto" w:fill="auto"/>
          </w:tcPr>
          <w:p w14:paraId="32783067" w14:textId="32647896" w:rsidR="001035FB" w:rsidRPr="001035FB" w:rsidRDefault="001035FB" w:rsidP="001F63FA">
            <w:pPr>
              <w:jc w:val="both"/>
              <w:rPr>
                <w:bCs/>
                <w:szCs w:val="20"/>
                <w:u w:val="single"/>
              </w:rPr>
            </w:pPr>
            <w:r w:rsidRPr="000D07AB">
              <w:rPr>
                <w:bCs/>
                <w:szCs w:val="20"/>
              </w:rPr>
              <w:t>Thomas.lindgren@puc.state.oh.us</w:t>
            </w:r>
          </w:p>
          <w:p w14:paraId="6F791DA1" w14:textId="7B9F0203" w:rsidR="001035FB" w:rsidRPr="001035FB" w:rsidRDefault="001035FB" w:rsidP="001F63FA">
            <w:pPr>
              <w:jc w:val="both"/>
              <w:rPr>
                <w:bCs/>
                <w:szCs w:val="20"/>
                <w:u w:val="single"/>
              </w:rPr>
            </w:pPr>
            <w:r w:rsidRPr="000D07AB">
              <w:rPr>
                <w:bCs/>
                <w:szCs w:val="20"/>
              </w:rPr>
              <w:t>Ryan.orourke@puc.state.oh.us</w:t>
            </w:r>
          </w:p>
          <w:p w14:paraId="47E5A5C7" w14:textId="77777777" w:rsidR="001035FB" w:rsidRDefault="001035FB" w:rsidP="001F63FA">
            <w:pPr>
              <w:jc w:val="both"/>
              <w:rPr>
                <w:bCs/>
                <w:szCs w:val="20"/>
                <w:u w:val="single"/>
              </w:rPr>
            </w:pPr>
            <w:r>
              <w:rPr>
                <w:bCs/>
                <w:szCs w:val="20"/>
                <w:u w:val="single"/>
              </w:rPr>
              <w:t>dboehm@BKLlawfirm.com</w:t>
            </w:r>
          </w:p>
          <w:p w14:paraId="50158C46" w14:textId="77777777" w:rsidR="001035FB" w:rsidRDefault="001035FB" w:rsidP="001F63FA">
            <w:pPr>
              <w:jc w:val="both"/>
              <w:rPr>
                <w:bCs/>
                <w:szCs w:val="20"/>
                <w:u w:val="single"/>
              </w:rPr>
            </w:pPr>
            <w:r>
              <w:rPr>
                <w:bCs/>
                <w:szCs w:val="20"/>
                <w:u w:val="single"/>
              </w:rPr>
              <w:t>mkurtz@BKLlawfirm.com</w:t>
            </w:r>
          </w:p>
          <w:p w14:paraId="65B3301F" w14:textId="4CFA726D" w:rsidR="001035FB" w:rsidRDefault="001035FB" w:rsidP="001F63FA">
            <w:pPr>
              <w:jc w:val="both"/>
              <w:rPr>
                <w:bCs/>
                <w:szCs w:val="20"/>
                <w:u w:val="single"/>
              </w:rPr>
            </w:pPr>
            <w:r>
              <w:rPr>
                <w:bCs/>
                <w:szCs w:val="20"/>
                <w:u w:val="single"/>
              </w:rPr>
              <w:t>jkyler</w:t>
            </w:r>
            <w:r w:rsidR="001A4847">
              <w:rPr>
                <w:bCs/>
                <w:szCs w:val="20"/>
                <w:u w:val="single"/>
              </w:rPr>
              <w:t>cohn</w:t>
            </w:r>
            <w:r>
              <w:rPr>
                <w:bCs/>
                <w:szCs w:val="20"/>
                <w:u w:val="single"/>
              </w:rPr>
              <w:t>@BKLlawfirm.com</w:t>
            </w:r>
          </w:p>
          <w:p w14:paraId="2649F52C" w14:textId="77777777" w:rsidR="001035FB" w:rsidRDefault="001035FB" w:rsidP="001F63FA">
            <w:pPr>
              <w:jc w:val="both"/>
              <w:rPr>
                <w:bCs/>
                <w:szCs w:val="20"/>
                <w:u w:val="single"/>
              </w:rPr>
            </w:pPr>
            <w:r>
              <w:rPr>
                <w:bCs/>
                <w:szCs w:val="20"/>
                <w:u w:val="single"/>
              </w:rPr>
              <w:t>cdunn@firstenergycorp.com</w:t>
            </w:r>
          </w:p>
          <w:p w14:paraId="7E4F5FA3" w14:textId="77777777" w:rsidR="001035FB" w:rsidRDefault="001035FB" w:rsidP="001F63FA">
            <w:pPr>
              <w:jc w:val="both"/>
              <w:rPr>
                <w:bCs/>
                <w:szCs w:val="20"/>
                <w:u w:val="single"/>
              </w:rPr>
            </w:pPr>
            <w:r>
              <w:rPr>
                <w:bCs/>
                <w:szCs w:val="20"/>
                <w:u w:val="single"/>
              </w:rPr>
              <w:t>dakutik@jonesday.com</w:t>
            </w:r>
          </w:p>
          <w:p w14:paraId="4614FB6E" w14:textId="77777777" w:rsidR="001035FB" w:rsidRDefault="001035FB" w:rsidP="001F63FA">
            <w:pPr>
              <w:jc w:val="both"/>
              <w:rPr>
                <w:bCs/>
                <w:szCs w:val="20"/>
                <w:u w:val="single"/>
              </w:rPr>
            </w:pPr>
            <w:r>
              <w:rPr>
                <w:bCs/>
                <w:szCs w:val="20"/>
                <w:u w:val="single"/>
              </w:rPr>
              <w:t>burkj@firstenergycorp.com</w:t>
            </w:r>
          </w:p>
          <w:p w14:paraId="2DFE9789" w14:textId="77777777" w:rsidR="001035FB" w:rsidRDefault="001035FB" w:rsidP="001F63FA">
            <w:pPr>
              <w:rPr>
                <w:u w:val="single"/>
              </w:rPr>
            </w:pPr>
            <w:r>
              <w:rPr>
                <w:u w:val="single"/>
              </w:rPr>
              <w:t>TDougherty@theOEC.org</w:t>
            </w:r>
          </w:p>
          <w:p w14:paraId="3F04AECB" w14:textId="5FC9EEB7" w:rsidR="001035FB" w:rsidRPr="001A4847" w:rsidRDefault="001A4847" w:rsidP="001F63FA">
            <w:pPr>
              <w:jc w:val="both"/>
              <w:rPr>
                <w:u w:val="single"/>
              </w:rPr>
            </w:pPr>
            <w:r w:rsidRPr="000D07AB">
              <w:t>CLoucas@theOEC.org</w:t>
            </w:r>
          </w:p>
          <w:p w14:paraId="5123EFC1" w14:textId="53B8D569" w:rsidR="001A4847" w:rsidRPr="001A4847" w:rsidRDefault="001A4847" w:rsidP="001A4847">
            <w:pPr>
              <w:autoSpaceDE w:val="0"/>
              <w:autoSpaceDN w:val="0"/>
              <w:adjustRightInd w:val="0"/>
              <w:rPr>
                <w:rFonts w:eastAsiaTheme="minorHAnsi"/>
                <w:u w:val="single"/>
              </w:rPr>
            </w:pPr>
            <w:r w:rsidRPr="000D07AB">
              <w:rPr>
                <w:rFonts w:eastAsiaTheme="minorHAnsi"/>
              </w:rPr>
              <w:t>mjsatterwhite@aep.com</w:t>
            </w:r>
          </w:p>
          <w:p w14:paraId="1B081DD1" w14:textId="6AB1A05E" w:rsidR="001A4847" w:rsidRDefault="001A4847" w:rsidP="001A4847">
            <w:pPr>
              <w:jc w:val="both"/>
            </w:pPr>
            <w:r w:rsidRPr="001A4847">
              <w:rPr>
                <w:rFonts w:eastAsiaTheme="minorHAnsi"/>
                <w:u w:val="single"/>
              </w:rPr>
              <w:t>stnourse@aep.com</w:t>
            </w:r>
          </w:p>
        </w:tc>
        <w:tc>
          <w:tcPr>
            <w:tcW w:w="4428" w:type="dxa"/>
            <w:shd w:val="clear" w:color="auto" w:fill="auto"/>
          </w:tcPr>
          <w:p w14:paraId="216C9380" w14:textId="77777777" w:rsidR="001035FB" w:rsidRDefault="001035FB" w:rsidP="001F63FA">
            <w:pPr>
              <w:jc w:val="both"/>
              <w:rPr>
                <w:bCs/>
                <w:szCs w:val="20"/>
                <w:u w:val="single"/>
              </w:rPr>
            </w:pPr>
            <w:r>
              <w:rPr>
                <w:bCs/>
                <w:szCs w:val="20"/>
                <w:u w:val="single"/>
              </w:rPr>
              <w:t>mkl@bbrslaw.com</w:t>
            </w:r>
          </w:p>
          <w:p w14:paraId="5D634E4B" w14:textId="77777777" w:rsidR="001035FB" w:rsidRDefault="001035FB" w:rsidP="001F63FA">
            <w:pPr>
              <w:jc w:val="both"/>
              <w:rPr>
                <w:bCs/>
                <w:szCs w:val="20"/>
                <w:u w:val="single"/>
              </w:rPr>
            </w:pPr>
            <w:r>
              <w:rPr>
                <w:bCs/>
                <w:szCs w:val="20"/>
                <w:u w:val="single"/>
              </w:rPr>
              <w:t>todonnell@bricker.com</w:t>
            </w:r>
          </w:p>
          <w:p w14:paraId="5FB6C966" w14:textId="77777777" w:rsidR="001035FB" w:rsidRDefault="001035FB" w:rsidP="001F63FA">
            <w:pPr>
              <w:jc w:val="both"/>
              <w:rPr>
                <w:bCs/>
                <w:szCs w:val="20"/>
                <w:u w:val="single"/>
              </w:rPr>
            </w:pPr>
            <w:r>
              <w:rPr>
                <w:bCs/>
                <w:szCs w:val="20"/>
                <w:u w:val="single"/>
              </w:rPr>
              <w:t>cathy@theoec.org</w:t>
            </w:r>
          </w:p>
          <w:p w14:paraId="025936E2" w14:textId="77777777" w:rsidR="001035FB" w:rsidRDefault="001035FB" w:rsidP="001F63FA">
            <w:pPr>
              <w:jc w:val="both"/>
              <w:rPr>
                <w:bCs/>
                <w:szCs w:val="20"/>
                <w:u w:val="single"/>
              </w:rPr>
            </w:pPr>
            <w:r>
              <w:rPr>
                <w:bCs/>
                <w:szCs w:val="20"/>
                <w:u w:val="single"/>
              </w:rPr>
              <w:t>trent@theoec.org</w:t>
            </w:r>
          </w:p>
          <w:p w14:paraId="339B3400" w14:textId="77777777" w:rsidR="001035FB" w:rsidRDefault="001035FB" w:rsidP="001F63FA">
            <w:pPr>
              <w:jc w:val="both"/>
              <w:rPr>
                <w:bCs/>
                <w:szCs w:val="20"/>
                <w:u w:val="single"/>
              </w:rPr>
            </w:pPr>
            <w:r>
              <w:rPr>
                <w:bCs/>
                <w:szCs w:val="20"/>
                <w:u w:val="single"/>
              </w:rPr>
              <w:t>robinson@citizenpower.com</w:t>
            </w:r>
          </w:p>
          <w:p w14:paraId="6426AACF" w14:textId="77777777" w:rsidR="001035FB" w:rsidRDefault="001035FB" w:rsidP="001F63FA">
            <w:pPr>
              <w:jc w:val="both"/>
              <w:rPr>
                <w:bCs/>
                <w:szCs w:val="20"/>
                <w:u w:val="single"/>
              </w:rPr>
            </w:pPr>
            <w:r>
              <w:rPr>
                <w:bCs/>
                <w:szCs w:val="20"/>
                <w:u w:val="single"/>
              </w:rPr>
              <w:t>callwein@wamenergylaw.com</w:t>
            </w:r>
          </w:p>
          <w:p w14:paraId="3A73AAA1" w14:textId="77777777" w:rsidR="001035FB" w:rsidRDefault="001035FB" w:rsidP="001F63FA">
            <w:pPr>
              <w:autoSpaceDE w:val="0"/>
              <w:autoSpaceDN w:val="0"/>
              <w:adjustRightInd w:val="0"/>
              <w:rPr>
                <w:u w:val="single"/>
              </w:rPr>
            </w:pPr>
            <w:r>
              <w:rPr>
                <w:u w:val="single"/>
              </w:rPr>
              <w:t>mhpetricoff@vorys.com</w:t>
            </w:r>
          </w:p>
          <w:p w14:paraId="0265BDC1" w14:textId="77777777" w:rsidR="001035FB" w:rsidRDefault="001035FB" w:rsidP="001F63FA">
            <w:pPr>
              <w:autoSpaceDE w:val="0"/>
              <w:autoSpaceDN w:val="0"/>
              <w:adjustRightInd w:val="0"/>
              <w:rPr>
                <w:u w:val="single"/>
              </w:rPr>
            </w:pPr>
            <w:r>
              <w:rPr>
                <w:u w:val="single"/>
              </w:rPr>
              <w:t>lkalepsclark@vorys.com</w:t>
            </w:r>
          </w:p>
          <w:p w14:paraId="142D51BC" w14:textId="77777777" w:rsidR="001035FB" w:rsidRDefault="001035FB" w:rsidP="001F63FA">
            <w:pPr>
              <w:autoSpaceDE w:val="0"/>
              <w:autoSpaceDN w:val="0"/>
              <w:adjustRightInd w:val="0"/>
              <w:rPr>
                <w:u w:val="single"/>
              </w:rPr>
            </w:pPr>
            <w:r>
              <w:rPr>
                <w:u w:val="single"/>
              </w:rPr>
              <w:t>mjsettineri@vorys.com</w:t>
            </w:r>
          </w:p>
          <w:p w14:paraId="29A54AC1" w14:textId="517737AC" w:rsidR="001035FB" w:rsidRPr="001A4847" w:rsidRDefault="001A4847" w:rsidP="001F63FA">
            <w:pPr>
              <w:autoSpaceDE w:val="0"/>
              <w:autoSpaceDN w:val="0"/>
              <w:adjustRightInd w:val="0"/>
              <w:rPr>
                <w:rFonts w:eastAsiaTheme="minorHAnsi"/>
                <w:u w:val="single"/>
              </w:rPr>
            </w:pPr>
            <w:r w:rsidRPr="000D07AB">
              <w:rPr>
                <w:rFonts w:eastAsiaTheme="minorHAnsi"/>
              </w:rPr>
              <w:t>todonnell@dickinsonwright.com</w:t>
            </w:r>
          </w:p>
          <w:p w14:paraId="6D9E0B14" w14:textId="77777777" w:rsidR="001A4847" w:rsidRPr="001A4847" w:rsidRDefault="001A4847" w:rsidP="001F63FA">
            <w:pPr>
              <w:autoSpaceDE w:val="0"/>
              <w:autoSpaceDN w:val="0"/>
              <w:adjustRightInd w:val="0"/>
              <w:rPr>
                <w:u w:val="single"/>
              </w:rPr>
            </w:pPr>
          </w:p>
          <w:p w14:paraId="45319419" w14:textId="77777777" w:rsidR="001035FB" w:rsidRDefault="001035FB" w:rsidP="001F63FA">
            <w:pPr>
              <w:jc w:val="both"/>
              <w:rPr>
                <w:bCs/>
                <w:szCs w:val="20"/>
              </w:rPr>
            </w:pPr>
          </w:p>
          <w:p w14:paraId="1A0B4F96" w14:textId="77777777" w:rsidR="001035FB" w:rsidRDefault="001035FB" w:rsidP="001F63FA">
            <w:pPr>
              <w:jc w:val="both"/>
              <w:rPr>
                <w:bCs/>
                <w:szCs w:val="20"/>
              </w:rPr>
            </w:pPr>
          </w:p>
        </w:tc>
      </w:tr>
    </w:tbl>
    <w:p w14:paraId="32455BDE" w14:textId="77777777" w:rsidR="001035FB" w:rsidRDefault="001035FB" w:rsidP="001A4847">
      <w:pPr>
        <w:spacing w:line="480" w:lineRule="auto"/>
        <w:rPr>
          <w:lang w:eastAsia="x-none"/>
        </w:rPr>
      </w:pPr>
    </w:p>
    <w:p w14:paraId="01FB5F52" w14:textId="37B78995" w:rsidR="001A4847" w:rsidRPr="001A4847" w:rsidRDefault="001A4847" w:rsidP="001A4847">
      <w:pPr>
        <w:rPr>
          <w:u w:val="single"/>
          <w:lang w:eastAsia="x-none"/>
        </w:rPr>
      </w:pPr>
      <w:r>
        <w:rPr>
          <w:lang w:eastAsia="x-none"/>
        </w:rPr>
        <w:t xml:space="preserve">AEs:  </w:t>
      </w:r>
      <w:r>
        <w:rPr>
          <w:lang w:eastAsia="x-none"/>
        </w:rPr>
        <w:tab/>
      </w:r>
      <w:r w:rsidRPr="000D07AB">
        <w:rPr>
          <w:lang w:eastAsia="x-none"/>
        </w:rPr>
        <w:t>Mandy.willey@puc.state.oh.us</w:t>
      </w:r>
    </w:p>
    <w:p w14:paraId="2C732B4D" w14:textId="25BEA794" w:rsidR="001A4847" w:rsidRPr="001A4847" w:rsidRDefault="001A4847" w:rsidP="001A4847">
      <w:pPr>
        <w:rPr>
          <w:u w:val="single"/>
          <w:lang w:eastAsia="x-none"/>
        </w:rPr>
      </w:pPr>
      <w:r w:rsidRPr="001A4847">
        <w:rPr>
          <w:lang w:eastAsia="x-none"/>
        </w:rPr>
        <w:tab/>
      </w:r>
      <w:r w:rsidRPr="000D07AB">
        <w:rPr>
          <w:lang w:eastAsia="x-none"/>
        </w:rPr>
        <w:t>Gregory.price@puc.state.oh.us</w:t>
      </w:r>
    </w:p>
    <w:p w14:paraId="62562F16" w14:textId="77777777" w:rsidR="001A4847" w:rsidRDefault="001A4847" w:rsidP="001A4847">
      <w:pPr>
        <w:spacing w:line="480" w:lineRule="auto"/>
        <w:rPr>
          <w:lang w:eastAsia="x-none"/>
        </w:rPr>
      </w:pPr>
    </w:p>
    <w:sectPr w:rsidR="001A4847" w:rsidSect="001035F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D8C60" w14:textId="77777777" w:rsidR="001F63FA" w:rsidRDefault="001F63FA" w:rsidP="00171428">
      <w:r>
        <w:separator/>
      </w:r>
    </w:p>
  </w:endnote>
  <w:endnote w:type="continuationSeparator" w:id="0">
    <w:p w14:paraId="52F7FA4A" w14:textId="77777777" w:rsidR="001F63FA" w:rsidRDefault="001F63FA" w:rsidP="00171428">
      <w:r>
        <w:continuationSeparator/>
      </w:r>
    </w:p>
  </w:endnote>
  <w:endnote w:type="continuationNotice" w:id="1">
    <w:p w14:paraId="4132A8B0" w14:textId="77777777" w:rsidR="001F63FA" w:rsidRDefault="001F6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7AF1" w14:textId="77777777" w:rsidR="000D07AB" w:rsidRDefault="000D0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ED53" w14:textId="77777777" w:rsidR="000D07AB" w:rsidRDefault="000D0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C77C7" w14:textId="77777777" w:rsidR="000D07AB" w:rsidRDefault="000D0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5DF7" w14:textId="77777777" w:rsidR="001F63FA" w:rsidRDefault="001F63FA" w:rsidP="00171428">
      <w:r>
        <w:separator/>
      </w:r>
    </w:p>
  </w:footnote>
  <w:footnote w:type="continuationSeparator" w:id="0">
    <w:p w14:paraId="5A2D08E0" w14:textId="77777777" w:rsidR="001F63FA" w:rsidRDefault="001F63FA" w:rsidP="00171428">
      <w:r>
        <w:continuationSeparator/>
      </w:r>
    </w:p>
  </w:footnote>
  <w:footnote w:type="continuationNotice" w:id="1">
    <w:p w14:paraId="62AFBB4E" w14:textId="77777777" w:rsidR="001F63FA" w:rsidRDefault="001F63FA"/>
  </w:footnote>
  <w:footnote w:id="2">
    <w:p w14:paraId="258D7970" w14:textId="6327A764" w:rsidR="00E13C40" w:rsidRPr="00896FC1" w:rsidRDefault="00E13C40" w:rsidP="00896FC1">
      <w:pPr>
        <w:pStyle w:val="FootnoteText"/>
        <w:spacing w:after="120"/>
      </w:pPr>
      <w:r w:rsidRPr="00896FC1">
        <w:rPr>
          <w:rStyle w:val="FootnoteReference"/>
        </w:rPr>
        <w:footnoteRef/>
      </w:r>
      <w:r w:rsidR="006662C1">
        <w:t xml:space="preserve"> </w:t>
      </w:r>
      <w:r w:rsidRPr="00896FC1">
        <w:t>“FirstEnergy” is the Ohio Edison Company, The Cleveland Electric Illuminating Company, and The Toledo Edison Company.</w:t>
      </w:r>
    </w:p>
  </w:footnote>
  <w:footnote w:id="3">
    <w:p w14:paraId="1AABA17D" w14:textId="5067317B" w:rsidR="001F63FA" w:rsidRPr="00896FC1" w:rsidRDefault="001F63FA" w:rsidP="00896FC1">
      <w:pPr>
        <w:pStyle w:val="FootnoteText"/>
        <w:spacing w:after="120"/>
      </w:pPr>
      <w:r w:rsidRPr="00896FC1">
        <w:rPr>
          <w:rStyle w:val="FootnoteReference"/>
        </w:rPr>
        <w:footnoteRef/>
      </w:r>
      <w:r w:rsidRPr="00896FC1">
        <w:t xml:space="preserve"> </w:t>
      </w:r>
      <w:r w:rsidR="00114F4E" w:rsidRPr="00896FC1">
        <w:t xml:space="preserve">Memorandum in Support of </w:t>
      </w:r>
      <w:r w:rsidRPr="00896FC1">
        <w:t>AEP Ohio Motion to Reopen, at 2.</w:t>
      </w:r>
    </w:p>
  </w:footnote>
  <w:footnote w:id="4">
    <w:p w14:paraId="455F03B7" w14:textId="21E21BF8" w:rsidR="001F63FA" w:rsidRPr="00896FC1" w:rsidRDefault="001F63FA" w:rsidP="00896FC1">
      <w:pPr>
        <w:pStyle w:val="FootnoteText"/>
        <w:spacing w:after="120"/>
      </w:pPr>
      <w:r w:rsidRPr="00896FC1">
        <w:rPr>
          <w:rStyle w:val="FootnoteReference"/>
        </w:rPr>
        <w:footnoteRef/>
      </w:r>
      <w:r w:rsidRPr="00896FC1">
        <w:t xml:space="preserve"> F</w:t>
      </w:r>
      <w:r w:rsidR="008B0D84" w:rsidRPr="00896FC1">
        <w:t>irstEnergy</w:t>
      </w:r>
      <w:r w:rsidRPr="00896FC1">
        <w:t xml:space="preserve"> Memo Contra at 3-13.</w:t>
      </w:r>
    </w:p>
  </w:footnote>
  <w:footnote w:id="5">
    <w:p w14:paraId="19C668DA" w14:textId="6DA5867F" w:rsidR="00FC3EB5" w:rsidRPr="00896FC1" w:rsidRDefault="00FC3EB5" w:rsidP="00896FC1">
      <w:pPr>
        <w:pStyle w:val="FootnoteText"/>
        <w:spacing w:after="120"/>
      </w:pPr>
      <w:r w:rsidRPr="00896FC1">
        <w:rPr>
          <w:rStyle w:val="FootnoteReference"/>
        </w:rPr>
        <w:footnoteRef/>
      </w:r>
      <w:r w:rsidRPr="00896FC1">
        <w:rPr>
          <w:i/>
        </w:rPr>
        <w:t xml:space="preserve"> See</w:t>
      </w:r>
      <w:r w:rsidRPr="00896FC1">
        <w:t xml:space="preserve"> Ohio Adm. Code 4901-1-34(A).</w:t>
      </w:r>
    </w:p>
  </w:footnote>
  <w:footnote w:id="6">
    <w:p w14:paraId="691E4C02" w14:textId="7A57BC3A" w:rsidR="001F63FA" w:rsidRPr="00896FC1" w:rsidRDefault="001F63FA" w:rsidP="00896FC1">
      <w:pPr>
        <w:pStyle w:val="FootnoteText"/>
        <w:spacing w:after="120"/>
        <w:rPr>
          <w:i/>
        </w:rPr>
      </w:pPr>
      <w:r w:rsidRPr="00896FC1">
        <w:rPr>
          <w:rStyle w:val="FootnoteReference"/>
        </w:rPr>
        <w:footnoteRef/>
      </w:r>
      <w:r w:rsidRPr="00896FC1">
        <w:t xml:space="preserve"> </w:t>
      </w:r>
      <w:r w:rsidR="00251549" w:rsidRPr="00896FC1">
        <w:t>F</w:t>
      </w:r>
      <w:r w:rsidR="008B0D84" w:rsidRPr="00896FC1">
        <w:t>irst</w:t>
      </w:r>
      <w:r w:rsidR="00251549" w:rsidRPr="00896FC1">
        <w:t>E</w:t>
      </w:r>
      <w:r w:rsidR="008B0D84" w:rsidRPr="00896FC1">
        <w:t>nergy</w:t>
      </w:r>
      <w:r w:rsidR="00251549" w:rsidRPr="00896FC1">
        <w:t xml:space="preserve"> Memo Contra at 3.</w:t>
      </w:r>
    </w:p>
  </w:footnote>
  <w:footnote w:id="7">
    <w:p w14:paraId="4A56E256" w14:textId="417D48BB" w:rsidR="001F63FA" w:rsidRPr="00896FC1" w:rsidRDefault="001F63FA" w:rsidP="00896FC1">
      <w:pPr>
        <w:pStyle w:val="FootnoteText"/>
        <w:spacing w:after="120"/>
      </w:pPr>
      <w:r w:rsidRPr="00896FC1">
        <w:rPr>
          <w:rStyle w:val="FootnoteReference"/>
        </w:rPr>
        <w:footnoteRef/>
      </w:r>
      <w:r w:rsidRPr="00896FC1">
        <w:t xml:space="preserve"> </w:t>
      </w:r>
      <w:r w:rsidR="009C3728" w:rsidRPr="00896FC1">
        <w:t xml:space="preserve">Memorandum in Support of </w:t>
      </w:r>
      <w:r w:rsidRPr="00896FC1">
        <w:t>AEP Ohio Motion to Reopen</w:t>
      </w:r>
      <w:r w:rsidR="00114F4E" w:rsidRPr="00896FC1">
        <w:t xml:space="preserve"> </w:t>
      </w:r>
      <w:r w:rsidRPr="00896FC1">
        <w:t>at 2.</w:t>
      </w:r>
    </w:p>
  </w:footnote>
  <w:footnote w:id="8">
    <w:p w14:paraId="0235CF84" w14:textId="77777777" w:rsidR="001F63FA" w:rsidRPr="00896FC1" w:rsidRDefault="001F63FA" w:rsidP="00896FC1">
      <w:pPr>
        <w:pStyle w:val="FootnoteText"/>
        <w:spacing w:after="120"/>
      </w:pPr>
      <w:r w:rsidRPr="00896FC1">
        <w:rPr>
          <w:rStyle w:val="FootnoteReference"/>
        </w:rPr>
        <w:footnoteRef/>
      </w:r>
      <w:r w:rsidRPr="00896FC1">
        <w:t xml:space="preserve"> Initial Brief of FirstEnergy at 37-39, 51-54; Reply Brief of FirstEnergy at 27-32.</w:t>
      </w:r>
    </w:p>
  </w:footnote>
  <w:footnote w:id="9">
    <w:p w14:paraId="6566BF5C" w14:textId="73FD2E89" w:rsidR="001F63FA" w:rsidRPr="00896FC1" w:rsidRDefault="001F63FA" w:rsidP="00896FC1">
      <w:pPr>
        <w:pStyle w:val="FootnoteText"/>
        <w:spacing w:after="120"/>
      </w:pPr>
      <w:r w:rsidRPr="00896FC1">
        <w:rPr>
          <w:rStyle w:val="FootnoteReference"/>
        </w:rPr>
        <w:footnoteRef/>
      </w:r>
      <w:r w:rsidRPr="00896FC1">
        <w:t xml:space="preserve"> </w:t>
      </w:r>
      <w:r w:rsidR="00114F4E" w:rsidRPr="00896FC1">
        <w:t xml:space="preserve">Memorandum in Support of </w:t>
      </w:r>
      <w:r w:rsidRPr="00896FC1">
        <w:t>AEP Ohio Motion to Reopen at 4.</w:t>
      </w:r>
    </w:p>
  </w:footnote>
  <w:footnote w:id="10">
    <w:p w14:paraId="31C82669" w14:textId="77777777" w:rsidR="001F63FA" w:rsidRPr="00896FC1" w:rsidRDefault="001F63FA" w:rsidP="00896FC1">
      <w:pPr>
        <w:pStyle w:val="FootnoteText"/>
        <w:spacing w:after="120"/>
      </w:pPr>
      <w:r w:rsidRPr="00896FC1">
        <w:rPr>
          <w:rStyle w:val="FootnoteReference"/>
        </w:rPr>
        <w:footnoteRef/>
      </w:r>
      <w:r w:rsidRPr="00896FC1">
        <w:t xml:space="preserve"> Post-Hearing Initial Brief of FirstEnergy at 59-63.</w:t>
      </w:r>
    </w:p>
  </w:footnote>
  <w:footnote w:id="11">
    <w:p w14:paraId="21086A22" w14:textId="433C3E71" w:rsidR="00E101F9" w:rsidRPr="00896FC1" w:rsidRDefault="00E101F9" w:rsidP="00896FC1">
      <w:pPr>
        <w:pStyle w:val="FootnoteText"/>
        <w:spacing w:after="120"/>
      </w:pPr>
      <w:r w:rsidRPr="00896FC1">
        <w:rPr>
          <w:rStyle w:val="FootnoteReference"/>
        </w:rPr>
        <w:footnoteRef/>
      </w:r>
      <w:r w:rsidRPr="00896FC1">
        <w:t xml:space="preserve"> Memorandum in Support of AEP Ohio Motion to Reopen, footnote 2,  page 5.  (“[I]t is unclear to AEP Ohio why the identity of the provided would be protected from disclosure.”)</w:t>
      </w:r>
    </w:p>
  </w:footnote>
  <w:footnote w:id="12">
    <w:p w14:paraId="13898C20" w14:textId="4690FCBA" w:rsidR="009C3728" w:rsidRPr="00896FC1" w:rsidRDefault="009C3728" w:rsidP="00896FC1">
      <w:pPr>
        <w:pStyle w:val="FootnoteText"/>
        <w:spacing w:after="120"/>
      </w:pPr>
      <w:r w:rsidRPr="00896FC1">
        <w:rPr>
          <w:rStyle w:val="FootnoteReference"/>
        </w:rPr>
        <w:footnoteRef/>
      </w:r>
      <w:r w:rsidRPr="00896FC1">
        <w:t xml:space="preserve"> </w:t>
      </w:r>
      <w:r w:rsidR="00114F4E" w:rsidRPr="00896FC1">
        <w:t>Memorandum in Support of</w:t>
      </w:r>
      <w:r w:rsidRPr="00896FC1">
        <w:t xml:space="preserve"> </w:t>
      </w:r>
      <w:r w:rsidR="00114F4E" w:rsidRPr="00896FC1">
        <w:t xml:space="preserve">AEP </w:t>
      </w:r>
      <w:r w:rsidRPr="00896FC1">
        <w:t>Ohio</w:t>
      </w:r>
      <w:r w:rsidR="0083622D" w:rsidRPr="00896FC1">
        <w:t xml:space="preserve"> Motion to Reopen, f</w:t>
      </w:r>
      <w:r w:rsidR="000A3AD4" w:rsidRPr="00896FC1">
        <w:t xml:space="preserve">ootnote 1, </w:t>
      </w:r>
      <w:r w:rsidRPr="00896FC1">
        <w:t>page 4.</w:t>
      </w:r>
    </w:p>
  </w:footnote>
  <w:footnote w:id="13">
    <w:p w14:paraId="28A82E4C" w14:textId="1357C0A0" w:rsidR="009A3C71" w:rsidRPr="00896FC1" w:rsidRDefault="009A3C71" w:rsidP="00896FC1">
      <w:pPr>
        <w:pStyle w:val="FootnoteText"/>
        <w:spacing w:after="120"/>
      </w:pPr>
      <w:r w:rsidRPr="00896FC1">
        <w:rPr>
          <w:rStyle w:val="FootnoteReference"/>
        </w:rPr>
        <w:footnoteRef/>
      </w:r>
      <w:r w:rsidRPr="00896FC1">
        <w:rPr>
          <w:i/>
        </w:rPr>
        <w:t xml:space="preserve"> </w:t>
      </w:r>
      <w:r w:rsidR="0084579C">
        <w:t xml:space="preserve">FirstEnergy </w:t>
      </w:r>
      <w:r w:rsidR="0083622D" w:rsidRPr="00896FC1">
        <w:t>Memo Contra</w:t>
      </w:r>
      <w:r w:rsidRPr="00896FC1">
        <w:t xml:space="preserve"> at 5.</w:t>
      </w:r>
    </w:p>
  </w:footnote>
  <w:footnote w:id="14">
    <w:p w14:paraId="7C09B20E" w14:textId="449219AD" w:rsidR="006B707F" w:rsidRPr="00896FC1" w:rsidRDefault="006B707F" w:rsidP="00896FC1">
      <w:pPr>
        <w:spacing w:after="120"/>
        <w:rPr>
          <w:sz w:val="20"/>
          <w:szCs w:val="20"/>
        </w:rPr>
      </w:pPr>
      <w:r w:rsidRPr="00896FC1">
        <w:rPr>
          <w:rStyle w:val="FootnoteReference"/>
          <w:sz w:val="20"/>
          <w:szCs w:val="20"/>
        </w:rPr>
        <w:footnoteRef/>
      </w:r>
      <w:r w:rsidRPr="00896FC1">
        <w:rPr>
          <w:sz w:val="20"/>
          <w:szCs w:val="20"/>
        </w:rPr>
        <w:t xml:space="preserve"> </w:t>
      </w:r>
      <w:r w:rsidR="00F12B9E" w:rsidRPr="00896FC1">
        <w:rPr>
          <w:rFonts w:eastAsiaTheme="minorHAnsi"/>
          <w:sz w:val="20"/>
          <w:szCs w:val="20"/>
        </w:rPr>
        <w:t>OCC’s Reply Brief at 48-49 (Stating the information should be publicly disclosed.). OCC’s Initial Brief at 58-62, 65, 67, 73, 79, 83-84, 86-87 (Stating the information does not qualify as a trade secret and it should be publicly disclosed.). OCC’s Reply to FirstEnergy’s Memorandum Contra the OCC’s Motion to Compel filed on December 14, 2012, at 2-3, 6, 8, 14-15 (Stating that the information is not a trade secret and should not be made public.). OCC’s Memorandum Contra FirstEnergy’s Motion for a Protective Order filed on October 18, 2012, at 6, 21, 24, 29, 35 (Stating that the information is not a trade secret and should be made public.).</w:t>
      </w:r>
    </w:p>
  </w:footnote>
  <w:footnote w:id="15">
    <w:p w14:paraId="17E5A762" w14:textId="3A1E5123" w:rsidR="006B707F" w:rsidRPr="00896FC1" w:rsidRDefault="006B707F" w:rsidP="00896FC1">
      <w:pPr>
        <w:spacing w:after="120"/>
        <w:rPr>
          <w:sz w:val="20"/>
          <w:szCs w:val="20"/>
        </w:rPr>
      </w:pPr>
      <w:r w:rsidRPr="00896FC1">
        <w:rPr>
          <w:rStyle w:val="FootnoteReference"/>
          <w:sz w:val="20"/>
          <w:szCs w:val="20"/>
        </w:rPr>
        <w:footnoteRef/>
      </w:r>
      <w:r w:rsidR="00896FC1">
        <w:rPr>
          <w:rFonts w:eastAsiaTheme="minorHAnsi"/>
          <w:sz w:val="20"/>
          <w:szCs w:val="20"/>
        </w:rPr>
        <w:t xml:space="preserve"> </w:t>
      </w:r>
      <w:r w:rsidR="00F12B9E" w:rsidRPr="00896FC1">
        <w:rPr>
          <w:rFonts w:eastAsiaTheme="minorHAnsi"/>
          <w:sz w:val="20"/>
          <w:szCs w:val="20"/>
        </w:rPr>
        <w:t xml:space="preserve">Initial Brief of the Environmental Law and Policy Center, the Ohio Environmental Council, and Sierra Club at 1, 25-29. (Stating the information is not a trade secret and should be available in the public domain.). </w:t>
      </w:r>
      <w:r w:rsidRPr="00896FC1">
        <w:rPr>
          <w:sz w:val="20"/>
          <w:szCs w:val="20"/>
        </w:rPr>
        <w:t xml:space="preserve"> </w:t>
      </w:r>
    </w:p>
  </w:footnote>
  <w:footnote w:id="16">
    <w:p w14:paraId="7C9C1DC9" w14:textId="59DFE474" w:rsidR="00E9442F" w:rsidRDefault="00E9442F" w:rsidP="00E9442F">
      <w:pPr>
        <w:pStyle w:val="FootnoteText"/>
        <w:spacing w:after="120"/>
      </w:pPr>
      <w:r>
        <w:rPr>
          <w:rStyle w:val="FootnoteReference"/>
        </w:rPr>
        <w:footnoteRef/>
      </w:r>
      <w:r>
        <w:t xml:space="preserve"> OCC Memorandum Contra, at 4-5 (Feb. 25, 2013); </w:t>
      </w:r>
      <w:r>
        <w:rPr>
          <w:i/>
        </w:rPr>
        <w:t>In the Matter of the Petition of Deborah Davis and Numerous Other Subscribers of the Mogadore Exchange of Ameritech Ohio v. Ameritech Ohio and Verizon North Incorporated</w:t>
      </w:r>
      <w:r>
        <w:t xml:space="preserve">, Case No. 02-1752-TP-TXP, 2002 Ohio PUC LEXIS 889, Entry at 1-2 (Sept. 30, 2002); </w:t>
      </w:r>
      <w:r>
        <w:rPr>
          <w:i/>
        </w:rPr>
        <w:t>See also, In the Matter of the Petition of Dean Thomas and Numerous Other Subscribers of the Laura Exchange of Verizon North Inc. v. Verizon North Inc. and United Telephone Company of Ohio dba Sprint</w:t>
      </w:r>
      <w:r>
        <w:t xml:space="preserve">, Case No. 02-880-TP-TXP, 2002 Ohio PUC LEXIS 679, Entry at 3 (Jul. 31, 2002); </w:t>
      </w:r>
      <w:r>
        <w:rPr>
          <w:i/>
        </w:rPr>
        <w:t>In the Matter of the Commission’s Promulgation of Rules for Market Monitoring Pursuant to Chapter 4928, Revised Code</w:t>
      </w:r>
      <w:r>
        <w:t>, Case No. 99-1612-EL-ORD, 2000 Ohio PUC LEXIS 445, Finding and Order at 6 (Mar. 30, 2000) (stating “The fact that the information is confidential, however, does not preclude the Commission or Commission Staff from publishing [] data in an aggregated form”).</w:t>
      </w:r>
    </w:p>
  </w:footnote>
  <w:footnote w:id="17">
    <w:p w14:paraId="0C2F97BE" w14:textId="77777777" w:rsidR="00E9442F" w:rsidRDefault="00E9442F" w:rsidP="006662C1">
      <w:pPr>
        <w:pStyle w:val="FootnoteText"/>
        <w:spacing w:after="120"/>
      </w:pPr>
      <w:r>
        <w:rPr>
          <w:rStyle w:val="FootnoteReference"/>
        </w:rPr>
        <w:footnoteRef/>
      </w:r>
      <w:r>
        <w:t xml:space="preserve"> Ohio Adm. Code 4901-1-34(A).</w:t>
      </w:r>
    </w:p>
  </w:footnote>
  <w:footnote w:id="18">
    <w:p w14:paraId="18DD00E9" w14:textId="77777777" w:rsidR="00E9442F" w:rsidRPr="00180DBF" w:rsidRDefault="00E9442F" w:rsidP="00E9442F">
      <w:pPr>
        <w:pStyle w:val="FootnoteText"/>
      </w:pPr>
      <w:r w:rsidRPr="00180DBF">
        <w:rPr>
          <w:rStyle w:val="FootnoteReference"/>
        </w:rPr>
        <w:footnoteRef/>
      </w:r>
      <w:r w:rsidRPr="00180DBF">
        <w:t xml:space="preserve"> </w:t>
      </w:r>
      <w:r w:rsidRPr="00180DBF">
        <w:rPr>
          <w:i/>
        </w:rPr>
        <w:t>In</w:t>
      </w:r>
      <w:r w:rsidRPr="00180DBF">
        <w:t xml:space="preserve"> </w:t>
      </w:r>
      <w:r w:rsidRPr="00180DBF">
        <w:rPr>
          <w:i/>
        </w:rPr>
        <w:t>the Matter of the Complaint of Lisa and Clayton Giuffre</w:t>
      </w:r>
      <w:r w:rsidRPr="00180DBF">
        <w:t>, Pub. Util. Comm. No/ 88-1707-EL-CSS, 1989 Ohio PUC L</w:t>
      </w:r>
      <w:r>
        <w:t xml:space="preserve">EXIS 280, at *1 (April 4, 1989) (acknowledging </w:t>
      </w:r>
      <w:r>
        <w:rPr>
          <w:lang w:eastAsia="x-none"/>
        </w:rPr>
        <w:t>that a complete record  is an essential goal of the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95CAF" w14:textId="77777777" w:rsidR="000D07AB" w:rsidRDefault="000D0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A153" w14:textId="77777777" w:rsidR="000D07AB" w:rsidRDefault="000D0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7F1C" w14:textId="77777777" w:rsidR="000D07AB" w:rsidRDefault="000D0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0FF6"/>
    <w:multiLevelType w:val="hybridMultilevel"/>
    <w:tmpl w:val="5ECC4AD6"/>
    <w:lvl w:ilvl="0" w:tplc="28164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E27AD1"/>
    <w:multiLevelType w:val="hybridMultilevel"/>
    <w:tmpl w:val="16A4E162"/>
    <w:lvl w:ilvl="0" w:tplc="DD62BA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891ADC"/>
    <w:multiLevelType w:val="hybridMultilevel"/>
    <w:tmpl w:val="37D08140"/>
    <w:lvl w:ilvl="0" w:tplc="D76ABADA">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28"/>
    <w:rsid w:val="00004A86"/>
    <w:rsid w:val="000116B7"/>
    <w:rsid w:val="00032031"/>
    <w:rsid w:val="00053093"/>
    <w:rsid w:val="00060081"/>
    <w:rsid w:val="00066A7B"/>
    <w:rsid w:val="00074522"/>
    <w:rsid w:val="00077A1A"/>
    <w:rsid w:val="00086540"/>
    <w:rsid w:val="000A3AD4"/>
    <w:rsid w:val="000A43FE"/>
    <w:rsid w:val="000B3D49"/>
    <w:rsid w:val="000B6270"/>
    <w:rsid w:val="000C3AAA"/>
    <w:rsid w:val="000D07AB"/>
    <w:rsid w:val="000E7E8E"/>
    <w:rsid w:val="001035FB"/>
    <w:rsid w:val="00110EBE"/>
    <w:rsid w:val="00114F4E"/>
    <w:rsid w:val="00123441"/>
    <w:rsid w:val="00136C73"/>
    <w:rsid w:val="00160E52"/>
    <w:rsid w:val="00171428"/>
    <w:rsid w:val="00180DBF"/>
    <w:rsid w:val="001A473D"/>
    <w:rsid w:val="001A4847"/>
    <w:rsid w:val="001D117C"/>
    <w:rsid w:val="001D53D6"/>
    <w:rsid w:val="001F63FA"/>
    <w:rsid w:val="002158EF"/>
    <w:rsid w:val="00231BF4"/>
    <w:rsid w:val="00251549"/>
    <w:rsid w:val="00267EAE"/>
    <w:rsid w:val="00273ECC"/>
    <w:rsid w:val="002764B8"/>
    <w:rsid w:val="00294415"/>
    <w:rsid w:val="002A3343"/>
    <w:rsid w:val="002C06A9"/>
    <w:rsid w:val="002C63F4"/>
    <w:rsid w:val="002E43A9"/>
    <w:rsid w:val="002F038E"/>
    <w:rsid w:val="002F7581"/>
    <w:rsid w:val="0031086C"/>
    <w:rsid w:val="00327285"/>
    <w:rsid w:val="00342D95"/>
    <w:rsid w:val="00347D86"/>
    <w:rsid w:val="00351428"/>
    <w:rsid w:val="003676E1"/>
    <w:rsid w:val="003F43E1"/>
    <w:rsid w:val="004006D1"/>
    <w:rsid w:val="00414F03"/>
    <w:rsid w:val="00426C8F"/>
    <w:rsid w:val="00431CF1"/>
    <w:rsid w:val="00457056"/>
    <w:rsid w:val="00476198"/>
    <w:rsid w:val="004915FD"/>
    <w:rsid w:val="004C08E2"/>
    <w:rsid w:val="004D406B"/>
    <w:rsid w:val="004F4C66"/>
    <w:rsid w:val="00500BA3"/>
    <w:rsid w:val="00500D0C"/>
    <w:rsid w:val="0050527A"/>
    <w:rsid w:val="00510DC6"/>
    <w:rsid w:val="00520345"/>
    <w:rsid w:val="00543ED6"/>
    <w:rsid w:val="00553502"/>
    <w:rsid w:val="00556823"/>
    <w:rsid w:val="00562E45"/>
    <w:rsid w:val="0056398C"/>
    <w:rsid w:val="0057393E"/>
    <w:rsid w:val="00575032"/>
    <w:rsid w:val="0057564A"/>
    <w:rsid w:val="005A0E8B"/>
    <w:rsid w:val="005A3EA3"/>
    <w:rsid w:val="005B52AB"/>
    <w:rsid w:val="005C35B3"/>
    <w:rsid w:val="005D1C7C"/>
    <w:rsid w:val="005E0B91"/>
    <w:rsid w:val="005E49CB"/>
    <w:rsid w:val="005E6ACE"/>
    <w:rsid w:val="00606221"/>
    <w:rsid w:val="0061426A"/>
    <w:rsid w:val="0061702E"/>
    <w:rsid w:val="00636348"/>
    <w:rsid w:val="00657227"/>
    <w:rsid w:val="006610B1"/>
    <w:rsid w:val="006662C1"/>
    <w:rsid w:val="00667004"/>
    <w:rsid w:val="00687ACA"/>
    <w:rsid w:val="00693D69"/>
    <w:rsid w:val="006A3C96"/>
    <w:rsid w:val="006A4B0D"/>
    <w:rsid w:val="006B707F"/>
    <w:rsid w:val="006C6F70"/>
    <w:rsid w:val="006F6C93"/>
    <w:rsid w:val="00724F27"/>
    <w:rsid w:val="007270AF"/>
    <w:rsid w:val="0076495A"/>
    <w:rsid w:val="0077634C"/>
    <w:rsid w:val="00777677"/>
    <w:rsid w:val="007945F6"/>
    <w:rsid w:val="007F5ADD"/>
    <w:rsid w:val="00806806"/>
    <w:rsid w:val="0080721D"/>
    <w:rsid w:val="00822D24"/>
    <w:rsid w:val="0082363E"/>
    <w:rsid w:val="0083622D"/>
    <w:rsid w:val="00836689"/>
    <w:rsid w:val="00841A4C"/>
    <w:rsid w:val="0084579C"/>
    <w:rsid w:val="00854105"/>
    <w:rsid w:val="00866619"/>
    <w:rsid w:val="00876085"/>
    <w:rsid w:val="0088031C"/>
    <w:rsid w:val="00885F0B"/>
    <w:rsid w:val="00896FC1"/>
    <w:rsid w:val="008B0D84"/>
    <w:rsid w:val="008D296C"/>
    <w:rsid w:val="008D336F"/>
    <w:rsid w:val="008D50BB"/>
    <w:rsid w:val="009107B2"/>
    <w:rsid w:val="0092680B"/>
    <w:rsid w:val="00941F02"/>
    <w:rsid w:val="0094216B"/>
    <w:rsid w:val="00987D3F"/>
    <w:rsid w:val="009A0AED"/>
    <w:rsid w:val="009A1019"/>
    <w:rsid w:val="009A309C"/>
    <w:rsid w:val="009A38CD"/>
    <w:rsid w:val="009A3C71"/>
    <w:rsid w:val="009C3728"/>
    <w:rsid w:val="009F3AB0"/>
    <w:rsid w:val="00A046B7"/>
    <w:rsid w:val="00A2720B"/>
    <w:rsid w:val="00A4566C"/>
    <w:rsid w:val="00A52A66"/>
    <w:rsid w:val="00A71AA4"/>
    <w:rsid w:val="00A72CFE"/>
    <w:rsid w:val="00A868ED"/>
    <w:rsid w:val="00AA7B32"/>
    <w:rsid w:val="00AD050D"/>
    <w:rsid w:val="00AE08D7"/>
    <w:rsid w:val="00AF15B9"/>
    <w:rsid w:val="00B05C1B"/>
    <w:rsid w:val="00B06E08"/>
    <w:rsid w:val="00B137E1"/>
    <w:rsid w:val="00B175AD"/>
    <w:rsid w:val="00B225CA"/>
    <w:rsid w:val="00B26111"/>
    <w:rsid w:val="00B3146A"/>
    <w:rsid w:val="00B418C9"/>
    <w:rsid w:val="00B5364B"/>
    <w:rsid w:val="00B6192A"/>
    <w:rsid w:val="00B61A1C"/>
    <w:rsid w:val="00B667A8"/>
    <w:rsid w:val="00B918BF"/>
    <w:rsid w:val="00B9345B"/>
    <w:rsid w:val="00B9735E"/>
    <w:rsid w:val="00BB3DB4"/>
    <w:rsid w:val="00BD3C58"/>
    <w:rsid w:val="00BF4C3A"/>
    <w:rsid w:val="00C102FE"/>
    <w:rsid w:val="00C153E7"/>
    <w:rsid w:val="00C43A31"/>
    <w:rsid w:val="00C4423C"/>
    <w:rsid w:val="00C478AE"/>
    <w:rsid w:val="00C56617"/>
    <w:rsid w:val="00C7661C"/>
    <w:rsid w:val="00C77DEC"/>
    <w:rsid w:val="00C97616"/>
    <w:rsid w:val="00CB56C1"/>
    <w:rsid w:val="00CC32AC"/>
    <w:rsid w:val="00CD6212"/>
    <w:rsid w:val="00D16DE0"/>
    <w:rsid w:val="00D22DA3"/>
    <w:rsid w:val="00D23DFF"/>
    <w:rsid w:val="00D279ED"/>
    <w:rsid w:val="00D33441"/>
    <w:rsid w:val="00D4724D"/>
    <w:rsid w:val="00D71085"/>
    <w:rsid w:val="00D772DB"/>
    <w:rsid w:val="00D844AC"/>
    <w:rsid w:val="00D9204B"/>
    <w:rsid w:val="00D9231B"/>
    <w:rsid w:val="00D9433F"/>
    <w:rsid w:val="00D9589F"/>
    <w:rsid w:val="00DB5A3A"/>
    <w:rsid w:val="00DC65AD"/>
    <w:rsid w:val="00DD73C0"/>
    <w:rsid w:val="00DF3BBC"/>
    <w:rsid w:val="00E101F9"/>
    <w:rsid w:val="00E13C40"/>
    <w:rsid w:val="00E2659E"/>
    <w:rsid w:val="00E36304"/>
    <w:rsid w:val="00E82498"/>
    <w:rsid w:val="00E82950"/>
    <w:rsid w:val="00E84291"/>
    <w:rsid w:val="00E9442F"/>
    <w:rsid w:val="00EA187A"/>
    <w:rsid w:val="00EA683A"/>
    <w:rsid w:val="00ED20CD"/>
    <w:rsid w:val="00ED38E3"/>
    <w:rsid w:val="00ED58EE"/>
    <w:rsid w:val="00ED6608"/>
    <w:rsid w:val="00F10098"/>
    <w:rsid w:val="00F12B9E"/>
    <w:rsid w:val="00F33A97"/>
    <w:rsid w:val="00F61597"/>
    <w:rsid w:val="00F65C49"/>
    <w:rsid w:val="00F95F9E"/>
    <w:rsid w:val="00FC3EB5"/>
    <w:rsid w:val="00FE0D19"/>
    <w:rsid w:val="00FE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158EF"/>
    <w:pPr>
      <w:keepNext/>
      <w:numPr>
        <w:numId w:val="1"/>
      </w:numPr>
      <w:spacing w:after="240"/>
      <w:ind w:left="720"/>
      <w:outlineLvl w:val="0"/>
    </w:pPr>
    <w:rPr>
      <w:rFonts w:ascii="Times New Roman Bold" w:hAnsi="Times New Roman Bold"/>
      <w:b/>
      <w:bCs/>
      <w:cap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1428"/>
    <w:pPr>
      <w:tabs>
        <w:tab w:val="left" w:pos="0"/>
        <w:tab w:val="left" w:pos="720"/>
        <w:tab w:val="center" w:pos="4320"/>
        <w:tab w:val="right" w:pos="8640"/>
      </w:tabs>
      <w:spacing w:line="480" w:lineRule="auto"/>
    </w:pPr>
    <w:rPr>
      <w:lang w:val="x-none" w:eastAsia="x-none"/>
    </w:rPr>
  </w:style>
  <w:style w:type="character" w:customStyle="1" w:styleId="FooterChar">
    <w:name w:val="Footer Char"/>
    <w:basedOn w:val="DefaultParagraphFont"/>
    <w:link w:val="Footer"/>
    <w:uiPriority w:val="99"/>
    <w:rsid w:val="0017142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171428"/>
    <w:pPr>
      <w:tabs>
        <w:tab w:val="left" w:pos="0"/>
        <w:tab w:val="left" w:pos="720"/>
      </w:tabs>
      <w:spacing w:line="480" w:lineRule="auto"/>
      <w:ind w:firstLine="720"/>
    </w:pPr>
    <w:rPr>
      <w:szCs w:val="20"/>
    </w:rPr>
  </w:style>
  <w:style w:type="character" w:customStyle="1" w:styleId="BodyTextChar">
    <w:name w:val="Body Text Char"/>
    <w:basedOn w:val="DefaultParagraphFont"/>
    <w:link w:val="BodyText"/>
    <w:rsid w:val="00171428"/>
    <w:rPr>
      <w:rFonts w:ascii="Times New Roman" w:eastAsia="Times New Roman" w:hAnsi="Times New Roman" w:cs="Times New Roman"/>
      <w:sz w:val="24"/>
      <w:szCs w:val="20"/>
    </w:rPr>
  </w:style>
  <w:style w:type="paragraph" w:styleId="FootnoteText">
    <w:name w:val="footnote text"/>
    <w:basedOn w:val="Normal"/>
    <w:link w:val="FootnoteTextChar1"/>
    <w:rsid w:val="00171428"/>
    <w:rPr>
      <w:sz w:val="20"/>
      <w:szCs w:val="20"/>
    </w:rPr>
  </w:style>
  <w:style w:type="character" w:customStyle="1" w:styleId="FootnoteTextChar">
    <w:name w:val="Footnote Text Char"/>
    <w:basedOn w:val="DefaultParagraphFont"/>
    <w:rsid w:val="00171428"/>
    <w:rPr>
      <w:rFonts w:ascii="Times New Roman" w:eastAsia="Times New Roman" w:hAnsi="Times New Roman" w:cs="Times New Roman"/>
      <w:sz w:val="20"/>
      <w:szCs w:val="20"/>
    </w:rPr>
  </w:style>
  <w:style w:type="character" w:styleId="FootnoteReference">
    <w:name w:val="footnote reference"/>
    <w:rsid w:val="00171428"/>
    <w:rPr>
      <w:vertAlign w:val="superscript"/>
    </w:rPr>
  </w:style>
  <w:style w:type="character" w:customStyle="1" w:styleId="FootnoteTextChar1">
    <w:name w:val="Footnote Text Char1"/>
    <w:link w:val="FootnoteText"/>
    <w:rsid w:val="0017142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158EF"/>
    <w:rPr>
      <w:rFonts w:ascii="Times New Roman Bold" w:eastAsia="Times New Roman" w:hAnsi="Times New Roman Bold" w:cs="Times New Roman"/>
      <w:b/>
      <w:bCs/>
      <w:caps/>
      <w:kern w:val="32"/>
      <w:sz w:val="24"/>
      <w:szCs w:val="32"/>
      <w:lang w:val="x-none" w:eastAsia="x-none"/>
    </w:rPr>
  </w:style>
  <w:style w:type="paragraph" w:styleId="Date">
    <w:name w:val="Date"/>
    <w:basedOn w:val="Normal"/>
    <w:next w:val="Normal"/>
    <w:link w:val="DateChar"/>
    <w:rsid w:val="002158EF"/>
    <w:rPr>
      <w:szCs w:val="20"/>
    </w:rPr>
  </w:style>
  <w:style w:type="character" w:customStyle="1" w:styleId="DateChar">
    <w:name w:val="Date Char"/>
    <w:basedOn w:val="DefaultParagraphFont"/>
    <w:link w:val="Date"/>
    <w:rsid w:val="002158EF"/>
    <w:rPr>
      <w:rFonts w:ascii="Times New Roman" w:eastAsia="Times New Roman" w:hAnsi="Times New Roman" w:cs="Times New Roman"/>
      <w:sz w:val="24"/>
      <w:szCs w:val="20"/>
    </w:rPr>
  </w:style>
  <w:style w:type="paragraph" w:customStyle="1" w:styleId="ShortReturnAddress">
    <w:name w:val="Short Return Address"/>
    <w:basedOn w:val="Normal"/>
    <w:rsid w:val="002158EF"/>
    <w:rPr>
      <w:szCs w:val="20"/>
    </w:rPr>
  </w:style>
  <w:style w:type="paragraph" w:styleId="ListParagraph">
    <w:name w:val="List Paragraph"/>
    <w:basedOn w:val="Normal"/>
    <w:uiPriority w:val="34"/>
    <w:qFormat/>
    <w:rsid w:val="002158EF"/>
    <w:pPr>
      <w:ind w:left="720"/>
      <w:contextualSpacing/>
    </w:pPr>
  </w:style>
  <w:style w:type="paragraph" w:styleId="BodyTextFirstIndent">
    <w:name w:val="Body Text First Indent"/>
    <w:basedOn w:val="BodyText"/>
    <w:link w:val="BodyTextFirstIndentChar"/>
    <w:rsid w:val="002158EF"/>
    <w:pPr>
      <w:tabs>
        <w:tab w:val="clear" w:pos="0"/>
        <w:tab w:val="clear" w:pos="720"/>
      </w:tabs>
      <w:spacing w:after="120" w:line="240" w:lineRule="auto"/>
      <w:ind w:firstLine="210"/>
    </w:pPr>
    <w:rPr>
      <w:szCs w:val="24"/>
    </w:rPr>
  </w:style>
  <w:style w:type="character" w:customStyle="1" w:styleId="BodyTextFirstIndentChar">
    <w:name w:val="Body Text First Indent Char"/>
    <w:basedOn w:val="BodyTextChar"/>
    <w:link w:val="BodyTextFirstIndent"/>
    <w:rsid w:val="002158EF"/>
    <w:rPr>
      <w:rFonts w:ascii="Times New Roman" w:eastAsia="Times New Roman" w:hAnsi="Times New Roman" w:cs="Times New Roman"/>
      <w:sz w:val="24"/>
      <w:szCs w:val="24"/>
    </w:rPr>
  </w:style>
  <w:style w:type="character" w:styleId="Hyperlink">
    <w:name w:val="Hyperlink"/>
    <w:uiPriority w:val="99"/>
    <w:unhideWhenUsed/>
    <w:rsid w:val="002158EF"/>
    <w:rPr>
      <w:strike w:val="0"/>
      <w:dstrike w:val="0"/>
      <w:color w:val="004B91"/>
      <w:u w:val="none"/>
      <w:effect w:val="none"/>
    </w:rPr>
  </w:style>
  <w:style w:type="paragraph" w:styleId="BodyTextIndent">
    <w:name w:val="Body Text Indent"/>
    <w:basedOn w:val="Normal"/>
    <w:link w:val="BodyTextIndentChar"/>
    <w:uiPriority w:val="99"/>
    <w:semiHidden/>
    <w:unhideWhenUsed/>
    <w:rsid w:val="00D279ED"/>
    <w:pPr>
      <w:spacing w:after="120"/>
      <w:ind w:left="360"/>
    </w:pPr>
  </w:style>
  <w:style w:type="character" w:customStyle="1" w:styleId="BodyTextIndentChar">
    <w:name w:val="Body Text Indent Char"/>
    <w:basedOn w:val="DefaultParagraphFont"/>
    <w:link w:val="BodyTextIndent"/>
    <w:uiPriority w:val="99"/>
    <w:semiHidden/>
    <w:rsid w:val="00D279E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D279ED"/>
    <w:pPr>
      <w:ind w:firstLine="210"/>
    </w:pPr>
  </w:style>
  <w:style w:type="character" w:customStyle="1" w:styleId="BodyTextFirstIndent2Char">
    <w:name w:val="Body Text First Indent 2 Char"/>
    <w:basedOn w:val="BodyTextIndentChar"/>
    <w:link w:val="BodyTextFirstIndent2"/>
    <w:rsid w:val="00D279ED"/>
    <w:rPr>
      <w:rFonts w:ascii="Times New Roman" w:eastAsia="Times New Roman" w:hAnsi="Times New Roman" w:cs="Times New Roman"/>
      <w:sz w:val="24"/>
      <w:szCs w:val="24"/>
    </w:rPr>
  </w:style>
  <w:style w:type="paragraph" w:styleId="BodyTextIndent3">
    <w:name w:val="Body Text Indent 3"/>
    <w:basedOn w:val="Normal"/>
    <w:link w:val="BodyTextIndent3Char"/>
    <w:rsid w:val="00D279ED"/>
    <w:pPr>
      <w:spacing w:after="120"/>
      <w:ind w:left="360"/>
    </w:pPr>
    <w:rPr>
      <w:sz w:val="16"/>
      <w:szCs w:val="16"/>
    </w:rPr>
  </w:style>
  <w:style w:type="character" w:customStyle="1" w:styleId="BodyTextIndent3Char">
    <w:name w:val="Body Text Indent 3 Char"/>
    <w:basedOn w:val="DefaultParagraphFont"/>
    <w:link w:val="BodyTextIndent3"/>
    <w:rsid w:val="00D279ED"/>
    <w:rPr>
      <w:rFonts w:ascii="Times New Roman" w:eastAsia="Times New Roman" w:hAnsi="Times New Roman" w:cs="Times New Roman"/>
      <w:sz w:val="16"/>
      <w:szCs w:val="16"/>
    </w:rPr>
  </w:style>
  <w:style w:type="character" w:customStyle="1" w:styleId="term1">
    <w:name w:val="term1"/>
    <w:rsid w:val="00D279ED"/>
    <w:rPr>
      <w:b/>
      <w:bCs/>
    </w:rPr>
  </w:style>
  <w:style w:type="paragraph" w:styleId="BalloonText">
    <w:name w:val="Balloon Text"/>
    <w:basedOn w:val="Normal"/>
    <w:link w:val="BalloonTextChar"/>
    <w:uiPriority w:val="99"/>
    <w:semiHidden/>
    <w:unhideWhenUsed/>
    <w:rsid w:val="00D279ED"/>
    <w:rPr>
      <w:rFonts w:ascii="Tahoma" w:hAnsi="Tahoma" w:cs="Tahoma"/>
      <w:sz w:val="16"/>
      <w:szCs w:val="16"/>
    </w:rPr>
  </w:style>
  <w:style w:type="character" w:customStyle="1" w:styleId="BalloonTextChar">
    <w:name w:val="Balloon Text Char"/>
    <w:basedOn w:val="DefaultParagraphFont"/>
    <w:link w:val="BalloonText"/>
    <w:uiPriority w:val="99"/>
    <w:semiHidden/>
    <w:rsid w:val="00D279ED"/>
    <w:rPr>
      <w:rFonts w:ascii="Tahoma" w:eastAsia="Times New Roman" w:hAnsi="Tahoma" w:cs="Tahoma"/>
      <w:sz w:val="16"/>
      <w:szCs w:val="16"/>
    </w:rPr>
  </w:style>
  <w:style w:type="paragraph" w:styleId="Header">
    <w:name w:val="header"/>
    <w:basedOn w:val="Normal"/>
    <w:link w:val="HeaderChar"/>
    <w:uiPriority w:val="99"/>
    <w:unhideWhenUsed/>
    <w:rsid w:val="00D279ED"/>
    <w:pPr>
      <w:tabs>
        <w:tab w:val="center" w:pos="4680"/>
        <w:tab w:val="right" w:pos="9360"/>
      </w:tabs>
    </w:pPr>
  </w:style>
  <w:style w:type="character" w:customStyle="1" w:styleId="HeaderChar">
    <w:name w:val="Header Char"/>
    <w:basedOn w:val="DefaultParagraphFont"/>
    <w:link w:val="Header"/>
    <w:uiPriority w:val="99"/>
    <w:rsid w:val="00D279E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53E7"/>
    <w:rPr>
      <w:sz w:val="18"/>
      <w:szCs w:val="18"/>
    </w:rPr>
  </w:style>
  <w:style w:type="paragraph" w:styleId="CommentText">
    <w:name w:val="annotation text"/>
    <w:basedOn w:val="Normal"/>
    <w:link w:val="CommentTextChar"/>
    <w:uiPriority w:val="99"/>
    <w:semiHidden/>
    <w:unhideWhenUsed/>
    <w:rsid w:val="00C153E7"/>
  </w:style>
  <w:style w:type="character" w:customStyle="1" w:styleId="CommentTextChar">
    <w:name w:val="Comment Text Char"/>
    <w:basedOn w:val="DefaultParagraphFont"/>
    <w:link w:val="CommentText"/>
    <w:uiPriority w:val="99"/>
    <w:semiHidden/>
    <w:rsid w:val="00C153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53E7"/>
    <w:rPr>
      <w:b/>
      <w:bCs/>
      <w:sz w:val="20"/>
      <w:szCs w:val="20"/>
    </w:rPr>
  </w:style>
  <w:style w:type="character" w:customStyle="1" w:styleId="CommentSubjectChar">
    <w:name w:val="Comment Subject Char"/>
    <w:basedOn w:val="CommentTextChar"/>
    <w:link w:val="CommentSubject"/>
    <w:uiPriority w:val="99"/>
    <w:semiHidden/>
    <w:rsid w:val="00C153E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158EF"/>
    <w:pPr>
      <w:keepNext/>
      <w:numPr>
        <w:numId w:val="1"/>
      </w:numPr>
      <w:spacing w:after="240"/>
      <w:ind w:left="720"/>
      <w:outlineLvl w:val="0"/>
    </w:pPr>
    <w:rPr>
      <w:rFonts w:ascii="Times New Roman Bold" w:hAnsi="Times New Roman Bold"/>
      <w:b/>
      <w:bCs/>
      <w:cap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1428"/>
    <w:pPr>
      <w:tabs>
        <w:tab w:val="left" w:pos="0"/>
        <w:tab w:val="left" w:pos="720"/>
        <w:tab w:val="center" w:pos="4320"/>
        <w:tab w:val="right" w:pos="8640"/>
      </w:tabs>
      <w:spacing w:line="480" w:lineRule="auto"/>
    </w:pPr>
    <w:rPr>
      <w:lang w:val="x-none" w:eastAsia="x-none"/>
    </w:rPr>
  </w:style>
  <w:style w:type="character" w:customStyle="1" w:styleId="FooterChar">
    <w:name w:val="Footer Char"/>
    <w:basedOn w:val="DefaultParagraphFont"/>
    <w:link w:val="Footer"/>
    <w:uiPriority w:val="99"/>
    <w:rsid w:val="0017142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171428"/>
    <w:pPr>
      <w:tabs>
        <w:tab w:val="left" w:pos="0"/>
        <w:tab w:val="left" w:pos="720"/>
      </w:tabs>
      <w:spacing w:line="480" w:lineRule="auto"/>
      <w:ind w:firstLine="720"/>
    </w:pPr>
    <w:rPr>
      <w:szCs w:val="20"/>
    </w:rPr>
  </w:style>
  <w:style w:type="character" w:customStyle="1" w:styleId="BodyTextChar">
    <w:name w:val="Body Text Char"/>
    <w:basedOn w:val="DefaultParagraphFont"/>
    <w:link w:val="BodyText"/>
    <w:rsid w:val="00171428"/>
    <w:rPr>
      <w:rFonts w:ascii="Times New Roman" w:eastAsia="Times New Roman" w:hAnsi="Times New Roman" w:cs="Times New Roman"/>
      <w:sz w:val="24"/>
      <w:szCs w:val="20"/>
    </w:rPr>
  </w:style>
  <w:style w:type="paragraph" w:styleId="FootnoteText">
    <w:name w:val="footnote text"/>
    <w:basedOn w:val="Normal"/>
    <w:link w:val="FootnoteTextChar1"/>
    <w:rsid w:val="00171428"/>
    <w:rPr>
      <w:sz w:val="20"/>
      <w:szCs w:val="20"/>
    </w:rPr>
  </w:style>
  <w:style w:type="character" w:customStyle="1" w:styleId="FootnoteTextChar">
    <w:name w:val="Footnote Text Char"/>
    <w:basedOn w:val="DefaultParagraphFont"/>
    <w:rsid w:val="00171428"/>
    <w:rPr>
      <w:rFonts w:ascii="Times New Roman" w:eastAsia="Times New Roman" w:hAnsi="Times New Roman" w:cs="Times New Roman"/>
      <w:sz w:val="20"/>
      <w:szCs w:val="20"/>
    </w:rPr>
  </w:style>
  <w:style w:type="character" w:styleId="FootnoteReference">
    <w:name w:val="footnote reference"/>
    <w:rsid w:val="00171428"/>
    <w:rPr>
      <w:vertAlign w:val="superscript"/>
    </w:rPr>
  </w:style>
  <w:style w:type="character" w:customStyle="1" w:styleId="FootnoteTextChar1">
    <w:name w:val="Footnote Text Char1"/>
    <w:link w:val="FootnoteText"/>
    <w:rsid w:val="0017142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158EF"/>
    <w:rPr>
      <w:rFonts w:ascii="Times New Roman Bold" w:eastAsia="Times New Roman" w:hAnsi="Times New Roman Bold" w:cs="Times New Roman"/>
      <w:b/>
      <w:bCs/>
      <w:caps/>
      <w:kern w:val="32"/>
      <w:sz w:val="24"/>
      <w:szCs w:val="32"/>
      <w:lang w:val="x-none" w:eastAsia="x-none"/>
    </w:rPr>
  </w:style>
  <w:style w:type="paragraph" w:styleId="Date">
    <w:name w:val="Date"/>
    <w:basedOn w:val="Normal"/>
    <w:next w:val="Normal"/>
    <w:link w:val="DateChar"/>
    <w:rsid w:val="002158EF"/>
    <w:rPr>
      <w:szCs w:val="20"/>
    </w:rPr>
  </w:style>
  <w:style w:type="character" w:customStyle="1" w:styleId="DateChar">
    <w:name w:val="Date Char"/>
    <w:basedOn w:val="DefaultParagraphFont"/>
    <w:link w:val="Date"/>
    <w:rsid w:val="002158EF"/>
    <w:rPr>
      <w:rFonts w:ascii="Times New Roman" w:eastAsia="Times New Roman" w:hAnsi="Times New Roman" w:cs="Times New Roman"/>
      <w:sz w:val="24"/>
      <w:szCs w:val="20"/>
    </w:rPr>
  </w:style>
  <w:style w:type="paragraph" w:customStyle="1" w:styleId="ShortReturnAddress">
    <w:name w:val="Short Return Address"/>
    <w:basedOn w:val="Normal"/>
    <w:rsid w:val="002158EF"/>
    <w:rPr>
      <w:szCs w:val="20"/>
    </w:rPr>
  </w:style>
  <w:style w:type="paragraph" w:styleId="ListParagraph">
    <w:name w:val="List Paragraph"/>
    <w:basedOn w:val="Normal"/>
    <w:uiPriority w:val="34"/>
    <w:qFormat/>
    <w:rsid w:val="002158EF"/>
    <w:pPr>
      <w:ind w:left="720"/>
      <w:contextualSpacing/>
    </w:pPr>
  </w:style>
  <w:style w:type="paragraph" w:styleId="BodyTextFirstIndent">
    <w:name w:val="Body Text First Indent"/>
    <w:basedOn w:val="BodyText"/>
    <w:link w:val="BodyTextFirstIndentChar"/>
    <w:rsid w:val="002158EF"/>
    <w:pPr>
      <w:tabs>
        <w:tab w:val="clear" w:pos="0"/>
        <w:tab w:val="clear" w:pos="720"/>
      </w:tabs>
      <w:spacing w:after="120" w:line="240" w:lineRule="auto"/>
      <w:ind w:firstLine="210"/>
    </w:pPr>
    <w:rPr>
      <w:szCs w:val="24"/>
    </w:rPr>
  </w:style>
  <w:style w:type="character" w:customStyle="1" w:styleId="BodyTextFirstIndentChar">
    <w:name w:val="Body Text First Indent Char"/>
    <w:basedOn w:val="BodyTextChar"/>
    <w:link w:val="BodyTextFirstIndent"/>
    <w:rsid w:val="002158EF"/>
    <w:rPr>
      <w:rFonts w:ascii="Times New Roman" w:eastAsia="Times New Roman" w:hAnsi="Times New Roman" w:cs="Times New Roman"/>
      <w:sz w:val="24"/>
      <w:szCs w:val="24"/>
    </w:rPr>
  </w:style>
  <w:style w:type="character" w:styleId="Hyperlink">
    <w:name w:val="Hyperlink"/>
    <w:uiPriority w:val="99"/>
    <w:unhideWhenUsed/>
    <w:rsid w:val="002158EF"/>
    <w:rPr>
      <w:strike w:val="0"/>
      <w:dstrike w:val="0"/>
      <w:color w:val="004B91"/>
      <w:u w:val="none"/>
      <w:effect w:val="none"/>
    </w:rPr>
  </w:style>
  <w:style w:type="paragraph" w:styleId="BodyTextIndent">
    <w:name w:val="Body Text Indent"/>
    <w:basedOn w:val="Normal"/>
    <w:link w:val="BodyTextIndentChar"/>
    <w:uiPriority w:val="99"/>
    <w:semiHidden/>
    <w:unhideWhenUsed/>
    <w:rsid w:val="00D279ED"/>
    <w:pPr>
      <w:spacing w:after="120"/>
      <w:ind w:left="360"/>
    </w:pPr>
  </w:style>
  <w:style w:type="character" w:customStyle="1" w:styleId="BodyTextIndentChar">
    <w:name w:val="Body Text Indent Char"/>
    <w:basedOn w:val="DefaultParagraphFont"/>
    <w:link w:val="BodyTextIndent"/>
    <w:uiPriority w:val="99"/>
    <w:semiHidden/>
    <w:rsid w:val="00D279E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D279ED"/>
    <w:pPr>
      <w:ind w:firstLine="210"/>
    </w:pPr>
  </w:style>
  <w:style w:type="character" w:customStyle="1" w:styleId="BodyTextFirstIndent2Char">
    <w:name w:val="Body Text First Indent 2 Char"/>
    <w:basedOn w:val="BodyTextIndentChar"/>
    <w:link w:val="BodyTextFirstIndent2"/>
    <w:rsid w:val="00D279ED"/>
    <w:rPr>
      <w:rFonts w:ascii="Times New Roman" w:eastAsia="Times New Roman" w:hAnsi="Times New Roman" w:cs="Times New Roman"/>
      <w:sz w:val="24"/>
      <w:szCs w:val="24"/>
    </w:rPr>
  </w:style>
  <w:style w:type="paragraph" w:styleId="BodyTextIndent3">
    <w:name w:val="Body Text Indent 3"/>
    <w:basedOn w:val="Normal"/>
    <w:link w:val="BodyTextIndent3Char"/>
    <w:rsid w:val="00D279ED"/>
    <w:pPr>
      <w:spacing w:after="120"/>
      <w:ind w:left="360"/>
    </w:pPr>
    <w:rPr>
      <w:sz w:val="16"/>
      <w:szCs w:val="16"/>
    </w:rPr>
  </w:style>
  <w:style w:type="character" w:customStyle="1" w:styleId="BodyTextIndent3Char">
    <w:name w:val="Body Text Indent 3 Char"/>
    <w:basedOn w:val="DefaultParagraphFont"/>
    <w:link w:val="BodyTextIndent3"/>
    <w:rsid w:val="00D279ED"/>
    <w:rPr>
      <w:rFonts w:ascii="Times New Roman" w:eastAsia="Times New Roman" w:hAnsi="Times New Roman" w:cs="Times New Roman"/>
      <w:sz w:val="16"/>
      <w:szCs w:val="16"/>
    </w:rPr>
  </w:style>
  <w:style w:type="character" w:customStyle="1" w:styleId="term1">
    <w:name w:val="term1"/>
    <w:rsid w:val="00D279ED"/>
    <w:rPr>
      <w:b/>
      <w:bCs/>
    </w:rPr>
  </w:style>
  <w:style w:type="paragraph" w:styleId="BalloonText">
    <w:name w:val="Balloon Text"/>
    <w:basedOn w:val="Normal"/>
    <w:link w:val="BalloonTextChar"/>
    <w:uiPriority w:val="99"/>
    <w:semiHidden/>
    <w:unhideWhenUsed/>
    <w:rsid w:val="00D279ED"/>
    <w:rPr>
      <w:rFonts w:ascii="Tahoma" w:hAnsi="Tahoma" w:cs="Tahoma"/>
      <w:sz w:val="16"/>
      <w:szCs w:val="16"/>
    </w:rPr>
  </w:style>
  <w:style w:type="character" w:customStyle="1" w:styleId="BalloonTextChar">
    <w:name w:val="Balloon Text Char"/>
    <w:basedOn w:val="DefaultParagraphFont"/>
    <w:link w:val="BalloonText"/>
    <w:uiPriority w:val="99"/>
    <w:semiHidden/>
    <w:rsid w:val="00D279ED"/>
    <w:rPr>
      <w:rFonts w:ascii="Tahoma" w:eastAsia="Times New Roman" w:hAnsi="Tahoma" w:cs="Tahoma"/>
      <w:sz w:val="16"/>
      <w:szCs w:val="16"/>
    </w:rPr>
  </w:style>
  <w:style w:type="paragraph" w:styleId="Header">
    <w:name w:val="header"/>
    <w:basedOn w:val="Normal"/>
    <w:link w:val="HeaderChar"/>
    <w:uiPriority w:val="99"/>
    <w:unhideWhenUsed/>
    <w:rsid w:val="00D279ED"/>
    <w:pPr>
      <w:tabs>
        <w:tab w:val="center" w:pos="4680"/>
        <w:tab w:val="right" w:pos="9360"/>
      </w:tabs>
    </w:pPr>
  </w:style>
  <w:style w:type="character" w:customStyle="1" w:styleId="HeaderChar">
    <w:name w:val="Header Char"/>
    <w:basedOn w:val="DefaultParagraphFont"/>
    <w:link w:val="Header"/>
    <w:uiPriority w:val="99"/>
    <w:rsid w:val="00D279E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53E7"/>
    <w:rPr>
      <w:sz w:val="18"/>
      <w:szCs w:val="18"/>
    </w:rPr>
  </w:style>
  <w:style w:type="paragraph" w:styleId="CommentText">
    <w:name w:val="annotation text"/>
    <w:basedOn w:val="Normal"/>
    <w:link w:val="CommentTextChar"/>
    <w:uiPriority w:val="99"/>
    <w:semiHidden/>
    <w:unhideWhenUsed/>
    <w:rsid w:val="00C153E7"/>
  </w:style>
  <w:style w:type="character" w:customStyle="1" w:styleId="CommentTextChar">
    <w:name w:val="Comment Text Char"/>
    <w:basedOn w:val="DefaultParagraphFont"/>
    <w:link w:val="CommentText"/>
    <w:uiPriority w:val="99"/>
    <w:semiHidden/>
    <w:rsid w:val="00C153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53E7"/>
    <w:rPr>
      <w:b/>
      <w:bCs/>
      <w:sz w:val="20"/>
      <w:szCs w:val="20"/>
    </w:rPr>
  </w:style>
  <w:style w:type="character" w:customStyle="1" w:styleId="CommentSubjectChar">
    <w:name w:val="Comment Subject Char"/>
    <w:basedOn w:val="CommentTextChar"/>
    <w:link w:val="CommentSubject"/>
    <w:uiPriority w:val="99"/>
    <w:semiHidden/>
    <w:rsid w:val="00C153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6489</Characters>
  <Application>Microsoft Office Word</Application>
  <DocSecurity>0</DocSecurity>
  <Lines>165</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2013-07-09T20:10:00Z</dcterms:created>
  <dcterms:modified xsi:type="dcterms:W3CDTF">2013-07-09T20:10:00Z</dcterms:modified>
  <cp:category> </cp:category>
  <cp:contentStatus> </cp:contentStatus>
</cp:coreProperties>
</file>