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13E92" w14:textId="77777777" w:rsidR="00A8124A" w:rsidRDefault="00A8124A" w:rsidP="00A8124A">
      <w:pPr>
        <w:jc w:val="center"/>
        <w:rPr>
          <w:rFonts w:ascii="Times New Roman" w:hAnsi="Times New Roman" w:cs="Times New Roman"/>
          <w:b/>
        </w:rPr>
      </w:pPr>
      <w:r>
        <w:rPr>
          <w:rFonts w:ascii="Times New Roman" w:hAnsi="Times New Roman" w:cs="Times New Roman"/>
          <w:b/>
        </w:rPr>
        <w:t>BEFORE</w:t>
      </w:r>
    </w:p>
    <w:p w14:paraId="5A5A3437" w14:textId="77777777" w:rsidR="00A8124A" w:rsidRDefault="00A8124A" w:rsidP="00A8124A">
      <w:pPr>
        <w:jc w:val="center"/>
        <w:rPr>
          <w:rFonts w:ascii="Times New Roman" w:hAnsi="Times New Roman" w:cs="Times New Roman"/>
          <w:b/>
        </w:rPr>
      </w:pPr>
      <w:r>
        <w:rPr>
          <w:rFonts w:ascii="Times New Roman" w:hAnsi="Times New Roman" w:cs="Times New Roman"/>
          <w:b/>
        </w:rPr>
        <w:t>THE PUBLIC UTILITIES COMMISSION OF OHIO</w:t>
      </w:r>
    </w:p>
    <w:p w14:paraId="5191FF44" w14:textId="77777777" w:rsidR="00A8124A" w:rsidRDefault="00A8124A" w:rsidP="00A8124A">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50"/>
        <w:gridCol w:w="4518"/>
      </w:tblGrid>
      <w:tr w:rsidR="00A8124A" w14:paraId="3892DD1D" w14:textId="77777777" w:rsidTr="008358C6">
        <w:tc>
          <w:tcPr>
            <w:tcW w:w="4608" w:type="dxa"/>
          </w:tcPr>
          <w:p w14:paraId="68FAB302" w14:textId="77777777" w:rsidR="00A8124A" w:rsidRDefault="00A8124A" w:rsidP="008358C6">
            <w:pPr>
              <w:rPr>
                <w:rFonts w:ascii="Times New Roman" w:hAnsi="Times New Roman" w:cs="Times New Roman"/>
              </w:rPr>
            </w:pPr>
            <w:r>
              <w:rPr>
                <w:rFonts w:ascii="Times New Roman" w:hAnsi="Times New Roman" w:cs="Times New Roman"/>
              </w:rPr>
              <w:t>In the Matter of the Application of Columbus Southern Power Company and Ohio Power Company for Authority to Establish a Standard Service Offer Pursuant to Section 4928.143, Revised Code, in the Form of an Electric Security Plan.</w:t>
            </w:r>
          </w:p>
          <w:p w14:paraId="74B255B9" w14:textId="77777777" w:rsidR="00A8124A" w:rsidRDefault="00A8124A" w:rsidP="008358C6">
            <w:pPr>
              <w:rPr>
                <w:rFonts w:ascii="Times New Roman" w:hAnsi="Times New Roman" w:cs="Times New Roman"/>
              </w:rPr>
            </w:pPr>
          </w:p>
        </w:tc>
        <w:tc>
          <w:tcPr>
            <w:tcW w:w="450" w:type="dxa"/>
          </w:tcPr>
          <w:p w14:paraId="788FA007"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38FB1644"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139213EF"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66137A82"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144FC065"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52949D22" w14:textId="77777777" w:rsidR="00A8124A" w:rsidRDefault="00A8124A" w:rsidP="008358C6">
            <w:pPr>
              <w:jc w:val="center"/>
              <w:rPr>
                <w:rFonts w:ascii="Times New Roman" w:hAnsi="Times New Roman" w:cs="Times New Roman"/>
              </w:rPr>
            </w:pPr>
            <w:r>
              <w:rPr>
                <w:rFonts w:ascii="Times New Roman" w:hAnsi="Times New Roman" w:cs="Times New Roman"/>
              </w:rPr>
              <w:t>)</w:t>
            </w:r>
          </w:p>
        </w:tc>
        <w:tc>
          <w:tcPr>
            <w:tcW w:w="4518" w:type="dxa"/>
          </w:tcPr>
          <w:p w14:paraId="2A5D1544" w14:textId="77777777" w:rsidR="00A8124A" w:rsidRDefault="00A8124A" w:rsidP="008358C6">
            <w:pPr>
              <w:ind w:firstLine="342"/>
              <w:rPr>
                <w:rFonts w:ascii="Times New Roman" w:hAnsi="Times New Roman" w:cs="Times New Roman"/>
              </w:rPr>
            </w:pPr>
          </w:p>
          <w:p w14:paraId="5005AB77" w14:textId="77777777" w:rsidR="00A8124A" w:rsidRDefault="00A8124A" w:rsidP="008358C6">
            <w:pPr>
              <w:ind w:firstLine="342"/>
              <w:rPr>
                <w:rFonts w:ascii="Times New Roman" w:hAnsi="Times New Roman" w:cs="Times New Roman"/>
              </w:rPr>
            </w:pPr>
          </w:p>
          <w:p w14:paraId="048FE54D" w14:textId="77777777" w:rsidR="00A8124A" w:rsidRDefault="00A8124A" w:rsidP="008358C6">
            <w:pPr>
              <w:ind w:firstLine="342"/>
              <w:rPr>
                <w:rFonts w:ascii="Times New Roman" w:hAnsi="Times New Roman" w:cs="Times New Roman"/>
              </w:rPr>
            </w:pPr>
            <w:r>
              <w:rPr>
                <w:rFonts w:ascii="Times New Roman" w:hAnsi="Times New Roman" w:cs="Times New Roman"/>
              </w:rPr>
              <w:t>Case No. 11-346-EL-SSO</w:t>
            </w:r>
          </w:p>
          <w:p w14:paraId="1F5C721F" w14:textId="77777777" w:rsidR="00A8124A" w:rsidRDefault="00A8124A" w:rsidP="008358C6">
            <w:pPr>
              <w:ind w:firstLine="342"/>
              <w:rPr>
                <w:rFonts w:ascii="Times New Roman" w:hAnsi="Times New Roman" w:cs="Times New Roman"/>
              </w:rPr>
            </w:pPr>
            <w:r>
              <w:rPr>
                <w:rFonts w:ascii="Times New Roman" w:hAnsi="Times New Roman" w:cs="Times New Roman"/>
              </w:rPr>
              <w:t>Case No. 11-348-EL-SSO</w:t>
            </w:r>
          </w:p>
        </w:tc>
      </w:tr>
      <w:tr w:rsidR="00A8124A" w14:paraId="3B976A55" w14:textId="77777777" w:rsidTr="008358C6">
        <w:tc>
          <w:tcPr>
            <w:tcW w:w="4608" w:type="dxa"/>
          </w:tcPr>
          <w:p w14:paraId="753970CE" w14:textId="77777777" w:rsidR="00A8124A" w:rsidRDefault="00A8124A" w:rsidP="008358C6">
            <w:pPr>
              <w:rPr>
                <w:rFonts w:ascii="Times New Roman" w:hAnsi="Times New Roman" w:cs="Times New Roman"/>
              </w:rPr>
            </w:pPr>
            <w:r>
              <w:rPr>
                <w:rFonts w:ascii="Times New Roman" w:hAnsi="Times New Roman" w:cs="Times New Roman"/>
              </w:rPr>
              <w:t xml:space="preserve">In the Matter of the Application of Columbus Southern Power Company and Ohio Power Company for Approval of Certain Accounting Authority. </w:t>
            </w:r>
          </w:p>
        </w:tc>
        <w:tc>
          <w:tcPr>
            <w:tcW w:w="450" w:type="dxa"/>
          </w:tcPr>
          <w:p w14:paraId="37A995C8"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7FE3F8BD"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67CA57C1" w14:textId="77777777" w:rsidR="00A8124A" w:rsidRDefault="00A8124A" w:rsidP="008358C6">
            <w:pPr>
              <w:jc w:val="center"/>
              <w:rPr>
                <w:rFonts w:ascii="Times New Roman" w:hAnsi="Times New Roman" w:cs="Times New Roman"/>
              </w:rPr>
            </w:pPr>
            <w:r>
              <w:rPr>
                <w:rFonts w:ascii="Times New Roman" w:hAnsi="Times New Roman" w:cs="Times New Roman"/>
              </w:rPr>
              <w:t>)</w:t>
            </w:r>
          </w:p>
          <w:p w14:paraId="589572EF" w14:textId="77777777" w:rsidR="00A8124A" w:rsidRDefault="00A8124A" w:rsidP="008358C6">
            <w:pPr>
              <w:jc w:val="center"/>
              <w:rPr>
                <w:rFonts w:ascii="Times New Roman" w:hAnsi="Times New Roman" w:cs="Times New Roman"/>
              </w:rPr>
            </w:pPr>
            <w:r>
              <w:rPr>
                <w:rFonts w:ascii="Times New Roman" w:hAnsi="Times New Roman" w:cs="Times New Roman"/>
              </w:rPr>
              <w:t>)</w:t>
            </w:r>
          </w:p>
        </w:tc>
        <w:tc>
          <w:tcPr>
            <w:tcW w:w="4518" w:type="dxa"/>
          </w:tcPr>
          <w:p w14:paraId="78672345" w14:textId="77777777" w:rsidR="00A8124A" w:rsidRDefault="00A8124A" w:rsidP="008358C6">
            <w:pPr>
              <w:ind w:firstLine="342"/>
              <w:rPr>
                <w:rFonts w:ascii="Times New Roman" w:hAnsi="Times New Roman" w:cs="Times New Roman"/>
              </w:rPr>
            </w:pPr>
          </w:p>
          <w:p w14:paraId="27C11637" w14:textId="77777777" w:rsidR="00A8124A" w:rsidRDefault="00A8124A" w:rsidP="008358C6">
            <w:pPr>
              <w:ind w:firstLine="342"/>
              <w:rPr>
                <w:rFonts w:ascii="Times New Roman" w:hAnsi="Times New Roman" w:cs="Times New Roman"/>
              </w:rPr>
            </w:pPr>
            <w:r>
              <w:rPr>
                <w:rFonts w:ascii="Times New Roman" w:hAnsi="Times New Roman" w:cs="Times New Roman"/>
              </w:rPr>
              <w:t>Case No. 11-349-EL-AAM</w:t>
            </w:r>
          </w:p>
          <w:p w14:paraId="357DF11B" w14:textId="77777777" w:rsidR="00A8124A" w:rsidRDefault="00A8124A" w:rsidP="008358C6">
            <w:pPr>
              <w:ind w:firstLine="342"/>
              <w:rPr>
                <w:rFonts w:ascii="Times New Roman" w:hAnsi="Times New Roman" w:cs="Times New Roman"/>
              </w:rPr>
            </w:pPr>
            <w:r>
              <w:rPr>
                <w:rFonts w:ascii="Times New Roman" w:hAnsi="Times New Roman" w:cs="Times New Roman"/>
              </w:rPr>
              <w:t>Case No. 11-350-EL-AAM</w:t>
            </w:r>
          </w:p>
        </w:tc>
      </w:tr>
    </w:tbl>
    <w:p w14:paraId="3AD70A55" w14:textId="77777777" w:rsidR="00A8124A" w:rsidRDefault="00A8124A" w:rsidP="00A8124A">
      <w:pPr>
        <w:jc w:val="center"/>
        <w:rPr>
          <w:rFonts w:ascii="Times New Roman" w:hAnsi="Times New Roman" w:cs="Times New Roman"/>
        </w:rPr>
      </w:pPr>
    </w:p>
    <w:p w14:paraId="66B43558" w14:textId="77777777" w:rsidR="00A8124A" w:rsidRPr="006E2F32" w:rsidRDefault="00A8124A" w:rsidP="00A8124A">
      <w:pPr>
        <w:jc w:val="center"/>
        <w:rPr>
          <w:rFonts w:ascii="Times New Roman" w:hAnsi="Times New Roman" w:cs="Times New Roman"/>
          <w:b/>
        </w:rPr>
      </w:pPr>
      <w:r>
        <w:rPr>
          <w:rFonts w:ascii="Times New Roman" w:hAnsi="Times New Roman" w:cs="Times New Roman"/>
          <w:b/>
        </w:rPr>
        <w:t>REPLY BRIEF OF</w:t>
      </w:r>
    </w:p>
    <w:p w14:paraId="2A6F6256" w14:textId="77777777" w:rsidR="00A8124A" w:rsidRDefault="00A8124A" w:rsidP="00A8124A">
      <w:pPr>
        <w:jc w:val="center"/>
        <w:rPr>
          <w:rFonts w:ascii="Times New Roman" w:hAnsi="Times New Roman" w:cs="Times New Roman"/>
          <w:b/>
          <w:u w:val="single"/>
        </w:rPr>
      </w:pPr>
      <w:r>
        <w:rPr>
          <w:rFonts w:ascii="Times New Roman" w:hAnsi="Times New Roman" w:cs="Times New Roman"/>
          <w:b/>
          <w:u w:val="single"/>
        </w:rPr>
        <w:t>INTERSTATE GAS SUPPLY, INC.</w:t>
      </w:r>
    </w:p>
    <w:p w14:paraId="0E1C5044" w14:textId="77777777" w:rsidR="00A8124A" w:rsidRDefault="00A8124A" w:rsidP="00A8124A">
      <w:pPr>
        <w:rPr>
          <w:rFonts w:ascii="Times New Roman" w:hAnsi="Times New Roman" w:cs="Times New Roman"/>
          <w:b/>
          <w:u w:val="single"/>
        </w:rPr>
      </w:pPr>
    </w:p>
    <w:p w14:paraId="6F3FFE11" w14:textId="77777777" w:rsidR="00A8124A" w:rsidRDefault="00A8124A" w:rsidP="00A8124A">
      <w:pPr>
        <w:rPr>
          <w:rFonts w:ascii="Times New Roman" w:hAnsi="Times New Roman" w:cs="Times New Roman"/>
          <w:b/>
          <w:u w:val="single"/>
        </w:rPr>
      </w:pPr>
    </w:p>
    <w:p w14:paraId="0502C951" w14:textId="77777777" w:rsidR="00A8124A" w:rsidRDefault="00A8124A" w:rsidP="00A8124A">
      <w:pPr>
        <w:rPr>
          <w:rFonts w:ascii="Times New Roman" w:hAnsi="Times New Roman" w:cs="Times New Roman"/>
          <w:b/>
          <w:u w:val="single"/>
        </w:rPr>
      </w:pPr>
    </w:p>
    <w:p w14:paraId="56F1D4B5" w14:textId="77777777" w:rsidR="00A8124A" w:rsidRDefault="00A8124A" w:rsidP="00A8124A">
      <w:pPr>
        <w:rPr>
          <w:rFonts w:ascii="Times New Roman" w:hAnsi="Times New Roman" w:cs="Times New Roman"/>
          <w:b/>
          <w:u w:val="single"/>
        </w:rPr>
      </w:pPr>
    </w:p>
    <w:p w14:paraId="167A0B02" w14:textId="77777777" w:rsidR="00A8124A" w:rsidRDefault="00A8124A" w:rsidP="00A8124A">
      <w:pPr>
        <w:rPr>
          <w:rFonts w:ascii="Times New Roman" w:hAnsi="Times New Roman" w:cs="Times New Roman"/>
          <w:b/>
          <w:u w:val="single"/>
        </w:rPr>
      </w:pPr>
    </w:p>
    <w:p w14:paraId="63050ABD" w14:textId="77777777" w:rsidR="00A8124A" w:rsidRDefault="00A8124A" w:rsidP="00A8124A">
      <w:pPr>
        <w:rPr>
          <w:rFonts w:ascii="Times New Roman" w:hAnsi="Times New Roman" w:cs="Times New Roman"/>
          <w:b/>
          <w:u w:val="single"/>
        </w:rPr>
      </w:pPr>
    </w:p>
    <w:p w14:paraId="5379EBA5" w14:textId="77777777" w:rsidR="00A8124A" w:rsidRDefault="00A8124A" w:rsidP="00A8124A">
      <w:pPr>
        <w:ind w:left="5040"/>
        <w:rPr>
          <w:rFonts w:ascii="Times New Roman" w:hAnsi="Times New Roman" w:cs="Times New Roman"/>
        </w:rPr>
      </w:pPr>
      <w:r>
        <w:rPr>
          <w:rFonts w:ascii="Times New Roman" w:hAnsi="Times New Roman" w:cs="Times New Roman"/>
        </w:rPr>
        <w:t>Mark A. Whitt (Counsel of Record)</w:t>
      </w:r>
    </w:p>
    <w:p w14:paraId="075203DE" w14:textId="77777777" w:rsidR="00A8124A" w:rsidRDefault="00A8124A" w:rsidP="00A8124A">
      <w:pPr>
        <w:ind w:left="5040"/>
        <w:rPr>
          <w:rFonts w:ascii="Times New Roman" w:hAnsi="Times New Roman" w:cs="Times New Roman"/>
        </w:rPr>
      </w:pPr>
      <w:r>
        <w:rPr>
          <w:rFonts w:ascii="Times New Roman" w:hAnsi="Times New Roman" w:cs="Times New Roman"/>
        </w:rPr>
        <w:t>Andrew J. Campbell</w:t>
      </w:r>
    </w:p>
    <w:p w14:paraId="706B16D7" w14:textId="77777777" w:rsidR="00A8124A" w:rsidRDefault="00A8124A" w:rsidP="00A8124A">
      <w:pPr>
        <w:ind w:left="5040"/>
        <w:rPr>
          <w:rFonts w:ascii="Times New Roman" w:hAnsi="Times New Roman" w:cs="Times New Roman"/>
        </w:rPr>
      </w:pPr>
      <w:r>
        <w:rPr>
          <w:rFonts w:ascii="Times New Roman" w:hAnsi="Times New Roman" w:cs="Times New Roman"/>
        </w:rPr>
        <w:t>Melissa L. Thompson</w:t>
      </w:r>
    </w:p>
    <w:p w14:paraId="575822FA" w14:textId="77777777" w:rsidR="00A8124A" w:rsidRDefault="00A8124A" w:rsidP="00A8124A">
      <w:pPr>
        <w:ind w:left="5040"/>
        <w:rPr>
          <w:rFonts w:ascii="Times New Roman" w:hAnsi="Times New Roman" w:cs="Times New Roman"/>
        </w:rPr>
      </w:pPr>
      <w:r>
        <w:rPr>
          <w:rFonts w:ascii="Times New Roman" w:hAnsi="Times New Roman" w:cs="Times New Roman"/>
        </w:rPr>
        <w:t>WHITT STURTEVANT LLP</w:t>
      </w:r>
    </w:p>
    <w:p w14:paraId="6B42A7CF" w14:textId="77777777" w:rsidR="00A8124A" w:rsidRDefault="00A8124A" w:rsidP="00A8124A">
      <w:pPr>
        <w:ind w:left="5040"/>
        <w:rPr>
          <w:rFonts w:ascii="Times New Roman" w:hAnsi="Times New Roman" w:cs="Times New Roman"/>
        </w:rPr>
      </w:pPr>
      <w:r>
        <w:rPr>
          <w:rFonts w:ascii="Times New Roman" w:hAnsi="Times New Roman" w:cs="Times New Roman"/>
        </w:rPr>
        <w:t>PNC Plaza, Suite 2020</w:t>
      </w:r>
    </w:p>
    <w:p w14:paraId="772CABFA" w14:textId="77777777" w:rsidR="00A8124A" w:rsidRDefault="00A8124A" w:rsidP="00A8124A">
      <w:pPr>
        <w:ind w:left="5040"/>
        <w:rPr>
          <w:rFonts w:ascii="Times New Roman" w:hAnsi="Times New Roman" w:cs="Times New Roman"/>
        </w:rPr>
      </w:pPr>
      <w:r>
        <w:rPr>
          <w:rFonts w:ascii="Times New Roman" w:hAnsi="Times New Roman" w:cs="Times New Roman"/>
        </w:rPr>
        <w:t>155 East Broad Street</w:t>
      </w:r>
    </w:p>
    <w:p w14:paraId="07CE98B9" w14:textId="77777777" w:rsidR="00A8124A" w:rsidRDefault="00A8124A" w:rsidP="00A8124A">
      <w:pPr>
        <w:ind w:left="5040"/>
        <w:rPr>
          <w:rFonts w:ascii="Times New Roman" w:hAnsi="Times New Roman" w:cs="Times New Roman"/>
        </w:rPr>
      </w:pPr>
      <w:r>
        <w:rPr>
          <w:rFonts w:ascii="Times New Roman" w:hAnsi="Times New Roman" w:cs="Times New Roman"/>
        </w:rPr>
        <w:t>Columbus, Ohio 43215</w:t>
      </w:r>
    </w:p>
    <w:p w14:paraId="1BC5B146" w14:textId="77777777" w:rsidR="00A8124A" w:rsidRDefault="00A8124A" w:rsidP="00A8124A">
      <w:pPr>
        <w:ind w:left="5040"/>
        <w:rPr>
          <w:rFonts w:ascii="Times New Roman" w:hAnsi="Times New Roman" w:cs="Times New Roman"/>
        </w:rPr>
      </w:pPr>
      <w:r>
        <w:rPr>
          <w:rFonts w:ascii="Times New Roman" w:hAnsi="Times New Roman" w:cs="Times New Roman"/>
        </w:rPr>
        <w:t>Telephone:  (614) 224-3911</w:t>
      </w:r>
    </w:p>
    <w:p w14:paraId="0A2E8986" w14:textId="77777777" w:rsidR="00A8124A" w:rsidRDefault="00A8124A" w:rsidP="00A8124A">
      <w:pPr>
        <w:ind w:left="5040"/>
        <w:rPr>
          <w:rFonts w:ascii="Times New Roman" w:hAnsi="Times New Roman" w:cs="Times New Roman"/>
        </w:rPr>
      </w:pPr>
      <w:r>
        <w:rPr>
          <w:rFonts w:ascii="Times New Roman" w:hAnsi="Times New Roman" w:cs="Times New Roman"/>
        </w:rPr>
        <w:t>Facsimile:   (614) 224-3960</w:t>
      </w:r>
    </w:p>
    <w:p w14:paraId="365E8AE9" w14:textId="77777777" w:rsidR="00A8124A" w:rsidRDefault="00A8124A" w:rsidP="00A8124A">
      <w:pPr>
        <w:ind w:left="5040"/>
        <w:rPr>
          <w:rFonts w:ascii="Times New Roman" w:hAnsi="Times New Roman" w:cs="Times New Roman"/>
        </w:rPr>
      </w:pPr>
      <w:r>
        <w:rPr>
          <w:rFonts w:ascii="Times New Roman" w:hAnsi="Times New Roman" w:cs="Times New Roman"/>
        </w:rPr>
        <w:t>whitt@whitt-sturtevant.com</w:t>
      </w:r>
    </w:p>
    <w:p w14:paraId="6403CD15" w14:textId="77777777" w:rsidR="00A8124A" w:rsidRDefault="00A8124A" w:rsidP="00A8124A">
      <w:pPr>
        <w:ind w:left="5040"/>
        <w:rPr>
          <w:rFonts w:ascii="Times New Roman" w:hAnsi="Times New Roman" w:cs="Times New Roman"/>
        </w:rPr>
      </w:pPr>
      <w:r>
        <w:rPr>
          <w:rFonts w:ascii="Times New Roman" w:hAnsi="Times New Roman" w:cs="Times New Roman"/>
        </w:rPr>
        <w:t>campbell@whitt-sturtevant.com</w:t>
      </w:r>
    </w:p>
    <w:p w14:paraId="00DF8090" w14:textId="77777777" w:rsidR="00A8124A" w:rsidRDefault="00A8124A" w:rsidP="00A8124A">
      <w:pPr>
        <w:ind w:left="5040"/>
        <w:rPr>
          <w:rFonts w:ascii="Times New Roman" w:hAnsi="Times New Roman" w:cs="Times New Roman"/>
        </w:rPr>
      </w:pPr>
      <w:r>
        <w:rPr>
          <w:rFonts w:ascii="Times New Roman" w:hAnsi="Times New Roman" w:cs="Times New Roman"/>
        </w:rPr>
        <w:t>thompson@whitt-sturtevant.com</w:t>
      </w:r>
    </w:p>
    <w:p w14:paraId="1953D74D" w14:textId="77777777" w:rsidR="00A8124A" w:rsidRDefault="00A8124A" w:rsidP="00A8124A">
      <w:pPr>
        <w:ind w:left="5040"/>
        <w:rPr>
          <w:rFonts w:ascii="Times New Roman" w:hAnsi="Times New Roman" w:cs="Times New Roman"/>
        </w:rPr>
      </w:pPr>
    </w:p>
    <w:p w14:paraId="40776749" w14:textId="77777777" w:rsidR="00A8124A" w:rsidRDefault="00A8124A" w:rsidP="00A8124A">
      <w:pPr>
        <w:ind w:left="5040"/>
        <w:rPr>
          <w:rFonts w:ascii="Times New Roman" w:hAnsi="Times New Roman" w:cs="Times New Roman"/>
        </w:rPr>
      </w:pPr>
      <w:r>
        <w:rPr>
          <w:rFonts w:ascii="Times New Roman" w:hAnsi="Times New Roman" w:cs="Times New Roman"/>
        </w:rPr>
        <w:t>Matthew White</w:t>
      </w:r>
    </w:p>
    <w:p w14:paraId="3FC23758" w14:textId="77777777" w:rsidR="00A8124A" w:rsidRDefault="00A8124A" w:rsidP="00A8124A">
      <w:pPr>
        <w:ind w:left="5040"/>
        <w:rPr>
          <w:rFonts w:ascii="Times New Roman" w:hAnsi="Times New Roman" w:cs="Times New Roman"/>
        </w:rPr>
      </w:pPr>
      <w:r>
        <w:rPr>
          <w:rFonts w:ascii="Times New Roman" w:hAnsi="Times New Roman" w:cs="Times New Roman"/>
        </w:rPr>
        <w:t>Interstate Gas Supply, Inc.</w:t>
      </w:r>
    </w:p>
    <w:p w14:paraId="18D208A2" w14:textId="77777777" w:rsidR="00A8124A" w:rsidRDefault="00A8124A" w:rsidP="00A8124A">
      <w:pPr>
        <w:ind w:left="5040"/>
        <w:rPr>
          <w:rFonts w:ascii="Times New Roman" w:hAnsi="Times New Roman" w:cs="Times New Roman"/>
        </w:rPr>
      </w:pPr>
      <w:r>
        <w:rPr>
          <w:rFonts w:ascii="Times New Roman" w:hAnsi="Times New Roman" w:cs="Times New Roman"/>
        </w:rPr>
        <w:t>6100 Emerald Parkway</w:t>
      </w:r>
    </w:p>
    <w:p w14:paraId="4CA1E446" w14:textId="77777777" w:rsidR="00A8124A" w:rsidRDefault="00A8124A" w:rsidP="00A8124A">
      <w:pPr>
        <w:ind w:left="5040"/>
        <w:rPr>
          <w:rFonts w:ascii="Times New Roman" w:hAnsi="Times New Roman" w:cs="Times New Roman"/>
        </w:rPr>
      </w:pPr>
      <w:r>
        <w:rPr>
          <w:rFonts w:ascii="Times New Roman" w:hAnsi="Times New Roman" w:cs="Times New Roman"/>
        </w:rPr>
        <w:t>Dublin, Ohio 43016</w:t>
      </w:r>
    </w:p>
    <w:p w14:paraId="79BF3ED2" w14:textId="77777777" w:rsidR="00A8124A" w:rsidRDefault="00A8124A" w:rsidP="00A8124A">
      <w:pPr>
        <w:ind w:left="5040"/>
        <w:rPr>
          <w:rFonts w:ascii="Times New Roman" w:hAnsi="Times New Roman" w:cs="Times New Roman"/>
        </w:rPr>
      </w:pPr>
      <w:r>
        <w:rPr>
          <w:rFonts w:ascii="Times New Roman" w:hAnsi="Times New Roman" w:cs="Times New Roman"/>
        </w:rPr>
        <w:t>Telephone:  (614) 659-5000</w:t>
      </w:r>
    </w:p>
    <w:p w14:paraId="38DA05FC" w14:textId="77777777" w:rsidR="00A8124A" w:rsidRDefault="00A8124A" w:rsidP="00A8124A">
      <w:pPr>
        <w:ind w:left="5040"/>
        <w:rPr>
          <w:rFonts w:ascii="Times New Roman" w:hAnsi="Times New Roman" w:cs="Times New Roman"/>
        </w:rPr>
      </w:pPr>
      <w:r>
        <w:rPr>
          <w:rFonts w:ascii="Times New Roman" w:hAnsi="Times New Roman" w:cs="Times New Roman"/>
        </w:rPr>
        <w:t>Facsimile:   (614) 659-5073</w:t>
      </w:r>
    </w:p>
    <w:p w14:paraId="1F246C97" w14:textId="77777777" w:rsidR="00A8124A" w:rsidRDefault="00A8124A" w:rsidP="00A8124A">
      <w:pPr>
        <w:ind w:left="5040"/>
        <w:rPr>
          <w:rFonts w:ascii="Times New Roman" w:hAnsi="Times New Roman" w:cs="Times New Roman"/>
        </w:rPr>
      </w:pPr>
      <w:r>
        <w:rPr>
          <w:rFonts w:ascii="Times New Roman" w:hAnsi="Times New Roman" w:cs="Times New Roman"/>
        </w:rPr>
        <w:t>mswhite@igsenergy.com</w:t>
      </w:r>
    </w:p>
    <w:p w14:paraId="5366A0BD" w14:textId="77777777" w:rsidR="00A8124A" w:rsidRDefault="00A8124A" w:rsidP="00A8124A">
      <w:pPr>
        <w:rPr>
          <w:rFonts w:ascii="Times New Roman" w:hAnsi="Times New Roman" w:cs="Times New Roman"/>
        </w:rPr>
      </w:pPr>
    </w:p>
    <w:p w14:paraId="2331623B" w14:textId="77777777" w:rsidR="00A8124A" w:rsidRDefault="00A8124A" w:rsidP="00A8124A">
      <w:pPr>
        <w:ind w:left="5040"/>
        <w:rPr>
          <w:rFonts w:ascii="Times New Roman" w:hAnsi="Times New Roman" w:cs="Times New Roman"/>
        </w:rPr>
        <w:sectPr w:rsidR="00A8124A" w:rsidSect="00C07D65">
          <w:pgSz w:w="12240" w:h="15840"/>
          <w:pgMar w:top="1440" w:right="1440" w:bottom="1440" w:left="1440" w:header="720" w:footer="720" w:gutter="0"/>
          <w:cols w:space="720"/>
          <w:docGrid w:linePitch="360"/>
        </w:sectPr>
      </w:pPr>
      <w:r>
        <w:rPr>
          <w:rFonts w:ascii="Times New Roman" w:hAnsi="Times New Roman" w:cs="Times New Roman"/>
        </w:rPr>
        <w:t>ATTORNEYS FOR INTERSTATE GAS SUPPLY, INC.</w:t>
      </w:r>
    </w:p>
    <w:p w14:paraId="389236AB" w14:textId="77777777" w:rsidR="00A8124A" w:rsidRDefault="00A8124A" w:rsidP="00A8124A">
      <w:pPr>
        <w:jc w:val="center"/>
        <w:rPr>
          <w:rFonts w:ascii="Times New Roman" w:hAnsi="Times New Roman" w:cs="Times New Roman"/>
        </w:rPr>
      </w:pPr>
      <w:r>
        <w:rPr>
          <w:rFonts w:ascii="Times New Roman" w:hAnsi="Times New Roman" w:cs="Times New Roman"/>
          <w:b/>
        </w:rPr>
        <w:lastRenderedPageBreak/>
        <w:t>I.</w:t>
      </w:r>
      <w:r>
        <w:rPr>
          <w:rFonts w:ascii="Times New Roman" w:hAnsi="Times New Roman" w:cs="Times New Roman"/>
          <w:b/>
        </w:rPr>
        <w:tab/>
        <w:t>INTRODUCTION</w:t>
      </w:r>
    </w:p>
    <w:p w14:paraId="5C4811AA" w14:textId="77777777" w:rsidR="00A8124A" w:rsidRDefault="00A8124A" w:rsidP="00A8124A">
      <w:pPr>
        <w:jc w:val="center"/>
        <w:rPr>
          <w:rFonts w:ascii="Times New Roman" w:hAnsi="Times New Roman" w:cs="Times New Roman"/>
        </w:rPr>
      </w:pPr>
    </w:p>
    <w:p w14:paraId="3B58D79B" w14:textId="12E1B6BF" w:rsidR="00A8124A" w:rsidRDefault="00DF7C19" w:rsidP="00DF7C19">
      <w:pPr>
        <w:spacing w:line="480" w:lineRule="auto"/>
        <w:rPr>
          <w:rFonts w:ascii="Times New Roman" w:hAnsi="Times New Roman" w:cs="Times New Roman"/>
        </w:rPr>
      </w:pPr>
      <w:r>
        <w:rPr>
          <w:rFonts w:ascii="Times New Roman" w:hAnsi="Times New Roman" w:cs="Times New Roman"/>
        </w:rPr>
        <w:tab/>
      </w:r>
      <w:r w:rsidR="003D7E7B">
        <w:rPr>
          <w:rFonts w:ascii="Times New Roman" w:hAnsi="Times New Roman" w:cs="Times New Roman"/>
        </w:rPr>
        <w:t>The electric security plan (“</w:t>
      </w:r>
      <w:r>
        <w:rPr>
          <w:rFonts w:ascii="Times New Roman" w:hAnsi="Times New Roman" w:cs="Times New Roman"/>
        </w:rPr>
        <w:t>ESP</w:t>
      </w:r>
      <w:r w:rsidR="003D7E7B">
        <w:rPr>
          <w:rFonts w:ascii="Times New Roman" w:hAnsi="Times New Roman" w:cs="Times New Roman"/>
        </w:rPr>
        <w:t xml:space="preserve">”) proposed by </w:t>
      </w:r>
      <w:r w:rsidR="003D7E7B" w:rsidRPr="003D7E7B">
        <w:rPr>
          <w:rFonts w:ascii="Times New Roman" w:hAnsi="Times New Roman" w:cs="Times New Roman"/>
        </w:rPr>
        <w:t>Ohio Power Company d/b/a AEP Ohio (“AEP”)</w:t>
      </w:r>
      <w:r w:rsidR="003D7E7B">
        <w:rPr>
          <w:rFonts w:ascii="Times New Roman" w:hAnsi="Times New Roman" w:cs="Times New Roman"/>
        </w:rPr>
        <w:t xml:space="preserve"> </w:t>
      </w:r>
      <w:r>
        <w:rPr>
          <w:rFonts w:ascii="Times New Roman" w:hAnsi="Times New Roman" w:cs="Times New Roman"/>
        </w:rPr>
        <w:t xml:space="preserve">is an anti-competitive package.  </w:t>
      </w:r>
      <w:r w:rsidR="00086A59">
        <w:rPr>
          <w:rFonts w:ascii="Times New Roman" w:hAnsi="Times New Roman" w:cs="Times New Roman"/>
        </w:rPr>
        <w:t xml:space="preserve">By </w:t>
      </w:r>
      <w:r w:rsidR="003D7E7B">
        <w:rPr>
          <w:rFonts w:ascii="Times New Roman" w:hAnsi="Times New Roman" w:cs="Times New Roman"/>
        </w:rPr>
        <w:t>requiring AEP</w:t>
      </w:r>
      <w:r w:rsidR="00086A59">
        <w:rPr>
          <w:rFonts w:ascii="Times New Roman" w:hAnsi="Times New Roman" w:cs="Times New Roman"/>
        </w:rPr>
        <w:t xml:space="preserve"> </w:t>
      </w:r>
      <w:r w:rsidR="003D7E7B">
        <w:rPr>
          <w:rFonts w:ascii="Times New Roman" w:hAnsi="Times New Roman" w:cs="Times New Roman"/>
        </w:rPr>
        <w:t xml:space="preserve">to collect the </w:t>
      </w:r>
      <w:r w:rsidR="00086A59">
        <w:rPr>
          <w:rFonts w:ascii="Times New Roman" w:hAnsi="Times New Roman" w:cs="Times New Roman"/>
        </w:rPr>
        <w:t>RPM</w:t>
      </w:r>
      <w:r w:rsidR="003D7E7B">
        <w:rPr>
          <w:rFonts w:ascii="Times New Roman" w:hAnsi="Times New Roman" w:cs="Times New Roman"/>
        </w:rPr>
        <w:t xml:space="preserve"> capacity from competitive retail energy service (“CRES”) suppliers</w:t>
      </w:r>
      <w:r w:rsidR="00086A59">
        <w:rPr>
          <w:rFonts w:ascii="Times New Roman" w:hAnsi="Times New Roman" w:cs="Times New Roman"/>
        </w:rPr>
        <w:t xml:space="preserve">, the Commission took </w:t>
      </w:r>
      <w:r w:rsidR="003D7E7B">
        <w:rPr>
          <w:rFonts w:ascii="Times New Roman" w:hAnsi="Times New Roman" w:cs="Times New Roman"/>
        </w:rPr>
        <w:t xml:space="preserve">a </w:t>
      </w:r>
      <w:r w:rsidR="00086A59">
        <w:rPr>
          <w:rFonts w:ascii="Times New Roman" w:hAnsi="Times New Roman" w:cs="Times New Roman"/>
        </w:rPr>
        <w:t xml:space="preserve">first </w:t>
      </w:r>
      <w:r w:rsidR="003D7E7B">
        <w:rPr>
          <w:rFonts w:ascii="Times New Roman" w:hAnsi="Times New Roman" w:cs="Times New Roman"/>
        </w:rPr>
        <w:t xml:space="preserve">and important </w:t>
      </w:r>
      <w:r w:rsidR="00086A59">
        <w:rPr>
          <w:rFonts w:ascii="Times New Roman" w:hAnsi="Times New Roman" w:cs="Times New Roman"/>
        </w:rPr>
        <w:t>step towards</w:t>
      </w:r>
      <w:r w:rsidR="003D7E7B">
        <w:rPr>
          <w:rFonts w:ascii="Times New Roman" w:hAnsi="Times New Roman" w:cs="Times New Roman"/>
        </w:rPr>
        <w:t xml:space="preserve"> mitigating the ESP’s anticompetitive effect</w:t>
      </w:r>
      <w:r w:rsidR="005D0823">
        <w:rPr>
          <w:rFonts w:ascii="Times New Roman" w:hAnsi="Times New Roman" w:cs="Times New Roman"/>
        </w:rPr>
        <w:t xml:space="preserve">.  But </w:t>
      </w:r>
      <w:r w:rsidR="003D7E7B">
        <w:rPr>
          <w:rFonts w:ascii="Times New Roman" w:hAnsi="Times New Roman" w:cs="Times New Roman"/>
        </w:rPr>
        <w:t xml:space="preserve">this </w:t>
      </w:r>
      <w:r w:rsidR="004F4FEE">
        <w:rPr>
          <w:rFonts w:ascii="Times New Roman" w:hAnsi="Times New Roman" w:cs="Times New Roman"/>
        </w:rPr>
        <w:t xml:space="preserve">step </w:t>
      </w:r>
      <w:r w:rsidR="003D7E7B">
        <w:rPr>
          <w:rFonts w:ascii="Times New Roman" w:hAnsi="Times New Roman" w:cs="Times New Roman"/>
        </w:rPr>
        <w:t xml:space="preserve">should not be the last.  To promote </w:t>
      </w:r>
      <w:r w:rsidR="005D0823">
        <w:rPr>
          <w:rFonts w:ascii="Times New Roman" w:hAnsi="Times New Roman" w:cs="Times New Roman"/>
        </w:rPr>
        <w:t>the transition to competitive markets</w:t>
      </w:r>
      <w:r w:rsidR="004F4FEE">
        <w:rPr>
          <w:rFonts w:ascii="Times New Roman" w:hAnsi="Times New Roman" w:cs="Times New Roman"/>
        </w:rPr>
        <w:t xml:space="preserve"> in AEP’s service territory</w:t>
      </w:r>
      <w:r w:rsidR="003D7E7B">
        <w:rPr>
          <w:rFonts w:ascii="Times New Roman" w:hAnsi="Times New Roman" w:cs="Times New Roman"/>
        </w:rPr>
        <w:t>, the Commission should adopt</w:t>
      </w:r>
      <w:r w:rsidR="005D0823">
        <w:rPr>
          <w:rFonts w:ascii="Times New Roman" w:hAnsi="Times New Roman" w:cs="Times New Roman"/>
        </w:rPr>
        <w:t xml:space="preserve"> the modifications to the ESP proposed by IGS in its initial brief.</w:t>
      </w:r>
    </w:p>
    <w:p w14:paraId="5A54324B" w14:textId="77777777" w:rsidR="006710E9" w:rsidRDefault="00A8124A" w:rsidP="006710E9">
      <w:pPr>
        <w:spacing w:line="480" w:lineRule="auto"/>
        <w:jc w:val="center"/>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ARGUMENT</w:t>
      </w:r>
    </w:p>
    <w:p w14:paraId="6B1A510B" w14:textId="1A16949D" w:rsidR="008358C6" w:rsidRDefault="008358C6" w:rsidP="00A94EBB">
      <w:pPr>
        <w:ind w:left="720" w:hanging="720"/>
        <w:rPr>
          <w:rFonts w:ascii="Times New Roman" w:hAnsi="Times New Roman" w:cs="Times New Roman"/>
          <w:b/>
        </w:rPr>
      </w:pPr>
      <w:r>
        <w:rPr>
          <w:rFonts w:ascii="Times New Roman" w:hAnsi="Times New Roman" w:cs="Times New Roman"/>
          <w:b/>
        </w:rPr>
        <w:t>A.</w:t>
      </w:r>
      <w:r>
        <w:rPr>
          <w:rFonts w:ascii="Times New Roman" w:hAnsi="Times New Roman" w:cs="Times New Roman"/>
          <w:b/>
        </w:rPr>
        <w:tab/>
      </w:r>
      <w:r w:rsidR="003D7E7B">
        <w:rPr>
          <w:rFonts w:ascii="Times New Roman" w:hAnsi="Times New Roman" w:cs="Times New Roman"/>
          <w:b/>
        </w:rPr>
        <w:t xml:space="preserve">A </w:t>
      </w:r>
      <w:r>
        <w:rPr>
          <w:rFonts w:ascii="Times New Roman" w:hAnsi="Times New Roman" w:cs="Times New Roman"/>
          <w:b/>
        </w:rPr>
        <w:t xml:space="preserve">retail </w:t>
      </w:r>
      <w:r w:rsidR="003D7E7B">
        <w:rPr>
          <w:rFonts w:ascii="Times New Roman" w:hAnsi="Times New Roman" w:cs="Times New Roman"/>
          <w:b/>
        </w:rPr>
        <w:t xml:space="preserve">auction would promote competition more than the wholesale auctions proposed by AEP, and it </w:t>
      </w:r>
      <w:r w:rsidR="00181D02">
        <w:rPr>
          <w:rFonts w:ascii="Times New Roman" w:hAnsi="Times New Roman" w:cs="Times New Roman"/>
          <w:b/>
        </w:rPr>
        <w:t>could</w:t>
      </w:r>
      <w:r w:rsidR="003D7E7B">
        <w:rPr>
          <w:rFonts w:ascii="Times New Roman" w:hAnsi="Times New Roman" w:cs="Times New Roman"/>
          <w:b/>
        </w:rPr>
        <w:t xml:space="preserve"> help to fund any shortfall </w:t>
      </w:r>
      <w:r w:rsidR="00400CFE">
        <w:rPr>
          <w:rFonts w:ascii="Times New Roman" w:hAnsi="Times New Roman" w:cs="Times New Roman"/>
          <w:b/>
        </w:rPr>
        <w:t xml:space="preserve">between the RPM </w:t>
      </w:r>
      <w:r w:rsidR="003D7E7B">
        <w:rPr>
          <w:rFonts w:ascii="Times New Roman" w:hAnsi="Times New Roman" w:cs="Times New Roman"/>
          <w:b/>
        </w:rPr>
        <w:t xml:space="preserve">price </w:t>
      </w:r>
      <w:r w:rsidR="00400CFE">
        <w:rPr>
          <w:rFonts w:ascii="Times New Roman" w:hAnsi="Times New Roman" w:cs="Times New Roman"/>
          <w:b/>
        </w:rPr>
        <w:t xml:space="preserve">and </w:t>
      </w:r>
      <w:r w:rsidR="003D7E7B">
        <w:rPr>
          <w:rFonts w:ascii="Times New Roman" w:hAnsi="Times New Roman" w:cs="Times New Roman"/>
          <w:b/>
        </w:rPr>
        <w:t xml:space="preserve">the </w:t>
      </w:r>
      <w:r w:rsidR="00400CFE">
        <w:rPr>
          <w:rFonts w:ascii="Times New Roman" w:hAnsi="Times New Roman" w:cs="Times New Roman"/>
          <w:b/>
        </w:rPr>
        <w:t>capacity cost</w:t>
      </w:r>
      <w:r w:rsidR="00A94EBB">
        <w:rPr>
          <w:rFonts w:ascii="Times New Roman" w:hAnsi="Times New Roman" w:cs="Times New Roman"/>
          <w:b/>
        </w:rPr>
        <w:t xml:space="preserve"> </w:t>
      </w:r>
      <w:r w:rsidR="003D7E7B">
        <w:rPr>
          <w:rFonts w:ascii="Times New Roman" w:hAnsi="Times New Roman" w:cs="Times New Roman"/>
          <w:b/>
        </w:rPr>
        <w:t xml:space="preserve">determined </w:t>
      </w:r>
      <w:r w:rsidR="00A94EBB">
        <w:rPr>
          <w:rFonts w:ascii="Times New Roman" w:hAnsi="Times New Roman" w:cs="Times New Roman"/>
          <w:b/>
        </w:rPr>
        <w:t>in Case No. 10-2929-EL-UNC</w:t>
      </w:r>
      <w:r>
        <w:rPr>
          <w:rFonts w:ascii="Times New Roman" w:hAnsi="Times New Roman" w:cs="Times New Roman"/>
          <w:b/>
        </w:rPr>
        <w:t>.</w:t>
      </w:r>
    </w:p>
    <w:p w14:paraId="6BA3FF1E" w14:textId="77777777" w:rsidR="00A94EBB" w:rsidRDefault="00A94EBB" w:rsidP="00A94EBB">
      <w:pPr>
        <w:ind w:left="720" w:hanging="720"/>
        <w:rPr>
          <w:rFonts w:ascii="Times New Roman" w:hAnsi="Times New Roman" w:cs="Times New Roman"/>
        </w:rPr>
      </w:pPr>
    </w:p>
    <w:p w14:paraId="57C5F031" w14:textId="2FC17DD4" w:rsidR="003D7E7B" w:rsidRDefault="008358C6" w:rsidP="008358C6">
      <w:pPr>
        <w:spacing w:line="480" w:lineRule="auto"/>
        <w:rPr>
          <w:rFonts w:ascii="Times New Roman" w:hAnsi="Times New Roman" w:cs="Times New Roman"/>
        </w:rPr>
      </w:pPr>
      <w:r>
        <w:rPr>
          <w:rFonts w:ascii="Times New Roman" w:hAnsi="Times New Roman" w:cs="Times New Roman"/>
        </w:rPr>
        <w:tab/>
      </w:r>
      <w:r w:rsidR="003D7E7B">
        <w:rPr>
          <w:rFonts w:ascii="Times New Roman" w:hAnsi="Times New Roman" w:cs="Times New Roman"/>
        </w:rPr>
        <w:t>AEP asserts that a “</w:t>
      </w:r>
      <w:r w:rsidR="003D7E7B" w:rsidRPr="003D7E7B">
        <w:rPr>
          <w:rFonts w:ascii="Times New Roman" w:hAnsi="Times New Roman" w:cs="Times New Roman"/>
        </w:rPr>
        <w:t>very significant pro-competitive aspect of the Modified ESP</w:t>
      </w:r>
      <w:r w:rsidR="003D7E7B">
        <w:rPr>
          <w:rFonts w:ascii="Times New Roman" w:hAnsi="Times New Roman" w:cs="Times New Roman"/>
        </w:rPr>
        <w:t>” is “</w:t>
      </w:r>
      <w:r w:rsidR="003D7E7B" w:rsidRPr="003D7E7B">
        <w:rPr>
          <w:rFonts w:ascii="Times New Roman" w:hAnsi="Times New Roman" w:cs="Times New Roman"/>
        </w:rPr>
        <w:t>a commitment to conduct an energy-only, slice-of-system auction for 5% of SSO load prior to the SSO energy auction.</w:t>
      </w:r>
      <w:r w:rsidR="003D7E7B">
        <w:rPr>
          <w:rFonts w:ascii="Times New Roman" w:hAnsi="Times New Roman" w:cs="Times New Roman"/>
        </w:rPr>
        <w:t xml:space="preserve">”  (AEP Init. Br. at 54.)  But AEP </w:t>
      </w:r>
      <w:r w:rsidR="00E40C16">
        <w:rPr>
          <w:rFonts w:ascii="Times New Roman" w:hAnsi="Times New Roman" w:cs="Times New Roman"/>
        </w:rPr>
        <w:t>leaves un</w:t>
      </w:r>
      <w:r w:rsidR="003D7E7B">
        <w:rPr>
          <w:rFonts w:ascii="Times New Roman" w:hAnsi="Times New Roman" w:cs="Times New Roman"/>
        </w:rPr>
        <w:t>address</w:t>
      </w:r>
      <w:r w:rsidR="00E40C16">
        <w:rPr>
          <w:rFonts w:ascii="Times New Roman" w:hAnsi="Times New Roman" w:cs="Times New Roman"/>
        </w:rPr>
        <w:t>ed</w:t>
      </w:r>
      <w:r w:rsidR="003D7E7B">
        <w:rPr>
          <w:rFonts w:ascii="Times New Roman" w:hAnsi="Times New Roman" w:cs="Times New Roman"/>
        </w:rPr>
        <w:t xml:space="preserve"> the option proposed by IGS that would </w:t>
      </w:r>
      <w:r w:rsidR="00E40C16">
        <w:rPr>
          <w:rFonts w:ascii="Times New Roman" w:hAnsi="Times New Roman" w:cs="Times New Roman"/>
        </w:rPr>
        <w:t xml:space="preserve">further competition even more: a retail auction.  </w:t>
      </w:r>
    </w:p>
    <w:p w14:paraId="0D7EFFF0" w14:textId="3A67D98C" w:rsidR="006710E9" w:rsidRDefault="00E40C16" w:rsidP="00E40C16">
      <w:pPr>
        <w:spacing w:line="480" w:lineRule="auto"/>
        <w:ind w:firstLine="720"/>
        <w:rPr>
          <w:rFonts w:ascii="Times New Roman" w:hAnsi="Times New Roman" w:cs="Times New Roman"/>
        </w:rPr>
      </w:pPr>
      <w:r>
        <w:rPr>
          <w:rFonts w:ascii="Times New Roman" w:hAnsi="Times New Roman" w:cs="Times New Roman"/>
        </w:rPr>
        <w:t>AEP emphasized in its initial brief that an important element to any auction proposal is that “the Company be[]</w:t>
      </w:r>
      <w:r w:rsidRPr="00E40C16">
        <w:rPr>
          <w:rFonts w:ascii="Times New Roman" w:hAnsi="Times New Roman" w:cs="Times New Roman"/>
        </w:rPr>
        <w:t xml:space="preserve"> made whole financially</w:t>
      </w:r>
      <w:r>
        <w:rPr>
          <w:rFonts w:ascii="Times New Roman" w:hAnsi="Times New Roman" w:cs="Times New Roman"/>
        </w:rPr>
        <w:t>.”  (</w:t>
      </w:r>
      <w:r>
        <w:rPr>
          <w:rFonts w:ascii="Times New Roman" w:hAnsi="Times New Roman" w:cs="Times New Roman"/>
          <w:i/>
        </w:rPr>
        <w:t>Id</w:t>
      </w:r>
      <w:r>
        <w:rPr>
          <w:rFonts w:ascii="Times New Roman" w:hAnsi="Times New Roman" w:cs="Times New Roman"/>
        </w:rPr>
        <w:t xml:space="preserve">. at 56.)  These financial considerations were also highlighted in the Commission’s </w:t>
      </w:r>
      <w:r w:rsidR="008358C6">
        <w:rPr>
          <w:rFonts w:ascii="Times New Roman" w:hAnsi="Times New Roman" w:cs="Times New Roman"/>
        </w:rPr>
        <w:t>July 2, 2012 Opinion and O</w:t>
      </w:r>
      <w:r>
        <w:rPr>
          <w:rFonts w:ascii="Times New Roman" w:hAnsi="Times New Roman" w:cs="Times New Roman"/>
        </w:rPr>
        <w:t xml:space="preserve">rder in Case No. 10-2929-EL-UNC.  There, </w:t>
      </w:r>
      <w:r w:rsidR="008358C6">
        <w:rPr>
          <w:rFonts w:ascii="Times New Roman" w:hAnsi="Times New Roman" w:cs="Times New Roman"/>
        </w:rPr>
        <w:t xml:space="preserve">the Commission adopted a </w:t>
      </w:r>
      <w:r w:rsidR="00A94EBB">
        <w:rPr>
          <w:rFonts w:ascii="Times New Roman" w:hAnsi="Times New Roman" w:cs="Times New Roman"/>
        </w:rPr>
        <w:t xml:space="preserve">cost-based state compensation mechanism.  </w:t>
      </w:r>
      <w:r>
        <w:rPr>
          <w:rFonts w:ascii="Times New Roman" w:hAnsi="Times New Roman" w:cs="Times New Roman"/>
          <w:i/>
        </w:rPr>
        <w:t>Id</w:t>
      </w:r>
      <w:r>
        <w:rPr>
          <w:rFonts w:ascii="Times New Roman" w:hAnsi="Times New Roman" w:cs="Times New Roman"/>
        </w:rPr>
        <w:t>. at 23</w:t>
      </w:r>
      <w:r w:rsidR="00A94EBB">
        <w:rPr>
          <w:rFonts w:ascii="Times New Roman" w:hAnsi="Times New Roman" w:cs="Times New Roman"/>
        </w:rPr>
        <w:t xml:space="preserve">.  </w:t>
      </w:r>
      <w:r w:rsidR="00A94EBB" w:rsidRPr="00A94EBB">
        <w:rPr>
          <w:rFonts w:ascii="Times New Roman" w:hAnsi="Times New Roman" w:cs="Times New Roman"/>
        </w:rPr>
        <w:t>Recognizing</w:t>
      </w:r>
      <w:r w:rsidR="00A94EBB">
        <w:rPr>
          <w:rFonts w:ascii="Times New Roman" w:hAnsi="Times New Roman" w:cs="Times New Roman"/>
        </w:rPr>
        <w:t xml:space="preserve"> “that RPM-based capacity pricing will further the development of competition in the market,” the Commission directed AEP to charge CRES providers the PJM RPM rate for the remainder of its FRR election.  </w:t>
      </w:r>
      <w:r w:rsidR="00A94EBB">
        <w:rPr>
          <w:rFonts w:ascii="Times New Roman" w:hAnsi="Times New Roman" w:cs="Times New Roman"/>
          <w:i/>
        </w:rPr>
        <w:t>Id.</w:t>
      </w:r>
      <w:bookmarkStart w:id="0" w:name="_GoBack"/>
      <w:bookmarkEnd w:id="0"/>
      <w:r w:rsidR="006D25B5">
        <w:rPr>
          <w:rFonts w:ascii="Times New Roman" w:hAnsi="Times New Roman" w:cs="Times New Roman"/>
        </w:rPr>
        <w:t xml:space="preserve">  The Commission further authorized AEP, pursuant to Section 4905.13, to “modify its accounting procedures to defer the difference between the adjusted RPM rate currently in effect and AEP-Ohio’s incurred capacity costs, to the extent that such costs do not exceed the capacity charge approved today [$188.88].”  </w:t>
      </w:r>
      <w:r w:rsidR="006D25B5">
        <w:rPr>
          <w:rFonts w:ascii="Times New Roman" w:hAnsi="Times New Roman" w:cs="Times New Roman"/>
          <w:i/>
        </w:rPr>
        <w:t>Id.</w:t>
      </w:r>
      <w:r w:rsidR="006D25B5">
        <w:rPr>
          <w:rFonts w:ascii="Times New Roman" w:hAnsi="Times New Roman" w:cs="Times New Roman"/>
        </w:rPr>
        <w:t xml:space="preserve"> at 23, 33.</w:t>
      </w:r>
      <w:r w:rsidR="006710E9">
        <w:rPr>
          <w:rFonts w:ascii="Times New Roman" w:hAnsi="Times New Roman" w:cs="Times New Roman"/>
        </w:rPr>
        <w:t xml:space="preserve">  The Commission noted that it would “establish an appropriate recovery mechanism for such deferred costs and address any additional financial considerations in the 11-346 proceeding.”  </w:t>
      </w:r>
      <w:r w:rsidR="006710E9">
        <w:rPr>
          <w:rFonts w:ascii="Times New Roman" w:hAnsi="Times New Roman" w:cs="Times New Roman"/>
          <w:i/>
        </w:rPr>
        <w:t>Id.</w:t>
      </w:r>
      <w:r w:rsidR="006710E9">
        <w:rPr>
          <w:rFonts w:ascii="Times New Roman" w:hAnsi="Times New Roman" w:cs="Times New Roman"/>
        </w:rPr>
        <w:t xml:space="preserve"> at 23.  </w:t>
      </w:r>
    </w:p>
    <w:p w14:paraId="5C2D4C2A" w14:textId="0B68D485" w:rsidR="007A274E" w:rsidRDefault="006710E9" w:rsidP="00400CFE">
      <w:pPr>
        <w:spacing w:line="480" w:lineRule="auto"/>
        <w:rPr>
          <w:rFonts w:ascii="Times New Roman" w:hAnsi="Times New Roman" w:cs="Times New Roman"/>
        </w:rPr>
      </w:pPr>
      <w:r>
        <w:rPr>
          <w:rFonts w:ascii="Times New Roman" w:hAnsi="Times New Roman" w:cs="Times New Roman"/>
        </w:rPr>
        <w:tab/>
        <w:t xml:space="preserve">In response to </w:t>
      </w:r>
      <w:r w:rsidR="00E40C16">
        <w:rPr>
          <w:rFonts w:ascii="Times New Roman" w:hAnsi="Times New Roman" w:cs="Times New Roman"/>
        </w:rPr>
        <w:t>AEP’s stated concerns regarding an auction</w:t>
      </w:r>
      <w:r w:rsidR="00181D02">
        <w:rPr>
          <w:rFonts w:ascii="Times New Roman" w:hAnsi="Times New Roman" w:cs="Times New Roman"/>
        </w:rPr>
        <w:t>’</w:t>
      </w:r>
      <w:r w:rsidR="00E40C16">
        <w:rPr>
          <w:rFonts w:ascii="Times New Roman" w:hAnsi="Times New Roman" w:cs="Times New Roman"/>
        </w:rPr>
        <w:t xml:space="preserve">s financial considerations, as well as </w:t>
      </w:r>
      <w:r>
        <w:rPr>
          <w:rFonts w:ascii="Times New Roman" w:hAnsi="Times New Roman" w:cs="Times New Roman"/>
        </w:rPr>
        <w:t xml:space="preserve">the </w:t>
      </w:r>
      <w:r w:rsidR="003D7E7B">
        <w:rPr>
          <w:rFonts w:ascii="Times New Roman" w:hAnsi="Times New Roman" w:cs="Times New Roman"/>
        </w:rPr>
        <w:t>10-2929</w:t>
      </w:r>
      <w:r>
        <w:rPr>
          <w:rFonts w:ascii="Times New Roman" w:hAnsi="Times New Roman" w:cs="Times New Roman"/>
        </w:rPr>
        <w:t xml:space="preserve"> Order</w:t>
      </w:r>
      <w:r w:rsidR="003D7E7B">
        <w:rPr>
          <w:rFonts w:ascii="Times New Roman" w:hAnsi="Times New Roman" w:cs="Times New Roman"/>
        </w:rPr>
        <w:t>’s direction to “</w:t>
      </w:r>
      <w:r w:rsidR="003D7E7B" w:rsidRPr="003D7E7B">
        <w:rPr>
          <w:rFonts w:ascii="Times New Roman" w:hAnsi="Times New Roman" w:cs="Times New Roman"/>
        </w:rPr>
        <w:t>address any additional financial considerations in the 11-346 proceeding</w:t>
      </w:r>
      <w:r>
        <w:rPr>
          <w:rFonts w:ascii="Times New Roman" w:hAnsi="Times New Roman" w:cs="Times New Roman"/>
        </w:rPr>
        <w:t>,</w:t>
      </w:r>
      <w:r w:rsidR="003D7E7B">
        <w:rPr>
          <w:rFonts w:ascii="Times New Roman" w:hAnsi="Times New Roman" w:cs="Times New Roman"/>
        </w:rPr>
        <w:t>”</w:t>
      </w:r>
      <w:r>
        <w:rPr>
          <w:rFonts w:ascii="Times New Roman" w:hAnsi="Times New Roman" w:cs="Times New Roman"/>
        </w:rPr>
        <w:t xml:space="preserve"> </w:t>
      </w:r>
      <w:r w:rsidR="003D7E7B" w:rsidRPr="003D7E7B">
        <w:rPr>
          <w:rFonts w:ascii="Times New Roman" w:hAnsi="Times New Roman" w:cs="Times New Roman"/>
          <w:i/>
        </w:rPr>
        <w:t>id</w:t>
      </w:r>
      <w:r w:rsidR="003D7E7B">
        <w:rPr>
          <w:rFonts w:ascii="Times New Roman" w:hAnsi="Times New Roman" w:cs="Times New Roman"/>
        </w:rPr>
        <w:t xml:space="preserve">., </w:t>
      </w:r>
      <w:r w:rsidRPr="003D7E7B">
        <w:rPr>
          <w:rFonts w:ascii="Times New Roman" w:hAnsi="Times New Roman" w:cs="Times New Roman"/>
        </w:rPr>
        <w:t>IGS</w:t>
      </w:r>
      <w:r>
        <w:rPr>
          <w:rFonts w:ascii="Times New Roman" w:hAnsi="Times New Roman" w:cs="Times New Roman"/>
        </w:rPr>
        <w:t xml:space="preserve"> </w:t>
      </w:r>
      <w:r w:rsidR="00E40C16">
        <w:rPr>
          <w:rFonts w:ascii="Times New Roman" w:hAnsi="Times New Roman" w:cs="Times New Roman"/>
        </w:rPr>
        <w:t>recommends</w:t>
      </w:r>
      <w:r>
        <w:rPr>
          <w:rFonts w:ascii="Times New Roman" w:hAnsi="Times New Roman" w:cs="Times New Roman"/>
        </w:rPr>
        <w:t xml:space="preserve"> </w:t>
      </w:r>
      <w:r w:rsidR="00E40C16">
        <w:rPr>
          <w:rFonts w:ascii="Times New Roman" w:hAnsi="Times New Roman" w:cs="Times New Roman"/>
        </w:rPr>
        <w:t xml:space="preserve">adopting </w:t>
      </w:r>
      <w:r w:rsidR="003D7E7B">
        <w:rPr>
          <w:rFonts w:ascii="Times New Roman" w:hAnsi="Times New Roman" w:cs="Times New Roman"/>
        </w:rPr>
        <w:t xml:space="preserve">its proposed </w:t>
      </w:r>
      <w:r>
        <w:rPr>
          <w:rFonts w:ascii="Times New Roman" w:hAnsi="Times New Roman" w:cs="Times New Roman"/>
        </w:rPr>
        <w:t>retail auction</w:t>
      </w:r>
      <w:r w:rsidR="00E40C16">
        <w:rPr>
          <w:rFonts w:ascii="Times New Roman" w:hAnsi="Times New Roman" w:cs="Times New Roman"/>
        </w:rPr>
        <w:t xml:space="preserve"> </w:t>
      </w:r>
      <w:r w:rsidR="00CA2874">
        <w:rPr>
          <w:rFonts w:ascii="Times New Roman" w:hAnsi="Times New Roman" w:cs="Times New Roman"/>
        </w:rPr>
        <w:t xml:space="preserve">to defray the capacity revenue deferred under the 10-2929 </w:t>
      </w:r>
      <w:r w:rsidR="00181D02">
        <w:rPr>
          <w:rFonts w:ascii="Times New Roman" w:hAnsi="Times New Roman" w:cs="Times New Roman"/>
        </w:rPr>
        <w:t>O</w:t>
      </w:r>
      <w:r w:rsidR="00CA2874">
        <w:rPr>
          <w:rFonts w:ascii="Times New Roman" w:hAnsi="Times New Roman" w:cs="Times New Roman"/>
        </w:rPr>
        <w:t>rder</w:t>
      </w:r>
      <w:r w:rsidR="00400CFE">
        <w:rPr>
          <w:rFonts w:ascii="Times New Roman" w:hAnsi="Times New Roman" w:cs="Times New Roman"/>
        </w:rPr>
        <w:t xml:space="preserve">.  </w:t>
      </w:r>
      <w:r w:rsidR="003D7E7B">
        <w:rPr>
          <w:rFonts w:ascii="Times New Roman" w:hAnsi="Times New Roman" w:cs="Times New Roman"/>
        </w:rPr>
        <w:t>A</w:t>
      </w:r>
      <w:r w:rsidR="00400CFE">
        <w:rPr>
          <w:rFonts w:ascii="Times New Roman" w:hAnsi="Times New Roman" w:cs="Times New Roman"/>
        </w:rPr>
        <w:t xml:space="preserve"> retail auction allows CRES suppliers to bid for the right to serve customers directly.  (IGS Ex. 101 at 22:4-12.) </w:t>
      </w:r>
      <w:r w:rsidR="003D7E7B">
        <w:rPr>
          <w:rFonts w:ascii="Times New Roman" w:hAnsi="Times New Roman" w:cs="Times New Roman"/>
        </w:rPr>
        <w:t xml:space="preserve"> </w:t>
      </w:r>
      <w:r w:rsidR="00964CE5">
        <w:rPr>
          <w:rFonts w:ascii="Times New Roman" w:hAnsi="Times New Roman" w:cs="Times New Roman"/>
        </w:rPr>
        <w:t>IGS Witness Parisi</w:t>
      </w:r>
      <w:r w:rsidR="003D7E7B">
        <w:rPr>
          <w:rFonts w:ascii="Times New Roman" w:hAnsi="Times New Roman" w:cs="Times New Roman"/>
        </w:rPr>
        <w:t xml:space="preserve"> proposed an “</w:t>
      </w:r>
      <w:r w:rsidR="00964CE5">
        <w:rPr>
          <w:rFonts w:ascii="Times New Roman" w:hAnsi="Times New Roman" w:cs="Times New Roman"/>
        </w:rPr>
        <w:t>ascending clock</w:t>
      </w:r>
      <w:r w:rsidR="003D7E7B">
        <w:rPr>
          <w:rFonts w:ascii="Times New Roman" w:hAnsi="Times New Roman" w:cs="Times New Roman"/>
        </w:rPr>
        <w:t xml:space="preserve">” auction in which </w:t>
      </w:r>
      <w:r w:rsidR="00964CE5">
        <w:rPr>
          <w:rFonts w:ascii="Times New Roman" w:hAnsi="Times New Roman" w:cs="Times New Roman"/>
        </w:rPr>
        <w:t xml:space="preserve">CRES suppliers would bid each round the number of tranches they would be willing to serve </w:t>
      </w:r>
      <w:r w:rsidR="00F316FB">
        <w:rPr>
          <w:rFonts w:ascii="Times New Roman" w:hAnsi="Times New Roman" w:cs="Times New Roman"/>
        </w:rPr>
        <w:t xml:space="preserve">shopping customers </w:t>
      </w:r>
      <w:r w:rsidR="003824BA">
        <w:rPr>
          <w:rFonts w:ascii="Times New Roman" w:hAnsi="Times New Roman" w:cs="Times New Roman"/>
        </w:rPr>
        <w:t>at</w:t>
      </w:r>
      <w:r w:rsidR="00F316FB">
        <w:rPr>
          <w:rFonts w:ascii="Times New Roman" w:hAnsi="Times New Roman" w:cs="Times New Roman"/>
        </w:rPr>
        <w:t xml:space="preserve"> 99% of the default service rate</w:t>
      </w:r>
      <w:r w:rsidR="00964CE5">
        <w:rPr>
          <w:rFonts w:ascii="Times New Roman" w:hAnsi="Times New Roman" w:cs="Times New Roman"/>
        </w:rPr>
        <w:t xml:space="preserve">.  (IGS Ex. 101 at 23:7-9.)  </w:t>
      </w:r>
      <w:r w:rsidR="00E93B72">
        <w:rPr>
          <w:rFonts w:ascii="Times New Roman" w:hAnsi="Times New Roman" w:cs="Times New Roman"/>
        </w:rPr>
        <w:t>In an ascending clock auction,</w:t>
      </w:r>
      <w:r w:rsidR="007A274E">
        <w:rPr>
          <w:rFonts w:ascii="Times New Roman" w:hAnsi="Times New Roman" w:cs="Times New Roman"/>
        </w:rPr>
        <w:t xml:space="preserve"> the CRES suppliers would be “putting money into the auction to ultimately determine how valuable that relationship would be with that cu</w:t>
      </w:r>
      <w:r w:rsidR="003D7E7B">
        <w:rPr>
          <w:rFonts w:ascii="Times New Roman" w:hAnsi="Times New Roman" w:cs="Times New Roman"/>
        </w:rPr>
        <w:t xml:space="preserve">stomer.”  (Tr. XV at 4313:8-16; </w:t>
      </w:r>
      <w:r w:rsidR="003D7E7B">
        <w:rPr>
          <w:rFonts w:ascii="Times New Roman" w:hAnsi="Times New Roman" w:cs="Times New Roman"/>
          <w:i/>
        </w:rPr>
        <w:t xml:space="preserve">see also </w:t>
      </w:r>
      <w:r w:rsidR="00E93B72">
        <w:rPr>
          <w:rFonts w:ascii="Times New Roman" w:hAnsi="Times New Roman" w:cs="Times New Roman"/>
        </w:rPr>
        <w:t>Tr.</w:t>
      </w:r>
      <w:r w:rsidR="007A274E">
        <w:rPr>
          <w:rFonts w:ascii="Times New Roman" w:hAnsi="Times New Roman" w:cs="Times New Roman"/>
        </w:rPr>
        <w:t xml:space="preserve"> XV at 4315:11-12</w:t>
      </w:r>
      <w:r w:rsidR="003D7E7B">
        <w:rPr>
          <w:rFonts w:ascii="Times New Roman" w:hAnsi="Times New Roman" w:cs="Times New Roman"/>
        </w:rPr>
        <w:t xml:space="preserve"> (</w:t>
      </w:r>
      <w:r w:rsidR="003D7E7B" w:rsidRPr="003D7E7B">
        <w:rPr>
          <w:rFonts w:ascii="Times New Roman" w:hAnsi="Times New Roman" w:cs="Times New Roman"/>
        </w:rPr>
        <w:t>“the retail suppliers would</w:t>
      </w:r>
      <w:r w:rsidR="003D7E7B">
        <w:rPr>
          <w:rFonts w:ascii="Times New Roman" w:hAnsi="Times New Roman" w:cs="Times New Roman"/>
        </w:rPr>
        <w:t xml:space="preserve"> be buying that relationship”)</w:t>
      </w:r>
      <w:r w:rsidR="007A274E">
        <w:rPr>
          <w:rFonts w:ascii="Times New Roman" w:hAnsi="Times New Roman" w:cs="Times New Roman"/>
        </w:rPr>
        <w:t xml:space="preserve">.)  The resulting </w:t>
      </w:r>
      <w:r w:rsidR="00E93B72">
        <w:rPr>
          <w:rFonts w:ascii="Times New Roman" w:hAnsi="Times New Roman" w:cs="Times New Roman"/>
        </w:rPr>
        <w:t xml:space="preserve">“nest egg of cash” </w:t>
      </w:r>
      <w:r w:rsidR="007A274E">
        <w:rPr>
          <w:rFonts w:ascii="Times New Roman" w:hAnsi="Times New Roman" w:cs="Times New Roman"/>
        </w:rPr>
        <w:t xml:space="preserve">from the retail auction could then be </w:t>
      </w:r>
      <w:r w:rsidR="00F316FB">
        <w:rPr>
          <w:rFonts w:ascii="Times New Roman" w:hAnsi="Times New Roman" w:cs="Times New Roman"/>
        </w:rPr>
        <w:t>used for any number of purposes (Tr. XV at 4315:16 – 4316:1), including to defray the cost of the capacity charge deferral established in Case No. 10-2929.</w:t>
      </w:r>
    </w:p>
    <w:p w14:paraId="50CFC704" w14:textId="7658073A" w:rsidR="009014F0" w:rsidRDefault="009014F0" w:rsidP="007A274E">
      <w:pPr>
        <w:spacing w:line="480" w:lineRule="auto"/>
        <w:ind w:firstLine="720"/>
        <w:rPr>
          <w:rFonts w:ascii="Times New Roman" w:hAnsi="Times New Roman" w:cs="Times New Roman"/>
        </w:rPr>
      </w:pPr>
      <w:r>
        <w:rPr>
          <w:rFonts w:ascii="Times New Roman" w:hAnsi="Times New Roman" w:cs="Times New Roman"/>
        </w:rPr>
        <w:t xml:space="preserve">The Commission should </w:t>
      </w:r>
      <w:r w:rsidR="003D7E7B">
        <w:rPr>
          <w:rFonts w:ascii="Times New Roman" w:hAnsi="Times New Roman" w:cs="Times New Roman"/>
        </w:rPr>
        <w:t xml:space="preserve">accordingly modify </w:t>
      </w:r>
      <w:r>
        <w:rPr>
          <w:rFonts w:ascii="Times New Roman" w:hAnsi="Times New Roman" w:cs="Times New Roman"/>
        </w:rPr>
        <w:t xml:space="preserve">AEP’s </w:t>
      </w:r>
      <w:r w:rsidR="003D7E7B">
        <w:rPr>
          <w:rFonts w:ascii="Times New Roman" w:hAnsi="Times New Roman" w:cs="Times New Roman"/>
        </w:rPr>
        <w:t xml:space="preserve">proposed </w:t>
      </w:r>
      <w:r>
        <w:rPr>
          <w:rFonts w:ascii="Times New Roman" w:hAnsi="Times New Roman" w:cs="Times New Roman"/>
        </w:rPr>
        <w:t xml:space="preserve">wholesale auctions </w:t>
      </w:r>
      <w:r w:rsidR="003D7E7B">
        <w:rPr>
          <w:rFonts w:ascii="Times New Roman" w:hAnsi="Times New Roman" w:cs="Times New Roman"/>
        </w:rPr>
        <w:t xml:space="preserve">and make them </w:t>
      </w:r>
      <w:r>
        <w:rPr>
          <w:rFonts w:ascii="Times New Roman" w:hAnsi="Times New Roman" w:cs="Times New Roman"/>
        </w:rPr>
        <w:t>retail auctions</w:t>
      </w:r>
      <w:r w:rsidR="003D7E7B">
        <w:rPr>
          <w:rFonts w:ascii="Times New Roman" w:hAnsi="Times New Roman" w:cs="Times New Roman"/>
        </w:rPr>
        <w:t>.  Doing so</w:t>
      </w:r>
      <w:r>
        <w:rPr>
          <w:rFonts w:ascii="Times New Roman" w:hAnsi="Times New Roman" w:cs="Times New Roman"/>
        </w:rPr>
        <w:t xml:space="preserve"> </w:t>
      </w:r>
      <w:r w:rsidR="003D7E7B">
        <w:rPr>
          <w:rFonts w:ascii="Times New Roman" w:hAnsi="Times New Roman" w:cs="Times New Roman"/>
        </w:rPr>
        <w:t xml:space="preserve">would </w:t>
      </w:r>
      <w:r>
        <w:rPr>
          <w:rFonts w:ascii="Times New Roman" w:hAnsi="Times New Roman" w:cs="Times New Roman"/>
        </w:rPr>
        <w:t xml:space="preserve">provide additional revenue to </w:t>
      </w:r>
      <w:r w:rsidR="003D7E7B">
        <w:rPr>
          <w:rFonts w:ascii="Times New Roman" w:hAnsi="Times New Roman" w:cs="Times New Roman"/>
        </w:rPr>
        <w:t>offset</w:t>
      </w:r>
      <w:r>
        <w:rPr>
          <w:rFonts w:ascii="Times New Roman" w:hAnsi="Times New Roman" w:cs="Times New Roman"/>
        </w:rPr>
        <w:t xml:space="preserve"> </w:t>
      </w:r>
      <w:r w:rsidR="003D7E7B">
        <w:rPr>
          <w:rFonts w:ascii="Times New Roman" w:hAnsi="Times New Roman" w:cs="Times New Roman"/>
        </w:rPr>
        <w:t xml:space="preserve">any shortfall </w:t>
      </w:r>
      <w:r>
        <w:rPr>
          <w:rFonts w:ascii="Times New Roman" w:hAnsi="Times New Roman" w:cs="Times New Roman"/>
        </w:rPr>
        <w:t xml:space="preserve">between RPM and AEP’s approved capacity price.  </w:t>
      </w:r>
      <w:r w:rsidR="00E40C16">
        <w:rPr>
          <w:rFonts w:ascii="Times New Roman" w:hAnsi="Times New Roman" w:cs="Times New Roman"/>
        </w:rPr>
        <w:t>Whatever recovery mechanism the Commission ultimately chooses, a retail auction would reduce the amount to be recovered.  And it would contribute to making AEP financially whole.  (</w:t>
      </w:r>
      <w:r w:rsidR="00E40C16" w:rsidRPr="00E40C16">
        <w:rPr>
          <w:rFonts w:ascii="Times New Roman" w:hAnsi="Times New Roman" w:cs="Times New Roman"/>
          <w:i/>
        </w:rPr>
        <w:t xml:space="preserve">See </w:t>
      </w:r>
      <w:r w:rsidR="00E40C16">
        <w:rPr>
          <w:rFonts w:ascii="Times New Roman" w:hAnsi="Times New Roman" w:cs="Times New Roman"/>
        </w:rPr>
        <w:t>AEP Init. Br. at 56.)</w:t>
      </w:r>
    </w:p>
    <w:p w14:paraId="4E12C389" w14:textId="3C14B1DB" w:rsidR="00400CFE" w:rsidRDefault="003D7E7B" w:rsidP="007A274E">
      <w:pPr>
        <w:spacing w:line="480" w:lineRule="auto"/>
        <w:ind w:firstLine="720"/>
        <w:rPr>
          <w:rFonts w:ascii="Times New Roman" w:hAnsi="Times New Roman" w:cs="Times New Roman"/>
        </w:rPr>
      </w:pPr>
      <w:r>
        <w:rPr>
          <w:rFonts w:ascii="Times New Roman" w:hAnsi="Times New Roman" w:cs="Times New Roman"/>
        </w:rPr>
        <w:t xml:space="preserve">For these reasons, </w:t>
      </w:r>
      <w:r w:rsidR="003824BA">
        <w:rPr>
          <w:rFonts w:ascii="Times New Roman" w:hAnsi="Times New Roman" w:cs="Times New Roman"/>
        </w:rPr>
        <w:t>t</w:t>
      </w:r>
      <w:r w:rsidR="009014F0">
        <w:rPr>
          <w:rFonts w:ascii="Times New Roman" w:hAnsi="Times New Roman" w:cs="Times New Roman"/>
        </w:rPr>
        <w:t xml:space="preserve">he Commission should </w:t>
      </w:r>
      <w:r w:rsidR="00E40C16">
        <w:rPr>
          <w:rFonts w:ascii="Times New Roman" w:hAnsi="Times New Roman" w:cs="Times New Roman"/>
        </w:rPr>
        <w:t>order th</w:t>
      </w:r>
      <w:r w:rsidR="0088710B">
        <w:rPr>
          <w:rFonts w:ascii="Times New Roman" w:hAnsi="Times New Roman" w:cs="Times New Roman"/>
        </w:rPr>
        <w:t xml:space="preserve">at retail auctions proposed by </w:t>
      </w:r>
      <w:r w:rsidR="003824BA">
        <w:rPr>
          <w:rFonts w:ascii="Times New Roman" w:hAnsi="Times New Roman" w:cs="Times New Roman"/>
        </w:rPr>
        <w:t xml:space="preserve">IGS </w:t>
      </w:r>
      <w:r w:rsidR="0088710B">
        <w:rPr>
          <w:rFonts w:ascii="Times New Roman" w:hAnsi="Times New Roman" w:cs="Times New Roman"/>
        </w:rPr>
        <w:t xml:space="preserve">Witness Parisi be implemented and order the </w:t>
      </w:r>
      <w:r w:rsidR="0035137F">
        <w:rPr>
          <w:rFonts w:ascii="Times New Roman" w:hAnsi="Times New Roman" w:cs="Times New Roman"/>
        </w:rPr>
        <w:t xml:space="preserve">creation </w:t>
      </w:r>
      <w:r w:rsidR="00E40C16">
        <w:rPr>
          <w:rFonts w:ascii="Times New Roman" w:hAnsi="Times New Roman" w:cs="Times New Roman"/>
        </w:rPr>
        <w:t xml:space="preserve">of </w:t>
      </w:r>
      <w:r w:rsidR="009014F0">
        <w:rPr>
          <w:rFonts w:ascii="Times New Roman" w:hAnsi="Times New Roman" w:cs="Times New Roman"/>
        </w:rPr>
        <w:t xml:space="preserve">a </w:t>
      </w:r>
      <w:r w:rsidR="0035137F">
        <w:rPr>
          <w:rFonts w:ascii="Times New Roman" w:hAnsi="Times New Roman" w:cs="Times New Roman"/>
        </w:rPr>
        <w:t xml:space="preserve">collaborative of interested stakeholders to </w:t>
      </w:r>
      <w:r w:rsidR="00181D02">
        <w:rPr>
          <w:rFonts w:ascii="Times New Roman" w:hAnsi="Times New Roman" w:cs="Times New Roman"/>
        </w:rPr>
        <w:t xml:space="preserve">explore the potential of using these auctions to reduce the deferrals created in Case No 10-2929-EL-UNC. </w:t>
      </w:r>
    </w:p>
    <w:p w14:paraId="40E44BDE" w14:textId="3AB74511" w:rsidR="008358C6" w:rsidRDefault="008358C6" w:rsidP="006710E9">
      <w:pPr>
        <w:ind w:left="720" w:hanging="720"/>
        <w:rPr>
          <w:rFonts w:ascii="Times New Roman" w:hAnsi="Times New Roman" w:cs="Times New Roman"/>
          <w:b/>
        </w:rPr>
      </w:pPr>
      <w:r>
        <w:rPr>
          <w:rFonts w:ascii="Times New Roman" w:hAnsi="Times New Roman" w:cs="Times New Roman"/>
          <w:b/>
        </w:rPr>
        <w:t>B.</w:t>
      </w:r>
      <w:r>
        <w:rPr>
          <w:rFonts w:ascii="Times New Roman" w:hAnsi="Times New Roman" w:cs="Times New Roman"/>
          <w:b/>
        </w:rPr>
        <w:tab/>
      </w:r>
      <w:r w:rsidR="007A274E">
        <w:rPr>
          <w:rFonts w:ascii="Times New Roman" w:hAnsi="Times New Roman" w:cs="Times New Roman"/>
          <w:b/>
        </w:rPr>
        <w:t>Even with a state capacity mechanism set to RPM pricing, t</w:t>
      </w:r>
      <w:r>
        <w:rPr>
          <w:rFonts w:ascii="Times New Roman" w:hAnsi="Times New Roman" w:cs="Times New Roman"/>
          <w:b/>
        </w:rPr>
        <w:t>he Commission should adopt a POR program to ease the transition to fully competitive markets.</w:t>
      </w:r>
    </w:p>
    <w:p w14:paraId="113F491C" w14:textId="77777777" w:rsidR="006710E9" w:rsidRDefault="006710E9" w:rsidP="006710E9">
      <w:pPr>
        <w:ind w:left="720" w:hanging="720"/>
        <w:rPr>
          <w:rFonts w:ascii="Times New Roman" w:hAnsi="Times New Roman" w:cs="Times New Roman"/>
          <w:b/>
        </w:rPr>
      </w:pPr>
    </w:p>
    <w:p w14:paraId="7ECBA157" w14:textId="45097A51" w:rsidR="005D0823" w:rsidRDefault="006710E9" w:rsidP="006710E9">
      <w:pPr>
        <w:spacing w:line="480" w:lineRule="auto"/>
        <w:rPr>
          <w:rFonts w:ascii="Times New Roman" w:hAnsi="Times New Roman" w:cs="Times New Roman"/>
        </w:rPr>
      </w:pPr>
      <w:r>
        <w:rPr>
          <w:rFonts w:ascii="Times New Roman" w:hAnsi="Times New Roman" w:cs="Times New Roman"/>
        </w:rPr>
        <w:tab/>
      </w:r>
      <w:r w:rsidR="00E40C16">
        <w:rPr>
          <w:rFonts w:ascii="Times New Roman" w:hAnsi="Times New Roman" w:cs="Times New Roman"/>
        </w:rPr>
        <w:t>Promoting and fostering competition</w:t>
      </w:r>
      <w:r w:rsidR="005D0823">
        <w:rPr>
          <w:rFonts w:ascii="Times New Roman" w:hAnsi="Times New Roman" w:cs="Times New Roman"/>
        </w:rPr>
        <w:t xml:space="preserve"> AEP’s service territory </w:t>
      </w:r>
      <w:r w:rsidR="00E40C16">
        <w:rPr>
          <w:rFonts w:ascii="Times New Roman" w:hAnsi="Times New Roman" w:cs="Times New Roman"/>
        </w:rPr>
        <w:t xml:space="preserve">involves more than a just setting a reasonable capacity price.  As IGS explained in its initial brief, a critical component of fair, competitive market is </w:t>
      </w:r>
      <w:r w:rsidR="005D0823">
        <w:rPr>
          <w:rFonts w:ascii="Times New Roman" w:hAnsi="Times New Roman" w:cs="Times New Roman"/>
        </w:rPr>
        <w:t xml:space="preserve">a </w:t>
      </w:r>
      <w:r w:rsidR="00E40C16">
        <w:rPr>
          <w:rFonts w:ascii="Times New Roman" w:hAnsi="Times New Roman" w:cs="Times New Roman"/>
        </w:rPr>
        <w:t>purchase of receivables (“</w:t>
      </w:r>
      <w:r w:rsidR="005D0823">
        <w:rPr>
          <w:rFonts w:ascii="Times New Roman" w:hAnsi="Times New Roman" w:cs="Times New Roman"/>
        </w:rPr>
        <w:t>POR</w:t>
      </w:r>
      <w:r w:rsidR="00E40C16">
        <w:rPr>
          <w:rFonts w:ascii="Times New Roman" w:hAnsi="Times New Roman" w:cs="Times New Roman"/>
        </w:rPr>
        <w:t>”)</w:t>
      </w:r>
      <w:r w:rsidR="005D0823">
        <w:rPr>
          <w:rFonts w:ascii="Times New Roman" w:hAnsi="Times New Roman" w:cs="Times New Roman"/>
        </w:rPr>
        <w:t xml:space="preserve"> program.  In its Initial Brief, AEP claims that its ESP provides “a balanced approach to transitioning the AEP Ohio territory to a more sustainable competitive environment.”</w:t>
      </w:r>
      <w:r>
        <w:rPr>
          <w:rFonts w:ascii="Times New Roman" w:hAnsi="Times New Roman" w:cs="Times New Roman"/>
        </w:rPr>
        <w:t xml:space="preserve"> </w:t>
      </w:r>
      <w:r w:rsidR="005D0823">
        <w:rPr>
          <w:rFonts w:ascii="Times New Roman" w:hAnsi="Times New Roman" w:cs="Times New Roman"/>
        </w:rPr>
        <w:t xml:space="preserve"> (AEP Init. Br. at 14.) </w:t>
      </w:r>
      <w:r w:rsidR="007D27EB">
        <w:rPr>
          <w:rFonts w:ascii="Times New Roman" w:hAnsi="Times New Roman" w:cs="Times New Roman"/>
        </w:rPr>
        <w:t xml:space="preserve"> AEP recognizes that this end is both appropriate and </w:t>
      </w:r>
      <w:r w:rsidR="00E40C16">
        <w:rPr>
          <w:rFonts w:ascii="Times New Roman" w:hAnsi="Times New Roman" w:cs="Times New Roman"/>
        </w:rPr>
        <w:t>legally mandated</w:t>
      </w:r>
      <w:r w:rsidR="007D27EB">
        <w:rPr>
          <w:rFonts w:ascii="Times New Roman" w:hAnsi="Times New Roman" w:cs="Times New Roman"/>
        </w:rPr>
        <w:t>.  That is why a POR program should be ordered.</w:t>
      </w:r>
      <w:r w:rsidR="005D0823">
        <w:rPr>
          <w:rFonts w:ascii="Times New Roman" w:hAnsi="Times New Roman" w:cs="Times New Roman"/>
        </w:rPr>
        <w:t xml:space="preserve"> </w:t>
      </w:r>
    </w:p>
    <w:p w14:paraId="0442FAC4" w14:textId="4FEDF216" w:rsidR="007D27EB" w:rsidRDefault="005D0823" w:rsidP="006710E9">
      <w:pPr>
        <w:spacing w:line="480" w:lineRule="auto"/>
        <w:rPr>
          <w:rFonts w:ascii="Times New Roman" w:hAnsi="Times New Roman" w:cs="Times New Roman"/>
        </w:rPr>
      </w:pPr>
      <w:r>
        <w:rPr>
          <w:rFonts w:ascii="Times New Roman" w:hAnsi="Times New Roman" w:cs="Times New Roman"/>
        </w:rPr>
        <w:tab/>
        <w:t xml:space="preserve">As explained in IGS’s initial brief, a POR program is an important consideration before any supplier enters the market.  (IGS Init. Br. at 4.)  A POR program would reduce costs for suppliers and customers by streamlining the collections process, </w:t>
      </w:r>
      <w:r w:rsidR="007D27EB">
        <w:rPr>
          <w:rFonts w:ascii="Times New Roman" w:hAnsi="Times New Roman" w:cs="Times New Roman"/>
        </w:rPr>
        <w:t>providing</w:t>
      </w:r>
      <w:r>
        <w:rPr>
          <w:rFonts w:ascii="Times New Roman" w:hAnsi="Times New Roman" w:cs="Times New Roman"/>
        </w:rPr>
        <w:t xml:space="preserve"> customers with a single point of collection</w:t>
      </w:r>
      <w:r w:rsidR="007D27EB">
        <w:rPr>
          <w:rFonts w:ascii="Times New Roman" w:hAnsi="Times New Roman" w:cs="Times New Roman"/>
        </w:rPr>
        <w:t>.</w:t>
      </w:r>
      <w:r>
        <w:rPr>
          <w:rFonts w:ascii="Times New Roman" w:hAnsi="Times New Roman" w:cs="Times New Roman"/>
        </w:rPr>
        <w:t xml:space="preserve"> </w:t>
      </w:r>
      <w:r w:rsidR="007D27EB">
        <w:rPr>
          <w:rFonts w:ascii="Times New Roman" w:hAnsi="Times New Roman" w:cs="Times New Roman"/>
        </w:rPr>
        <w:t xml:space="preserve"> </w:t>
      </w:r>
      <w:r>
        <w:rPr>
          <w:rFonts w:ascii="Times New Roman" w:hAnsi="Times New Roman" w:cs="Times New Roman"/>
        </w:rPr>
        <w:t>(</w:t>
      </w:r>
      <w:r w:rsidR="007D27EB">
        <w:rPr>
          <w:rFonts w:ascii="Times New Roman" w:hAnsi="Times New Roman" w:cs="Times New Roman"/>
          <w:i/>
        </w:rPr>
        <w:t>Id</w:t>
      </w:r>
      <w:r w:rsidR="007D27EB">
        <w:rPr>
          <w:rFonts w:ascii="Times New Roman" w:hAnsi="Times New Roman" w:cs="Times New Roman"/>
        </w:rPr>
        <w:t>.</w:t>
      </w:r>
      <w:r w:rsidR="007D27EB">
        <w:rPr>
          <w:rFonts w:ascii="Times New Roman" w:hAnsi="Times New Roman" w:cs="Times New Roman"/>
          <w:i/>
        </w:rPr>
        <w:t xml:space="preserve"> </w:t>
      </w:r>
      <w:r>
        <w:rPr>
          <w:rFonts w:ascii="Times New Roman" w:hAnsi="Times New Roman" w:cs="Times New Roman"/>
        </w:rPr>
        <w:t xml:space="preserve">at </w:t>
      </w:r>
      <w:r w:rsidR="007D27EB">
        <w:rPr>
          <w:rFonts w:ascii="Times New Roman" w:hAnsi="Times New Roman" w:cs="Times New Roman"/>
        </w:rPr>
        <w:t>6-</w:t>
      </w:r>
      <w:r>
        <w:rPr>
          <w:rFonts w:ascii="Times New Roman" w:hAnsi="Times New Roman" w:cs="Times New Roman"/>
        </w:rPr>
        <w:t xml:space="preserve">7.)  </w:t>
      </w:r>
      <w:r w:rsidR="00304B1D">
        <w:rPr>
          <w:rFonts w:ascii="Times New Roman" w:hAnsi="Times New Roman" w:cs="Times New Roman"/>
        </w:rPr>
        <w:t xml:space="preserve">Without a POR program, customers pay twice for both AEP and its supplier to house collection resources.  (IGS Ex. 101 at 16; Tr. XV at 4294:6-15; Tr. XV at 4295:4-5; Tr. XV at 4296:4-9.)  </w:t>
      </w:r>
      <w:r w:rsidR="007D27EB">
        <w:rPr>
          <w:rFonts w:ascii="Times New Roman" w:hAnsi="Times New Roman" w:cs="Times New Roman"/>
        </w:rPr>
        <w:t xml:space="preserve">And </w:t>
      </w:r>
      <w:r>
        <w:rPr>
          <w:rFonts w:ascii="Times New Roman" w:hAnsi="Times New Roman" w:cs="Times New Roman"/>
        </w:rPr>
        <w:t xml:space="preserve">AEP would not be exposed to </w:t>
      </w:r>
      <w:r w:rsidR="007D27EB">
        <w:rPr>
          <w:rFonts w:ascii="Times New Roman" w:hAnsi="Times New Roman" w:cs="Times New Roman"/>
        </w:rPr>
        <w:t>increased risk with the adoption</w:t>
      </w:r>
      <w:r>
        <w:rPr>
          <w:rFonts w:ascii="Times New Roman" w:hAnsi="Times New Roman" w:cs="Times New Roman"/>
        </w:rPr>
        <w:t xml:space="preserve"> of an uncollectible expense rider </w:t>
      </w:r>
      <w:r w:rsidR="007D27EB">
        <w:rPr>
          <w:rFonts w:ascii="Times New Roman" w:hAnsi="Times New Roman" w:cs="Times New Roman"/>
        </w:rPr>
        <w:t>or other mechanisms</w:t>
      </w:r>
      <w:r w:rsidR="00DE4CA2">
        <w:rPr>
          <w:rFonts w:ascii="Times New Roman" w:hAnsi="Times New Roman" w:cs="Times New Roman"/>
        </w:rPr>
        <w:t>.  (</w:t>
      </w:r>
      <w:r w:rsidR="007D27EB">
        <w:rPr>
          <w:rFonts w:ascii="Times New Roman" w:hAnsi="Times New Roman" w:cs="Times New Roman"/>
          <w:i/>
        </w:rPr>
        <w:t>Id</w:t>
      </w:r>
      <w:r w:rsidR="007D27EB">
        <w:rPr>
          <w:rFonts w:ascii="Times New Roman" w:hAnsi="Times New Roman" w:cs="Times New Roman"/>
        </w:rPr>
        <w:t>.</w:t>
      </w:r>
      <w:r w:rsidR="007D27EB">
        <w:rPr>
          <w:rFonts w:ascii="Times New Roman" w:hAnsi="Times New Roman" w:cs="Times New Roman"/>
          <w:i/>
        </w:rPr>
        <w:t xml:space="preserve"> </w:t>
      </w:r>
      <w:r w:rsidR="00DE4CA2">
        <w:rPr>
          <w:rFonts w:ascii="Times New Roman" w:hAnsi="Times New Roman" w:cs="Times New Roman"/>
        </w:rPr>
        <w:t xml:space="preserve">at 5, 8-9.)  The success of Duke and the </w:t>
      </w:r>
      <w:r w:rsidR="00697439">
        <w:rPr>
          <w:rFonts w:ascii="Times New Roman" w:hAnsi="Times New Roman" w:cs="Times New Roman"/>
        </w:rPr>
        <w:t xml:space="preserve">natural </w:t>
      </w:r>
      <w:r w:rsidR="00DE4CA2">
        <w:rPr>
          <w:rFonts w:ascii="Times New Roman" w:hAnsi="Times New Roman" w:cs="Times New Roman"/>
        </w:rPr>
        <w:t>gas utilities’ POR programs further evidence the success POR programs have had in Ohio.  (</w:t>
      </w:r>
      <w:r w:rsidR="007D27EB">
        <w:rPr>
          <w:rFonts w:ascii="Times New Roman" w:hAnsi="Times New Roman" w:cs="Times New Roman"/>
          <w:i/>
        </w:rPr>
        <w:t>Id</w:t>
      </w:r>
      <w:r w:rsidR="007D27EB">
        <w:rPr>
          <w:rFonts w:ascii="Times New Roman" w:hAnsi="Times New Roman" w:cs="Times New Roman"/>
        </w:rPr>
        <w:t>.</w:t>
      </w:r>
      <w:r w:rsidR="007D27EB">
        <w:rPr>
          <w:rFonts w:ascii="Times New Roman" w:hAnsi="Times New Roman" w:cs="Times New Roman"/>
          <w:i/>
        </w:rPr>
        <w:t xml:space="preserve"> </w:t>
      </w:r>
      <w:r w:rsidR="00DE4CA2">
        <w:rPr>
          <w:rFonts w:ascii="Times New Roman" w:hAnsi="Times New Roman" w:cs="Times New Roman"/>
        </w:rPr>
        <w:t>at 10.)</w:t>
      </w:r>
      <w:r w:rsidR="007D27EB">
        <w:rPr>
          <w:rFonts w:ascii="Times New Roman" w:hAnsi="Times New Roman" w:cs="Times New Roman"/>
        </w:rPr>
        <w:t xml:space="preserve"> </w:t>
      </w:r>
    </w:p>
    <w:p w14:paraId="43E47942" w14:textId="437FD88C" w:rsidR="006710E9" w:rsidRDefault="00DE4CA2" w:rsidP="007D27EB">
      <w:pPr>
        <w:spacing w:line="480" w:lineRule="auto"/>
        <w:ind w:firstLine="720"/>
        <w:rPr>
          <w:rFonts w:ascii="Times New Roman" w:hAnsi="Times New Roman" w:cs="Times New Roman"/>
        </w:rPr>
      </w:pPr>
      <w:r>
        <w:rPr>
          <w:rFonts w:ascii="Times New Roman" w:hAnsi="Times New Roman" w:cs="Times New Roman"/>
        </w:rPr>
        <w:t xml:space="preserve">In short, a POR program </w:t>
      </w:r>
      <w:r w:rsidR="007D27EB">
        <w:rPr>
          <w:rFonts w:ascii="Times New Roman" w:hAnsi="Times New Roman" w:cs="Times New Roman"/>
        </w:rPr>
        <w:t xml:space="preserve">is </w:t>
      </w:r>
      <w:r>
        <w:rPr>
          <w:rFonts w:ascii="Times New Roman" w:hAnsi="Times New Roman" w:cs="Times New Roman"/>
        </w:rPr>
        <w:t xml:space="preserve">an important </w:t>
      </w:r>
      <w:r w:rsidR="007D27EB">
        <w:rPr>
          <w:rFonts w:ascii="Times New Roman" w:hAnsi="Times New Roman" w:cs="Times New Roman"/>
        </w:rPr>
        <w:t xml:space="preserve">foundation for building a </w:t>
      </w:r>
      <w:r>
        <w:rPr>
          <w:rFonts w:ascii="Times New Roman" w:hAnsi="Times New Roman" w:cs="Times New Roman"/>
        </w:rPr>
        <w:t>competitive market</w:t>
      </w:r>
      <w:r w:rsidR="00697439">
        <w:rPr>
          <w:rFonts w:ascii="Times New Roman" w:hAnsi="Times New Roman" w:cs="Times New Roman"/>
        </w:rPr>
        <w:t xml:space="preserve"> and</w:t>
      </w:r>
      <w:r w:rsidR="003824BA">
        <w:rPr>
          <w:rFonts w:ascii="Times New Roman" w:hAnsi="Times New Roman" w:cs="Times New Roman"/>
        </w:rPr>
        <w:t xml:space="preserve"> </w:t>
      </w:r>
      <w:r w:rsidR="00697439">
        <w:rPr>
          <w:rFonts w:ascii="Times New Roman" w:hAnsi="Times New Roman" w:cs="Times New Roman"/>
        </w:rPr>
        <w:t>t</w:t>
      </w:r>
      <w:r>
        <w:rPr>
          <w:rFonts w:ascii="Times New Roman" w:hAnsi="Times New Roman" w:cs="Times New Roman"/>
        </w:rPr>
        <w:t xml:space="preserve">he Commission should adopt IGS’s recommended POR program. </w:t>
      </w:r>
    </w:p>
    <w:p w14:paraId="154733A7" w14:textId="77777777" w:rsidR="0035137F" w:rsidRDefault="0035137F">
      <w:pPr>
        <w:rPr>
          <w:rFonts w:ascii="Times New Roman" w:hAnsi="Times New Roman" w:cs="Times New Roman"/>
          <w:b/>
        </w:rPr>
      </w:pPr>
      <w:r>
        <w:rPr>
          <w:rFonts w:ascii="Times New Roman" w:hAnsi="Times New Roman" w:cs="Times New Roman"/>
          <w:b/>
        </w:rPr>
        <w:br w:type="page"/>
      </w:r>
    </w:p>
    <w:p w14:paraId="2F0CBAC2" w14:textId="09D396A7" w:rsidR="008358C6" w:rsidRDefault="006710E9" w:rsidP="006710E9">
      <w:pPr>
        <w:ind w:left="720" w:hanging="720"/>
        <w:rPr>
          <w:rFonts w:ascii="Times New Roman" w:hAnsi="Times New Roman" w:cs="Times New Roman"/>
          <w:b/>
        </w:rPr>
      </w:pPr>
      <w:r>
        <w:rPr>
          <w:rFonts w:ascii="Times New Roman" w:hAnsi="Times New Roman" w:cs="Times New Roman"/>
          <w:b/>
        </w:rPr>
        <w:t>C.</w:t>
      </w:r>
      <w:r>
        <w:rPr>
          <w:rFonts w:ascii="Times New Roman" w:hAnsi="Times New Roman" w:cs="Times New Roman"/>
          <w:b/>
        </w:rPr>
        <w:tab/>
        <w:t xml:space="preserve">The Commission should </w:t>
      </w:r>
      <w:r w:rsidR="00DF7C19">
        <w:rPr>
          <w:rFonts w:ascii="Times New Roman" w:hAnsi="Times New Roman" w:cs="Times New Roman"/>
          <w:b/>
        </w:rPr>
        <w:t>reject AEP’s claims of the GRR’s benefits, and adopt IGS’s recommendations</w:t>
      </w:r>
      <w:r>
        <w:rPr>
          <w:rFonts w:ascii="Times New Roman" w:hAnsi="Times New Roman" w:cs="Times New Roman"/>
          <w:b/>
        </w:rPr>
        <w:t>.</w:t>
      </w:r>
    </w:p>
    <w:p w14:paraId="16657FE4" w14:textId="77777777" w:rsidR="006710E9" w:rsidRDefault="006710E9" w:rsidP="006710E9">
      <w:pPr>
        <w:ind w:left="720" w:hanging="720"/>
        <w:rPr>
          <w:rFonts w:ascii="Times New Roman" w:hAnsi="Times New Roman" w:cs="Times New Roman"/>
        </w:rPr>
      </w:pPr>
    </w:p>
    <w:p w14:paraId="4EE81862" w14:textId="548CEF4F" w:rsidR="006710E9" w:rsidRDefault="006710E9" w:rsidP="006710E9">
      <w:pPr>
        <w:spacing w:line="480" w:lineRule="auto"/>
        <w:rPr>
          <w:rFonts w:ascii="Times New Roman" w:hAnsi="Times New Roman" w:cs="Times New Roman"/>
        </w:rPr>
      </w:pPr>
      <w:r>
        <w:rPr>
          <w:rFonts w:ascii="Times New Roman" w:hAnsi="Times New Roman" w:cs="Times New Roman"/>
        </w:rPr>
        <w:tab/>
      </w:r>
      <w:r w:rsidR="004969E1">
        <w:rPr>
          <w:rFonts w:ascii="Times New Roman" w:hAnsi="Times New Roman" w:cs="Times New Roman"/>
        </w:rPr>
        <w:t xml:space="preserve">AEP </w:t>
      </w:r>
      <w:r w:rsidR="00DF7C19">
        <w:rPr>
          <w:rFonts w:ascii="Times New Roman" w:hAnsi="Times New Roman" w:cs="Times New Roman"/>
        </w:rPr>
        <w:t xml:space="preserve">argues </w:t>
      </w:r>
      <w:r w:rsidR="004969E1">
        <w:rPr>
          <w:rFonts w:ascii="Times New Roman" w:hAnsi="Times New Roman" w:cs="Times New Roman"/>
        </w:rPr>
        <w:t xml:space="preserve">that IGS misunderstands “how the </w:t>
      </w:r>
      <w:r w:rsidR="00DF7C19">
        <w:rPr>
          <w:rFonts w:ascii="Times New Roman" w:hAnsi="Times New Roman" w:cs="Times New Roman"/>
        </w:rPr>
        <w:t>[</w:t>
      </w:r>
      <w:r w:rsidR="007D27EB">
        <w:rPr>
          <w:rFonts w:ascii="Times New Roman" w:hAnsi="Times New Roman" w:cs="Times New Roman"/>
        </w:rPr>
        <w:t>Generation Resource Rider</w:t>
      </w:r>
      <w:r w:rsidR="00DF7C19">
        <w:rPr>
          <w:rFonts w:ascii="Times New Roman" w:hAnsi="Times New Roman" w:cs="Times New Roman"/>
        </w:rPr>
        <w:t xml:space="preserve">] </w:t>
      </w:r>
      <w:r w:rsidR="004969E1">
        <w:rPr>
          <w:rFonts w:ascii="Times New Roman" w:hAnsi="Times New Roman" w:cs="Times New Roman"/>
        </w:rPr>
        <w:t xml:space="preserve">mechanism is intended to work.”  (AEP Init. Br. at 29.)  </w:t>
      </w:r>
      <w:r w:rsidR="00DF7C19">
        <w:rPr>
          <w:rFonts w:ascii="Times New Roman" w:hAnsi="Times New Roman" w:cs="Times New Roman"/>
        </w:rPr>
        <w:t xml:space="preserve">AEP further claims that IGS’s concern with the GRR is based on the “flawed assumption” that shopping customers will receive no benefit from the GRR.  (AEP Init. Br. at 29.)  </w:t>
      </w:r>
      <w:r w:rsidR="007D27EB">
        <w:rPr>
          <w:rFonts w:ascii="Times New Roman" w:hAnsi="Times New Roman" w:cs="Times New Roman"/>
        </w:rPr>
        <w:t xml:space="preserve">But </w:t>
      </w:r>
      <w:r w:rsidR="00DF7C19">
        <w:rPr>
          <w:rFonts w:ascii="Times New Roman" w:hAnsi="Times New Roman" w:cs="Times New Roman"/>
        </w:rPr>
        <w:t xml:space="preserve">AEP fails to </w:t>
      </w:r>
      <w:r w:rsidR="007D27EB">
        <w:rPr>
          <w:rFonts w:ascii="Times New Roman" w:hAnsi="Times New Roman" w:cs="Times New Roman"/>
        </w:rPr>
        <w:t>show any flaw in IGS’s reasoning</w:t>
      </w:r>
      <w:r w:rsidR="00DF7C19">
        <w:rPr>
          <w:rFonts w:ascii="Times New Roman" w:hAnsi="Times New Roman" w:cs="Times New Roman"/>
        </w:rPr>
        <w:t xml:space="preserve">.  </w:t>
      </w:r>
    </w:p>
    <w:p w14:paraId="44259674" w14:textId="7537AA6A" w:rsidR="004969E1" w:rsidRDefault="004969E1" w:rsidP="006710E9">
      <w:pPr>
        <w:spacing w:line="480" w:lineRule="auto"/>
        <w:rPr>
          <w:rFonts w:ascii="Times New Roman" w:hAnsi="Times New Roman" w:cs="Times New Roman"/>
        </w:rPr>
      </w:pPr>
      <w:r>
        <w:rPr>
          <w:rFonts w:ascii="Times New Roman" w:hAnsi="Times New Roman" w:cs="Times New Roman"/>
        </w:rPr>
        <w:tab/>
        <w:t xml:space="preserve">AEP recites the testimony of AEP witnesses Roush and Dias that shopping customers receive a benefit </w:t>
      </w:r>
      <w:r w:rsidR="000E049F">
        <w:rPr>
          <w:rFonts w:ascii="Times New Roman" w:hAnsi="Times New Roman" w:cs="Times New Roman"/>
        </w:rPr>
        <w:t xml:space="preserve">from the GRR </w:t>
      </w:r>
      <w:r>
        <w:rPr>
          <w:rFonts w:ascii="Times New Roman" w:hAnsi="Times New Roman" w:cs="Times New Roman"/>
        </w:rPr>
        <w:t xml:space="preserve">because they </w:t>
      </w:r>
      <w:r w:rsidR="000E049F">
        <w:rPr>
          <w:rFonts w:ascii="Times New Roman" w:hAnsi="Times New Roman" w:cs="Times New Roman"/>
        </w:rPr>
        <w:t>may</w:t>
      </w:r>
      <w:r>
        <w:rPr>
          <w:rFonts w:ascii="Times New Roman" w:hAnsi="Times New Roman" w:cs="Times New Roman"/>
        </w:rPr>
        <w:t xml:space="preserve"> </w:t>
      </w:r>
      <w:r w:rsidRPr="000E049F">
        <w:rPr>
          <w:rFonts w:ascii="Times New Roman" w:hAnsi="Times New Roman" w:cs="Times New Roman"/>
          <w:i/>
        </w:rPr>
        <w:t>at</w:t>
      </w:r>
      <w:r>
        <w:rPr>
          <w:rFonts w:ascii="Times New Roman" w:hAnsi="Times New Roman" w:cs="Times New Roman"/>
        </w:rPr>
        <w:t xml:space="preserve"> </w:t>
      </w:r>
      <w:r w:rsidR="000E049F">
        <w:rPr>
          <w:rFonts w:ascii="Times New Roman" w:hAnsi="Times New Roman" w:cs="Times New Roman"/>
          <w:i/>
        </w:rPr>
        <w:t>some</w:t>
      </w:r>
      <w:r w:rsidRPr="000E049F">
        <w:rPr>
          <w:rFonts w:ascii="Times New Roman" w:hAnsi="Times New Roman" w:cs="Times New Roman"/>
          <w:i/>
        </w:rPr>
        <w:t xml:space="preserve"> point </w:t>
      </w:r>
      <w:r w:rsidR="000E049F">
        <w:rPr>
          <w:rFonts w:ascii="Times New Roman" w:hAnsi="Times New Roman" w:cs="Times New Roman"/>
        </w:rPr>
        <w:t xml:space="preserve">be </w:t>
      </w:r>
      <w:r w:rsidRPr="000E049F">
        <w:rPr>
          <w:rFonts w:ascii="Times New Roman" w:hAnsi="Times New Roman" w:cs="Times New Roman"/>
        </w:rPr>
        <w:t>a non-shopping customer</w:t>
      </w:r>
      <w:r>
        <w:rPr>
          <w:rFonts w:ascii="Times New Roman" w:hAnsi="Times New Roman" w:cs="Times New Roman"/>
        </w:rPr>
        <w:t>.  (AEP Ini</w:t>
      </w:r>
      <w:r w:rsidR="000E049F">
        <w:rPr>
          <w:rFonts w:ascii="Times New Roman" w:hAnsi="Times New Roman" w:cs="Times New Roman"/>
        </w:rPr>
        <w:t xml:space="preserve">t Br. at 29-30 (AEP writes “because a customer can periodically switch between shopping and not shopping, it is likely that all customers will at some point benefit from projects recovered through the GRR”).)  </w:t>
      </w:r>
      <w:r w:rsidR="007D27EB">
        <w:rPr>
          <w:rFonts w:ascii="Times New Roman" w:hAnsi="Times New Roman" w:cs="Times New Roman"/>
        </w:rPr>
        <w:t xml:space="preserve">This is a remarkably overbroad position.  It </w:t>
      </w:r>
      <w:r w:rsidR="00D76499">
        <w:rPr>
          <w:rFonts w:ascii="Times New Roman" w:hAnsi="Times New Roman" w:cs="Times New Roman"/>
        </w:rPr>
        <w:t>would support elim</w:t>
      </w:r>
      <w:r w:rsidR="001926A8">
        <w:rPr>
          <w:rFonts w:ascii="Times New Roman" w:hAnsi="Times New Roman" w:cs="Times New Roman"/>
        </w:rPr>
        <w:t xml:space="preserve">inating any distinctions in </w:t>
      </w:r>
      <w:r w:rsidR="00CA2874">
        <w:rPr>
          <w:rFonts w:ascii="Times New Roman" w:hAnsi="Times New Roman" w:cs="Times New Roman"/>
        </w:rPr>
        <w:t>the</w:t>
      </w:r>
      <w:r w:rsidR="00D76499">
        <w:rPr>
          <w:rFonts w:ascii="Times New Roman" w:hAnsi="Times New Roman" w:cs="Times New Roman"/>
        </w:rPr>
        <w:t xml:space="preserve"> costs shopping and non-shopping customers </w:t>
      </w:r>
      <w:r w:rsidR="004F4FEE">
        <w:rPr>
          <w:rFonts w:ascii="Times New Roman" w:hAnsi="Times New Roman" w:cs="Times New Roman"/>
        </w:rPr>
        <w:t xml:space="preserve">must pay.  </w:t>
      </w:r>
      <w:r w:rsidR="00D76499">
        <w:rPr>
          <w:rFonts w:ascii="Times New Roman" w:hAnsi="Times New Roman" w:cs="Times New Roman"/>
        </w:rPr>
        <w:t xml:space="preserve">For example, it </w:t>
      </w:r>
      <w:r w:rsidR="007D27EB">
        <w:rPr>
          <w:rFonts w:ascii="Times New Roman" w:hAnsi="Times New Roman" w:cs="Times New Roman"/>
        </w:rPr>
        <w:t xml:space="preserve">would support making </w:t>
      </w:r>
      <w:r w:rsidR="007D27EB" w:rsidRPr="00D76499">
        <w:rPr>
          <w:rFonts w:ascii="Times New Roman" w:hAnsi="Times New Roman" w:cs="Times New Roman"/>
        </w:rPr>
        <w:t xml:space="preserve">all </w:t>
      </w:r>
      <w:r w:rsidR="00D76499">
        <w:rPr>
          <w:rFonts w:ascii="Times New Roman" w:hAnsi="Times New Roman" w:cs="Times New Roman"/>
        </w:rPr>
        <w:t xml:space="preserve">charges </w:t>
      </w:r>
      <w:r w:rsidR="007D27EB" w:rsidRPr="007D27EB">
        <w:rPr>
          <w:rFonts w:ascii="Times New Roman" w:hAnsi="Times New Roman" w:cs="Times New Roman"/>
          <w:i/>
        </w:rPr>
        <w:t>bypassable</w:t>
      </w:r>
      <w:r w:rsidR="007D27EB">
        <w:rPr>
          <w:rFonts w:ascii="Times New Roman" w:hAnsi="Times New Roman" w:cs="Times New Roman"/>
        </w:rPr>
        <w:t xml:space="preserve">—since a </w:t>
      </w:r>
      <w:r w:rsidR="004F4FEE">
        <w:rPr>
          <w:rFonts w:ascii="Times New Roman" w:hAnsi="Times New Roman" w:cs="Times New Roman"/>
        </w:rPr>
        <w:t>shopping customer</w:t>
      </w:r>
      <w:r w:rsidR="000E049F">
        <w:rPr>
          <w:rFonts w:ascii="Times New Roman" w:hAnsi="Times New Roman" w:cs="Times New Roman"/>
        </w:rPr>
        <w:t xml:space="preserve"> “at some point” </w:t>
      </w:r>
      <w:r w:rsidR="004F4FEE">
        <w:rPr>
          <w:rFonts w:ascii="Times New Roman" w:hAnsi="Times New Roman" w:cs="Times New Roman"/>
        </w:rPr>
        <w:t xml:space="preserve">may </w:t>
      </w:r>
      <w:r w:rsidR="007D27EB">
        <w:rPr>
          <w:rFonts w:ascii="Times New Roman" w:hAnsi="Times New Roman" w:cs="Times New Roman"/>
        </w:rPr>
        <w:t xml:space="preserve">come back </w:t>
      </w:r>
      <w:r w:rsidR="000E049F">
        <w:rPr>
          <w:rFonts w:ascii="Times New Roman" w:hAnsi="Times New Roman" w:cs="Times New Roman"/>
        </w:rPr>
        <w:t xml:space="preserve">to </w:t>
      </w:r>
      <w:r w:rsidR="007D27EB">
        <w:rPr>
          <w:rFonts w:ascii="Times New Roman" w:hAnsi="Times New Roman" w:cs="Times New Roman"/>
        </w:rPr>
        <w:t xml:space="preserve">SSO service </w:t>
      </w:r>
      <w:r w:rsidR="000E049F">
        <w:rPr>
          <w:rFonts w:ascii="Times New Roman" w:hAnsi="Times New Roman" w:cs="Times New Roman"/>
        </w:rPr>
        <w:t xml:space="preserve">and </w:t>
      </w:r>
      <w:r w:rsidR="004F4FEE">
        <w:rPr>
          <w:rFonts w:ascii="Times New Roman" w:hAnsi="Times New Roman" w:cs="Times New Roman"/>
        </w:rPr>
        <w:t>th</w:t>
      </w:r>
      <w:r w:rsidR="00B751E6">
        <w:rPr>
          <w:rFonts w:ascii="Times New Roman" w:hAnsi="Times New Roman" w:cs="Times New Roman"/>
        </w:rPr>
        <w:t>en</w:t>
      </w:r>
      <w:r w:rsidR="004F4FEE">
        <w:rPr>
          <w:rFonts w:ascii="Times New Roman" w:hAnsi="Times New Roman" w:cs="Times New Roman"/>
        </w:rPr>
        <w:t xml:space="preserve"> </w:t>
      </w:r>
      <w:r w:rsidR="007D27EB">
        <w:rPr>
          <w:rFonts w:ascii="Times New Roman" w:hAnsi="Times New Roman" w:cs="Times New Roman"/>
        </w:rPr>
        <w:t xml:space="preserve">pay </w:t>
      </w:r>
      <w:r w:rsidR="004F4FEE">
        <w:rPr>
          <w:rFonts w:ascii="Times New Roman" w:hAnsi="Times New Roman" w:cs="Times New Roman"/>
        </w:rPr>
        <w:t>“</w:t>
      </w:r>
      <w:r w:rsidR="007D27EB">
        <w:rPr>
          <w:rFonts w:ascii="Times New Roman" w:hAnsi="Times New Roman" w:cs="Times New Roman"/>
        </w:rPr>
        <w:t>some</w:t>
      </w:r>
      <w:r w:rsidR="004F4FEE">
        <w:rPr>
          <w:rFonts w:ascii="Times New Roman" w:hAnsi="Times New Roman" w:cs="Times New Roman"/>
        </w:rPr>
        <w:t>”</w:t>
      </w:r>
      <w:r w:rsidR="007D27EB">
        <w:rPr>
          <w:rFonts w:ascii="Times New Roman" w:hAnsi="Times New Roman" w:cs="Times New Roman"/>
        </w:rPr>
        <w:t xml:space="preserve"> share of those costs</w:t>
      </w:r>
      <w:r w:rsidR="000E049F">
        <w:rPr>
          <w:rFonts w:ascii="Times New Roman" w:hAnsi="Times New Roman" w:cs="Times New Roman"/>
        </w:rPr>
        <w:t xml:space="preserve">. </w:t>
      </w:r>
      <w:r w:rsidR="002777EB">
        <w:rPr>
          <w:rFonts w:ascii="Times New Roman" w:hAnsi="Times New Roman" w:cs="Times New Roman"/>
        </w:rPr>
        <w:t xml:space="preserve"> </w:t>
      </w:r>
      <w:r w:rsidR="00D76499">
        <w:rPr>
          <w:rFonts w:ascii="Times New Roman" w:hAnsi="Times New Roman" w:cs="Times New Roman"/>
        </w:rPr>
        <w:t xml:space="preserve">Presumably AEP would not support that application of its </w:t>
      </w:r>
      <w:r w:rsidR="004F4FEE">
        <w:rPr>
          <w:rFonts w:ascii="Times New Roman" w:hAnsi="Times New Roman" w:cs="Times New Roman"/>
        </w:rPr>
        <w:t>reasoning</w:t>
      </w:r>
      <w:r w:rsidR="00D76499">
        <w:rPr>
          <w:rFonts w:ascii="Times New Roman" w:hAnsi="Times New Roman" w:cs="Times New Roman"/>
        </w:rPr>
        <w:t xml:space="preserve">.  </w:t>
      </w:r>
      <w:r w:rsidR="004F4FEE">
        <w:rPr>
          <w:rFonts w:ascii="Times New Roman" w:hAnsi="Times New Roman" w:cs="Times New Roman"/>
        </w:rPr>
        <w:t xml:space="preserve">AEP has not shown what it must: that it is appropriate to charge shopping customers for resources dedicated to SSO service.  </w:t>
      </w:r>
    </w:p>
    <w:p w14:paraId="19774892" w14:textId="0AF580DA" w:rsidR="001926A8" w:rsidRDefault="000E049F" w:rsidP="006710E9">
      <w:pPr>
        <w:spacing w:line="480" w:lineRule="auto"/>
        <w:rPr>
          <w:rFonts w:ascii="Times New Roman" w:hAnsi="Times New Roman" w:cs="Times New Roman"/>
        </w:rPr>
      </w:pPr>
      <w:r>
        <w:rPr>
          <w:rFonts w:ascii="Times New Roman" w:hAnsi="Times New Roman" w:cs="Times New Roman"/>
        </w:rPr>
        <w:tab/>
        <w:t xml:space="preserve">AEP next claims that the “energy and capacity associated with the TPS facility [will] be sold in the market and the revenues from those sales credited against the cost of the facility recovered through the GRR, thereby reducing the costs to be recovered under the GRR.”  (AEP Init. Br. at 30.)  </w:t>
      </w:r>
      <w:r w:rsidR="001926A8">
        <w:rPr>
          <w:rFonts w:ascii="Times New Roman" w:hAnsi="Times New Roman" w:cs="Times New Roman"/>
        </w:rPr>
        <w:t xml:space="preserve">AEP further claims that the RECs coming out of the project “will be divided each year between SSO customers and those customers that shopped….” (AEP Init. Br. at 30.)  </w:t>
      </w:r>
      <w:r w:rsidR="004F4FEE">
        <w:rPr>
          <w:rFonts w:ascii="Times New Roman" w:hAnsi="Times New Roman" w:cs="Times New Roman"/>
        </w:rPr>
        <w:t>T</w:t>
      </w:r>
      <w:r>
        <w:rPr>
          <w:rFonts w:ascii="Times New Roman" w:hAnsi="Times New Roman" w:cs="Times New Roman"/>
        </w:rPr>
        <w:t>his language</w:t>
      </w:r>
      <w:r w:rsidR="001455B6">
        <w:rPr>
          <w:rFonts w:ascii="Times New Roman" w:hAnsi="Times New Roman" w:cs="Times New Roman"/>
        </w:rPr>
        <w:t>, however,</w:t>
      </w:r>
      <w:r>
        <w:rPr>
          <w:rFonts w:ascii="Times New Roman" w:hAnsi="Times New Roman" w:cs="Times New Roman"/>
        </w:rPr>
        <w:t xml:space="preserve"> is </w:t>
      </w:r>
      <w:r>
        <w:rPr>
          <w:rFonts w:ascii="Times New Roman" w:hAnsi="Times New Roman" w:cs="Times New Roman"/>
          <w:i/>
        </w:rPr>
        <w:t>not</w:t>
      </w:r>
      <w:r>
        <w:rPr>
          <w:rFonts w:ascii="Times New Roman" w:hAnsi="Times New Roman" w:cs="Times New Roman"/>
        </w:rPr>
        <w:t xml:space="preserve"> found within</w:t>
      </w:r>
      <w:r w:rsidR="004F4FEE">
        <w:rPr>
          <w:rFonts w:ascii="Times New Roman" w:hAnsi="Times New Roman" w:cs="Times New Roman"/>
        </w:rPr>
        <w:t xml:space="preserve"> AEP’s application</w:t>
      </w:r>
      <w:r w:rsidR="001455B6">
        <w:rPr>
          <w:rFonts w:ascii="Times New Roman" w:hAnsi="Times New Roman" w:cs="Times New Roman"/>
        </w:rPr>
        <w:t xml:space="preserve"> or exhibits.  </w:t>
      </w:r>
      <w:r w:rsidR="004F4FEE">
        <w:rPr>
          <w:rFonts w:ascii="Times New Roman" w:hAnsi="Times New Roman" w:cs="Times New Roman"/>
        </w:rPr>
        <w:t>AEP does not</w:t>
      </w:r>
      <w:r>
        <w:rPr>
          <w:rFonts w:ascii="Times New Roman" w:hAnsi="Times New Roman" w:cs="Times New Roman"/>
        </w:rPr>
        <w:t xml:space="preserve"> cite any</w:t>
      </w:r>
      <w:r w:rsidR="002777EB">
        <w:rPr>
          <w:rFonts w:ascii="Times New Roman" w:hAnsi="Times New Roman" w:cs="Times New Roman"/>
        </w:rPr>
        <w:t xml:space="preserve"> </w:t>
      </w:r>
      <w:r>
        <w:rPr>
          <w:rFonts w:ascii="Times New Roman" w:hAnsi="Times New Roman" w:cs="Times New Roman"/>
        </w:rPr>
        <w:t xml:space="preserve">direct testimony to support </w:t>
      </w:r>
      <w:r w:rsidR="004F4FEE">
        <w:rPr>
          <w:rFonts w:ascii="Times New Roman" w:hAnsi="Times New Roman" w:cs="Times New Roman"/>
        </w:rPr>
        <w:t xml:space="preserve">these statements regarding </w:t>
      </w:r>
      <w:r w:rsidR="001926A8">
        <w:rPr>
          <w:rFonts w:ascii="Times New Roman" w:hAnsi="Times New Roman" w:cs="Times New Roman"/>
        </w:rPr>
        <w:t xml:space="preserve">energy, </w:t>
      </w:r>
      <w:r>
        <w:rPr>
          <w:rFonts w:ascii="Times New Roman" w:hAnsi="Times New Roman" w:cs="Times New Roman"/>
        </w:rPr>
        <w:t>capacity</w:t>
      </w:r>
      <w:r w:rsidR="001926A8">
        <w:rPr>
          <w:rFonts w:ascii="Times New Roman" w:hAnsi="Times New Roman" w:cs="Times New Roman"/>
        </w:rPr>
        <w:t xml:space="preserve"> and RECs</w:t>
      </w:r>
      <w:r>
        <w:rPr>
          <w:rFonts w:ascii="Times New Roman" w:hAnsi="Times New Roman" w:cs="Times New Roman"/>
        </w:rPr>
        <w:t xml:space="preserve"> from the Turning Point facility. </w:t>
      </w:r>
      <w:r w:rsidR="001455B6">
        <w:rPr>
          <w:rFonts w:ascii="Times New Roman" w:hAnsi="Times New Roman" w:cs="Times New Roman"/>
        </w:rPr>
        <w:t xml:space="preserve"> </w:t>
      </w:r>
      <w:r w:rsidR="002777EB">
        <w:rPr>
          <w:rFonts w:ascii="Times New Roman" w:hAnsi="Times New Roman" w:cs="Times New Roman"/>
        </w:rPr>
        <w:t>AEP’s “plain vanilla placeholder”</w:t>
      </w:r>
      <w:r w:rsidR="00A7621D">
        <w:rPr>
          <w:rFonts w:ascii="Times New Roman" w:hAnsi="Times New Roman" w:cs="Times New Roman"/>
        </w:rPr>
        <w:t xml:space="preserve"> GRR rider, as admitted by AEP Witness Roush,</w:t>
      </w:r>
      <w:r>
        <w:rPr>
          <w:rFonts w:ascii="Times New Roman" w:hAnsi="Times New Roman" w:cs="Times New Roman"/>
        </w:rPr>
        <w:t xml:space="preserve"> </w:t>
      </w:r>
      <w:r w:rsidR="002777EB">
        <w:rPr>
          <w:rFonts w:ascii="Times New Roman" w:hAnsi="Times New Roman" w:cs="Times New Roman"/>
        </w:rPr>
        <w:t>contain</w:t>
      </w:r>
      <w:r w:rsidR="004F4FEE">
        <w:rPr>
          <w:rFonts w:ascii="Times New Roman" w:hAnsi="Times New Roman" w:cs="Times New Roman"/>
        </w:rPr>
        <w:t>s</w:t>
      </w:r>
      <w:r w:rsidR="002777EB">
        <w:rPr>
          <w:rFonts w:ascii="Times New Roman" w:hAnsi="Times New Roman" w:cs="Times New Roman"/>
        </w:rPr>
        <w:t xml:space="preserve"> </w:t>
      </w:r>
      <w:r w:rsidR="004F4FEE" w:rsidRPr="00D4414A">
        <w:rPr>
          <w:rFonts w:ascii="Times New Roman" w:hAnsi="Times New Roman" w:cs="Times New Roman"/>
          <w:i/>
        </w:rPr>
        <w:t>no such commitment</w:t>
      </w:r>
      <w:r w:rsidR="002777EB">
        <w:rPr>
          <w:rFonts w:ascii="Times New Roman" w:hAnsi="Times New Roman" w:cs="Times New Roman"/>
        </w:rPr>
        <w:t>.</w:t>
      </w:r>
      <w:r w:rsidR="00A7621D">
        <w:rPr>
          <w:rFonts w:ascii="Times New Roman" w:hAnsi="Times New Roman" w:cs="Times New Roman"/>
        </w:rPr>
        <w:t xml:space="preserve"> (Tr. IV at 1170:9-14</w:t>
      </w:r>
      <w:r w:rsidR="00D4414A">
        <w:rPr>
          <w:rFonts w:ascii="Times New Roman" w:hAnsi="Times New Roman" w:cs="Times New Roman"/>
        </w:rPr>
        <w:t xml:space="preserve"> (“When looking at the [GRR rider] language proposed by AEP, is there any language concerning the renewable energy cred</w:t>
      </w:r>
      <w:r w:rsidR="001455B6">
        <w:rPr>
          <w:rFonts w:ascii="Times New Roman" w:hAnsi="Times New Roman" w:cs="Times New Roman"/>
        </w:rPr>
        <w:t>i</w:t>
      </w:r>
      <w:r w:rsidR="00D4414A">
        <w:rPr>
          <w:rFonts w:ascii="Times New Roman" w:hAnsi="Times New Roman" w:cs="Times New Roman"/>
        </w:rPr>
        <w:t>ts?  Not in this language because this language is kind of a placeholder like the whole rider itself.”).)</w:t>
      </w:r>
      <w:r w:rsidR="001455B6">
        <w:rPr>
          <w:rFonts w:ascii="Times New Roman" w:hAnsi="Times New Roman" w:cs="Times New Roman"/>
        </w:rPr>
        <w:t xml:space="preserve">  Th</w:t>
      </w:r>
      <w:r w:rsidR="00CA2874">
        <w:rPr>
          <w:rFonts w:ascii="Times New Roman" w:hAnsi="Times New Roman" w:cs="Times New Roman"/>
        </w:rPr>
        <w:t>ese benefits to the GRR, therefore, are illusory unless the Commission modifies the GRR to include them.</w:t>
      </w:r>
    </w:p>
    <w:p w14:paraId="6D9BA291" w14:textId="37D16424" w:rsidR="00E525A6" w:rsidRDefault="001926A8" w:rsidP="006710E9">
      <w:pPr>
        <w:spacing w:line="480" w:lineRule="auto"/>
        <w:rPr>
          <w:rFonts w:ascii="Times New Roman" w:hAnsi="Times New Roman" w:cs="Times New Roman"/>
        </w:rPr>
      </w:pPr>
      <w:r>
        <w:rPr>
          <w:rFonts w:ascii="Times New Roman" w:hAnsi="Times New Roman" w:cs="Times New Roman"/>
        </w:rPr>
        <w:tab/>
        <w:t xml:space="preserve">Even with these deficiencies, the GRR has a fatal flaw – it is not authorized by law.  </w:t>
      </w:r>
      <w:r w:rsidR="003F47DD">
        <w:rPr>
          <w:rFonts w:ascii="Times New Roman" w:hAnsi="Times New Roman" w:cs="Times New Roman"/>
        </w:rPr>
        <w:t xml:space="preserve">AEP acknowledges that GRR is “statutorily permitted under R.C. 4928.143(B)(2)(c) </w:t>
      </w:r>
      <w:r w:rsidR="003F47DD" w:rsidRPr="003F47DD">
        <w:rPr>
          <w:rFonts w:ascii="Times New Roman" w:hAnsi="Times New Roman" w:cs="Times New Roman"/>
        </w:rPr>
        <w:t>so long as certain requirement</w:t>
      </w:r>
      <w:r w:rsidR="003F47DD">
        <w:rPr>
          <w:rFonts w:ascii="Times New Roman" w:hAnsi="Times New Roman" w:cs="Times New Roman"/>
        </w:rPr>
        <w:t>s</w:t>
      </w:r>
      <w:r w:rsidR="003F47DD" w:rsidRPr="003F47DD">
        <w:rPr>
          <w:rFonts w:ascii="Times New Roman" w:hAnsi="Times New Roman" w:cs="Times New Roman"/>
        </w:rPr>
        <w:t xml:space="preserve"> enumerated in that section </w:t>
      </w:r>
      <w:r w:rsidR="003F47DD" w:rsidRPr="003F47DD">
        <w:rPr>
          <w:rFonts w:ascii="Times New Roman" w:hAnsi="Times New Roman" w:cs="Times New Roman"/>
          <w:i/>
        </w:rPr>
        <w:t>are met</w:t>
      </w:r>
      <w:r w:rsidR="003F47DD">
        <w:rPr>
          <w:rFonts w:ascii="Times New Roman" w:hAnsi="Times New Roman" w:cs="Times New Roman"/>
        </w:rPr>
        <w:t xml:space="preserve">.”  (AEP Init. Br. at 30 (emphasis added).)  Importantly, AEP </w:t>
      </w:r>
      <w:r w:rsidR="003F47DD">
        <w:rPr>
          <w:rFonts w:ascii="Times New Roman" w:hAnsi="Times New Roman" w:cs="Times New Roman"/>
          <w:i/>
        </w:rPr>
        <w:t xml:space="preserve">never </w:t>
      </w:r>
      <w:r w:rsidR="003F47DD">
        <w:rPr>
          <w:rFonts w:ascii="Times New Roman" w:hAnsi="Times New Roman" w:cs="Times New Roman"/>
        </w:rPr>
        <w:t xml:space="preserve">cites to any evidence in its Initial Brief that it has met </w:t>
      </w:r>
      <w:r w:rsidR="00E525A6">
        <w:rPr>
          <w:rFonts w:ascii="Times New Roman" w:hAnsi="Times New Roman" w:cs="Times New Roman"/>
        </w:rPr>
        <w:t>the requirements enumerated by R.C. 4928.143(B)(2)(c)</w:t>
      </w:r>
      <w:r w:rsidR="003F47DD">
        <w:rPr>
          <w:rFonts w:ascii="Times New Roman" w:hAnsi="Times New Roman" w:cs="Times New Roman"/>
        </w:rPr>
        <w:t xml:space="preserve">.  (AEP Init. Br. at 29-32.)  There is a reason for this – AEP </w:t>
      </w:r>
      <w:r w:rsidR="00E525A6">
        <w:rPr>
          <w:rFonts w:ascii="Times New Roman" w:hAnsi="Times New Roman" w:cs="Times New Roman"/>
        </w:rPr>
        <w:t>has not met the statute.</w:t>
      </w:r>
    </w:p>
    <w:p w14:paraId="74929025" w14:textId="085DEA03" w:rsidR="002967D2" w:rsidRPr="00CA2874" w:rsidRDefault="001926A8" w:rsidP="00CA2874">
      <w:pPr>
        <w:spacing w:line="480" w:lineRule="auto"/>
        <w:ind w:firstLine="720"/>
        <w:rPr>
          <w:rFonts w:ascii="Times New Roman" w:hAnsi="Times New Roman" w:cs="Times New Roman"/>
        </w:rPr>
      </w:pPr>
      <w:r>
        <w:rPr>
          <w:rFonts w:ascii="Times New Roman" w:hAnsi="Times New Roman" w:cs="Times New Roman"/>
        </w:rPr>
        <w:t>As explained by multiple parties on brief (</w:t>
      </w:r>
      <w:r w:rsidR="003F47DD">
        <w:rPr>
          <w:rFonts w:ascii="Times New Roman" w:hAnsi="Times New Roman" w:cs="Times New Roman"/>
          <w:i/>
        </w:rPr>
        <w:t xml:space="preserve">e.g. </w:t>
      </w:r>
      <w:r>
        <w:rPr>
          <w:rFonts w:ascii="Times New Roman" w:hAnsi="Times New Roman" w:cs="Times New Roman"/>
        </w:rPr>
        <w:t xml:space="preserve">FirstEnergy Solutions, </w:t>
      </w:r>
      <w:r w:rsidR="004954D3">
        <w:rPr>
          <w:rFonts w:ascii="Times New Roman" w:hAnsi="Times New Roman" w:cs="Times New Roman"/>
        </w:rPr>
        <w:t xml:space="preserve">IEU-Ohio, OCC, etc.), R.C. 4928.143(B)(2)(c) </w:t>
      </w:r>
      <w:r w:rsidR="003F47DD">
        <w:rPr>
          <w:rFonts w:ascii="Times New Roman" w:hAnsi="Times New Roman" w:cs="Times New Roman"/>
        </w:rPr>
        <w:t>sets forth criteria that must be satisfied before an EDU establishes</w:t>
      </w:r>
      <w:r w:rsidR="00B87B43">
        <w:rPr>
          <w:rFonts w:ascii="Times New Roman" w:hAnsi="Times New Roman" w:cs="Times New Roman"/>
        </w:rPr>
        <w:t xml:space="preserve"> a nonbypassable</w:t>
      </w:r>
      <w:r w:rsidR="00B751E6">
        <w:rPr>
          <w:rFonts w:ascii="Times New Roman" w:hAnsi="Times New Roman" w:cs="Times New Roman"/>
        </w:rPr>
        <w:t xml:space="preserve"> surcharge for generation.  The project must be “sourced through a competitive bid process,” “used and useful on or after January 1, 2009,” and determined by the Commission “in the proceeding that there is need for the facility based on </w:t>
      </w:r>
      <w:r w:rsidR="003F47DD">
        <w:rPr>
          <w:rFonts w:ascii="Times New Roman" w:hAnsi="Times New Roman" w:cs="Times New Roman"/>
        </w:rPr>
        <w:t>resource planning projections submitted by the electric distribution utility.”  R.</w:t>
      </w:r>
      <w:r w:rsidR="005B3AEC">
        <w:rPr>
          <w:rFonts w:ascii="Times New Roman" w:hAnsi="Times New Roman" w:cs="Times New Roman"/>
        </w:rPr>
        <w:t xml:space="preserve">C. 4928.143(B)(2)(c). </w:t>
      </w:r>
      <w:r w:rsidR="00A7621D">
        <w:rPr>
          <w:rFonts w:ascii="Times New Roman" w:hAnsi="Times New Roman" w:cs="Times New Roman"/>
        </w:rPr>
        <w:t xml:space="preserve"> </w:t>
      </w:r>
      <w:r w:rsidR="005B3AEC">
        <w:rPr>
          <w:rFonts w:ascii="Times New Roman" w:hAnsi="Times New Roman" w:cs="Times New Roman"/>
        </w:rPr>
        <w:t xml:space="preserve">AEP never presented evidence that Turning Point “was sourced through a competitive bidding process….”  Instead, AEP Witness Nelson testified that he didn’t know whether the Turning Point as a solar resource had been competitively bid.  (Tr. II at 574:2-5.)  </w:t>
      </w:r>
      <w:r w:rsidR="006D5E7B">
        <w:rPr>
          <w:rFonts w:ascii="Times New Roman" w:hAnsi="Times New Roman" w:cs="Times New Roman"/>
        </w:rPr>
        <w:t>Moreover NRDC witness Lyle, who testified in support of the Turning Point project, admitted that he did not know whether it had been competitively bid.  (Tr. IX at 2644:8-12.)</w:t>
      </w:r>
      <w:r w:rsidR="00E525A6">
        <w:rPr>
          <w:rFonts w:ascii="Times New Roman" w:hAnsi="Times New Roman" w:cs="Times New Roman"/>
        </w:rPr>
        <w:t xml:space="preserve">  Similarly, AEP has not presented, in </w:t>
      </w:r>
      <w:r w:rsidR="00E525A6">
        <w:rPr>
          <w:rFonts w:ascii="Times New Roman" w:hAnsi="Times New Roman" w:cs="Times New Roman"/>
          <w:i/>
        </w:rPr>
        <w:t>this proceeding</w:t>
      </w:r>
      <w:r w:rsidR="00E525A6">
        <w:rPr>
          <w:rFonts w:ascii="Times New Roman" w:hAnsi="Times New Roman" w:cs="Times New Roman"/>
        </w:rPr>
        <w:t xml:space="preserve">, that there is need for the Turning Point project based on resource planning projections.  </w:t>
      </w:r>
      <w:r w:rsidR="00D4414A">
        <w:rPr>
          <w:rFonts w:ascii="Times New Roman" w:hAnsi="Times New Roman" w:cs="Times New Roman"/>
        </w:rPr>
        <w:t>AEP Witness Nelson admitted that he was unsure whether Turning Point would be needed during the ESP period.  (Tr. II at 569:7-8.)  Any approval of the GRR prior to meeting the statutory criteria is premature and unlawful.</w:t>
      </w:r>
    </w:p>
    <w:p w14:paraId="38FC372D" w14:textId="19A89CC2" w:rsidR="00A8124A" w:rsidRDefault="00A8124A" w:rsidP="00A8124A">
      <w:pPr>
        <w:spacing w:line="480" w:lineRule="auto"/>
        <w:jc w:val="center"/>
        <w:rPr>
          <w:rFonts w:ascii="Times New Roman" w:hAnsi="Times New Roman" w:cs="Times New Roman"/>
        </w:rPr>
      </w:pPr>
      <w:r>
        <w:rPr>
          <w:rFonts w:ascii="Times New Roman" w:hAnsi="Times New Roman" w:cs="Times New Roman"/>
          <w:b/>
        </w:rPr>
        <w:t>III.</w:t>
      </w:r>
      <w:r>
        <w:rPr>
          <w:rFonts w:ascii="Times New Roman" w:hAnsi="Times New Roman" w:cs="Times New Roman"/>
          <w:b/>
        </w:rPr>
        <w:tab/>
        <w:t>CONCLUSION</w:t>
      </w:r>
    </w:p>
    <w:p w14:paraId="3EDD8F71" w14:textId="77777777" w:rsidR="00A8124A" w:rsidRPr="008C6622" w:rsidRDefault="00A8124A" w:rsidP="00A8124A">
      <w:pPr>
        <w:spacing w:line="480" w:lineRule="auto"/>
        <w:rPr>
          <w:rFonts w:ascii="Times New Roman" w:hAnsi="Times New Roman" w:cs="Times New Roman"/>
        </w:rPr>
      </w:pPr>
      <w:r>
        <w:rPr>
          <w:rFonts w:ascii="Times New Roman" w:hAnsi="Times New Roman" w:cs="Times New Roman"/>
        </w:rPr>
        <w:tab/>
        <w:t>For the foregoing reasons, the Commission should adopt the recommendations of IGS and modify the AEP ESP accordingly.</w:t>
      </w:r>
    </w:p>
    <w:p w14:paraId="54D4B093" w14:textId="77777777" w:rsidR="00A8124A" w:rsidRDefault="00A8124A" w:rsidP="00A8124A">
      <w:pPr>
        <w:tabs>
          <w:tab w:val="left" w:pos="5040"/>
        </w:tabs>
        <w:rPr>
          <w:rFonts w:ascii="Times New Roman" w:hAnsi="Times New Roman" w:cs="Times New Roman"/>
        </w:rPr>
      </w:pPr>
      <w:r>
        <w:rPr>
          <w:rFonts w:ascii="Times New Roman" w:hAnsi="Times New Roman" w:cs="Times New Roman"/>
        </w:rPr>
        <w:t>Dated:  July 9, 2012</w:t>
      </w:r>
      <w:r>
        <w:rPr>
          <w:rFonts w:ascii="Times New Roman" w:hAnsi="Times New Roman" w:cs="Times New Roman"/>
        </w:rPr>
        <w:tab/>
        <w:t>Respectfully submitted,</w:t>
      </w:r>
    </w:p>
    <w:p w14:paraId="7E86DF06" w14:textId="77777777" w:rsidR="00A8124A" w:rsidRDefault="00A8124A" w:rsidP="00A8124A">
      <w:pPr>
        <w:rPr>
          <w:rFonts w:ascii="Times New Roman" w:hAnsi="Times New Roman" w:cs="Times New Roman"/>
        </w:rPr>
      </w:pPr>
    </w:p>
    <w:p w14:paraId="1726F167" w14:textId="77777777" w:rsidR="00A8124A" w:rsidRDefault="00A8124A" w:rsidP="00A8124A">
      <w:pPr>
        <w:ind w:left="5040"/>
        <w:rPr>
          <w:rFonts w:ascii="Times New Roman" w:hAnsi="Times New Roman" w:cs="Times New Roman"/>
        </w:rPr>
      </w:pPr>
      <w:r>
        <w:rPr>
          <w:rFonts w:ascii="Times New Roman" w:hAnsi="Times New Roman" w:cs="Times New Roman"/>
          <w:u w:val="single"/>
        </w:rPr>
        <w:t>/s/ Mark A. Whitt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C07B896" w14:textId="77777777" w:rsidR="00A8124A" w:rsidRDefault="00A8124A" w:rsidP="00A8124A">
      <w:pPr>
        <w:ind w:left="5040"/>
        <w:rPr>
          <w:rFonts w:ascii="Times New Roman" w:hAnsi="Times New Roman" w:cs="Times New Roman"/>
        </w:rPr>
      </w:pPr>
      <w:r>
        <w:rPr>
          <w:rFonts w:ascii="Times New Roman" w:hAnsi="Times New Roman" w:cs="Times New Roman"/>
        </w:rPr>
        <w:t>Mark A. Whitt (Counsel of Record)</w:t>
      </w:r>
    </w:p>
    <w:p w14:paraId="5F4126DC" w14:textId="77777777" w:rsidR="00A8124A" w:rsidRDefault="00A8124A" w:rsidP="00A8124A">
      <w:pPr>
        <w:ind w:left="5040"/>
        <w:rPr>
          <w:rFonts w:ascii="Times New Roman" w:hAnsi="Times New Roman" w:cs="Times New Roman"/>
        </w:rPr>
      </w:pPr>
      <w:r>
        <w:rPr>
          <w:rFonts w:ascii="Times New Roman" w:hAnsi="Times New Roman" w:cs="Times New Roman"/>
        </w:rPr>
        <w:t>Andrew J. Campbell</w:t>
      </w:r>
    </w:p>
    <w:p w14:paraId="617CB3FD" w14:textId="77777777" w:rsidR="00A8124A" w:rsidRDefault="00A8124A" w:rsidP="00A8124A">
      <w:pPr>
        <w:ind w:left="5040"/>
        <w:rPr>
          <w:rFonts w:ascii="Times New Roman" w:hAnsi="Times New Roman" w:cs="Times New Roman"/>
        </w:rPr>
      </w:pPr>
      <w:r>
        <w:rPr>
          <w:rFonts w:ascii="Times New Roman" w:hAnsi="Times New Roman" w:cs="Times New Roman"/>
        </w:rPr>
        <w:t>Melissa L. Thompson</w:t>
      </w:r>
    </w:p>
    <w:p w14:paraId="0811EA99" w14:textId="77777777" w:rsidR="00A8124A" w:rsidRDefault="00A8124A" w:rsidP="00A8124A">
      <w:pPr>
        <w:ind w:left="5040"/>
        <w:rPr>
          <w:rFonts w:ascii="Times New Roman" w:hAnsi="Times New Roman" w:cs="Times New Roman"/>
        </w:rPr>
      </w:pPr>
      <w:r>
        <w:rPr>
          <w:rFonts w:ascii="Times New Roman" w:hAnsi="Times New Roman" w:cs="Times New Roman"/>
        </w:rPr>
        <w:t>Whitt Sturtevant LLP</w:t>
      </w:r>
    </w:p>
    <w:p w14:paraId="3261A276" w14:textId="77777777" w:rsidR="00A8124A" w:rsidRDefault="00A8124A" w:rsidP="00A8124A">
      <w:pPr>
        <w:ind w:left="5040"/>
        <w:rPr>
          <w:rFonts w:ascii="Times New Roman" w:hAnsi="Times New Roman" w:cs="Times New Roman"/>
        </w:rPr>
      </w:pPr>
      <w:r>
        <w:rPr>
          <w:rFonts w:ascii="Times New Roman" w:hAnsi="Times New Roman" w:cs="Times New Roman"/>
        </w:rPr>
        <w:t>PNC Plaza, Suite 2020</w:t>
      </w:r>
    </w:p>
    <w:p w14:paraId="66A24927" w14:textId="77777777" w:rsidR="00A8124A" w:rsidRDefault="00A8124A" w:rsidP="00A8124A">
      <w:pPr>
        <w:ind w:left="5040"/>
        <w:rPr>
          <w:rFonts w:ascii="Times New Roman" w:hAnsi="Times New Roman" w:cs="Times New Roman"/>
        </w:rPr>
      </w:pPr>
      <w:r>
        <w:rPr>
          <w:rFonts w:ascii="Times New Roman" w:hAnsi="Times New Roman" w:cs="Times New Roman"/>
        </w:rPr>
        <w:t>155 East Broad Street</w:t>
      </w:r>
    </w:p>
    <w:p w14:paraId="7ADD5786" w14:textId="77777777" w:rsidR="00A8124A" w:rsidRDefault="00A8124A" w:rsidP="00A8124A">
      <w:pPr>
        <w:ind w:left="5040"/>
        <w:rPr>
          <w:rFonts w:ascii="Times New Roman" w:hAnsi="Times New Roman" w:cs="Times New Roman"/>
        </w:rPr>
      </w:pPr>
      <w:r>
        <w:rPr>
          <w:rFonts w:ascii="Times New Roman" w:hAnsi="Times New Roman" w:cs="Times New Roman"/>
        </w:rPr>
        <w:t>Columbus, Ohio 43215</w:t>
      </w:r>
    </w:p>
    <w:p w14:paraId="1873A146" w14:textId="77777777" w:rsidR="00A8124A" w:rsidRDefault="00A8124A" w:rsidP="00A8124A">
      <w:pPr>
        <w:ind w:left="5040"/>
        <w:rPr>
          <w:rFonts w:ascii="Times New Roman" w:hAnsi="Times New Roman" w:cs="Times New Roman"/>
        </w:rPr>
      </w:pPr>
      <w:r>
        <w:rPr>
          <w:rFonts w:ascii="Times New Roman" w:hAnsi="Times New Roman" w:cs="Times New Roman"/>
        </w:rPr>
        <w:t>Telephone:  (614) 224-3911</w:t>
      </w:r>
    </w:p>
    <w:p w14:paraId="26FEBBFE" w14:textId="77777777" w:rsidR="00A8124A" w:rsidRDefault="00A8124A" w:rsidP="00A8124A">
      <w:pPr>
        <w:ind w:left="5040"/>
        <w:rPr>
          <w:rFonts w:ascii="Times New Roman" w:hAnsi="Times New Roman" w:cs="Times New Roman"/>
        </w:rPr>
      </w:pPr>
      <w:r>
        <w:rPr>
          <w:rFonts w:ascii="Times New Roman" w:hAnsi="Times New Roman" w:cs="Times New Roman"/>
        </w:rPr>
        <w:t>Facsimile:   (614) 224-3960</w:t>
      </w:r>
    </w:p>
    <w:p w14:paraId="157ED6A5" w14:textId="77777777" w:rsidR="00A8124A" w:rsidRDefault="00A8124A" w:rsidP="00A8124A">
      <w:pPr>
        <w:ind w:left="5040"/>
        <w:rPr>
          <w:rFonts w:ascii="Times New Roman" w:hAnsi="Times New Roman" w:cs="Times New Roman"/>
        </w:rPr>
      </w:pPr>
      <w:r>
        <w:rPr>
          <w:rFonts w:ascii="Times New Roman" w:hAnsi="Times New Roman" w:cs="Times New Roman"/>
        </w:rPr>
        <w:t>whitt@whitt-sturtevant.com</w:t>
      </w:r>
    </w:p>
    <w:p w14:paraId="3DFD237A" w14:textId="77777777" w:rsidR="00A8124A" w:rsidRDefault="00A8124A" w:rsidP="00A8124A">
      <w:pPr>
        <w:ind w:left="5040"/>
        <w:rPr>
          <w:rFonts w:ascii="Times New Roman" w:hAnsi="Times New Roman" w:cs="Times New Roman"/>
        </w:rPr>
      </w:pPr>
      <w:r>
        <w:rPr>
          <w:rFonts w:ascii="Times New Roman" w:hAnsi="Times New Roman" w:cs="Times New Roman"/>
        </w:rPr>
        <w:t>campbell@whitt-sturtevant.com</w:t>
      </w:r>
    </w:p>
    <w:p w14:paraId="3346C741" w14:textId="77777777" w:rsidR="00A8124A" w:rsidRDefault="00A8124A" w:rsidP="00A8124A">
      <w:pPr>
        <w:ind w:left="5040"/>
        <w:rPr>
          <w:rFonts w:ascii="Times New Roman" w:hAnsi="Times New Roman" w:cs="Times New Roman"/>
        </w:rPr>
      </w:pPr>
      <w:r>
        <w:rPr>
          <w:rFonts w:ascii="Times New Roman" w:hAnsi="Times New Roman" w:cs="Times New Roman"/>
        </w:rPr>
        <w:t>thompson@whitt-sturtevant.com</w:t>
      </w:r>
    </w:p>
    <w:p w14:paraId="3D56CA7A" w14:textId="77777777" w:rsidR="00A8124A" w:rsidRDefault="00A8124A" w:rsidP="00A8124A">
      <w:pPr>
        <w:ind w:left="5040"/>
        <w:rPr>
          <w:rFonts w:ascii="Times New Roman" w:hAnsi="Times New Roman" w:cs="Times New Roman"/>
        </w:rPr>
      </w:pPr>
    </w:p>
    <w:p w14:paraId="45A27732" w14:textId="77777777" w:rsidR="00A8124A" w:rsidRDefault="00A8124A" w:rsidP="00A8124A">
      <w:pPr>
        <w:ind w:left="5040"/>
        <w:rPr>
          <w:rFonts w:ascii="Times New Roman" w:hAnsi="Times New Roman" w:cs="Times New Roman"/>
        </w:rPr>
      </w:pPr>
      <w:r>
        <w:rPr>
          <w:rFonts w:ascii="Times New Roman" w:hAnsi="Times New Roman" w:cs="Times New Roman"/>
        </w:rPr>
        <w:t>Matthew White</w:t>
      </w:r>
    </w:p>
    <w:p w14:paraId="04C3A0F2" w14:textId="77777777" w:rsidR="00A8124A" w:rsidRDefault="00A8124A" w:rsidP="00A8124A">
      <w:pPr>
        <w:ind w:left="5040"/>
        <w:rPr>
          <w:rFonts w:ascii="Times New Roman" w:hAnsi="Times New Roman" w:cs="Times New Roman"/>
        </w:rPr>
      </w:pPr>
      <w:r>
        <w:rPr>
          <w:rFonts w:ascii="Times New Roman" w:hAnsi="Times New Roman" w:cs="Times New Roman"/>
        </w:rPr>
        <w:t>Interstate Gas Supply, Inc.</w:t>
      </w:r>
    </w:p>
    <w:p w14:paraId="600206FB" w14:textId="77777777" w:rsidR="00A8124A" w:rsidRDefault="00A8124A" w:rsidP="00A8124A">
      <w:pPr>
        <w:ind w:left="5040"/>
        <w:rPr>
          <w:rFonts w:ascii="Times New Roman" w:hAnsi="Times New Roman" w:cs="Times New Roman"/>
        </w:rPr>
      </w:pPr>
      <w:r>
        <w:rPr>
          <w:rFonts w:ascii="Times New Roman" w:hAnsi="Times New Roman" w:cs="Times New Roman"/>
        </w:rPr>
        <w:t>6100 Emerald Parkway</w:t>
      </w:r>
    </w:p>
    <w:p w14:paraId="48D2A552" w14:textId="77777777" w:rsidR="00A8124A" w:rsidRDefault="00A8124A" w:rsidP="00A8124A">
      <w:pPr>
        <w:ind w:left="5040"/>
        <w:rPr>
          <w:rFonts w:ascii="Times New Roman" w:hAnsi="Times New Roman" w:cs="Times New Roman"/>
        </w:rPr>
      </w:pPr>
      <w:r>
        <w:rPr>
          <w:rFonts w:ascii="Times New Roman" w:hAnsi="Times New Roman" w:cs="Times New Roman"/>
        </w:rPr>
        <w:t>Dublin, Ohio 43016</w:t>
      </w:r>
    </w:p>
    <w:p w14:paraId="541D2855" w14:textId="77777777" w:rsidR="00A8124A" w:rsidRDefault="00A8124A" w:rsidP="00A8124A">
      <w:pPr>
        <w:ind w:left="5040"/>
        <w:rPr>
          <w:rFonts w:ascii="Times New Roman" w:hAnsi="Times New Roman" w:cs="Times New Roman"/>
        </w:rPr>
      </w:pPr>
      <w:r>
        <w:rPr>
          <w:rFonts w:ascii="Times New Roman" w:hAnsi="Times New Roman" w:cs="Times New Roman"/>
        </w:rPr>
        <w:t>Telephone:  (614) 659-5000</w:t>
      </w:r>
    </w:p>
    <w:p w14:paraId="7DA13425" w14:textId="77777777" w:rsidR="00A8124A" w:rsidRDefault="00A8124A" w:rsidP="00A8124A">
      <w:pPr>
        <w:ind w:left="5040"/>
        <w:rPr>
          <w:rFonts w:ascii="Times New Roman" w:hAnsi="Times New Roman" w:cs="Times New Roman"/>
        </w:rPr>
      </w:pPr>
      <w:r>
        <w:rPr>
          <w:rFonts w:ascii="Times New Roman" w:hAnsi="Times New Roman" w:cs="Times New Roman"/>
        </w:rPr>
        <w:t>Facsimile:   (614) 659-5073</w:t>
      </w:r>
    </w:p>
    <w:p w14:paraId="2C5A6588" w14:textId="77777777" w:rsidR="00A8124A" w:rsidRDefault="00A8124A" w:rsidP="00A8124A">
      <w:pPr>
        <w:ind w:left="5040"/>
        <w:rPr>
          <w:rFonts w:ascii="Times New Roman" w:hAnsi="Times New Roman" w:cs="Times New Roman"/>
        </w:rPr>
      </w:pPr>
      <w:r>
        <w:rPr>
          <w:rFonts w:ascii="Times New Roman" w:hAnsi="Times New Roman" w:cs="Times New Roman"/>
        </w:rPr>
        <w:t>mswhite@igsenergy.com</w:t>
      </w:r>
    </w:p>
    <w:p w14:paraId="22F5D013" w14:textId="77777777" w:rsidR="00A8124A" w:rsidRDefault="00A8124A" w:rsidP="00A8124A">
      <w:pPr>
        <w:rPr>
          <w:rFonts w:ascii="Times New Roman" w:hAnsi="Times New Roman" w:cs="Times New Roman"/>
        </w:rPr>
      </w:pPr>
    </w:p>
    <w:p w14:paraId="4B3C2F2F" w14:textId="77777777" w:rsidR="00A8124A" w:rsidRDefault="00A8124A" w:rsidP="00A8124A">
      <w:pPr>
        <w:ind w:left="5040"/>
        <w:rPr>
          <w:rFonts w:ascii="Times New Roman" w:hAnsi="Times New Roman" w:cs="Times New Roman"/>
        </w:rPr>
        <w:sectPr w:rsidR="00A8124A" w:rsidSect="00304B1D">
          <w:footerReference w:type="default" r:id="rId7"/>
          <w:pgSz w:w="12240" w:h="15840"/>
          <w:pgMar w:top="1440" w:right="1440" w:bottom="1440" w:left="1440" w:header="720" w:footer="720" w:gutter="0"/>
          <w:pgNumType w:start="1"/>
          <w:cols w:space="720"/>
          <w:docGrid w:linePitch="360"/>
        </w:sectPr>
      </w:pPr>
      <w:r>
        <w:rPr>
          <w:rFonts w:ascii="Times New Roman" w:hAnsi="Times New Roman" w:cs="Times New Roman"/>
        </w:rPr>
        <w:t>ATTORNEYS FOR INTERSTATE GAS SUPPLY, INC.</w:t>
      </w:r>
    </w:p>
    <w:p w14:paraId="5EEB0673" w14:textId="77777777" w:rsidR="00A8124A" w:rsidRDefault="00A8124A" w:rsidP="00A8124A">
      <w:pPr>
        <w:spacing w:line="480" w:lineRule="auto"/>
        <w:jc w:val="center"/>
        <w:rPr>
          <w:rFonts w:ascii="Times New Roman" w:hAnsi="Times New Roman" w:cs="Times New Roman"/>
        </w:rPr>
      </w:pPr>
      <w:r>
        <w:rPr>
          <w:rFonts w:ascii="Times New Roman" w:hAnsi="Times New Roman" w:cs="Times New Roman"/>
          <w:b/>
          <w:u w:val="single"/>
        </w:rPr>
        <w:t>CERTIFICATE OF SERVICE</w:t>
      </w:r>
    </w:p>
    <w:p w14:paraId="79634496" w14:textId="77777777" w:rsidR="00A8124A" w:rsidRDefault="00A8124A" w:rsidP="00A8124A">
      <w:pPr>
        <w:spacing w:line="480" w:lineRule="auto"/>
        <w:rPr>
          <w:rFonts w:ascii="Times New Roman" w:hAnsi="Times New Roman" w:cs="Times New Roman"/>
        </w:rPr>
      </w:pPr>
      <w:r>
        <w:rPr>
          <w:rFonts w:ascii="Times New Roman" w:hAnsi="Times New Roman" w:cs="Times New Roman"/>
        </w:rPr>
        <w:tab/>
        <w:t>I hereby certify that a copy of the Reply Brief of Interstate Gas Supply, Inc. was served to the following parties by electronic mail this 9th day of July, 2012:</w:t>
      </w:r>
    </w:p>
    <w:tbl>
      <w:tblPr>
        <w:tblW w:w="0" w:type="auto"/>
        <w:tblLook w:val="04A0" w:firstRow="1" w:lastRow="0" w:firstColumn="1" w:lastColumn="0" w:noHBand="0" w:noVBand="1"/>
      </w:tblPr>
      <w:tblGrid>
        <w:gridCol w:w="4428"/>
        <w:gridCol w:w="4428"/>
      </w:tblGrid>
      <w:tr w:rsidR="00A8124A" w:rsidRPr="00DE04C6" w14:paraId="4C3ECFEE" w14:textId="77777777" w:rsidTr="008358C6">
        <w:tc>
          <w:tcPr>
            <w:tcW w:w="4428" w:type="dxa"/>
            <w:shd w:val="clear" w:color="auto" w:fill="auto"/>
          </w:tcPr>
          <w:p w14:paraId="704B346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greta.see@puc.state.oh.us</w:t>
            </w:r>
          </w:p>
          <w:p w14:paraId="1025AA9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jeff.jones@puc.state.oh.us</w:t>
            </w:r>
          </w:p>
          <w:p w14:paraId="100DF04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Daniel.Shields@puc.state.oh.us</w:t>
            </w:r>
          </w:p>
          <w:p w14:paraId="01C74E4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Tammy.Turkenton@puc.state.oh.us</w:t>
            </w:r>
          </w:p>
          <w:p w14:paraId="5611B62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Jonathan.Tauber@puc.state.oh.us</w:t>
            </w:r>
          </w:p>
          <w:p w14:paraId="0085EC4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Jodi.Bair@puc.state.oh.us</w:t>
            </w:r>
          </w:p>
          <w:p w14:paraId="2CC574A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Bob.Fortney@puc.state.oh.us</w:t>
            </w:r>
          </w:p>
          <w:p w14:paraId="2E18C18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Doris.McCarter@puc.state.oh.us</w:t>
            </w:r>
          </w:p>
          <w:p w14:paraId="06C5000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Stephen.Reilly@puc.state.oh.us</w:t>
            </w:r>
          </w:p>
          <w:p w14:paraId="4E9E82D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Werner.Margard@puc.state.oh.us</w:t>
            </w:r>
          </w:p>
          <w:p w14:paraId="320E4B1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William.Wright@puc.state.oh.us</w:t>
            </w:r>
          </w:p>
          <w:p w14:paraId="6963460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Thomas.Lindgren@puc.state.oh.us</w:t>
            </w:r>
          </w:p>
          <w:p w14:paraId="2082A63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john.jones@puc.state.oh.us</w:t>
            </w:r>
          </w:p>
          <w:p w14:paraId="4F2EF80D"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dclark1@aep.com</w:t>
            </w:r>
          </w:p>
          <w:p w14:paraId="57EED86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grady@occ.state.oh.us</w:t>
            </w:r>
          </w:p>
          <w:p w14:paraId="00F18EF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keith.nusbaum@snrdenton.com</w:t>
            </w:r>
          </w:p>
          <w:p w14:paraId="4E054FA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kpkreider@kmklaw.com</w:t>
            </w:r>
          </w:p>
          <w:p w14:paraId="3CCD719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mjsatterwhite@aep.com</w:t>
            </w:r>
          </w:p>
          <w:p w14:paraId="308A99F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ned.ford@fuse.net</w:t>
            </w:r>
          </w:p>
          <w:p w14:paraId="5040C3B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pfox@hilliardohio.gov</w:t>
            </w:r>
          </w:p>
          <w:p w14:paraId="5FA00A8E"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ricks@ohanet.org</w:t>
            </w:r>
          </w:p>
          <w:p w14:paraId="19C1DEB4"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stnourse@aep.com</w:t>
            </w:r>
          </w:p>
          <w:p w14:paraId="3D894F3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cathy@theoec.org</w:t>
            </w:r>
          </w:p>
          <w:p w14:paraId="57B006A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dsullivan@nrdc.org</w:t>
            </w:r>
          </w:p>
          <w:p w14:paraId="16FC3E8A"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aehaedt@jonesday.com</w:t>
            </w:r>
          </w:p>
          <w:p w14:paraId="65F7F00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dakutik@jonesday.com</w:t>
            </w:r>
          </w:p>
          <w:p w14:paraId="73BF0EDB"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haydenm@firstenergycorp.com</w:t>
            </w:r>
          </w:p>
          <w:p w14:paraId="03A9E61E"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dconway@porterwright.com</w:t>
            </w:r>
          </w:p>
          <w:p w14:paraId="27EDB86F"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jlang@calfee.com</w:t>
            </w:r>
          </w:p>
          <w:p w14:paraId="65C9424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lmcbride@calfee.com</w:t>
            </w:r>
          </w:p>
          <w:p w14:paraId="74FF9FD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talexander@calfee.com</w:t>
            </w:r>
          </w:p>
          <w:p w14:paraId="0DA3C7F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etter@occ.state.oh.us</w:t>
            </w:r>
          </w:p>
          <w:p w14:paraId="5F3BD01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grady@occ.state.oh.us</w:t>
            </w:r>
          </w:p>
          <w:p w14:paraId="14AB998B"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small@occ.state.oh.us</w:t>
            </w:r>
          </w:p>
          <w:p w14:paraId="162E150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cynthia.a.fonner@constellation.com</w:t>
            </w:r>
          </w:p>
          <w:p w14:paraId="00E99BD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David.fein@constellation.com</w:t>
            </w:r>
          </w:p>
          <w:p w14:paraId="1D0C48F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Dorothy.corbett@duke-energy.com</w:t>
            </w:r>
          </w:p>
          <w:p w14:paraId="7B581EF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Amy.spiller@duke-energy.com</w:t>
            </w:r>
          </w:p>
          <w:p w14:paraId="7EA9035E"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dboehm@bkllawfirm.com</w:t>
            </w:r>
          </w:p>
          <w:p w14:paraId="34F32BB4"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mkurtz@bkllawfirm.com</w:t>
            </w:r>
          </w:p>
          <w:p w14:paraId="6FE06A4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ricks@ohanet.org</w:t>
            </w:r>
          </w:p>
          <w:p w14:paraId="0F5A60D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tobrien@bricker.com</w:t>
            </w:r>
          </w:p>
          <w:p w14:paraId="1940F3CA"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jbentine@taftlaw.com</w:t>
            </w:r>
          </w:p>
          <w:p w14:paraId="6BD5594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myurick@taftlaw.com</w:t>
            </w:r>
          </w:p>
          <w:p w14:paraId="72CE20C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zkravitz@taftlaw.com</w:t>
            </w:r>
          </w:p>
          <w:p w14:paraId="68CB559E"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jejadwin@aep.com</w:t>
            </w:r>
          </w:p>
          <w:p w14:paraId="5BA06F94"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msmalz@ohiopovertylaw.org</w:t>
            </w:r>
          </w:p>
          <w:p w14:paraId="34E5712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jmaskovyak@ohiopovertylaw.org</w:t>
            </w:r>
          </w:p>
          <w:p w14:paraId="6132F70D"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todonnell@bricker.com</w:t>
            </w:r>
          </w:p>
          <w:p w14:paraId="7B3CA0A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cendsley@ofbf.org</w:t>
            </w:r>
          </w:p>
          <w:p w14:paraId="5FEC65A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christopher.miller@icemiller.com</w:t>
            </w:r>
          </w:p>
          <w:p w14:paraId="0B04DE6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asim.haque@icemiller.com</w:t>
            </w:r>
          </w:p>
          <w:p w14:paraId="54D4353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gregory.dunn@icemiller.com</w:t>
            </w:r>
          </w:p>
        </w:tc>
        <w:tc>
          <w:tcPr>
            <w:tcW w:w="4428" w:type="dxa"/>
            <w:shd w:val="clear" w:color="auto" w:fill="auto"/>
          </w:tcPr>
          <w:p w14:paraId="6C0A29C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cmontgomery@bricker.com</w:t>
            </w:r>
          </w:p>
          <w:p w14:paraId="5CF1132D"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lmcalister@bricker.com</w:t>
            </w:r>
          </w:p>
          <w:p w14:paraId="2779909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mwarnock@bricker.com</w:t>
            </w:r>
          </w:p>
          <w:p w14:paraId="7DAC081A"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gthomas@gtpowergroup.com</w:t>
            </w:r>
          </w:p>
          <w:p w14:paraId="4BBFD03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wmassey@cov.com</w:t>
            </w:r>
          </w:p>
          <w:p w14:paraId="18A2E6A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henryeckhart@aol.com</w:t>
            </w:r>
          </w:p>
          <w:p w14:paraId="3C77825D"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laurac@chappelleconsulting.net</w:t>
            </w:r>
          </w:p>
          <w:p w14:paraId="4FD100A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sandy.grace@exeloncorp.com</w:t>
            </w:r>
          </w:p>
          <w:p w14:paraId="2011E7F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mhpetricoff@vorys.com</w:t>
            </w:r>
          </w:p>
          <w:p w14:paraId="69FCF9DF"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smhoward@vorys.com</w:t>
            </w:r>
          </w:p>
          <w:p w14:paraId="290AC59E"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mjsettineri@vorys.com</w:t>
            </w:r>
          </w:p>
          <w:p w14:paraId="1D4BFD9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lkalepsclark@vorys.com</w:t>
            </w:r>
          </w:p>
          <w:p w14:paraId="074B5BE0"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bakahn@vorys.com</w:t>
            </w:r>
          </w:p>
          <w:p w14:paraId="71105CB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Gary.A.Jeffries@dom.com</w:t>
            </w:r>
          </w:p>
          <w:p w14:paraId="1BC0D49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Stephen.chriss@wal-mart.com</w:t>
            </w:r>
          </w:p>
          <w:p w14:paraId="4FA9242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dmeyer@kmklaw.com</w:t>
            </w:r>
          </w:p>
          <w:p w14:paraId="26DC26C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holly@raysmithlaw.com</w:t>
            </w:r>
          </w:p>
          <w:p w14:paraId="66C8BF3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barthroyer@aol.com</w:t>
            </w:r>
          </w:p>
          <w:p w14:paraId="3E5C84C9"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philip.sineneng@thompsonhine.com</w:t>
            </w:r>
          </w:p>
          <w:p w14:paraId="7E5EEAC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carolyn.flahive@thompsonhine.com</w:t>
            </w:r>
          </w:p>
          <w:p w14:paraId="1A610938"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terrance.mebane@thompsonhine.com</w:t>
            </w:r>
          </w:p>
          <w:p w14:paraId="17AB5CD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cmooney2@columbus.rr.com</w:t>
            </w:r>
          </w:p>
          <w:p w14:paraId="2414B5F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drinebolt@ohiopartners.org</w:t>
            </w:r>
          </w:p>
          <w:p w14:paraId="499577C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trent@theoeg.com</w:t>
            </w:r>
          </w:p>
          <w:p w14:paraId="06201BB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nolan@theoec.org</w:t>
            </w:r>
          </w:p>
          <w:p w14:paraId="18D3942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gpoulos@enernoc.com</w:t>
            </w:r>
          </w:p>
          <w:p w14:paraId="07E71B6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emma.hand@snrdenton.com</w:t>
            </w:r>
          </w:p>
          <w:p w14:paraId="4813B8C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doug.bonner@snrdenton.com</w:t>
            </w:r>
          </w:p>
          <w:p w14:paraId="37A398A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clinton.vince@snrdenton.com</w:t>
            </w:r>
          </w:p>
          <w:p w14:paraId="1A23547F"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sam@mwncmh.com</w:t>
            </w:r>
          </w:p>
          <w:p w14:paraId="586D573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joliker@mwncmh.com</w:t>
            </w:r>
          </w:p>
          <w:p w14:paraId="75B7B2F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fdarr@mwncmh.com</w:t>
            </w:r>
          </w:p>
          <w:p w14:paraId="2359B3B4"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jestes@skadden.com</w:t>
            </w:r>
          </w:p>
          <w:p w14:paraId="434FD18A"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paul.wight@skadden.com</w:t>
            </w:r>
          </w:p>
          <w:p w14:paraId="68266A1B"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dstahl@eimerstahl.com</w:t>
            </w:r>
          </w:p>
          <w:p w14:paraId="24C178E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aaragona@eimerstahl.com</w:t>
            </w:r>
          </w:p>
          <w:p w14:paraId="2D473F3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ssolberg@eimerstahl.com</w:t>
            </w:r>
          </w:p>
          <w:p w14:paraId="21519F1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tsantarelli@elpc.org</w:t>
            </w:r>
          </w:p>
          <w:p w14:paraId="5350007A"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callwein@wamenergylaw.com</w:t>
            </w:r>
          </w:p>
          <w:p w14:paraId="3F2F3617"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malina@wexlerwalker.com</w:t>
            </w:r>
          </w:p>
          <w:p w14:paraId="113AEE2B"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jkooper@hess.com</w:t>
            </w:r>
          </w:p>
          <w:p w14:paraId="1CCFAAFC"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kguerry@hess.com</w:t>
            </w:r>
          </w:p>
          <w:p w14:paraId="65DF445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afreifeld@viridityenergy.com</w:t>
            </w:r>
          </w:p>
          <w:p w14:paraId="414D795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swolfe@viridityenergy.com</w:t>
            </w:r>
          </w:p>
          <w:p w14:paraId="54343613"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korenergy@insight.rr.com</w:t>
            </w:r>
          </w:p>
          <w:p w14:paraId="720B5755"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sasloan@aep.com</w:t>
            </w:r>
          </w:p>
          <w:p w14:paraId="38224F51"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Dane.Stinson@baileycavalieri.com</w:t>
            </w:r>
          </w:p>
          <w:p w14:paraId="17499E96"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Jeanne.Kingery@duke-energy.com</w:t>
            </w:r>
          </w:p>
          <w:p w14:paraId="7E5590E4"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cendsley@ofbf.org</w:t>
            </w:r>
          </w:p>
          <w:p w14:paraId="33A48812" w14:textId="77777777" w:rsidR="00A8124A" w:rsidRPr="00DE04C6"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bpbarger@bcslawyers.com</w:t>
            </w:r>
          </w:p>
          <w:p w14:paraId="4A04DD26" w14:textId="77777777" w:rsidR="00A8124A" w:rsidRDefault="00A8124A" w:rsidP="008358C6">
            <w:pPr>
              <w:widowControl w:val="0"/>
              <w:autoSpaceDE w:val="0"/>
              <w:autoSpaceDN w:val="0"/>
              <w:adjustRightInd w:val="0"/>
              <w:rPr>
                <w:rFonts w:ascii="Times New Roman" w:eastAsia="Times New Roman" w:hAnsi="Times New Roman" w:cs="Times New Roman"/>
              </w:rPr>
            </w:pPr>
            <w:r w:rsidRPr="00DE04C6">
              <w:rPr>
                <w:rFonts w:ascii="Times New Roman" w:eastAsia="Times New Roman" w:hAnsi="Times New Roman" w:cs="Times New Roman"/>
              </w:rPr>
              <w:t>kaelber@buckleyking.com</w:t>
            </w:r>
          </w:p>
          <w:p w14:paraId="33EAADD5" w14:textId="10A32D41" w:rsidR="0035137F" w:rsidRPr="00DE04C6" w:rsidRDefault="0035137F" w:rsidP="008358C6">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walter@buckleyking.com</w:t>
            </w:r>
          </w:p>
          <w:p w14:paraId="37A4E701" w14:textId="5F0BE284" w:rsidR="00A8124A" w:rsidRPr="00DE04C6" w:rsidRDefault="00A8124A" w:rsidP="008358C6">
            <w:pPr>
              <w:widowControl w:val="0"/>
              <w:autoSpaceDE w:val="0"/>
              <w:autoSpaceDN w:val="0"/>
              <w:adjustRightInd w:val="0"/>
              <w:rPr>
                <w:rFonts w:ascii="Times New Roman" w:eastAsia="Times New Roman" w:hAnsi="Times New Roman" w:cs="Times New Roman"/>
              </w:rPr>
            </w:pPr>
          </w:p>
        </w:tc>
      </w:tr>
    </w:tbl>
    <w:p w14:paraId="20BBAAA4" w14:textId="77777777" w:rsidR="00A8124A" w:rsidRDefault="00A8124A" w:rsidP="00A8124A">
      <w:pPr>
        <w:spacing w:line="480" w:lineRule="auto"/>
        <w:rPr>
          <w:rFonts w:ascii="Times New Roman" w:hAnsi="Times New Roman" w:cs="Times New Roman"/>
        </w:rPr>
      </w:pPr>
    </w:p>
    <w:p w14:paraId="5A8E0C80" w14:textId="77777777" w:rsidR="00A8124A" w:rsidRDefault="00A8124A" w:rsidP="00A8124A">
      <w:pPr>
        <w:ind w:left="5040"/>
        <w:rPr>
          <w:rFonts w:ascii="Times New Roman" w:hAnsi="Times New Roman" w:cs="Times New Roman"/>
        </w:rPr>
      </w:pPr>
      <w:r>
        <w:rPr>
          <w:rFonts w:ascii="Times New Roman" w:hAnsi="Times New Roman" w:cs="Times New Roman"/>
          <w:u w:val="single"/>
        </w:rPr>
        <w:t>/s/ Mark A. Whitt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68269D0" w14:textId="77777777" w:rsidR="00A8124A" w:rsidRPr="00985C31" w:rsidRDefault="00A8124A" w:rsidP="00A8124A">
      <w:pPr>
        <w:ind w:left="5040"/>
        <w:rPr>
          <w:rFonts w:ascii="Times New Roman" w:hAnsi="Times New Roman" w:cs="Times New Roman"/>
        </w:rPr>
      </w:pPr>
      <w:r>
        <w:rPr>
          <w:rFonts w:ascii="Times New Roman" w:hAnsi="Times New Roman" w:cs="Times New Roman"/>
        </w:rPr>
        <w:t>One of the Attorneys for Interstate Gas Supply, Inc.</w:t>
      </w:r>
    </w:p>
    <w:p w14:paraId="242205D7" w14:textId="77777777" w:rsidR="00A8124A" w:rsidRDefault="00A8124A" w:rsidP="00A8124A">
      <w:pPr>
        <w:rPr>
          <w:rFonts w:ascii="Times New Roman" w:hAnsi="Times New Roman" w:cs="Times New Roman"/>
        </w:rPr>
      </w:pPr>
    </w:p>
    <w:p w14:paraId="4846C233" w14:textId="77777777" w:rsidR="00A8124A" w:rsidRPr="00A8124A" w:rsidRDefault="00A8124A" w:rsidP="00A8124A">
      <w:pPr>
        <w:rPr>
          <w:rFonts w:ascii="Times New Roman" w:hAnsi="Times New Roman" w:cs="Times New Roman"/>
        </w:rPr>
      </w:pPr>
    </w:p>
    <w:sectPr w:rsidR="00A8124A" w:rsidRPr="00A8124A" w:rsidSect="00C07D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93D66" w14:textId="77777777" w:rsidR="00CA2874" w:rsidRDefault="00CA2874" w:rsidP="00304B1D">
      <w:r>
        <w:separator/>
      </w:r>
    </w:p>
  </w:endnote>
  <w:endnote w:type="continuationSeparator" w:id="0">
    <w:p w14:paraId="78E31CEF" w14:textId="77777777" w:rsidR="00CA2874" w:rsidRDefault="00CA2874" w:rsidP="003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ABC80" w14:textId="2C5D1F04" w:rsidR="00CA2874" w:rsidRPr="00304B1D" w:rsidRDefault="00CA2874" w:rsidP="00304B1D">
    <w:pPr>
      <w:pStyle w:val="Footer"/>
      <w:jc w:val="center"/>
      <w:rPr>
        <w:rFonts w:ascii="Times New Roman" w:hAnsi="Times New Roman" w:cs="Times New Roman"/>
      </w:rPr>
    </w:pPr>
    <w:r w:rsidRPr="00304B1D">
      <w:rPr>
        <w:rStyle w:val="PageNumber"/>
        <w:rFonts w:ascii="Times New Roman" w:hAnsi="Times New Roman" w:cs="Times New Roman"/>
      </w:rPr>
      <w:fldChar w:fldCharType="begin"/>
    </w:r>
    <w:r w:rsidRPr="00304B1D">
      <w:rPr>
        <w:rStyle w:val="PageNumber"/>
        <w:rFonts w:ascii="Times New Roman" w:hAnsi="Times New Roman" w:cs="Times New Roman"/>
      </w:rPr>
      <w:instrText xml:space="preserve"> PAGE </w:instrText>
    </w:r>
    <w:r w:rsidRPr="00304B1D">
      <w:rPr>
        <w:rStyle w:val="PageNumber"/>
        <w:rFonts w:ascii="Times New Roman" w:hAnsi="Times New Roman" w:cs="Times New Roman"/>
      </w:rPr>
      <w:fldChar w:fldCharType="separate"/>
    </w:r>
    <w:r w:rsidR="003824BA">
      <w:rPr>
        <w:rStyle w:val="PageNumber"/>
        <w:rFonts w:ascii="Times New Roman" w:hAnsi="Times New Roman" w:cs="Times New Roman"/>
        <w:noProof/>
      </w:rPr>
      <w:t>3</w:t>
    </w:r>
    <w:r w:rsidRPr="00304B1D">
      <w:rPr>
        <w:rStyle w:val="PageNumber"/>
        <w:rFonts w:ascii="Times New Roman" w:hAnsi="Times New Roman" w:cs="Times New Roma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292A" w14:textId="0ECFF558" w:rsidR="00CA2874" w:rsidRPr="00304B1D" w:rsidRDefault="00CA2874" w:rsidP="00304B1D">
    <w:pPr>
      <w:pStyle w:val="Footer"/>
      <w:jc w:val="center"/>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C123D" w14:textId="77777777" w:rsidR="00CA2874" w:rsidRDefault="00CA2874" w:rsidP="00304B1D">
      <w:r>
        <w:separator/>
      </w:r>
    </w:p>
  </w:footnote>
  <w:footnote w:type="continuationSeparator" w:id="0">
    <w:p w14:paraId="0BD1EC6F" w14:textId="77777777" w:rsidR="00CA2874" w:rsidRDefault="00CA2874" w:rsidP="0030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4A"/>
    <w:rsid w:val="00086A59"/>
    <w:rsid w:val="000E049F"/>
    <w:rsid w:val="001455B6"/>
    <w:rsid w:val="00181D02"/>
    <w:rsid w:val="001926A8"/>
    <w:rsid w:val="00227B0B"/>
    <w:rsid w:val="0026793F"/>
    <w:rsid w:val="002777EB"/>
    <w:rsid w:val="002967D2"/>
    <w:rsid w:val="00304B1D"/>
    <w:rsid w:val="0035137F"/>
    <w:rsid w:val="003824BA"/>
    <w:rsid w:val="003D7E7B"/>
    <w:rsid w:val="003F47DD"/>
    <w:rsid w:val="00400CFE"/>
    <w:rsid w:val="004954D3"/>
    <w:rsid w:val="004969E1"/>
    <w:rsid w:val="004F4FEE"/>
    <w:rsid w:val="00580BD0"/>
    <w:rsid w:val="005B3AEC"/>
    <w:rsid w:val="005D0823"/>
    <w:rsid w:val="006710E9"/>
    <w:rsid w:val="00697439"/>
    <w:rsid w:val="006D25B5"/>
    <w:rsid w:val="006D5E7B"/>
    <w:rsid w:val="00762784"/>
    <w:rsid w:val="007A274E"/>
    <w:rsid w:val="007C7D60"/>
    <w:rsid w:val="007D27EB"/>
    <w:rsid w:val="008358C6"/>
    <w:rsid w:val="0088710B"/>
    <w:rsid w:val="009014F0"/>
    <w:rsid w:val="00905A5F"/>
    <w:rsid w:val="00964CE5"/>
    <w:rsid w:val="00A11350"/>
    <w:rsid w:val="00A7621D"/>
    <w:rsid w:val="00A8124A"/>
    <w:rsid w:val="00A94EBB"/>
    <w:rsid w:val="00B150E0"/>
    <w:rsid w:val="00B751E6"/>
    <w:rsid w:val="00B87B43"/>
    <w:rsid w:val="00C07D65"/>
    <w:rsid w:val="00C82371"/>
    <w:rsid w:val="00CA2874"/>
    <w:rsid w:val="00D4414A"/>
    <w:rsid w:val="00D76499"/>
    <w:rsid w:val="00DE4CA2"/>
    <w:rsid w:val="00DF7C19"/>
    <w:rsid w:val="00E40C16"/>
    <w:rsid w:val="00E525A6"/>
    <w:rsid w:val="00E93B72"/>
    <w:rsid w:val="00F3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0DD1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24A"/>
    <w:rPr>
      <w:sz w:val="16"/>
      <w:szCs w:val="16"/>
    </w:rPr>
  </w:style>
  <w:style w:type="paragraph" w:styleId="CommentText">
    <w:name w:val="annotation text"/>
    <w:basedOn w:val="Normal"/>
    <w:link w:val="CommentTextChar"/>
    <w:uiPriority w:val="99"/>
    <w:semiHidden/>
    <w:unhideWhenUsed/>
    <w:rsid w:val="00A8124A"/>
    <w:rPr>
      <w:sz w:val="20"/>
      <w:szCs w:val="20"/>
    </w:rPr>
  </w:style>
  <w:style w:type="character" w:customStyle="1" w:styleId="CommentTextChar">
    <w:name w:val="Comment Text Char"/>
    <w:basedOn w:val="DefaultParagraphFont"/>
    <w:link w:val="CommentText"/>
    <w:uiPriority w:val="99"/>
    <w:semiHidden/>
    <w:rsid w:val="00A8124A"/>
    <w:rPr>
      <w:sz w:val="20"/>
      <w:szCs w:val="20"/>
    </w:rPr>
  </w:style>
  <w:style w:type="paragraph" w:styleId="ListParagraph">
    <w:name w:val="List Paragraph"/>
    <w:basedOn w:val="Normal"/>
    <w:uiPriority w:val="34"/>
    <w:qFormat/>
    <w:rsid w:val="008358C6"/>
    <w:pPr>
      <w:ind w:left="720"/>
      <w:contextualSpacing/>
    </w:pPr>
  </w:style>
  <w:style w:type="paragraph" w:styleId="Header">
    <w:name w:val="header"/>
    <w:basedOn w:val="Normal"/>
    <w:link w:val="HeaderChar"/>
    <w:uiPriority w:val="99"/>
    <w:unhideWhenUsed/>
    <w:rsid w:val="00304B1D"/>
    <w:pPr>
      <w:tabs>
        <w:tab w:val="center" w:pos="4320"/>
        <w:tab w:val="right" w:pos="8640"/>
      </w:tabs>
    </w:pPr>
  </w:style>
  <w:style w:type="character" w:customStyle="1" w:styleId="HeaderChar">
    <w:name w:val="Header Char"/>
    <w:basedOn w:val="DefaultParagraphFont"/>
    <w:link w:val="Header"/>
    <w:uiPriority w:val="99"/>
    <w:rsid w:val="00304B1D"/>
  </w:style>
  <w:style w:type="paragraph" w:styleId="Footer">
    <w:name w:val="footer"/>
    <w:basedOn w:val="Normal"/>
    <w:link w:val="FooterChar"/>
    <w:uiPriority w:val="99"/>
    <w:unhideWhenUsed/>
    <w:rsid w:val="00304B1D"/>
    <w:pPr>
      <w:tabs>
        <w:tab w:val="center" w:pos="4320"/>
        <w:tab w:val="right" w:pos="8640"/>
      </w:tabs>
    </w:pPr>
  </w:style>
  <w:style w:type="character" w:customStyle="1" w:styleId="FooterChar">
    <w:name w:val="Footer Char"/>
    <w:basedOn w:val="DefaultParagraphFont"/>
    <w:link w:val="Footer"/>
    <w:uiPriority w:val="99"/>
    <w:rsid w:val="00304B1D"/>
  </w:style>
  <w:style w:type="character" w:styleId="PageNumber">
    <w:name w:val="page number"/>
    <w:basedOn w:val="DefaultParagraphFont"/>
    <w:uiPriority w:val="99"/>
    <w:semiHidden/>
    <w:unhideWhenUsed/>
    <w:rsid w:val="00304B1D"/>
  </w:style>
  <w:style w:type="paragraph" w:styleId="CommentSubject">
    <w:name w:val="annotation subject"/>
    <w:basedOn w:val="CommentText"/>
    <w:next w:val="CommentText"/>
    <w:link w:val="CommentSubjectChar"/>
    <w:uiPriority w:val="99"/>
    <w:semiHidden/>
    <w:unhideWhenUsed/>
    <w:rsid w:val="00181D02"/>
    <w:rPr>
      <w:b/>
      <w:bCs/>
    </w:rPr>
  </w:style>
  <w:style w:type="character" w:customStyle="1" w:styleId="CommentSubjectChar">
    <w:name w:val="Comment Subject Char"/>
    <w:basedOn w:val="CommentTextChar"/>
    <w:link w:val="CommentSubject"/>
    <w:uiPriority w:val="99"/>
    <w:semiHidden/>
    <w:rsid w:val="00181D02"/>
    <w:rPr>
      <w:b/>
      <w:bCs/>
      <w:sz w:val="20"/>
      <w:szCs w:val="20"/>
    </w:rPr>
  </w:style>
  <w:style w:type="paragraph" w:styleId="BalloonText">
    <w:name w:val="Balloon Text"/>
    <w:basedOn w:val="Normal"/>
    <w:link w:val="BalloonTextChar"/>
    <w:uiPriority w:val="99"/>
    <w:semiHidden/>
    <w:unhideWhenUsed/>
    <w:rsid w:val="00181D02"/>
    <w:rPr>
      <w:rFonts w:ascii="Tahoma" w:hAnsi="Tahoma" w:cs="Tahoma"/>
      <w:sz w:val="16"/>
      <w:szCs w:val="16"/>
    </w:rPr>
  </w:style>
  <w:style w:type="character" w:customStyle="1" w:styleId="BalloonTextChar">
    <w:name w:val="Balloon Text Char"/>
    <w:basedOn w:val="DefaultParagraphFont"/>
    <w:link w:val="BalloonText"/>
    <w:uiPriority w:val="99"/>
    <w:semiHidden/>
    <w:rsid w:val="00181D02"/>
    <w:rPr>
      <w:rFonts w:ascii="Tahoma" w:hAnsi="Tahoma" w:cs="Tahoma"/>
      <w:sz w:val="16"/>
      <w:szCs w:val="16"/>
    </w:rPr>
  </w:style>
  <w:style w:type="character" w:styleId="Hyperlink">
    <w:name w:val="Hyperlink"/>
    <w:basedOn w:val="DefaultParagraphFont"/>
    <w:uiPriority w:val="99"/>
    <w:unhideWhenUsed/>
    <w:rsid w:val="006974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1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24A"/>
    <w:rPr>
      <w:sz w:val="16"/>
      <w:szCs w:val="16"/>
    </w:rPr>
  </w:style>
  <w:style w:type="paragraph" w:styleId="CommentText">
    <w:name w:val="annotation text"/>
    <w:basedOn w:val="Normal"/>
    <w:link w:val="CommentTextChar"/>
    <w:uiPriority w:val="99"/>
    <w:semiHidden/>
    <w:unhideWhenUsed/>
    <w:rsid w:val="00A8124A"/>
    <w:rPr>
      <w:sz w:val="20"/>
      <w:szCs w:val="20"/>
    </w:rPr>
  </w:style>
  <w:style w:type="character" w:customStyle="1" w:styleId="CommentTextChar">
    <w:name w:val="Comment Text Char"/>
    <w:basedOn w:val="DefaultParagraphFont"/>
    <w:link w:val="CommentText"/>
    <w:uiPriority w:val="99"/>
    <w:semiHidden/>
    <w:rsid w:val="00A8124A"/>
    <w:rPr>
      <w:sz w:val="20"/>
      <w:szCs w:val="20"/>
    </w:rPr>
  </w:style>
  <w:style w:type="paragraph" w:styleId="ListParagraph">
    <w:name w:val="List Paragraph"/>
    <w:basedOn w:val="Normal"/>
    <w:uiPriority w:val="34"/>
    <w:qFormat/>
    <w:rsid w:val="008358C6"/>
    <w:pPr>
      <w:ind w:left="720"/>
      <w:contextualSpacing/>
    </w:pPr>
  </w:style>
  <w:style w:type="paragraph" w:styleId="Header">
    <w:name w:val="header"/>
    <w:basedOn w:val="Normal"/>
    <w:link w:val="HeaderChar"/>
    <w:uiPriority w:val="99"/>
    <w:unhideWhenUsed/>
    <w:rsid w:val="00304B1D"/>
    <w:pPr>
      <w:tabs>
        <w:tab w:val="center" w:pos="4320"/>
        <w:tab w:val="right" w:pos="8640"/>
      </w:tabs>
    </w:pPr>
  </w:style>
  <w:style w:type="character" w:customStyle="1" w:styleId="HeaderChar">
    <w:name w:val="Header Char"/>
    <w:basedOn w:val="DefaultParagraphFont"/>
    <w:link w:val="Header"/>
    <w:uiPriority w:val="99"/>
    <w:rsid w:val="00304B1D"/>
  </w:style>
  <w:style w:type="paragraph" w:styleId="Footer">
    <w:name w:val="footer"/>
    <w:basedOn w:val="Normal"/>
    <w:link w:val="FooterChar"/>
    <w:uiPriority w:val="99"/>
    <w:unhideWhenUsed/>
    <w:rsid w:val="00304B1D"/>
    <w:pPr>
      <w:tabs>
        <w:tab w:val="center" w:pos="4320"/>
        <w:tab w:val="right" w:pos="8640"/>
      </w:tabs>
    </w:pPr>
  </w:style>
  <w:style w:type="character" w:customStyle="1" w:styleId="FooterChar">
    <w:name w:val="Footer Char"/>
    <w:basedOn w:val="DefaultParagraphFont"/>
    <w:link w:val="Footer"/>
    <w:uiPriority w:val="99"/>
    <w:rsid w:val="00304B1D"/>
  </w:style>
  <w:style w:type="character" w:styleId="PageNumber">
    <w:name w:val="page number"/>
    <w:basedOn w:val="DefaultParagraphFont"/>
    <w:uiPriority w:val="99"/>
    <w:semiHidden/>
    <w:unhideWhenUsed/>
    <w:rsid w:val="00304B1D"/>
  </w:style>
  <w:style w:type="paragraph" w:styleId="CommentSubject">
    <w:name w:val="annotation subject"/>
    <w:basedOn w:val="CommentText"/>
    <w:next w:val="CommentText"/>
    <w:link w:val="CommentSubjectChar"/>
    <w:uiPriority w:val="99"/>
    <w:semiHidden/>
    <w:unhideWhenUsed/>
    <w:rsid w:val="00181D02"/>
    <w:rPr>
      <w:b/>
      <w:bCs/>
    </w:rPr>
  </w:style>
  <w:style w:type="character" w:customStyle="1" w:styleId="CommentSubjectChar">
    <w:name w:val="Comment Subject Char"/>
    <w:basedOn w:val="CommentTextChar"/>
    <w:link w:val="CommentSubject"/>
    <w:uiPriority w:val="99"/>
    <w:semiHidden/>
    <w:rsid w:val="00181D02"/>
    <w:rPr>
      <w:b/>
      <w:bCs/>
      <w:sz w:val="20"/>
      <w:szCs w:val="20"/>
    </w:rPr>
  </w:style>
  <w:style w:type="paragraph" w:styleId="BalloonText">
    <w:name w:val="Balloon Text"/>
    <w:basedOn w:val="Normal"/>
    <w:link w:val="BalloonTextChar"/>
    <w:uiPriority w:val="99"/>
    <w:semiHidden/>
    <w:unhideWhenUsed/>
    <w:rsid w:val="00181D02"/>
    <w:rPr>
      <w:rFonts w:ascii="Tahoma" w:hAnsi="Tahoma" w:cs="Tahoma"/>
      <w:sz w:val="16"/>
      <w:szCs w:val="16"/>
    </w:rPr>
  </w:style>
  <w:style w:type="character" w:customStyle="1" w:styleId="BalloonTextChar">
    <w:name w:val="Balloon Text Char"/>
    <w:basedOn w:val="DefaultParagraphFont"/>
    <w:link w:val="BalloonText"/>
    <w:uiPriority w:val="99"/>
    <w:semiHidden/>
    <w:rsid w:val="00181D02"/>
    <w:rPr>
      <w:rFonts w:ascii="Tahoma" w:hAnsi="Tahoma" w:cs="Tahoma"/>
      <w:sz w:val="16"/>
      <w:szCs w:val="16"/>
    </w:rPr>
  </w:style>
  <w:style w:type="character" w:styleId="Hyperlink">
    <w:name w:val="Hyperlink"/>
    <w:basedOn w:val="DefaultParagraphFont"/>
    <w:uiPriority w:val="99"/>
    <w:unhideWhenUsed/>
    <w:rsid w:val="00697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2198</Words>
  <Characters>12534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dc:description/>
  <cp:lastModifiedBy>Melissa Thompson</cp:lastModifiedBy>
  <cp:revision>3</cp:revision>
  <cp:lastPrinted>2012-07-09T19:44:00Z</cp:lastPrinted>
  <dcterms:created xsi:type="dcterms:W3CDTF">2012-07-09T19:44:00Z</dcterms:created>
  <dcterms:modified xsi:type="dcterms:W3CDTF">2012-07-09T19:59:00Z</dcterms:modified>
</cp:coreProperties>
</file>