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6" w:rsidRPr="00710E80" w:rsidRDefault="007C2976" w:rsidP="00344DF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7C2976" w:rsidRPr="00710E80" w:rsidRDefault="007C2976" w:rsidP="00344DF1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710E80">
            <w:rPr>
              <w:rFonts w:ascii="Times New Roman" w:hAnsi="Times New Roman" w:cs="Times New Roman"/>
              <w:b/>
              <w:bCs/>
              <w:sz w:val="24"/>
            </w:rPr>
            <w:t>OHIO</w:t>
          </w:r>
        </w:smartTag>
      </w:smartTag>
    </w:p>
    <w:p w:rsidR="007C2976" w:rsidRPr="00710E80" w:rsidRDefault="007C2976" w:rsidP="00344DF1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7C2976" w:rsidRPr="00710E80" w:rsidTr="00C30244">
        <w:trPr>
          <w:trHeight w:val="807"/>
        </w:trPr>
        <w:tc>
          <w:tcPr>
            <w:tcW w:w="4332" w:type="dxa"/>
            <w:shd w:val="clear" w:color="auto" w:fill="auto"/>
          </w:tcPr>
          <w:p w:rsidR="007C2976" w:rsidRPr="00710E80" w:rsidRDefault="007C2976" w:rsidP="00344DF1">
            <w:pPr>
              <w:autoSpaceDE w:val="0"/>
              <w:autoSpaceDN w:val="0"/>
              <w:adjustRightInd w:val="0"/>
            </w:pPr>
            <w:r w:rsidRPr="00710E80">
              <w:t xml:space="preserve">In the Matter of </w:t>
            </w:r>
            <w:r w:rsidR="0017403B">
              <w:t xml:space="preserve">the Application </w:t>
            </w:r>
            <w:r w:rsidR="00F941D1">
              <w:t xml:space="preserve">of </w:t>
            </w:r>
            <w:r w:rsidR="008940F7">
              <w:t>Duke Energy Ohio, Inc. for a Waiver</w:t>
            </w:r>
            <w:r w:rsidR="00486295">
              <w:t>.</w:t>
            </w:r>
          </w:p>
        </w:tc>
        <w:tc>
          <w:tcPr>
            <w:tcW w:w="360" w:type="dxa"/>
            <w:shd w:val="clear" w:color="auto" w:fill="auto"/>
          </w:tcPr>
          <w:p w:rsidR="0017403B" w:rsidRDefault="0017403B" w:rsidP="00344DF1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7403B" w:rsidRDefault="0017403B" w:rsidP="00344DF1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7403B" w:rsidRPr="00710E80" w:rsidRDefault="0017403B" w:rsidP="00344DF1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7C2976" w:rsidRPr="00710E80" w:rsidRDefault="007C2976" w:rsidP="00344DF1">
            <w:pPr>
              <w:rPr>
                <w:i/>
              </w:rPr>
            </w:pPr>
            <w:r w:rsidRPr="00710E80">
              <w:t xml:space="preserve">Case No. </w:t>
            </w:r>
            <w:r w:rsidR="0017403B">
              <w:t>16-</w:t>
            </w:r>
            <w:r w:rsidR="008940F7">
              <w:t>1017-EL-WVR</w:t>
            </w:r>
          </w:p>
          <w:p w:rsidR="007C2976" w:rsidRPr="00710E80" w:rsidRDefault="007C2976" w:rsidP="00344DF1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976" w:rsidRPr="00710E80" w:rsidRDefault="007C2976" w:rsidP="00344DF1">
      <w:pPr>
        <w:pStyle w:val="HTMLPreformatted"/>
        <w:rPr>
          <w:rFonts w:ascii="Times New Roman" w:hAnsi="Times New Roman" w:cs="Times New Roman"/>
          <w:sz w:val="24"/>
        </w:rPr>
      </w:pPr>
    </w:p>
    <w:p w:rsidR="007C2976" w:rsidRPr="00710E80" w:rsidRDefault="007C2976" w:rsidP="00344DF1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</w:rPr>
      </w:pPr>
    </w:p>
    <w:p w:rsidR="007C2976" w:rsidRPr="00710E80" w:rsidRDefault="00B2508F" w:rsidP="00344DF1">
      <w:pPr>
        <w:jc w:val="center"/>
        <w:rPr>
          <w:b/>
          <w:bCs/>
        </w:rPr>
      </w:pPr>
      <w:r>
        <w:rPr>
          <w:b/>
          <w:bCs/>
        </w:rPr>
        <w:t xml:space="preserve">MEMORANDUM CONTRA </w:t>
      </w:r>
      <w:r>
        <w:rPr>
          <w:b/>
          <w:bCs/>
        </w:rPr>
        <w:br/>
        <w:t>DUKE ENERGY OHIO, INC</w:t>
      </w:r>
      <w:r w:rsidR="00566087">
        <w:rPr>
          <w:b/>
          <w:bCs/>
        </w:rPr>
        <w:t>.</w:t>
      </w:r>
      <w:r w:rsidR="00DD75C5">
        <w:rPr>
          <w:b/>
          <w:bCs/>
        </w:rPr>
        <w:t>'</w:t>
      </w:r>
      <w:r>
        <w:rPr>
          <w:b/>
          <w:bCs/>
        </w:rPr>
        <w:t xml:space="preserve">S MOTION TO STRIKE COMMENTS </w:t>
      </w:r>
    </w:p>
    <w:p w:rsidR="007C2976" w:rsidRPr="00710E80" w:rsidRDefault="007C2976" w:rsidP="00344DF1">
      <w:pPr>
        <w:jc w:val="center"/>
        <w:rPr>
          <w:b/>
          <w:bCs/>
        </w:rPr>
      </w:pPr>
      <w:r w:rsidRPr="00710E80">
        <w:rPr>
          <w:b/>
          <w:bCs/>
        </w:rPr>
        <w:t>BY</w:t>
      </w:r>
    </w:p>
    <w:p w:rsidR="007C2976" w:rsidRPr="00710E80" w:rsidRDefault="007C2976" w:rsidP="00344DF1">
      <w:pPr>
        <w:jc w:val="center"/>
        <w:rPr>
          <w:b/>
          <w:bCs/>
        </w:rPr>
      </w:pPr>
      <w:r w:rsidRPr="00710E80">
        <w:rPr>
          <w:b/>
          <w:bCs/>
        </w:rPr>
        <w:t xml:space="preserve">THE OFFICE OF THE </w:t>
      </w:r>
      <w:smartTag w:uri="urn:schemas-microsoft-com:office:smarttags" w:element="place">
        <w:smartTag w:uri="urn:schemas-microsoft-com:office:smarttags" w:element="State">
          <w:r w:rsidRPr="00710E80">
            <w:rPr>
              <w:b/>
              <w:bCs/>
            </w:rPr>
            <w:t>OHIO</w:t>
          </w:r>
        </w:smartTag>
      </w:smartTag>
      <w:r w:rsidRPr="00710E80">
        <w:rPr>
          <w:b/>
          <w:bCs/>
        </w:rPr>
        <w:t xml:space="preserve"> CONSUMERS</w:t>
      </w:r>
      <w:r w:rsidR="00DD75C5">
        <w:rPr>
          <w:b/>
          <w:bCs/>
        </w:rPr>
        <w:t>'</w:t>
      </w:r>
      <w:r w:rsidRPr="00710E80">
        <w:rPr>
          <w:b/>
          <w:bCs/>
        </w:rPr>
        <w:t xml:space="preserve"> COUNSEL</w:t>
      </w:r>
    </w:p>
    <w:p w:rsidR="007C2976" w:rsidRPr="00710E80" w:rsidRDefault="007C2976" w:rsidP="00344DF1">
      <w:pPr>
        <w:pBdr>
          <w:bottom w:val="single" w:sz="12" w:space="1" w:color="auto"/>
        </w:pBdr>
        <w:tabs>
          <w:tab w:val="left" w:pos="4320"/>
        </w:tabs>
      </w:pPr>
    </w:p>
    <w:p w:rsidR="00490901" w:rsidRPr="00DD75C5" w:rsidRDefault="00490901" w:rsidP="00712B59">
      <w:pPr>
        <w:pStyle w:val="ListParagraph"/>
        <w:numPr>
          <w:ilvl w:val="0"/>
          <w:numId w:val="4"/>
        </w:numPr>
        <w:spacing w:before="240" w:line="480" w:lineRule="auto"/>
        <w:ind w:left="720"/>
        <w:rPr>
          <w:b/>
        </w:rPr>
      </w:pPr>
      <w:r w:rsidRPr="00DD75C5">
        <w:rPr>
          <w:b/>
        </w:rPr>
        <w:t>INTRODUCTION</w:t>
      </w:r>
    </w:p>
    <w:p w:rsidR="00490901" w:rsidRDefault="00490901" w:rsidP="00DD75C5">
      <w:pPr>
        <w:spacing w:line="480" w:lineRule="auto"/>
        <w:ind w:firstLine="720"/>
      </w:pPr>
      <w:r>
        <w:t>In this case, Duke Energy Ohio, Inc. (</w:t>
      </w:r>
      <w:r w:rsidR="00DD75C5">
        <w:t>"</w:t>
      </w:r>
      <w:r>
        <w:t>Duke</w:t>
      </w:r>
      <w:r w:rsidR="00DD75C5">
        <w:t>"</w:t>
      </w:r>
      <w:r>
        <w:t xml:space="preserve">) seeks an opportunity to delay filing its </w:t>
      </w:r>
      <w:r w:rsidR="00DD75C5">
        <w:t xml:space="preserve">energy efficiency </w:t>
      </w:r>
      <w:r>
        <w:t>market potential study.  The market potential study is an important tool for analyzing Duke</w:t>
      </w:r>
      <w:r w:rsidR="00DD75C5">
        <w:t>'</w:t>
      </w:r>
      <w:r>
        <w:t xml:space="preserve">s energy efficiency portfolio case.  Any delay in filing its market potential </w:t>
      </w:r>
      <w:r w:rsidR="00DD75C5">
        <w:t>study</w:t>
      </w:r>
      <w:r>
        <w:t xml:space="preserve"> has adverse impacts on parties interested in Duke</w:t>
      </w:r>
      <w:r w:rsidR="00DD75C5">
        <w:t>'</w:t>
      </w:r>
      <w:r>
        <w:t xml:space="preserve">s portfolio case. </w:t>
      </w:r>
    </w:p>
    <w:p w:rsidR="00712B59" w:rsidRDefault="00712B59" w:rsidP="00712B59">
      <w:pPr>
        <w:ind w:firstLine="720"/>
      </w:pPr>
    </w:p>
    <w:p w:rsidR="00490901" w:rsidRPr="00DD75C5" w:rsidRDefault="00490901" w:rsidP="00712B59">
      <w:pPr>
        <w:pStyle w:val="ListParagraph"/>
        <w:numPr>
          <w:ilvl w:val="0"/>
          <w:numId w:val="4"/>
        </w:numPr>
        <w:spacing w:line="480" w:lineRule="auto"/>
        <w:ind w:left="720"/>
        <w:rPr>
          <w:b/>
        </w:rPr>
      </w:pPr>
      <w:r w:rsidRPr="00DD75C5">
        <w:rPr>
          <w:b/>
        </w:rPr>
        <w:t>RECOMMENDATIONS</w:t>
      </w:r>
    </w:p>
    <w:p w:rsidR="00D97352" w:rsidRDefault="00E42C4D" w:rsidP="00DD75C5">
      <w:pPr>
        <w:spacing w:line="480" w:lineRule="auto"/>
        <w:ind w:firstLine="720"/>
      </w:pPr>
      <w:r>
        <w:t>T</w:t>
      </w:r>
      <w:r w:rsidR="00B2508F">
        <w:t xml:space="preserve">he Public Utilities Commission of Ohio (the </w:t>
      </w:r>
      <w:r w:rsidR="00DD75C5">
        <w:t>"</w:t>
      </w:r>
      <w:r w:rsidR="00B2508F">
        <w:t>PUCO</w:t>
      </w:r>
      <w:r w:rsidR="00DD75C5">
        <w:t>"</w:t>
      </w:r>
      <w:r w:rsidR="00B2508F">
        <w:t>) should deny Duke Energy Ohio, Inc</w:t>
      </w:r>
      <w:r>
        <w:t>.</w:t>
      </w:r>
      <w:r w:rsidR="00DD75C5">
        <w:t>'</w:t>
      </w:r>
      <w:r w:rsidR="00B2508F">
        <w:t>s (</w:t>
      </w:r>
      <w:r w:rsidR="00DD75C5">
        <w:t>"</w:t>
      </w:r>
      <w:r w:rsidR="00B2508F">
        <w:t>Duke</w:t>
      </w:r>
      <w:r w:rsidR="00DD75C5">
        <w:t>"</w:t>
      </w:r>
      <w:r w:rsidR="00B2508F">
        <w:t>) Motion to Strike Comments of the Office of the Ohio Consumers</w:t>
      </w:r>
      <w:r w:rsidR="00DD75C5">
        <w:t>'</w:t>
      </w:r>
      <w:r w:rsidR="00B2508F">
        <w:t xml:space="preserve"> Counsel (the </w:t>
      </w:r>
      <w:r w:rsidR="00DD75C5">
        <w:t>"</w:t>
      </w:r>
      <w:r w:rsidR="00B2508F">
        <w:t>Motion to Strike</w:t>
      </w:r>
      <w:r w:rsidR="00DD75C5">
        <w:t>"</w:t>
      </w:r>
      <w:r w:rsidR="00B2508F">
        <w:t xml:space="preserve">) because (i) it is moot, and (ii) it </w:t>
      </w:r>
      <w:r w:rsidR="001D663B">
        <w:t>seeks to suppress parties</w:t>
      </w:r>
      <w:r w:rsidR="00DD75C5">
        <w:t>'</w:t>
      </w:r>
      <w:r w:rsidR="001D663B">
        <w:t xml:space="preserve"> </w:t>
      </w:r>
      <w:r w:rsidR="007A2C07">
        <w:t>the opportunity</w:t>
      </w:r>
      <w:r w:rsidR="001D663B">
        <w:t xml:space="preserve"> to be heard before the PUCO in contrast with longstanding PUCO practice and basic principles of justice.</w:t>
      </w:r>
    </w:p>
    <w:p w:rsidR="00B2508F" w:rsidRPr="00B2508F" w:rsidRDefault="00B2508F" w:rsidP="00E42C4D">
      <w:pPr>
        <w:spacing w:after="240"/>
        <w:ind w:left="1440" w:right="720" w:hanging="720"/>
        <w:rPr>
          <w:b/>
        </w:rPr>
      </w:pPr>
      <w:r>
        <w:rPr>
          <w:b/>
        </w:rPr>
        <w:t>A.</w:t>
      </w:r>
      <w:r>
        <w:rPr>
          <w:b/>
        </w:rPr>
        <w:tab/>
        <w:t xml:space="preserve">The Motion to Strike is moot because the PUCO has already </w:t>
      </w:r>
      <w:r w:rsidR="00704DC3">
        <w:rPr>
          <w:b/>
        </w:rPr>
        <w:t>approved the relief Duke sought in its</w:t>
      </w:r>
      <w:r>
        <w:rPr>
          <w:b/>
        </w:rPr>
        <w:t xml:space="preserve"> </w:t>
      </w:r>
      <w:r w:rsidR="00704DC3">
        <w:rPr>
          <w:b/>
        </w:rPr>
        <w:t>application</w:t>
      </w:r>
      <w:r w:rsidR="00AC790F">
        <w:rPr>
          <w:b/>
        </w:rPr>
        <w:t>.</w:t>
      </w:r>
      <w:r>
        <w:rPr>
          <w:b/>
        </w:rPr>
        <w:t xml:space="preserve"> </w:t>
      </w:r>
    </w:p>
    <w:p w:rsidR="00712B59" w:rsidRDefault="00AA6EBE" w:rsidP="00B2508F">
      <w:pPr>
        <w:spacing w:line="480" w:lineRule="auto"/>
        <w:ind w:firstLine="720"/>
        <w:sectPr w:rsidR="00712B59" w:rsidSect="00344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>
        <w:t xml:space="preserve">Duke filed its application in this case on May 9, 2016.  </w:t>
      </w:r>
      <w:r w:rsidR="00D97352">
        <w:t xml:space="preserve">In its application, Duke asks for a waiver of the requirement that it file its </w:t>
      </w:r>
      <w:r w:rsidR="00B764C8">
        <w:t xml:space="preserve">energy efficiency </w:t>
      </w:r>
      <w:r w:rsidR="00D97352">
        <w:t xml:space="preserve">market potential study by June 15, 2016 and instead asks that it be permitted to file the market potential </w:t>
      </w:r>
    </w:p>
    <w:p w:rsidR="00AA6EBE" w:rsidRDefault="00D97352" w:rsidP="00712B59">
      <w:pPr>
        <w:spacing w:line="480" w:lineRule="auto"/>
      </w:pPr>
      <w:r>
        <w:lastRenderedPageBreak/>
        <w:t xml:space="preserve">study in October 2016.  </w:t>
      </w:r>
      <w:r w:rsidR="00AC790F">
        <w:t>The Office of the Ohio Consumers</w:t>
      </w:r>
      <w:r w:rsidR="00DD75C5">
        <w:t>'</w:t>
      </w:r>
      <w:r w:rsidR="00AC790F">
        <w:t xml:space="preserve"> Counsel (</w:t>
      </w:r>
      <w:r w:rsidR="00DD75C5">
        <w:t>"</w:t>
      </w:r>
      <w:r w:rsidR="00AC790F">
        <w:t>OCC</w:t>
      </w:r>
      <w:r w:rsidR="00DD75C5">
        <w:t>"</w:t>
      </w:r>
      <w:r w:rsidR="00AC790F">
        <w:t>) filed comments in response to the application on June 1, 2016</w:t>
      </w:r>
      <w:r>
        <w:t>, arguing that there is no good cause to grant the waiver request.</w:t>
      </w:r>
      <w:r w:rsidR="00AC790F">
        <w:t>.  On June 13, 2016, the PUCO Attorney Examiner issued an entry granting Duke</w:t>
      </w:r>
      <w:r w:rsidR="00DD75C5">
        <w:t>'</w:t>
      </w:r>
      <w:r w:rsidR="00AC790F">
        <w:t xml:space="preserve">s </w:t>
      </w:r>
      <w:r w:rsidR="007A2C07">
        <w:t>A</w:t>
      </w:r>
      <w:r w:rsidR="00AC790F">
        <w:t xml:space="preserve">pplication.  Duke filed </w:t>
      </w:r>
      <w:r>
        <w:t>a</w:t>
      </w:r>
      <w:r w:rsidR="00AC790F">
        <w:t xml:space="preserve"> Motion to Strike </w:t>
      </w:r>
      <w:r>
        <w:t>OCC</w:t>
      </w:r>
      <w:r w:rsidR="00DD75C5">
        <w:t>'</w:t>
      </w:r>
      <w:r>
        <w:t xml:space="preserve">s comments in their entirety </w:t>
      </w:r>
      <w:r w:rsidR="00AC790F">
        <w:t>on June 14, 2016, a day after the Attorney Examiner granted Duke</w:t>
      </w:r>
      <w:r w:rsidR="00DD75C5">
        <w:t>'</w:t>
      </w:r>
      <w:r w:rsidR="00AC790F">
        <w:t xml:space="preserve">s </w:t>
      </w:r>
      <w:r w:rsidR="007A2C07">
        <w:t>A</w:t>
      </w:r>
      <w:r w:rsidR="00AC790F">
        <w:t xml:space="preserve">pplication.  </w:t>
      </w:r>
      <w:r w:rsidR="00DD75C5">
        <w:t>Because OCC's comments pertain to whether the Application should be granted</w:t>
      </w:r>
      <w:r w:rsidR="00AC790F">
        <w:t>, Duke</w:t>
      </w:r>
      <w:r w:rsidR="00DD75C5">
        <w:t>'</w:t>
      </w:r>
      <w:r w:rsidR="00AC790F">
        <w:t>s Motion to Strike OCC</w:t>
      </w:r>
      <w:r w:rsidR="00DD75C5">
        <w:t>'</w:t>
      </w:r>
      <w:r w:rsidR="00AC790F">
        <w:t>s comments is moot.</w:t>
      </w:r>
    </w:p>
    <w:p w:rsidR="00AA6EBE" w:rsidRPr="00AA6EBE" w:rsidRDefault="00AA6EBE" w:rsidP="00DD75C5">
      <w:pPr>
        <w:keepNext/>
        <w:spacing w:after="240"/>
        <w:ind w:left="1440" w:right="720" w:hanging="720"/>
        <w:rPr>
          <w:b/>
        </w:rPr>
      </w:pPr>
      <w:r w:rsidRPr="00AA6EBE">
        <w:rPr>
          <w:b/>
        </w:rPr>
        <w:t>B.</w:t>
      </w:r>
      <w:r w:rsidRPr="00AA6EBE">
        <w:rPr>
          <w:b/>
        </w:rPr>
        <w:tab/>
      </w:r>
      <w:r>
        <w:rPr>
          <w:b/>
        </w:rPr>
        <w:t>The Motion to Strik</w:t>
      </w:r>
      <w:r w:rsidR="001D663B">
        <w:rPr>
          <w:b/>
        </w:rPr>
        <w:t xml:space="preserve">e is meritless because principles of justice demand that parties </w:t>
      </w:r>
      <w:r w:rsidR="007A2C07">
        <w:rPr>
          <w:b/>
        </w:rPr>
        <w:t>have th</w:t>
      </w:r>
      <w:r w:rsidR="001D663B">
        <w:rPr>
          <w:b/>
        </w:rPr>
        <w:t>e</w:t>
      </w:r>
      <w:r w:rsidR="007A2C07">
        <w:rPr>
          <w:b/>
        </w:rPr>
        <w:t xml:space="preserve"> opportunity to be</w:t>
      </w:r>
      <w:r w:rsidR="001D663B">
        <w:rPr>
          <w:b/>
        </w:rPr>
        <w:t xml:space="preserve"> heard, and accordingly, the PUCO </w:t>
      </w:r>
      <w:r w:rsidR="00704DC3">
        <w:rPr>
          <w:b/>
        </w:rPr>
        <w:t>routinely permits parties to file comments in PUCO proceedings without a procedural schedule</w:t>
      </w:r>
      <w:r>
        <w:rPr>
          <w:b/>
        </w:rPr>
        <w:t>.</w:t>
      </w:r>
    </w:p>
    <w:p w:rsidR="00412009" w:rsidRDefault="00412009" w:rsidP="00B2508F">
      <w:pPr>
        <w:spacing w:line="480" w:lineRule="auto"/>
        <w:ind w:firstLine="720"/>
      </w:pPr>
      <w:r>
        <w:t xml:space="preserve">The Motion to Strike is meritless because the PUCO </w:t>
      </w:r>
      <w:r w:rsidR="00704DC3">
        <w:t>has permitted parties to file comments in PUCO proceedings for years, including numerous proceedings in which Duke has participated.</w:t>
      </w:r>
      <w:r w:rsidR="00724209">
        <w:rPr>
          <w:rStyle w:val="FootnoteReference"/>
        </w:rPr>
        <w:footnoteReference w:id="1"/>
      </w:r>
      <w:r w:rsidR="00704DC3">
        <w:t xml:space="preserve">  Duke has not cited a single instance in which the PUCO struck comments or refused to consider them on the grounds that they were filed without a procedural schedule.  </w:t>
      </w:r>
      <w:r>
        <w:t>Duke</w:t>
      </w:r>
      <w:r w:rsidR="00DD75C5">
        <w:t>'</w:t>
      </w:r>
      <w:r>
        <w:t>s claim that it is prejudiced by the filing of OCC</w:t>
      </w:r>
      <w:r w:rsidR="00DD75C5">
        <w:t>'</w:t>
      </w:r>
      <w:r>
        <w:t>s comments is without support because Duke had an opportunity to respond to OCC</w:t>
      </w:r>
      <w:r w:rsidR="00DD75C5">
        <w:t>'</w:t>
      </w:r>
      <w:r>
        <w:t>s comments and chose not to.</w:t>
      </w:r>
    </w:p>
    <w:p w:rsidR="00412009" w:rsidRDefault="00412009" w:rsidP="00B2508F">
      <w:pPr>
        <w:spacing w:line="480" w:lineRule="auto"/>
        <w:ind w:firstLine="720"/>
      </w:pPr>
      <w:r>
        <w:t>The Ohio Manufacturers</w:t>
      </w:r>
      <w:r w:rsidR="00DD75C5">
        <w:t>'</w:t>
      </w:r>
      <w:r>
        <w:t xml:space="preserve"> Association (</w:t>
      </w:r>
      <w:r w:rsidR="00DD75C5">
        <w:t>"</w:t>
      </w:r>
      <w:r>
        <w:t>OMA</w:t>
      </w:r>
      <w:r w:rsidR="00DD75C5">
        <w:t>"</w:t>
      </w:r>
      <w:r>
        <w:t>) and The Kroger Co. also filed comments in this case.  Duke moved to strike OMA</w:t>
      </w:r>
      <w:r w:rsidR="00DD75C5">
        <w:t>'</w:t>
      </w:r>
      <w:r>
        <w:t>s and Kroger</w:t>
      </w:r>
      <w:r w:rsidR="00DD75C5">
        <w:t>'</w:t>
      </w:r>
      <w:r>
        <w:t>s comments</w:t>
      </w:r>
      <w:r w:rsidR="00724209">
        <w:t>.  The Motion to Strike OCC</w:t>
      </w:r>
      <w:r w:rsidR="00DD75C5">
        <w:t>'</w:t>
      </w:r>
      <w:r w:rsidR="00724209">
        <w:t>s comments is identical in substance to Duke</w:t>
      </w:r>
      <w:r w:rsidR="00DD75C5">
        <w:t>'</w:t>
      </w:r>
      <w:r w:rsidR="00724209">
        <w:t xml:space="preserve">s motions to strike </w:t>
      </w:r>
      <w:r w:rsidR="00724209">
        <w:lastRenderedPageBreak/>
        <w:t>OMA</w:t>
      </w:r>
      <w:r w:rsidR="00DD75C5">
        <w:t>'</w:t>
      </w:r>
      <w:r w:rsidR="00724209">
        <w:t>s and Kroger</w:t>
      </w:r>
      <w:r w:rsidR="00DD75C5">
        <w:t>'</w:t>
      </w:r>
      <w:r w:rsidR="00724209">
        <w:t>s comments.  The Attorney Examiner rejected Duke</w:t>
      </w:r>
      <w:r w:rsidR="00DD75C5">
        <w:t>'</w:t>
      </w:r>
      <w:r w:rsidR="00724209">
        <w:t>s motions to strike OMA</w:t>
      </w:r>
      <w:r w:rsidR="00DD75C5">
        <w:t>'</w:t>
      </w:r>
      <w:r w:rsidR="00724209">
        <w:t>s and Kroger</w:t>
      </w:r>
      <w:r w:rsidR="00DD75C5">
        <w:t>'</w:t>
      </w:r>
      <w:r w:rsidR="00724209">
        <w:t>s comments.</w:t>
      </w:r>
    </w:p>
    <w:p w:rsidR="00CB40A0" w:rsidRDefault="00CB40A0" w:rsidP="00CB40A0">
      <w:pPr>
        <w:ind w:firstLine="720"/>
      </w:pPr>
    </w:p>
    <w:p w:rsidR="007A2C07" w:rsidRPr="00DD75C5" w:rsidRDefault="007A2C07" w:rsidP="00CB40A0">
      <w:pPr>
        <w:pStyle w:val="ListParagraph"/>
        <w:numPr>
          <w:ilvl w:val="0"/>
          <w:numId w:val="4"/>
        </w:numPr>
        <w:spacing w:line="480" w:lineRule="auto"/>
        <w:ind w:left="720"/>
        <w:rPr>
          <w:b/>
        </w:rPr>
      </w:pPr>
      <w:r w:rsidRPr="00DD75C5">
        <w:rPr>
          <w:b/>
        </w:rPr>
        <w:t>CONCLUSION</w:t>
      </w:r>
    </w:p>
    <w:p w:rsidR="00AA6EBE" w:rsidRDefault="00704DC3" w:rsidP="00B2508F">
      <w:pPr>
        <w:spacing w:line="480" w:lineRule="auto"/>
        <w:ind w:firstLine="720"/>
      </w:pPr>
      <w:r>
        <w:t>Duke</w:t>
      </w:r>
      <w:r w:rsidR="00724209">
        <w:t xml:space="preserve"> should not be permitted to </w:t>
      </w:r>
      <w:r>
        <w:t xml:space="preserve">suppress </w:t>
      </w:r>
      <w:r w:rsidR="00724209">
        <w:t xml:space="preserve">a </w:t>
      </w:r>
      <w:r>
        <w:t>part</w:t>
      </w:r>
      <w:r w:rsidR="00724209">
        <w:t>y</w:t>
      </w:r>
      <w:r w:rsidR="00DD75C5">
        <w:t>'</w:t>
      </w:r>
      <w:r w:rsidR="00724209">
        <w:t>s</w:t>
      </w:r>
      <w:r>
        <w:t xml:space="preserve"> </w:t>
      </w:r>
      <w:r w:rsidR="00724209">
        <w:t xml:space="preserve">right </w:t>
      </w:r>
      <w:r>
        <w:t>to be heard before the PUCO</w:t>
      </w:r>
      <w:r w:rsidR="00724209">
        <w:t>.  The</w:t>
      </w:r>
      <w:r w:rsidR="007A2C07">
        <w:t>refore, the</w:t>
      </w:r>
      <w:r w:rsidR="00724209">
        <w:t xml:space="preserve"> Motion to Strike</w:t>
      </w:r>
      <w:r>
        <w:t xml:space="preserve"> should be denied.</w:t>
      </w:r>
    </w:p>
    <w:p w:rsidR="00704DC3" w:rsidRDefault="00704DC3">
      <w:pPr>
        <w:rPr>
          <w:szCs w:val="24"/>
        </w:rPr>
      </w:pPr>
    </w:p>
    <w:p w:rsidR="00701EAF" w:rsidRDefault="00701EAF" w:rsidP="00344DF1">
      <w:pPr>
        <w:rPr>
          <w:szCs w:val="24"/>
        </w:rPr>
      </w:pPr>
    </w:p>
    <w:p w:rsidR="00220105" w:rsidRDefault="00220105" w:rsidP="00344DF1">
      <w:pPr>
        <w:ind w:firstLine="4320"/>
        <w:rPr>
          <w:szCs w:val="24"/>
        </w:rPr>
      </w:pPr>
      <w:r w:rsidRPr="00710E80">
        <w:rPr>
          <w:szCs w:val="24"/>
        </w:rPr>
        <w:t>Respectfully submitted,</w:t>
      </w:r>
    </w:p>
    <w:p w:rsidR="00AE7D20" w:rsidRPr="00710E80" w:rsidRDefault="00AE7D20" w:rsidP="00344DF1">
      <w:pPr>
        <w:rPr>
          <w:szCs w:val="24"/>
        </w:rPr>
      </w:pPr>
    </w:p>
    <w:p w:rsidR="00220105" w:rsidRPr="00710E80" w:rsidRDefault="00220105" w:rsidP="00344DF1">
      <w:pPr>
        <w:ind w:left="4320"/>
      </w:pPr>
      <w:r w:rsidRPr="00710E80">
        <w:t>BRUCE J. WESTON (0016973)</w:t>
      </w:r>
    </w:p>
    <w:p w:rsidR="00220105" w:rsidRPr="00710E80" w:rsidRDefault="00220105" w:rsidP="00344DF1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OHIO CONSUMERS</w:t>
      </w:r>
      <w:r w:rsidR="00DD75C5">
        <w:rPr>
          <w:szCs w:val="24"/>
        </w:rPr>
        <w:t>'</w:t>
      </w:r>
      <w:r w:rsidRPr="00710E80">
        <w:rPr>
          <w:szCs w:val="24"/>
        </w:rPr>
        <w:t xml:space="preserve"> COUNSEL</w:t>
      </w:r>
    </w:p>
    <w:p w:rsidR="00220105" w:rsidRPr="00710E80" w:rsidRDefault="00220105" w:rsidP="00344DF1">
      <w:pPr>
        <w:tabs>
          <w:tab w:val="left" w:pos="4320"/>
        </w:tabs>
        <w:ind w:left="4320"/>
        <w:rPr>
          <w:szCs w:val="24"/>
        </w:rPr>
      </w:pPr>
    </w:p>
    <w:p w:rsidR="00220105" w:rsidRPr="00710E80" w:rsidRDefault="00220105" w:rsidP="00344DF1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 Christopher Healey</w:t>
      </w:r>
      <w:r w:rsidRPr="00710E80">
        <w:rPr>
          <w:i/>
          <w:u w:val="single"/>
        </w:rPr>
        <w:tab/>
      </w:r>
      <w:r w:rsidRPr="00710E80">
        <w:rPr>
          <w:i/>
          <w:u w:val="single"/>
        </w:rPr>
        <w:tab/>
      </w:r>
      <w:r w:rsidR="00CA1B5D">
        <w:rPr>
          <w:i/>
          <w:u w:val="single"/>
        </w:rPr>
        <w:tab/>
      </w:r>
    </w:p>
    <w:p w:rsidR="00220105" w:rsidRDefault="00220105" w:rsidP="00344DF1">
      <w:pPr>
        <w:tabs>
          <w:tab w:val="left" w:pos="4320"/>
        </w:tabs>
        <w:ind w:left="4320"/>
        <w:rPr>
          <w:szCs w:val="24"/>
        </w:rPr>
      </w:pPr>
      <w:r w:rsidRPr="008A6DE3">
        <w:rPr>
          <w:szCs w:val="24"/>
        </w:rPr>
        <w:t>Christopher Healey (0086027)</w:t>
      </w:r>
      <w:r w:rsidRPr="008A6DE3">
        <w:rPr>
          <w:szCs w:val="24"/>
        </w:rPr>
        <w:br/>
        <w:t>Counsel of Record</w:t>
      </w:r>
    </w:p>
    <w:p w:rsidR="00F06C4D" w:rsidRPr="008A6DE3" w:rsidRDefault="00F06C4D" w:rsidP="00344DF1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</w:t>
      </w:r>
      <w:r w:rsidR="00DD75C5">
        <w:rPr>
          <w:szCs w:val="24"/>
        </w:rPr>
        <w:t>'</w:t>
      </w:r>
      <w:r>
        <w:rPr>
          <w:szCs w:val="24"/>
        </w:rPr>
        <w:t xml:space="preserve"> Counsel</w:t>
      </w:r>
    </w:p>
    <w:p w:rsidR="00220105" w:rsidRPr="00710E80" w:rsidRDefault="00220105" w:rsidP="00344DF1">
      <w:pPr>
        <w:pStyle w:val="Heading1"/>
        <w:spacing w:before="120"/>
        <w:ind w:left="4320"/>
        <w:rPr>
          <w:u w:val="none"/>
        </w:rPr>
      </w:pPr>
      <w:r w:rsidRPr="00710E80">
        <w:rPr>
          <w:u w:val="none"/>
        </w:rPr>
        <w:t xml:space="preserve">Office of the </w:t>
      </w:r>
      <w:smartTag w:uri="urn:schemas-microsoft-com:office:smarttags" w:element="place">
        <w:smartTag w:uri="urn:schemas-microsoft-com:office:smarttags" w:element="State">
          <w:r w:rsidRPr="00710E80">
            <w:rPr>
              <w:u w:val="none"/>
            </w:rPr>
            <w:t>Ohio</w:t>
          </w:r>
        </w:smartTag>
      </w:smartTag>
      <w:r w:rsidRPr="00710E80">
        <w:rPr>
          <w:u w:val="none"/>
        </w:rPr>
        <w:t xml:space="preserve"> Consumers</w:t>
      </w:r>
      <w:r w:rsidR="00DD75C5">
        <w:rPr>
          <w:u w:val="none"/>
        </w:rPr>
        <w:t>'</w:t>
      </w:r>
      <w:r w:rsidRPr="00710E80">
        <w:rPr>
          <w:u w:val="none"/>
        </w:rPr>
        <w:t xml:space="preserve"> Counsel</w:t>
      </w:r>
    </w:p>
    <w:p w:rsidR="00220105" w:rsidRPr="00710E80" w:rsidRDefault="00220105" w:rsidP="00344DF1">
      <w:pPr>
        <w:pStyle w:val="Heading1"/>
        <w:ind w:left="4320"/>
        <w:rPr>
          <w:b w:val="0"/>
          <w:u w:val="none"/>
        </w:rPr>
      </w:pPr>
      <w:smartTag w:uri="urn:schemas-microsoft-com:office:smarttags" w:element="Street">
        <w:smartTag w:uri="urn:schemas-microsoft-com:office:smarttags" w:element="address">
          <w:r w:rsidRPr="00710E80">
            <w:rPr>
              <w:b w:val="0"/>
              <w:u w:val="none"/>
            </w:rPr>
            <w:t>10 West Broad Street, Suite 1800</w:t>
          </w:r>
        </w:smartTag>
      </w:smartTag>
    </w:p>
    <w:p w:rsidR="00220105" w:rsidRPr="008A6DE3" w:rsidRDefault="00220105" w:rsidP="00344DF1">
      <w:pPr>
        <w:pStyle w:val="Heading1"/>
        <w:ind w:left="4320"/>
        <w:rPr>
          <w:b w:val="0"/>
          <w:u w:val="none"/>
        </w:rPr>
      </w:pPr>
      <w:smartTag w:uri="urn:schemas-microsoft-com:office:smarttags" w:element="place">
        <w:smartTag w:uri="urn:schemas-microsoft-com:office:smarttags" w:element="City">
          <w:r w:rsidRPr="008A6DE3">
            <w:rPr>
              <w:b w:val="0"/>
              <w:u w:val="none"/>
            </w:rPr>
            <w:t>Columbus</w:t>
          </w:r>
        </w:smartTag>
        <w:r w:rsidRPr="008A6DE3">
          <w:rPr>
            <w:b w:val="0"/>
            <w:u w:val="none"/>
          </w:rPr>
          <w:t xml:space="preserve">, </w:t>
        </w:r>
        <w:smartTag w:uri="urn:schemas-microsoft-com:office:smarttags" w:element="State">
          <w:r w:rsidRPr="008A6DE3">
            <w:rPr>
              <w:b w:val="0"/>
              <w:u w:val="none"/>
            </w:rPr>
            <w:t>Ohio</w:t>
          </w:r>
        </w:smartTag>
        <w:r w:rsidRPr="008A6DE3">
          <w:rPr>
            <w:b w:val="0"/>
            <w:u w:val="none"/>
          </w:rPr>
          <w:t xml:space="preserve"> </w:t>
        </w:r>
        <w:smartTag w:uri="urn:schemas-microsoft-com:office:smarttags" w:element="PostalCode">
          <w:r w:rsidRPr="008A6DE3">
            <w:rPr>
              <w:b w:val="0"/>
              <w:u w:val="none"/>
            </w:rPr>
            <w:t>43215-3485</w:t>
          </w:r>
        </w:smartTag>
      </w:smartTag>
    </w:p>
    <w:p w:rsidR="00220105" w:rsidRPr="008A6DE3" w:rsidRDefault="00220105" w:rsidP="00344DF1">
      <w:pPr>
        <w:autoSpaceDE w:val="0"/>
        <w:autoSpaceDN w:val="0"/>
        <w:adjustRightInd w:val="0"/>
        <w:ind w:left="3600" w:firstLine="720"/>
        <w:rPr>
          <w:szCs w:val="24"/>
        </w:rPr>
      </w:pPr>
      <w:r w:rsidRPr="008A6DE3">
        <w:rPr>
          <w:szCs w:val="24"/>
        </w:rPr>
        <w:t>Telephone</w:t>
      </w:r>
      <w:r w:rsidR="00F06C4D">
        <w:rPr>
          <w:szCs w:val="24"/>
        </w:rPr>
        <w:t xml:space="preserve"> Direct</w:t>
      </w:r>
      <w:r w:rsidRPr="008A6DE3">
        <w:rPr>
          <w:szCs w:val="24"/>
        </w:rPr>
        <w:t>:</w:t>
      </w:r>
      <w:r w:rsidR="00F06C4D">
        <w:rPr>
          <w:szCs w:val="24"/>
        </w:rPr>
        <w:t xml:space="preserve"> </w:t>
      </w:r>
      <w:r w:rsidRPr="008A6DE3">
        <w:rPr>
          <w:szCs w:val="24"/>
        </w:rPr>
        <w:t>(614) 466-</w:t>
      </w:r>
      <w:r w:rsidR="00A518A7">
        <w:rPr>
          <w:szCs w:val="24"/>
        </w:rPr>
        <w:t>9571</w:t>
      </w:r>
    </w:p>
    <w:p w:rsidR="00220105" w:rsidRPr="008A6DE3" w:rsidRDefault="004B337F" w:rsidP="00344DF1">
      <w:pPr>
        <w:ind w:left="4320"/>
        <w:rPr>
          <w:szCs w:val="24"/>
        </w:rPr>
      </w:pPr>
      <w:hyperlink r:id="rId14" w:history="1">
        <w:r w:rsidR="00220105" w:rsidRPr="008A6DE3">
          <w:rPr>
            <w:rStyle w:val="Hyperlink"/>
            <w:szCs w:val="24"/>
          </w:rPr>
          <w:t>christopher.healey@occ.ohio.gov</w:t>
        </w:r>
      </w:hyperlink>
    </w:p>
    <w:p w:rsidR="00220105" w:rsidRDefault="00220105" w:rsidP="00344DF1">
      <w:pPr>
        <w:ind w:left="4320"/>
        <w:rPr>
          <w:szCs w:val="24"/>
        </w:rPr>
      </w:pPr>
      <w:r w:rsidRPr="00710E80">
        <w:rPr>
          <w:szCs w:val="24"/>
        </w:rPr>
        <w:t>(</w:t>
      </w:r>
      <w:r w:rsidR="008253B4">
        <w:rPr>
          <w:szCs w:val="24"/>
        </w:rPr>
        <w:t>w</w:t>
      </w:r>
      <w:r w:rsidRPr="00710E80">
        <w:rPr>
          <w:szCs w:val="24"/>
        </w:rPr>
        <w:t>ill accept service via email)</w:t>
      </w:r>
    </w:p>
    <w:p w:rsidR="00220105" w:rsidRDefault="00220105" w:rsidP="00344DF1">
      <w:pPr>
        <w:ind w:left="4320"/>
        <w:rPr>
          <w:szCs w:val="24"/>
        </w:rPr>
      </w:pPr>
    </w:p>
    <w:p w:rsidR="007C2976" w:rsidRPr="00710E80" w:rsidRDefault="007C2976" w:rsidP="00344DF1">
      <w:pPr>
        <w:rPr>
          <w:szCs w:val="24"/>
        </w:rPr>
      </w:pPr>
    </w:p>
    <w:p w:rsidR="007C2976" w:rsidRPr="00710E80" w:rsidRDefault="007C2976" w:rsidP="00344DF1">
      <w:pPr>
        <w:rPr>
          <w:szCs w:val="24"/>
        </w:rPr>
      </w:pPr>
    </w:p>
    <w:p w:rsidR="007C2976" w:rsidRPr="00710E80" w:rsidRDefault="007C2976" w:rsidP="00344DF1">
      <w:pPr>
        <w:rPr>
          <w:szCs w:val="24"/>
        </w:rPr>
      </w:pPr>
      <w:r w:rsidRPr="00710E80">
        <w:rPr>
          <w:szCs w:val="24"/>
        </w:rPr>
        <w:tab/>
      </w:r>
      <w:r w:rsidRPr="00710E80">
        <w:rPr>
          <w:szCs w:val="24"/>
        </w:rPr>
        <w:tab/>
      </w:r>
      <w:r w:rsidRPr="00710E80">
        <w:rPr>
          <w:szCs w:val="24"/>
        </w:rPr>
        <w:tab/>
      </w:r>
      <w:r w:rsidRPr="00710E80">
        <w:rPr>
          <w:szCs w:val="24"/>
        </w:rPr>
        <w:tab/>
      </w:r>
      <w:r w:rsidRPr="00710E80">
        <w:rPr>
          <w:szCs w:val="24"/>
        </w:rPr>
        <w:tab/>
      </w:r>
      <w:r w:rsidRPr="00710E80">
        <w:rPr>
          <w:szCs w:val="24"/>
        </w:rPr>
        <w:tab/>
      </w:r>
    </w:p>
    <w:p w:rsidR="007C2976" w:rsidRDefault="007C2976" w:rsidP="00344DF1">
      <w:pPr>
        <w:jc w:val="center"/>
        <w:rPr>
          <w:b/>
          <w:bCs/>
          <w:u w:val="single"/>
        </w:rPr>
      </w:pPr>
      <w:r w:rsidRPr="00710E80">
        <w:br w:type="page"/>
      </w:r>
      <w:r w:rsidRPr="00710E80">
        <w:rPr>
          <w:b/>
          <w:bCs/>
          <w:u w:val="single"/>
        </w:rPr>
        <w:lastRenderedPageBreak/>
        <w:t>CERTIFICATE OF SERVICE</w:t>
      </w:r>
    </w:p>
    <w:p w:rsidR="00F06C4D" w:rsidRPr="00710E80" w:rsidRDefault="00F06C4D" w:rsidP="00344DF1">
      <w:pPr>
        <w:jc w:val="center"/>
        <w:rPr>
          <w:b/>
          <w:bCs/>
          <w:u w:val="single"/>
        </w:rPr>
      </w:pPr>
    </w:p>
    <w:p w:rsidR="007C2976" w:rsidRPr="00710E80" w:rsidRDefault="007C2976" w:rsidP="00344DF1">
      <w:pPr>
        <w:spacing w:line="480" w:lineRule="atLeast"/>
        <w:ind w:firstLine="720"/>
      </w:pPr>
      <w:r w:rsidRPr="00710E80">
        <w:t>I hereby certify that a copy of th</w:t>
      </w:r>
      <w:r w:rsidR="00704DC3">
        <w:t>is</w:t>
      </w:r>
      <w:r w:rsidR="002E3FAD">
        <w:t xml:space="preserve"> </w:t>
      </w:r>
      <w:r w:rsidR="00704DC3">
        <w:t>Memorandum Contra</w:t>
      </w:r>
      <w:r w:rsidR="009C4FD4">
        <w:t xml:space="preserve"> </w:t>
      </w:r>
      <w:r w:rsidRPr="00710E80">
        <w:t>w</w:t>
      </w:r>
      <w:r w:rsidR="002E3FAD">
        <w:t>ere</w:t>
      </w:r>
      <w:r w:rsidRPr="00710E80">
        <w:t xml:space="preserve"> served on the persons stated below via</w:t>
      </w:r>
      <w:r w:rsidRPr="00710E80">
        <w:rPr>
          <w:i/>
        </w:rPr>
        <w:t xml:space="preserve"> </w:t>
      </w:r>
      <w:r w:rsidR="00D50439" w:rsidRPr="00710E80">
        <w:t>electric transmission</w:t>
      </w:r>
      <w:r w:rsidRPr="00710E80">
        <w:t xml:space="preserve"> this </w:t>
      </w:r>
      <w:r w:rsidR="00DD75C5">
        <w:t>29th</w:t>
      </w:r>
      <w:r w:rsidR="00385370" w:rsidRPr="00710E80">
        <w:t xml:space="preserve"> </w:t>
      </w:r>
      <w:r w:rsidRPr="00710E80">
        <w:t xml:space="preserve">day of </w:t>
      </w:r>
      <w:r w:rsidR="00974AC9">
        <w:t>June</w:t>
      </w:r>
      <w:r w:rsidRPr="00710E80">
        <w:t xml:space="preserve"> 201</w:t>
      </w:r>
      <w:r w:rsidR="00666AB5" w:rsidRPr="00710E80">
        <w:t>6</w:t>
      </w:r>
      <w:r w:rsidRPr="00710E80">
        <w:t>.</w:t>
      </w:r>
    </w:p>
    <w:p w:rsidR="007C2976" w:rsidRPr="00710E80" w:rsidRDefault="007C2976" w:rsidP="00344DF1">
      <w:pPr>
        <w:spacing w:line="480" w:lineRule="atLeast"/>
      </w:pPr>
    </w:p>
    <w:p w:rsidR="00C05D8D" w:rsidRPr="00710E80" w:rsidRDefault="00C05D8D" w:rsidP="00344DF1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 </w:t>
      </w:r>
      <w:r w:rsidR="00385370" w:rsidRPr="00710E80">
        <w:rPr>
          <w:i/>
          <w:u w:val="single"/>
        </w:rPr>
        <w:t>Christopher Healey</w:t>
      </w:r>
      <w:r w:rsidR="00385370" w:rsidRPr="00710E80">
        <w:rPr>
          <w:i/>
          <w:u w:val="single"/>
        </w:rPr>
        <w:tab/>
      </w:r>
    </w:p>
    <w:p w:rsidR="007C2976" w:rsidRPr="00710E80" w:rsidRDefault="00D0554D" w:rsidP="00344DF1">
      <w:pPr>
        <w:tabs>
          <w:tab w:val="left" w:pos="4320"/>
        </w:tabs>
        <w:ind w:left="4320"/>
      </w:pPr>
      <w:r w:rsidRPr="00710E80">
        <w:t>Christopher Healey</w:t>
      </w:r>
      <w:r w:rsidRPr="00710E80">
        <w:br/>
      </w:r>
      <w:r w:rsidR="0091432F">
        <w:t>Assistant Consumers</w:t>
      </w:r>
      <w:r w:rsidR="00DD75C5">
        <w:t>'</w:t>
      </w:r>
      <w:r w:rsidR="0091432F">
        <w:t xml:space="preserve"> Counsel</w:t>
      </w:r>
    </w:p>
    <w:p w:rsidR="007C2976" w:rsidRPr="00710E80" w:rsidRDefault="007C2976" w:rsidP="00344DF1">
      <w:pPr>
        <w:pStyle w:val="CommentSubject"/>
      </w:pPr>
    </w:p>
    <w:p w:rsidR="007C2976" w:rsidRPr="00710E80" w:rsidRDefault="007C2976" w:rsidP="00344DF1">
      <w:pPr>
        <w:pStyle w:val="CommentText"/>
      </w:pPr>
    </w:p>
    <w:p w:rsidR="007C2976" w:rsidRPr="00710E80" w:rsidRDefault="007C2976" w:rsidP="00344DF1">
      <w:pPr>
        <w:pStyle w:val="CommentText"/>
        <w:jc w:val="center"/>
        <w:rPr>
          <w:b/>
          <w:bCs/>
        </w:rPr>
      </w:pPr>
      <w:r w:rsidRPr="00710E80"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C2976" w:rsidRPr="00710E80" w:rsidTr="00C30244">
        <w:tc>
          <w:tcPr>
            <w:tcW w:w="4428" w:type="dxa"/>
            <w:shd w:val="clear" w:color="auto" w:fill="auto"/>
          </w:tcPr>
          <w:p w:rsidR="007C2976" w:rsidRPr="00710E80" w:rsidRDefault="007C2976" w:rsidP="00344D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666AB5" w:rsidRPr="00710E80" w:rsidRDefault="00666AB5" w:rsidP="00344DF1">
            <w:pPr>
              <w:pStyle w:val="BodyText"/>
              <w:jc w:val="left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  <w:gridCol w:w="222"/>
      </w:tblGrid>
      <w:tr w:rsidR="00AE7D20" w:rsidTr="009C4FD4">
        <w:tc>
          <w:tcPr>
            <w:tcW w:w="6923" w:type="dxa"/>
          </w:tcPr>
          <w:p w:rsidR="009C4FD4" w:rsidRPr="00710E80" w:rsidRDefault="009C4FD4" w:rsidP="00344DF1">
            <w:pPr>
              <w:pStyle w:val="CommentText"/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8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  <w:gridCol w:w="4390"/>
            </w:tblGrid>
            <w:tr w:rsidR="009C4FD4" w:rsidRPr="00710E80" w:rsidTr="009C4FD4">
              <w:tc>
                <w:tcPr>
                  <w:tcW w:w="4250" w:type="dxa"/>
                </w:tcPr>
                <w:p w:rsidR="009C4FD4" w:rsidRDefault="004B337F" w:rsidP="00344DF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hyperlink r:id="rId15" w:history="1">
                    <w:r w:rsidR="009C4FD4" w:rsidRPr="000314DA">
                      <w:rPr>
                        <w:rStyle w:val="Hyperlink"/>
                        <w:bCs/>
                      </w:rPr>
                      <w:t>William.wright@ohioattorneygeneral.gov</w:t>
                    </w:r>
                  </w:hyperlink>
                </w:p>
                <w:p w:rsidR="009C4FD4" w:rsidRDefault="004B337F" w:rsidP="00344DF1">
                  <w:pPr>
                    <w:autoSpaceDE w:val="0"/>
                    <w:autoSpaceDN w:val="0"/>
                    <w:adjustRightInd w:val="0"/>
                    <w:rPr>
                      <w:rStyle w:val="Hyperlink"/>
                      <w:bCs/>
                    </w:rPr>
                  </w:pPr>
                  <w:hyperlink r:id="rId16" w:history="1">
                    <w:r w:rsidR="009C4FD4" w:rsidRPr="000314DA">
                      <w:rPr>
                        <w:rStyle w:val="Hyperlink"/>
                        <w:bCs/>
                      </w:rPr>
                      <w:t>orourke@carpenterlipps.com</w:t>
                    </w:r>
                  </w:hyperlink>
                </w:p>
                <w:p w:rsidR="00F06C4D" w:rsidRDefault="004B337F" w:rsidP="00F06C4D">
                  <w:pPr>
                    <w:autoSpaceDE w:val="0"/>
                    <w:autoSpaceDN w:val="0"/>
                    <w:adjustRightInd w:val="0"/>
                    <w:rPr>
                      <w:color w:val="0000FF"/>
                      <w:sz w:val="23"/>
                      <w:szCs w:val="23"/>
                    </w:rPr>
                  </w:pPr>
                  <w:hyperlink r:id="rId17" w:history="1">
                    <w:r w:rsidR="00F06C4D" w:rsidRPr="00AA5B05">
                      <w:rPr>
                        <w:rStyle w:val="Hyperlink"/>
                        <w:sz w:val="23"/>
                        <w:szCs w:val="23"/>
                      </w:rPr>
                      <w:t>bojko@carpenterlipps.com</w:t>
                    </w:r>
                  </w:hyperlink>
                </w:p>
                <w:p w:rsidR="00F06C4D" w:rsidRDefault="004B337F" w:rsidP="00F06C4D">
                  <w:pPr>
                    <w:autoSpaceDE w:val="0"/>
                    <w:autoSpaceDN w:val="0"/>
                    <w:adjustRightInd w:val="0"/>
                    <w:rPr>
                      <w:color w:val="0000FF"/>
                      <w:sz w:val="23"/>
                      <w:szCs w:val="23"/>
                    </w:rPr>
                  </w:pPr>
                  <w:hyperlink r:id="rId18" w:history="1">
                    <w:r w:rsidR="00F06C4D" w:rsidRPr="00AA5B05">
                      <w:rPr>
                        <w:rStyle w:val="Hyperlink"/>
                        <w:sz w:val="23"/>
                        <w:szCs w:val="23"/>
                      </w:rPr>
                      <w:t>ghiloni@carpenterlipps.com</w:t>
                    </w:r>
                  </w:hyperlink>
                </w:p>
                <w:p w:rsidR="009C4FD4" w:rsidRDefault="009C4FD4" w:rsidP="00344DF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9C4FD4" w:rsidRPr="00710E80" w:rsidRDefault="009C4FD4" w:rsidP="00344DF1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4390" w:type="dxa"/>
                </w:tcPr>
                <w:p w:rsidR="009C4FD4" w:rsidRDefault="004B337F" w:rsidP="00344DF1">
                  <w:pPr>
                    <w:pStyle w:val="BodyText"/>
                    <w:jc w:val="left"/>
                  </w:pPr>
                  <w:hyperlink r:id="rId19" w:history="1">
                    <w:r w:rsidR="009C4FD4" w:rsidRPr="007553EE">
                      <w:rPr>
                        <w:rStyle w:val="Hyperlink"/>
                      </w:rPr>
                      <w:t>Amy.spiller@duke-energy.com</w:t>
                    </w:r>
                  </w:hyperlink>
                </w:p>
                <w:p w:rsidR="009C4FD4" w:rsidRDefault="004B337F" w:rsidP="00344DF1">
                  <w:pPr>
                    <w:pStyle w:val="BodyText"/>
                    <w:jc w:val="left"/>
                  </w:pPr>
                  <w:hyperlink r:id="rId20" w:history="1">
                    <w:r w:rsidR="009C4FD4" w:rsidRPr="000314DA">
                      <w:rPr>
                        <w:rStyle w:val="Hyperlink"/>
                      </w:rPr>
                      <w:t>Elizabeth.watts@duke-energy.com</w:t>
                    </w:r>
                  </w:hyperlink>
                </w:p>
                <w:p w:rsidR="009C4FD4" w:rsidRPr="00710E80" w:rsidRDefault="009C4FD4" w:rsidP="00344DF1">
                  <w:pPr>
                    <w:pStyle w:val="BodyText"/>
                    <w:jc w:val="left"/>
                  </w:pPr>
                </w:p>
              </w:tc>
            </w:tr>
            <w:tr w:rsidR="009C4FD4" w:rsidTr="009C4FD4">
              <w:tc>
                <w:tcPr>
                  <w:tcW w:w="4250" w:type="dxa"/>
                </w:tcPr>
                <w:p w:rsidR="009C4FD4" w:rsidRPr="00734D39" w:rsidRDefault="009C4FD4" w:rsidP="00344DF1">
                  <w:pPr>
                    <w:pStyle w:val="BodyText"/>
                    <w:rPr>
                      <w:bCs/>
                    </w:rPr>
                  </w:pPr>
                  <w:r w:rsidRPr="00734D39">
                    <w:rPr>
                      <w:bCs/>
                    </w:rPr>
                    <w:t>Attorney Examiner:</w:t>
                  </w:r>
                </w:p>
                <w:p w:rsidR="009C4FD4" w:rsidRPr="00734D39" w:rsidRDefault="009C4FD4" w:rsidP="00344DF1">
                  <w:pPr>
                    <w:pStyle w:val="BodyText"/>
                    <w:rPr>
                      <w:bCs/>
                    </w:rPr>
                  </w:pPr>
                </w:p>
                <w:p w:rsidR="009C4FD4" w:rsidRPr="00734D39" w:rsidRDefault="004B337F" w:rsidP="00344DF1">
                  <w:pPr>
                    <w:pStyle w:val="BodyText"/>
                    <w:rPr>
                      <w:bCs/>
                    </w:rPr>
                  </w:pPr>
                  <w:hyperlink r:id="rId21" w:history="1">
                    <w:r w:rsidR="009C4FD4" w:rsidRPr="00734D39">
                      <w:rPr>
                        <w:rStyle w:val="Hyperlink"/>
                        <w:bCs/>
                      </w:rPr>
                      <w:t>Nicholas.walstra@puc.state.oh.us</w:t>
                    </w:r>
                  </w:hyperlink>
                </w:p>
                <w:p w:rsidR="009C4FD4" w:rsidRDefault="009C4FD4" w:rsidP="00344DF1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4390" w:type="dxa"/>
                </w:tcPr>
                <w:p w:rsidR="009C4FD4" w:rsidRDefault="009C4FD4" w:rsidP="00344DF1">
                  <w:pPr>
                    <w:pStyle w:val="BodyText"/>
                    <w:rPr>
                      <w:b/>
                      <w:bCs/>
                    </w:rPr>
                  </w:pPr>
                </w:p>
              </w:tc>
            </w:tr>
          </w:tbl>
          <w:p w:rsidR="00AE7D20" w:rsidRPr="00863093" w:rsidRDefault="00AE7D20" w:rsidP="00344DF1">
            <w:pPr>
              <w:pStyle w:val="BodyText"/>
              <w:rPr>
                <w:b/>
                <w:bCs/>
                <w:szCs w:val="24"/>
              </w:rPr>
            </w:pPr>
          </w:p>
        </w:tc>
        <w:tc>
          <w:tcPr>
            <w:tcW w:w="1933" w:type="dxa"/>
          </w:tcPr>
          <w:p w:rsidR="00AE7D20" w:rsidRPr="00863093" w:rsidRDefault="00AE7D20" w:rsidP="00344DF1">
            <w:pPr>
              <w:rPr>
                <w:b/>
                <w:bCs/>
                <w:szCs w:val="24"/>
              </w:rPr>
            </w:pPr>
          </w:p>
        </w:tc>
      </w:tr>
      <w:tr w:rsidR="00AE7D20" w:rsidTr="009C4FD4">
        <w:tc>
          <w:tcPr>
            <w:tcW w:w="6923" w:type="dxa"/>
          </w:tcPr>
          <w:p w:rsidR="00AE7D20" w:rsidRPr="00863093" w:rsidRDefault="00AE7D20" w:rsidP="00344DF1">
            <w:pPr>
              <w:pStyle w:val="BodyText"/>
              <w:rPr>
                <w:bCs/>
                <w:szCs w:val="24"/>
              </w:rPr>
            </w:pPr>
          </w:p>
        </w:tc>
        <w:tc>
          <w:tcPr>
            <w:tcW w:w="1933" w:type="dxa"/>
          </w:tcPr>
          <w:p w:rsidR="00AE7D20" w:rsidRPr="00863093" w:rsidRDefault="00AE7D20" w:rsidP="00344DF1">
            <w:pPr>
              <w:pStyle w:val="BodyText"/>
              <w:rPr>
                <w:bCs/>
                <w:szCs w:val="24"/>
              </w:rPr>
            </w:pPr>
          </w:p>
        </w:tc>
      </w:tr>
      <w:tr w:rsidR="00AE7D20" w:rsidTr="009C4FD4">
        <w:tc>
          <w:tcPr>
            <w:tcW w:w="6923" w:type="dxa"/>
          </w:tcPr>
          <w:p w:rsidR="00AE7D20" w:rsidRPr="00863093" w:rsidRDefault="00AE7D20" w:rsidP="00344D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33" w:type="dxa"/>
          </w:tcPr>
          <w:p w:rsidR="00AE7D20" w:rsidRPr="00863093" w:rsidRDefault="00AE7D20" w:rsidP="00344D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AE7D20" w:rsidTr="009C4FD4">
        <w:tc>
          <w:tcPr>
            <w:tcW w:w="6923" w:type="dxa"/>
          </w:tcPr>
          <w:p w:rsidR="00AE7D20" w:rsidRPr="00863093" w:rsidRDefault="00AE7D20" w:rsidP="00344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</w:tcPr>
          <w:p w:rsidR="00AE7D20" w:rsidRPr="00863093" w:rsidRDefault="00AE7D20" w:rsidP="00344D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AE7D20" w:rsidRPr="00710E80" w:rsidRDefault="00AE7D20" w:rsidP="00344DF1">
      <w:pPr>
        <w:pStyle w:val="BodyText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E243A4" w:rsidRPr="00710E80" w:rsidTr="00AA36F9">
        <w:tc>
          <w:tcPr>
            <w:tcW w:w="4428" w:type="dxa"/>
            <w:shd w:val="clear" w:color="auto" w:fill="auto"/>
          </w:tcPr>
          <w:p w:rsidR="00C11533" w:rsidRPr="00710E80" w:rsidRDefault="00C11533" w:rsidP="00344DF1">
            <w:pPr>
              <w:tabs>
                <w:tab w:val="left" w:pos="4320"/>
              </w:tabs>
            </w:pPr>
          </w:p>
          <w:p w:rsidR="00C11533" w:rsidRPr="00710E80" w:rsidRDefault="00C11533" w:rsidP="00344D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C2976" w:rsidRPr="00710E80" w:rsidRDefault="007C2976" w:rsidP="00344DF1">
      <w:pPr>
        <w:pStyle w:val="BodyText"/>
        <w:rPr>
          <w:b/>
          <w:bCs/>
        </w:rPr>
      </w:pPr>
    </w:p>
    <w:p w:rsidR="007C2976" w:rsidRPr="00710E80" w:rsidRDefault="007C2976" w:rsidP="00344DF1">
      <w:pPr>
        <w:pStyle w:val="BodyText"/>
        <w:ind w:firstLine="720"/>
      </w:pPr>
    </w:p>
    <w:sectPr w:rsidR="007C2976" w:rsidRPr="00710E80" w:rsidSect="00344DF1">
      <w:headerReference w:type="default" r:id="rId22"/>
      <w:footerReference w:type="default" r:id="rId23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40" w:rsidRDefault="00330040">
      <w:r>
        <w:separator/>
      </w:r>
    </w:p>
  </w:endnote>
  <w:endnote w:type="continuationSeparator" w:id="0">
    <w:p w:rsidR="00330040" w:rsidRDefault="003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E" w:rsidRDefault="006A6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9" w:rsidRPr="00F94C07" w:rsidRDefault="00712B59">
    <w:pPr>
      <w:pStyle w:val="Footer"/>
      <w:jc w:val="center"/>
    </w:pPr>
  </w:p>
  <w:p w:rsidR="00E42C4D" w:rsidRPr="00F94C07" w:rsidRDefault="00E42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E" w:rsidRDefault="006A6B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16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12B59" w:rsidRPr="00F94C07" w:rsidRDefault="00712B59">
        <w:pPr>
          <w:pStyle w:val="Footer"/>
          <w:jc w:val="center"/>
          <w:rPr>
            <w:sz w:val="24"/>
            <w:szCs w:val="24"/>
          </w:rPr>
        </w:pPr>
        <w:r w:rsidRPr="00F94C07">
          <w:rPr>
            <w:sz w:val="24"/>
            <w:szCs w:val="24"/>
          </w:rPr>
          <w:fldChar w:fldCharType="begin"/>
        </w:r>
        <w:r w:rsidRPr="00F94C07">
          <w:rPr>
            <w:sz w:val="24"/>
            <w:szCs w:val="24"/>
          </w:rPr>
          <w:instrText xml:space="preserve"> PAGE   \* MERGEFORMAT </w:instrText>
        </w:r>
        <w:r w:rsidRPr="00F94C07">
          <w:rPr>
            <w:sz w:val="24"/>
            <w:szCs w:val="24"/>
          </w:rPr>
          <w:fldChar w:fldCharType="separate"/>
        </w:r>
        <w:r w:rsidR="00F94C07" w:rsidRPr="00F94C07">
          <w:rPr>
            <w:noProof/>
            <w:sz w:val="24"/>
            <w:szCs w:val="24"/>
          </w:rPr>
          <w:t>4</w:t>
        </w:r>
        <w:r w:rsidRPr="00F94C07">
          <w:rPr>
            <w:noProof/>
            <w:sz w:val="24"/>
            <w:szCs w:val="24"/>
          </w:rPr>
          <w:fldChar w:fldCharType="end"/>
        </w:r>
      </w:p>
    </w:sdtContent>
  </w:sdt>
  <w:p w:rsidR="00712B59" w:rsidRPr="00F94C07" w:rsidRDefault="00712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40" w:rsidRDefault="00330040">
      <w:r>
        <w:separator/>
      </w:r>
    </w:p>
  </w:footnote>
  <w:footnote w:type="continuationSeparator" w:id="0">
    <w:p w:rsidR="00330040" w:rsidRDefault="00330040">
      <w:r>
        <w:continuationSeparator/>
      </w:r>
    </w:p>
  </w:footnote>
  <w:footnote w:id="1">
    <w:p w:rsidR="00724209" w:rsidRPr="00724209" w:rsidRDefault="00724209" w:rsidP="007242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Memorandum Contra Motion to Strike on Behalf of the Kroger Co., Case No. 16-1017-EL-WVR (June 13, 2016) (citing an examples where the PUCO explicitly relied on party comments in deciding the merits of a utility</w:t>
      </w:r>
      <w:r w:rsidR="00DD75C5">
        <w:t>'</w:t>
      </w:r>
      <w:r>
        <w:t>s application); Memorandum Contra Duke Energy Ohio, Inc.</w:t>
      </w:r>
      <w:r w:rsidR="00DD75C5">
        <w:t>'</w:t>
      </w:r>
      <w:r>
        <w:t>s Motion to Strike Comments of the Ohio Manufacturers</w:t>
      </w:r>
      <w:r w:rsidR="00DD75C5">
        <w:t>'</w:t>
      </w:r>
      <w:r>
        <w:t xml:space="preserve"> Association, Case No. 16-1017-EL-WVR (June 13, 2016) (same).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E" w:rsidRDefault="006A6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E" w:rsidRDefault="006A6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E" w:rsidRDefault="006A6B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9" w:rsidRDefault="00712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B1"/>
    <w:multiLevelType w:val="hybridMultilevel"/>
    <w:tmpl w:val="56BCD842"/>
    <w:lvl w:ilvl="0" w:tplc="3CF60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80D29"/>
    <w:multiLevelType w:val="hybridMultilevel"/>
    <w:tmpl w:val="5AE0B0C2"/>
    <w:lvl w:ilvl="0" w:tplc="8A78A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6738"/>
    <w:multiLevelType w:val="hybridMultilevel"/>
    <w:tmpl w:val="59C8D124"/>
    <w:lvl w:ilvl="0" w:tplc="3FE0C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25DCA"/>
    <w:multiLevelType w:val="hybridMultilevel"/>
    <w:tmpl w:val="9AC88196"/>
    <w:lvl w:ilvl="0" w:tplc="93B04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6"/>
    <w:rsid w:val="0001159C"/>
    <w:rsid w:val="00024994"/>
    <w:rsid w:val="00026EEC"/>
    <w:rsid w:val="00066FF0"/>
    <w:rsid w:val="00082F90"/>
    <w:rsid w:val="000A0880"/>
    <w:rsid w:val="000A48EF"/>
    <w:rsid w:val="000B3D97"/>
    <w:rsid w:val="001225A4"/>
    <w:rsid w:val="00123488"/>
    <w:rsid w:val="0012482B"/>
    <w:rsid w:val="00134BB0"/>
    <w:rsid w:val="001438B8"/>
    <w:rsid w:val="0017403B"/>
    <w:rsid w:val="0019088A"/>
    <w:rsid w:val="00195797"/>
    <w:rsid w:val="00196DFC"/>
    <w:rsid w:val="001A5489"/>
    <w:rsid w:val="001D2CE6"/>
    <w:rsid w:val="001D62AD"/>
    <w:rsid w:val="001D663B"/>
    <w:rsid w:val="001E490C"/>
    <w:rsid w:val="0020317B"/>
    <w:rsid w:val="00220105"/>
    <w:rsid w:val="00230CE6"/>
    <w:rsid w:val="002374C0"/>
    <w:rsid w:val="00241884"/>
    <w:rsid w:val="00266E6D"/>
    <w:rsid w:val="002729A5"/>
    <w:rsid w:val="00280E63"/>
    <w:rsid w:val="002D0BAE"/>
    <w:rsid w:val="002E3FAD"/>
    <w:rsid w:val="00304E4D"/>
    <w:rsid w:val="003175CC"/>
    <w:rsid w:val="00330040"/>
    <w:rsid w:val="0033340B"/>
    <w:rsid w:val="00344DF1"/>
    <w:rsid w:val="00371B6C"/>
    <w:rsid w:val="003748E8"/>
    <w:rsid w:val="00385370"/>
    <w:rsid w:val="00392417"/>
    <w:rsid w:val="00394064"/>
    <w:rsid w:val="003A3728"/>
    <w:rsid w:val="003A3927"/>
    <w:rsid w:val="003B11B8"/>
    <w:rsid w:val="003B20D3"/>
    <w:rsid w:val="003B23A4"/>
    <w:rsid w:val="003B5047"/>
    <w:rsid w:val="003B7F9C"/>
    <w:rsid w:val="003D1DC1"/>
    <w:rsid w:val="004004DF"/>
    <w:rsid w:val="00403843"/>
    <w:rsid w:val="00412009"/>
    <w:rsid w:val="004227EB"/>
    <w:rsid w:val="00444878"/>
    <w:rsid w:val="00457A36"/>
    <w:rsid w:val="00482806"/>
    <w:rsid w:val="00486295"/>
    <w:rsid w:val="00490901"/>
    <w:rsid w:val="0049491F"/>
    <w:rsid w:val="0049573F"/>
    <w:rsid w:val="004B47A1"/>
    <w:rsid w:val="004C1B7C"/>
    <w:rsid w:val="004C462F"/>
    <w:rsid w:val="004D0812"/>
    <w:rsid w:val="004D129E"/>
    <w:rsid w:val="004D303A"/>
    <w:rsid w:val="004F297B"/>
    <w:rsid w:val="004F2AA4"/>
    <w:rsid w:val="004F2BBB"/>
    <w:rsid w:val="00505EA8"/>
    <w:rsid w:val="0053126A"/>
    <w:rsid w:val="005313A0"/>
    <w:rsid w:val="00546244"/>
    <w:rsid w:val="00566087"/>
    <w:rsid w:val="005706D7"/>
    <w:rsid w:val="00594F47"/>
    <w:rsid w:val="005B329F"/>
    <w:rsid w:val="005C00C0"/>
    <w:rsid w:val="005C59B3"/>
    <w:rsid w:val="005D73EF"/>
    <w:rsid w:val="005E196E"/>
    <w:rsid w:val="005E3329"/>
    <w:rsid w:val="00647866"/>
    <w:rsid w:val="00666AB5"/>
    <w:rsid w:val="00683929"/>
    <w:rsid w:val="0068480B"/>
    <w:rsid w:val="006A6B8E"/>
    <w:rsid w:val="006B5977"/>
    <w:rsid w:val="006C19C3"/>
    <w:rsid w:val="006D18A6"/>
    <w:rsid w:val="006E2C5F"/>
    <w:rsid w:val="006E5E9F"/>
    <w:rsid w:val="00701EAF"/>
    <w:rsid w:val="00704D0E"/>
    <w:rsid w:val="00704DC3"/>
    <w:rsid w:val="00710E80"/>
    <w:rsid w:val="007126ED"/>
    <w:rsid w:val="00712B59"/>
    <w:rsid w:val="00722EED"/>
    <w:rsid w:val="00724209"/>
    <w:rsid w:val="00725532"/>
    <w:rsid w:val="0073574D"/>
    <w:rsid w:val="00752039"/>
    <w:rsid w:val="00755F78"/>
    <w:rsid w:val="007606D4"/>
    <w:rsid w:val="0076357A"/>
    <w:rsid w:val="007676CA"/>
    <w:rsid w:val="0078048A"/>
    <w:rsid w:val="007A2C07"/>
    <w:rsid w:val="007C2976"/>
    <w:rsid w:val="007C4C06"/>
    <w:rsid w:val="007C5C7C"/>
    <w:rsid w:val="007D0B97"/>
    <w:rsid w:val="00800009"/>
    <w:rsid w:val="008253B4"/>
    <w:rsid w:val="00837FEE"/>
    <w:rsid w:val="00843AB0"/>
    <w:rsid w:val="00863093"/>
    <w:rsid w:val="008940F7"/>
    <w:rsid w:val="00896208"/>
    <w:rsid w:val="008A2518"/>
    <w:rsid w:val="008A2D58"/>
    <w:rsid w:val="008A6DE3"/>
    <w:rsid w:val="008C5912"/>
    <w:rsid w:val="008F4D44"/>
    <w:rsid w:val="0091432F"/>
    <w:rsid w:val="0093418F"/>
    <w:rsid w:val="009436DB"/>
    <w:rsid w:val="0095352D"/>
    <w:rsid w:val="00974044"/>
    <w:rsid w:val="00974AC9"/>
    <w:rsid w:val="00983AB2"/>
    <w:rsid w:val="00990AE7"/>
    <w:rsid w:val="009A091F"/>
    <w:rsid w:val="009C4FD4"/>
    <w:rsid w:val="009D07C8"/>
    <w:rsid w:val="009F643A"/>
    <w:rsid w:val="00A07D30"/>
    <w:rsid w:val="00A25FE5"/>
    <w:rsid w:val="00A40DA9"/>
    <w:rsid w:val="00A518A7"/>
    <w:rsid w:val="00A538A1"/>
    <w:rsid w:val="00A56A91"/>
    <w:rsid w:val="00A57341"/>
    <w:rsid w:val="00A63355"/>
    <w:rsid w:val="00A63F3D"/>
    <w:rsid w:val="00A72E26"/>
    <w:rsid w:val="00A76FB7"/>
    <w:rsid w:val="00A8485C"/>
    <w:rsid w:val="00A96F30"/>
    <w:rsid w:val="00AA0536"/>
    <w:rsid w:val="00AA6EBE"/>
    <w:rsid w:val="00AB4E3C"/>
    <w:rsid w:val="00AC790F"/>
    <w:rsid w:val="00AE0D22"/>
    <w:rsid w:val="00AE421A"/>
    <w:rsid w:val="00AE7D20"/>
    <w:rsid w:val="00B0189B"/>
    <w:rsid w:val="00B10098"/>
    <w:rsid w:val="00B12892"/>
    <w:rsid w:val="00B13945"/>
    <w:rsid w:val="00B204D3"/>
    <w:rsid w:val="00B2508F"/>
    <w:rsid w:val="00B27046"/>
    <w:rsid w:val="00B474C1"/>
    <w:rsid w:val="00B764C8"/>
    <w:rsid w:val="00BA3551"/>
    <w:rsid w:val="00C05D8D"/>
    <w:rsid w:val="00C11533"/>
    <w:rsid w:val="00C12408"/>
    <w:rsid w:val="00C16CD2"/>
    <w:rsid w:val="00C27D5C"/>
    <w:rsid w:val="00C30244"/>
    <w:rsid w:val="00C31A75"/>
    <w:rsid w:val="00C340D0"/>
    <w:rsid w:val="00C7667E"/>
    <w:rsid w:val="00C82804"/>
    <w:rsid w:val="00CA183C"/>
    <w:rsid w:val="00CA1B5D"/>
    <w:rsid w:val="00CB40A0"/>
    <w:rsid w:val="00CE0972"/>
    <w:rsid w:val="00CF082D"/>
    <w:rsid w:val="00CF68BD"/>
    <w:rsid w:val="00D040F4"/>
    <w:rsid w:val="00D0554D"/>
    <w:rsid w:val="00D109CB"/>
    <w:rsid w:val="00D24367"/>
    <w:rsid w:val="00D37E21"/>
    <w:rsid w:val="00D50439"/>
    <w:rsid w:val="00D710A2"/>
    <w:rsid w:val="00D93B4C"/>
    <w:rsid w:val="00D97352"/>
    <w:rsid w:val="00DA25DE"/>
    <w:rsid w:val="00DA3817"/>
    <w:rsid w:val="00DA3B10"/>
    <w:rsid w:val="00DA3C78"/>
    <w:rsid w:val="00DC77AF"/>
    <w:rsid w:val="00DD0611"/>
    <w:rsid w:val="00DD1CB9"/>
    <w:rsid w:val="00DD20B2"/>
    <w:rsid w:val="00DD75C5"/>
    <w:rsid w:val="00DE7D8C"/>
    <w:rsid w:val="00DF3058"/>
    <w:rsid w:val="00E0423B"/>
    <w:rsid w:val="00E15494"/>
    <w:rsid w:val="00E243A4"/>
    <w:rsid w:val="00E42C4D"/>
    <w:rsid w:val="00E754F1"/>
    <w:rsid w:val="00E81242"/>
    <w:rsid w:val="00E82C2A"/>
    <w:rsid w:val="00E9125E"/>
    <w:rsid w:val="00E96689"/>
    <w:rsid w:val="00EF0F38"/>
    <w:rsid w:val="00EF3DB3"/>
    <w:rsid w:val="00F01A72"/>
    <w:rsid w:val="00F06C4D"/>
    <w:rsid w:val="00F60641"/>
    <w:rsid w:val="00F80B53"/>
    <w:rsid w:val="00F941D1"/>
    <w:rsid w:val="00F94C07"/>
    <w:rsid w:val="00FB24B6"/>
    <w:rsid w:val="00FB3452"/>
    <w:rsid w:val="00FC03F9"/>
    <w:rsid w:val="00FC69BC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76"/>
    <w:rPr>
      <w:sz w:val="24"/>
    </w:rPr>
  </w:style>
  <w:style w:type="paragraph" w:styleId="Heading1">
    <w:name w:val="heading 1"/>
    <w:basedOn w:val="Normal"/>
    <w:next w:val="Normal"/>
    <w:qFormat/>
    <w:rsid w:val="007C2976"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rsid w:val="007C2976"/>
    <w:pPr>
      <w:keepNext/>
      <w:tabs>
        <w:tab w:val="left" w:pos="432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C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7C2976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7C297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C2976"/>
    <w:pPr>
      <w:spacing w:before="120"/>
    </w:pPr>
    <w:rPr>
      <w:sz w:val="20"/>
    </w:rPr>
  </w:style>
  <w:style w:type="character" w:styleId="FootnoteReference">
    <w:name w:val="footnote reference"/>
    <w:semiHidden/>
    <w:rsid w:val="007C2976"/>
    <w:rPr>
      <w:vertAlign w:val="superscript"/>
    </w:rPr>
  </w:style>
  <w:style w:type="paragraph" w:styleId="BodyTextIndent">
    <w:name w:val="Body Text Indent"/>
    <w:basedOn w:val="Normal"/>
    <w:rsid w:val="007C2976"/>
    <w:pPr>
      <w:spacing w:line="480" w:lineRule="auto"/>
      <w:ind w:firstLine="720"/>
    </w:pPr>
  </w:style>
  <w:style w:type="paragraph" w:styleId="BodyTextIndent3">
    <w:name w:val="Body Text Indent 3"/>
    <w:basedOn w:val="Normal"/>
    <w:rsid w:val="007C2976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7C2976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  <w:rsid w:val="007C2976"/>
  </w:style>
  <w:style w:type="paragraph" w:styleId="BodyText">
    <w:name w:val="Body Text"/>
    <w:basedOn w:val="Normal"/>
    <w:link w:val="BodyTextChar"/>
    <w:rsid w:val="007C2976"/>
    <w:pPr>
      <w:jc w:val="both"/>
    </w:pPr>
  </w:style>
  <w:style w:type="paragraph" w:styleId="Header">
    <w:name w:val="header"/>
    <w:basedOn w:val="Normal"/>
    <w:rsid w:val="007C297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7C297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7C2976"/>
    <w:rPr>
      <w:szCs w:val="20"/>
    </w:rPr>
  </w:style>
  <w:style w:type="table" w:styleId="TableGrid">
    <w:name w:val="Table Grid"/>
    <w:basedOn w:val="TableNormal"/>
    <w:rsid w:val="007C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7C2976"/>
    <w:pPr>
      <w:suppressAutoHyphens/>
      <w:spacing w:line="480" w:lineRule="atLeast"/>
      <w:ind w:firstLine="720"/>
    </w:pPr>
    <w:rPr>
      <w:lang w:eastAsia="ar-SA"/>
    </w:rPr>
  </w:style>
  <w:style w:type="character" w:customStyle="1" w:styleId="FootnoteTextChar">
    <w:name w:val="Footnote Text Char"/>
    <w:link w:val="FootnoteText"/>
    <w:semiHidden/>
    <w:locked/>
    <w:rsid w:val="007C297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4B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7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317B"/>
    <w:rPr>
      <w:sz w:val="16"/>
      <w:szCs w:val="16"/>
    </w:rPr>
  </w:style>
  <w:style w:type="paragraph" w:styleId="Revision">
    <w:name w:val="Revision"/>
    <w:hidden/>
    <w:uiPriority w:val="99"/>
    <w:semiHidden/>
    <w:rsid w:val="0020317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5977"/>
  </w:style>
  <w:style w:type="character" w:styleId="FollowedHyperlink">
    <w:name w:val="FollowedHyperlink"/>
    <w:basedOn w:val="DefaultParagraphFont"/>
    <w:rsid w:val="00237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629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C4FD4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C4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76"/>
    <w:rPr>
      <w:sz w:val="24"/>
    </w:rPr>
  </w:style>
  <w:style w:type="paragraph" w:styleId="Heading1">
    <w:name w:val="heading 1"/>
    <w:basedOn w:val="Normal"/>
    <w:next w:val="Normal"/>
    <w:qFormat/>
    <w:rsid w:val="007C2976"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rsid w:val="007C2976"/>
    <w:pPr>
      <w:keepNext/>
      <w:tabs>
        <w:tab w:val="left" w:pos="432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C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7C2976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7C297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C2976"/>
    <w:pPr>
      <w:spacing w:before="120"/>
    </w:pPr>
    <w:rPr>
      <w:sz w:val="20"/>
    </w:rPr>
  </w:style>
  <w:style w:type="character" w:styleId="FootnoteReference">
    <w:name w:val="footnote reference"/>
    <w:semiHidden/>
    <w:rsid w:val="007C2976"/>
    <w:rPr>
      <w:vertAlign w:val="superscript"/>
    </w:rPr>
  </w:style>
  <w:style w:type="paragraph" w:styleId="BodyTextIndent">
    <w:name w:val="Body Text Indent"/>
    <w:basedOn w:val="Normal"/>
    <w:rsid w:val="007C2976"/>
    <w:pPr>
      <w:spacing w:line="480" w:lineRule="auto"/>
      <w:ind w:firstLine="720"/>
    </w:pPr>
  </w:style>
  <w:style w:type="paragraph" w:styleId="BodyTextIndent3">
    <w:name w:val="Body Text Indent 3"/>
    <w:basedOn w:val="Normal"/>
    <w:rsid w:val="007C2976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7C2976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  <w:rsid w:val="007C2976"/>
  </w:style>
  <w:style w:type="paragraph" w:styleId="BodyText">
    <w:name w:val="Body Text"/>
    <w:basedOn w:val="Normal"/>
    <w:link w:val="BodyTextChar"/>
    <w:rsid w:val="007C2976"/>
    <w:pPr>
      <w:jc w:val="both"/>
    </w:pPr>
  </w:style>
  <w:style w:type="paragraph" w:styleId="Header">
    <w:name w:val="header"/>
    <w:basedOn w:val="Normal"/>
    <w:rsid w:val="007C297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7C297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7C2976"/>
    <w:rPr>
      <w:szCs w:val="20"/>
    </w:rPr>
  </w:style>
  <w:style w:type="table" w:styleId="TableGrid">
    <w:name w:val="Table Grid"/>
    <w:basedOn w:val="TableNormal"/>
    <w:rsid w:val="007C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7C2976"/>
    <w:pPr>
      <w:suppressAutoHyphens/>
      <w:spacing w:line="480" w:lineRule="atLeast"/>
      <w:ind w:firstLine="720"/>
    </w:pPr>
    <w:rPr>
      <w:lang w:eastAsia="ar-SA"/>
    </w:rPr>
  </w:style>
  <w:style w:type="character" w:customStyle="1" w:styleId="FootnoteTextChar">
    <w:name w:val="Footnote Text Char"/>
    <w:link w:val="FootnoteText"/>
    <w:semiHidden/>
    <w:locked/>
    <w:rsid w:val="007C297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4B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7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317B"/>
    <w:rPr>
      <w:sz w:val="16"/>
      <w:szCs w:val="16"/>
    </w:rPr>
  </w:style>
  <w:style w:type="paragraph" w:styleId="Revision">
    <w:name w:val="Revision"/>
    <w:hidden/>
    <w:uiPriority w:val="99"/>
    <w:semiHidden/>
    <w:rsid w:val="0020317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5977"/>
  </w:style>
  <w:style w:type="character" w:styleId="FollowedHyperlink">
    <w:name w:val="FollowedHyperlink"/>
    <w:basedOn w:val="DefaultParagraphFont"/>
    <w:rsid w:val="00237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629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C4FD4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C4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ghiloni@carpenterlipp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icholas.walstra@puc.state.oh.u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bojko@carpenterlipp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rourke@carpenterlipps.com" TargetMode="External"/><Relationship Id="rId20" Type="http://schemas.openxmlformats.org/officeDocument/2006/relationships/hyperlink" Target="mailto:Elizabeth.watts@duke-energ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illiam.wright@ohioattorneygeneral.gov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Amy.spiller@duke-energy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ristopher.healey@occ.ohio.gov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3451</Characters>
  <Application>Microsoft Office Word</Application>
  <DocSecurity>0</DocSecurity>
  <PresentationFormat/>
  <Lines>125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4051</CharactersWithSpaces>
  <SharedDoc>false</SharedDoc>
  <HyperlinkBase> </HyperlinkBase>
  <HLinks>
    <vt:vector size="36" baseType="variant"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mailto:cdunn@firstenergycorp.com</vt:lpwstr>
      </vt:variant>
      <vt:variant>
        <vt:lpwstr/>
      </vt:variant>
      <vt:variant>
        <vt:i4>2293828</vt:i4>
      </vt:variant>
      <vt:variant>
        <vt:i4>12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131135</vt:i4>
      </vt:variant>
      <vt:variant>
        <vt:i4>9</vt:i4>
      </vt:variant>
      <vt:variant>
        <vt:i4>0</vt:i4>
      </vt:variant>
      <vt:variant>
        <vt:i4>5</vt:i4>
      </vt:variant>
      <vt:variant>
        <vt:lpwstr>mailto:christopher.healey@occ.ohio.gov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mailto:terry.etter@occ.ohio.gov</vt:lpwstr>
      </vt:variant>
      <vt:variant>
        <vt:lpwstr/>
      </vt:variant>
      <vt:variant>
        <vt:i4>131135</vt:i4>
      </vt:variant>
      <vt:variant>
        <vt:i4>3</vt:i4>
      </vt:variant>
      <vt:variant>
        <vt:i4>0</vt:i4>
      </vt:variant>
      <vt:variant>
        <vt:i4>5</vt:i4>
      </vt:variant>
      <vt:variant>
        <vt:lpwstr>mailto:christopher.healey@occ.ohio.gov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mailto:terry.etter@occ.ohio.gov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MC Duke Mot. Strike - 16-1017-EL-WVR - Final 6.29.16c  (00016589.DOCX;1)</dc:title>
  <dc:subject>00016589-1 /font=6</dc:subject>
  <dc:creator/>
  <cp:keywords> </cp:keywords>
  <dc:description> </dc:description>
  <cp:lastModifiedBy/>
  <cp:revision>1</cp:revision>
  <cp:lastPrinted>2016-03-31T15:50:00Z</cp:lastPrinted>
  <dcterms:created xsi:type="dcterms:W3CDTF">2016-06-29T19:14:00Z</dcterms:created>
  <dcterms:modified xsi:type="dcterms:W3CDTF">2016-06-29T19:14:00Z</dcterms:modified>
  <cp:category> </cp:category>
  <cp:contentStatus> </cp:contentStatus>
</cp:coreProperties>
</file>