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E9" w:rsidRDefault="00D756E9" w:rsidP="001A54B6">
      <w:pPr>
        <w:suppressLineNumbers/>
        <w:ind w:right="-36"/>
        <w:jc w:val="center"/>
        <w:rPr>
          <w:b/>
          <w:bCs/>
        </w:rPr>
      </w:pPr>
      <w:r>
        <w:rPr>
          <w:b/>
          <w:bCs/>
        </w:rPr>
        <w:t>BEFORE</w:t>
      </w:r>
    </w:p>
    <w:p w:rsidR="00D756E9" w:rsidRDefault="00D756E9" w:rsidP="00FA0D58">
      <w:pPr>
        <w:suppressLineNumbers/>
        <w:ind w:right="-36"/>
        <w:jc w:val="center"/>
        <w:rPr>
          <w:b/>
          <w:bCs/>
        </w:rPr>
      </w:pPr>
      <w:r>
        <w:rPr>
          <w:b/>
          <w:bCs/>
        </w:rPr>
        <w:t>THE PUBLIC UTILITIES COMMISSION OF OHIO</w:t>
      </w:r>
    </w:p>
    <w:p w:rsidR="00FA0D58" w:rsidRPr="00303EC3" w:rsidRDefault="00FA0D58" w:rsidP="00FA0D58">
      <w:pPr>
        <w:jc w:val="center"/>
      </w:pPr>
    </w:p>
    <w:p w:rsidR="00FA0D58" w:rsidRPr="00303EC3" w:rsidRDefault="00FA0D58" w:rsidP="00FA0D58"/>
    <w:p w:rsidR="00FA0D58" w:rsidRPr="00303EC3" w:rsidRDefault="00FA0D58" w:rsidP="00FA0D58">
      <w:pPr>
        <w:autoSpaceDE w:val="0"/>
        <w:autoSpaceDN w:val="0"/>
        <w:adjustRightInd w:val="0"/>
      </w:pPr>
      <w:r w:rsidRPr="00303EC3">
        <w:t>In the Matter of the Application of the</w:t>
      </w:r>
      <w:r w:rsidR="00967F40">
        <w:t xml:space="preserve"> Market</w:t>
      </w:r>
      <w:r w:rsidRPr="00303EC3">
        <w:tab/>
        <w:t>)</w:t>
      </w:r>
    </w:p>
    <w:p w:rsidR="00FA0D58" w:rsidRDefault="00967F40" w:rsidP="00FA0D58">
      <w:pPr>
        <w:autoSpaceDE w:val="0"/>
        <w:autoSpaceDN w:val="0"/>
        <w:adjustRightInd w:val="0"/>
      </w:pPr>
      <w:r>
        <w:t>Development Working Group and</w:t>
      </w:r>
      <w:r>
        <w:tab/>
      </w:r>
      <w:r>
        <w:tab/>
      </w:r>
      <w:r>
        <w:tab/>
        <w:t xml:space="preserve">) </w:t>
      </w:r>
      <w:r>
        <w:tab/>
        <w:t>Case No. 15-1</w:t>
      </w:r>
      <w:r w:rsidR="006B5A80">
        <w:t>5</w:t>
      </w:r>
      <w:r>
        <w:t>07-EL-EDI</w:t>
      </w:r>
    </w:p>
    <w:p w:rsidR="00967F40" w:rsidRPr="00303EC3" w:rsidRDefault="00967F40" w:rsidP="00FA0D58">
      <w:pPr>
        <w:autoSpaceDE w:val="0"/>
        <w:autoSpaceDN w:val="0"/>
        <w:adjustRightInd w:val="0"/>
      </w:pPr>
      <w:r>
        <w:t>AEP’s Purchase of Receivables Program</w:t>
      </w:r>
      <w:r>
        <w:tab/>
      </w:r>
      <w:r>
        <w:tab/>
        <w:t>)</w:t>
      </w:r>
    </w:p>
    <w:p w:rsidR="00FA0D58" w:rsidRDefault="00FA0D58"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Default="00D15BD1" w:rsidP="00FA0D58">
      <w:pPr>
        <w:autoSpaceDE w:val="0"/>
        <w:autoSpaceDN w:val="0"/>
        <w:adjustRightInd w:val="0"/>
      </w:pPr>
    </w:p>
    <w:p w:rsidR="00D15BD1" w:rsidRPr="00303EC3" w:rsidRDefault="00D15BD1" w:rsidP="00FA0D58">
      <w:pPr>
        <w:autoSpaceDE w:val="0"/>
        <w:autoSpaceDN w:val="0"/>
        <w:adjustRightInd w:val="0"/>
      </w:pPr>
    </w:p>
    <w:p w:rsidR="00D756E9" w:rsidRDefault="00D756E9" w:rsidP="001A54B6">
      <w:pPr>
        <w:suppressLineNumbers/>
        <w:ind w:right="-36"/>
        <w:jc w:val="center"/>
        <w:rPr>
          <w:b/>
          <w:bCs/>
        </w:rPr>
      </w:pPr>
    </w:p>
    <w:p w:rsidR="00D756E9" w:rsidRDefault="00D15BD1" w:rsidP="001A54B6">
      <w:pPr>
        <w:suppressLineNumbers/>
        <w:ind w:right="-36"/>
        <w:jc w:val="center"/>
        <w:rPr>
          <w:b/>
          <w:bCs/>
        </w:rPr>
      </w:pPr>
      <w:r>
        <w:rPr>
          <w:b/>
          <w:bCs/>
        </w:rPr>
        <w:t>THE INIT</w:t>
      </w:r>
      <w:r w:rsidR="00376BBD">
        <w:rPr>
          <w:b/>
          <w:bCs/>
        </w:rPr>
        <w:t>I</w:t>
      </w:r>
      <w:r>
        <w:rPr>
          <w:b/>
          <w:bCs/>
        </w:rPr>
        <w:t>AL COMMENTS</w:t>
      </w:r>
    </w:p>
    <w:p w:rsidR="00D756E9" w:rsidRDefault="00D756E9" w:rsidP="00FA0D58">
      <w:pPr>
        <w:suppressLineNumbers/>
        <w:ind w:right="-36"/>
        <w:jc w:val="center"/>
        <w:rPr>
          <w:b/>
          <w:bCs/>
          <w:u w:val="single"/>
        </w:rPr>
      </w:pPr>
      <w:r w:rsidRPr="00D756E9">
        <w:rPr>
          <w:b/>
          <w:bCs/>
          <w:u w:val="single"/>
        </w:rPr>
        <w:t xml:space="preserve">ON BEHALF OF </w:t>
      </w:r>
      <w:r w:rsidR="00967F40">
        <w:rPr>
          <w:b/>
          <w:bCs/>
          <w:u w:val="single"/>
        </w:rPr>
        <w:t>CALPINE</w:t>
      </w:r>
      <w:r w:rsidR="00FA0D58">
        <w:rPr>
          <w:b/>
          <w:bCs/>
          <w:u w:val="single"/>
        </w:rPr>
        <w:t xml:space="preserve"> ENERGY SOLUTIONS</w:t>
      </w:r>
      <w:r w:rsidR="00D65A03">
        <w:rPr>
          <w:b/>
          <w:bCs/>
          <w:u w:val="single"/>
        </w:rPr>
        <w:t>,</w:t>
      </w:r>
      <w:r w:rsidR="00FA0D58">
        <w:rPr>
          <w:b/>
          <w:bCs/>
          <w:u w:val="single"/>
        </w:rPr>
        <w:t xml:space="preserve"> L</w:t>
      </w:r>
      <w:r w:rsidR="00036290">
        <w:rPr>
          <w:b/>
          <w:bCs/>
          <w:u w:val="single"/>
        </w:rPr>
        <w:t>LC</w:t>
      </w:r>
    </w:p>
    <w:p w:rsidR="00FA0D58" w:rsidRDefault="00FA0D58" w:rsidP="00FA0D58">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u w:val="single"/>
        </w:rPr>
      </w:pPr>
    </w:p>
    <w:p w:rsidR="00D756E9" w:rsidRDefault="00D756E9" w:rsidP="001A54B6">
      <w:pPr>
        <w:suppressLineNumbers/>
        <w:ind w:right="-36"/>
        <w:jc w:val="center"/>
        <w:rPr>
          <w:b/>
          <w:bCs/>
        </w:rPr>
      </w:pPr>
      <w:r>
        <w:rPr>
          <w:b/>
          <w:bCs/>
        </w:rPr>
        <w:tab/>
      </w:r>
      <w:r>
        <w:rPr>
          <w:b/>
          <w:bCs/>
        </w:rPr>
        <w:tab/>
      </w:r>
      <w:r>
        <w:rPr>
          <w:b/>
          <w:bCs/>
        </w:rPr>
        <w:tab/>
      </w:r>
      <w:r w:rsidR="00967F40">
        <w:rPr>
          <w:b/>
          <w:bCs/>
        </w:rPr>
        <w:t>December 8</w:t>
      </w:r>
      <w:r>
        <w:rPr>
          <w:b/>
          <w:bCs/>
        </w:rPr>
        <w:t>, 2016</w:t>
      </w:r>
    </w:p>
    <w:p w:rsidR="00D756E9" w:rsidRDefault="00D756E9" w:rsidP="001A54B6">
      <w:pPr>
        <w:suppressLineNumbers/>
        <w:ind w:right="-36"/>
        <w:jc w:val="center"/>
        <w:rPr>
          <w:b/>
          <w:bCs/>
        </w:rPr>
      </w:pPr>
    </w:p>
    <w:p w:rsidR="00D756E9" w:rsidRDefault="00D756E9" w:rsidP="001A54B6">
      <w:pPr>
        <w:suppressLineNumbers/>
        <w:ind w:right="-36"/>
        <w:jc w:val="center"/>
        <w:rPr>
          <w:b/>
          <w:bCs/>
        </w:rPr>
      </w:pPr>
    </w:p>
    <w:p w:rsidR="00D756E9" w:rsidRDefault="00D756E9" w:rsidP="001A54B6">
      <w:pPr>
        <w:suppressLineNumbers/>
        <w:ind w:right="-36"/>
        <w:jc w:val="center"/>
        <w:rPr>
          <w:b/>
          <w:bCs/>
        </w:rPr>
      </w:pPr>
    </w:p>
    <w:p w:rsidR="00D756E9" w:rsidRPr="00D756E9" w:rsidRDefault="00D756E9" w:rsidP="001A54B6">
      <w:pPr>
        <w:suppressLineNumbers/>
        <w:ind w:right="-36"/>
        <w:jc w:val="center"/>
        <w:rPr>
          <w:b/>
          <w:bCs/>
        </w:rPr>
      </w:pPr>
    </w:p>
    <w:p w:rsidR="005C53B4" w:rsidRDefault="005C53B4" w:rsidP="001A54B6">
      <w:pPr>
        <w:suppressLineNumbers/>
        <w:jc w:val="center"/>
        <w:rPr>
          <w:u w:val="single"/>
        </w:rPr>
      </w:pPr>
    </w:p>
    <w:p w:rsidR="00D756E9" w:rsidRDefault="00D756E9" w:rsidP="001A54B6">
      <w:pPr>
        <w:suppressLineNumbers/>
        <w:jc w:val="center"/>
        <w:rPr>
          <w:u w:val="single"/>
        </w:rPr>
      </w:pPr>
    </w:p>
    <w:p w:rsidR="00D756E9" w:rsidRDefault="00FB1152" w:rsidP="001A54B6">
      <w:pPr>
        <w:suppressLineNumbers/>
        <w:ind w:left="2160" w:firstLine="720"/>
        <w:jc w:val="center"/>
      </w:pPr>
      <w:r w:rsidRPr="00FB1152">
        <w:tab/>
      </w:r>
    </w:p>
    <w:p w:rsidR="00FA0D58" w:rsidRDefault="00FA0D58" w:rsidP="001A54B6">
      <w:pPr>
        <w:suppressLineNumbers/>
        <w:ind w:left="2160" w:firstLine="720"/>
        <w:jc w:val="center"/>
      </w:pPr>
    </w:p>
    <w:p w:rsidR="00FA0D58" w:rsidRDefault="00FA0D58" w:rsidP="001A54B6">
      <w:pPr>
        <w:suppressLineNumbers/>
        <w:ind w:left="2160" w:firstLine="720"/>
        <w:jc w:val="center"/>
      </w:pPr>
    </w:p>
    <w:p w:rsidR="00FA0D58" w:rsidRPr="00FB1152" w:rsidRDefault="00FA0D58" w:rsidP="001A54B6">
      <w:pPr>
        <w:suppressLineNumbers/>
        <w:ind w:left="2160" w:firstLine="720"/>
        <w:jc w:val="center"/>
      </w:pPr>
    </w:p>
    <w:p w:rsidR="00D756E9" w:rsidRDefault="00D756E9" w:rsidP="001A54B6">
      <w:pPr>
        <w:suppressLineNumbers/>
        <w:jc w:val="center"/>
        <w:rPr>
          <w:u w:val="single"/>
        </w:rPr>
      </w:pPr>
    </w:p>
    <w:p w:rsidR="00D756E9" w:rsidRDefault="00D756E9" w:rsidP="001A54B6">
      <w:pPr>
        <w:suppressLineNumbers/>
        <w:jc w:val="center"/>
        <w:rPr>
          <w:u w:val="single"/>
        </w:rPr>
      </w:pPr>
    </w:p>
    <w:p w:rsidR="00D756E9" w:rsidRDefault="00D756E9" w:rsidP="001A54B6">
      <w:pPr>
        <w:suppressLineNumbers/>
        <w:jc w:val="center"/>
        <w:rPr>
          <w:u w:val="single"/>
        </w:rPr>
      </w:pPr>
    </w:p>
    <w:p w:rsidR="00D756E9" w:rsidRDefault="00D756E9" w:rsidP="001A54B6">
      <w:pPr>
        <w:suppressLineNumbers/>
        <w:jc w:val="center"/>
        <w:rPr>
          <w:u w:val="single"/>
        </w:rPr>
      </w:pPr>
    </w:p>
    <w:p w:rsidR="00C73459" w:rsidRDefault="00C73459" w:rsidP="00E7088F">
      <w:pPr>
        <w:spacing w:line="480" w:lineRule="auto"/>
        <w:ind w:firstLine="720"/>
        <w:jc w:val="both"/>
      </w:pPr>
    </w:p>
    <w:p w:rsidR="00C73459" w:rsidRPr="00C73459" w:rsidRDefault="00C73459" w:rsidP="00C73459">
      <w:pPr>
        <w:pStyle w:val="ListParagraph"/>
        <w:numPr>
          <w:ilvl w:val="0"/>
          <w:numId w:val="2"/>
        </w:numPr>
        <w:spacing w:line="480" w:lineRule="auto"/>
        <w:jc w:val="both"/>
        <w:rPr>
          <w:b/>
        </w:rPr>
      </w:pPr>
      <w:r>
        <w:rPr>
          <w:b/>
        </w:rPr>
        <w:lastRenderedPageBreak/>
        <w:t xml:space="preserve">Information Regarding </w:t>
      </w:r>
      <w:r w:rsidRPr="00C73459">
        <w:rPr>
          <w:b/>
        </w:rPr>
        <w:t>Calpine Energy Solutions, LLC</w:t>
      </w:r>
    </w:p>
    <w:p w:rsidR="00E7088F" w:rsidRDefault="00967F40" w:rsidP="00E7088F">
      <w:pPr>
        <w:spacing w:line="480" w:lineRule="auto"/>
        <w:ind w:firstLine="720"/>
        <w:jc w:val="both"/>
        <w:rPr>
          <w:color w:val="333333"/>
        </w:rPr>
      </w:pPr>
      <w:r w:rsidRPr="00E7088F">
        <w:t>On October 9</w:t>
      </w:r>
      <w:r w:rsidRPr="00E7088F">
        <w:rPr>
          <w:vertAlign w:val="superscript"/>
        </w:rPr>
        <w:t>th</w:t>
      </w:r>
      <w:r w:rsidRPr="00E7088F">
        <w:t xml:space="preserve"> of this year, Calpine Corporation, </w:t>
      </w:r>
      <w:r w:rsidRPr="00E7088F">
        <w:rPr>
          <w:color w:val="333333"/>
        </w:rPr>
        <w:t xml:space="preserve">America’s largest generator of electricity from natural gas and geothermal resources, announced that it had entered into an agreement to purchase </w:t>
      </w:r>
      <w:r w:rsidR="00E7088F">
        <w:rPr>
          <w:color w:val="333333"/>
        </w:rPr>
        <w:t>Noble Americas Energy Solutions LLC</w:t>
      </w:r>
      <w:r w:rsidRPr="00E7088F">
        <w:rPr>
          <w:color w:val="333333"/>
        </w:rPr>
        <w:t xml:space="preserve">. </w:t>
      </w:r>
      <w:r w:rsidR="00D15BD1" w:rsidRPr="00E7088F">
        <w:t>Noble Americas Energy Solutions LLC is</w:t>
      </w:r>
      <w:r w:rsidR="00D15BD1" w:rsidRPr="00E7088F">
        <w:rPr>
          <w:color w:val="333333"/>
        </w:rPr>
        <w:t xml:space="preserve"> the nation’s largest independent supplier of power to commercial and industrial retail customers</w:t>
      </w:r>
      <w:r w:rsidR="00D15BD1">
        <w:rPr>
          <w:color w:val="333333"/>
        </w:rPr>
        <w:t>.</w:t>
      </w:r>
      <w:r w:rsidR="00D15BD1" w:rsidRPr="00E7088F">
        <w:t xml:space="preserve"> </w:t>
      </w:r>
      <w:r w:rsidRPr="00E7088F">
        <w:rPr>
          <w:color w:val="333333"/>
        </w:rPr>
        <w:t xml:space="preserve"> Calpine Corporation and </w:t>
      </w:r>
      <w:r w:rsidR="00E7088F">
        <w:rPr>
          <w:color w:val="333333"/>
        </w:rPr>
        <w:t xml:space="preserve">the Noble Group of companies then </w:t>
      </w:r>
      <w:r w:rsidRPr="00E7088F">
        <w:rPr>
          <w:color w:val="333333"/>
        </w:rPr>
        <w:t xml:space="preserve">closed that transaction on </w:t>
      </w:r>
      <w:r w:rsidR="00E7088F">
        <w:rPr>
          <w:color w:val="333333"/>
        </w:rPr>
        <w:t>the 1</w:t>
      </w:r>
      <w:r w:rsidR="00E7088F" w:rsidRPr="00E7088F">
        <w:rPr>
          <w:color w:val="333333"/>
          <w:vertAlign w:val="superscript"/>
        </w:rPr>
        <w:t>st</w:t>
      </w:r>
      <w:r w:rsidR="00E7088F">
        <w:rPr>
          <w:color w:val="333333"/>
        </w:rPr>
        <w:t xml:space="preserve"> of December</w:t>
      </w:r>
      <w:r w:rsidR="00D65A03">
        <w:rPr>
          <w:color w:val="333333"/>
        </w:rPr>
        <w:t xml:space="preserve">, 2016  </w:t>
      </w:r>
      <w:r w:rsidR="00D65A03" w:rsidRPr="00E7088F">
        <w:rPr>
          <w:color w:val="333333"/>
        </w:rPr>
        <w:t xml:space="preserve">  </w:t>
      </w:r>
    </w:p>
    <w:p w:rsidR="00D15BD1" w:rsidRDefault="00967F40" w:rsidP="00D15BD1">
      <w:pPr>
        <w:spacing w:line="480" w:lineRule="auto"/>
        <w:ind w:firstLine="720"/>
        <w:jc w:val="both"/>
      </w:pPr>
      <w:r w:rsidRPr="00E7088F">
        <w:rPr>
          <w:color w:val="333333"/>
        </w:rPr>
        <w:t xml:space="preserve">Noble Americas Energy Solutions </w:t>
      </w:r>
      <w:r w:rsidR="00E7088F">
        <w:rPr>
          <w:color w:val="333333"/>
        </w:rPr>
        <w:t xml:space="preserve">will continue to conduct its business as </w:t>
      </w:r>
      <w:r w:rsidRPr="00E7088F">
        <w:rPr>
          <w:color w:val="333333"/>
        </w:rPr>
        <w:t>an independent operating unit within the Calpine family</w:t>
      </w:r>
      <w:r w:rsidR="00A46D81">
        <w:rPr>
          <w:color w:val="333333"/>
        </w:rPr>
        <w:t xml:space="preserve"> with a continued focus on </w:t>
      </w:r>
      <w:r w:rsidR="00973BAD">
        <w:rPr>
          <w:color w:val="333333"/>
        </w:rPr>
        <w:t>serving the electricity need</w:t>
      </w:r>
      <w:r w:rsidR="00B05849">
        <w:rPr>
          <w:color w:val="333333"/>
        </w:rPr>
        <w:t>s</w:t>
      </w:r>
      <w:r w:rsidR="00973BAD">
        <w:rPr>
          <w:color w:val="333333"/>
        </w:rPr>
        <w:t xml:space="preserve"> of commercial and industrial customers</w:t>
      </w:r>
      <w:r w:rsidRPr="00E7088F">
        <w:rPr>
          <w:color w:val="333333"/>
        </w:rPr>
        <w:t xml:space="preserve">. </w:t>
      </w:r>
      <w:r w:rsidR="00E7088F">
        <w:rPr>
          <w:color w:val="333333"/>
        </w:rPr>
        <w:t xml:space="preserve"> At the December 1, 2016 closing of Calpine’s purchase of Noble Americas Solutions, LLC, Noble Americas </w:t>
      </w:r>
      <w:r w:rsidRPr="00E7088F">
        <w:rPr>
          <w:color w:val="333333"/>
        </w:rPr>
        <w:t xml:space="preserve">immediately began </w:t>
      </w:r>
      <w:r w:rsidR="00E7088F">
        <w:rPr>
          <w:color w:val="333333"/>
        </w:rPr>
        <w:t xml:space="preserve">doing </w:t>
      </w:r>
      <w:r w:rsidRPr="00E7088F">
        <w:rPr>
          <w:color w:val="333333"/>
        </w:rPr>
        <w:t xml:space="preserve">business </w:t>
      </w:r>
      <w:r w:rsidR="00E7088F">
        <w:rPr>
          <w:color w:val="333333"/>
        </w:rPr>
        <w:t xml:space="preserve">using the name </w:t>
      </w:r>
      <w:r w:rsidRPr="00E7088F">
        <w:rPr>
          <w:color w:val="333333"/>
        </w:rPr>
        <w:t xml:space="preserve">Calpine </w:t>
      </w:r>
      <w:r w:rsidR="00E7088F">
        <w:rPr>
          <w:color w:val="333333"/>
        </w:rPr>
        <w:t>Energy Solutions</w:t>
      </w:r>
      <w:r w:rsidR="00D15BD1">
        <w:rPr>
          <w:color w:val="333333"/>
        </w:rPr>
        <w:t xml:space="preserve"> (</w:t>
      </w:r>
      <w:r w:rsidR="00D65A03">
        <w:rPr>
          <w:color w:val="333333"/>
        </w:rPr>
        <w:t>Calpine Solutions</w:t>
      </w:r>
      <w:r w:rsidR="00D15BD1">
        <w:rPr>
          <w:color w:val="333333"/>
        </w:rPr>
        <w:t>)</w:t>
      </w:r>
      <w:r w:rsidRPr="00E7088F">
        <w:rPr>
          <w:color w:val="333333"/>
        </w:rPr>
        <w:t xml:space="preserve">, and </w:t>
      </w:r>
      <w:r w:rsidR="00E7088F">
        <w:rPr>
          <w:color w:val="333333"/>
        </w:rPr>
        <w:t xml:space="preserve">has begun the </w:t>
      </w:r>
      <w:r w:rsidRPr="00E7088F">
        <w:rPr>
          <w:color w:val="333333"/>
        </w:rPr>
        <w:t xml:space="preserve">processes of </w:t>
      </w:r>
      <w:r w:rsidR="00E7088F">
        <w:rPr>
          <w:color w:val="333333"/>
        </w:rPr>
        <w:t xml:space="preserve">formally changing its name </w:t>
      </w:r>
      <w:r w:rsidRPr="00E7088F">
        <w:rPr>
          <w:color w:val="333333"/>
        </w:rPr>
        <w:t xml:space="preserve">to Calpine </w:t>
      </w:r>
      <w:r w:rsidR="00E7088F">
        <w:rPr>
          <w:color w:val="333333"/>
        </w:rPr>
        <w:t xml:space="preserve">Energy </w:t>
      </w:r>
      <w:r w:rsidRPr="00E7088F">
        <w:rPr>
          <w:color w:val="333333"/>
        </w:rPr>
        <w:t>Solutions, LLC</w:t>
      </w:r>
      <w:r w:rsidR="00E7088F">
        <w:rPr>
          <w:color w:val="333333"/>
        </w:rPr>
        <w:t xml:space="preserve"> everywhere it does business</w:t>
      </w:r>
      <w:r w:rsidRPr="00E7088F">
        <w:rPr>
          <w:color w:val="333333"/>
        </w:rPr>
        <w:t xml:space="preserve">.  </w:t>
      </w:r>
    </w:p>
    <w:p w:rsidR="00C73459" w:rsidRPr="00C73459" w:rsidRDefault="00C73459" w:rsidP="00C73459">
      <w:pPr>
        <w:pStyle w:val="ListParagraph"/>
        <w:numPr>
          <w:ilvl w:val="0"/>
          <w:numId w:val="2"/>
        </w:numPr>
        <w:spacing w:line="480" w:lineRule="auto"/>
        <w:jc w:val="both"/>
      </w:pPr>
      <w:r>
        <w:rPr>
          <w:b/>
        </w:rPr>
        <w:t>The Background To The Comments of Calpine Energy Solutions, LLC.</w:t>
      </w:r>
    </w:p>
    <w:p w:rsidR="00C73459" w:rsidRDefault="00C73459" w:rsidP="00C73459">
      <w:pPr>
        <w:spacing w:line="480" w:lineRule="auto"/>
        <w:ind w:firstLine="720"/>
        <w:jc w:val="both"/>
      </w:pPr>
      <w:r>
        <w:t>Calpine Solutions does not utilize a purchase of receivables (</w:t>
      </w:r>
      <w:proofErr w:type="spellStart"/>
      <w:r>
        <w:t>POR</w:t>
      </w:r>
      <w:proofErr w:type="spellEnd"/>
      <w:r>
        <w:t xml:space="preserve">) program, </w:t>
      </w:r>
      <w:r w:rsidR="00973BAD">
        <w:t xml:space="preserve">given that </w:t>
      </w:r>
      <w:r w:rsidR="000C435F">
        <w:t>c</w:t>
      </w:r>
      <w:r>
        <w:t xml:space="preserve">ommercial and </w:t>
      </w:r>
      <w:r w:rsidR="000C435F">
        <w:t>i</w:t>
      </w:r>
      <w:r>
        <w:t xml:space="preserve">ndustrial customers </w:t>
      </w:r>
      <w:r w:rsidR="00973BAD">
        <w:t xml:space="preserve">we </w:t>
      </w:r>
      <w:r>
        <w:t>serve prefer to use</w:t>
      </w:r>
      <w:r w:rsidR="00973BAD">
        <w:t>,</w:t>
      </w:r>
      <w:r>
        <w:t xml:space="preserve"> and are satisfied with existing “dual billing” in which Calpine Solutions bills for the electric power and ancillary services that it provides, and electric distribution utilities (EDUs) bill the same customer for the service </w:t>
      </w:r>
      <w:r w:rsidR="008C2195">
        <w:t xml:space="preserve">they </w:t>
      </w:r>
      <w:r>
        <w:t xml:space="preserve">provide.  Several mass market </w:t>
      </w:r>
      <w:proofErr w:type="spellStart"/>
      <w:r>
        <w:t>CRES</w:t>
      </w:r>
      <w:proofErr w:type="spellEnd"/>
      <w:r>
        <w:t xml:space="preserve"> providers favor </w:t>
      </w:r>
      <w:proofErr w:type="spellStart"/>
      <w:r>
        <w:t>POR</w:t>
      </w:r>
      <w:proofErr w:type="spellEnd"/>
      <w:r>
        <w:t xml:space="preserve"> programs</w:t>
      </w:r>
      <w:r w:rsidR="00656F1B">
        <w:t>,</w:t>
      </w:r>
      <w:r>
        <w:t xml:space="preserve"> in which </w:t>
      </w:r>
      <w:proofErr w:type="spellStart"/>
      <w:r>
        <w:t>EDUs</w:t>
      </w:r>
      <w:proofErr w:type="spellEnd"/>
      <w:r>
        <w:t xml:space="preserve"> will acquire the CRES receivables and issue a single bill to the joint customer</w:t>
      </w:r>
      <w:r w:rsidR="00656F1B">
        <w:t>,</w:t>
      </w:r>
      <w:r w:rsidR="004456DA">
        <w:t xml:space="preserve"> given </w:t>
      </w:r>
      <w:r w:rsidR="00882E99">
        <w:t xml:space="preserve">their </w:t>
      </w:r>
      <w:r w:rsidR="00D951F2">
        <w:t xml:space="preserve">adherence to a </w:t>
      </w:r>
      <w:r w:rsidR="005666AD">
        <w:t>“one size fits all” mass</w:t>
      </w:r>
      <w:r w:rsidR="008B4C9F">
        <w:t xml:space="preserve"> </w:t>
      </w:r>
      <w:r w:rsidR="005666AD">
        <w:t>market approach</w:t>
      </w:r>
      <w:r w:rsidR="004456DA">
        <w:t xml:space="preserve"> or due to their lack of the framework to generate customer invoices</w:t>
      </w:r>
      <w:r>
        <w:t xml:space="preserve">.  In Ohio, such providers have urged EDUs to adopt POR programs since at least the EDU’s second standard service offer (SSO) filings.  </w:t>
      </w:r>
    </w:p>
    <w:p w:rsidR="00E7088F" w:rsidRDefault="00E7088F" w:rsidP="00E7088F">
      <w:pPr>
        <w:spacing w:line="480" w:lineRule="auto"/>
        <w:ind w:firstLine="720"/>
        <w:jc w:val="both"/>
      </w:pPr>
      <w:r>
        <w:lastRenderedPageBreak/>
        <w:t>Ultimately, thi</w:t>
      </w:r>
      <w:r w:rsidR="00D76E2E">
        <w:t xml:space="preserve">s Commission encouraged the </w:t>
      </w:r>
      <w:proofErr w:type="spellStart"/>
      <w:r w:rsidR="00D76E2E">
        <w:t>EDUs</w:t>
      </w:r>
      <w:proofErr w:type="spellEnd"/>
      <w:r>
        <w:t xml:space="preserve">, including </w:t>
      </w:r>
      <w:r w:rsidR="002209B2">
        <w:t xml:space="preserve">the </w:t>
      </w:r>
      <w:r>
        <w:t>Ohio Power</w:t>
      </w:r>
      <w:r w:rsidR="002A7F58">
        <w:t xml:space="preserve"> Company (Ohio Power)</w:t>
      </w:r>
      <w:r>
        <w:t xml:space="preserve">, to propose some form of POR program in their </w:t>
      </w:r>
      <w:r w:rsidR="00D65A03">
        <w:t xml:space="preserve">respective companies’ </w:t>
      </w:r>
      <w:r>
        <w:t xml:space="preserve">third SSO filings.  Consistent with this Commission’s direction, Ohio Power proposed a </w:t>
      </w:r>
      <w:proofErr w:type="spellStart"/>
      <w:r>
        <w:t>POR</w:t>
      </w:r>
      <w:proofErr w:type="spellEnd"/>
      <w:r>
        <w:t xml:space="preserve"> program in its ESP 3 case (Case No. 13-2385).  In that case, the Commission approved the concept of a POR progr</w:t>
      </w:r>
      <w:r w:rsidR="00D76E2E">
        <w:t xml:space="preserve">am, and expressly found that </w:t>
      </w:r>
      <w:r>
        <w:t>acceptable POR program</w:t>
      </w:r>
      <w:r w:rsidR="00D76E2E">
        <w:t>s</w:t>
      </w:r>
      <w:r>
        <w:t xml:space="preserve"> </w:t>
      </w:r>
      <w:r w:rsidR="00D76E2E">
        <w:t xml:space="preserve">should </w:t>
      </w:r>
      <w:r>
        <w:t xml:space="preserve">at a minimum provide that: </w:t>
      </w:r>
    </w:p>
    <w:p w:rsidR="00E7088F" w:rsidRDefault="00E7088F" w:rsidP="00E7088F">
      <w:pPr>
        <w:spacing w:line="480" w:lineRule="auto"/>
        <w:ind w:left="720"/>
        <w:jc w:val="both"/>
      </w:pPr>
      <w:r>
        <w:t xml:space="preserve">1) </w:t>
      </w:r>
      <w:r w:rsidR="00725558">
        <w:t>Receivables</w:t>
      </w:r>
      <w:r>
        <w:t xml:space="preserve"> must be purchased at a single discount rate that applies to all CRES providers;</w:t>
      </w:r>
    </w:p>
    <w:p w:rsidR="00E7088F" w:rsidRDefault="00E7088F" w:rsidP="001A54B6">
      <w:pPr>
        <w:spacing w:line="480" w:lineRule="auto"/>
        <w:jc w:val="both"/>
      </w:pPr>
      <w:r>
        <w:t xml:space="preserve"> </w:t>
      </w:r>
      <w:r>
        <w:tab/>
        <w:t xml:space="preserve">(2) </w:t>
      </w:r>
      <w:r w:rsidR="00725558">
        <w:t>Only</w:t>
      </w:r>
      <w:r>
        <w:t xml:space="preserve"> commodity related-charges should be included in the POR program; and</w:t>
      </w:r>
    </w:p>
    <w:p w:rsidR="00E7088F" w:rsidRDefault="00E7088F" w:rsidP="00E7088F">
      <w:pPr>
        <w:spacing w:line="480" w:lineRule="auto"/>
        <w:ind w:firstLine="720"/>
        <w:jc w:val="both"/>
      </w:pPr>
      <w:r>
        <w:t xml:space="preserve">(3) </w:t>
      </w:r>
      <w:r w:rsidR="00725558">
        <w:t>Participation</w:t>
      </w:r>
      <w:r>
        <w:t xml:space="preserve"> in the POR program must not be mandatory. </w:t>
      </w:r>
    </w:p>
    <w:p w:rsidR="00E7088F" w:rsidRDefault="00E7088F" w:rsidP="00E7088F">
      <w:pPr>
        <w:spacing w:line="480" w:lineRule="auto"/>
        <w:jc w:val="both"/>
      </w:pPr>
      <w:r>
        <w:t>The Commission further directed that implementation details should be discussed and proposed by a working group composed of Ohio Power, interested stakeholders, and the Commission Staff.  This case was opened as a vehicle for the Commission to consider the working groups’ recommendations.  The Staff filed its report discussing the group’s recommendations for cost recovery and program design.</w:t>
      </w:r>
      <w:r w:rsidR="00836EF2">
        <w:t xml:space="preserve">  The Commission recently directed that a case management schedule be issued</w:t>
      </w:r>
      <w:r w:rsidR="00D15BD1">
        <w:t xml:space="preserve"> in this case, and invited interested parties to file comments.</w:t>
      </w:r>
    </w:p>
    <w:p w:rsidR="00C73459" w:rsidRPr="00C73459" w:rsidRDefault="00C73459" w:rsidP="00C73459">
      <w:pPr>
        <w:pStyle w:val="ListParagraph"/>
        <w:numPr>
          <w:ilvl w:val="0"/>
          <w:numId w:val="2"/>
        </w:numPr>
        <w:spacing w:line="480" w:lineRule="auto"/>
        <w:jc w:val="both"/>
        <w:rPr>
          <w:b/>
        </w:rPr>
      </w:pPr>
      <w:r w:rsidRPr="00C73459">
        <w:rPr>
          <w:b/>
        </w:rPr>
        <w:t>Calpine Energy Solutions, LLC’s Comments Regarding The POR Proposal.</w:t>
      </w:r>
    </w:p>
    <w:p w:rsidR="00E7088F" w:rsidRDefault="00E7088F" w:rsidP="00D15BD1">
      <w:pPr>
        <w:spacing w:line="480" w:lineRule="auto"/>
        <w:ind w:firstLine="720"/>
        <w:jc w:val="both"/>
      </w:pPr>
      <w:r>
        <w:t xml:space="preserve">Calpine Solutions </w:t>
      </w:r>
      <w:r w:rsidR="00D76E2E">
        <w:t xml:space="preserve">will </w:t>
      </w:r>
      <w:r>
        <w:t xml:space="preserve">not oppose </w:t>
      </w:r>
      <w:r w:rsidR="00D15BD1">
        <w:t xml:space="preserve">a </w:t>
      </w:r>
      <w:proofErr w:type="spellStart"/>
      <w:r w:rsidR="00D15BD1">
        <w:t>POR</w:t>
      </w:r>
      <w:proofErr w:type="spellEnd"/>
      <w:r w:rsidR="00D15BD1">
        <w:t xml:space="preserve"> program</w:t>
      </w:r>
      <w:r w:rsidR="00362F94">
        <w:t xml:space="preserve"> if it is </w:t>
      </w:r>
      <w:r w:rsidR="00B05849">
        <w:t>designed</w:t>
      </w:r>
      <w:r w:rsidR="00362F94">
        <w:t xml:space="preserve"> properly and its </w:t>
      </w:r>
      <w:r w:rsidR="00326624">
        <w:t xml:space="preserve">guiding principles are </w:t>
      </w:r>
      <w:r w:rsidR="00362F94">
        <w:t>recognized and observed</w:t>
      </w:r>
      <w:r w:rsidR="00D15BD1">
        <w:t xml:space="preserve">.  In Calpine Solutions’ view, a “properly designed” </w:t>
      </w:r>
      <w:proofErr w:type="spellStart"/>
      <w:r w:rsidR="00D15BD1">
        <w:t>POR</w:t>
      </w:r>
      <w:proofErr w:type="spellEnd"/>
      <w:r w:rsidR="00D15BD1">
        <w:t xml:space="preserve"> program</w:t>
      </w:r>
      <w:r>
        <w:t xml:space="preserve"> </w:t>
      </w:r>
      <w:r w:rsidR="00D15BD1">
        <w:t xml:space="preserve">is </w:t>
      </w:r>
      <w:r>
        <w:t xml:space="preserve">based upon the concept that </w:t>
      </w:r>
      <w:r w:rsidR="00E31F6C">
        <w:t xml:space="preserve">only </w:t>
      </w:r>
      <w:r w:rsidR="00362F94">
        <w:t xml:space="preserve">the </w:t>
      </w:r>
      <w:proofErr w:type="spellStart"/>
      <w:r w:rsidR="00E31F6C">
        <w:t>CRES</w:t>
      </w:r>
      <w:proofErr w:type="spellEnd"/>
      <w:r w:rsidR="00E31F6C">
        <w:t xml:space="preserve"> Suppliers that choose to use this option</w:t>
      </w:r>
      <w:r>
        <w:t xml:space="preserve"> bear</w:t>
      </w:r>
      <w:r w:rsidR="00836EF2">
        <w:t xml:space="preserve"> </w:t>
      </w:r>
      <w:r w:rsidR="00D76E2E">
        <w:t xml:space="preserve">all </w:t>
      </w:r>
      <w:r w:rsidR="00836EF2">
        <w:t>costs</w:t>
      </w:r>
      <w:r w:rsidR="00D76E2E">
        <w:t xml:space="preserve"> attributable to the POR program</w:t>
      </w:r>
      <w:r>
        <w:t xml:space="preserve">. </w:t>
      </w:r>
      <w:r w:rsidR="00503992">
        <w:t xml:space="preserve">Calpine Solutions </w:t>
      </w:r>
      <w:r w:rsidR="00503992">
        <w:rPr>
          <w:i/>
        </w:rPr>
        <w:t xml:space="preserve">will </w:t>
      </w:r>
      <w:r w:rsidR="00503992">
        <w:t xml:space="preserve">object to </w:t>
      </w:r>
      <w:r w:rsidR="00A049CE">
        <w:t xml:space="preserve">a </w:t>
      </w:r>
      <w:proofErr w:type="spellStart"/>
      <w:r w:rsidR="00503992">
        <w:t>POR</w:t>
      </w:r>
      <w:proofErr w:type="spellEnd"/>
      <w:r w:rsidR="00503992">
        <w:t xml:space="preserve"> program to </w:t>
      </w:r>
      <w:r w:rsidR="00836EF2">
        <w:t xml:space="preserve">the extent that </w:t>
      </w:r>
      <w:r w:rsidR="00503992">
        <w:t xml:space="preserve">the costs of the </w:t>
      </w:r>
      <w:proofErr w:type="spellStart"/>
      <w:r w:rsidR="00A664D5">
        <w:t>POR</w:t>
      </w:r>
      <w:proofErr w:type="spellEnd"/>
      <w:r w:rsidR="00A664D5">
        <w:t xml:space="preserve"> </w:t>
      </w:r>
      <w:r w:rsidR="00503992">
        <w:t xml:space="preserve">program are </w:t>
      </w:r>
      <w:r w:rsidR="00A15FB2">
        <w:t xml:space="preserve">to be borne by </w:t>
      </w:r>
      <w:r w:rsidR="00503992">
        <w:t xml:space="preserve">all </w:t>
      </w:r>
      <w:proofErr w:type="spellStart"/>
      <w:r w:rsidR="00503992">
        <w:t>CRES</w:t>
      </w:r>
      <w:proofErr w:type="spellEnd"/>
      <w:r w:rsidR="00503992">
        <w:t xml:space="preserve"> suppliers, even those who choose not to participate in the </w:t>
      </w:r>
      <w:proofErr w:type="spellStart"/>
      <w:r w:rsidR="006F12BD">
        <w:t>POR</w:t>
      </w:r>
      <w:proofErr w:type="spellEnd"/>
      <w:r w:rsidR="006F12BD">
        <w:t xml:space="preserve"> </w:t>
      </w:r>
      <w:r w:rsidR="00503992">
        <w:t>program</w:t>
      </w:r>
      <w:r w:rsidR="00836EF2">
        <w:t xml:space="preserve">.  </w:t>
      </w:r>
      <w:r w:rsidR="00B34354">
        <w:t xml:space="preserve">Calpine Energy Solutions makes the following additional comments regarding the proposed </w:t>
      </w:r>
      <w:proofErr w:type="spellStart"/>
      <w:r w:rsidR="00B34354">
        <w:t>POR</w:t>
      </w:r>
      <w:proofErr w:type="spellEnd"/>
      <w:r w:rsidR="00B34354">
        <w:t xml:space="preserve"> program</w:t>
      </w:r>
      <w:r w:rsidR="00E74978">
        <w:t>.</w:t>
      </w:r>
    </w:p>
    <w:p w:rsidR="00E7088F" w:rsidRDefault="00836EF2" w:rsidP="00FE2BCE">
      <w:pPr>
        <w:spacing w:line="480" w:lineRule="auto"/>
        <w:ind w:firstLine="720"/>
        <w:jc w:val="both"/>
      </w:pPr>
      <w:r>
        <w:lastRenderedPageBreak/>
        <w:t>First</w:t>
      </w:r>
      <w:r w:rsidR="00E7088F">
        <w:t xml:space="preserve">, Calpine Energy Solutions believes that </w:t>
      </w:r>
      <w:r w:rsidR="00A86F83">
        <w:t xml:space="preserve">customers </w:t>
      </w:r>
      <w:r w:rsidR="00E74978">
        <w:t xml:space="preserve">must have the right </w:t>
      </w:r>
      <w:r w:rsidR="00A86F83">
        <w:t xml:space="preserve">to choose between </w:t>
      </w:r>
      <w:r w:rsidR="005C6A6F">
        <w:t>dual billing</w:t>
      </w:r>
      <w:r w:rsidR="00A86F83">
        <w:t xml:space="preserve"> and </w:t>
      </w:r>
      <w:r w:rsidR="00BF3192">
        <w:t>consolidated billing</w:t>
      </w:r>
      <w:r w:rsidR="00E74978">
        <w:t xml:space="preserve">.  </w:t>
      </w:r>
      <w:r w:rsidR="003F793B">
        <w:t>Respecting t</w:t>
      </w:r>
      <w:r w:rsidR="00E74978">
        <w:t xml:space="preserve">his right </w:t>
      </w:r>
      <w:r w:rsidR="00566434">
        <w:t xml:space="preserve">aligns with </w:t>
      </w:r>
      <w:r w:rsidR="00E74978">
        <w:t>the State of Ohio’s policy of consumer choice in the electric market</w:t>
      </w:r>
      <w:r w:rsidR="00E7088F">
        <w:t xml:space="preserve">.  </w:t>
      </w:r>
      <w:proofErr w:type="spellStart"/>
      <w:r w:rsidR="00104DB8">
        <w:t>CRES</w:t>
      </w:r>
      <w:proofErr w:type="spellEnd"/>
      <w:r w:rsidR="00104DB8">
        <w:t xml:space="preserve"> suppliers must </w:t>
      </w:r>
      <w:r w:rsidR="00804444">
        <w:t xml:space="preserve">therefore </w:t>
      </w:r>
      <w:r w:rsidR="00104DB8">
        <w:t xml:space="preserve">have the </w:t>
      </w:r>
      <w:r w:rsidR="00D34F67">
        <w:t xml:space="preserve">corresponding </w:t>
      </w:r>
      <w:r w:rsidR="00104DB8">
        <w:t xml:space="preserve">right choose to participate in a </w:t>
      </w:r>
      <w:proofErr w:type="spellStart"/>
      <w:r w:rsidR="00104DB8">
        <w:t>POR</w:t>
      </w:r>
      <w:proofErr w:type="spellEnd"/>
      <w:r w:rsidR="00104DB8">
        <w:t xml:space="preserve"> program or </w:t>
      </w:r>
      <w:r w:rsidR="00D34F67">
        <w:t>to dual bill</w:t>
      </w:r>
      <w:r w:rsidR="00104DB8">
        <w:t xml:space="preserve">.  </w:t>
      </w:r>
      <w:r>
        <w:t xml:space="preserve">The proposal appears to preserve </w:t>
      </w:r>
      <w:r w:rsidR="00C21652">
        <w:t>these rights</w:t>
      </w:r>
      <w:r>
        <w:t>.</w:t>
      </w:r>
    </w:p>
    <w:p w:rsidR="00E7088F" w:rsidRDefault="00836EF2" w:rsidP="00D21994">
      <w:pPr>
        <w:spacing w:line="480" w:lineRule="auto"/>
        <w:ind w:firstLine="720"/>
        <w:jc w:val="both"/>
      </w:pPr>
      <w:r>
        <w:t>Second</w:t>
      </w:r>
      <w:r w:rsidR="00E7088F">
        <w:t xml:space="preserve">, Calpine Solutions agrees with the working group recommendations that a properly designed </w:t>
      </w:r>
      <w:proofErr w:type="spellStart"/>
      <w:r w:rsidR="00E7088F">
        <w:t>POR</w:t>
      </w:r>
      <w:proofErr w:type="spellEnd"/>
      <w:r w:rsidR="00E7088F">
        <w:t xml:space="preserve"> </w:t>
      </w:r>
      <w:r w:rsidR="00554FAD">
        <w:t xml:space="preserve">program </w:t>
      </w:r>
      <w:r w:rsidR="00E7088F">
        <w:t xml:space="preserve">will </w:t>
      </w:r>
      <w:r w:rsidR="00554FAD">
        <w:t xml:space="preserve">allocate </w:t>
      </w:r>
      <w:r w:rsidR="00E7088F">
        <w:t xml:space="preserve">implementation costs to </w:t>
      </w:r>
      <w:r>
        <w:t xml:space="preserve">the </w:t>
      </w:r>
      <w:r w:rsidR="00E7088F">
        <w:t xml:space="preserve">suppliers who </w:t>
      </w:r>
      <w:r>
        <w:t xml:space="preserve">make </w:t>
      </w:r>
      <w:r w:rsidR="00E7088F">
        <w:t xml:space="preserve">use </w:t>
      </w:r>
      <w:r>
        <w:t xml:space="preserve">of </w:t>
      </w:r>
      <w:r w:rsidR="00E7088F">
        <w:t>it.</w:t>
      </w:r>
      <w:r w:rsidR="00D21994">
        <w:t xml:space="preserve"> </w:t>
      </w:r>
      <w:r w:rsidR="00E7088F">
        <w:t>Calpine Solutions understands this recommendation to specifically mean, by implication, that those providers that do NOT make use of the POR program will incur no cost</w:t>
      </w:r>
      <w:r w:rsidR="00D76E2E">
        <w:t>s</w:t>
      </w:r>
      <w:r w:rsidR="00E7088F">
        <w:t xml:space="preserve"> related to </w:t>
      </w:r>
      <w:r w:rsidR="00D76E2E">
        <w:t>implementation of the POR program</w:t>
      </w:r>
      <w:r w:rsidR="00E31F6C">
        <w:t xml:space="preserve"> and those making use of the program are responsible for all costs associated with the program.</w:t>
      </w:r>
    </w:p>
    <w:p w:rsidR="008D4CD2" w:rsidRDefault="00836EF2" w:rsidP="00D21994">
      <w:pPr>
        <w:spacing w:line="480" w:lineRule="auto"/>
        <w:ind w:firstLine="720"/>
        <w:jc w:val="both"/>
      </w:pPr>
      <w:r>
        <w:t>Third</w:t>
      </w:r>
      <w:r w:rsidR="00E7088F">
        <w:t xml:space="preserve">, any </w:t>
      </w:r>
      <w:r w:rsidR="00554FAD">
        <w:t>co</w:t>
      </w:r>
      <w:r w:rsidR="00C95633">
        <w:t>s</w:t>
      </w:r>
      <w:r w:rsidR="00554FAD">
        <w:t xml:space="preserve">ts </w:t>
      </w:r>
      <w:r w:rsidR="00DC2D74">
        <w:t xml:space="preserve">and corresponding </w:t>
      </w:r>
      <w:r w:rsidR="00E7088F">
        <w:t xml:space="preserve">rates </w:t>
      </w:r>
      <w:r>
        <w:t xml:space="preserve">this Commission may approve </w:t>
      </w:r>
      <w:r w:rsidR="00E7088F">
        <w:t>should dir</w:t>
      </w:r>
      <w:r w:rsidR="00950CC2">
        <w:t>ectly reflect the uncollectible receivable</w:t>
      </w:r>
      <w:r w:rsidR="00E7088F">
        <w:t xml:space="preserve"> attributable to the customer class </w:t>
      </w:r>
      <w:r>
        <w:t xml:space="preserve">served by the particular </w:t>
      </w:r>
      <w:proofErr w:type="spellStart"/>
      <w:r w:rsidR="00E7088F">
        <w:t>POR</w:t>
      </w:r>
      <w:proofErr w:type="spellEnd"/>
      <w:r w:rsidR="00E7088F">
        <w:t xml:space="preserve"> program</w:t>
      </w:r>
      <w:r w:rsidR="00362F94">
        <w:t xml:space="preserve"> and apply to only those customers/suppliers who elect to utilize </w:t>
      </w:r>
      <w:proofErr w:type="spellStart"/>
      <w:r w:rsidR="00362F94">
        <w:t>POR</w:t>
      </w:r>
      <w:proofErr w:type="spellEnd"/>
      <w:r w:rsidR="00362F94">
        <w:t xml:space="preserve"> programs</w:t>
      </w:r>
      <w:r w:rsidR="00D21994">
        <w:t xml:space="preserve">.  </w:t>
      </w:r>
      <w:r w:rsidR="00E7088F">
        <w:t xml:space="preserve">Industrial customers should not, for example, subsidize </w:t>
      </w:r>
      <w:r w:rsidR="007535E9">
        <w:t xml:space="preserve">other classes of </w:t>
      </w:r>
      <w:r w:rsidR="00E7088F">
        <w:t xml:space="preserve">customers that will, presumably, have </w:t>
      </w:r>
      <w:r w:rsidR="007535E9">
        <w:t xml:space="preserve">different </w:t>
      </w:r>
      <w:r w:rsidR="00E7088F">
        <w:t xml:space="preserve">rates of default.  </w:t>
      </w:r>
      <w:r w:rsidR="007535E9">
        <w:t xml:space="preserve">Likewise, residential </w:t>
      </w:r>
      <w:r>
        <w:t xml:space="preserve">customers should not be made to subsidize industrial or commercial customers, </w:t>
      </w:r>
      <w:r w:rsidR="00950CC2">
        <w:t xml:space="preserve">whose defaults could conceivably </w:t>
      </w:r>
      <w:r>
        <w:t xml:space="preserve">be larger in absolute dollars.  </w:t>
      </w:r>
    </w:p>
    <w:p w:rsidR="008D4CD2" w:rsidRDefault="008D4CD2" w:rsidP="002A2B2A">
      <w:pPr>
        <w:spacing w:line="480" w:lineRule="auto"/>
        <w:ind w:firstLine="720"/>
        <w:jc w:val="both"/>
      </w:pPr>
      <w:r>
        <w:t>Calpine</w:t>
      </w:r>
      <w:r w:rsidR="00D76E2E">
        <w:t xml:space="preserve"> Solutions believe</w:t>
      </w:r>
      <w:r>
        <w:t>s</w:t>
      </w:r>
      <w:r w:rsidR="00D76E2E">
        <w:t xml:space="preserve"> Staff’s proposal to start with an industrial and commercial discount rate near </w:t>
      </w:r>
      <w:r w:rsidR="002A2B2A">
        <w:t xml:space="preserve">zero </w:t>
      </w:r>
      <w:r w:rsidR="00BB2E61">
        <w:t xml:space="preserve">is </w:t>
      </w:r>
      <w:r w:rsidR="00E31F6C">
        <w:t>inappropriate as it is unjust and unreasonable to assume that is it near zero.</w:t>
      </w:r>
      <w:r w:rsidR="00BB2E61">
        <w:t xml:space="preserve">  </w:t>
      </w:r>
      <w:r w:rsidR="002A2B2A">
        <w:t xml:space="preserve">Subsequently, this approach could likely shift the burden of large default costs to residential customers.  Moreover, </w:t>
      </w:r>
      <w:r w:rsidR="00BB2E61" w:rsidRPr="008D4CD2">
        <w:t xml:space="preserve">Calpine Solutions does not believe that the bad debt exposure for those serving commercial and industrial customers is zero, because it has to include into its </w:t>
      </w:r>
      <w:r>
        <w:lastRenderedPageBreak/>
        <w:t xml:space="preserve">own </w:t>
      </w:r>
      <w:r w:rsidR="00BB2E61" w:rsidRPr="008D4CD2">
        <w:t xml:space="preserve">competitively-provided products those receivables costs.  Calpine Solutions does not support a POR discount that does not reflect the uncollectible risk of the service that is being provided from those who employ, and thereby benefit from, that service.  </w:t>
      </w:r>
      <w:r>
        <w:t xml:space="preserve">   </w:t>
      </w:r>
    </w:p>
    <w:p w:rsidR="00E7088F" w:rsidRPr="00C73459" w:rsidRDefault="00836EF2" w:rsidP="005C6A6F">
      <w:pPr>
        <w:spacing w:line="480" w:lineRule="auto"/>
        <w:ind w:firstLine="720"/>
        <w:jc w:val="both"/>
      </w:pPr>
      <w:r>
        <w:t>Fourth</w:t>
      </w:r>
      <w:r w:rsidR="00E7088F">
        <w:t xml:space="preserve">, any </w:t>
      </w:r>
      <w:proofErr w:type="spellStart"/>
      <w:r w:rsidR="00D65A03">
        <w:t>BDR</w:t>
      </w:r>
      <w:proofErr w:type="spellEnd"/>
      <w:r w:rsidR="00E7088F">
        <w:t xml:space="preserve"> should be</w:t>
      </w:r>
      <w:r w:rsidR="008D4CD2">
        <w:t xml:space="preserve"> designed so that each customer</w:t>
      </w:r>
      <w:r w:rsidR="00872CC5">
        <w:t xml:space="preserve"> and </w:t>
      </w:r>
      <w:r w:rsidR="00E7088F">
        <w:t xml:space="preserve">class using the POR program bears its portion of </w:t>
      </w:r>
      <w:r>
        <w:t xml:space="preserve">the </w:t>
      </w:r>
      <w:r w:rsidR="00E7088F">
        <w:t>bad debt.  Again, CRES customers not participating in the POR program sh</w:t>
      </w:r>
      <w:r w:rsidR="008D4CD2">
        <w:t>ould not be made to pay the BDR</w:t>
      </w:r>
      <w:r w:rsidR="00E7088F">
        <w:t xml:space="preserve">, </w:t>
      </w:r>
      <w:r w:rsidR="001B42E5">
        <w:t>because</w:t>
      </w:r>
      <w:r w:rsidR="00E7088F">
        <w:t xml:space="preserve"> they are not contributing to that cost.</w:t>
      </w:r>
      <w:r w:rsidR="00E7088F" w:rsidRPr="00E7088F">
        <w:t xml:space="preserve"> </w:t>
      </w:r>
      <w:r w:rsidR="00E7088F">
        <w:t xml:space="preserve"> To the extent that Staff’s recommendation regarding the </w:t>
      </w:r>
      <w:proofErr w:type="spellStart"/>
      <w:r w:rsidR="00E7088F">
        <w:t>BDR</w:t>
      </w:r>
      <w:proofErr w:type="spellEnd"/>
      <w:r w:rsidR="00E7088F">
        <w:t xml:space="preserve"> as a “last resort” remedy available to Ohio Power is not explicit, Calpine urges the Commiss</w:t>
      </w:r>
      <w:r>
        <w:t>ion to Order that the BDR rider</w:t>
      </w:r>
      <w:r w:rsidR="00E7088F">
        <w:t xml:space="preserve"> be applied solely to those customers using the POR program, and even then only to the customer specific class that created the expense.</w:t>
      </w:r>
    </w:p>
    <w:p w:rsidR="00A92087" w:rsidRDefault="004F718E" w:rsidP="005C6A6F">
      <w:pPr>
        <w:spacing w:line="480" w:lineRule="auto"/>
        <w:ind w:firstLine="720"/>
        <w:jc w:val="both"/>
      </w:pPr>
      <w:r w:rsidRPr="00C73459">
        <w:t xml:space="preserve">Calpine Solutions </w:t>
      </w:r>
      <w:r w:rsidR="0071176F" w:rsidRPr="00C73459">
        <w:t xml:space="preserve">is aware that this Commission has previously stated that a POR program should involve commodity-related charges alone.  Still, Calpine Solutions understands </w:t>
      </w:r>
      <w:r w:rsidR="00950CC2" w:rsidRPr="00C73459">
        <w:t xml:space="preserve">that </w:t>
      </w:r>
      <w:r w:rsidR="0071176F" w:rsidRPr="00C73459">
        <w:t xml:space="preserve">many CRES providers </w:t>
      </w:r>
      <w:r w:rsidR="00A92087">
        <w:t xml:space="preserve">continue to ask for the addition of </w:t>
      </w:r>
      <w:r w:rsidR="0071176F" w:rsidRPr="00C73459">
        <w:t xml:space="preserve">on-bill financing activities in support of their </w:t>
      </w:r>
      <w:r w:rsidR="00872CC5" w:rsidRPr="00C73459">
        <w:t xml:space="preserve">own individual private business </w:t>
      </w:r>
      <w:r w:rsidR="0071176F" w:rsidRPr="00C73459">
        <w:t>marketing strateg</w:t>
      </w:r>
      <w:r w:rsidR="00872CC5" w:rsidRPr="00C73459">
        <w:t>ies</w:t>
      </w:r>
      <w:r w:rsidR="0071176F" w:rsidRPr="00C73459">
        <w:t xml:space="preserve">.  </w:t>
      </w:r>
    </w:p>
    <w:p w:rsidR="00160C27" w:rsidRDefault="0071176F" w:rsidP="00160C27">
      <w:pPr>
        <w:spacing w:line="480" w:lineRule="auto"/>
        <w:ind w:firstLine="720"/>
        <w:jc w:val="both"/>
      </w:pPr>
      <w:r w:rsidRPr="00C73459">
        <w:t xml:space="preserve">Calpine Solutions is </w:t>
      </w:r>
      <w:r w:rsidR="00872CC5" w:rsidRPr="00C73459">
        <w:t xml:space="preserve">concerned with individual </w:t>
      </w:r>
      <w:r w:rsidR="00A92087">
        <w:t xml:space="preserve">market </w:t>
      </w:r>
      <w:r w:rsidR="003B54F6">
        <w:t xml:space="preserve">channel </w:t>
      </w:r>
      <w:r w:rsidR="00A92087">
        <w:t xml:space="preserve">strategy subsidization.  </w:t>
      </w:r>
      <w:r w:rsidR="00950CC2" w:rsidRPr="00C73459">
        <w:t>Calpine believes the Commission</w:t>
      </w:r>
      <w:r w:rsidR="00A92087">
        <w:t xml:space="preserve"> was correct to approach such proposals with caution</w:t>
      </w:r>
      <w:r w:rsidR="00950CC2" w:rsidRPr="00C73459">
        <w:t xml:space="preserve">, and Calpine urges </w:t>
      </w:r>
      <w:r w:rsidRPr="00C73459">
        <w:t xml:space="preserve">the Commission </w:t>
      </w:r>
      <w:r w:rsidR="00950CC2" w:rsidRPr="00C73459">
        <w:t xml:space="preserve">to </w:t>
      </w:r>
      <w:r w:rsidRPr="00C73459">
        <w:t>thoroughly investigate the potential for increased scale and scope for non-payment amounts attributable to such a program</w:t>
      </w:r>
      <w:r w:rsidR="00950CC2" w:rsidRPr="00C73459">
        <w:t>, before it permits on-bill financing</w:t>
      </w:r>
      <w:r w:rsidR="00A92087">
        <w:t xml:space="preserve"> of</w:t>
      </w:r>
      <w:r w:rsidR="00950CC2" w:rsidRPr="00C73459">
        <w:t xml:space="preserve"> non-</w:t>
      </w:r>
      <w:r w:rsidR="00872CC5" w:rsidRPr="00C73459">
        <w:t>electricity commodity</w:t>
      </w:r>
      <w:r w:rsidR="00950CC2" w:rsidRPr="00C73459">
        <w:t xml:space="preserve"> items</w:t>
      </w:r>
      <w:r w:rsidRPr="00C73459">
        <w:t xml:space="preserve">. Calpine Solutions therefore </w:t>
      </w:r>
      <w:r w:rsidR="004F718E" w:rsidRPr="00C73459">
        <w:t xml:space="preserve">agrees with the </w:t>
      </w:r>
      <w:r w:rsidR="00950CC2" w:rsidRPr="00C73459">
        <w:t xml:space="preserve">Staff </w:t>
      </w:r>
      <w:r w:rsidR="000B0386">
        <w:t>position that on-</w:t>
      </w:r>
      <w:r w:rsidR="004F718E" w:rsidRPr="00C73459">
        <w:t>bill financing is beyond the scope of this proceeding</w:t>
      </w:r>
      <w:r w:rsidRPr="00C73459">
        <w:t>.</w:t>
      </w:r>
      <w:bookmarkStart w:id="0" w:name="_GoBack"/>
      <w:bookmarkEnd w:id="0"/>
    </w:p>
    <w:p w:rsidR="002C4E93" w:rsidRDefault="002C4E93" w:rsidP="00160C27">
      <w:pPr>
        <w:spacing w:line="480" w:lineRule="auto"/>
        <w:ind w:left="4320" w:firstLine="720"/>
        <w:jc w:val="both"/>
      </w:pPr>
    </w:p>
    <w:p w:rsidR="002C4E93" w:rsidRDefault="002C4E93" w:rsidP="00160C27">
      <w:pPr>
        <w:spacing w:line="480" w:lineRule="auto"/>
        <w:ind w:left="4320" w:firstLine="720"/>
        <w:jc w:val="both"/>
      </w:pPr>
    </w:p>
    <w:p w:rsidR="002C4E93" w:rsidRDefault="002C4E93" w:rsidP="00160C27">
      <w:pPr>
        <w:spacing w:line="480" w:lineRule="auto"/>
        <w:ind w:left="4320" w:firstLine="720"/>
        <w:jc w:val="both"/>
      </w:pPr>
    </w:p>
    <w:p w:rsidR="00160C27" w:rsidRPr="00303EC3" w:rsidRDefault="00160C27" w:rsidP="00160C27">
      <w:pPr>
        <w:spacing w:line="480" w:lineRule="auto"/>
        <w:ind w:left="4320" w:firstLine="720"/>
        <w:jc w:val="both"/>
      </w:pPr>
      <w:r w:rsidRPr="00303EC3">
        <w:lastRenderedPageBreak/>
        <w:t>Respectfully submitted,</w:t>
      </w:r>
    </w:p>
    <w:p w:rsidR="00160C27" w:rsidRPr="00303EC3" w:rsidRDefault="00160C27" w:rsidP="00160C27">
      <w:pPr>
        <w:tabs>
          <w:tab w:val="left" w:pos="720"/>
          <w:tab w:val="left" w:pos="4674"/>
          <w:tab w:val="left" w:pos="5580"/>
          <w:tab w:val="left" w:pos="6030"/>
          <w:tab w:val="left" w:pos="7200"/>
        </w:tabs>
        <w:jc w:val="both"/>
      </w:pPr>
    </w:p>
    <w:p w:rsidR="00160C27" w:rsidRPr="00303EC3" w:rsidRDefault="00160C27" w:rsidP="00160C27">
      <w:pPr>
        <w:ind w:left="4320" w:firstLine="720"/>
      </w:pPr>
      <w:r w:rsidRPr="00303EC3">
        <w:rPr>
          <w:u w:val="single"/>
        </w:rPr>
        <w:t>/s/ Michael D. Dortch</w:t>
      </w:r>
      <w:r w:rsidRPr="00303EC3">
        <w:rPr>
          <w:u w:val="single"/>
        </w:rPr>
        <w:tab/>
      </w:r>
      <w:r w:rsidRPr="00303EC3">
        <w:rPr>
          <w:u w:val="single"/>
        </w:rPr>
        <w:tab/>
      </w:r>
      <w:r w:rsidRPr="00303EC3">
        <w:rPr>
          <w:u w:val="single"/>
        </w:rPr>
        <w:tab/>
      </w:r>
      <w:r w:rsidRPr="00303EC3">
        <w:tab/>
      </w:r>
    </w:p>
    <w:p w:rsidR="00160C27" w:rsidRPr="00303EC3" w:rsidRDefault="00160C27" w:rsidP="00160C27">
      <w:r w:rsidRPr="00303EC3">
        <w:tab/>
      </w:r>
      <w:r w:rsidRPr="00303EC3">
        <w:tab/>
      </w:r>
      <w:r w:rsidRPr="00303EC3">
        <w:tab/>
      </w:r>
      <w:r w:rsidRPr="00303EC3">
        <w:tab/>
      </w:r>
      <w:r w:rsidRPr="00303EC3">
        <w:tab/>
      </w:r>
      <w:r w:rsidRPr="00303EC3">
        <w:tab/>
      </w:r>
      <w:r w:rsidRPr="00303EC3">
        <w:tab/>
        <w:t>Michael D. Dortch (0043897)</w:t>
      </w:r>
    </w:p>
    <w:p w:rsidR="00160C27" w:rsidRDefault="00160C27" w:rsidP="00160C27">
      <w:r w:rsidRPr="00303EC3">
        <w:tab/>
      </w:r>
      <w:r w:rsidRPr="00303EC3">
        <w:tab/>
      </w:r>
      <w:r w:rsidRPr="00303EC3">
        <w:tab/>
      </w:r>
      <w:r w:rsidRPr="00303EC3">
        <w:tab/>
      </w:r>
      <w:r w:rsidRPr="00303EC3">
        <w:tab/>
      </w:r>
      <w:r w:rsidRPr="00303EC3">
        <w:tab/>
      </w:r>
      <w:r w:rsidRPr="00303EC3">
        <w:tab/>
        <w:t>Richard R. Parsons (0082270)</w:t>
      </w:r>
    </w:p>
    <w:p w:rsidR="00160C27" w:rsidRPr="00303EC3" w:rsidRDefault="00160C27" w:rsidP="00160C27">
      <w:r>
        <w:tab/>
      </w:r>
      <w:r>
        <w:tab/>
      </w:r>
      <w:r>
        <w:tab/>
      </w:r>
      <w:r>
        <w:tab/>
      </w:r>
      <w:r>
        <w:tab/>
      </w:r>
      <w:r>
        <w:tab/>
      </w:r>
      <w:r>
        <w:tab/>
        <w:t>Justin M. Dortch (0090048)</w:t>
      </w:r>
    </w:p>
    <w:p w:rsidR="00160C27" w:rsidRPr="00303EC3" w:rsidRDefault="00160C27" w:rsidP="00160C27">
      <w:r w:rsidRPr="00303EC3">
        <w:tab/>
      </w:r>
      <w:r w:rsidRPr="00303EC3">
        <w:tab/>
      </w:r>
      <w:r w:rsidRPr="00303EC3">
        <w:tab/>
      </w:r>
      <w:r w:rsidRPr="00303EC3">
        <w:tab/>
      </w:r>
      <w:r w:rsidRPr="00303EC3">
        <w:tab/>
      </w:r>
      <w:r w:rsidRPr="00303EC3">
        <w:tab/>
      </w:r>
      <w:r w:rsidRPr="00303EC3">
        <w:tab/>
        <w:t>Kravitz, Brown &amp; Dortch, LLC</w:t>
      </w:r>
    </w:p>
    <w:p w:rsidR="00160C27" w:rsidRPr="00303EC3" w:rsidRDefault="00160C27" w:rsidP="00160C27">
      <w:pPr>
        <w:jc w:val="both"/>
      </w:pPr>
      <w:r w:rsidRPr="00303EC3">
        <w:tab/>
      </w:r>
      <w:r w:rsidRPr="00303EC3">
        <w:tab/>
      </w:r>
      <w:r w:rsidRPr="00303EC3">
        <w:tab/>
      </w:r>
      <w:r w:rsidRPr="00303EC3">
        <w:tab/>
      </w:r>
      <w:r w:rsidRPr="00303EC3">
        <w:tab/>
      </w:r>
      <w:r w:rsidRPr="00303EC3">
        <w:tab/>
      </w:r>
      <w:r w:rsidRPr="00303EC3">
        <w:tab/>
        <w:t>65 East State Street, Suite 200</w:t>
      </w:r>
    </w:p>
    <w:p w:rsidR="00160C27" w:rsidRPr="00303EC3" w:rsidRDefault="00160C27" w:rsidP="00160C27">
      <w:pPr>
        <w:jc w:val="both"/>
      </w:pPr>
      <w:r w:rsidRPr="00303EC3">
        <w:tab/>
      </w:r>
      <w:r w:rsidRPr="00303EC3">
        <w:tab/>
      </w:r>
      <w:r w:rsidRPr="00303EC3">
        <w:tab/>
      </w:r>
      <w:r w:rsidRPr="00303EC3">
        <w:tab/>
      </w:r>
      <w:r w:rsidRPr="00303EC3">
        <w:tab/>
      </w:r>
      <w:r w:rsidRPr="00303EC3">
        <w:tab/>
      </w:r>
      <w:r w:rsidRPr="00303EC3">
        <w:tab/>
        <w:t>Columbus, Ohio 43215</w:t>
      </w:r>
    </w:p>
    <w:p w:rsidR="00160C27" w:rsidRPr="00303EC3" w:rsidRDefault="00160C27" w:rsidP="00160C27">
      <w:pPr>
        <w:jc w:val="both"/>
      </w:pPr>
      <w:r w:rsidRPr="00303EC3">
        <w:tab/>
      </w:r>
      <w:r w:rsidRPr="00303EC3">
        <w:tab/>
      </w:r>
      <w:r w:rsidRPr="00303EC3">
        <w:tab/>
      </w:r>
      <w:r w:rsidRPr="00303EC3">
        <w:tab/>
      </w:r>
      <w:r w:rsidRPr="00303EC3">
        <w:tab/>
      </w:r>
      <w:r w:rsidRPr="00303EC3">
        <w:tab/>
      </w:r>
      <w:r w:rsidRPr="00303EC3">
        <w:tab/>
        <w:t>Tel:  (614) 464-2000</w:t>
      </w:r>
    </w:p>
    <w:p w:rsidR="00160C27" w:rsidRPr="00303EC3" w:rsidRDefault="00160C27" w:rsidP="00160C27">
      <w:pPr>
        <w:jc w:val="both"/>
      </w:pPr>
      <w:r w:rsidRPr="00303EC3">
        <w:tab/>
      </w:r>
      <w:r w:rsidRPr="00303EC3">
        <w:tab/>
      </w:r>
      <w:r w:rsidRPr="00303EC3">
        <w:tab/>
      </w:r>
      <w:r w:rsidRPr="00303EC3">
        <w:tab/>
      </w:r>
      <w:r w:rsidRPr="00303EC3">
        <w:tab/>
      </w:r>
      <w:r w:rsidRPr="00303EC3">
        <w:tab/>
      </w:r>
      <w:r w:rsidRPr="00303EC3">
        <w:tab/>
        <w:t>Fax:  (614) 464-2002</w:t>
      </w:r>
    </w:p>
    <w:p w:rsidR="00160C27" w:rsidRPr="00303EC3" w:rsidRDefault="00160C27" w:rsidP="00160C27">
      <w:pPr>
        <w:ind w:right="-1260"/>
        <w:jc w:val="both"/>
      </w:pPr>
      <w:r w:rsidRPr="00303EC3">
        <w:tab/>
      </w:r>
      <w:r w:rsidRPr="00303EC3">
        <w:tab/>
      </w:r>
      <w:r w:rsidRPr="00303EC3">
        <w:tab/>
      </w:r>
      <w:r w:rsidRPr="00303EC3">
        <w:tab/>
      </w:r>
      <w:r w:rsidRPr="00303EC3">
        <w:tab/>
      </w:r>
      <w:r w:rsidRPr="00303EC3">
        <w:tab/>
      </w:r>
      <w:r w:rsidRPr="00303EC3">
        <w:tab/>
        <w:t>E-mail:  mdortch@kravitzllc.com</w:t>
      </w:r>
    </w:p>
    <w:p w:rsidR="00160C27" w:rsidRPr="00303EC3" w:rsidRDefault="00160C27" w:rsidP="00160C27">
      <w:pPr>
        <w:ind w:left="4320" w:right="-1260" w:firstLine="720"/>
        <w:jc w:val="both"/>
      </w:pPr>
    </w:p>
    <w:p w:rsidR="00160C27" w:rsidRPr="00303EC3" w:rsidRDefault="00160C27" w:rsidP="00160C27">
      <w:pPr>
        <w:ind w:left="4320" w:right="-1260" w:firstLine="720"/>
        <w:jc w:val="both"/>
      </w:pPr>
      <w:r w:rsidRPr="00303EC3">
        <w:t xml:space="preserve">Attorneys for </w:t>
      </w:r>
    </w:p>
    <w:p w:rsidR="00160C27" w:rsidRPr="00303EC3" w:rsidRDefault="00160C27" w:rsidP="00160C27">
      <w:pPr>
        <w:ind w:left="4320" w:right="-1260" w:firstLine="720"/>
        <w:jc w:val="both"/>
      </w:pPr>
      <w:r>
        <w:t xml:space="preserve">CALPINE </w:t>
      </w:r>
      <w:r w:rsidRPr="00303EC3">
        <w:t>ENERGY SOLUTIONS</w:t>
      </w:r>
      <w:r>
        <w:t>, LLC</w:t>
      </w:r>
    </w:p>
    <w:p w:rsidR="002B2471" w:rsidRDefault="002B2471"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2C4E93" w:rsidRDefault="002C4E93" w:rsidP="00950CC2">
      <w:pPr>
        <w:spacing w:line="480" w:lineRule="auto"/>
        <w:ind w:firstLine="720"/>
      </w:pPr>
    </w:p>
    <w:p w:rsidR="00DE41A3" w:rsidRDefault="00DE41A3" w:rsidP="00DE41A3">
      <w:pPr>
        <w:jc w:val="center"/>
        <w:rPr>
          <w:b/>
          <w:u w:val="single"/>
        </w:rPr>
      </w:pPr>
      <w:r>
        <w:rPr>
          <w:b/>
          <w:u w:val="single"/>
        </w:rPr>
        <w:lastRenderedPageBreak/>
        <w:t>CERTIFICATE OF SERVICE</w:t>
      </w:r>
    </w:p>
    <w:p w:rsidR="00DE41A3" w:rsidRDefault="00DE41A3" w:rsidP="00DE41A3">
      <w:pPr>
        <w:jc w:val="center"/>
        <w:rPr>
          <w:b/>
          <w:u w:val="single"/>
        </w:rPr>
      </w:pPr>
    </w:p>
    <w:p w:rsidR="00DE41A3" w:rsidRDefault="00DE41A3" w:rsidP="005C6A6F">
      <w:pPr>
        <w:spacing w:line="480" w:lineRule="auto"/>
        <w:jc w:val="both"/>
      </w:pPr>
      <w:r>
        <w:tab/>
        <w:t xml:space="preserve">In accordance with Rule §4901-1-05 of the Ohio Administrative Code, the </w:t>
      </w:r>
      <w:proofErr w:type="spellStart"/>
      <w:r>
        <w:t>PUCO’s</w:t>
      </w:r>
      <w:proofErr w:type="spellEnd"/>
      <w:r>
        <w:t xml:space="preserve"> e-filing system will electronically service notice of this filing upon the following parties:</w:t>
      </w:r>
    </w:p>
    <w:p w:rsidR="00DE41A3" w:rsidRDefault="00DE41A3" w:rsidP="00DE41A3">
      <w:pPr>
        <w:spacing w:line="480" w:lineRule="auto"/>
      </w:pPr>
    </w:p>
    <w:p w:rsidR="00DE41A3" w:rsidRPr="00BC32B6" w:rsidRDefault="00DE41A3" w:rsidP="00DE41A3">
      <w:pPr>
        <w:rPr>
          <w:u w:val="single"/>
        </w:rPr>
      </w:pPr>
      <w:r>
        <w:tab/>
      </w:r>
      <w:r>
        <w:tab/>
      </w:r>
      <w:r>
        <w:tab/>
      </w:r>
      <w:r>
        <w:tab/>
      </w:r>
      <w:r>
        <w:tab/>
      </w:r>
      <w:r>
        <w:tab/>
      </w:r>
      <w:r>
        <w:tab/>
      </w:r>
      <w:r>
        <w:rPr>
          <w:u w:val="single"/>
        </w:rPr>
        <w:t>/s/ Michael D. Dortch</w:t>
      </w:r>
      <w:r>
        <w:rPr>
          <w:u w:val="single"/>
        </w:rPr>
        <w:tab/>
      </w:r>
      <w:r>
        <w:rPr>
          <w:u w:val="single"/>
        </w:rPr>
        <w:tab/>
      </w:r>
    </w:p>
    <w:p w:rsidR="00DE41A3" w:rsidRDefault="00DE41A3" w:rsidP="00DE41A3">
      <w:pPr>
        <w:spacing w:line="480" w:lineRule="auto"/>
      </w:pPr>
      <w:r>
        <w:tab/>
      </w:r>
      <w:r>
        <w:tab/>
      </w:r>
      <w:r>
        <w:tab/>
      </w:r>
      <w:r>
        <w:tab/>
      </w:r>
      <w:r>
        <w:tab/>
      </w:r>
      <w:r>
        <w:tab/>
      </w:r>
      <w:r>
        <w:tab/>
        <w:t>Michael D. Dortch</w:t>
      </w:r>
    </w:p>
    <w:p w:rsidR="00DE41A3" w:rsidRDefault="00DE41A3" w:rsidP="00DE41A3">
      <w:pPr>
        <w:spacing w:line="480" w:lineRule="auto"/>
        <w:jc w:val="center"/>
      </w:pPr>
    </w:p>
    <w:p w:rsidR="00DE41A3" w:rsidRDefault="00DE41A3" w:rsidP="00DE41A3">
      <w:pPr>
        <w:spacing w:line="480" w:lineRule="auto"/>
        <w:jc w:val="center"/>
        <w:rPr>
          <w:b/>
          <w:u w:val="single"/>
        </w:rPr>
      </w:pPr>
      <w:r>
        <w:rPr>
          <w:b/>
          <w:u w:val="single"/>
        </w:rPr>
        <w:t>SERVICE LIST</w:t>
      </w:r>
    </w:p>
    <w:p w:rsidR="00DE41A3" w:rsidRDefault="00DE41A3" w:rsidP="00DE41A3">
      <w:r>
        <w:t>William Wright</w:t>
      </w:r>
      <w:r>
        <w:tab/>
      </w:r>
      <w:r>
        <w:tab/>
      </w:r>
      <w:r>
        <w:tab/>
      </w:r>
      <w:r>
        <w:tab/>
      </w:r>
      <w:r>
        <w:tab/>
        <w:t>Market Development Group, Inc.</w:t>
      </w:r>
    </w:p>
    <w:p w:rsidR="00DE41A3" w:rsidRDefault="00DE41A3" w:rsidP="00DE41A3">
      <w:r>
        <w:t>Ohio Attorney General’s Office</w:t>
      </w:r>
      <w:r>
        <w:tab/>
      </w:r>
      <w:r>
        <w:tab/>
      </w:r>
      <w:r>
        <w:tab/>
        <w:t>1832 Connecticut Avenue, NW</w:t>
      </w:r>
    </w:p>
    <w:p w:rsidR="00DE41A3" w:rsidRDefault="00DE41A3" w:rsidP="00DE41A3">
      <w:r>
        <w:t>180 East Broad Street, 6</w:t>
      </w:r>
      <w:r w:rsidRPr="00080DE0">
        <w:rPr>
          <w:vertAlign w:val="superscript"/>
        </w:rPr>
        <w:t>th</w:t>
      </w:r>
      <w:r>
        <w:t xml:space="preserve"> Floor</w:t>
      </w:r>
      <w:r>
        <w:tab/>
      </w:r>
      <w:r>
        <w:tab/>
      </w:r>
      <w:r>
        <w:tab/>
        <w:t>Washington, DC 20009</w:t>
      </w:r>
    </w:p>
    <w:p w:rsidR="00DE41A3" w:rsidRDefault="00DE41A3" w:rsidP="00DE41A3">
      <w:r>
        <w:t>Columbus, Ohio 43215</w:t>
      </w:r>
    </w:p>
    <w:p w:rsidR="00DE41A3" w:rsidRDefault="0016106F" w:rsidP="00DE41A3">
      <w:hyperlink r:id="rId8" w:history="1">
        <w:r w:rsidR="00DE41A3" w:rsidRPr="00E16DC5">
          <w:rPr>
            <w:rStyle w:val="Hyperlink"/>
          </w:rPr>
          <w:t>William.Wright@puc.state.oh.us</w:t>
        </w:r>
      </w:hyperlink>
      <w:r w:rsidR="00DE41A3">
        <w:tab/>
      </w:r>
    </w:p>
    <w:p w:rsidR="00DE41A3" w:rsidRDefault="00DE41A3" w:rsidP="00DE41A3"/>
    <w:p w:rsidR="00DE41A3" w:rsidRDefault="00DE41A3" w:rsidP="00DE41A3">
      <w:r>
        <w:t xml:space="preserve">Terry L. </w:t>
      </w:r>
      <w:proofErr w:type="spellStart"/>
      <w:r>
        <w:t>Etter</w:t>
      </w:r>
      <w:proofErr w:type="spellEnd"/>
      <w:r>
        <w:tab/>
      </w:r>
      <w:r>
        <w:tab/>
      </w:r>
      <w:r>
        <w:tab/>
      </w:r>
      <w:r>
        <w:tab/>
      </w:r>
      <w:r>
        <w:tab/>
      </w:r>
      <w:r>
        <w:tab/>
        <w:t>Michael J. Settineri</w:t>
      </w:r>
    </w:p>
    <w:p w:rsidR="00DE41A3" w:rsidRDefault="00DE41A3" w:rsidP="00DE41A3">
      <w:r>
        <w:t>Kevin F. Moore</w:t>
      </w:r>
      <w:r>
        <w:tab/>
      </w:r>
      <w:r>
        <w:tab/>
      </w:r>
      <w:r>
        <w:tab/>
      </w:r>
      <w:r>
        <w:tab/>
      </w:r>
      <w:r>
        <w:tab/>
        <w:t>Gretchen L. Petrucci</w:t>
      </w:r>
    </w:p>
    <w:p w:rsidR="00DE41A3" w:rsidRDefault="00DE41A3" w:rsidP="00DE41A3">
      <w:r>
        <w:t>Office of the Ohio Consumers’ Counsel</w:t>
      </w:r>
      <w:r>
        <w:tab/>
      </w:r>
      <w:r>
        <w:tab/>
      </w:r>
      <w:proofErr w:type="spellStart"/>
      <w:r>
        <w:t>Vorys</w:t>
      </w:r>
      <w:proofErr w:type="spellEnd"/>
      <w:r>
        <w:t xml:space="preserve">, </w:t>
      </w:r>
      <w:proofErr w:type="spellStart"/>
      <w:r>
        <w:t>Sater</w:t>
      </w:r>
      <w:proofErr w:type="spellEnd"/>
      <w:r>
        <w:t xml:space="preserve">, </w:t>
      </w:r>
      <w:proofErr w:type="spellStart"/>
      <w:r>
        <w:t>Seymore</w:t>
      </w:r>
      <w:proofErr w:type="spellEnd"/>
      <w:r>
        <w:t xml:space="preserve"> and Pease LLP</w:t>
      </w:r>
    </w:p>
    <w:p w:rsidR="00DE41A3" w:rsidRDefault="00DE41A3" w:rsidP="00DE41A3">
      <w:r>
        <w:t>10 W. Broad Street, Suite 1800</w:t>
      </w:r>
      <w:r>
        <w:tab/>
      </w:r>
      <w:r>
        <w:tab/>
      </w:r>
      <w:r>
        <w:tab/>
        <w:t>52 East Gay Street</w:t>
      </w:r>
    </w:p>
    <w:p w:rsidR="00DE41A3" w:rsidRDefault="00DE41A3" w:rsidP="00DE41A3">
      <w:r>
        <w:t>Columbus, Ohio 43215</w:t>
      </w:r>
      <w:r>
        <w:tab/>
      </w:r>
      <w:r>
        <w:tab/>
      </w:r>
      <w:r>
        <w:tab/>
      </w:r>
      <w:r>
        <w:tab/>
        <w:t>Columbus, Ohio 43215</w:t>
      </w:r>
    </w:p>
    <w:p w:rsidR="00DE41A3" w:rsidRDefault="0016106F" w:rsidP="00DE41A3">
      <w:hyperlink r:id="rId9" w:history="1">
        <w:r w:rsidR="00DE41A3" w:rsidRPr="00E16DC5">
          <w:rPr>
            <w:rStyle w:val="Hyperlink"/>
          </w:rPr>
          <w:t>Terry.Etter@occ.ohio.gov</w:t>
        </w:r>
      </w:hyperlink>
      <w:r w:rsidR="00DE41A3">
        <w:tab/>
      </w:r>
      <w:r w:rsidR="00DE41A3">
        <w:tab/>
      </w:r>
      <w:r w:rsidR="00DE41A3">
        <w:tab/>
      </w:r>
      <w:r w:rsidR="00DE41A3">
        <w:tab/>
      </w:r>
      <w:hyperlink r:id="rId10" w:history="1">
        <w:r w:rsidR="00DE41A3" w:rsidRPr="00E16DC5">
          <w:rPr>
            <w:rStyle w:val="Hyperlink"/>
          </w:rPr>
          <w:t>mjsettineri@vorys.com</w:t>
        </w:r>
      </w:hyperlink>
    </w:p>
    <w:p w:rsidR="00DE41A3" w:rsidRPr="00080DE0" w:rsidRDefault="0016106F" w:rsidP="00DE41A3">
      <w:hyperlink r:id="rId11" w:history="1">
        <w:r w:rsidR="00DE41A3" w:rsidRPr="00E16DC5">
          <w:rPr>
            <w:rStyle w:val="Hyperlink"/>
          </w:rPr>
          <w:t>Kevin.Moore@occ.ohio.gov</w:t>
        </w:r>
      </w:hyperlink>
      <w:r w:rsidR="00DE41A3">
        <w:tab/>
      </w:r>
      <w:r w:rsidR="00DE41A3">
        <w:tab/>
      </w:r>
      <w:r w:rsidR="00DE41A3">
        <w:tab/>
      </w:r>
      <w:r w:rsidR="00DE41A3">
        <w:tab/>
      </w:r>
      <w:hyperlink r:id="rId12" w:history="1">
        <w:r w:rsidR="00DE41A3" w:rsidRPr="00E16DC5">
          <w:rPr>
            <w:rStyle w:val="Hyperlink"/>
          </w:rPr>
          <w:t>glpetrucci@vorys.com</w:t>
        </w:r>
      </w:hyperlink>
      <w:r w:rsidR="00DE41A3">
        <w:t xml:space="preserve"> </w:t>
      </w:r>
    </w:p>
    <w:p w:rsidR="002B2471" w:rsidRPr="00C73459" w:rsidRDefault="002B2471" w:rsidP="00950CC2">
      <w:pPr>
        <w:spacing w:line="480" w:lineRule="auto"/>
        <w:ind w:firstLine="720"/>
      </w:pPr>
    </w:p>
    <w:sectPr w:rsidR="002B2471" w:rsidRPr="00C73459" w:rsidSect="00D15BD1">
      <w:footerReference w:type="defaul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17F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53" w:rsidRDefault="008D5053" w:rsidP="00A8741C">
      <w:r>
        <w:separator/>
      </w:r>
    </w:p>
  </w:endnote>
  <w:endnote w:type="continuationSeparator" w:id="0">
    <w:p w:rsidR="008D5053" w:rsidRDefault="008D5053" w:rsidP="00A87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18969"/>
      <w:docPartObj>
        <w:docPartGallery w:val="Page Numbers (Bottom of Page)"/>
        <w:docPartUnique/>
      </w:docPartObj>
    </w:sdtPr>
    <w:sdtEndPr>
      <w:rPr>
        <w:noProof/>
      </w:rPr>
    </w:sdtEndPr>
    <w:sdtContent>
      <w:p w:rsidR="00A8741C" w:rsidRDefault="0016106F">
        <w:pPr>
          <w:pStyle w:val="Footer"/>
          <w:jc w:val="center"/>
        </w:pPr>
        <w:r>
          <w:fldChar w:fldCharType="begin"/>
        </w:r>
        <w:r w:rsidR="00A8741C">
          <w:instrText xml:space="preserve"> PAGE   \* MERGEFORMAT </w:instrText>
        </w:r>
        <w:r>
          <w:fldChar w:fldCharType="separate"/>
        </w:r>
        <w:r w:rsidR="006B5A80">
          <w:rPr>
            <w:noProof/>
          </w:rPr>
          <w:t>7</w:t>
        </w:r>
        <w:r>
          <w:rPr>
            <w:noProof/>
          </w:rPr>
          <w:fldChar w:fldCharType="end"/>
        </w:r>
      </w:p>
    </w:sdtContent>
  </w:sdt>
  <w:p w:rsidR="00A8741C" w:rsidRDefault="00A87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53" w:rsidRDefault="008D5053" w:rsidP="00A8741C">
      <w:r>
        <w:separator/>
      </w:r>
    </w:p>
  </w:footnote>
  <w:footnote w:type="continuationSeparator" w:id="0">
    <w:p w:rsidR="008D5053" w:rsidRDefault="008D5053" w:rsidP="00A87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706A"/>
    <w:multiLevelType w:val="hybridMultilevel"/>
    <w:tmpl w:val="A1F82614"/>
    <w:lvl w:ilvl="0" w:tplc="3F9802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435B9"/>
    <w:multiLevelType w:val="hybridMultilevel"/>
    <w:tmpl w:val="8D5EB7D8"/>
    <w:lvl w:ilvl="0" w:tplc="2BF24042">
      <w:start w:val="1"/>
      <w:numFmt w:val="upperLetter"/>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Boston">
    <w15:presenceInfo w15:providerId="AD" w15:userId="S-1-5-21-3681444469-3019094311-890857891-54277"/>
  </w15:person>
  <w15:person w15:author="Becky Merola">
    <w15:presenceInfo w15:providerId="AD" w15:userId="S-1-5-21-3681444469-3019094311-890857891-54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56E9"/>
    <w:rsid w:val="00035086"/>
    <w:rsid w:val="00036290"/>
    <w:rsid w:val="000507ED"/>
    <w:rsid w:val="00060064"/>
    <w:rsid w:val="000B0386"/>
    <w:rsid w:val="000B185B"/>
    <w:rsid w:val="000B6741"/>
    <w:rsid w:val="000C435F"/>
    <w:rsid w:val="000E25A9"/>
    <w:rsid w:val="00104DB8"/>
    <w:rsid w:val="0012166C"/>
    <w:rsid w:val="00122D8B"/>
    <w:rsid w:val="00146144"/>
    <w:rsid w:val="00155DD5"/>
    <w:rsid w:val="00160C27"/>
    <w:rsid w:val="0016106F"/>
    <w:rsid w:val="001728BF"/>
    <w:rsid w:val="00174073"/>
    <w:rsid w:val="0018075B"/>
    <w:rsid w:val="001830A9"/>
    <w:rsid w:val="001A54B6"/>
    <w:rsid w:val="001B42E5"/>
    <w:rsid w:val="001B76D3"/>
    <w:rsid w:val="001C032B"/>
    <w:rsid w:val="001C1E5A"/>
    <w:rsid w:val="00206D79"/>
    <w:rsid w:val="00215D7D"/>
    <w:rsid w:val="002177DF"/>
    <w:rsid w:val="002209B2"/>
    <w:rsid w:val="002500D2"/>
    <w:rsid w:val="00253CF8"/>
    <w:rsid w:val="002611AE"/>
    <w:rsid w:val="002A2B2A"/>
    <w:rsid w:val="002A5E77"/>
    <w:rsid w:val="002A7F58"/>
    <w:rsid w:val="002B2471"/>
    <w:rsid w:val="002B77DF"/>
    <w:rsid w:val="002C4E93"/>
    <w:rsid w:val="002D5A96"/>
    <w:rsid w:val="002E0084"/>
    <w:rsid w:val="002E414B"/>
    <w:rsid w:val="002F0579"/>
    <w:rsid w:val="00304031"/>
    <w:rsid w:val="0030522E"/>
    <w:rsid w:val="0030730B"/>
    <w:rsid w:val="00326624"/>
    <w:rsid w:val="003460B4"/>
    <w:rsid w:val="003462D8"/>
    <w:rsid w:val="00362F94"/>
    <w:rsid w:val="00376BBD"/>
    <w:rsid w:val="00391EFA"/>
    <w:rsid w:val="00396446"/>
    <w:rsid w:val="003A14AA"/>
    <w:rsid w:val="003A2511"/>
    <w:rsid w:val="003B1142"/>
    <w:rsid w:val="003B54F6"/>
    <w:rsid w:val="003D6CBC"/>
    <w:rsid w:val="003E4998"/>
    <w:rsid w:val="003F0E24"/>
    <w:rsid w:val="003F5146"/>
    <w:rsid w:val="003F69AE"/>
    <w:rsid w:val="003F793B"/>
    <w:rsid w:val="004008A7"/>
    <w:rsid w:val="00404D34"/>
    <w:rsid w:val="004052A2"/>
    <w:rsid w:val="00432DF5"/>
    <w:rsid w:val="004456DA"/>
    <w:rsid w:val="00452B8C"/>
    <w:rsid w:val="0047001C"/>
    <w:rsid w:val="004C3167"/>
    <w:rsid w:val="004F718E"/>
    <w:rsid w:val="00503992"/>
    <w:rsid w:val="005114C4"/>
    <w:rsid w:val="00535409"/>
    <w:rsid w:val="00540A05"/>
    <w:rsid w:val="00554FAD"/>
    <w:rsid w:val="00566434"/>
    <w:rsid w:val="005666AD"/>
    <w:rsid w:val="00597C45"/>
    <w:rsid w:val="005C0019"/>
    <w:rsid w:val="005C53B4"/>
    <w:rsid w:val="005C6A6F"/>
    <w:rsid w:val="005D1ED1"/>
    <w:rsid w:val="005F4608"/>
    <w:rsid w:val="005F79F1"/>
    <w:rsid w:val="00656F1B"/>
    <w:rsid w:val="00680E17"/>
    <w:rsid w:val="0068210A"/>
    <w:rsid w:val="006A44F0"/>
    <w:rsid w:val="006B5A80"/>
    <w:rsid w:val="006D70D8"/>
    <w:rsid w:val="006E0E24"/>
    <w:rsid w:val="006F12BD"/>
    <w:rsid w:val="007006A5"/>
    <w:rsid w:val="0071176F"/>
    <w:rsid w:val="00715DD2"/>
    <w:rsid w:val="00725558"/>
    <w:rsid w:val="00725BE3"/>
    <w:rsid w:val="007535E9"/>
    <w:rsid w:val="007728F2"/>
    <w:rsid w:val="00783842"/>
    <w:rsid w:val="007961AA"/>
    <w:rsid w:val="007A0FFA"/>
    <w:rsid w:val="007A6D8C"/>
    <w:rsid w:val="007B0A62"/>
    <w:rsid w:val="007B49A0"/>
    <w:rsid w:val="007C171B"/>
    <w:rsid w:val="007C38AE"/>
    <w:rsid w:val="007F62C4"/>
    <w:rsid w:val="00804444"/>
    <w:rsid w:val="0081680E"/>
    <w:rsid w:val="008234D7"/>
    <w:rsid w:val="00833385"/>
    <w:rsid w:val="00835E28"/>
    <w:rsid w:val="00836EF2"/>
    <w:rsid w:val="00851A60"/>
    <w:rsid w:val="00872CC5"/>
    <w:rsid w:val="008775AF"/>
    <w:rsid w:val="00882E99"/>
    <w:rsid w:val="008A01E3"/>
    <w:rsid w:val="008B4C9F"/>
    <w:rsid w:val="008C2195"/>
    <w:rsid w:val="008D4CD2"/>
    <w:rsid w:val="008D5053"/>
    <w:rsid w:val="008D5EC2"/>
    <w:rsid w:val="008E58E9"/>
    <w:rsid w:val="00900D2B"/>
    <w:rsid w:val="00912B5D"/>
    <w:rsid w:val="00936987"/>
    <w:rsid w:val="00950CC2"/>
    <w:rsid w:val="00952E97"/>
    <w:rsid w:val="00960809"/>
    <w:rsid w:val="00967F40"/>
    <w:rsid w:val="00973BAD"/>
    <w:rsid w:val="009E3BAD"/>
    <w:rsid w:val="009F4D70"/>
    <w:rsid w:val="00A049CE"/>
    <w:rsid w:val="00A10217"/>
    <w:rsid w:val="00A15FB2"/>
    <w:rsid w:val="00A165EC"/>
    <w:rsid w:val="00A31160"/>
    <w:rsid w:val="00A36DD3"/>
    <w:rsid w:val="00A46D81"/>
    <w:rsid w:val="00A52A15"/>
    <w:rsid w:val="00A57C56"/>
    <w:rsid w:val="00A664D5"/>
    <w:rsid w:val="00A80512"/>
    <w:rsid w:val="00A86F83"/>
    <w:rsid w:val="00A8741C"/>
    <w:rsid w:val="00A92087"/>
    <w:rsid w:val="00AA7BB3"/>
    <w:rsid w:val="00AD4F5D"/>
    <w:rsid w:val="00AE2719"/>
    <w:rsid w:val="00AE4C6A"/>
    <w:rsid w:val="00AE525C"/>
    <w:rsid w:val="00B05849"/>
    <w:rsid w:val="00B120DC"/>
    <w:rsid w:val="00B137E8"/>
    <w:rsid w:val="00B13DC2"/>
    <w:rsid w:val="00B141BC"/>
    <w:rsid w:val="00B34354"/>
    <w:rsid w:val="00B40587"/>
    <w:rsid w:val="00BB2E61"/>
    <w:rsid w:val="00BC23C6"/>
    <w:rsid w:val="00BC6424"/>
    <w:rsid w:val="00BD0BE8"/>
    <w:rsid w:val="00BE2CB3"/>
    <w:rsid w:val="00BE43BF"/>
    <w:rsid w:val="00BE7179"/>
    <w:rsid w:val="00BF3192"/>
    <w:rsid w:val="00BF7D14"/>
    <w:rsid w:val="00C10FF9"/>
    <w:rsid w:val="00C21652"/>
    <w:rsid w:val="00C279FD"/>
    <w:rsid w:val="00C5687E"/>
    <w:rsid w:val="00C62190"/>
    <w:rsid w:val="00C645E7"/>
    <w:rsid w:val="00C710FA"/>
    <w:rsid w:val="00C73459"/>
    <w:rsid w:val="00C73A49"/>
    <w:rsid w:val="00C92923"/>
    <w:rsid w:val="00C95633"/>
    <w:rsid w:val="00C96CB1"/>
    <w:rsid w:val="00CA473E"/>
    <w:rsid w:val="00CA4F41"/>
    <w:rsid w:val="00CB1341"/>
    <w:rsid w:val="00CC2F3E"/>
    <w:rsid w:val="00D02873"/>
    <w:rsid w:val="00D15996"/>
    <w:rsid w:val="00D15BD1"/>
    <w:rsid w:val="00D1781B"/>
    <w:rsid w:val="00D21994"/>
    <w:rsid w:val="00D21F24"/>
    <w:rsid w:val="00D302AA"/>
    <w:rsid w:val="00D34C9B"/>
    <w:rsid w:val="00D34F67"/>
    <w:rsid w:val="00D47DE9"/>
    <w:rsid w:val="00D6443B"/>
    <w:rsid w:val="00D65A03"/>
    <w:rsid w:val="00D67C58"/>
    <w:rsid w:val="00D7565A"/>
    <w:rsid w:val="00D756E9"/>
    <w:rsid w:val="00D76E2E"/>
    <w:rsid w:val="00D951F2"/>
    <w:rsid w:val="00D95697"/>
    <w:rsid w:val="00D968AA"/>
    <w:rsid w:val="00DA1C61"/>
    <w:rsid w:val="00DC0B76"/>
    <w:rsid w:val="00DC0FD2"/>
    <w:rsid w:val="00DC2D74"/>
    <w:rsid w:val="00DD05FA"/>
    <w:rsid w:val="00DE41A3"/>
    <w:rsid w:val="00E0276D"/>
    <w:rsid w:val="00E13600"/>
    <w:rsid w:val="00E13817"/>
    <w:rsid w:val="00E23A63"/>
    <w:rsid w:val="00E25AB4"/>
    <w:rsid w:val="00E31F6C"/>
    <w:rsid w:val="00E67DA8"/>
    <w:rsid w:val="00E7088F"/>
    <w:rsid w:val="00E74978"/>
    <w:rsid w:val="00EB301B"/>
    <w:rsid w:val="00EB7EC2"/>
    <w:rsid w:val="00EE10D5"/>
    <w:rsid w:val="00EE701E"/>
    <w:rsid w:val="00EF1EA5"/>
    <w:rsid w:val="00F02C58"/>
    <w:rsid w:val="00F043DD"/>
    <w:rsid w:val="00F07DF8"/>
    <w:rsid w:val="00F14B5F"/>
    <w:rsid w:val="00F47CFE"/>
    <w:rsid w:val="00F74058"/>
    <w:rsid w:val="00FA0D58"/>
    <w:rsid w:val="00FA1A41"/>
    <w:rsid w:val="00FA2E60"/>
    <w:rsid w:val="00FB1152"/>
    <w:rsid w:val="00FB5CF1"/>
    <w:rsid w:val="00FE2BCE"/>
    <w:rsid w:val="00FE38A7"/>
    <w:rsid w:val="00FE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756E9"/>
  </w:style>
  <w:style w:type="character" w:styleId="Hyperlink">
    <w:name w:val="Hyperlink"/>
    <w:basedOn w:val="DefaultParagraphFont"/>
    <w:uiPriority w:val="99"/>
    <w:semiHidden/>
    <w:unhideWhenUsed/>
    <w:rsid w:val="00060064"/>
    <w:rPr>
      <w:color w:val="0563C1"/>
      <w:u w:val="single"/>
    </w:rPr>
  </w:style>
  <w:style w:type="paragraph" w:styleId="BalloonText">
    <w:name w:val="Balloon Text"/>
    <w:basedOn w:val="Normal"/>
    <w:link w:val="BalloonTextChar"/>
    <w:uiPriority w:val="99"/>
    <w:semiHidden/>
    <w:unhideWhenUsed/>
    <w:rsid w:val="00215D7D"/>
    <w:rPr>
      <w:rFonts w:ascii="Tahoma" w:hAnsi="Tahoma" w:cs="Tahoma"/>
      <w:sz w:val="16"/>
      <w:szCs w:val="16"/>
    </w:rPr>
  </w:style>
  <w:style w:type="character" w:customStyle="1" w:styleId="BalloonTextChar">
    <w:name w:val="Balloon Text Char"/>
    <w:basedOn w:val="DefaultParagraphFont"/>
    <w:link w:val="BalloonText"/>
    <w:uiPriority w:val="99"/>
    <w:semiHidden/>
    <w:rsid w:val="00215D7D"/>
    <w:rPr>
      <w:rFonts w:ascii="Tahoma" w:eastAsia="Times New Roman" w:hAnsi="Tahoma" w:cs="Tahoma"/>
      <w:sz w:val="16"/>
      <w:szCs w:val="16"/>
    </w:rPr>
  </w:style>
  <w:style w:type="paragraph" w:styleId="Header">
    <w:name w:val="header"/>
    <w:basedOn w:val="Normal"/>
    <w:link w:val="HeaderChar"/>
    <w:uiPriority w:val="99"/>
    <w:unhideWhenUsed/>
    <w:rsid w:val="00A8741C"/>
    <w:pPr>
      <w:tabs>
        <w:tab w:val="center" w:pos="4680"/>
        <w:tab w:val="right" w:pos="9360"/>
      </w:tabs>
    </w:pPr>
  </w:style>
  <w:style w:type="character" w:customStyle="1" w:styleId="HeaderChar">
    <w:name w:val="Header Char"/>
    <w:basedOn w:val="DefaultParagraphFont"/>
    <w:link w:val="Header"/>
    <w:uiPriority w:val="99"/>
    <w:rsid w:val="00A8741C"/>
    <w:rPr>
      <w:rFonts w:ascii="Times New Roman" w:eastAsia="Times New Roman" w:hAnsi="Times New Roman"/>
      <w:sz w:val="24"/>
      <w:szCs w:val="24"/>
    </w:rPr>
  </w:style>
  <w:style w:type="paragraph" w:styleId="Footer">
    <w:name w:val="footer"/>
    <w:basedOn w:val="Normal"/>
    <w:link w:val="FooterChar"/>
    <w:uiPriority w:val="99"/>
    <w:unhideWhenUsed/>
    <w:rsid w:val="00A8741C"/>
    <w:pPr>
      <w:tabs>
        <w:tab w:val="center" w:pos="4680"/>
        <w:tab w:val="right" w:pos="9360"/>
      </w:tabs>
    </w:pPr>
  </w:style>
  <w:style w:type="character" w:customStyle="1" w:styleId="FooterChar">
    <w:name w:val="Footer Char"/>
    <w:basedOn w:val="DefaultParagraphFont"/>
    <w:link w:val="Footer"/>
    <w:uiPriority w:val="99"/>
    <w:rsid w:val="00A8741C"/>
    <w:rPr>
      <w:rFonts w:ascii="Times New Roman" w:eastAsia="Times New Roman" w:hAnsi="Times New Roman"/>
      <w:sz w:val="24"/>
      <w:szCs w:val="24"/>
    </w:rPr>
  </w:style>
  <w:style w:type="character" w:customStyle="1" w:styleId="apple-converted-space">
    <w:name w:val="apple-converted-space"/>
    <w:basedOn w:val="DefaultParagraphFont"/>
    <w:rsid w:val="00967F40"/>
  </w:style>
  <w:style w:type="paragraph" w:styleId="ListParagraph">
    <w:name w:val="List Paragraph"/>
    <w:basedOn w:val="Normal"/>
    <w:uiPriority w:val="34"/>
    <w:qFormat/>
    <w:rsid w:val="0071176F"/>
    <w:pPr>
      <w:ind w:left="720"/>
      <w:contextualSpacing/>
    </w:pPr>
  </w:style>
  <w:style w:type="character" w:styleId="CommentReference">
    <w:name w:val="annotation reference"/>
    <w:basedOn w:val="DefaultParagraphFont"/>
    <w:uiPriority w:val="99"/>
    <w:semiHidden/>
    <w:unhideWhenUsed/>
    <w:rsid w:val="00D65A03"/>
    <w:rPr>
      <w:sz w:val="16"/>
      <w:szCs w:val="16"/>
    </w:rPr>
  </w:style>
  <w:style w:type="paragraph" w:styleId="CommentText">
    <w:name w:val="annotation text"/>
    <w:basedOn w:val="Normal"/>
    <w:link w:val="CommentTextChar"/>
    <w:uiPriority w:val="99"/>
    <w:semiHidden/>
    <w:unhideWhenUsed/>
    <w:rsid w:val="00D65A03"/>
    <w:rPr>
      <w:sz w:val="20"/>
      <w:szCs w:val="20"/>
    </w:rPr>
  </w:style>
  <w:style w:type="character" w:customStyle="1" w:styleId="CommentTextChar">
    <w:name w:val="Comment Text Char"/>
    <w:basedOn w:val="DefaultParagraphFont"/>
    <w:link w:val="CommentText"/>
    <w:uiPriority w:val="99"/>
    <w:semiHidden/>
    <w:rsid w:val="00D65A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5A03"/>
    <w:rPr>
      <w:b/>
      <w:bCs/>
    </w:rPr>
  </w:style>
  <w:style w:type="character" w:customStyle="1" w:styleId="CommentSubjectChar">
    <w:name w:val="Comment Subject Char"/>
    <w:basedOn w:val="CommentTextChar"/>
    <w:link w:val="CommentSubject"/>
    <w:uiPriority w:val="99"/>
    <w:semiHidden/>
    <w:rsid w:val="00D65A0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756E9"/>
  </w:style>
  <w:style w:type="character" w:styleId="Hyperlink">
    <w:name w:val="Hyperlink"/>
    <w:basedOn w:val="DefaultParagraphFont"/>
    <w:uiPriority w:val="99"/>
    <w:semiHidden/>
    <w:unhideWhenUsed/>
    <w:rsid w:val="00060064"/>
    <w:rPr>
      <w:color w:val="0563C1"/>
      <w:u w:val="single"/>
    </w:rPr>
  </w:style>
  <w:style w:type="paragraph" w:styleId="BalloonText">
    <w:name w:val="Balloon Text"/>
    <w:basedOn w:val="Normal"/>
    <w:link w:val="BalloonTextChar"/>
    <w:uiPriority w:val="99"/>
    <w:semiHidden/>
    <w:unhideWhenUsed/>
    <w:rsid w:val="00215D7D"/>
    <w:rPr>
      <w:rFonts w:ascii="Tahoma" w:hAnsi="Tahoma" w:cs="Tahoma"/>
      <w:sz w:val="16"/>
      <w:szCs w:val="16"/>
    </w:rPr>
  </w:style>
  <w:style w:type="character" w:customStyle="1" w:styleId="BalloonTextChar">
    <w:name w:val="Balloon Text Char"/>
    <w:basedOn w:val="DefaultParagraphFont"/>
    <w:link w:val="BalloonText"/>
    <w:uiPriority w:val="99"/>
    <w:semiHidden/>
    <w:rsid w:val="00215D7D"/>
    <w:rPr>
      <w:rFonts w:ascii="Tahoma" w:eastAsia="Times New Roman" w:hAnsi="Tahoma" w:cs="Tahoma"/>
      <w:sz w:val="16"/>
      <w:szCs w:val="16"/>
    </w:rPr>
  </w:style>
  <w:style w:type="paragraph" w:styleId="Header">
    <w:name w:val="header"/>
    <w:basedOn w:val="Normal"/>
    <w:link w:val="HeaderChar"/>
    <w:uiPriority w:val="99"/>
    <w:unhideWhenUsed/>
    <w:rsid w:val="00A8741C"/>
    <w:pPr>
      <w:tabs>
        <w:tab w:val="center" w:pos="4680"/>
        <w:tab w:val="right" w:pos="9360"/>
      </w:tabs>
    </w:pPr>
  </w:style>
  <w:style w:type="character" w:customStyle="1" w:styleId="HeaderChar">
    <w:name w:val="Header Char"/>
    <w:basedOn w:val="DefaultParagraphFont"/>
    <w:link w:val="Header"/>
    <w:uiPriority w:val="99"/>
    <w:rsid w:val="00A8741C"/>
    <w:rPr>
      <w:rFonts w:ascii="Times New Roman" w:eastAsia="Times New Roman" w:hAnsi="Times New Roman"/>
      <w:sz w:val="24"/>
      <w:szCs w:val="24"/>
    </w:rPr>
  </w:style>
  <w:style w:type="paragraph" w:styleId="Footer">
    <w:name w:val="footer"/>
    <w:basedOn w:val="Normal"/>
    <w:link w:val="FooterChar"/>
    <w:uiPriority w:val="99"/>
    <w:unhideWhenUsed/>
    <w:rsid w:val="00A8741C"/>
    <w:pPr>
      <w:tabs>
        <w:tab w:val="center" w:pos="4680"/>
        <w:tab w:val="right" w:pos="9360"/>
      </w:tabs>
    </w:pPr>
  </w:style>
  <w:style w:type="character" w:customStyle="1" w:styleId="FooterChar">
    <w:name w:val="Footer Char"/>
    <w:basedOn w:val="DefaultParagraphFont"/>
    <w:link w:val="Footer"/>
    <w:uiPriority w:val="99"/>
    <w:rsid w:val="00A8741C"/>
    <w:rPr>
      <w:rFonts w:ascii="Times New Roman" w:eastAsia="Times New Roman" w:hAnsi="Times New Roman"/>
      <w:sz w:val="24"/>
      <w:szCs w:val="24"/>
    </w:rPr>
  </w:style>
  <w:style w:type="character" w:customStyle="1" w:styleId="apple-converted-space">
    <w:name w:val="apple-converted-space"/>
    <w:basedOn w:val="DefaultParagraphFont"/>
    <w:rsid w:val="00967F40"/>
  </w:style>
  <w:style w:type="paragraph" w:styleId="ListParagraph">
    <w:name w:val="List Paragraph"/>
    <w:basedOn w:val="Normal"/>
    <w:uiPriority w:val="34"/>
    <w:qFormat/>
    <w:rsid w:val="0071176F"/>
    <w:pPr>
      <w:ind w:left="720"/>
      <w:contextualSpacing/>
    </w:pPr>
  </w:style>
  <w:style w:type="character" w:styleId="CommentReference">
    <w:name w:val="annotation reference"/>
    <w:basedOn w:val="DefaultParagraphFont"/>
    <w:uiPriority w:val="99"/>
    <w:semiHidden/>
    <w:unhideWhenUsed/>
    <w:rsid w:val="00D65A03"/>
    <w:rPr>
      <w:sz w:val="16"/>
      <w:szCs w:val="16"/>
    </w:rPr>
  </w:style>
  <w:style w:type="paragraph" w:styleId="CommentText">
    <w:name w:val="annotation text"/>
    <w:basedOn w:val="Normal"/>
    <w:link w:val="CommentTextChar"/>
    <w:uiPriority w:val="99"/>
    <w:semiHidden/>
    <w:unhideWhenUsed/>
    <w:rsid w:val="00D65A03"/>
    <w:rPr>
      <w:sz w:val="20"/>
      <w:szCs w:val="20"/>
    </w:rPr>
  </w:style>
  <w:style w:type="character" w:customStyle="1" w:styleId="CommentTextChar">
    <w:name w:val="Comment Text Char"/>
    <w:basedOn w:val="DefaultParagraphFont"/>
    <w:link w:val="CommentText"/>
    <w:uiPriority w:val="99"/>
    <w:semiHidden/>
    <w:rsid w:val="00D65A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5A03"/>
    <w:rPr>
      <w:b/>
      <w:bCs/>
    </w:rPr>
  </w:style>
  <w:style w:type="character" w:customStyle="1" w:styleId="CommentSubjectChar">
    <w:name w:val="Comment Subject Char"/>
    <w:basedOn w:val="CommentTextChar"/>
    <w:link w:val="CommentSubject"/>
    <w:uiPriority w:val="99"/>
    <w:semiHidden/>
    <w:rsid w:val="00D65A03"/>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107820862">
      <w:bodyDiv w:val="1"/>
      <w:marLeft w:val="0"/>
      <w:marRight w:val="0"/>
      <w:marTop w:val="0"/>
      <w:marBottom w:val="0"/>
      <w:divBdr>
        <w:top w:val="none" w:sz="0" w:space="0" w:color="auto"/>
        <w:left w:val="none" w:sz="0" w:space="0" w:color="auto"/>
        <w:bottom w:val="none" w:sz="0" w:space="0" w:color="auto"/>
        <w:right w:val="none" w:sz="0" w:space="0" w:color="auto"/>
      </w:divBdr>
    </w:div>
    <w:div w:id="1855924383">
      <w:bodyDiv w:val="1"/>
      <w:marLeft w:val="0"/>
      <w:marRight w:val="0"/>
      <w:marTop w:val="0"/>
      <w:marBottom w:val="0"/>
      <w:divBdr>
        <w:top w:val="none" w:sz="0" w:space="0" w:color="auto"/>
        <w:left w:val="none" w:sz="0" w:space="0" w:color="auto"/>
        <w:bottom w:val="none" w:sz="0" w:space="0" w:color="auto"/>
        <w:right w:val="none" w:sz="0" w:space="0" w:color="auto"/>
      </w:divBdr>
    </w:div>
    <w:div w:id="19089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Wright@puc.state.oh.us"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petrucci@vory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Moore@occ.ohi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jsettineri@vorys.com" TargetMode="External"/><Relationship Id="rId4" Type="http://schemas.openxmlformats.org/officeDocument/2006/relationships/settings" Target="settings.xml"/><Relationship Id="rId9" Type="http://schemas.openxmlformats.org/officeDocument/2006/relationships/hyperlink" Target="mailto:Terry.Etter@occ.ohi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36176-133A-456F-9FE0-DFDBA2C9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Noble Energy Solutions</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Boston</dc:creator>
  <cp:lastModifiedBy>Richard Parsons</cp:lastModifiedBy>
  <cp:revision>4</cp:revision>
  <cp:lastPrinted>2016-12-08T19:59:00Z</cp:lastPrinted>
  <dcterms:created xsi:type="dcterms:W3CDTF">2016-12-08T20:57:00Z</dcterms:created>
  <dcterms:modified xsi:type="dcterms:W3CDTF">2016-12-08T21:38:00Z</dcterms:modified>
</cp:coreProperties>
</file>