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334A8" w:rsidRPr="006E698C" w:rsidP="00E334A8">
      <w:pPr>
        <w:pStyle w:val="BodyText"/>
        <w:spacing w:line="240" w:lineRule="auto"/>
        <w:ind w:left="0"/>
        <w:jc w:val="center"/>
        <w:rPr>
          <w:b/>
        </w:rPr>
      </w:pPr>
      <w:bookmarkStart w:id="0" w:name="_Toc249780368"/>
      <w:bookmarkStart w:id="1" w:name="_Toc249782095"/>
      <w:bookmarkStart w:id="2" w:name="_GoBack"/>
      <w:bookmarkEnd w:id="2"/>
      <w:r w:rsidRPr="006E698C">
        <w:rPr>
          <w:b/>
        </w:rPr>
        <w:t>BEFORE</w:t>
      </w:r>
      <w:bookmarkEnd w:id="0"/>
      <w:bookmarkEnd w:id="1"/>
    </w:p>
    <w:p w:rsidR="00E334A8" w:rsidRPr="006E698C" w:rsidP="00E334A8">
      <w:pPr>
        <w:jc w:val="center"/>
        <w:rPr>
          <w:b/>
          <w:bCs/>
        </w:rPr>
      </w:pPr>
      <w:bookmarkStart w:id="3" w:name="_Toc249780369"/>
      <w:bookmarkStart w:id="4" w:name="_Toc249782096"/>
      <w:r w:rsidRPr="006E698C">
        <w:rPr>
          <w:b/>
          <w:bCs/>
        </w:rPr>
        <w:t>THE PUBLIC UTILITIES COMMISSION OF OHIO</w:t>
      </w:r>
      <w:bookmarkEnd w:id="3"/>
      <w:bookmarkEnd w:id="4"/>
    </w:p>
    <w:p w:rsidR="00E330DD" w:rsidRPr="006E698C" w:rsidP="00E334A8">
      <w:pPr>
        <w:jc w:val="center"/>
      </w:pPr>
    </w:p>
    <w:tbl>
      <w:tblPr>
        <w:tblW w:w="9818" w:type="dxa"/>
        <w:tblLook w:val="01E0"/>
      </w:tblPr>
      <w:tblGrid>
        <w:gridCol w:w="5058"/>
        <w:gridCol w:w="360"/>
        <w:gridCol w:w="4400"/>
      </w:tblGrid>
      <w:tr w:rsidTr="00F1196C">
        <w:tblPrEx>
          <w:tblW w:w="9818" w:type="dxa"/>
          <w:tblLook w:val="01E0"/>
        </w:tblPrEx>
        <w:trPr>
          <w:trHeight w:val="807"/>
        </w:trPr>
        <w:tc>
          <w:tcPr>
            <w:tcW w:w="5058" w:type="dxa"/>
          </w:tcPr>
          <w:p w:rsidR="00E334A8" w:rsidRPr="006E698C" w:rsidP="00DA44A4">
            <w:pPr>
              <w:pStyle w:val="HTMLPreformatted"/>
              <w:rPr>
                <w:rFonts w:ascii="Times New Roman" w:eastAsia="Courier New" w:hAnsi="Times New Roman"/>
                <w:sz w:val="24"/>
                <w:szCs w:val="24"/>
              </w:rPr>
            </w:pPr>
            <w:r w:rsidRPr="006E698C">
              <w:rPr>
                <w:rFonts w:ascii="Times New Roman" w:eastAsia="Courier New" w:hAnsi="Times New Roman"/>
                <w:sz w:val="24"/>
                <w:szCs w:val="24"/>
              </w:rPr>
              <w:t xml:space="preserve">In the Matter of the Application of </w:t>
            </w:r>
            <w:r w:rsidRPr="006E698C" w:rsidR="00DA44A4">
              <w:rPr>
                <w:rFonts w:ascii="Times New Roman" w:eastAsia="Courier New" w:hAnsi="Times New Roman"/>
                <w:sz w:val="24"/>
                <w:szCs w:val="24"/>
              </w:rPr>
              <w:t xml:space="preserve">Ohio Gas Company </w:t>
            </w:r>
            <w:r w:rsidRPr="006E698C">
              <w:rPr>
                <w:rFonts w:ascii="Times New Roman" w:eastAsia="Courier New" w:hAnsi="Times New Roman"/>
                <w:sz w:val="24"/>
                <w:szCs w:val="24"/>
              </w:rPr>
              <w:t xml:space="preserve">for </w:t>
            </w:r>
            <w:r w:rsidRPr="006E698C" w:rsidR="00B43688">
              <w:rPr>
                <w:rFonts w:ascii="Times New Roman" w:eastAsia="Courier New" w:hAnsi="Times New Roman"/>
                <w:sz w:val="24"/>
                <w:szCs w:val="24"/>
              </w:rPr>
              <w:t xml:space="preserve">an </w:t>
            </w:r>
            <w:r w:rsidRPr="006E698C">
              <w:rPr>
                <w:rFonts w:ascii="Times New Roman" w:eastAsia="Courier New" w:hAnsi="Times New Roman"/>
                <w:sz w:val="24"/>
                <w:szCs w:val="24"/>
              </w:rPr>
              <w:t xml:space="preserve">Increase </w:t>
            </w:r>
            <w:r w:rsidRPr="006E698C" w:rsidR="00B43688">
              <w:rPr>
                <w:rFonts w:ascii="Times New Roman" w:eastAsia="Courier New" w:hAnsi="Times New Roman"/>
                <w:sz w:val="24"/>
                <w:szCs w:val="24"/>
              </w:rPr>
              <w:t xml:space="preserve">in </w:t>
            </w:r>
            <w:r w:rsidRPr="006E698C" w:rsidR="00DA44A4">
              <w:rPr>
                <w:rFonts w:ascii="Times New Roman" w:eastAsia="Courier New" w:hAnsi="Times New Roman"/>
                <w:sz w:val="24"/>
                <w:szCs w:val="24"/>
              </w:rPr>
              <w:t xml:space="preserve">Gas </w:t>
            </w:r>
            <w:r w:rsidRPr="006E698C" w:rsidR="00B43688">
              <w:rPr>
                <w:rFonts w:ascii="Times New Roman" w:eastAsia="Courier New" w:hAnsi="Times New Roman"/>
                <w:sz w:val="24"/>
                <w:szCs w:val="24"/>
              </w:rPr>
              <w:t xml:space="preserve">Distribution </w:t>
            </w:r>
            <w:r w:rsidRPr="006E698C">
              <w:rPr>
                <w:rFonts w:ascii="Times New Roman" w:eastAsia="Courier New" w:hAnsi="Times New Roman"/>
                <w:sz w:val="24"/>
                <w:szCs w:val="24"/>
              </w:rPr>
              <w:t>Rates</w:t>
            </w:r>
            <w:r w:rsidRPr="006E698C" w:rsidR="0016088F">
              <w:rPr>
                <w:rFonts w:ascii="Times New Roman" w:eastAsia="Courier New" w:hAnsi="Times New Roman"/>
                <w:sz w:val="24"/>
                <w:szCs w:val="24"/>
              </w:rPr>
              <w:t>.</w:t>
            </w:r>
          </w:p>
        </w:tc>
        <w:tc>
          <w:tcPr>
            <w:tcW w:w="360" w:type="dxa"/>
          </w:tcPr>
          <w:p w:rsidR="00E334A8" w:rsidRPr="006E698C" w:rsidP="00E334A8">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E334A8" w:rsidRPr="006E698C" w:rsidP="00E334A8">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E334A8" w:rsidRPr="006E698C" w:rsidP="00E334A8">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E334A8" w:rsidRPr="006E698C" w:rsidP="00E334A8">
            <w:pPr>
              <w:pStyle w:val="HTMLPreformatted"/>
              <w:rPr>
                <w:rFonts w:ascii="Times New Roman" w:eastAsia="Courier New" w:hAnsi="Times New Roman"/>
                <w:sz w:val="24"/>
                <w:szCs w:val="24"/>
              </w:rPr>
            </w:pPr>
          </w:p>
        </w:tc>
        <w:tc>
          <w:tcPr>
            <w:tcW w:w="4400" w:type="dxa"/>
          </w:tcPr>
          <w:p w:rsidR="00E334A8" w:rsidRPr="006E698C" w:rsidP="00E334A8">
            <w:pPr>
              <w:pStyle w:val="HTMLPreformatted"/>
              <w:rPr>
                <w:rFonts w:ascii="Times New Roman" w:eastAsia="Courier New" w:hAnsi="Times New Roman"/>
                <w:sz w:val="24"/>
                <w:szCs w:val="24"/>
              </w:rPr>
            </w:pPr>
          </w:p>
          <w:p w:rsidR="00E334A8" w:rsidRPr="006E698C" w:rsidP="009942ED">
            <w:pPr>
              <w:pStyle w:val="HTMLPreformatted"/>
              <w:rPr>
                <w:rFonts w:ascii="Times New Roman" w:eastAsia="Courier New" w:hAnsi="Times New Roman"/>
                <w:sz w:val="24"/>
                <w:szCs w:val="24"/>
              </w:rPr>
            </w:pPr>
            <w:r w:rsidRPr="006E698C">
              <w:rPr>
                <w:rFonts w:ascii="Times New Roman" w:eastAsia="Courier New" w:hAnsi="Times New Roman"/>
                <w:sz w:val="24"/>
                <w:szCs w:val="24"/>
              </w:rPr>
              <w:t>Case No. 1</w:t>
            </w:r>
            <w:r w:rsidRPr="006E698C" w:rsidR="00B43688">
              <w:rPr>
                <w:rFonts w:ascii="Times New Roman" w:eastAsia="Courier New" w:hAnsi="Times New Roman"/>
                <w:sz w:val="24"/>
                <w:szCs w:val="24"/>
              </w:rPr>
              <w:t>7</w:t>
            </w:r>
            <w:r w:rsidRPr="006E698C">
              <w:rPr>
                <w:rFonts w:ascii="Times New Roman" w:eastAsia="Courier New" w:hAnsi="Times New Roman"/>
                <w:sz w:val="24"/>
                <w:szCs w:val="24"/>
              </w:rPr>
              <w:t>-</w:t>
            </w:r>
            <w:r w:rsidRPr="006E698C" w:rsidR="009942ED">
              <w:rPr>
                <w:rFonts w:ascii="Times New Roman" w:eastAsia="Courier New" w:hAnsi="Times New Roman"/>
                <w:sz w:val="24"/>
                <w:szCs w:val="24"/>
              </w:rPr>
              <w:t>11</w:t>
            </w:r>
            <w:r w:rsidRPr="006E698C" w:rsidR="00B43688">
              <w:rPr>
                <w:rFonts w:ascii="Times New Roman" w:eastAsia="Courier New" w:hAnsi="Times New Roman"/>
                <w:sz w:val="24"/>
                <w:szCs w:val="24"/>
              </w:rPr>
              <w:t>3</w:t>
            </w:r>
            <w:r w:rsidRPr="006E698C" w:rsidR="009942ED">
              <w:rPr>
                <w:rFonts w:ascii="Times New Roman" w:eastAsia="Courier New" w:hAnsi="Times New Roman"/>
                <w:sz w:val="24"/>
                <w:szCs w:val="24"/>
              </w:rPr>
              <w:t>9</w:t>
            </w:r>
            <w:r w:rsidRPr="006E698C">
              <w:rPr>
                <w:rFonts w:ascii="Times New Roman" w:eastAsia="Courier New" w:hAnsi="Times New Roman"/>
                <w:sz w:val="24"/>
                <w:szCs w:val="24"/>
              </w:rPr>
              <w:t>-</w:t>
            </w:r>
            <w:r w:rsidRPr="006E698C" w:rsidR="009942ED">
              <w:rPr>
                <w:rFonts w:ascii="Times New Roman" w:eastAsia="Courier New" w:hAnsi="Times New Roman"/>
                <w:sz w:val="24"/>
                <w:szCs w:val="24"/>
              </w:rPr>
              <w:t>GA</w:t>
            </w:r>
            <w:r w:rsidRPr="006E698C">
              <w:rPr>
                <w:rFonts w:ascii="Times New Roman" w:eastAsia="Courier New" w:hAnsi="Times New Roman"/>
                <w:sz w:val="24"/>
                <w:szCs w:val="24"/>
              </w:rPr>
              <w:t>-AIR</w:t>
            </w:r>
          </w:p>
        </w:tc>
      </w:tr>
      <w:tr w:rsidTr="00F1196C">
        <w:tblPrEx>
          <w:tblW w:w="9818" w:type="dxa"/>
          <w:tblLook w:val="01E0"/>
        </w:tblPrEx>
        <w:trPr>
          <w:trHeight w:val="807"/>
        </w:trPr>
        <w:tc>
          <w:tcPr>
            <w:tcW w:w="5058" w:type="dxa"/>
          </w:tcPr>
          <w:p w:rsidR="00B43688" w:rsidRPr="006E698C" w:rsidP="00DA44A4">
            <w:pPr>
              <w:pStyle w:val="HTMLPreformatted"/>
              <w:rPr>
                <w:rFonts w:ascii="Times New Roman" w:eastAsia="Courier New" w:hAnsi="Times New Roman"/>
                <w:sz w:val="24"/>
                <w:szCs w:val="24"/>
              </w:rPr>
            </w:pPr>
            <w:r w:rsidRPr="006E698C">
              <w:rPr>
                <w:rFonts w:ascii="Times New Roman" w:eastAsia="Courier New" w:hAnsi="Times New Roman"/>
                <w:sz w:val="24"/>
                <w:szCs w:val="24"/>
              </w:rPr>
              <w:t xml:space="preserve">In the Matter of the Application of </w:t>
            </w:r>
            <w:r w:rsidRPr="006E698C" w:rsidR="00DA44A4">
              <w:rPr>
                <w:rFonts w:ascii="Times New Roman" w:eastAsia="Courier New" w:hAnsi="Times New Roman"/>
                <w:sz w:val="24"/>
                <w:szCs w:val="24"/>
              </w:rPr>
              <w:t xml:space="preserve">Ohio Gas Company </w:t>
            </w:r>
            <w:r w:rsidRPr="006E698C">
              <w:rPr>
                <w:rFonts w:ascii="Times New Roman" w:eastAsia="Courier New" w:hAnsi="Times New Roman"/>
                <w:sz w:val="24"/>
                <w:szCs w:val="24"/>
              </w:rPr>
              <w:t>for Tariff Approval</w:t>
            </w:r>
            <w:r w:rsidRPr="006E698C" w:rsidR="0016088F">
              <w:rPr>
                <w:rFonts w:ascii="Times New Roman" w:eastAsia="Courier New" w:hAnsi="Times New Roman"/>
                <w:sz w:val="24"/>
                <w:szCs w:val="24"/>
              </w:rPr>
              <w:t>.</w:t>
            </w:r>
          </w:p>
        </w:tc>
        <w:tc>
          <w:tcPr>
            <w:tcW w:w="360" w:type="dxa"/>
          </w:tcPr>
          <w:p w:rsidR="00B43688" w:rsidRPr="006E698C" w:rsidP="0045365A">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B43688" w:rsidRPr="006E698C" w:rsidP="0045365A">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B43688" w:rsidRPr="006E698C" w:rsidP="0045365A">
            <w:pPr>
              <w:pStyle w:val="HTMLPreformatted"/>
              <w:rPr>
                <w:rFonts w:ascii="Times New Roman" w:eastAsia="Courier New" w:hAnsi="Times New Roman"/>
                <w:sz w:val="24"/>
                <w:szCs w:val="24"/>
              </w:rPr>
            </w:pPr>
          </w:p>
        </w:tc>
        <w:tc>
          <w:tcPr>
            <w:tcW w:w="4400" w:type="dxa"/>
          </w:tcPr>
          <w:p w:rsidR="00B43688" w:rsidRPr="006E698C" w:rsidP="00DA44A4">
            <w:pPr>
              <w:pStyle w:val="HTMLPreformatted"/>
              <w:rPr>
                <w:rFonts w:ascii="Times New Roman" w:eastAsia="Courier New" w:hAnsi="Times New Roman"/>
                <w:sz w:val="24"/>
                <w:szCs w:val="24"/>
              </w:rPr>
            </w:pPr>
            <w:r w:rsidRPr="006E698C">
              <w:rPr>
                <w:rFonts w:ascii="Times New Roman" w:eastAsia="Courier New" w:hAnsi="Times New Roman"/>
                <w:sz w:val="24"/>
                <w:szCs w:val="24"/>
              </w:rPr>
              <w:t>Case No. 17-</w:t>
            </w:r>
            <w:r w:rsidRPr="006E698C" w:rsidR="00DA44A4">
              <w:rPr>
                <w:rFonts w:ascii="Times New Roman" w:eastAsia="Courier New" w:hAnsi="Times New Roman"/>
                <w:sz w:val="24"/>
                <w:szCs w:val="24"/>
              </w:rPr>
              <w:t>1140</w:t>
            </w:r>
            <w:r w:rsidRPr="006E698C">
              <w:rPr>
                <w:rFonts w:ascii="Times New Roman" w:eastAsia="Courier New" w:hAnsi="Times New Roman"/>
                <w:sz w:val="24"/>
                <w:szCs w:val="24"/>
              </w:rPr>
              <w:t>-</w:t>
            </w:r>
            <w:r w:rsidRPr="006E698C" w:rsidR="00DA44A4">
              <w:rPr>
                <w:rFonts w:ascii="Times New Roman" w:eastAsia="Courier New" w:hAnsi="Times New Roman"/>
                <w:sz w:val="24"/>
                <w:szCs w:val="24"/>
              </w:rPr>
              <w:t>GA</w:t>
            </w:r>
            <w:r w:rsidRPr="006E698C">
              <w:rPr>
                <w:rFonts w:ascii="Times New Roman" w:eastAsia="Courier New" w:hAnsi="Times New Roman"/>
                <w:sz w:val="24"/>
                <w:szCs w:val="24"/>
              </w:rPr>
              <w:t>-ATA</w:t>
            </w:r>
          </w:p>
        </w:tc>
      </w:tr>
      <w:tr w:rsidTr="00F1196C">
        <w:tblPrEx>
          <w:tblW w:w="9818" w:type="dxa"/>
          <w:tblLook w:val="01E0"/>
        </w:tblPrEx>
        <w:trPr>
          <w:trHeight w:val="807"/>
        </w:trPr>
        <w:tc>
          <w:tcPr>
            <w:tcW w:w="5058" w:type="dxa"/>
          </w:tcPr>
          <w:p w:rsidR="00B43688" w:rsidRPr="006E698C" w:rsidP="00DA44A4">
            <w:pPr>
              <w:pStyle w:val="HTMLPreformatted"/>
              <w:rPr>
                <w:rFonts w:ascii="Times New Roman" w:eastAsia="Courier New" w:hAnsi="Times New Roman"/>
                <w:sz w:val="24"/>
                <w:szCs w:val="24"/>
              </w:rPr>
            </w:pPr>
            <w:r w:rsidRPr="006E698C">
              <w:rPr>
                <w:rFonts w:ascii="Times New Roman" w:eastAsia="Courier New" w:hAnsi="Times New Roman"/>
                <w:sz w:val="24"/>
                <w:szCs w:val="24"/>
              </w:rPr>
              <w:t xml:space="preserve">In the Matter of the Application of </w:t>
            </w:r>
            <w:r w:rsidRPr="006E698C" w:rsidR="00DA44A4">
              <w:rPr>
                <w:rFonts w:ascii="Times New Roman" w:eastAsia="Courier New" w:hAnsi="Times New Roman"/>
                <w:sz w:val="24"/>
                <w:szCs w:val="24"/>
              </w:rPr>
              <w:t xml:space="preserve">Ohio Gas Company </w:t>
            </w:r>
            <w:r w:rsidRPr="006E698C">
              <w:rPr>
                <w:rFonts w:ascii="Times New Roman" w:eastAsia="Courier New" w:hAnsi="Times New Roman"/>
                <w:sz w:val="24"/>
                <w:szCs w:val="24"/>
              </w:rPr>
              <w:t xml:space="preserve">for Approval </w:t>
            </w:r>
            <w:r w:rsidRPr="006E698C" w:rsidR="00DA44A4">
              <w:rPr>
                <w:rFonts w:ascii="Times New Roman" w:eastAsia="Courier New" w:hAnsi="Times New Roman"/>
                <w:sz w:val="24"/>
                <w:szCs w:val="24"/>
              </w:rPr>
              <w:t xml:space="preserve">of Certain </w:t>
            </w:r>
            <w:r w:rsidRPr="006E698C">
              <w:rPr>
                <w:rFonts w:ascii="Times New Roman" w:eastAsia="Courier New" w:hAnsi="Times New Roman"/>
                <w:sz w:val="24"/>
                <w:szCs w:val="24"/>
              </w:rPr>
              <w:t xml:space="preserve">Accounting </w:t>
            </w:r>
            <w:r w:rsidRPr="006E698C" w:rsidR="00DA44A4">
              <w:rPr>
                <w:rFonts w:ascii="Times New Roman" w:eastAsia="Courier New" w:hAnsi="Times New Roman"/>
                <w:sz w:val="24"/>
                <w:szCs w:val="24"/>
              </w:rPr>
              <w:t>Authority</w:t>
            </w:r>
            <w:r w:rsidRPr="006E698C" w:rsidR="0016088F">
              <w:rPr>
                <w:rFonts w:ascii="Times New Roman" w:eastAsia="Courier New" w:hAnsi="Times New Roman"/>
                <w:sz w:val="24"/>
                <w:szCs w:val="24"/>
              </w:rPr>
              <w:t>.</w:t>
            </w:r>
            <w:r w:rsidRPr="006E698C">
              <w:rPr>
                <w:rFonts w:ascii="Times New Roman" w:eastAsia="Courier New" w:hAnsi="Times New Roman"/>
                <w:sz w:val="24"/>
                <w:szCs w:val="24"/>
              </w:rPr>
              <w:t xml:space="preserve"> </w:t>
            </w:r>
          </w:p>
        </w:tc>
        <w:tc>
          <w:tcPr>
            <w:tcW w:w="360" w:type="dxa"/>
          </w:tcPr>
          <w:p w:rsidR="00B43688" w:rsidRPr="006E698C" w:rsidP="0045365A">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B43688" w:rsidRPr="006E698C" w:rsidP="0045365A">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p w:rsidR="00B43688" w:rsidRPr="006E698C" w:rsidP="0045365A">
            <w:pPr>
              <w:pStyle w:val="HTMLPreformatted"/>
              <w:rPr>
                <w:rFonts w:ascii="Times New Roman" w:eastAsia="Courier New" w:hAnsi="Times New Roman"/>
                <w:sz w:val="24"/>
                <w:szCs w:val="24"/>
              </w:rPr>
            </w:pPr>
            <w:r w:rsidRPr="006E698C">
              <w:rPr>
                <w:rFonts w:ascii="Times New Roman" w:eastAsia="Courier New" w:hAnsi="Times New Roman"/>
                <w:sz w:val="24"/>
                <w:szCs w:val="24"/>
              </w:rPr>
              <w:t>)</w:t>
            </w:r>
          </w:p>
        </w:tc>
        <w:tc>
          <w:tcPr>
            <w:tcW w:w="4400" w:type="dxa"/>
          </w:tcPr>
          <w:p w:rsidR="00B43688" w:rsidRPr="006E698C" w:rsidP="0045365A">
            <w:pPr>
              <w:pStyle w:val="HTMLPreformatted"/>
              <w:rPr>
                <w:rFonts w:ascii="Times New Roman" w:eastAsia="Courier New" w:hAnsi="Times New Roman"/>
                <w:sz w:val="24"/>
                <w:szCs w:val="24"/>
              </w:rPr>
            </w:pPr>
          </w:p>
          <w:p w:rsidR="00B43688" w:rsidRPr="006E698C" w:rsidP="00DA44A4">
            <w:pPr>
              <w:pStyle w:val="HTMLPreformatted"/>
              <w:rPr>
                <w:rFonts w:ascii="Times New Roman" w:eastAsia="Courier New" w:hAnsi="Times New Roman"/>
                <w:sz w:val="24"/>
                <w:szCs w:val="24"/>
              </w:rPr>
            </w:pPr>
            <w:r w:rsidRPr="006E698C">
              <w:rPr>
                <w:rFonts w:ascii="Times New Roman" w:eastAsia="Courier New" w:hAnsi="Times New Roman"/>
                <w:sz w:val="24"/>
                <w:szCs w:val="24"/>
              </w:rPr>
              <w:t>Case No. 17-</w:t>
            </w:r>
            <w:r w:rsidRPr="006E698C" w:rsidR="00DA44A4">
              <w:rPr>
                <w:rFonts w:ascii="Times New Roman" w:eastAsia="Courier New" w:hAnsi="Times New Roman"/>
                <w:sz w:val="24"/>
                <w:szCs w:val="24"/>
              </w:rPr>
              <w:t>1141</w:t>
            </w:r>
            <w:r w:rsidRPr="006E698C">
              <w:rPr>
                <w:rFonts w:ascii="Times New Roman" w:eastAsia="Courier New" w:hAnsi="Times New Roman"/>
                <w:sz w:val="24"/>
                <w:szCs w:val="24"/>
              </w:rPr>
              <w:t>-</w:t>
            </w:r>
            <w:r w:rsidRPr="006E698C" w:rsidR="00DA44A4">
              <w:rPr>
                <w:rFonts w:ascii="Times New Roman" w:eastAsia="Courier New" w:hAnsi="Times New Roman"/>
                <w:sz w:val="24"/>
                <w:szCs w:val="24"/>
              </w:rPr>
              <w:t>GA</w:t>
            </w:r>
            <w:r w:rsidRPr="006E698C">
              <w:rPr>
                <w:rFonts w:ascii="Times New Roman" w:eastAsia="Courier New" w:hAnsi="Times New Roman"/>
                <w:sz w:val="24"/>
                <w:szCs w:val="24"/>
              </w:rPr>
              <w:t>-AAM</w:t>
            </w:r>
          </w:p>
        </w:tc>
      </w:tr>
    </w:tbl>
    <w:p w:rsidR="00B43688" w:rsidRPr="006E698C" w:rsidP="00F1196C">
      <w:pPr>
        <w:rPr>
          <w:bCs/>
        </w:rPr>
      </w:pPr>
    </w:p>
    <w:p w:rsidR="00D276A4" w:rsidRPr="006E698C" w:rsidP="00D276A4">
      <w:pPr>
        <w:pBdr>
          <w:top w:val="single" w:sz="12" w:space="1" w:color="auto"/>
        </w:pBdr>
        <w:tabs>
          <w:tab w:val="left" w:pos="-720"/>
        </w:tabs>
        <w:suppressAutoHyphens/>
        <w:jc w:val="center"/>
        <w:rPr>
          <w:b/>
          <w:spacing w:val="-3"/>
        </w:rPr>
      </w:pPr>
    </w:p>
    <w:p w:rsidR="00D276A4" w:rsidRPr="006E698C" w:rsidP="00D276A4">
      <w:pPr>
        <w:jc w:val="center"/>
        <w:rPr>
          <w:b/>
        </w:rPr>
      </w:pPr>
      <w:r w:rsidRPr="006E698C">
        <w:rPr>
          <w:b/>
        </w:rPr>
        <w:t>MEMORANDUM CONTRA OHIO GAS’S MOTION TO STRIKE OBJECTIONS</w:t>
      </w:r>
    </w:p>
    <w:p w:rsidR="00D276A4" w:rsidRPr="006E698C" w:rsidP="00D276A4">
      <w:pPr>
        <w:jc w:val="center"/>
        <w:rPr>
          <w:b/>
        </w:rPr>
      </w:pPr>
      <w:r w:rsidRPr="006E698C">
        <w:rPr>
          <w:b/>
        </w:rPr>
        <w:t>BY</w:t>
      </w:r>
    </w:p>
    <w:p w:rsidR="00D276A4" w:rsidRPr="006E698C" w:rsidP="00D276A4">
      <w:pPr>
        <w:jc w:val="center"/>
        <w:rPr>
          <w:b/>
        </w:rPr>
      </w:pPr>
      <w:r w:rsidRPr="006E698C">
        <w:rPr>
          <w:b/>
        </w:rPr>
        <w:t>THE OFFICE OF THE OHIO CONSUMERS’ COUNSEL</w:t>
      </w:r>
    </w:p>
    <w:p w:rsidR="00D276A4" w:rsidRPr="006E698C" w:rsidP="00D276A4">
      <w:pPr>
        <w:tabs>
          <w:tab w:val="center" w:pos="4680"/>
        </w:tabs>
        <w:suppressAutoHyphens/>
        <w:jc w:val="center"/>
        <w:rPr>
          <w:b/>
          <w:spacing w:val="-3"/>
        </w:rPr>
      </w:pPr>
    </w:p>
    <w:p w:rsidR="00D276A4" w:rsidRPr="006E698C" w:rsidP="00D276A4">
      <w:pPr>
        <w:pBdr>
          <w:bottom w:val="single" w:sz="12" w:space="1" w:color="auto"/>
        </w:pBdr>
        <w:tabs>
          <w:tab w:val="left" w:pos="-720"/>
        </w:tabs>
        <w:suppressAutoHyphens/>
        <w:jc w:val="center"/>
        <w:rPr>
          <w:b/>
          <w:spacing w:val="-3"/>
        </w:rPr>
      </w:pPr>
      <w:r w:rsidRPr="006E698C">
        <w:rPr>
          <w:b/>
          <w:spacing w:val="-3"/>
        </w:rPr>
        <w:t xml:space="preserve">(DATED </w:t>
      </w:r>
      <w:r w:rsidR="00D936EB">
        <w:rPr>
          <w:b/>
          <w:spacing w:val="-3"/>
        </w:rPr>
        <w:t>JANUARY 5</w:t>
      </w:r>
      <w:r w:rsidRPr="006E698C">
        <w:rPr>
          <w:b/>
          <w:spacing w:val="-3"/>
        </w:rPr>
        <w:t>, 201</w:t>
      </w:r>
      <w:r w:rsidR="00D936EB">
        <w:rPr>
          <w:b/>
          <w:spacing w:val="-3"/>
        </w:rPr>
        <w:t>8</w:t>
      </w:r>
      <w:r w:rsidRPr="006E698C">
        <w:rPr>
          <w:b/>
          <w:spacing w:val="-3"/>
        </w:rPr>
        <w:t>)</w:t>
      </w:r>
    </w:p>
    <w:p w:rsidR="00D276A4" w:rsidRPr="006E698C" w:rsidP="00D276A4">
      <w:pPr>
        <w:pBdr>
          <w:bottom w:val="single" w:sz="12" w:space="1" w:color="auto"/>
        </w:pBdr>
        <w:tabs>
          <w:tab w:val="left" w:pos="-720"/>
        </w:tabs>
        <w:suppressAutoHyphens/>
        <w:jc w:val="center"/>
        <w:rPr>
          <w:b/>
          <w:spacing w:val="-3"/>
        </w:rPr>
      </w:pPr>
    </w:p>
    <w:p w:rsidR="00D276A4" w:rsidRPr="006E698C" w:rsidP="00D276A4">
      <w:pPr>
        <w:rPr>
          <w:bCs/>
        </w:rPr>
      </w:pPr>
    </w:p>
    <w:p w:rsidR="00D276A4" w:rsidRPr="006E698C" w:rsidP="00F1196C">
      <w:pPr>
        <w:pStyle w:val="ListParagraph"/>
        <w:numPr>
          <w:ilvl w:val="0"/>
          <w:numId w:val="12"/>
        </w:numPr>
        <w:ind w:left="720" w:leftChars="0"/>
        <w:rPr>
          <w:rFonts w:ascii="Times New Roman" w:hAnsi="Times New Roman"/>
          <w:b/>
          <w:bCs/>
          <w:szCs w:val="24"/>
        </w:rPr>
      </w:pPr>
      <w:r>
        <w:rPr>
          <w:rFonts w:ascii="Times New Roman" w:hAnsi="Times New Roman"/>
          <w:b/>
          <w:bCs/>
          <w:szCs w:val="24"/>
        </w:rPr>
        <w:t>INTRODUCTION</w:t>
      </w:r>
    </w:p>
    <w:p w:rsidR="00D276A4" w:rsidRPr="006E698C" w:rsidP="00D276A4">
      <w:pPr>
        <w:pStyle w:val="ListParagraph"/>
        <w:ind w:left="1080" w:leftChars="0"/>
        <w:rPr>
          <w:rFonts w:ascii="Times New Roman" w:hAnsi="Times New Roman"/>
          <w:b/>
          <w:bCs/>
          <w:szCs w:val="24"/>
        </w:rPr>
      </w:pPr>
    </w:p>
    <w:p w:rsidR="006E698C" w:rsidP="006E698C">
      <w:pPr>
        <w:spacing w:line="480" w:lineRule="auto"/>
        <w:ind w:firstLine="720"/>
      </w:pPr>
      <w:r>
        <w:t xml:space="preserve">In this case, Ohio Gas Company (“Ohio Gas”) </w:t>
      </w:r>
      <w:r w:rsidRPr="00E11F5E">
        <w:t>seeks</w:t>
      </w:r>
      <w:r>
        <w:t xml:space="preserve"> to </w:t>
      </w:r>
      <w:r w:rsidRPr="00E11F5E">
        <w:t>increase</w:t>
      </w:r>
      <w:r>
        <w:t xml:space="preserve"> the customer charge that its customers pay for monthly natural gas service from $5.45 to $10.39.</w:t>
      </w:r>
      <w:r>
        <w:rPr>
          <w:rStyle w:val="FootnoteReference"/>
        </w:rPr>
        <w:footnoteReference w:id="2"/>
      </w:r>
      <w:r>
        <w:t xml:space="preserve"> This $4.94 adjustment nearly doubles the current monthly customer charge. </w:t>
      </w:r>
      <w:r w:rsidRPr="00E71B23">
        <w:t>The Office of the Ohio Consumers’ Counsel (“OCC”)</w:t>
      </w:r>
      <w:r>
        <w:t xml:space="preserve"> is the statutory representative of Ohio Gas’ 43,588 residential customers, who pay these charges.</w:t>
      </w:r>
      <w:r>
        <w:rPr>
          <w:rStyle w:val="FootnoteReference"/>
        </w:rPr>
        <w:footnoteReference w:id="3"/>
      </w:r>
      <w:r>
        <w:t xml:space="preserve"> </w:t>
      </w:r>
    </w:p>
    <w:p w:rsidR="00777352" w:rsidP="00F1196C">
      <w:pPr>
        <w:spacing w:line="480" w:lineRule="auto"/>
        <w:ind w:firstLine="720"/>
        <w:sectPr w:rsidSect="00E334A8">
          <w:footerReference w:type="default" r:id="rId5"/>
          <w:pgSz w:w="12240" w:h="15840" w:code="1"/>
          <w:pgMar w:top="1440" w:right="1800" w:bottom="1440" w:left="1800" w:header="720" w:footer="720" w:gutter="0"/>
          <w:pgNumType w:start="1"/>
          <w:cols w:space="720"/>
          <w:docGrid w:linePitch="360"/>
        </w:sectPr>
      </w:pPr>
      <w:r>
        <w:t>The Public Utilities C</w:t>
      </w:r>
      <w:r w:rsidRPr="00E71B23">
        <w:t>ommission of Ohio</w:t>
      </w:r>
      <w:r>
        <w:t>’s</w:t>
      </w:r>
      <w:r w:rsidRPr="00E71B23">
        <w:t xml:space="preserve"> (“PUCO”)</w:t>
      </w:r>
      <w:r w:rsidRPr="000915AD">
        <w:t xml:space="preserve"> </w:t>
      </w:r>
      <w:r>
        <w:t>Staff filed its Report of Investigation (“Staff Report”) in this case on November 22, 2017</w:t>
      </w:r>
      <w:r w:rsidRPr="00E71B23">
        <w:t>.</w:t>
      </w:r>
      <w:r>
        <w:t xml:space="preserve"> On December 22, 2017, OCC and Ohio Gas filed their respective Objections to the Staff Report.</w:t>
      </w:r>
      <w:r w:rsidR="00186AFD">
        <w:t xml:space="preserve"> In OCC’s second objection to the Staff Report (“OCC Objection 2”), it stated that the Staff Report’s </w:t>
      </w:r>
    </w:p>
    <w:p w:rsidR="00186AFD" w:rsidP="00777352">
      <w:pPr>
        <w:spacing w:line="480" w:lineRule="auto"/>
        <w:rPr>
          <w:bCs/>
        </w:rPr>
      </w:pPr>
      <w:r>
        <w:t>recommendation to use a 100% equity capital structure to determine the rate of return was unjust and unreasonable.</w:t>
      </w:r>
      <w:r>
        <w:rPr>
          <w:rStyle w:val="FootnoteReference"/>
        </w:rPr>
        <w:footnoteReference w:id="4"/>
      </w:r>
      <w:r w:rsidR="006E698C">
        <w:rPr>
          <w:bCs/>
        </w:rPr>
        <w:t xml:space="preserve"> </w:t>
      </w:r>
    </w:p>
    <w:p w:rsidR="00D341E2" w:rsidP="00F1196C">
      <w:pPr>
        <w:spacing w:line="480" w:lineRule="auto"/>
        <w:ind w:firstLine="720"/>
        <w:rPr>
          <w:bCs/>
        </w:rPr>
      </w:pPr>
      <w:r w:rsidRPr="006E698C">
        <w:rPr>
          <w:bCs/>
        </w:rPr>
        <w:t xml:space="preserve">On </w:t>
      </w:r>
      <w:r w:rsidR="006E698C">
        <w:rPr>
          <w:bCs/>
        </w:rPr>
        <w:t>December</w:t>
      </w:r>
      <w:r w:rsidRPr="006E698C">
        <w:rPr>
          <w:bCs/>
        </w:rPr>
        <w:t xml:space="preserve"> 29, 2017, Ohio Gas filed a motion to strike </w:t>
      </w:r>
      <w:r w:rsidR="00186AFD">
        <w:rPr>
          <w:bCs/>
        </w:rPr>
        <w:t>OCC O</w:t>
      </w:r>
      <w:r w:rsidRPr="006E698C">
        <w:rPr>
          <w:bCs/>
        </w:rPr>
        <w:t>bjection 2</w:t>
      </w:r>
      <w:r w:rsidR="00DF08DA">
        <w:rPr>
          <w:bCs/>
        </w:rPr>
        <w:t xml:space="preserve"> on the grounds that </w:t>
      </w:r>
      <w:r w:rsidR="00E245D0">
        <w:rPr>
          <w:bCs/>
        </w:rPr>
        <w:t xml:space="preserve">the </w:t>
      </w:r>
      <w:r w:rsidR="00DF08DA">
        <w:rPr>
          <w:bCs/>
        </w:rPr>
        <w:t>objection was not specific enough.</w:t>
      </w:r>
      <w:r w:rsidRPr="006E698C">
        <w:rPr>
          <w:bCs/>
        </w:rPr>
        <w:t xml:space="preserve"> Ohio Gas’s motion is meritless and should be denied.</w:t>
      </w:r>
    </w:p>
    <w:p w:rsidR="00F1196C" w:rsidRPr="00D936EB" w:rsidP="00F1196C">
      <w:pPr>
        <w:ind w:firstLine="720"/>
        <w:rPr>
          <w:bCs/>
        </w:rPr>
      </w:pPr>
    </w:p>
    <w:p w:rsidR="00D276A4" w:rsidRPr="006E698C" w:rsidP="00F1196C">
      <w:pPr>
        <w:pStyle w:val="ListParagraph"/>
        <w:numPr>
          <w:ilvl w:val="0"/>
          <w:numId w:val="12"/>
        </w:numPr>
        <w:ind w:left="720" w:leftChars="0"/>
        <w:rPr>
          <w:rFonts w:ascii="Times New Roman" w:hAnsi="Times New Roman"/>
          <w:b/>
          <w:bCs/>
          <w:szCs w:val="24"/>
        </w:rPr>
      </w:pPr>
      <w:r>
        <w:rPr>
          <w:rFonts w:ascii="Times New Roman" w:hAnsi="Times New Roman"/>
          <w:b/>
          <w:bCs/>
          <w:szCs w:val="24"/>
        </w:rPr>
        <w:t>RECOMMENDATION</w:t>
      </w:r>
    </w:p>
    <w:p w:rsidR="00D276A4" w:rsidRPr="006E698C" w:rsidP="00D276A4">
      <w:pPr>
        <w:rPr>
          <w:bCs/>
        </w:rPr>
      </w:pPr>
    </w:p>
    <w:p w:rsidR="00186AFD" w:rsidP="00F1196C">
      <w:pPr>
        <w:spacing w:line="480" w:lineRule="auto"/>
        <w:ind w:firstLine="720"/>
        <w:rPr>
          <w:bCs/>
        </w:rPr>
      </w:pPr>
      <w:r w:rsidRPr="006E698C">
        <w:rPr>
          <w:bCs/>
        </w:rPr>
        <w:t xml:space="preserve">Ohio Gas states that OCC </w:t>
      </w:r>
      <w:r>
        <w:rPr>
          <w:bCs/>
        </w:rPr>
        <w:t>O</w:t>
      </w:r>
      <w:r w:rsidRPr="006E698C">
        <w:rPr>
          <w:bCs/>
        </w:rPr>
        <w:t xml:space="preserve">bjection 2 should be </w:t>
      </w:r>
      <w:r>
        <w:rPr>
          <w:bCs/>
        </w:rPr>
        <w:t>stricken</w:t>
      </w:r>
      <w:r w:rsidRPr="006E698C">
        <w:rPr>
          <w:bCs/>
        </w:rPr>
        <w:t xml:space="preserve"> </w:t>
      </w:r>
      <w:r>
        <w:rPr>
          <w:bCs/>
        </w:rPr>
        <w:t xml:space="preserve">because it </w:t>
      </w:r>
      <w:r w:rsidRPr="006E698C">
        <w:rPr>
          <w:bCs/>
        </w:rPr>
        <w:t>is not specific enough to</w:t>
      </w:r>
      <w:r>
        <w:rPr>
          <w:bCs/>
        </w:rPr>
        <w:t xml:space="preserve"> “sufficiently</w:t>
      </w:r>
      <w:r w:rsidRPr="006E698C">
        <w:rPr>
          <w:bCs/>
        </w:rPr>
        <w:t xml:space="preserve"> inform the parties as to the area of disa</w:t>
      </w:r>
      <w:r>
        <w:rPr>
          <w:bCs/>
        </w:rPr>
        <w:t>greement”</w:t>
      </w:r>
      <w:r>
        <w:rPr>
          <w:rStyle w:val="FootnoteReference"/>
          <w:bCs/>
        </w:rPr>
        <w:footnoteReference w:id="5"/>
      </w:r>
      <w:r>
        <w:rPr>
          <w:bCs/>
        </w:rPr>
        <w:t xml:space="preserve"> and because it lacks </w:t>
      </w:r>
      <w:r w:rsidR="00F1196C">
        <w:rPr>
          <w:bCs/>
        </w:rPr>
        <w:t>intrinsic</w:t>
      </w:r>
      <w:r>
        <w:rPr>
          <w:bCs/>
        </w:rPr>
        <w:t xml:space="preserve"> legal merit.</w:t>
      </w:r>
      <w:r>
        <w:rPr>
          <w:rStyle w:val="FootnoteReference"/>
          <w:bCs/>
        </w:rPr>
        <w:footnoteReference w:id="6"/>
      </w:r>
      <w:r>
        <w:rPr>
          <w:bCs/>
        </w:rPr>
        <w:t xml:space="preserve"> Ohio Gas is wrong on both counts. </w:t>
      </w:r>
      <w:r w:rsidR="00F1196C">
        <w:rPr>
          <w:bCs/>
        </w:rPr>
        <w:t>Its</w:t>
      </w:r>
      <w:r>
        <w:rPr>
          <w:bCs/>
        </w:rPr>
        <w:t xml:space="preserve"> motion should be denied</w:t>
      </w:r>
      <w:r w:rsidRPr="006E698C">
        <w:rPr>
          <w:bCs/>
        </w:rPr>
        <w:t xml:space="preserve">. </w:t>
      </w:r>
    </w:p>
    <w:p w:rsidR="00186AFD" w:rsidP="00F1196C">
      <w:pPr>
        <w:spacing w:line="480" w:lineRule="auto"/>
        <w:ind w:firstLine="720"/>
        <w:rPr>
          <w:bCs/>
        </w:rPr>
      </w:pPr>
      <w:r>
        <w:rPr>
          <w:bCs/>
        </w:rPr>
        <w:t>Under Ohio Admin. Code 4901-1-28(B), “objections may relate to the findings, conclusions, or recommendations contained in the report, or to the failure of the report to address one or more specific items. All objections must be specific.”</w:t>
      </w:r>
      <w:r>
        <w:rPr>
          <w:rStyle w:val="FootnoteReference"/>
          <w:bCs/>
        </w:rPr>
        <w:footnoteReference w:id="7"/>
      </w:r>
      <w:r>
        <w:rPr>
          <w:bCs/>
        </w:rPr>
        <w:t xml:space="preserve"> Objections </w:t>
      </w:r>
      <w:r w:rsidR="00E245D0">
        <w:rPr>
          <w:bCs/>
        </w:rPr>
        <w:t xml:space="preserve">that </w:t>
      </w:r>
      <w:r>
        <w:rPr>
          <w:bCs/>
        </w:rPr>
        <w:t>fail to meet this requirement may be stricken.</w:t>
      </w:r>
      <w:r>
        <w:rPr>
          <w:rStyle w:val="FootnoteReference"/>
          <w:bCs/>
        </w:rPr>
        <w:footnoteReference w:id="8"/>
      </w:r>
      <w:r>
        <w:rPr>
          <w:bCs/>
        </w:rPr>
        <w:t xml:space="preserve"> Thus, as the PUCO has previously explained, “the only requirement as to objections are that they must related to findings, conclusions, or recommendations in a staff report, or must relate to the failure of the staff report to address as items, and must be specific. The intrinsic merit, or lack of merit, of any </w:t>
      </w:r>
      <w:r>
        <w:rPr>
          <w:bCs/>
        </w:rPr>
        <w:t>particular objections must be dealt with following the evidentiary hearing on the matter, not by striking it prior to that time.”</w:t>
      </w:r>
      <w:r>
        <w:rPr>
          <w:rStyle w:val="FootnoteReference"/>
          <w:bCs/>
        </w:rPr>
        <w:footnoteReference w:id="9"/>
      </w:r>
    </w:p>
    <w:p w:rsidR="00D276A4" w:rsidRPr="006E698C" w:rsidP="00F1196C">
      <w:pPr>
        <w:spacing w:line="480" w:lineRule="auto"/>
        <w:ind w:firstLine="720"/>
        <w:rPr>
          <w:bCs/>
        </w:rPr>
      </w:pPr>
      <w:r>
        <w:rPr>
          <w:bCs/>
        </w:rPr>
        <w:t>Ohio Gas’s Motion asserts that OCC Objection 2 lacks specificity in violation of Ohio Admin. Code 4901-1-28(B). OCC Objection 2</w:t>
      </w:r>
      <w:r w:rsidRPr="006E698C">
        <w:rPr>
          <w:bCs/>
        </w:rPr>
        <w:t xml:space="preserve"> </w:t>
      </w:r>
      <w:r w:rsidR="00D936EB">
        <w:rPr>
          <w:bCs/>
        </w:rPr>
        <w:t>asserts</w:t>
      </w:r>
      <w:r w:rsidRPr="006E698C">
        <w:rPr>
          <w:bCs/>
        </w:rPr>
        <w:t xml:space="preserve"> that the</w:t>
      </w:r>
      <w:r>
        <w:rPr>
          <w:bCs/>
        </w:rPr>
        <w:t xml:space="preserve"> rate of return recommended in the</w:t>
      </w:r>
      <w:r w:rsidRPr="006E698C">
        <w:rPr>
          <w:bCs/>
        </w:rPr>
        <w:t xml:space="preserve"> Staff Report</w:t>
      </w:r>
      <w:r>
        <w:rPr>
          <w:bCs/>
        </w:rPr>
        <w:t xml:space="preserve"> is unjust and unreasonable because </w:t>
      </w:r>
      <w:r w:rsidR="00D936EB">
        <w:rPr>
          <w:bCs/>
        </w:rPr>
        <w:t xml:space="preserve">it was </w:t>
      </w:r>
      <w:r w:rsidRPr="006E698C">
        <w:rPr>
          <w:bCs/>
        </w:rPr>
        <w:t>determin</w:t>
      </w:r>
      <w:r>
        <w:rPr>
          <w:bCs/>
        </w:rPr>
        <w:t>e</w:t>
      </w:r>
      <w:r w:rsidR="00D936EB">
        <w:rPr>
          <w:bCs/>
        </w:rPr>
        <w:t>d</w:t>
      </w:r>
      <w:r>
        <w:rPr>
          <w:bCs/>
        </w:rPr>
        <w:t xml:space="preserve"> </w:t>
      </w:r>
      <w:r w:rsidR="00D936EB">
        <w:rPr>
          <w:bCs/>
        </w:rPr>
        <w:t>by usi</w:t>
      </w:r>
      <w:r w:rsidRPr="006E698C">
        <w:rPr>
          <w:bCs/>
        </w:rPr>
        <w:t>ng</w:t>
      </w:r>
      <w:r>
        <w:rPr>
          <w:bCs/>
        </w:rPr>
        <w:t xml:space="preserve"> </w:t>
      </w:r>
      <w:r w:rsidR="00D936EB">
        <w:rPr>
          <w:bCs/>
        </w:rPr>
        <w:t>a</w:t>
      </w:r>
      <w:r>
        <w:rPr>
          <w:bCs/>
        </w:rPr>
        <w:t xml:space="preserve"> capital structure of 100%</w:t>
      </w:r>
      <w:r w:rsidR="00D936EB">
        <w:rPr>
          <w:bCs/>
        </w:rPr>
        <w:t xml:space="preserve"> equity, which is flawed and improper for ratemaking purposes. </w:t>
      </w:r>
      <w:r>
        <w:rPr>
          <w:bCs/>
        </w:rPr>
        <w:t xml:space="preserve">On its face, </w:t>
      </w:r>
      <w:r w:rsidRPr="006E698C">
        <w:rPr>
          <w:bCs/>
        </w:rPr>
        <w:t>OCC</w:t>
      </w:r>
      <w:r>
        <w:rPr>
          <w:bCs/>
        </w:rPr>
        <w:t xml:space="preserve"> Objection 2 satisfies the specificity standard as it </w:t>
      </w:r>
      <w:r w:rsidR="00F1196C">
        <w:rPr>
          <w:bCs/>
        </w:rPr>
        <w:t>pertain</w:t>
      </w:r>
      <w:r w:rsidR="00AC2F7A">
        <w:rPr>
          <w:bCs/>
        </w:rPr>
        <w:t>s</w:t>
      </w:r>
      <w:r>
        <w:rPr>
          <w:bCs/>
        </w:rPr>
        <w:t xml:space="preserve"> to the staff report and its meaning is clear and understandable</w:t>
      </w:r>
      <w:r w:rsidRPr="006E698C">
        <w:rPr>
          <w:bCs/>
        </w:rPr>
        <w:t>.</w:t>
      </w:r>
      <w:r w:rsidR="00D936EB">
        <w:rPr>
          <w:bCs/>
        </w:rPr>
        <w:t xml:space="preserve"> </w:t>
      </w:r>
      <w:r w:rsidR="00996D64">
        <w:rPr>
          <w:bCs/>
        </w:rPr>
        <w:t xml:space="preserve">In addition, </w:t>
      </w:r>
      <w:r w:rsidR="00D341E2">
        <w:rPr>
          <w:bCs/>
        </w:rPr>
        <w:t xml:space="preserve">OCC Objection 2 </w:t>
      </w:r>
      <w:r w:rsidR="00D936EB">
        <w:rPr>
          <w:bCs/>
        </w:rPr>
        <w:t>is not a short conclusory statement that fails to provide the basis for its conclusion. OCC’s objection specifically identifies the basis for the “area of disagreement” with the Staff Report’s rate of return recommendation—the use of a 100% equity capital structure.</w:t>
      </w:r>
      <w:r>
        <w:rPr>
          <w:rStyle w:val="FootnoteReference"/>
          <w:bCs/>
        </w:rPr>
        <w:footnoteReference w:id="10"/>
      </w:r>
      <w:r w:rsidR="00D341E2">
        <w:rPr>
          <w:bCs/>
        </w:rPr>
        <w:t xml:space="preserve"> </w:t>
      </w:r>
      <w:r w:rsidR="00D936EB">
        <w:rPr>
          <w:bCs/>
        </w:rPr>
        <w:t>The PUCO has previously deemed this</w:t>
      </w:r>
      <w:r>
        <w:rPr>
          <w:bCs/>
        </w:rPr>
        <w:t xml:space="preserve"> level of specifi</w:t>
      </w:r>
      <w:r w:rsidR="00D936EB">
        <w:rPr>
          <w:bCs/>
        </w:rPr>
        <w:t>ci</w:t>
      </w:r>
      <w:r>
        <w:rPr>
          <w:bCs/>
        </w:rPr>
        <w:t>ty</w:t>
      </w:r>
      <w:r w:rsidR="00D936EB">
        <w:rPr>
          <w:bCs/>
        </w:rPr>
        <w:t xml:space="preserve"> sufficient under Ohio Admin. Code 4901-1-28(B)</w:t>
      </w:r>
      <w:r>
        <w:rPr>
          <w:bCs/>
        </w:rPr>
        <w:t>.</w:t>
      </w:r>
      <w:r>
        <w:rPr>
          <w:rStyle w:val="FootnoteReference"/>
          <w:bCs/>
        </w:rPr>
        <w:footnoteReference w:id="11"/>
      </w:r>
      <w:r w:rsidR="00D936EB">
        <w:rPr>
          <w:bCs/>
        </w:rPr>
        <w:t xml:space="preserve"> </w:t>
      </w:r>
    </w:p>
    <w:p w:rsidR="00D276A4" w:rsidP="00F1196C">
      <w:pPr>
        <w:spacing w:line="480" w:lineRule="auto"/>
        <w:ind w:firstLine="720"/>
        <w:rPr>
          <w:bCs/>
        </w:rPr>
      </w:pPr>
      <w:r w:rsidRPr="006E698C">
        <w:rPr>
          <w:bCs/>
        </w:rPr>
        <w:t>Ohio Gas</w:t>
      </w:r>
      <w:r w:rsidR="00186AFD">
        <w:rPr>
          <w:bCs/>
        </w:rPr>
        <w:t xml:space="preserve">’s argument </w:t>
      </w:r>
      <w:r w:rsidRPr="006E698C">
        <w:rPr>
          <w:bCs/>
        </w:rPr>
        <w:t xml:space="preserve">that OCC Objection 2 </w:t>
      </w:r>
      <w:r w:rsidR="00186AFD">
        <w:rPr>
          <w:bCs/>
        </w:rPr>
        <w:t xml:space="preserve">be stricken on the merits is </w:t>
      </w:r>
      <w:r w:rsidR="00F1196C">
        <w:rPr>
          <w:bCs/>
        </w:rPr>
        <w:t>equaling</w:t>
      </w:r>
      <w:r w:rsidR="00186AFD">
        <w:rPr>
          <w:bCs/>
        </w:rPr>
        <w:t xml:space="preserve"> unpersuasive. As stated above, the intrinsic merit of an objection is irrelevant in terms of a motion to strike objections. The merit of each objection is a matter to be dealt with at hearing, not through a motion to strike the objection. </w:t>
      </w:r>
      <w:r w:rsidRPr="006E698C">
        <w:rPr>
          <w:bCs/>
        </w:rPr>
        <w:t>Ohio Gas is improperly asking the PUCO for pretrial judgment on the merits of this issue.</w:t>
      </w:r>
      <w:r w:rsidR="00186AFD">
        <w:rPr>
          <w:bCs/>
        </w:rPr>
        <w:t xml:space="preserve"> </w:t>
      </w:r>
    </w:p>
    <w:p w:rsidR="00D276A4" w:rsidRPr="006E698C" w:rsidP="00D276A4">
      <w:pPr>
        <w:rPr>
          <w:bCs/>
        </w:rPr>
      </w:pPr>
    </w:p>
    <w:p w:rsidR="00D276A4" w:rsidRPr="006E698C" w:rsidP="00F1196C">
      <w:pPr>
        <w:pStyle w:val="ListParagraph"/>
        <w:numPr>
          <w:ilvl w:val="0"/>
          <w:numId w:val="12"/>
        </w:numPr>
        <w:ind w:left="720" w:leftChars="0"/>
        <w:rPr>
          <w:rFonts w:ascii="Times New Roman" w:hAnsi="Times New Roman"/>
          <w:b/>
          <w:bCs/>
          <w:szCs w:val="24"/>
        </w:rPr>
      </w:pPr>
      <w:r>
        <w:rPr>
          <w:rFonts w:ascii="Times New Roman" w:hAnsi="Times New Roman"/>
          <w:b/>
          <w:bCs/>
          <w:szCs w:val="24"/>
        </w:rPr>
        <w:t>CONCLUSION</w:t>
      </w:r>
    </w:p>
    <w:p w:rsidR="006E698C" w:rsidRPr="006E698C" w:rsidP="006E698C">
      <w:pPr>
        <w:rPr>
          <w:b/>
          <w:bCs/>
        </w:rPr>
      </w:pPr>
    </w:p>
    <w:p w:rsidR="006E698C" w:rsidRPr="006E698C" w:rsidP="00F1196C">
      <w:pPr>
        <w:spacing w:line="480" w:lineRule="auto"/>
        <w:ind w:firstLine="720"/>
        <w:rPr>
          <w:bCs/>
        </w:rPr>
      </w:pPr>
      <w:r w:rsidRPr="006E698C">
        <w:rPr>
          <w:bCs/>
        </w:rPr>
        <w:t xml:space="preserve">Ohio Gas’s motion to strike OCC Objection 2 is a premature attack on the merits of OCC’s objection. The objection </w:t>
      </w:r>
      <w:r w:rsidR="00996D64">
        <w:rPr>
          <w:bCs/>
        </w:rPr>
        <w:t>relates</w:t>
      </w:r>
      <w:r w:rsidR="00D936EB">
        <w:rPr>
          <w:bCs/>
        </w:rPr>
        <w:t xml:space="preserve"> to the Staff Report and is </w:t>
      </w:r>
      <w:r w:rsidRPr="006E698C">
        <w:rPr>
          <w:bCs/>
        </w:rPr>
        <w:t>specific enough to inform the parties of OCC</w:t>
      </w:r>
      <w:r w:rsidR="00D936EB">
        <w:rPr>
          <w:bCs/>
        </w:rPr>
        <w:t>’s area of concern in order</w:t>
      </w:r>
      <w:r w:rsidR="00186AFD">
        <w:rPr>
          <w:bCs/>
        </w:rPr>
        <w:t xml:space="preserve"> to protect the consumers of Ohio Gas</w:t>
      </w:r>
      <w:r w:rsidRPr="006E698C">
        <w:rPr>
          <w:bCs/>
        </w:rPr>
        <w:t>. Therefore, Ohio Gas’s motion should be denied.</w:t>
      </w:r>
    </w:p>
    <w:p w:rsidR="00E334A8" w:rsidP="00E334A8">
      <w:pPr>
        <w:pStyle w:val="BodyText"/>
        <w:ind w:left="0"/>
      </w:pPr>
    </w:p>
    <w:p w:rsidR="00F1196C" w:rsidP="00E334A8">
      <w:pPr>
        <w:pStyle w:val="BodyText"/>
        <w:ind w:left="0"/>
      </w:pPr>
    </w:p>
    <w:p w:rsidR="00F1196C" w:rsidRPr="006849DE" w:rsidP="00F1196C">
      <w:pPr>
        <w:ind w:left="3600" w:firstLine="720"/>
        <w:rPr>
          <w:rFonts w:eastAsiaTheme="minorEastAsia"/>
        </w:rPr>
      </w:pPr>
      <w:r>
        <w:rPr>
          <w:rFonts w:eastAsiaTheme="minorEastAsia"/>
        </w:rPr>
        <w:t xml:space="preserve">BRUCE </w:t>
      </w:r>
      <w:r w:rsidRPr="006849DE">
        <w:rPr>
          <w:rFonts w:eastAsiaTheme="minorEastAsia"/>
        </w:rPr>
        <w:t>WESTON (0016973)</w:t>
      </w:r>
    </w:p>
    <w:p w:rsidR="00F1196C" w:rsidRPr="006849DE" w:rsidP="00F1196C">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OHIO CONSUMERS’ COUNSEL</w:t>
      </w:r>
    </w:p>
    <w:p w:rsidR="00F1196C" w:rsidP="00F1196C">
      <w:pPr>
        <w:ind w:left="3600" w:firstLine="720"/>
        <w:rPr>
          <w:rFonts w:eastAsiaTheme="minorEastAsia"/>
          <w:i/>
          <w:u w:val="single"/>
        </w:rPr>
      </w:pPr>
    </w:p>
    <w:p w:rsidR="00F1196C" w:rsidRPr="00AA5AFA" w:rsidP="00F1196C">
      <w:pPr>
        <w:ind w:left="3600" w:firstLine="720"/>
        <w:rPr>
          <w:rFonts w:eastAsiaTheme="minorEastAsia"/>
          <w:i/>
          <w:u w:val="single"/>
        </w:rPr>
      </w:pPr>
      <w:r>
        <w:rPr>
          <w:rFonts w:eastAsiaTheme="minorEastAsia"/>
          <w:i/>
          <w:u w:val="single"/>
        </w:rPr>
        <w:t>/s/ Kevin F. Moore____</w:t>
      </w:r>
    </w:p>
    <w:p w:rsidR="00F1196C" w:rsidRPr="006849DE" w:rsidP="00F1196C">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Pr>
          <w:rFonts w:eastAsiaTheme="minorEastAsia"/>
        </w:rPr>
        <w:t>Kevin F. Moore</w:t>
      </w:r>
      <w:r w:rsidRPr="006849DE">
        <w:rPr>
          <w:rFonts w:eastAsiaTheme="minorEastAsia"/>
        </w:rPr>
        <w:t xml:space="preserve"> (</w:t>
      </w:r>
      <w:r>
        <w:rPr>
          <w:rFonts w:eastAsiaTheme="minorEastAsia"/>
        </w:rPr>
        <w:t>0089228)</w:t>
      </w:r>
      <w:r>
        <w:rPr>
          <w:rFonts w:eastAsiaTheme="minorEastAsia"/>
        </w:rPr>
        <w:tab/>
      </w:r>
      <w:r>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Pr>
          <w:rFonts w:eastAsiaTheme="minorEastAsia"/>
        </w:rPr>
        <w:tab/>
      </w:r>
      <w:r w:rsidRPr="006849DE">
        <w:rPr>
          <w:rFonts w:eastAsiaTheme="minorEastAsia"/>
        </w:rPr>
        <w:t>Assistant Consumers’ Counsel</w:t>
      </w:r>
    </w:p>
    <w:p w:rsidR="00F1196C" w:rsidRPr="006849DE" w:rsidP="00F1196C">
      <w:pPr>
        <w:rPr>
          <w:rFonts w:eastAsiaTheme="minorEastAsia"/>
        </w:rPr>
      </w:pPr>
    </w:p>
    <w:p w:rsidR="00F1196C" w:rsidRPr="006849DE" w:rsidP="00F1196C">
      <w:pPr>
        <w:rPr>
          <w:rFonts w:eastAsiaTheme="minorEastAsia"/>
          <w:b/>
        </w:rPr>
      </w:pP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t>Office of the Ohio Consumers’ Counsel</w:t>
      </w:r>
    </w:p>
    <w:p w:rsidR="00F1196C" w:rsidRPr="006849DE" w:rsidP="00F1196C">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Pr>
          <w:rFonts w:eastAsiaTheme="minorEastAsia"/>
        </w:rPr>
        <w:t>65 East State Street, 7</w:t>
      </w:r>
      <w:r w:rsidRPr="00A95E4A">
        <w:rPr>
          <w:rFonts w:eastAsiaTheme="minorEastAsia"/>
          <w:vertAlign w:val="superscript"/>
        </w:rPr>
        <w:t>th</w:t>
      </w:r>
      <w:r>
        <w:rPr>
          <w:rFonts w:eastAsiaTheme="minorEastAsia"/>
        </w:rPr>
        <w:t xml:space="preserve"> Floor</w:t>
      </w:r>
    </w:p>
    <w:p w:rsidR="00F1196C" w:rsidRPr="006849DE" w:rsidP="00F1196C">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Columbus, Ohio 43215-</w:t>
      </w:r>
      <w:r w:rsidR="00E4478B">
        <w:rPr>
          <w:rFonts w:eastAsiaTheme="minorEastAsia"/>
        </w:rPr>
        <w:t>4213</w:t>
      </w:r>
    </w:p>
    <w:p w:rsidR="00F1196C" w:rsidRPr="006849DE" w:rsidP="00F1196C">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849DE">
        <w:rPr>
          <w:rFonts w:eastAsiaTheme="minorEastAsia"/>
        </w:rPr>
        <w:t>Telephone [Moore]: 614-</w:t>
      </w:r>
      <w:r>
        <w:rPr>
          <w:rFonts w:eastAsiaTheme="minorEastAsia"/>
        </w:rPr>
        <w:t>387-2965</w:t>
      </w:r>
    </w:p>
    <w:p w:rsidR="00F1196C" w:rsidP="00F1196C">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F12BEE">
        <w:rPr>
          <w:rFonts w:eastAsiaTheme="minorEastAsia"/>
        </w:rPr>
        <w:t>Kevin.moore@occ.ohio.gov</w:t>
      </w:r>
    </w:p>
    <w:p w:rsidR="00F1196C" w:rsidRPr="006E698C" w:rsidP="00F1196C">
      <w:pPr>
        <w:pStyle w:val="BodyText"/>
        <w:ind w:left="0"/>
        <w:sectPr w:rsidSect="00777352">
          <w:footerReference w:type="default" r:id="rId6"/>
          <w:pgSz w:w="12240" w:h="15840" w:code="1"/>
          <w:pgMar w:top="1440" w:right="1800" w:bottom="1440" w:left="1800" w:header="720" w:footer="720" w:gutter="0"/>
          <w:pgNumType w:start="2"/>
          <w:cols w:space="720"/>
          <w:docGrid w:linePitch="360"/>
        </w:sect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(will accept service via email)</w:t>
      </w:r>
    </w:p>
    <w:p w:rsidR="008C6F20" w:rsidRPr="006E698C" w:rsidP="008C6F20">
      <w:pPr>
        <w:pStyle w:val="ANSWER"/>
        <w:ind w:left="720"/>
        <w:jc w:val="center"/>
        <w:rPr>
          <w:b/>
          <w:szCs w:val="24"/>
          <w:u w:val="single"/>
        </w:rPr>
      </w:pPr>
      <w:bookmarkStart w:id="5" w:name="_Toc469906196"/>
      <w:bookmarkStart w:id="6" w:name="_Toc496094396"/>
      <w:r w:rsidRPr="006E698C">
        <w:rPr>
          <w:b/>
          <w:szCs w:val="24"/>
          <w:u w:val="single"/>
        </w:rPr>
        <w:t>CERTIFICATE OF SERVICE</w:t>
      </w:r>
    </w:p>
    <w:p w:rsidR="008C6F20" w:rsidRPr="006E698C" w:rsidP="00F1196C">
      <w:pPr>
        <w:spacing w:line="480" w:lineRule="auto"/>
        <w:ind w:firstLine="720"/>
      </w:pPr>
      <w:r w:rsidRPr="006E698C">
        <w:t xml:space="preserve">I hereby certify that a copy of the foregoing </w:t>
      </w:r>
      <w:r w:rsidRPr="006E698C" w:rsidR="00D276A4">
        <w:rPr>
          <w:i/>
        </w:rPr>
        <w:t>Memorandum Contra o</w:t>
      </w:r>
      <w:r w:rsidR="00A86E75">
        <w:rPr>
          <w:i/>
        </w:rPr>
        <w:t>n</w:t>
      </w:r>
      <w:r w:rsidRPr="006E698C" w:rsidR="00D276A4">
        <w:rPr>
          <w:i/>
        </w:rPr>
        <w:t xml:space="preserve"> behal</w:t>
      </w:r>
      <w:r w:rsidRPr="006E698C">
        <w:rPr>
          <w:i/>
        </w:rPr>
        <w:t>f</w:t>
      </w:r>
      <w:r w:rsidRPr="006E698C" w:rsidR="00D276A4">
        <w:rPr>
          <w:i/>
        </w:rPr>
        <w:t xml:space="preserve"> of</w:t>
      </w:r>
      <w:r w:rsidRPr="006E698C">
        <w:rPr>
          <w:i/>
        </w:rPr>
        <w:t xml:space="preserve"> the Office of the Ohio Consumers’ Counsel</w:t>
      </w:r>
      <w:r w:rsidRPr="006E698C">
        <w:t xml:space="preserve"> has been served upon those persons listed below via electronic service this </w:t>
      </w:r>
      <w:r w:rsidRPr="006E698C" w:rsidR="006B74CD">
        <w:t>5</w:t>
      </w:r>
      <w:r w:rsidRPr="006E698C">
        <w:rPr>
          <w:vertAlign w:val="superscript"/>
        </w:rPr>
        <w:t>th</w:t>
      </w:r>
      <w:r w:rsidRPr="006E698C">
        <w:t xml:space="preserve"> day of </w:t>
      </w:r>
      <w:r w:rsidRPr="006E698C" w:rsidR="006B74CD">
        <w:t>January 2018</w:t>
      </w:r>
      <w:r w:rsidRPr="006E698C">
        <w:t>.</w:t>
      </w:r>
    </w:p>
    <w:p w:rsidR="00503CC7" w:rsidRPr="006E698C" w:rsidP="00503CC7"/>
    <w:p w:rsidR="008C6F20" w:rsidRPr="006E698C" w:rsidP="008C6F20">
      <w:pPr>
        <w:tabs>
          <w:tab w:val="left" w:pos="5040"/>
        </w:tabs>
      </w:pPr>
      <w:r w:rsidRPr="006E698C">
        <w:tab/>
      </w:r>
      <w:r w:rsidRPr="006E698C">
        <w:rPr>
          <w:i/>
          <w:u w:val="single"/>
        </w:rPr>
        <w:t>/s/ Kevin Moore</w:t>
      </w:r>
      <w:r w:rsidRPr="006E698C">
        <w:rPr>
          <w:u w:val="single"/>
        </w:rPr>
        <w:t> </w:t>
      </w:r>
      <w:r w:rsidRPr="006E698C">
        <w:rPr>
          <w:u w:val="single"/>
        </w:rPr>
        <w:tab/>
      </w:r>
      <w:r w:rsidRPr="006E698C">
        <w:rPr>
          <w:u w:val="single"/>
        </w:rPr>
        <w:tab/>
        <w:t>   </w:t>
      </w:r>
    </w:p>
    <w:p w:rsidR="008C6F20" w:rsidRPr="006E698C" w:rsidP="008C6F20">
      <w:pPr>
        <w:pStyle w:val="EndnoteText"/>
        <w:tabs>
          <w:tab w:val="left" w:pos="5040"/>
        </w:tabs>
        <w:suppressAutoHyphens/>
        <w:rPr>
          <w:rFonts w:ascii="Times New Roman" w:eastAsia="Times New Roman" w:hAnsi="Times New Roman"/>
        </w:rPr>
      </w:pPr>
      <w:r w:rsidRPr="006E698C">
        <w:rPr>
          <w:rFonts w:ascii="Times New Roman" w:hAnsi="Times New Roman"/>
        </w:rPr>
        <w:tab/>
        <w:t>Kevin Moore</w:t>
      </w:r>
    </w:p>
    <w:p w:rsidR="008C6F20" w:rsidRPr="006E698C" w:rsidP="008C6F20">
      <w:pPr>
        <w:pStyle w:val="EndnoteText"/>
        <w:widowControl/>
        <w:tabs>
          <w:tab w:val="left" w:pos="5040"/>
        </w:tabs>
        <w:suppressAutoHyphens/>
        <w:rPr>
          <w:rFonts w:ascii="Times New Roman" w:eastAsia="Times New Roman" w:hAnsi="Times New Roman"/>
        </w:rPr>
      </w:pPr>
      <w:r w:rsidRPr="006E698C">
        <w:rPr>
          <w:rFonts w:ascii="Times New Roman" w:eastAsia="Times New Roman" w:hAnsi="Times New Roman"/>
        </w:rPr>
        <w:tab/>
        <w:t>Assistant Consumers</w:t>
      </w:r>
      <w:r w:rsidRPr="006E698C">
        <w:rPr>
          <w:rFonts w:ascii="Times New Roman" w:hAnsi="Times New Roman"/>
        </w:rPr>
        <w:t>’ Counsel</w:t>
      </w:r>
    </w:p>
    <w:p w:rsidR="008C6F20" w:rsidRPr="006E698C" w:rsidP="008C6F20">
      <w:pPr>
        <w:pStyle w:val="EndnoteText"/>
        <w:widowControl/>
        <w:rPr>
          <w:rFonts w:ascii="Times New Roman" w:eastAsia="Times New Roman" w:hAnsi="Times New Roman"/>
        </w:rPr>
      </w:pPr>
    </w:p>
    <w:p w:rsidR="008C6F20" w:rsidRPr="006E698C" w:rsidP="008C6F20">
      <w:pPr>
        <w:tabs>
          <w:tab w:val="left" w:pos="5220"/>
        </w:tabs>
      </w:pPr>
    </w:p>
    <w:p w:rsidR="008C6F20" w:rsidRPr="006E698C" w:rsidP="008C6F20">
      <w:pPr>
        <w:jc w:val="center"/>
        <w:rPr>
          <w:b/>
        </w:rPr>
      </w:pPr>
      <w:r w:rsidRPr="006E698C">
        <w:rPr>
          <w:b/>
        </w:rPr>
        <w:t>SERVICE LIST</w:t>
      </w:r>
    </w:p>
    <w:p w:rsidR="008C6F20" w:rsidRPr="006E698C" w:rsidP="008C6F20">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Tr="00376A6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675" w:type="dxa"/>
          </w:tcPr>
          <w:p w:rsidR="008C6F20" w:rsidRPr="006E698C" w:rsidP="00376A6A">
            <w:pPr>
              <w:pStyle w:val="CommentText"/>
              <w:rPr>
                <w:sz w:val="24"/>
                <w:szCs w:val="24"/>
              </w:rPr>
            </w:pPr>
            <w:r w:rsidRPr="006E698C">
              <w:rPr>
                <w:rStyle w:val="DefaultParagraphFont"/>
                <w:sz w:val="24"/>
                <w:szCs w:val="24"/>
              </w:rPr>
              <w:t>Jodi.bair@ohioattorneygeneral.gov</w:t>
            </w:r>
            <w:r w:rsidRPr="006E698C">
              <w:rPr>
                <w:sz w:val="24"/>
                <w:szCs w:val="24"/>
              </w:rPr>
              <w:t xml:space="preserve"> </w:t>
            </w:r>
          </w:p>
          <w:p w:rsidR="008C6F20" w:rsidRPr="006E698C" w:rsidP="00376A6A">
            <w:pPr>
              <w:pStyle w:val="CommentText"/>
              <w:rPr>
                <w:sz w:val="24"/>
                <w:szCs w:val="24"/>
              </w:rPr>
            </w:pPr>
            <w:r w:rsidRPr="006E698C">
              <w:rPr>
                <w:rStyle w:val="DefaultParagraphFont"/>
                <w:sz w:val="24"/>
                <w:szCs w:val="24"/>
              </w:rPr>
              <w:t>Robert.eubanks@ohioattorneygeneral.gov</w:t>
            </w:r>
          </w:p>
          <w:p w:rsidR="008C6F20" w:rsidRPr="006E698C" w:rsidP="00376A6A">
            <w:pPr>
              <w:pStyle w:val="CommentText"/>
              <w:rPr>
                <w:sz w:val="24"/>
                <w:szCs w:val="24"/>
              </w:rPr>
            </w:pPr>
          </w:p>
          <w:p w:rsidR="008C6F20" w:rsidRPr="006E698C" w:rsidP="00376A6A">
            <w:pPr>
              <w:pStyle w:val="CommentText"/>
              <w:rPr>
                <w:sz w:val="24"/>
                <w:szCs w:val="24"/>
              </w:rPr>
            </w:pPr>
            <w:r w:rsidRPr="006E698C">
              <w:rPr>
                <w:sz w:val="24"/>
                <w:szCs w:val="24"/>
              </w:rPr>
              <w:t>Attorney Examiners:</w:t>
            </w:r>
          </w:p>
          <w:p w:rsidR="008C6F20" w:rsidRPr="006E698C" w:rsidP="00376A6A">
            <w:pPr>
              <w:pStyle w:val="CommentText"/>
              <w:rPr>
                <w:sz w:val="24"/>
                <w:szCs w:val="24"/>
              </w:rPr>
            </w:pPr>
            <w:r w:rsidRPr="006E698C">
              <w:rPr>
                <w:rStyle w:val="DefaultParagraphFont"/>
                <w:sz w:val="24"/>
                <w:szCs w:val="24"/>
              </w:rPr>
              <w:t>Sarah.parrot@puc.state.oh.us</w:t>
            </w:r>
            <w:r w:rsidRPr="006E698C">
              <w:rPr>
                <w:sz w:val="24"/>
                <w:szCs w:val="24"/>
              </w:rPr>
              <w:t xml:space="preserve"> </w:t>
            </w:r>
          </w:p>
          <w:p w:rsidR="008C6F20" w:rsidRPr="00F1196C" w:rsidP="00F1196C">
            <w:pPr>
              <w:pStyle w:val="CommentText"/>
              <w:rPr>
                <w:sz w:val="24"/>
                <w:szCs w:val="24"/>
              </w:rPr>
            </w:pPr>
            <w:r w:rsidRPr="006E698C">
              <w:rPr>
                <w:rStyle w:val="DefaultParagraphFont"/>
                <w:sz w:val="24"/>
                <w:szCs w:val="24"/>
              </w:rPr>
              <w:t>Patricia.schabo@puc.state.oh.us</w:t>
            </w:r>
            <w:r w:rsidRPr="006E698C">
              <w:rPr>
                <w:sz w:val="24"/>
                <w:szCs w:val="24"/>
              </w:rPr>
              <w:t xml:space="preserve"> </w:t>
            </w:r>
          </w:p>
        </w:tc>
        <w:tc>
          <w:tcPr>
            <w:tcW w:w="4675" w:type="dxa"/>
          </w:tcPr>
          <w:p w:rsidR="008C6F20" w:rsidRPr="006E698C" w:rsidP="00376A6A">
            <w:pPr>
              <w:autoSpaceDE w:val="0"/>
              <w:autoSpaceDN w:val="0"/>
              <w:adjustRightInd w:val="0"/>
            </w:pPr>
            <w:r w:rsidRPr="006E698C">
              <w:rPr>
                <w:rStyle w:val="DefaultParagraphFont"/>
              </w:rPr>
              <w:t>fdarr@mwncmh.com</w:t>
            </w:r>
            <w:r w:rsidRPr="006E698C">
              <w:t xml:space="preserve"> </w:t>
            </w:r>
          </w:p>
          <w:p w:rsidR="008C6F20" w:rsidRPr="006E698C" w:rsidP="00376A6A">
            <w:pPr>
              <w:autoSpaceDE w:val="0"/>
              <w:autoSpaceDN w:val="0"/>
              <w:adjustRightInd w:val="0"/>
            </w:pPr>
            <w:r w:rsidRPr="006E698C">
              <w:rPr>
                <w:rStyle w:val="DefaultParagraphFont"/>
              </w:rPr>
              <w:t>mpritchard@mwncmh.com</w:t>
            </w:r>
            <w:r w:rsidRPr="006E698C">
              <w:t xml:space="preserve"> </w:t>
            </w:r>
          </w:p>
          <w:p w:rsidR="008C6F20" w:rsidRPr="006E698C" w:rsidP="00376A6A"/>
        </w:tc>
      </w:tr>
    </w:tbl>
    <w:p w:rsidR="00777352" w:rsidP="00777352">
      <w:bookmarkEnd w:id="5"/>
      <w:bookmarkEnd w:id="6"/>
    </w:p>
    <w:p w:rsidR="00777352" w:rsidRPr="00777352" w:rsidP="00777352"/>
    <w:p w:rsidR="00777352" w:rsidRPr="00777352" w:rsidP="00777352"/>
    <w:p w:rsidR="00777352" w:rsidRPr="00777352" w:rsidP="00777352"/>
    <w:p w:rsidR="00777352" w:rsidP="00777352"/>
    <w:p w:rsidR="00F1196C" w:rsidRPr="00777352" w:rsidP="00777352">
      <w:pPr>
        <w:tabs>
          <w:tab w:val="left" w:pos="3330"/>
        </w:tabs>
      </w:pPr>
      <w:r>
        <w:tab/>
      </w:r>
    </w:p>
    <w:sectPr w:rsidSect="00503CC7">
      <w:headerReference w:type="default" r:id="rId7"/>
      <w:footerReference w:type="default" r:id="rId8"/>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3550150"/>
      <w:docPartObj>
        <w:docPartGallery w:val="Page Numbers (Bottom of Page)"/>
        <w:docPartUnique/>
      </w:docPartObj>
    </w:sdtPr>
    <w:sdtEndPr>
      <w:rPr>
        <w:noProof/>
      </w:rPr>
    </w:sdtEndPr>
    <w:sdtContent>
      <w:p w:rsidR="00777352">
        <w:pPr>
          <w:pStyle w:val="Footer"/>
          <w:jc w:val="center"/>
        </w:pPr>
      </w:p>
    </w:sdtContent>
  </w:sdt>
  <w:p w:rsidR="000F0676" w:rsidRPr="0007378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0529969"/>
      <w:docPartObj>
        <w:docPartGallery w:val="Page Numbers (Bottom of Page)"/>
        <w:docPartUnique/>
      </w:docPartObj>
    </w:sdtPr>
    <w:sdtEndPr>
      <w:rPr>
        <w:noProof/>
      </w:rPr>
    </w:sdtEndPr>
    <w:sdtContent>
      <w:p w:rsidR="00777352">
        <w:pPr>
          <w:pStyle w:val="Footer"/>
          <w:jc w:val="center"/>
        </w:pPr>
        <w:r>
          <w:fldChar w:fldCharType="begin"/>
        </w:r>
        <w:r>
          <w:instrText xml:space="preserve"> PAGE   \* MERGEFORMAT </w:instrText>
        </w:r>
        <w:r>
          <w:fldChar w:fldCharType="separate"/>
        </w:r>
        <w:r w:rsidR="002D72AC">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6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26D5">
      <w:r>
        <w:separator/>
      </w:r>
    </w:p>
  </w:footnote>
  <w:footnote w:type="continuationSeparator" w:id="1">
    <w:p w:rsidR="008D26D5">
      <w:r>
        <w:continuationSeparator/>
      </w:r>
    </w:p>
  </w:footnote>
  <w:footnote w:id="2">
    <w:p w:rsidR="006E698C" w:rsidRPr="00777352" w:rsidP="00F1196C">
      <w:pPr>
        <w:pStyle w:val="FootnoteText"/>
        <w:spacing w:before="0" w:after="120"/>
      </w:pPr>
      <w:r w:rsidRPr="00777352">
        <w:rPr>
          <w:rStyle w:val="FootnoteReference"/>
        </w:rPr>
        <w:footnoteRef/>
      </w:r>
      <w:r w:rsidRPr="00777352">
        <w:t xml:space="preserve"> See Staff Report at 17.</w:t>
      </w:r>
    </w:p>
  </w:footnote>
  <w:footnote w:id="3">
    <w:p w:rsidR="006E698C" w:rsidRPr="00777352" w:rsidP="00F1196C">
      <w:pPr>
        <w:pStyle w:val="FootnoteText"/>
        <w:spacing w:before="0" w:after="120"/>
      </w:pPr>
      <w:r w:rsidRPr="00777352">
        <w:rPr>
          <w:rStyle w:val="FootnoteReference"/>
        </w:rPr>
        <w:footnoteRef/>
      </w:r>
      <w:r w:rsidRPr="00777352">
        <w:t xml:space="preserve"> See R.C. Chapter 4911.</w:t>
      </w:r>
    </w:p>
  </w:footnote>
  <w:footnote w:id="4">
    <w:p w:rsidR="00186AFD" w:rsidRPr="00777352" w:rsidP="00F1196C">
      <w:pPr>
        <w:pStyle w:val="FootnoteText"/>
        <w:spacing w:before="0" w:after="120"/>
      </w:pPr>
      <w:r w:rsidRPr="00777352">
        <w:rPr>
          <w:rStyle w:val="FootnoteReference"/>
        </w:rPr>
        <w:footnoteRef/>
      </w:r>
      <w:r w:rsidRPr="00777352">
        <w:t xml:space="preserve"> See OCC Objections to the Staff Report at 3 (December 22, 2017).</w:t>
      </w:r>
    </w:p>
  </w:footnote>
  <w:footnote w:id="5">
    <w:p w:rsidR="00186AFD" w:rsidRPr="00777352" w:rsidP="00F1196C">
      <w:pPr>
        <w:pStyle w:val="FootnoteText"/>
        <w:spacing w:before="0" w:after="120"/>
      </w:pPr>
      <w:r w:rsidRPr="00777352">
        <w:rPr>
          <w:rStyle w:val="FootnoteReference"/>
        </w:rPr>
        <w:footnoteRef/>
      </w:r>
      <w:r w:rsidRPr="00777352">
        <w:t xml:space="preserve"> Ohio Gas Motion to Strike at 3.</w:t>
      </w:r>
    </w:p>
  </w:footnote>
  <w:footnote w:id="6">
    <w:p w:rsidR="00186AFD" w:rsidRPr="00777352" w:rsidP="00F1196C">
      <w:pPr>
        <w:pStyle w:val="FootnoteText"/>
        <w:spacing w:before="0" w:after="120"/>
      </w:pPr>
      <w:r w:rsidRPr="00777352">
        <w:rPr>
          <w:rStyle w:val="FootnoteReference"/>
        </w:rPr>
        <w:footnoteRef/>
      </w:r>
      <w:r w:rsidRPr="00777352">
        <w:t xml:space="preserve"> Ohio Gas Motion to Strike at 3-4.</w:t>
      </w:r>
    </w:p>
  </w:footnote>
  <w:footnote w:id="7">
    <w:p w:rsidR="00186AFD" w:rsidRPr="00777352" w:rsidP="00F1196C">
      <w:pPr>
        <w:pStyle w:val="FootnoteText"/>
        <w:spacing w:before="0" w:after="120"/>
      </w:pPr>
      <w:r w:rsidRPr="00777352">
        <w:rPr>
          <w:rStyle w:val="FootnoteReference"/>
        </w:rPr>
        <w:footnoteRef/>
      </w:r>
      <w:r w:rsidRPr="00777352">
        <w:t xml:space="preserve"> </w:t>
      </w:r>
      <w:r w:rsidRPr="00777352">
        <w:rPr>
          <w:bCs/>
        </w:rPr>
        <w:t>Ohio Admin. Code 4901-1-28(B).</w:t>
      </w:r>
    </w:p>
  </w:footnote>
  <w:footnote w:id="8">
    <w:p w:rsidR="00186AFD" w:rsidRPr="00777352" w:rsidP="00F1196C">
      <w:pPr>
        <w:pStyle w:val="FootnoteText"/>
        <w:spacing w:before="0" w:after="120"/>
      </w:pPr>
      <w:r w:rsidRPr="00777352">
        <w:rPr>
          <w:rStyle w:val="FootnoteReference"/>
        </w:rPr>
        <w:footnoteRef/>
      </w:r>
      <w:r w:rsidRPr="00777352">
        <w:t xml:space="preserve"> Ohio Admin. Code 4901-1-28(B).</w:t>
      </w:r>
    </w:p>
  </w:footnote>
  <w:footnote w:id="9">
    <w:p w:rsidR="00186AFD" w:rsidRPr="00777352" w:rsidP="00F1196C">
      <w:pPr>
        <w:pStyle w:val="FootnoteText"/>
        <w:spacing w:before="0" w:after="120"/>
      </w:pPr>
      <w:r w:rsidRPr="00777352">
        <w:rPr>
          <w:rStyle w:val="FootnoteReference"/>
        </w:rPr>
        <w:footnoteRef/>
      </w:r>
      <w:r w:rsidRPr="00777352">
        <w:t xml:space="preserve"> </w:t>
      </w:r>
      <w:r w:rsidRPr="00777352">
        <w:rPr>
          <w:i/>
        </w:rPr>
        <w:t>In the Matter of the Application of Water and Sewer LLC for an Increase in its Rates and Charges</w:t>
      </w:r>
      <w:r w:rsidRPr="00777352">
        <w:t>, Case No. 08-227-WS-AIR, Opinion and Order at 2 (April 14, 2009).</w:t>
      </w:r>
    </w:p>
  </w:footnote>
  <w:footnote w:id="10">
    <w:p w:rsidR="00D936EB" w:rsidRPr="00777352" w:rsidP="00F1196C">
      <w:pPr>
        <w:pStyle w:val="FootnoteText"/>
        <w:spacing w:before="0" w:after="120"/>
      </w:pPr>
      <w:r w:rsidRPr="00777352">
        <w:rPr>
          <w:rStyle w:val="FootnoteReference"/>
        </w:rPr>
        <w:footnoteRef/>
      </w:r>
      <w:r w:rsidRPr="00777352">
        <w:t xml:space="preserve"> </w:t>
      </w:r>
      <w:r w:rsidRPr="00777352">
        <w:rPr>
          <w:i/>
        </w:rPr>
        <w:t>In the Matter of the Application of Copley Square Sewer Company for an Increase in Rates and Charges,</w:t>
      </w:r>
      <w:r w:rsidRPr="00777352">
        <w:t xml:space="preserve"> Case No. 96-573-WW-AIR, et al., Entry at 1-2 (December 27, 1996) (Entry expressing guidance for the required specificity for objections to a staff report. The Entry states that the conclusion must identify the basis for the conclusion reached in the objection).</w:t>
      </w:r>
    </w:p>
  </w:footnote>
  <w:footnote w:id="11">
    <w:p w:rsidR="00186AFD" w:rsidRPr="00777352" w:rsidP="00F1196C">
      <w:pPr>
        <w:pStyle w:val="FootnoteText"/>
        <w:spacing w:before="0" w:after="120"/>
      </w:pPr>
      <w:r w:rsidRPr="00777352">
        <w:rPr>
          <w:rStyle w:val="FootnoteReference"/>
        </w:rPr>
        <w:footnoteRef/>
      </w:r>
      <w:r w:rsidRPr="00777352">
        <w:t xml:space="preserve"> See</w:t>
      </w:r>
      <w:r w:rsidRPr="00777352">
        <w:rPr>
          <w:i/>
        </w:rPr>
        <w:t xml:space="preserve"> In the Matter of the Application of Water and Sewer LLC for an Increase in its Rates and Charges</w:t>
      </w:r>
      <w:r w:rsidRPr="00777352">
        <w:t>, Case No. 08-227-WS-AIR, Opinion and Order at 5 (April 14, 2009) (Finding that an objection need only be specific enough to convey the intervenor’</w:t>
      </w:r>
      <w:r w:rsidRPr="00777352" w:rsidR="00D936EB">
        <w:t>s concern).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676" w:rsidRPr="00503CC7" w:rsidP="00503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21EF5"/>
    <w:multiLevelType w:val="hybridMultilevel"/>
    <w:tmpl w:val="79D8C994"/>
    <w:lvl w:ilvl="0">
      <w:start w:val="1"/>
      <w:numFmt w:val="decimal"/>
      <w:lvlText w:val="(%1)"/>
      <w:lvlJc w:val="left"/>
      <w:pPr>
        <w:ind w:left="1800" w:hanging="360"/>
      </w:pPr>
      <w:rPr>
        <w:rFonts w:eastAsia="Times New Roman" w:hint="default"/>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74B06B0"/>
    <w:multiLevelType w:val="hybridMultilevel"/>
    <w:tmpl w:val="5EEC0AC2"/>
    <w:lvl w:ilvl="0">
      <w:start w:val="1"/>
      <w:numFmt w:val="upperLetter"/>
      <w:pStyle w:val="Heading2"/>
      <w:lvlText w:val="%1."/>
      <w:lvlJc w:val="left"/>
      <w:pPr>
        <w:ind w:left="360" w:hanging="360"/>
      </w:pPr>
      <w:rPr>
        <w:rFonts w:asciiTheme="majorBidi" w:hAnsiTheme="majorBidi" w:cstheme="maj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DB4DBF"/>
    <w:multiLevelType w:val="hybridMultilevel"/>
    <w:tmpl w:val="026AE040"/>
    <w:lvl w:ilvl="0">
      <w:start w:val="1"/>
      <w:numFmt w:val="decimal"/>
      <w:lvlText w:val="%1."/>
      <w:lvlJc w:val="left"/>
      <w:pPr>
        <w:tabs>
          <w:tab w:val="num" w:pos="360"/>
        </w:tabs>
        <w:ind w:left="360" w:hanging="360"/>
      </w:pPr>
      <w:rPr>
        <w:rFonts w:hint="default"/>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5B052E"/>
    <w:multiLevelType w:val="hybridMultilevel"/>
    <w:tmpl w:val="9BBE5F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79026C"/>
    <w:multiLevelType w:val="hybridMultilevel"/>
    <w:tmpl w:val="0C7E84B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2774475C"/>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AE94CDB"/>
    <w:multiLevelType w:val="hybridMultilevel"/>
    <w:tmpl w:val="F7B0E370"/>
    <w:lvl w:ilvl="0">
      <w:start w:val="1"/>
      <w:numFmt w:val="decimal"/>
      <w:lvlText w:val="(%1)"/>
      <w:lvlJc w:val="left"/>
      <w:pPr>
        <w:ind w:left="2880" w:hanging="360"/>
      </w:pPr>
      <w:rPr>
        <w:rFonts w:ascii="Times New Roman" w:hAnsi="Times New Roman" w:cs="Times New Roman" w:hint="default"/>
        <w:b w:val="0"/>
        <w:sz w:val="24"/>
        <w:szCs w:val="24"/>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
    <w:nsid w:val="3F2E0D6F"/>
    <w:multiLevelType w:val="hybridMultilevel"/>
    <w:tmpl w:val="C83A006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72483E"/>
    <w:multiLevelType w:val="hybridMultilevel"/>
    <w:tmpl w:val="809673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3DC6D21"/>
    <w:multiLevelType w:val="hybridMultilevel"/>
    <w:tmpl w:val="2552FE60"/>
    <w:lvl w:ilvl="0">
      <w:start w:val="1"/>
      <w:numFmt w:val="decimal"/>
      <w:lvlText w:val="(%1)"/>
      <w:lvlJc w:val="left"/>
      <w:pPr>
        <w:ind w:left="1800" w:hanging="360"/>
      </w:pPr>
      <w:rPr>
        <w:rFonts w:hint="default"/>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57F47DBB"/>
    <w:multiLevelType w:val="hybridMultilevel"/>
    <w:tmpl w:val="F2F2D53E"/>
    <w:lvl w:ilvl="0">
      <w:start w:val="1"/>
      <w:numFmt w:val="decimal"/>
      <w:lvlText w:val="(%1)"/>
      <w:lvlJc w:val="left"/>
      <w:pPr>
        <w:ind w:left="2520" w:hanging="108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651816A0"/>
    <w:multiLevelType w:val="hybridMultilevel"/>
    <w:tmpl w:val="57E200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9"/>
  </w:num>
  <w:num w:numId="5">
    <w:abstractNumId w:val="0"/>
  </w:num>
  <w:num w:numId="6">
    <w:abstractNumId w:val="3"/>
  </w:num>
  <w:num w:numId="7">
    <w:abstractNumId w:val="5"/>
  </w:num>
  <w:num w:numId="8">
    <w:abstractNumId w:val="11"/>
  </w:num>
  <w:num w:numId="9">
    <w:abstractNumId w:val="8"/>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bordersDoNotSurroundHeader/>
  <w:bordersDoNotSurroundFooter/>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75" w:qFormat="1"/>
    <w:lsdException w:name="heading 2" w:locked="1" w:uiPriority="0" w:qFormat="1"/>
    <w:lsdException w:name="heading 3" w:locked="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uiPriority="39"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05"/>
    <w:rPr>
      <w:sz w:val="24"/>
      <w:szCs w:val="24"/>
    </w:rPr>
  </w:style>
  <w:style w:type="paragraph" w:styleId="Heading1">
    <w:name w:val="heading 1"/>
    <w:basedOn w:val="Normal"/>
    <w:next w:val="Normal"/>
    <w:link w:val="Heading1Char"/>
    <w:autoRedefine/>
    <w:uiPriority w:val="75"/>
    <w:qFormat/>
    <w:rsid w:val="00F1196C"/>
    <w:pPr>
      <w:autoSpaceDE w:val="0"/>
      <w:autoSpaceDN w:val="0"/>
      <w:adjustRightInd w:val="0"/>
      <w:spacing w:after="240"/>
      <w:ind w:left="720" w:hanging="720"/>
      <w:outlineLvl w:val="0"/>
    </w:pPr>
    <w:rPr>
      <w:b/>
      <w:bCs/>
      <w:caps/>
      <w:noProof/>
    </w:rPr>
  </w:style>
  <w:style w:type="paragraph" w:styleId="Heading2">
    <w:name w:val="heading 2"/>
    <w:basedOn w:val="ListParagraph"/>
    <w:next w:val="Normal"/>
    <w:link w:val="Heading2Char"/>
    <w:uiPriority w:val="99"/>
    <w:qFormat/>
    <w:pPr>
      <w:numPr>
        <w:numId w:val="2"/>
      </w:numPr>
      <w:spacing w:line="480" w:lineRule="auto"/>
      <w:ind w:left="1440" w:hanging="720" w:leftChars="0"/>
      <w:outlineLvl w:val="1"/>
    </w:pPr>
    <w:rPr>
      <w:rFonts w:ascii="Times New Roman" w:hAnsi="Times New Roman"/>
      <w:b/>
    </w:rPr>
  </w:style>
  <w:style w:type="paragraph" w:styleId="Heading3">
    <w:name w:val="heading 3"/>
    <w:basedOn w:val="Normal"/>
    <w:next w:val="Normal"/>
    <w:link w:val="Heading3Char"/>
    <w:uiPriority w:val="99"/>
    <w:semiHidden/>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75"/>
    <w:locked/>
    <w:rsid w:val="00F1196C"/>
    <w:rPr>
      <w:b/>
      <w:bCs/>
      <w:caps/>
      <w:noProof/>
      <w:sz w:val="24"/>
      <w:szCs w:val="24"/>
    </w:rPr>
  </w:style>
  <w:style w:type="character" w:customStyle="1" w:styleId="Heading2Char">
    <w:name w:val="Heading 2 Char"/>
    <w:link w:val="Heading2"/>
    <w:uiPriority w:val="99"/>
    <w:locked/>
    <w:rsid w:val="00806805"/>
    <w:rPr>
      <w:b/>
      <w:kern w:val="2"/>
      <w:sz w:val="24"/>
      <w:szCs w:val="22"/>
      <w:lang w:eastAsia="zh-TW"/>
    </w:rPr>
  </w:style>
  <w:style w:type="character" w:customStyle="1" w:styleId="Heading3Char">
    <w:name w:val="Heading 3 Char"/>
    <w:link w:val="Heading3"/>
    <w:uiPriority w:val="99"/>
    <w:semiHidden/>
    <w:locked/>
    <w:rsid w:val="00806805"/>
    <w:rPr>
      <w:rFonts w:ascii="Cambria" w:hAnsi="Cambria"/>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806805"/>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806805"/>
    <w:rPr>
      <w:sz w:val="24"/>
      <w:szCs w:val="24"/>
    </w:rPr>
  </w:style>
  <w:style w:type="character" w:styleId="PageNumber">
    <w:name w:val="page number"/>
    <w:basedOn w:val="DefaultParagraphFont"/>
    <w:uiPriority w:val="99"/>
    <w:semiHidden/>
  </w:style>
  <w:style w:type="paragraph" w:styleId="BodyText">
    <w:name w:val="Body Text"/>
    <w:basedOn w:val="Normal"/>
    <w:link w:val="BodyTextChar"/>
    <w:uiPriority w:val="99"/>
    <w:semiHidden/>
    <w:pPr>
      <w:spacing w:line="480" w:lineRule="auto"/>
      <w:ind w:left="720"/>
    </w:pPr>
    <w:rPr>
      <w:iCs/>
    </w:rPr>
  </w:style>
  <w:style w:type="character" w:customStyle="1" w:styleId="BodyTextChar">
    <w:name w:val="Body Text Char"/>
    <w:link w:val="BodyText"/>
    <w:uiPriority w:val="99"/>
    <w:semiHidden/>
    <w:locked/>
    <w:rsid w:val="00806805"/>
    <w:rPr>
      <w:iCs/>
      <w:sz w:val="24"/>
      <w:szCs w:val="24"/>
    </w:rPr>
  </w:style>
  <w:style w:type="paragraph" w:styleId="FootnoteText">
    <w:name w:val="footnote text"/>
    <w:aliases w:val="ALTS FOOTNOTE,Footnote Text Char,Footnote Text Char Char,Footnote Text Char Char Char Char,Footnote Text Char1,Footnote Text Char1 Char Char1,Footnote Text Char1 Char Char1 Char Char Char,Footnote Text Char2 Char Char Char Char1,fn,fn C,ft"/>
    <w:basedOn w:val="Normal"/>
    <w:link w:val="FootnoteTextChar3"/>
    <w:pPr>
      <w:spacing w:before="120"/>
    </w:pPr>
    <w:rPr>
      <w:sz w:val="20"/>
      <w:szCs w:val="20"/>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semiHidden/>
    <w:rPr>
      <w:sz w:val="20"/>
      <w:szCs w:val="20"/>
    </w:rPr>
  </w:style>
  <w:style w:type="character" w:customStyle="1" w:styleId="FootnoteTextChar21">
    <w:name w:val="Footnote Text Char21"/>
    <w:aliases w:val="Footnote Text Char Char Char Char Char3,Footnote Text Char Char Char3,Footnote Text Char1 Char Char1 Char Char Char Char3,Footnote Text Char1 Char Char1 Char3,Footnote Text Char1 Char3,Footnote Text Char2 Char Char Char Char1 Char3"/>
    <w:uiPriority w:val="99"/>
    <w:semiHidden/>
    <w:rPr>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rPr>
      <w:vertAlign w:val="superscript"/>
    </w:rPr>
  </w:style>
  <w:style w:type="character" w:customStyle="1" w:styleId="FootnoteTextChar1Char2">
    <w:name w:val="Footnote Text Char1 Char2"/>
    <w:aliases w:val="ALTS FOOTNOTE Char,Footnote Text Char Char Char Char Char2,Footnote Text Char Char Char2,Footnote Text Char1 Char Char1 Char Char Char Char2,Footnote Text Char1 Char Char1 Char2,Footnote Text Char2 Char Char Char Char1 Char2"/>
    <w:uiPriority w:val="99"/>
    <w:semiHidden/>
    <w:locked/>
    <w:rPr>
      <w:lang w:val="en-US" w:eastAsia="en-US"/>
    </w:rPr>
  </w:style>
  <w:style w:type="character" w:styleId="Hyperlink">
    <w:name w:val="Hyperlink"/>
    <w:uiPriority w:val="99"/>
    <w:rPr>
      <w:color w:val="0000FF"/>
      <w:u w:val="single"/>
    </w:rPr>
  </w:style>
  <w:style w:type="paragraph" w:styleId="HTMLPreformatted">
    <w:name w:val="HTML Preformatted"/>
    <w:aliases w:val=" Char,Char"/>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aliases w:val=" Char Char,Char Char1"/>
    <w:link w:val="HTMLPreformatted"/>
    <w:semiHidden/>
    <w:locked/>
    <w:rsid w:val="00806805"/>
    <w:rPr>
      <w:rFonts w:ascii="Courier New" w:hAnsi="Courier New"/>
    </w:rPr>
  </w:style>
  <w:style w:type="paragraph" w:styleId="Title">
    <w:name w:val="Title"/>
    <w:basedOn w:val="Normal"/>
    <w:link w:val="TitleChar"/>
    <w:uiPriority w:val="99"/>
    <w:semiHidden/>
    <w:pPr>
      <w:jc w:val="center"/>
    </w:pPr>
    <w:rPr>
      <w:b/>
      <w:bCs/>
    </w:rPr>
  </w:style>
  <w:style w:type="character" w:customStyle="1" w:styleId="TitleChar">
    <w:name w:val="Title Char"/>
    <w:link w:val="Title"/>
    <w:uiPriority w:val="99"/>
    <w:semiHidden/>
    <w:locked/>
    <w:rsid w:val="00806805"/>
    <w:rPr>
      <w:b/>
      <w:bCs/>
      <w:sz w:val="24"/>
      <w:szCs w:val="24"/>
    </w:rPr>
  </w:style>
  <w:style w:type="paragraph" w:styleId="PlainText">
    <w:name w:val="Plain Text"/>
    <w:basedOn w:val="Normal"/>
    <w:link w:val="PlainTextChar"/>
    <w:uiPriority w:val="99"/>
    <w:semiHidden/>
    <w:rPr>
      <w:rFonts w:ascii="Courier New" w:hAnsi="Courier New"/>
      <w:sz w:val="20"/>
      <w:szCs w:val="20"/>
    </w:rPr>
  </w:style>
  <w:style w:type="character" w:customStyle="1" w:styleId="PlainTextChar">
    <w:name w:val="Plain Text Char"/>
    <w:link w:val="PlainText"/>
    <w:uiPriority w:val="99"/>
    <w:semiHidden/>
    <w:locked/>
    <w:rsid w:val="00806805"/>
    <w:rPr>
      <w:rFonts w:ascii="Courier New" w:hAnsi="Courier New"/>
    </w:rPr>
  </w:style>
  <w:style w:type="paragraph" w:styleId="TOC1">
    <w:name w:val="toc 1"/>
    <w:basedOn w:val="Normal"/>
    <w:next w:val="Normal"/>
    <w:autoRedefine/>
    <w:uiPriority w:val="39"/>
    <w:qFormat/>
    <w:rsid w:val="00F02C38"/>
    <w:pPr>
      <w:tabs>
        <w:tab w:val="decimal" w:leader="dot" w:pos="8640"/>
      </w:tabs>
      <w:spacing w:after="240"/>
      <w:ind w:left="720" w:hanging="720"/>
    </w:pPr>
    <w:rPr>
      <w:rFonts w:eastAsiaTheme="minorEastAsia"/>
      <w:caps/>
      <w:noProof/>
      <w:szCs w:val="22"/>
    </w:rPr>
  </w:style>
  <w:style w:type="paragraph" w:styleId="List2">
    <w:name w:val="List 2"/>
    <w:basedOn w:val="Normal"/>
    <w:uiPriority w:val="99"/>
    <w:semiHidden/>
    <w:pPr>
      <w:ind w:left="720" w:hanging="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emiHidden/>
  </w:style>
  <w:style w:type="paragraph" w:styleId="EndnoteText">
    <w:name w:val="endnote text"/>
    <w:basedOn w:val="Normal"/>
    <w:link w:val="EndnoteTextChar"/>
    <w:pPr>
      <w:widowControl w:val="0"/>
      <w:snapToGrid w:val="0"/>
    </w:pPr>
    <w:rPr>
      <w:rFonts w:ascii="Courier New" w:hAnsi="Courier New"/>
    </w:rPr>
  </w:style>
  <w:style w:type="character" w:customStyle="1" w:styleId="EndnoteTextChar">
    <w:name w:val="Endnote Text Char"/>
    <w:link w:val="EndnoteText"/>
    <w:locked/>
    <w:rsid w:val="00806805"/>
    <w:rPr>
      <w:rFonts w:ascii="Courier New" w:hAnsi="Courier New"/>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806805"/>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sid w:val="00806805"/>
    <w:rPr>
      <w:sz w:val="2"/>
      <w:szCs w:val="2"/>
      <w:shd w:val="clear" w:color="auto" w:fill="000080"/>
    </w:rPr>
  </w:style>
  <w:style w:type="paragraph" w:customStyle="1" w:styleId="DefaultParagraphFontParaCharCharCharCharCharCharChar">
    <w:name w:val="Default Paragraph Font Para Char Char Char Char Char Char Char"/>
    <w:basedOn w:val="Normal"/>
    <w:uiPriority w:val="99"/>
    <w:semiHidden/>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sid w:val="00806805"/>
    <w:rPr>
      <w:sz w:val="16"/>
      <w:szCs w:val="2"/>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sid w:val="00806805"/>
    <w:rPr>
      <w:b/>
      <w:bCs/>
    </w:rPr>
  </w:style>
  <w:style w:type="paragraph" w:styleId="Subtitle">
    <w:name w:val="Subtitle"/>
    <w:basedOn w:val="Normal"/>
    <w:link w:val="SubtitleChar"/>
    <w:uiPriority w:val="99"/>
    <w:semiHidden/>
    <w:pPr>
      <w:jc w:val="center"/>
    </w:pPr>
    <w:rPr>
      <w:rFonts w:ascii="Verdana" w:hAnsi="Verdana"/>
      <w:b/>
      <w:bCs/>
      <w:sz w:val="32"/>
      <w:szCs w:val="32"/>
    </w:rPr>
  </w:style>
  <w:style w:type="character" w:customStyle="1" w:styleId="SubtitleChar">
    <w:name w:val="Subtitle Char"/>
    <w:link w:val="Subtitle"/>
    <w:uiPriority w:val="99"/>
    <w:semiHidden/>
    <w:locked/>
    <w:rsid w:val="00806805"/>
    <w:rPr>
      <w:rFonts w:ascii="Verdana" w:hAnsi="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link w:val="FootnoteText"/>
    <w:uiPriority w:val="99"/>
    <w:locked/>
    <w:rsid w:val="00806805"/>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locked/>
    <w:rsid w:val="00806805"/>
    <w:rPr>
      <w:sz w:val="24"/>
      <w:szCs w:val="24"/>
    </w:rPr>
  </w:style>
  <w:style w:type="character" w:customStyle="1" w:styleId="TagStyle">
    <w:name w:val="TagStyle"/>
    <w:uiPriority w:val="99"/>
    <w:semiHidden/>
    <w:rPr>
      <w:rFonts w:ascii="Times New Roman" w:hAnsi="Times New Roman" w:cs="Times New Roman"/>
      <w:color w:val="FF00FF"/>
      <w:sz w:val="24"/>
      <w:szCs w:val="24"/>
    </w:rPr>
  </w:style>
  <w:style w:type="paragraph" w:customStyle="1" w:styleId="BodyTextSingle">
    <w:name w:val="Body Text Single"/>
    <w:aliases w:val="bs"/>
    <w:basedOn w:val="Normal"/>
    <w:uiPriority w:val="99"/>
    <w:semiHidden/>
    <w:pPr>
      <w:spacing w:after="240"/>
      <w:jc w:val="both"/>
    </w:pPr>
  </w:style>
  <w:style w:type="paragraph" w:styleId="TOCHeading">
    <w:name w:val="TOC Heading"/>
    <w:basedOn w:val="Heading1"/>
    <w:next w:val="Normal"/>
    <w:uiPriority w:val="99"/>
    <w:semiHidden/>
    <w:qFormat/>
    <w:pPr>
      <w:keepLines/>
      <w:spacing w:before="480" w:line="276" w:lineRule="auto"/>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semiHidden/>
    <w:pPr>
      <w:ind w:left="720"/>
    </w:pPr>
  </w:style>
  <w:style w:type="paragraph" w:styleId="NoSpacing">
    <w:name w:val="No Spacing"/>
    <w:uiPriority w:val="1"/>
    <w:semiHidden/>
    <w:rPr>
      <w:sz w:val="24"/>
      <w:szCs w:val="24"/>
    </w:rPr>
  </w:style>
  <w:style w:type="paragraph" w:styleId="HTML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HTMLTopofForm"/>
    <w:uiPriority w:val="99"/>
    <w:semiHidden/>
    <w:locked/>
    <w:rPr>
      <w:rFonts w:ascii="Arial" w:hAnsi="Arial" w:cs="Arial"/>
      <w:vanish/>
      <w:sz w:val="16"/>
      <w:szCs w:val="16"/>
    </w:rPr>
  </w:style>
  <w:style w:type="paragraph" w:styleId="HTML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HTML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480" w:leftChars="20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semiHidden/>
    <w:rPr>
      <w:lang w:val="en-US" w:eastAsia="en-US" w:bidi="ar-SA"/>
    </w:rPr>
  </w:style>
  <w:style w:type="character" w:customStyle="1" w:styleId="FootnoteTextChar4CharChar1">
    <w:name w:val="Footnote Text Char4 Char Char1"/>
    <w:aliases w:val="Footnote Text Char Char4 Char Char1,Footnote Text Char Char4 Char1 Char Char Char1,Footnote Text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17-1139-GA-AIR MC Motion to Strike Objections w/DFS  (00050873.DOCX;1)</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2018-01-05T20:01:49Z</dcterms:created>
  <dcterms:modified xsi:type="dcterms:W3CDTF">2018-01-05T20:01:49Z</dcterms:modified>
</cp:coreProperties>
</file>