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98D9B" w14:textId="77777777" w:rsidR="0042644F" w:rsidRPr="00104013" w:rsidRDefault="00076F41" w:rsidP="00076F41">
      <w:pPr>
        <w:autoSpaceDE w:val="0"/>
        <w:autoSpaceDN w:val="0"/>
        <w:adjustRightInd w:val="0"/>
        <w:spacing w:after="0" w:line="240" w:lineRule="auto"/>
        <w:jc w:val="center"/>
        <w:rPr>
          <w:b/>
        </w:rPr>
      </w:pPr>
      <w:bookmarkStart w:id="0" w:name="_GoBack"/>
      <w:bookmarkEnd w:id="0"/>
      <w:r>
        <w:rPr>
          <w:b/>
        </w:rPr>
        <w:t>B</w:t>
      </w:r>
      <w:r w:rsidR="00CA6B85" w:rsidRPr="00104013">
        <w:rPr>
          <w:b/>
        </w:rPr>
        <w:t xml:space="preserve">EFORE </w:t>
      </w:r>
    </w:p>
    <w:p w14:paraId="34DA219E" w14:textId="77777777" w:rsidR="00CA6B85" w:rsidRPr="00104013" w:rsidRDefault="00CA6B85" w:rsidP="00076F41">
      <w:pPr>
        <w:autoSpaceDE w:val="0"/>
        <w:autoSpaceDN w:val="0"/>
        <w:adjustRightInd w:val="0"/>
        <w:spacing w:after="0" w:line="240" w:lineRule="auto"/>
        <w:jc w:val="center"/>
        <w:rPr>
          <w:b/>
        </w:rPr>
      </w:pPr>
      <w:r w:rsidRPr="00104013">
        <w:rPr>
          <w:b/>
        </w:rPr>
        <w:t>THE PUBLIC UTILITIES COMMISSION OF OHIO</w:t>
      </w:r>
    </w:p>
    <w:p w14:paraId="2F48679E" w14:textId="77777777" w:rsidR="00CA6B85" w:rsidRPr="00104013" w:rsidRDefault="00CA6B85" w:rsidP="00CA6B85">
      <w:pPr>
        <w:autoSpaceDE w:val="0"/>
        <w:autoSpaceDN w:val="0"/>
        <w:adjustRightInd w:val="0"/>
        <w:spacing w:after="0" w:line="240" w:lineRule="auto"/>
        <w:ind w:left="14" w:right="-14"/>
        <w:jc w:val="center"/>
        <w:rPr>
          <w:b/>
        </w:rPr>
      </w:pPr>
    </w:p>
    <w:tbl>
      <w:tblPr>
        <w:tblStyle w:val="TableGri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0"/>
        <w:gridCol w:w="282"/>
        <w:gridCol w:w="4230"/>
      </w:tblGrid>
      <w:tr w:rsidR="00CA6B85" w:rsidRPr="00104013" w14:paraId="5DF3AC32" w14:textId="77777777" w:rsidTr="00E16B4C">
        <w:trPr>
          <w:trHeight w:val="2493"/>
        </w:trPr>
        <w:tc>
          <w:tcPr>
            <w:tcW w:w="4330" w:type="dxa"/>
          </w:tcPr>
          <w:p w14:paraId="07BBDB3D" w14:textId="77777777" w:rsidR="00CA6B85" w:rsidRPr="00104013" w:rsidRDefault="00CA6B85" w:rsidP="00076F41">
            <w:pPr>
              <w:autoSpaceDE w:val="0"/>
              <w:autoSpaceDN w:val="0"/>
              <w:adjustRightInd w:val="0"/>
            </w:pPr>
            <w:r w:rsidRPr="00104013">
              <w:t>The Office of the Ohio Consumers</w:t>
            </w:r>
            <w:r w:rsidR="00B93CB0" w:rsidRPr="00104013">
              <w:t>’</w:t>
            </w:r>
            <w:r w:rsidRPr="00104013">
              <w:t xml:space="preserve"> Counsel</w:t>
            </w:r>
            <w:r w:rsidR="000A5465" w:rsidRPr="00104013">
              <w:t xml:space="preserve">, </w:t>
            </w:r>
            <w:r w:rsidR="00D20091">
              <w:t>and</w:t>
            </w:r>
          </w:p>
          <w:p w14:paraId="4CD66789" w14:textId="77777777" w:rsidR="000A5465" w:rsidRDefault="000A5465" w:rsidP="00076F41">
            <w:pPr>
              <w:autoSpaceDE w:val="0"/>
              <w:autoSpaceDN w:val="0"/>
              <w:adjustRightInd w:val="0"/>
            </w:pPr>
          </w:p>
          <w:p w14:paraId="584ECB55" w14:textId="77777777" w:rsidR="0040106B" w:rsidRDefault="004B3DBD" w:rsidP="00076F41">
            <w:pPr>
              <w:autoSpaceDE w:val="0"/>
              <w:autoSpaceDN w:val="0"/>
              <w:adjustRightInd w:val="0"/>
            </w:pPr>
            <w:r>
              <w:t>Communities United for Action</w:t>
            </w:r>
          </w:p>
          <w:p w14:paraId="20AAB7B4" w14:textId="77777777" w:rsidR="00AA6E79" w:rsidRPr="00104013" w:rsidRDefault="00AA6E79" w:rsidP="00076F41">
            <w:pPr>
              <w:autoSpaceDE w:val="0"/>
              <w:autoSpaceDN w:val="0"/>
              <w:adjustRightInd w:val="0"/>
            </w:pPr>
          </w:p>
          <w:p w14:paraId="61DB708A" w14:textId="77777777" w:rsidR="000A5465" w:rsidRPr="00104013" w:rsidRDefault="000A5465" w:rsidP="00076F41">
            <w:pPr>
              <w:autoSpaceDE w:val="0"/>
              <w:autoSpaceDN w:val="0"/>
              <w:adjustRightInd w:val="0"/>
              <w:ind w:firstLine="706"/>
            </w:pPr>
            <w:r w:rsidRPr="00104013">
              <w:t>Complainant</w:t>
            </w:r>
            <w:r w:rsidR="00EB2FA8">
              <w:t>s</w:t>
            </w:r>
            <w:r w:rsidRPr="00104013">
              <w:t>,</w:t>
            </w:r>
          </w:p>
          <w:p w14:paraId="3A795738" w14:textId="77777777" w:rsidR="00CA6B85" w:rsidRPr="00104013" w:rsidRDefault="00CA6B85" w:rsidP="00076F41">
            <w:pPr>
              <w:autoSpaceDE w:val="0"/>
              <w:autoSpaceDN w:val="0"/>
              <w:adjustRightInd w:val="0"/>
            </w:pPr>
          </w:p>
          <w:p w14:paraId="5C13C733" w14:textId="77777777" w:rsidR="00CA6B85" w:rsidRPr="00104013" w:rsidRDefault="00CA6B85" w:rsidP="00076F41">
            <w:pPr>
              <w:autoSpaceDE w:val="0"/>
              <w:autoSpaceDN w:val="0"/>
              <w:adjustRightInd w:val="0"/>
            </w:pPr>
            <w:r w:rsidRPr="00104013">
              <w:t xml:space="preserve">v. </w:t>
            </w:r>
          </w:p>
          <w:p w14:paraId="7DCDD0C8" w14:textId="77777777" w:rsidR="00CA6B85" w:rsidRPr="00104013" w:rsidRDefault="00CA6B85" w:rsidP="00076F41">
            <w:pPr>
              <w:autoSpaceDE w:val="0"/>
              <w:autoSpaceDN w:val="0"/>
              <w:adjustRightInd w:val="0"/>
            </w:pPr>
          </w:p>
          <w:p w14:paraId="5BCF8004" w14:textId="77777777" w:rsidR="00CA6B85" w:rsidRPr="00104013" w:rsidRDefault="00CA6B85" w:rsidP="00076F41">
            <w:pPr>
              <w:autoSpaceDE w:val="0"/>
              <w:autoSpaceDN w:val="0"/>
              <w:adjustRightInd w:val="0"/>
            </w:pPr>
            <w:r w:rsidRPr="00104013">
              <w:t>Duke Energy Ohio, Inc.</w:t>
            </w:r>
          </w:p>
          <w:p w14:paraId="426F00EE" w14:textId="77777777" w:rsidR="000A5465" w:rsidRPr="00104013" w:rsidRDefault="000A5465" w:rsidP="00076F41">
            <w:pPr>
              <w:autoSpaceDE w:val="0"/>
              <w:autoSpaceDN w:val="0"/>
              <w:adjustRightInd w:val="0"/>
            </w:pPr>
          </w:p>
          <w:p w14:paraId="37837E62" w14:textId="77777777" w:rsidR="000A5465" w:rsidRPr="00104013" w:rsidRDefault="000A5465" w:rsidP="00076F41">
            <w:pPr>
              <w:autoSpaceDE w:val="0"/>
              <w:autoSpaceDN w:val="0"/>
              <w:adjustRightInd w:val="0"/>
              <w:ind w:firstLine="706"/>
            </w:pPr>
            <w:r w:rsidRPr="00104013">
              <w:t>Respondent.</w:t>
            </w:r>
          </w:p>
        </w:tc>
        <w:tc>
          <w:tcPr>
            <w:tcW w:w="282" w:type="dxa"/>
          </w:tcPr>
          <w:p w14:paraId="4A9439DC" w14:textId="77777777" w:rsidR="000A5465" w:rsidRPr="00104013" w:rsidRDefault="00CA6B85" w:rsidP="00CA6B85">
            <w:pPr>
              <w:autoSpaceDE w:val="0"/>
              <w:autoSpaceDN w:val="0"/>
              <w:adjustRightInd w:val="0"/>
              <w:ind w:right="-14"/>
            </w:pPr>
            <w:r w:rsidRPr="00104013">
              <w:t>) ) ) ) )</w:t>
            </w:r>
          </w:p>
          <w:p w14:paraId="337C98F8" w14:textId="77777777" w:rsidR="000A5465" w:rsidRPr="00104013" w:rsidRDefault="000A5465" w:rsidP="00CA6B85">
            <w:pPr>
              <w:autoSpaceDE w:val="0"/>
              <w:autoSpaceDN w:val="0"/>
              <w:adjustRightInd w:val="0"/>
              <w:ind w:right="-14"/>
            </w:pPr>
            <w:r w:rsidRPr="00104013">
              <w:t>)</w:t>
            </w:r>
          </w:p>
          <w:p w14:paraId="4E053916" w14:textId="77777777" w:rsidR="000A5465" w:rsidRPr="00104013" w:rsidRDefault="000A5465" w:rsidP="00CA6B85">
            <w:pPr>
              <w:autoSpaceDE w:val="0"/>
              <w:autoSpaceDN w:val="0"/>
              <w:adjustRightInd w:val="0"/>
              <w:ind w:right="-14"/>
            </w:pPr>
            <w:r w:rsidRPr="00104013">
              <w:t>)</w:t>
            </w:r>
          </w:p>
          <w:p w14:paraId="396BD669" w14:textId="77777777" w:rsidR="000A5465" w:rsidRPr="00104013" w:rsidRDefault="000A5465" w:rsidP="00CA6B85">
            <w:pPr>
              <w:autoSpaceDE w:val="0"/>
              <w:autoSpaceDN w:val="0"/>
              <w:adjustRightInd w:val="0"/>
              <w:ind w:right="-14"/>
            </w:pPr>
            <w:r w:rsidRPr="00104013">
              <w:t>)</w:t>
            </w:r>
          </w:p>
          <w:p w14:paraId="790D56AE" w14:textId="77777777" w:rsidR="005F4FCE" w:rsidRDefault="000A5465" w:rsidP="00CA6B85">
            <w:pPr>
              <w:autoSpaceDE w:val="0"/>
              <w:autoSpaceDN w:val="0"/>
              <w:adjustRightInd w:val="0"/>
              <w:ind w:right="-14"/>
            </w:pPr>
            <w:r w:rsidRPr="00104013">
              <w:t>)</w:t>
            </w:r>
          </w:p>
          <w:p w14:paraId="0FC33791" w14:textId="77777777" w:rsidR="00A52D05" w:rsidRDefault="00A52D05" w:rsidP="00CA6B85">
            <w:pPr>
              <w:autoSpaceDE w:val="0"/>
              <w:autoSpaceDN w:val="0"/>
              <w:adjustRightInd w:val="0"/>
              <w:ind w:right="-14"/>
            </w:pPr>
            <w:r>
              <w:t>)</w:t>
            </w:r>
          </w:p>
          <w:p w14:paraId="4F376DF2" w14:textId="77777777" w:rsidR="001B704D" w:rsidRDefault="001B704D" w:rsidP="00CA6B85">
            <w:pPr>
              <w:autoSpaceDE w:val="0"/>
              <w:autoSpaceDN w:val="0"/>
              <w:adjustRightInd w:val="0"/>
              <w:ind w:right="-14"/>
            </w:pPr>
            <w:r>
              <w:t>)</w:t>
            </w:r>
          </w:p>
          <w:p w14:paraId="505641F1" w14:textId="182C9451" w:rsidR="00AA6E79" w:rsidRPr="00104013" w:rsidRDefault="00AA6E79" w:rsidP="00CA6B85">
            <w:pPr>
              <w:autoSpaceDE w:val="0"/>
              <w:autoSpaceDN w:val="0"/>
              <w:adjustRightInd w:val="0"/>
              <w:ind w:right="-14"/>
            </w:pPr>
            <w:r>
              <w:t>)</w:t>
            </w:r>
          </w:p>
          <w:p w14:paraId="1C81C691" w14:textId="77777777" w:rsidR="00CA6B85" w:rsidRPr="00104013" w:rsidRDefault="00CA6B85" w:rsidP="00CA6B85">
            <w:pPr>
              <w:autoSpaceDE w:val="0"/>
              <w:autoSpaceDN w:val="0"/>
              <w:adjustRightInd w:val="0"/>
              <w:ind w:right="-14"/>
            </w:pPr>
            <w:r w:rsidRPr="00104013">
              <w:t xml:space="preserve"> </w:t>
            </w:r>
          </w:p>
        </w:tc>
        <w:tc>
          <w:tcPr>
            <w:tcW w:w="4230" w:type="dxa"/>
          </w:tcPr>
          <w:p w14:paraId="39AB6080" w14:textId="77777777" w:rsidR="00CA6B85" w:rsidRPr="00104013" w:rsidRDefault="00CA6B85" w:rsidP="00CA6B85">
            <w:pPr>
              <w:autoSpaceDE w:val="0"/>
              <w:autoSpaceDN w:val="0"/>
              <w:adjustRightInd w:val="0"/>
              <w:ind w:right="-14"/>
            </w:pPr>
          </w:p>
          <w:p w14:paraId="7EA1CE56" w14:textId="77777777" w:rsidR="00CA6B85" w:rsidRPr="00104013" w:rsidRDefault="00CA6B85" w:rsidP="00CA6B85">
            <w:pPr>
              <w:autoSpaceDE w:val="0"/>
              <w:autoSpaceDN w:val="0"/>
              <w:adjustRightInd w:val="0"/>
              <w:ind w:right="-14"/>
            </w:pPr>
          </w:p>
          <w:p w14:paraId="2075B028" w14:textId="6587972A" w:rsidR="00CA6B85" w:rsidRPr="00104013" w:rsidRDefault="00CA6B85" w:rsidP="002E5DBD">
            <w:pPr>
              <w:autoSpaceDE w:val="0"/>
              <w:autoSpaceDN w:val="0"/>
              <w:adjustRightInd w:val="0"/>
              <w:ind w:right="-14"/>
            </w:pPr>
            <w:r w:rsidRPr="00104013">
              <w:t>Case No. 15-</w:t>
            </w:r>
            <w:r w:rsidR="002E5DBD">
              <w:t>1588</w:t>
            </w:r>
            <w:r w:rsidRPr="00104013">
              <w:t>-</w:t>
            </w:r>
            <w:r w:rsidR="008B49E9" w:rsidRPr="00104013">
              <w:t>GE</w:t>
            </w:r>
            <w:r w:rsidRPr="00104013">
              <w:t>-CSS</w:t>
            </w:r>
          </w:p>
        </w:tc>
      </w:tr>
    </w:tbl>
    <w:p w14:paraId="6821E6CF" w14:textId="77777777" w:rsidR="0042644F" w:rsidRPr="00104013" w:rsidRDefault="00CA6B85" w:rsidP="001D6531">
      <w:pPr>
        <w:autoSpaceDE w:val="0"/>
        <w:autoSpaceDN w:val="0"/>
        <w:adjustRightInd w:val="0"/>
        <w:spacing w:after="0" w:line="480" w:lineRule="auto"/>
        <w:ind w:left="14" w:right="-14"/>
      </w:pPr>
      <w:r w:rsidRPr="00104013">
        <w:t>________________________________________________________________________</w:t>
      </w:r>
    </w:p>
    <w:p w14:paraId="77A07B92" w14:textId="2041608B" w:rsidR="00CA6B85" w:rsidRDefault="003617A1" w:rsidP="00076F41">
      <w:pPr>
        <w:autoSpaceDE w:val="0"/>
        <w:autoSpaceDN w:val="0"/>
        <w:adjustRightInd w:val="0"/>
        <w:spacing w:after="0" w:line="240" w:lineRule="auto"/>
        <w:jc w:val="center"/>
        <w:rPr>
          <w:b/>
        </w:rPr>
      </w:pPr>
      <w:r>
        <w:rPr>
          <w:b/>
        </w:rPr>
        <w:t>MEMORANDUM CONTRA</w:t>
      </w:r>
      <w:r w:rsidR="001E6FA7">
        <w:rPr>
          <w:b/>
        </w:rPr>
        <w:t xml:space="preserve"> DUKE’S MOTION </w:t>
      </w:r>
      <w:r w:rsidR="000B4CDB">
        <w:rPr>
          <w:b/>
        </w:rPr>
        <w:t xml:space="preserve">FOR PROTECTIVE ORDER TO STAY DISCOVERY PENDING RESOLUTION OF ITS MOTION TO DISMISS THE </w:t>
      </w:r>
      <w:r w:rsidR="005805DC">
        <w:rPr>
          <w:b/>
        </w:rPr>
        <w:t xml:space="preserve">CONSUMER PARTIES’ </w:t>
      </w:r>
      <w:r w:rsidR="000B4CDB">
        <w:rPr>
          <w:b/>
        </w:rPr>
        <w:t>COMPLAINT</w:t>
      </w:r>
    </w:p>
    <w:p w14:paraId="4D67E2F1" w14:textId="708C336F" w:rsidR="003617A1" w:rsidRDefault="003617A1" w:rsidP="00076F41">
      <w:pPr>
        <w:autoSpaceDE w:val="0"/>
        <w:autoSpaceDN w:val="0"/>
        <w:adjustRightInd w:val="0"/>
        <w:spacing w:after="0" w:line="240" w:lineRule="auto"/>
        <w:jc w:val="center"/>
        <w:rPr>
          <w:b/>
        </w:rPr>
      </w:pPr>
      <w:r>
        <w:rPr>
          <w:b/>
        </w:rPr>
        <w:t>BY</w:t>
      </w:r>
    </w:p>
    <w:p w14:paraId="57479782" w14:textId="254AA913" w:rsidR="003617A1" w:rsidRDefault="003617A1" w:rsidP="00076F41">
      <w:pPr>
        <w:autoSpaceDE w:val="0"/>
        <w:autoSpaceDN w:val="0"/>
        <w:adjustRightInd w:val="0"/>
        <w:spacing w:after="0" w:line="240" w:lineRule="auto"/>
        <w:jc w:val="center"/>
        <w:rPr>
          <w:b/>
        </w:rPr>
      </w:pPr>
      <w:r>
        <w:rPr>
          <w:b/>
        </w:rPr>
        <w:t>THE OFFICE OF THE OHIO CONSUMERS’ COUNSEL</w:t>
      </w:r>
    </w:p>
    <w:p w14:paraId="23148F0F" w14:textId="66C0EAA5" w:rsidR="002E5DBD" w:rsidRPr="00104013" w:rsidRDefault="002E5DBD" w:rsidP="00076F41">
      <w:pPr>
        <w:autoSpaceDE w:val="0"/>
        <w:autoSpaceDN w:val="0"/>
        <w:adjustRightInd w:val="0"/>
        <w:spacing w:after="0" w:line="240" w:lineRule="auto"/>
        <w:jc w:val="center"/>
        <w:rPr>
          <w:b/>
        </w:rPr>
      </w:pPr>
      <w:r>
        <w:rPr>
          <w:b/>
        </w:rPr>
        <w:t>AND COMMUNITIES UNITED FOR ACTION</w:t>
      </w:r>
    </w:p>
    <w:p w14:paraId="62B19137" w14:textId="77777777" w:rsidR="00CA6B85" w:rsidRPr="00104013" w:rsidRDefault="00CA6B85" w:rsidP="00CA6B85">
      <w:pPr>
        <w:autoSpaceDE w:val="0"/>
        <w:autoSpaceDN w:val="0"/>
        <w:adjustRightInd w:val="0"/>
        <w:spacing w:after="0" w:line="240" w:lineRule="auto"/>
        <w:ind w:left="14" w:right="-14"/>
        <w:jc w:val="both"/>
      </w:pPr>
      <w:r w:rsidRPr="00104013">
        <w:t>________________________________________________________________________</w:t>
      </w:r>
    </w:p>
    <w:p w14:paraId="511CCA83" w14:textId="77777777" w:rsidR="00175D24" w:rsidRPr="00104013" w:rsidRDefault="00175D24" w:rsidP="005A7ACB">
      <w:pPr>
        <w:spacing w:after="0" w:line="240" w:lineRule="auto"/>
        <w:ind w:firstLine="720"/>
      </w:pPr>
    </w:p>
    <w:p w14:paraId="58FF06C3" w14:textId="2E5A7082" w:rsidR="0013148E" w:rsidRPr="0013148E" w:rsidRDefault="0013148E" w:rsidP="0013148E">
      <w:pPr>
        <w:spacing w:before="240" w:after="0" w:line="480" w:lineRule="auto"/>
        <w:rPr>
          <w:b/>
        </w:rPr>
      </w:pPr>
      <w:r>
        <w:rPr>
          <w:b/>
        </w:rPr>
        <w:t>I.</w:t>
      </w:r>
      <w:r>
        <w:rPr>
          <w:b/>
        </w:rPr>
        <w:tab/>
        <w:t>INTRODUCTION</w:t>
      </w:r>
    </w:p>
    <w:p w14:paraId="6B7BF6A5" w14:textId="58A6A5B9" w:rsidR="00A3748A" w:rsidRDefault="006653D6" w:rsidP="002945A2">
      <w:pPr>
        <w:spacing w:after="0" w:line="480" w:lineRule="auto"/>
        <w:ind w:firstLine="720"/>
      </w:pPr>
      <w:r>
        <w:t>On September 15, 2015, t</w:t>
      </w:r>
      <w:r w:rsidR="0088766C">
        <w:t xml:space="preserve">he Office of the Ohio Consumers’ Counsel (“OCC”) and Communities United for Action </w:t>
      </w:r>
      <w:r w:rsidR="00D9686B">
        <w:t xml:space="preserve">(“CUFA”) (collectively, “Consumer Parties”) </w:t>
      </w:r>
      <w:r w:rsidR="0088766C">
        <w:t xml:space="preserve">filed a </w:t>
      </w:r>
      <w:r>
        <w:t>C</w:t>
      </w:r>
      <w:r w:rsidR="0088766C">
        <w:t xml:space="preserve">omplaint to protect residential customers from </w:t>
      </w:r>
      <w:r w:rsidR="008C3E9F" w:rsidRPr="00104013">
        <w:t>Duke Energy Ohio, Inc.</w:t>
      </w:r>
      <w:r w:rsidR="008C3E9F">
        <w:t>’s</w:t>
      </w:r>
      <w:r w:rsidR="008C3E9F" w:rsidRPr="00104013">
        <w:t xml:space="preserve"> (“</w:t>
      </w:r>
      <w:r w:rsidR="00D9686B">
        <w:t>Duke</w:t>
      </w:r>
      <w:r w:rsidR="008C3E9F">
        <w:t>”)</w:t>
      </w:r>
      <w:r w:rsidR="00D9686B">
        <w:t xml:space="preserve"> </w:t>
      </w:r>
      <w:r w:rsidR="0088766C" w:rsidRPr="00104013">
        <w:t>unlawful and unreasonable</w:t>
      </w:r>
      <w:r w:rsidR="0088766C">
        <w:t xml:space="preserve"> disconnection practices.  Concurrently with the Complaint, </w:t>
      </w:r>
      <w:r w:rsidR="00D9686B">
        <w:t>we</w:t>
      </w:r>
      <w:r w:rsidR="0088766C">
        <w:t xml:space="preserve"> filed a Motion asking t</w:t>
      </w:r>
      <w:r w:rsidR="00684425" w:rsidRPr="00104013">
        <w:t xml:space="preserve">he </w:t>
      </w:r>
      <w:r w:rsidR="008C3E9F" w:rsidRPr="00104013">
        <w:t>Public Utilities Commission of Ohio (“</w:t>
      </w:r>
      <w:r w:rsidR="00684425" w:rsidRPr="00104013">
        <w:t>PUCO</w:t>
      </w:r>
      <w:r w:rsidR="008C3E9F">
        <w:t>”)</w:t>
      </w:r>
      <w:r w:rsidR="00684425">
        <w:t xml:space="preserve"> </w:t>
      </w:r>
      <w:r w:rsidR="0088766C">
        <w:t xml:space="preserve">to protect consumers against Duke’s </w:t>
      </w:r>
      <w:r w:rsidR="007D631E">
        <w:t xml:space="preserve">unreasonable and unlawful </w:t>
      </w:r>
      <w:r w:rsidR="0088766C">
        <w:t>disconnection practices during the upcoming winter heating season</w:t>
      </w:r>
      <w:r w:rsidR="00684425">
        <w:t>.</w:t>
      </w:r>
      <w:r w:rsidR="00080637" w:rsidRPr="00104013">
        <w:t xml:space="preserve"> </w:t>
      </w:r>
      <w:r w:rsidR="00684425">
        <w:t xml:space="preserve"> </w:t>
      </w:r>
      <w:r w:rsidR="00A3748A">
        <w:t xml:space="preserve">  </w:t>
      </w:r>
    </w:p>
    <w:p w14:paraId="5891F422" w14:textId="571AA3A0" w:rsidR="00124FAB" w:rsidRDefault="0013148E" w:rsidP="002945A2">
      <w:pPr>
        <w:spacing w:after="0" w:line="480" w:lineRule="auto"/>
        <w:ind w:firstLine="720"/>
      </w:pPr>
      <w:r>
        <w:t>The</w:t>
      </w:r>
      <w:r w:rsidR="00A3748A">
        <w:t xml:space="preserve"> </w:t>
      </w:r>
      <w:r w:rsidR="007D631E">
        <w:t xml:space="preserve">Consumer Parties’ </w:t>
      </w:r>
      <w:r w:rsidR="00531E27">
        <w:t xml:space="preserve">Complaint and </w:t>
      </w:r>
      <w:r w:rsidR="00A3748A">
        <w:t xml:space="preserve">Motion </w:t>
      </w:r>
      <w:r w:rsidR="00531E27">
        <w:t xml:space="preserve">were </w:t>
      </w:r>
      <w:r w:rsidR="00A3748A">
        <w:t xml:space="preserve">prompted by </w:t>
      </w:r>
      <w:r w:rsidR="00D25E50">
        <w:t>a</w:t>
      </w:r>
      <w:r w:rsidR="008C3E9F">
        <w:t xml:space="preserve"> </w:t>
      </w:r>
      <w:r w:rsidR="00C64E8F">
        <w:t xml:space="preserve">concerning </w:t>
      </w:r>
      <w:r w:rsidR="00D25E50">
        <w:t xml:space="preserve">position advanced </w:t>
      </w:r>
      <w:r w:rsidR="00531E27">
        <w:t xml:space="preserve">several times </w:t>
      </w:r>
      <w:r w:rsidR="00D25E50">
        <w:t xml:space="preserve">by Duke that the PUCO’s </w:t>
      </w:r>
      <w:r w:rsidR="00531E27">
        <w:t xml:space="preserve">rules governing </w:t>
      </w:r>
      <w:r w:rsidR="00D25E50">
        <w:t xml:space="preserve">winter </w:t>
      </w:r>
      <w:r w:rsidR="00D25E50">
        <w:lastRenderedPageBreak/>
        <w:t xml:space="preserve">disconnection of customers do not apply if the arrearages leading to the disconnection were incurred prior to the winter heating season.  This position is contrary to </w:t>
      </w:r>
      <w:r w:rsidR="00112613">
        <w:t xml:space="preserve">the </w:t>
      </w:r>
      <w:r w:rsidR="00531E27">
        <w:t xml:space="preserve">plain language </w:t>
      </w:r>
      <w:r w:rsidR="00112613">
        <w:t xml:space="preserve">of </w:t>
      </w:r>
      <w:r w:rsidR="00D25E50">
        <w:t xml:space="preserve">the PUCO’s </w:t>
      </w:r>
      <w:r w:rsidR="00531E27">
        <w:t xml:space="preserve">winter heating rules and its </w:t>
      </w:r>
      <w:r w:rsidR="008C3E9F">
        <w:t>W</w:t>
      </w:r>
      <w:r w:rsidR="00D25E50">
        <w:t xml:space="preserve">inter </w:t>
      </w:r>
      <w:r w:rsidR="008C3E9F">
        <w:t>Reconnect</w:t>
      </w:r>
      <w:r w:rsidR="00D25E50">
        <w:t xml:space="preserve"> Orders.  </w:t>
      </w:r>
      <w:r w:rsidR="00537D6B">
        <w:t>In its most recent Winter Reconnect Order the PUCO advised that if a utility is not following the procedures it laid out, “we will take those steps we deem appropriate to protect the customers served by that utility.”</w:t>
      </w:r>
      <w:r w:rsidR="00537D6B">
        <w:rPr>
          <w:rStyle w:val="FootnoteReference"/>
        </w:rPr>
        <w:footnoteReference w:id="2"/>
      </w:r>
      <w:r w:rsidR="00537D6B">
        <w:t xml:space="preserve">  </w:t>
      </w:r>
      <w:r w:rsidR="00D25E50">
        <w:t xml:space="preserve">The </w:t>
      </w:r>
      <w:r w:rsidR="00B20C23">
        <w:t xml:space="preserve">Complaint and Motion </w:t>
      </w:r>
      <w:r w:rsidR="007D631E">
        <w:t xml:space="preserve">to protect customers were </w:t>
      </w:r>
      <w:r w:rsidR="00D25E50">
        <w:t>made against a backdrop of Duke disconnecting for nonpayment</w:t>
      </w:r>
      <w:r w:rsidR="00A3748A">
        <w:t xml:space="preserve"> the highest percentage of residential customers</w:t>
      </w:r>
      <w:r w:rsidR="00254C4E">
        <w:t>, by far,</w:t>
      </w:r>
      <w:r w:rsidR="00A3748A">
        <w:t xml:space="preserve"> among Ohio’s electric utilities.  </w:t>
      </w:r>
    </w:p>
    <w:p w14:paraId="0D1D2742" w14:textId="0C0AE1DC" w:rsidR="00537D6B" w:rsidRDefault="00537D6B" w:rsidP="002945A2">
      <w:pPr>
        <w:spacing w:after="0" w:line="480" w:lineRule="auto"/>
        <w:ind w:firstLine="720"/>
      </w:pPr>
      <w:r>
        <w:t xml:space="preserve">OCC attempted to </w:t>
      </w:r>
      <w:r w:rsidR="00261704">
        <w:t>address</w:t>
      </w:r>
      <w:r>
        <w:t xml:space="preserve"> Duke’s unlawful and unreasonable disconnection practices in Duke’s Smart Grid Case.</w:t>
      </w:r>
      <w:r>
        <w:rPr>
          <w:rStyle w:val="FootnoteReference"/>
        </w:rPr>
        <w:footnoteReference w:id="3"/>
      </w:r>
      <w:r>
        <w:t xml:space="preserve">  But the PUCO precluded OCC from pursuing the issue there.  Rather, the PUCO advised OCC that it could raise the issue of Duke’s unlawful and unreasonable disconnection practices “in an appropriate docket.”</w:t>
      </w:r>
      <w:r>
        <w:rPr>
          <w:rStyle w:val="FootnoteReference"/>
        </w:rPr>
        <w:footnoteReference w:id="4"/>
      </w:r>
      <w:r>
        <w:t xml:space="preserve">  </w:t>
      </w:r>
    </w:p>
    <w:p w14:paraId="14D5B7E0" w14:textId="0699786A" w:rsidR="00F84F39" w:rsidRDefault="00A3748A" w:rsidP="002945A2">
      <w:pPr>
        <w:spacing w:after="0" w:line="480" w:lineRule="auto"/>
        <w:ind w:firstLine="720"/>
      </w:pPr>
      <w:r>
        <w:t xml:space="preserve">On </w:t>
      </w:r>
      <w:r w:rsidR="001E6FA7">
        <w:t>October 8</w:t>
      </w:r>
      <w:r>
        <w:t xml:space="preserve">, 2015, Duke filed a </w:t>
      </w:r>
      <w:r w:rsidR="001E6FA7">
        <w:t>motion asking the PUCO to dismiss the Complaint</w:t>
      </w:r>
      <w:r>
        <w:t xml:space="preserve">.  </w:t>
      </w:r>
      <w:r w:rsidR="005805DC">
        <w:t>Concurrently with this Memorandum Contra, t</w:t>
      </w:r>
      <w:r w:rsidR="00F84F39">
        <w:t>he Consumer Parties are responding to motion</w:t>
      </w:r>
      <w:r w:rsidR="005805DC">
        <w:t xml:space="preserve"> to dismiss</w:t>
      </w:r>
      <w:r w:rsidR="00F84F39">
        <w:t>.</w:t>
      </w:r>
    </w:p>
    <w:p w14:paraId="441D4767" w14:textId="3B7D66C8" w:rsidR="00F84F39" w:rsidRDefault="005805DC" w:rsidP="001E5544">
      <w:pPr>
        <w:spacing w:after="0" w:line="480" w:lineRule="auto"/>
        <w:ind w:firstLine="720"/>
      </w:pPr>
      <w:r>
        <w:t>Also on October 8, 2015</w:t>
      </w:r>
      <w:r w:rsidR="00F84F39">
        <w:t xml:space="preserve">, </w:t>
      </w:r>
      <w:r w:rsidR="002960DA">
        <w:t xml:space="preserve">Duke filed a motion for a protective order asking the PUCO to stay discovery pending resolution of its motion to dismiss.  </w:t>
      </w:r>
      <w:r w:rsidR="001E6FA7">
        <w:t xml:space="preserve">Duke’s basic assertion is that </w:t>
      </w:r>
      <w:r w:rsidR="00D270A9">
        <w:t xml:space="preserve">it should </w:t>
      </w:r>
      <w:r w:rsidR="00026A21">
        <w:t xml:space="preserve">not </w:t>
      </w:r>
      <w:r w:rsidR="00D270A9">
        <w:t xml:space="preserve">be required to respond to OCC’s discovery because “it is </w:t>
      </w:r>
      <w:r w:rsidR="00D270A9">
        <w:lastRenderedPageBreak/>
        <w:t>clear that the Complaint must be dismissed</w:t>
      </w:r>
      <w:r w:rsidR="003C7BDE">
        <w:t>.</w:t>
      </w:r>
      <w:r w:rsidR="00D270A9">
        <w:t>”</w:t>
      </w:r>
      <w:r w:rsidR="001E6FA7">
        <w:rPr>
          <w:rStyle w:val="FootnoteReference"/>
        </w:rPr>
        <w:footnoteReference w:id="5"/>
      </w:r>
      <w:r w:rsidR="00D25E50">
        <w:t xml:space="preserve">  </w:t>
      </w:r>
      <w:r w:rsidR="007D631E">
        <w:t xml:space="preserve">Duke’s </w:t>
      </w:r>
      <w:r w:rsidR="00261704">
        <w:t>view</w:t>
      </w:r>
      <w:r w:rsidR="007D631E">
        <w:t xml:space="preserve"> of the PUCO’s rules and discovery process are incorrect</w:t>
      </w:r>
      <w:r w:rsidR="00D270A9">
        <w:t xml:space="preserve"> and t</w:t>
      </w:r>
      <w:r w:rsidR="00E26B15">
        <w:t>he PUCO should deny Duke’s</w:t>
      </w:r>
      <w:r w:rsidR="00DC4523">
        <w:t xml:space="preserve"> motion for protection</w:t>
      </w:r>
      <w:r w:rsidR="00E26B15">
        <w:t>.</w:t>
      </w:r>
    </w:p>
    <w:p w14:paraId="5688F5F1" w14:textId="36D40214" w:rsidR="007F7B6D" w:rsidRPr="007F7B6D" w:rsidRDefault="007F7B6D" w:rsidP="007F7B6D">
      <w:pPr>
        <w:spacing w:before="240" w:after="0" w:line="480" w:lineRule="auto"/>
        <w:rPr>
          <w:b/>
        </w:rPr>
      </w:pPr>
      <w:r>
        <w:rPr>
          <w:b/>
        </w:rPr>
        <w:t>II.</w:t>
      </w:r>
      <w:r>
        <w:rPr>
          <w:b/>
        </w:rPr>
        <w:tab/>
        <w:t>LEGAL STANDARD FOR MOTIONS FOR PROTECTIVE ORDER</w:t>
      </w:r>
    </w:p>
    <w:p w14:paraId="4FFA09A5" w14:textId="747D5098" w:rsidR="007F7B6D" w:rsidRDefault="007F7B6D" w:rsidP="007F7B6D">
      <w:pPr>
        <w:spacing w:after="0" w:line="480" w:lineRule="auto"/>
        <w:ind w:firstLine="720"/>
      </w:pPr>
      <w:r>
        <w:t xml:space="preserve">The PUCO’s legal standard for motions for </w:t>
      </w:r>
      <w:r w:rsidR="000D45CF">
        <w:t xml:space="preserve">a </w:t>
      </w:r>
      <w:r>
        <w:t xml:space="preserve">protective order is </w:t>
      </w:r>
      <w:r w:rsidR="00DC4523">
        <w:t xml:space="preserve">contained </w:t>
      </w:r>
      <w:r>
        <w:t>in Ohio Adm. Code 4901-1-24.  Ohio Adm. Code 4901-1-24(A) provides, in part: “Upon motion of any party or person from whom discovery is sought, the commission, the legal director, the deputy legal director, or an attorney examiner may issue any order that is necessary to protect a party or person from annoyance, embarrassment, oppression, or undue burden or expense.”</w:t>
      </w:r>
      <w:r w:rsidR="00026A21">
        <w:rPr>
          <w:rStyle w:val="FootnoteReference"/>
        </w:rPr>
        <w:footnoteReference w:id="6"/>
      </w:r>
      <w:r>
        <w:t xml:space="preserve"> </w:t>
      </w:r>
    </w:p>
    <w:p w14:paraId="06BE6658" w14:textId="77777777" w:rsidR="007F7B6D" w:rsidRDefault="007F7B6D" w:rsidP="007F7B6D">
      <w:pPr>
        <w:spacing w:after="0" w:line="480" w:lineRule="auto"/>
        <w:ind w:firstLine="720"/>
      </w:pPr>
      <w:r>
        <w:t>In addition, Ohio Adm. Code 4901-1-24</w:t>
      </w:r>
      <w:bookmarkStart w:id="1" w:name="4901-1-24(B)"/>
      <w:r>
        <w:t>(B)</w:t>
      </w:r>
      <w:bookmarkEnd w:id="1"/>
      <w:r>
        <w:t xml:space="preserve"> states, in part: “No motion for a protective order shall be filed under paragraph (A) of this rule until the person or party seeking the order has exhausted all other reasonable means of resolving any differences with the party seeking discovery.” </w:t>
      </w:r>
    </w:p>
    <w:p w14:paraId="53476D06" w14:textId="7DF0B351" w:rsidR="007F7B6D" w:rsidRDefault="007F7B6D" w:rsidP="007F7B6D">
      <w:pPr>
        <w:spacing w:after="0" w:line="480" w:lineRule="auto"/>
        <w:ind w:firstLine="720"/>
      </w:pPr>
      <w:r>
        <w:t xml:space="preserve">Further, Ohio Adm. Code 4901-1-24(C) provides, in part: </w:t>
      </w:r>
      <w:bookmarkStart w:id="2" w:name="4901-1-24(C)"/>
      <w:r>
        <w:t>“</w:t>
      </w:r>
      <w:bookmarkEnd w:id="2"/>
      <w:r>
        <w:t>If a motion for a protective order filed pursuant to paragraph (A) of this rule is denied in whole or in part, the commission, the legal director, the deputy legal director, or the attorney examiner may require that the party or person seeking the order provide or permit discovery, on such terms and conditions as are just.”</w:t>
      </w:r>
    </w:p>
    <w:p w14:paraId="12BD4932" w14:textId="77777777" w:rsidR="00256064" w:rsidRDefault="00256064">
      <w:pPr>
        <w:rPr>
          <w:b/>
        </w:rPr>
      </w:pPr>
      <w:r>
        <w:rPr>
          <w:b/>
        </w:rPr>
        <w:br w:type="page"/>
      </w:r>
    </w:p>
    <w:p w14:paraId="4BFF929E" w14:textId="465DACDC" w:rsidR="00E26B15" w:rsidRPr="00E26B15" w:rsidRDefault="00E26B15" w:rsidP="00E26B15">
      <w:pPr>
        <w:spacing w:before="240" w:after="0" w:line="480" w:lineRule="auto"/>
        <w:rPr>
          <w:b/>
        </w:rPr>
      </w:pPr>
      <w:r>
        <w:rPr>
          <w:b/>
        </w:rPr>
        <w:lastRenderedPageBreak/>
        <w:t>II</w:t>
      </w:r>
      <w:r w:rsidR="00F2094E">
        <w:rPr>
          <w:b/>
        </w:rPr>
        <w:t>I</w:t>
      </w:r>
      <w:r>
        <w:rPr>
          <w:b/>
        </w:rPr>
        <w:t>.</w:t>
      </w:r>
      <w:r>
        <w:rPr>
          <w:b/>
        </w:rPr>
        <w:tab/>
        <w:t>DISCUSSION</w:t>
      </w:r>
    </w:p>
    <w:p w14:paraId="65288636" w14:textId="612C59ED" w:rsidR="000D45CF" w:rsidRPr="006D121C" w:rsidRDefault="000D45CF" w:rsidP="00256064">
      <w:pPr>
        <w:spacing w:after="240" w:line="240" w:lineRule="auto"/>
        <w:ind w:left="1440" w:right="720" w:hanging="720"/>
        <w:rPr>
          <w:b/>
        </w:rPr>
      </w:pPr>
      <w:r>
        <w:rPr>
          <w:b/>
        </w:rPr>
        <w:t>A.</w:t>
      </w:r>
      <w:r>
        <w:rPr>
          <w:b/>
        </w:rPr>
        <w:tab/>
        <w:t xml:space="preserve">Duke’s motion for protective order is defective because it does not contain an affidavit of counsel </w:t>
      </w:r>
      <w:r w:rsidRPr="006D121C">
        <w:rPr>
          <w:b/>
        </w:rPr>
        <w:t>setting forth the efforts that have been made to resolve any differences with the party seeking discovery</w:t>
      </w:r>
      <w:r>
        <w:rPr>
          <w:b/>
        </w:rPr>
        <w:t xml:space="preserve"> as required by PUCO rules, and Duke has not shown that it has </w:t>
      </w:r>
      <w:r w:rsidRPr="006D121C">
        <w:rPr>
          <w:b/>
        </w:rPr>
        <w:t>exhausted all other reasonable means of resolving any differences with the party seeking discovery</w:t>
      </w:r>
      <w:r>
        <w:rPr>
          <w:b/>
        </w:rPr>
        <w:t>.</w:t>
      </w:r>
    </w:p>
    <w:p w14:paraId="5EB1B988" w14:textId="15F6E6B6" w:rsidR="000D45CF" w:rsidRDefault="000D45CF" w:rsidP="000D45CF">
      <w:pPr>
        <w:spacing w:after="0" w:line="480" w:lineRule="auto"/>
        <w:ind w:firstLine="720"/>
      </w:pPr>
      <w:r>
        <w:t xml:space="preserve">Ohio Adm. Code 4901-1-24(B) </w:t>
      </w:r>
      <w:r w:rsidR="00DC4523">
        <w:t>requires a party seeking a protective order to exhaust all other reasonable means to resolve any differences with the requesting</w:t>
      </w:r>
      <w:r>
        <w:t xml:space="preserve"> party.  Ohio Adm. Code 4901-1-24(B)(3) </w:t>
      </w:r>
      <w:r w:rsidR="00DC4523">
        <w:t xml:space="preserve">further </w:t>
      </w:r>
      <w:r>
        <w:t>requires that a party filing a motion for protective order include an “affidavit of counsel, or of the person seeking a protective order if such person is not represented by counsel, setting forth the efforts that have been made to resolve any differences with the party seeking discovery.”  Duke</w:t>
      </w:r>
      <w:r w:rsidR="00DC4523" w:rsidRPr="00DC4523">
        <w:t xml:space="preserve"> </w:t>
      </w:r>
      <w:r w:rsidR="00DC4523">
        <w:t>failed to follow the PUCO’s rules and, thus, its</w:t>
      </w:r>
      <w:r>
        <w:t xml:space="preserve"> Motion does not </w:t>
      </w:r>
      <w:r w:rsidR="00DC4523">
        <w:t xml:space="preserve">satisfy </w:t>
      </w:r>
      <w:r>
        <w:t>these PUCO requirements.</w:t>
      </w:r>
    </w:p>
    <w:p w14:paraId="6327702B" w14:textId="0E917CE7" w:rsidR="000D45CF" w:rsidRDefault="000D45CF" w:rsidP="000D45CF">
      <w:pPr>
        <w:spacing w:after="0" w:line="480" w:lineRule="auto"/>
        <w:ind w:firstLine="720"/>
      </w:pPr>
      <w:r>
        <w:t>Duke’s Motion is defective because it does not include the affidavit of counsel required by Ohio Adm. Code 4901-1-24(B)(3).  Rather, Duke’s Motion merely includes an unsworn copy of two emails – one from Duke’s counsel to OCC’s attorney in the case, and OCC’s response.  There is no sworn statement from Duke relating its differences with OCC over the discovery, or the efforts to resolve the differences.</w:t>
      </w:r>
    </w:p>
    <w:p w14:paraId="7B0712AF" w14:textId="3FBBEA33" w:rsidR="000D45CF" w:rsidRDefault="000D45CF" w:rsidP="000D45CF">
      <w:pPr>
        <w:spacing w:after="0" w:line="480" w:lineRule="auto"/>
        <w:ind w:firstLine="720"/>
      </w:pPr>
      <w:r>
        <w:t>In fact, Duke’s “efforts” to resolve the differences regarding discovery are inadequate under the PUCO’s rules.  The PUCO’s discovery rules are “intended to minimize commission intervention in the discovery process.”</w:t>
      </w:r>
      <w:r>
        <w:rPr>
          <w:rStyle w:val="FootnoteReference"/>
        </w:rPr>
        <w:footnoteReference w:id="7"/>
      </w:r>
      <w:r>
        <w:t xml:space="preserve">  This means that the party </w:t>
      </w:r>
      <w:r w:rsidR="005805DC">
        <w:t>seeking protection must</w:t>
      </w:r>
      <w:r>
        <w:t xml:space="preserve"> exhaust all other reasonable means of resolving any differences with the party seeking discovery </w:t>
      </w:r>
      <w:r>
        <w:rPr>
          <w:i/>
        </w:rPr>
        <w:t>before</w:t>
      </w:r>
      <w:r>
        <w:t xml:space="preserve"> filing a motion for protection.  Duke, however, broached the issue of discovery just once with OCC – in a </w:t>
      </w:r>
      <w:r w:rsidR="00B20C23">
        <w:t xml:space="preserve">very brief </w:t>
      </w:r>
      <w:r>
        <w:t>conversation held the day before Duke filed its motion for protective order.</w:t>
      </w:r>
      <w:r>
        <w:rPr>
          <w:rStyle w:val="FootnoteReference"/>
        </w:rPr>
        <w:footnoteReference w:id="8"/>
      </w:r>
      <w:r>
        <w:t xml:space="preserve">  </w:t>
      </w:r>
      <w:r w:rsidR="00DC4523">
        <w:t xml:space="preserve">Duke’s attempt to satisfy the requirement was to ask OCC to agree to a complete halt of discovery.  There was no attempt to </w:t>
      </w:r>
      <w:r w:rsidR="006653D6">
        <w:t xml:space="preserve">otherwise </w:t>
      </w:r>
      <w:r w:rsidR="00DC4523">
        <w:t xml:space="preserve">extend the response time for discovery served, to limit the amount of discovery requested, or </w:t>
      </w:r>
      <w:r w:rsidR="005805DC">
        <w:t xml:space="preserve">to consider </w:t>
      </w:r>
      <w:r w:rsidR="00DC4523">
        <w:t xml:space="preserve">other resolution or compromise.  </w:t>
      </w:r>
      <w:r>
        <w:t>This is hardly an effort to exhaust all other reasonable means of resolving the differences over discovery.</w:t>
      </w:r>
    </w:p>
    <w:p w14:paraId="5964C772" w14:textId="77777777" w:rsidR="000D45CF" w:rsidRDefault="000D45CF" w:rsidP="000D45CF">
      <w:pPr>
        <w:spacing w:after="0" w:line="480" w:lineRule="auto"/>
        <w:ind w:firstLine="720"/>
      </w:pPr>
      <w:r>
        <w:t>The PUCO should not issue a protective order based on a defective motion and inadequate efforts to resolve differences.  The PUCO should deny Duke’s Motion.</w:t>
      </w:r>
    </w:p>
    <w:p w14:paraId="5DF63126" w14:textId="40613B1C" w:rsidR="00240E26" w:rsidRPr="00FA03BA" w:rsidRDefault="00240E26" w:rsidP="00256064">
      <w:pPr>
        <w:spacing w:after="240" w:line="240" w:lineRule="auto"/>
        <w:ind w:left="1440" w:right="720" w:hanging="720"/>
        <w:rPr>
          <w:b/>
        </w:rPr>
      </w:pPr>
      <w:r>
        <w:rPr>
          <w:b/>
        </w:rPr>
        <w:t>B.</w:t>
      </w:r>
      <w:r>
        <w:rPr>
          <w:b/>
        </w:rPr>
        <w:tab/>
        <w:t xml:space="preserve">Duke does not claim that a protective order is necessary to protect it from </w:t>
      </w:r>
      <w:r w:rsidRPr="00FA03BA">
        <w:rPr>
          <w:b/>
        </w:rPr>
        <w:t>annoyance, embarrassment, oppression, or undue burden or expense</w:t>
      </w:r>
      <w:r>
        <w:rPr>
          <w:b/>
        </w:rPr>
        <w:t>.</w:t>
      </w:r>
    </w:p>
    <w:p w14:paraId="48C85619" w14:textId="77777777" w:rsidR="00240E26" w:rsidRDefault="00240E26" w:rsidP="00240E26">
      <w:pPr>
        <w:spacing w:after="0" w:line="480" w:lineRule="auto"/>
        <w:ind w:firstLine="720"/>
      </w:pPr>
      <w:r>
        <w:t>Ohio Adm. Code 4901-1-24(A) provides that a protective order may be issued if it “is necessary to protect a party or person from annoyance, embarrassment, oppression, or undue burden or expense.”  Duke’s Motion does not allege that it will be subjected to any of these conditions absent a protective order.</w:t>
      </w:r>
    </w:p>
    <w:p w14:paraId="489BC803" w14:textId="77777777" w:rsidR="00240E26" w:rsidRDefault="00240E26" w:rsidP="00240E26">
      <w:pPr>
        <w:spacing w:after="0" w:line="480" w:lineRule="auto"/>
        <w:ind w:firstLine="720"/>
      </w:pPr>
      <w:r>
        <w:t>Duke’s Motion does not even mention annoyance, embarrassment or oppression.  And burden and expense are mentioned only twice in the Motion.</w:t>
      </w:r>
      <w:r>
        <w:rPr>
          <w:rStyle w:val="FootnoteReference"/>
        </w:rPr>
        <w:footnoteReference w:id="9"/>
      </w:r>
      <w:r>
        <w:t xml:space="preserve">  The Motion also mentions that discovery will be “time-consuming and costly….”</w:t>
      </w:r>
      <w:r>
        <w:rPr>
          <w:rStyle w:val="FootnoteReference"/>
        </w:rPr>
        <w:footnoteReference w:id="10"/>
      </w:r>
      <w:r>
        <w:t xml:space="preserve">  But Duke does not allege anywhere in the Motion that either the burden or the expense associated with responding to OCC’s discovery will be undue.</w:t>
      </w:r>
    </w:p>
    <w:p w14:paraId="7D3E66AF" w14:textId="1B54E725" w:rsidR="00240E26" w:rsidRPr="00397E27" w:rsidRDefault="00240E26" w:rsidP="00240E26">
      <w:pPr>
        <w:spacing w:after="0" w:line="480" w:lineRule="auto"/>
        <w:ind w:firstLine="720"/>
      </w:pPr>
      <w:r>
        <w:t>Duke has not satisfied the criteria for a protective order under the PUCO’s rules.  The PUCO should deny the Motion.</w:t>
      </w:r>
    </w:p>
    <w:p w14:paraId="30C1E20D" w14:textId="4EDC3711" w:rsidR="001913D3" w:rsidRPr="001913D3" w:rsidRDefault="00240E26" w:rsidP="00256064">
      <w:pPr>
        <w:spacing w:after="240" w:line="240" w:lineRule="auto"/>
        <w:ind w:left="1440" w:right="720" w:hanging="720"/>
        <w:rPr>
          <w:b/>
        </w:rPr>
      </w:pPr>
      <w:r>
        <w:rPr>
          <w:b/>
        </w:rPr>
        <w:t>C</w:t>
      </w:r>
      <w:r w:rsidR="001913D3">
        <w:rPr>
          <w:b/>
        </w:rPr>
        <w:t>.</w:t>
      </w:r>
      <w:r w:rsidR="001913D3">
        <w:rPr>
          <w:b/>
        </w:rPr>
        <w:tab/>
      </w:r>
      <w:r w:rsidR="00F2094E">
        <w:rPr>
          <w:b/>
        </w:rPr>
        <w:t>Contrary to Duke’s assertions, discovery in a complaint case may begin with the filing of the complaint</w:t>
      </w:r>
      <w:r w:rsidR="001913D3">
        <w:rPr>
          <w:b/>
        </w:rPr>
        <w:t>.</w:t>
      </w:r>
    </w:p>
    <w:p w14:paraId="04329082" w14:textId="49C432B0" w:rsidR="00F2094E" w:rsidRDefault="00F2094E" w:rsidP="002945A2">
      <w:pPr>
        <w:spacing w:after="0" w:line="480" w:lineRule="auto"/>
        <w:ind w:firstLine="720"/>
      </w:pPr>
      <w:r>
        <w:t>Duke claims that OCC “is not entitled to automatically engage in discovery in a complaint proceeding for which it bears the burden of proof.”</w:t>
      </w:r>
      <w:r>
        <w:rPr>
          <w:rStyle w:val="FootnoteReference"/>
        </w:rPr>
        <w:footnoteReference w:id="11"/>
      </w:r>
      <w:r>
        <w:t xml:space="preserve">  Duke is wrong.</w:t>
      </w:r>
    </w:p>
    <w:p w14:paraId="7170B2A2" w14:textId="22DE6B39" w:rsidR="0079787F" w:rsidRDefault="0079787F" w:rsidP="002945A2">
      <w:pPr>
        <w:spacing w:after="0" w:line="480" w:lineRule="auto"/>
        <w:ind w:firstLine="720"/>
      </w:pPr>
      <w:r>
        <w:t>Ohio Adm. Code 4901-1-16 states, in relevant part:</w:t>
      </w:r>
    </w:p>
    <w:p w14:paraId="77A86567" w14:textId="76D577FD" w:rsidR="0079787F" w:rsidRDefault="0079787F" w:rsidP="00256064">
      <w:pPr>
        <w:pStyle w:val="NormalWeb"/>
        <w:spacing w:before="0" w:beforeAutospacing="0" w:after="240" w:afterAutospacing="0"/>
        <w:ind w:left="1440" w:right="720"/>
      </w:pPr>
      <w:bookmarkStart w:id="3" w:name="4901-1-16(A)"/>
      <w:r>
        <w:t>(A)</w:t>
      </w:r>
      <w:bookmarkEnd w:id="3"/>
      <w:r>
        <w:t xml:space="preserve"> The purpose of rules 4901-1-16 to </w:t>
      </w:r>
      <w:r w:rsidRPr="0079787F">
        <w:t>4901-1-24</w:t>
      </w:r>
      <w:r>
        <w:t xml:space="preserve"> of the Administrative Code is to encourage the prompt and expeditious use of prehearing discovery in order to facilitate thorough and adequate preparation for participation in commission proceedings. </w:t>
      </w:r>
      <w:r w:rsidR="005805DC">
        <w:t xml:space="preserve"> </w:t>
      </w:r>
      <w:r>
        <w:t xml:space="preserve">These rules are also intended to minimize commission intervention in the discovery process. </w:t>
      </w:r>
    </w:p>
    <w:p w14:paraId="124718AE" w14:textId="76692C87" w:rsidR="0079787F" w:rsidRDefault="0079787F" w:rsidP="00256064">
      <w:pPr>
        <w:pStyle w:val="NormalWeb"/>
        <w:spacing w:before="0" w:beforeAutospacing="0" w:after="240" w:afterAutospacing="0"/>
        <w:ind w:left="1440" w:right="720"/>
      </w:pPr>
      <w:bookmarkStart w:id="4" w:name="4901-1-16(B)"/>
      <w:r>
        <w:t>(B)</w:t>
      </w:r>
      <w:bookmarkEnd w:id="4"/>
      <w:r>
        <w:t xml:space="preserve"> Except as otherwise provided in paragraphs (G) and (I) of this rule, any party to a commission proceeding may obtain discovery of any matter, not privileged, which is relevant to the subject matter of the proceeding. </w:t>
      </w:r>
      <w:r w:rsidR="00F2094E">
        <w:t xml:space="preserve"> </w:t>
      </w:r>
      <w:r>
        <w:t xml:space="preserve">It is not a ground for objection that the information sought would be inadmissible at the hearing, if the information sought appears reasonably calculated to lead to the discovery of admissible evidence. </w:t>
      </w:r>
      <w:r w:rsidR="00F2094E">
        <w:t xml:space="preserve"> </w:t>
      </w:r>
      <w:r>
        <w:t xml:space="preserve">Discovery may be obtained through interrogatories, requests for the production of documents and things or permission to enter upon land or other property, depositions, and requests for admission. </w:t>
      </w:r>
      <w:r w:rsidR="00F2094E">
        <w:t xml:space="preserve"> </w:t>
      </w:r>
      <w:r>
        <w:t xml:space="preserve">The frequency of using these discovery methods is not limited unless the commission orders otherwise under rule </w:t>
      </w:r>
      <w:r w:rsidRPr="0079787F">
        <w:t>4901-1-24</w:t>
      </w:r>
      <w:r>
        <w:t xml:space="preserve"> of the Administrative Code.</w:t>
      </w:r>
      <w:r w:rsidR="005805DC">
        <w:rPr>
          <w:rStyle w:val="FootnoteReference"/>
        </w:rPr>
        <w:footnoteReference w:id="12"/>
      </w:r>
      <w:r>
        <w:t xml:space="preserve"> </w:t>
      </w:r>
    </w:p>
    <w:p w14:paraId="441F2E54" w14:textId="05FA6516" w:rsidR="0079787F" w:rsidRDefault="0079787F" w:rsidP="002945A2">
      <w:pPr>
        <w:spacing w:after="0" w:line="480" w:lineRule="auto"/>
        <w:ind w:firstLine="720"/>
      </w:pPr>
      <w:r>
        <w:t xml:space="preserve">Ohio Adm. Code 4901-1-17 provides: “Except as provided in paragraph (E) of this rule, discovery may begin immediately after a proceeding is commenced and should be completed as expeditiously as possible. </w:t>
      </w:r>
      <w:r w:rsidR="005805DC">
        <w:t xml:space="preserve"> </w:t>
      </w:r>
      <w:r>
        <w:t>Unless otherwise ordered for good cause shown, discovery must be completed prior to the commencement of the hearing.”</w:t>
      </w:r>
      <w:r>
        <w:rPr>
          <w:rStyle w:val="FootnoteReference"/>
        </w:rPr>
        <w:footnoteReference w:id="13"/>
      </w:r>
    </w:p>
    <w:p w14:paraId="4BA83005" w14:textId="64C94555" w:rsidR="001E5544" w:rsidRDefault="001E5544" w:rsidP="001E5544">
      <w:pPr>
        <w:spacing w:after="0" w:line="480" w:lineRule="auto"/>
        <w:ind w:firstLine="720"/>
        <w:rPr>
          <w:rStyle w:val="ssleftalign"/>
        </w:rPr>
      </w:pPr>
      <w:r>
        <w:rPr>
          <w:rStyle w:val="ssleftalign"/>
        </w:rPr>
        <w:t>The PUCO has ruled that</w:t>
      </w:r>
      <w:r w:rsidR="007F7B6D">
        <w:rPr>
          <w:rStyle w:val="ssleftalign"/>
        </w:rPr>
        <w:t>, combined,</w:t>
      </w:r>
      <w:r>
        <w:rPr>
          <w:rStyle w:val="ssleftalign"/>
        </w:rPr>
        <w:t xml:space="preserve"> </w:t>
      </w:r>
      <w:r w:rsidR="007F7B6D">
        <w:rPr>
          <w:rStyle w:val="ssleftalign"/>
        </w:rPr>
        <w:t>these two</w:t>
      </w:r>
      <w:r>
        <w:rPr>
          <w:rStyle w:val="ssleftalign"/>
        </w:rPr>
        <w:t xml:space="preserve"> rules allow complainants to begin discovery once a complaint is filed.  In </w:t>
      </w:r>
      <w:r w:rsidRPr="00FF169E">
        <w:rPr>
          <w:rStyle w:val="ssleftalign"/>
          <w:i/>
        </w:rPr>
        <w:t>Toliver</w:t>
      </w:r>
      <w:r>
        <w:rPr>
          <w:rStyle w:val="ssleftalign"/>
        </w:rPr>
        <w:t xml:space="preserve">, the PUCO stated: “Taken together, Rules </w:t>
      </w:r>
      <w:r w:rsidRPr="00F84F39">
        <w:rPr>
          <w:rStyle w:val="ssleftalign"/>
        </w:rPr>
        <w:t>4901-1-16(C)</w:t>
      </w:r>
      <w:r>
        <w:rPr>
          <w:rStyle w:val="ssleftalign"/>
        </w:rPr>
        <w:t xml:space="preserve">, and </w:t>
      </w:r>
      <w:r w:rsidRPr="00F84F39">
        <w:rPr>
          <w:rStyle w:val="ssleftalign"/>
        </w:rPr>
        <w:t>4901-1-17(A), O.A.C.</w:t>
      </w:r>
      <w:r>
        <w:rPr>
          <w:rStyle w:val="ssleftalign"/>
        </w:rPr>
        <w:t xml:space="preserve">, allow a party to a Commission proceeding to commence </w:t>
      </w:r>
      <w:r>
        <w:rPr>
          <w:rStyle w:val="sssh"/>
        </w:rPr>
        <w:t>discovery</w:t>
      </w:r>
      <w:r>
        <w:rPr>
          <w:rStyle w:val="ssleftalign"/>
        </w:rPr>
        <w:t xml:space="preserve">, in this instance, immediately upon the filing of the </w:t>
      </w:r>
      <w:r>
        <w:rPr>
          <w:rStyle w:val="sssh"/>
        </w:rPr>
        <w:t>complaint</w:t>
      </w:r>
      <w:r>
        <w:rPr>
          <w:rStyle w:val="ssleftalign"/>
        </w:rPr>
        <w:t>….”</w:t>
      </w:r>
      <w:r>
        <w:rPr>
          <w:rStyle w:val="FootnoteReference"/>
        </w:rPr>
        <w:footnoteReference w:id="14"/>
      </w:r>
      <w:r w:rsidR="00F2094E">
        <w:rPr>
          <w:rStyle w:val="ssleftalign"/>
        </w:rPr>
        <w:t xml:space="preserve">  Thus, Duke’s assertion that OCC is not entitled to discovery at this point in the proceeding is erroneous.</w:t>
      </w:r>
    </w:p>
    <w:p w14:paraId="54DF7DF8" w14:textId="074E0CBC" w:rsidR="00F2094E" w:rsidRPr="00F234B6" w:rsidRDefault="00EE1E5D" w:rsidP="001E5544">
      <w:pPr>
        <w:spacing w:after="0" w:line="480" w:lineRule="auto"/>
        <w:ind w:firstLine="720"/>
      </w:pPr>
      <w:r>
        <w:t xml:space="preserve">Furthermore, </w:t>
      </w:r>
      <w:r w:rsidR="00F2094E">
        <w:t xml:space="preserve">Duke’s desire to not respond to OCC’s discovery is based on the false assumption that </w:t>
      </w:r>
      <w:r w:rsidR="00C008C0">
        <w:t xml:space="preserve">the PUCO will grant </w:t>
      </w:r>
      <w:r w:rsidR="00F2094E">
        <w:t xml:space="preserve">Duke’s motion to dismiss the </w:t>
      </w:r>
      <w:r w:rsidR="00FA03BA">
        <w:t>C</w:t>
      </w:r>
      <w:r w:rsidR="00C008C0">
        <w:t xml:space="preserve">omplaint.  </w:t>
      </w:r>
      <w:r w:rsidR="00F234B6">
        <w:t>But a</w:t>
      </w:r>
      <w:r w:rsidR="00C008C0">
        <w:t xml:space="preserve">s discussed in the Consumer Parties’ Memorandum Contra Duke’s motion to dismiss, filed concurrently with this Memorandum Contra, Duke’s arguments </w:t>
      </w:r>
      <w:r w:rsidR="00793FBC">
        <w:t>do not support dismissal of the Complaint.</w:t>
      </w:r>
      <w:r w:rsidR="00E16D6A">
        <w:rPr>
          <w:rStyle w:val="FootnoteReference"/>
        </w:rPr>
        <w:footnoteReference w:id="15"/>
      </w:r>
      <w:r w:rsidR="00793FBC">
        <w:t xml:space="preserve">  </w:t>
      </w:r>
      <w:r w:rsidR="00E16D6A">
        <w:t xml:space="preserve">Further, the PUCO has stated: </w:t>
      </w:r>
      <w:r w:rsidR="00E16D6A" w:rsidRPr="00E16D6A">
        <w:t>“[W]</w:t>
      </w:r>
      <w:r w:rsidR="00E16D6A" w:rsidRPr="00E16D6A">
        <w:rPr>
          <w:color w:val="373739"/>
        </w:rPr>
        <w:t>hen a motion to dismiss is being</w:t>
      </w:r>
      <w:r w:rsidR="00E16D6A" w:rsidRPr="00E16D6A">
        <w:rPr>
          <w:rStyle w:val="sspagshow1"/>
          <w:color w:val="373739"/>
        </w:rPr>
        <w:t> </w:t>
      </w:r>
      <w:r w:rsidR="00E16D6A" w:rsidRPr="00E16D6A">
        <w:rPr>
          <w:color w:val="373739"/>
        </w:rPr>
        <w:t xml:space="preserve">considered, all material allegations of the </w:t>
      </w:r>
      <w:r w:rsidR="00E16D6A" w:rsidRPr="00E16D6A">
        <w:rPr>
          <w:rStyle w:val="sssh"/>
          <w:color w:val="373739"/>
        </w:rPr>
        <w:t>complaint</w:t>
      </w:r>
      <w:r w:rsidR="00E16D6A" w:rsidRPr="00E16D6A">
        <w:rPr>
          <w:color w:val="373739"/>
        </w:rPr>
        <w:t xml:space="preserve"> must be accepted as true and construed in favor of the complaining party.</w:t>
      </w:r>
      <w:r w:rsidR="00E16D6A">
        <w:rPr>
          <w:color w:val="373739"/>
        </w:rPr>
        <w:t>”</w:t>
      </w:r>
      <w:r w:rsidR="00E16D6A">
        <w:rPr>
          <w:rStyle w:val="FootnoteReference"/>
          <w:color w:val="373739"/>
        </w:rPr>
        <w:footnoteReference w:id="16"/>
      </w:r>
      <w:r w:rsidR="00F234B6">
        <w:rPr>
          <w:color w:val="373739"/>
        </w:rPr>
        <w:t xml:space="preserve">  Hence, Duke’s arguments concerning the timing of discovery in this case are baseless.</w:t>
      </w:r>
    </w:p>
    <w:p w14:paraId="3A690894" w14:textId="2E299331" w:rsidR="001C6778" w:rsidRPr="00BF1368" w:rsidRDefault="00275375" w:rsidP="00256064">
      <w:pPr>
        <w:spacing w:after="240" w:line="240" w:lineRule="auto"/>
        <w:ind w:left="1440" w:right="720" w:hanging="720"/>
        <w:rPr>
          <w:b/>
        </w:rPr>
      </w:pPr>
      <w:r>
        <w:rPr>
          <w:b/>
        </w:rPr>
        <w:t>D</w:t>
      </w:r>
      <w:r w:rsidR="00BF1368">
        <w:rPr>
          <w:b/>
        </w:rPr>
        <w:t>.</w:t>
      </w:r>
      <w:r w:rsidR="00BF1368">
        <w:rPr>
          <w:b/>
        </w:rPr>
        <w:tab/>
      </w:r>
      <w:r w:rsidR="007D0437">
        <w:rPr>
          <w:b/>
        </w:rPr>
        <w:t xml:space="preserve">Contrary to Duke’s assertions, OCC’s discovery is reasonably calculated to </w:t>
      </w:r>
      <w:r w:rsidR="007D0437" w:rsidRPr="007D0437">
        <w:rPr>
          <w:b/>
        </w:rPr>
        <w:t>lead to the discovery of admissible evidence</w:t>
      </w:r>
      <w:r w:rsidR="00BF1368">
        <w:rPr>
          <w:b/>
        </w:rPr>
        <w:t xml:space="preserve">. </w:t>
      </w:r>
    </w:p>
    <w:p w14:paraId="71503B45" w14:textId="711FC164" w:rsidR="00793FBC" w:rsidRDefault="007D0437" w:rsidP="002945A2">
      <w:pPr>
        <w:spacing w:after="0" w:line="480" w:lineRule="auto"/>
        <w:ind w:firstLine="720"/>
      </w:pPr>
      <w:r>
        <w:t>Duke claims that OCC’s discovery is a “fishing expedition.”</w:t>
      </w:r>
      <w:r>
        <w:rPr>
          <w:rStyle w:val="FootnoteReference"/>
        </w:rPr>
        <w:footnoteReference w:id="17"/>
      </w:r>
      <w:r>
        <w:t xml:space="preserve">  As with the other allegations in the Motion, Duke is wrong.</w:t>
      </w:r>
    </w:p>
    <w:p w14:paraId="16ED2096" w14:textId="1F557C5D" w:rsidR="0064469D" w:rsidRDefault="00D45144" w:rsidP="002945A2">
      <w:pPr>
        <w:spacing w:after="0" w:line="480" w:lineRule="auto"/>
        <w:ind w:firstLine="720"/>
      </w:pPr>
      <w:r>
        <w:t xml:space="preserve">In this proceeding, the Consumer Parties have specifically pointed to Duke’s misapplication of the winter heating rules.  Duke’s </w:t>
      </w:r>
      <w:r w:rsidR="00EE1E5D">
        <w:t>contention</w:t>
      </w:r>
      <w:r>
        <w:t xml:space="preserve"> that the consumer protections of the winter heating rules do not apply when </w:t>
      </w:r>
      <w:r w:rsidR="00A31179">
        <w:t xml:space="preserve">the bill includes delinquent charges for </w:t>
      </w:r>
      <w:r>
        <w:t>usage</w:t>
      </w:r>
      <w:r w:rsidR="00A31179">
        <w:t xml:space="preserve"> from</w:t>
      </w:r>
      <w:r>
        <w:t xml:space="preserve"> before the winter heating season places consumers at risk.  Duke’s misapplication of the winter heating rule</w:t>
      </w:r>
      <w:r w:rsidR="00B25B86">
        <w:t xml:space="preserve"> is particularly troubling</w:t>
      </w:r>
      <w:r>
        <w:t xml:space="preserve"> in light of the extremely high number of Duke residential customers who have been disconnected for nonpayment</w:t>
      </w:r>
      <w:r w:rsidR="00B25B86">
        <w:t xml:space="preserve">.  Combined, these facts provide </w:t>
      </w:r>
      <w:r>
        <w:t xml:space="preserve">reasonable grounds for the allegations </w:t>
      </w:r>
      <w:r w:rsidR="00B25B86">
        <w:t xml:space="preserve">that Duke’s practices regarding winter </w:t>
      </w:r>
      <w:r w:rsidR="00A66447">
        <w:t>disconnections</w:t>
      </w:r>
      <w:r w:rsidR="00B25B86">
        <w:t xml:space="preserve"> are or will be unjust and unreasonable.</w:t>
      </w:r>
    </w:p>
    <w:p w14:paraId="1C223732" w14:textId="28FE437B" w:rsidR="002B57FC" w:rsidRDefault="007D0437" w:rsidP="00791318">
      <w:pPr>
        <w:spacing w:after="0" w:line="480" w:lineRule="auto"/>
        <w:ind w:firstLine="720"/>
      </w:pPr>
      <w:r>
        <w:t xml:space="preserve">OCC’s discovery, attached to </w:t>
      </w:r>
      <w:r w:rsidR="007F73D2">
        <w:t>Duke’s</w:t>
      </w:r>
      <w:r>
        <w:t xml:space="preserve"> Motion as Exhibit A, goes directly to the heart of the Consumer Parties’ Complaint.  The discovery is intended to delve into Duke’s practices concerning the disconnection of residential customers</w:t>
      </w:r>
      <w:r w:rsidR="00EC4662">
        <w:t xml:space="preserve"> and Duke’s application of the </w:t>
      </w:r>
      <w:r w:rsidR="00EE1E5D">
        <w:t xml:space="preserve">PUCO’s </w:t>
      </w:r>
      <w:r w:rsidR="00EC4662">
        <w:t>winter heating rule</w:t>
      </w:r>
      <w:r w:rsidR="00EE1E5D">
        <w:t>s</w:t>
      </w:r>
      <w:r w:rsidR="00EE1E5D" w:rsidRPr="00EE1E5D">
        <w:t xml:space="preserve"> </w:t>
      </w:r>
      <w:r w:rsidR="00EE1E5D">
        <w:t>and winter reconnection orders</w:t>
      </w:r>
      <w:r w:rsidR="00EC4662">
        <w:t xml:space="preserve">.  </w:t>
      </w:r>
      <w:r w:rsidR="00EE1E5D">
        <w:t xml:space="preserve">The discovery OCC served upon Duke </w:t>
      </w:r>
      <w:r w:rsidR="00EC4662">
        <w:t>is “reasonably calculated to lead to the discovery of admissible evidence….”</w:t>
      </w:r>
      <w:r w:rsidR="00EC4662">
        <w:rPr>
          <w:rStyle w:val="FootnoteReference"/>
        </w:rPr>
        <w:footnoteReference w:id="18"/>
      </w:r>
      <w:r w:rsidR="00EC4662">
        <w:t xml:space="preserve">  </w:t>
      </w:r>
      <w:r w:rsidR="00EE1E5D">
        <w:t>As such, the PUCO’s rules require Duke to respond to the discovery propounded upon it</w:t>
      </w:r>
      <w:r w:rsidR="00EC4662">
        <w:t>.</w:t>
      </w:r>
    </w:p>
    <w:p w14:paraId="6EB4D833" w14:textId="48922750" w:rsidR="00EC4662" w:rsidRDefault="00EC4662" w:rsidP="00791318">
      <w:pPr>
        <w:spacing w:after="0" w:line="480" w:lineRule="auto"/>
        <w:ind w:firstLine="720"/>
      </w:pPr>
      <w:r>
        <w:t xml:space="preserve">Duke contends that </w:t>
      </w:r>
      <w:r w:rsidR="00EE1E5D">
        <w:t xml:space="preserve">in the past </w:t>
      </w:r>
      <w:r>
        <w:t>the PUCO has exercised discretion “in order to stay discovery pending the resolution of a dispositive motion.”</w:t>
      </w:r>
      <w:r>
        <w:rPr>
          <w:rStyle w:val="FootnoteReference"/>
        </w:rPr>
        <w:footnoteReference w:id="19"/>
      </w:r>
      <w:r>
        <w:t xml:space="preserve">  For support Duke cites to </w:t>
      </w:r>
      <w:r w:rsidRPr="00EC4662">
        <w:rPr>
          <w:i/>
        </w:rPr>
        <w:t>Wilkes v. Ohio Edison</w:t>
      </w:r>
      <w:r>
        <w:t>.</w:t>
      </w:r>
      <w:r>
        <w:rPr>
          <w:rStyle w:val="FootnoteReference"/>
        </w:rPr>
        <w:footnoteReference w:id="20"/>
      </w:r>
      <w:r>
        <w:t xml:space="preserve">  The facts of that case, however, are so removed from the facts of this case that </w:t>
      </w:r>
      <w:r w:rsidR="00EE1179">
        <w:rPr>
          <w:i/>
        </w:rPr>
        <w:t>Wilkes</w:t>
      </w:r>
      <w:r>
        <w:t xml:space="preserve"> has no precedential </w:t>
      </w:r>
      <w:r w:rsidR="00E97EB9">
        <w:t>value</w:t>
      </w:r>
      <w:r>
        <w:t xml:space="preserve">.  </w:t>
      </w:r>
    </w:p>
    <w:p w14:paraId="0B1C1521" w14:textId="5F128805" w:rsidR="00EC4662" w:rsidRDefault="00EC4662" w:rsidP="00791318">
      <w:pPr>
        <w:spacing w:after="0" w:line="480" w:lineRule="auto"/>
        <w:ind w:firstLine="720"/>
      </w:pPr>
      <w:r>
        <w:t xml:space="preserve">In </w:t>
      </w:r>
      <w:r w:rsidRPr="00EC4662">
        <w:rPr>
          <w:i/>
        </w:rPr>
        <w:t>Wilkes</w:t>
      </w:r>
      <w:r>
        <w:t xml:space="preserve">, the </w:t>
      </w:r>
      <w:r w:rsidRPr="00D83069">
        <w:t>complain</w:t>
      </w:r>
      <w:r>
        <w:t>an</w:t>
      </w:r>
      <w:r w:rsidRPr="00D83069">
        <w:t>t</w:t>
      </w:r>
      <w:r>
        <w:t>s</w:t>
      </w:r>
      <w:r w:rsidRPr="00D83069">
        <w:t xml:space="preserve"> </w:t>
      </w:r>
      <w:r>
        <w:t>asked the PUCO</w:t>
      </w:r>
      <w:r w:rsidRPr="00D83069">
        <w:t xml:space="preserve"> to compel Ohio Edison to move a 69kV electrical transmission line that runs </w:t>
      </w:r>
      <w:r w:rsidR="00EE1179">
        <w:t>near</w:t>
      </w:r>
      <w:r w:rsidRPr="00D83069">
        <w:t xml:space="preserve"> structures on the</w:t>
      </w:r>
      <w:r w:rsidR="00EE1179">
        <w:t>ir</w:t>
      </w:r>
      <w:r w:rsidRPr="00D83069">
        <w:t xml:space="preserve"> property.</w:t>
      </w:r>
      <w:r>
        <w:rPr>
          <w:rStyle w:val="FootnoteReference"/>
        </w:rPr>
        <w:footnoteReference w:id="21"/>
      </w:r>
      <w:r w:rsidRPr="00D83069">
        <w:t xml:space="preserve"> </w:t>
      </w:r>
      <w:r>
        <w:t xml:space="preserve"> </w:t>
      </w:r>
      <w:r w:rsidRPr="00D83069">
        <w:t xml:space="preserve">In the alternative, the </w:t>
      </w:r>
      <w:r>
        <w:t>complainants</w:t>
      </w:r>
      <w:r w:rsidRPr="00D83069">
        <w:t xml:space="preserve"> </w:t>
      </w:r>
      <w:r w:rsidR="00EE1179">
        <w:t>asked</w:t>
      </w:r>
      <w:r w:rsidRPr="00D83069">
        <w:t xml:space="preserve"> the </w:t>
      </w:r>
      <w:r>
        <w:t>PUCO to determine whether Ohio Edison’</w:t>
      </w:r>
      <w:r w:rsidRPr="00D83069">
        <w:t>s 69kV line is located at a safe distance from their property</w:t>
      </w:r>
      <w:r>
        <w:t>.</w:t>
      </w:r>
      <w:r>
        <w:rPr>
          <w:rStyle w:val="FootnoteReference"/>
        </w:rPr>
        <w:footnoteReference w:id="22"/>
      </w:r>
      <w:r w:rsidR="00E97EB9">
        <w:t xml:space="preserve">  In its motion for stay of discovery, </w:t>
      </w:r>
      <w:r w:rsidR="00E97EB9" w:rsidRPr="00D83069">
        <w:t xml:space="preserve">Ohio Edison </w:t>
      </w:r>
      <w:r w:rsidR="00E97EB9">
        <w:t xml:space="preserve">said </w:t>
      </w:r>
      <w:r w:rsidR="00EE1E5D">
        <w:t xml:space="preserve">the case was really about </w:t>
      </w:r>
      <w:r w:rsidR="00E97EB9" w:rsidRPr="00D83069">
        <w:t xml:space="preserve">the </w:t>
      </w:r>
      <w:r w:rsidR="00E97EB9">
        <w:t>complainants</w:t>
      </w:r>
      <w:r w:rsidR="00E97EB9" w:rsidRPr="00D83069">
        <w:t xml:space="preserve"> </w:t>
      </w:r>
      <w:r w:rsidR="00EE1179">
        <w:t>infring</w:t>
      </w:r>
      <w:r w:rsidR="00EE1E5D">
        <w:t>ing</w:t>
      </w:r>
      <w:r w:rsidR="00EE1179">
        <w:t xml:space="preserve"> on an easement by</w:t>
      </w:r>
      <w:r w:rsidR="00E97EB9" w:rsidRPr="00D83069">
        <w:t xml:space="preserve"> </w:t>
      </w:r>
      <w:r w:rsidR="00EE1179">
        <w:t>constructing</w:t>
      </w:r>
      <w:r w:rsidR="00E97EB9" w:rsidRPr="00D83069">
        <w:t xml:space="preserve"> a swimming pool and storage shed too close to Ohio Edison</w:t>
      </w:r>
      <w:r w:rsidR="00E97EB9">
        <w:t>’</w:t>
      </w:r>
      <w:r w:rsidR="00E97EB9" w:rsidRPr="00D83069">
        <w:t>s power lines.</w:t>
      </w:r>
      <w:r w:rsidR="00E97EB9">
        <w:rPr>
          <w:rStyle w:val="FootnoteReference"/>
        </w:rPr>
        <w:footnoteReference w:id="23"/>
      </w:r>
      <w:r w:rsidR="00E97EB9" w:rsidRPr="00D83069">
        <w:t xml:space="preserve"> </w:t>
      </w:r>
      <w:r w:rsidR="00E97EB9">
        <w:t xml:space="preserve"> Further, </w:t>
      </w:r>
      <w:r w:rsidR="00E97EB9" w:rsidRPr="00D83069">
        <w:t xml:space="preserve">Ohio Edison </w:t>
      </w:r>
      <w:r w:rsidR="00E97EB9">
        <w:t>had</w:t>
      </w:r>
      <w:r w:rsidR="00E97EB9" w:rsidRPr="00D83069">
        <w:t xml:space="preserve"> sought a remedy by filing a complaint for declaratory and injunctive relief in the Mahoning County Court of Common Pleas.</w:t>
      </w:r>
      <w:r w:rsidR="00E97EB9">
        <w:rPr>
          <w:rStyle w:val="FootnoteReference"/>
        </w:rPr>
        <w:footnoteReference w:id="24"/>
      </w:r>
      <w:r w:rsidR="00E97EB9">
        <w:t xml:space="preserve">  Importantly, the complainants </w:t>
      </w:r>
      <w:r w:rsidR="00A24CE6">
        <w:t xml:space="preserve">in </w:t>
      </w:r>
      <w:r w:rsidR="00A24CE6" w:rsidRPr="00A24CE6">
        <w:rPr>
          <w:i/>
        </w:rPr>
        <w:t>Wilkes</w:t>
      </w:r>
      <w:r w:rsidR="00A24CE6">
        <w:t xml:space="preserve"> </w:t>
      </w:r>
      <w:r w:rsidR="00E97EB9">
        <w:t>did not file a memorandum contra Ohio Edison’s motion.</w:t>
      </w:r>
      <w:r w:rsidR="00E97EB9">
        <w:rPr>
          <w:rStyle w:val="FootnoteReference"/>
        </w:rPr>
        <w:footnoteReference w:id="25"/>
      </w:r>
    </w:p>
    <w:p w14:paraId="6872BD27" w14:textId="7A3C8FCC" w:rsidR="00E97EB9" w:rsidRDefault="00E97EB9" w:rsidP="00791318">
      <w:pPr>
        <w:spacing w:after="0" w:line="480" w:lineRule="auto"/>
        <w:ind w:firstLine="720"/>
      </w:pPr>
      <w:r>
        <w:t xml:space="preserve">Based on the pleadings – and absence </w:t>
      </w:r>
      <w:r w:rsidR="00EE1E5D">
        <w:t xml:space="preserve">of a memorandum contra the motion </w:t>
      </w:r>
      <w:r>
        <w:t>– the attorney examiner granted the motion for stay of discovery.  The attorney examiner stated: “</w:t>
      </w:r>
      <w:r w:rsidRPr="00E97EB9">
        <w:rPr>
          <w:b/>
        </w:rPr>
        <w:t>Noting no opposition</w:t>
      </w:r>
      <w:r w:rsidRPr="00D83069">
        <w:t xml:space="preserve"> and finding that staying discovery is in the interest of both parties should the Commission ultimately decide to grant Ohio Edison</w:t>
      </w:r>
      <w:r w:rsidR="007F73D2">
        <w:t>’</w:t>
      </w:r>
      <w:r w:rsidRPr="00D83069">
        <w:t xml:space="preserve">s motion to dismiss, the attorney </w:t>
      </w:r>
      <w:r w:rsidR="007F73D2">
        <w:t>examiner finds that Ohio Edison’</w:t>
      </w:r>
      <w:r w:rsidRPr="00D83069">
        <w:t>s motion is reasonable and should be granted</w:t>
      </w:r>
      <w:r>
        <w:t>.”</w:t>
      </w:r>
      <w:r>
        <w:rPr>
          <w:rStyle w:val="FootnoteReference"/>
        </w:rPr>
        <w:footnoteReference w:id="26"/>
      </w:r>
      <w:r>
        <w:t xml:space="preserve">  </w:t>
      </w:r>
      <w:r w:rsidR="007F73D2">
        <w:t>By contrast, t</w:t>
      </w:r>
      <w:r w:rsidR="00EE1E5D">
        <w:t xml:space="preserve">here is no court case pending to resolve the issues in this case and the Consumer Parties zealously oppose Duke’s </w:t>
      </w:r>
      <w:r w:rsidR="007F73D2">
        <w:t>M</w:t>
      </w:r>
      <w:r w:rsidR="00EE1E5D">
        <w:t xml:space="preserve">otion.  The facts of the two cases are inapposite, and therefore, </w:t>
      </w:r>
      <w:r>
        <w:t xml:space="preserve">Duke’s reliance on </w:t>
      </w:r>
      <w:r w:rsidR="00FA03BA">
        <w:rPr>
          <w:i/>
        </w:rPr>
        <w:t>Wilkes</w:t>
      </w:r>
      <w:r>
        <w:t xml:space="preserve"> is mis</w:t>
      </w:r>
      <w:r w:rsidR="00EE1E5D">
        <w:t>placed</w:t>
      </w:r>
      <w:r>
        <w:t>.</w:t>
      </w:r>
    </w:p>
    <w:p w14:paraId="08472E8B" w14:textId="00936E77" w:rsidR="00FA03BA" w:rsidRPr="00451414" w:rsidRDefault="00E97EB9" w:rsidP="0013534D">
      <w:pPr>
        <w:spacing w:after="0" w:line="480" w:lineRule="auto"/>
        <w:ind w:firstLine="720"/>
      </w:pPr>
      <w:r>
        <w:t xml:space="preserve">Duke’s arguments for a protective order are flawed and based on </w:t>
      </w:r>
      <w:r w:rsidR="008F3824">
        <w:t>case law</w:t>
      </w:r>
      <w:r w:rsidR="00B20C23">
        <w:t xml:space="preserve"> which provides no precedential value in this proceeding</w:t>
      </w:r>
      <w:r w:rsidR="008F3824">
        <w:t>.</w:t>
      </w:r>
      <w:r w:rsidR="00801035">
        <w:t xml:space="preserve">  The PUCO should deny Duke’s </w:t>
      </w:r>
      <w:r w:rsidR="008F3824">
        <w:t>M</w:t>
      </w:r>
      <w:r w:rsidR="00801035">
        <w:t>otion.</w:t>
      </w:r>
    </w:p>
    <w:p w14:paraId="386F9CF6" w14:textId="1D80D959" w:rsidR="00CB335A" w:rsidRPr="00CB335A" w:rsidRDefault="00CB335A" w:rsidP="00CB335A">
      <w:pPr>
        <w:spacing w:before="240" w:after="0" w:line="480" w:lineRule="auto"/>
        <w:rPr>
          <w:rFonts w:eastAsia="Calibri"/>
          <w:b/>
          <w:szCs w:val="22"/>
        </w:rPr>
      </w:pPr>
      <w:r>
        <w:rPr>
          <w:rFonts w:eastAsia="Calibri"/>
          <w:b/>
          <w:szCs w:val="22"/>
        </w:rPr>
        <w:t>I</w:t>
      </w:r>
      <w:r w:rsidR="00424FD6">
        <w:rPr>
          <w:rFonts w:eastAsia="Calibri"/>
          <w:b/>
          <w:szCs w:val="22"/>
        </w:rPr>
        <w:t>V</w:t>
      </w:r>
      <w:r>
        <w:rPr>
          <w:rFonts w:eastAsia="Calibri"/>
          <w:b/>
          <w:szCs w:val="22"/>
        </w:rPr>
        <w:t>.</w:t>
      </w:r>
      <w:r>
        <w:rPr>
          <w:rFonts w:eastAsia="Calibri"/>
          <w:b/>
          <w:szCs w:val="22"/>
        </w:rPr>
        <w:tab/>
        <w:t>CONCLUSION</w:t>
      </w:r>
    </w:p>
    <w:p w14:paraId="2CE568D4" w14:textId="0E350280" w:rsidR="00CB335A" w:rsidRDefault="008F3824" w:rsidP="00A56338">
      <w:pPr>
        <w:spacing w:after="0" w:line="480" w:lineRule="auto"/>
        <w:ind w:firstLine="720"/>
        <w:rPr>
          <w:rFonts w:eastAsia="Calibri"/>
          <w:szCs w:val="22"/>
        </w:rPr>
      </w:pPr>
      <w:r>
        <w:rPr>
          <w:rFonts w:eastAsia="Calibri"/>
          <w:szCs w:val="22"/>
        </w:rPr>
        <w:t xml:space="preserve">Duke has filed a defective </w:t>
      </w:r>
      <w:r w:rsidR="00B20C23">
        <w:rPr>
          <w:rFonts w:eastAsia="Calibri"/>
          <w:szCs w:val="22"/>
        </w:rPr>
        <w:t>motion</w:t>
      </w:r>
      <w:r>
        <w:rPr>
          <w:rFonts w:eastAsia="Calibri"/>
          <w:szCs w:val="22"/>
        </w:rPr>
        <w:t xml:space="preserve">, based on deficient efforts to resolve its discovery dispute with OCC and </w:t>
      </w:r>
      <w:r w:rsidR="00A24CE6">
        <w:rPr>
          <w:rFonts w:eastAsia="Calibri"/>
          <w:szCs w:val="22"/>
        </w:rPr>
        <w:t xml:space="preserve">on </w:t>
      </w:r>
      <w:r>
        <w:rPr>
          <w:rFonts w:eastAsia="Calibri"/>
          <w:szCs w:val="22"/>
        </w:rPr>
        <w:t xml:space="preserve">flawed arguments. </w:t>
      </w:r>
      <w:r w:rsidR="00451414">
        <w:rPr>
          <w:rFonts w:eastAsia="Calibri"/>
          <w:szCs w:val="22"/>
        </w:rPr>
        <w:t xml:space="preserve"> Contrary to Duke’s assertions, </w:t>
      </w:r>
      <w:r>
        <w:rPr>
          <w:rFonts w:eastAsia="Calibri"/>
          <w:szCs w:val="22"/>
        </w:rPr>
        <w:t xml:space="preserve">OCC’s discovery is </w:t>
      </w:r>
      <w:r w:rsidR="00A31179">
        <w:rPr>
          <w:rFonts w:eastAsia="Calibri"/>
          <w:szCs w:val="22"/>
        </w:rPr>
        <w:t>permissible</w:t>
      </w:r>
      <w:r>
        <w:rPr>
          <w:rFonts w:eastAsia="Calibri"/>
          <w:szCs w:val="22"/>
        </w:rPr>
        <w:t xml:space="preserve"> under PUCO rules</w:t>
      </w:r>
      <w:r w:rsidR="00451414">
        <w:rPr>
          <w:rFonts w:eastAsia="Calibri"/>
          <w:szCs w:val="22"/>
        </w:rPr>
        <w:t xml:space="preserve">.  </w:t>
      </w:r>
      <w:r w:rsidR="00A24CE6">
        <w:rPr>
          <w:rFonts w:eastAsia="Calibri"/>
          <w:szCs w:val="22"/>
        </w:rPr>
        <w:t xml:space="preserve">Further, Duke’s Motion is based on the false assumption that Duke’s motion to dismiss will be granted, even though </w:t>
      </w:r>
      <w:r w:rsidR="00A24CE6" w:rsidRPr="00E16D6A">
        <w:rPr>
          <w:color w:val="373739"/>
        </w:rPr>
        <w:t xml:space="preserve">all material allegations of the </w:t>
      </w:r>
      <w:r w:rsidR="00A24CE6">
        <w:rPr>
          <w:color w:val="373739"/>
        </w:rPr>
        <w:t>C</w:t>
      </w:r>
      <w:r w:rsidR="00A24CE6" w:rsidRPr="00E16D6A">
        <w:rPr>
          <w:rStyle w:val="sssh"/>
          <w:color w:val="373739"/>
        </w:rPr>
        <w:t>omplaint</w:t>
      </w:r>
      <w:r w:rsidR="00A24CE6" w:rsidRPr="00E16D6A">
        <w:rPr>
          <w:color w:val="373739"/>
        </w:rPr>
        <w:t xml:space="preserve"> must be accepted as true and construed in favor of the </w:t>
      </w:r>
      <w:r w:rsidR="00A24CE6">
        <w:rPr>
          <w:color w:val="373739"/>
        </w:rPr>
        <w:t xml:space="preserve">Consumer Parties. </w:t>
      </w:r>
      <w:r w:rsidR="00A24CE6">
        <w:rPr>
          <w:rFonts w:eastAsia="Calibri"/>
          <w:szCs w:val="22"/>
        </w:rPr>
        <w:t xml:space="preserve"> </w:t>
      </w:r>
      <w:r w:rsidR="00451414">
        <w:rPr>
          <w:rFonts w:eastAsia="Calibri"/>
          <w:szCs w:val="22"/>
        </w:rPr>
        <w:t xml:space="preserve">To protect consumers, the PUCO should dismiss Duke’s </w:t>
      </w:r>
      <w:r>
        <w:rPr>
          <w:rFonts w:eastAsia="Calibri"/>
          <w:szCs w:val="22"/>
        </w:rPr>
        <w:t>M</w:t>
      </w:r>
      <w:r w:rsidR="00451414">
        <w:rPr>
          <w:rFonts w:eastAsia="Calibri"/>
          <w:szCs w:val="22"/>
        </w:rPr>
        <w:t>otion</w:t>
      </w:r>
      <w:r w:rsidR="00F03805">
        <w:rPr>
          <w:rFonts w:eastAsia="Calibri"/>
          <w:szCs w:val="22"/>
        </w:rPr>
        <w:t>.</w:t>
      </w:r>
    </w:p>
    <w:p w14:paraId="5B1FE63F" w14:textId="77777777" w:rsidR="005269CC" w:rsidRPr="00104013" w:rsidRDefault="005269CC" w:rsidP="00630094">
      <w:pPr>
        <w:ind w:left="3600" w:firstLine="720"/>
      </w:pPr>
      <w:r w:rsidRPr="00104013">
        <w:t>Respectfully submitted,</w:t>
      </w:r>
    </w:p>
    <w:p w14:paraId="71D0E888" w14:textId="77777777" w:rsidR="005269CC" w:rsidRPr="00104013" w:rsidRDefault="005269CC" w:rsidP="00630094">
      <w:pPr>
        <w:pStyle w:val="Footer"/>
        <w:tabs>
          <w:tab w:val="left" w:pos="4320"/>
        </w:tabs>
        <w:ind w:left="4320"/>
      </w:pPr>
      <w:r w:rsidRPr="00104013">
        <w:t>BRUCE WESTON</w:t>
      </w:r>
      <w:r w:rsidR="000A491C" w:rsidRPr="00104013">
        <w:t xml:space="preserve"> (0016973)</w:t>
      </w:r>
    </w:p>
    <w:p w14:paraId="7675ADF4" w14:textId="77777777" w:rsidR="005269CC" w:rsidRPr="00104013" w:rsidRDefault="005269CC" w:rsidP="00630094">
      <w:pPr>
        <w:pStyle w:val="Footer"/>
        <w:tabs>
          <w:tab w:val="left" w:pos="4320"/>
        </w:tabs>
        <w:spacing w:after="120"/>
        <w:ind w:left="4320"/>
      </w:pPr>
      <w:r w:rsidRPr="00104013">
        <w:t>OHIO CONSUMERS’ COUNSEL</w:t>
      </w:r>
    </w:p>
    <w:p w14:paraId="1B9F4FEC" w14:textId="77777777" w:rsidR="0037013A" w:rsidRDefault="00322013" w:rsidP="00630094">
      <w:pPr>
        <w:tabs>
          <w:tab w:val="left" w:pos="4320"/>
        </w:tabs>
        <w:spacing w:after="0"/>
        <w:ind w:left="4320"/>
        <w:rPr>
          <w:u w:val="single"/>
        </w:rPr>
      </w:pPr>
      <w:r>
        <w:rPr>
          <w:i/>
          <w:u w:val="single"/>
        </w:rPr>
        <w:t>/s/ Terry L. Etter</w:t>
      </w:r>
      <w:r w:rsidR="005269CC" w:rsidRPr="00104013">
        <w:rPr>
          <w:u w:val="single"/>
        </w:rPr>
        <w:t>                                       </w:t>
      </w:r>
    </w:p>
    <w:p w14:paraId="49C9C1F6" w14:textId="238FE846" w:rsidR="005269CC" w:rsidRPr="00104013" w:rsidRDefault="001C5A39" w:rsidP="00630094">
      <w:pPr>
        <w:tabs>
          <w:tab w:val="left" w:pos="4320"/>
        </w:tabs>
        <w:spacing w:after="0"/>
        <w:ind w:left="4320"/>
      </w:pPr>
      <w:r w:rsidRPr="00104013">
        <w:t xml:space="preserve">Terry </w:t>
      </w:r>
      <w:r w:rsidR="00322013">
        <w:t xml:space="preserve">L. </w:t>
      </w:r>
      <w:r w:rsidRPr="00104013">
        <w:t>Etter</w:t>
      </w:r>
      <w:r w:rsidR="00C9186D">
        <w:t xml:space="preserve"> </w:t>
      </w:r>
      <w:r w:rsidR="00C9186D" w:rsidRPr="00104013">
        <w:t>(00</w:t>
      </w:r>
      <w:r w:rsidR="00C9186D">
        <w:t>67445</w:t>
      </w:r>
      <w:r w:rsidR="00C9186D" w:rsidRPr="00104013">
        <w:t>)</w:t>
      </w:r>
      <w:r w:rsidR="005269CC" w:rsidRPr="00104013">
        <w:t xml:space="preserve">, Counsel of Record </w:t>
      </w:r>
    </w:p>
    <w:p w14:paraId="5C22E12B" w14:textId="77777777" w:rsidR="005269CC" w:rsidRPr="00104013" w:rsidRDefault="005269CC" w:rsidP="00630094">
      <w:pPr>
        <w:tabs>
          <w:tab w:val="left" w:pos="4320"/>
        </w:tabs>
        <w:spacing w:after="0"/>
        <w:ind w:left="4320"/>
      </w:pPr>
      <w:r w:rsidRPr="00104013">
        <w:t>Assistant Consumers’ Counsel</w:t>
      </w:r>
    </w:p>
    <w:p w14:paraId="4125108D" w14:textId="77777777" w:rsidR="005269CC" w:rsidRPr="00104013" w:rsidRDefault="005269CC" w:rsidP="00630094">
      <w:pPr>
        <w:pStyle w:val="Heading1"/>
        <w:spacing w:before="0" w:after="0"/>
        <w:ind w:left="4320"/>
        <w:rPr>
          <w:rFonts w:ascii="Times New Roman" w:hAnsi="Times New Roman"/>
          <w:sz w:val="24"/>
          <w:szCs w:val="24"/>
        </w:rPr>
      </w:pPr>
      <w:r w:rsidRPr="00104013">
        <w:rPr>
          <w:rFonts w:ascii="Times New Roman" w:hAnsi="Times New Roman"/>
          <w:sz w:val="24"/>
          <w:szCs w:val="24"/>
        </w:rPr>
        <w:t>Office of the Ohio Consumers’ Counsel</w:t>
      </w:r>
    </w:p>
    <w:p w14:paraId="45F8DA92" w14:textId="77777777" w:rsidR="005269CC" w:rsidRPr="00104013" w:rsidRDefault="005269CC" w:rsidP="00630094">
      <w:pPr>
        <w:pStyle w:val="Heading1"/>
        <w:spacing w:before="0" w:after="0"/>
        <w:ind w:left="4320"/>
        <w:rPr>
          <w:rFonts w:ascii="Times New Roman" w:hAnsi="Times New Roman"/>
          <w:b w:val="0"/>
          <w:sz w:val="24"/>
          <w:szCs w:val="24"/>
        </w:rPr>
      </w:pPr>
      <w:r w:rsidRPr="00104013">
        <w:rPr>
          <w:rFonts w:ascii="Times New Roman" w:hAnsi="Times New Roman"/>
          <w:b w:val="0"/>
          <w:sz w:val="24"/>
          <w:szCs w:val="24"/>
        </w:rPr>
        <w:t>10 West Broad Street, Suite 1800</w:t>
      </w:r>
    </w:p>
    <w:p w14:paraId="76E5FBB6" w14:textId="77777777" w:rsidR="005269CC" w:rsidRPr="00104013" w:rsidRDefault="005269CC" w:rsidP="00630094">
      <w:pPr>
        <w:pStyle w:val="Heading1"/>
        <w:spacing w:before="0" w:after="0"/>
        <w:ind w:left="4320"/>
        <w:rPr>
          <w:rFonts w:ascii="Times New Roman" w:hAnsi="Times New Roman"/>
          <w:b w:val="0"/>
          <w:sz w:val="24"/>
          <w:szCs w:val="24"/>
        </w:rPr>
      </w:pPr>
      <w:r w:rsidRPr="00104013">
        <w:rPr>
          <w:rFonts w:ascii="Times New Roman" w:hAnsi="Times New Roman"/>
          <w:b w:val="0"/>
          <w:sz w:val="24"/>
          <w:szCs w:val="24"/>
        </w:rPr>
        <w:t>Columbus, Ohio 43215-3485</w:t>
      </w:r>
    </w:p>
    <w:p w14:paraId="6FF66BCD" w14:textId="77777777" w:rsidR="005269CC" w:rsidRPr="00104013" w:rsidRDefault="005269CC" w:rsidP="005A7B86">
      <w:pPr>
        <w:autoSpaceDE w:val="0"/>
        <w:autoSpaceDN w:val="0"/>
        <w:adjustRightInd w:val="0"/>
        <w:spacing w:after="0" w:line="240" w:lineRule="auto"/>
        <w:ind w:left="4320"/>
      </w:pPr>
      <w:r w:rsidRPr="00104013">
        <w:t>Telephone: (614) 466-</w:t>
      </w:r>
      <w:r w:rsidR="001C5A39" w:rsidRPr="00104013">
        <w:t>7964</w:t>
      </w:r>
      <w:r w:rsidRPr="00104013">
        <w:t xml:space="preserve"> (</w:t>
      </w:r>
      <w:r w:rsidR="001C5A39" w:rsidRPr="00104013">
        <w:t>Etter</w:t>
      </w:r>
      <w:r w:rsidRPr="00104013">
        <w:t xml:space="preserve"> direct)</w:t>
      </w:r>
    </w:p>
    <w:p w14:paraId="5B928CE2" w14:textId="77777777" w:rsidR="000F5424" w:rsidRPr="00104013" w:rsidRDefault="001C5A39" w:rsidP="00630094">
      <w:pPr>
        <w:tabs>
          <w:tab w:val="center" w:pos="4680"/>
          <w:tab w:val="right" w:pos="9360"/>
        </w:tabs>
        <w:spacing w:after="0" w:line="240" w:lineRule="auto"/>
        <w:ind w:firstLine="4320"/>
      </w:pPr>
      <w:r w:rsidRPr="00104013">
        <w:rPr>
          <w:rStyle w:val="Hyperlink"/>
        </w:rPr>
        <w:t>Terry.etter</w:t>
      </w:r>
      <w:r w:rsidR="000F5424" w:rsidRPr="00104013">
        <w:rPr>
          <w:rStyle w:val="Hyperlink"/>
        </w:rPr>
        <w:t>@occ.ohio.gov</w:t>
      </w:r>
    </w:p>
    <w:p w14:paraId="2033AC38" w14:textId="77777777" w:rsidR="00766541" w:rsidRPr="00104013" w:rsidRDefault="00766541" w:rsidP="00630094">
      <w:pPr>
        <w:tabs>
          <w:tab w:val="center" w:pos="4680"/>
          <w:tab w:val="right" w:pos="9360"/>
        </w:tabs>
        <w:spacing w:after="0" w:line="240" w:lineRule="auto"/>
        <w:ind w:firstLine="4320"/>
      </w:pPr>
      <w:r w:rsidRPr="00104013">
        <w:t>(willing to accept service by e-mail)</w:t>
      </w:r>
    </w:p>
    <w:p w14:paraId="7962AC51" w14:textId="77777777" w:rsidR="00766541" w:rsidRPr="00104013" w:rsidRDefault="00766541" w:rsidP="00630094">
      <w:pPr>
        <w:tabs>
          <w:tab w:val="center" w:pos="4680"/>
          <w:tab w:val="right" w:pos="9360"/>
        </w:tabs>
        <w:spacing w:after="0" w:line="240" w:lineRule="auto"/>
        <w:ind w:firstLine="4320"/>
        <w:rPr>
          <w:i/>
        </w:rPr>
      </w:pPr>
    </w:p>
    <w:p w14:paraId="5979A6AC" w14:textId="77777777" w:rsidR="006D26B4" w:rsidRPr="00104013" w:rsidRDefault="006D26B4" w:rsidP="00630094">
      <w:pPr>
        <w:widowControl w:val="0"/>
        <w:tabs>
          <w:tab w:val="center" w:pos="4680"/>
          <w:tab w:val="right" w:pos="9360"/>
        </w:tabs>
        <w:spacing w:after="0" w:line="240" w:lineRule="auto"/>
        <w:ind w:firstLine="4320"/>
      </w:pPr>
      <w:r w:rsidRPr="00104013">
        <w:t>Kimberly W. Bojko (0069402)</w:t>
      </w:r>
    </w:p>
    <w:p w14:paraId="2AFBE914" w14:textId="77777777" w:rsidR="006D26B4" w:rsidRPr="00104013" w:rsidRDefault="006D26B4" w:rsidP="00630094">
      <w:pPr>
        <w:widowControl w:val="0"/>
        <w:tabs>
          <w:tab w:val="center" w:pos="4680"/>
          <w:tab w:val="right" w:pos="9360"/>
        </w:tabs>
        <w:spacing w:after="0" w:line="240" w:lineRule="auto"/>
        <w:ind w:firstLine="4320"/>
      </w:pPr>
      <w:r w:rsidRPr="00104013">
        <w:t>Carpenter Lipps &amp; Leland LLP</w:t>
      </w:r>
    </w:p>
    <w:p w14:paraId="1D2980E1" w14:textId="77777777" w:rsidR="006D26B4" w:rsidRPr="00104013" w:rsidRDefault="006D26B4" w:rsidP="00630094">
      <w:pPr>
        <w:widowControl w:val="0"/>
        <w:tabs>
          <w:tab w:val="center" w:pos="4680"/>
          <w:tab w:val="right" w:pos="9360"/>
        </w:tabs>
        <w:spacing w:after="0" w:line="240" w:lineRule="auto"/>
        <w:ind w:firstLine="4320"/>
      </w:pPr>
      <w:r w:rsidRPr="00104013">
        <w:t>280 North High Street, Suite 1300</w:t>
      </w:r>
    </w:p>
    <w:p w14:paraId="5C41FEB2" w14:textId="77777777" w:rsidR="006D26B4" w:rsidRPr="00104013" w:rsidRDefault="006D26B4" w:rsidP="00630094">
      <w:pPr>
        <w:widowControl w:val="0"/>
        <w:tabs>
          <w:tab w:val="center" w:pos="4680"/>
          <w:tab w:val="right" w:pos="9360"/>
        </w:tabs>
        <w:spacing w:after="0" w:line="240" w:lineRule="auto"/>
        <w:ind w:firstLine="4320"/>
      </w:pPr>
      <w:r w:rsidRPr="00104013">
        <w:t>Columbus, Ohio 43215</w:t>
      </w:r>
    </w:p>
    <w:p w14:paraId="6AD4CD06" w14:textId="77777777" w:rsidR="006D26B4" w:rsidRPr="00104013" w:rsidRDefault="00162B06" w:rsidP="00630094">
      <w:pPr>
        <w:widowControl w:val="0"/>
        <w:tabs>
          <w:tab w:val="center" w:pos="4680"/>
          <w:tab w:val="right" w:pos="9360"/>
        </w:tabs>
        <w:spacing w:after="0" w:line="240" w:lineRule="auto"/>
        <w:ind w:firstLine="4320"/>
      </w:pPr>
      <w:r>
        <w:t>Telep</w:t>
      </w:r>
      <w:r w:rsidR="006D26B4" w:rsidRPr="00104013">
        <w:t>hone: (614) 365-4100</w:t>
      </w:r>
    </w:p>
    <w:p w14:paraId="00CA61A2" w14:textId="6764C7F6" w:rsidR="006D26B4" w:rsidRPr="00104013" w:rsidRDefault="0091005A" w:rsidP="00630094">
      <w:pPr>
        <w:widowControl w:val="0"/>
        <w:tabs>
          <w:tab w:val="center" w:pos="4680"/>
          <w:tab w:val="right" w:pos="9360"/>
        </w:tabs>
        <w:spacing w:after="0" w:line="240" w:lineRule="auto"/>
        <w:ind w:firstLine="4320"/>
      </w:pPr>
      <w:hyperlink r:id="rId8" w:history="1">
        <w:r w:rsidR="006D26B4" w:rsidRPr="00104013">
          <w:rPr>
            <w:rStyle w:val="Hyperlink"/>
          </w:rPr>
          <w:t>bojko@carpenterlipps.com</w:t>
        </w:r>
      </w:hyperlink>
    </w:p>
    <w:p w14:paraId="6F104077" w14:textId="77777777" w:rsidR="006D26B4" w:rsidRPr="00104013" w:rsidRDefault="006D26B4" w:rsidP="00630094">
      <w:pPr>
        <w:widowControl w:val="0"/>
        <w:tabs>
          <w:tab w:val="center" w:pos="4680"/>
          <w:tab w:val="right" w:pos="9360"/>
        </w:tabs>
        <w:spacing w:after="0" w:line="240" w:lineRule="auto"/>
        <w:ind w:firstLine="4320"/>
      </w:pPr>
      <w:r w:rsidRPr="00104013">
        <w:t>(willing to accept service by e-mail)</w:t>
      </w:r>
    </w:p>
    <w:p w14:paraId="5D861369" w14:textId="77777777" w:rsidR="006D26B4" w:rsidRPr="00104013" w:rsidRDefault="006D26B4" w:rsidP="00630094">
      <w:pPr>
        <w:widowControl w:val="0"/>
        <w:tabs>
          <w:tab w:val="center" w:pos="4680"/>
          <w:tab w:val="right" w:pos="9360"/>
        </w:tabs>
        <w:spacing w:after="0" w:line="240" w:lineRule="auto"/>
        <w:ind w:firstLine="4320"/>
      </w:pPr>
    </w:p>
    <w:p w14:paraId="7BA38406" w14:textId="77777777" w:rsidR="006D26B4" w:rsidRPr="00104013" w:rsidRDefault="006D26B4" w:rsidP="00630094">
      <w:pPr>
        <w:widowControl w:val="0"/>
        <w:tabs>
          <w:tab w:val="center" w:pos="4680"/>
          <w:tab w:val="right" w:pos="9360"/>
        </w:tabs>
        <w:spacing w:after="0" w:line="240" w:lineRule="auto"/>
        <w:ind w:firstLine="4320"/>
        <w:rPr>
          <w:i/>
        </w:rPr>
      </w:pPr>
      <w:r w:rsidRPr="00104013">
        <w:rPr>
          <w:i/>
        </w:rPr>
        <w:t>Outside Counsel for the</w:t>
      </w:r>
    </w:p>
    <w:p w14:paraId="4B0CD510" w14:textId="77777777" w:rsidR="006D26B4" w:rsidRDefault="006D26B4" w:rsidP="00630094">
      <w:pPr>
        <w:widowControl w:val="0"/>
        <w:tabs>
          <w:tab w:val="center" w:pos="4680"/>
          <w:tab w:val="right" w:pos="9360"/>
        </w:tabs>
        <w:spacing w:after="0" w:line="240" w:lineRule="auto"/>
        <w:ind w:firstLine="4320"/>
        <w:rPr>
          <w:i/>
        </w:rPr>
      </w:pPr>
      <w:r w:rsidRPr="00104013">
        <w:rPr>
          <w:i/>
        </w:rPr>
        <w:t>Office of the Ohio Consumers’ Counsel</w:t>
      </w:r>
    </w:p>
    <w:p w14:paraId="753D14E5" w14:textId="77777777" w:rsidR="00674CAD" w:rsidRDefault="00674CAD" w:rsidP="00630094">
      <w:pPr>
        <w:widowControl w:val="0"/>
        <w:tabs>
          <w:tab w:val="center" w:pos="4680"/>
          <w:tab w:val="right" w:pos="9360"/>
        </w:tabs>
        <w:spacing w:after="0" w:line="240" w:lineRule="auto"/>
        <w:ind w:firstLine="4320"/>
        <w:rPr>
          <w:i/>
        </w:rPr>
      </w:pPr>
    </w:p>
    <w:p w14:paraId="4344B027" w14:textId="2A50B504" w:rsidR="00D83141" w:rsidRDefault="001F41A7" w:rsidP="001F41A7">
      <w:pPr>
        <w:spacing w:after="0"/>
        <w:rPr>
          <w:u w:val="single"/>
        </w:rPr>
      </w:pPr>
      <w:r>
        <w:rPr>
          <w:i/>
        </w:rPr>
        <w:tab/>
      </w:r>
      <w:r>
        <w:rPr>
          <w:i/>
        </w:rPr>
        <w:tab/>
      </w:r>
      <w:r>
        <w:rPr>
          <w:i/>
        </w:rPr>
        <w:tab/>
      </w:r>
      <w:r>
        <w:rPr>
          <w:i/>
        </w:rPr>
        <w:tab/>
      </w:r>
      <w:r>
        <w:rPr>
          <w:i/>
        </w:rPr>
        <w:tab/>
      </w:r>
      <w:r>
        <w:rPr>
          <w:i/>
        </w:rPr>
        <w:tab/>
      </w:r>
      <w:r w:rsidR="00D83141">
        <w:rPr>
          <w:i/>
          <w:u w:val="single"/>
        </w:rPr>
        <w:t>/s/ Noel M. Morgan</w:t>
      </w:r>
      <w:r w:rsidR="00D83141" w:rsidRPr="00104013">
        <w:rPr>
          <w:u w:val="single"/>
        </w:rPr>
        <w:t>                                       </w:t>
      </w:r>
    </w:p>
    <w:p w14:paraId="04A5D11F" w14:textId="77777777" w:rsidR="004B3DBD" w:rsidRPr="00162B06" w:rsidRDefault="004B3DBD" w:rsidP="001F41A7">
      <w:pPr>
        <w:spacing w:after="0" w:line="240" w:lineRule="auto"/>
        <w:ind w:left="4320"/>
      </w:pPr>
      <w:r w:rsidRPr="00162B06">
        <w:t>Noel M. Morgan (0066904)</w:t>
      </w:r>
    </w:p>
    <w:p w14:paraId="68544B81" w14:textId="77777777" w:rsidR="004B3DBD" w:rsidRPr="00162B06" w:rsidRDefault="004B3DBD" w:rsidP="001F41A7">
      <w:pPr>
        <w:spacing w:after="0" w:line="240" w:lineRule="auto"/>
        <w:ind w:left="4320"/>
      </w:pPr>
      <w:r w:rsidRPr="00162B06">
        <w:t>Attorney for CUFA</w:t>
      </w:r>
    </w:p>
    <w:p w14:paraId="04E18B61" w14:textId="77777777" w:rsidR="004B3DBD" w:rsidRPr="00162B06" w:rsidRDefault="004B3DBD" w:rsidP="001B704D">
      <w:pPr>
        <w:spacing w:after="0" w:line="240" w:lineRule="auto"/>
        <w:ind w:left="4320"/>
      </w:pPr>
      <w:r w:rsidRPr="00162B06">
        <w:t>Legal Aid Society of Southwest Ohio, LLC</w:t>
      </w:r>
    </w:p>
    <w:p w14:paraId="5BACB0D9" w14:textId="77777777" w:rsidR="004B3DBD" w:rsidRPr="00162B06" w:rsidRDefault="004B3DBD" w:rsidP="001B704D">
      <w:pPr>
        <w:spacing w:after="0" w:line="240" w:lineRule="auto"/>
        <w:ind w:left="4320"/>
      </w:pPr>
      <w:r w:rsidRPr="00162B06">
        <w:t>215 East Ninth Street, Suite 500</w:t>
      </w:r>
    </w:p>
    <w:p w14:paraId="0B095FE8" w14:textId="77777777" w:rsidR="004B3DBD" w:rsidRPr="00162B06" w:rsidRDefault="004B3DBD" w:rsidP="001B704D">
      <w:pPr>
        <w:spacing w:after="0" w:line="240" w:lineRule="auto"/>
        <w:ind w:left="4320"/>
      </w:pPr>
      <w:r w:rsidRPr="00162B06">
        <w:t>Cincinnati, Ohio  45202</w:t>
      </w:r>
    </w:p>
    <w:p w14:paraId="01B1106A" w14:textId="77777777" w:rsidR="004B3DBD" w:rsidRPr="00162B06" w:rsidRDefault="00162B06" w:rsidP="001B704D">
      <w:pPr>
        <w:spacing w:after="0" w:line="240" w:lineRule="auto"/>
        <w:ind w:left="4320"/>
      </w:pPr>
      <w:r>
        <w:t xml:space="preserve">Telephone: </w:t>
      </w:r>
      <w:r w:rsidR="004B3DBD" w:rsidRPr="00162B06">
        <w:t>(513) 362-2837</w:t>
      </w:r>
    </w:p>
    <w:p w14:paraId="00CF70C7" w14:textId="0E821319" w:rsidR="004B3DBD" w:rsidRPr="00162B06" w:rsidRDefault="004B3DBD" w:rsidP="001B704D">
      <w:pPr>
        <w:spacing w:after="0" w:line="240" w:lineRule="auto"/>
        <w:ind w:left="4320"/>
      </w:pPr>
      <w:r w:rsidRPr="00162B06">
        <w:t xml:space="preserve">Email:  </w:t>
      </w:r>
      <w:hyperlink r:id="rId9" w:history="1">
        <w:r w:rsidRPr="00162B06">
          <w:rPr>
            <w:rStyle w:val="Hyperlink"/>
          </w:rPr>
          <w:t>nmorgan@lascinti.org</w:t>
        </w:r>
      </w:hyperlink>
    </w:p>
    <w:p w14:paraId="31263399" w14:textId="77777777" w:rsidR="00162B06" w:rsidRPr="00104013" w:rsidRDefault="00162B06" w:rsidP="00162B06">
      <w:pPr>
        <w:tabs>
          <w:tab w:val="center" w:pos="4680"/>
          <w:tab w:val="right" w:pos="9360"/>
        </w:tabs>
        <w:spacing w:after="0" w:line="240" w:lineRule="auto"/>
        <w:ind w:firstLine="4320"/>
      </w:pPr>
      <w:r w:rsidRPr="00104013">
        <w:t>(willing to accept service by e-mail)</w:t>
      </w:r>
    </w:p>
    <w:p w14:paraId="08C73BE5" w14:textId="3DFB9CBD" w:rsidR="00A70DAB" w:rsidRDefault="00A70DAB" w:rsidP="00A70DAB">
      <w:pPr>
        <w:spacing w:line="480" w:lineRule="auto"/>
        <w:ind w:left="3600" w:hanging="3600"/>
        <w:jc w:val="center"/>
        <w:sectPr w:rsidR="00A70DAB" w:rsidSect="007B27BA">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pgNumType w:start="1"/>
          <w:cols w:space="720"/>
          <w:noEndnote/>
          <w:titlePg/>
          <w:docGrid w:linePitch="326"/>
        </w:sectPr>
      </w:pPr>
    </w:p>
    <w:p w14:paraId="6E602428" w14:textId="34DC76D3" w:rsidR="00A70DAB" w:rsidRPr="00A70DAB" w:rsidRDefault="00A70DAB" w:rsidP="00A70DAB">
      <w:pPr>
        <w:spacing w:line="480" w:lineRule="auto"/>
        <w:ind w:left="3600" w:hanging="3600"/>
        <w:jc w:val="center"/>
        <w:rPr>
          <w:rFonts w:eastAsia="Times New Roman"/>
        </w:rPr>
      </w:pPr>
      <w:r w:rsidRPr="00A70DAB">
        <w:rPr>
          <w:rFonts w:eastAsia="Times New Roman"/>
          <w:b/>
        </w:rPr>
        <w:t>CERTIFICATE OF SERVICE</w:t>
      </w:r>
    </w:p>
    <w:p w14:paraId="7957F270" w14:textId="4BE8E432" w:rsidR="00A70DAB" w:rsidRPr="00A70DAB" w:rsidRDefault="00A70DAB" w:rsidP="00A70DAB">
      <w:pPr>
        <w:spacing w:after="0" w:line="480" w:lineRule="auto"/>
        <w:rPr>
          <w:rFonts w:eastAsia="Times New Roman"/>
        </w:rPr>
      </w:pPr>
      <w:r w:rsidRPr="00A70DAB">
        <w:rPr>
          <w:rFonts w:eastAsia="Times New Roman"/>
        </w:rPr>
        <w:tab/>
        <w:t>I hereby certify that a copy of the foregoing</w:t>
      </w:r>
      <w:r w:rsidRPr="00A70DAB">
        <w:rPr>
          <w:rFonts w:eastAsia="Times New Roman"/>
          <w:b/>
        </w:rPr>
        <w:t xml:space="preserve"> </w:t>
      </w:r>
      <w:r w:rsidRPr="00A70DAB">
        <w:rPr>
          <w:rFonts w:eastAsia="Times New Roman"/>
        </w:rPr>
        <w:t xml:space="preserve">Memorandum </w:t>
      </w:r>
      <w:r w:rsidR="00934343">
        <w:rPr>
          <w:rFonts w:eastAsia="Times New Roman"/>
        </w:rPr>
        <w:t xml:space="preserve">Contra </w:t>
      </w:r>
      <w:r w:rsidR="009677E8">
        <w:rPr>
          <w:rFonts w:eastAsia="Times New Roman"/>
        </w:rPr>
        <w:t xml:space="preserve">Duke’s Motion </w:t>
      </w:r>
      <w:r w:rsidR="008422E1">
        <w:rPr>
          <w:rFonts w:eastAsia="Times New Roman"/>
        </w:rPr>
        <w:t xml:space="preserve">for Protective Order </w:t>
      </w:r>
      <w:r w:rsidR="00934343">
        <w:rPr>
          <w:rFonts w:eastAsia="Times New Roman"/>
        </w:rPr>
        <w:t xml:space="preserve">was </w:t>
      </w:r>
      <w:r w:rsidRPr="00A70DAB">
        <w:rPr>
          <w:rFonts w:eastAsia="Times New Roman"/>
        </w:rPr>
        <w:t xml:space="preserve">served by electronic mail to the persons listed below, on this </w:t>
      </w:r>
      <w:r w:rsidR="008D6068">
        <w:rPr>
          <w:rFonts w:eastAsia="Times New Roman"/>
        </w:rPr>
        <w:t>23</w:t>
      </w:r>
      <w:r w:rsidR="008D6068" w:rsidRPr="008D6068">
        <w:rPr>
          <w:rFonts w:eastAsia="Times New Roman"/>
          <w:vertAlign w:val="superscript"/>
        </w:rPr>
        <w:t>rd</w:t>
      </w:r>
      <w:r w:rsidR="008D6068">
        <w:rPr>
          <w:rFonts w:eastAsia="Times New Roman"/>
        </w:rPr>
        <w:t xml:space="preserve"> </w:t>
      </w:r>
      <w:r w:rsidRPr="00A70DAB">
        <w:rPr>
          <w:rFonts w:eastAsia="Times New Roman"/>
        </w:rPr>
        <w:t>day of</w:t>
      </w:r>
      <w:r w:rsidR="00934343">
        <w:rPr>
          <w:rFonts w:eastAsia="Times New Roman"/>
        </w:rPr>
        <w:t xml:space="preserve"> October</w:t>
      </w:r>
      <w:r w:rsidRPr="00A70DAB">
        <w:rPr>
          <w:rFonts w:eastAsia="Times New Roman"/>
        </w:rPr>
        <w:t xml:space="preserve"> 2015. </w:t>
      </w:r>
    </w:p>
    <w:p w14:paraId="3DFC9FB5" w14:textId="77777777" w:rsidR="00A70DAB" w:rsidRPr="00A70DAB" w:rsidRDefault="00A70DAB" w:rsidP="00A70DAB">
      <w:pPr>
        <w:tabs>
          <w:tab w:val="left" w:pos="1440"/>
          <w:tab w:val="left" w:pos="2016"/>
        </w:tabs>
        <w:spacing w:after="0" w:line="480" w:lineRule="atLeast"/>
        <w:rPr>
          <w:rFonts w:eastAsia="Times New Roman"/>
        </w:rPr>
      </w:pPr>
    </w:p>
    <w:p w14:paraId="7AC71A30" w14:textId="77777777" w:rsidR="00D83141" w:rsidRDefault="00D83141" w:rsidP="00D83141">
      <w:pPr>
        <w:tabs>
          <w:tab w:val="left" w:pos="4320"/>
        </w:tabs>
        <w:spacing w:after="0"/>
        <w:ind w:left="4320"/>
        <w:rPr>
          <w:u w:val="single"/>
        </w:rPr>
      </w:pPr>
      <w:r>
        <w:rPr>
          <w:i/>
          <w:u w:val="single"/>
        </w:rPr>
        <w:t>/s/ Terry L. Etter</w:t>
      </w:r>
      <w:r w:rsidRPr="00104013">
        <w:rPr>
          <w:u w:val="single"/>
        </w:rPr>
        <w:t>                                       </w:t>
      </w:r>
    </w:p>
    <w:p w14:paraId="370451C0" w14:textId="77777777" w:rsidR="00A70DAB" w:rsidRPr="00A70DAB" w:rsidRDefault="00A70DAB" w:rsidP="00A70DAB">
      <w:pPr>
        <w:tabs>
          <w:tab w:val="left" w:pos="4320"/>
        </w:tabs>
        <w:spacing w:after="0" w:line="240" w:lineRule="auto"/>
        <w:rPr>
          <w:rFonts w:eastAsia="Times New Roman"/>
        </w:rPr>
      </w:pPr>
      <w:r w:rsidRPr="00A70DAB">
        <w:rPr>
          <w:rFonts w:eastAsia="Times New Roman"/>
        </w:rPr>
        <w:tab/>
        <w:t>Terry L. Etter</w:t>
      </w:r>
    </w:p>
    <w:p w14:paraId="3BC11009" w14:textId="77777777" w:rsidR="00A70DAB" w:rsidRPr="00A70DAB" w:rsidRDefault="00A70DAB" w:rsidP="00A70DAB">
      <w:pPr>
        <w:tabs>
          <w:tab w:val="left" w:pos="4320"/>
        </w:tabs>
        <w:spacing w:after="0" w:line="240" w:lineRule="auto"/>
        <w:rPr>
          <w:rFonts w:eastAsia="Times New Roman"/>
        </w:rPr>
      </w:pPr>
      <w:r w:rsidRPr="00A70DAB">
        <w:rPr>
          <w:rFonts w:eastAsia="Times New Roman"/>
        </w:rPr>
        <w:tab/>
        <w:t>Assistant Consumers’ Counsel</w:t>
      </w:r>
    </w:p>
    <w:p w14:paraId="78910893" w14:textId="77777777" w:rsidR="00A70DAB" w:rsidRPr="00A70DAB" w:rsidRDefault="00A70DAB" w:rsidP="00A70DAB">
      <w:pPr>
        <w:tabs>
          <w:tab w:val="left" w:pos="0"/>
          <w:tab w:val="left" w:pos="720"/>
          <w:tab w:val="left" w:pos="4320"/>
        </w:tabs>
        <w:spacing w:after="0" w:line="480" w:lineRule="auto"/>
        <w:rPr>
          <w:rFonts w:eastAsia="Times New Roman"/>
        </w:rPr>
      </w:pPr>
      <w:r w:rsidRPr="00A70DAB">
        <w:rPr>
          <w:rFonts w:eastAsia="Times New Roman"/>
        </w:rPr>
        <w:tab/>
      </w:r>
      <w:r w:rsidRPr="00A70DAB">
        <w:rPr>
          <w:rFonts w:eastAsia="Times New Roman"/>
        </w:rPr>
        <w:tab/>
      </w:r>
    </w:p>
    <w:p w14:paraId="6F02F166" w14:textId="77777777" w:rsidR="00A70DAB" w:rsidRPr="00A70DAB" w:rsidRDefault="00A70DAB" w:rsidP="00A70DAB">
      <w:pPr>
        <w:tabs>
          <w:tab w:val="left" w:pos="0"/>
          <w:tab w:val="left" w:pos="720"/>
          <w:tab w:val="left" w:pos="4320"/>
        </w:tabs>
        <w:spacing w:after="0" w:line="480" w:lineRule="auto"/>
        <w:jc w:val="center"/>
        <w:rPr>
          <w:rFonts w:eastAsia="Times New Roman"/>
          <w:b/>
        </w:rPr>
      </w:pPr>
      <w:r w:rsidRPr="00A70DAB">
        <w:rPr>
          <w:rFonts w:eastAsia="Times New Roman"/>
          <w:b/>
        </w:rPr>
        <w:t>SERVICE LIST</w:t>
      </w:r>
    </w:p>
    <w:p w14:paraId="5EF3DBF3" w14:textId="77777777" w:rsidR="00A70DAB" w:rsidRPr="00A70DAB" w:rsidRDefault="00A70DAB" w:rsidP="00A70DAB">
      <w:pPr>
        <w:tabs>
          <w:tab w:val="left" w:pos="0"/>
          <w:tab w:val="left" w:pos="720"/>
          <w:tab w:val="left" w:pos="4320"/>
        </w:tabs>
        <w:spacing w:after="0" w:line="480" w:lineRule="auto"/>
        <w:jc w:val="center"/>
        <w:rPr>
          <w:rFonts w:eastAsia="Times New Roman"/>
          <w:b/>
        </w:rPr>
      </w:pPr>
    </w:p>
    <w:tbl>
      <w:tblPr>
        <w:tblW w:w="11883" w:type="dxa"/>
        <w:tblLook w:val="04A0" w:firstRow="1" w:lastRow="0" w:firstColumn="1" w:lastColumn="0" w:noHBand="0" w:noVBand="1"/>
      </w:tblPr>
      <w:tblGrid>
        <w:gridCol w:w="5941"/>
        <w:gridCol w:w="5942"/>
      </w:tblGrid>
      <w:tr w:rsidR="00A70DAB" w:rsidRPr="00A70DAB" w14:paraId="239040F5" w14:textId="77777777" w:rsidTr="00290EE7">
        <w:tc>
          <w:tcPr>
            <w:tcW w:w="4428" w:type="dxa"/>
            <w:shd w:val="clear" w:color="auto" w:fill="auto"/>
          </w:tcPr>
          <w:p w14:paraId="4C49E9E5" w14:textId="6B2C0D79" w:rsidR="00A70DAB" w:rsidRPr="00A70DAB" w:rsidRDefault="00A70DAB" w:rsidP="00A70DAB">
            <w:pPr>
              <w:tabs>
                <w:tab w:val="left" w:pos="0"/>
                <w:tab w:val="left" w:pos="720"/>
                <w:tab w:val="left" w:pos="4320"/>
              </w:tabs>
              <w:spacing w:after="0" w:line="240" w:lineRule="auto"/>
              <w:rPr>
                <w:rFonts w:eastAsia="Times New Roman"/>
              </w:rPr>
            </w:pPr>
            <w:r w:rsidRPr="00A70DAB">
              <w:rPr>
                <w:rFonts w:eastAsia="Times New Roman"/>
              </w:rPr>
              <w:t>William Wright, Chief</w:t>
            </w:r>
          </w:p>
          <w:p w14:paraId="4A9ED041" w14:textId="77777777" w:rsidR="00A70DAB" w:rsidRPr="00A70DAB" w:rsidRDefault="00A70DAB" w:rsidP="00A70DAB">
            <w:pPr>
              <w:tabs>
                <w:tab w:val="left" w:pos="0"/>
                <w:tab w:val="left" w:pos="720"/>
                <w:tab w:val="left" w:pos="4320"/>
              </w:tabs>
              <w:spacing w:after="0" w:line="240" w:lineRule="auto"/>
              <w:rPr>
                <w:rFonts w:eastAsia="Times New Roman"/>
              </w:rPr>
            </w:pPr>
            <w:r w:rsidRPr="00A70DAB">
              <w:rPr>
                <w:rFonts w:eastAsia="Times New Roman"/>
              </w:rPr>
              <w:t>Attorney General’s Office</w:t>
            </w:r>
          </w:p>
          <w:p w14:paraId="49A83431" w14:textId="77777777" w:rsidR="00A70DAB" w:rsidRPr="00A70DAB" w:rsidRDefault="00A70DAB" w:rsidP="00A70DAB">
            <w:pPr>
              <w:tabs>
                <w:tab w:val="left" w:pos="0"/>
                <w:tab w:val="left" w:pos="720"/>
                <w:tab w:val="left" w:pos="4320"/>
              </w:tabs>
              <w:spacing w:after="0" w:line="240" w:lineRule="auto"/>
              <w:rPr>
                <w:rFonts w:eastAsia="Times New Roman"/>
              </w:rPr>
            </w:pPr>
            <w:r w:rsidRPr="00A70DAB">
              <w:rPr>
                <w:rFonts w:eastAsia="Times New Roman"/>
              </w:rPr>
              <w:t>Public Utilities Commission of Ohio</w:t>
            </w:r>
          </w:p>
          <w:p w14:paraId="54E708D3" w14:textId="77777777" w:rsidR="00A70DAB" w:rsidRPr="00A70DAB" w:rsidRDefault="00A70DAB" w:rsidP="00A70DAB">
            <w:pPr>
              <w:tabs>
                <w:tab w:val="left" w:pos="0"/>
                <w:tab w:val="left" w:pos="720"/>
                <w:tab w:val="left" w:pos="4320"/>
              </w:tabs>
              <w:spacing w:after="0" w:line="240" w:lineRule="auto"/>
              <w:rPr>
                <w:rFonts w:eastAsia="Times New Roman"/>
              </w:rPr>
            </w:pPr>
            <w:r w:rsidRPr="00A70DAB">
              <w:rPr>
                <w:rFonts w:eastAsia="Times New Roman"/>
              </w:rPr>
              <w:t>180 E. Broad St., 6</w:t>
            </w:r>
            <w:r w:rsidRPr="00A70DAB">
              <w:rPr>
                <w:rFonts w:eastAsia="Times New Roman"/>
                <w:vertAlign w:val="superscript"/>
              </w:rPr>
              <w:t>th</w:t>
            </w:r>
            <w:r w:rsidRPr="00A70DAB">
              <w:rPr>
                <w:rFonts w:eastAsia="Times New Roman"/>
              </w:rPr>
              <w:t xml:space="preserve"> Fl.</w:t>
            </w:r>
          </w:p>
          <w:p w14:paraId="3E4A7C5D" w14:textId="77777777" w:rsidR="00A70DAB" w:rsidRPr="00A70DAB" w:rsidRDefault="00A70DAB" w:rsidP="00A70DAB">
            <w:pPr>
              <w:tabs>
                <w:tab w:val="left" w:pos="0"/>
                <w:tab w:val="left" w:pos="720"/>
                <w:tab w:val="left" w:pos="4320"/>
              </w:tabs>
              <w:spacing w:after="0" w:line="240" w:lineRule="auto"/>
              <w:rPr>
                <w:rFonts w:eastAsia="Times New Roman"/>
              </w:rPr>
            </w:pPr>
            <w:r w:rsidRPr="00A70DAB">
              <w:rPr>
                <w:rFonts w:eastAsia="Times New Roman"/>
              </w:rPr>
              <w:t>Columbus, Ohio 43216</w:t>
            </w:r>
          </w:p>
          <w:p w14:paraId="4A91E356" w14:textId="3FBD8F5C" w:rsidR="00A70DAB" w:rsidRDefault="0091005A" w:rsidP="00A70DAB">
            <w:pPr>
              <w:tabs>
                <w:tab w:val="left" w:pos="0"/>
                <w:tab w:val="left" w:pos="720"/>
                <w:tab w:val="left" w:pos="4320"/>
              </w:tabs>
              <w:spacing w:after="0" w:line="240" w:lineRule="auto"/>
              <w:rPr>
                <w:rFonts w:eastAsia="Times New Roman"/>
                <w:color w:val="0000FF"/>
                <w:u w:val="single"/>
              </w:rPr>
            </w:pPr>
            <w:hyperlink r:id="rId16" w:history="1">
              <w:r w:rsidR="00A70DAB" w:rsidRPr="00A70DAB">
                <w:rPr>
                  <w:rFonts w:eastAsia="Times New Roman"/>
                  <w:color w:val="0000FF"/>
                  <w:u w:val="single"/>
                </w:rPr>
                <w:t>William.wright@puc.state.oh.us</w:t>
              </w:r>
            </w:hyperlink>
          </w:p>
          <w:p w14:paraId="1F65EDBD" w14:textId="77777777" w:rsidR="001F41A7" w:rsidRDefault="001F41A7" w:rsidP="00A70DAB">
            <w:pPr>
              <w:tabs>
                <w:tab w:val="left" w:pos="0"/>
                <w:tab w:val="left" w:pos="720"/>
                <w:tab w:val="left" w:pos="4320"/>
              </w:tabs>
              <w:spacing w:after="0" w:line="240" w:lineRule="auto"/>
              <w:rPr>
                <w:rFonts w:eastAsia="Times New Roman"/>
                <w:color w:val="0000FF"/>
                <w:u w:val="single"/>
              </w:rPr>
            </w:pPr>
          </w:p>
          <w:p w14:paraId="245E2462" w14:textId="77777777" w:rsidR="001F41A7" w:rsidRDefault="001F41A7" w:rsidP="00A70DAB">
            <w:pPr>
              <w:tabs>
                <w:tab w:val="left" w:pos="0"/>
                <w:tab w:val="left" w:pos="720"/>
                <w:tab w:val="left" w:pos="4320"/>
              </w:tabs>
              <w:spacing w:after="0" w:line="240" w:lineRule="auto"/>
              <w:rPr>
                <w:rFonts w:eastAsia="Times New Roman"/>
                <w:color w:val="0000FF"/>
                <w:u w:val="single"/>
              </w:rPr>
            </w:pPr>
          </w:p>
          <w:p w14:paraId="4AA68A55" w14:textId="77777777" w:rsidR="001F41A7" w:rsidRPr="001F41A7" w:rsidRDefault="001F41A7" w:rsidP="00A70DAB">
            <w:pPr>
              <w:tabs>
                <w:tab w:val="left" w:pos="0"/>
                <w:tab w:val="left" w:pos="720"/>
                <w:tab w:val="left" w:pos="4320"/>
              </w:tabs>
              <w:spacing w:after="0" w:line="240" w:lineRule="auto"/>
              <w:rPr>
                <w:rFonts w:eastAsia="Times New Roman"/>
              </w:rPr>
            </w:pPr>
            <w:r w:rsidRPr="001F41A7">
              <w:rPr>
                <w:rFonts w:eastAsia="Times New Roman"/>
              </w:rPr>
              <w:t>Attorney Examiner:</w:t>
            </w:r>
          </w:p>
          <w:p w14:paraId="7215CAB3" w14:textId="77777777" w:rsidR="001F41A7" w:rsidRDefault="001F41A7" w:rsidP="00A70DAB">
            <w:pPr>
              <w:tabs>
                <w:tab w:val="left" w:pos="0"/>
                <w:tab w:val="left" w:pos="720"/>
                <w:tab w:val="left" w:pos="4320"/>
              </w:tabs>
              <w:spacing w:after="0" w:line="240" w:lineRule="auto"/>
              <w:rPr>
                <w:rFonts w:eastAsia="Times New Roman"/>
                <w:color w:val="0000FF"/>
                <w:u w:val="single"/>
              </w:rPr>
            </w:pPr>
          </w:p>
          <w:p w14:paraId="3D8DB31A" w14:textId="23599AC0" w:rsidR="001F41A7" w:rsidRDefault="0091005A" w:rsidP="00A70DAB">
            <w:pPr>
              <w:tabs>
                <w:tab w:val="left" w:pos="0"/>
                <w:tab w:val="left" w:pos="720"/>
                <w:tab w:val="left" w:pos="4320"/>
              </w:tabs>
              <w:spacing w:after="0" w:line="240" w:lineRule="auto"/>
              <w:rPr>
                <w:rFonts w:eastAsia="Times New Roman"/>
                <w:color w:val="0000FF"/>
              </w:rPr>
            </w:pPr>
            <w:hyperlink r:id="rId17" w:history="1">
              <w:r w:rsidR="001F41A7" w:rsidRPr="000D7112">
                <w:rPr>
                  <w:rStyle w:val="Hyperlink"/>
                  <w:rFonts w:eastAsia="Times New Roman"/>
                </w:rPr>
                <w:t>Bryce.McKenney@puc.state.oh.us</w:t>
              </w:r>
            </w:hyperlink>
          </w:p>
          <w:p w14:paraId="001CC7DD" w14:textId="77777777" w:rsidR="001F41A7" w:rsidRPr="001F41A7" w:rsidRDefault="001F41A7" w:rsidP="00A70DAB">
            <w:pPr>
              <w:tabs>
                <w:tab w:val="left" w:pos="0"/>
                <w:tab w:val="left" w:pos="720"/>
                <w:tab w:val="left" w:pos="4320"/>
              </w:tabs>
              <w:spacing w:after="0" w:line="240" w:lineRule="auto"/>
              <w:rPr>
                <w:rFonts w:eastAsia="Times New Roman"/>
              </w:rPr>
            </w:pPr>
          </w:p>
          <w:p w14:paraId="59CB3521" w14:textId="77777777" w:rsidR="00A70DAB" w:rsidRPr="00A70DAB" w:rsidRDefault="00A70DAB" w:rsidP="00A70DAB">
            <w:pPr>
              <w:tabs>
                <w:tab w:val="left" w:pos="0"/>
                <w:tab w:val="left" w:pos="720"/>
                <w:tab w:val="left" w:pos="4320"/>
              </w:tabs>
              <w:spacing w:after="0" w:line="240" w:lineRule="auto"/>
              <w:rPr>
                <w:rFonts w:eastAsia="Times New Roman"/>
              </w:rPr>
            </w:pPr>
          </w:p>
        </w:tc>
        <w:tc>
          <w:tcPr>
            <w:tcW w:w="4428" w:type="dxa"/>
            <w:shd w:val="clear" w:color="auto" w:fill="auto"/>
          </w:tcPr>
          <w:p w14:paraId="63C2197D" w14:textId="77777777" w:rsidR="00A70DAB" w:rsidRPr="00A70DAB" w:rsidRDefault="00A70DAB" w:rsidP="00A70DAB">
            <w:pPr>
              <w:tabs>
                <w:tab w:val="left" w:pos="4320"/>
                <w:tab w:val="right" w:pos="8640"/>
              </w:tabs>
              <w:spacing w:after="0" w:line="240" w:lineRule="auto"/>
              <w:rPr>
                <w:rFonts w:eastAsia="Times New Roman"/>
              </w:rPr>
            </w:pPr>
            <w:r w:rsidRPr="00A70DAB">
              <w:rPr>
                <w:rFonts w:eastAsia="Times New Roman"/>
              </w:rPr>
              <w:t>Amy B. Spiller</w:t>
            </w:r>
          </w:p>
          <w:p w14:paraId="2858BCD5" w14:textId="77777777" w:rsidR="00A70DAB" w:rsidRPr="00A70DAB" w:rsidRDefault="00A70DAB" w:rsidP="00A70DAB">
            <w:pPr>
              <w:tabs>
                <w:tab w:val="left" w:pos="522"/>
                <w:tab w:val="left" w:pos="720"/>
                <w:tab w:val="left" w:pos="4320"/>
                <w:tab w:val="right" w:pos="8640"/>
              </w:tabs>
              <w:spacing w:after="0" w:line="240" w:lineRule="auto"/>
              <w:rPr>
                <w:rFonts w:eastAsia="Times New Roman"/>
              </w:rPr>
            </w:pPr>
            <w:r w:rsidRPr="00A70DAB">
              <w:rPr>
                <w:rFonts w:eastAsia="Times New Roman"/>
              </w:rPr>
              <w:t>Elizabeth H. Watts</w:t>
            </w:r>
          </w:p>
          <w:p w14:paraId="6F510AD9" w14:textId="77777777" w:rsidR="00A70DAB" w:rsidRPr="00A70DAB" w:rsidRDefault="00A70DAB" w:rsidP="00A70DAB">
            <w:pPr>
              <w:tabs>
                <w:tab w:val="left" w:pos="522"/>
                <w:tab w:val="left" w:pos="720"/>
                <w:tab w:val="left" w:pos="4320"/>
                <w:tab w:val="right" w:pos="8640"/>
              </w:tabs>
              <w:spacing w:after="0" w:line="240" w:lineRule="auto"/>
              <w:rPr>
                <w:rFonts w:eastAsia="Times New Roman"/>
              </w:rPr>
            </w:pPr>
            <w:r w:rsidRPr="00A70DAB">
              <w:rPr>
                <w:rFonts w:eastAsia="Times New Roman"/>
              </w:rPr>
              <w:t>Duke Energy Business Services</w:t>
            </w:r>
          </w:p>
          <w:p w14:paraId="131A0E03" w14:textId="77777777" w:rsidR="00A70DAB" w:rsidRPr="00A70DAB" w:rsidRDefault="00A70DAB" w:rsidP="00A70DAB">
            <w:pPr>
              <w:tabs>
                <w:tab w:val="left" w:pos="522"/>
                <w:tab w:val="left" w:pos="720"/>
                <w:tab w:val="left" w:pos="4320"/>
                <w:tab w:val="right" w:pos="8640"/>
              </w:tabs>
              <w:spacing w:after="0" w:line="240" w:lineRule="auto"/>
              <w:rPr>
                <w:rFonts w:eastAsia="Times New Roman"/>
              </w:rPr>
            </w:pPr>
            <w:r w:rsidRPr="00A70DAB">
              <w:rPr>
                <w:rFonts w:eastAsia="Times New Roman"/>
              </w:rPr>
              <w:t>139 East Fourth Street</w:t>
            </w:r>
          </w:p>
          <w:p w14:paraId="69984135" w14:textId="77777777" w:rsidR="00A70DAB" w:rsidRPr="00A70DAB" w:rsidRDefault="00A70DAB" w:rsidP="00A70DAB">
            <w:pPr>
              <w:tabs>
                <w:tab w:val="left" w:pos="522"/>
                <w:tab w:val="left" w:pos="720"/>
                <w:tab w:val="left" w:pos="4320"/>
                <w:tab w:val="right" w:pos="8640"/>
              </w:tabs>
              <w:spacing w:after="0" w:line="240" w:lineRule="auto"/>
              <w:rPr>
                <w:rFonts w:eastAsia="Times New Roman"/>
              </w:rPr>
            </w:pPr>
            <w:r w:rsidRPr="00A70DAB">
              <w:rPr>
                <w:rFonts w:eastAsia="Times New Roman"/>
              </w:rPr>
              <w:t>1303-Main</w:t>
            </w:r>
          </w:p>
          <w:p w14:paraId="110A9055" w14:textId="77777777" w:rsidR="00A70DAB" w:rsidRPr="00A70DAB" w:rsidRDefault="00A70DAB" w:rsidP="00A70DAB">
            <w:pPr>
              <w:tabs>
                <w:tab w:val="left" w:pos="522"/>
                <w:tab w:val="left" w:pos="720"/>
                <w:tab w:val="left" w:pos="4320"/>
              </w:tabs>
              <w:spacing w:after="0" w:line="240" w:lineRule="auto"/>
              <w:rPr>
                <w:rFonts w:eastAsia="Times New Roman"/>
              </w:rPr>
            </w:pPr>
            <w:r w:rsidRPr="00A70DAB">
              <w:rPr>
                <w:rFonts w:eastAsia="Times New Roman"/>
              </w:rPr>
              <w:t>Cincinnati, Ohio 45202</w:t>
            </w:r>
          </w:p>
          <w:p w14:paraId="5D4FCCF1" w14:textId="6D49ED74" w:rsidR="00A70DAB" w:rsidRPr="00A70DAB" w:rsidRDefault="0091005A" w:rsidP="00A70DAB">
            <w:pPr>
              <w:spacing w:after="0" w:line="240" w:lineRule="auto"/>
              <w:jc w:val="both"/>
              <w:rPr>
                <w:rFonts w:eastAsia="Times New Roman"/>
              </w:rPr>
            </w:pPr>
            <w:hyperlink r:id="rId18" w:history="1">
              <w:r w:rsidR="00A70DAB" w:rsidRPr="00A70DAB">
                <w:rPr>
                  <w:rFonts w:eastAsia="Times New Roman"/>
                  <w:color w:val="0000FF"/>
                  <w:u w:val="single"/>
                </w:rPr>
                <w:t>Amy.Spiller@duke-energy.com</w:t>
              </w:r>
            </w:hyperlink>
          </w:p>
          <w:p w14:paraId="61053242" w14:textId="45EEA8B7" w:rsidR="001F41A7" w:rsidRDefault="0091005A" w:rsidP="00A70DAB">
            <w:pPr>
              <w:tabs>
                <w:tab w:val="left" w:pos="522"/>
                <w:tab w:val="left" w:pos="720"/>
                <w:tab w:val="left" w:pos="4320"/>
              </w:tabs>
              <w:spacing w:after="0" w:line="240" w:lineRule="auto"/>
              <w:rPr>
                <w:rFonts w:eastAsia="Times New Roman"/>
                <w:color w:val="0000FF"/>
                <w:u w:val="single"/>
              </w:rPr>
            </w:pPr>
            <w:hyperlink r:id="rId19" w:history="1">
              <w:r w:rsidR="00A70DAB" w:rsidRPr="00A70DAB">
                <w:rPr>
                  <w:rFonts w:eastAsia="Times New Roman"/>
                  <w:color w:val="0000FF"/>
                  <w:u w:val="single"/>
                </w:rPr>
                <w:t>Elizabeth.watts@duke-energy.com</w:t>
              </w:r>
            </w:hyperlink>
          </w:p>
          <w:p w14:paraId="59761F01" w14:textId="14D8ECE8" w:rsidR="001F41A7" w:rsidRPr="001F41A7" w:rsidRDefault="001F41A7" w:rsidP="00A70DAB">
            <w:pPr>
              <w:tabs>
                <w:tab w:val="left" w:pos="522"/>
                <w:tab w:val="left" w:pos="720"/>
                <w:tab w:val="left" w:pos="4320"/>
              </w:tabs>
              <w:spacing w:after="0" w:line="240" w:lineRule="auto"/>
              <w:rPr>
                <w:rFonts w:eastAsia="Times New Roman"/>
                <w:color w:val="0000FF"/>
                <w:u w:val="single"/>
              </w:rPr>
            </w:pPr>
          </w:p>
        </w:tc>
      </w:tr>
    </w:tbl>
    <w:p w14:paraId="219652FD" w14:textId="77777777" w:rsidR="00766541" w:rsidRPr="00104013" w:rsidRDefault="00766541"/>
    <w:sectPr w:rsidR="00766541" w:rsidRPr="00104013" w:rsidSect="007B27BA">
      <w:pgSz w:w="12240" w:h="15840"/>
      <w:pgMar w:top="1440" w:right="1800" w:bottom="1440" w:left="180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E364B" w14:textId="77777777" w:rsidR="00BD3B3F" w:rsidRDefault="00BD3B3F" w:rsidP="004D17A3">
      <w:pPr>
        <w:spacing w:after="0" w:line="240" w:lineRule="auto"/>
      </w:pPr>
      <w:r>
        <w:separator/>
      </w:r>
    </w:p>
  </w:endnote>
  <w:endnote w:type="continuationSeparator" w:id="0">
    <w:p w14:paraId="52ABF5A9" w14:textId="77777777" w:rsidR="00BD3B3F" w:rsidRDefault="00BD3B3F" w:rsidP="004D17A3">
      <w:pPr>
        <w:spacing w:after="0" w:line="240" w:lineRule="auto"/>
      </w:pPr>
      <w:r>
        <w:continuationSeparator/>
      </w:r>
    </w:p>
  </w:endnote>
  <w:endnote w:type="continuationNotice" w:id="1">
    <w:p w14:paraId="4B38BD73" w14:textId="77777777" w:rsidR="00BD3B3F" w:rsidRDefault="00BD3B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0DB55" w14:textId="77777777" w:rsidR="007F1558" w:rsidRDefault="007F15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419422"/>
      <w:docPartObj>
        <w:docPartGallery w:val="Page Numbers (Bottom of Page)"/>
        <w:docPartUnique/>
      </w:docPartObj>
    </w:sdtPr>
    <w:sdtEndPr>
      <w:rPr>
        <w:noProof/>
      </w:rPr>
    </w:sdtEndPr>
    <w:sdtContent>
      <w:p w14:paraId="68F32BE7" w14:textId="0AB23729" w:rsidR="007B27BA" w:rsidRDefault="007B27BA">
        <w:pPr>
          <w:pStyle w:val="Footer"/>
          <w:jc w:val="center"/>
        </w:pPr>
        <w:r>
          <w:fldChar w:fldCharType="begin"/>
        </w:r>
        <w:r>
          <w:instrText xml:space="preserve"> PAGE   \* MERGEFORMAT </w:instrText>
        </w:r>
        <w:r>
          <w:fldChar w:fldCharType="separate"/>
        </w:r>
        <w:r w:rsidR="0091005A">
          <w:rPr>
            <w:noProof/>
          </w:rPr>
          <w:t>2</w:t>
        </w:r>
        <w:r>
          <w:rPr>
            <w:noProof/>
          </w:rPr>
          <w:fldChar w:fldCharType="end"/>
        </w:r>
      </w:p>
    </w:sdtContent>
  </w:sdt>
  <w:p w14:paraId="0EFA7319" w14:textId="77777777" w:rsidR="007B27BA" w:rsidRDefault="007B27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526AF" w14:textId="77777777" w:rsidR="007F1558" w:rsidRDefault="007F15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C983F" w14:textId="77777777" w:rsidR="00BD3B3F" w:rsidRDefault="00BD3B3F" w:rsidP="004D17A3">
      <w:pPr>
        <w:spacing w:after="0" w:line="240" w:lineRule="auto"/>
      </w:pPr>
      <w:r>
        <w:separator/>
      </w:r>
    </w:p>
  </w:footnote>
  <w:footnote w:type="continuationSeparator" w:id="0">
    <w:p w14:paraId="019D8278" w14:textId="77777777" w:rsidR="00BD3B3F" w:rsidRDefault="00BD3B3F" w:rsidP="004D17A3">
      <w:pPr>
        <w:spacing w:after="0" w:line="240" w:lineRule="auto"/>
      </w:pPr>
      <w:r>
        <w:continuationSeparator/>
      </w:r>
    </w:p>
  </w:footnote>
  <w:footnote w:type="continuationNotice" w:id="1">
    <w:p w14:paraId="0E0252A8" w14:textId="77777777" w:rsidR="00BD3B3F" w:rsidRDefault="00BD3B3F">
      <w:pPr>
        <w:spacing w:after="0" w:line="240" w:lineRule="auto"/>
      </w:pPr>
    </w:p>
  </w:footnote>
  <w:footnote w:id="2">
    <w:p w14:paraId="728F327B" w14:textId="405C29A3" w:rsidR="00537D6B" w:rsidRDefault="00537D6B" w:rsidP="00537D6B">
      <w:pPr>
        <w:pStyle w:val="FootnoteText"/>
      </w:pPr>
      <w:r>
        <w:rPr>
          <w:rStyle w:val="FootnoteReference"/>
        </w:rPr>
        <w:footnoteRef/>
      </w:r>
      <w:r>
        <w:t xml:space="preserve"> </w:t>
      </w:r>
      <w:r w:rsidR="003C5A41" w:rsidRPr="001F40CF">
        <w:rPr>
          <w:rFonts w:cs="Times New Roman"/>
          <w:i/>
          <w:szCs w:val="20"/>
        </w:rPr>
        <w:t>In the Matter of the Commission</w:t>
      </w:r>
      <w:r w:rsidR="003C5A41">
        <w:rPr>
          <w:rFonts w:cs="Times New Roman"/>
          <w:i/>
          <w:szCs w:val="20"/>
        </w:rPr>
        <w:t>’</w:t>
      </w:r>
      <w:r w:rsidR="003C5A41" w:rsidRPr="001F40CF">
        <w:rPr>
          <w:rFonts w:cs="Times New Roman"/>
          <w:i/>
          <w:szCs w:val="20"/>
        </w:rPr>
        <w:t>s Consideration of Solutions Concerning the Disconnection of Gas and Electric Service in Winter Emergencies for the 2015-2016 Winter Heating Season</w:t>
      </w:r>
      <w:r w:rsidR="003C5A41" w:rsidRPr="001F40CF">
        <w:rPr>
          <w:rFonts w:cs="Times New Roman"/>
          <w:szCs w:val="20"/>
        </w:rPr>
        <w:t xml:space="preserve">, Finding and Order (September 2, 2015) </w:t>
      </w:r>
      <w:r>
        <w:t xml:space="preserve">at 9.  </w:t>
      </w:r>
    </w:p>
  </w:footnote>
  <w:footnote w:id="3">
    <w:p w14:paraId="751AC3E4" w14:textId="1ACF2BC0" w:rsidR="00537D6B" w:rsidRDefault="00537D6B">
      <w:pPr>
        <w:pStyle w:val="FootnoteText"/>
      </w:pPr>
      <w:r>
        <w:rPr>
          <w:rStyle w:val="FootnoteReference"/>
        </w:rPr>
        <w:footnoteRef/>
      </w:r>
      <w:r>
        <w:t xml:space="preserve"> </w:t>
      </w:r>
      <w:r w:rsidRPr="00462740">
        <w:rPr>
          <w:i/>
        </w:rPr>
        <w:t>In the Matter of the Application of Duke Energy Ohio, Inc., to Adjust Rider DR-IM and Rider AU for 2013 SmartGrid Costs</w:t>
      </w:r>
      <w:r>
        <w:t>, Case No. 14-1051-GE-RDR.</w:t>
      </w:r>
    </w:p>
  </w:footnote>
  <w:footnote w:id="4">
    <w:p w14:paraId="44AD191A" w14:textId="7AC0925E" w:rsidR="00537D6B" w:rsidRDefault="00537D6B" w:rsidP="00537D6B">
      <w:pPr>
        <w:pStyle w:val="FootnoteText"/>
      </w:pPr>
      <w:r w:rsidRPr="00CF4859">
        <w:rPr>
          <w:rStyle w:val="FootnoteReference"/>
        </w:rPr>
        <w:footnoteRef/>
      </w:r>
      <w:r>
        <w:t xml:space="preserve"> Id., Entry (January 22, 2015)</w:t>
      </w:r>
      <w:r w:rsidRPr="0044200F">
        <w:t xml:space="preserve"> </w:t>
      </w:r>
      <w:r>
        <w:t xml:space="preserve">at 3. </w:t>
      </w:r>
    </w:p>
  </w:footnote>
  <w:footnote w:id="5">
    <w:p w14:paraId="7145A0B4" w14:textId="548723C1" w:rsidR="001E6FA7" w:rsidRDefault="001E6FA7">
      <w:pPr>
        <w:pStyle w:val="FootnoteText"/>
      </w:pPr>
      <w:r>
        <w:rPr>
          <w:rStyle w:val="FootnoteReference"/>
        </w:rPr>
        <w:footnoteRef/>
      </w:r>
      <w:r>
        <w:t xml:space="preserve"> Motion at </w:t>
      </w:r>
      <w:r w:rsidR="00D270A9">
        <w:t>3-4</w:t>
      </w:r>
      <w:r>
        <w:t>.</w:t>
      </w:r>
    </w:p>
  </w:footnote>
  <w:footnote w:id="6">
    <w:p w14:paraId="4D07EEBB" w14:textId="2E9ADC0A" w:rsidR="00026A21" w:rsidRDefault="00026A21">
      <w:pPr>
        <w:pStyle w:val="FootnoteText"/>
      </w:pPr>
      <w:r>
        <w:rPr>
          <w:rStyle w:val="FootnoteReference"/>
        </w:rPr>
        <w:footnoteRef/>
      </w:r>
      <w:r>
        <w:t xml:space="preserve"> </w:t>
      </w:r>
      <w:r w:rsidR="005805DC">
        <w:t xml:space="preserve">As discussed below, </w:t>
      </w:r>
      <w:r>
        <w:t>Duke does not claim that an order is necessary to protect it from annoyance, embarrassment or oppression, and Duke does not claim responding to OCC’s discovery</w:t>
      </w:r>
      <w:r w:rsidR="009B62D7">
        <w:t xml:space="preserve"> will subject it to an undue burden or expense</w:t>
      </w:r>
      <w:r>
        <w:t>.</w:t>
      </w:r>
    </w:p>
  </w:footnote>
  <w:footnote w:id="7">
    <w:p w14:paraId="0A4454A2" w14:textId="77777777" w:rsidR="000D45CF" w:rsidRDefault="000D45CF" w:rsidP="000D45CF">
      <w:pPr>
        <w:pStyle w:val="FootnoteText"/>
      </w:pPr>
      <w:r>
        <w:rPr>
          <w:rStyle w:val="FootnoteReference"/>
        </w:rPr>
        <w:footnoteRef/>
      </w:r>
      <w:r>
        <w:t xml:space="preserve"> Ohio Adm. Code 4901-1-16(A).</w:t>
      </w:r>
    </w:p>
  </w:footnote>
  <w:footnote w:id="8">
    <w:p w14:paraId="7A6F73C2" w14:textId="77777777" w:rsidR="000D45CF" w:rsidRDefault="000D45CF" w:rsidP="000D45CF">
      <w:pPr>
        <w:pStyle w:val="FootnoteText"/>
      </w:pPr>
      <w:r>
        <w:rPr>
          <w:rStyle w:val="FootnoteReference"/>
        </w:rPr>
        <w:footnoteRef/>
      </w:r>
      <w:r>
        <w:t xml:space="preserve"> See Motion, Exhibit B.</w:t>
      </w:r>
    </w:p>
  </w:footnote>
  <w:footnote w:id="9">
    <w:p w14:paraId="233437EE" w14:textId="570CAF4D" w:rsidR="00240E26" w:rsidRDefault="00240E26" w:rsidP="00240E26">
      <w:pPr>
        <w:pStyle w:val="FootnoteText"/>
      </w:pPr>
      <w:r>
        <w:rPr>
          <w:rStyle w:val="FootnoteReference"/>
        </w:rPr>
        <w:footnoteRef/>
      </w:r>
      <w:r>
        <w:t xml:space="preserve"> Id. at 3, 5.</w:t>
      </w:r>
    </w:p>
  </w:footnote>
  <w:footnote w:id="10">
    <w:p w14:paraId="255275DC" w14:textId="77777777" w:rsidR="00240E26" w:rsidRDefault="00240E26" w:rsidP="00240E26">
      <w:pPr>
        <w:pStyle w:val="FootnoteText"/>
      </w:pPr>
      <w:r>
        <w:rPr>
          <w:rStyle w:val="FootnoteReference"/>
        </w:rPr>
        <w:footnoteRef/>
      </w:r>
      <w:r>
        <w:t xml:space="preserve"> Id. at 6.</w:t>
      </w:r>
    </w:p>
  </w:footnote>
  <w:footnote w:id="11">
    <w:p w14:paraId="3A20CA09" w14:textId="5E75E16E" w:rsidR="00F2094E" w:rsidRDefault="00F2094E">
      <w:pPr>
        <w:pStyle w:val="FootnoteText"/>
      </w:pPr>
      <w:r>
        <w:rPr>
          <w:rStyle w:val="FootnoteReference"/>
        </w:rPr>
        <w:footnoteRef/>
      </w:r>
      <w:r>
        <w:t xml:space="preserve"> </w:t>
      </w:r>
      <w:r w:rsidR="000D45CF">
        <w:t>Id.</w:t>
      </w:r>
      <w:r>
        <w:t xml:space="preserve"> at 4.</w:t>
      </w:r>
    </w:p>
  </w:footnote>
  <w:footnote w:id="12">
    <w:p w14:paraId="3BDE2E68" w14:textId="7E8A367F" w:rsidR="005805DC" w:rsidRDefault="005805DC">
      <w:pPr>
        <w:pStyle w:val="FootnoteText"/>
      </w:pPr>
      <w:r>
        <w:rPr>
          <w:rStyle w:val="FootnoteReference"/>
        </w:rPr>
        <w:footnoteRef/>
      </w:r>
      <w:r>
        <w:t xml:space="preserve"> Paragraph (G) </w:t>
      </w:r>
      <w:r w:rsidR="004714E5">
        <w:t xml:space="preserve">prohibits discovery that seeks information already available in documents filed in the proceeding.  Paragraph </w:t>
      </w:r>
      <w:r>
        <w:t xml:space="preserve">(I) </w:t>
      </w:r>
      <w:r w:rsidR="004714E5">
        <w:t>makes the discovery rules inapplicable to PUCO Staff.  Neither paragraph is relevant to the issues raised in Duke’s Motion</w:t>
      </w:r>
      <w:r>
        <w:t>.</w:t>
      </w:r>
    </w:p>
  </w:footnote>
  <w:footnote w:id="13">
    <w:p w14:paraId="60E8ADBD" w14:textId="6B26895E" w:rsidR="0079787F" w:rsidRDefault="0079787F">
      <w:pPr>
        <w:pStyle w:val="FootnoteText"/>
      </w:pPr>
      <w:r>
        <w:rPr>
          <w:rStyle w:val="FootnoteReference"/>
        </w:rPr>
        <w:footnoteRef/>
      </w:r>
      <w:r>
        <w:t xml:space="preserve"> Paragraph (E) discusses discovery periods for long-term forecasting cases and is irrelevant to this proceeding.</w:t>
      </w:r>
    </w:p>
  </w:footnote>
  <w:footnote w:id="14">
    <w:p w14:paraId="0E471BDE" w14:textId="77777777" w:rsidR="001E5544" w:rsidRDefault="001E5544" w:rsidP="001E5544">
      <w:pPr>
        <w:pStyle w:val="FootnoteText"/>
      </w:pPr>
      <w:r>
        <w:rPr>
          <w:rStyle w:val="FootnoteReference"/>
        </w:rPr>
        <w:footnoteRef/>
      </w:r>
      <w:r>
        <w:t xml:space="preserve"> </w:t>
      </w:r>
      <w:r w:rsidRPr="00FF169E">
        <w:rPr>
          <w:i/>
        </w:rPr>
        <w:t>In the Matter of the Complaint of Nancy S. Toliver v. Vectren Energy</w:t>
      </w:r>
      <w:r>
        <w:t>, Case No. 12-3234-GE-CSS, Opinion and Order (July 17, 2013) at 4.</w:t>
      </w:r>
    </w:p>
  </w:footnote>
  <w:footnote w:id="15">
    <w:p w14:paraId="055B767E" w14:textId="5476BC91" w:rsidR="00E16D6A" w:rsidRDefault="00E16D6A">
      <w:pPr>
        <w:pStyle w:val="FootnoteText"/>
      </w:pPr>
      <w:r>
        <w:rPr>
          <w:rStyle w:val="FootnoteReference"/>
        </w:rPr>
        <w:footnoteRef/>
      </w:r>
      <w:r>
        <w:t xml:space="preserve"> </w:t>
      </w:r>
      <w:r w:rsidR="000D45CF">
        <w:t xml:space="preserve">Consumer Parties’ Memorandum Contra Duke’s Motion to Dismiss (October 23, 2015) at </w:t>
      </w:r>
      <w:r w:rsidR="00C00DAD">
        <w:t>2-11</w:t>
      </w:r>
      <w:r w:rsidR="000D45CF">
        <w:t>.</w:t>
      </w:r>
    </w:p>
  </w:footnote>
  <w:footnote w:id="16">
    <w:p w14:paraId="6A632F6B" w14:textId="4D1FA77B" w:rsidR="00E16D6A" w:rsidRDefault="00E16D6A">
      <w:pPr>
        <w:pStyle w:val="FootnoteText"/>
      </w:pPr>
      <w:r>
        <w:rPr>
          <w:rStyle w:val="FootnoteReference"/>
        </w:rPr>
        <w:footnoteRef/>
      </w:r>
      <w:r>
        <w:t xml:space="preserve"> </w:t>
      </w:r>
      <w:r w:rsidRPr="00E16D6A">
        <w:rPr>
          <w:i/>
        </w:rPr>
        <w:t>OCC v. Dominion Retail</w:t>
      </w:r>
      <w:r>
        <w:t xml:space="preserve">, Case No. 09-257-GA-CSS, Entry (July 1, 2009) at 3, citing </w:t>
      </w:r>
      <w:r w:rsidRPr="00E16D6A">
        <w:rPr>
          <w:rStyle w:val="ssit1"/>
          <w:rFonts w:cs="Times New Roman"/>
          <w:color w:val="373739"/>
          <w:szCs w:val="20"/>
        </w:rPr>
        <w:t xml:space="preserve">In the Matter of the </w:t>
      </w:r>
      <w:r w:rsidRPr="00E16D6A">
        <w:rPr>
          <w:rStyle w:val="sssh"/>
          <w:rFonts w:cs="Times New Roman"/>
          <w:i/>
          <w:iCs/>
          <w:color w:val="373739"/>
          <w:szCs w:val="20"/>
        </w:rPr>
        <w:t>Complaint</w:t>
      </w:r>
      <w:r w:rsidRPr="00E16D6A">
        <w:rPr>
          <w:rStyle w:val="ssit1"/>
          <w:rFonts w:cs="Times New Roman"/>
          <w:color w:val="373739"/>
          <w:szCs w:val="20"/>
        </w:rPr>
        <w:t xml:space="preserve"> of XO Ohio, Inc. v. City of Upper Arlington</w:t>
      </w:r>
      <w:r w:rsidRPr="00E16D6A">
        <w:rPr>
          <w:rFonts w:cs="Times New Roman"/>
          <w:color w:val="373739"/>
          <w:szCs w:val="20"/>
        </w:rPr>
        <w:t>, Case No. 03-870-AU-PWC, Entry on Rehearing (July 1, 2003).</w:t>
      </w:r>
    </w:p>
  </w:footnote>
  <w:footnote w:id="17">
    <w:p w14:paraId="78AF6CAA" w14:textId="2E6F834D" w:rsidR="007D0437" w:rsidRDefault="007D0437">
      <w:pPr>
        <w:pStyle w:val="FootnoteText"/>
      </w:pPr>
      <w:r>
        <w:rPr>
          <w:rStyle w:val="FootnoteReference"/>
        </w:rPr>
        <w:footnoteRef/>
      </w:r>
      <w:r>
        <w:t xml:space="preserve"> </w:t>
      </w:r>
      <w:r w:rsidR="006653D6">
        <w:t>Motion</w:t>
      </w:r>
      <w:r>
        <w:t xml:space="preserve"> at 3, 5.</w:t>
      </w:r>
    </w:p>
  </w:footnote>
  <w:footnote w:id="18">
    <w:p w14:paraId="48C1EF94" w14:textId="6D5035BC" w:rsidR="00EC4662" w:rsidRDefault="00EC4662">
      <w:pPr>
        <w:pStyle w:val="FootnoteText"/>
      </w:pPr>
      <w:r>
        <w:rPr>
          <w:rStyle w:val="FootnoteReference"/>
        </w:rPr>
        <w:footnoteRef/>
      </w:r>
      <w:r>
        <w:t xml:space="preserve"> Ohio Adm. Code 4901-1-16(B).</w:t>
      </w:r>
    </w:p>
  </w:footnote>
  <w:footnote w:id="19">
    <w:p w14:paraId="04EABA12" w14:textId="30A13BF6" w:rsidR="00EC4662" w:rsidRDefault="00EC4662">
      <w:pPr>
        <w:pStyle w:val="FootnoteText"/>
      </w:pPr>
      <w:r>
        <w:rPr>
          <w:rStyle w:val="FootnoteReference"/>
        </w:rPr>
        <w:footnoteRef/>
      </w:r>
      <w:r>
        <w:t xml:space="preserve"> Motion at 5.</w:t>
      </w:r>
    </w:p>
  </w:footnote>
  <w:footnote w:id="20">
    <w:p w14:paraId="202E0021" w14:textId="17139A77" w:rsidR="00EC4662" w:rsidRDefault="00EC4662">
      <w:pPr>
        <w:pStyle w:val="FootnoteText"/>
      </w:pPr>
      <w:r>
        <w:rPr>
          <w:rStyle w:val="FootnoteReference"/>
        </w:rPr>
        <w:footnoteRef/>
      </w:r>
      <w:r>
        <w:t xml:space="preserve"> Case No. 09-682-EL-CSS.</w:t>
      </w:r>
    </w:p>
  </w:footnote>
  <w:footnote w:id="21">
    <w:p w14:paraId="480100D8" w14:textId="36900D39" w:rsidR="00EC4662" w:rsidRDefault="00EC4662">
      <w:pPr>
        <w:pStyle w:val="FootnoteText"/>
      </w:pPr>
      <w:r>
        <w:rPr>
          <w:rStyle w:val="FootnoteReference"/>
        </w:rPr>
        <w:footnoteRef/>
      </w:r>
      <w:r>
        <w:t xml:space="preserve"> Id., Entry (December 16, 2009) at 1.</w:t>
      </w:r>
    </w:p>
  </w:footnote>
  <w:footnote w:id="22">
    <w:p w14:paraId="186F9344" w14:textId="1DD28236" w:rsidR="00EC4662" w:rsidRDefault="00EC4662">
      <w:pPr>
        <w:pStyle w:val="FootnoteText"/>
      </w:pPr>
      <w:r>
        <w:rPr>
          <w:rStyle w:val="FootnoteReference"/>
        </w:rPr>
        <w:footnoteRef/>
      </w:r>
      <w:r>
        <w:t xml:space="preserve"> Id.</w:t>
      </w:r>
    </w:p>
  </w:footnote>
  <w:footnote w:id="23">
    <w:p w14:paraId="2398D984" w14:textId="53F15AD9" w:rsidR="00E97EB9" w:rsidRDefault="00E97EB9">
      <w:pPr>
        <w:pStyle w:val="FootnoteText"/>
      </w:pPr>
      <w:r>
        <w:rPr>
          <w:rStyle w:val="FootnoteReference"/>
        </w:rPr>
        <w:footnoteRef/>
      </w:r>
      <w:r>
        <w:t xml:space="preserve"> Id.</w:t>
      </w:r>
    </w:p>
  </w:footnote>
  <w:footnote w:id="24">
    <w:p w14:paraId="4788DDB2" w14:textId="4200D903" w:rsidR="00E97EB9" w:rsidRDefault="00E97EB9">
      <w:pPr>
        <w:pStyle w:val="FootnoteText"/>
      </w:pPr>
      <w:r>
        <w:rPr>
          <w:rStyle w:val="FootnoteReference"/>
        </w:rPr>
        <w:footnoteRef/>
      </w:r>
      <w:r>
        <w:t xml:space="preserve"> Id.</w:t>
      </w:r>
    </w:p>
  </w:footnote>
  <w:footnote w:id="25">
    <w:p w14:paraId="335AB400" w14:textId="4817CF6D" w:rsidR="00E97EB9" w:rsidRDefault="00E97EB9">
      <w:pPr>
        <w:pStyle w:val="FootnoteText"/>
      </w:pPr>
      <w:r>
        <w:rPr>
          <w:rStyle w:val="FootnoteReference"/>
        </w:rPr>
        <w:footnoteRef/>
      </w:r>
      <w:r>
        <w:t xml:space="preserve"> Id. at 2.</w:t>
      </w:r>
    </w:p>
  </w:footnote>
  <w:footnote w:id="26">
    <w:p w14:paraId="3085D9D5" w14:textId="774D7D35" w:rsidR="00E97EB9" w:rsidRDefault="00E97EB9">
      <w:pPr>
        <w:pStyle w:val="FootnoteText"/>
      </w:pPr>
      <w:r>
        <w:rPr>
          <w:rStyle w:val="FootnoteReference"/>
        </w:rPr>
        <w:footnoteRef/>
      </w:r>
      <w:r>
        <w:t xml:space="preserve"> Id. (Emphasis added.)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1841F" w14:textId="77777777" w:rsidR="007F1558" w:rsidRDefault="007F15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073C6" w14:textId="77777777" w:rsidR="007F1558" w:rsidRDefault="007F15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C8497" w14:textId="77777777" w:rsidR="007F1558" w:rsidRDefault="007F15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1B79"/>
    <w:multiLevelType w:val="hybridMultilevel"/>
    <w:tmpl w:val="3234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2056B2"/>
    <w:multiLevelType w:val="hybridMultilevel"/>
    <w:tmpl w:val="9866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AA7C3D"/>
    <w:multiLevelType w:val="hybridMultilevel"/>
    <w:tmpl w:val="CFCC6C00"/>
    <w:lvl w:ilvl="0" w:tplc="C16016A6">
      <w:start w:val="1"/>
      <w:numFmt w:val="decimal"/>
      <w:lvlText w:val="%1."/>
      <w:lvlJc w:val="left"/>
      <w:pPr>
        <w:ind w:left="360" w:hanging="360"/>
      </w:pPr>
      <w:rPr>
        <w:rFonts w:ascii="Times New Roman" w:hAnsi="Times New Roman" w:hint="default"/>
        <w:b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EB4C4E"/>
    <w:multiLevelType w:val="hybridMultilevel"/>
    <w:tmpl w:val="0F20ADFC"/>
    <w:lvl w:ilvl="0" w:tplc="8564CAA6">
      <w:start w:val="5"/>
      <w:numFmt w:val="decimal"/>
      <w:lvlText w:val="%1."/>
      <w:lvlJc w:val="left"/>
      <w:pPr>
        <w:ind w:left="126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40E42AA0"/>
    <w:multiLevelType w:val="hybridMultilevel"/>
    <w:tmpl w:val="87BEFF20"/>
    <w:lvl w:ilvl="0" w:tplc="CCFA3138">
      <w:start w:val="1"/>
      <w:numFmt w:val="decimal"/>
      <w:lvlText w:val="%1."/>
      <w:lvlJc w:val="left"/>
      <w:pPr>
        <w:ind w:left="63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A4D7A8C"/>
    <w:multiLevelType w:val="hybridMultilevel"/>
    <w:tmpl w:val="E3DE38B4"/>
    <w:lvl w:ilvl="0" w:tplc="04090001">
      <w:start w:val="1"/>
      <w:numFmt w:val="bullet"/>
      <w:lvlText w:val=""/>
      <w:lvlJc w:val="left"/>
      <w:pPr>
        <w:ind w:left="720" w:hanging="360"/>
      </w:pPr>
      <w:rPr>
        <w:rFonts w:ascii="Symbol" w:hAnsi="Symbol" w:hint="default"/>
      </w:rPr>
    </w:lvl>
    <w:lvl w:ilvl="1" w:tplc="A8262930">
      <w:start w:val="1"/>
      <w:numFmt w:val="bullet"/>
      <w:lvlText w:val=""/>
      <w:lvlJc w:val="left"/>
      <w:pPr>
        <w:ind w:left="1440" w:hanging="360"/>
      </w:pPr>
      <w:rPr>
        <w:rFonts w:ascii="Wingdings 3" w:hAnsi="Wingdings 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1E386A"/>
    <w:multiLevelType w:val="hybridMultilevel"/>
    <w:tmpl w:val="9C640FBE"/>
    <w:lvl w:ilvl="0" w:tplc="04090001">
      <w:start w:val="1"/>
      <w:numFmt w:val="bullet"/>
      <w:lvlText w:val=""/>
      <w:lvlJc w:val="left"/>
      <w:pPr>
        <w:ind w:left="720" w:hanging="360"/>
      </w:pPr>
      <w:rPr>
        <w:rFonts w:ascii="Symbol" w:hAnsi="Symbol" w:hint="default"/>
      </w:rPr>
    </w:lvl>
    <w:lvl w:ilvl="1" w:tplc="A8262930">
      <w:start w:val="1"/>
      <w:numFmt w:val="bullet"/>
      <w:lvlText w:val=""/>
      <w:lvlJc w:val="left"/>
      <w:pPr>
        <w:ind w:left="1440" w:hanging="360"/>
      </w:pPr>
      <w:rPr>
        <w:rFonts w:ascii="Wingdings 3" w:hAnsi="Wingdings 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D74AB7"/>
    <w:multiLevelType w:val="hybridMultilevel"/>
    <w:tmpl w:val="D2E88934"/>
    <w:lvl w:ilvl="0" w:tplc="04090001">
      <w:start w:val="1"/>
      <w:numFmt w:val="bullet"/>
      <w:lvlText w:val=""/>
      <w:lvlJc w:val="left"/>
      <w:pPr>
        <w:ind w:left="720" w:hanging="360"/>
      </w:pPr>
      <w:rPr>
        <w:rFonts w:ascii="Symbol" w:hAnsi="Symbol" w:hint="default"/>
      </w:rPr>
    </w:lvl>
    <w:lvl w:ilvl="1" w:tplc="A8262930">
      <w:start w:val="1"/>
      <w:numFmt w:val="bullet"/>
      <w:lvlText w:val=""/>
      <w:lvlJc w:val="left"/>
      <w:pPr>
        <w:ind w:left="1440" w:hanging="360"/>
      </w:pPr>
      <w:rPr>
        <w:rFonts w:ascii="Wingdings 3" w:hAnsi="Wingdings 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0"/>
  </w:num>
  <w:num w:numId="6">
    <w:abstractNumId w:val="7"/>
  </w:num>
  <w:num w:numId="7">
    <w:abstractNumId w:val="5"/>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531"/>
    <w:rsid w:val="00000394"/>
    <w:rsid w:val="00003BCB"/>
    <w:rsid w:val="000050FA"/>
    <w:rsid w:val="0000684C"/>
    <w:rsid w:val="00007A50"/>
    <w:rsid w:val="00014693"/>
    <w:rsid w:val="000158F1"/>
    <w:rsid w:val="00022413"/>
    <w:rsid w:val="000255E8"/>
    <w:rsid w:val="000264FA"/>
    <w:rsid w:val="00026A21"/>
    <w:rsid w:val="00031111"/>
    <w:rsid w:val="00031346"/>
    <w:rsid w:val="00034746"/>
    <w:rsid w:val="00034768"/>
    <w:rsid w:val="00036E3D"/>
    <w:rsid w:val="00037D50"/>
    <w:rsid w:val="0004028B"/>
    <w:rsid w:val="000405D0"/>
    <w:rsid w:val="0004068E"/>
    <w:rsid w:val="00041B76"/>
    <w:rsid w:val="00043D92"/>
    <w:rsid w:val="00045A3D"/>
    <w:rsid w:val="0004639B"/>
    <w:rsid w:val="0005581E"/>
    <w:rsid w:val="00055EE1"/>
    <w:rsid w:val="000604C2"/>
    <w:rsid w:val="00060A1A"/>
    <w:rsid w:val="000662CE"/>
    <w:rsid w:val="000679CE"/>
    <w:rsid w:val="00070846"/>
    <w:rsid w:val="00072040"/>
    <w:rsid w:val="000733C1"/>
    <w:rsid w:val="00074980"/>
    <w:rsid w:val="00074E50"/>
    <w:rsid w:val="00074F36"/>
    <w:rsid w:val="00076F41"/>
    <w:rsid w:val="00080637"/>
    <w:rsid w:val="00080F31"/>
    <w:rsid w:val="0008221F"/>
    <w:rsid w:val="0008262C"/>
    <w:rsid w:val="000832FB"/>
    <w:rsid w:val="000938A4"/>
    <w:rsid w:val="00093DC4"/>
    <w:rsid w:val="000A19E8"/>
    <w:rsid w:val="000A491C"/>
    <w:rsid w:val="000A4CE8"/>
    <w:rsid w:val="000A5465"/>
    <w:rsid w:val="000A6556"/>
    <w:rsid w:val="000A6CBE"/>
    <w:rsid w:val="000B1477"/>
    <w:rsid w:val="000B2403"/>
    <w:rsid w:val="000B4CDB"/>
    <w:rsid w:val="000B50D2"/>
    <w:rsid w:val="000B63AD"/>
    <w:rsid w:val="000C1784"/>
    <w:rsid w:val="000C38F5"/>
    <w:rsid w:val="000C7B05"/>
    <w:rsid w:val="000C7D8B"/>
    <w:rsid w:val="000D3E02"/>
    <w:rsid w:val="000D3E49"/>
    <w:rsid w:val="000D45CF"/>
    <w:rsid w:val="000D5394"/>
    <w:rsid w:val="000D604A"/>
    <w:rsid w:val="000D7080"/>
    <w:rsid w:val="000E1127"/>
    <w:rsid w:val="000E1FCB"/>
    <w:rsid w:val="000E5390"/>
    <w:rsid w:val="000F0647"/>
    <w:rsid w:val="000F5424"/>
    <w:rsid w:val="00100659"/>
    <w:rsid w:val="001028E8"/>
    <w:rsid w:val="00104013"/>
    <w:rsid w:val="001062FA"/>
    <w:rsid w:val="00112613"/>
    <w:rsid w:val="0011352B"/>
    <w:rsid w:val="001159CF"/>
    <w:rsid w:val="00120B48"/>
    <w:rsid w:val="00122F20"/>
    <w:rsid w:val="00124FAB"/>
    <w:rsid w:val="0012632A"/>
    <w:rsid w:val="0013148E"/>
    <w:rsid w:val="001340AF"/>
    <w:rsid w:val="0013534D"/>
    <w:rsid w:val="00137062"/>
    <w:rsid w:val="001403C8"/>
    <w:rsid w:val="00141A0D"/>
    <w:rsid w:val="00142942"/>
    <w:rsid w:val="00144732"/>
    <w:rsid w:val="001451E9"/>
    <w:rsid w:val="001471CB"/>
    <w:rsid w:val="00151463"/>
    <w:rsid w:val="00151AC1"/>
    <w:rsid w:val="001526FA"/>
    <w:rsid w:val="00157236"/>
    <w:rsid w:val="001573BD"/>
    <w:rsid w:val="001578AB"/>
    <w:rsid w:val="001610F6"/>
    <w:rsid w:val="00162B06"/>
    <w:rsid w:val="00163426"/>
    <w:rsid w:val="00165E62"/>
    <w:rsid w:val="00167653"/>
    <w:rsid w:val="00171F04"/>
    <w:rsid w:val="00172478"/>
    <w:rsid w:val="00172650"/>
    <w:rsid w:val="00175D24"/>
    <w:rsid w:val="00175D9B"/>
    <w:rsid w:val="00181AC7"/>
    <w:rsid w:val="00187AED"/>
    <w:rsid w:val="001913D3"/>
    <w:rsid w:val="001937A5"/>
    <w:rsid w:val="00194547"/>
    <w:rsid w:val="00194CE4"/>
    <w:rsid w:val="0019775F"/>
    <w:rsid w:val="001A4F90"/>
    <w:rsid w:val="001A5692"/>
    <w:rsid w:val="001A6F4A"/>
    <w:rsid w:val="001B06E4"/>
    <w:rsid w:val="001B1081"/>
    <w:rsid w:val="001B3C2A"/>
    <w:rsid w:val="001B704D"/>
    <w:rsid w:val="001C004F"/>
    <w:rsid w:val="001C0AB7"/>
    <w:rsid w:val="001C4D45"/>
    <w:rsid w:val="001C5A39"/>
    <w:rsid w:val="001C6778"/>
    <w:rsid w:val="001C6C6C"/>
    <w:rsid w:val="001C78EE"/>
    <w:rsid w:val="001D1C49"/>
    <w:rsid w:val="001D4F5A"/>
    <w:rsid w:val="001D5948"/>
    <w:rsid w:val="001D6531"/>
    <w:rsid w:val="001D7F0D"/>
    <w:rsid w:val="001E4DD5"/>
    <w:rsid w:val="001E5544"/>
    <w:rsid w:val="001E6A9A"/>
    <w:rsid w:val="001E6FA7"/>
    <w:rsid w:val="001F0B8E"/>
    <w:rsid w:val="001F137F"/>
    <w:rsid w:val="001F1A50"/>
    <w:rsid w:val="001F1CB5"/>
    <w:rsid w:val="001F2AFC"/>
    <w:rsid w:val="001F40CF"/>
    <w:rsid w:val="001F41A7"/>
    <w:rsid w:val="001F6995"/>
    <w:rsid w:val="002026FE"/>
    <w:rsid w:val="00202738"/>
    <w:rsid w:val="00203E32"/>
    <w:rsid w:val="002107A3"/>
    <w:rsid w:val="00215439"/>
    <w:rsid w:val="0021704C"/>
    <w:rsid w:val="00220BA5"/>
    <w:rsid w:val="00226966"/>
    <w:rsid w:val="00227784"/>
    <w:rsid w:val="00231FC6"/>
    <w:rsid w:val="002330CE"/>
    <w:rsid w:val="00235D6A"/>
    <w:rsid w:val="00236B11"/>
    <w:rsid w:val="002370B0"/>
    <w:rsid w:val="00237693"/>
    <w:rsid w:val="00240AB3"/>
    <w:rsid w:val="00240D40"/>
    <w:rsid w:val="00240E26"/>
    <w:rsid w:val="0024177A"/>
    <w:rsid w:val="00241832"/>
    <w:rsid w:val="00243CB4"/>
    <w:rsid w:val="002532BA"/>
    <w:rsid w:val="00254C4E"/>
    <w:rsid w:val="00254F60"/>
    <w:rsid w:val="00256064"/>
    <w:rsid w:val="002574AF"/>
    <w:rsid w:val="00261704"/>
    <w:rsid w:val="00261771"/>
    <w:rsid w:val="00262115"/>
    <w:rsid w:val="00262832"/>
    <w:rsid w:val="00263CC9"/>
    <w:rsid w:val="002648B3"/>
    <w:rsid w:val="002663DD"/>
    <w:rsid w:val="00275375"/>
    <w:rsid w:val="002768B2"/>
    <w:rsid w:val="00281F2B"/>
    <w:rsid w:val="0028245B"/>
    <w:rsid w:val="00290955"/>
    <w:rsid w:val="00292091"/>
    <w:rsid w:val="002945A2"/>
    <w:rsid w:val="00295492"/>
    <w:rsid w:val="002960DA"/>
    <w:rsid w:val="002A1EF5"/>
    <w:rsid w:val="002A728E"/>
    <w:rsid w:val="002B1024"/>
    <w:rsid w:val="002B184B"/>
    <w:rsid w:val="002B4A10"/>
    <w:rsid w:val="002B57FC"/>
    <w:rsid w:val="002B6509"/>
    <w:rsid w:val="002B6F27"/>
    <w:rsid w:val="002C32FA"/>
    <w:rsid w:val="002C4374"/>
    <w:rsid w:val="002D06D5"/>
    <w:rsid w:val="002D1ECD"/>
    <w:rsid w:val="002D36C1"/>
    <w:rsid w:val="002D5D21"/>
    <w:rsid w:val="002E002B"/>
    <w:rsid w:val="002E0E9D"/>
    <w:rsid w:val="002E22CF"/>
    <w:rsid w:val="002E5DBD"/>
    <w:rsid w:val="002E65BA"/>
    <w:rsid w:val="002F07D4"/>
    <w:rsid w:val="002F10A4"/>
    <w:rsid w:val="002F157D"/>
    <w:rsid w:val="002F3247"/>
    <w:rsid w:val="002F4014"/>
    <w:rsid w:val="002F44C4"/>
    <w:rsid w:val="0030121C"/>
    <w:rsid w:val="00301C1B"/>
    <w:rsid w:val="003072C1"/>
    <w:rsid w:val="00312ED9"/>
    <w:rsid w:val="00313524"/>
    <w:rsid w:val="00316704"/>
    <w:rsid w:val="00316CA3"/>
    <w:rsid w:val="00322013"/>
    <w:rsid w:val="003226ED"/>
    <w:rsid w:val="00322793"/>
    <w:rsid w:val="00323331"/>
    <w:rsid w:val="00325176"/>
    <w:rsid w:val="00326A45"/>
    <w:rsid w:val="003277C2"/>
    <w:rsid w:val="00332161"/>
    <w:rsid w:val="00337B14"/>
    <w:rsid w:val="00341FF0"/>
    <w:rsid w:val="003422D8"/>
    <w:rsid w:val="00342994"/>
    <w:rsid w:val="00344C69"/>
    <w:rsid w:val="00350DCE"/>
    <w:rsid w:val="00353550"/>
    <w:rsid w:val="0036173F"/>
    <w:rsid w:val="003617A1"/>
    <w:rsid w:val="003631DF"/>
    <w:rsid w:val="003642F6"/>
    <w:rsid w:val="00364680"/>
    <w:rsid w:val="003671E5"/>
    <w:rsid w:val="0037013A"/>
    <w:rsid w:val="0037188F"/>
    <w:rsid w:val="003743F0"/>
    <w:rsid w:val="003757FB"/>
    <w:rsid w:val="00382BA8"/>
    <w:rsid w:val="00385F37"/>
    <w:rsid w:val="00391A4A"/>
    <w:rsid w:val="0039233B"/>
    <w:rsid w:val="003973F1"/>
    <w:rsid w:val="00397803"/>
    <w:rsid w:val="00397E27"/>
    <w:rsid w:val="003A0243"/>
    <w:rsid w:val="003A088A"/>
    <w:rsid w:val="003A10C6"/>
    <w:rsid w:val="003A2E9B"/>
    <w:rsid w:val="003A3B02"/>
    <w:rsid w:val="003A5BC1"/>
    <w:rsid w:val="003C0B04"/>
    <w:rsid w:val="003C2533"/>
    <w:rsid w:val="003C2DE7"/>
    <w:rsid w:val="003C3425"/>
    <w:rsid w:val="003C36A7"/>
    <w:rsid w:val="003C4EF3"/>
    <w:rsid w:val="003C5A41"/>
    <w:rsid w:val="003C5BB9"/>
    <w:rsid w:val="003C7BDE"/>
    <w:rsid w:val="003D42AB"/>
    <w:rsid w:val="003E3DB5"/>
    <w:rsid w:val="003E5A3D"/>
    <w:rsid w:val="003E7099"/>
    <w:rsid w:val="003E72D8"/>
    <w:rsid w:val="003F1CCB"/>
    <w:rsid w:val="003F645C"/>
    <w:rsid w:val="0040106B"/>
    <w:rsid w:val="00401B37"/>
    <w:rsid w:val="0040258A"/>
    <w:rsid w:val="00404307"/>
    <w:rsid w:val="00406501"/>
    <w:rsid w:val="00407E49"/>
    <w:rsid w:val="0041142F"/>
    <w:rsid w:val="00412CD4"/>
    <w:rsid w:val="00413304"/>
    <w:rsid w:val="0041726D"/>
    <w:rsid w:val="00417696"/>
    <w:rsid w:val="00420253"/>
    <w:rsid w:val="004226C6"/>
    <w:rsid w:val="00424FD6"/>
    <w:rsid w:val="0042644F"/>
    <w:rsid w:val="004302E4"/>
    <w:rsid w:val="00430A0D"/>
    <w:rsid w:val="00430AA9"/>
    <w:rsid w:val="004427B6"/>
    <w:rsid w:val="004432B7"/>
    <w:rsid w:val="00445DCA"/>
    <w:rsid w:val="00447342"/>
    <w:rsid w:val="00451414"/>
    <w:rsid w:val="004551AA"/>
    <w:rsid w:val="00465721"/>
    <w:rsid w:val="004714E5"/>
    <w:rsid w:val="00476A85"/>
    <w:rsid w:val="00477CBA"/>
    <w:rsid w:val="004801F9"/>
    <w:rsid w:val="0048027C"/>
    <w:rsid w:val="004837EE"/>
    <w:rsid w:val="00484D0E"/>
    <w:rsid w:val="00494E4D"/>
    <w:rsid w:val="00495F88"/>
    <w:rsid w:val="004A51EA"/>
    <w:rsid w:val="004A6A47"/>
    <w:rsid w:val="004B3179"/>
    <w:rsid w:val="004B3DBD"/>
    <w:rsid w:val="004B457E"/>
    <w:rsid w:val="004B551A"/>
    <w:rsid w:val="004C27D7"/>
    <w:rsid w:val="004C55E7"/>
    <w:rsid w:val="004C5665"/>
    <w:rsid w:val="004D0371"/>
    <w:rsid w:val="004D17A3"/>
    <w:rsid w:val="004D2CE4"/>
    <w:rsid w:val="004E0AAD"/>
    <w:rsid w:val="004E42A3"/>
    <w:rsid w:val="004F169D"/>
    <w:rsid w:val="004F2EB4"/>
    <w:rsid w:val="004F46DE"/>
    <w:rsid w:val="004F4D01"/>
    <w:rsid w:val="004F6728"/>
    <w:rsid w:val="004F79C6"/>
    <w:rsid w:val="00506A16"/>
    <w:rsid w:val="0050702E"/>
    <w:rsid w:val="005106E5"/>
    <w:rsid w:val="005269CC"/>
    <w:rsid w:val="00527459"/>
    <w:rsid w:val="00531E27"/>
    <w:rsid w:val="00534AC3"/>
    <w:rsid w:val="00534F51"/>
    <w:rsid w:val="00535E91"/>
    <w:rsid w:val="00536A43"/>
    <w:rsid w:val="00537D6B"/>
    <w:rsid w:val="00540D67"/>
    <w:rsid w:val="00541BD2"/>
    <w:rsid w:val="00541FF0"/>
    <w:rsid w:val="00543ACE"/>
    <w:rsid w:val="00545881"/>
    <w:rsid w:val="0055217C"/>
    <w:rsid w:val="00557FC6"/>
    <w:rsid w:val="00560ECB"/>
    <w:rsid w:val="00561764"/>
    <w:rsid w:val="005651EF"/>
    <w:rsid w:val="0056567F"/>
    <w:rsid w:val="005659DF"/>
    <w:rsid w:val="00571DF6"/>
    <w:rsid w:val="005805DC"/>
    <w:rsid w:val="00585093"/>
    <w:rsid w:val="00587F33"/>
    <w:rsid w:val="0059180C"/>
    <w:rsid w:val="0059241F"/>
    <w:rsid w:val="0059736E"/>
    <w:rsid w:val="005A22DE"/>
    <w:rsid w:val="005A28B9"/>
    <w:rsid w:val="005A37C1"/>
    <w:rsid w:val="005A424A"/>
    <w:rsid w:val="005A660D"/>
    <w:rsid w:val="005A7ACB"/>
    <w:rsid w:val="005A7B86"/>
    <w:rsid w:val="005B20D8"/>
    <w:rsid w:val="005B3CA6"/>
    <w:rsid w:val="005C06EE"/>
    <w:rsid w:val="005C6057"/>
    <w:rsid w:val="005C64C3"/>
    <w:rsid w:val="005D7426"/>
    <w:rsid w:val="005E05A5"/>
    <w:rsid w:val="005E1851"/>
    <w:rsid w:val="005E32C0"/>
    <w:rsid w:val="005E66D8"/>
    <w:rsid w:val="005F00C0"/>
    <w:rsid w:val="005F3857"/>
    <w:rsid w:val="005F38A8"/>
    <w:rsid w:val="005F44DB"/>
    <w:rsid w:val="005F4FCE"/>
    <w:rsid w:val="005F7EE3"/>
    <w:rsid w:val="006025C9"/>
    <w:rsid w:val="0060487C"/>
    <w:rsid w:val="00606F09"/>
    <w:rsid w:val="006074A8"/>
    <w:rsid w:val="00611B5C"/>
    <w:rsid w:val="006128B4"/>
    <w:rsid w:val="0061439C"/>
    <w:rsid w:val="006203FC"/>
    <w:rsid w:val="006226B3"/>
    <w:rsid w:val="00623A97"/>
    <w:rsid w:val="00626241"/>
    <w:rsid w:val="00630094"/>
    <w:rsid w:val="00630D1F"/>
    <w:rsid w:val="00634301"/>
    <w:rsid w:val="00640A5C"/>
    <w:rsid w:val="006420EF"/>
    <w:rsid w:val="00642B96"/>
    <w:rsid w:val="0064469D"/>
    <w:rsid w:val="00647077"/>
    <w:rsid w:val="00652664"/>
    <w:rsid w:val="00652C31"/>
    <w:rsid w:val="00662576"/>
    <w:rsid w:val="00662960"/>
    <w:rsid w:val="006653D6"/>
    <w:rsid w:val="0066679A"/>
    <w:rsid w:val="00674CAD"/>
    <w:rsid w:val="00680860"/>
    <w:rsid w:val="0068250F"/>
    <w:rsid w:val="00684425"/>
    <w:rsid w:val="006867D3"/>
    <w:rsid w:val="00695E3F"/>
    <w:rsid w:val="00697156"/>
    <w:rsid w:val="006A1BAE"/>
    <w:rsid w:val="006A38C6"/>
    <w:rsid w:val="006A5D77"/>
    <w:rsid w:val="006B1828"/>
    <w:rsid w:val="006B2DF4"/>
    <w:rsid w:val="006B4A85"/>
    <w:rsid w:val="006B62B1"/>
    <w:rsid w:val="006B7344"/>
    <w:rsid w:val="006C59C9"/>
    <w:rsid w:val="006C7751"/>
    <w:rsid w:val="006D121C"/>
    <w:rsid w:val="006D26B4"/>
    <w:rsid w:val="006D3FCE"/>
    <w:rsid w:val="006D729F"/>
    <w:rsid w:val="006E21EF"/>
    <w:rsid w:val="006E6082"/>
    <w:rsid w:val="006F5829"/>
    <w:rsid w:val="006F64E8"/>
    <w:rsid w:val="006F71F1"/>
    <w:rsid w:val="007072CF"/>
    <w:rsid w:val="007105C8"/>
    <w:rsid w:val="0071075A"/>
    <w:rsid w:val="0072112C"/>
    <w:rsid w:val="00723DB1"/>
    <w:rsid w:val="00724B50"/>
    <w:rsid w:val="0073142C"/>
    <w:rsid w:val="00733135"/>
    <w:rsid w:val="0073348A"/>
    <w:rsid w:val="00736D58"/>
    <w:rsid w:val="00737335"/>
    <w:rsid w:val="007420A9"/>
    <w:rsid w:val="007425F1"/>
    <w:rsid w:val="00746FCC"/>
    <w:rsid w:val="00747FE5"/>
    <w:rsid w:val="007620E4"/>
    <w:rsid w:val="00762768"/>
    <w:rsid w:val="0076397D"/>
    <w:rsid w:val="00763E0C"/>
    <w:rsid w:val="00766541"/>
    <w:rsid w:val="00767985"/>
    <w:rsid w:val="00767D42"/>
    <w:rsid w:val="007742A3"/>
    <w:rsid w:val="00774AA2"/>
    <w:rsid w:val="007855BE"/>
    <w:rsid w:val="00786E7E"/>
    <w:rsid w:val="00791318"/>
    <w:rsid w:val="00793AD5"/>
    <w:rsid w:val="00793FBC"/>
    <w:rsid w:val="0079787F"/>
    <w:rsid w:val="007A2029"/>
    <w:rsid w:val="007B1640"/>
    <w:rsid w:val="007B27BA"/>
    <w:rsid w:val="007B2B91"/>
    <w:rsid w:val="007B2E0E"/>
    <w:rsid w:val="007B4FB8"/>
    <w:rsid w:val="007B68E0"/>
    <w:rsid w:val="007B7D9E"/>
    <w:rsid w:val="007B7FBF"/>
    <w:rsid w:val="007C4BAE"/>
    <w:rsid w:val="007C5A79"/>
    <w:rsid w:val="007D0437"/>
    <w:rsid w:val="007D0D6A"/>
    <w:rsid w:val="007D1911"/>
    <w:rsid w:val="007D1AA1"/>
    <w:rsid w:val="007D2906"/>
    <w:rsid w:val="007D3758"/>
    <w:rsid w:val="007D631E"/>
    <w:rsid w:val="007D7222"/>
    <w:rsid w:val="007E0985"/>
    <w:rsid w:val="007E241D"/>
    <w:rsid w:val="007E52AF"/>
    <w:rsid w:val="007E5307"/>
    <w:rsid w:val="007E5A4F"/>
    <w:rsid w:val="007F03C9"/>
    <w:rsid w:val="007F07D9"/>
    <w:rsid w:val="007F0F83"/>
    <w:rsid w:val="007F1558"/>
    <w:rsid w:val="007F4B8C"/>
    <w:rsid w:val="007F73D2"/>
    <w:rsid w:val="007F7B6D"/>
    <w:rsid w:val="007F7D1F"/>
    <w:rsid w:val="008004C1"/>
    <w:rsid w:val="008007FA"/>
    <w:rsid w:val="00801035"/>
    <w:rsid w:val="0080167D"/>
    <w:rsid w:val="008030D1"/>
    <w:rsid w:val="00804FBA"/>
    <w:rsid w:val="008146E8"/>
    <w:rsid w:val="00816EE2"/>
    <w:rsid w:val="00823DEF"/>
    <w:rsid w:val="00824EC5"/>
    <w:rsid w:val="00826AC7"/>
    <w:rsid w:val="00836E6C"/>
    <w:rsid w:val="00840E92"/>
    <w:rsid w:val="00840F13"/>
    <w:rsid w:val="008422E1"/>
    <w:rsid w:val="00844FA3"/>
    <w:rsid w:val="0084657E"/>
    <w:rsid w:val="00852B40"/>
    <w:rsid w:val="00863330"/>
    <w:rsid w:val="00864142"/>
    <w:rsid w:val="008674C2"/>
    <w:rsid w:val="008707F2"/>
    <w:rsid w:val="008722B4"/>
    <w:rsid w:val="0087231B"/>
    <w:rsid w:val="00880E72"/>
    <w:rsid w:val="00882349"/>
    <w:rsid w:val="0088351C"/>
    <w:rsid w:val="0088766C"/>
    <w:rsid w:val="00893C02"/>
    <w:rsid w:val="0089408D"/>
    <w:rsid w:val="00894420"/>
    <w:rsid w:val="008A0414"/>
    <w:rsid w:val="008A1AEA"/>
    <w:rsid w:val="008A4583"/>
    <w:rsid w:val="008A7976"/>
    <w:rsid w:val="008B49E9"/>
    <w:rsid w:val="008C16D8"/>
    <w:rsid w:val="008C1970"/>
    <w:rsid w:val="008C20B6"/>
    <w:rsid w:val="008C254A"/>
    <w:rsid w:val="008C3629"/>
    <w:rsid w:val="008C3E9F"/>
    <w:rsid w:val="008D467A"/>
    <w:rsid w:val="008D48F6"/>
    <w:rsid w:val="008D5C7A"/>
    <w:rsid w:val="008D6068"/>
    <w:rsid w:val="008D6E3E"/>
    <w:rsid w:val="008E53B4"/>
    <w:rsid w:val="008F0876"/>
    <w:rsid w:val="008F0C29"/>
    <w:rsid w:val="008F17E8"/>
    <w:rsid w:val="008F1B3F"/>
    <w:rsid w:val="008F2201"/>
    <w:rsid w:val="008F3824"/>
    <w:rsid w:val="008F3C22"/>
    <w:rsid w:val="008F5D66"/>
    <w:rsid w:val="008F7646"/>
    <w:rsid w:val="008F78A9"/>
    <w:rsid w:val="0090008C"/>
    <w:rsid w:val="0091005A"/>
    <w:rsid w:val="00912674"/>
    <w:rsid w:val="0091347E"/>
    <w:rsid w:val="00914EC6"/>
    <w:rsid w:val="00916280"/>
    <w:rsid w:val="009200E0"/>
    <w:rsid w:val="009271C8"/>
    <w:rsid w:val="009330A7"/>
    <w:rsid w:val="00933573"/>
    <w:rsid w:val="00934343"/>
    <w:rsid w:val="00935520"/>
    <w:rsid w:val="00935D6A"/>
    <w:rsid w:val="00937589"/>
    <w:rsid w:val="00940711"/>
    <w:rsid w:val="00940A3C"/>
    <w:rsid w:val="00946DCB"/>
    <w:rsid w:val="0094773E"/>
    <w:rsid w:val="00953BC5"/>
    <w:rsid w:val="0095571A"/>
    <w:rsid w:val="00956478"/>
    <w:rsid w:val="009602B8"/>
    <w:rsid w:val="00962152"/>
    <w:rsid w:val="00966C10"/>
    <w:rsid w:val="009677E8"/>
    <w:rsid w:val="00970E8D"/>
    <w:rsid w:val="00973476"/>
    <w:rsid w:val="009832CB"/>
    <w:rsid w:val="00983B4E"/>
    <w:rsid w:val="00987369"/>
    <w:rsid w:val="0099118B"/>
    <w:rsid w:val="0099161A"/>
    <w:rsid w:val="00991C44"/>
    <w:rsid w:val="009A75DE"/>
    <w:rsid w:val="009B10BC"/>
    <w:rsid w:val="009B20C2"/>
    <w:rsid w:val="009B3833"/>
    <w:rsid w:val="009B5571"/>
    <w:rsid w:val="009B5748"/>
    <w:rsid w:val="009B62D7"/>
    <w:rsid w:val="009B66A7"/>
    <w:rsid w:val="009C3767"/>
    <w:rsid w:val="009C4BD5"/>
    <w:rsid w:val="009C51C1"/>
    <w:rsid w:val="009D3E71"/>
    <w:rsid w:val="009E48E6"/>
    <w:rsid w:val="009E4A2C"/>
    <w:rsid w:val="009E5745"/>
    <w:rsid w:val="009E7FD2"/>
    <w:rsid w:val="009F2588"/>
    <w:rsid w:val="009F2D05"/>
    <w:rsid w:val="00A00541"/>
    <w:rsid w:val="00A00C80"/>
    <w:rsid w:val="00A02BAA"/>
    <w:rsid w:val="00A04282"/>
    <w:rsid w:val="00A06B91"/>
    <w:rsid w:val="00A06ED8"/>
    <w:rsid w:val="00A11E9C"/>
    <w:rsid w:val="00A15107"/>
    <w:rsid w:val="00A1585C"/>
    <w:rsid w:val="00A16C1D"/>
    <w:rsid w:val="00A17F29"/>
    <w:rsid w:val="00A2304F"/>
    <w:rsid w:val="00A2330A"/>
    <w:rsid w:val="00A241C7"/>
    <w:rsid w:val="00A24CE6"/>
    <w:rsid w:val="00A304A9"/>
    <w:rsid w:val="00A31179"/>
    <w:rsid w:val="00A3308E"/>
    <w:rsid w:val="00A341F3"/>
    <w:rsid w:val="00A34287"/>
    <w:rsid w:val="00A3748A"/>
    <w:rsid w:val="00A37C24"/>
    <w:rsid w:val="00A40B91"/>
    <w:rsid w:val="00A42CDC"/>
    <w:rsid w:val="00A50CC6"/>
    <w:rsid w:val="00A52D05"/>
    <w:rsid w:val="00A56338"/>
    <w:rsid w:val="00A567D2"/>
    <w:rsid w:val="00A63408"/>
    <w:rsid w:val="00A66447"/>
    <w:rsid w:val="00A70DAB"/>
    <w:rsid w:val="00A70E82"/>
    <w:rsid w:val="00A722CD"/>
    <w:rsid w:val="00A750C4"/>
    <w:rsid w:val="00A7638E"/>
    <w:rsid w:val="00A7714C"/>
    <w:rsid w:val="00A81823"/>
    <w:rsid w:val="00A81CAD"/>
    <w:rsid w:val="00A82446"/>
    <w:rsid w:val="00A844C2"/>
    <w:rsid w:val="00A84D3A"/>
    <w:rsid w:val="00A86174"/>
    <w:rsid w:val="00A8745E"/>
    <w:rsid w:val="00A878BE"/>
    <w:rsid w:val="00A912C2"/>
    <w:rsid w:val="00A92A11"/>
    <w:rsid w:val="00AA4819"/>
    <w:rsid w:val="00AA4F52"/>
    <w:rsid w:val="00AA58CF"/>
    <w:rsid w:val="00AA6E79"/>
    <w:rsid w:val="00AB2F06"/>
    <w:rsid w:val="00AB31E5"/>
    <w:rsid w:val="00AB4322"/>
    <w:rsid w:val="00AC27EB"/>
    <w:rsid w:val="00AC5A45"/>
    <w:rsid w:val="00AC615F"/>
    <w:rsid w:val="00AC63BB"/>
    <w:rsid w:val="00AD1166"/>
    <w:rsid w:val="00AD18CD"/>
    <w:rsid w:val="00AD5B9B"/>
    <w:rsid w:val="00AE14E7"/>
    <w:rsid w:val="00AF1FB7"/>
    <w:rsid w:val="00AF27D5"/>
    <w:rsid w:val="00AF4FB9"/>
    <w:rsid w:val="00AF6DBE"/>
    <w:rsid w:val="00B01F9C"/>
    <w:rsid w:val="00B048E8"/>
    <w:rsid w:val="00B053B0"/>
    <w:rsid w:val="00B06A93"/>
    <w:rsid w:val="00B20C23"/>
    <w:rsid w:val="00B22A8B"/>
    <w:rsid w:val="00B25B86"/>
    <w:rsid w:val="00B26FA8"/>
    <w:rsid w:val="00B320DA"/>
    <w:rsid w:val="00B35FCC"/>
    <w:rsid w:val="00B47C96"/>
    <w:rsid w:val="00B70E78"/>
    <w:rsid w:val="00B73966"/>
    <w:rsid w:val="00B775F1"/>
    <w:rsid w:val="00B80B01"/>
    <w:rsid w:val="00B83B14"/>
    <w:rsid w:val="00B85F74"/>
    <w:rsid w:val="00B921F2"/>
    <w:rsid w:val="00B9276E"/>
    <w:rsid w:val="00B93CB0"/>
    <w:rsid w:val="00B97E6F"/>
    <w:rsid w:val="00BA13E0"/>
    <w:rsid w:val="00BA251E"/>
    <w:rsid w:val="00BA36F8"/>
    <w:rsid w:val="00BA3D09"/>
    <w:rsid w:val="00BB1BEE"/>
    <w:rsid w:val="00BB254C"/>
    <w:rsid w:val="00BB5722"/>
    <w:rsid w:val="00BC137E"/>
    <w:rsid w:val="00BC7B48"/>
    <w:rsid w:val="00BD077F"/>
    <w:rsid w:val="00BD2B53"/>
    <w:rsid w:val="00BD3B3F"/>
    <w:rsid w:val="00BD6B6D"/>
    <w:rsid w:val="00BE09F1"/>
    <w:rsid w:val="00BE373F"/>
    <w:rsid w:val="00BE5656"/>
    <w:rsid w:val="00BE7FFE"/>
    <w:rsid w:val="00BF1368"/>
    <w:rsid w:val="00BF1647"/>
    <w:rsid w:val="00BF38F3"/>
    <w:rsid w:val="00C008C0"/>
    <w:rsid w:val="00C00DAD"/>
    <w:rsid w:val="00C03DFC"/>
    <w:rsid w:val="00C05816"/>
    <w:rsid w:val="00C07D0F"/>
    <w:rsid w:val="00C103D1"/>
    <w:rsid w:val="00C1145B"/>
    <w:rsid w:val="00C122F8"/>
    <w:rsid w:val="00C1336B"/>
    <w:rsid w:val="00C14A48"/>
    <w:rsid w:val="00C21249"/>
    <w:rsid w:val="00C23226"/>
    <w:rsid w:val="00C24083"/>
    <w:rsid w:val="00C25939"/>
    <w:rsid w:val="00C42F8F"/>
    <w:rsid w:val="00C43750"/>
    <w:rsid w:val="00C4746A"/>
    <w:rsid w:val="00C47B2B"/>
    <w:rsid w:val="00C50B22"/>
    <w:rsid w:val="00C5489C"/>
    <w:rsid w:val="00C56C77"/>
    <w:rsid w:val="00C605BE"/>
    <w:rsid w:val="00C61E56"/>
    <w:rsid w:val="00C628B4"/>
    <w:rsid w:val="00C6326E"/>
    <w:rsid w:val="00C64E8F"/>
    <w:rsid w:val="00C6771B"/>
    <w:rsid w:val="00C7178E"/>
    <w:rsid w:val="00C73C8E"/>
    <w:rsid w:val="00C73E44"/>
    <w:rsid w:val="00C74D5D"/>
    <w:rsid w:val="00C74E0E"/>
    <w:rsid w:val="00C77566"/>
    <w:rsid w:val="00C81CDC"/>
    <w:rsid w:val="00C8285A"/>
    <w:rsid w:val="00C8499C"/>
    <w:rsid w:val="00C85D0F"/>
    <w:rsid w:val="00C85D24"/>
    <w:rsid w:val="00C85E2D"/>
    <w:rsid w:val="00C90551"/>
    <w:rsid w:val="00C9186D"/>
    <w:rsid w:val="00C939CE"/>
    <w:rsid w:val="00C944EB"/>
    <w:rsid w:val="00CA01B4"/>
    <w:rsid w:val="00CA1C25"/>
    <w:rsid w:val="00CA2743"/>
    <w:rsid w:val="00CA5012"/>
    <w:rsid w:val="00CA53C7"/>
    <w:rsid w:val="00CA6B85"/>
    <w:rsid w:val="00CA6CF4"/>
    <w:rsid w:val="00CB08D1"/>
    <w:rsid w:val="00CB335A"/>
    <w:rsid w:val="00CB598F"/>
    <w:rsid w:val="00CB6673"/>
    <w:rsid w:val="00CC0FB4"/>
    <w:rsid w:val="00CC5034"/>
    <w:rsid w:val="00CD1390"/>
    <w:rsid w:val="00CD1940"/>
    <w:rsid w:val="00CD5234"/>
    <w:rsid w:val="00CD7CF5"/>
    <w:rsid w:val="00CE015D"/>
    <w:rsid w:val="00CE2673"/>
    <w:rsid w:val="00CE526E"/>
    <w:rsid w:val="00CE7C90"/>
    <w:rsid w:val="00CF013E"/>
    <w:rsid w:val="00CF3DE9"/>
    <w:rsid w:val="00CF4DA7"/>
    <w:rsid w:val="00CF4FD4"/>
    <w:rsid w:val="00D04360"/>
    <w:rsid w:val="00D043EC"/>
    <w:rsid w:val="00D108D1"/>
    <w:rsid w:val="00D13FDC"/>
    <w:rsid w:val="00D156F8"/>
    <w:rsid w:val="00D20091"/>
    <w:rsid w:val="00D20E5D"/>
    <w:rsid w:val="00D24AFA"/>
    <w:rsid w:val="00D253E1"/>
    <w:rsid w:val="00D25883"/>
    <w:rsid w:val="00D25E50"/>
    <w:rsid w:val="00D270A9"/>
    <w:rsid w:val="00D27570"/>
    <w:rsid w:val="00D30441"/>
    <w:rsid w:val="00D307AD"/>
    <w:rsid w:val="00D311D6"/>
    <w:rsid w:val="00D33DA9"/>
    <w:rsid w:val="00D360DC"/>
    <w:rsid w:val="00D371AB"/>
    <w:rsid w:val="00D43FCB"/>
    <w:rsid w:val="00D44279"/>
    <w:rsid w:val="00D45144"/>
    <w:rsid w:val="00D45C6E"/>
    <w:rsid w:val="00D475CE"/>
    <w:rsid w:val="00D513E9"/>
    <w:rsid w:val="00D5239D"/>
    <w:rsid w:val="00D576FD"/>
    <w:rsid w:val="00D60BE2"/>
    <w:rsid w:val="00D66B88"/>
    <w:rsid w:val="00D66EF8"/>
    <w:rsid w:val="00D67EEF"/>
    <w:rsid w:val="00D72A5D"/>
    <w:rsid w:val="00D82D54"/>
    <w:rsid w:val="00D83141"/>
    <w:rsid w:val="00D90AD3"/>
    <w:rsid w:val="00D948BC"/>
    <w:rsid w:val="00D957BA"/>
    <w:rsid w:val="00D95CBF"/>
    <w:rsid w:val="00D9686B"/>
    <w:rsid w:val="00D9693B"/>
    <w:rsid w:val="00DA1F7E"/>
    <w:rsid w:val="00DA27C6"/>
    <w:rsid w:val="00DA3084"/>
    <w:rsid w:val="00DA50CF"/>
    <w:rsid w:val="00DB47DE"/>
    <w:rsid w:val="00DC37A8"/>
    <w:rsid w:val="00DC4523"/>
    <w:rsid w:val="00DC5FB3"/>
    <w:rsid w:val="00DC7FDF"/>
    <w:rsid w:val="00DD3079"/>
    <w:rsid w:val="00DD3978"/>
    <w:rsid w:val="00DD7779"/>
    <w:rsid w:val="00DE0F6A"/>
    <w:rsid w:val="00DE5D87"/>
    <w:rsid w:val="00DF074E"/>
    <w:rsid w:val="00DF18AA"/>
    <w:rsid w:val="00DF6E4D"/>
    <w:rsid w:val="00E029FC"/>
    <w:rsid w:val="00E05948"/>
    <w:rsid w:val="00E06DD8"/>
    <w:rsid w:val="00E10DA2"/>
    <w:rsid w:val="00E11CE1"/>
    <w:rsid w:val="00E12574"/>
    <w:rsid w:val="00E1270D"/>
    <w:rsid w:val="00E16B4C"/>
    <w:rsid w:val="00E16C75"/>
    <w:rsid w:val="00E16D6A"/>
    <w:rsid w:val="00E17634"/>
    <w:rsid w:val="00E17E77"/>
    <w:rsid w:val="00E21C14"/>
    <w:rsid w:val="00E234AC"/>
    <w:rsid w:val="00E251C1"/>
    <w:rsid w:val="00E261B6"/>
    <w:rsid w:val="00E26B15"/>
    <w:rsid w:val="00E35BF7"/>
    <w:rsid w:val="00E360D7"/>
    <w:rsid w:val="00E363BD"/>
    <w:rsid w:val="00E36C1C"/>
    <w:rsid w:val="00E37399"/>
    <w:rsid w:val="00E42BF4"/>
    <w:rsid w:val="00E57BAE"/>
    <w:rsid w:val="00E57BF8"/>
    <w:rsid w:val="00E61FD1"/>
    <w:rsid w:val="00E62347"/>
    <w:rsid w:val="00E6274F"/>
    <w:rsid w:val="00E63A28"/>
    <w:rsid w:val="00E66CF2"/>
    <w:rsid w:val="00E72609"/>
    <w:rsid w:val="00E73B1B"/>
    <w:rsid w:val="00E747D1"/>
    <w:rsid w:val="00E75F04"/>
    <w:rsid w:val="00E802E0"/>
    <w:rsid w:val="00E818BA"/>
    <w:rsid w:val="00E83555"/>
    <w:rsid w:val="00E842A4"/>
    <w:rsid w:val="00E85089"/>
    <w:rsid w:val="00E85411"/>
    <w:rsid w:val="00E87502"/>
    <w:rsid w:val="00E87F79"/>
    <w:rsid w:val="00E9021F"/>
    <w:rsid w:val="00E92BF3"/>
    <w:rsid w:val="00E97D93"/>
    <w:rsid w:val="00E97EB9"/>
    <w:rsid w:val="00EA2F81"/>
    <w:rsid w:val="00EA392C"/>
    <w:rsid w:val="00EA7DFB"/>
    <w:rsid w:val="00EB07F1"/>
    <w:rsid w:val="00EB2FA8"/>
    <w:rsid w:val="00EB372F"/>
    <w:rsid w:val="00EB3F3F"/>
    <w:rsid w:val="00EB50B4"/>
    <w:rsid w:val="00EC09C8"/>
    <w:rsid w:val="00EC1353"/>
    <w:rsid w:val="00EC31C3"/>
    <w:rsid w:val="00EC4662"/>
    <w:rsid w:val="00EC4EBF"/>
    <w:rsid w:val="00EC619E"/>
    <w:rsid w:val="00ED07E7"/>
    <w:rsid w:val="00ED0D76"/>
    <w:rsid w:val="00ED1C82"/>
    <w:rsid w:val="00ED4FBA"/>
    <w:rsid w:val="00ED7B6B"/>
    <w:rsid w:val="00EE1179"/>
    <w:rsid w:val="00EE1E5D"/>
    <w:rsid w:val="00EE4677"/>
    <w:rsid w:val="00EE5F70"/>
    <w:rsid w:val="00EF3FBD"/>
    <w:rsid w:val="00EF4CAB"/>
    <w:rsid w:val="00EF6182"/>
    <w:rsid w:val="00EF64B6"/>
    <w:rsid w:val="00EF7C7B"/>
    <w:rsid w:val="00F0141F"/>
    <w:rsid w:val="00F02030"/>
    <w:rsid w:val="00F03320"/>
    <w:rsid w:val="00F03805"/>
    <w:rsid w:val="00F042CD"/>
    <w:rsid w:val="00F050FB"/>
    <w:rsid w:val="00F0585A"/>
    <w:rsid w:val="00F05CD5"/>
    <w:rsid w:val="00F11123"/>
    <w:rsid w:val="00F13D3F"/>
    <w:rsid w:val="00F16F3F"/>
    <w:rsid w:val="00F2094E"/>
    <w:rsid w:val="00F20A35"/>
    <w:rsid w:val="00F20A5D"/>
    <w:rsid w:val="00F20CBB"/>
    <w:rsid w:val="00F234B6"/>
    <w:rsid w:val="00F30711"/>
    <w:rsid w:val="00F30B92"/>
    <w:rsid w:val="00F33A74"/>
    <w:rsid w:val="00F346F7"/>
    <w:rsid w:val="00F35478"/>
    <w:rsid w:val="00F53271"/>
    <w:rsid w:val="00F55F34"/>
    <w:rsid w:val="00F62D85"/>
    <w:rsid w:val="00F63D48"/>
    <w:rsid w:val="00F64D3A"/>
    <w:rsid w:val="00F6569B"/>
    <w:rsid w:val="00F659BF"/>
    <w:rsid w:val="00F71276"/>
    <w:rsid w:val="00F73A5F"/>
    <w:rsid w:val="00F76001"/>
    <w:rsid w:val="00F762A3"/>
    <w:rsid w:val="00F84AB2"/>
    <w:rsid w:val="00F84F39"/>
    <w:rsid w:val="00F86464"/>
    <w:rsid w:val="00F90C6B"/>
    <w:rsid w:val="00F91034"/>
    <w:rsid w:val="00F9285A"/>
    <w:rsid w:val="00F94030"/>
    <w:rsid w:val="00F95531"/>
    <w:rsid w:val="00FA03BA"/>
    <w:rsid w:val="00FA2E54"/>
    <w:rsid w:val="00FA6BFA"/>
    <w:rsid w:val="00FB0500"/>
    <w:rsid w:val="00FB19F1"/>
    <w:rsid w:val="00FB23A7"/>
    <w:rsid w:val="00FB4D12"/>
    <w:rsid w:val="00FB4EC4"/>
    <w:rsid w:val="00FB6E47"/>
    <w:rsid w:val="00FC09E4"/>
    <w:rsid w:val="00FC0EF3"/>
    <w:rsid w:val="00FC3005"/>
    <w:rsid w:val="00FC3B6F"/>
    <w:rsid w:val="00FC5D82"/>
    <w:rsid w:val="00FC6EF5"/>
    <w:rsid w:val="00FC72F1"/>
    <w:rsid w:val="00FD2091"/>
    <w:rsid w:val="00FD7AC3"/>
    <w:rsid w:val="00FE18D4"/>
    <w:rsid w:val="00FE1C6B"/>
    <w:rsid w:val="00FE2EAA"/>
    <w:rsid w:val="00FE3701"/>
    <w:rsid w:val="00FF0C14"/>
    <w:rsid w:val="00FF169E"/>
    <w:rsid w:val="00FF199A"/>
    <w:rsid w:val="00FF4874"/>
    <w:rsid w:val="00FF5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FCA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73E"/>
  </w:style>
  <w:style w:type="paragraph" w:styleId="Heading1">
    <w:name w:val="heading 1"/>
    <w:basedOn w:val="Normal"/>
    <w:next w:val="Normal"/>
    <w:link w:val="Heading1Char"/>
    <w:qFormat/>
    <w:rsid w:val="005269CC"/>
    <w:pPr>
      <w:keepNext/>
      <w:spacing w:before="240" w:after="60" w:line="24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8F3C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6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n,ALTS FOOTNOTE,Footnote text,FOOTNOTE,Footnote Text Char2,Footnote Text Char Char,Footnote Text Char1 Char Char,Footnote Text Char Char Char Char,Footnote Text Char1 Char Char Char Char,Footnote Text Char Char Char Char Char Char1"/>
    <w:basedOn w:val="Normal"/>
    <w:link w:val="FootnoteTextChar"/>
    <w:uiPriority w:val="99"/>
    <w:unhideWhenUsed/>
    <w:rsid w:val="00093DC4"/>
    <w:pPr>
      <w:spacing w:before="120" w:after="0" w:line="240" w:lineRule="auto"/>
    </w:pPr>
    <w:rPr>
      <w:rFonts w:cstheme="minorBidi"/>
      <w:sz w:val="20"/>
    </w:rPr>
  </w:style>
  <w:style w:type="character" w:customStyle="1" w:styleId="FootnoteTextChar">
    <w:name w:val="Footnote Text Char"/>
    <w:aliases w:val="fn Char,ALTS FOOTNOTE Char,Footnote text Char,FOOTNOTE Char,Footnote Text Char2 Char,Footnote Text Char Char Char,Footnote Text Char1 Char Char Char,Footnote Text Char Char Char Char Char,Footnote Text Char1 Char Char Char Char Char"/>
    <w:basedOn w:val="DefaultParagraphFont"/>
    <w:link w:val="FootnoteText"/>
    <w:uiPriority w:val="99"/>
    <w:rsid w:val="00093DC4"/>
    <w:rPr>
      <w:rFonts w:cstheme="minorBidi"/>
      <w:sz w:val="20"/>
    </w:rPr>
  </w:style>
  <w:style w:type="character" w:styleId="FootnoteReference">
    <w:name w:val="footnote reference"/>
    <w:basedOn w:val="DefaultParagraphFont"/>
    <w:uiPriority w:val="99"/>
    <w:semiHidden/>
    <w:unhideWhenUsed/>
    <w:rsid w:val="004D17A3"/>
    <w:rPr>
      <w:vertAlign w:val="superscript"/>
    </w:rPr>
  </w:style>
  <w:style w:type="paragraph" w:styleId="ListParagraph">
    <w:name w:val="List Paragraph"/>
    <w:basedOn w:val="Normal"/>
    <w:uiPriority w:val="34"/>
    <w:qFormat/>
    <w:rsid w:val="004D17A3"/>
    <w:pPr>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4D17A3"/>
    <w:rPr>
      <w:color w:val="0000FF" w:themeColor="hyperlink"/>
      <w:u w:val="single"/>
    </w:rPr>
  </w:style>
  <w:style w:type="character" w:styleId="CommentReference">
    <w:name w:val="annotation reference"/>
    <w:basedOn w:val="DefaultParagraphFont"/>
    <w:uiPriority w:val="99"/>
    <w:semiHidden/>
    <w:unhideWhenUsed/>
    <w:rsid w:val="00E87502"/>
    <w:rPr>
      <w:sz w:val="16"/>
      <w:szCs w:val="16"/>
    </w:rPr>
  </w:style>
  <w:style w:type="paragraph" w:styleId="CommentText">
    <w:name w:val="annotation text"/>
    <w:basedOn w:val="Normal"/>
    <w:link w:val="CommentTextChar"/>
    <w:uiPriority w:val="99"/>
    <w:semiHidden/>
    <w:unhideWhenUsed/>
    <w:rsid w:val="00E87502"/>
    <w:pPr>
      <w:spacing w:line="240" w:lineRule="auto"/>
    </w:pPr>
    <w:rPr>
      <w:sz w:val="20"/>
      <w:szCs w:val="20"/>
    </w:rPr>
  </w:style>
  <w:style w:type="character" w:customStyle="1" w:styleId="CommentTextChar">
    <w:name w:val="Comment Text Char"/>
    <w:basedOn w:val="DefaultParagraphFont"/>
    <w:link w:val="CommentText"/>
    <w:uiPriority w:val="99"/>
    <w:semiHidden/>
    <w:rsid w:val="00E87502"/>
    <w:rPr>
      <w:sz w:val="20"/>
      <w:szCs w:val="20"/>
    </w:rPr>
  </w:style>
  <w:style w:type="paragraph" w:styleId="CommentSubject">
    <w:name w:val="annotation subject"/>
    <w:basedOn w:val="CommentText"/>
    <w:next w:val="CommentText"/>
    <w:link w:val="CommentSubjectChar"/>
    <w:uiPriority w:val="99"/>
    <w:semiHidden/>
    <w:unhideWhenUsed/>
    <w:rsid w:val="00E87502"/>
    <w:rPr>
      <w:b/>
      <w:bCs/>
    </w:rPr>
  </w:style>
  <w:style w:type="character" w:customStyle="1" w:styleId="CommentSubjectChar">
    <w:name w:val="Comment Subject Char"/>
    <w:basedOn w:val="CommentTextChar"/>
    <w:link w:val="CommentSubject"/>
    <w:uiPriority w:val="99"/>
    <w:semiHidden/>
    <w:rsid w:val="00E87502"/>
    <w:rPr>
      <w:b/>
      <w:bCs/>
      <w:sz w:val="20"/>
      <w:szCs w:val="20"/>
    </w:rPr>
  </w:style>
  <w:style w:type="paragraph" w:styleId="BalloonText">
    <w:name w:val="Balloon Text"/>
    <w:basedOn w:val="Normal"/>
    <w:link w:val="BalloonTextChar"/>
    <w:uiPriority w:val="99"/>
    <w:semiHidden/>
    <w:unhideWhenUsed/>
    <w:rsid w:val="00E87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502"/>
    <w:rPr>
      <w:rFonts w:ascii="Tahoma" w:hAnsi="Tahoma" w:cs="Tahoma"/>
      <w:sz w:val="16"/>
      <w:szCs w:val="16"/>
    </w:rPr>
  </w:style>
  <w:style w:type="paragraph" w:styleId="Header">
    <w:name w:val="header"/>
    <w:basedOn w:val="Normal"/>
    <w:link w:val="HeaderChar"/>
    <w:uiPriority w:val="99"/>
    <w:unhideWhenUsed/>
    <w:rsid w:val="00015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8F1"/>
  </w:style>
  <w:style w:type="paragraph" w:styleId="Footer">
    <w:name w:val="footer"/>
    <w:basedOn w:val="Normal"/>
    <w:link w:val="FooterChar"/>
    <w:uiPriority w:val="99"/>
    <w:unhideWhenUsed/>
    <w:rsid w:val="00015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8F1"/>
  </w:style>
  <w:style w:type="character" w:customStyle="1" w:styleId="apple-converted-space">
    <w:name w:val="apple-converted-space"/>
    <w:basedOn w:val="DefaultParagraphFont"/>
    <w:rsid w:val="00F9285A"/>
  </w:style>
  <w:style w:type="character" w:customStyle="1" w:styleId="Heading1Char">
    <w:name w:val="Heading 1 Char"/>
    <w:basedOn w:val="DefaultParagraphFont"/>
    <w:link w:val="Heading1"/>
    <w:rsid w:val="005269CC"/>
    <w:rPr>
      <w:rFonts w:ascii="Cambria" w:eastAsia="Times New Roman" w:hAnsi="Cambria"/>
      <w:b/>
      <w:bCs/>
      <w:kern w:val="32"/>
      <w:sz w:val="32"/>
      <w:szCs w:val="32"/>
    </w:rPr>
  </w:style>
  <w:style w:type="paragraph" w:styleId="Revision">
    <w:name w:val="Revision"/>
    <w:hidden/>
    <w:uiPriority w:val="99"/>
    <w:semiHidden/>
    <w:rsid w:val="002D06D5"/>
    <w:pPr>
      <w:spacing w:after="0" w:line="240" w:lineRule="auto"/>
    </w:pPr>
  </w:style>
  <w:style w:type="character" w:customStyle="1" w:styleId="hvr">
    <w:name w:val="hvr"/>
    <w:basedOn w:val="DefaultParagraphFont"/>
    <w:rsid w:val="009B5571"/>
  </w:style>
  <w:style w:type="character" w:customStyle="1" w:styleId="Heading2Char">
    <w:name w:val="Heading 2 Char"/>
    <w:basedOn w:val="DefaultParagraphFont"/>
    <w:link w:val="Heading2"/>
    <w:uiPriority w:val="9"/>
    <w:rsid w:val="008F3C2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8F3C22"/>
    <w:pPr>
      <w:spacing w:before="100" w:beforeAutospacing="1" w:after="100" w:afterAutospacing="1" w:line="240" w:lineRule="auto"/>
    </w:pPr>
    <w:rPr>
      <w:rFonts w:eastAsia="Times New Roman"/>
    </w:rPr>
  </w:style>
  <w:style w:type="character" w:customStyle="1" w:styleId="sspagshow">
    <w:name w:val="ss_pag_show"/>
    <w:basedOn w:val="DefaultParagraphFont"/>
    <w:rsid w:val="00BF1368"/>
  </w:style>
  <w:style w:type="character" w:customStyle="1" w:styleId="ssleftalign">
    <w:name w:val="ss_leftalign"/>
    <w:basedOn w:val="DefaultParagraphFont"/>
    <w:rsid w:val="00F84F39"/>
  </w:style>
  <w:style w:type="character" w:customStyle="1" w:styleId="sssh">
    <w:name w:val="ss_sh"/>
    <w:basedOn w:val="DefaultParagraphFont"/>
    <w:rsid w:val="00F84F39"/>
  </w:style>
  <w:style w:type="character" w:customStyle="1" w:styleId="sspagshow1">
    <w:name w:val="ss_pag_show1"/>
    <w:basedOn w:val="DefaultParagraphFont"/>
    <w:rsid w:val="00E16D6A"/>
    <w:rPr>
      <w:b/>
      <w:bCs/>
    </w:rPr>
  </w:style>
  <w:style w:type="character" w:customStyle="1" w:styleId="ssit1">
    <w:name w:val="ss_it1"/>
    <w:basedOn w:val="DefaultParagraphFont"/>
    <w:rsid w:val="00E16D6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73E"/>
  </w:style>
  <w:style w:type="paragraph" w:styleId="Heading1">
    <w:name w:val="heading 1"/>
    <w:basedOn w:val="Normal"/>
    <w:next w:val="Normal"/>
    <w:link w:val="Heading1Char"/>
    <w:qFormat/>
    <w:rsid w:val="005269CC"/>
    <w:pPr>
      <w:keepNext/>
      <w:spacing w:before="240" w:after="60" w:line="24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8F3C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6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n,ALTS FOOTNOTE,Footnote text,FOOTNOTE,Footnote Text Char2,Footnote Text Char Char,Footnote Text Char1 Char Char,Footnote Text Char Char Char Char,Footnote Text Char1 Char Char Char Char,Footnote Text Char Char Char Char Char Char1"/>
    <w:basedOn w:val="Normal"/>
    <w:link w:val="FootnoteTextChar"/>
    <w:uiPriority w:val="99"/>
    <w:unhideWhenUsed/>
    <w:rsid w:val="00093DC4"/>
    <w:pPr>
      <w:spacing w:before="120" w:after="0" w:line="240" w:lineRule="auto"/>
    </w:pPr>
    <w:rPr>
      <w:rFonts w:cstheme="minorBidi"/>
      <w:sz w:val="20"/>
    </w:rPr>
  </w:style>
  <w:style w:type="character" w:customStyle="1" w:styleId="FootnoteTextChar">
    <w:name w:val="Footnote Text Char"/>
    <w:aliases w:val="fn Char,ALTS FOOTNOTE Char,Footnote text Char,FOOTNOTE Char,Footnote Text Char2 Char,Footnote Text Char Char Char,Footnote Text Char1 Char Char Char,Footnote Text Char Char Char Char Char,Footnote Text Char1 Char Char Char Char Char"/>
    <w:basedOn w:val="DefaultParagraphFont"/>
    <w:link w:val="FootnoteText"/>
    <w:uiPriority w:val="99"/>
    <w:rsid w:val="00093DC4"/>
    <w:rPr>
      <w:rFonts w:cstheme="minorBidi"/>
      <w:sz w:val="20"/>
    </w:rPr>
  </w:style>
  <w:style w:type="character" w:styleId="FootnoteReference">
    <w:name w:val="footnote reference"/>
    <w:basedOn w:val="DefaultParagraphFont"/>
    <w:uiPriority w:val="99"/>
    <w:semiHidden/>
    <w:unhideWhenUsed/>
    <w:rsid w:val="004D17A3"/>
    <w:rPr>
      <w:vertAlign w:val="superscript"/>
    </w:rPr>
  </w:style>
  <w:style w:type="paragraph" w:styleId="ListParagraph">
    <w:name w:val="List Paragraph"/>
    <w:basedOn w:val="Normal"/>
    <w:uiPriority w:val="34"/>
    <w:qFormat/>
    <w:rsid w:val="004D17A3"/>
    <w:pPr>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4D17A3"/>
    <w:rPr>
      <w:color w:val="0000FF" w:themeColor="hyperlink"/>
      <w:u w:val="single"/>
    </w:rPr>
  </w:style>
  <w:style w:type="character" w:styleId="CommentReference">
    <w:name w:val="annotation reference"/>
    <w:basedOn w:val="DefaultParagraphFont"/>
    <w:uiPriority w:val="99"/>
    <w:semiHidden/>
    <w:unhideWhenUsed/>
    <w:rsid w:val="00E87502"/>
    <w:rPr>
      <w:sz w:val="16"/>
      <w:szCs w:val="16"/>
    </w:rPr>
  </w:style>
  <w:style w:type="paragraph" w:styleId="CommentText">
    <w:name w:val="annotation text"/>
    <w:basedOn w:val="Normal"/>
    <w:link w:val="CommentTextChar"/>
    <w:uiPriority w:val="99"/>
    <w:semiHidden/>
    <w:unhideWhenUsed/>
    <w:rsid w:val="00E87502"/>
    <w:pPr>
      <w:spacing w:line="240" w:lineRule="auto"/>
    </w:pPr>
    <w:rPr>
      <w:sz w:val="20"/>
      <w:szCs w:val="20"/>
    </w:rPr>
  </w:style>
  <w:style w:type="character" w:customStyle="1" w:styleId="CommentTextChar">
    <w:name w:val="Comment Text Char"/>
    <w:basedOn w:val="DefaultParagraphFont"/>
    <w:link w:val="CommentText"/>
    <w:uiPriority w:val="99"/>
    <w:semiHidden/>
    <w:rsid w:val="00E87502"/>
    <w:rPr>
      <w:sz w:val="20"/>
      <w:szCs w:val="20"/>
    </w:rPr>
  </w:style>
  <w:style w:type="paragraph" w:styleId="CommentSubject">
    <w:name w:val="annotation subject"/>
    <w:basedOn w:val="CommentText"/>
    <w:next w:val="CommentText"/>
    <w:link w:val="CommentSubjectChar"/>
    <w:uiPriority w:val="99"/>
    <w:semiHidden/>
    <w:unhideWhenUsed/>
    <w:rsid w:val="00E87502"/>
    <w:rPr>
      <w:b/>
      <w:bCs/>
    </w:rPr>
  </w:style>
  <w:style w:type="character" w:customStyle="1" w:styleId="CommentSubjectChar">
    <w:name w:val="Comment Subject Char"/>
    <w:basedOn w:val="CommentTextChar"/>
    <w:link w:val="CommentSubject"/>
    <w:uiPriority w:val="99"/>
    <w:semiHidden/>
    <w:rsid w:val="00E87502"/>
    <w:rPr>
      <w:b/>
      <w:bCs/>
      <w:sz w:val="20"/>
      <w:szCs w:val="20"/>
    </w:rPr>
  </w:style>
  <w:style w:type="paragraph" w:styleId="BalloonText">
    <w:name w:val="Balloon Text"/>
    <w:basedOn w:val="Normal"/>
    <w:link w:val="BalloonTextChar"/>
    <w:uiPriority w:val="99"/>
    <w:semiHidden/>
    <w:unhideWhenUsed/>
    <w:rsid w:val="00E87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502"/>
    <w:rPr>
      <w:rFonts w:ascii="Tahoma" w:hAnsi="Tahoma" w:cs="Tahoma"/>
      <w:sz w:val="16"/>
      <w:szCs w:val="16"/>
    </w:rPr>
  </w:style>
  <w:style w:type="paragraph" w:styleId="Header">
    <w:name w:val="header"/>
    <w:basedOn w:val="Normal"/>
    <w:link w:val="HeaderChar"/>
    <w:uiPriority w:val="99"/>
    <w:unhideWhenUsed/>
    <w:rsid w:val="00015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8F1"/>
  </w:style>
  <w:style w:type="paragraph" w:styleId="Footer">
    <w:name w:val="footer"/>
    <w:basedOn w:val="Normal"/>
    <w:link w:val="FooterChar"/>
    <w:uiPriority w:val="99"/>
    <w:unhideWhenUsed/>
    <w:rsid w:val="00015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8F1"/>
  </w:style>
  <w:style w:type="character" w:customStyle="1" w:styleId="apple-converted-space">
    <w:name w:val="apple-converted-space"/>
    <w:basedOn w:val="DefaultParagraphFont"/>
    <w:rsid w:val="00F9285A"/>
  </w:style>
  <w:style w:type="character" w:customStyle="1" w:styleId="Heading1Char">
    <w:name w:val="Heading 1 Char"/>
    <w:basedOn w:val="DefaultParagraphFont"/>
    <w:link w:val="Heading1"/>
    <w:rsid w:val="005269CC"/>
    <w:rPr>
      <w:rFonts w:ascii="Cambria" w:eastAsia="Times New Roman" w:hAnsi="Cambria"/>
      <w:b/>
      <w:bCs/>
      <w:kern w:val="32"/>
      <w:sz w:val="32"/>
      <w:szCs w:val="32"/>
    </w:rPr>
  </w:style>
  <w:style w:type="paragraph" w:styleId="Revision">
    <w:name w:val="Revision"/>
    <w:hidden/>
    <w:uiPriority w:val="99"/>
    <w:semiHidden/>
    <w:rsid w:val="002D06D5"/>
    <w:pPr>
      <w:spacing w:after="0" w:line="240" w:lineRule="auto"/>
    </w:pPr>
  </w:style>
  <w:style w:type="character" w:customStyle="1" w:styleId="hvr">
    <w:name w:val="hvr"/>
    <w:basedOn w:val="DefaultParagraphFont"/>
    <w:rsid w:val="009B5571"/>
  </w:style>
  <w:style w:type="character" w:customStyle="1" w:styleId="Heading2Char">
    <w:name w:val="Heading 2 Char"/>
    <w:basedOn w:val="DefaultParagraphFont"/>
    <w:link w:val="Heading2"/>
    <w:uiPriority w:val="9"/>
    <w:rsid w:val="008F3C2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8F3C22"/>
    <w:pPr>
      <w:spacing w:before="100" w:beforeAutospacing="1" w:after="100" w:afterAutospacing="1" w:line="240" w:lineRule="auto"/>
    </w:pPr>
    <w:rPr>
      <w:rFonts w:eastAsia="Times New Roman"/>
    </w:rPr>
  </w:style>
  <w:style w:type="character" w:customStyle="1" w:styleId="sspagshow">
    <w:name w:val="ss_pag_show"/>
    <w:basedOn w:val="DefaultParagraphFont"/>
    <w:rsid w:val="00BF1368"/>
  </w:style>
  <w:style w:type="character" w:customStyle="1" w:styleId="ssleftalign">
    <w:name w:val="ss_leftalign"/>
    <w:basedOn w:val="DefaultParagraphFont"/>
    <w:rsid w:val="00F84F39"/>
  </w:style>
  <w:style w:type="character" w:customStyle="1" w:styleId="sssh">
    <w:name w:val="ss_sh"/>
    <w:basedOn w:val="DefaultParagraphFont"/>
    <w:rsid w:val="00F84F39"/>
  </w:style>
  <w:style w:type="character" w:customStyle="1" w:styleId="sspagshow1">
    <w:name w:val="ss_pag_show1"/>
    <w:basedOn w:val="DefaultParagraphFont"/>
    <w:rsid w:val="00E16D6A"/>
    <w:rPr>
      <w:b/>
      <w:bCs/>
    </w:rPr>
  </w:style>
  <w:style w:type="character" w:customStyle="1" w:styleId="ssit1">
    <w:name w:val="ss_it1"/>
    <w:basedOn w:val="DefaultParagraphFont"/>
    <w:rsid w:val="00E16D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148314">
      <w:bodyDiv w:val="1"/>
      <w:marLeft w:val="0"/>
      <w:marRight w:val="0"/>
      <w:marTop w:val="0"/>
      <w:marBottom w:val="0"/>
      <w:divBdr>
        <w:top w:val="none" w:sz="0" w:space="0" w:color="auto"/>
        <w:left w:val="none" w:sz="0" w:space="0" w:color="auto"/>
        <w:bottom w:val="none" w:sz="0" w:space="0" w:color="auto"/>
        <w:right w:val="none" w:sz="0" w:space="0" w:color="auto"/>
      </w:divBdr>
    </w:div>
    <w:div w:id="359862420">
      <w:bodyDiv w:val="1"/>
      <w:marLeft w:val="0"/>
      <w:marRight w:val="0"/>
      <w:marTop w:val="0"/>
      <w:marBottom w:val="0"/>
      <w:divBdr>
        <w:top w:val="none" w:sz="0" w:space="0" w:color="auto"/>
        <w:left w:val="none" w:sz="0" w:space="0" w:color="auto"/>
        <w:bottom w:val="none" w:sz="0" w:space="0" w:color="auto"/>
        <w:right w:val="none" w:sz="0" w:space="0" w:color="auto"/>
      </w:divBdr>
    </w:div>
    <w:div w:id="602419558">
      <w:bodyDiv w:val="1"/>
      <w:marLeft w:val="0"/>
      <w:marRight w:val="0"/>
      <w:marTop w:val="0"/>
      <w:marBottom w:val="0"/>
      <w:divBdr>
        <w:top w:val="none" w:sz="0" w:space="0" w:color="auto"/>
        <w:left w:val="none" w:sz="0" w:space="0" w:color="auto"/>
        <w:bottom w:val="none" w:sz="0" w:space="0" w:color="auto"/>
        <w:right w:val="none" w:sz="0" w:space="0" w:color="auto"/>
      </w:divBdr>
    </w:div>
    <w:div w:id="883717717">
      <w:bodyDiv w:val="1"/>
      <w:marLeft w:val="0"/>
      <w:marRight w:val="0"/>
      <w:marTop w:val="0"/>
      <w:marBottom w:val="0"/>
      <w:divBdr>
        <w:top w:val="none" w:sz="0" w:space="0" w:color="auto"/>
        <w:left w:val="none" w:sz="0" w:space="0" w:color="auto"/>
        <w:bottom w:val="none" w:sz="0" w:space="0" w:color="auto"/>
        <w:right w:val="none" w:sz="0" w:space="0" w:color="auto"/>
      </w:divBdr>
    </w:div>
    <w:div w:id="902830962">
      <w:bodyDiv w:val="1"/>
      <w:marLeft w:val="0"/>
      <w:marRight w:val="0"/>
      <w:marTop w:val="0"/>
      <w:marBottom w:val="0"/>
      <w:divBdr>
        <w:top w:val="none" w:sz="0" w:space="0" w:color="auto"/>
        <w:left w:val="none" w:sz="0" w:space="0" w:color="auto"/>
        <w:bottom w:val="none" w:sz="0" w:space="0" w:color="auto"/>
        <w:right w:val="none" w:sz="0" w:space="0" w:color="auto"/>
      </w:divBdr>
    </w:div>
    <w:div w:id="1011563526">
      <w:bodyDiv w:val="1"/>
      <w:marLeft w:val="0"/>
      <w:marRight w:val="0"/>
      <w:marTop w:val="0"/>
      <w:marBottom w:val="0"/>
      <w:divBdr>
        <w:top w:val="none" w:sz="0" w:space="0" w:color="auto"/>
        <w:left w:val="none" w:sz="0" w:space="0" w:color="auto"/>
        <w:bottom w:val="none" w:sz="0" w:space="0" w:color="auto"/>
        <w:right w:val="none" w:sz="0" w:space="0" w:color="auto"/>
      </w:divBdr>
    </w:div>
    <w:div w:id="1063219592">
      <w:bodyDiv w:val="1"/>
      <w:marLeft w:val="0"/>
      <w:marRight w:val="0"/>
      <w:marTop w:val="0"/>
      <w:marBottom w:val="0"/>
      <w:divBdr>
        <w:top w:val="none" w:sz="0" w:space="0" w:color="auto"/>
        <w:left w:val="none" w:sz="0" w:space="0" w:color="auto"/>
        <w:bottom w:val="none" w:sz="0" w:space="0" w:color="auto"/>
        <w:right w:val="none" w:sz="0" w:space="0" w:color="auto"/>
      </w:divBdr>
    </w:div>
    <w:div w:id="1374428314">
      <w:bodyDiv w:val="1"/>
      <w:marLeft w:val="0"/>
      <w:marRight w:val="0"/>
      <w:marTop w:val="0"/>
      <w:marBottom w:val="0"/>
      <w:divBdr>
        <w:top w:val="none" w:sz="0" w:space="0" w:color="auto"/>
        <w:left w:val="none" w:sz="0" w:space="0" w:color="auto"/>
        <w:bottom w:val="none" w:sz="0" w:space="0" w:color="auto"/>
        <w:right w:val="none" w:sz="0" w:space="0" w:color="auto"/>
      </w:divBdr>
    </w:div>
    <w:div w:id="198581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jko@carpenterlipps.com" TargetMode="External"/><Relationship Id="rId13" Type="http://schemas.openxmlformats.org/officeDocument/2006/relationships/footer" Target="footer2.xml"/><Relationship Id="rId18" Type="http://schemas.openxmlformats.org/officeDocument/2006/relationships/hyperlink" Target="mailto:Amy.Spiller@duke-energy.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Bryce.McKenney@puc.state.oh.us" TargetMode="External"/><Relationship Id="rId2" Type="http://schemas.openxmlformats.org/officeDocument/2006/relationships/styles" Target="styles.xml"/><Relationship Id="rId16" Type="http://schemas.openxmlformats.org/officeDocument/2006/relationships/hyperlink" Target="mailto:William.wright@puc.state.oh.u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Elizabeth.watts@duke-energy.com" TargetMode="External"/><Relationship Id="rId4" Type="http://schemas.openxmlformats.org/officeDocument/2006/relationships/settings" Target="settings.xml"/><Relationship Id="rId9" Type="http://schemas.openxmlformats.org/officeDocument/2006/relationships/hyperlink" Target="mailto:nmorgan@lascinti.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2423</Words>
  <Characters>13299</Characters>
  <Application>Microsoft Office Word</Application>
  <DocSecurity>0</DocSecurity>
  <PresentationFormat/>
  <Lines>292</Lines>
  <Paragraphs>113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15819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2015-10-06T19:40:00Z</cp:lastPrinted>
  <dcterms:created xsi:type="dcterms:W3CDTF">2015-10-23T20:24:00Z</dcterms:created>
  <dcterms:modified xsi:type="dcterms:W3CDTF">2015-10-23T20:24:00Z</dcterms:modified>
  <cp:category> </cp:category>
  <cp:contentStatus> </cp:contentStatus>
</cp:coreProperties>
</file>