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7071" w14:textId="77777777" w:rsidR="009D6B05" w:rsidRDefault="009D6B0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1BDA894D" w14:textId="77777777" w:rsidR="009D6B05" w:rsidRDefault="009D6B05">
      <w:pPr>
        <w:pStyle w:val="HTMLPreformatted"/>
        <w:jc w:val="center"/>
        <w:rPr>
          <w:rFonts w:ascii="Times New Roman" w:hAnsi="Times New Roman"/>
          <w:sz w:val="24"/>
        </w:rPr>
      </w:pPr>
      <w:r>
        <w:rPr>
          <w:rFonts w:ascii="Times New Roman" w:hAnsi="Times New Roman"/>
          <w:b/>
          <w:bCs/>
          <w:sz w:val="24"/>
        </w:rPr>
        <w:t xml:space="preserve">THE PUBLIC UTILITIES </w:t>
      </w:r>
      <w:r w:rsidR="005851FE">
        <w:rPr>
          <w:rFonts w:ascii="Times New Roman" w:hAnsi="Times New Roman"/>
          <w:b/>
          <w:bCs/>
          <w:sz w:val="24"/>
        </w:rPr>
        <w:t>COMMISSION</w:t>
      </w:r>
      <w:r>
        <w:rPr>
          <w:rFonts w:ascii="Times New Roman" w:hAnsi="Times New Roman"/>
          <w:b/>
          <w:bCs/>
          <w:sz w:val="24"/>
        </w:rPr>
        <w:t xml:space="preserve"> OF OHIO</w:t>
      </w:r>
    </w:p>
    <w:p w14:paraId="29D2182E" w14:textId="77777777" w:rsidR="009D6B05" w:rsidRDefault="009D6B05">
      <w:pPr>
        <w:pStyle w:val="HTMLPreformatted"/>
        <w:rPr>
          <w:rFonts w:ascii="Times New Roman" w:hAnsi="Times New Roman"/>
          <w:sz w:val="24"/>
        </w:rPr>
      </w:pPr>
    </w:p>
    <w:tbl>
      <w:tblPr>
        <w:tblW w:w="9092" w:type="dxa"/>
        <w:tblLook w:val="01E0" w:firstRow="1" w:lastRow="1" w:firstColumn="1" w:lastColumn="1" w:noHBand="0" w:noVBand="0"/>
      </w:tblPr>
      <w:tblGrid>
        <w:gridCol w:w="4068"/>
        <w:gridCol w:w="540"/>
        <w:gridCol w:w="4484"/>
      </w:tblGrid>
      <w:tr w:rsidR="009D6B05" w14:paraId="716130D9" w14:textId="77777777">
        <w:trPr>
          <w:trHeight w:val="807"/>
        </w:trPr>
        <w:tc>
          <w:tcPr>
            <w:tcW w:w="4068" w:type="dxa"/>
            <w:shd w:val="clear" w:color="auto" w:fill="auto"/>
          </w:tcPr>
          <w:p w14:paraId="7BF661F1" w14:textId="77777777" w:rsidR="009D6B05" w:rsidRDefault="009D6B05">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Ohio Power Company to Establish Initial Storm Damage Recovery Rider Rates.</w:t>
            </w:r>
          </w:p>
        </w:tc>
        <w:tc>
          <w:tcPr>
            <w:tcW w:w="540" w:type="dxa"/>
            <w:shd w:val="clear" w:color="auto" w:fill="auto"/>
          </w:tcPr>
          <w:p w14:paraId="36185476" w14:textId="77777777" w:rsidR="009D6B05" w:rsidRDefault="009D6B05">
            <w:pPr>
              <w:pStyle w:val="HTMLPreformatted"/>
              <w:rPr>
                <w:rFonts w:ascii="Times New Roman" w:hAnsi="Times New Roman"/>
                <w:sz w:val="24"/>
              </w:rPr>
            </w:pPr>
            <w:r>
              <w:rPr>
                <w:rFonts w:ascii="Times New Roman" w:hAnsi="Times New Roman"/>
                <w:sz w:val="24"/>
              </w:rPr>
              <w:t>)</w:t>
            </w:r>
          </w:p>
          <w:p w14:paraId="5E6CFAB9" w14:textId="77777777" w:rsidR="009D6B05" w:rsidRDefault="009D6B05">
            <w:pPr>
              <w:pStyle w:val="HTMLPreformatted"/>
              <w:rPr>
                <w:rFonts w:ascii="Times New Roman" w:hAnsi="Times New Roman"/>
                <w:sz w:val="24"/>
              </w:rPr>
            </w:pPr>
            <w:r>
              <w:rPr>
                <w:rFonts w:ascii="Times New Roman" w:hAnsi="Times New Roman"/>
                <w:sz w:val="24"/>
              </w:rPr>
              <w:t>)</w:t>
            </w:r>
          </w:p>
          <w:p w14:paraId="15DB6C78" w14:textId="77777777" w:rsidR="009D6B05" w:rsidRDefault="009D6B05">
            <w:pPr>
              <w:pStyle w:val="HTMLPreformatted"/>
              <w:rPr>
                <w:rFonts w:ascii="Times New Roman" w:hAnsi="Times New Roman"/>
                <w:sz w:val="24"/>
              </w:rPr>
            </w:pPr>
            <w:r>
              <w:rPr>
                <w:rFonts w:ascii="Times New Roman" w:hAnsi="Times New Roman"/>
                <w:sz w:val="24"/>
              </w:rPr>
              <w:t>)</w:t>
            </w:r>
          </w:p>
          <w:p w14:paraId="1DDCE23B" w14:textId="77777777" w:rsidR="009D6B05" w:rsidRDefault="009D6B05">
            <w:pPr>
              <w:pStyle w:val="HTMLPreformatted"/>
              <w:rPr>
                <w:rFonts w:ascii="Times New Roman" w:hAnsi="Times New Roman"/>
                <w:sz w:val="24"/>
              </w:rPr>
            </w:pPr>
            <w:r>
              <w:rPr>
                <w:rFonts w:ascii="Times New Roman" w:hAnsi="Times New Roman"/>
                <w:sz w:val="24"/>
              </w:rPr>
              <w:t>)</w:t>
            </w:r>
          </w:p>
        </w:tc>
        <w:tc>
          <w:tcPr>
            <w:tcW w:w="4484" w:type="dxa"/>
            <w:shd w:val="clear" w:color="auto" w:fill="auto"/>
          </w:tcPr>
          <w:p w14:paraId="3DDFB279" w14:textId="77777777" w:rsidR="009D6B05" w:rsidRDefault="009D6B05">
            <w:pPr>
              <w:pStyle w:val="HTMLPreformatted"/>
              <w:rPr>
                <w:rFonts w:ascii="Times New Roman" w:hAnsi="Times New Roman"/>
                <w:sz w:val="24"/>
              </w:rPr>
            </w:pPr>
          </w:p>
          <w:p w14:paraId="49CE98E8" w14:textId="77777777" w:rsidR="009D6B05" w:rsidRDefault="009D6B05">
            <w:pPr>
              <w:pStyle w:val="HTMLPreformatted"/>
              <w:rPr>
                <w:rFonts w:ascii="Times New Roman" w:hAnsi="Times New Roman"/>
                <w:sz w:val="24"/>
              </w:rPr>
            </w:pPr>
            <w:r>
              <w:rPr>
                <w:rFonts w:ascii="Times New Roman" w:hAnsi="Times New Roman"/>
                <w:sz w:val="24"/>
              </w:rPr>
              <w:t>Case No. 12-3255-EL-RDR</w:t>
            </w:r>
          </w:p>
          <w:p w14:paraId="15CCEB07" w14:textId="77777777" w:rsidR="009D6B05" w:rsidRDefault="009D6B05">
            <w:pPr>
              <w:pStyle w:val="HTMLPreformatted"/>
              <w:rPr>
                <w:rFonts w:ascii="Times New Roman" w:hAnsi="Times New Roman"/>
                <w:sz w:val="24"/>
              </w:rPr>
            </w:pPr>
          </w:p>
        </w:tc>
      </w:tr>
    </w:tbl>
    <w:p w14:paraId="0DC4E4F2" w14:textId="77777777" w:rsidR="00A214D3" w:rsidRDefault="00A214D3">
      <w:pPr>
        <w:pStyle w:val="HTMLPreformatted"/>
        <w:rPr>
          <w:rFonts w:ascii="Times New Roman" w:hAnsi="Times New Roman"/>
          <w:sz w:val="24"/>
        </w:rPr>
      </w:pPr>
    </w:p>
    <w:p w14:paraId="522E0AC7" w14:textId="77777777" w:rsidR="009D6B05" w:rsidRDefault="009D6B05">
      <w:pPr>
        <w:pStyle w:val="HTMLPreformatted"/>
        <w:pBdr>
          <w:top w:val="single" w:sz="12" w:space="1" w:color="auto"/>
        </w:pBdr>
        <w:rPr>
          <w:rFonts w:ascii="Times New Roman" w:hAnsi="Times New Roman"/>
          <w:sz w:val="24"/>
        </w:rPr>
      </w:pPr>
    </w:p>
    <w:p w14:paraId="4B604EF5" w14:textId="439A3867" w:rsidR="009D6B05" w:rsidRDefault="000E1AD0">
      <w:pPr>
        <w:jc w:val="center"/>
        <w:rPr>
          <w:b/>
          <w:bCs/>
        </w:rPr>
      </w:pPr>
      <w:r>
        <w:rPr>
          <w:b/>
        </w:rPr>
        <w:t>REPLY TO OHIO POWER COMPANY’S MEMORANDUM CONTRA</w:t>
      </w:r>
    </w:p>
    <w:p w14:paraId="48C1DE9A" w14:textId="77777777" w:rsidR="009D6B05" w:rsidRDefault="009D6B05">
      <w:pPr>
        <w:jc w:val="center"/>
        <w:rPr>
          <w:b/>
          <w:bCs/>
        </w:rPr>
      </w:pPr>
      <w:r>
        <w:rPr>
          <w:b/>
          <w:bCs/>
        </w:rPr>
        <w:t>BY</w:t>
      </w:r>
    </w:p>
    <w:p w14:paraId="50858C5E" w14:textId="77777777" w:rsidR="009D6B05" w:rsidRDefault="009D6B05">
      <w:pPr>
        <w:jc w:val="center"/>
        <w:rPr>
          <w:b/>
          <w:bCs/>
        </w:rPr>
      </w:pPr>
      <w:r>
        <w:rPr>
          <w:b/>
          <w:bCs/>
        </w:rPr>
        <w:t>THE OFFICE OF THE OHIO CONSUMERS’ COUNSEL</w:t>
      </w:r>
    </w:p>
    <w:p w14:paraId="2E66C47F" w14:textId="77777777" w:rsidR="009D6B05" w:rsidRDefault="009D6B05">
      <w:pPr>
        <w:pBdr>
          <w:bottom w:val="single" w:sz="12" w:space="1" w:color="auto"/>
        </w:pBdr>
        <w:tabs>
          <w:tab w:val="left" w:pos="4320"/>
        </w:tabs>
      </w:pPr>
    </w:p>
    <w:p w14:paraId="378D0784" w14:textId="77777777" w:rsidR="009D6B05" w:rsidRDefault="009D6B05">
      <w:pPr>
        <w:tabs>
          <w:tab w:val="left" w:pos="4320"/>
        </w:tabs>
      </w:pPr>
    </w:p>
    <w:p w14:paraId="0BAD3B24" w14:textId="64D1A994" w:rsidR="005A24FF" w:rsidRPr="000E1AD0" w:rsidRDefault="000E1AD0" w:rsidP="00D963ED">
      <w:pPr>
        <w:numPr>
          <w:ilvl w:val="0"/>
          <w:numId w:val="22"/>
        </w:numPr>
        <w:tabs>
          <w:tab w:val="left" w:pos="720"/>
        </w:tabs>
        <w:spacing w:before="240" w:line="480" w:lineRule="auto"/>
        <w:ind w:left="720"/>
        <w:rPr>
          <w:b/>
        </w:rPr>
      </w:pPr>
      <w:r w:rsidRPr="000E1AD0">
        <w:rPr>
          <w:b/>
        </w:rPr>
        <w:t>INTRODUCTION</w:t>
      </w:r>
    </w:p>
    <w:p w14:paraId="544B678F" w14:textId="742953DC" w:rsidR="00A133BB" w:rsidRDefault="00936878" w:rsidP="006A1DFA">
      <w:pPr>
        <w:spacing w:line="480" w:lineRule="auto"/>
        <w:ind w:firstLine="720"/>
      </w:pPr>
      <w:r>
        <w:t xml:space="preserve">This case involves Ohio Power Company’s (“AEP Ohio”) application to charge </w:t>
      </w:r>
      <w:r w:rsidR="006A1DFA">
        <w:t xml:space="preserve">more than </w:t>
      </w:r>
      <w:r w:rsidR="00C3395C">
        <w:t>$</w:t>
      </w:r>
      <w:r w:rsidR="006A1DFA">
        <w:t>61</w:t>
      </w:r>
      <w:r>
        <w:t xml:space="preserve"> million to its </w:t>
      </w:r>
      <w:r w:rsidR="006A1DFA">
        <w:t xml:space="preserve">1.2 million </w:t>
      </w:r>
      <w:r>
        <w:t>customers</w:t>
      </w:r>
      <w:r w:rsidR="00C3395C">
        <w:t xml:space="preserve"> for restoration of their electric service after storm-related outages.</w:t>
      </w:r>
      <w:r>
        <w:t xml:space="preserve">  </w:t>
      </w:r>
      <w:r w:rsidR="00C3395C">
        <w:t>Given the significance of</w:t>
      </w:r>
      <w:r w:rsidR="00E13460">
        <w:t xml:space="preserve"> both</w:t>
      </w:r>
      <w:r w:rsidR="00C3395C">
        <w:t xml:space="preserve"> the charges</w:t>
      </w:r>
      <w:r w:rsidR="00E13460">
        <w:t xml:space="preserve"> and the outages</w:t>
      </w:r>
      <w:r w:rsidR="00C3395C">
        <w:t xml:space="preserve"> for customers</w:t>
      </w:r>
      <w:r w:rsidR="00A133BB">
        <w:t>, t</w:t>
      </w:r>
      <w:r w:rsidR="000E1AD0">
        <w:t xml:space="preserve">he Office of the Ohio Consumers’ Counsel (“OCC”) filed a Motion </w:t>
      </w:r>
      <w:r w:rsidR="008E5069">
        <w:t>for Procedural Schedule and request for local public hearings</w:t>
      </w:r>
      <w:r w:rsidR="000E1AD0">
        <w:t xml:space="preserve"> (“Motion”).  In its Motion, OCC set forth a proposed procedural schedule that </w:t>
      </w:r>
      <w:r w:rsidR="007955F2">
        <w:t>affords the parties appropriate time</w:t>
      </w:r>
      <w:r w:rsidR="00D41827">
        <w:t xml:space="preserve"> for case preparation, including</w:t>
      </w:r>
      <w:r w:rsidR="007955F2">
        <w:t xml:space="preserve"> </w:t>
      </w:r>
      <w:r w:rsidR="006A1DFA">
        <w:t xml:space="preserve">time </w:t>
      </w:r>
      <w:r w:rsidR="007955F2">
        <w:t>to depose</w:t>
      </w:r>
      <w:r w:rsidR="00334961">
        <w:t xml:space="preserve"> expert</w:t>
      </w:r>
      <w:r w:rsidR="007955F2">
        <w:t xml:space="preserve"> witnesses after the filing of testimony</w:t>
      </w:r>
      <w:r w:rsidR="00D954DA">
        <w:t xml:space="preserve">. </w:t>
      </w:r>
      <w:r w:rsidR="007955F2">
        <w:t xml:space="preserve"> </w:t>
      </w:r>
      <w:r w:rsidR="00D954DA">
        <w:t>A</w:t>
      </w:r>
      <w:r w:rsidR="007955F2">
        <w:t>nd</w:t>
      </w:r>
      <w:r w:rsidR="00D954DA">
        <w:t>, to allow for public participation, OCC proposed</w:t>
      </w:r>
      <w:r w:rsidR="007955F2">
        <w:t xml:space="preserve"> </w:t>
      </w:r>
      <w:r w:rsidR="00D954DA">
        <w:t xml:space="preserve">adequate </w:t>
      </w:r>
      <w:r w:rsidR="007955F2">
        <w:t>time</w:t>
      </w:r>
      <w:r w:rsidR="00D954DA">
        <w:t xml:space="preserve"> for</w:t>
      </w:r>
      <w:r w:rsidR="007955F2">
        <w:t xml:space="preserve"> local </w:t>
      </w:r>
      <w:r w:rsidR="006A1DFA">
        <w:t xml:space="preserve">public </w:t>
      </w:r>
      <w:r w:rsidR="007955F2">
        <w:t>hearings</w:t>
      </w:r>
      <w:r w:rsidR="00D954DA">
        <w:t xml:space="preserve"> throughout AEP Ohio’s service area, with sufficient advance notice to the public regarding their opportunity to testify</w:t>
      </w:r>
      <w:r w:rsidR="007955F2">
        <w:t xml:space="preserve">.  </w:t>
      </w:r>
    </w:p>
    <w:p w14:paraId="469E8D69" w14:textId="40CB4A29" w:rsidR="000E1AD0" w:rsidRDefault="007955F2" w:rsidP="003C6F4A">
      <w:pPr>
        <w:tabs>
          <w:tab w:val="left" w:pos="720"/>
        </w:tabs>
        <w:spacing w:line="480" w:lineRule="auto"/>
        <w:ind w:firstLine="720"/>
      </w:pPr>
      <w:r>
        <w:t>On July 25, 2013, AEP Ohio fil</w:t>
      </w:r>
      <w:r w:rsidR="000E1AD0">
        <w:t xml:space="preserve">ed </w:t>
      </w:r>
      <w:r>
        <w:t>a</w:t>
      </w:r>
      <w:r w:rsidR="000E1AD0">
        <w:t xml:space="preserve"> Memorandum Contra</w:t>
      </w:r>
      <w:r w:rsidR="00B73F8C">
        <w:t>, to oppose the time OCC requested for case preparation and to oppose a</w:t>
      </w:r>
      <w:r w:rsidR="00135D69">
        <w:t>n</w:t>
      </w:r>
      <w:r w:rsidR="00B73F8C">
        <w:t xml:space="preserve"> opportunity for Ohioans to present testimony to the Public Utilities Commission of Ohio (“Commission” or “PUCO”)</w:t>
      </w:r>
      <w:r w:rsidR="000E1AD0">
        <w:t xml:space="preserve">.  </w:t>
      </w:r>
      <w:r w:rsidR="00A133BB">
        <w:t xml:space="preserve">AEP Ohio’s main arguments </w:t>
      </w:r>
      <w:r w:rsidR="00BE141F">
        <w:t xml:space="preserve">include that there has already been an adequate amount of time </w:t>
      </w:r>
      <w:r w:rsidR="00BE141F">
        <w:lastRenderedPageBreak/>
        <w:t>for discovery</w:t>
      </w:r>
      <w:r w:rsidR="00A214D3">
        <w:rPr>
          <w:rStyle w:val="FootnoteReference"/>
        </w:rPr>
        <w:footnoteReference w:id="2"/>
      </w:r>
      <w:r w:rsidR="00BE141F">
        <w:t xml:space="preserve"> and that local hearings would upset customers by “forcing them to “relive” the outages</w:t>
      </w:r>
      <w:r w:rsidR="00A133BB">
        <w:t>.</w:t>
      </w:r>
      <w:r w:rsidR="00BE141F">
        <w:rPr>
          <w:rStyle w:val="FootnoteReference"/>
        </w:rPr>
        <w:footnoteReference w:id="3"/>
      </w:r>
      <w:r w:rsidR="00A133BB">
        <w:t xml:space="preserve">  AEP Ohio’s arguments, however, are unavailing.  </w:t>
      </w:r>
      <w:r w:rsidR="000E1AD0">
        <w:t xml:space="preserve">OCC </w:t>
      </w:r>
      <w:r w:rsidR="00A133BB">
        <w:t xml:space="preserve">therefore urges </w:t>
      </w:r>
      <w:r w:rsidR="000E1AD0">
        <w:t xml:space="preserve">the PUCO </w:t>
      </w:r>
      <w:r w:rsidR="00A133BB">
        <w:t xml:space="preserve">to </w:t>
      </w:r>
      <w:r w:rsidR="000E1AD0">
        <w:t xml:space="preserve">adopt the procedural schedule proposed in </w:t>
      </w:r>
      <w:r w:rsidR="00A133BB">
        <w:t xml:space="preserve">the </w:t>
      </w:r>
      <w:r w:rsidR="000E1AD0">
        <w:t xml:space="preserve">Motion and </w:t>
      </w:r>
      <w:r w:rsidR="00A133BB">
        <w:t xml:space="preserve">to </w:t>
      </w:r>
      <w:r w:rsidR="000E1AD0">
        <w:t>order local public hearings in Athens, Columbus, Findlay, Newark and Portsmouth</w:t>
      </w:r>
      <w:r w:rsidR="0067577F">
        <w:t>,</w:t>
      </w:r>
      <w:r w:rsidR="000E1AD0">
        <w:t xml:space="preserve"> Ohio.</w:t>
      </w:r>
    </w:p>
    <w:p w14:paraId="513B239A" w14:textId="35A8CCB2" w:rsidR="000E1AD0" w:rsidRPr="000E1AD0" w:rsidRDefault="000E1AD0" w:rsidP="00D963ED">
      <w:pPr>
        <w:numPr>
          <w:ilvl w:val="0"/>
          <w:numId w:val="22"/>
        </w:numPr>
        <w:tabs>
          <w:tab w:val="left" w:pos="720"/>
        </w:tabs>
        <w:spacing w:before="240" w:line="480" w:lineRule="auto"/>
        <w:ind w:left="720"/>
        <w:rPr>
          <w:b/>
        </w:rPr>
      </w:pPr>
      <w:r w:rsidRPr="000E1AD0">
        <w:rPr>
          <w:b/>
        </w:rPr>
        <w:t>LAW AND ARGUMENT</w:t>
      </w:r>
    </w:p>
    <w:p w14:paraId="381D9869" w14:textId="348DE570" w:rsidR="000D46E7" w:rsidRDefault="004A1895" w:rsidP="0039157C">
      <w:pPr>
        <w:numPr>
          <w:ilvl w:val="0"/>
          <w:numId w:val="23"/>
        </w:numPr>
        <w:tabs>
          <w:tab w:val="left" w:pos="720"/>
        </w:tabs>
        <w:ind w:left="1440" w:right="720" w:hanging="720"/>
        <w:rPr>
          <w:rFonts w:eastAsia="Calibri"/>
          <w:b/>
          <w:szCs w:val="24"/>
        </w:rPr>
      </w:pPr>
      <w:r>
        <w:rPr>
          <w:rFonts w:eastAsia="Calibri"/>
          <w:b/>
          <w:szCs w:val="24"/>
        </w:rPr>
        <w:t>The PUCO Should Adopt the Procedural Schedule Proposed in OCC’s Motion</w:t>
      </w:r>
      <w:r w:rsidR="000D5D90">
        <w:rPr>
          <w:rFonts w:eastAsia="Calibri"/>
          <w:b/>
          <w:szCs w:val="24"/>
        </w:rPr>
        <w:t>, to Provide a Fair Opportunity for All Interests (Utility and Customer</w:t>
      </w:r>
      <w:r w:rsidR="00BE141F">
        <w:rPr>
          <w:rFonts w:eastAsia="Calibri"/>
          <w:b/>
          <w:szCs w:val="24"/>
        </w:rPr>
        <w:t>s</w:t>
      </w:r>
      <w:r w:rsidR="000D5D90">
        <w:rPr>
          <w:rFonts w:eastAsia="Calibri"/>
          <w:b/>
          <w:szCs w:val="24"/>
        </w:rPr>
        <w:t>) to be Heard</w:t>
      </w:r>
      <w:r>
        <w:rPr>
          <w:rFonts w:eastAsia="Calibri"/>
          <w:b/>
          <w:szCs w:val="24"/>
        </w:rPr>
        <w:t>.</w:t>
      </w:r>
    </w:p>
    <w:p w14:paraId="2BC57CDC" w14:textId="77777777" w:rsidR="004A1895" w:rsidRPr="000D46E7" w:rsidRDefault="004A1895" w:rsidP="004A1895">
      <w:pPr>
        <w:tabs>
          <w:tab w:val="left" w:pos="720"/>
        </w:tabs>
        <w:ind w:left="1440"/>
        <w:rPr>
          <w:rFonts w:eastAsia="Calibri"/>
          <w:b/>
          <w:szCs w:val="24"/>
        </w:rPr>
      </w:pPr>
    </w:p>
    <w:p w14:paraId="13758ECE" w14:textId="2948B3FE" w:rsidR="00CC199D" w:rsidRDefault="000D46E7" w:rsidP="00CC199D">
      <w:pPr>
        <w:tabs>
          <w:tab w:val="left" w:pos="720"/>
        </w:tabs>
        <w:spacing w:line="480" w:lineRule="auto"/>
        <w:rPr>
          <w:rFonts w:eastAsia="Calibri"/>
          <w:szCs w:val="24"/>
        </w:rPr>
      </w:pPr>
      <w:r>
        <w:rPr>
          <w:rFonts w:eastAsia="Calibri"/>
          <w:szCs w:val="24"/>
        </w:rPr>
        <w:tab/>
      </w:r>
      <w:r w:rsidR="003C6F4A">
        <w:rPr>
          <w:rFonts w:eastAsia="Calibri"/>
          <w:szCs w:val="24"/>
        </w:rPr>
        <w:t>OCC proposes</w:t>
      </w:r>
      <w:r w:rsidRPr="00CC199D">
        <w:rPr>
          <w:rFonts w:eastAsia="Calibri"/>
          <w:szCs w:val="24"/>
        </w:rPr>
        <w:t xml:space="preserve"> a procedural schedule that </w:t>
      </w:r>
      <w:r w:rsidR="00A133BB">
        <w:rPr>
          <w:rFonts w:eastAsia="Calibri"/>
          <w:szCs w:val="24"/>
        </w:rPr>
        <w:t xml:space="preserve">would </w:t>
      </w:r>
      <w:r w:rsidRPr="00CC199D">
        <w:rPr>
          <w:rFonts w:eastAsia="Calibri"/>
          <w:szCs w:val="24"/>
        </w:rPr>
        <w:t xml:space="preserve">provide </w:t>
      </w:r>
      <w:r w:rsidR="0005364C">
        <w:rPr>
          <w:rFonts w:eastAsia="Calibri"/>
          <w:szCs w:val="24"/>
        </w:rPr>
        <w:t>adequate</w:t>
      </w:r>
      <w:r w:rsidRPr="00CC199D">
        <w:rPr>
          <w:rFonts w:eastAsia="Calibri"/>
          <w:szCs w:val="24"/>
        </w:rPr>
        <w:t xml:space="preserve"> time for the parties to complete discovery and depose witnesses when they become available.  AEP Ohio takes issue with the length of the procedural schedule proposed by OCC,</w:t>
      </w:r>
      <w:r w:rsidRPr="00CC199D">
        <w:rPr>
          <w:rStyle w:val="FootnoteReference"/>
          <w:rFonts w:eastAsia="Calibri"/>
          <w:szCs w:val="24"/>
        </w:rPr>
        <w:footnoteReference w:id="4"/>
      </w:r>
      <w:r w:rsidRPr="00CC199D">
        <w:rPr>
          <w:rFonts w:eastAsia="Calibri"/>
          <w:szCs w:val="24"/>
        </w:rPr>
        <w:t xml:space="preserve"> but </w:t>
      </w:r>
      <w:r w:rsidR="00BE141F">
        <w:rPr>
          <w:rFonts w:eastAsia="Calibri"/>
          <w:szCs w:val="24"/>
        </w:rPr>
        <w:t>in part</w:t>
      </w:r>
      <w:r w:rsidR="00BE141F" w:rsidRPr="00CC199D">
        <w:rPr>
          <w:rFonts w:eastAsia="Calibri"/>
          <w:szCs w:val="24"/>
        </w:rPr>
        <w:t xml:space="preserve"> </w:t>
      </w:r>
      <w:r w:rsidRPr="00CC199D">
        <w:rPr>
          <w:rFonts w:eastAsia="Calibri"/>
          <w:szCs w:val="24"/>
        </w:rPr>
        <w:t>it is</w:t>
      </w:r>
      <w:r w:rsidR="00A133BB">
        <w:rPr>
          <w:rFonts w:eastAsia="Calibri"/>
          <w:szCs w:val="24"/>
        </w:rPr>
        <w:t xml:space="preserve"> AEP Ohio</w:t>
      </w:r>
      <w:r w:rsidRPr="00CC199D">
        <w:rPr>
          <w:rFonts w:eastAsia="Calibri"/>
          <w:szCs w:val="24"/>
        </w:rPr>
        <w:t xml:space="preserve">’s own actions that necessitate such a schedule.  AEP Ohio has yet to file testimony in this action.  Instead, in its July 1, 2013 letter to the PUCO, </w:t>
      </w:r>
      <w:r w:rsidR="00A133BB" w:rsidRPr="00CC199D">
        <w:rPr>
          <w:rFonts w:eastAsia="Calibri"/>
          <w:szCs w:val="24"/>
        </w:rPr>
        <w:t>AEP Ohio proposed</w:t>
      </w:r>
      <w:r w:rsidR="00A133BB">
        <w:rPr>
          <w:rFonts w:eastAsia="Calibri"/>
          <w:szCs w:val="24"/>
        </w:rPr>
        <w:t xml:space="preserve"> </w:t>
      </w:r>
      <w:r w:rsidRPr="00CC199D">
        <w:rPr>
          <w:rFonts w:eastAsia="Calibri"/>
          <w:szCs w:val="24"/>
        </w:rPr>
        <w:t xml:space="preserve">that </w:t>
      </w:r>
      <w:r w:rsidR="00A133BB">
        <w:rPr>
          <w:rFonts w:eastAsia="Calibri"/>
          <w:szCs w:val="24"/>
        </w:rPr>
        <w:t xml:space="preserve">it </w:t>
      </w:r>
      <w:r w:rsidRPr="00CC199D">
        <w:rPr>
          <w:rFonts w:eastAsia="Calibri"/>
          <w:szCs w:val="24"/>
        </w:rPr>
        <w:t>file testimony on August 8, 2013</w:t>
      </w:r>
      <w:r w:rsidR="00A133BB">
        <w:rPr>
          <w:rFonts w:eastAsia="Calibri"/>
          <w:szCs w:val="24"/>
        </w:rPr>
        <w:t>,</w:t>
      </w:r>
      <w:r w:rsidRPr="00CC199D">
        <w:rPr>
          <w:rFonts w:eastAsia="Calibri"/>
          <w:szCs w:val="24"/>
        </w:rPr>
        <w:t xml:space="preserve"> with a hearing to be held in the last week of August.  This is not near</w:t>
      </w:r>
      <w:r w:rsidR="00060227" w:rsidRPr="00CC199D">
        <w:rPr>
          <w:rFonts w:eastAsia="Calibri"/>
          <w:szCs w:val="24"/>
        </w:rPr>
        <w:t>ly</w:t>
      </w:r>
      <w:r w:rsidRPr="00CC199D">
        <w:rPr>
          <w:rFonts w:eastAsia="Calibri"/>
          <w:szCs w:val="24"/>
        </w:rPr>
        <w:t xml:space="preserve"> enough time for</w:t>
      </w:r>
      <w:r w:rsidR="000D5D90">
        <w:rPr>
          <w:rFonts w:eastAsia="Calibri"/>
          <w:szCs w:val="24"/>
        </w:rPr>
        <w:t xml:space="preserve"> case preparation, including</w:t>
      </w:r>
      <w:r w:rsidRPr="00CC199D">
        <w:rPr>
          <w:rFonts w:eastAsia="Calibri"/>
          <w:szCs w:val="24"/>
        </w:rPr>
        <w:t xml:space="preserve"> to conduct depositions on the witnesses that will provide testimony less than </w:t>
      </w:r>
      <w:r w:rsidR="00A133BB">
        <w:rPr>
          <w:rFonts w:eastAsia="Calibri"/>
          <w:szCs w:val="24"/>
        </w:rPr>
        <w:t xml:space="preserve">three </w:t>
      </w:r>
      <w:r w:rsidRPr="00CC199D">
        <w:rPr>
          <w:rFonts w:eastAsia="Calibri"/>
          <w:szCs w:val="24"/>
        </w:rPr>
        <w:t>weeks before the hearing.</w:t>
      </w:r>
      <w:r w:rsidR="00CC199D" w:rsidRPr="00CC199D">
        <w:rPr>
          <w:rFonts w:eastAsia="Calibri"/>
          <w:szCs w:val="24"/>
        </w:rPr>
        <w:t xml:space="preserve">  </w:t>
      </w:r>
    </w:p>
    <w:p w14:paraId="33AC4AE8" w14:textId="20E5284F" w:rsidR="000A60A9" w:rsidRDefault="007300A0" w:rsidP="00CC199D">
      <w:pPr>
        <w:tabs>
          <w:tab w:val="left" w:pos="720"/>
        </w:tabs>
        <w:spacing w:line="480" w:lineRule="auto"/>
        <w:rPr>
          <w:rFonts w:eastAsia="Calibri"/>
          <w:szCs w:val="24"/>
        </w:rPr>
      </w:pPr>
      <w:r>
        <w:rPr>
          <w:rFonts w:eastAsia="Calibri"/>
          <w:szCs w:val="24"/>
        </w:rPr>
        <w:tab/>
      </w:r>
      <w:r w:rsidR="000D5D90">
        <w:rPr>
          <w:rFonts w:eastAsia="Calibri"/>
          <w:szCs w:val="24"/>
        </w:rPr>
        <w:t xml:space="preserve">Contrary to fair process and customer interests, </w:t>
      </w:r>
      <w:r>
        <w:rPr>
          <w:rFonts w:eastAsia="Calibri"/>
          <w:szCs w:val="24"/>
        </w:rPr>
        <w:t xml:space="preserve">AEP Ohio appears to stand on the assumption that collection of </w:t>
      </w:r>
      <w:r w:rsidR="000D5D90">
        <w:rPr>
          <w:rFonts w:eastAsia="Calibri"/>
          <w:szCs w:val="24"/>
        </w:rPr>
        <w:t>its sizeable request</w:t>
      </w:r>
      <w:r w:rsidR="003C0C33">
        <w:rPr>
          <w:rFonts w:eastAsia="Calibri"/>
          <w:szCs w:val="24"/>
        </w:rPr>
        <w:t xml:space="preserve"> </w:t>
      </w:r>
      <w:r>
        <w:rPr>
          <w:rFonts w:eastAsia="Calibri"/>
          <w:szCs w:val="24"/>
        </w:rPr>
        <w:t>(</w:t>
      </w:r>
      <w:r w:rsidR="006A1DFA">
        <w:rPr>
          <w:rFonts w:eastAsia="Calibri"/>
          <w:szCs w:val="24"/>
        </w:rPr>
        <w:t>more than</w:t>
      </w:r>
      <w:r>
        <w:rPr>
          <w:rFonts w:eastAsia="Calibri"/>
          <w:szCs w:val="24"/>
        </w:rPr>
        <w:t xml:space="preserve"> $61 million) is nearly </w:t>
      </w:r>
      <w:r>
        <w:rPr>
          <w:rFonts w:eastAsia="Calibri"/>
          <w:szCs w:val="24"/>
        </w:rPr>
        <w:lastRenderedPageBreak/>
        <w:t>certain</w:t>
      </w:r>
      <w:r w:rsidR="00E208AE">
        <w:rPr>
          <w:rStyle w:val="FootnoteReference"/>
          <w:rFonts w:eastAsia="Calibri"/>
          <w:szCs w:val="24"/>
        </w:rPr>
        <w:footnoteReference w:id="5"/>
      </w:r>
      <w:r w:rsidR="00E208AE">
        <w:rPr>
          <w:rFonts w:eastAsia="Calibri"/>
          <w:szCs w:val="24"/>
        </w:rPr>
        <w:t xml:space="preserve"> and that the discovery in this matter has been a bother.</w:t>
      </w:r>
      <w:r w:rsidR="00E208AE">
        <w:rPr>
          <w:rStyle w:val="FootnoteReference"/>
          <w:rFonts w:eastAsia="Calibri"/>
          <w:szCs w:val="24"/>
        </w:rPr>
        <w:footnoteReference w:id="6"/>
      </w:r>
      <w:r>
        <w:rPr>
          <w:rFonts w:eastAsia="Calibri"/>
          <w:szCs w:val="24"/>
        </w:rPr>
        <w:t xml:space="preserve">  This position, however, is directly contrary to the burden of proof and standard of review – “AEP shall bear the burden of proof of demonstrating that all costs were prudently incurred and reasonable.”</w:t>
      </w:r>
      <w:r>
        <w:rPr>
          <w:rStyle w:val="FootnoteReference"/>
          <w:rFonts w:eastAsia="Calibri"/>
          <w:szCs w:val="24"/>
        </w:rPr>
        <w:footnoteReference w:id="7"/>
      </w:r>
      <w:r>
        <w:rPr>
          <w:rFonts w:eastAsia="Calibri"/>
          <w:szCs w:val="24"/>
        </w:rPr>
        <w:t xml:space="preserve">  </w:t>
      </w:r>
      <w:r w:rsidR="00E208AE">
        <w:rPr>
          <w:rFonts w:eastAsia="Calibri"/>
          <w:szCs w:val="24"/>
        </w:rPr>
        <w:t>In light of this standard</w:t>
      </w:r>
      <w:r w:rsidR="00F32760">
        <w:rPr>
          <w:rFonts w:eastAsia="Calibri"/>
          <w:szCs w:val="24"/>
        </w:rPr>
        <w:t>,</w:t>
      </w:r>
      <w:r w:rsidR="00E208AE">
        <w:rPr>
          <w:rFonts w:eastAsia="Calibri"/>
          <w:szCs w:val="24"/>
        </w:rPr>
        <w:t xml:space="preserve"> AEP Ohio’s Application was woefully inadequate, which should justify outright denial of the Application.</w:t>
      </w:r>
      <w:r w:rsidR="00E208AE">
        <w:rPr>
          <w:rStyle w:val="FootnoteReference"/>
          <w:rFonts w:eastAsia="Calibri"/>
          <w:szCs w:val="24"/>
        </w:rPr>
        <w:footnoteReference w:id="8"/>
      </w:r>
      <w:r w:rsidR="00E208AE">
        <w:rPr>
          <w:rFonts w:eastAsia="Calibri"/>
          <w:szCs w:val="24"/>
        </w:rPr>
        <w:t xml:space="preserve">  </w:t>
      </w:r>
      <w:r w:rsidR="000A60A9">
        <w:rPr>
          <w:rFonts w:eastAsia="Calibri"/>
          <w:szCs w:val="24"/>
        </w:rPr>
        <w:t>For example, the only cost data included with the Application was a one-page summary of the various costs AEP Ohio alleged</w:t>
      </w:r>
      <w:r w:rsidR="000D5D90">
        <w:rPr>
          <w:rFonts w:eastAsia="Calibri"/>
          <w:szCs w:val="24"/>
        </w:rPr>
        <w:t xml:space="preserve"> that it</w:t>
      </w:r>
      <w:r w:rsidR="000A60A9">
        <w:rPr>
          <w:rFonts w:eastAsia="Calibri"/>
          <w:szCs w:val="24"/>
        </w:rPr>
        <w:t xml:space="preserve"> incurred in association with the three storms,</w:t>
      </w:r>
      <w:r w:rsidR="000A60A9">
        <w:rPr>
          <w:rStyle w:val="FootnoteReference"/>
          <w:rFonts w:eastAsia="Calibri"/>
          <w:szCs w:val="24"/>
        </w:rPr>
        <w:footnoteReference w:id="9"/>
      </w:r>
      <w:r w:rsidR="000A60A9">
        <w:rPr>
          <w:rFonts w:eastAsia="Calibri"/>
          <w:szCs w:val="24"/>
        </w:rPr>
        <w:t xml:space="preserve"> </w:t>
      </w:r>
      <w:r w:rsidR="000D5D90">
        <w:rPr>
          <w:rFonts w:eastAsia="Calibri"/>
          <w:szCs w:val="24"/>
        </w:rPr>
        <w:t xml:space="preserve">with </w:t>
      </w:r>
      <w:r w:rsidR="000A60A9">
        <w:rPr>
          <w:rFonts w:eastAsia="Calibri"/>
          <w:szCs w:val="24"/>
        </w:rPr>
        <w:t>no detail of cost component</w:t>
      </w:r>
      <w:r w:rsidR="000D5D90">
        <w:rPr>
          <w:rFonts w:eastAsia="Calibri"/>
          <w:szCs w:val="24"/>
        </w:rPr>
        <w:t>s</w:t>
      </w:r>
      <w:r w:rsidR="000A60A9">
        <w:rPr>
          <w:rFonts w:eastAsia="Calibri"/>
          <w:szCs w:val="24"/>
        </w:rPr>
        <w:t xml:space="preserve"> and no supporting testimony to explain the costs.</w:t>
      </w:r>
    </w:p>
    <w:p w14:paraId="095848C3" w14:textId="27084004" w:rsidR="007300A0" w:rsidRDefault="00E208AE" w:rsidP="003C6F4A">
      <w:pPr>
        <w:tabs>
          <w:tab w:val="left" w:pos="720"/>
        </w:tabs>
        <w:spacing w:line="480" w:lineRule="auto"/>
        <w:ind w:firstLine="720"/>
        <w:rPr>
          <w:rFonts w:eastAsia="Calibri"/>
          <w:szCs w:val="24"/>
        </w:rPr>
      </w:pPr>
      <w:r>
        <w:rPr>
          <w:rFonts w:eastAsia="Calibri"/>
          <w:szCs w:val="24"/>
        </w:rPr>
        <w:t xml:space="preserve">Now, AEP Ohio </w:t>
      </w:r>
      <w:r w:rsidR="00870AF5">
        <w:rPr>
          <w:rFonts w:eastAsia="Calibri"/>
          <w:szCs w:val="24"/>
        </w:rPr>
        <w:t>criticizes</w:t>
      </w:r>
      <w:r>
        <w:rPr>
          <w:rFonts w:eastAsia="Calibri"/>
          <w:szCs w:val="24"/>
        </w:rPr>
        <w:t xml:space="preserve"> the discovery that </w:t>
      </w:r>
      <w:r w:rsidR="00F32760">
        <w:rPr>
          <w:rFonts w:eastAsia="Calibri"/>
          <w:szCs w:val="24"/>
        </w:rPr>
        <w:t xml:space="preserve">the PUCO </w:t>
      </w:r>
      <w:r>
        <w:rPr>
          <w:rFonts w:eastAsia="Calibri"/>
          <w:szCs w:val="24"/>
        </w:rPr>
        <w:t xml:space="preserve">Staff and </w:t>
      </w:r>
      <w:r w:rsidR="00F32760">
        <w:rPr>
          <w:rFonts w:eastAsia="Calibri"/>
          <w:szCs w:val="24"/>
        </w:rPr>
        <w:t>i</w:t>
      </w:r>
      <w:r>
        <w:rPr>
          <w:rFonts w:eastAsia="Calibri"/>
          <w:szCs w:val="24"/>
        </w:rPr>
        <w:t>ntervenors have had to conduct in order to adequately address the Application.</w:t>
      </w:r>
      <w:r w:rsidR="00870AF5">
        <w:rPr>
          <w:rStyle w:val="FootnoteReference"/>
          <w:rFonts w:eastAsia="Calibri"/>
          <w:szCs w:val="24"/>
        </w:rPr>
        <w:footnoteReference w:id="10"/>
      </w:r>
      <w:r>
        <w:rPr>
          <w:rFonts w:eastAsia="Calibri"/>
          <w:szCs w:val="24"/>
        </w:rPr>
        <w:t xml:space="preserve">   </w:t>
      </w:r>
      <w:r w:rsidR="000A60A9">
        <w:rPr>
          <w:rFonts w:eastAsia="Calibri"/>
          <w:szCs w:val="24"/>
        </w:rPr>
        <w:t xml:space="preserve">Further, </w:t>
      </w:r>
      <w:r w:rsidR="007F58FA">
        <w:rPr>
          <w:rFonts w:eastAsia="Calibri"/>
          <w:szCs w:val="24"/>
        </w:rPr>
        <w:t>AEP Ohio</w:t>
      </w:r>
      <w:r w:rsidR="00B546BA">
        <w:rPr>
          <w:rFonts w:eastAsia="Calibri"/>
          <w:szCs w:val="24"/>
        </w:rPr>
        <w:t xml:space="preserve"> sudden</w:t>
      </w:r>
      <w:r w:rsidR="000A60A9">
        <w:rPr>
          <w:rFonts w:eastAsia="Calibri"/>
          <w:szCs w:val="24"/>
        </w:rPr>
        <w:t>ly</w:t>
      </w:r>
      <w:r w:rsidR="007F58FA">
        <w:rPr>
          <w:rFonts w:eastAsia="Calibri"/>
          <w:szCs w:val="24"/>
        </w:rPr>
        <w:t xml:space="preserve"> s</w:t>
      </w:r>
      <w:r w:rsidR="00CC199D">
        <w:rPr>
          <w:rFonts w:eastAsia="Calibri"/>
          <w:szCs w:val="24"/>
        </w:rPr>
        <w:t xml:space="preserve">eeks to force </w:t>
      </w:r>
      <w:r w:rsidR="000A60A9">
        <w:rPr>
          <w:rFonts w:eastAsia="Calibri"/>
          <w:szCs w:val="24"/>
        </w:rPr>
        <w:t xml:space="preserve">the </w:t>
      </w:r>
      <w:r w:rsidR="00BE141F">
        <w:rPr>
          <w:rFonts w:eastAsia="Calibri"/>
          <w:szCs w:val="24"/>
        </w:rPr>
        <w:t>parties</w:t>
      </w:r>
      <w:r w:rsidR="000A60A9">
        <w:rPr>
          <w:rFonts w:eastAsia="Calibri"/>
          <w:szCs w:val="24"/>
        </w:rPr>
        <w:t xml:space="preserve"> </w:t>
      </w:r>
      <w:r w:rsidR="00CC199D">
        <w:rPr>
          <w:rFonts w:eastAsia="Calibri"/>
          <w:szCs w:val="24"/>
        </w:rPr>
        <w:t>into</w:t>
      </w:r>
      <w:r w:rsidR="007F58FA">
        <w:rPr>
          <w:rFonts w:eastAsia="Calibri"/>
          <w:szCs w:val="24"/>
        </w:rPr>
        <w:t xml:space="preserve"> a </w:t>
      </w:r>
      <w:r w:rsidR="00CC199D">
        <w:rPr>
          <w:rFonts w:eastAsia="Calibri"/>
          <w:szCs w:val="24"/>
        </w:rPr>
        <w:t xml:space="preserve">hearing </w:t>
      </w:r>
      <w:r w:rsidR="007F58FA">
        <w:rPr>
          <w:rFonts w:eastAsia="Calibri"/>
          <w:szCs w:val="24"/>
        </w:rPr>
        <w:t xml:space="preserve">on an expedited timeline </w:t>
      </w:r>
      <w:r w:rsidR="00CC199D">
        <w:rPr>
          <w:rFonts w:eastAsia="Calibri"/>
          <w:szCs w:val="24"/>
        </w:rPr>
        <w:t>with little or no opportunity to depose</w:t>
      </w:r>
      <w:r w:rsidR="000A60A9">
        <w:rPr>
          <w:rFonts w:eastAsia="Calibri"/>
          <w:szCs w:val="24"/>
        </w:rPr>
        <w:t xml:space="preserve"> AEP Ohio</w:t>
      </w:r>
      <w:r w:rsidR="007F58FA">
        <w:rPr>
          <w:rFonts w:eastAsia="Calibri"/>
          <w:szCs w:val="24"/>
        </w:rPr>
        <w:t>’s</w:t>
      </w:r>
      <w:r w:rsidR="007300A0">
        <w:rPr>
          <w:rFonts w:eastAsia="Calibri"/>
          <w:szCs w:val="24"/>
        </w:rPr>
        <w:t xml:space="preserve"> witnesses on testimony that has yet to</w:t>
      </w:r>
      <w:r w:rsidR="003C6F4A">
        <w:rPr>
          <w:rFonts w:eastAsia="Calibri"/>
          <w:szCs w:val="24"/>
        </w:rPr>
        <w:t xml:space="preserve"> </w:t>
      </w:r>
      <w:r w:rsidR="000A60A9">
        <w:rPr>
          <w:rFonts w:eastAsia="Calibri"/>
          <w:szCs w:val="24"/>
        </w:rPr>
        <w:t>be filed</w:t>
      </w:r>
      <w:r w:rsidR="007300A0">
        <w:rPr>
          <w:rFonts w:eastAsia="Calibri"/>
          <w:szCs w:val="24"/>
        </w:rPr>
        <w:t>.</w:t>
      </w:r>
    </w:p>
    <w:p w14:paraId="632CE5D0" w14:textId="405911D0" w:rsidR="00CC199D" w:rsidRDefault="007300A0" w:rsidP="00CC199D">
      <w:pPr>
        <w:tabs>
          <w:tab w:val="left" w:pos="720"/>
        </w:tabs>
        <w:spacing w:line="480" w:lineRule="auto"/>
        <w:rPr>
          <w:rFonts w:eastAsia="Calibri"/>
          <w:szCs w:val="24"/>
        </w:rPr>
      </w:pPr>
      <w:r>
        <w:rPr>
          <w:rFonts w:eastAsia="Calibri"/>
          <w:szCs w:val="24"/>
        </w:rPr>
        <w:tab/>
      </w:r>
      <w:r w:rsidR="007F58FA">
        <w:rPr>
          <w:rFonts w:eastAsia="Calibri"/>
          <w:szCs w:val="24"/>
        </w:rPr>
        <w:t xml:space="preserve">To support </w:t>
      </w:r>
      <w:r w:rsidR="00636536">
        <w:rPr>
          <w:rFonts w:eastAsia="Calibri"/>
          <w:szCs w:val="24"/>
        </w:rPr>
        <w:t xml:space="preserve">its </w:t>
      </w:r>
      <w:r w:rsidR="007F58FA">
        <w:rPr>
          <w:rFonts w:eastAsia="Calibri"/>
          <w:szCs w:val="24"/>
        </w:rPr>
        <w:t>position</w:t>
      </w:r>
      <w:r w:rsidR="00B546BA">
        <w:rPr>
          <w:rFonts w:eastAsia="Calibri"/>
          <w:szCs w:val="24"/>
        </w:rPr>
        <w:t xml:space="preserve"> of moving forward at a rapid pace</w:t>
      </w:r>
      <w:r w:rsidR="00CC199D" w:rsidRPr="00043DD7">
        <w:rPr>
          <w:rFonts w:eastAsia="Calibri"/>
          <w:szCs w:val="24"/>
        </w:rPr>
        <w:t xml:space="preserve">, AEP Ohio </w:t>
      </w:r>
      <w:r w:rsidR="00B546BA">
        <w:rPr>
          <w:rFonts w:eastAsia="Calibri"/>
          <w:szCs w:val="24"/>
        </w:rPr>
        <w:t>cites to</w:t>
      </w:r>
      <w:r w:rsidR="00CC199D">
        <w:rPr>
          <w:rFonts w:eastAsia="Calibri"/>
          <w:szCs w:val="24"/>
        </w:rPr>
        <w:t xml:space="preserve"> </w:t>
      </w:r>
      <w:r w:rsidR="00CC199D" w:rsidRPr="00043DD7">
        <w:rPr>
          <w:rFonts w:eastAsia="Calibri"/>
          <w:szCs w:val="24"/>
        </w:rPr>
        <w:t xml:space="preserve">forgoing </w:t>
      </w:r>
      <w:r w:rsidR="00636536">
        <w:rPr>
          <w:rFonts w:eastAsia="Calibri"/>
          <w:szCs w:val="24"/>
        </w:rPr>
        <w:t xml:space="preserve">the booking of </w:t>
      </w:r>
      <w:r w:rsidR="00CC199D" w:rsidRPr="00043DD7">
        <w:rPr>
          <w:rFonts w:eastAsia="Calibri"/>
          <w:szCs w:val="24"/>
        </w:rPr>
        <w:t xml:space="preserve">carrying charges during the time </w:t>
      </w:r>
      <w:r w:rsidR="00CC199D">
        <w:rPr>
          <w:rFonts w:eastAsia="Calibri"/>
          <w:szCs w:val="24"/>
        </w:rPr>
        <w:t>that this case is pending</w:t>
      </w:r>
      <w:r w:rsidR="000A60A9">
        <w:rPr>
          <w:rFonts w:eastAsia="Calibri"/>
          <w:szCs w:val="24"/>
        </w:rPr>
        <w:t>.</w:t>
      </w:r>
      <w:r w:rsidR="00241E27">
        <w:rPr>
          <w:rStyle w:val="FootnoteReference"/>
          <w:rFonts w:eastAsia="Calibri"/>
          <w:szCs w:val="24"/>
        </w:rPr>
        <w:footnoteReference w:id="11"/>
      </w:r>
      <w:r w:rsidR="00CC199D">
        <w:rPr>
          <w:rFonts w:eastAsia="Calibri"/>
          <w:szCs w:val="24"/>
        </w:rPr>
        <w:t xml:space="preserve">  Yet, </w:t>
      </w:r>
      <w:r w:rsidR="000A60A9">
        <w:rPr>
          <w:rFonts w:eastAsia="Calibri"/>
          <w:szCs w:val="24"/>
        </w:rPr>
        <w:t>AEP Ohio</w:t>
      </w:r>
      <w:r w:rsidR="005D632C">
        <w:rPr>
          <w:rFonts w:eastAsia="Calibri"/>
          <w:szCs w:val="24"/>
        </w:rPr>
        <w:t xml:space="preserve"> itself has delayed the case timeline by not filing its testimony.</w:t>
      </w:r>
      <w:r w:rsidR="000A60A9">
        <w:rPr>
          <w:rFonts w:eastAsia="Calibri"/>
          <w:szCs w:val="24"/>
        </w:rPr>
        <w:t xml:space="preserve"> </w:t>
      </w:r>
      <w:r w:rsidR="005A1066">
        <w:rPr>
          <w:rFonts w:eastAsia="Calibri"/>
          <w:szCs w:val="24"/>
        </w:rPr>
        <w:t xml:space="preserve"> </w:t>
      </w:r>
      <w:r w:rsidR="00B546BA">
        <w:rPr>
          <w:rFonts w:eastAsia="Calibri"/>
          <w:szCs w:val="24"/>
        </w:rPr>
        <w:t xml:space="preserve">And </w:t>
      </w:r>
      <w:r w:rsidR="007F58FA">
        <w:rPr>
          <w:rFonts w:eastAsia="Calibri"/>
          <w:szCs w:val="24"/>
        </w:rPr>
        <w:t>i</w:t>
      </w:r>
      <w:r w:rsidR="00CC199D">
        <w:rPr>
          <w:rFonts w:eastAsia="Calibri"/>
          <w:szCs w:val="24"/>
        </w:rPr>
        <w:t>nstead of directly addressing</w:t>
      </w:r>
      <w:r w:rsidR="00D531A8">
        <w:rPr>
          <w:rFonts w:eastAsia="Calibri"/>
          <w:szCs w:val="24"/>
        </w:rPr>
        <w:t xml:space="preserve"> OCC’s request for time for formal discovery, including</w:t>
      </w:r>
      <w:r w:rsidR="00CC199D">
        <w:rPr>
          <w:rFonts w:eastAsia="Calibri"/>
          <w:szCs w:val="24"/>
        </w:rPr>
        <w:t xml:space="preserve"> the need for </w:t>
      </w:r>
      <w:r w:rsidR="00CC199D">
        <w:rPr>
          <w:rFonts w:eastAsia="Calibri"/>
          <w:szCs w:val="24"/>
        </w:rPr>
        <w:lastRenderedPageBreak/>
        <w:t>depositions, AEP Ohio attempt</w:t>
      </w:r>
      <w:r w:rsidR="00D531A8">
        <w:rPr>
          <w:rFonts w:eastAsia="Calibri"/>
          <w:szCs w:val="24"/>
        </w:rPr>
        <w:t>s</w:t>
      </w:r>
      <w:r w:rsidR="00CC199D">
        <w:rPr>
          <w:rFonts w:eastAsia="Calibri"/>
          <w:szCs w:val="24"/>
        </w:rPr>
        <w:t xml:space="preserve"> to establish that OCC has had ample opportunity to question AEP Ohio personnel by explaining that “the Company made its staff available throughout the extended review and discovery period.”</w:t>
      </w:r>
      <w:r w:rsidR="00CC199D">
        <w:rPr>
          <w:rStyle w:val="FootnoteReference"/>
          <w:rFonts w:eastAsia="Calibri"/>
          <w:szCs w:val="24"/>
        </w:rPr>
        <w:footnoteReference w:id="12"/>
      </w:r>
      <w:r w:rsidR="00CC199D">
        <w:rPr>
          <w:rFonts w:eastAsia="Calibri"/>
          <w:szCs w:val="24"/>
        </w:rPr>
        <w:t xml:space="preserve">  While OCC </w:t>
      </w:r>
      <w:r w:rsidR="00D531A8">
        <w:rPr>
          <w:rFonts w:eastAsia="Calibri"/>
          <w:szCs w:val="24"/>
        </w:rPr>
        <w:t xml:space="preserve">acknowledges </w:t>
      </w:r>
      <w:r w:rsidR="00CC199D">
        <w:rPr>
          <w:rFonts w:eastAsia="Calibri"/>
          <w:szCs w:val="24"/>
        </w:rPr>
        <w:t xml:space="preserve">that AEP Ohio’s personnel were </w:t>
      </w:r>
      <w:r w:rsidR="00CD6795">
        <w:rPr>
          <w:rFonts w:eastAsia="Calibri"/>
          <w:szCs w:val="24"/>
        </w:rPr>
        <w:t xml:space="preserve">available and </w:t>
      </w:r>
      <w:r w:rsidR="00CC199D">
        <w:rPr>
          <w:rFonts w:eastAsia="Calibri"/>
          <w:szCs w:val="24"/>
        </w:rPr>
        <w:t xml:space="preserve">helpful during the </w:t>
      </w:r>
      <w:r w:rsidR="003C0C33">
        <w:rPr>
          <w:rFonts w:eastAsia="Calibri"/>
          <w:szCs w:val="24"/>
        </w:rPr>
        <w:t xml:space="preserve">time period that led up to filing objections and </w:t>
      </w:r>
      <w:r w:rsidR="0080436C">
        <w:rPr>
          <w:rFonts w:eastAsia="Calibri"/>
          <w:szCs w:val="24"/>
        </w:rPr>
        <w:t xml:space="preserve">to </w:t>
      </w:r>
      <w:r w:rsidR="003C0C33">
        <w:rPr>
          <w:rFonts w:eastAsia="Calibri"/>
          <w:szCs w:val="24"/>
        </w:rPr>
        <w:t>potential settlement</w:t>
      </w:r>
      <w:r w:rsidR="00CC199D">
        <w:rPr>
          <w:rFonts w:eastAsia="Calibri"/>
          <w:szCs w:val="24"/>
        </w:rPr>
        <w:t xml:space="preserve">, </w:t>
      </w:r>
      <w:r w:rsidR="003C0C33">
        <w:rPr>
          <w:rFonts w:eastAsia="Calibri"/>
          <w:szCs w:val="24"/>
        </w:rPr>
        <w:t xml:space="preserve">the </w:t>
      </w:r>
      <w:r w:rsidR="00CC199D">
        <w:rPr>
          <w:rFonts w:eastAsia="Calibri"/>
          <w:szCs w:val="24"/>
        </w:rPr>
        <w:t>conversation</w:t>
      </w:r>
      <w:r w:rsidR="003C0C33">
        <w:rPr>
          <w:rFonts w:eastAsia="Calibri"/>
          <w:szCs w:val="24"/>
        </w:rPr>
        <w:t>s during that time</w:t>
      </w:r>
      <w:r w:rsidR="00CC199D">
        <w:rPr>
          <w:rFonts w:eastAsia="Calibri"/>
          <w:szCs w:val="24"/>
        </w:rPr>
        <w:t xml:space="preserve"> </w:t>
      </w:r>
      <w:r w:rsidR="003C0C33">
        <w:rPr>
          <w:rFonts w:eastAsia="Calibri"/>
          <w:szCs w:val="24"/>
        </w:rPr>
        <w:t>are</w:t>
      </w:r>
      <w:r w:rsidR="00CC199D">
        <w:rPr>
          <w:rFonts w:eastAsia="Calibri"/>
          <w:szCs w:val="24"/>
        </w:rPr>
        <w:t xml:space="preserve"> no substitute</w:t>
      </w:r>
      <w:r w:rsidR="003C0C33">
        <w:rPr>
          <w:rFonts w:eastAsia="Calibri"/>
          <w:szCs w:val="24"/>
        </w:rPr>
        <w:t xml:space="preserve"> for receiving AEP Ohio’s testimony and then deposing its witnesses</w:t>
      </w:r>
      <w:r w:rsidR="00CC199D">
        <w:rPr>
          <w:rFonts w:eastAsia="Calibri"/>
          <w:szCs w:val="24"/>
        </w:rPr>
        <w:t>.</w:t>
      </w:r>
    </w:p>
    <w:p w14:paraId="5B92CD8C" w14:textId="463C0286" w:rsidR="003C0C33" w:rsidRDefault="003C0C33" w:rsidP="00CC199D">
      <w:pPr>
        <w:tabs>
          <w:tab w:val="left" w:pos="720"/>
        </w:tabs>
        <w:spacing w:line="480" w:lineRule="auto"/>
        <w:rPr>
          <w:rFonts w:eastAsia="Calibri"/>
          <w:szCs w:val="24"/>
        </w:rPr>
      </w:pPr>
      <w:r>
        <w:rPr>
          <w:rFonts w:eastAsia="Calibri"/>
          <w:szCs w:val="24"/>
        </w:rPr>
        <w:tab/>
        <w:t xml:space="preserve">OCC’s proposed schedule provides for the due process ensured by law and rule.  The Ohio General Assembly requires the PUCO to </w:t>
      </w:r>
      <w:r w:rsidR="0080436C">
        <w:rPr>
          <w:rFonts w:eastAsia="Calibri"/>
          <w:szCs w:val="24"/>
        </w:rPr>
        <w:t xml:space="preserve">grant </w:t>
      </w:r>
      <w:r w:rsidR="0080436C">
        <w:t>all parties and intervenors ample rights of discovery</w:t>
      </w:r>
      <w:r>
        <w:rPr>
          <w:rFonts w:eastAsia="Calibri"/>
          <w:szCs w:val="24"/>
        </w:rPr>
        <w:t>.</w:t>
      </w:r>
      <w:r w:rsidR="0080436C">
        <w:rPr>
          <w:rStyle w:val="FootnoteReference"/>
          <w:rFonts w:eastAsia="Calibri"/>
          <w:szCs w:val="24"/>
        </w:rPr>
        <w:footnoteReference w:id="13"/>
      </w:r>
      <w:r>
        <w:rPr>
          <w:rFonts w:eastAsia="Calibri"/>
          <w:szCs w:val="24"/>
        </w:rPr>
        <w:t xml:space="preserve">  The PUCO’s rules require </w:t>
      </w:r>
      <w:r w:rsidR="0080436C">
        <w:rPr>
          <w:rFonts w:eastAsia="Calibri"/>
          <w:szCs w:val="24"/>
        </w:rPr>
        <w:t>“</w:t>
      </w:r>
      <w:r w:rsidR="0080436C">
        <w:t>prompt and expeditious use of prehearing discovery in order to facilitate thorough and adequate preparation for participation in commission proceedings.”</w:t>
      </w:r>
      <w:r w:rsidR="0080436C">
        <w:rPr>
          <w:rStyle w:val="FootnoteReference"/>
        </w:rPr>
        <w:footnoteReference w:id="14"/>
      </w:r>
      <w:r w:rsidR="00FE3BD2">
        <w:t xml:space="preserve">  This includes the use of interrogatories, requests for production of documents, requests for admissions and depositions.</w:t>
      </w:r>
      <w:r w:rsidR="00FE3BD2">
        <w:rPr>
          <w:rStyle w:val="FootnoteReference"/>
        </w:rPr>
        <w:footnoteReference w:id="15"/>
      </w:r>
      <w:r w:rsidR="00FE3BD2">
        <w:t xml:space="preserve">  </w:t>
      </w:r>
      <w:r w:rsidR="004D2E94">
        <w:t>The rules of discovery have been liberally construed to allow for broad discovery of any unprivileged matter relevant to the subject matter of the pending proceeding</w:t>
      </w:r>
      <w:r>
        <w:rPr>
          <w:rFonts w:eastAsia="Calibri"/>
          <w:szCs w:val="24"/>
        </w:rPr>
        <w:t>.</w:t>
      </w:r>
      <w:r w:rsidR="004D2E94">
        <w:rPr>
          <w:rStyle w:val="FootnoteReference"/>
          <w:rFonts w:eastAsia="Calibri"/>
          <w:szCs w:val="24"/>
        </w:rPr>
        <w:footnoteReference w:id="16"/>
      </w:r>
    </w:p>
    <w:p w14:paraId="65AC09DC" w14:textId="028CAA28" w:rsidR="000E3704" w:rsidRDefault="00CC199D" w:rsidP="00CC199D">
      <w:pPr>
        <w:tabs>
          <w:tab w:val="left" w:pos="720"/>
        </w:tabs>
        <w:spacing w:line="480" w:lineRule="auto"/>
        <w:rPr>
          <w:rFonts w:eastAsia="Calibri"/>
          <w:szCs w:val="24"/>
        </w:rPr>
      </w:pPr>
      <w:r>
        <w:rPr>
          <w:rFonts w:eastAsia="Calibri"/>
          <w:szCs w:val="24"/>
        </w:rPr>
        <w:tab/>
      </w:r>
      <w:r w:rsidR="008D0D51">
        <w:rPr>
          <w:rFonts w:eastAsia="Calibri"/>
          <w:szCs w:val="24"/>
        </w:rPr>
        <w:t xml:space="preserve">Further, the PUCO should contrast AEP Ohio’s opposition to process and public </w:t>
      </w:r>
      <w:r w:rsidR="000E3704">
        <w:rPr>
          <w:rFonts w:eastAsia="Calibri"/>
          <w:szCs w:val="24"/>
        </w:rPr>
        <w:t>participation</w:t>
      </w:r>
      <w:r w:rsidR="008D0D51">
        <w:rPr>
          <w:rFonts w:eastAsia="Calibri"/>
          <w:szCs w:val="24"/>
        </w:rPr>
        <w:t xml:space="preserve"> here with AEP Ohio’s championing of process and openness in the case of its competitor, FirstEnergy.</w:t>
      </w:r>
      <w:r w:rsidR="008D0D51">
        <w:rPr>
          <w:rStyle w:val="FootnoteReference"/>
          <w:rFonts w:eastAsia="Calibri"/>
          <w:szCs w:val="24"/>
        </w:rPr>
        <w:footnoteReference w:id="17"/>
      </w:r>
      <w:r w:rsidR="008D0D51">
        <w:rPr>
          <w:rFonts w:eastAsia="Calibri"/>
          <w:szCs w:val="24"/>
        </w:rPr>
        <w:t xml:space="preserve">  </w:t>
      </w:r>
      <w:r w:rsidR="00B546BA">
        <w:rPr>
          <w:rFonts w:eastAsia="Calibri"/>
          <w:szCs w:val="24"/>
        </w:rPr>
        <w:t xml:space="preserve">In </w:t>
      </w:r>
      <w:r w:rsidR="00916961">
        <w:rPr>
          <w:rFonts w:eastAsia="Calibri"/>
          <w:szCs w:val="24"/>
        </w:rPr>
        <w:t xml:space="preserve">the FirstEnergy </w:t>
      </w:r>
      <w:r w:rsidR="00B546BA">
        <w:rPr>
          <w:rFonts w:eastAsia="Calibri"/>
          <w:szCs w:val="24"/>
        </w:rPr>
        <w:t xml:space="preserve">case, AEP </w:t>
      </w:r>
      <w:r w:rsidR="008D0D51">
        <w:rPr>
          <w:rFonts w:eastAsia="Calibri"/>
          <w:szCs w:val="24"/>
        </w:rPr>
        <w:t>Ohio is a leading advocate for process</w:t>
      </w:r>
      <w:r w:rsidR="00AD630E">
        <w:rPr>
          <w:rFonts w:eastAsia="Calibri"/>
          <w:szCs w:val="24"/>
        </w:rPr>
        <w:t>.</w:t>
      </w:r>
      <w:r w:rsidR="008D0D51">
        <w:rPr>
          <w:rFonts w:eastAsia="Calibri"/>
          <w:szCs w:val="24"/>
        </w:rPr>
        <w:t xml:space="preserve">  There, AEP Ohio moved to intervene </w:t>
      </w:r>
      <w:r w:rsidR="008D0D51" w:rsidRPr="00473814">
        <w:rPr>
          <w:rFonts w:eastAsia="Calibri"/>
          <w:i/>
          <w:szCs w:val="24"/>
        </w:rPr>
        <w:t>after</w:t>
      </w:r>
      <w:r w:rsidR="008D0D51">
        <w:rPr>
          <w:rFonts w:eastAsia="Calibri"/>
          <w:szCs w:val="24"/>
        </w:rPr>
        <w:t xml:space="preserve"> the hearing and </w:t>
      </w:r>
      <w:r w:rsidR="008D0D51" w:rsidRPr="00473814">
        <w:rPr>
          <w:rFonts w:eastAsia="Calibri"/>
          <w:i/>
          <w:szCs w:val="24"/>
        </w:rPr>
        <w:t>after</w:t>
      </w:r>
      <w:r w:rsidR="008D0D51">
        <w:rPr>
          <w:rFonts w:eastAsia="Calibri"/>
          <w:szCs w:val="24"/>
        </w:rPr>
        <w:t xml:space="preserve"> briefs were filed.  And AEP Ohio </w:t>
      </w:r>
      <w:r w:rsidR="00B546BA">
        <w:rPr>
          <w:rFonts w:eastAsia="Calibri"/>
          <w:szCs w:val="24"/>
        </w:rPr>
        <w:t>filed a</w:t>
      </w:r>
      <w:r w:rsidR="008D0D51">
        <w:rPr>
          <w:rFonts w:eastAsia="Calibri"/>
          <w:szCs w:val="24"/>
        </w:rPr>
        <w:t xml:space="preserve"> rare</w:t>
      </w:r>
      <w:r w:rsidR="00B546BA">
        <w:rPr>
          <w:rFonts w:eastAsia="Calibri"/>
          <w:szCs w:val="24"/>
        </w:rPr>
        <w:t xml:space="preserve"> </w:t>
      </w:r>
      <w:r w:rsidR="008D0D51">
        <w:rPr>
          <w:rFonts w:eastAsia="Calibri"/>
          <w:szCs w:val="24"/>
        </w:rPr>
        <w:t>m</w:t>
      </w:r>
      <w:r w:rsidR="00B546BA">
        <w:rPr>
          <w:rFonts w:eastAsia="Calibri"/>
          <w:szCs w:val="24"/>
        </w:rPr>
        <w:t>otion</w:t>
      </w:r>
      <w:r w:rsidR="008D0D51">
        <w:rPr>
          <w:rFonts w:eastAsia="Calibri"/>
          <w:szCs w:val="24"/>
        </w:rPr>
        <w:t xml:space="preserve"> to</w:t>
      </w:r>
      <w:r w:rsidR="00B546BA">
        <w:rPr>
          <w:rFonts w:eastAsia="Calibri"/>
          <w:szCs w:val="24"/>
        </w:rPr>
        <w:t xml:space="preserve"> </w:t>
      </w:r>
      <w:r w:rsidR="008D0D51">
        <w:rPr>
          <w:rFonts w:eastAsia="Calibri"/>
          <w:szCs w:val="24"/>
        </w:rPr>
        <w:t>r</w:t>
      </w:r>
      <w:r w:rsidR="00B546BA">
        <w:rPr>
          <w:rFonts w:eastAsia="Calibri"/>
          <w:szCs w:val="24"/>
        </w:rPr>
        <w:t xml:space="preserve">eopen </w:t>
      </w:r>
      <w:r w:rsidR="008D0D51">
        <w:rPr>
          <w:rFonts w:eastAsia="Calibri"/>
          <w:szCs w:val="24"/>
        </w:rPr>
        <w:t>the</w:t>
      </w:r>
      <w:r w:rsidR="000E3704">
        <w:rPr>
          <w:rFonts w:eastAsia="Calibri"/>
          <w:szCs w:val="24"/>
        </w:rPr>
        <w:t xml:space="preserve"> FirstEnergy</w:t>
      </w:r>
      <w:r w:rsidR="008D0D51">
        <w:rPr>
          <w:rFonts w:eastAsia="Calibri"/>
          <w:szCs w:val="24"/>
        </w:rPr>
        <w:t xml:space="preserve"> p</w:t>
      </w:r>
      <w:r w:rsidR="00B546BA">
        <w:rPr>
          <w:rFonts w:eastAsia="Calibri"/>
          <w:szCs w:val="24"/>
        </w:rPr>
        <w:t>roceedings</w:t>
      </w:r>
      <w:r w:rsidR="008D0D51">
        <w:rPr>
          <w:rFonts w:eastAsia="Calibri"/>
          <w:szCs w:val="24"/>
        </w:rPr>
        <w:t>,</w:t>
      </w:r>
      <w:r w:rsidR="00B546BA">
        <w:rPr>
          <w:rFonts w:eastAsia="Calibri"/>
          <w:szCs w:val="24"/>
        </w:rPr>
        <w:t xml:space="preserve"> </w:t>
      </w:r>
      <w:r w:rsidR="00BF07E3">
        <w:rPr>
          <w:rFonts w:eastAsia="Calibri"/>
          <w:szCs w:val="24"/>
        </w:rPr>
        <w:t>arguing</w:t>
      </w:r>
      <w:r w:rsidR="008D0D51">
        <w:rPr>
          <w:rFonts w:eastAsia="Calibri"/>
          <w:szCs w:val="24"/>
        </w:rPr>
        <w:t>:</w:t>
      </w:r>
      <w:r w:rsidR="00870AF5">
        <w:rPr>
          <w:rFonts w:eastAsia="Calibri"/>
          <w:szCs w:val="24"/>
        </w:rPr>
        <w:t xml:space="preserve"> “it will not unduly delay the proceeding</w:t>
      </w:r>
      <w:r w:rsidR="008D0D51">
        <w:rPr>
          <w:rFonts w:eastAsia="Calibri"/>
          <w:szCs w:val="24"/>
        </w:rPr>
        <w:t>….</w:t>
      </w:r>
      <w:r w:rsidR="00870AF5">
        <w:rPr>
          <w:rFonts w:eastAsia="Calibri"/>
          <w:szCs w:val="24"/>
        </w:rPr>
        <w:t>”</w:t>
      </w:r>
      <w:r w:rsidR="00D2290E">
        <w:rPr>
          <w:rStyle w:val="FootnoteReference"/>
          <w:rFonts w:eastAsia="Calibri"/>
          <w:szCs w:val="24"/>
        </w:rPr>
        <w:footnoteReference w:id="18"/>
      </w:r>
      <w:r w:rsidR="00D2290E">
        <w:rPr>
          <w:rFonts w:eastAsia="Calibri"/>
          <w:szCs w:val="24"/>
        </w:rPr>
        <w:t xml:space="preserve">  </w:t>
      </w:r>
      <w:r w:rsidR="00870AF5">
        <w:rPr>
          <w:rFonts w:eastAsia="Calibri"/>
          <w:szCs w:val="24"/>
        </w:rPr>
        <w:t xml:space="preserve">  </w:t>
      </w:r>
    </w:p>
    <w:p w14:paraId="74AD3B72" w14:textId="50B8E538" w:rsidR="000D46E7" w:rsidRDefault="000E3704" w:rsidP="000D46E7">
      <w:pPr>
        <w:tabs>
          <w:tab w:val="left" w:pos="720"/>
        </w:tabs>
        <w:spacing w:line="480" w:lineRule="auto"/>
        <w:rPr>
          <w:rFonts w:eastAsia="Calibri"/>
          <w:szCs w:val="24"/>
        </w:rPr>
      </w:pPr>
      <w:r>
        <w:rPr>
          <w:rFonts w:eastAsia="Calibri"/>
          <w:szCs w:val="24"/>
        </w:rPr>
        <w:tab/>
        <w:t>The PUCO has a choice</w:t>
      </w:r>
      <w:r w:rsidR="00126CCA">
        <w:rPr>
          <w:rFonts w:eastAsia="Calibri"/>
          <w:szCs w:val="24"/>
        </w:rPr>
        <w:t xml:space="preserve"> to make. </w:t>
      </w:r>
      <w:r w:rsidR="00D2290E">
        <w:rPr>
          <w:rFonts w:eastAsia="Calibri"/>
          <w:szCs w:val="24"/>
        </w:rPr>
        <w:t xml:space="preserve"> </w:t>
      </w:r>
      <w:r w:rsidR="00126CCA">
        <w:rPr>
          <w:rFonts w:eastAsia="Calibri"/>
          <w:szCs w:val="24"/>
        </w:rPr>
        <w:t>The choice is</w:t>
      </w:r>
      <w:r w:rsidR="008D0D51">
        <w:rPr>
          <w:rFonts w:eastAsia="Calibri"/>
          <w:szCs w:val="24"/>
        </w:rPr>
        <w:t xml:space="preserve"> </w:t>
      </w:r>
      <w:r>
        <w:rPr>
          <w:rFonts w:eastAsia="Calibri"/>
          <w:szCs w:val="24"/>
        </w:rPr>
        <w:t>between</w:t>
      </w:r>
      <w:r w:rsidR="008D0D51">
        <w:rPr>
          <w:rFonts w:eastAsia="Calibri"/>
          <w:szCs w:val="24"/>
        </w:rPr>
        <w:t xml:space="preserve"> the AEP </w:t>
      </w:r>
      <w:r w:rsidR="00AC5FAA">
        <w:rPr>
          <w:rFonts w:eastAsia="Calibri"/>
          <w:szCs w:val="24"/>
        </w:rPr>
        <w:t xml:space="preserve">Ohio </w:t>
      </w:r>
      <w:r w:rsidR="008D0D51">
        <w:rPr>
          <w:rFonts w:eastAsia="Calibri"/>
          <w:szCs w:val="24"/>
        </w:rPr>
        <w:t xml:space="preserve">that is the </w:t>
      </w:r>
      <w:r>
        <w:rPr>
          <w:rFonts w:eastAsia="Calibri"/>
          <w:szCs w:val="24"/>
        </w:rPr>
        <w:t>opponent</w:t>
      </w:r>
      <w:r w:rsidR="008D0D51">
        <w:rPr>
          <w:rFonts w:eastAsia="Calibri"/>
          <w:szCs w:val="24"/>
        </w:rPr>
        <w:t xml:space="preserve"> of due process here versus the AEP </w:t>
      </w:r>
      <w:r w:rsidR="00D72B9C">
        <w:rPr>
          <w:rFonts w:eastAsia="Calibri"/>
          <w:szCs w:val="24"/>
        </w:rPr>
        <w:t xml:space="preserve">Ohio </w:t>
      </w:r>
      <w:r w:rsidR="008D0D51">
        <w:rPr>
          <w:rFonts w:eastAsia="Calibri"/>
          <w:szCs w:val="24"/>
        </w:rPr>
        <w:t xml:space="preserve">that is the champion of due process </w:t>
      </w:r>
      <w:r>
        <w:rPr>
          <w:rFonts w:eastAsia="Calibri"/>
          <w:szCs w:val="24"/>
        </w:rPr>
        <w:t>in the FirstEnergy case.</w:t>
      </w:r>
      <w:r w:rsidR="008D0D51">
        <w:rPr>
          <w:rFonts w:eastAsia="Calibri"/>
          <w:szCs w:val="24"/>
        </w:rPr>
        <w:t xml:space="preserve">  </w:t>
      </w:r>
      <w:r>
        <w:rPr>
          <w:rFonts w:eastAsia="Calibri"/>
          <w:szCs w:val="24"/>
        </w:rPr>
        <w:t xml:space="preserve">For the reasons stated above, the PUCO should choose the </w:t>
      </w:r>
      <w:r w:rsidR="00BE141F">
        <w:rPr>
          <w:rFonts w:eastAsia="Calibri"/>
          <w:szCs w:val="24"/>
        </w:rPr>
        <w:t>approach of</w:t>
      </w:r>
      <w:r>
        <w:rPr>
          <w:rFonts w:eastAsia="Calibri"/>
          <w:szCs w:val="24"/>
        </w:rPr>
        <w:t xml:space="preserve"> due process</w:t>
      </w:r>
      <w:r w:rsidR="00870AF5">
        <w:rPr>
          <w:rFonts w:eastAsia="Calibri"/>
          <w:szCs w:val="24"/>
        </w:rPr>
        <w:t>.</w:t>
      </w:r>
      <w:r w:rsidR="003B58A1">
        <w:rPr>
          <w:rFonts w:eastAsia="Calibri"/>
          <w:szCs w:val="24"/>
        </w:rPr>
        <w:t xml:space="preserve">  OCC’s proposed case schedule should be adopted.</w:t>
      </w:r>
    </w:p>
    <w:p w14:paraId="025DCF3A" w14:textId="42984CE5" w:rsidR="000D46E7" w:rsidRPr="000D46E7" w:rsidRDefault="004A1895" w:rsidP="0039157C">
      <w:pPr>
        <w:numPr>
          <w:ilvl w:val="0"/>
          <w:numId w:val="23"/>
        </w:numPr>
        <w:tabs>
          <w:tab w:val="left" w:pos="-180"/>
        </w:tabs>
        <w:spacing w:after="240"/>
        <w:ind w:left="1440" w:right="720" w:hanging="720"/>
        <w:rPr>
          <w:rFonts w:eastAsia="Calibri"/>
          <w:b/>
          <w:szCs w:val="24"/>
        </w:rPr>
      </w:pPr>
      <w:r>
        <w:rPr>
          <w:rFonts w:eastAsia="Calibri"/>
          <w:b/>
          <w:szCs w:val="24"/>
        </w:rPr>
        <w:t xml:space="preserve">The PUCO Should Grant OCC’s </w:t>
      </w:r>
      <w:r w:rsidR="000D46E7" w:rsidRPr="000D46E7">
        <w:rPr>
          <w:rFonts w:eastAsia="Calibri"/>
          <w:b/>
          <w:szCs w:val="24"/>
        </w:rPr>
        <w:t>Motion for Local Public Hearings</w:t>
      </w:r>
      <w:r w:rsidR="001E1F14">
        <w:rPr>
          <w:rFonts w:eastAsia="Calibri"/>
          <w:b/>
          <w:szCs w:val="24"/>
        </w:rPr>
        <w:t xml:space="preserve">, so </w:t>
      </w:r>
      <w:r w:rsidR="00D72B9C">
        <w:rPr>
          <w:rFonts w:eastAsia="Calibri"/>
          <w:b/>
          <w:szCs w:val="24"/>
        </w:rPr>
        <w:t>t</w:t>
      </w:r>
      <w:r w:rsidR="001E1F14">
        <w:rPr>
          <w:rFonts w:eastAsia="Calibri"/>
          <w:b/>
          <w:szCs w:val="24"/>
        </w:rPr>
        <w:t xml:space="preserve">hat Customers Have an Opportunity to Participate in This Case About the Outages They Endured and </w:t>
      </w:r>
      <w:r w:rsidR="0039157C">
        <w:rPr>
          <w:rFonts w:eastAsia="Calibri"/>
          <w:b/>
          <w:szCs w:val="24"/>
        </w:rPr>
        <w:t>t</w:t>
      </w:r>
      <w:r w:rsidR="001E1F14">
        <w:rPr>
          <w:rFonts w:eastAsia="Calibri"/>
          <w:b/>
          <w:szCs w:val="24"/>
        </w:rPr>
        <w:t xml:space="preserve">he Costs </w:t>
      </w:r>
      <w:r w:rsidR="00D72B9C">
        <w:rPr>
          <w:rFonts w:eastAsia="Calibri"/>
          <w:b/>
          <w:szCs w:val="24"/>
        </w:rPr>
        <w:t>t</w:t>
      </w:r>
      <w:r w:rsidR="001E1F14">
        <w:rPr>
          <w:rFonts w:eastAsia="Calibri"/>
          <w:b/>
          <w:szCs w:val="24"/>
        </w:rPr>
        <w:t xml:space="preserve">hat AEP </w:t>
      </w:r>
      <w:r w:rsidR="00AC5FAA">
        <w:rPr>
          <w:rFonts w:eastAsia="Calibri"/>
          <w:b/>
          <w:szCs w:val="24"/>
        </w:rPr>
        <w:t xml:space="preserve">Ohio </w:t>
      </w:r>
      <w:r w:rsidR="001E1F14">
        <w:rPr>
          <w:rFonts w:eastAsia="Calibri"/>
          <w:b/>
          <w:szCs w:val="24"/>
        </w:rPr>
        <w:t xml:space="preserve">Wants </w:t>
      </w:r>
      <w:r w:rsidR="008922EB">
        <w:rPr>
          <w:rFonts w:eastAsia="Calibri"/>
          <w:b/>
          <w:szCs w:val="24"/>
        </w:rPr>
        <w:t>Them to Pay</w:t>
      </w:r>
      <w:r w:rsidR="000D46E7" w:rsidRPr="000D46E7">
        <w:rPr>
          <w:rFonts w:eastAsia="Calibri"/>
          <w:b/>
          <w:szCs w:val="24"/>
        </w:rPr>
        <w:t>.</w:t>
      </w:r>
    </w:p>
    <w:p w14:paraId="679C4D72" w14:textId="7ED2D3EF" w:rsidR="00CD6795" w:rsidRDefault="000D46E7" w:rsidP="000D46E7">
      <w:pPr>
        <w:tabs>
          <w:tab w:val="left" w:pos="720"/>
        </w:tabs>
        <w:spacing w:line="480" w:lineRule="auto"/>
        <w:rPr>
          <w:rFonts w:eastAsia="Calibri"/>
          <w:szCs w:val="24"/>
        </w:rPr>
      </w:pPr>
      <w:r>
        <w:rPr>
          <w:rFonts w:eastAsia="Calibri"/>
          <w:szCs w:val="24"/>
        </w:rPr>
        <w:tab/>
        <w:t>AEP Ohio also opposes OCC’s request for local public hearings</w:t>
      </w:r>
      <w:r w:rsidR="00CD6795">
        <w:rPr>
          <w:rFonts w:eastAsia="Calibri"/>
          <w:szCs w:val="24"/>
        </w:rPr>
        <w:t>.  In so doing</w:t>
      </w:r>
      <w:r>
        <w:rPr>
          <w:rFonts w:eastAsia="Calibri"/>
          <w:szCs w:val="24"/>
        </w:rPr>
        <w:t xml:space="preserve">, </w:t>
      </w:r>
      <w:r w:rsidR="00CD6795">
        <w:rPr>
          <w:rFonts w:eastAsia="Calibri"/>
          <w:szCs w:val="24"/>
        </w:rPr>
        <w:t xml:space="preserve">AEP Ohio </w:t>
      </w:r>
      <w:r>
        <w:rPr>
          <w:rFonts w:eastAsia="Calibri"/>
          <w:szCs w:val="24"/>
        </w:rPr>
        <w:t>fail</w:t>
      </w:r>
      <w:r w:rsidR="00CD6795">
        <w:rPr>
          <w:rFonts w:eastAsia="Calibri"/>
          <w:szCs w:val="24"/>
        </w:rPr>
        <w:t>s</w:t>
      </w:r>
      <w:r>
        <w:rPr>
          <w:rFonts w:eastAsia="Calibri"/>
          <w:szCs w:val="24"/>
        </w:rPr>
        <w:t xml:space="preserve"> to acknowledge the vital information</w:t>
      </w:r>
      <w:r w:rsidR="003C6F4A">
        <w:rPr>
          <w:rFonts w:eastAsia="Calibri"/>
          <w:szCs w:val="24"/>
        </w:rPr>
        <w:t xml:space="preserve"> its</w:t>
      </w:r>
      <w:r>
        <w:rPr>
          <w:rFonts w:eastAsia="Calibri"/>
          <w:szCs w:val="24"/>
        </w:rPr>
        <w:t xml:space="preserve"> customers may be able to provide the PUCO before it renders a decision in this matter involving a </w:t>
      </w:r>
      <w:r w:rsidR="00D0739F">
        <w:rPr>
          <w:rFonts w:eastAsia="Calibri"/>
          <w:szCs w:val="24"/>
        </w:rPr>
        <w:t xml:space="preserve">tremendous </w:t>
      </w:r>
      <w:r>
        <w:rPr>
          <w:rFonts w:eastAsia="Calibri"/>
          <w:szCs w:val="24"/>
        </w:rPr>
        <w:t>amount of storm</w:t>
      </w:r>
      <w:r w:rsidR="00326058">
        <w:rPr>
          <w:rFonts w:eastAsia="Calibri"/>
          <w:szCs w:val="24"/>
        </w:rPr>
        <w:t>-related</w:t>
      </w:r>
      <w:r>
        <w:rPr>
          <w:rFonts w:eastAsia="Calibri"/>
          <w:szCs w:val="24"/>
        </w:rPr>
        <w:t xml:space="preserve"> costs.</w:t>
      </w:r>
      <w:r w:rsidR="00D12D2E">
        <w:rPr>
          <w:rStyle w:val="FootnoteReference"/>
          <w:rFonts w:eastAsia="Calibri"/>
          <w:szCs w:val="24"/>
        </w:rPr>
        <w:footnoteReference w:id="19"/>
      </w:r>
      <w:r>
        <w:rPr>
          <w:rFonts w:eastAsia="Calibri"/>
          <w:szCs w:val="24"/>
        </w:rPr>
        <w:t xml:space="preserve">  </w:t>
      </w:r>
    </w:p>
    <w:p w14:paraId="7F91BE2B" w14:textId="4019C630" w:rsidR="000A077B" w:rsidRDefault="00130482" w:rsidP="00246CED">
      <w:pPr>
        <w:tabs>
          <w:tab w:val="left" w:pos="720"/>
        </w:tabs>
        <w:spacing w:line="480" w:lineRule="auto"/>
        <w:ind w:firstLine="720"/>
        <w:rPr>
          <w:rFonts w:eastAsia="Calibri"/>
          <w:szCs w:val="24"/>
        </w:rPr>
      </w:pPr>
      <w:r>
        <w:rPr>
          <w:rFonts w:eastAsia="Calibri"/>
          <w:szCs w:val="24"/>
        </w:rPr>
        <w:t xml:space="preserve">Once again, it is difficult to harmonize </w:t>
      </w:r>
      <w:r w:rsidR="00CD6795">
        <w:rPr>
          <w:rFonts w:eastAsia="Calibri"/>
          <w:szCs w:val="24"/>
        </w:rPr>
        <w:t xml:space="preserve">AEP Ohio’s </w:t>
      </w:r>
      <w:r>
        <w:rPr>
          <w:rFonts w:eastAsia="Calibri"/>
          <w:szCs w:val="24"/>
        </w:rPr>
        <w:t xml:space="preserve">position </w:t>
      </w:r>
      <w:r w:rsidR="00246CED">
        <w:rPr>
          <w:rFonts w:eastAsia="Calibri"/>
          <w:szCs w:val="24"/>
        </w:rPr>
        <w:t>limiting</w:t>
      </w:r>
      <w:r>
        <w:rPr>
          <w:rFonts w:eastAsia="Calibri"/>
          <w:szCs w:val="24"/>
        </w:rPr>
        <w:t xml:space="preserve"> public involvement</w:t>
      </w:r>
      <w:r w:rsidR="00CD6795">
        <w:rPr>
          <w:rFonts w:eastAsia="Calibri"/>
          <w:szCs w:val="24"/>
        </w:rPr>
        <w:t xml:space="preserve"> in this proceeding</w:t>
      </w:r>
      <w:r>
        <w:rPr>
          <w:rFonts w:eastAsia="Calibri"/>
          <w:szCs w:val="24"/>
        </w:rPr>
        <w:t xml:space="preserve">, </w:t>
      </w:r>
      <w:r w:rsidR="00CD6795">
        <w:rPr>
          <w:rFonts w:eastAsia="Calibri"/>
          <w:szCs w:val="24"/>
        </w:rPr>
        <w:t xml:space="preserve">with </w:t>
      </w:r>
      <w:r>
        <w:rPr>
          <w:rFonts w:eastAsia="Calibri"/>
          <w:szCs w:val="24"/>
        </w:rPr>
        <w:t>AEP Ohio</w:t>
      </w:r>
      <w:r w:rsidR="00CD6795">
        <w:rPr>
          <w:rFonts w:eastAsia="Calibri"/>
          <w:szCs w:val="24"/>
        </w:rPr>
        <w:t>’s</w:t>
      </w:r>
      <w:r>
        <w:rPr>
          <w:rFonts w:eastAsia="Calibri"/>
          <w:szCs w:val="24"/>
        </w:rPr>
        <w:t xml:space="preserve"> chastising </w:t>
      </w:r>
      <w:r w:rsidR="00CD6795">
        <w:rPr>
          <w:rFonts w:eastAsia="Calibri"/>
          <w:szCs w:val="24"/>
        </w:rPr>
        <w:t xml:space="preserve">of </w:t>
      </w:r>
      <w:r>
        <w:rPr>
          <w:rFonts w:eastAsia="Calibri"/>
          <w:szCs w:val="24"/>
        </w:rPr>
        <w:t>FirstEnergy for shielding</w:t>
      </w:r>
      <w:r w:rsidR="00AD630E">
        <w:rPr>
          <w:rFonts w:eastAsia="Calibri"/>
          <w:szCs w:val="24"/>
        </w:rPr>
        <w:t xml:space="preserve"> from</w:t>
      </w:r>
      <w:r>
        <w:rPr>
          <w:rFonts w:eastAsia="Calibri"/>
          <w:szCs w:val="24"/>
        </w:rPr>
        <w:t xml:space="preserve"> the public the identities and pricing information of renewable energy credit providers.</w:t>
      </w:r>
      <w:r>
        <w:rPr>
          <w:rStyle w:val="FootnoteReference"/>
          <w:rFonts w:eastAsia="Calibri"/>
          <w:szCs w:val="24"/>
        </w:rPr>
        <w:footnoteReference w:id="20"/>
      </w:r>
      <w:r>
        <w:rPr>
          <w:rFonts w:eastAsia="Calibri"/>
          <w:szCs w:val="24"/>
        </w:rPr>
        <w:t xml:space="preserve"> </w:t>
      </w:r>
      <w:r w:rsidR="00AD630E">
        <w:rPr>
          <w:rFonts w:eastAsia="Calibri"/>
          <w:szCs w:val="24"/>
        </w:rPr>
        <w:t xml:space="preserve"> In championing an open process, AEP </w:t>
      </w:r>
      <w:r w:rsidR="0041239C">
        <w:rPr>
          <w:rFonts w:eastAsia="Calibri"/>
          <w:szCs w:val="24"/>
        </w:rPr>
        <w:t xml:space="preserve">Ohio </w:t>
      </w:r>
      <w:r w:rsidR="00AD630E">
        <w:rPr>
          <w:rFonts w:eastAsia="Calibri"/>
          <w:szCs w:val="24"/>
        </w:rPr>
        <w:t>opposed what it described as FirstEnergy’s “veil of secrecy.”</w:t>
      </w:r>
      <w:r w:rsidR="00AD630E">
        <w:rPr>
          <w:rStyle w:val="FootnoteReference"/>
          <w:rFonts w:eastAsia="Calibri"/>
          <w:szCs w:val="24"/>
        </w:rPr>
        <w:footnoteReference w:id="21"/>
      </w:r>
      <w:r w:rsidR="00AD630E">
        <w:rPr>
          <w:rFonts w:eastAsia="Calibri"/>
          <w:szCs w:val="24"/>
        </w:rPr>
        <w:t xml:space="preserve"> </w:t>
      </w:r>
      <w:r>
        <w:rPr>
          <w:rFonts w:eastAsia="Calibri"/>
          <w:szCs w:val="24"/>
        </w:rPr>
        <w:t xml:space="preserve"> In fact, in the 11-5201-EL-RDR case, AEP Ohio </w:t>
      </w:r>
      <w:r w:rsidR="0041239C">
        <w:rPr>
          <w:rFonts w:eastAsia="Calibri"/>
          <w:szCs w:val="24"/>
        </w:rPr>
        <w:t>argued for intervention because “</w:t>
      </w:r>
      <w:r w:rsidR="0041239C">
        <w:rPr>
          <w:szCs w:val="24"/>
        </w:rPr>
        <w:t>there are numerous issues the Commission may rule upon that would benefit from other industry points of view.”</w:t>
      </w:r>
      <w:r w:rsidR="0041239C">
        <w:rPr>
          <w:rStyle w:val="FootnoteReference"/>
          <w:szCs w:val="24"/>
        </w:rPr>
        <w:footnoteReference w:id="22"/>
      </w:r>
      <w:r w:rsidR="0041239C">
        <w:rPr>
          <w:szCs w:val="24"/>
        </w:rPr>
        <w:t xml:space="preserve"> </w:t>
      </w:r>
      <w:r w:rsidR="00AA092D">
        <w:rPr>
          <w:szCs w:val="24"/>
        </w:rPr>
        <w:t xml:space="preserve"> </w:t>
      </w:r>
      <w:r w:rsidR="0041239C">
        <w:rPr>
          <w:szCs w:val="24"/>
        </w:rPr>
        <w:t>And A</w:t>
      </w:r>
      <w:r w:rsidR="00AA092D">
        <w:rPr>
          <w:szCs w:val="24"/>
        </w:rPr>
        <w:t>E</w:t>
      </w:r>
      <w:r w:rsidR="0041239C">
        <w:rPr>
          <w:szCs w:val="24"/>
        </w:rPr>
        <w:t xml:space="preserve">P Ohio </w:t>
      </w:r>
      <w:r>
        <w:rPr>
          <w:rFonts w:eastAsia="Calibri"/>
          <w:szCs w:val="24"/>
        </w:rPr>
        <w:t>stressed the importance of a “fully developed record, and seeking input from knowledgeable parties.”</w:t>
      </w:r>
      <w:r>
        <w:rPr>
          <w:rStyle w:val="FootnoteReference"/>
          <w:rFonts w:eastAsia="Calibri"/>
          <w:szCs w:val="24"/>
        </w:rPr>
        <w:footnoteReference w:id="23"/>
      </w:r>
      <w:r>
        <w:rPr>
          <w:rFonts w:eastAsia="Calibri"/>
          <w:szCs w:val="24"/>
        </w:rPr>
        <w:t xml:space="preserve">  But by opposing OCC’s request for local public hearings in this matter, </w:t>
      </w:r>
      <w:r w:rsidR="00CD6795">
        <w:rPr>
          <w:rFonts w:eastAsia="Calibri"/>
          <w:szCs w:val="24"/>
        </w:rPr>
        <w:t xml:space="preserve">AEP Ohio </w:t>
      </w:r>
      <w:r>
        <w:rPr>
          <w:rFonts w:eastAsia="Calibri"/>
          <w:szCs w:val="24"/>
        </w:rPr>
        <w:t>is now trying to squelch the voices of those that were impacted most by the storms that swept through Ohio in June and July of 2012.</w:t>
      </w:r>
    </w:p>
    <w:p w14:paraId="10C08E25" w14:textId="6D83C1F9" w:rsidR="00A1186E" w:rsidRDefault="00130482" w:rsidP="000D46E7">
      <w:pPr>
        <w:tabs>
          <w:tab w:val="left" w:pos="720"/>
        </w:tabs>
        <w:spacing w:line="480" w:lineRule="auto"/>
        <w:rPr>
          <w:rFonts w:eastAsia="Calibri"/>
          <w:szCs w:val="24"/>
        </w:rPr>
      </w:pPr>
      <w:r>
        <w:rPr>
          <w:rFonts w:eastAsia="Calibri"/>
          <w:szCs w:val="24"/>
        </w:rPr>
        <w:tab/>
      </w:r>
      <w:r w:rsidR="00B254A3">
        <w:rPr>
          <w:rFonts w:eastAsia="Calibri"/>
          <w:szCs w:val="24"/>
        </w:rPr>
        <w:t>AEP Ohio, in seeking to deny a public process for customers</w:t>
      </w:r>
      <w:r w:rsidR="00CD6795">
        <w:rPr>
          <w:rFonts w:eastAsia="Calibri"/>
          <w:szCs w:val="24"/>
        </w:rPr>
        <w:t xml:space="preserve">, </w:t>
      </w:r>
      <w:r w:rsidR="00B254A3">
        <w:rPr>
          <w:rFonts w:eastAsia="Calibri"/>
          <w:szCs w:val="24"/>
        </w:rPr>
        <w:t xml:space="preserve">described OCC’s positions as </w:t>
      </w:r>
      <w:r w:rsidR="000A077B">
        <w:rPr>
          <w:rFonts w:eastAsia="Calibri"/>
          <w:szCs w:val="24"/>
        </w:rPr>
        <w:t xml:space="preserve">“forcing customers to relive their hardship” in order to </w:t>
      </w:r>
      <w:r w:rsidR="00D95E1A">
        <w:rPr>
          <w:rFonts w:eastAsia="Calibri"/>
          <w:szCs w:val="24"/>
        </w:rPr>
        <w:t>“</w:t>
      </w:r>
      <w:r w:rsidR="000A077B">
        <w:rPr>
          <w:rFonts w:eastAsia="Calibri"/>
          <w:szCs w:val="24"/>
        </w:rPr>
        <w:t>sensationalize</w:t>
      </w:r>
      <w:r w:rsidR="00D95E1A">
        <w:rPr>
          <w:rFonts w:eastAsia="Calibri"/>
          <w:szCs w:val="24"/>
        </w:rPr>
        <w:t>”</w:t>
      </w:r>
      <w:r w:rsidR="000A077B">
        <w:rPr>
          <w:rFonts w:eastAsia="Calibri"/>
          <w:szCs w:val="24"/>
        </w:rPr>
        <w:t xml:space="preserve"> </w:t>
      </w:r>
      <w:r w:rsidR="00CD6795">
        <w:rPr>
          <w:rFonts w:eastAsia="Calibri"/>
          <w:szCs w:val="24"/>
        </w:rPr>
        <w:t>or mak</w:t>
      </w:r>
      <w:r w:rsidR="0041239C">
        <w:rPr>
          <w:rFonts w:eastAsia="Calibri"/>
          <w:szCs w:val="24"/>
        </w:rPr>
        <w:t>e</w:t>
      </w:r>
      <w:r w:rsidR="00CD6795">
        <w:rPr>
          <w:rFonts w:eastAsia="Calibri"/>
          <w:szCs w:val="24"/>
        </w:rPr>
        <w:t xml:space="preserve"> “a public spectacle of” </w:t>
      </w:r>
      <w:r w:rsidR="000A077B">
        <w:rPr>
          <w:rFonts w:eastAsia="Calibri"/>
          <w:szCs w:val="24"/>
        </w:rPr>
        <w:t>this matter</w:t>
      </w:r>
      <w:r w:rsidR="00CD6795">
        <w:rPr>
          <w:rFonts w:eastAsia="Calibri"/>
          <w:szCs w:val="24"/>
        </w:rPr>
        <w:t>.</w:t>
      </w:r>
      <w:r w:rsidR="00CD6795">
        <w:rPr>
          <w:rStyle w:val="FootnoteReference"/>
          <w:rFonts w:eastAsia="Calibri"/>
          <w:szCs w:val="24"/>
        </w:rPr>
        <w:footnoteReference w:id="24"/>
      </w:r>
      <w:r w:rsidR="005F7D59">
        <w:rPr>
          <w:rFonts w:eastAsia="Calibri"/>
          <w:szCs w:val="24"/>
        </w:rPr>
        <w:t xml:space="preserve">  Here, AEP Ohio is grasping for something that cannot be found, which speaks to the emptiness of its arguments.  The truth is that, as even AEP Ohio appreciated during </w:t>
      </w:r>
      <w:r w:rsidR="00755F5F">
        <w:rPr>
          <w:rFonts w:eastAsia="Calibri"/>
          <w:szCs w:val="24"/>
        </w:rPr>
        <w:t>the time in question</w:t>
      </w:r>
      <w:r w:rsidR="005F7D59">
        <w:rPr>
          <w:rFonts w:eastAsia="Calibri"/>
          <w:szCs w:val="24"/>
        </w:rPr>
        <w:t>, OCC was circumspect in its views when outages occurred and service needed to be restored for many Ohioans.</w:t>
      </w:r>
      <w:r w:rsidR="00A1186E">
        <w:rPr>
          <w:rFonts w:eastAsia="Calibri"/>
          <w:szCs w:val="24"/>
        </w:rPr>
        <w:t xml:space="preserve">  After the fact of the storms, there needs to be a fair process for the PUCO and parties to review AEP Ohio’s proposed charges, which includes preparation time and public participation and which should not be constrained by AEP Ohio’s self-interested hyperbole. </w:t>
      </w:r>
    </w:p>
    <w:p w14:paraId="4E6836E1" w14:textId="53980CE8" w:rsidR="00C21637" w:rsidRDefault="00A1186E" w:rsidP="00D963ED">
      <w:pPr>
        <w:tabs>
          <w:tab w:val="left" w:pos="720"/>
        </w:tabs>
        <w:spacing w:line="480" w:lineRule="auto"/>
        <w:rPr>
          <w:rFonts w:eastAsia="Calibri"/>
          <w:szCs w:val="24"/>
        </w:rPr>
      </w:pPr>
      <w:r>
        <w:rPr>
          <w:rFonts w:eastAsia="Calibri"/>
          <w:szCs w:val="24"/>
        </w:rPr>
        <w:tab/>
        <w:t>L</w:t>
      </w:r>
      <w:r w:rsidR="00D01EE0">
        <w:rPr>
          <w:rFonts w:eastAsia="Calibri"/>
          <w:szCs w:val="24"/>
        </w:rPr>
        <w:t xml:space="preserve">ocal public hearings are </w:t>
      </w:r>
      <w:r w:rsidR="000A077B">
        <w:rPr>
          <w:rFonts w:eastAsia="Calibri"/>
          <w:szCs w:val="24"/>
        </w:rPr>
        <w:t xml:space="preserve">an opportunity for customers to </w:t>
      </w:r>
      <w:r w:rsidR="000A077B" w:rsidRPr="000D46E7">
        <w:rPr>
          <w:rFonts w:eastAsia="Calibri"/>
          <w:b/>
          <w:szCs w:val="24"/>
        </w:rPr>
        <w:t>voluntarily</w:t>
      </w:r>
      <w:r w:rsidR="000A077B">
        <w:rPr>
          <w:rFonts w:eastAsia="Calibri"/>
          <w:szCs w:val="24"/>
        </w:rPr>
        <w:t xml:space="preserve"> participate in this process </w:t>
      </w:r>
      <w:r w:rsidR="00D95E1A">
        <w:rPr>
          <w:rFonts w:eastAsia="Calibri"/>
          <w:szCs w:val="24"/>
        </w:rPr>
        <w:t>in order to assist the PUCO in determining whether AEP Ohio me</w:t>
      </w:r>
      <w:r w:rsidR="0041239C">
        <w:rPr>
          <w:rFonts w:eastAsia="Calibri"/>
          <w:szCs w:val="24"/>
        </w:rPr>
        <w:t>e</w:t>
      </w:r>
      <w:r w:rsidR="00D95E1A">
        <w:rPr>
          <w:rFonts w:eastAsia="Calibri"/>
          <w:szCs w:val="24"/>
        </w:rPr>
        <w:t>t</w:t>
      </w:r>
      <w:r w:rsidR="0041239C">
        <w:rPr>
          <w:rFonts w:eastAsia="Calibri"/>
          <w:szCs w:val="24"/>
        </w:rPr>
        <w:t>s</w:t>
      </w:r>
      <w:r w:rsidR="00D95E1A">
        <w:rPr>
          <w:rFonts w:eastAsia="Calibri"/>
          <w:szCs w:val="24"/>
        </w:rPr>
        <w:t xml:space="preserve"> its burden of establishing that the storm</w:t>
      </w:r>
      <w:r w:rsidR="000A077B">
        <w:rPr>
          <w:rFonts w:eastAsia="Calibri"/>
          <w:szCs w:val="24"/>
        </w:rPr>
        <w:t xml:space="preserve"> costs</w:t>
      </w:r>
      <w:r w:rsidR="00D95E1A">
        <w:rPr>
          <w:rFonts w:eastAsia="Calibri"/>
          <w:szCs w:val="24"/>
        </w:rPr>
        <w:t xml:space="preserve"> </w:t>
      </w:r>
      <w:r w:rsidR="000A077B">
        <w:rPr>
          <w:rFonts w:eastAsia="Calibri"/>
          <w:szCs w:val="24"/>
        </w:rPr>
        <w:t xml:space="preserve">were </w:t>
      </w:r>
      <w:r w:rsidR="00D95E1A">
        <w:rPr>
          <w:rFonts w:eastAsia="Calibri"/>
          <w:szCs w:val="24"/>
        </w:rPr>
        <w:t xml:space="preserve">reasonably and </w:t>
      </w:r>
      <w:r w:rsidR="000A077B">
        <w:rPr>
          <w:rFonts w:eastAsia="Calibri"/>
          <w:szCs w:val="24"/>
        </w:rPr>
        <w:t>prudently incurred.</w:t>
      </w:r>
      <w:r w:rsidR="000A077B">
        <w:rPr>
          <w:rStyle w:val="FootnoteReference"/>
          <w:rFonts w:eastAsia="Calibri"/>
          <w:szCs w:val="24"/>
        </w:rPr>
        <w:footnoteReference w:id="25"/>
      </w:r>
      <w:r w:rsidR="000A077B">
        <w:rPr>
          <w:rFonts w:eastAsia="Calibri"/>
          <w:szCs w:val="24"/>
        </w:rPr>
        <w:t xml:space="preserve"> </w:t>
      </w:r>
      <w:r w:rsidR="00B74B17">
        <w:rPr>
          <w:rFonts w:eastAsia="Calibri"/>
          <w:szCs w:val="24"/>
        </w:rPr>
        <w:t xml:space="preserve">AEP Ohio is asking to be made whole for the </w:t>
      </w:r>
      <w:r>
        <w:rPr>
          <w:rFonts w:eastAsia="Calibri"/>
          <w:szCs w:val="24"/>
        </w:rPr>
        <w:t xml:space="preserve">costs </w:t>
      </w:r>
      <w:r w:rsidR="00B74B17">
        <w:rPr>
          <w:rFonts w:eastAsia="Calibri"/>
          <w:szCs w:val="24"/>
        </w:rPr>
        <w:t xml:space="preserve">it </w:t>
      </w:r>
      <w:r>
        <w:rPr>
          <w:rFonts w:eastAsia="Calibri"/>
          <w:szCs w:val="24"/>
        </w:rPr>
        <w:t xml:space="preserve">incurred. </w:t>
      </w:r>
      <w:r w:rsidR="00B74B17">
        <w:rPr>
          <w:rFonts w:eastAsia="Calibri"/>
          <w:szCs w:val="24"/>
        </w:rPr>
        <w:t xml:space="preserve"> </w:t>
      </w:r>
      <w:r>
        <w:rPr>
          <w:rFonts w:eastAsia="Calibri"/>
          <w:szCs w:val="24"/>
        </w:rPr>
        <w:t>B</w:t>
      </w:r>
      <w:r w:rsidR="00B74B17">
        <w:rPr>
          <w:rFonts w:eastAsia="Calibri"/>
          <w:szCs w:val="24"/>
        </w:rPr>
        <w:t xml:space="preserve">ut </w:t>
      </w:r>
      <w:r>
        <w:rPr>
          <w:rFonts w:eastAsia="Calibri"/>
          <w:szCs w:val="24"/>
        </w:rPr>
        <w:t xml:space="preserve">it </w:t>
      </w:r>
      <w:r w:rsidR="00B74B17">
        <w:rPr>
          <w:rFonts w:eastAsia="Calibri"/>
          <w:szCs w:val="24"/>
        </w:rPr>
        <w:t>wants to</w:t>
      </w:r>
      <w:r>
        <w:rPr>
          <w:rFonts w:eastAsia="Calibri"/>
          <w:szCs w:val="24"/>
        </w:rPr>
        <w:t xml:space="preserve"> prevent the PUCO from hearing first-hand from </w:t>
      </w:r>
      <w:r w:rsidR="00B74B17">
        <w:rPr>
          <w:rFonts w:eastAsia="Calibri"/>
          <w:szCs w:val="24"/>
        </w:rPr>
        <w:t xml:space="preserve">those </w:t>
      </w:r>
      <w:r w:rsidR="00D01EE0">
        <w:rPr>
          <w:rFonts w:eastAsia="Calibri"/>
          <w:szCs w:val="24"/>
        </w:rPr>
        <w:t xml:space="preserve">who </w:t>
      </w:r>
      <w:r w:rsidR="00B74B17">
        <w:rPr>
          <w:rFonts w:eastAsia="Calibri"/>
          <w:szCs w:val="24"/>
        </w:rPr>
        <w:t xml:space="preserve">lived without power, </w:t>
      </w:r>
      <w:r w:rsidR="00D01EE0">
        <w:rPr>
          <w:rFonts w:eastAsia="Calibri"/>
          <w:szCs w:val="24"/>
        </w:rPr>
        <w:t xml:space="preserve">who </w:t>
      </w:r>
      <w:r w:rsidR="00B74B17">
        <w:rPr>
          <w:rFonts w:eastAsia="Calibri"/>
          <w:szCs w:val="24"/>
        </w:rPr>
        <w:t xml:space="preserve">lost </w:t>
      </w:r>
      <w:r w:rsidR="00D01EE0">
        <w:rPr>
          <w:rFonts w:eastAsia="Calibri"/>
          <w:szCs w:val="24"/>
        </w:rPr>
        <w:t xml:space="preserve">hundreds of dollars in </w:t>
      </w:r>
      <w:r w:rsidR="00B74B17">
        <w:rPr>
          <w:rFonts w:eastAsia="Calibri"/>
          <w:szCs w:val="24"/>
        </w:rPr>
        <w:t xml:space="preserve">food, </w:t>
      </w:r>
      <w:r w:rsidR="00D01EE0">
        <w:rPr>
          <w:rFonts w:eastAsia="Calibri"/>
          <w:szCs w:val="24"/>
        </w:rPr>
        <w:t xml:space="preserve">who </w:t>
      </w:r>
      <w:r w:rsidR="00B74B17">
        <w:rPr>
          <w:rFonts w:eastAsia="Calibri"/>
          <w:szCs w:val="24"/>
        </w:rPr>
        <w:t xml:space="preserve">went without running water, and </w:t>
      </w:r>
      <w:r w:rsidR="00D01EE0">
        <w:rPr>
          <w:rFonts w:eastAsia="Calibri"/>
          <w:szCs w:val="24"/>
        </w:rPr>
        <w:t xml:space="preserve">who had no </w:t>
      </w:r>
      <w:r w:rsidR="00B74B17">
        <w:rPr>
          <w:rFonts w:eastAsia="Calibri"/>
          <w:szCs w:val="24"/>
        </w:rPr>
        <w:t>air conditioning</w:t>
      </w:r>
      <w:r w:rsidR="000A077B">
        <w:rPr>
          <w:rFonts w:eastAsia="Calibri"/>
          <w:szCs w:val="24"/>
        </w:rPr>
        <w:t xml:space="preserve"> </w:t>
      </w:r>
      <w:r w:rsidR="00D01EE0">
        <w:rPr>
          <w:rFonts w:eastAsia="Calibri"/>
          <w:szCs w:val="24"/>
        </w:rPr>
        <w:t xml:space="preserve">for an extended period </w:t>
      </w:r>
      <w:r>
        <w:rPr>
          <w:rFonts w:eastAsia="Calibri"/>
          <w:szCs w:val="24"/>
        </w:rPr>
        <w:t xml:space="preserve">of a very hot </w:t>
      </w:r>
      <w:r w:rsidR="000A077B">
        <w:rPr>
          <w:rFonts w:eastAsia="Calibri"/>
          <w:szCs w:val="24"/>
        </w:rPr>
        <w:t>summer</w:t>
      </w:r>
      <w:r w:rsidR="00B74B17">
        <w:rPr>
          <w:rFonts w:eastAsia="Calibri"/>
          <w:szCs w:val="24"/>
        </w:rPr>
        <w:t xml:space="preserve">.  </w:t>
      </w:r>
      <w:r w:rsidR="00A231C0">
        <w:rPr>
          <w:rFonts w:eastAsia="Calibri"/>
          <w:szCs w:val="24"/>
        </w:rPr>
        <w:t xml:space="preserve">That’s not fair to </w:t>
      </w:r>
      <w:r w:rsidR="000E14DF">
        <w:rPr>
          <w:rFonts w:eastAsia="Calibri"/>
          <w:szCs w:val="24"/>
        </w:rPr>
        <w:t>Ohioans</w:t>
      </w:r>
      <w:r w:rsidR="00B74B17">
        <w:rPr>
          <w:rFonts w:eastAsia="Calibri"/>
          <w:szCs w:val="24"/>
        </w:rPr>
        <w:t xml:space="preserve">.  Instead, </w:t>
      </w:r>
      <w:r w:rsidR="00600EB1">
        <w:rPr>
          <w:rFonts w:eastAsia="Calibri"/>
          <w:szCs w:val="24"/>
        </w:rPr>
        <w:t>the PUCO</w:t>
      </w:r>
      <w:r w:rsidR="00B74B17">
        <w:rPr>
          <w:rFonts w:eastAsia="Calibri"/>
          <w:szCs w:val="24"/>
        </w:rPr>
        <w:t xml:space="preserve"> should grant OCC’s Motion</w:t>
      </w:r>
      <w:r w:rsidR="000A077B">
        <w:rPr>
          <w:rFonts w:eastAsia="Calibri"/>
          <w:szCs w:val="24"/>
        </w:rPr>
        <w:t>,</w:t>
      </w:r>
      <w:r w:rsidR="00B74B17">
        <w:rPr>
          <w:rFonts w:eastAsia="Calibri"/>
          <w:szCs w:val="24"/>
        </w:rPr>
        <w:t xml:space="preserve"> </w:t>
      </w:r>
      <w:r w:rsidR="00A02F52">
        <w:rPr>
          <w:rFonts w:eastAsia="Calibri"/>
          <w:szCs w:val="24"/>
        </w:rPr>
        <w:t xml:space="preserve">which requests </w:t>
      </w:r>
      <w:r w:rsidR="00D01EE0">
        <w:rPr>
          <w:rFonts w:eastAsia="Calibri"/>
          <w:szCs w:val="24"/>
        </w:rPr>
        <w:t xml:space="preserve">local public </w:t>
      </w:r>
      <w:r w:rsidR="00A02F52">
        <w:rPr>
          <w:rFonts w:eastAsia="Calibri"/>
          <w:szCs w:val="24"/>
        </w:rPr>
        <w:t>hearings to take place in</w:t>
      </w:r>
      <w:r w:rsidR="00B74B17">
        <w:rPr>
          <w:rFonts w:eastAsia="Calibri"/>
          <w:szCs w:val="24"/>
        </w:rPr>
        <w:t xml:space="preserve"> a diverse cross-section of AEP Ohio’s electric </w:t>
      </w:r>
      <w:r w:rsidR="000A077B">
        <w:rPr>
          <w:rFonts w:eastAsia="Calibri"/>
          <w:szCs w:val="24"/>
        </w:rPr>
        <w:t xml:space="preserve">distribution </w:t>
      </w:r>
      <w:r w:rsidR="00B74B17">
        <w:rPr>
          <w:rFonts w:eastAsia="Calibri"/>
          <w:szCs w:val="24"/>
        </w:rPr>
        <w:t>territory that was affected by the storm outages in June and July 2012.</w:t>
      </w:r>
      <w:r w:rsidR="00D01EE0">
        <w:rPr>
          <w:rFonts w:eastAsia="Calibri"/>
          <w:szCs w:val="24"/>
        </w:rPr>
        <w:t xml:space="preserve">  </w:t>
      </w:r>
    </w:p>
    <w:p w14:paraId="5A637C6A" w14:textId="6201FA4D" w:rsidR="000E1AD0" w:rsidRPr="000E1AD0" w:rsidRDefault="000E1AD0" w:rsidP="00D963ED">
      <w:pPr>
        <w:numPr>
          <w:ilvl w:val="0"/>
          <w:numId w:val="22"/>
        </w:numPr>
        <w:tabs>
          <w:tab w:val="left" w:pos="720"/>
        </w:tabs>
        <w:spacing w:before="240" w:line="480" w:lineRule="auto"/>
        <w:ind w:left="720"/>
        <w:rPr>
          <w:b/>
        </w:rPr>
      </w:pPr>
      <w:r w:rsidRPr="000E1AD0">
        <w:rPr>
          <w:b/>
        </w:rPr>
        <w:t>CONCLUSION</w:t>
      </w:r>
    </w:p>
    <w:p w14:paraId="45A9413F" w14:textId="6DBA732A" w:rsidR="000E1AD0" w:rsidRPr="000E1AD0" w:rsidRDefault="000E1AD0" w:rsidP="000E1AD0">
      <w:pPr>
        <w:tabs>
          <w:tab w:val="left" w:pos="720"/>
        </w:tabs>
        <w:spacing w:line="480" w:lineRule="auto"/>
        <w:rPr>
          <w:szCs w:val="24"/>
        </w:rPr>
      </w:pPr>
      <w:r w:rsidRPr="000E1AD0">
        <w:rPr>
          <w:rFonts w:eastAsia="Calibri"/>
          <w:szCs w:val="24"/>
        </w:rPr>
        <w:tab/>
      </w:r>
      <w:r w:rsidR="00E96A54">
        <w:rPr>
          <w:rFonts w:eastAsia="Calibri"/>
          <w:szCs w:val="24"/>
        </w:rPr>
        <w:t xml:space="preserve">AEP Ohio’s arguments against OCC’s Motion are baseless.  </w:t>
      </w:r>
      <w:r w:rsidRPr="000E1AD0">
        <w:rPr>
          <w:rFonts w:eastAsia="Calibri"/>
          <w:szCs w:val="24"/>
        </w:rPr>
        <w:t>The</w:t>
      </w:r>
      <w:r w:rsidR="00246CED">
        <w:rPr>
          <w:rFonts w:eastAsia="Calibri"/>
          <w:szCs w:val="24"/>
        </w:rPr>
        <w:t>refore, the</w:t>
      </w:r>
      <w:r w:rsidRPr="000E1AD0">
        <w:rPr>
          <w:rFonts w:eastAsia="Calibri"/>
          <w:szCs w:val="24"/>
        </w:rPr>
        <w:t xml:space="preserve"> PUCO should </w:t>
      </w:r>
      <w:r w:rsidR="00A45FBF">
        <w:rPr>
          <w:rFonts w:eastAsia="Calibri"/>
          <w:szCs w:val="24"/>
        </w:rPr>
        <w:t xml:space="preserve">favor due process by </w:t>
      </w:r>
      <w:r w:rsidRPr="000E1AD0">
        <w:rPr>
          <w:rFonts w:eastAsia="Calibri"/>
          <w:szCs w:val="24"/>
        </w:rPr>
        <w:t>grant</w:t>
      </w:r>
      <w:r w:rsidR="00A45FBF">
        <w:rPr>
          <w:rFonts w:eastAsia="Calibri"/>
          <w:szCs w:val="24"/>
        </w:rPr>
        <w:t>ing</w:t>
      </w:r>
      <w:r w:rsidRPr="000E1AD0">
        <w:rPr>
          <w:rFonts w:eastAsia="Calibri"/>
          <w:szCs w:val="24"/>
        </w:rPr>
        <w:t xml:space="preserve"> OCC’s Motion </w:t>
      </w:r>
      <w:r w:rsidR="00E96A54">
        <w:rPr>
          <w:rFonts w:eastAsia="Calibri"/>
          <w:szCs w:val="24"/>
        </w:rPr>
        <w:t xml:space="preserve">and </w:t>
      </w:r>
      <w:r w:rsidRPr="000E1AD0">
        <w:rPr>
          <w:rFonts w:eastAsia="Calibri"/>
          <w:szCs w:val="24"/>
        </w:rPr>
        <w:t>adopt</w:t>
      </w:r>
      <w:r w:rsidR="00A45FBF">
        <w:rPr>
          <w:rFonts w:eastAsia="Calibri"/>
          <w:szCs w:val="24"/>
        </w:rPr>
        <w:t>ing</w:t>
      </w:r>
      <w:r w:rsidRPr="000E1AD0">
        <w:rPr>
          <w:rFonts w:eastAsia="Calibri"/>
          <w:szCs w:val="24"/>
        </w:rPr>
        <w:t xml:space="preserve"> the procedural schedule </w:t>
      </w:r>
      <w:r w:rsidR="00E96A54">
        <w:rPr>
          <w:rFonts w:eastAsia="Calibri"/>
          <w:szCs w:val="24"/>
        </w:rPr>
        <w:t xml:space="preserve">OCC </w:t>
      </w:r>
      <w:r w:rsidRPr="000E1AD0">
        <w:rPr>
          <w:rFonts w:eastAsia="Calibri"/>
          <w:szCs w:val="24"/>
        </w:rPr>
        <w:t>proposed</w:t>
      </w:r>
      <w:r w:rsidR="00E96A54">
        <w:rPr>
          <w:rFonts w:eastAsia="Calibri"/>
          <w:szCs w:val="24"/>
        </w:rPr>
        <w:t>.</w:t>
      </w:r>
      <w:r w:rsidRPr="000E1AD0">
        <w:rPr>
          <w:rFonts w:eastAsia="Calibri"/>
          <w:szCs w:val="24"/>
        </w:rPr>
        <w:t xml:space="preserve"> </w:t>
      </w:r>
      <w:r w:rsidR="00D12D2E">
        <w:rPr>
          <w:rFonts w:eastAsia="Calibri"/>
          <w:szCs w:val="24"/>
        </w:rPr>
        <w:t xml:space="preserve"> </w:t>
      </w:r>
      <w:r w:rsidR="00A45FBF">
        <w:rPr>
          <w:rFonts w:eastAsia="Calibri"/>
          <w:szCs w:val="24"/>
        </w:rPr>
        <w:t>And t</w:t>
      </w:r>
      <w:r w:rsidR="00E96A54">
        <w:rPr>
          <w:rFonts w:eastAsia="Calibri"/>
          <w:szCs w:val="24"/>
        </w:rPr>
        <w:t xml:space="preserve">he PUCO should </w:t>
      </w:r>
      <w:r w:rsidR="00A45FBF">
        <w:rPr>
          <w:rFonts w:eastAsia="Calibri"/>
          <w:szCs w:val="24"/>
        </w:rPr>
        <w:t xml:space="preserve">favor public participation in its processes by </w:t>
      </w:r>
      <w:r>
        <w:rPr>
          <w:rFonts w:eastAsia="Calibri"/>
          <w:szCs w:val="24"/>
        </w:rPr>
        <w:t xml:space="preserve">scheduling </w:t>
      </w:r>
      <w:r w:rsidRPr="000E1AD0">
        <w:rPr>
          <w:rFonts w:eastAsia="Calibri"/>
          <w:szCs w:val="24"/>
        </w:rPr>
        <w:t>local public hearings in Athens, Columbus, Findlay, Newark and Portsmouth, Ohio.</w:t>
      </w:r>
    </w:p>
    <w:p w14:paraId="10FF0EDB" w14:textId="77777777" w:rsidR="009D6B05" w:rsidRDefault="009D6B05">
      <w:pPr>
        <w:autoSpaceDE w:val="0"/>
        <w:autoSpaceDN w:val="0"/>
        <w:adjustRightInd w:val="0"/>
        <w:ind w:left="4320"/>
        <w:rPr>
          <w:szCs w:val="24"/>
        </w:rPr>
      </w:pPr>
      <w:r>
        <w:rPr>
          <w:szCs w:val="24"/>
        </w:rPr>
        <w:t>Respectfully submitted,</w:t>
      </w:r>
    </w:p>
    <w:p w14:paraId="23E99F3B" w14:textId="77777777" w:rsidR="009D6B05" w:rsidRDefault="009D6B05">
      <w:pPr>
        <w:autoSpaceDE w:val="0"/>
        <w:autoSpaceDN w:val="0"/>
        <w:adjustRightInd w:val="0"/>
        <w:ind w:left="4320"/>
        <w:rPr>
          <w:szCs w:val="24"/>
        </w:rPr>
      </w:pPr>
    </w:p>
    <w:p w14:paraId="548E72B3" w14:textId="77777777" w:rsidR="009D6B05" w:rsidRDefault="009D6B05">
      <w:pPr>
        <w:pStyle w:val="Footer"/>
        <w:tabs>
          <w:tab w:val="clear" w:pos="8640"/>
          <w:tab w:val="left" w:pos="4320"/>
        </w:tabs>
        <w:ind w:left="4320"/>
        <w:rPr>
          <w:sz w:val="24"/>
          <w:szCs w:val="24"/>
        </w:rPr>
      </w:pPr>
      <w:r>
        <w:rPr>
          <w:sz w:val="24"/>
          <w:szCs w:val="24"/>
        </w:rPr>
        <w:t>BRUCE J. WESTON</w:t>
      </w:r>
    </w:p>
    <w:p w14:paraId="77D315D0" w14:textId="77777777" w:rsidR="009D6B05" w:rsidRDefault="009D6B05">
      <w:pPr>
        <w:tabs>
          <w:tab w:val="left" w:pos="4320"/>
        </w:tabs>
        <w:ind w:left="4320"/>
        <w:rPr>
          <w:szCs w:val="24"/>
        </w:rPr>
      </w:pPr>
      <w:r>
        <w:rPr>
          <w:szCs w:val="24"/>
        </w:rPr>
        <w:t>OHIO CONSUMERS’ COUNSEL</w:t>
      </w:r>
    </w:p>
    <w:p w14:paraId="77F8D621" w14:textId="77777777" w:rsidR="009D6B05" w:rsidRDefault="009D6B05">
      <w:pPr>
        <w:tabs>
          <w:tab w:val="left" w:pos="4320"/>
        </w:tabs>
        <w:rPr>
          <w:szCs w:val="24"/>
        </w:rPr>
      </w:pPr>
      <w:r>
        <w:rPr>
          <w:szCs w:val="24"/>
        </w:rPr>
        <w:tab/>
      </w:r>
    </w:p>
    <w:p w14:paraId="203B9CB6" w14:textId="77777777" w:rsidR="009D6B05" w:rsidRDefault="009D6B05">
      <w:pPr>
        <w:tabs>
          <w:tab w:val="left" w:pos="4320"/>
        </w:tabs>
        <w:rPr>
          <w:u w:val="single"/>
        </w:rPr>
      </w:pPr>
      <w:r>
        <w:rPr>
          <w:szCs w:val="24"/>
        </w:rPr>
        <w:tab/>
      </w:r>
      <w:r w:rsidR="00884CD9">
        <w:rPr>
          <w:i/>
          <w:szCs w:val="24"/>
          <w:u w:val="single"/>
        </w:rPr>
        <w:t>/s/ Terry L. Etter</w:t>
      </w:r>
      <w:r w:rsidR="00884CD9">
        <w:rPr>
          <w:i/>
          <w:szCs w:val="24"/>
          <w:u w:val="single"/>
        </w:rPr>
        <w:tab/>
      </w:r>
      <w:r w:rsidR="00884CD9">
        <w:rPr>
          <w:i/>
          <w:szCs w:val="24"/>
          <w:u w:val="single"/>
        </w:rPr>
        <w:tab/>
      </w:r>
      <w:r w:rsidR="00884CD9">
        <w:rPr>
          <w:i/>
          <w:szCs w:val="24"/>
          <w:u w:val="single"/>
        </w:rPr>
        <w:tab/>
      </w:r>
      <w:r w:rsidR="00884CD9">
        <w:rPr>
          <w:i/>
          <w:szCs w:val="24"/>
          <w:u w:val="single"/>
        </w:rPr>
        <w:tab/>
      </w:r>
    </w:p>
    <w:p w14:paraId="29F7BB2D" w14:textId="77777777" w:rsidR="009D6B05" w:rsidRDefault="009D6B05">
      <w:pPr>
        <w:tabs>
          <w:tab w:val="left" w:pos="4320"/>
        </w:tabs>
        <w:ind w:left="4320"/>
        <w:rPr>
          <w:szCs w:val="24"/>
        </w:rPr>
      </w:pPr>
      <w:r>
        <w:rPr>
          <w:szCs w:val="24"/>
        </w:rPr>
        <w:t>Terry L. Etter, Counsel of Record</w:t>
      </w:r>
    </w:p>
    <w:p w14:paraId="1FD464A6" w14:textId="77777777" w:rsidR="009D6B05" w:rsidRDefault="009D6B05">
      <w:pPr>
        <w:tabs>
          <w:tab w:val="left" w:pos="4320"/>
        </w:tabs>
        <w:ind w:left="4320"/>
        <w:rPr>
          <w:szCs w:val="24"/>
        </w:rPr>
      </w:pPr>
      <w:r>
        <w:rPr>
          <w:szCs w:val="24"/>
        </w:rPr>
        <w:t>Michael J. Schuler</w:t>
      </w:r>
    </w:p>
    <w:p w14:paraId="3225E9BB" w14:textId="77777777" w:rsidR="009D6B05" w:rsidRDefault="009D6B05">
      <w:pPr>
        <w:tabs>
          <w:tab w:val="left" w:pos="4320"/>
        </w:tabs>
        <w:ind w:left="4320"/>
        <w:rPr>
          <w:szCs w:val="24"/>
        </w:rPr>
      </w:pPr>
      <w:r>
        <w:rPr>
          <w:szCs w:val="24"/>
        </w:rPr>
        <w:t>Assistant Consumers’ Counsel</w:t>
      </w:r>
    </w:p>
    <w:p w14:paraId="3B14F210" w14:textId="77777777" w:rsidR="009D6B05" w:rsidRPr="004B5118" w:rsidRDefault="009D6B05" w:rsidP="00D12D2E">
      <w:pPr>
        <w:spacing w:before="120"/>
        <w:ind w:left="4320"/>
        <w:rPr>
          <w:b/>
        </w:rPr>
      </w:pPr>
      <w:r w:rsidRPr="004B5118">
        <w:rPr>
          <w:b/>
        </w:rPr>
        <w:t>Office of the Ohio Consumers’ Counsel</w:t>
      </w:r>
    </w:p>
    <w:p w14:paraId="2D9727DB" w14:textId="77777777" w:rsidR="009D6B05" w:rsidRPr="00B34484" w:rsidRDefault="009D6B05" w:rsidP="00B34484">
      <w:pPr>
        <w:ind w:left="4320"/>
      </w:pPr>
      <w:r w:rsidRPr="00B34484">
        <w:t>10 West Broad Street, Suite 1800</w:t>
      </w:r>
    </w:p>
    <w:p w14:paraId="1AE0C072" w14:textId="77777777" w:rsidR="009D6B05" w:rsidRPr="00B34484" w:rsidRDefault="009D6B05" w:rsidP="00B34484">
      <w:pPr>
        <w:ind w:left="4320"/>
      </w:pPr>
      <w:r w:rsidRPr="00B34484">
        <w:t>Columbus, Ohio 43215-3485</w:t>
      </w:r>
    </w:p>
    <w:p w14:paraId="3B439E9F" w14:textId="77777777" w:rsidR="009D6B05" w:rsidRDefault="009D6B05">
      <w:pPr>
        <w:ind w:left="4320"/>
        <w:rPr>
          <w:szCs w:val="24"/>
        </w:rPr>
      </w:pPr>
      <w:r>
        <w:t xml:space="preserve">Telephone: (614) </w:t>
      </w:r>
      <w:r>
        <w:rPr>
          <w:szCs w:val="24"/>
        </w:rPr>
        <w:t>466-7964 (Etter direct)</w:t>
      </w:r>
    </w:p>
    <w:p w14:paraId="2C28FEFF" w14:textId="77777777" w:rsidR="009D6B05" w:rsidRDefault="009D6B05">
      <w:pPr>
        <w:ind w:left="4320"/>
        <w:rPr>
          <w:szCs w:val="24"/>
        </w:rPr>
      </w:pPr>
      <w:r>
        <w:t xml:space="preserve">Telephone: (614) </w:t>
      </w:r>
      <w:r>
        <w:rPr>
          <w:szCs w:val="24"/>
        </w:rPr>
        <w:t>466-9547 (Schuler direct)</w:t>
      </w:r>
    </w:p>
    <w:p w14:paraId="3BCB502F" w14:textId="5F5E15F3" w:rsidR="009D6B05" w:rsidRDefault="005F425A">
      <w:pPr>
        <w:ind w:left="4320"/>
        <w:rPr>
          <w:szCs w:val="24"/>
        </w:rPr>
      </w:pPr>
      <w:hyperlink r:id="rId8" w:history="1">
        <w:r w:rsidR="0039157C" w:rsidRPr="008812B8">
          <w:rPr>
            <w:rStyle w:val="Hyperlink"/>
            <w:szCs w:val="24"/>
          </w:rPr>
          <w:t>etter@occ.state.oh.us</w:t>
        </w:r>
      </w:hyperlink>
    </w:p>
    <w:p w14:paraId="36ED34F2" w14:textId="7A32DC65" w:rsidR="0039157C" w:rsidRDefault="005F425A">
      <w:pPr>
        <w:ind w:left="4320"/>
        <w:rPr>
          <w:szCs w:val="24"/>
        </w:rPr>
      </w:pPr>
      <w:hyperlink r:id="rId9" w:history="1">
        <w:r w:rsidR="0039157C" w:rsidRPr="008812B8">
          <w:rPr>
            <w:rStyle w:val="Hyperlink"/>
            <w:szCs w:val="24"/>
          </w:rPr>
          <w:t>schuler@occ.state.oh.us</w:t>
        </w:r>
      </w:hyperlink>
    </w:p>
    <w:p w14:paraId="604B61F3" w14:textId="31174CCD" w:rsidR="0039157C" w:rsidRPr="00746C80" w:rsidRDefault="0039157C" w:rsidP="00D623D0">
      <w:pPr>
        <w:ind w:left="4320"/>
        <w:rPr>
          <w:szCs w:val="24"/>
        </w:rPr>
      </w:pPr>
    </w:p>
    <w:p w14:paraId="1FE64220" w14:textId="77777777" w:rsidR="00E133CA" w:rsidRDefault="00E133CA" w:rsidP="00562248">
      <w:pPr>
        <w:jc w:val="center"/>
        <w:rPr>
          <w:b/>
          <w:bCs/>
          <w:u w:val="single"/>
        </w:rPr>
      </w:pPr>
    </w:p>
    <w:p w14:paraId="1F3EC5D9" w14:textId="7D1ABC93" w:rsidR="009D6B05" w:rsidRPr="00D623D0" w:rsidRDefault="004B5118" w:rsidP="00562248">
      <w:pPr>
        <w:jc w:val="center"/>
        <w:rPr>
          <w:szCs w:val="24"/>
        </w:rPr>
      </w:pPr>
      <w:r>
        <w:rPr>
          <w:b/>
          <w:bCs/>
          <w:u w:val="single"/>
        </w:rPr>
        <w:br w:type="page"/>
      </w:r>
      <w:r w:rsidR="009D6B05">
        <w:rPr>
          <w:b/>
          <w:bCs/>
          <w:u w:val="single"/>
        </w:rPr>
        <w:t>CERTIFICATE OF SERVICE</w:t>
      </w:r>
    </w:p>
    <w:p w14:paraId="4638EAF4" w14:textId="528D0756" w:rsidR="009D6B05" w:rsidRDefault="009D6B05">
      <w:pPr>
        <w:spacing w:line="480" w:lineRule="atLeast"/>
      </w:pPr>
      <w:r>
        <w:tab/>
        <w:t xml:space="preserve">I hereby certify that a copy of the foregoing </w:t>
      </w:r>
      <w:r w:rsidR="000E1AD0">
        <w:t>Reply</w:t>
      </w:r>
      <w:r w:rsidR="00F73EA5">
        <w:t xml:space="preserve"> </w:t>
      </w:r>
      <w:r>
        <w:t xml:space="preserve">was served on the persons stated below via </w:t>
      </w:r>
      <w:r w:rsidR="00746C80">
        <w:t>electronic service</w:t>
      </w:r>
      <w:r>
        <w:t xml:space="preserve"> this </w:t>
      </w:r>
      <w:r w:rsidR="000E1AD0">
        <w:t>1</w:t>
      </w:r>
      <w:r w:rsidR="000E1AD0" w:rsidRPr="007818E4">
        <w:rPr>
          <w:vertAlign w:val="superscript"/>
        </w:rPr>
        <w:t>st</w:t>
      </w:r>
      <w:r w:rsidR="007818E4">
        <w:t xml:space="preserve"> </w:t>
      </w:r>
      <w:r>
        <w:t xml:space="preserve">day of </w:t>
      </w:r>
      <w:r w:rsidR="000E1AD0">
        <w:t>August</w:t>
      </w:r>
      <w:r>
        <w:t xml:space="preserve"> 2013.</w:t>
      </w:r>
    </w:p>
    <w:p w14:paraId="109A6A4F" w14:textId="77777777" w:rsidR="009D6B05" w:rsidRDefault="009D6B05">
      <w:pPr>
        <w:tabs>
          <w:tab w:val="left" w:pos="4320"/>
        </w:tabs>
      </w:pPr>
    </w:p>
    <w:p w14:paraId="39F5899F" w14:textId="77777777" w:rsidR="009D6B05" w:rsidRDefault="009D6B05">
      <w:pPr>
        <w:tabs>
          <w:tab w:val="left" w:pos="4320"/>
        </w:tabs>
      </w:pPr>
    </w:p>
    <w:p w14:paraId="1BAD5C20" w14:textId="77777777" w:rsidR="009D6B05" w:rsidRDefault="009D6B05">
      <w:pPr>
        <w:tabs>
          <w:tab w:val="left" w:pos="4320"/>
        </w:tabs>
        <w:rPr>
          <w:u w:val="single"/>
        </w:rPr>
      </w:pPr>
      <w:r>
        <w:rPr>
          <w:szCs w:val="24"/>
        </w:rPr>
        <w:tab/>
      </w:r>
      <w:r w:rsidR="00884CD9">
        <w:rPr>
          <w:i/>
          <w:szCs w:val="24"/>
          <w:u w:val="single"/>
        </w:rPr>
        <w:t>/s/ Terry L. Etter</w:t>
      </w:r>
      <w:r w:rsidR="00884CD9">
        <w:rPr>
          <w:i/>
          <w:szCs w:val="24"/>
          <w:u w:val="single"/>
        </w:rPr>
        <w:tab/>
      </w:r>
      <w:r w:rsidR="00884CD9">
        <w:rPr>
          <w:i/>
          <w:szCs w:val="24"/>
          <w:u w:val="single"/>
        </w:rPr>
        <w:tab/>
      </w:r>
      <w:r w:rsidR="00884CD9">
        <w:rPr>
          <w:i/>
          <w:szCs w:val="24"/>
          <w:u w:val="single"/>
        </w:rPr>
        <w:tab/>
      </w:r>
      <w:r>
        <w:rPr>
          <w:u w:val="single"/>
        </w:rPr>
        <w:t> </w:t>
      </w:r>
    </w:p>
    <w:p w14:paraId="64B3F66A" w14:textId="77777777" w:rsidR="009D6B05" w:rsidRDefault="009D6B05">
      <w:pPr>
        <w:tabs>
          <w:tab w:val="left" w:pos="4320"/>
        </w:tabs>
        <w:ind w:left="4320"/>
        <w:rPr>
          <w:szCs w:val="24"/>
        </w:rPr>
      </w:pPr>
      <w:r>
        <w:rPr>
          <w:szCs w:val="24"/>
        </w:rPr>
        <w:t>Terry L. Etter</w:t>
      </w:r>
    </w:p>
    <w:p w14:paraId="67012296" w14:textId="77777777" w:rsidR="009D6B05" w:rsidRDefault="009D6B05">
      <w:pPr>
        <w:tabs>
          <w:tab w:val="left" w:pos="4320"/>
        </w:tabs>
      </w:pPr>
      <w:r>
        <w:tab/>
        <w:t>Assistant Consumers’ Counsel</w:t>
      </w:r>
    </w:p>
    <w:p w14:paraId="3198CBC7" w14:textId="77777777" w:rsidR="009D6B05" w:rsidRDefault="009D6B05">
      <w:pPr>
        <w:pStyle w:val="CommentSubject"/>
      </w:pPr>
    </w:p>
    <w:p w14:paraId="4DCE71BA" w14:textId="77777777" w:rsidR="009D6B05" w:rsidRDefault="009D6B05">
      <w:pPr>
        <w:pStyle w:val="CommentText"/>
      </w:pPr>
    </w:p>
    <w:p w14:paraId="03EDBDA6" w14:textId="77777777" w:rsidR="009D6B05" w:rsidRDefault="009D6B05">
      <w:pPr>
        <w:pStyle w:val="CommentText"/>
        <w:jc w:val="center"/>
        <w:rPr>
          <w:b/>
          <w:u w:val="single"/>
        </w:rPr>
      </w:pPr>
      <w:r>
        <w:rPr>
          <w:b/>
          <w:u w:val="single"/>
        </w:rPr>
        <w:t>SERVICE LIST</w:t>
      </w:r>
    </w:p>
    <w:p w14:paraId="66081369" w14:textId="77777777" w:rsidR="0039157C" w:rsidRDefault="0039157C" w:rsidP="0039157C">
      <w:pPr>
        <w:rPr>
          <w:u w:val="single"/>
        </w:rPr>
      </w:pPr>
    </w:p>
    <w:tbl>
      <w:tblPr>
        <w:tblW w:w="0" w:type="auto"/>
        <w:tblLayout w:type="fixed"/>
        <w:tblLook w:val="0000" w:firstRow="0" w:lastRow="0" w:firstColumn="0" w:lastColumn="0" w:noHBand="0" w:noVBand="0"/>
      </w:tblPr>
      <w:tblGrid>
        <w:gridCol w:w="4428"/>
        <w:gridCol w:w="4428"/>
      </w:tblGrid>
      <w:tr w:rsidR="0039157C" w14:paraId="033C3F47" w14:textId="77777777" w:rsidTr="005452EA">
        <w:tc>
          <w:tcPr>
            <w:tcW w:w="4428" w:type="dxa"/>
            <w:shd w:val="clear" w:color="auto" w:fill="auto"/>
          </w:tcPr>
          <w:p w14:paraId="5EDD9615" w14:textId="73D3462A" w:rsidR="0039157C" w:rsidRDefault="005F425A" w:rsidP="005452EA">
            <w:pPr>
              <w:snapToGrid w:val="0"/>
              <w:jc w:val="both"/>
            </w:pPr>
            <w:hyperlink r:id="rId10" w:history="1">
              <w:r w:rsidR="0039157C">
                <w:rPr>
                  <w:rStyle w:val="Hyperlink"/>
                </w:rPr>
                <w:t>Werner.margard@puc.state.oh.us</w:t>
              </w:r>
            </w:hyperlink>
          </w:p>
          <w:p w14:paraId="75D395E4" w14:textId="3C7B6DA9" w:rsidR="0039157C" w:rsidRDefault="005F425A" w:rsidP="005452EA">
            <w:pPr>
              <w:jc w:val="both"/>
            </w:pPr>
            <w:hyperlink r:id="rId11" w:history="1">
              <w:r w:rsidR="0039157C">
                <w:rPr>
                  <w:rStyle w:val="Hyperlink"/>
                </w:rPr>
                <w:t>Ryan.orourke@puc.state.oh.us</w:t>
              </w:r>
            </w:hyperlink>
          </w:p>
          <w:p w14:paraId="512A4C1B" w14:textId="11F5B564" w:rsidR="0039157C" w:rsidRDefault="005F425A" w:rsidP="005452EA">
            <w:pPr>
              <w:autoSpaceDE w:val="0"/>
            </w:pPr>
            <w:hyperlink r:id="rId12" w:history="1">
              <w:r w:rsidR="0039157C">
                <w:rPr>
                  <w:rStyle w:val="Hyperlink"/>
                </w:rPr>
                <w:t>stnourse@aep.com</w:t>
              </w:r>
            </w:hyperlink>
          </w:p>
          <w:p w14:paraId="5EB68072" w14:textId="50BD96E5" w:rsidR="0039157C" w:rsidRDefault="005F425A" w:rsidP="005452EA">
            <w:pPr>
              <w:autoSpaceDE w:val="0"/>
            </w:pPr>
            <w:hyperlink r:id="rId13" w:history="1">
              <w:r w:rsidR="0039157C">
                <w:rPr>
                  <w:rStyle w:val="Hyperlink"/>
                </w:rPr>
                <w:t>mjsatterwhite@aep.com</w:t>
              </w:r>
            </w:hyperlink>
          </w:p>
          <w:p w14:paraId="1A6A910C" w14:textId="3636868E" w:rsidR="0039157C" w:rsidRDefault="005F425A" w:rsidP="005452EA">
            <w:pPr>
              <w:autoSpaceDE w:val="0"/>
            </w:pPr>
            <w:hyperlink r:id="rId14" w:history="1">
              <w:r w:rsidR="0039157C">
                <w:rPr>
                  <w:rStyle w:val="Hyperlink"/>
                </w:rPr>
                <w:t>tsiwo@bricker.com</w:t>
              </w:r>
            </w:hyperlink>
          </w:p>
          <w:p w14:paraId="054B47F7" w14:textId="43A58513" w:rsidR="0039157C" w:rsidRPr="00841AA2" w:rsidRDefault="005F425A" w:rsidP="005452EA">
            <w:pPr>
              <w:jc w:val="both"/>
              <w:rPr>
                <w:color w:val="0000FF"/>
                <w:szCs w:val="24"/>
              </w:rPr>
            </w:pPr>
            <w:hyperlink r:id="rId15" w:history="1">
              <w:r w:rsidR="0039157C" w:rsidRPr="00841AA2">
                <w:rPr>
                  <w:rStyle w:val="Hyperlink"/>
                  <w:szCs w:val="24"/>
                </w:rPr>
                <w:t>marmstrong@bricker.com</w:t>
              </w:r>
            </w:hyperlink>
          </w:p>
          <w:p w14:paraId="34147099" w14:textId="7F3E92EB" w:rsidR="0039157C" w:rsidRDefault="005F425A" w:rsidP="005452EA">
            <w:pPr>
              <w:jc w:val="both"/>
              <w:rPr>
                <w:color w:val="0000FF"/>
                <w:szCs w:val="24"/>
              </w:rPr>
            </w:pPr>
            <w:hyperlink r:id="rId16" w:history="1">
              <w:r w:rsidR="0039157C" w:rsidRPr="004377F2">
                <w:rPr>
                  <w:rStyle w:val="Hyperlink"/>
                  <w:szCs w:val="24"/>
                </w:rPr>
                <w:t>ricks@ohanet.org</w:t>
              </w:r>
            </w:hyperlink>
          </w:p>
          <w:p w14:paraId="0F307B52" w14:textId="2ACD94F9" w:rsidR="0039157C" w:rsidRDefault="005F425A" w:rsidP="005452EA">
            <w:pPr>
              <w:jc w:val="both"/>
              <w:rPr>
                <w:color w:val="0000FF"/>
                <w:szCs w:val="24"/>
              </w:rPr>
            </w:pPr>
            <w:hyperlink r:id="rId17" w:history="1">
              <w:r w:rsidR="0039157C" w:rsidRPr="004377F2">
                <w:rPr>
                  <w:rStyle w:val="Hyperlink"/>
                  <w:szCs w:val="24"/>
                </w:rPr>
                <w:t>tobrien@bricker.com</w:t>
              </w:r>
            </w:hyperlink>
          </w:p>
          <w:p w14:paraId="51F7B52E" w14:textId="77777777" w:rsidR="0039157C" w:rsidRDefault="0039157C" w:rsidP="005452EA">
            <w:pPr>
              <w:jc w:val="both"/>
              <w:rPr>
                <w:b/>
                <w:bCs/>
              </w:rPr>
            </w:pPr>
          </w:p>
          <w:p w14:paraId="26EE8EFD" w14:textId="2F545CEC" w:rsidR="0039157C" w:rsidRPr="00C23325" w:rsidRDefault="005F425A" w:rsidP="005452EA">
            <w:pPr>
              <w:jc w:val="both"/>
              <w:rPr>
                <w:bCs/>
              </w:rPr>
            </w:pPr>
            <w:hyperlink r:id="rId18" w:history="1">
              <w:r w:rsidR="0039157C" w:rsidRPr="00C23325">
                <w:rPr>
                  <w:rStyle w:val="Hyperlink"/>
                  <w:bCs/>
                </w:rPr>
                <w:t>sarah.parrot@puc.state.oh.us</w:t>
              </w:r>
            </w:hyperlink>
          </w:p>
          <w:p w14:paraId="28F03B41" w14:textId="3DA52441" w:rsidR="0039157C" w:rsidRPr="00C23325" w:rsidRDefault="005F425A" w:rsidP="005452EA">
            <w:pPr>
              <w:jc w:val="both"/>
              <w:rPr>
                <w:bCs/>
              </w:rPr>
            </w:pPr>
            <w:hyperlink r:id="rId19" w:history="1">
              <w:r w:rsidR="0039157C" w:rsidRPr="00C23325">
                <w:rPr>
                  <w:rStyle w:val="Hyperlink"/>
                  <w:bCs/>
                </w:rPr>
                <w:t>jonathan.tauber@puc.state.oh.us</w:t>
              </w:r>
            </w:hyperlink>
          </w:p>
          <w:p w14:paraId="231E010F" w14:textId="77777777" w:rsidR="0039157C" w:rsidRDefault="0039157C" w:rsidP="005452EA">
            <w:pPr>
              <w:jc w:val="both"/>
              <w:rPr>
                <w:b/>
                <w:bCs/>
              </w:rPr>
            </w:pPr>
          </w:p>
        </w:tc>
        <w:tc>
          <w:tcPr>
            <w:tcW w:w="4428" w:type="dxa"/>
            <w:shd w:val="clear" w:color="auto" w:fill="auto"/>
          </w:tcPr>
          <w:p w14:paraId="511B6B20" w14:textId="5FAE0012" w:rsidR="0039157C" w:rsidRDefault="005F425A" w:rsidP="005452EA">
            <w:pPr>
              <w:autoSpaceDE w:val="0"/>
              <w:snapToGrid w:val="0"/>
            </w:pPr>
            <w:hyperlink r:id="rId20" w:history="1">
              <w:r w:rsidR="0039157C">
                <w:rPr>
                  <w:rStyle w:val="Hyperlink"/>
                  <w:rFonts w:eastAsia="MS Mincho"/>
                </w:rPr>
                <w:t>dboehm@BKLlawfirm.com</w:t>
              </w:r>
            </w:hyperlink>
          </w:p>
          <w:p w14:paraId="23E979D4" w14:textId="0EFBEF5F" w:rsidR="0039157C" w:rsidRDefault="005F425A" w:rsidP="005452EA">
            <w:pPr>
              <w:autoSpaceDE w:val="0"/>
            </w:pPr>
            <w:hyperlink r:id="rId21" w:history="1">
              <w:r w:rsidR="0039157C">
                <w:rPr>
                  <w:rStyle w:val="Hyperlink"/>
                  <w:rFonts w:eastAsia="MS Mincho"/>
                </w:rPr>
                <w:t>mkurtz@BKLlawfirm.com</w:t>
              </w:r>
            </w:hyperlink>
          </w:p>
          <w:p w14:paraId="4EF36D44" w14:textId="2820AD5B" w:rsidR="0039157C" w:rsidRDefault="005F425A" w:rsidP="005452EA">
            <w:pPr>
              <w:jc w:val="both"/>
            </w:pPr>
            <w:hyperlink r:id="rId22" w:history="1">
              <w:r w:rsidR="0039157C">
                <w:rPr>
                  <w:rStyle w:val="Hyperlink"/>
                  <w:rFonts w:eastAsia="MS Mincho"/>
                </w:rPr>
                <w:t>jkylercohn@BKLlawfirm.com</w:t>
              </w:r>
            </w:hyperlink>
          </w:p>
          <w:p w14:paraId="6BB3ACD5" w14:textId="27384AA9" w:rsidR="0039157C" w:rsidRDefault="005F425A" w:rsidP="005452EA">
            <w:pPr>
              <w:autoSpaceDE w:val="0"/>
            </w:pPr>
            <w:hyperlink r:id="rId23" w:history="1">
              <w:r w:rsidR="0039157C">
                <w:rPr>
                  <w:rStyle w:val="Hyperlink"/>
                </w:rPr>
                <w:t>myurick@taftlaw.com</w:t>
              </w:r>
            </w:hyperlink>
          </w:p>
          <w:p w14:paraId="66FA4D21" w14:textId="561E9C32" w:rsidR="0039157C" w:rsidRDefault="005F425A" w:rsidP="005452EA">
            <w:pPr>
              <w:autoSpaceDE w:val="0"/>
            </w:pPr>
            <w:hyperlink r:id="rId24" w:history="1">
              <w:r w:rsidR="0039157C">
                <w:rPr>
                  <w:rStyle w:val="Hyperlink"/>
                </w:rPr>
                <w:t>zkravitz@taftlaw.com</w:t>
              </w:r>
            </w:hyperlink>
          </w:p>
          <w:p w14:paraId="2B6DDE74" w14:textId="3C6350C9" w:rsidR="0039157C" w:rsidRDefault="005F425A" w:rsidP="005452EA">
            <w:pPr>
              <w:autoSpaceDE w:val="0"/>
            </w:pPr>
            <w:hyperlink r:id="rId25" w:history="1">
              <w:r w:rsidR="0039157C">
                <w:rPr>
                  <w:rStyle w:val="Hyperlink"/>
                </w:rPr>
                <w:t>sam@mwncmh.com</w:t>
              </w:r>
            </w:hyperlink>
          </w:p>
          <w:p w14:paraId="30FBDE76" w14:textId="6134428E" w:rsidR="0039157C" w:rsidRDefault="005F425A" w:rsidP="005452EA">
            <w:pPr>
              <w:autoSpaceDE w:val="0"/>
            </w:pPr>
            <w:hyperlink r:id="rId26" w:history="1">
              <w:r w:rsidR="0039157C">
                <w:rPr>
                  <w:rStyle w:val="Hyperlink"/>
                </w:rPr>
                <w:t>fdarr@mwncmh.com</w:t>
              </w:r>
            </w:hyperlink>
          </w:p>
          <w:p w14:paraId="499211EF" w14:textId="2AFD2500" w:rsidR="0039157C" w:rsidRDefault="005F425A" w:rsidP="005452EA">
            <w:pPr>
              <w:autoSpaceDE w:val="0"/>
            </w:pPr>
            <w:hyperlink r:id="rId27" w:history="1">
              <w:r w:rsidR="0039157C">
                <w:rPr>
                  <w:rStyle w:val="Hyperlink"/>
                </w:rPr>
                <w:t>mpritchard@mwncmh.com</w:t>
              </w:r>
            </w:hyperlink>
          </w:p>
          <w:p w14:paraId="03C6D917" w14:textId="791013C1" w:rsidR="0039157C" w:rsidRDefault="005F425A" w:rsidP="005452EA">
            <w:pPr>
              <w:autoSpaceDE w:val="0"/>
              <w:rPr>
                <w:b/>
                <w:bCs/>
              </w:rPr>
            </w:pPr>
            <w:hyperlink r:id="rId28" w:history="1">
              <w:r w:rsidR="0039157C">
                <w:rPr>
                  <w:rStyle w:val="Hyperlink"/>
                </w:rPr>
                <w:t>joliker@mwncmh.com</w:t>
              </w:r>
            </w:hyperlink>
          </w:p>
          <w:p w14:paraId="7E8303F8" w14:textId="77777777" w:rsidR="0039157C" w:rsidRDefault="0039157C" w:rsidP="005452EA">
            <w:pPr>
              <w:jc w:val="both"/>
              <w:rPr>
                <w:b/>
                <w:bCs/>
              </w:rPr>
            </w:pPr>
          </w:p>
        </w:tc>
      </w:tr>
    </w:tbl>
    <w:p w14:paraId="06BDA2E7" w14:textId="77777777" w:rsidR="009D6B05" w:rsidRDefault="009D6B05" w:rsidP="0039157C">
      <w:pPr>
        <w:pStyle w:val="BodyText"/>
        <w:rPr>
          <w:szCs w:val="24"/>
        </w:rPr>
      </w:pPr>
    </w:p>
    <w:sectPr w:rsidR="009D6B05" w:rsidSect="0039157C">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B5DE5" w14:textId="77777777" w:rsidR="00781996" w:rsidRDefault="00781996">
      <w:r>
        <w:separator/>
      </w:r>
    </w:p>
  </w:endnote>
  <w:endnote w:type="continuationSeparator" w:id="0">
    <w:p w14:paraId="5F70F467" w14:textId="77777777" w:rsidR="00781996" w:rsidRDefault="00781996">
      <w:r>
        <w:continuationSeparator/>
      </w:r>
    </w:p>
  </w:endnote>
  <w:endnote w:type="continuationNotice" w:id="1">
    <w:p w14:paraId="0B763B91" w14:textId="77777777" w:rsidR="00781996" w:rsidRDefault="00781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AD30" w14:textId="77777777" w:rsidR="00861A12" w:rsidRDefault="00861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38E7" w14:textId="77777777" w:rsidR="004C6EC0" w:rsidRPr="004C6EC0" w:rsidRDefault="004C6EC0">
    <w:pPr>
      <w:pStyle w:val="Footer"/>
      <w:jc w:val="center"/>
      <w:rPr>
        <w:sz w:val="24"/>
        <w:szCs w:val="24"/>
      </w:rPr>
    </w:pPr>
    <w:r w:rsidRPr="004C6EC0">
      <w:rPr>
        <w:sz w:val="24"/>
        <w:szCs w:val="24"/>
      </w:rPr>
      <w:fldChar w:fldCharType="begin"/>
    </w:r>
    <w:r w:rsidRPr="004C6EC0">
      <w:rPr>
        <w:sz w:val="24"/>
        <w:szCs w:val="24"/>
      </w:rPr>
      <w:instrText xml:space="preserve"> PAGE   \* MERGEFORMAT </w:instrText>
    </w:r>
    <w:r w:rsidRPr="004C6EC0">
      <w:rPr>
        <w:sz w:val="24"/>
        <w:szCs w:val="24"/>
      </w:rPr>
      <w:fldChar w:fldCharType="separate"/>
    </w:r>
    <w:r w:rsidR="005F425A">
      <w:rPr>
        <w:noProof/>
        <w:sz w:val="24"/>
        <w:szCs w:val="24"/>
      </w:rPr>
      <w:t>2</w:t>
    </w:r>
    <w:r w:rsidRPr="004C6EC0">
      <w:rPr>
        <w:noProof/>
        <w:sz w:val="24"/>
        <w:szCs w:val="24"/>
      </w:rPr>
      <w:fldChar w:fldCharType="end"/>
    </w:r>
  </w:p>
  <w:p w14:paraId="6A3ED2AD" w14:textId="77777777" w:rsidR="004C6EC0" w:rsidRDefault="004C6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4D82" w14:textId="77777777" w:rsidR="00861A12" w:rsidRDefault="0086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0BA28" w14:textId="77777777" w:rsidR="00781996" w:rsidRDefault="00781996">
      <w:r>
        <w:separator/>
      </w:r>
    </w:p>
  </w:footnote>
  <w:footnote w:type="continuationSeparator" w:id="0">
    <w:p w14:paraId="46D90B79" w14:textId="77777777" w:rsidR="00781996" w:rsidRDefault="00781996">
      <w:r>
        <w:continuationSeparator/>
      </w:r>
    </w:p>
  </w:footnote>
  <w:footnote w:type="continuationNotice" w:id="1">
    <w:p w14:paraId="1F3D4C8B" w14:textId="77777777" w:rsidR="00781996" w:rsidRDefault="00781996"/>
  </w:footnote>
  <w:footnote w:id="2">
    <w:p w14:paraId="51E8CAC7" w14:textId="55BB7F77" w:rsidR="00A214D3" w:rsidRDefault="00A214D3">
      <w:pPr>
        <w:pStyle w:val="FootnoteText"/>
      </w:pPr>
      <w:r>
        <w:rPr>
          <w:rStyle w:val="FootnoteReference"/>
        </w:rPr>
        <w:footnoteRef/>
      </w:r>
      <w:r>
        <w:t xml:space="preserve"> See Memorandum Contra at 4.</w:t>
      </w:r>
    </w:p>
  </w:footnote>
  <w:footnote w:id="3">
    <w:p w14:paraId="4F1AD57A" w14:textId="0E251CB7" w:rsidR="00BE141F" w:rsidRDefault="00BE141F" w:rsidP="00BE141F">
      <w:pPr>
        <w:pStyle w:val="FootnoteText"/>
      </w:pPr>
      <w:r>
        <w:rPr>
          <w:rStyle w:val="FootnoteReference"/>
        </w:rPr>
        <w:footnoteRef/>
      </w:r>
      <w:r>
        <w:t xml:space="preserve"> </w:t>
      </w:r>
      <w:r w:rsidR="00A214D3">
        <w:t xml:space="preserve">Id. </w:t>
      </w:r>
      <w:r>
        <w:t>at 6.</w:t>
      </w:r>
    </w:p>
  </w:footnote>
  <w:footnote w:id="4">
    <w:p w14:paraId="72A868CC" w14:textId="79E83A50" w:rsidR="000D46E7" w:rsidRDefault="000D46E7" w:rsidP="000D46E7">
      <w:pPr>
        <w:pStyle w:val="FootnoteText"/>
      </w:pPr>
      <w:r>
        <w:rPr>
          <w:rStyle w:val="FootnoteReference"/>
        </w:rPr>
        <w:footnoteRef/>
      </w:r>
      <w:r>
        <w:t xml:space="preserve"> </w:t>
      </w:r>
      <w:r w:rsidR="00BE141F">
        <w:t>Id.</w:t>
      </w:r>
      <w:r w:rsidR="007955F2">
        <w:t xml:space="preserve"> </w:t>
      </w:r>
      <w:r w:rsidR="00E208AE">
        <w:t>at 3-4</w:t>
      </w:r>
      <w:r>
        <w:t>.</w:t>
      </w:r>
    </w:p>
  </w:footnote>
  <w:footnote w:id="5">
    <w:p w14:paraId="184D0495" w14:textId="63A79269" w:rsidR="00E208AE" w:rsidRDefault="00E208AE">
      <w:pPr>
        <w:pStyle w:val="FootnoteText"/>
      </w:pPr>
      <w:r>
        <w:rPr>
          <w:rStyle w:val="FootnoteReference"/>
        </w:rPr>
        <w:footnoteRef/>
      </w:r>
      <w:r>
        <w:t xml:space="preserve"> </w:t>
      </w:r>
      <w:r w:rsidR="006A1DFA">
        <w:t>Id.</w:t>
      </w:r>
      <w:r>
        <w:t xml:space="preserve"> at 3 (stating “This case involves a single mechanism to recover real costs for service restoration after major storms, a category already deemed eligible for recovery by the very establishment of the mechanism”).</w:t>
      </w:r>
    </w:p>
  </w:footnote>
  <w:footnote w:id="6">
    <w:p w14:paraId="7E7FD387" w14:textId="4B3994B4" w:rsidR="00E208AE" w:rsidRPr="00E208AE" w:rsidRDefault="00E208AE">
      <w:pPr>
        <w:pStyle w:val="FootnoteText"/>
      </w:pPr>
      <w:r>
        <w:rPr>
          <w:rStyle w:val="FootnoteReference"/>
        </w:rPr>
        <w:footnoteRef/>
      </w:r>
      <w:r>
        <w:t xml:space="preserve"> </w:t>
      </w:r>
      <w:r w:rsidRPr="006A1DFA">
        <w:t>See</w:t>
      </w:r>
      <w:r w:rsidR="006A1DFA">
        <w:t>,</w:t>
      </w:r>
      <w:r w:rsidRPr="006A1DFA">
        <w:t xml:space="preserve"> generally,</w:t>
      </w:r>
      <w:r>
        <w:t xml:space="preserve"> </w:t>
      </w:r>
      <w:r w:rsidR="006A1DFA">
        <w:t>id.</w:t>
      </w:r>
      <w:r>
        <w:t xml:space="preserve"> at 2-5.</w:t>
      </w:r>
    </w:p>
  </w:footnote>
  <w:footnote w:id="7">
    <w:p w14:paraId="78670B48" w14:textId="684A94A2" w:rsidR="007300A0" w:rsidRDefault="007300A0" w:rsidP="007300A0">
      <w:pPr>
        <w:pStyle w:val="FootnoteText"/>
      </w:pPr>
      <w:r>
        <w:rPr>
          <w:rStyle w:val="FootnoteReference"/>
        </w:rPr>
        <w:footnoteRef/>
      </w:r>
      <w:r>
        <w:t xml:space="preserve"> </w:t>
      </w:r>
      <w:r w:rsidRPr="007F58FA">
        <w:rPr>
          <w:i/>
        </w:rPr>
        <w:t>In the Matter of the Application of Columbus Southern Power Company and Ohio Power Company for Authority to Establish a Standard Service Offer Pursuant to Section 4928.443, Revised Code, in the Form of an Electric Security Plan</w:t>
      </w:r>
      <w:r>
        <w:t>, Case No. 11-346-EL-SSO</w:t>
      </w:r>
      <w:r w:rsidR="006A1DFA">
        <w:t xml:space="preserve"> </w:t>
      </w:r>
      <w:r w:rsidR="006A1DFA">
        <w:rPr>
          <w:i/>
        </w:rPr>
        <w:t>(“ESP II”)</w:t>
      </w:r>
      <w:r>
        <w:t>, Opinion and Order (August 8, 2012)</w:t>
      </w:r>
      <w:r w:rsidR="006A1DFA" w:rsidRPr="006A1DFA">
        <w:t xml:space="preserve"> </w:t>
      </w:r>
      <w:r w:rsidR="006A1DFA">
        <w:t>at 69</w:t>
      </w:r>
      <w:r>
        <w:t>.</w:t>
      </w:r>
    </w:p>
  </w:footnote>
  <w:footnote w:id="8">
    <w:p w14:paraId="753063F1" w14:textId="53C4703A" w:rsidR="00E208AE" w:rsidRPr="00E208AE" w:rsidRDefault="00E208AE">
      <w:pPr>
        <w:pStyle w:val="FootnoteText"/>
      </w:pPr>
      <w:r>
        <w:rPr>
          <w:rStyle w:val="FootnoteReference"/>
        </w:rPr>
        <w:footnoteRef/>
      </w:r>
      <w:r>
        <w:t xml:space="preserve"> </w:t>
      </w:r>
      <w:r w:rsidRPr="0080436C">
        <w:t>See</w:t>
      </w:r>
      <w:r>
        <w:t xml:space="preserve"> </w:t>
      </w:r>
      <w:r w:rsidR="0080436C">
        <w:t xml:space="preserve">OCC’s </w:t>
      </w:r>
      <w:r>
        <w:t>Comments (May 29, 2013)</w:t>
      </w:r>
      <w:r w:rsidR="0080436C">
        <w:t xml:space="preserve"> at 7-9.</w:t>
      </w:r>
    </w:p>
  </w:footnote>
  <w:footnote w:id="9">
    <w:p w14:paraId="0CD46244" w14:textId="0ABD1E55" w:rsidR="000A60A9" w:rsidRDefault="000A60A9">
      <w:pPr>
        <w:pStyle w:val="FootnoteText"/>
      </w:pPr>
      <w:r>
        <w:rPr>
          <w:rStyle w:val="FootnoteReference"/>
        </w:rPr>
        <w:footnoteRef/>
      </w:r>
      <w:r>
        <w:t xml:space="preserve"> Application, Exhibit D.</w:t>
      </w:r>
    </w:p>
  </w:footnote>
  <w:footnote w:id="10">
    <w:p w14:paraId="02FC8621" w14:textId="6983EEC7" w:rsidR="00870AF5" w:rsidRDefault="00870AF5">
      <w:pPr>
        <w:pStyle w:val="FootnoteText"/>
      </w:pPr>
      <w:r>
        <w:rPr>
          <w:rStyle w:val="FootnoteReference"/>
        </w:rPr>
        <w:footnoteRef/>
      </w:r>
      <w:r>
        <w:t xml:space="preserve"> Memorandum Contra </w:t>
      </w:r>
      <w:r w:rsidR="00D2290E">
        <w:t xml:space="preserve">at </w:t>
      </w:r>
      <w:r>
        <w:t>2-5.</w:t>
      </w:r>
    </w:p>
  </w:footnote>
  <w:footnote w:id="11">
    <w:p w14:paraId="7232423C" w14:textId="350F70D3" w:rsidR="00241E27" w:rsidRDefault="00241E27">
      <w:pPr>
        <w:pStyle w:val="FootnoteText"/>
      </w:pPr>
      <w:r>
        <w:rPr>
          <w:rStyle w:val="FootnoteReference"/>
        </w:rPr>
        <w:footnoteRef/>
      </w:r>
      <w:r>
        <w:t xml:space="preserve"> </w:t>
      </w:r>
      <w:r w:rsidR="00D2290E">
        <w:t>Id.</w:t>
      </w:r>
      <w:r>
        <w:t xml:space="preserve"> at 2.</w:t>
      </w:r>
    </w:p>
  </w:footnote>
  <w:footnote w:id="12">
    <w:p w14:paraId="4C794097" w14:textId="4B57271A" w:rsidR="00CC199D" w:rsidRDefault="00CC199D" w:rsidP="00CC199D">
      <w:pPr>
        <w:pStyle w:val="FootnoteText"/>
      </w:pPr>
      <w:r>
        <w:rPr>
          <w:rStyle w:val="FootnoteReference"/>
        </w:rPr>
        <w:footnoteRef/>
      </w:r>
      <w:r>
        <w:t xml:space="preserve"> </w:t>
      </w:r>
      <w:r w:rsidR="00D2290E">
        <w:t>Id.</w:t>
      </w:r>
      <w:r>
        <w:t xml:space="preserve"> at 5.</w:t>
      </w:r>
    </w:p>
  </w:footnote>
  <w:footnote w:id="13">
    <w:p w14:paraId="7E8F6263" w14:textId="045C70B3" w:rsidR="0080436C" w:rsidRDefault="0080436C">
      <w:pPr>
        <w:pStyle w:val="FootnoteText"/>
      </w:pPr>
      <w:r>
        <w:rPr>
          <w:rStyle w:val="FootnoteReference"/>
        </w:rPr>
        <w:footnoteRef/>
      </w:r>
      <w:r>
        <w:t xml:space="preserve"> R.C. 4903.082.</w:t>
      </w:r>
    </w:p>
  </w:footnote>
  <w:footnote w:id="14">
    <w:p w14:paraId="2999793A" w14:textId="00085B35" w:rsidR="0080436C" w:rsidRDefault="0080436C">
      <w:pPr>
        <w:pStyle w:val="FootnoteText"/>
      </w:pPr>
      <w:r>
        <w:rPr>
          <w:rStyle w:val="FootnoteReference"/>
        </w:rPr>
        <w:footnoteRef/>
      </w:r>
      <w:r>
        <w:t xml:space="preserve"> Ohio Adm. Code 4901-1-16(A).</w:t>
      </w:r>
    </w:p>
  </w:footnote>
  <w:footnote w:id="15">
    <w:p w14:paraId="4ED09F5B" w14:textId="2846F449" w:rsidR="00FE3BD2" w:rsidRDefault="00FE3BD2">
      <w:pPr>
        <w:pStyle w:val="FootnoteText"/>
      </w:pPr>
      <w:r>
        <w:rPr>
          <w:rStyle w:val="FootnoteReference"/>
        </w:rPr>
        <w:footnoteRef/>
      </w:r>
      <w:r>
        <w:t xml:space="preserve"> Ohio Adm. Code 4901-1-18 through </w:t>
      </w:r>
      <w:r w:rsidR="0005364C">
        <w:t>4901-1-</w:t>
      </w:r>
      <w:r>
        <w:t>22.</w:t>
      </w:r>
    </w:p>
  </w:footnote>
  <w:footnote w:id="16">
    <w:p w14:paraId="0739987D" w14:textId="5C4EA848" w:rsidR="004D2E94" w:rsidRDefault="004D2E94">
      <w:pPr>
        <w:pStyle w:val="FootnoteText"/>
      </w:pPr>
      <w:r>
        <w:rPr>
          <w:rStyle w:val="FootnoteReference"/>
        </w:rPr>
        <w:footnoteRef/>
      </w:r>
      <w:r>
        <w:t xml:space="preserve"> See </w:t>
      </w:r>
      <w:r w:rsidRPr="004D2E94">
        <w:rPr>
          <w:i/>
        </w:rPr>
        <w:t>Ohio Consumers’ Counsel v. Public Util. Comm’n</w:t>
      </w:r>
      <w:r>
        <w:t xml:space="preserve">, 111 Ohio St. 3d 300, 320; 2006 Ohio 5789; 856 N.E.2d 213 (2006). </w:t>
      </w:r>
    </w:p>
  </w:footnote>
  <w:footnote w:id="17">
    <w:p w14:paraId="40C920A7" w14:textId="14527D57" w:rsidR="008D0D51" w:rsidRDefault="008D0D51" w:rsidP="008D0D51">
      <w:pPr>
        <w:pStyle w:val="FootnoteText"/>
      </w:pPr>
      <w:r>
        <w:rPr>
          <w:rStyle w:val="FootnoteReference"/>
        </w:rPr>
        <w:footnoteRef/>
      </w:r>
      <w:r>
        <w:t xml:space="preserve"> </w:t>
      </w:r>
      <w:r w:rsidRPr="00704A5C">
        <w:rPr>
          <w:i/>
        </w:rPr>
        <w:t>In the Matter of the Review of the Alternative Energy Rider Contained in the Tariffs of Ohio Edison Company, the Cleveland Electric Illuminating Company and the Toledo Edison Company</w:t>
      </w:r>
      <w:r>
        <w:t>, Case No. 11-5201-EL-RDR, Ohio Power Company’s Motion to Intervene and Reopen Proceedings (June 2</w:t>
      </w:r>
      <w:r w:rsidR="00D2290E">
        <w:t>1</w:t>
      </w:r>
      <w:r>
        <w:t>, 2013)</w:t>
      </w:r>
      <w:r w:rsidR="00FE3BD2" w:rsidRPr="00FE3BD2">
        <w:t xml:space="preserve"> </w:t>
      </w:r>
      <w:r w:rsidR="00703FDF">
        <w:t xml:space="preserve"> (“AEP Ohio’s 11-5201 Motion”) </w:t>
      </w:r>
      <w:r w:rsidR="00FE3BD2">
        <w:t>at 9</w:t>
      </w:r>
      <w:r>
        <w:t>.</w:t>
      </w:r>
    </w:p>
  </w:footnote>
  <w:footnote w:id="18">
    <w:p w14:paraId="02CAE532" w14:textId="4D3CEEEF" w:rsidR="00D2290E" w:rsidRDefault="00D2290E">
      <w:pPr>
        <w:pStyle w:val="FootnoteText"/>
      </w:pPr>
      <w:r>
        <w:rPr>
          <w:rStyle w:val="FootnoteReference"/>
        </w:rPr>
        <w:footnoteRef/>
      </w:r>
      <w:r>
        <w:t xml:space="preserve"> Id.</w:t>
      </w:r>
    </w:p>
  </w:footnote>
  <w:footnote w:id="19">
    <w:p w14:paraId="79196FC8" w14:textId="2167F161" w:rsidR="00D12D2E" w:rsidRDefault="00D12D2E">
      <w:pPr>
        <w:pStyle w:val="FootnoteText"/>
      </w:pPr>
      <w:r>
        <w:rPr>
          <w:rStyle w:val="FootnoteReference"/>
        </w:rPr>
        <w:footnoteRef/>
      </w:r>
      <w:r>
        <w:t xml:space="preserve"> The PUCO has recognized that local public hearings may assist its evaluation of an application.  See </w:t>
      </w:r>
      <w:r w:rsidRPr="00D12D2E">
        <w:rPr>
          <w:i/>
        </w:rPr>
        <w:t>In the Matter of the Joint Application of Frontier Communications Corporation, New Communications Holdings, Inc. and Verizon Communications Inc. for Consent and Approval of a Change in Control</w:t>
      </w:r>
      <w:r>
        <w:t xml:space="preserve">, </w:t>
      </w:r>
      <w:r w:rsidRPr="00D12D2E">
        <w:t>Case No. 09-454-TP-ACO</w:t>
      </w:r>
      <w:r>
        <w:t>, Entry (April 19, 2009) at 7.</w:t>
      </w:r>
    </w:p>
  </w:footnote>
  <w:footnote w:id="20">
    <w:p w14:paraId="69C713D1" w14:textId="5C72CA65" w:rsidR="00130482" w:rsidRDefault="00130482" w:rsidP="00130482">
      <w:pPr>
        <w:pStyle w:val="FootnoteText"/>
      </w:pPr>
      <w:r>
        <w:rPr>
          <w:rStyle w:val="FootnoteReference"/>
        </w:rPr>
        <w:footnoteRef/>
      </w:r>
      <w:r>
        <w:t xml:space="preserve"> Case No. 11-5201-EL-RDR, Ohio Power Company’s Reply to </w:t>
      </w:r>
      <w:r w:rsidRPr="00703FDF">
        <w:t>Ohio Edison Company’s, Cleveland Electric Illuminating Company’s, and Toledo Edison Company</w:t>
      </w:r>
      <w:r>
        <w:t>’s Memorandum Contra Ohio Power Company’s Motion to Intervene and Reopen These Proceedings (July 9, 2013)</w:t>
      </w:r>
      <w:r w:rsidR="00703FDF" w:rsidRPr="00703FDF">
        <w:t xml:space="preserve"> </w:t>
      </w:r>
      <w:r w:rsidR="00703FDF">
        <w:t>(“AEP Ohio’s 11-5201 Reply”) at 4-7</w:t>
      </w:r>
      <w:r>
        <w:t>.</w:t>
      </w:r>
    </w:p>
  </w:footnote>
  <w:footnote w:id="21">
    <w:p w14:paraId="2FB64781" w14:textId="52AA43A3" w:rsidR="00AD630E" w:rsidRDefault="00AD630E">
      <w:pPr>
        <w:pStyle w:val="FootnoteText"/>
      </w:pPr>
      <w:r>
        <w:rPr>
          <w:rStyle w:val="FootnoteReference"/>
        </w:rPr>
        <w:footnoteRef/>
      </w:r>
      <w:r>
        <w:t xml:space="preserve"> </w:t>
      </w:r>
      <w:r w:rsidR="00703FDF">
        <w:t>AEP Ohio’s 11-5201 Motion at 4, n. 1.</w:t>
      </w:r>
    </w:p>
  </w:footnote>
  <w:footnote w:id="22">
    <w:p w14:paraId="5EA6DFBD" w14:textId="77777777" w:rsidR="0041239C" w:rsidRDefault="0041239C" w:rsidP="0041239C">
      <w:pPr>
        <w:pStyle w:val="FootnoteText"/>
      </w:pPr>
      <w:r>
        <w:rPr>
          <w:rStyle w:val="FootnoteReference"/>
        </w:rPr>
        <w:footnoteRef/>
      </w:r>
      <w:r>
        <w:t xml:space="preserve"> Id. at 4.</w:t>
      </w:r>
    </w:p>
  </w:footnote>
  <w:footnote w:id="23">
    <w:p w14:paraId="15501611" w14:textId="2D748579" w:rsidR="00130482" w:rsidRDefault="00130482" w:rsidP="00130482">
      <w:pPr>
        <w:pStyle w:val="FootnoteText"/>
      </w:pPr>
      <w:r>
        <w:rPr>
          <w:rStyle w:val="FootnoteReference"/>
        </w:rPr>
        <w:footnoteRef/>
      </w:r>
      <w:r>
        <w:t xml:space="preserve"> </w:t>
      </w:r>
      <w:r w:rsidR="0041239C">
        <w:t>AEP Ohio’s 11-5201 Reply</w:t>
      </w:r>
      <w:r w:rsidR="00D01EE0">
        <w:t xml:space="preserve"> </w:t>
      </w:r>
      <w:r>
        <w:t>at 11.</w:t>
      </w:r>
    </w:p>
  </w:footnote>
  <w:footnote w:id="24">
    <w:p w14:paraId="7406AA06" w14:textId="454B16A1" w:rsidR="00CD6795" w:rsidRDefault="00CD6795">
      <w:pPr>
        <w:pStyle w:val="FootnoteText"/>
      </w:pPr>
      <w:r>
        <w:rPr>
          <w:rStyle w:val="FootnoteReference"/>
        </w:rPr>
        <w:footnoteRef/>
      </w:r>
      <w:r>
        <w:t xml:space="preserve"> </w:t>
      </w:r>
      <w:r w:rsidR="00D01EE0">
        <w:t>Memorandum Contra at 5-6.</w:t>
      </w:r>
    </w:p>
  </w:footnote>
  <w:footnote w:id="25">
    <w:p w14:paraId="6299954A" w14:textId="77777777" w:rsidR="000A077B" w:rsidRDefault="000A077B" w:rsidP="000A077B">
      <w:pPr>
        <w:pStyle w:val="FootnoteText"/>
      </w:pPr>
      <w:r>
        <w:rPr>
          <w:rStyle w:val="FootnoteReference"/>
        </w:rPr>
        <w:footnoteRef/>
      </w:r>
      <w:r>
        <w:t xml:space="preserve"> </w:t>
      </w:r>
      <w:r>
        <w:rPr>
          <w:i/>
        </w:rPr>
        <w:t>ESP II</w:t>
      </w:r>
      <w:r>
        <w:t>, Opinion and Order at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8356" w14:textId="77777777" w:rsidR="00861A12" w:rsidRDefault="00861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CB06" w14:textId="77777777" w:rsidR="00861A12" w:rsidRDefault="00861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C7F9" w14:textId="77777777" w:rsidR="00861A12" w:rsidRDefault="00861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6AAD4"/>
    <w:lvl w:ilvl="0">
      <w:start w:val="1"/>
      <w:numFmt w:val="decimal"/>
      <w:lvlText w:val="%1."/>
      <w:lvlJc w:val="left"/>
      <w:pPr>
        <w:tabs>
          <w:tab w:val="num" w:pos="1800"/>
        </w:tabs>
        <w:ind w:left="1800" w:hanging="360"/>
      </w:pPr>
    </w:lvl>
  </w:abstractNum>
  <w:abstractNum w:abstractNumId="1">
    <w:nsid w:val="FFFFFF7D"/>
    <w:multiLevelType w:val="singleLevel"/>
    <w:tmpl w:val="7C6CDEE8"/>
    <w:lvl w:ilvl="0">
      <w:start w:val="1"/>
      <w:numFmt w:val="decimal"/>
      <w:lvlText w:val="%1."/>
      <w:lvlJc w:val="left"/>
      <w:pPr>
        <w:tabs>
          <w:tab w:val="num" w:pos="1440"/>
        </w:tabs>
        <w:ind w:left="1440" w:hanging="360"/>
      </w:pPr>
    </w:lvl>
  </w:abstractNum>
  <w:abstractNum w:abstractNumId="2">
    <w:nsid w:val="FFFFFF7E"/>
    <w:multiLevelType w:val="singleLevel"/>
    <w:tmpl w:val="ACE08C14"/>
    <w:lvl w:ilvl="0">
      <w:start w:val="1"/>
      <w:numFmt w:val="decimal"/>
      <w:lvlText w:val="%1."/>
      <w:lvlJc w:val="left"/>
      <w:pPr>
        <w:tabs>
          <w:tab w:val="num" w:pos="1080"/>
        </w:tabs>
        <w:ind w:left="1080" w:hanging="360"/>
      </w:pPr>
    </w:lvl>
  </w:abstractNum>
  <w:abstractNum w:abstractNumId="3">
    <w:nsid w:val="FFFFFF7F"/>
    <w:multiLevelType w:val="singleLevel"/>
    <w:tmpl w:val="5C3CBDD6"/>
    <w:lvl w:ilvl="0">
      <w:start w:val="1"/>
      <w:numFmt w:val="decimal"/>
      <w:lvlText w:val="%1."/>
      <w:lvlJc w:val="left"/>
      <w:pPr>
        <w:tabs>
          <w:tab w:val="num" w:pos="720"/>
        </w:tabs>
        <w:ind w:left="720" w:hanging="360"/>
      </w:pPr>
    </w:lvl>
  </w:abstractNum>
  <w:abstractNum w:abstractNumId="4">
    <w:nsid w:val="FFFFFF80"/>
    <w:multiLevelType w:val="singleLevel"/>
    <w:tmpl w:val="AF560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04E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42BD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1ED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E0F408"/>
    <w:lvl w:ilvl="0">
      <w:start w:val="1"/>
      <w:numFmt w:val="decimal"/>
      <w:lvlText w:val="%1."/>
      <w:lvlJc w:val="left"/>
      <w:pPr>
        <w:tabs>
          <w:tab w:val="num" w:pos="360"/>
        </w:tabs>
        <w:ind w:left="360" w:hanging="360"/>
      </w:pPr>
    </w:lvl>
  </w:abstractNum>
  <w:abstractNum w:abstractNumId="9">
    <w:nsid w:val="FFFFFF89"/>
    <w:multiLevelType w:val="singleLevel"/>
    <w:tmpl w:val="75B6270E"/>
    <w:lvl w:ilvl="0">
      <w:start w:val="1"/>
      <w:numFmt w:val="bullet"/>
      <w:lvlText w:val=""/>
      <w:lvlJc w:val="left"/>
      <w:pPr>
        <w:tabs>
          <w:tab w:val="num" w:pos="360"/>
        </w:tabs>
        <w:ind w:left="360" w:hanging="360"/>
      </w:pPr>
      <w:rPr>
        <w:rFonts w:ascii="Symbol" w:hAnsi="Symbol" w:hint="default"/>
      </w:rPr>
    </w:lvl>
  </w:abstractNum>
  <w:abstractNum w:abstractNumId="10">
    <w:nsid w:val="03284FD3"/>
    <w:multiLevelType w:val="hybridMultilevel"/>
    <w:tmpl w:val="5C00BE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E3D83"/>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41240"/>
    <w:multiLevelType w:val="hybridMultilevel"/>
    <w:tmpl w:val="92646C06"/>
    <w:lvl w:ilvl="0" w:tplc="7DD61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A93B29"/>
    <w:multiLevelType w:val="hybridMultilevel"/>
    <w:tmpl w:val="ECD8C0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4C5B"/>
    <w:multiLevelType w:val="hybridMultilevel"/>
    <w:tmpl w:val="2176F0D6"/>
    <w:lvl w:ilvl="0" w:tplc="A83E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804A5"/>
    <w:multiLevelType w:val="hybridMultilevel"/>
    <w:tmpl w:val="0C464DFC"/>
    <w:lvl w:ilvl="0" w:tplc="2EE2E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B34FC2"/>
    <w:multiLevelType w:val="hybridMultilevel"/>
    <w:tmpl w:val="F9AA8B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41392"/>
    <w:multiLevelType w:val="hybridMultilevel"/>
    <w:tmpl w:val="4E4ABE66"/>
    <w:lvl w:ilvl="0" w:tplc="982C5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E416D"/>
    <w:multiLevelType w:val="hybridMultilevel"/>
    <w:tmpl w:val="511A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DB2949"/>
    <w:multiLevelType w:val="hybridMultilevel"/>
    <w:tmpl w:val="9C24ADC6"/>
    <w:lvl w:ilvl="0" w:tplc="31A60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582483"/>
    <w:multiLevelType w:val="hybridMultilevel"/>
    <w:tmpl w:val="6A6E7BA4"/>
    <w:lvl w:ilvl="0" w:tplc="CC0C7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C54484"/>
    <w:multiLevelType w:val="hybridMultilevel"/>
    <w:tmpl w:val="2036FB12"/>
    <w:lvl w:ilvl="0" w:tplc="CF7A2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46BA8"/>
    <w:multiLevelType w:val="hybridMultilevel"/>
    <w:tmpl w:val="0AA247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4"/>
  </w:num>
  <w:num w:numId="5">
    <w:abstractNumId w:val="20"/>
  </w:num>
  <w:num w:numId="6">
    <w:abstractNumId w:val="17"/>
  </w:num>
  <w:num w:numId="7">
    <w:abstractNumId w:val="15"/>
  </w:num>
  <w:num w:numId="8">
    <w:abstractNumId w:val="12"/>
  </w:num>
  <w:num w:numId="9">
    <w:abstractNumId w:val="1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100"/>
    <w:rsid w:val="000014DB"/>
    <w:rsid w:val="000044E6"/>
    <w:rsid w:val="00006AB4"/>
    <w:rsid w:val="000122B2"/>
    <w:rsid w:val="00014821"/>
    <w:rsid w:val="0003236D"/>
    <w:rsid w:val="000328D5"/>
    <w:rsid w:val="000348CE"/>
    <w:rsid w:val="00043DD7"/>
    <w:rsid w:val="00047186"/>
    <w:rsid w:val="000472C5"/>
    <w:rsid w:val="00047E70"/>
    <w:rsid w:val="00051CAC"/>
    <w:rsid w:val="0005364C"/>
    <w:rsid w:val="00060227"/>
    <w:rsid w:val="000603B9"/>
    <w:rsid w:val="00072034"/>
    <w:rsid w:val="00075F35"/>
    <w:rsid w:val="00082C16"/>
    <w:rsid w:val="00087747"/>
    <w:rsid w:val="000A077B"/>
    <w:rsid w:val="000A3F9A"/>
    <w:rsid w:val="000A56AE"/>
    <w:rsid w:val="000A60A9"/>
    <w:rsid w:val="000B0176"/>
    <w:rsid w:val="000C3B8A"/>
    <w:rsid w:val="000D46E7"/>
    <w:rsid w:val="000D5D90"/>
    <w:rsid w:val="000D6317"/>
    <w:rsid w:val="000D6712"/>
    <w:rsid w:val="000E14DF"/>
    <w:rsid w:val="000E1AD0"/>
    <w:rsid w:val="000E3704"/>
    <w:rsid w:val="000F1325"/>
    <w:rsid w:val="000F6023"/>
    <w:rsid w:val="00126CCA"/>
    <w:rsid w:val="00130482"/>
    <w:rsid w:val="00134C4A"/>
    <w:rsid w:val="00135D69"/>
    <w:rsid w:val="00135F48"/>
    <w:rsid w:val="00141B85"/>
    <w:rsid w:val="00145C53"/>
    <w:rsid w:val="00147E56"/>
    <w:rsid w:val="001627D2"/>
    <w:rsid w:val="001810E7"/>
    <w:rsid w:val="001A680D"/>
    <w:rsid w:val="001B3D4A"/>
    <w:rsid w:val="001E1F14"/>
    <w:rsid w:val="001F0C8B"/>
    <w:rsid w:val="001F184E"/>
    <w:rsid w:val="001F3BC2"/>
    <w:rsid w:val="00210E95"/>
    <w:rsid w:val="002116C9"/>
    <w:rsid w:val="00214273"/>
    <w:rsid w:val="00225FE9"/>
    <w:rsid w:val="00231F13"/>
    <w:rsid w:val="0023481E"/>
    <w:rsid w:val="00241E27"/>
    <w:rsid w:val="00246CED"/>
    <w:rsid w:val="002471B4"/>
    <w:rsid w:val="00250289"/>
    <w:rsid w:val="00254100"/>
    <w:rsid w:val="00263D74"/>
    <w:rsid w:val="00263F40"/>
    <w:rsid w:val="00282771"/>
    <w:rsid w:val="00290ADD"/>
    <w:rsid w:val="002969DB"/>
    <w:rsid w:val="002A1389"/>
    <w:rsid w:val="002A2CCA"/>
    <w:rsid w:val="002A4C5E"/>
    <w:rsid w:val="002A7D4E"/>
    <w:rsid w:val="002B6293"/>
    <w:rsid w:val="002B67FA"/>
    <w:rsid w:val="002C27D1"/>
    <w:rsid w:val="002C6CA8"/>
    <w:rsid w:val="002D5961"/>
    <w:rsid w:val="002E1443"/>
    <w:rsid w:val="002F076F"/>
    <w:rsid w:val="002F59BD"/>
    <w:rsid w:val="00302BF7"/>
    <w:rsid w:val="00315F09"/>
    <w:rsid w:val="00326058"/>
    <w:rsid w:val="00334961"/>
    <w:rsid w:val="003369D3"/>
    <w:rsid w:val="003407F3"/>
    <w:rsid w:val="00355E52"/>
    <w:rsid w:val="00356D84"/>
    <w:rsid w:val="00364991"/>
    <w:rsid w:val="003722A8"/>
    <w:rsid w:val="00373EB3"/>
    <w:rsid w:val="00383E37"/>
    <w:rsid w:val="003858C2"/>
    <w:rsid w:val="0039157C"/>
    <w:rsid w:val="00391FC3"/>
    <w:rsid w:val="00392BE2"/>
    <w:rsid w:val="003B1E56"/>
    <w:rsid w:val="003B58A1"/>
    <w:rsid w:val="003C0C33"/>
    <w:rsid w:val="003C6F4A"/>
    <w:rsid w:val="003F5C39"/>
    <w:rsid w:val="003F5D72"/>
    <w:rsid w:val="00400631"/>
    <w:rsid w:val="00400EA3"/>
    <w:rsid w:val="0040278F"/>
    <w:rsid w:val="0041239C"/>
    <w:rsid w:val="004244CA"/>
    <w:rsid w:val="004248F5"/>
    <w:rsid w:val="00435807"/>
    <w:rsid w:val="0044225D"/>
    <w:rsid w:val="00447AE2"/>
    <w:rsid w:val="00455A3A"/>
    <w:rsid w:val="00456446"/>
    <w:rsid w:val="00462F7B"/>
    <w:rsid w:val="00473814"/>
    <w:rsid w:val="0048652D"/>
    <w:rsid w:val="004A03EB"/>
    <w:rsid w:val="004A05E8"/>
    <w:rsid w:val="004A1895"/>
    <w:rsid w:val="004A2631"/>
    <w:rsid w:val="004A2710"/>
    <w:rsid w:val="004A4CD1"/>
    <w:rsid w:val="004B1327"/>
    <w:rsid w:val="004B1ADF"/>
    <w:rsid w:val="004B5118"/>
    <w:rsid w:val="004B6026"/>
    <w:rsid w:val="004C5203"/>
    <w:rsid w:val="004C6EC0"/>
    <w:rsid w:val="004D25E6"/>
    <w:rsid w:val="004D2C9F"/>
    <w:rsid w:val="004D2E94"/>
    <w:rsid w:val="004E2351"/>
    <w:rsid w:val="004E50C5"/>
    <w:rsid w:val="004F2297"/>
    <w:rsid w:val="00501C60"/>
    <w:rsid w:val="00501F8F"/>
    <w:rsid w:val="005046B3"/>
    <w:rsid w:val="00507238"/>
    <w:rsid w:val="0051128C"/>
    <w:rsid w:val="00530EE7"/>
    <w:rsid w:val="00532461"/>
    <w:rsid w:val="005516A3"/>
    <w:rsid w:val="00562248"/>
    <w:rsid w:val="005769F9"/>
    <w:rsid w:val="00581CFF"/>
    <w:rsid w:val="005851FE"/>
    <w:rsid w:val="00586FCF"/>
    <w:rsid w:val="00593365"/>
    <w:rsid w:val="00596124"/>
    <w:rsid w:val="005975E2"/>
    <w:rsid w:val="005A1066"/>
    <w:rsid w:val="005A24FF"/>
    <w:rsid w:val="005A7A31"/>
    <w:rsid w:val="005B0882"/>
    <w:rsid w:val="005C1307"/>
    <w:rsid w:val="005C4DC5"/>
    <w:rsid w:val="005C607E"/>
    <w:rsid w:val="005D122F"/>
    <w:rsid w:val="005D632C"/>
    <w:rsid w:val="005E2BE8"/>
    <w:rsid w:val="005E48CA"/>
    <w:rsid w:val="005E731D"/>
    <w:rsid w:val="005F1C95"/>
    <w:rsid w:val="005F425A"/>
    <w:rsid w:val="005F6B74"/>
    <w:rsid w:val="005F7D59"/>
    <w:rsid w:val="00600EB1"/>
    <w:rsid w:val="00604F3F"/>
    <w:rsid w:val="006153DA"/>
    <w:rsid w:val="00626B70"/>
    <w:rsid w:val="00636536"/>
    <w:rsid w:val="00645DE8"/>
    <w:rsid w:val="00653705"/>
    <w:rsid w:val="00654E17"/>
    <w:rsid w:val="00662ED8"/>
    <w:rsid w:val="00672DC2"/>
    <w:rsid w:val="0067577F"/>
    <w:rsid w:val="00691C31"/>
    <w:rsid w:val="0069273E"/>
    <w:rsid w:val="006A1DFA"/>
    <w:rsid w:val="006A5418"/>
    <w:rsid w:val="006B0ACC"/>
    <w:rsid w:val="006B0F7E"/>
    <w:rsid w:val="006B4BE4"/>
    <w:rsid w:val="006B754F"/>
    <w:rsid w:val="006C66B8"/>
    <w:rsid w:val="006D0C2E"/>
    <w:rsid w:val="006D4722"/>
    <w:rsid w:val="006F1E67"/>
    <w:rsid w:val="006F25E3"/>
    <w:rsid w:val="00700861"/>
    <w:rsid w:val="00701DBD"/>
    <w:rsid w:val="00703FDF"/>
    <w:rsid w:val="00704A5C"/>
    <w:rsid w:val="007145DB"/>
    <w:rsid w:val="0071591C"/>
    <w:rsid w:val="00717328"/>
    <w:rsid w:val="0072091D"/>
    <w:rsid w:val="0072213F"/>
    <w:rsid w:val="00722786"/>
    <w:rsid w:val="007300A0"/>
    <w:rsid w:val="00746154"/>
    <w:rsid w:val="00746C80"/>
    <w:rsid w:val="00750E4B"/>
    <w:rsid w:val="00753313"/>
    <w:rsid w:val="00755F5F"/>
    <w:rsid w:val="00760DA9"/>
    <w:rsid w:val="00780DC9"/>
    <w:rsid w:val="007818E4"/>
    <w:rsid w:val="00781996"/>
    <w:rsid w:val="0079138E"/>
    <w:rsid w:val="007955F2"/>
    <w:rsid w:val="00796705"/>
    <w:rsid w:val="007A004B"/>
    <w:rsid w:val="007B7EB1"/>
    <w:rsid w:val="007C55DA"/>
    <w:rsid w:val="007D22E5"/>
    <w:rsid w:val="007E4821"/>
    <w:rsid w:val="007F58FA"/>
    <w:rsid w:val="00800BC2"/>
    <w:rsid w:val="0080436C"/>
    <w:rsid w:val="00806350"/>
    <w:rsid w:val="008220C0"/>
    <w:rsid w:val="00822814"/>
    <w:rsid w:val="008403E0"/>
    <w:rsid w:val="008559C9"/>
    <w:rsid w:val="00861A12"/>
    <w:rsid w:val="00870AF5"/>
    <w:rsid w:val="00872390"/>
    <w:rsid w:val="00872795"/>
    <w:rsid w:val="00875A32"/>
    <w:rsid w:val="00877E20"/>
    <w:rsid w:val="00884544"/>
    <w:rsid w:val="00884CD9"/>
    <w:rsid w:val="008901E8"/>
    <w:rsid w:val="0089067D"/>
    <w:rsid w:val="008922EB"/>
    <w:rsid w:val="00892D54"/>
    <w:rsid w:val="008A23F9"/>
    <w:rsid w:val="008A40E1"/>
    <w:rsid w:val="008A7A54"/>
    <w:rsid w:val="008A7F35"/>
    <w:rsid w:val="008C5E3C"/>
    <w:rsid w:val="008D0D51"/>
    <w:rsid w:val="008D2C5B"/>
    <w:rsid w:val="008D7090"/>
    <w:rsid w:val="008E1C92"/>
    <w:rsid w:val="008E5069"/>
    <w:rsid w:val="008E5D5C"/>
    <w:rsid w:val="008F11E8"/>
    <w:rsid w:val="008F4477"/>
    <w:rsid w:val="00916961"/>
    <w:rsid w:val="00921DCA"/>
    <w:rsid w:val="00923DF9"/>
    <w:rsid w:val="0093184C"/>
    <w:rsid w:val="00936878"/>
    <w:rsid w:val="00944D0B"/>
    <w:rsid w:val="00960482"/>
    <w:rsid w:val="00985727"/>
    <w:rsid w:val="00994600"/>
    <w:rsid w:val="00995F38"/>
    <w:rsid w:val="00995FAC"/>
    <w:rsid w:val="009B3697"/>
    <w:rsid w:val="009B4747"/>
    <w:rsid w:val="009B66E0"/>
    <w:rsid w:val="009C3205"/>
    <w:rsid w:val="009C380C"/>
    <w:rsid w:val="009D1731"/>
    <w:rsid w:val="009D6B05"/>
    <w:rsid w:val="009E766B"/>
    <w:rsid w:val="009F405E"/>
    <w:rsid w:val="009F428C"/>
    <w:rsid w:val="009F54A8"/>
    <w:rsid w:val="00A02F52"/>
    <w:rsid w:val="00A1186E"/>
    <w:rsid w:val="00A133BB"/>
    <w:rsid w:val="00A13BD8"/>
    <w:rsid w:val="00A214D3"/>
    <w:rsid w:val="00A231C0"/>
    <w:rsid w:val="00A340CE"/>
    <w:rsid w:val="00A401D8"/>
    <w:rsid w:val="00A45FBF"/>
    <w:rsid w:val="00A50D25"/>
    <w:rsid w:val="00A6294D"/>
    <w:rsid w:val="00A645AA"/>
    <w:rsid w:val="00A76D08"/>
    <w:rsid w:val="00A81149"/>
    <w:rsid w:val="00A9167C"/>
    <w:rsid w:val="00A960D3"/>
    <w:rsid w:val="00A96E80"/>
    <w:rsid w:val="00AA092D"/>
    <w:rsid w:val="00AA6C49"/>
    <w:rsid w:val="00AC5338"/>
    <w:rsid w:val="00AC5FAA"/>
    <w:rsid w:val="00AD630E"/>
    <w:rsid w:val="00AE594F"/>
    <w:rsid w:val="00AE7F14"/>
    <w:rsid w:val="00B04B21"/>
    <w:rsid w:val="00B10C2F"/>
    <w:rsid w:val="00B11C7F"/>
    <w:rsid w:val="00B254A3"/>
    <w:rsid w:val="00B25673"/>
    <w:rsid w:val="00B27FA1"/>
    <w:rsid w:val="00B34484"/>
    <w:rsid w:val="00B35B6A"/>
    <w:rsid w:val="00B51020"/>
    <w:rsid w:val="00B534BA"/>
    <w:rsid w:val="00B546BA"/>
    <w:rsid w:val="00B55596"/>
    <w:rsid w:val="00B73F8C"/>
    <w:rsid w:val="00B74B17"/>
    <w:rsid w:val="00B77E77"/>
    <w:rsid w:val="00B913BF"/>
    <w:rsid w:val="00B91AAC"/>
    <w:rsid w:val="00B96B7E"/>
    <w:rsid w:val="00BC1D77"/>
    <w:rsid w:val="00BC339C"/>
    <w:rsid w:val="00BC5EB8"/>
    <w:rsid w:val="00BD18FB"/>
    <w:rsid w:val="00BE03F9"/>
    <w:rsid w:val="00BE06FC"/>
    <w:rsid w:val="00BE141F"/>
    <w:rsid w:val="00BE5DD6"/>
    <w:rsid w:val="00BF04AF"/>
    <w:rsid w:val="00BF07E3"/>
    <w:rsid w:val="00BF5E46"/>
    <w:rsid w:val="00C13CCA"/>
    <w:rsid w:val="00C21637"/>
    <w:rsid w:val="00C3395C"/>
    <w:rsid w:val="00C44DB6"/>
    <w:rsid w:val="00C531BD"/>
    <w:rsid w:val="00C56A30"/>
    <w:rsid w:val="00C61F1A"/>
    <w:rsid w:val="00C76E1C"/>
    <w:rsid w:val="00C85FE5"/>
    <w:rsid w:val="00C90AD2"/>
    <w:rsid w:val="00CC199D"/>
    <w:rsid w:val="00CD1C57"/>
    <w:rsid w:val="00CD6795"/>
    <w:rsid w:val="00CE137A"/>
    <w:rsid w:val="00CE3B9B"/>
    <w:rsid w:val="00CE5A2F"/>
    <w:rsid w:val="00CF03F8"/>
    <w:rsid w:val="00D01EE0"/>
    <w:rsid w:val="00D0739F"/>
    <w:rsid w:val="00D1207E"/>
    <w:rsid w:val="00D122FF"/>
    <w:rsid w:val="00D12D2E"/>
    <w:rsid w:val="00D16E8A"/>
    <w:rsid w:val="00D2290E"/>
    <w:rsid w:val="00D41827"/>
    <w:rsid w:val="00D47F18"/>
    <w:rsid w:val="00D531A8"/>
    <w:rsid w:val="00D6229A"/>
    <w:rsid w:val="00D623D0"/>
    <w:rsid w:val="00D71564"/>
    <w:rsid w:val="00D72B9C"/>
    <w:rsid w:val="00D77104"/>
    <w:rsid w:val="00D7731F"/>
    <w:rsid w:val="00D912DD"/>
    <w:rsid w:val="00D93AC2"/>
    <w:rsid w:val="00D94920"/>
    <w:rsid w:val="00D954DA"/>
    <w:rsid w:val="00D95E1A"/>
    <w:rsid w:val="00D963ED"/>
    <w:rsid w:val="00DA49E6"/>
    <w:rsid w:val="00DA7812"/>
    <w:rsid w:val="00DB0483"/>
    <w:rsid w:val="00DB5E0B"/>
    <w:rsid w:val="00DC7042"/>
    <w:rsid w:val="00E133CA"/>
    <w:rsid w:val="00E13460"/>
    <w:rsid w:val="00E13858"/>
    <w:rsid w:val="00E17045"/>
    <w:rsid w:val="00E208AE"/>
    <w:rsid w:val="00E2225A"/>
    <w:rsid w:val="00E237B6"/>
    <w:rsid w:val="00E310E4"/>
    <w:rsid w:val="00E37F8B"/>
    <w:rsid w:val="00E40131"/>
    <w:rsid w:val="00E40BEB"/>
    <w:rsid w:val="00E47955"/>
    <w:rsid w:val="00E516AF"/>
    <w:rsid w:val="00E55C6F"/>
    <w:rsid w:val="00E6013C"/>
    <w:rsid w:val="00E756F5"/>
    <w:rsid w:val="00E91C6D"/>
    <w:rsid w:val="00E96A54"/>
    <w:rsid w:val="00EA1815"/>
    <w:rsid w:val="00EB3AC3"/>
    <w:rsid w:val="00EB7413"/>
    <w:rsid w:val="00EC1B8D"/>
    <w:rsid w:val="00ED0C03"/>
    <w:rsid w:val="00ED4644"/>
    <w:rsid w:val="00EE548E"/>
    <w:rsid w:val="00EF3F5D"/>
    <w:rsid w:val="00EF70AD"/>
    <w:rsid w:val="00F06C74"/>
    <w:rsid w:val="00F2244B"/>
    <w:rsid w:val="00F224C6"/>
    <w:rsid w:val="00F252AC"/>
    <w:rsid w:val="00F263FF"/>
    <w:rsid w:val="00F30222"/>
    <w:rsid w:val="00F32760"/>
    <w:rsid w:val="00F35D11"/>
    <w:rsid w:val="00F445C6"/>
    <w:rsid w:val="00F4690F"/>
    <w:rsid w:val="00F50A5F"/>
    <w:rsid w:val="00F5515F"/>
    <w:rsid w:val="00F57612"/>
    <w:rsid w:val="00F70D93"/>
    <w:rsid w:val="00F73EA5"/>
    <w:rsid w:val="00F74802"/>
    <w:rsid w:val="00F759CE"/>
    <w:rsid w:val="00F829EC"/>
    <w:rsid w:val="00F85DC9"/>
    <w:rsid w:val="00F8733D"/>
    <w:rsid w:val="00FA28D4"/>
    <w:rsid w:val="00FC1D56"/>
    <w:rsid w:val="00FC4FEE"/>
    <w:rsid w:val="00FC70D9"/>
    <w:rsid w:val="00FD363F"/>
    <w:rsid w:val="00FD3F13"/>
    <w:rsid w:val="00FD4371"/>
    <w:rsid w:val="00FE3BD2"/>
    <w:rsid w:val="00FF1AE5"/>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pPr>
      <w:spacing w:before="120"/>
    </w:pPr>
    <w:rPr>
      <w:sz w:val="20"/>
    </w:rPr>
  </w:style>
  <w:style w:type="character" w:styleId="FootnoteReference">
    <w:name w:val="footnote reference"/>
    <w:aliases w:val="o,fr,Style 3,Style 13,Appel note de bas de p,Style 12,(NECG) Footnote Reference,Style 124"/>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
    <w:link w:val="FootnoteText"/>
    <w:uiPriority w:val="99"/>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84"/>
    <w:rPr>
      <w:sz w:val="24"/>
    </w:rPr>
  </w:style>
  <w:style w:type="paragraph" w:styleId="Heading1">
    <w:name w:val="heading 1"/>
    <w:basedOn w:val="Normal"/>
    <w:next w:val="Normal"/>
    <w:autoRedefine/>
    <w:qFormat/>
    <w:rsid w:val="00B3448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34484"/>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B34484"/>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pPr>
      <w:spacing w:before="120"/>
    </w:pPr>
    <w:rPr>
      <w:sz w:val="20"/>
    </w:rPr>
  </w:style>
  <w:style w:type="character" w:styleId="FootnoteReference">
    <w:name w:val="footnote reference"/>
    <w:aliases w:val="o,fr,Style 3,Style 13,Appel note de bas de p,Style 12,(NECG) Footnote Reference,Style 124"/>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caps">
    <w:name w:val="caps"/>
    <w:basedOn w:val="DefaultParagraphFont"/>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
    <w:link w:val="FootnoteText"/>
    <w:uiPriority w:val="99"/>
    <w:locked/>
    <w:rPr>
      <w:lang w:val="en-US" w:eastAsia="en-US" w:bidi="ar-SA"/>
    </w:rPr>
  </w:style>
  <w:style w:type="paragraph" w:styleId="Date">
    <w:name w:val="Date"/>
    <w:basedOn w:val="Normal"/>
    <w:next w:val="Normal"/>
  </w:style>
  <w:style w:type="paragraph" w:styleId="ListParagraph">
    <w:name w:val="List Paragraph"/>
    <w:basedOn w:val="Normal"/>
    <w:uiPriority w:val="34"/>
    <w:qFormat/>
    <w:rsid w:val="00B913BF"/>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2"/>
    <w:uiPriority w:val="99"/>
    <w:semiHidden/>
    <w:locked/>
    <w:rsid w:val="002F076F"/>
    <w:rPr>
      <w:sz w:val="24"/>
      <w:szCs w:val="24"/>
      <w:lang w:val="en-US" w:eastAsia="en-US" w:bidi="ar-SA"/>
    </w:rPr>
  </w:style>
  <w:style w:type="character" w:customStyle="1" w:styleId="FooterChar">
    <w:name w:val="Footer Char"/>
    <w:link w:val="Footer"/>
    <w:uiPriority w:val="99"/>
    <w:rsid w:val="00B77E77"/>
  </w:style>
  <w:style w:type="character" w:customStyle="1" w:styleId="Heading3Char">
    <w:name w:val="Heading 3 Char"/>
    <w:link w:val="Heading3"/>
    <w:rsid w:val="00B34484"/>
    <w:rPr>
      <w:rFonts w:ascii="Times New Roman Bold" w:eastAsia="Times New Roman" w:hAnsi="Times New Roman Bold" w:cs="Times New Roman"/>
      <w:b/>
      <w:bCs/>
      <w:sz w:val="24"/>
      <w:szCs w:val="26"/>
    </w:rPr>
  </w:style>
  <w:style w:type="character" w:customStyle="1" w:styleId="BodyTextChar">
    <w:name w:val="Body Text Char"/>
    <w:link w:val="BodyText"/>
    <w:rsid w:val="00B34484"/>
    <w:rPr>
      <w:sz w:val="24"/>
    </w:rPr>
  </w:style>
  <w:style w:type="character" w:customStyle="1" w:styleId="BodyTextIndentChar">
    <w:name w:val="Body Text Indent Char"/>
    <w:link w:val="BodyTextIndent"/>
    <w:rsid w:val="00B34484"/>
    <w:rPr>
      <w:sz w:val="24"/>
    </w:rPr>
  </w:style>
  <w:style w:type="paragraph" w:styleId="TOC1">
    <w:name w:val="toc 1"/>
    <w:basedOn w:val="Normal"/>
    <w:next w:val="Normal"/>
    <w:autoRedefine/>
    <w:uiPriority w:val="39"/>
    <w:rsid w:val="00872390"/>
    <w:pPr>
      <w:tabs>
        <w:tab w:val="left" w:pos="720"/>
        <w:tab w:val="decimal" w:leader="dot" w:pos="8640"/>
      </w:tabs>
      <w:spacing w:after="120"/>
      <w:ind w:left="720" w:hanging="720"/>
    </w:pPr>
  </w:style>
  <w:style w:type="paragraph" w:styleId="TOC2">
    <w:name w:val="toc 2"/>
    <w:basedOn w:val="Normal"/>
    <w:next w:val="Normal"/>
    <w:autoRedefine/>
    <w:uiPriority w:val="39"/>
    <w:rsid w:val="00872390"/>
    <w:pPr>
      <w:tabs>
        <w:tab w:val="left" w:pos="720"/>
        <w:tab w:val="left" w:pos="1440"/>
        <w:tab w:val="decimal" w:leader="dot" w:pos="8640"/>
      </w:tabs>
      <w:spacing w:after="120"/>
      <w:ind w:left="1440" w:hanging="720"/>
    </w:pPr>
  </w:style>
  <w:style w:type="paragraph" w:styleId="TOC3">
    <w:name w:val="toc 3"/>
    <w:basedOn w:val="Normal"/>
    <w:next w:val="Normal"/>
    <w:autoRedefine/>
    <w:uiPriority w:val="39"/>
    <w:rsid w:val="00872390"/>
    <w:pPr>
      <w:tabs>
        <w:tab w:val="left" w:pos="720"/>
        <w:tab w:val="left" w:pos="1440"/>
        <w:tab w:val="decimal" w:leader="dot" w:pos="8640"/>
      </w:tabs>
      <w:spacing w:after="120"/>
      <w:ind w:left="2160" w:hanging="720"/>
    </w:pPr>
  </w:style>
  <w:style w:type="paragraph" w:styleId="Revision">
    <w:name w:val="Revision"/>
    <w:hidden/>
    <w:uiPriority w:val="99"/>
    <w:semiHidden/>
    <w:rsid w:val="008D2C5B"/>
    <w:rPr>
      <w:sz w:val="24"/>
    </w:rPr>
  </w:style>
  <w:style w:type="character" w:customStyle="1" w:styleId="term1">
    <w:name w:val="term1"/>
    <w:basedOn w:val="DefaultParagraphFont"/>
    <w:rsid w:val="00B96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587">
      <w:bodyDiv w:val="1"/>
      <w:marLeft w:val="0"/>
      <w:marRight w:val="0"/>
      <w:marTop w:val="0"/>
      <w:marBottom w:val="0"/>
      <w:divBdr>
        <w:top w:val="none" w:sz="0" w:space="0" w:color="auto"/>
        <w:left w:val="none" w:sz="0" w:space="0" w:color="auto"/>
        <w:bottom w:val="none" w:sz="0" w:space="0" w:color="auto"/>
        <w:right w:val="none" w:sz="0" w:space="0" w:color="auto"/>
      </w:divBdr>
    </w:div>
    <w:div w:id="323242531">
      <w:bodyDiv w:val="1"/>
      <w:marLeft w:val="0"/>
      <w:marRight w:val="0"/>
      <w:marTop w:val="0"/>
      <w:marBottom w:val="0"/>
      <w:divBdr>
        <w:top w:val="none" w:sz="0" w:space="0" w:color="auto"/>
        <w:left w:val="none" w:sz="0" w:space="0" w:color="auto"/>
        <w:bottom w:val="none" w:sz="0" w:space="0" w:color="auto"/>
        <w:right w:val="none" w:sz="0" w:space="0" w:color="auto"/>
      </w:divBdr>
    </w:div>
    <w:div w:id="567805267">
      <w:bodyDiv w:val="1"/>
      <w:marLeft w:val="0"/>
      <w:marRight w:val="0"/>
      <w:marTop w:val="0"/>
      <w:marBottom w:val="0"/>
      <w:divBdr>
        <w:top w:val="none" w:sz="0" w:space="0" w:color="auto"/>
        <w:left w:val="none" w:sz="0" w:space="0" w:color="auto"/>
        <w:bottom w:val="none" w:sz="0" w:space="0" w:color="auto"/>
        <w:right w:val="none" w:sz="0" w:space="0" w:color="auto"/>
      </w:divBdr>
    </w:div>
    <w:div w:id="673150621">
      <w:bodyDiv w:val="1"/>
      <w:marLeft w:val="48"/>
      <w:marRight w:val="48"/>
      <w:marTop w:val="48"/>
      <w:marBottom w:val="12"/>
      <w:divBdr>
        <w:top w:val="none" w:sz="0" w:space="0" w:color="auto"/>
        <w:left w:val="none" w:sz="0" w:space="0" w:color="auto"/>
        <w:bottom w:val="none" w:sz="0" w:space="0" w:color="auto"/>
        <w:right w:val="none" w:sz="0" w:space="0" w:color="auto"/>
      </w:divBdr>
      <w:divsChild>
        <w:div w:id="391739148">
          <w:marLeft w:val="0"/>
          <w:marRight w:val="0"/>
          <w:marTop w:val="0"/>
          <w:marBottom w:val="0"/>
          <w:divBdr>
            <w:top w:val="none" w:sz="0" w:space="0" w:color="auto"/>
            <w:left w:val="none" w:sz="0" w:space="0" w:color="auto"/>
            <w:bottom w:val="none" w:sz="0" w:space="0" w:color="auto"/>
            <w:right w:val="none" w:sz="0" w:space="0" w:color="auto"/>
          </w:divBdr>
        </w:div>
        <w:div w:id="429013977">
          <w:marLeft w:val="0"/>
          <w:marRight w:val="0"/>
          <w:marTop w:val="0"/>
          <w:marBottom w:val="0"/>
          <w:divBdr>
            <w:top w:val="none" w:sz="0" w:space="0" w:color="auto"/>
            <w:left w:val="none" w:sz="0" w:space="0" w:color="auto"/>
            <w:bottom w:val="none" w:sz="0" w:space="0" w:color="auto"/>
            <w:right w:val="none" w:sz="0" w:space="0" w:color="auto"/>
          </w:divBdr>
        </w:div>
        <w:div w:id="468982400">
          <w:marLeft w:val="0"/>
          <w:marRight w:val="0"/>
          <w:marTop w:val="0"/>
          <w:marBottom w:val="0"/>
          <w:divBdr>
            <w:top w:val="none" w:sz="0" w:space="0" w:color="auto"/>
            <w:left w:val="none" w:sz="0" w:space="0" w:color="auto"/>
            <w:bottom w:val="none" w:sz="0" w:space="0" w:color="auto"/>
            <w:right w:val="none" w:sz="0" w:space="0" w:color="auto"/>
          </w:divBdr>
        </w:div>
        <w:div w:id="713391440">
          <w:marLeft w:val="0"/>
          <w:marRight w:val="0"/>
          <w:marTop w:val="0"/>
          <w:marBottom w:val="0"/>
          <w:divBdr>
            <w:top w:val="none" w:sz="0" w:space="0" w:color="auto"/>
            <w:left w:val="none" w:sz="0" w:space="0" w:color="auto"/>
            <w:bottom w:val="none" w:sz="0" w:space="0" w:color="auto"/>
            <w:right w:val="none" w:sz="0" w:space="0" w:color="auto"/>
          </w:divBdr>
        </w:div>
        <w:div w:id="2062752407">
          <w:marLeft w:val="0"/>
          <w:marRight w:val="0"/>
          <w:marTop w:val="0"/>
          <w:marBottom w:val="0"/>
          <w:divBdr>
            <w:top w:val="none" w:sz="0" w:space="0" w:color="auto"/>
            <w:left w:val="none" w:sz="0" w:space="0" w:color="auto"/>
            <w:bottom w:val="none" w:sz="0" w:space="0" w:color="auto"/>
            <w:right w:val="none" w:sz="0" w:space="0" w:color="auto"/>
          </w:divBdr>
        </w:div>
      </w:divsChild>
    </w:div>
    <w:div w:id="759179504">
      <w:bodyDiv w:val="1"/>
      <w:marLeft w:val="0"/>
      <w:marRight w:val="0"/>
      <w:marTop w:val="0"/>
      <w:marBottom w:val="0"/>
      <w:divBdr>
        <w:top w:val="none" w:sz="0" w:space="0" w:color="auto"/>
        <w:left w:val="none" w:sz="0" w:space="0" w:color="auto"/>
        <w:bottom w:val="none" w:sz="0" w:space="0" w:color="auto"/>
        <w:right w:val="none" w:sz="0" w:space="0" w:color="auto"/>
      </w:divBdr>
    </w:div>
    <w:div w:id="9483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ter@occ.state.oh.us" TargetMode="External"/><Relationship Id="rId13" Type="http://schemas.openxmlformats.org/officeDocument/2006/relationships/hyperlink" Target="mailto:stnourse@aep.com" TargetMode="External"/><Relationship Id="rId18" Type="http://schemas.openxmlformats.org/officeDocument/2006/relationships/hyperlink" Target="mailto:sarah.parrot@puc.state.oh.us" TargetMode="External"/><Relationship Id="rId26" Type="http://schemas.openxmlformats.org/officeDocument/2006/relationships/hyperlink" Target="mailto:fdarr@mwncmh.com" TargetMode="External"/><Relationship Id="rId3" Type="http://schemas.microsoft.com/office/2007/relationships/stylesWithEffects" Target="stylesWithEffects.xml"/><Relationship Id="rId21" Type="http://schemas.openxmlformats.org/officeDocument/2006/relationships/hyperlink" Target="mailto:mkurtz@BKLlawfirm.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tnourse@aep.com" TargetMode="External"/><Relationship Id="rId17" Type="http://schemas.openxmlformats.org/officeDocument/2006/relationships/hyperlink" Target="mailto:tobrien@bricker.com" TargetMode="External"/><Relationship Id="rId25" Type="http://schemas.openxmlformats.org/officeDocument/2006/relationships/hyperlink" Target="mailto:sam@mwncmh.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icks@ohanet.org" TargetMode="External"/><Relationship Id="rId20" Type="http://schemas.openxmlformats.org/officeDocument/2006/relationships/hyperlink" Target="mailto:dboehm@BKLlawfirm.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yan.orourke@puc.state.oh.us" TargetMode="External"/><Relationship Id="rId24" Type="http://schemas.openxmlformats.org/officeDocument/2006/relationships/hyperlink" Target="mailto:zkravitz@taftlaw.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mstrong@bricker.com" TargetMode="External"/><Relationship Id="rId23" Type="http://schemas.openxmlformats.org/officeDocument/2006/relationships/hyperlink" Target="mailto:myurick@taftlaw.com" TargetMode="External"/><Relationship Id="rId28" Type="http://schemas.openxmlformats.org/officeDocument/2006/relationships/hyperlink" Target="mailto:joliker@mwncmh.com" TargetMode="External"/><Relationship Id="rId36" Type="http://schemas.openxmlformats.org/officeDocument/2006/relationships/theme" Target="theme/theme1.xml"/><Relationship Id="rId10" Type="http://schemas.openxmlformats.org/officeDocument/2006/relationships/hyperlink" Target="mailto:Werner.margard@puc.state.oh.us" TargetMode="External"/><Relationship Id="rId19" Type="http://schemas.openxmlformats.org/officeDocument/2006/relationships/hyperlink" Target="mailto:jonathan.tauber@puc.state.oh.u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uler@occ.state.oh.us" TargetMode="External"/><Relationship Id="rId14" Type="http://schemas.openxmlformats.org/officeDocument/2006/relationships/hyperlink" Target="mailto:tsiwo@bricker.com" TargetMode="External"/><Relationship Id="rId22" Type="http://schemas.openxmlformats.org/officeDocument/2006/relationships/hyperlink" Target="mailto:jkylercohn@BKLlawfirm.com" TargetMode="External"/><Relationship Id="rId27" Type="http://schemas.openxmlformats.org/officeDocument/2006/relationships/hyperlink" Target="mailto:mpritchard@mwncmh.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8849</Characters>
  <Application>Microsoft Office Word</Application>
  <DocSecurity>0</DocSecurity>
  <Lines>193</Lines>
  <Paragraphs>69</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10487</CharactersWithSpaces>
  <SharedDoc>false</SharedDoc>
  <HyperlinkBase> </HyperlinkBase>
  <HLinks>
    <vt:vector size="30" baseType="variant">
      <vt:variant>
        <vt:i4>1900596</vt:i4>
      </vt:variant>
      <vt:variant>
        <vt:i4>12</vt:i4>
      </vt:variant>
      <vt:variant>
        <vt:i4>0</vt:i4>
      </vt:variant>
      <vt:variant>
        <vt:i4>5</vt:i4>
      </vt:variant>
      <vt:variant>
        <vt:lpwstr>mailto:stnourse@aep.com</vt:lpwstr>
      </vt:variant>
      <vt:variant>
        <vt:lpwstr/>
      </vt:variant>
      <vt:variant>
        <vt:i4>1900596</vt:i4>
      </vt:variant>
      <vt:variant>
        <vt:i4>9</vt:i4>
      </vt:variant>
      <vt:variant>
        <vt:i4>0</vt:i4>
      </vt:variant>
      <vt:variant>
        <vt:i4>5</vt:i4>
      </vt:variant>
      <vt:variant>
        <vt:lpwstr>mailto:stnourse@aep.com</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3014663</vt:i4>
      </vt:variant>
      <vt:variant>
        <vt:i4>3</vt:i4>
      </vt:variant>
      <vt:variant>
        <vt:i4>0</vt:i4>
      </vt:variant>
      <vt:variant>
        <vt:i4>5</vt:i4>
      </vt:variant>
      <vt:variant>
        <vt:lpwstr>mailto:schuler@occ.state.oh.us</vt:lpwstr>
      </vt:variant>
      <vt:variant>
        <vt:lpwstr/>
      </vt:variant>
      <vt:variant>
        <vt:i4>3014663</vt:i4>
      </vt:variant>
      <vt:variant>
        <vt:i4>0</vt:i4>
      </vt:variant>
      <vt:variant>
        <vt:i4>0</vt:i4>
      </vt:variant>
      <vt:variant>
        <vt:i4>5</vt:i4>
      </vt:variant>
      <vt:variant>
        <vt:lpwstr>mailto:schuler@occ.state.oh.us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2013-05-29T20:44:00Z</cp:lastPrinted>
  <dcterms:created xsi:type="dcterms:W3CDTF">2013-08-01T20:15:00Z</dcterms:created>
  <dcterms:modified xsi:type="dcterms:W3CDTF">2013-08-01T20:15:00Z</dcterms:modified>
  <cp:category> </cp:category>
  <cp:contentStatus> </cp:contentStatus>
</cp:coreProperties>
</file>