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BF111B" w:rsidP="00BF111B">
      <w:pPr>
        <w:jc w:val="center"/>
        <w:rPr>
          <w:b/>
          <w:szCs w:val="24"/>
        </w:rPr>
      </w:pPr>
      <w:bookmarkStart w:id="0" w:name="_Toc435539627"/>
      <w:bookmarkStart w:id="1" w:name="_GoBack"/>
      <w:bookmarkEnd w:id="1"/>
      <w:r>
        <w:rPr>
          <w:b/>
          <w:szCs w:val="24"/>
        </w:rPr>
        <w:t>BEFORE</w:t>
      </w:r>
    </w:p>
    <w:p w:rsidR="004B5A1E" w:rsidP="004B5A1E">
      <w:pPr>
        <w:jc w:val="center"/>
        <w:rPr>
          <w:b/>
          <w:szCs w:val="24"/>
        </w:rPr>
      </w:pPr>
      <w:r w:rsidRPr="002E74E3">
        <w:rPr>
          <w:b/>
          <w:szCs w:val="24"/>
        </w:rPr>
        <w:t xml:space="preserve">THE PUBLIC UTILITIES </w:t>
      </w:r>
      <w:r>
        <w:rPr>
          <w:b/>
          <w:szCs w:val="24"/>
        </w:rPr>
        <w:t>COMMISSION</w:t>
      </w:r>
      <w:r w:rsidRPr="002E74E3">
        <w:rPr>
          <w:b/>
          <w:szCs w:val="24"/>
        </w:rPr>
        <w:t xml:space="preserve"> OF OHIO</w:t>
      </w:r>
    </w:p>
    <w:p w:rsidR="003F577A" w:rsidP="004B5A1E">
      <w:pPr>
        <w:jc w:val="center"/>
        <w:rPr>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rsidTr="00165AEA">
        <w:tblPrEx>
          <w:tblW w:w="10358" w:type="dxa"/>
          <w:tblInd w:w="0" w:type="dxa"/>
          <w:tblCellMar>
            <w:top w:w="0" w:type="dxa"/>
            <w:left w:w="108" w:type="dxa"/>
            <w:bottom w:w="0" w:type="dxa"/>
            <w:right w:w="108" w:type="dxa"/>
          </w:tblCellMar>
          <w:tblLook w:val="01E0"/>
        </w:tblPrEx>
        <w:trPr>
          <w:trHeight w:val="807"/>
        </w:trPr>
        <w:tc>
          <w:tcPr>
            <w:tcW w:w="5238" w:type="dxa"/>
          </w:tcPr>
          <w:p w:rsidR="003F577A" w:rsidP="00165AEA">
            <w:pPr>
              <w:autoSpaceDE w:val="0"/>
              <w:autoSpaceDN w:val="0"/>
              <w:adjustRightInd w:val="0"/>
              <w:spacing w:after="0" w:line="276" w:lineRule="auto"/>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In the Matter of the Joint Application for Approval of an Economic Development Arrangement between Ohio Power Company and Acero Junction, Inc.</w:t>
            </w:r>
          </w:p>
        </w:tc>
        <w:tc>
          <w:tcPr>
            <w:tcW w:w="480" w:type="dxa"/>
            <w:hideMark/>
          </w:tcPr>
          <w:p w:rsidR="003F577A" w:rsidP="00165A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3F577A" w:rsidP="00165A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3F577A" w:rsidP="00165A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3F577A" w:rsidP="00165A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640" w:type="dxa"/>
          </w:tcPr>
          <w:p w:rsidR="003F577A" w:rsidP="00165AEA">
            <w:pPr>
              <w:autoSpaceDE w:val="0"/>
              <w:autoSpaceDN w:val="0"/>
              <w:adjustRightInd w:val="0"/>
              <w:spacing w:after="0" w:line="276" w:lineRule="auto"/>
              <w:rPr>
                <w:rStyle w:val="DefaultParagraphFont"/>
                <w:rFonts w:ascii="Times New Roman" w:eastAsia="Times New Roman" w:hAnsi="Times New Roman" w:cs="Times New Roman"/>
                <w:sz w:val="24"/>
                <w:szCs w:val="24"/>
                <w:lang w:val="en-US" w:eastAsia="en-US" w:bidi="ar-SA"/>
              </w:rPr>
            </w:pPr>
          </w:p>
          <w:p w:rsidR="003F577A" w:rsidP="00165AEA">
            <w:pPr>
              <w:autoSpaceDE w:val="0"/>
              <w:autoSpaceDN w:val="0"/>
              <w:adjustRightInd w:val="0"/>
              <w:spacing w:after="0" w:line="276" w:lineRule="auto"/>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Case No. 17-2132-EL-UNC</w:t>
            </w:r>
          </w:p>
          <w:p w:rsidR="003F577A" w:rsidP="00165AEA">
            <w:pPr>
              <w:autoSpaceDE w:val="0"/>
              <w:autoSpaceDN w:val="0"/>
              <w:adjustRightInd w:val="0"/>
              <w:spacing w:after="0" w:line="276" w:lineRule="auto"/>
              <w:rPr>
                <w:rStyle w:val="DefaultParagraphFont"/>
                <w:rFonts w:ascii="Times New Roman" w:eastAsia="Times New Roman" w:hAnsi="Times New Roman" w:cs="Times New Roman"/>
                <w:sz w:val="24"/>
                <w:szCs w:val="20"/>
                <w:lang w:val="en-US" w:eastAsia="en-US" w:bidi="ar-SA"/>
              </w:rPr>
            </w:pPr>
          </w:p>
          <w:p w:rsidR="003F577A" w:rsidP="00165AEA">
            <w:pPr>
              <w:spacing w:after="0" w:line="276" w:lineRule="auto"/>
              <w:rPr>
                <w:rStyle w:val="DefaultParagraphFont"/>
                <w:rFonts w:ascii="Times New Roman" w:eastAsia="Times New Roman" w:hAnsi="Times New Roman" w:cs="Times New Roman"/>
                <w:sz w:val="24"/>
                <w:szCs w:val="20"/>
                <w:lang w:val="en-US" w:eastAsia="en-US" w:bidi="ar-SA"/>
              </w:rPr>
            </w:pPr>
          </w:p>
        </w:tc>
      </w:tr>
    </w:tbl>
    <w:p w:rsidR="004B5A1E" w:rsidP="004B5A1E">
      <w:pPr>
        <w:pStyle w:val="InsideAddress"/>
        <w:pBdr>
          <w:bottom w:val="single" w:sz="12" w:space="1" w:color="auto"/>
        </w:pBdr>
        <w:rPr>
          <w:rFonts w:ascii="Times New Roman" w:eastAsia="Times New Roman" w:hAnsi="Times New Roman"/>
          <w:szCs w:val="24"/>
        </w:rPr>
      </w:pPr>
    </w:p>
    <w:p w:rsidR="00BF111B" w:rsidP="004B5A1E">
      <w:pPr>
        <w:pStyle w:val="InsideAddress"/>
        <w:rPr>
          <w:rFonts w:ascii="Times New Roman" w:eastAsia="Times New Roman" w:hAnsi="Times New Roman"/>
          <w:szCs w:val="24"/>
        </w:rPr>
      </w:pPr>
    </w:p>
    <w:p w:rsidR="004B5A1E" w:rsidP="004B5A1E">
      <w:pPr>
        <w:jc w:val="center"/>
        <w:rPr>
          <w:b/>
          <w:bCs/>
          <w:szCs w:val="24"/>
        </w:rPr>
      </w:pPr>
      <w:r>
        <w:rPr>
          <w:b/>
          <w:bCs/>
          <w:szCs w:val="24"/>
        </w:rPr>
        <w:t>COMMENTS</w:t>
      </w:r>
    </w:p>
    <w:p w:rsidR="004B5A1E" w:rsidP="004B5A1E">
      <w:pPr>
        <w:jc w:val="center"/>
        <w:rPr>
          <w:b/>
          <w:bCs/>
          <w:szCs w:val="24"/>
        </w:rPr>
      </w:pPr>
      <w:r>
        <w:rPr>
          <w:b/>
          <w:bCs/>
          <w:szCs w:val="24"/>
        </w:rPr>
        <w:t>BY</w:t>
      </w:r>
    </w:p>
    <w:p w:rsidR="004B5A1E" w:rsidP="004B5A1E">
      <w:pPr>
        <w:jc w:val="center"/>
        <w:rPr>
          <w:b/>
          <w:bCs/>
          <w:szCs w:val="24"/>
        </w:rPr>
      </w:pPr>
      <w:r>
        <w:rPr>
          <w:b/>
          <w:bCs/>
          <w:szCs w:val="24"/>
        </w:rPr>
        <w:t>THE OFFICE OF THE OHIO CONSUMERS’ COUNSEL</w:t>
      </w:r>
    </w:p>
    <w:p w:rsidR="004B5A1E" w:rsidP="004B5A1E">
      <w:pPr>
        <w:jc w:val="center"/>
        <w:rPr>
          <w:b/>
          <w:bCs/>
          <w:szCs w:val="24"/>
        </w:rPr>
      </w:pPr>
    </w:p>
    <w:p w:rsidR="004B5A1E" w:rsidP="004B5A1E">
      <w:pPr>
        <w:pBdr>
          <w:top w:val="single" w:sz="12" w:space="1" w:color="auto"/>
        </w:pBdr>
        <w:tabs>
          <w:tab w:val="left" w:pos="4320"/>
        </w:tabs>
        <w:jc w:val="center"/>
        <w:rPr>
          <w:b/>
          <w:bCs/>
          <w:szCs w:val="24"/>
        </w:rPr>
      </w:pPr>
    </w:p>
    <w:p w:rsidR="00BF111B" w:rsidP="004F635B">
      <w:pPr>
        <w:pStyle w:val="Heading1"/>
      </w:pPr>
      <w:r>
        <w:t>I.</w:t>
      </w:r>
      <w:r>
        <w:tab/>
        <w:t>INTRODUCTION</w:t>
      </w:r>
    </w:p>
    <w:p w:rsidR="00331362" w:rsidRPr="00331362" w:rsidP="00331362"/>
    <w:p w:rsidR="00082A97" w:rsidP="001A362F">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 xml:space="preserve">On behalf of </w:t>
      </w:r>
      <w:r w:rsidR="00CA3119">
        <w:rPr>
          <w:rFonts w:ascii="Times New Roman" w:eastAsia="Times New Roman" w:hAnsi="Times New Roman"/>
          <w:szCs w:val="24"/>
        </w:rPr>
        <w:t xml:space="preserve">the </w:t>
      </w:r>
      <w:r w:rsidR="00A344E3">
        <w:rPr>
          <w:rFonts w:ascii="Times New Roman" w:eastAsia="Times New Roman" w:hAnsi="Times New Roman"/>
          <w:szCs w:val="24"/>
        </w:rPr>
        <w:t>1.3</w:t>
      </w:r>
      <w:r>
        <w:rPr>
          <w:rFonts w:ascii="Times New Roman" w:eastAsia="Times New Roman" w:hAnsi="Times New Roman"/>
          <w:szCs w:val="24"/>
        </w:rPr>
        <w:t xml:space="preserve"> million residential </w:t>
      </w:r>
      <w:r w:rsidR="003E1968">
        <w:rPr>
          <w:rFonts w:ascii="Times New Roman" w:eastAsia="Times New Roman" w:hAnsi="Times New Roman"/>
          <w:szCs w:val="24"/>
        </w:rPr>
        <w:t>utility consumer</w:t>
      </w:r>
      <w:r w:rsidR="00C90F58">
        <w:rPr>
          <w:rFonts w:ascii="Times New Roman" w:eastAsia="Times New Roman" w:hAnsi="Times New Roman"/>
          <w:szCs w:val="24"/>
        </w:rPr>
        <w:t>s</w:t>
      </w:r>
      <w:r w:rsidR="003E1968">
        <w:rPr>
          <w:rFonts w:ascii="Times New Roman" w:eastAsia="Times New Roman" w:hAnsi="Times New Roman"/>
          <w:szCs w:val="24"/>
        </w:rPr>
        <w:t xml:space="preserve"> of Ohio Power C</w:t>
      </w:r>
      <w:r>
        <w:rPr>
          <w:rFonts w:ascii="Times New Roman" w:eastAsia="Times New Roman" w:hAnsi="Times New Roman"/>
          <w:szCs w:val="24"/>
        </w:rPr>
        <w:t>ompany (“</w:t>
      </w:r>
      <w:r w:rsidR="00535F26">
        <w:rPr>
          <w:rFonts w:ascii="Times New Roman" w:eastAsia="Times New Roman" w:hAnsi="Times New Roman"/>
          <w:szCs w:val="24"/>
        </w:rPr>
        <w:t>AEP</w:t>
      </w:r>
      <w:r>
        <w:rPr>
          <w:rFonts w:ascii="Times New Roman" w:eastAsia="Times New Roman" w:hAnsi="Times New Roman"/>
          <w:szCs w:val="24"/>
        </w:rPr>
        <w:t>” or “Utility”)</w:t>
      </w:r>
      <w:r w:rsidR="00D44A22">
        <w:rPr>
          <w:rFonts w:ascii="Times New Roman" w:eastAsia="Times New Roman" w:hAnsi="Times New Roman"/>
          <w:szCs w:val="24"/>
        </w:rPr>
        <w:t>, who already are paying the highest electric bills among AEP consumers in the other states where AEP serves</w:t>
      </w:r>
      <w:r>
        <w:rPr>
          <w:rFonts w:ascii="Times New Roman" w:eastAsia="Times New Roman" w:hAnsi="Times New Roman"/>
          <w:szCs w:val="24"/>
        </w:rPr>
        <w:t>, the Office of the Ohio Consumers’ Counsel (“</w:t>
      </w:r>
      <w:r w:rsidR="00444C62">
        <w:rPr>
          <w:rFonts w:ascii="Times New Roman" w:eastAsia="Times New Roman" w:hAnsi="Times New Roman"/>
          <w:szCs w:val="24"/>
        </w:rPr>
        <w:t>Consumers Counsel" or "</w:t>
      </w:r>
      <w:r>
        <w:rPr>
          <w:rFonts w:ascii="Times New Roman" w:eastAsia="Times New Roman" w:hAnsi="Times New Roman"/>
          <w:szCs w:val="24"/>
        </w:rPr>
        <w:t xml:space="preserve">OCC”) </w:t>
      </w:r>
      <w:r w:rsidR="003F7864">
        <w:rPr>
          <w:rFonts w:ascii="Times New Roman" w:eastAsia="Times New Roman" w:hAnsi="Times New Roman"/>
          <w:szCs w:val="24"/>
        </w:rPr>
        <w:t xml:space="preserve">makes the following recommendations to </w:t>
      </w:r>
      <w:r>
        <w:rPr>
          <w:rFonts w:ascii="Times New Roman" w:eastAsia="Times New Roman" w:hAnsi="Times New Roman"/>
          <w:szCs w:val="24"/>
        </w:rPr>
        <w:t>the Public Utilities Commission</w:t>
      </w:r>
      <w:r w:rsidR="003F7864">
        <w:rPr>
          <w:rFonts w:ascii="Times New Roman" w:eastAsia="Times New Roman" w:hAnsi="Times New Roman"/>
          <w:szCs w:val="24"/>
        </w:rPr>
        <w:t xml:space="preserve"> of Ohio</w:t>
      </w:r>
      <w:r>
        <w:rPr>
          <w:rFonts w:ascii="Times New Roman" w:eastAsia="Times New Roman" w:hAnsi="Times New Roman"/>
          <w:szCs w:val="24"/>
        </w:rPr>
        <w:t xml:space="preserve"> (“PUCO”)</w:t>
      </w:r>
      <w:r w:rsidR="008F1E85">
        <w:rPr>
          <w:rFonts w:ascii="Times New Roman" w:eastAsia="Times New Roman" w:hAnsi="Times New Roman"/>
          <w:szCs w:val="24"/>
        </w:rPr>
        <w:t xml:space="preserve"> for considering the</w:t>
      </w:r>
      <w:r w:rsidR="00F85477">
        <w:rPr>
          <w:rFonts w:ascii="Times New Roman" w:eastAsia="Times New Roman" w:hAnsi="Times New Roman"/>
          <w:szCs w:val="24"/>
        </w:rPr>
        <w:t xml:space="preserve"> joint </w:t>
      </w:r>
      <w:r w:rsidR="008F1E85">
        <w:rPr>
          <w:rFonts w:ascii="Times New Roman" w:eastAsia="Times New Roman" w:hAnsi="Times New Roman"/>
          <w:szCs w:val="24"/>
        </w:rPr>
        <w:t>application of</w:t>
      </w:r>
      <w:r>
        <w:rPr>
          <w:rFonts w:ascii="Times New Roman" w:eastAsia="Times New Roman" w:hAnsi="Times New Roman"/>
          <w:szCs w:val="24"/>
        </w:rPr>
        <w:t xml:space="preserve"> </w:t>
      </w:r>
      <w:r w:rsidR="00F85477">
        <w:rPr>
          <w:rFonts w:ascii="Times New Roman" w:eastAsia="Times New Roman" w:hAnsi="Times New Roman"/>
          <w:szCs w:val="24"/>
        </w:rPr>
        <w:t xml:space="preserve">Acero Junction, Inc. </w:t>
      </w:r>
      <w:r w:rsidR="00982EA7">
        <w:rPr>
          <w:rFonts w:ascii="Times New Roman" w:eastAsia="Times New Roman" w:hAnsi="Times New Roman"/>
          <w:szCs w:val="24"/>
        </w:rPr>
        <w:t xml:space="preserve"> </w:t>
      </w:r>
      <w:r>
        <w:rPr>
          <w:rFonts w:ascii="Times New Roman" w:eastAsia="Times New Roman" w:hAnsi="Times New Roman"/>
          <w:szCs w:val="24"/>
        </w:rPr>
        <w:t>(</w:t>
      </w:r>
      <w:r w:rsidR="008F1E85">
        <w:rPr>
          <w:rFonts w:ascii="Times New Roman" w:eastAsia="Times New Roman" w:hAnsi="Times New Roman"/>
          <w:szCs w:val="24"/>
        </w:rPr>
        <w:t>“applicant”</w:t>
      </w:r>
      <w:r w:rsidR="008C0FBF">
        <w:rPr>
          <w:rFonts w:ascii="Times New Roman" w:eastAsia="Times New Roman" w:hAnsi="Times New Roman"/>
          <w:szCs w:val="24"/>
        </w:rPr>
        <w:t xml:space="preserve"> or “mercantile customer</w:t>
      </w:r>
      <w:r w:rsidR="00F85477">
        <w:rPr>
          <w:rFonts w:ascii="Times New Roman" w:eastAsia="Times New Roman" w:hAnsi="Times New Roman"/>
          <w:szCs w:val="24"/>
        </w:rPr>
        <w:t>.</w:t>
      </w:r>
      <w:r w:rsidR="008C0FBF">
        <w:rPr>
          <w:rFonts w:ascii="Times New Roman" w:eastAsia="Times New Roman" w:hAnsi="Times New Roman"/>
          <w:szCs w:val="24"/>
        </w:rPr>
        <w:t>”</w:t>
      </w:r>
      <w:r w:rsidR="00F85477">
        <w:rPr>
          <w:rFonts w:ascii="Times New Roman" w:eastAsia="Times New Roman" w:hAnsi="Times New Roman"/>
          <w:szCs w:val="24"/>
        </w:rPr>
        <w:t xml:space="preserve">) and AEP.  </w:t>
      </w:r>
      <w:r w:rsidR="00465665">
        <w:rPr>
          <w:rFonts w:ascii="Times New Roman" w:eastAsia="Times New Roman" w:hAnsi="Times New Roman"/>
          <w:szCs w:val="24"/>
        </w:rPr>
        <w:t xml:space="preserve"> </w:t>
      </w:r>
      <w:r w:rsidR="00624AEA">
        <w:rPr>
          <w:rFonts w:ascii="Times New Roman" w:eastAsia="Times New Roman" w:hAnsi="Times New Roman"/>
          <w:szCs w:val="24"/>
        </w:rPr>
        <w:t xml:space="preserve">The </w:t>
      </w:r>
      <w:r w:rsidR="00F85477">
        <w:rPr>
          <w:rFonts w:ascii="Times New Roman" w:eastAsia="Times New Roman" w:hAnsi="Times New Roman"/>
          <w:szCs w:val="24"/>
        </w:rPr>
        <w:t xml:space="preserve">mercantile customer </w:t>
      </w:r>
      <w:r w:rsidR="00624AEA">
        <w:rPr>
          <w:rFonts w:ascii="Times New Roman" w:eastAsia="Times New Roman" w:hAnsi="Times New Roman"/>
          <w:szCs w:val="24"/>
        </w:rPr>
        <w:t xml:space="preserve">seeks </w:t>
      </w:r>
      <w:r w:rsidR="00ED771D">
        <w:rPr>
          <w:rFonts w:ascii="Times New Roman" w:eastAsia="Times New Roman" w:hAnsi="Times New Roman"/>
          <w:szCs w:val="24"/>
        </w:rPr>
        <w:t xml:space="preserve">a discount </w:t>
      </w:r>
      <w:r w:rsidR="003A6B89">
        <w:rPr>
          <w:rFonts w:ascii="Times New Roman" w:eastAsia="Times New Roman" w:hAnsi="Times New Roman"/>
          <w:szCs w:val="24"/>
        </w:rPr>
        <w:t xml:space="preserve">(rate credit) </w:t>
      </w:r>
      <w:r w:rsidR="00ED771D">
        <w:rPr>
          <w:rFonts w:ascii="Times New Roman" w:eastAsia="Times New Roman" w:hAnsi="Times New Roman"/>
          <w:szCs w:val="24"/>
        </w:rPr>
        <w:t xml:space="preserve">on its electric bill </w:t>
      </w:r>
      <w:r w:rsidR="00446D15">
        <w:rPr>
          <w:rFonts w:ascii="Times New Roman" w:eastAsia="Times New Roman" w:hAnsi="Times New Roman"/>
          <w:szCs w:val="24"/>
        </w:rPr>
        <w:t xml:space="preserve">from </w:t>
      </w:r>
      <w:r w:rsidR="00CA3119">
        <w:rPr>
          <w:rFonts w:ascii="Times New Roman" w:eastAsia="Times New Roman" w:hAnsi="Times New Roman"/>
          <w:szCs w:val="24"/>
        </w:rPr>
        <w:t>AEP</w:t>
      </w:r>
      <w:r w:rsidR="00446D15">
        <w:rPr>
          <w:rFonts w:ascii="Times New Roman" w:eastAsia="Times New Roman" w:hAnsi="Times New Roman"/>
          <w:szCs w:val="24"/>
        </w:rPr>
        <w:t xml:space="preserve"> for economic development</w:t>
      </w:r>
      <w:r w:rsidR="000F7DB0">
        <w:rPr>
          <w:rFonts w:ascii="Times New Roman" w:eastAsia="Times New Roman" w:hAnsi="Times New Roman"/>
          <w:szCs w:val="24"/>
        </w:rPr>
        <w:t xml:space="preserve"> for the next </w:t>
      </w:r>
      <w:r w:rsidR="003A6B89">
        <w:rPr>
          <w:rFonts w:ascii="Times New Roman" w:eastAsia="Times New Roman" w:hAnsi="Times New Roman"/>
          <w:szCs w:val="24"/>
        </w:rPr>
        <w:t xml:space="preserve">seven </w:t>
      </w:r>
      <w:r w:rsidR="000F7DB0">
        <w:rPr>
          <w:rFonts w:ascii="Times New Roman" w:eastAsia="Times New Roman" w:hAnsi="Times New Roman"/>
          <w:szCs w:val="24"/>
        </w:rPr>
        <w:t>years</w:t>
      </w:r>
      <w:r w:rsidR="003A6B89">
        <w:rPr>
          <w:rFonts w:ascii="Times New Roman" w:eastAsia="Times New Roman" w:hAnsi="Times New Roman"/>
          <w:szCs w:val="24"/>
        </w:rPr>
        <w:t xml:space="preserve"> (through the end of AEPs' proposed electric security plan --May 31, 2024)</w:t>
      </w:r>
      <w:r>
        <w:rPr>
          <w:rFonts w:ascii="Times New Roman" w:eastAsia="Times New Roman" w:hAnsi="Times New Roman"/>
          <w:szCs w:val="24"/>
        </w:rPr>
        <w:t>.</w:t>
      </w:r>
      <w:r w:rsidR="00124B32">
        <w:rPr>
          <w:rFonts w:ascii="Times New Roman" w:eastAsia="Times New Roman" w:hAnsi="Times New Roman"/>
          <w:szCs w:val="24"/>
        </w:rPr>
        <w:t xml:space="preserve"> This discount is paid</w:t>
      </w:r>
      <w:r w:rsidR="00AC044B">
        <w:rPr>
          <w:rFonts w:ascii="Times New Roman" w:eastAsia="Times New Roman" w:hAnsi="Times New Roman"/>
          <w:szCs w:val="24"/>
        </w:rPr>
        <w:t xml:space="preserve"> (subsidized)</w:t>
      </w:r>
      <w:r w:rsidR="00124B32">
        <w:rPr>
          <w:rFonts w:ascii="Times New Roman" w:eastAsia="Times New Roman" w:hAnsi="Times New Roman"/>
          <w:szCs w:val="24"/>
        </w:rPr>
        <w:t xml:space="preserve"> by other customers, including residential customers.</w:t>
      </w:r>
    </w:p>
    <w:p w:rsidR="00304D7E" w:rsidP="001A362F">
      <w:pPr>
        <w:pStyle w:val="InsideAddress"/>
        <w:tabs>
          <w:tab w:val="left" w:pos="4320"/>
        </w:tabs>
        <w:autoSpaceDE w:val="0"/>
        <w:autoSpaceDN w:val="0"/>
        <w:adjustRightInd w:val="0"/>
        <w:spacing w:line="480" w:lineRule="auto"/>
        <w:ind w:firstLine="720"/>
        <w:rPr>
          <w:rFonts w:ascii="Times New Roman" w:eastAsia="Times New Roman" w:hAnsi="Times New Roman"/>
          <w:szCs w:val="24"/>
        </w:rPr>
        <w:sectPr w:rsidSect="001A362F">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Pr>
          <w:rFonts w:ascii="Times New Roman" w:eastAsia="Times New Roman" w:hAnsi="Times New Roman"/>
          <w:szCs w:val="24"/>
        </w:rPr>
        <w:t>Notably the mercantile customer commits to have a minimum of 270 new full time employees, and will be investing $60 million in the facility within a year of resuming its steelmaking operations.</w:t>
      </w:r>
      <w:r>
        <w:rPr>
          <w:rStyle w:val="FootnoteReference"/>
          <w:rFonts w:ascii="Times New Roman" w:eastAsia="Times New Roman" w:hAnsi="Times New Roman"/>
          <w:szCs w:val="24"/>
        </w:rPr>
        <w:footnoteReference w:id="2"/>
      </w:r>
      <w:r w:rsidR="00396B87">
        <w:rPr>
          <w:rFonts w:ascii="Times New Roman" w:eastAsia="Times New Roman" w:hAnsi="Times New Roman"/>
          <w:szCs w:val="24"/>
        </w:rPr>
        <w:t xml:space="preserve"> </w:t>
      </w:r>
      <w:r>
        <w:rPr>
          <w:rFonts w:ascii="Times New Roman" w:eastAsia="Times New Roman" w:hAnsi="Times New Roman"/>
          <w:szCs w:val="24"/>
        </w:rPr>
        <w:t xml:space="preserve"> The mercantile customer has also submitted, as a public document, an economic impact analysis showing total net annual economic </w:t>
      </w:r>
    </w:p>
    <w:p w:rsidR="00082A97" w:rsidP="00304D7E">
      <w:pPr>
        <w:pStyle w:val="InsideAddress"/>
        <w:tabs>
          <w:tab w:val="left" w:pos="4320"/>
        </w:tabs>
        <w:autoSpaceDE w:val="0"/>
        <w:autoSpaceDN w:val="0"/>
        <w:adjustRightInd w:val="0"/>
        <w:spacing w:line="480" w:lineRule="auto"/>
        <w:rPr>
          <w:rFonts w:ascii="Times New Roman" w:eastAsia="Times New Roman" w:hAnsi="Times New Roman"/>
          <w:szCs w:val="24"/>
        </w:rPr>
      </w:pPr>
      <w:r>
        <w:rPr>
          <w:rFonts w:ascii="Times New Roman" w:eastAsia="Times New Roman" w:hAnsi="Times New Roman"/>
          <w:szCs w:val="24"/>
        </w:rPr>
        <w:t>impacts in Ohio of about 3,110 jobs and $183 million in labor income.</w:t>
      </w:r>
      <w:r>
        <w:rPr>
          <w:rStyle w:val="FootnoteReference"/>
          <w:rFonts w:ascii="Times New Roman" w:eastAsia="Times New Roman" w:hAnsi="Times New Roman"/>
          <w:szCs w:val="24"/>
        </w:rPr>
        <w:footnoteReference w:id="3"/>
      </w:r>
      <w:r>
        <w:rPr>
          <w:rFonts w:ascii="Times New Roman" w:eastAsia="Times New Roman" w:hAnsi="Times New Roman"/>
          <w:szCs w:val="24"/>
        </w:rPr>
        <w:t xml:space="preserve">  The mercantile customer will thus be significantly and positively contributing to Ohio's economy.  In exchange, u</w:t>
      </w:r>
      <w:r w:rsidR="003A6B89">
        <w:rPr>
          <w:rFonts w:ascii="Times New Roman" w:eastAsia="Times New Roman" w:hAnsi="Times New Roman"/>
          <w:szCs w:val="24"/>
        </w:rPr>
        <w:t xml:space="preserve">nder the proposed arrangement, the mercantile customer would receive discounted rates through various mechanisms.  </w:t>
      </w:r>
    </w:p>
    <w:p w:rsidR="00BF111B" w:rsidP="001A362F">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In this type of case</w:t>
      </w:r>
      <w:r w:rsidR="00624AEA">
        <w:rPr>
          <w:rFonts w:ascii="Times New Roman" w:eastAsia="Times New Roman" w:hAnsi="Times New Roman"/>
          <w:szCs w:val="24"/>
        </w:rPr>
        <w:t>,</w:t>
      </w:r>
      <w:r>
        <w:rPr>
          <w:rFonts w:ascii="Times New Roman" w:eastAsia="Times New Roman" w:hAnsi="Times New Roman"/>
          <w:szCs w:val="24"/>
        </w:rPr>
        <w:t xml:space="preserve"> the PUCO considers various factors including a balance between the </w:t>
      </w:r>
      <w:r w:rsidR="005B601B">
        <w:rPr>
          <w:rFonts w:ascii="Times New Roman" w:eastAsia="Times New Roman" w:hAnsi="Times New Roman"/>
          <w:szCs w:val="24"/>
        </w:rPr>
        <w:t xml:space="preserve">positive </w:t>
      </w:r>
      <w:r>
        <w:rPr>
          <w:rFonts w:ascii="Times New Roman" w:eastAsia="Times New Roman" w:hAnsi="Times New Roman"/>
          <w:szCs w:val="24"/>
        </w:rPr>
        <w:t xml:space="preserve">benefits of economic development and the cost </w:t>
      </w:r>
      <w:r w:rsidR="00052B9D">
        <w:rPr>
          <w:rFonts w:ascii="Times New Roman" w:eastAsia="Times New Roman" w:hAnsi="Times New Roman"/>
          <w:szCs w:val="24"/>
        </w:rPr>
        <w:t xml:space="preserve">(subsidy) charged </w:t>
      </w:r>
      <w:r>
        <w:rPr>
          <w:rFonts w:ascii="Times New Roman" w:eastAsia="Times New Roman" w:hAnsi="Times New Roman"/>
          <w:szCs w:val="24"/>
        </w:rPr>
        <w:t xml:space="preserve">to </w:t>
      </w:r>
      <w:r w:rsidR="00052B9D">
        <w:rPr>
          <w:rFonts w:ascii="Times New Roman" w:eastAsia="Times New Roman" w:hAnsi="Times New Roman"/>
          <w:szCs w:val="24"/>
        </w:rPr>
        <w:t xml:space="preserve">other </w:t>
      </w:r>
      <w:r>
        <w:rPr>
          <w:rFonts w:ascii="Times New Roman" w:eastAsia="Times New Roman" w:hAnsi="Times New Roman"/>
          <w:szCs w:val="24"/>
        </w:rPr>
        <w:t xml:space="preserve">Ohioans who </w:t>
      </w:r>
      <w:r w:rsidR="005B601B">
        <w:rPr>
          <w:rFonts w:ascii="Times New Roman" w:eastAsia="Times New Roman" w:hAnsi="Times New Roman"/>
          <w:szCs w:val="24"/>
        </w:rPr>
        <w:t>the utility</w:t>
      </w:r>
      <w:r w:rsidR="00D44A22">
        <w:rPr>
          <w:rFonts w:ascii="Times New Roman" w:eastAsia="Times New Roman" w:hAnsi="Times New Roman"/>
          <w:szCs w:val="24"/>
        </w:rPr>
        <w:t xml:space="preserve"> (here, AEP)</w:t>
      </w:r>
      <w:r w:rsidR="005B601B">
        <w:rPr>
          <w:rFonts w:ascii="Times New Roman" w:eastAsia="Times New Roman" w:hAnsi="Times New Roman"/>
          <w:szCs w:val="24"/>
        </w:rPr>
        <w:t xml:space="preserve"> asks to </w:t>
      </w:r>
      <w:r w:rsidR="00044316">
        <w:rPr>
          <w:rFonts w:ascii="Times New Roman" w:eastAsia="Times New Roman" w:hAnsi="Times New Roman"/>
          <w:szCs w:val="24"/>
        </w:rPr>
        <w:t>fund</w:t>
      </w:r>
      <w:r w:rsidR="005B601B">
        <w:rPr>
          <w:rFonts w:ascii="Times New Roman" w:eastAsia="Times New Roman" w:hAnsi="Times New Roman"/>
          <w:szCs w:val="24"/>
        </w:rPr>
        <w:t xml:space="preserve"> </w:t>
      </w:r>
      <w:r w:rsidR="00DC5783">
        <w:rPr>
          <w:rFonts w:ascii="Times New Roman" w:eastAsia="Times New Roman" w:hAnsi="Times New Roman"/>
          <w:szCs w:val="24"/>
        </w:rPr>
        <w:t xml:space="preserve">its </w:t>
      </w:r>
      <w:r w:rsidR="00044316">
        <w:rPr>
          <w:rFonts w:ascii="Times New Roman" w:eastAsia="Times New Roman" w:hAnsi="Times New Roman"/>
          <w:szCs w:val="24"/>
        </w:rPr>
        <w:t xml:space="preserve">rate </w:t>
      </w:r>
      <w:r w:rsidR="001073D2">
        <w:rPr>
          <w:rFonts w:ascii="Times New Roman" w:eastAsia="Times New Roman" w:hAnsi="Times New Roman"/>
          <w:szCs w:val="24"/>
        </w:rPr>
        <w:t>discount.</w:t>
      </w:r>
      <w:r w:rsidR="002D228B">
        <w:rPr>
          <w:rFonts w:ascii="Times New Roman" w:eastAsia="Times New Roman" w:hAnsi="Times New Roman"/>
          <w:szCs w:val="24"/>
        </w:rPr>
        <w:t xml:space="preserve"> We note our longstanding position that utilities such as AEP should pay a share (along with a share paid by consumers) of the costs of programs to bring to Ohio the benefits of economic development.</w:t>
      </w:r>
      <w:r w:rsidR="001F4F97">
        <w:rPr>
          <w:rFonts w:ascii="Times New Roman" w:eastAsia="Times New Roman" w:hAnsi="Times New Roman"/>
          <w:szCs w:val="24"/>
        </w:rPr>
        <w:t xml:space="preserve"> </w:t>
      </w:r>
      <w:r w:rsidR="00DC5783">
        <w:rPr>
          <w:rFonts w:ascii="Times New Roman" w:eastAsia="Times New Roman" w:hAnsi="Times New Roman"/>
          <w:szCs w:val="24"/>
        </w:rPr>
        <w:t>The Consumers’ Counsel</w:t>
      </w:r>
      <w:r w:rsidR="001D6E60">
        <w:rPr>
          <w:rFonts w:ascii="Times New Roman" w:eastAsia="Times New Roman" w:hAnsi="Times New Roman"/>
          <w:szCs w:val="24"/>
        </w:rPr>
        <w:t xml:space="preserve"> appreciates the courtesy and helpfulness of </w:t>
      </w:r>
      <w:r w:rsidR="00E278CE">
        <w:rPr>
          <w:rFonts w:ascii="Times New Roman" w:eastAsia="Times New Roman" w:hAnsi="Times New Roman"/>
          <w:szCs w:val="24"/>
        </w:rPr>
        <w:t xml:space="preserve">Acero </w:t>
      </w:r>
      <w:r w:rsidR="001D6E60">
        <w:rPr>
          <w:rFonts w:ascii="Times New Roman" w:eastAsia="Times New Roman" w:hAnsi="Times New Roman"/>
          <w:szCs w:val="24"/>
        </w:rPr>
        <w:t>in discussing with us its application.</w:t>
      </w:r>
      <w:r>
        <w:rPr>
          <w:rFonts w:ascii="Times New Roman" w:eastAsia="Times New Roman" w:hAnsi="Times New Roman"/>
          <w:szCs w:val="24"/>
        </w:rPr>
        <w:t xml:space="preserve">    </w:t>
      </w:r>
    </w:p>
    <w:p w:rsidR="001A362F" w:rsidP="001A362F">
      <w:pPr>
        <w:pStyle w:val="InsideAddress"/>
        <w:tabs>
          <w:tab w:val="left" w:pos="4320"/>
        </w:tabs>
        <w:autoSpaceDE w:val="0"/>
        <w:autoSpaceDN w:val="0"/>
        <w:adjustRightInd w:val="0"/>
        <w:ind w:firstLine="720"/>
      </w:pPr>
    </w:p>
    <w:p w:rsidR="004B5A1E" w:rsidP="004F635B">
      <w:pPr>
        <w:pStyle w:val="Heading1"/>
      </w:pPr>
      <w:r>
        <w:t>II.</w:t>
      </w:r>
      <w:r>
        <w:tab/>
        <w:t>COMMENTS</w:t>
      </w:r>
      <w:bookmarkEnd w:id="0"/>
    </w:p>
    <w:p w:rsidR="00331362" w:rsidRPr="00331362" w:rsidP="00331362"/>
    <w:p w:rsidR="00ED71AF" w:rsidP="00446D15">
      <w:pPr>
        <w:spacing w:line="480" w:lineRule="auto"/>
      </w:pPr>
      <w:r>
        <w:tab/>
        <w:t xml:space="preserve">The PUCO </w:t>
      </w:r>
      <w:r w:rsidR="00610FB2">
        <w:t xml:space="preserve">has </w:t>
      </w:r>
      <w:r>
        <w:t>adopted rules addressing “reasonable arrangements.”</w:t>
      </w:r>
      <w:r>
        <w:rPr>
          <w:rStyle w:val="FootnoteReference"/>
        </w:rPr>
        <w:footnoteReference w:id="4"/>
      </w:r>
      <w:r>
        <w:t xml:space="preserve"> Under the rules, if it appears to the PUCO that the Application may be unjust or unreasonable, the PUCO may order a hearing.</w:t>
      </w:r>
      <w:r>
        <w:rPr>
          <w:rStyle w:val="FootnoteReference"/>
        </w:rPr>
        <w:footnoteReference w:id="5"/>
      </w:r>
      <w:r>
        <w:t xml:space="preserve"> The PUCO may also change, alter, or modify the unique arrangement.</w:t>
      </w:r>
      <w:r>
        <w:rPr>
          <w:rStyle w:val="FootnoteReference"/>
        </w:rPr>
        <w:footnoteReference w:id="6"/>
      </w:r>
      <w:r w:rsidR="009F3B1E">
        <w:t xml:space="preserve">  </w:t>
      </w:r>
    </w:p>
    <w:p w:rsidR="006446AB" w:rsidP="004B5A1E">
      <w:pPr>
        <w:spacing w:line="480" w:lineRule="auto"/>
        <w:ind w:firstLine="720"/>
      </w:pPr>
      <w:r>
        <w:t>The Consumers’ Counsel</w:t>
      </w:r>
      <w:r w:rsidR="009F3B1E">
        <w:t>’s recommendations are</w:t>
      </w:r>
      <w:r w:rsidR="002B5598">
        <w:t>, in general,</w:t>
      </w:r>
      <w:r w:rsidR="009F3B1E">
        <w:t xml:space="preserve"> </w:t>
      </w:r>
      <w:r w:rsidR="00E42C9B">
        <w:t xml:space="preserve">applicable not only to this application, but to essentially any application for </w:t>
      </w:r>
      <w:r w:rsidR="00D17C77">
        <w:t xml:space="preserve">programs and funding for </w:t>
      </w:r>
      <w:r w:rsidR="00E42C9B">
        <w:t>economic development.</w:t>
      </w:r>
      <w:r w:rsidR="004B5A1E">
        <w:t xml:space="preserve">  </w:t>
      </w:r>
      <w:r>
        <w:t>In the typical</w:t>
      </w:r>
      <w:r w:rsidR="001073D2">
        <w:t xml:space="preserve"> economic development arrangement</w:t>
      </w:r>
      <w:r>
        <w:t xml:space="preserve"> considered by the PUCO, </w:t>
      </w:r>
      <w:r w:rsidR="001073D2">
        <w:t>the discount to the mercantile customer is applied to the mercantile customer's total bill</w:t>
      </w:r>
      <w:r>
        <w:t>.</w:t>
      </w:r>
      <w:r w:rsidR="001073D2">
        <w:t xml:space="preserve"> </w:t>
      </w:r>
      <w:r>
        <w:t>A</w:t>
      </w:r>
      <w:r w:rsidR="001073D2">
        <w:t xml:space="preserve">nd </w:t>
      </w:r>
      <w:r>
        <w:t xml:space="preserve">that </w:t>
      </w:r>
      <w:r w:rsidR="001073D2">
        <w:t xml:space="preserve">discount creates </w:t>
      </w:r>
      <w:r>
        <w:t>so-called “</w:t>
      </w:r>
      <w:r w:rsidR="001073D2">
        <w:t>delta revenue</w:t>
      </w:r>
      <w:r>
        <w:t>” (being the revenue the utility forgoes collecting as a result of the rate discount)</w:t>
      </w:r>
      <w:r w:rsidR="001073D2">
        <w:t xml:space="preserve"> </w:t>
      </w:r>
      <w:r>
        <w:t xml:space="preserve">that the PUCO has allowed utilities to </w:t>
      </w:r>
      <w:r w:rsidR="001073D2">
        <w:t xml:space="preserve">collect from </w:t>
      </w:r>
      <w:r>
        <w:t xml:space="preserve">other </w:t>
      </w:r>
      <w:r w:rsidR="00ED771D">
        <w:t xml:space="preserve">customers through </w:t>
      </w:r>
      <w:r>
        <w:t xml:space="preserve">an </w:t>
      </w:r>
      <w:r w:rsidR="001073D2">
        <w:t xml:space="preserve">economic development rider. </w:t>
      </w:r>
    </w:p>
    <w:p w:rsidR="004B5A1E" w:rsidP="00D777CD">
      <w:pPr>
        <w:pStyle w:val="Heading2"/>
      </w:pPr>
      <w:bookmarkStart w:id="2" w:name="_Toc435539628"/>
      <w:r>
        <w:t>A.</w:t>
      </w:r>
      <w:r>
        <w:tab/>
      </w:r>
      <w:r w:rsidR="002D228B">
        <w:t xml:space="preserve">In balancing </w:t>
      </w:r>
      <w:r w:rsidR="00DB59E8">
        <w:t xml:space="preserve">economic development </w:t>
      </w:r>
      <w:r w:rsidR="002D228B">
        <w:t>program benefits with costs, t</w:t>
      </w:r>
      <w:r w:rsidR="001A362F">
        <w:t xml:space="preserve">he PUCO should </w:t>
      </w:r>
      <w:r w:rsidR="002D228B">
        <w:t>quantify</w:t>
      </w:r>
      <w:r w:rsidR="001A362F">
        <w:t xml:space="preserve"> the total costs of an application’s economic development programs and ensure that Ohio</w:t>
      </w:r>
      <w:r w:rsidR="00DB59E8">
        <w:t xml:space="preserve"> utility consumers</w:t>
      </w:r>
      <w:r w:rsidR="001A362F">
        <w:t xml:space="preserve"> pay the least subsidy</w:t>
      </w:r>
      <w:r w:rsidR="00CB3E6C">
        <w:t xml:space="preserve"> to their utility that is</w:t>
      </w:r>
      <w:r w:rsidR="001A362F">
        <w:t xml:space="preserve"> needed for </w:t>
      </w:r>
      <w:r w:rsidR="00DB59E8">
        <w:t xml:space="preserve">the </w:t>
      </w:r>
      <w:r w:rsidR="001A362F">
        <w:t>economic</w:t>
      </w:r>
      <w:r w:rsidR="008746AB">
        <w:t xml:space="preserve"> development</w:t>
      </w:r>
      <w:r w:rsidR="001A362F">
        <w:t>.</w:t>
      </w:r>
      <w:bookmarkEnd w:id="2"/>
    </w:p>
    <w:p w:rsidR="00E278CE" w:rsidP="00E765A7">
      <w:pPr>
        <w:spacing w:line="480" w:lineRule="auto"/>
        <w:ind w:firstLine="720"/>
      </w:pPr>
      <w:r>
        <w:t xml:space="preserve">Under the proposed unique arrangement, </w:t>
      </w:r>
      <w:r w:rsidR="00446D15">
        <w:t>the</w:t>
      </w:r>
      <w:r w:rsidR="009F3B1E">
        <w:t xml:space="preserve"> </w:t>
      </w:r>
      <w:r w:rsidR="00FF541E">
        <w:t>revenue</w:t>
      </w:r>
      <w:r w:rsidR="009F3B1E">
        <w:t xml:space="preserve"> that </w:t>
      </w:r>
      <w:r w:rsidR="00DB59E8">
        <w:t>AEP</w:t>
      </w:r>
      <w:r w:rsidR="009F3B1E">
        <w:t xml:space="preserve"> receives from the</w:t>
      </w:r>
      <w:r w:rsidR="00446D15">
        <w:t xml:space="preserve"> mercantile customer</w:t>
      </w:r>
      <w:r w:rsidR="009F3B1E">
        <w:t xml:space="preserve"> for </w:t>
      </w:r>
      <w:r w:rsidR="00BD7514">
        <w:t xml:space="preserve">transmission and </w:t>
      </w:r>
      <w:r w:rsidR="00982EA7">
        <w:t xml:space="preserve">distribution </w:t>
      </w:r>
      <w:r w:rsidR="00FF541E">
        <w:t xml:space="preserve">service </w:t>
      </w:r>
      <w:r w:rsidR="00DC670B">
        <w:t>is</w:t>
      </w:r>
      <w:r w:rsidR="00FF541E">
        <w:t xml:space="preserve"> less than it would otherwise receive under tariffed rates.  The reduced revenues </w:t>
      </w:r>
      <w:r w:rsidR="00DB59E8">
        <w:t xml:space="preserve">AEP would </w:t>
      </w:r>
      <w:r w:rsidR="00FF541E">
        <w:t xml:space="preserve">collect from the mercantile customer </w:t>
      </w:r>
      <w:r w:rsidR="00ED771D">
        <w:t>occur because the mercantile customer</w:t>
      </w:r>
      <w:r w:rsidR="00A344E3">
        <w:t xml:space="preserve"> would pay a reduced rate for certain tariffed charges</w:t>
      </w:r>
      <w:r w:rsidR="00ED771D">
        <w:t xml:space="preserve"> below what other</w:t>
      </w:r>
      <w:r w:rsidR="00A344E3">
        <w:t xml:space="preserve"> </w:t>
      </w:r>
      <w:r w:rsidR="00FC2BAB">
        <w:t xml:space="preserve">similarly situated </w:t>
      </w:r>
      <w:r w:rsidR="00A344E3">
        <w:t xml:space="preserve">customers </w:t>
      </w:r>
      <w:r w:rsidR="002A580E">
        <w:t>are charged</w:t>
      </w:r>
      <w:r w:rsidR="00ED771D">
        <w:t xml:space="preserve">. </w:t>
      </w:r>
      <w:r w:rsidR="00E765A7">
        <w:t>As noted economist Milton Friedman famously r</w:t>
      </w:r>
      <w:r w:rsidR="004F6647">
        <w:t>emarked "there's</w:t>
      </w:r>
      <w:r w:rsidR="00E765A7">
        <w:t xml:space="preserve"> no such thing as a free lunch" -- </w:t>
      </w:r>
      <w:r w:rsidR="00FF541E">
        <w:t xml:space="preserve"> </w:t>
      </w:r>
      <w:r w:rsidR="00C11622">
        <w:t xml:space="preserve">and </w:t>
      </w:r>
      <w:r w:rsidR="00444C62">
        <w:t xml:space="preserve">AEP </w:t>
      </w:r>
      <w:r w:rsidR="00E765A7">
        <w:t>can be expected to seek</w:t>
      </w:r>
      <w:r w:rsidR="00124481">
        <w:t xml:space="preserve"> higher charges</w:t>
      </w:r>
      <w:r w:rsidR="00E765A7">
        <w:t xml:space="preserve"> from other customers </w:t>
      </w:r>
      <w:r w:rsidR="00124481">
        <w:t>to make up its reduced revenues from charging less to the mercantile customer</w:t>
      </w:r>
      <w:r w:rsidR="00E765A7">
        <w:t xml:space="preserve">. </w:t>
      </w:r>
    </w:p>
    <w:p w:rsidR="007D42C2" w:rsidP="005C11FA">
      <w:pPr>
        <w:spacing w:line="480" w:lineRule="auto"/>
        <w:ind w:firstLine="720"/>
        <w:rPr>
          <w:szCs w:val="24"/>
        </w:rPr>
      </w:pPr>
      <w:r>
        <w:rPr>
          <w:szCs w:val="24"/>
        </w:rPr>
        <w:t xml:space="preserve">Under the proposed economic development arrangement, </w:t>
      </w:r>
      <w:r w:rsidR="00E278CE">
        <w:rPr>
          <w:szCs w:val="24"/>
        </w:rPr>
        <w:t xml:space="preserve">the mercantile customer would receive a monthly rate credit under the interruptible power tariff of 85% of its monthly transmission and distribution charges. This discount is estimated to be approximately $12 million through 2021. Further discounts (through 2024) under the interruptible power tariff are not known at this time because the discounts are tied to PJM capacity prices, which are known only through 5/31/2021. </w:t>
      </w:r>
      <w:r w:rsidR="00BD7514">
        <w:rPr>
          <w:szCs w:val="24"/>
        </w:rPr>
        <w:t xml:space="preserve"> </w:t>
      </w:r>
      <w:r>
        <w:rPr>
          <w:szCs w:val="24"/>
        </w:rPr>
        <w:t xml:space="preserve">The mercantile customer also will be receiving a discount in the form of an Economic Development rate credit </w:t>
      </w:r>
      <w:r w:rsidR="007A1A58">
        <w:rPr>
          <w:szCs w:val="24"/>
        </w:rPr>
        <w:t>of up to</w:t>
      </w:r>
      <w:r>
        <w:rPr>
          <w:szCs w:val="24"/>
        </w:rPr>
        <w:t xml:space="preserve"> $26.2 million.</w:t>
      </w:r>
      <w:r>
        <w:rPr>
          <w:rStyle w:val="FootnoteReference"/>
          <w:szCs w:val="24"/>
        </w:rPr>
        <w:footnoteReference w:id="7"/>
      </w:r>
      <w:r>
        <w:rPr>
          <w:szCs w:val="24"/>
        </w:rPr>
        <w:t xml:space="preserve"> </w:t>
      </w:r>
      <w:r w:rsidR="00BD7514">
        <w:rPr>
          <w:szCs w:val="24"/>
        </w:rPr>
        <w:t xml:space="preserve">And the mercantile customer may also receive other revenues from PJM </w:t>
      </w:r>
      <w:r>
        <w:rPr>
          <w:szCs w:val="24"/>
        </w:rPr>
        <w:t>because it will have the opportunity to bid its interruptible capacity into the PJM auctions or participate in any other PJM demand response program and retain any revenue from PJM associated with that interruptible capacity.</w:t>
      </w:r>
      <w:r>
        <w:rPr>
          <w:rStyle w:val="FootnoteReference"/>
          <w:szCs w:val="24"/>
        </w:rPr>
        <w:footnoteReference w:id="8"/>
      </w:r>
    </w:p>
    <w:p w:rsidR="005C11FA" w:rsidP="005C11FA">
      <w:pPr>
        <w:spacing w:line="480" w:lineRule="auto"/>
        <w:ind w:firstLine="720"/>
        <w:rPr>
          <w:szCs w:val="24"/>
        </w:rPr>
      </w:pPr>
      <w:r>
        <w:rPr>
          <w:szCs w:val="24"/>
        </w:rPr>
        <w:t xml:space="preserve"> </w:t>
      </w:r>
      <w:r>
        <w:rPr>
          <w:szCs w:val="24"/>
        </w:rPr>
        <w:t>T</w:t>
      </w:r>
      <w:r>
        <w:t xml:space="preserve">hese eventual additional costs </w:t>
      </w:r>
      <w:r w:rsidR="007D42C2">
        <w:t xml:space="preserve">(and opportunities) </w:t>
      </w:r>
      <w:r>
        <w:t xml:space="preserve">will increase the monetary benefits </w:t>
      </w:r>
      <w:r w:rsidR="008746AB">
        <w:t xml:space="preserve">to the mercantile customer </w:t>
      </w:r>
      <w:r>
        <w:t>of the proposed economic development arrangement</w:t>
      </w:r>
      <w:r w:rsidR="007D42C2">
        <w:t>.  The cost of the discounts</w:t>
      </w:r>
      <w:r w:rsidR="008746AB">
        <w:t xml:space="preserve"> provided </w:t>
      </w:r>
      <w:r>
        <w:t xml:space="preserve">will ultimately add to the charges </w:t>
      </w:r>
      <w:r w:rsidR="007D42C2">
        <w:t xml:space="preserve">other </w:t>
      </w:r>
      <w:r>
        <w:t xml:space="preserve">customers must pay. </w:t>
      </w:r>
    </w:p>
    <w:p w:rsidR="00532E84" w:rsidP="004803A4">
      <w:pPr>
        <w:pStyle w:val="InsideAddress"/>
        <w:tabs>
          <w:tab w:val="left" w:pos="4320"/>
        </w:tabs>
        <w:autoSpaceDE w:val="0"/>
        <w:autoSpaceDN w:val="0"/>
        <w:adjustRightInd w:val="0"/>
        <w:spacing w:line="480" w:lineRule="auto"/>
        <w:ind w:firstLine="720"/>
      </w:pPr>
      <w:r>
        <w:t xml:space="preserve">AEP can be expected to seek to collect </w:t>
      </w:r>
      <w:r w:rsidR="00DF62C7">
        <w:t xml:space="preserve">from other customers </w:t>
      </w:r>
      <w:r>
        <w:t>the revenue shortages from the discounts offe</w:t>
      </w:r>
      <w:r w:rsidR="007D42C2">
        <w:t>red to the mercantile customer</w:t>
      </w:r>
      <w:r>
        <w:t xml:space="preserve">, including residential consumers. </w:t>
      </w:r>
      <w:r>
        <w:t xml:space="preserve">These </w:t>
      </w:r>
      <w:r w:rsidR="002C3626">
        <w:t xml:space="preserve">particular </w:t>
      </w:r>
      <w:r>
        <w:t>costs to consumers should be identified</w:t>
      </w:r>
      <w:r w:rsidR="004568AC">
        <w:t xml:space="preserve"> </w:t>
      </w:r>
      <w:r>
        <w:t>and</w:t>
      </w:r>
      <w:r w:rsidR="004568AC">
        <w:t xml:space="preserve"> considered</w:t>
      </w:r>
      <w:r w:rsidR="00FC2BAB">
        <w:t>,</w:t>
      </w:r>
      <w:r w:rsidR="004568AC">
        <w:t xml:space="preserve"> </w:t>
      </w:r>
      <w:r w:rsidR="00FC2BAB">
        <w:t xml:space="preserve">in total, </w:t>
      </w:r>
      <w:r>
        <w:t>as part of the PUCO’s balancing of program</w:t>
      </w:r>
      <w:r w:rsidR="002C3626">
        <w:t xml:space="preserve"> benefits</w:t>
      </w:r>
      <w:r>
        <w:t xml:space="preserve"> to be paid by customers to their utility</w:t>
      </w:r>
      <w:r w:rsidR="002603EE">
        <w:t xml:space="preserve"> for</w:t>
      </w:r>
      <w:r w:rsidR="00DF62C7">
        <w:t xml:space="preserve"> subsidizing</w:t>
      </w:r>
      <w:r w:rsidR="002603EE">
        <w:t xml:space="preserve"> economic development programs</w:t>
      </w:r>
      <w:r>
        <w:t xml:space="preserve">. As stated above, this recommendation applies to any applicant’s proposal for economic development. </w:t>
      </w:r>
    </w:p>
    <w:p w:rsidR="004B5A1E" w:rsidP="00D777CD">
      <w:pPr>
        <w:pStyle w:val="Heading2"/>
      </w:pPr>
      <w:r>
        <w:t>B</w:t>
      </w:r>
      <w:r w:rsidR="00D777CD">
        <w:t>.</w:t>
      </w:r>
      <w:r w:rsidR="00D777CD">
        <w:tab/>
      </w:r>
      <w:r w:rsidR="001A362F">
        <w:t xml:space="preserve">The PUCO should establish caps (limits) on what customers would be charged by their utility </w:t>
      </w:r>
      <w:r w:rsidR="00234F71">
        <w:t xml:space="preserve">annually and in total </w:t>
      </w:r>
      <w:r w:rsidR="00244602">
        <w:t xml:space="preserve">to subsidize </w:t>
      </w:r>
      <w:r w:rsidR="001A362F">
        <w:t>economic development programs</w:t>
      </w:r>
      <w:r w:rsidR="00393F49">
        <w:t>.</w:t>
      </w:r>
    </w:p>
    <w:p w:rsidR="00234F71" w:rsidRPr="00234F71" w:rsidP="00234F71">
      <w:r>
        <w:tab/>
      </w:r>
    </w:p>
    <w:p w:rsidR="00177F16" w:rsidP="00177F16">
      <w:pPr>
        <w:spacing w:line="480" w:lineRule="auto"/>
        <w:ind w:firstLine="720"/>
      </w:pPr>
      <w:r>
        <w:t xml:space="preserve">Currently, AEP Ohio's Economic Development Cost Recovery Rider is set at </w:t>
      </w:r>
      <w:r w:rsidRPr="00DC670B">
        <w:t>2.</w:t>
      </w:r>
      <w:r w:rsidRPr="00DC670B" w:rsidR="003C3103">
        <w:t>81125</w:t>
      </w:r>
      <w:r w:rsidRPr="00DC670B">
        <w:t>%</w:t>
      </w:r>
      <w:r>
        <w:t xml:space="preserve"> of a customer's distribution charges.</w:t>
      </w:r>
      <w:r>
        <w:rPr>
          <w:rStyle w:val="FootnoteReference"/>
        </w:rPr>
        <w:footnoteReference w:id="9"/>
      </w:r>
      <w:r>
        <w:t xml:space="preserve">  For an average residential customer using 1,000 kWh per month, that </w:t>
      </w:r>
      <w:r w:rsidR="0099139A">
        <w:t xml:space="preserve">charge </w:t>
      </w:r>
      <w:r>
        <w:t xml:space="preserve">equals roughly </w:t>
      </w:r>
      <w:r w:rsidRPr="00DC670B">
        <w:t>$0.</w:t>
      </w:r>
      <w:r w:rsidRPr="00DC670B" w:rsidR="003C3103">
        <w:t xml:space="preserve">75 </w:t>
      </w:r>
      <w:r w:rsidRPr="00DC670B">
        <w:t>per month</w:t>
      </w:r>
      <w:r>
        <w:t>.</w:t>
      </w:r>
      <w:r>
        <w:rPr>
          <w:rStyle w:val="FootnoteReference"/>
        </w:rPr>
        <w:footnoteReference w:id="10"/>
      </w:r>
      <w:r>
        <w:t xml:space="preserve">  The subsidy charges vary over time according to applications and PUCO approvals, and AEP Ohio has had much higher monthly charges to customers for economic development, at times.</w:t>
      </w:r>
      <w:r>
        <w:rPr>
          <w:rStyle w:val="FootnoteReference"/>
        </w:rPr>
        <w:footnoteReference w:id="11"/>
      </w:r>
      <w:r>
        <w:t xml:space="preserve">  Th</w:t>
      </w:r>
      <w:r w:rsidR="004803A4">
        <w:t xml:space="preserve">e subsidies charged </w:t>
      </w:r>
      <w:r w:rsidR="00976810">
        <w:t>add</w:t>
      </w:r>
      <w:r>
        <w:t xml:space="preserve"> up to </w:t>
      </w:r>
      <w:r w:rsidR="00B90D16">
        <w:t>almost $12</w:t>
      </w:r>
      <w:r>
        <w:t xml:space="preserve"> million per year </w:t>
      </w:r>
      <w:r w:rsidR="00976810">
        <w:t xml:space="preserve">for </w:t>
      </w:r>
      <w:r>
        <w:t xml:space="preserve"> </w:t>
      </w:r>
      <w:r w:rsidR="004A49A9">
        <w:t xml:space="preserve">AEP Ohio's </w:t>
      </w:r>
      <w:r>
        <w:t>residential customers.   If this application is approved, the subsidies paid by residential customers will further increase</w:t>
      </w:r>
      <w:r w:rsidR="004A49A9">
        <w:t>.</w:t>
      </w:r>
      <w:r>
        <w:t xml:space="preserve"> These subsid</w:t>
      </w:r>
      <w:r w:rsidR="00052B9D">
        <w:t>y</w:t>
      </w:r>
      <w:r>
        <w:t xml:space="preserve"> charges, whether called delta revenue</w:t>
      </w:r>
      <w:r w:rsidR="00471679">
        <w:t xml:space="preserve"> or </w:t>
      </w:r>
      <w:r w:rsidR="005C11FA">
        <w:t>interruptible credits</w:t>
      </w:r>
      <w:r>
        <w:t xml:space="preserve">, </w:t>
      </w:r>
      <w:r w:rsidR="00471679">
        <w:t xml:space="preserve">would </w:t>
      </w:r>
      <w:r>
        <w:t xml:space="preserve">further increase the rates paid by </w:t>
      </w:r>
      <w:r w:rsidR="00471679">
        <w:t>AEP’s Ohio</w:t>
      </w:r>
      <w:r>
        <w:t xml:space="preserve"> customers that are already the highest rates paid by AEP customers in its 11</w:t>
      </w:r>
      <w:r w:rsidR="00FC2BAB">
        <w:t>-</w:t>
      </w:r>
      <w:r>
        <w:t>state service territory in 201</w:t>
      </w:r>
      <w:r w:rsidR="004803A4">
        <w:t>6</w:t>
      </w:r>
      <w:r>
        <w:t>.</w:t>
      </w:r>
      <w:r>
        <w:rPr>
          <w:rStyle w:val="FootnoteReference"/>
        </w:rPr>
        <w:footnoteReference w:id="12"/>
      </w:r>
      <w:r>
        <w:t xml:space="preserve">  </w:t>
      </w:r>
      <w:r>
        <w:tab/>
      </w:r>
    </w:p>
    <w:p w:rsidR="00976810" w:rsidP="00177F16">
      <w:pPr>
        <w:spacing w:line="480" w:lineRule="auto"/>
        <w:ind w:firstLine="720"/>
      </w:pPr>
      <w:r>
        <w:t xml:space="preserve">To protect customers, </w:t>
      </w:r>
      <w:r w:rsidR="00393F49">
        <w:t xml:space="preserve"> the PUCO </w:t>
      </w:r>
      <w:r w:rsidR="007124E8">
        <w:t xml:space="preserve">should consistently </w:t>
      </w:r>
      <w:r w:rsidR="00393F49">
        <w:t>impos</w:t>
      </w:r>
      <w:r w:rsidR="007124E8">
        <w:t>e</w:t>
      </w:r>
      <w:r w:rsidR="00393F49">
        <w:t xml:space="preserve"> a</w:t>
      </w:r>
      <w:r w:rsidR="0099139A">
        <w:t>n overall</w:t>
      </w:r>
      <w:r w:rsidR="00393F49">
        <w:t xml:space="preserve"> cap (limit) on what consumers could be charged by their utility </w:t>
      </w:r>
      <w:r w:rsidR="007124E8">
        <w:t xml:space="preserve">to subsidize </w:t>
      </w:r>
      <w:r>
        <w:t xml:space="preserve">all </w:t>
      </w:r>
      <w:r w:rsidR="00892A28">
        <w:t xml:space="preserve">economic development </w:t>
      </w:r>
      <w:r w:rsidR="00393F49">
        <w:t>program</w:t>
      </w:r>
      <w:r w:rsidR="007124E8">
        <w:t>s</w:t>
      </w:r>
      <w:r>
        <w:t xml:space="preserve"> in their service territory</w:t>
      </w:r>
      <w:r w:rsidR="00393F49">
        <w:t xml:space="preserve">.  </w:t>
      </w:r>
      <w:r w:rsidR="00497F67">
        <w:t>Doing so is consistent with the PUCO's practice of establishing a limit on what customers can be asked to pay in reasonable arrangement cases, given that customers have limited resources.</w:t>
      </w:r>
      <w:r>
        <w:rPr>
          <w:rStyle w:val="FootnoteReference"/>
        </w:rPr>
        <w:footnoteReference w:id="13"/>
      </w:r>
      <w:r w:rsidR="00497F67">
        <w:t xml:space="preserve"> </w:t>
      </w:r>
    </w:p>
    <w:p w:rsidR="007D42C2" w:rsidP="00177F16">
      <w:pPr>
        <w:spacing w:line="480" w:lineRule="auto"/>
        <w:ind w:firstLine="720"/>
      </w:pPr>
      <w:r>
        <w:t xml:space="preserve">For individual economic development arrangements there </w:t>
      </w:r>
      <w:r w:rsidR="00892A28">
        <w:t xml:space="preserve">should be established </w:t>
      </w:r>
      <w:r>
        <w:t xml:space="preserve">caps </w:t>
      </w:r>
      <w:r w:rsidR="00892A28">
        <w:t>for each year of an individual program</w:t>
      </w:r>
      <w:r>
        <w:t xml:space="preserve">.  And there should be a cap on the </w:t>
      </w:r>
      <w:r w:rsidR="00892A28">
        <w:t xml:space="preserve">total cost </w:t>
      </w:r>
      <w:r>
        <w:t xml:space="preserve">of the arrangement </w:t>
      </w:r>
      <w:r w:rsidR="00892A28">
        <w:t xml:space="preserve">that can be charged over the entire </w:t>
      </w:r>
      <w:r>
        <w:t>period the arrangement is in effect. T</w:t>
      </w:r>
      <w:r w:rsidR="00393F49">
        <w:t>he caps</w:t>
      </w:r>
      <w:r w:rsidR="007124E8">
        <w:t xml:space="preserve"> should</w:t>
      </w:r>
      <w:r w:rsidR="00393F49">
        <w:t xml:space="preserve"> include all </w:t>
      </w:r>
      <w:r w:rsidR="007124E8">
        <w:t xml:space="preserve">the utility </w:t>
      </w:r>
      <w:r w:rsidR="00393F49">
        <w:t>subsidies available to an applicant that are paid by other consumers</w:t>
      </w:r>
      <w:r w:rsidR="000F7DB0">
        <w:t>, including subsid</w:t>
      </w:r>
      <w:r w:rsidR="00625DF4">
        <w:t>i</w:t>
      </w:r>
      <w:r w:rsidR="000F7DB0">
        <w:t xml:space="preserve">es such as those in this case </w:t>
      </w:r>
      <w:r w:rsidR="00892A28">
        <w:t xml:space="preserve">that </w:t>
      </w:r>
      <w:r w:rsidR="000F7DB0">
        <w:t xml:space="preserve">reflect </w:t>
      </w:r>
      <w:r w:rsidR="008746AB">
        <w:t>credits on the e</w:t>
      </w:r>
      <w:r w:rsidR="005C11FA">
        <w:t xml:space="preserve">conomic development rider paid by the mercantile customer and interruptible rate credits. </w:t>
      </w:r>
    </w:p>
    <w:p w:rsidR="00CB7119" w:rsidP="00177F16">
      <w:pPr>
        <w:spacing w:line="480" w:lineRule="auto"/>
        <w:ind w:firstLine="720"/>
      </w:pPr>
      <w:r>
        <w:t xml:space="preserve"> </w:t>
      </w:r>
      <w:r w:rsidR="00BD7514">
        <w:t>Here</w:t>
      </w:r>
      <w:r w:rsidR="00BD6E90">
        <w:t>,</w:t>
      </w:r>
      <w:r w:rsidR="00BD7514">
        <w:t xml:space="preserve"> </w:t>
      </w:r>
      <w:r>
        <w:t>the mercantile customer does propose a cap on the economic development credits</w:t>
      </w:r>
      <w:r w:rsidR="00BD6E90">
        <w:t>.</w:t>
      </w:r>
      <w:r>
        <w:t xml:space="preserve"> </w:t>
      </w:r>
      <w:r w:rsidR="00BD6E90">
        <w:t>T</w:t>
      </w:r>
      <w:r w:rsidR="00BD7514">
        <w:t xml:space="preserve">here is a </w:t>
      </w:r>
      <w:r>
        <w:t xml:space="preserve">cap proposed </w:t>
      </w:r>
      <w:r w:rsidR="00BD7514">
        <w:t xml:space="preserve">($22 million) </w:t>
      </w:r>
      <w:r>
        <w:t xml:space="preserve">on the discounts provided under the interruptible credit rider.   </w:t>
      </w:r>
      <w:r w:rsidR="007D42C2">
        <w:t xml:space="preserve">We appreciate </w:t>
      </w:r>
      <w:r w:rsidR="00082A97">
        <w:t xml:space="preserve">the substantial new jobs </w:t>
      </w:r>
      <w:r w:rsidR="004E1130">
        <w:t xml:space="preserve">to be </w:t>
      </w:r>
      <w:r w:rsidR="00082A97">
        <w:t>created</w:t>
      </w:r>
      <w:r w:rsidR="004E1130">
        <w:t xml:space="preserve"> and that</w:t>
      </w:r>
      <w:r w:rsidR="007D42C2">
        <w:t xml:space="preserve"> the mercantile customer </w:t>
      </w:r>
      <w:r w:rsidR="004E1130">
        <w:t>seeks to</w:t>
      </w:r>
      <w:r w:rsidR="007D42C2">
        <w:t xml:space="preserve"> limit </w:t>
      </w:r>
      <w:r w:rsidR="00082A97">
        <w:t xml:space="preserve">what other customers would pay to </w:t>
      </w:r>
      <w:r w:rsidR="00BD6E90">
        <w:t xml:space="preserve">subsidize </w:t>
      </w:r>
      <w:r w:rsidR="007D42C2">
        <w:t xml:space="preserve">the mercantile customer's discount.  </w:t>
      </w:r>
    </w:p>
    <w:p w:rsidR="00D777CD" w:rsidP="00D53943">
      <w:pPr>
        <w:spacing w:line="480" w:lineRule="auto"/>
        <w:ind w:firstLine="720"/>
      </w:pPr>
      <w:r>
        <w:t>Additionally, t</w:t>
      </w:r>
      <w:r w:rsidR="00CB7119">
        <w:t xml:space="preserve">he PUCO should establish a limit on the </w:t>
      </w:r>
      <w:r>
        <w:t xml:space="preserve">total amount of money paid by all Ohio utility customers </w:t>
      </w:r>
      <w:r w:rsidR="005379E2">
        <w:t>to subsidize</w:t>
      </w:r>
      <w:r>
        <w:t xml:space="preserve"> economic development</w:t>
      </w:r>
      <w:r w:rsidR="005379E2">
        <w:t xml:space="preserve"> programs</w:t>
      </w:r>
      <w:r>
        <w:t xml:space="preserve"> resulting from requests to the PUCO. </w:t>
      </w:r>
      <w:r w:rsidR="00CB7119">
        <w:t>T</w:t>
      </w:r>
      <w:r>
        <w:t>he subsidies that consumers are asked to pay to electric utilities fo</w:t>
      </w:r>
      <w:r w:rsidR="000F7DB0">
        <w:t>r all economic development</w:t>
      </w:r>
      <w:r w:rsidR="00CB7119">
        <w:t xml:space="preserve"> </w:t>
      </w:r>
      <w:r w:rsidR="00D53943">
        <w:t>should not</w:t>
      </w:r>
      <w:r>
        <w:t xml:space="preserve"> exceed, in total, a certain low percentage of consumers’ electric bills.</w:t>
      </w:r>
      <w:r w:rsidR="00892A28">
        <w:t xml:space="preserve"> </w:t>
      </w:r>
      <w:r w:rsidR="005351A8">
        <w:t xml:space="preserve"> This cap should be established by the PUCO.</w:t>
      </w:r>
    </w:p>
    <w:p w:rsidR="00D777CD" w:rsidP="00D777CD">
      <w:pPr>
        <w:pStyle w:val="Heading2"/>
      </w:pPr>
      <w:r>
        <w:t>C</w:t>
      </w:r>
      <w:r>
        <w:t>.</w:t>
      </w:r>
      <w:r>
        <w:tab/>
        <w:t>T</w:t>
      </w:r>
      <w:r w:rsidRPr="00736730">
        <w:t xml:space="preserve">he </w:t>
      </w:r>
      <w:r>
        <w:t>PUCO</w:t>
      </w:r>
      <w:r w:rsidRPr="00736730">
        <w:t xml:space="preserve"> should </w:t>
      </w:r>
      <w:r>
        <w:t>determine a r</w:t>
      </w:r>
      <w:r w:rsidR="00ED771D">
        <w:t>easonable sharing of the costs</w:t>
      </w:r>
      <w:r w:rsidR="001C0D27">
        <w:t xml:space="preserve"> of economic development</w:t>
      </w:r>
      <w:r w:rsidR="00ED771D">
        <w:t xml:space="preserve"> </w:t>
      </w:r>
      <w:r>
        <w:t xml:space="preserve">between </w:t>
      </w:r>
      <w:r w:rsidR="001C0D27">
        <w:t>AEP</w:t>
      </w:r>
      <w:r>
        <w:t xml:space="preserve"> and its customers.</w:t>
      </w:r>
    </w:p>
    <w:p w:rsidR="00D777CD" w:rsidP="00D777CD">
      <w:pPr>
        <w:spacing w:line="480" w:lineRule="auto"/>
        <w:ind w:firstLine="720"/>
      </w:pPr>
      <w:r>
        <w:t xml:space="preserve">The PUCO’s </w:t>
      </w:r>
      <w:r w:rsidR="00052B9D">
        <w:t>original</w:t>
      </w:r>
      <w:r>
        <w:t xml:space="preserve"> policy </w:t>
      </w:r>
      <w:r w:rsidR="001C0D27">
        <w:t xml:space="preserve">for </w:t>
      </w:r>
      <w:r>
        <w:t>economic development</w:t>
      </w:r>
      <w:r w:rsidR="001C0D27">
        <w:t>, which</w:t>
      </w:r>
      <w:r w:rsidRPr="001C0D27" w:rsidR="001C0D27">
        <w:t xml:space="preserve"> </w:t>
      </w:r>
      <w:r w:rsidR="001C0D27">
        <w:t>dates back more than 30 years,</w:t>
      </w:r>
      <w:r>
        <w:t xml:space="preserve"> </w:t>
      </w:r>
      <w:r w:rsidR="001C0D27">
        <w:t>included a</w:t>
      </w:r>
      <w:r>
        <w:t xml:space="preserve"> sharing of </w:t>
      </w:r>
      <w:r w:rsidR="00416695">
        <w:t xml:space="preserve">payment for the </w:t>
      </w:r>
      <w:r>
        <w:t>delta revenue</w:t>
      </w:r>
      <w:r w:rsidR="00416695">
        <w:t xml:space="preserve"> subsidy,</w:t>
      </w:r>
      <w:r w:rsidR="001C0D27">
        <w:t xml:space="preserve"> between utilities and consumers</w:t>
      </w:r>
      <w:r>
        <w:t>.</w:t>
      </w:r>
      <w:r>
        <w:rPr>
          <w:rStyle w:val="FootnoteReference"/>
        </w:rPr>
        <w:footnoteReference w:id="14"/>
      </w:r>
      <w:r>
        <w:t xml:space="preserve"> Under that policy</w:t>
      </w:r>
      <w:r w:rsidR="001C0D27">
        <w:t xml:space="preserve"> approach</w:t>
      </w:r>
      <w:r>
        <w:t>, the PUCO should provide for a reasonable split of the</w:t>
      </w:r>
      <w:r w:rsidR="001C0D27">
        <w:t xml:space="preserve"> economic development</w:t>
      </w:r>
      <w:r>
        <w:t xml:space="preserve"> costs between the </w:t>
      </w:r>
      <w:r w:rsidR="00892A28">
        <w:t>utility</w:t>
      </w:r>
      <w:r w:rsidR="001C0D27">
        <w:t xml:space="preserve"> </w:t>
      </w:r>
      <w:r>
        <w:t xml:space="preserve">and customers.  </w:t>
      </w:r>
    </w:p>
    <w:p w:rsidR="005C11FA" w:rsidP="00D777CD">
      <w:pPr>
        <w:spacing w:line="480" w:lineRule="auto"/>
        <w:ind w:firstLine="720"/>
      </w:pPr>
      <w:r>
        <w:t>AEP</w:t>
      </w:r>
      <w:r w:rsidR="00B90D16">
        <w:t xml:space="preserve"> is benefitting from the mercantile customer’s expansion in the service territory thr</w:t>
      </w:r>
      <w:r>
        <w:t xml:space="preserve">ough increased distribution and transmission revenue from serving the </w:t>
      </w:r>
      <w:r w:rsidR="00B90D16">
        <w:t xml:space="preserve">new </w:t>
      </w:r>
      <w:r>
        <w:t xml:space="preserve">load associated with </w:t>
      </w:r>
      <w:r w:rsidR="00082A97">
        <w:t xml:space="preserve">the mercantile customer's </w:t>
      </w:r>
      <w:r>
        <w:t>steelmaking operations</w:t>
      </w:r>
      <w:r w:rsidR="008746AB">
        <w:t>,</w:t>
      </w:r>
      <w:r>
        <w:t xml:space="preserve"> which have been shut down since 2009.  </w:t>
      </w:r>
      <w:r>
        <w:t xml:space="preserve">Given this benefit, </w:t>
      </w:r>
      <w:r w:rsidR="00B90D16">
        <w:t xml:space="preserve">Ohio Power should not </w:t>
      </w:r>
      <w:r w:rsidR="00416695">
        <w:t>be permitted to charge other customers for 100 percent of its subsidy for the economic development program</w:t>
      </w:r>
      <w:r w:rsidR="00B90D16">
        <w:t xml:space="preserve">.  </w:t>
      </w:r>
    </w:p>
    <w:p w:rsidR="00D777CD" w:rsidP="00D777CD">
      <w:pPr>
        <w:spacing w:line="480" w:lineRule="auto"/>
        <w:ind w:firstLine="720"/>
      </w:pPr>
      <w:r>
        <w:t>In the past the PUCO has held “that a 50/50 split properly recognizes that both the company and its customers benefit from the company’s policy of providing economic incentive rates to certain customers to attract new business in the utility’s service territory.”</w:t>
      </w:r>
      <w:r>
        <w:rPr>
          <w:rStyle w:val="FootnoteReference"/>
        </w:rPr>
        <w:footnoteReference w:id="15"/>
      </w:r>
      <w:r>
        <w:t xml:space="preserve"> Furthermore, this 50/50 sharing of the delta revenue is consistent with other decisions </w:t>
      </w:r>
      <w:r w:rsidR="00892A28">
        <w:t xml:space="preserve">that </w:t>
      </w:r>
      <w:r>
        <w:t>addressed the issue</w:t>
      </w:r>
      <w:r w:rsidR="001C0D27">
        <w:t xml:space="preserve"> years ago</w:t>
      </w:r>
      <w:r>
        <w:t>.</w:t>
      </w:r>
      <w:r>
        <w:rPr>
          <w:rStyle w:val="FootnoteReference"/>
        </w:rPr>
        <w:footnoteReference w:id="16"/>
      </w:r>
    </w:p>
    <w:p w:rsidR="00465A50" w:rsidP="00082A97">
      <w:pPr>
        <w:spacing w:line="480" w:lineRule="auto"/>
        <w:ind w:firstLine="720"/>
      </w:pPr>
      <w:r>
        <w:t xml:space="preserve">The PUCO’s </w:t>
      </w:r>
      <w:r w:rsidR="00052B9D">
        <w:t>original</w:t>
      </w:r>
      <w:r>
        <w:t xml:space="preserve"> policy complements the provisions in S.B. 221 that address economic development arrangements. S.B. 221 does allow a utility to seek to charge other customers for “revenues foregone” as a result of an economic development </w:t>
      </w:r>
    </w:p>
    <w:p w:rsidR="00304D7E" w:rsidP="00465A50">
      <w:pPr>
        <w:spacing w:line="480" w:lineRule="auto"/>
      </w:pPr>
      <w:r>
        <w:t>arrangement.</w:t>
      </w:r>
      <w:r>
        <w:rPr>
          <w:rStyle w:val="FootnoteReference"/>
        </w:rPr>
        <w:footnoteReference w:id="17"/>
      </w:r>
      <w:r>
        <w:t xml:space="preserve"> But the PUCO’s rules,</w:t>
      </w:r>
      <w:r>
        <w:rPr>
          <w:rStyle w:val="FootnoteReference"/>
        </w:rPr>
        <w:footnoteReference w:id="18"/>
      </w:r>
      <w:r>
        <w:t xml:space="preserve"> along with the permissive statutory language,</w:t>
      </w:r>
      <w:r>
        <w:rPr>
          <w:rStyle w:val="FootnoteReference"/>
        </w:rPr>
        <w:footnoteReference w:id="19"/>
      </w:r>
      <w:r>
        <w:t xml:space="preserve"> make it clear that the collection of delta revenues from other customers is a matter within the discretion of the PUCO.</w:t>
      </w:r>
      <w:r>
        <w:rPr>
          <w:rStyle w:val="FootnoteReference"/>
        </w:rPr>
        <w:footnoteReference w:id="20"/>
      </w:r>
      <w:r>
        <w:t xml:space="preserve"> Indeed, the PUCO acknowledged, in an appeal to the Ohio Supreme Court, that it can approve a unique arrangement without allowing the utility to </w:t>
      </w:r>
    </w:p>
    <w:p w:rsidR="00304D7E">
      <w:pPr>
        <w:spacing w:after="200" w:line="276" w:lineRule="auto"/>
      </w:pPr>
      <w:r>
        <w:br w:type="page"/>
      </w:r>
    </w:p>
    <w:p w:rsidR="00D777CD" w:rsidP="00465A50">
      <w:pPr>
        <w:spacing w:line="480" w:lineRule="auto"/>
      </w:pPr>
      <w:r>
        <w:t xml:space="preserve">collect </w:t>
      </w:r>
      <w:r w:rsidRPr="001A362F">
        <w:rPr>
          <w:szCs w:val="24"/>
        </w:rPr>
        <w:t>any</w:t>
      </w:r>
      <w:r>
        <w:t xml:space="preserve"> amount from other customers to pay the utility for lowering its rates to the mercantile customer.</w:t>
      </w:r>
      <w:r>
        <w:rPr>
          <w:rStyle w:val="FootnoteReference"/>
        </w:rPr>
        <w:footnoteReference w:id="21"/>
      </w:r>
      <w:r>
        <w:t xml:space="preserve"> </w:t>
      </w:r>
    </w:p>
    <w:p w:rsidR="00871EBF" w:rsidRPr="00B73C77" w:rsidP="008746AB">
      <w:pPr>
        <w:pStyle w:val="Heading1"/>
      </w:pPr>
      <w:r>
        <w:tab/>
      </w:r>
      <w:r w:rsidRPr="00C13494" w:rsidR="00C13494">
        <w:tab/>
      </w:r>
      <w:r>
        <w:t xml:space="preserve"> </w:t>
      </w:r>
    </w:p>
    <w:p w:rsidR="00C839A7" w:rsidP="004F635B">
      <w:pPr>
        <w:pStyle w:val="Heading1"/>
      </w:pPr>
      <w:r>
        <w:t>III.</w:t>
      </w:r>
      <w:r>
        <w:tab/>
        <w:t>CONCLUSION</w:t>
      </w:r>
    </w:p>
    <w:p w:rsidR="008627B0" w:rsidRPr="008627B0" w:rsidP="00183D32"/>
    <w:p w:rsidR="00BF111B" w:rsidP="001A362F">
      <w:pPr>
        <w:spacing w:line="480" w:lineRule="auto"/>
      </w:pPr>
      <w:r>
        <w:tab/>
      </w:r>
      <w:r w:rsidR="00B8279D">
        <w:t xml:space="preserve">The Ohio Consumers’ Counsel appreciates this opportunity to comment. Our recommendations are directed </w:t>
      </w:r>
      <w:r w:rsidR="00C54784">
        <w:t xml:space="preserve">to </w:t>
      </w:r>
      <w:r w:rsidR="00B8279D">
        <w:t xml:space="preserve">assisting the PUCO </w:t>
      </w:r>
      <w:r w:rsidR="00416695">
        <w:t xml:space="preserve">with </w:t>
      </w:r>
      <w:r w:rsidR="00B8279D">
        <w:t>find</w:t>
      </w:r>
      <w:r w:rsidR="00416695">
        <w:t>ing</w:t>
      </w:r>
      <w:r w:rsidR="00B8279D">
        <w:t xml:space="preserve"> the balance between </w:t>
      </w:r>
      <w:r w:rsidR="007124E8">
        <w:t xml:space="preserve">the benefits of </w:t>
      </w:r>
      <w:r w:rsidR="00B8279D">
        <w:t>economic development and the</w:t>
      </w:r>
      <w:r w:rsidR="007124E8">
        <w:t xml:space="preserve"> costs</w:t>
      </w:r>
      <w:r w:rsidR="00B8279D">
        <w:t xml:space="preserve"> </w:t>
      </w:r>
      <w:r w:rsidR="007124E8">
        <w:t>(</w:t>
      </w:r>
      <w:r w:rsidR="00B8279D">
        <w:t>charges</w:t>
      </w:r>
      <w:r w:rsidR="007124E8">
        <w:t>)</w:t>
      </w:r>
      <w:r w:rsidR="00B8279D">
        <w:t xml:space="preserve"> to </w:t>
      </w:r>
      <w:r w:rsidR="003C4302">
        <w:t xml:space="preserve">families and other Ohio businesses </w:t>
      </w:r>
      <w:r w:rsidR="00B8279D">
        <w:t>who fund</w:t>
      </w:r>
      <w:r w:rsidR="00416695">
        <w:t xml:space="preserve"> (subsidize)</w:t>
      </w:r>
      <w:r w:rsidR="00B8279D">
        <w:t xml:space="preserve"> the economic development programs.</w:t>
      </w:r>
      <w:r w:rsidR="00BA21F9">
        <w:t xml:space="preserve"> </w:t>
      </w:r>
    </w:p>
    <w:p w:rsidR="003A3C26"/>
    <w:p w:rsidR="00D777CD" w:rsidP="003A3C26">
      <w:pPr>
        <w:pStyle w:val="InsideAddress"/>
        <w:tabs>
          <w:tab w:val="left" w:pos="4320"/>
        </w:tabs>
        <w:autoSpaceDE w:val="0"/>
        <w:autoSpaceDN w:val="0"/>
        <w:adjustRightInd w:val="0"/>
        <w:spacing w:before="120"/>
        <w:rPr>
          <w:rFonts w:ascii="Times New Roman" w:eastAsia="Times New Roman" w:hAnsi="Times New Roman"/>
          <w:szCs w:val="24"/>
        </w:rPr>
      </w:pPr>
      <w:r>
        <w:rPr>
          <w:rFonts w:ascii="Times New Roman" w:eastAsia="Times New Roman" w:hAnsi="Times New Roman"/>
          <w:szCs w:val="24"/>
        </w:rPr>
        <w:tab/>
      </w:r>
    </w:p>
    <w:p w:rsidR="006F647E" w:rsidRPr="00022705" w:rsidP="00AA5B51">
      <w:pPr>
        <w:spacing w:after="200" w:line="276" w:lineRule="auto"/>
        <w:rPr>
          <w:szCs w:val="24"/>
        </w:rPr>
      </w:pPr>
      <w:r>
        <w:rPr>
          <w:szCs w:val="24"/>
        </w:rPr>
        <w:tab/>
      </w:r>
      <w:r>
        <w:rPr>
          <w:szCs w:val="24"/>
        </w:rPr>
        <w:tab/>
      </w:r>
      <w:r>
        <w:rPr>
          <w:szCs w:val="24"/>
        </w:rPr>
        <w:tab/>
      </w:r>
      <w:r>
        <w:rPr>
          <w:szCs w:val="24"/>
        </w:rPr>
        <w:tab/>
      </w:r>
      <w:r>
        <w:rPr>
          <w:szCs w:val="24"/>
        </w:rPr>
        <w:tab/>
      </w:r>
      <w:r>
        <w:rPr>
          <w:szCs w:val="24"/>
        </w:rPr>
        <w:tab/>
      </w:r>
      <w:r w:rsidRPr="00022705">
        <w:rPr>
          <w:szCs w:val="24"/>
        </w:rPr>
        <w:t>Respectfully submitted,</w:t>
      </w:r>
    </w:p>
    <w:p w:rsidR="006F647E" w:rsidRPr="00022705" w:rsidP="006F647E">
      <w:pPr>
        <w:pStyle w:val="InsideAddress"/>
        <w:tabs>
          <w:tab w:val="left" w:pos="4320"/>
        </w:tabs>
        <w:autoSpaceDE w:val="0"/>
        <w:autoSpaceDN w:val="0"/>
        <w:adjustRightInd w:val="0"/>
        <w:spacing w:before="120"/>
        <w:rPr>
          <w:rFonts w:ascii="Times New Roman" w:eastAsia="Times New Roman" w:hAnsi="Times New Roman"/>
          <w:szCs w:val="24"/>
        </w:rPr>
      </w:pPr>
      <w:r w:rsidRPr="00022705">
        <w:rPr>
          <w:rFonts w:ascii="Times New Roman" w:eastAsia="Times New Roman" w:hAnsi="Times New Roman"/>
          <w:szCs w:val="24"/>
        </w:rPr>
        <w:tab/>
        <w:t>BRUCE WESTON (0016973)</w:t>
      </w:r>
    </w:p>
    <w:p w:rsidR="006F647E" w:rsidRPr="00022705" w:rsidP="006F647E">
      <w:pPr>
        <w:pStyle w:val="Footer"/>
        <w:tabs>
          <w:tab w:val="left" w:pos="720"/>
          <w:tab w:val="left" w:pos="4320"/>
        </w:tabs>
        <w:autoSpaceDE w:val="0"/>
        <w:autoSpaceDN w:val="0"/>
        <w:adjustRightInd w:val="0"/>
        <w:ind w:left="3600" w:firstLine="720"/>
        <w:rPr>
          <w:szCs w:val="24"/>
        </w:rPr>
      </w:pPr>
      <w:r w:rsidRPr="00022705">
        <w:rPr>
          <w:szCs w:val="24"/>
        </w:rPr>
        <w:t>OHIO CONSUMERS’ COUNSEL</w:t>
      </w:r>
    </w:p>
    <w:p w:rsidR="006F647E" w:rsidRPr="00022705" w:rsidP="006F647E">
      <w:pPr>
        <w:tabs>
          <w:tab w:val="left" w:pos="4320"/>
        </w:tabs>
        <w:rPr>
          <w:szCs w:val="24"/>
        </w:rPr>
      </w:pPr>
    </w:p>
    <w:p w:rsidR="006F647E" w:rsidRPr="00022705" w:rsidP="006F647E">
      <w:pPr>
        <w:tabs>
          <w:tab w:val="left" w:pos="4320"/>
        </w:tabs>
        <w:rPr>
          <w:i/>
          <w:szCs w:val="24"/>
          <w:u w:val="single"/>
        </w:rPr>
      </w:pPr>
      <w:r w:rsidRPr="00022705">
        <w:rPr>
          <w:szCs w:val="24"/>
        </w:rPr>
        <w:tab/>
      </w:r>
      <w:r w:rsidRPr="00022705">
        <w:rPr>
          <w:i/>
          <w:szCs w:val="24"/>
          <w:u w:val="single"/>
        </w:rPr>
        <w:t>/s/ Maureen R. Willis</w:t>
      </w:r>
    </w:p>
    <w:p w:rsidR="006F647E" w:rsidRPr="00022705" w:rsidP="006F647E">
      <w:pPr>
        <w:tabs>
          <w:tab w:val="left" w:pos="4320"/>
        </w:tabs>
        <w:rPr>
          <w:szCs w:val="24"/>
        </w:rPr>
      </w:pPr>
      <w:r w:rsidRPr="00022705">
        <w:rPr>
          <w:szCs w:val="24"/>
        </w:rPr>
        <w:tab/>
        <w:t>Maureen R. Willis, Counsel of Record</w:t>
      </w:r>
    </w:p>
    <w:p w:rsidR="006F647E" w:rsidRPr="00022705" w:rsidP="006F647E">
      <w:pPr>
        <w:tabs>
          <w:tab w:val="left" w:pos="4320"/>
        </w:tabs>
        <w:suppressAutoHyphens/>
        <w:rPr>
          <w:szCs w:val="24"/>
        </w:rPr>
      </w:pPr>
      <w:r w:rsidRPr="00022705">
        <w:rPr>
          <w:szCs w:val="24"/>
        </w:rPr>
        <w:tab/>
        <w:t>(0020847)</w:t>
      </w:r>
    </w:p>
    <w:p w:rsidR="006F647E" w:rsidRPr="00022705" w:rsidP="006F647E">
      <w:pPr>
        <w:tabs>
          <w:tab w:val="left" w:pos="4320"/>
        </w:tabs>
        <w:suppressAutoHyphens/>
        <w:rPr>
          <w:szCs w:val="24"/>
        </w:rPr>
      </w:pPr>
      <w:r w:rsidRPr="00022705">
        <w:rPr>
          <w:szCs w:val="24"/>
        </w:rPr>
        <w:tab/>
        <w:t>Senior Regulatory Counsel</w:t>
      </w:r>
    </w:p>
    <w:p w:rsidR="006F647E" w:rsidRPr="00022705" w:rsidP="006F647E">
      <w:pPr>
        <w:tabs>
          <w:tab w:val="left" w:pos="4320"/>
        </w:tabs>
        <w:suppressAutoHyphens/>
        <w:rPr>
          <w:szCs w:val="24"/>
        </w:rPr>
      </w:pPr>
      <w:r w:rsidRPr="00022705">
        <w:rPr>
          <w:szCs w:val="24"/>
        </w:rPr>
        <w:tab/>
        <w:t>Assistant Consumers’ Counsel</w:t>
      </w:r>
      <w:r w:rsidRPr="00022705">
        <w:rPr>
          <w:szCs w:val="24"/>
        </w:rPr>
        <w:tab/>
      </w:r>
      <w:r w:rsidRPr="00022705">
        <w:rPr>
          <w:szCs w:val="24"/>
        </w:rPr>
        <w:tab/>
      </w:r>
    </w:p>
    <w:p w:rsidR="006F647E" w:rsidRPr="00022705" w:rsidP="006F647E">
      <w:pPr>
        <w:tabs>
          <w:tab w:val="left" w:pos="4320"/>
        </w:tabs>
        <w:suppressAutoHyphens/>
        <w:rPr>
          <w:szCs w:val="24"/>
        </w:rPr>
      </w:pPr>
      <w:r w:rsidRPr="00022705">
        <w:rPr>
          <w:szCs w:val="24"/>
        </w:rPr>
        <w:tab/>
      </w:r>
    </w:p>
    <w:p w:rsidR="006F647E" w:rsidRPr="00022705" w:rsidP="006F647E">
      <w:pPr>
        <w:tabs>
          <w:tab w:val="left" w:pos="4320"/>
        </w:tabs>
        <w:suppressAutoHyphens/>
        <w:rPr>
          <w:b/>
          <w:bCs/>
          <w:szCs w:val="24"/>
        </w:rPr>
      </w:pPr>
      <w:r w:rsidRPr="00022705">
        <w:rPr>
          <w:szCs w:val="24"/>
        </w:rPr>
        <w:tab/>
      </w:r>
      <w:r w:rsidRPr="00022705">
        <w:rPr>
          <w:b/>
          <w:bCs/>
          <w:szCs w:val="24"/>
        </w:rPr>
        <w:t>Office of the Ohio Consumers’ Counsel</w:t>
      </w:r>
    </w:p>
    <w:p w:rsidR="006F647E" w:rsidRPr="00022705" w:rsidP="006F647E">
      <w:pPr>
        <w:tabs>
          <w:tab w:val="left" w:pos="4320"/>
        </w:tabs>
        <w:suppressAutoHyphens/>
        <w:ind w:firstLine="720"/>
        <w:rPr>
          <w:szCs w:val="24"/>
        </w:rPr>
      </w:pPr>
      <w:r w:rsidRPr="00022705">
        <w:rPr>
          <w:szCs w:val="24"/>
        </w:rPr>
        <w:tab/>
        <w:t>10 West Broad Street, Suite 1800</w:t>
      </w:r>
    </w:p>
    <w:p w:rsidR="006F647E" w:rsidRPr="00022705" w:rsidP="006F647E">
      <w:pPr>
        <w:tabs>
          <w:tab w:val="left" w:pos="4320"/>
        </w:tabs>
        <w:suppressAutoHyphens/>
        <w:rPr>
          <w:szCs w:val="24"/>
        </w:rPr>
      </w:pPr>
      <w:r w:rsidRPr="00022705">
        <w:rPr>
          <w:szCs w:val="24"/>
        </w:rPr>
        <w:tab/>
        <w:t>Columbus, Ohio 43215-3485</w:t>
      </w:r>
    </w:p>
    <w:p w:rsidR="006F647E" w:rsidP="006F647E">
      <w:pPr>
        <w:tabs>
          <w:tab w:val="left" w:pos="4320"/>
        </w:tabs>
        <w:suppressAutoHyphens/>
        <w:rPr>
          <w:szCs w:val="24"/>
        </w:rPr>
      </w:pPr>
      <w:r w:rsidRPr="00022705">
        <w:rPr>
          <w:szCs w:val="24"/>
        </w:rPr>
        <w:tab/>
      </w:r>
      <w:r>
        <w:rPr>
          <w:szCs w:val="24"/>
        </w:rPr>
        <w:t xml:space="preserve">Telephone: [Willis] </w:t>
      </w:r>
      <w:r w:rsidRPr="00022705">
        <w:rPr>
          <w:szCs w:val="24"/>
        </w:rPr>
        <w:t>(614) 466-9567</w:t>
      </w:r>
      <w:r w:rsidRPr="00022705">
        <w:rPr>
          <w:szCs w:val="24"/>
        </w:rPr>
        <w:tab/>
      </w:r>
      <w:r>
        <w:fldChar w:fldCharType="begin"/>
      </w:r>
      <w:r>
        <w:instrText xml:space="preserve"> HYPERLINK "mailto:Maureen.willis@occ.ohio.gov" </w:instrText>
      </w:r>
      <w:r>
        <w:fldChar w:fldCharType="separate"/>
      </w:r>
      <w:r w:rsidRPr="00514417">
        <w:rPr>
          <w:rStyle w:val="Hyperlink"/>
          <w:szCs w:val="24"/>
        </w:rPr>
        <w:t>Maureen.willis@occ.ohio.gov</w:t>
      </w:r>
      <w:r>
        <w:fldChar w:fldCharType="end"/>
      </w:r>
    </w:p>
    <w:p w:rsidR="006F647E" w:rsidRPr="00022705" w:rsidP="006F647E">
      <w:pPr>
        <w:tabs>
          <w:tab w:val="left" w:pos="4320"/>
        </w:tabs>
        <w:suppressAutoHyphens/>
        <w:rPr>
          <w:szCs w:val="24"/>
        </w:rPr>
      </w:pPr>
      <w:r w:rsidRPr="00022705">
        <w:rPr>
          <w:szCs w:val="24"/>
        </w:rPr>
        <w:tab/>
        <w:t>(Will accept service via email)</w:t>
      </w:r>
    </w:p>
    <w:p w:rsidR="003A3C26">
      <w:pPr>
        <w:sectPr w:rsidSect="001A362F">
          <w:headerReference w:type="default" r:id="rId11"/>
          <w:footerReference w:type="default" r:id="rId12"/>
          <w:pgSz w:w="12240" w:h="15840"/>
          <w:pgMar w:top="1440" w:right="1800" w:bottom="1440" w:left="1800" w:header="720" w:footer="720" w:gutter="0"/>
          <w:pgNumType w:start="2"/>
          <w:cols w:space="720"/>
          <w:docGrid w:linePitch="360"/>
        </w:sectPr>
      </w:pPr>
    </w:p>
    <w:p w:rsidR="003A3C26" w:rsidRPr="003A3C26" w:rsidP="003A3C26">
      <w:pPr>
        <w:spacing w:line="480" w:lineRule="auto"/>
        <w:jc w:val="center"/>
        <w:rPr>
          <w:b/>
          <w:bCs/>
          <w:szCs w:val="24"/>
          <w:u w:val="single"/>
        </w:rPr>
      </w:pPr>
      <w:r w:rsidRPr="003A3C26">
        <w:rPr>
          <w:b/>
          <w:bCs/>
          <w:szCs w:val="24"/>
          <w:u w:val="single"/>
        </w:rPr>
        <w:t>CERTIFICATE OF SERVICE</w:t>
      </w:r>
    </w:p>
    <w:p w:rsidR="003A3C26" w:rsidRPr="003A3C26" w:rsidP="003A3C26">
      <w:pPr>
        <w:spacing w:line="480" w:lineRule="auto"/>
        <w:rPr>
          <w:szCs w:val="24"/>
        </w:rPr>
      </w:pPr>
      <w:r w:rsidRPr="003A3C26">
        <w:rPr>
          <w:szCs w:val="24"/>
        </w:rPr>
        <w:tab/>
        <w:t xml:space="preserve">The undersigned hereby certifies that a true and correct copy of the foregoing </w:t>
      </w:r>
      <w:r>
        <w:rPr>
          <w:szCs w:val="24"/>
        </w:rPr>
        <w:t>Comments</w:t>
      </w:r>
      <w:r w:rsidRPr="003A3C26">
        <w:rPr>
          <w:szCs w:val="24"/>
        </w:rPr>
        <w:t xml:space="preserve"> ha</w:t>
      </w:r>
      <w:r>
        <w:rPr>
          <w:szCs w:val="24"/>
        </w:rPr>
        <w:t>ve</w:t>
      </w:r>
      <w:r w:rsidRPr="003A3C26">
        <w:rPr>
          <w:szCs w:val="24"/>
        </w:rPr>
        <w:t xml:space="preserve"> been served upon the below-named persons via electronic transmission this </w:t>
      </w:r>
      <w:r w:rsidR="00304D7E">
        <w:rPr>
          <w:szCs w:val="24"/>
        </w:rPr>
        <w:t>16th</w:t>
      </w:r>
      <w:r w:rsidR="006F647E">
        <w:rPr>
          <w:szCs w:val="24"/>
        </w:rPr>
        <w:t xml:space="preserve"> d</w:t>
      </w:r>
      <w:r w:rsidRPr="003A3C26">
        <w:rPr>
          <w:szCs w:val="24"/>
        </w:rPr>
        <w:t xml:space="preserve">ay of </w:t>
      </w:r>
      <w:r w:rsidR="00304D7E">
        <w:rPr>
          <w:szCs w:val="24"/>
        </w:rPr>
        <w:t>November</w:t>
      </w:r>
      <w:r w:rsidR="006F647E">
        <w:rPr>
          <w:szCs w:val="24"/>
        </w:rPr>
        <w:t xml:space="preserve"> 2017</w:t>
      </w:r>
      <w:r w:rsidRPr="003A3C26">
        <w:rPr>
          <w:szCs w:val="24"/>
        </w:rPr>
        <w:t>.</w:t>
      </w:r>
    </w:p>
    <w:p w:rsidR="003A3C26" w:rsidRPr="003A3C26" w:rsidP="003A3C26">
      <w:pPr>
        <w:tabs>
          <w:tab w:val="left" w:pos="4320"/>
        </w:tabs>
        <w:rPr>
          <w:szCs w:val="24"/>
        </w:rPr>
      </w:pPr>
    </w:p>
    <w:p w:rsidR="003A3C26" w:rsidRPr="003A3C26" w:rsidP="003A3C26">
      <w:pPr>
        <w:tabs>
          <w:tab w:val="left" w:pos="4320"/>
        </w:tabs>
        <w:rPr>
          <w:szCs w:val="24"/>
          <w:u w:val="single"/>
        </w:rPr>
      </w:pPr>
      <w:r w:rsidRPr="003A3C26">
        <w:rPr>
          <w:szCs w:val="24"/>
        </w:rPr>
        <w:tab/>
      </w:r>
      <w:r w:rsidRPr="003A3C26">
        <w:rPr>
          <w:i/>
          <w:szCs w:val="24"/>
          <w:u w:val="single"/>
        </w:rPr>
        <w:t xml:space="preserve">/s/ </w:t>
      </w:r>
      <w:r w:rsidR="006F647E">
        <w:rPr>
          <w:i/>
          <w:szCs w:val="24"/>
          <w:u w:val="single"/>
        </w:rPr>
        <w:t>Maureen R. Willis</w:t>
      </w:r>
    </w:p>
    <w:p w:rsidR="006F647E" w:rsidP="003A3C26">
      <w:pPr>
        <w:rPr>
          <w:szCs w:val="24"/>
        </w:rPr>
      </w:pPr>
      <w:r w:rsidRPr="003A3C26">
        <w:rPr>
          <w:szCs w:val="24"/>
        </w:rPr>
        <w:tab/>
      </w:r>
      <w:r w:rsidRPr="003A3C26">
        <w:rPr>
          <w:szCs w:val="24"/>
        </w:rPr>
        <w:tab/>
      </w:r>
      <w:r w:rsidRPr="003A3C26">
        <w:rPr>
          <w:szCs w:val="24"/>
        </w:rPr>
        <w:tab/>
      </w:r>
      <w:r w:rsidRPr="003A3C26">
        <w:rPr>
          <w:szCs w:val="24"/>
        </w:rPr>
        <w:tab/>
      </w:r>
      <w:r w:rsidRPr="003A3C26">
        <w:rPr>
          <w:szCs w:val="24"/>
        </w:rPr>
        <w:tab/>
      </w:r>
      <w:r w:rsidRPr="003A3C26">
        <w:rPr>
          <w:szCs w:val="24"/>
        </w:rPr>
        <w:tab/>
      </w:r>
      <w:r>
        <w:rPr>
          <w:szCs w:val="24"/>
        </w:rPr>
        <w:t>Maureen R. Willis</w:t>
      </w:r>
    </w:p>
    <w:p w:rsidR="003A3C26" w:rsidRPr="003A3C26" w:rsidP="003A3C26">
      <w:pPr>
        <w:rPr>
          <w:szCs w:val="24"/>
        </w:rPr>
      </w:pPr>
      <w:r>
        <w:rPr>
          <w:szCs w:val="24"/>
        </w:rPr>
        <w:tab/>
      </w:r>
      <w:r>
        <w:rPr>
          <w:szCs w:val="24"/>
        </w:rPr>
        <w:tab/>
      </w:r>
      <w:r>
        <w:rPr>
          <w:szCs w:val="24"/>
        </w:rPr>
        <w:tab/>
      </w:r>
      <w:r>
        <w:rPr>
          <w:szCs w:val="24"/>
        </w:rPr>
        <w:tab/>
      </w:r>
      <w:r>
        <w:rPr>
          <w:szCs w:val="24"/>
        </w:rPr>
        <w:tab/>
      </w:r>
      <w:r>
        <w:rPr>
          <w:szCs w:val="24"/>
        </w:rPr>
        <w:tab/>
        <w:t>Senior Regulatory Counsel</w:t>
      </w:r>
    </w:p>
    <w:p w:rsidR="003A3C26" w:rsidRPr="003A3C26" w:rsidP="003A3C26">
      <w:pPr>
        <w:rPr>
          <w:szCs w:val="24"/>
        </w:rPr>
      </w:pPr>
      <w:r w:rsidRPr="003A3C26">
        <w:rPr>
          <w:szCs w:val="24"/>
        </w:rPr>
        <w:tab/>
      </w:r>
      <w:r w:rsidRPr="003A3C26">
        <w:rPr>
          <w:szCs w:val="24"/>
        </w:rPr>
        <w:tab/>
      </w:r>
      <w:r w:rsidRPr="003A3C26">
        <w:rPr>
          <w:szCs w:val="24"/>
        </w:rPr>
        <w:tab/>
      </w:r>
      <w:r w:rsidRPr="003A3C26">
        <w:rPr>
          <w:szCs w:val="24"/>
        </w:rPr>
        <w:tab/>
      </w:r>
      <w:r w:rsidRPr="003A3C26">
        <w:rPr>
          <w:szCs w:val="24"/>
        </w:rPr>
        <w:tab/>
      </w:r>
      <w:r w:rsidRPr="003A3C26">
        <w:rPr>
          <w:szCs w:val="24"/>
        </w:rPr>
        <w:tab/>
        <w:t>Assistant Consumers’ Counsel</w:t>
      </w:r>
    </w:p>
    <w:p w:rsidR="003A3C26" w:rsidRPr="003A3C26" w:rsidP="003A3C26">
      <w:pPr>
        <w:rPr>
          <w:szCs w:val="24"/>
        </w:rPr>
      </w:pPr>
    </w:p>
    <w:p w:rsidR="003A3C26" w:rsidRPr="003A3C26" w:rsidP="003A3C26">
      <w:pPr>
        <w:tabs>
          <w:tab w:val="left" w:pos="4320"/>
        </w:tabs>
        <w:jc w:val="center"/>
        <w:rPr>
          <w:b/>
          <w:u w:val="single"/>
        </w:rPr>
      </w:pPr>
    </w:p>
    <w:p w:rsidR="003A3C26" w:rsidP="003A3C26">
      <w:pPr>
        <w:tabs>
          <w:tab w:val="left" w:pos="4320"/>
        </w:tabs>
        <w:jc w:val="center"/>
        <w:rPr>
          <w:b/>
          <w:u w:val="single"/>
        </w:rPr>
      </w:pPr>
      <w:r w:rsidRPr="003A3C26">
        <w:rPr>
          <w:b/>
          <w:u w:val="single"/>
        </w:rPr>
        <w:t>SERVICE LIST</w:t>
      </w:r>
    </w:p>
    <w:p w:rsidR="003A3C26" w:rsidP="003A3C26">
      <w:pPr>
        <w:tabs>
          <w:tab w:val="left" w:pos="4320"/>
        </w:tabs>
        <w:jc w:val="center"/>
        <w:rPr>
          <w:b/>
          <w:u w:val="single"/>
        </w:rPr>
      </w:pPr>
    </w:p>
    <w:p w:rsidR="003F577A" w:rsidRPr="00022705" w:rsidP="003F577A">
      <w:pPr>
        <w:tabs>
          <w:tab w:val="left" w:pos="4320"/>
        </w:tabs>
        <w:jc w:val="center"/>
        <w:rPr>
          <w:b/>
          <w:szCs w:val="24"/>
          <w:u w:val="single"/>
        </w:rPr>
      </w:pPr>
    </w:p>
    <w:p w:rsidR="003F577A" w:rsidRPr="001057FC" w:rsidP="003F577A">
      <w:pPr>
        <w:tabs>
          <w:tab w:val="left" w:pos="4320"/>
        </w:tabs>
        <w:jc w:val="center"/>
        <w:rPr>
          <w:b/>
          <w:szCs w:val="24"/>
          <w:u w:val="single"/>
        </w:rPr>
      </w:pPr>
    </w:p>
    <w:tbl>
      <w:tblPr>
        <w:tblW w:w="0" w:type="auto"/>
        <w:tblInd w:w="0" w:type="dxa"/>
        <w:tblCellMar>
          <w:top w:w="0" w:type="dxa"/>
          <w:left w:w="108" w:type="dxa"/>
          <w:bottom w:w="0" w:type="dxa"/>
          <w:right w:w="108" w:type="dxa"/>
        </w:tblCellMar>
        <w:tblLook w:val="01E0"/>
      </w:tblPr>
      <w:tblGrid>
        <w:gridCol w:w="4428"/>
        <w:gridCol w:w="4428"/>
      </w:tblGrid>
      <w:tr w:rsidTr="00165AEA">
        <w:tblPrEx>
          <w:tblW w:w="0" w:type="auto"/>
          <w:tblInd w:w="0" w:type="dxa"/>
          <w:tblCellMar>
            <w:top w:w="0" w:type="dxa"/>
            <w:left w:w="108" w:type="dxa"/>
            <w:bottom w:w="0" w:type="dxa"/>
            <w:right w:w="108" w:type="dxa"/>
          </w:tblCellMar>
          <w:tblLook w:val="01E0"/>
        </w:tblPrEx>
        <w:tc>
          <w:tcPr>
            <w:tcW w:w="4428" w:type="dxa"/>
            <w:shd w:val="clear" w:color="auto" w:fill="auto"/>
          </w:tcPr>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Steven T. Nourse</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AEP Service Corporation</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1 Riverside Plaza, 29th Floor</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Columbus, OH 43215</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"mailto:stnourse@aep.com" </w:instrText>
            </w:r>
            <w:r>
              <w:fldChar w:fldCharType="separate"/>
            </w:r>
            <w:r w:rsidRPr="001057FC">
              <w:rPr>
                <w:rStyle w:val="Hyperlink"/>
                <w:rFonts w:ascii="Times New Roman" w:eastAsia="Times New Roman" w:hAnsi="Times New Roman" w:cs="Times New Roman"/>
                <w:color w:val="0000FF"/>
                <w:sz w:val="24"/>
                <w:szCs w:val="24"/>
                <w:u w:val="single"/>
                <w:lang w:val="en-US" w:eastAsia="en-US" w:bidi="ar-SA"/>
              </w:rPr>
              <w:t>stnourse@aep.com</w:t>
            </w:r>
            <w:r>
              <w:fldChar w:fldCharType="end"/>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i/>
                <w:sz w:val="24"/>
                <w:szCs w:val="24"/>
                <w:lang w:val="en-US" w:eastAsia="en-US" w:bidi="ar-SA"/>
              </w:rPr>
            </w:pPr>
            <w:r w:rsidRPr="001057FC">
              <w:rPr>
                <w:rFonts w:ascii="Times New Roman" w:eastAsia="Times New Roman" w:hAnsi="Times New Roman" w:cs="Times New Roman"/>
                <w:i/>
                <w:sz w:val="24"/>
                <w:szCs w:val="24"/>
                <w:lang w:val="en-US" w:eastAsia="en-US" w:bidi="ar-SA"/>
              </w:rPr>
              <w:t>Counsel for Ohio Power</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Michael L. Kurtz</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Jody Kyler Cohn</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Boehm, Kurtz &amp; Lowry</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36 East Seventh Street, Suite 1510</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Cincinnati, O</w:t>
            </w:r>
            <w:r>
              <w:rPr>
                <w:rFonts w:ascii="Times New Roman" w:eastAsia="Times New Roman" w:hAnsi="Times New Roman" w:cs="Times New Roman"/>
                <w:sz w:val="24"/>
                <w:szCs w:val="24"/>
                <w:lang w:val="en-US" w:eastAsia="en-US" w:bidi="ar-SA"/>
              </w:rPr>
              <w:t>H</w:t>
            </w:r>
            <w:r w:rsidRPr="001057FC">
              <w:rPr>
                <w:rFonts w:ascii="Times New Roman" w:eastAsia="Times New Roman" w:hAnsi="Times New Roman" w:cs="Times New Roman"/>
                <w:sz w:val="24"/>
                <w:szCs w:val="24"/>
                <w:lang w:val="en-US" w:eastAsia="en-US" w:bidi="ar-SA"/>
              </w:rPr>
              <w:t xml:space="preserve"> 45202</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"mailto:mkurtz@BKLlawfirm.com" </w:instrText>
            </w:r>
            <w:r>
              <w:fldChar w:fldCharType="separate"/>
            </w:r>
            <w:r w:rsidRPr="001057FC">
              <w:rPr>
                <w:rStyle w:val="Hyperlink"/>
                <w:rFonts w:ascii="Times New Roman" w:eastAsia="Times New Roman" w:hAnsi="Times New Roman" w:cs="Times New Roman"/>
                <w:color w:val="0000FF"/>
                <w:sz w:val="24"/>
                <w:szCs w:val="24"/>
                <w:u w:val="single"/>
                <w:lang w:val="en-US" w:eastAsia="en-US" w:bidi="ar-SA"/>
              </w:rPr>
              <w:t>mkurtz@BKLlawfirm.com</w:t>
            </w:r>
            <w:r>
              <w:fldChar w:fldCharType="end"/>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"mailto:jkylercohn@BKLlawfirm.com" </w:instrText>
            </w:r>
            <w:r>
              <w:fldChar w:fldCharType="separate"/>
            </w:r>
            <w:r w:rsidRPr="001057FC">
              <w:rPr>
                <w:rStyle w:val="Hyperlink"/>
                <w:rFonts w:ascii="Times New Roman" w:eastAsia="Times New Roman" w:hAnsi="Times New Roman" w:cs="Times New Roman"/>
                <w:color w:val="0000FF"/>
                <w:sz w:val="24"/>
                <w:szCs w:val="24"/>
                <w:u w:val="single"/>
                <w:lang w:val="en-US" w:eastAsia="en-US" w:bidi="ar-SA"/>
              </w:rPr>
              <w:t>jkylercohn@BKLlawfirm.com</w:t>
            </w:r>
            <w:r>
              <w:fldChar w:fldCharType="end"/>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i/>
                <w:sz w:val="24"/>
                <w:szCs w:val="24"/>
                <w:lang w:val="en-US" w:eastAsia="en-US" w:bidi="ar-SA"/>
              </w:rPr>
            </w:pPr>
            <w:r w:rsidRPr="001057FC">
              <w:rPr>
                <w:rFonts w:ascii="Times New Roman" w:eastAsia="Times New Roman" w:hAnsi="Times New Roman" w:cs="Times New Roman"/>
                <w:i/>
                <w:sz w:val="24"/>
                <w:szCs w:val="24"/>
                <w:lang w:val="en-US" w:eastAsia="en-US" w:bidi="ar-SA"/>
              </w:rPr>
              <w:t>Counsel for Acero Junction Inc.</w:t>
            </w:r>
          </w:p>
          <w:p w:rsidR="003F577A" w:rsidRPr="001057FC" w:rsidP="00165AEA">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Attorney Examiner:</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"mailto:Richard.Bulgrin@puc.state.oh.us" </w:instrText>
            </w:r>
            <w:r>
              <w:fldChar w:fldCharType="separate"/>
            </w:r>
            <w:r w:rsidRPr="001057FC">
              <w:rPr>
                <w:rStyle w:val="Hyperlink"/>
                <w:rFonts w:ascii="Times New Roman" w:eastAsia="Times New Roman" w:hAnsi="Times New Roman" w:cs="Times New Roman"/>
                <w:color w:val="0000FF"/>
                <w:sz w:val="24"/>
                <w:szCs w:val="24"/>
                <w:u w:val="single"/>
                <w:lang w:val="en-US" w:eastAsia="en-US" w:bidi="ar-SA"/>
              </w:rPr>
              <w:t>Richard.Bulgrin@puc.state.oh.us</w:t>
            </w:r>
            <w:r>
              <w:fldChar w:fldCharType="end"/>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William Wright</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Attorney General’s Office</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Public Utilities PUCO of Ohio</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30 E. Broad St., 16</w:t>
            </w:r>
            <w:r w:rsidRPr="001057FC">
              <w:rPr>
                <w:rFonts w:ascii="Times New Roman" w:eastAsia="Times New Roman" w:hAnsi="Times New Roman" w:cs="Times New Roman"/>
                <w:sz w:val="24"/>
                <w:szCs w:val="24"/>
                <w:vertAlign w:val="superscript"/>
                <w:lang w:val="en-US" w:eastAsia="en-US" w:bidi="ar-SA"/>
              </w:rPr>
              <w:t>th</w:t>
            </w:r>
            <w:r w:rsidRPr="001057FC">
              <w:rPr>
                <w:rFonts w:ascii="Times New Roman" w:eastAsia="Times New Roman" w:hAnsi="Times New Roman" w:cs="Times New Roman"/>
                <w:sz w:val="24"/>
                <w:szCs w:val="24"/>
                <w:lang w:val="en-US" w:eastAsia="en-US" w:bidi="ar-SA"/>
              </w:rPr>
              <w:t xml:space="preserve"> Fl.</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rsidRPr="001057FC">
              <w:rPr>
                <w:rFonts w:ascii="Times New Roman" w:eastAsia="Times New Roman" w:hAnsi="Times New Roman" w:cs="Times New Roman"/>
                <w:sz w:val="24"/>
                <w:szCs w:val="24"/>
                <w:lang w:val="en-US" w:eastAsia="en-US" w:bidi="ar-SA"/>
              </w:rPr>
              <w:t>Columbus, OH 43215</w:t>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"mailto:William.wright@ohioattorneygeneral.gov" </w:instrText>
            </w:r>
            <w:r>
              <w:fldChar w:fldCharType="separate"/>
            </w:r>
            <w:r w:rsidRPr="001057FC">
              <w:rPr>
                <w:rStyle w:val="Hyperlink"/>
                <w:rFonts w:ascii="Times New Roman" w:eastAsia="Times New Roman" w:hAnsi="Times New Roman" w:cs="Times New Roman"/>
                <w:color w:val="0000FF"/>
                <w:sz w:val="24"/>
                <w:szCs w:val="24"/>
                <w:u w:val="single"/>
                <w:lang w:val="en-US" w:eastAsia="en-US" w:bidi="ar-SA"/>
              </w:rPr>
              <w:t>William.wright@ohioattorneygeneral.gov</w:t>
            </w:r>
            <w:r>
              <w:fldChar w:fldCharType="end"/>
            </w: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p w:rsidR="003F577A" w:rsidRPr="001057FC" w:rsidP="00165AEA">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3A3C26" w:rsidRPr="003A3C26" w:rsidP="003A3C26"/>
    <w:p w:rsidR="003A3C26"/>
    <w:sectPr w:rsidSect="001A362F">
      <w:headerReference w:type="even" r:id="rId13"/>
      <w:headerReference w:type="default" r:id="rId14"/>
      <w:headerReference w:type="first" r:id="rId15"/>
      <w:footerReference w:type="first" r:id="rId1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2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D7E">
    <w:pPr>
      <w:pStyle w:val="Footer"/>
      <w:jc w:val="center"/>
    </w:pPr>
  </w:p>
  <w:p w:rsidR="001A3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2C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3832814"/>
      <w:docPartObj>
        <w:docPartGallery w:val="Page Numbers (Bottom of Page)"/>
        <w:docPartUnique/>
      </w:docPartObj>
    </w:sdtPr>
    <w:sdtEndPr>
      <w:rPr>
        <w:noProof/>
      </w:rPr>
    </w:sdtEndPr>
    <w:sdtContent>
      <w:p w:rsidR="00304D7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04D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754">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04D7E">
      <w:rPr>
        <w:rStyle w:val="PageNumber"/>
        <w:noProof/>
        <w:szCs w:val="24"/>
      </w:rPr>
      <w:t>9</w:t>
    </w:r>
    <w:r>
      <w:rPr>
        <w:rStyle w:val="PageNumber"/>
        <w:szCs w:val="24"/>
      </w:rPr>
      <w:fldChar w:fldCharType="end"/>
    </w:r>
  </w:p>
  <w:p w:rsidR="009E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6E0F" w:rsidP="004B5A1E">
      <w:r>
        <w:separator/>
      </w:r>
    </w:p>
  </w:footnote>
  <w:footnote w:type="continuationSeparator" w:id="1">
    <w:p w:rsidR="008E6E0F" w:rsidP="004B5A1E">
      <w:r>
        <w:continuationSeparator/>
      </w:r>
    </w:p>
  </w:footnote>
  <w:footnote w:id="2">
    <w:p w:rsidR="00082A97">
      <w:pPr>
        <w:pStyle w:val="FootnoteText"/>
      </w:pPr>
      <w:r>
        <w:rPr>
          <w:rStyle w:val="FootnoteReference"/>
        </w:rPr>
        <w:footnoteRef/>
      </w:r>
      <w:r>
        <w:t xml:space="preserve"> See Joint Application at 4.  </w:t>
      </w:r>
    </w:p>
  </w:footnote>
  <w:footnote w:id="3">
    <w:p w:rsidR="00082A97">
      <w:pPr>
        <w:pStyle w:val="FootnoteText"/>
      </w:pPr>
      <w:r>
        <w:rPr>
          <w:rStyle w:val="FootnoteReference"/>
        </w:rPr>
        <w:footnoteRef/>
      </w:r>
      <w:r>
        <w:t xml:space="preserve"> Joint Application,  Economic Impact Study at 2.</w:t>
      </w:r>
    </w:p>
  </w:footnote>
  <w:footnote w:id="4">
    <w:p w:rsidR="009E1754" w:rsidP="003F577A">
      <w:pPr>
        <w:pStyle w:val="FootnoteText"/>
        <w:spacing w:after="120"/>
      </w:pPr>
      <w:r>
        <w:rPr>
          <w:rStyle w:val="FootnoteReference"/>
        </w:rPr>
        <w:footnoteRef/>
      </w:r>
      <w:r>
        <w:rPr>
          <w:lang w:val="es-ES"/>
        </w:rPr>
        <w:t xml:space="preserve"> Ohio Admin. </w:t>
      </w:r>
      <w:r>
        <w:t xml:space="preserve">Code 4901:1-38. </w:t>
      </w:r>
    </w:p>
  </w:footnote>
  <w:footnote w:id="5">
    <w:p w:rsidR="009E1754" w:rsidP="003F577A">
      <w:pPr>
        <w:pStyle w:val="FootnoteText"/>
        <w:spacing w:after="120"/>
      </w:pPr>
      <w:r>
        <w:rPr>
          <w:rStyle w:val="FootnoteReference"/>
        </w:rPr>
        <w:footnoteRef/>
      </w:r>
      <w:r>
        <w:t xml:space="preserve"> Ohio Admin. Code 4901:1-38-05(A)(2).</w:t>
      </w:r>
    </w:p>
  </w:footnote>
  <w:footnote w:id="6">
    <w:p w:rsidR="009E1754" w:rsidP="003F577A">
      <w:pPr>
        <w:pStyle w:val="FootnoteText"/>
        <w:spacing w:after="120"/>
      </w:pPr>
      <w:r>
        <w:rPr>
          <w:rStyle w:val="FootnoteReference"/>
        </w:rPr>
        <w:footnoteRef/>
      </w:r>
      <w:r>
        <w:t xml:space="preserve"> See Ohio Rev. Code 4905.31; Ohio Admin. Code 4901:1-38-05(B)(4).  </w:t>
      </w:r>
    </w:p>
  </w:footnote>
  <w:footnote w:id="7">
    <w:p w:rsidR="007D42C2" w:rsidP="007D42C2">
      <w:pPr>
        <w:pStyle w:val="FootnoteText"/>
      </w:pPr>
      <w:r>
        <w:rPr>
          <w:rStyle w:val="FootnoteReference"/>
        </w:rPr>
        <w:footnoteRef/>
      </w:r>
      <w:r>
        <w:t xml:space="preserve"> Joint Application at 3 (Oct. 18, 2017).</w:t>
      </w:r>
    </w:p>
  </w:footnote>
  <w:footnote w:id="8">
    <w:p w:rsidR="007D42C2">
      <w:pPr>
        <w:pStyle w:val="FootnoteText"/>
      </w:pPr>
      <w:r>
        <w:rPr>
          <w:rStyle w:val="FootnoteReference"/>
        </w:rPr>
        <w:footnoteRef/>
      </w:r>
      <w:r>
        <w:t xml:space="preserve"> Joint application at 3.  </w:t>
      </w:r>
    </w:p>
  </w:footnote>
  <w:footnote w:id="9">
    <w:p w:rsidR="00177F16" w:rsidP="003F577A">
      <w:pPr>
        <w:pStyle w:val="FootnoteText"/>
        <w:spacing w:after="120"/>
      </w:pPr>
      <w:r>
        <w:rPr>
          <w:rStyle w:val="FootnoteReference"/>
        </w:rPr>
        <w:footnoteRef/>
      </w:r>
      <w:r>
        <w:t xml:space="preserve"> Ohio Power Company Standard Tariffs 8th Revised Sheet No. 482-1.</w:t>
      </w:r>
    </w:p>
  </w:footnote>
  <w:footnote w:id="10">
    <w:p w:rsidR="00177F16" w:rsidP="003F577A">
      <w:pPr>
        <w:pStyle w:val="FootnoteText"/>
        <w:spacing w:after="120"/>
      </w:pPr>
      <w:r>
        <w:rPr>
          <w:rStyle w:val="FootnoteReference"/>
        </w:rPr>
        <w:footnoteRef/>
      </w:r>
      <w:r>
        <w:t xml:space="preserve"> Ohio Power Company - Columbus Southern Power Rate Zone Bill Calculation Spreadsheet found at https://aepohio.com/account/bills/rates/aepohioratestariffsoh.aspx.  </w:t>
      </w:r>
    </w:p>
  </w:footnote>
  <w:footnote w:id="11">
    <w:p w:rsidR="00177F16" w:rsidP="003F577A">
      <w:pPr>
        <w:pStyle w:val="FootnoteText"/>
        <w:spacing w:after="120"/>
      </w:pPr>
      <w:r>
        <w:rPr>
          <w:rStyle w:val="FootnoteReference"/>
        </w:rPr>
        <w:footnoteRef/>
      </w:r>
      <w:r>
        <w:t xml:space="preserve"> As an example in the Ohio Power Company Tariffs issued on April 15, 2011 the Economic Development Cost Recovery Rider was set at 7.53678% of customers' distribution charges. This equated to $1.97 per month for a residential customer using 1,000 kWh.</w:t>
      </w:r>
    </w:p>
  </w:footnote>
  <w:footnote w:id="12">
    <w:p w:rsidR="00177F16" w:rsidP="003F577A">
      <w:pPr>
        <w:pStyle w:val="FootnoteText"/>
        <w:spacing w:after="120"/>
      </w:pPr>
      <w:r>
        <w:rPr>
          <w:rStyle w:val="FootnoteReference"/>
        </w:rPr>
        <w:footnoteRef/>
      </w:r>
      <w:r>
        <w:t xml:space="preserve"> American Electric Power 201</w:t>
      </w:r>
      <w:r w:rsidR="00976810">
        <w:t>6</w:t>
      </w:r>
      <w:r>
        <w:t xml:space="preserve"> Fact Book presented at the 50th EEI Financial Conference November</w:t>
      </w:r>
      <w:r w:rsidR="004803A4">
        <w:t xml:space="preserve"> 6-9, 2016</w:t>
      </w:r>
      <w:r>
        <w:t xml:space="preserve">. http;//www.aep.com/investors/EventsPresentationsAnd Webcasts. </w:t>
      </w:r>
    </w:p>
    <w:p w:rsidR="004A49A9" w:rsidP="003F577A">
      <w:pPr>
        <w:pStyle w:val="FootnoteText"/>
        <w:spacing w:after="120"/>
      </w:pPr>
    </w:p>
  </w:footnote>
  <w:footnote w:id="13">
    <w:p w:rsidR="00497F67" w:rsidP="003F577A">
      <w:pPr>
        <w:pStyle w:val="FootnoteText"/>
        <w:spacing w:after="120"/>
      </w:pPr>
      <w:r>
        <w:rPr>
          <w:rStyle w:val="FootnoteReference"/>
        </w:rPr>
        <w:footnoteRef/>
      </w:r>
      <w:r>
        <w:t xml:space="preserve"> See </w:t>
      </w:r>
      <w:r w:rsidRPr="000F7DB0">
        <w:rPr>
          <w:i/>
        </w:rPr>
        <w:t>In the Matter of the Application of Ormet Primary Aluminum Corporation for Approval of a Unique Arrangement with Ohio Power Company and Columbus Southern Power Company,</w:t>
      </w:r>
      <w:r>
        <w:t xml:space="preserve"> Case No. 09-119-EL-AEC, Opinion and Order at 10 (July 15, 2009).  </w:t>
      </w:r>
    </w:p>
    <w:p w:rsidR="00497F67" w:rsidP="003F577A">
      <w:pPr>
        <w:pStyle w:val="FootnoteText"/>
        <w:spacing w:after="120"/>
      </w:pPr>
    </w:p>
  </w:footnote>
  <w:footnote w:id="14">
    <w:p w:rsidR="00D777CD" w:rsidP="003F577A">
      <w:pPr>
        <w:pStyle w:val="FootnoteText"/>
        <w:spacing w:after="120"/>
      </w:pPr>
      <w:r>
        <w:rPr>
          <w:rStyle w:val="FootnoteReference"/>
        </w:rPr>
        <w:footnoteRef/>
      </w:r>
      <w:r>
        <w:t xml:space="preserve"> See </w:t>
      </w:r>
      <w:r>
        <w:rPr>
          <w:i/>
        </w:rPr>
        <w:t>Ohio Electric Innovative Rates Program</w:t>
      </w:r>
      <w:r>
        <w:t>, page 5 of 11 (June 28, 1983). (Attachment A).</w:t>
      </w:r>
    </w:p>
  </w:footnote>
  <w:footnote w:id="15">
    <w:p w:rsidR="00D777CD" w:rsidP="003F577A">
      <w:pPr>
        <w:pStyle w:val="FootnoteText"/>
        <w:spacing w:after="120"/>
      </w:pPr>
      <w:r>
        <w:rPr>
          <w:rStyle w:val="FootnoteReference"/>
        </w:rPr>
        <w:footnoteRef/>
      </w:r>
      <w:r>
        <w:t xml:space="preserve"> </w:t>
      </w:r>
      <w:r>
        <w:rPr>
          <w:i/>
        </w:rPr>
        <w:t xml:space="preserve">In the Matter of the Application of Columbus Southern Power Company for Authority to Amend its Filed Tariffs to Increase the Rates and Charges for Electric Service, </w:t>
      </w:r>
      <w:r>
        <w:t>Case No. 91-418-EL-AIR.  Opinion and Order at 110. (May 12, 1992).</w:t>
      </w:r>
    </w:p>
  </w:footnote>
  <w:footnote w:id="16">
    <w:p w:rsidR="00D777CD" w:rsidP="003F577A">
      <w:pPr>
        <w:pStyle w:val="FootnoteText"/>
        <w:spacing w:after="120"/>
      </w:pPr>
      <w:r>
        <w:rPr>
          <w:rStyle w:val="FootnoteReference"/>
        </w:rPr>
        <w:footnoteRef/>
      </w:r>
      <w:r>
        <w:t xml:space="preserve"> See </w:t>
      </w:r>
      <w:r>
        <w:rPr>
          <w:i/>
        </w:rPr>
        <w:t>Ohio Edison Company,</w:t>
      </w:r>
      <w:r>
        <w:t xml:space="preserve"> Case No. 89-1001-EL-AIR, Opinion and Order at 40-41.  (August 16, 1990), at 40-41 and </w:t>
      </w:r>
      <w:r>
        <w:rPr>
          <w:i/>
        </w:rPr>
        <w:t>Cleveland Electric Illuminating Co</w:t>
      </w:r>
      <w:r>
        <w:t>., Case No. 88-170-EL-AIR, Opinion and Order at 18-19 (January 31, 1989).</w:t>
      </w:r>
    </w:p>
  </w:footnote>
  <w:footnote w:id="17">
    <w:p w:rsidR="00D777CD" w:rsidP="003F577A">
      <w:pPr>
        <w:pStyle w:val="FootnoteText"/>
        <w:spacing w:after="120"/>
      </w:pPr>
      <w:r>
        <w:rPr>
          <w:rStyle w:val="FootnoteReference"/>
        </w:rPr>
        <w:footnoteRef/>
      </w:r>
      <w:r>
        <w:t xml:space="preserve"> R.C. 4905.31(E). </w:t>
      </w:r>
    </w:p>
  </w:footnote>
  <w:footnote w:id="18">
    <w:p w:rsidR="00D777CD" w:rsidP="003F577A">
      <w:pPr>
        <w:pStyle w:val="FootnoteText"/>
        <w:spacing w:after="120"/>
      </w:pPr>
      <w:r>
        <w:rPr>
          <w:rStyle w:val="FootnoteReference"/>
        </w:rPr>
        <w:footnoteRef/>
      </w:r>
      <w:r>
        <w:t xml:space="preserve"> </w:t>
      </w:r>
      <w:r>
        <w:rPr>
          <w:i/>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t>, Case No. 08-935-EL-SSO.</w:t>
      </w:r>
    </w:p>
  </w:footnote>
  <w:footnote w:id="19">
    <w:p w:rsidR="00D777CD" w:rsidP="003F577A">
      <w:pPr>
        <w:pStyle w:val="FootnoteText"/>
        <w:spacing w:after="120"/>
      </w:pPr>
      <w:r>
        <w:rPr>
          <w:rStyle w:val="FootnoteReference"/>
        </w:rPr>
        <w:footnoteRef/>
      </w:r>
      <w:r>
        <w:t xml:space="preserve"> Under R.C. 4905.31(E) a utility is not prohibited from seeking an arrangement that includes a “financial device” that “may include a device to recover costs incurred in conjunction with any economic development and job retention program of the utility within its certified territory, including recovery of revenue foregone.”  The arrangement must then be approved by the PUCO and are subject to change, alteration, or modification by the Application.</w:t>
      </w:r>
    </w:p>
  </w:footnote>
  <w:footnote w:id="20">
    <w:p w:rsidR="00D777CD" w:rsidP="003F577A">
      <w:pPr>
        <w:pStyle w:val="FootnoteText"/>
        <w:spacing w:after="120"/>
      </w:pPr>
      <w:r>
        <w:rPr>
          <w:rStyle w:val="FootnoteReference"/>
        </w:rPr>
        <w:footnoteRef/>
      </w:r>
      <w:r>
        <w:t xml:space="preserve"> Ohio Admin. Code 4901:1-38-08(A)(1).</w:t>
      </w:r>
    </w:p>
  </w:footnote>
  <w:footnote w:id="21">
    <w:p w:rsidR="00D777CD" w:rsidP="003F577A">
      <w:pPr>
        <w:pStyle w:val="FootnoteText"/>
        <w:spacing w:after="120"/>
      </w:pPr>
      <w:r>
        <w:rPr>
          <w:rStyle w:val="FootnoteReference"/>
        </w:rPr>
        <w:footnoteRef/>
      </w:r>
      <w:r>
        <w:t xml:space="preserve"> See </w:t>
      </w:r>
      <w:r w:rsidRPr="00AA2E2E">
        <w:rPr>
          <w:i/>
        </w:rPr>
        <w:t xml:space="preserve">In the Matter of the </w:t>
      </w:r>
      <w:r>
        <w:rPr>
          <w:i/>
        </w:rPr>
        <w:t>Application</w:t>
      </w:r>
      <w:r w:rsidRPr="00AA2E2E">
        <w:rPr>
          <w:i/>
        </w:rPr>
        <w:t xml:space="preserve"> of Ormet Primary Aluminum Corporation for Approval of a Unique Arrangement with Ohio Power Company and Columbus Southern Power Company</w:t>
      </w:r>
      <w:r>
        <w:t xml:space="preserve">, Supreme Ct.  Case No. 09-2060, Brief of the Public Utilities at 12 (Mar. 3, 2010).  “Appellant [CSP/OP] mistakenly believes that it is entitled to receive specific amounts from all customers, reasoning that money it doesn’t get from one customer it must get from another.  This is not now, and never was, the law.  As discussed above, R.C. 4905.31 requires no adjustment at all.”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2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2C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2C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D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7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7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8B00246A"/>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87D437A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EBB62EBA"/>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4902687C"/>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3246FEB2"/>
    <w:lvl w:ilvl="0">
      <w:start w:val="1"/>
      <w:numFmt w:val="decimal"/>
      <w:lvlText w:val="%1."/>
      <w:lvlJc w:val="left"/>
      <w:pPr>
        <w:tabs>
          <w:tab w:val="num" w:pos="360"/>
        </w:tabs>
        <w:ind w:left="360" w:hanging="360"/>
      </w:pPr>
    </w:lvl>
  </w:abstractNum>
  <w:abstractNum w:abstractNumId="5">
    <w:nsid w:val="FFFFFF89"/>
    <w:multiLevelType w:val="singleLevel"/>
    <w:tmpl w:val="9ED60EBA"/>
    <w:lvl w:ilvl="0">
      <w:start w:val="1"/>
      <w:numFmt w:val="bullet"/>
      <w:lvlText w:val=""/>
      <w:lvlJc w:val="left"/>
      <w:pPr>
        <w:tabs>
          <w:tab w:val="num" w:pos="360"/>
        </w:tabs>
        <w:ind w:left="360" w:hanging="360"/>
      </w:pPr>
      <w:rPr>
        <w:rFonts w:ascii="Symbol" w:hAnsi="Symbol" w:hint="default"/>
      </w:rPr>
    </w:lvl>
  </w:abstractNum>
  <w:abstractNum w:abstractNumId="6">
    <w:nsid w:val="03AA4453"/>
    <w:multiLevelType w:val="hybridMultilevel"/>
    <w:tmpl w:val="B76ADFAC"/>
    <w:lvl w:ilvl="0">
      <w:start w:val="1"/>
      <w:numFmt w:val="upperRoman"/>
      <w:lvlText w:val="%1."/>
      <w:lvlJc w:val="left"/>
      <w:pPr>
        <w:ind w:left="1080" w:hanging="72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453E28"/>
    <w:multiLevelType w:val="hybridMultilevel"/>
    <w:tmpl w:val="313E7CA8"/>
    <w:lvl w:ilvl="0">
      <w:start w:val="1"/>
      <w:numFmt w:val="upperLetter"/>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num w:numId="1">
    <w:abstractNumId w:val="7"/>
  </w:num>
  <w:num w:numId="2">
    <w:abstractNumId w:val="6"/>
  </w:num>
  <w:num w:numId="3">
    <w:abstractNumId w:val="5"/>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F635B"/>
    <w:pPr>
      <w:keepNext/>
      <w:ind w:left="720" w:hanging="720"/>
      <w:outlineLvl w:val="0"/>
    </w:pPr>
    <w:rPr>
      <w:rFonts w:ascii="Times New Roman Bold" w:hAnsi="Times New Roman Bold"/>
      <w:b/>
      <w:bCs/>
      <w:szCs w:val="24"/>
    </w:rPr>
  </w:style>
  <w:style w:type="paragraph" w:styleId="Heading2">
    <w:name w:val="heading 2"/>
    <w:basedOn w:val="Normal"/>
    <w:next w:val="Normal"/>
    <w:link w:val="Heading2Char"/>
    <w:autoRedefine/>
    <w:qFormat/>
    <w:rsid w:val="00D777CD"/>
    <w:pPr>
      <w:keepNext/>
      <w:spacing w:after="240"/>
      <w:ind w:left="2160" w:right="720" w:hanging="720"/>
      <w:outlineLvl w:val="1"/>
    </w:pPr>
    <w:rPr>
      <w:rFonts w:ascii="Times New Roman Bold" w:hAnsi="Times New Roman 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35B"/>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rsid w:val="00D777CD"/>
    <w:rPr>
      <w:rFonts w:ascii="Times New Roman Bold" w:eastAsia="Times New Roman" w:hAnsi="Times New Roman Bold" w:cs="Times New Roman"/>
      <w:b/>
      <w:bCs/>
      <w:sz w:val="24"/>
      <w:szCs w:val="24"/>
    </w:rPr>
  </w:style>
  <w:style w:type="character" w:styleId="FootnoteReference">
    <w:name w:val="footnote reference"/>
    <w:aliases w:val="o"/>
    <w:semiHidden/>
    <w:rsid w:val="004B5A1E"/>
    <w:rPr>
      <w:vertAlign w:val="superscript"/>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1"/>
    <w:semiHidden/>
    <w:rsid w:val="004B5A1E"/>
    <w:rPr>
      <w:sz w:val="20"/>
    </w:rPr>
  </w:style>
  <w:style w:type="character" w:customStyle="1" w:styleId="FootnoteTextChar">
    <w:name w:val="Footnote Text Char"/>
    <w:basedOn w:val="DefaultParagraphFont"/>
    <w:uiPriority w:val="99"/>
    <w:semiHidden/>
    <w:rsid w:val="004B5A1E"/>
    <w:rPr>
      <w:rFonts w:ascii="Times New Roman" w:eastAsia="Times New Roman" w:hAnsi="Times New Roman" w:cs="Times New Roman"/>
      <w:sz w:val="20"/>
      <w:szCs w:val="20"/>
    </w:rPr>
  </w:style>
  <w:style w:type="character" w:customStyle="1" w:styleId="FootnoteTextChar1">
    <w:name w:val="Footnote Text Char1"/>
    <w:aliases w:val="Footnote Text Char Char4 Char Char,Footnote Text Char Char4 Char1 Char Char Char,Footnote Text Char2 Char,Footnote Text Char4 Char Char,Footnote Text Char4 Char1 Char Char Char,Footnote Text Char5 Char1 Char Char Char Char Char Char"/>
    <w:link w:val="FootnoteText"/>
    <w:semiHidden/>
    <w:locked/>
    <w:rsid w:val="004B5A1E"/>
    <w:rPr>
      <w:rFonts w:ascii="Times New Roman" w:eastAsia="Times New Roman" w:hAnsi="Times New Roman" w:cs="Times New Roman"/>
      <w:sz w:val="20"/>
      <w:szCs w:val="20"/>
    </w:rPr>
  </w:style>
  <w:style w:type="paragraph" w:customStyle="1" w:styleId="InsideAddress">
    <w:name w:val="Inside Address"/>
    <w:basedOn w:val="Normal"/>
    <w:rsid w:val="004B5A1E"/>
    <w:rPr>
      <w:rFonts w:ascii="Times" w:eastAsia="Times" w:hAnsi="Times"/>
    </w:rPr>
  </w:style>
  <w:style w:type="paragraph" w:styleId="HTMLPreformatted">
    <w:name w:val="HTML Preformatted"/>
    <w:basedOn w:val="Normal"/>
    <w:link w:val="HTMLPreformattedChar"/>
    <w:uiPriority w:val="99"/>
    <w:rsid w:val="004B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sid w:val="004B5A1E"/>
    <w:rPr>
      <w:rFonts w:ascii="Courier New" w:eastAsia="Courier New" w:hAnsi="Courier New" w:cs="Courier New"/>
      <w:sz w:val="20"/>
      <w:szCs w:val="20"/>
    </w:rPr>
  </w:style>
  <w:style w:type="paragraph" w:styleId="ListParagraph">
    <w:name w:val="List Paragraph"/>
    <w:basedOn w:val="Normal"/>
    <w:uiPriority w:val="34"/>
    <w:qFormat/>
    <w:rsid w:val="00BF111B"/>
    <w:pPr>
      <w:ind w:left="720"/>
      <w:contextualSpacing/>
    </w:pPr>
  </w:style>
  <w:style w:type="paragraph" w:styleId="Header">
    <w:name w:val="header"/>
    <w:basedOn w:val="Normal"/>
    <w:link w:val="HeaderChar"/>
    <w:uiPriority w:val="99"/>
    <w:unhideWhenUsed/>
    <w:rsid w:val="00BF111B"/>
    <w:pPr>
      <w:tabs>
        <w:tab w:val="center" w:pos="4680"/>
        <w:tab w:val="right" w:pos="9360"/>
      </w:tabs>
    </w:pPr>
  </w:style>
  <w:style w:type="character" w:customStyle="1" w:styleId="HeaderChar">
    <w:name w:val="Header Char"/>
    <w:basedOn w:val="DefaultParagraphFont"/>
    <w:link w:val="Header"/>
    <w:uiPriority w:val="99"/>
    <w:rsid w:val="00BF111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111B"/>
    <w:pPr>
      <w:tabs>
        <w:tab w:val="center" w:pos="4680"/>
        <w:tab w:val="right" w:pos="9360"/>
      </w:tabs>
    </w:pPr>
  </w:style>
  <w:style w:type="character" w:customStyle="1" w:styleId="FooterChar">
    <w:name w:val="Footer Char"/>
    <w:basedOn w:val="DefaultParagraphFont"/>
    <w:link w:val="Footer"/>
    <w:uiPriority w:val="99"/>
    <w:rsid w:val="00BF111B"/>
    <w:rPr>
      <w:rFonts w:ascii="Times New Roman" w:eastAsia="Times New Roman" w:hAnsi="Times New Roman" w:cs="Times New Roman"/>
      <w:sz w:val="24"/>
      <w:szCs w:val="20"/>
    </w:rPr>
  </w:style>
  <w:style w:type="character" w:styleId="Hyperlink">
    <w:name w:val="Hyperlink"/>
    <w:uiPriority w:val="99"/>
    <w:rsid w:val="003A3C26"/>
    <w:rPr>
      <w:color w:val="0000FF"/>
      <w:u w:val="single"/>
    </w:rPr>
  </w:style>
  <w:style w:type="character" w:styleId="PageNumber">
    <w:name w:val="page number"/>
    <w:basedOn w:val="DefaultParagraphFont"/>
    <w:rsid w:val="003A3C26"/>
  </w:style>
  <w:style w:type="table" w:styleId="TableGrid">
    <w:name w:val="Table Grid"/>
    <w:basedOn w:val="TableNormal"/>
    <w:uiPriority w:val="59"/>
    <w:rsid w:val="003A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02"/>
    <w:rPr>
      <w:rFonts w:ascii="Tahoma" w:hAnsi="Tahoma" w:cs="Tahoma"/>
      <w:sz w:val="16"/>
      <w:szCs w:val="16"/>
    </w:rPr>
  </w:style>
  <w:style w:type="character" w:customStyle="1" w:styleId="BalloonTextChar">
    <w:name w:val="Balloon Text Char"/>
    <w:basedOn w:val="DefaultParagraphFont"/>
    <w:link w:val="BalloonText"/>
    <w:uiPriority w:val="99"/>
    <w:semiHidden/>
    <w:rsid w:val="001F1A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69B"/>
    <w:rPr>
      <w:sz w:val="16"/>
      <w:szCs w:val="16"/>
    </w:rPr>
  </w:style>
  <w:style w:type="paragraph" w:styleId="CommentText">
    <w:name w:val="annotation text"/>
    <w:basedOn w:val="Normal"/>
    <w:link w:val="CommentTextChar"/>
    <w:uiPriority w:val="99"/>
    <w:semiHidden/>
    <w:unhideWhenUsed/>
    <w:rsid w:val="000B769B"/>
    <w:rPr>
      <w:sz w:val="20"/>
    </w:rPr>
  </w:style>
  <w:style w:type="character" w:customStyle="1" w:styleId="CommentTextChar">
    <w:name w:val="Comment Text Char"/>
    <w:basedOn w:val="DefaultParagraphFont"/>
    <w:link w:val="CommentText"/>
    <w:uiPriority w:val="99"/>
    <w:semiHidden/>
    <w:rsid w:val="000B76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69B"/>
    <w:rPr>
      <w:b/>
      <w:bCs/>
    </w:rPr>
  </w:style>
  <w:style w:type="character" w:customStyle="1" w:styleId="CommentSubjectChar">
    <w:name w:val="Comment Subject Char"/>
    <w:basedOn w:val="CommentTextChar"/>
    <w:link w:val="CommentSubject"/>
    <w:uiPriority w:val="99"/>
    <w:semiHidden/>
    <w:rsid w:val="000B769B"/>
    <w:rPr>
      <w:rFonts w:ascii="Times New Roman" w:eastAsia="Times New Roman" w:hAnsi="Times New Roman" w:cs="Times New Roman"/>
      <w:b/>
      <w:bCs/>
      <w:sz w:val="20"/>
      <w:szCs w:val="20"/>
    </w:rPr>
  </w:style>
  <w:style w:type="paragraph" w:styleId="Revision">
    <w:name w:val="Revision"/>
    <w:hidden/>
    <w:uiPriority w:val="99"/>
    <w:semiHidden/>
    <w:rsid w:val="00ED029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Draft Comments - Acero - Due Oct. 31.docx</vt:lpstr>
    </vt:vector>
  </TitlesOfParts>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2017-11-16T22:27:42Z</dcterms:created>
  <dcterms:modified xsi:type="dcterms:W3CDTF">2017-11-16T22:27:42Z</dcterms:modified>
</cp:coreProperties>
</file>