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8C118E" w:rsidRPr="00AD5466" w:rsidP="008C118E" w14:paraId="32A699EC" w14:textId="77777777">
      <w:pPr>
        <w:spacing w:after="0" w:line="240" w:lineRule="auto"/>
        <w:jc w:val="center"/>
        <w:rPr>
          <w:rFonts w:eastAsia="Times New Roman"/>
          <w:b/>
          <w:sz w:val="24"/>
          <w:szCs w:val="24"/>
        </w:rPr>
      </w:pPr>
      <w:bookmarkStart w:id="0" w:name="_Hlk172635008"/>
      <w:r w:rsidRPr="00AD5466">
        <w:rPr>
          <w:rFonts w:eastAsia="Times New Roman"/>
          <w:b/>
          <w:sz w:val="24"/>
          <w:szCs w:val="24"/>
        </w:rPr>
        <w:t>BEFORE</w:t>
      </w:r>
    </w:p>
    <w:p w:rsidR="008C118E" w:rsidRPr="00AD5466" w:rsidP="008C118E" w14:paraId="3C6BCBE6" w14:textId="77777777">
      <w:pPr>
        <w:spacing w:after="0" w:line="240" w:lineRule="auto"/>
        <w:jc w:val="center"/>
        <w:rPr>
          <w:rFonts w:eastAsia="Times New Roman"/>
          <w:b/>
          <w:sz w:val="24"/>
          <w:szCs w:val="24"/>
        </w:rPr>
      </w:pPr>
      <w:r w:rsidRPr="00AD5466">
        <w:rPr>
          <w:rFonts w:eastAsia="Times New Roman"/>
          <w:b/>
          <w:sz w:val="24"/>
          <w:szCs w:val="24"/>
        </w:rPr>
        <w:t>THE PUBLIC UTILITIES COMMISSION OF OHIO</w:t>
      </w:r>
    </w:p>
    <w:p w:rsidR="008C118E" w:rsidRPr="00AD5466" w:rsidP="008C118E" w14:paraId="0E7A163E" w14:textId="77777777">
      <w:pPr>
        <w:spacing w:after="0" w:line="240" w:lineRule="auto"/>
        <w:jc w:val="center"/>
        <w:rPr>
          <w:rFonts w:eastAsia="Times New Roman"/>
          <w:b/>
          <w:sz w:val="24"/>
          <w:szCs w:val="24"/>
        </w:rPr>
      </w:pPr>
    </w:p>
    <w:tbl>
      <w:tblPr>
        <w:tblW w:w="9092" w:type="dxa"/>
        <w:tblInd w:w="0" w:type="dxa"/>
        <w:tblCellMar>
          <w:top w:w="0" w:type="dxa"/>
          <w:left w:w="108" w:type="dxa"/>
          <w:bottom w:w="0" w:type="dxa"/>
          <w:right w:w="108" w:type="dxa"/>
        </w:tblCellMar>
        <w:tblLook w:val="01E0"/>
      </w:tblPr>
      <w:tblGrid>
        <w:gridCol w:w="4230"/>
        <w:gridCol w:w="630"/>
        <w:gridCol w:w="4232"/>
      </w:tblGrid>
      <w:tr w14:paraId="61FDBC0E" w14:textId="77777777" w:rsidTr="00BA752C">
        <w:tblPrEx>
          <w:tblW w:w="9092" w:type="dxa"/>
          <w:tblInd w:w="0" w:type="dxa"/>
          <w:tblCellMar>
            <w:top w:w="0" w:type="dxa"/>
            <w:left w:w="108" w:type="dxa"/>
            <w:bottom w:w="0" w:type="dxa"/>
            <w:right w:w="108" w:type="dxa"/>
          </w:tblCellMar>
          <w:tblLook w:val="01E0"/>
        </w:tblPrEx>
        <w:trPr>
          <w:trHeight w:val="807"/>
        </w:trPr>
        <w:tc>
          <w:tcPr>
            <w:tcW w:w="4230" w:type="dxa"/>
            <w:shd w:val="clear" w:color="auto" w:fill="auto"/>
          </w:tcPr>
          <w:p w:rsidR="008C118E" w:rsidRPr="00AD5466" w:rsidP="008C118E" w14:paraId="7CB3FA4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r w:rsidRPr="00AD5466">
              <w:rPr>
                <w:rFonts w:eastAsia="Courier New"/>
                <w:sz w:val="24"/>
                <w:szCs w:val="24"/>
                <w:lang w:val="en-US" w:eastAsia="en-US" w:bidi="ar-SA"/>
              </w:rPr>
              <w:t>In the Matter of the Application of Ohio Power Company for Authority to Abandon Electric Service Lines, Pursuant to Ohio Revised Code</w:t>
            </w:r>
          </w:p>
          <w:p w:rsidR="008C118E" w:rsidRPr="00AD5466" w:rsidP="008C118E" w14:paraId="1F9540A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r w:rsidRPr="00AD5466">
              <w:rPr>
                <w:rFonts w:eastAsia="Courier New"/>
                <w:sz w:val="24"/>
                <w:szCs w:val="24"/>
                <w:lang w:val="en-US" w:eastAsia="en-US" w:bidi="ar-SA"/>
              </w:rPr>
              <w:t>Sections 4905.20 and 4905.21.</w:t>
            </w:r>
          </w:p>
        </w:tc>
        <w:tc>
          <w:tcPr>
            <w:tcW w:w="630" w:type="dxa"/>
            <w:shd w:val="clear" w:color="auto" w:fill="auto"/>
          </w:tcPr>
          <w:p w:rsidR="008C118E" w:rsidRPr="00AD5466" w:rsidP="008C118E" w14:paraId="3BDDE57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r w:rsidRPr="00AD5466">
              <w:rPr>
                <w:rFonts w:eastAsia="Courier New"/>
                <w:sz w:val="24"/>
                <w:szCs w:val="24"/>
                <w:lang w:val="en-US" w:eastAsia="en-US" w:bidi="ar-SA"/>
              </w:rPr>
              <w:t>)</w:t>
            </w:r>
          </w:p>
          <w:p w:rsidR="008C118E" w:rsidRPr="00AD5466" w:rsidP="008C118E" w14:paraId="4AB8D2C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r w:rsidRPr="00AD5466">
              <w:rPr>
                <w:rFonts w:eastAsia="Courier New"/>
                <w:sz w:val="24"/>
                <w:szCs w:val="24"/>
                <w:lang w:val="en-US" w:eastAsia="en-US" w:bidi="ar-SA"/>
              </w:rPr>
              <w:t>)</w:t>
            </w:r>
          </w:p>
          <w:p w:rsidR="008C118E" w:rsidRPr="00AD5466" w:rsidP="008C118E" w14:paraId="2F7C1B1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r w:rsidRPr="00AD5466">
              <w:rPr>
                <w:rFonts w:eastAsia="Courier New"/>
                <w:sz w:val="24"/>
                <w:szCs w:val="24"/>
                <w:lang w:val="en-US" w:eastAsia="en-US" w:bidi="ar-SA"/>
              </w:rPr>
              <w:t>)</w:t>
            </w:r>
          </w:p>
          <w:p w:rsidR="008C118E" w:rsidRPr="00AD5466" w:rsidP="008C118E" w14:paraId="47288E5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r w:rsidRPr="00AD5466">
              <w:rPr>
                <w:rFonts w:eastAsia="Courier New"/>
                <w:sz w:val="24"/>
                <w:szCs w:val="24"/>
                <w:lang w:val="en-US" w:eastAsia="en-US" w:bidi="ar-SA"/>
              </w:rPr>
              <w:t>)</w:t>
            </w:r>
          </w:p>
          <w:p w:rsidR="008C118E" w:rsidRPr="00AD5466" w:rsidP="008C118E" w14:paraId="79EA380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r w:rsidRPr="00AD5466">
              <w:rPr>
                <w:rFonts w:eastAsia="Courier New"/>
                <w:sz w:val="24"/>
                <w:szCs w:val="24"/>
                <w:lang w:val="en-US" w:eastAsia="en-US" w:bidi="ar-SA"/>
              </w:rPr>
              <w:t>)</w:t>
            </w:r>
          </w:p>
        </w:tc>
        <w:tc>
          <w:tcPr>
            <w:tcW w:w="4232" w:type="dxa"/>
            <w:shd w:val="clear" w:color="auto" w:fill="auto"/>
          </w:tcPr>
          <w:p w:rsidR="008C118E" w:rsidRPr="00AD5466" w:rsidP="008C118E" w14:paraId="2975931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p>
          <w:p w:rsidR="008C118E" w:rsidRPr="00AD5466" w:rsidP="008C118E" w14:paraId="1E985B6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p>
          <w:p w:rsidR="008C118E" w:rsidRPr="00AD5466" w:rsidP="008C118E" w14:paraId="55F66E6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r w:rsidRPr="00AD5466">
              <w:rPr>
                <w:rFonts w:eastAsia="Courier New"/>
                <w:sz w:val="24"/>
                <w:szCs w:val="24"/>
                <w:lang w:val="en-US" w:eastAsia="en-US" w:bidi="ar-SA"/>
              </w:rPr>
              <w:t>Case No. 22-693-EL-ABN</w:t>
            </w:r>
          </w:p>
          <w:p w:rsidR="008C118E" w:rsidRPr="00AD5466" w:rsidP="008C118E" w14:paraId="69F6614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p>
          <w:p w:rsidR="008C118E" w:rsidRPr="00AD5466" w:rsidP="008C118E" w14:paraId="2BFE9DF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p>
        </w:tc>
      </w:tr>
    </w:tbl>
    <w:p w:rsidR="008C118E" w:rsidRPr="00AD5466" w:rsidP="008C118E" w14:paraId="5E2443F2" w14:textId="77777777">
      <w:pPr>
        <w:widowControl w:val="0"/>
        <w:pBdr>
          <w:bottom w:val="single" w:sz="12" w:space="1" w:color="auto"/>
        </w:pBdr>
        <w:autoSpaceDE w:val="0"/>
        <w:autoSpaceDN w:val="0"/>
        <w:adjustRightInd w:val="0"/>
        <w:spacing w:after="0" w:line="240" w:lineRule="auto"/>
        <w:rPr>
          <w:rFonts w:eastAsia="Times New Roman"/>
          <w:b/>
          <w:sz w:val="24"/>
          <w:szCs w:val="24"/>
        </w:rPr>
      </w:pPr>
    </w:p>
    <w:p w:rsidR="008C118E" w:rsidRPr="00AD5466" w:rsidP="008C118E" w14:paraId="304F731B" w14:textId="77777777">
      <w:pPr>
        <w:widowControl w:val="0"/>
        <w:autoSpaceDE w:val="0"/>
        <w:autoSpaceDN w:val="0"/>
        <w:adjustRightInd w:val="0"/>
        <w:spacing w:after="0" w:line="240" w:lineRule="auto"/>
        <w:rPr>
          <w:rFonts w:eastAsia="Times New Roman"/>
          <w:b/>
          <w:sz w:val="24"/>
          <w:szCs w:val="24"/>
        </w:rPr>
      </w:pPr>
    </w:p>
    <w:p w:rsidR="008C118E" w:rsidRPr="00AD5466" w:rsidP="008C118E" w14:paraId="72FFA4A1" w14:textId="082F1A59">
      <w:pPr>
        <w:widowControl w:val="0"/>
        <w:pBdr>
          <w:bottom w:val="single" w:sz="12" w:space="1" w:color="auto"/>
        </w:pBdr>
        <w:autoSpaceDE w:val="0"/>
        <w:autoSpaceDN w:val="0"/>
        <w:adjustRightInd w:val="0"/>
        <w:spacing w:after="0" w:line="240" w:lineRule="auto"/>
        <w:jc w:val="center"/>
        <w:rPr>
          <w:rFonts w:eastAsia="Times New Roman"/>
          <w:b/>
          <w:sz w:val="24"/>
          <w:szCs w:val="24"/>
        </w:rPr>
      </w:pPr>
      <w:r w:rsidRPr="00AD5466">
        <w:rPr>
          <w:rFonts w:eastAsia="Times New Roman"/>
          <w:b/>
          <w:sz w:val="24"/>
          <w:szCs w:val="24"/>
        </w:rPr>
        <w:t xml:space="preserve">REPLY </w:t>
      </w:r>
      <w:r w:rsidRPr="00AD5466" w:rsidR="003F77D8">
        <w:rPr>
          <w:rFonts w:eastAsia="Times New Roman"/>
          <w:b/>
          <w:sz w:val="24"/>
          <w:szCs w:val="24"/>
        </w:rPr>
        <w:t>BRIEF FOR CONSUMER PROTECTION</w:t>
      </w:r>
    </w:p>
    <w:p w:rsidR="008C118E" w:rsidRPr="00AD5466" w:rsidP="008C118E" w14:paraId="545B9BD0" w14:textId="77777777">
      <w:pPr>
        <w:widowControl w:val="0"/>
        <w:pBdr>
          <w:bottom w:val="single" w:sz="12" w:space="1" w:color="auto"/>
        </w:pBdr>
        <w:autoSpaceDE w:val="0"/>
        <w:autoSpaceDN w:val="0"/>
        <w:adjustRightInd w:val="0"/>
        <w:spacing w:after="0" w:line="240" w:lineRule="auto"/>
        <w:jc w:val="center"/>
        <w:rPr>
          <w:rFonts w:eastAsia="Times New Roman"/>
          <w:b/>
          <w:sz w:val="24"/>
          <w:szCs w:val="24"/>
        </w:rPr>
      </w:pPr>
      <w:r w:rsidRPr="00AD5466">
        <w:rPr>
          <w:rFonts w:eastAsia="Times New Roman"/>
          <w:b/>
          <w:sz w:val="24"/>
          <w:szCs w:val="24"/>
        </w:rPr>
        <w:t>BY</w:t>
      </w:r>
    </w:p>
    <w:p w:rsidR="008C118E" w:rsidRPr="00AD5466" w:rsidP="008C118E" w14:paraId="597566FC" w14:textId="1CD0719B">
      <w:pPr>
        <w:widowControl w:val="0"/>
        <w:pBdr>
          <w:bottom w:val="single" w:sz="12" w:space="1" w:color="auto"/>
        </w:pBdr>
        <w:autoSpaceDE w:val="0"/>
        <w:autoSpaceDN w:val="0"/>
        <w:adjustRightInd w:val="0"/>
        <w:spacing w:after="0" w:line="240" w:lineRule="auto"/>
        <w:jc w:val="center"/>
        <w:rPr>
          <w:rFonts w:eastAsia="Times New Roman"/>
          <w:b/>
          <w:sz w:val="24"/>
          <w:szCs w:val="24"/>
        </w:rPr>
      </w:pPr>
      <w:r w:rsidRPr="00AD5466">
        <w:rPr>
          <w:rFonts w:eastAsia="Times New Roman"/>
          <w:b/>
          <w:sz w:val="24"/>
          <w:szCs w:val="24"/>
        </w:rPr>
        <w:t>OFFICE OF THE OHIO CONSUMERS</w:t>
      </w:r>
      <w:r w:rsidRPr="00AD5466" w:rsidR="00AE7B19">
        <w:rPr>
          <w:rFonts w:eastAsia="Times New Roman"/>
          <w:b/>
          <w:sz w:val="24"/>
          <w:szCs w:val="24"/>
        </w:rPr>
        <w:t>’</w:t>
      </w:r>
      <w:r w:rsidRPr="00AD5466">
        <w:rPr>
          <w:rFonts w:eastAsia="Times New Roman"/>
          <w:b/>
          <w:sz w:val="24"/>
          <w:szCs w:val="24"/>
        </w:rPr>
        <w:t xml:space="preserve"> COUNSEL</w:t>
      </w:r>
    </w:p>
    <w:p w:rsidR="008C118E" w:rsidRPr="00AD5466" w:rsidP="008C118E" w14:paraId="07FCA505" w14:textId="77777777">
      <w:pPr>
        <w:widowControl w:val="0"/>
        <w:pBdr>
          <w:bottom w:val="single" w:sz="12" w:space="1" w:color="auto"/>
        </w:pBdr>
        <w:autoSpaceDE w:val="0"/>
        <w:autoSpaceDN w:val="0"/>
        <w:adjustRightInd w:val="0"/>
        <w:spacing w:after="0" w:line="240" w:lineRule="auto"/>
        <w:jc w:val="center"/>
        <w:rPr>
          <w:rFonts w:eastAsia="Times New Roman"/>
          <w:b/>
          <w:sz w:val="24"/>
          <w:szCs w:val="24"/>
        </w:rPr>
      </w:pPr>
    </w:p>
    <w:p w:rsidR="008C118E" w:rsidRPr="00AD5466" w:rsidP="008C118E" w14:paraId="025371A2" w14:textId="77777777">
      <w:pPr>
        <w:spacing w:after="0" w:line="240" w:lineRule="auto"/>
        <w:rPr>
          <w:rFonts w:eastAsia="Times New Roman"/>
          <w:sz w:val="24"/>
          <w:szCs w:val="24"/>
        </w:rPr>
      </w:pPr>
    </w:p>
    <w:p w:rsidR="00124AD8" w:rsidRPr="00AD5466" w:rsidP="008C118E" w14:paraId="0B2C7E92" w14:textId="77777777">
      <w:pPr>
        <w:spacing w:after="0" w:line="240" w:lineRule="auto"/>
        <w:rPr>
          <w:rFonts w:eastAsia="Times New Roman"/>
          <w:sz w:val="24"/>
          <w:szCs w:val="24"/>
        </w:rPr>
      </w:pPr>
    </w:p>
    <w:bookmarkEnd w:id="0"/>
    <w:p w:rsidR="008C118E" w:rsidRPr="00AD5466" w:rsidP="00C06711" w14:paraId="563B0BE6" w14:textId="77777777">
      <w:pPr>
        <w:spacing w:after="0" w:line="240" w:lineRule="auto"/>
        <w:ind w:left="4234"/>
        <w:rPr>
          <w:sz w:val="24"/>
          <w:szCs w:val="24"/>
        </w:rPr>
      </w:pPr>
      <w:r w:rsidRPr="00AD5466">
        <w:rPr>
          <w:sz w:val="24"/>
          <w:szCs w:val="24"/>
        </w:rPr>
        <w:t>Maureen R. Willis (0020847)</w:t>
      </w:r>
    </w:p>
    <w:p w:rsidR="008C118E" w:rsidRPr="00AD5466" w:rsidP="00C06711" w14:paraId="32444B4D" w14:textId="2475EAF1">
      <w:pPr>
        <w:spacing w:after="0" w:line="240" w:lineRule="auto"/>
        <w:ind w:left="4234"/>
        <w:rPr>
          <w:sz w:val="24"/>
          <w:szCs w:val="24"/>
        </w:rPr>
      </w:pPr>
      <w:r w:rsidRPr="00AD5466">
        <w:rPr>
          <w:rFonts w:eastAsia="Times New Roman"/>
          <w:sz w:val="24"/>
          <w:szCs w:val="24"/>
        </w:rPr>
        <w:t>Ohio Consumers</w:t>
      </w:r>
      <w:r w:rsidRPr="00AD5466" w:rsidR="00AE7B19">
        <w:rPr>
          <w:rFonts w:eastAsia="Times New Roman"/>
          <w:sz w:val="24"/>
          <w:szCs w:val="24"/>
        </w:rPr>
        <w:t>’</w:t>
      </w:r>
      <w:r w:rsidRPr="00AD5466">
        <w:rPr>
          <w:rFonts w:eastAsia="Times New Roman"/>
          <w:sz w:val="24"/>
          <w:szCs w:val="24"/>
        </w:rPr>
        <w:t xml:space="preserve"> Counsel</w:t>
      </w:r>
    </w:p>
    <w:p w:rsidR="008C118E" w:rsidRPr="00AD5466" w:rsidP="00C06711" w14:paraId="0109A42A" w14:textId="77777777">
      <w:pPr>
        <w:spacing w:after="0" w:line="240" w:lineRule="auto"/>
        <w:ind w:left="4234"/>
        <w:rPr>
          <w:rFonts w:eastAsia="Times New Roman"/>
          <w:sz w:val="24"/>
          <w:szCs w:val="24"/>
        </w:rPr>
      </w:pPr>
    </w:p>
    <w:p w:rsidR="008C118E" w:rsidRPr="00AD5466" w:rsidP="00C06711" w14:paraId="69EB94E7" w14:textId="77777777">
      <w:pPr>
        <w:spacing w:after="0" w:line="240" w:lineRule="auto"/>
        <w:ind w:left="4234"/>
        <w:rPr>
          <w:rFonts w:eastAsia="Times New Roman"/>
          <w:sz w:val="24"/>
          <w:szCs w:val="24"/>
        </w:rPr>
      </w:pPr>
      <w:r w:rsidRPr="00AD5466">
        <w:rPr>
          <w:rFonts w:eastAsia="Times New Roman"/>
          <w:sz w:val="24"/>
          <w:szCs w:val="24"/>
        </w:rPr>
        <w:t>Donald J. Kral (0042091)</w:t>
      </w:r>
    </w:p>
    <w:p w:rsidR="008C118E" w:rsidRPr="00AD5466" w:rsidP="00C06711" w14:paraId="0DBC6439" w14:textId="77777777">
      <w:pPr>
        <w:spacing w:after="0" w:line="240" w:lineRule="auto"/>
        <w:ind w:left="4234"/>
        <w:rPr>
          <w:rFonts w:eastAsia="Times New Roman"/>
          <w:sz w:val="24"/>
          <w:szCs w:val="24"/>
        </w:rPr>
      </w:pPr>
      <w:r w:rsidRPr="00AD5466">
        <w:rPr>
          <w:rFonts w:eastAsia="Times New Roman"/>
          <w:sz w:val="24"/>
          <w:szCs w:val="24"/>
        </w:rPr>
        <w:t>Counsel of Record</w:t>
      </w:r>
    </w:p>
    <w:p w:rsidR="008C118E" w:rsidRPr="00AD5466" w:rsidP="00C06711" w14:paraId="0F5D98C8" w14:textId="77777777">
      <w:pPr>
        <w:spacing w:after="0" w:line="240" w:lineRule="auto"/>
        <w:ind w:left="4234"/>
        <w:rPr>
          <w:rFonts w:eastAsia="Times New Roman"/>
          <w:sz w:val="24"/>
          <w:szCs w:val="24"/>
        </w:rPr>
      </w:pPr>
      <w:r w:rsidRPr="00AD5466">
        <w:rPr>
          <w:rFonts w:eastAsia="Times New Roman"/>
          <w:sz w:val="24"/>
          <w:szCs w:val="24"/>
        </w:rPr>
        <w:t>Thomas J. Brodbeck (0093920)</w:t>
      </w:r>
    </w:p>
    <w:p w:rsidR="008C118E" w:rsidRPr="00AD5466" w:rsidP="00C06711" w14:paraId="14BADB5E" w14:textId="026AFF96">
      <w:pPr>
        <w:spacing w:after="0" w:line="240" w:lineRule="auto"/>
        <w:ind w:left="4234"/>
        <w:rPr>
          <w:rFonts w:eastAsia="Times New Roman"/>
          <w:sz w:val="24"/>
          <w:szCs w:val="24"/>
        </w:rPr>
      </w:pPr>
      <w:r w:rsidRPr="00AD5466">
        <w:rPr>
          <w:rFonts w:eastAsia="Times New Roman"/>
          <w:sz w:val="24"/>
          <w:szCs w:val="24"/>
        </w:rPr>
        <w:t>Assistant Consumers</w:t>
      </w:r>
      <w:r w:rsidRPr="00AD5466" w:rsidR="00AE7B19">
        <w:rPr>
          <w:rFonts w:eastAsia="Times New Roman"/>
          <w:sz w:val="24"/>
          <w:szCs w:val="24"/>
        </w:rPr>
        <w:t>’</w:t>
      </w:r>
      <w:r w:rsidRPr="00AD5466">
        <w:rPr>
          <w:rFonts w:eastAsia="Times New Roman"/>
          <w:sz w:val="24"/>
          <w:szCs w:val="24"/>
        </w:rPr>
        <w:t xml:space="preserve"> Counsel</w:t>
      </w:r>
    </w:p>
    <w:p w:rsidR="008C118E" w:rsidRPr="00AD5466" w:rsidP="00C06711" w14:paraId="5F7E6D27" w14:textId="77777777">
      <w:pPr>
        <w:spacing w:after="0" w:line="240" w:lineRule="auto"/>
        <w:ind w:left="4234"/>
        <w:rPr>
          <w:rFonts w:eastAsia="Times New Roman"/>
          <w:sz w:val="24"/>
          <w:szCs w:val="24"/>
        </w:rPr>
      </w:pPr>
    </w:p>
    <w:p w:rsidR="008C118E" w:rsidRPr="00AD5466" w:rsidP="00C06711" w14:paraId="102E605D" w14:textId="535CFDBE">
      <w:pPr>
        <w:spacing w:after="0" w:line="240" w:lineRule="auto"/>
        <w:ind w:left="4234"/>
        <w:rPr>
          <w:rFonts w:eastAsia="Times New Roman"/>
          <w:b/>
          <w:sz w:val="24"/>
          <w:szCs w:val="24"/>
        </w:rPr>
      </w:pPr>
      <w:r w:rsidRPr="00AD5466">
        <w:rPr>
          <w:rFonts w:eastAsia="Times New Roman"/>
          <w:b/>
          <w:sz w:val="24"/>
          <w:szCs w:val="24"/>
        </w:rPr>
        <w:t>Office of the Ohio Consumers</w:t>
      </w:r>
      <w:r w:rsidRPr="00AD5466" w:rsidR="00AE7B19">
        <w:rPr>
          <w:rFonts w:eastAsia="Times New Roman"/>
          <w:b/>
          <w:sz w:val="24"/>
          <w:szCs w:val="24"/>
        </w:rPr>
        <w:t>’</w:t>
      </w:r>
      <w:r w:rsidRPr="00AD5466">
        <w:rPr>
          <w:rFonts w:eastAsia="Times New Roman"/>
          <w:b/>
          <w:sz w:val="24"/>
          <w:szCs w:val="24"/>
        </w:rPr>
        <w:t xml:space="preserve"> Counsel</w:t>
      </w:r>
    </w:p>
    <w:p w:rsidR="008C118E" w:rsidRPr="00AD5466" w:rsidP="00C06711" w14:paraId="5E33988A" w14:textId="77777777">
      <w:pPr>
        <w:spacing w:after="0" w:line="240" w:lineRule="auto"/>
        <w:ind w:left="4234"/>
        <w:rPr>
          <w:rFonts w:eastAsia="Times New Roman"/>
          <w:sz w:val="24"/>
          <w:szCs w:val="24"/>
        </w:rPr>
      </w:pPr>
      <w:r w:rsidRPr="00AD5466">
        <w:rPr>
          <w:rFonts w:eastAsia="Times New Roman"/>
          <w:sz w:val="24"/>
          <w:szCs w:val="24"/>
        </w:rPr>
        <w:t>65 East State Street, Suite 700</w:t>
      </w:r>
    </w:p>
    <w:p w:rsidR="008C118E" w:rsidRPr="00AD5466" w:rsidP="00C06711" w14:paraId="7C6FCE48" w14:textId="77777777">
      <w:pPr>
        <w:spacing w:after="0" w:line="240" w:lineRule="auto"/>
        <w:ind w:left="4234"/>
        <w:rPr>
          <w:rFonts w:eastAsia="Times New Roman"/>
          <w:sz w:val="24"/>
          <w:szCs w:val="24"/>
        </w:rPr>
      </w:pPr>
      <w:r w:rsidRPr="00AD5466">
        <w:rPr>
          <w:rFonts w:eastAsia="Times New Roman"/>
          <w:sz w:val="24"/>
          <w:szCs w:val="24"/>
        </w:rPr>
        <w:t>Columbus, Ohio 43215</w:t>
      </w:r>
    </w:p>
    <w:p w:rsidR="008C118E" w:rsidRPr="00AD5466" w:rsidP="00C06711" w14:paraId="68498C6D" w14:textId="77777777">
      <w:pPr>
        <w:spacing w:after="0" w:line="240" w:lineRule="auto"/>
        <w:ind w:left="4234"/>
        <w:rPr>
          <w:rFonts w:eastAsia="Times New Roman"/>
          <w:sz w:val="24"/>
          <w:szCs w:val="24"/>
        </w:rPr>
      </w:pPr>
      <w:r w:rsidRPr="00AD5466">
        <w:rPr>
          <w:rFonts w:eastAsia="Times New Roman"/>
          <w:sz w:val="24"/>
          <w:szCs w:val="24"/>
        </w:rPr>
        <w:t>Telephone [Kral]: (614) 466-9571</w:t>
      </w:r>
    </w:p>
    <w:p w:rsidR="008C118E" w:rsidRPr="00AD5466" w:rsidP="00C06711" w14:paraId="689D1D91" w14:textId="77777777">
      <w:pPr>
        <w:spacing w:after="0" w:line="240" w:lineRule="auto"/>
        <w:ind w:left="4234"/>
        <w:rPr>
          <w:rFonts w:eastAsia="Times New Roman"/>
          <w:sz w:val="24"/>
          <w:szCs w:val="24"/>
        </w:rPr>
      </w:pPr>
      <w:r w:rsidRPr="00AD5466">
        <w:rPr>
          <w:rFonts w:eastAsia="Times New Roman"/>
          <w:sz w:val="24"/>
          <w:szCs w:val="24"/>
        </w:rPr>
        <w:t>Telephone [Brodbeck]: (614) 466-9565</w:t>
      </w:r>
    </w:p>
    <w:p w:rsidR="008C118E" w:rsidRPr="00AD5466" w:rsidP="00C06711" w14:paraId="6E843A0F" w14:textId="77777777">
      <w:pPr>
        <w:spacing w:after="0" w:line="240" w:lineRule="auto"/>
        <w:ind w:left="4234"/>
        <w:rPr>
          <w:rFonts w:eastAsia="Times New Roman"/>
          <w:sz w:val="24"/>
          <w:szCs w:val="24"/>
        </w:rPr>
      </w:pPr>
      <w:hyperlink r:id="rId6" w:history="1">
        <w:r w:rsidRPr="00AD5466" w:rsidR="003F77D8">
          <w:rPr>
            <w:color w:val="0000FF"/>
            <w:sz w:val="24"/>
            <w:szCs w:val="24"/>
            <w:u w:val="single"/>
          </w:rPr>
          <w:t>donald.kral@occ.ohio.gov</w:t>
        </w:r>
      </w:hyperlink>
    </w:p>
    <w:p w:rsidR="008C118E" w:rsidRPr="00AD5466" w:rsidP="00C06711" w14:paraId="61B4515A" w14:textId="77777777">
      <w:pPr>
        <w:spacing w:after="0" w:line="240" w:lineRule="auto"/>
        <w:ind w:left="4234"/>
        <w:rPr>
          <w:rFonts w:eastAsia="Times New Roman"/>
          <w:sz w:val="24"/>
          <w:szCs w:val="24"/>
        </w:rPr>
      </w:pPr>
      <w:hyperlink r:id="rId7" w:history="1">
        <w:r w:rsidRPr="00AD5466" w:rsidR="003F77D8">
          <w:rPr>
            <w:color w:val="0000FF"/>
            <w:sz w:val="24"/>
            <w:szCs w:val="24"/>
            <w:u w:val="single"/>
          </w:rPr>
          <w:t>thomas.brodbeck@occ.ohio.gov</w:t>
        </w:r>
      </w:hyperlink>
    </w:p>
    <w:p w:rsidR="008C118E" w:rsidRPr="00AD5466" w:rsidP="00C06711" w14:paraId="5DA1C5EE" w14:textId="500AE361">
      <w:pPr>
        <w:spacing w:after="0" w:line="240" w:lineRule="auto"/>
        <w:ind w:left="4234" w:hanging="4230"/>
        <w:rPr>
          <w:rFonts w:eastAsia="Times New Roman"/>
          <w:sz w:val="24"/>
          <w:szCs w:val="24"/>
        </w:rPr>
      </w:pPr>
      <w:r w:rsidRPr="00AD5466">
        <w:rPr>
          <w:rFonts w:eastAsia="Times New Roman"/>
          <w:sz w:val="24"/>
          <w:szCs w:val="24"/>
        </w:rPr>
        <w:t>August 2</w:t>
      </w:r>
      <w:r w:rsidRPr="00AD5466" w:rsidR="00457F29">
        <w:rPr>
          <w:rFonts w:eastAsia="Times New Roman"/>
          <w:sz w:val="24"/>
          <w:szCs w:val="24"/>
        </w:rPr>
        <w:t>3</w:t>
      </w:r>
      <w:r w:rsidRPr="00AD5466">
        <w:rPr>
          <w:rFonts w:eastAsia="Times New Roman"/>
          <w:sz w:val="24"/>
          <w:szCs w:val="24"/>
        </w:rPr>
        <w:t>, 2024</w:t>
      </w:r>
      <w:r w:rsidRPr="00AD5466" w:rsidR="00385D07">
        <w:rPr>
          <w:rFonts w:eastAsia="Times New Roman"/>
          <w:sz w:val="24"/>
          <w:szCs w:val="24"/>
        </w:rPr>
        <w:tab/>
      </w:r>
      <w:r w:rsidRPr="00AD5466">
        <w:rPr>
          <w:rFonts w:eastAsia="Times New Roman"/>
          <w:sz w:val="24"/>
          <w:szCs w:val="24"/>
        </w:rPr>
        <w:t xml:space="preserve">(willing to accept service by e-mail) </w:t>
      </w:r>
    </w:p>
    <w:p w:rsidR="004B7405" w:rsidRPr="00AD5466" w:rsidP="008C118E" w14:paraId="26BC2B47" w14:textId="77777777">
      <w:pPr>
        <w:spacing w:after="0" w:line="240" w:lineRule="auto"/>
        <w:rPr>
          <w:rFonts w:eastAsia="Times New Roman"/>
          <w:sz w:val="24"/>
          <w:szCs w:val="24"/>
        </w:rPr>
        <w:sectPr w:rsidSect="003E761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rsidR="00B51083" w:rsidRPr="00AD5466" w:rsidP="00B51083" w14:paraId="06428D3D" w14:textId="0A066273">
      <w:pPr>
        <w:spacing w:after="0"/>
        <w:jc w:val="center"/>
        <w:rPr>
          <w:b/>
          <w:bCs/>
          <w:sz w:val="24"/>
          <w:szCs w:val="24"/>
          <w:u w:val="single"/>
        </w:rPr>
      </w:pPr>
      <w:r w:rsidRPr="00AD5466">
        <w:rPr>
          <w:b/>
          <w:bCs/>
          <w:sz w:val="24"/>
          <w:szCs w:val="24"/>
          <w:u w:val="single"/>
        </w:rPr>
        <w:t>TABLE OF CONTENTS</w:t>
      </w:r>
    </w:p>
    <w:p w:rsidR="002E54AC" w:rsidRPr="00AD5466" w:rsidP="00B51083" w14:paraId="51AD254E" w14:textId="77777777">
      <w:pPr>
        <w:spacing w:after="0"/>
        <w:jc w:val="center"/>
        <w:rPr>
          <w:b/>
          <w:bCs/>
          <w:sz w:val="24"/>
          <w:szCs w:val="24"/>
          <w:u w:val="single"/>
        </w:rPr>
      </w:pPr>
    </w:p>
    <w:p w:rsidR="00891937" w:rsidRPr="00AD5466" w:rsidP="00891937" w14:paraId="3881EFFC" w14:textId="77777777">
      <w:pPr>
        <w:spacing w:after="0"/>
        <w:jc w:val="right"/>
        <w:rPr>
          <w:b/>
          <w:bCs/>
          <w:sz w:val="24"/>
          <w:szCs w:val="24"/>
        </w:rPr>
      </w:pPr>
      <w:r w:rsidRPr="00AD5466">
        <w:rPr>
          <w:b/>
          <w:bCs/>
          <w:sz w:val="24"/>
          <w:szCs w:val="24"/>
        </w:rPr>
        <w:t>PAGE</w:t>
      </w:r>
    </w:p>
    <w:p w:rsidR="00B51083" w:rsidRPr="00AD5466" w:rsidP="00891937" w14:paraId="19395067" w14:textId="77777777">
      <w:pPr>
        <w:spacing w:after="0"/>
        <w:jc w:val="right"/>
        <w:rPr>
          <w:b/>
          <w:bCs/>
          <w:sz w:val="24"/>
          <w:szCs w:val="24"/>
        </w:rPr>
      </w:pPr>
    </w:p>
    <w:p w:rsidR="003D345C" w14:paraId="4F24021C" w14:textId="640DB8C5">
      <w:pPr>
        <w:pStyle w:val="TOC1"/>
        <w:rPr>
          <w:rFonts w:asciiTheme="minorHAnsi" w:hAnsiTheme="minorHAnsi" w:cstheme="minorBidi"/>
          <w:noProof/>
          <w:kern w:val="2"/>
          <w:szCs w:val="24"/>
          <w14:ligatures w14:val="standardContextual"/>
        </w:rPr>
      </w:pPr>
      <w:r w:rsidRPr="00AD5466">
        <w:rPr>
          <w:b/>
          <w:bCs/>
          <w:szCs w:val="24"/>
        </w:rPr>
        <w:fldChar w:fldCharType="begin"/>
      </w:r>
      <w:r w:rsidRPr="00AD5466">
        <w:rPr>
          <w:b/>
          <w:bCs/>
          <w:szCs w:val="24"/>
        </w:rPr>
        <w:instrText xml:space="preserve"> TOC \o "1-4" \h \z \u </w:instrText>
      </w:r>
      <w:r w:rsidRPr="00AD5466">
        <w:rPr>
          <w:b/>
          <w:bCs/>
          <w:szCs w:val="24"/>
        </w:rPr>
        <w:fldChar w:fldCharType="separate"/>
      </w:r>
      <w:hyperlink w:anchor="_Toc175316599" w:history="1">
        <w:r w:rsidRPr="00732EB8">
          <w:rPr>
            <w:rStyle w:val="Hyperlink"/>
            <w:noProof/>
          </w:rPr>
          <w:t>I.</w:t>
        </w:r>
        <w:r>
          <w:rPr>
            <w:rFonts w:asciiTheme="minorHAnsi" w:hAnsiTheme="minorHAnsi" w:cstheme="minorBidi"/>
            <w:noProof/>
            <w:kern w:val="2"/>
            <w:szCs w:val="24"/>
            <w14:ligatures w14:val="standardContextual"/>
          </w:rPr>
          <w:tab/>
        </w:r>
        <w:r w:rsidRPr="00732EB8">
          <w:rPr>
            <w:rStyle w:val="Hyperlink"/>
            <w:noProof/>
          </w:rPr>
          <w:t>INTRODUCTION</w:t>
        </w:r>
        <w:r>
          <w:rPr>
            <w:noProof/>
            <w:webHidden/>
          </w:rPr>
          <w:tab/>
        </w:r>
        <w:r>
          <w:rPr>
            <w:noProof/>
            <w:webHidden/>
          </w:rPr>
          <w:fldChar w:fldCharType="begin"/>
        </w:r>
        <w:r>
          <w:rPr>
            <w:noProof/>
            <w:webHidden/>
          </w:rPr>
          <w:instrText xml:space="preserve"> PAGEREF _Toc175316599 \h </w:instrText>
        </w:r>
        <w:r>
          <w:rPr>
            <w:noProof/>
            <w:webHidden/>
          </w:rPr>
          <w:fldChar w:fldCharType="separate"/>
        </w:r>
        <w:r>
          <w:rPr>
            <w:noProof/>
            <w:webHidden/>
          </w:rPr>
          <w:t>1</w:t>
        </w:r>
        <w:r>
          <w:rPr>
            <w:noProof/>
            <w:webHidden/>
          </w:rPr>
          <w:fldChar w:fldCharType="end"/>
        </w:r>
      </w:hyperlink>
    </w:p>
    <w:p w:rsidR="003D345C" w14:paraId="3371D526" w14:textId="2F55B553">
      <w:pPr>
        <w:pStyle w:val="TOC1"/>
        <w:rPr>
          <w:rFonts w:asciiTheme="minorHAnsi" w:hAnsiTheme="minorHAnsi" w:cstheme="minorBidi"/>
          <w:noProof/>
          <w:kern w:val="2"/>
          <w:szCs w:val="24"/>
          <w14:ligatures w14:val="standardContextual"/>
        </w:rPr>
      </w:pPr>
      <w:hyperlink w:anchor="_Toc175316600" w:history="1">
        <w:r w:rsidRPr="00732EB8">
          <w:rPr>
            <w:rStyle w:val="Hyperlink"/>
            <w:noProof/>
          </w:rPr>
          <w:t>II.</w:t>
        </w:r>
        <w:r>
          <w:rPr>
            <w:rFonts w:asciiTheme="minorHAnsi" w:hAnsiTheme="minorHAnsi" w:cstheme="minorBidi"/>
            <w:noProof/>
            <w:kern w:val="2"/>
            <w:szCs w:val="24"/>
            <w14:ligatures w14:val="standardContextual"/>
          </w:rPr>
          <w:tab/>
        </w:r>
        <w:r w:rsidRPr="00732EB8">
          <w:rPr>
            <w:rStyle w:val="Hyperlink"/>
            <w:noProof/>
          </w:rPr>
          <w:t>ARGUMENT</w:t>
        </w:r>
        <w:r>
          <w:rPr>
            <w:noProof/>
            <w:webHidden/>
          </w:rPr>
          <w:tab/>
        </w:r>
        <w:r>
          <w:rPr>
            <w:noProof/>
            <w:webHidden/>
          </w:rPr>
          <w:fldChar w:fldCharType="begin"/>
        </w:r>
        <w:r>
          <w:rPr>
            <w:noProof/>
            <w:webHidden/>
          </w:rPr>
          <w:instrText xml:space="preserve"> PAGEREF _Toc175316600 \h </w:instrText>
        </w:r>
        <w:r>
          <w:rPr>
            <w:noProof/>
            <w:webHidden/>
          </w:rPr>
          <w:fldChar w:fldCharType="separate"/>
        </w:r>
        <w:r>
          <w:rPr>
            <w:noProof/>
            <w:webHidden/>
          </w:rPr>
          <w:t>3</w:t>
        </w:r>
        <w:r>
          <w:rPr>
            <w:noProof/>
            <w:webHidden/>
          </w:rPr>
          <w:fldChar w:fldCharType="end"/>
        </w:r>
      </w:hyperlink>
    </w:p>
    <w:p w:rsidR="003D345C" w14:paraId="310AD8A4" w14:textId="3F82D177">
      <w:pPr>
        <w:pStyle w:val="TOC2"/>
        <w:tabs>
          <w:tab w:val="left" w:pos="1440"/>
        </w:tabs>
        <w:rPr>
          <w:rFonts w:asciiTheme="minorHAnsi" w:hAnsiTheme="minorHAnsi" w:cstheme="minorBidi"/>
          <w:noProof/>
          <w:kern w:val="2"/>
          <w:szCs w:val="24"/>
          <w14:ligatures w14:val="standardContextual"/>
        </w:rPr>
      </w:pPr>
      <w:hyperlink w:anchor="_Toc175316601" w:history="1">
        <w:r w:rsidRPr="00732EB8">
          <w:rPr>
            <w:rStyle w:val="Hyperlink"/>
            <w:noProof/>
          </w:rPr>
          <w:t>A.</w:t>
        </w:r>
        <w:r>
          <w:rPr>
            <w:rFonts w:asciiTheme="minorHAnsi" w:hAnsiTheme="minorHAnsi" w:cstheme="minorBidi"/>
            <w:noProof/>
            <w:kern w:val="2"/>
            <w:szCs w:val="24"/>
            <w14:ligatures w14:val="standardContextual"/>
          </w:rPr>
          <w:tab/>
        </w:r>
        <w:r w:rsidRPr="00732EB8">
          <w:rPr>
            <w:rStyle w:val="Hyperlink"/>
            <w:noProof/>
          </w:rPr>
          <w:t>The PUCO should reject NEP’s argument that there would be no abandonment and the Miller Act does not apply. The evidence shows that NEP’s demand to submeter results in AEP Ohio abandoning its lines and services to Northtowne residents.</w:t>
        </w:r>
        <w:r>
          <w:rPr>
            <w:noProof/>
            <w:webHidden/>
          </w:rPr>
          <w:tab/>
        </w:r>
        <w:r>
          <w:rPr>
            <w:noProof/>
            <w:webHidden/>
          </w:rPr>
          <w:fldChar w:fldCharType="begin"/>
        </w:r>
        <w:r>
          <w:rPr>
            <w:noProof/>
            <w:webHidden/>
          </w:rPr>
          <w:instrText xml:space="preserve"> PAGEREF _Toc175316601 \h </w:instrText>
        </w:r>
        <w:r>
          <w:rPr>
            <w:noProof/>
            <w:webHidden/>
          </w:rPr>
          <w:fldChar w:fldCharType="separate"/>
        </w:r>
        <w:r>
          <w:rPr>
            <w:noProof/>
            <w:webHidden/>
          </w:rPr>
          <w:t>3</w:t>
        </w:r>
        <w:r>
          <w:rPr>
            <w:noProof/>
            <w:webHidden/>
          </w:rPr>
          <w:fldChar w:fldCharType="end"/>
        </w:r>
      </w:hyperlink>
    </w:p>
    <w:p w:rsidR="003D345C" w14:paraId="0825CA26" w14:textId="00562DD2">
      <w:pPr>
        <w:pStyle w:val="TOC2"/>
        <w:tabs>
          <w:tab w:val="left" w:pos="1440"/>
        </w:tabs>
        <w:rPr>
          <w:rFonts w:asciiTheme="minorHAnsi" w:hAnsiTheme="minorHAnsi" w:cstheme="minorBidi"/>
          <w:noProof/>
          <w:kern w:val="2"/>
          <w:szCs w:val="24"/>
          <w14:ligatures w14:val="standardContextual"/>
        </w:rPr>
      </w:pPr>
      <w:hyperlink w:anchor="_Toc175316602" w:history="1">
        <w:r w:rsidRPr="00732EB8">
          <w:rPr>
            <w:rStyle w:val="Hyperlink"/>
            <w:noProof/>
          </w:rPr>
          <w:t>B.</w:t>
        </w:r>
        <w:r>
          <w:rPr>
            <w:rFonts w:asciiTheme="minorHAnsi" w:hAnsiTheme="minorHAnsi" w:cstheme="minorBidi"/>
            <w:noProof/>
            <w:kern w:val="2"/>
            <w:szCs w:val="24"/>
            <w14:ligatures w14:val="standardContextual"/>
          </w:rPr>
          <w:tab/>
        </w:r>
        <w:r w:rsidRPr="00732EB8">
          <w:rPr>
            <w:rStyle w:val="Hyperlink"/>
            <w:noProof/>
          </w:rPr>
          <w:t>Abandonment of AEP Ohio service to Northtowne residents is unreasonable and contrary to the public welfare. The PUCO should deny AEP Ohio’s abandonment application.</w:t>
        </w:r>
        <w:r>
          <w:rPr>
            <w:noProof/>
            <w:webHidden/>
          </w:rPr>
          <w:tab/>
        </w:r>
        <w:r>
          <w:rPr>
            <w:noProof/>
            <w:webHidden/>
          </w:rPr>
          <w:fldChar w:fldCharType="begin"/>
        </w:r>
        <w:r>
          <w:rPr>
            <w:noProof/>
            <w:webHidden/>
          </w:rPr>
          <w:instrText xml:space="preserve"> PAGEREF _Toc175316602 \h </w:instrText>
        </w:r>
        <w:r>
          <w:rPr>
            <w:noProof/>
            <w:webHidden/>
          </w:rPr>
          <w:fldChar w:fldCharType="separate"/>
        </w:r>
        <w:r>
          <w:rPr>
            <w:noProof/>
            <w:webHidden/>
          </w:rPr>
          <w:t>4</w:t>
        </w:r>
        <w:r>
          <w:rPr>
            <w:noProof/>
            <w:webHidden/>
          </w:rPr>
          <w:fldChar w:fldCharType="end"/>
        </w:r>
      </w:hyperlink>
    </w:p>
    <w:p w:rsidR="003D345C" w14:paraId="2CC8BA9E" w14:textId="32943829">
      <w:pPr>
        <w:pStyle w:val="TOC3"/>
        <w:tabs>
          <w:tab w:val="left" w:pos="2160"/>
        </w:tabs>
        <w:rPr>
          <w:rFonts w:asciiTheme="minorHAnsi" w:hAnsiTheme="minorHAnsi" w:cstheme="minorBidi"/>
          <w:noProof/>
          <w:kern w:val="2"/>
          <w:szCs w:val="24"/>
          <w14:ligatures w14:val="standardContextual"/>
        </w:rPr>
      </w:pPr>
      <w:hyperlink w:anchor="_Toc175316603" w:history="1">
        <w:r w:rsidRPr="00732EB8">
          <w:rPr>
            <w:rStyle w:val="Hyperlink"/>
            <w:noProof/>
          </w:rPr>
          <w:t>1.</w:t>
        </w:r>
        <w:r>
          <w:rPr>
            <w:rFonts w:asciiTheme="minorHAnsi" w:hAnsiTheme="minorHAnsi" w:cstheme="minorBidi"/>
            <w:noProof/>
            <w:kern w:val="2"/>
            <w:szCs w:val="24"/>
            <w14:ligatures w14:val="standardContextual"/>
          </w:rPr>
          <w:tab/>
        </w:r>
        <w:r w:rsidRPr="00732EB8">
          <w:rPr>
            <w:rStyle w:val="Hyperlink"/>
            <w:noProof/>
          </w:rPr>
          <w:t>There is little merit to NEP’s claims that lease provisions will fully protect consumers, and those claims should be rejected.</w:t>
        </w:r>
        <w:r>
          <w:rPr>
            <w:noProof/>
            <w:webHidden/>
          </w:rPr>
          <w:tab/>
        </w:r>
        <w:r>
          <w:rPr>
            <w:noProof/>
            <w:webHidden/>
          </w:rPr>
          <w:fldChar w:fldCharType="begin"/>
        </w:r>
        <w:r>
          <w:rPr>
            <w:noProof/>
            <w:webHidden/>
          </w:rPr>
          <w:instrText xml:space="preserve"> PAGEREF _Toc175316603 \h </w:instrText>
        </w:r>
        <w:r>
          <w:rPr>
            <w:noProof/>
            <w:webHidden/>
          </w:rPr>
          <w:fldChar w:fldCharType="separate"/>
        </w:r>
        <w:r>
          <w:rPr>
            <w:noProof/>
            <w:webHidden/>
          </w:rPr>
          <w:t>5</w:t>
        </w:r>
        <w:r>
          <w:rPr>
            <w:noProof/>
            <w:webHidden/>
          </w:rPr>
          <w:fldChar w:fldCharType="end"/>
        </w:r>
      </w:hyperlink>
    </w:p>
    <w:p w:rsidR="003D345C" w14:paraId="2BAC1CB0" w14:textId="680156B9">
      <w:pPr>
        <w:pStyle w:val="TOC3"/>
        <w:tabs>
          <w:tab w:val="left" w:pos="2160"/>
        </w:tabs>
        <w:rPr>
          <w:rFonts w:asciiTheme="minorHAnsi" w:hAnsiTheme="minorHAnsi" w:cstheme="minorBidi"/>
          <w:noProof/>
          <w:kern w:val="2"/>
          <w:szCs w:val="24"/>
          <w14:ligatures w14:val="standardContextual"/>
        </w:rPr>
      </w:pPr>
      <w:hyperlink w:anchor="_Toc175316604" w:history="1">
        <w:r w:rsidRPr="00732EB8">
          <w:rPr>
            <w:rStyle w:val="Hyperlink"/>
            <w:noProof/>
          </w:rPr>
          <w:t>2.</w:t>
        </w:r>
        <w:r>
          <w:rPr>
            <w:rFonts w:asciiTheme="minorHAnsi" w:hAnsiTheme="minorHAnsi" w:cstheme="minorBidi"/>
            <w:noProof/>
            <w:kern w:val="2"/>
            <w:szCs w:val="24"/>
            <w14:ligatures w14:val="standardContextual"/>
          </w:rPr>
          <w:tab/>
        </w:r>
        <w:r w:rsidRPr="00732EB8">
          <w:rPr>
            <w:rStyle w:val="Hyperlink"/>
            <w:noProof/>
          </w:rPr>
          <w:t>The PUCO should reject NEP’s claims that other Ohio laws will provide sufficient protections to Northtowne consumers.</w:t>
        </w:r>
        <w:r>
          <w:rPr>
            <w:noProof/>
            <w:webHidden/>
          </w:rPr>
          <w:tab/>
        </w:r>
        <w:r>
          <w:rPr>
            <w:noProof/>
            <w:webHidden/>
          </w:rPr>
          <w:fldChar w:fldCharType="begin"/>
        </w:r>
        <w:r>
          <w:rPr>
            <w:noProof/>
            <w:webHidden/>
          </w:rPr>
          <w:instrText xml:space="preserve"> PAGEREF _Toc175316604 \h </w:instrText>
        </w:r>
        <w:r>
          <w:rPr>
            <w:noProof/>
            <w:webHidden/>
          </w:rPr>
          <w:fldChar w:fldCharType="separate"/>
        </w:r>
        <w:r>
          <w:rPr>
            <w:noProof/>
            <w:webHidden/>
          </w:rPr>
          <w:t>8</w:t>
        </w:r>
        <w:r>
          <w:rPr>
            <w:noProof/>
            <w:webHidden/>
          </w:rPr>
          <w:fldChar w:fldCharType="end"/>
        </w:r>
      </w:hyperlink>
    </w:p>
    <w:p w:rsidR="003D345C" w14:paraId="04D544E3" w14:textId="7E5887C8">
      <w:pPr>
        <w:pStyle w:val="TOC3"/>
        <w:tabs>
          <w:tab w:val="left" w:pos="2160"/>
        </w:tabs>
        <w:rPr>
          <w:rFonts w:asciiTheme="minorHAnsi" w:hAnsiTheme="minorHAnsi" w:cstheme="minorBidi"/>
          <w:noProof/>
          <w:kern w:val="2"/>
          <w:szCs w:val="24"/>
          <w14:ligatures w14:val="standardContextual"/>
        </w:rPr>
      </w:pPr>
      <w:hyperlink w:anchor="_Toc175316605" w:history="1">
        <w:r w:rsidRPr="00732EB8">
          <w:rPr>
            <w:rStyle w:val="Hyperlink"/>
            <w:noProof/>
          </w:rPr>
          <w:t>3.</w:t>
        </w:r>
        <w:r>
          <w:rPr>
            <w:rFonts w:asciiTheme="minorHAnsi" w:hAnsiTheme="minorHAnsi" w:cstheme="minorBidi"/>
            <w:noProof/>
            <w:kern w:val="2"/>
            <w:szCs w:val="24"/>
            <w14:ligatures w14:val="standardContextual"/>
          </w:rPr>
          <w:tab/>
        </w:r>
        <w:r w:rsidRPr="00732EB8">
          <w:rPr>
            <w:rStyle w:val="Hyperlink"/>
            <w:noProof/>
          </w:rPr>
          <w:t>There is no evidence to support NEP’s claims that other social service programs will sufficiently protect Northtowne consumers if AEP Ohio abandons service.</w:t>
        </w:r>
        <w:r>
          <w:rPr>
            <w:noProof/>
            <w:webHidden/>
          </w:rPr>
          <w:tab/>
        </w:r>
        <w:r>
          <w:rPr>
            <w:noProof/>
            <w:webHidden/>
          </w:rPr>
          <w:fldChar w:fldCharType="begin"/>
        </w:r>
        <w:r>
          <w:rPr>
            <w:noProof/>
            <w:webHidden/>
          </w:rPr>
          <w:instrText xml:space="preserve"> PAGEREF _Toc175316605 \h </w:instrText>
        </w:r>
        <w:r>
          <w:rPr>
            <w:noProof/>
            <w:webHidden/>
          </w:rPr>
          <w:fldChar w:fldCharType="separate"/>
        </w:r>
        <w:r>
          <w:rPr>
            <w:noProof/>
            <w:webHidden/>
          </w:rPr>
          <w:t>8</w:t>
        </w:r>
        <w:r>
          <w:rPr>
            <w:noProof/>
            <w:webHidden/>
          </w:rPr>
          <w:fldChar w:fldCharType="end"/>
        </w:r>
      </w:hyperlink>
    </w:p>
    <w:p w:rsidR="003D345C" w14:paraId="04C06DBE" w14:textId="52D5E9D8">
      <w:pPr>
        <w:pStyle w:val="TOC2"/>
        <w:tabs>
          <w:tab w:val="left" w:pos="1440"/>
        </w:tabs>
        <w:rPr>
          <w:rFonts w:asciiTheme="minorHAnsi" w:hAnsiTheme="minorHAnsi" w:cstheme="minorBidi"/>
          <w:noProof/>
          <w:kern w:val="2"/>
          <w:szCs w:val="24"/>
          <w14:ligatures w14:val="standardContextual"/>
        </w:rPr>
      </w:pPr>
      <w:hyperlink w:anchor="_Toc175316606" w:history="1">
        <w:r w:rsidRPr="00732EB8">
          <w:rPr>
            <w:rStyle w:val="Hyperlink"/>
            <w:noProof/>
          </w:rPr>
          <w:t>C.</w:t>
        </w:r>
        <w:r>
          <w:rPr>
            <w:rFonts w:asciiTheme="minorHAnsi" w:hAnsiTheme="minorHAnsi" w:cstheme="minorBidi"/>
            <w:noProof/>
            <w:kern w:val="2"/>
            <w:szCs w:val="24"/>
            <w14:ligatures w14:val="standardContextual"/>
          </w:rPr>
          <w:tab/>
        </w:r>
        <w:r w:rsidRPr="00732EB8">
          <w:rPr>
            <w:rStyle w:val="Hyperlink"/>
            <w:noProof/>
          </w:rPr>
          <w:t>The overwhelming evidence in this case is that AEP Ohio’s abandonment of the Northtowne residents is unreasonable and contrary to the welfare of the public. AEP Ohio’s electric reseller tariff case (Case No. 24-106-EL-ATA) will not fully address issues regarding Northtowne residents’ loss of consumer protections.</w:t>
        </w:r>
        <w:r>
          <w:rPr>
            <w:noProof/>
            <w:webHidden/>
          </w:rPr>
          <w:tab/>
        </w:r>
        <w:r>
          <w:rPr>
            <w:noProof/>
            <w:webHidden/>
          </w:rPr>
          <w:fldChar w:fldCharType="begin"/>
        </w:r>
        <w:r>
          <w:rPr>
            <w:noProof/>
            <w:webHidden/>
          </w:rPr>
          <w:instrText xml:space="preserve"> PAGEREF _Toc175316606 \h </w:instrText>
        </w:r>
        <w:r>
          <w:rPr>
            <w:noProof/>
            <w:webHidden/>
          </w:rPr>
          <w:fldChar w:fldCharType="separate"/>
        </w:r>
        <w:r>
          <w:rPr>
            <w:noProof/>
            <w:webHidden/>
          </w:rPr>
          <w:t>10</w:t>
        </w:r>
        <w:r>
          <w:rPr>
            <w:noProof/>
            <w:webHidden/>
          </w:rPr>
          <w:fldChar w:fldCharType="end"/>
        </w:r>
      </w:hyperlink>
    </w:p>
    <w:p w:rsidR="003D345C" w14:paraId="653ECB1E" w14:textId="65B74CC0">
      <w:pPr>
        <w:pStyle w:val="TOC1"/>
        <w:rPr>
          <w:rFonts w:asciiTheme="minorHAnsi" w:hAnsiTheme="minorHAnsi" w:cstheme="minorBidi"/>
          <w:noProof/>
          <w:kern w:val="2"/>
          <w:szCs w:val="24"/>
          <w14:ligatures w14:val="standardContextual"/>
        </w:rPr>
      </w:pPr>
      <w:hyperlink w:anchor="_Toc175316607" w:history="1">
        <w:r w:rsidRPr="00732EB8">
          <w:rPr>
            <w:rStyle w:val="Hyperlink"/>
            <w:noProof/>
          </w:rPr>
          <w:t>III.</w:t>
        </w:r>
        <w:r>
          <w:rPr>
            <w:rFonts w:asciiTheme="minorHAnsi" w:hAnsiTheme="minorHAnsi" w:cstheme="minorBidi"/>
            <w:noProof/>
            <w:kern w:val="2"/>
            <w:szCs w:val="24"/>
            <w14:ligatures w14:val="standardContextual"/>
          </w:rPr>
          <w:tab/>
        </w:r>
        <w:r w:rsidRPr="00732EB8">
          <w:rPr>
            <w:rStyle w:val="Hyperlink"/>
            <w:noProof/>
          </w:rPr>
          <w:t>CONCLUSION</w:t>
        </w:r>
        <w:r>
          <w:rPr>
            <w:noProof/>
            <w:webHidden/>
          </w:rPr>
          <w:tab/>
        </w:r>
        <w:r>
          <w:rPr>
            <w:noProof/>
            <w:webHidden/>
          </w:rPr>
          <w:fldChar w:fldCharType="begin"/>
        </w:r>
        <w:r>
          <w:rPr>
            <w:noProof/>
            <w:webHidden/>
          </w:rPr>
          <w:instrText xml:space="preserve"> PAGEREF _Toc175316607 \h </w:instrText>
        </w:r>
        <w:r>
          <w:rPr>
            <w:noProof/>
            <w:webHidden/>
          </w:rPr>
          <w:fldChar w:fldCharType="separate"/>
        </w:r>
        <w:r>
          <w:rPr>
            <w:noProof/>
            <w:webHidden/>
          </w:rPr>
          <w:t>11</w:t>
        </w:r>
        <w:r>
          <w:rPr>
            <w:noProof/>
            <w:webHidden/>
          </w:rPr>
          <w:fldChar w:fldCharType="end"/>
        </w:r>
      </w:hyperlink>
    </w:p>
    <w:p w:rsidR="00C9487A" w:rsidRPr="00AD5466" w:rsidP="00891937" w14:paraId="339EBA4C" w14:textId="35032779">
      <w:pPr>
        <w:spacing w:after="0" w:line="240" w:lineRule="auto"/>
        <w:jc w:val="center"/>
        <w:rPr>
          <w:rFonts w:eastAsia="Times New Roman"/>
          <w:b/>
          <w:sz w:val="24"/>
          <w:szCs w:val="24"/>
        </w:rPr>
        <w:sectPr w:rsidSect="00091B30">
          <w:footerReference w:type="default" r:id="rId14"/>
          <w:pgSz w:w="12240" w:h="15840"/>
          <w:pgMar w:top="1440" w:right="1800" w:bottom="1440" w:left="1800" w:header="720" w:footer="720" w:gutter="0"/>
          <w:pgNumType w:fmt="lowerRoman" w:start="1"/>
          <w:cols w:space="720"/>
          <w:docGrid w:linePitch="360"/>
        </w:sectPr>
      </w:pPr>
      <w:r w:rsidRPr="00AD5466">
        <w:rPr>
          <w:sz w:val="24"/>
          <w:szCs w:val="24"/>
        </w:rPr>
        <w:fldChar w:fldCharType="end"/>
      </w:r>
    </w:p>
    <w:p w:rsidR="00096820" w:rsidRPr="00AD5466" w:rsidP="00096820" w14:paraId="04B1263C" w14:textId="77777777">
      <w:pPr>
        <w:spacing w:after="0" w:line="240" w:lineRule="auto"/>
        <w:jc w:val="center"/>
        <w:rPr>
          <w:rFonts w:eastAsia="Times New Roman"/>
          <w:b/>
          <w:sz w:val="24"/>
          <w:szCs w:val="24"/>
        </w:rPr>
      </w:pPr>
      <w:r w:rsidRPr="00AD5466">
        <w:rPr>
          <w:rFonts w:eastAsia="Times New Roman"/>
          <w:b/>
          <w:sz w:val="24"/>
          <w:szCs w:val="24"/>
        </w:rPr>
        <w:t>BEFORE</w:t>
      </w:r>
    </w:p>
    <w:p w:rsidR="00096820" w:rsidRPr="00AD5466" w:rsidP="00096820" w14:paraId="1B1491C8" w14:textId="77777777">
      <w:pPr>
        <w:spacing w:after="0" w:line="240" w:lineRule="auto"/>
        <w:jc w:val="center"/>
        <w:rPr>
          <w:rFonts w:eastAsia="Times New Roman"/>
          <w:b/>
          <w:sz w:val="24"/>
          <w:szCs w:val="24"/>
        </w:rPr>
      </w:pPr>
      <w:r w:rsidRPr="00AD5466">
        <w:rPr>
          <w:rFonts w:eastAsia="Times New Roman"/>
          <w:b/>
          <w:sz w:val="24"/>
          <w:szCs w:val="24"/>
        </w:rPr>
        <w:t>THE PUBLIC UTILITIES COMMISSION OF OHIO</w:t>
      </w:r>
    </w:p>
    <w:p w:rsidR="00096820" w:rsidRPr="00AD5466" w:rsidP="00096820" w14:paraId="7F297228" w14:textId="77777777">
      <w:pPr>
        <w:spacing w:after="0" w:line="240" w:lineRule="auto"/>
        <w:jc w:val="center"/>
        <w:rPr>
          <w:rFonts w:eastAsia="Times New Roman"/>
          <w:b/>
          <w:sz w:val="24"/>
          <w:szCs w:val="24"/>
        </w:rPr>
      </w:pPr>
    </w:p>
    <w:tbl>
      <w:tblPr>
        <w:tblW w:w="9092" w:type="dxa"/>
        <w:tblInd w:w="0" w:type="dxa"/>
        <w:tblCellMar>
          <w:top w:w="0" w:type="dxa"/>
          <w:left w:w="108" w:type="dxa"/>
          <w:bottom w:w="0" w:type="dxa"/>
          <w:right w:w="108" w:type="dxa"/>
        </w:tblCellMar>
        <w:tblLook w:val="01E0"/>
      </w:tblPr>
      <w:tblGrid>
        <w:gridCol w:w="4230"/>
        <w:gridCol w:w="630"/>
        <w:gridCol w:w="4232"/>
      </w:tblGrid>
      <w:tr w14:paraId="032EFB52" w14:textId="77777777" w:rsidTr="00BA752C">
        <w:tblPrEx>
          <w:tblW w:w="9092" w:type="dxa"/>
          <w:tblInd w:w="0" w:type="dxa"/>
          <w:tblCellMar>
            <w:top w:w="0" w:type="dxa"/>
            <w:left w:w="108" w:type="dxa"/>
            <w:bottom w:w="0" w:type="dxa"/>
            <w:right w:w="108" w:type="dxa"/>
          </w:tblCellMar>
          <w:tblLook w:val="01E0"/>
        </w:tblPrEx>
        <w:trPr>
          <w:trHeight w:val="807"/>
        </w:trPr>
        <w:tc>
          <w:tcPr>
            <w:tcW w:w="4230" w:type="dxa"/>
            <w:shd w:val="clear" w:color="auto" w:fill="auto"/>
          </w:tcPr>
          <w:p w:rsidR="00096820" w:rsidRPr="00AD5466" w:rsidP="00BA752C" w14:paraId="740D53D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r w:rsidRPr="00AD5466">
              <w:rPr>
                <w:rFonts w:eastAsia="Courier New"/>
                <w:sz w:val="24"/>
                <w:szCs w:val="24"/>
                <w:lang w:val="en-US" w:eastAsia="en-US" w:bidi="ar-SA"/>
              </w:rPr>
              <w:t>In the Matter of the Application of Ohio Power Company for Authority to Abandon Electric Service Lines, Pursuant to Ohio Revised Code</w:t>
            </w:r>
          </w:p>
          <w:p w:rsidR="00096820" w:rsidRPr="00AD5466" w:rsidP="00BA752C" w14:paraId="3E55CA0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r w:rsidRPr="00AD5466">
              <w:rPr>
                <w:rFonts w:eastAsia="Courier New"/>
                <w:sz w:val="24"/>
                <w:szCs w:val="24"/>
                <w:lang w:val="en-US" w:eastAsia="en-US" w:bidi="ar-SA"/>
              </w:rPr>
              <w:t>Sections 4905.20 and 4905.21.</w:t>
            </w:r>
          </w:p>
        </w:tc>
        <w:tc>
          <w:tcPr>
            <w:tcW w:w="630" w:type="dxa"/>
            <w:shd w:val="clear" w:color="auto" w:fill="auto"/>
          </w:tcPr>
          <w:p w:rsidR="00096820" w:rsidRPr="00AD5466" w:rsidP="00BA752C" w14:paraId="7C352D0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r w:rsidRPr="00AD5466">
              <w:rPr>
                <w:rFonts w:eastAsia="Courier New"/>
                <w:sz w:val="24"/>
                <w:szCs w:val="24"/>
                <w:lang w:val="en-US" w:eastAsia="en-US" w:bidi="ar-SA"/>
              </w:rPr>
              <w:t>)</w:t>
            </w:r>
          </w:p>
          <w:p w:rsidR="00096820" w:rsidRPr="00AD5466" w:rsidP="00BA752C" w14:paraId="1F0E9E9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r w:rsidRPr="00AD5466">
              <w:rPr>
                <w:rFonts w:eastAsia="Courier New"/>
                <w:sz w:val="24"/>
                <w:szCs w:val="24"/>
                <w:lang w:val="en-US" w:eastAsia="en-US" w:bidi="ar-SA"/>
              </w:rPr>
              <w:t>)</w:t>
            </w:r>
          </w:p>
          <w:p w:rsidR="00096820" w:rsidRPr="00AD5466" w:rsidP="00BA752C" w14:paraId="0EE6264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r w:rsidRPr="00AD5466">
              <w:rPr>
                <w:rFonts w:eastAsia="Courier New"/>
                <w:sz w:val="24"/>
                <w:szCs w:val="24"/>
                <w:lang w:val="en-US" w:eastAsia="en-US" w:bidi="ar-SA"/>
              </w:rPr>
              <w:t>)</w:t>
            </w:r>
          </w:p>
          <w:p w:rsidR="00096820" w:rsidRPr="00AD5466" w:rsidP="00BA752C" w14:paraId="2E57201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r w:rsidRPr="00AD5466">
              <w:rPr>
                <w:rFonts w:eastAsia="Courier New"/>
                <w:sz w:val="24"/>
                <w:szCs w:val="24"/>
                <w:lang w:val="en-US" w:eastAsia="en-US" w:bidi="ar-SA"/>
              </w:rPr>
              <w:t>)</w:t>
            </w:r>
          </w:p>
          <w:p w:rsidR="00096820" w:rsidRPr="00AD5466" w:rsidP="00BA752C" w14:paraId="5F7742A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r w:rsidRPr="00AD5466">
              <w:rPr>
                <w:rFonts w:eastAsia="Courier New"/>
                <w:sz w:val="24"/>
                <w:szCs w:val="24"/>
                <w:lang w:val="en-US" w:eastAsia="en-US" w:bidi="ar-SA"/>
              </w:rPr>
              <w:t>)</w:t>
            </w:r>
          </w:p>
        </w:tc>
        <w:tc>
          <w:tcPr>
            <w:tcW w:w="4232" w:type="dxa"/>
            <w:shd w:val="clear" w:color="auto" w:fill="auto"/>
          </w:tcPr>
          <w:p w:rsidR="00096820" w:rsidRPr="00AD5466" w:rsidP="00BA752C" w14:paraId="7D45369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p>
          <w:p w:rsidR="00096820" w:rsidRPr="00AD5466" w:rsidP="00BA752C" w14:paraId="634C3FF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p>
          <w:p w:rsidR="00096820" w:rsidRPr="00AD5466" w:rsidP="00BA752C" w14:paraId="7F3E72A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r w:rsidRPr="00AD5466">
              <w:rPr>
                <w:rFonts w:eastAsia="Courier New"/>
                <w:sz w:val="24"/>
                <w:szCs w:val="24"/>
                <w:lang w:val="en-US" w:eastAsia="en-US" w:bidi="ar-SA"/>
              </w:rPr>
              <w:t>Case No. 22-693-EL-ABN</w:t>
            </w:r>
          </w:p>
          <w:p w:rsidR="00096820" w:rsidRPr="00AD5466" w:rsidP="00BA752C" w14:paraId="19C0F93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p>
          <w:p w:rsidR="00096820" w:rsidRPr="00AD5466" w:rsidP="00BA752C" w14:paraId="1B255B5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 w:val="24"/>
                <w:szCs w:val="24"/>
                <w:lang w:val="en-US" w:eastAsia="en-US" w:bidi="ar-SA"/>
              </w:rPr>
            </w:pPr>
          </w:p>
        </w:tc>
      </w:tr>
    </w:tbl>
    <w:p w:rsidR="00096820" w:rsidRPr="00AD5466" w:rsidP="00096820" w14:paraId="3C6C27EB" w14:textId="77777777">
      <w:pPr>
        <w:widowControl w:val="0"/>
        <w:pBdr>
          <w:bottom w:val="single" w:sz="12" w:space="1" w:color="auto"/>
        </w:pBdr>
        <w:autoSpaceDE w:val="0"/>
        <w:autoSpaceDN w:val="0"/>
        <w:adjustRightInd w:val="0"/>
        <w:spacing w:after="0" w:line="240" w:lineRule="auto"/>
        <w:rPr>
          <w:rFonts w:eastAsia="Times New Roman"/>
          <w:b/>
          <w:sz w:val="24"/>
          <w:szCs w:val="24"/>
        </w:rPr>
      </w:pPr>
    </w:p>
    <w:p w:rsidR="00096820" w:rsidRPr="00AD5466" w:rsidP="00096820" w14:paraId="1C4445E1" w14:textId="77777777">
      <w:pPr>
        <w:widowControl w:val="0"/>
        <w:autoSpaceDE w:val="0"/>
        <w:autoSpaceDN w:val="0"/>
        <w:adjustRightInd w:val="0"/>
        <w:spacing w:after="0" w:line="240" w:lineRule="auto"/>
        <w:rPr>
          <w:rFonts w:eastAsia="Times New Roman"/>
          <w:b/>
          <w:sz w:val="24"/>
          <w:szCs w:val="24"/>
        </w:rPr>
      </w:pPr>
    </w:p>
    <w:p w:rsidR="00096820" w:rsidRPr="00AD5466" w:rsidP="00096820" w14:paraId="02399B9D" w14:textId="106C53E2">
      <w:pPr>
        <w:widowControl w:val="0"/>
        <w:pBdr>
          <w:bottom w:val="single" w:sz="12" w:space="1" w:color="auto"/>
        </w:pBdr>
        <w:autoSpaceDE w:val="0"/>
        <w:autoSpaceDN w:val="0"/>
        <w:adjustRightInd w:val="0"/>
        <w:spacing w:after="0" w:line="240" w:lineRule="auto"/>
        <w:jc w:val="center"/>
        <w:rPr>
          <w:rFonts w:eastAsia="Times New Roman"/>
          <w:b/>
          <w:sz w:val="24"/>
          <w:szCs w:val="24"/>
        </w:rPr>
      </w:pPr>
      <w:r w:rsidRPr="00AD5466">
        <w:rPr>
          <w:rFonts w:eastAsia="Times New Roman"/>
          <w:b/>
          <w:sz w:val="24"/>
          <w:szCs w:val="24"/>
        </w:rPr>
        <w:t>REPLY</w:t>
      </w:r>
      <w:r w:rsidRPr="00AD5466" w:rsidR="003F77D8">
        <w:rPr>
          <w:rFonts w:eastAsia="Times New Roman"/>
          <w:b/>
          <w:sz w:val="24"/>
          <w:szCs w:val="24"/>
        </w:rPr>
        <w:t xml:space="preserve"> BRIEF FOR CONSUMER PROTECTION</w:t>
      </w:r>
    </w:p>
    <w:p w:rsidR="00096820" w:rsidRPr="00AD5466" w:rsidP="00096820" w14:paraId="77138576" w14:textId="77777777">
      <w:pPr>
        <w:widowControl w:val="0"/>
        <w:pBdr>
          <w:bottom w:val="single" w:sz="12" w:space="1" w:color="auto"/>
        </w:pBdr>
        <w:autoSpaceDE w:val="0"/>
        <w:autoSpaceDN w:val="0"/>
        <w:adjustRightInd w:val="0"/>
        <w:spacing w:after="0" w:line="240" w:lineRule="auto"/>
        <w:jc w:val="center"/>
        <w:rPr>
          <w:rFonts w:eastAsia="Times New Roman"/>
          <w:b/>
          <w:sz w:val="24"/>
          <w:szCs w:val="24"/>
        </w:rPr>
      </w:pPr>
      <w:r w:rsidRPr="00AD5466">
        <w:rPr>
          <w:rFonts w:eastAsia="Times New Roman"/>
          <w:b/>
          <w:sz w:val="24"/>
          <w:szCs w:val="24"/>
        </w:rPr>
        <w:t>BY</w:t>
      </w:r>
    </w:p>
    <w:p w:rsidR="00096820" w:rsidRPr="00AD5466" w:rsidP="00096820" w14:paraId="42F3FF3F" w14:textId="00791E5B">
      <w:pPr>
        <w:widowControl w:val="0"/>
        <w:pBdr>
          <w:bottom w:val="single" w:sz="12" w:space="1" w:color="auto"/>
        </w:pBdr>
        <w:autoSpaceDE w:val="0"/>
        <w:autoSpaceDN w:val="0"/>
        <w:adjustRightInd w:val="0"/>
        <w:spacing w:after="0" w:line="240" w:lineRule="auto"/>
        <w:jc w:val="center"/>
        <w:rPr>
          <w:rFonts w:eastAsia="Times New Roman"/>
          <w:b/>
          <w:sz w:val="24"/>
          <w:szCs w:val="24"/>
        </w:rPr>
      </w:pPr>
      <w:r w:rsidRPr="00AD5466">
        <w:rPr>
          <w:rFonts w:eastAsia="Times New Roman"/>
          <w:b/>
          <w:sz w:val="24"/>
          <w:szCs w:val="24"/>
        </w:rPr>
        <w:t>OFFICE OF THE OHIO CONSUMERS</w:t>
      </w:r>
      <w:r w:rsidRPr="00AD5466" w:rsidR="00AE7B19">
        <w:rPr>
          <w:rFonts w:eastAsia="Times New Roman"/>
          <w:b/>
          <w:sz w:val="24"/>
          <w:szCs w:val="24"/>
        </w:rPr>
        <w:t>’</w:t>
      </w:r>
      <w:r w:rsidRPr="00AD5466">
        <w:rPr>
          <w:rFonts w:eastAsia="Times New Roman"/>
          <w:b/>
          <w:sz w:val="24"/>
          <w:szCs w:val="24"/>
        </w:rPr>
        <w:t xml:space="preserve"> COUNSEL</w:t>
      </w:r>
    </w:p>
    <w:p w:rsidR="00096820" w:rsidRPr="00AD5466" w:rsidP="00096820" w14:paraId="2593FCB7" w14:textId="77777777">
      <w:pPr>
        <w:widowControl w:val="0"/>
        <w:pBdr>
          <w:bottom w:val="single" w:sz="12" w:space="1" w:color="auto"/>
        </w:pBdr>
        <w:autoSpaceDE w:val="0"/>
        <w:autoSpaceDN w:val="0"/>
        <w:adjustRightInd w:val="0"/>
        <w:spacing w:after="0" w:line="240" w:lineRule="auto"/>
        <w:jc w:val="center"/>
        <w:rPr>
          <w:rFonts w:eastAsia="Times New Roman"/>
          <w:b/>
          <w:sz w:val="24"/>
          <w:szCs w:val="24"/>
        </w:rPr>
      </w:pPr>
    </w:p>
    <w:p w:rsidR="001B02D0" w:rsidRPr="00AD5466" w:rsidP="00096820" w14:paraId="2FDC30A5" w14:textId="77777777">
      <w:pPr>
        <w:spacing w:after="0" w:line="240" w:lineRule="auto"/>
        <w:rPr>
          <w:rFonts w:eastAsia="Times New Roman"/>
          <w:sz w:val="24"/>
          <w:szCs w:val="24"/>
        </w:rPr>
      </w:pPr>
    </w:p>
    <w:p w:rsidR="00F17CF4" w:rsidRPr="00AD5466" w:rsidP="005F473E" w14:paraId="34DE4830" w14:textId="42EAF155">
      <w:pPr>
        <w:pStyle w:val="Heading1"/>
      </w:pPr>
      <w:bookmarkStart w:id="1" w:name="_Toc175316599"/>
      <w:r w:rsidRPr="00AD5466">
        <w:t>INTRODUCTION</w:t>
      </w:r>
      <w:bookmarkEnd w:id="1"/>
    </w:p>
    <w:p w:rsidR="00D80DA0" w:rsidRPr="00151346" w:rsidP="00151346" w14:paraId="652E8114" w14:textId="339AAA35">
      <w:pPr>
        <w:spacing w:after="0" w:line="480" w:lineRule="auto"/>
        <w:rPr>
          <w:b/>
          <w:bCs/>
          <w:sz w:val="24"/>
          <w:szCs w:val="24"/>
        </w:rPr>
      </w:pPr>
      <w:r w:rsidRPr="00151346">
        <w:rPr>
          <w:sz w:val="24"/>
          <w:szCs w:val="24"/>
        </w:rPr>
        <w:tab/>
        <w:t>When a public utility abandons its facilities and terminates service to Ohio residential consumers, Ohio law requires the PUCO to</w:t>
      </w:r>
      <w:r w:rsidRPr="00151346" w:rsidR="001279D4">
        <w:rPr>
          <w:sz w:val="24"/>
          <w:szCs w:val="24"/>
        </w:rPr>
        <w:t xml:space="preserve"> </w:t>
      </w:r>
      <w:r w:rsidRPr="00151346">
        <w:rPr>
          <w:sz w:val="24"/>
          <w:szCs w:val="24"/>
        </w:rPr>
        <w:t>determin</w:t>
      </w:r>
      <w:r w:rsidRPr="00151346" w:rsidR="001279D4">
        <w:rPr>
          <w:sz w:val="24"/>
          <w:szCs w:val="24"/>
        </w:rPr>
        <w:t>e</w:t>
      </w:r>
      <w:r w:rsidRPr="00151346">
        <w:rPr>
          <w:sz w:val="24"/>
          <w:szCs w:val="24"/>
        </w:rPr>
        <w:t xml:space="preserve"> that such abandonment is “reasonable, having due regard for the welfare of the public. . .”</w:t>
      </w:r>
      <w:r>
        <w:rPr>
          <w:rStyle w:val="FootnoteReference"/>
          <w:sz w:val="24"/>
          <w:szCs w:val="24"/>
        </w:rPr>
        <w:footnoteReference w:id="2"/>
      </w:r>
      <w:r w:rsidRPr="00151346">
        <w:rPr>
          <w:sz w:val="24"/>
          <w:szCs w:val="24"/>
        </w:rPr>
        <w:t xml:space="preserve"> Here, </w:t>
      </w:r>
      <w:r w:rsidRPr="00151346" w:rsidR="008704EE">
        <w:rPr>
          <w:sz w:val="24"/>
          <w:szCs w:val="24"/>
        </w:rPr>
        <w:t xml:space="preserve">submetering company Nationwide Energy Partners (“NEP”) demanded that AEP Ohio terminate electric utility service to each of the residents </w:t>
      </w:r>
      <w:r w:rsidRPr="00151346" w:rsidR="00306782">
        <w:rPr>
          <w:sz w:val="24"/>
          <w:szCs w:val="24"/>
        </w:rPr>
        <w:t>at</w:t>
      </w:r>
      <w:r w:rsidRPr="00151346" w:rsidR="008704EE">
        <w:rPr>
          <w:sz w:val="24"/>
          <w:szCs w:val="24"/>
        </w:rPr>
        <w:t xml:space="preserve"> the Northtowne apartment</w:t>
      </w:r>
      <w:r w:rsidRPr="00151346" w:rsidR="00306782">
        <w:rPr>
          <w:sz w:val="24"/>
          <w:szCs w:val="24"/>
        </w:rPr>
        <w:t>s</w:t>
      </w:r>
      <w:r w:rsidRPr="00151346" w:rsidR="008704EE">
        <w:rPr>
          <w:sz w:val="24"/>
          <w:szCs w:val="24"/>
        </w:rPr>
        <w:t xml:space="preserve">. </w:t>
      </w:r>
      <w:r w:rsidRPr="00151346" w:rsidR="00306782">
        <w:rPr>
          <w:sz w:val="24"/>
          <w:szCs w:val="24"/>
        </w:rPr>
        <w:t>NEP’s demand will result in</w:t>
      </w:r>
      <w:r w:rsidRPr="00151346" w:rsidR="008704EE">
        <w:rPr>
          <w:sz w:val="24"/>
          <w:szCs w:val="24"/>
        </w:rPr>
        <w:t xml:space="preserve"> AEP Ohio</w:t>
      </w:r>
      <w:r w:rsidRPr="00151346" w:rsidR="00306782">
        <w:rPr>
          <w:sz w:val="24"/>
          <w:szCs w:val="24"/>
        </w:rPr>
        <w:t xml:space="preserve"> abandoning</w:t>
      </w:r>
      <w:r w:rsidRPr="00151346" w:rsidR="008704EE">
        <w:rPr>
          <w:sz w:val="24"/>
          <w:szCs w:val="24"/>
        </w:rPr>
        <w:t xml:space="preserve"> </w:t>
      </w:r>
      <w:r w:rsidRPr="00151346" w:rsidR="001279D4">
        <w:rPr>
          <w:sz w:val="24"/>
          <w:szCs w:val="24"/>
        </w:rPr>
        <w:t>the</w:t>
      </w:r>
      <w:r w:rsidRPr="00151346" w:rsidR="008704EE">
        <w:rPr>
          <w:sz w:val="24"/>
          <w:szCs w:val="24"/>
        </w:rPr>
        <w:t xml:space="preserve"> facilities</w:t>
      </w:r>
      <w:r w:rsidRPr="00151346" w:rsidR="001279D4">
        <w:rPr>
          <w:sz w:val="24"/>
          <w:szCs w:val="24"/>
        </w:rPr>
        <w:t xml:space="preserve"> it </w:t>
      </w:r>
      <w:r w:rsidRPr="00151346" w:rsidR="008704EE">
        <w:rPr>
          <w:sz w:val="24"/>
          <w:szCs w:val="24"/>
        </w:rPr>
        <w:t>use</w:t>
      </w:r>
      <w:r w:rsidRPr="00151346" w:rsidR="001279D4">
        <w:rPr>
          <w:sz w:val="24"/>
          <w:szCs w:val="24"/>
        </w:rPr>
        <w:t>s</w:t>
      </w:r>
      <w:r w:rsidRPr="00151346" w:rsidR="008704EE">
        <w:rPr>
          <w:sz w:val="24"/>
          <w:szCs w:val="24"/>
        </w:rPr>
        <w:t xml:space="preserve"> to serve </w:t>
      </w:r>
      <w:r w:rsidRPr="00151346" w:rsidR="00306782">
        <w:rPr>
          <w:sz w:val="24"/>
          <w:szCs w:val="24"/>
        </w:rPr>
        <w:t xml:space="preserve">Northtowne </w:t>
      </w:r>
      <w:r w:rsidRPr="00151346" w:rsidR="001279D4">
        <w:rPr>
          <w:sz w:val="24"/>
          <w:szCs w:val="24"/>
        </w:rPr>
        <w:t>residents</w:t>
      </w:r>
      <w:r w:rsidRPr="00151346" w:rsidR="008704EE">
        <w:rPr>
          <w:sz w:val="24"/>
          <w:szCs w:val="24"/>
        </w:rPr>
        <w:t>.</w:t>
      </w:r>
      <w:r w:rsidRPr="00151346" w:rsidR="00DF7753">
        <w:rPr>
          <w:sz w:val="24"/>
          <w:szCs w:val="24"/>
        </w:rPr>
        <w:t xml:space="preserve"> </w:t>
      </w:r>
      <w:r w:rsidRPr="00151346" w:rsidR="00306782">
        <w:rPr>
          <w:sz w:val="24"/>
          <w:szCs w:val="24"/>
        </w:rPr>
        <w:t xml:space="preserve">The overwhelming </w:t>
      </w:r>
      <w:r w:rsidRPr="00151346" w:rsidR="001279D4">
        <w:rPr>
          <w:sz w:val="24"/>
          <w:szCs w:val="24"/>
        </w:rPr>
        <w:t xml:space="preserve">evidence </w:t>
      </w:r>
      <w:r w:rsidRPr="00151346" w:rsidR="00E75DB3">
        <w:rPr>
          <w:sz w:val="24"/>
          <w:szCs w:val="24"/>
        </w:rPr>
        <w:t>show</w:t>
      </w:r>
      <w:r w:rsidRPr="00151346" w:rsidR="00306782">
        <w:rPr>
          <w:sz w:val="24"/>
          <w:szCs w:val="24"/>
        </w:rPr>
        <w:t>s</w:t>
      </w:r>
      <w:r w:rsidRPr="00151346" w:rsidR="00DF7753">
        <w:rPr>
          <w:sz w:val="24"/>
          <w:szCs w:val="24"/>
        </w:rPr>
        <w:t xml:space="preserve"> that</w:t>
      </w:r>
      <w:r w:rsidRPr="00151346" w:rsidR="00E7496C">
        <w:rPr>
          <w:sz w:val="24"/>
          <w:szCs w:val="24"/>
        </w:rPr>
        <w:t xml:space="preserve"> </w:t>
      </w:r>
      <w:r w:rsidRPr="00151346" w:rsidR="001279D4">
        <w:rPr>
          <w:sz w:val="24"/>
          <w:szCs w:val="24"/>
        </w:rPr>
        <w:t xml:space="preserve">abandoning service to the </w:t>
      </w:r>
      <w:r w:rsidRPr="00151346" w:rsidR="00E7496C">
        <w:rPr>
          <w:sz w:val="24"/>
          <w:szCs w:val="24"/>
        </w:rPr>
        <w:t xml:space="preserve">Northtowne residents </w:t>
      </w:r>
      <w:r w:rsidRPr="00151346" w:rsidR="00E75DB3">
        <w:rPr>
          <w:sz w:val="24"/>
          <w:szCs w:val="24"/>
        </w:rPr>
        <w:t xml:space="preserve">– </w:t>
      </w:r>
      <w:r w:rsidRPr="00151346" w:rsidR="001279D4">
        <w:rPr>
          <w:sz w:val="24"/>
          <w:szCs w:val="24"/>
        </w:rPr>
        <w:t xml:space="preserve">so they can be served by </w:t>
      </w:r>
      <w:r w:rsidRPr="00151346" w:rsidR="00E75DB3">
        <w:rPr>
          <w:sz w:val="24"/>
          <w:szCs w:val="24"/>
        </w:rPr>
        <w:t>NEP</w:t>
      </w:r>
      <w:r w:rsidRPr="00151346" w:rsidR="001279D4">
        <w:rPr>
          <w:sz w:val="24"/>
          <w:szCs w:val="24"/>
        </w:rPr>
        <w:t xml:space="preserve"> instead</w:t>
      </w:r>
      <w:r w:rsidRPr="00151346" w:rsidR="00E75DB3">
        <w:rPr>
          <w:sz w:val="24"/>
          <w:szCs w:val="24"/>
        </w:rPr>
        <w:t xml:space="preserve"> –</w:t>
      </w:r>
      <w:r w:rsidRPr="00151346" w:rsidR="00E7496C">
        <w:rPr>
          <w:sz w:val="24"/>
          <w:szCs w:val="24"/>
        </w:rPr>
        <w:t xml:space="preserve"> i</w:t>
      </w:r>
      <w:r w:rsidRPr="00151346" w:rsidR="00E75DB3">
        <w:rPr>
          <w:sz w:val="24"/>
          <w:szCs w:val="24"/>
        </w:rPr>
        <w:t>s</w:t>
      </w:r>
      <w:r w:rsidRPr="00151346" w:rsidR="00E7496C">
        <w:rPr>
          <w:sz w:val="24"/>
          <w:szCs w:val="24"/>
        </w:rPr>
        <w:t xml:space="preserve"> </w:t>
      </w:r>
      <w:r w:rsidRPr="00151346" w:rsidR="008704EE">
        <w:rPr>
          <w:sz w:val="24"/>
          <w:szCs w:val="24"/>
        </w:rPr>
        <w:t>neither</w:t>
      </w:r>
      <w:r w:rsidRPr="00151346" w:rsidR="00E7496C">
        <w:rPr>
          <w:sz w:val="24"/>
          <w:szCs w:val="24"/>
        </w:rPr>
        <w:t xml:space="preserve"> reasonable </w:t>
      </w:r>
      <w:r w:rsidRPr="00151346" w:rsidR="008704EE">
        <w:rPr>
          <w:sz w:val="24"/>
          <w:szCs w:val="24"/>
        </w:rPr>
        <w:t>nor</w:t>
      </w:r>
      <w:r w:rsidRPr="00151346" w:rsidR="00AC4E59">
        <w:rPr>
          <w:sz w:val="24"/>
          <w:szCs w:val="24"/>
        </w:rPr>
        <w:t xml:space="preserve"> </w:t>
      </w:r>
      <w:r w:rsidRPr="00151346" w:rsidR="00E7496C">
        <w:rPr>
          <w:sz w:val="24"/>
          <w:szCs w:val="24"/>
        </w:rPr>
        <w:t>in the public welfare.</w:t>
      </w:r>
      <w:r w:rsidRPr="00151346" w:rsidR="008704EE">
        <w:rPr>
          <w:sz w:val="24"/>
          <w:szCs w:val="24"/>
        </w:rPr>
        <w:t xml:space="preserve"> </w:t>
      </w:r>
      <w:r w:rsidRPr="00151346" w:rsidR="00306782">
        <w:rPr>
          <w:sz w:val="24"/>
          <w:szCs w:val="24"/>
        </w:rPr>
        <w:t>AEP Ohio’s application for abandonment should be denied.</w:t>
      </w:r>
      <w:r w:rsidRPr="00151346" w:rsidR="00E7496C">
        <w:rPr>
          <w:sz w:val="24"/>
          <w:szCs w:val="24"/>
        </w:rPr>
        <w:t xml:space="preserve"> </w:t>
      </w:r>
    </w:p>
    <w:p w:rsidR="005F5DE3" w:rsidRPr="00151346" w:rsidP="00151346" w14:paraId="36A20C36" w14:textId="5ACDBEE8">
      <w:pPr>
        <w:spacing w:after="0" w:line="480" w:lineRule="auto"/>
        <w:rPr>
          <w:b/>
          <w:bCs/>
          <w:sz w:val="24"/>
          <w:szCs w:val="24"/>
        </w:rPr>
      </w:pPr>
      <w:r w:rsidRPr="00151346">
        <w:rPr>
          <w:sz w:val="24"/>
          <w:szCs w:val="24"/>
        </w:rPr>
        <w:tab/>
      </w:r>
      <w:r w:rsidRPr="00151346" w:rsidR="00363116">
        <w:rPr>
          <w:sz w:val="24"/>
          <w:szCs w:val="24"/>
        </w:rPr>
        <w:t>Northtowne resident</w:t>
      </w:r>
      <w:r w:rsidRPr="00151346" w:rsidR="005F1821">
        <w:rPr>
          <w:sz w:val="24"/>
          <w:szCs w:val="24"/>
        </w:rPr>
        <w:t>s</w:t>
      </w:r>
      <w:r w:rsidRPr="00151346" w:rsidR="00363116">
        <w:rPr>
          <w:sz w:val="24"/>
          <w:szCs w:val="24"/>
        </w:rPr>
        <w:t xml:space="preserve"> </w:t>
      </w:r>
      <w:r w:rsidRPr="00151346" w:rsidR="00E75DB3">
        <w:rPr>
          <w:sz w:val="24"/>
          <w:szCs w:val="24"/>
        </w:rPr>
        <w:t xml:space="preserve">attended the evidentiary hearing </w:t>
      </w:r>
      <w:r w:rsidRPr="00151346" w:rsidR="00306782">
        <w:rPr>
          <w:sz w:val="24"/>
          <w:szCs w:val="24"/>
        </w:rPr>
        <w:t>to</w:t>
      </w:r>
      <w:r w:rsidRPr="00151346" w:rsidR="00E75DB3">
        <w:rPr>
          <w:sz w:val="24"/>
          <w:szCs w:val="24"/>
        </w:rPr>
        <w:t xml:space="preserve"> </w:t>
      </w:r>
      <w:r w:rsidRPr="00151346" w:rsidR="00363116">
        <w:rPr>
          <w:sz w:val="24"/>
          <w:szCs w:val="24"/>
        </w:rPr>
        <w:t>testif</w:t>
      </w:r>
      <w:r w:rsidRPr="00151346" w:rsidR="00306782">
        <w:rPr>
          <w:sz w:val="24"/>
          <w:szCs w:val="24"/>
        </w:rPr>
        <w:t>y</w:t>
      </w:r>
      <w:r w:rsidRPr="00151346" w:rsidR="00363116">
        <w:rPr>
          <w:sz w:val="24"/>
          <w:szCs w:val="24"/>
        </w:rPr>
        <w:t xml:space="preserve"> how </w:t>
      </w:r>
      <w:r w:rsidRPr="00151346" w:rsidR="001279D4">
        <w:rPr>
          <w:sz w:val="24"/>
          <w:szCs w:val="24"/>
        </w:rPr>
        <w:t xml:space="preserve">they </w:t>
      </w:r>
      <w:r w:rsidRPr="00151346" w:rsidR="00363116">
        <w:rPr>
          <w:sz w:val="24"/>
          <w:szCs w:val="24"/>
        </w:rPr>
        <w:t xml:space="preserve">would be </w:t>
      </w:r>
      <w:r w:rsidRPr="00151346" w:rsidR="001279D4">
        <w:rPr>
          <w:sz w:val="24"/>
          <w:szCs w:val="24"/>
        </w:rPr>
        <w:t xml:space="preserve">affected </w:t>
      </w:r>
      <w:r w:rsidRPr="00151346" w:rsidR="00306782">
        <w:rPr>
          <w:sz w:val="24"/>
          <w:szCs w:val="24"/>
        </w:rPr>
        <w:t xml:space="preserve">if abandoned by </w:t>
      </w:r>
      <w:r w:rsidRPr="00151346" w:rsidR="00363116">
        <w:rPr>
          <w:sz w:val="24"/>
          <w:szCs w:val="24"/>
        </w:rPr>
        <w:t xml:space="preserve">AEP Ohio. One Northtowne resident testified </w:t>
      </w:r>
      <w:r w:rsidRPr="00151346" w:rsidR="00F84473">
        <w:rPr>
          <w:sz w:val="24"/>
          <w:szCs w:val="24"/>
        </w:rPr>
        <w:t xml:space="preserve">“. . . I have been with AEP ever since I was old enough to pay a utility bill, you know what I mean? And AEP, . . . </w:t>
      </w:r>
      <w:r w:rsidRPr="00151346" w:rsidR="008F3B81">
        <w:rPr>
          <w:sz w:val="24"/>
          <w:szCs w:val="24"/>
        </w:rPr>
        <w:t>[t]</w:t>
      </w:r>
      <w:r w:rsidRPr="00151346" w:rsidR="00F84473">
        <w:rPr>
          <w:sz w:val="24"/>
          <w:szCs w:val="24"/>
        </w:rPr>
        <w:t>hey have programs and things that can help people. This place, if this energy place [NEP] gets it, we won’t have that, you know?”</w:t>
      </w:r>
      <w:r>
        <w:rPr>
          <w:rStyle w:val="FootnoteReference"/>
          <w:sz w:val="24"/>
          <w:szCs w:val="24"/>
        </w:rPr>
        <w:footnoteReference w:id="3"/>
      </w:r>
      <w:r w:rsidRPr="00151346" w:rsidR="00F84473">
        <w:rPr>
          <w:sz w:val="24"/>
          <w:szCs w:val="24"/>
        </w:rPr>
        <w:t xml:space="preserve"> A</w:t>
      </w:r>
      <w:r w:rsidRPr="00151346" w:rsidR="00DB36D8">
        <w:rPr>
          <w:sz w:val="24"/>
          <w:szCs w:val="24"/>
        </w:rPr>
        <w:t>nother</w:t>
      </w:r>
      <w:r w:rsidRPr="00151346" w:rsidR="00F84473">
        <w:rPr>
          <w:sz w:val="24"/>
          <w:szCs w:val="24"/>
        </w:rPr>
        <w:t xml:space="preserve"> resident testified</w:t>
      </w:r>
      <w:r w:rsidRPr="00151346" w:rsidR="00DB36D8">
        <w:rPr>
          <w:sz w:val="24"/>
          <w:szCs w:val="24"/>
        </w:rPr>
        <w:t>:</w:t>
      </w:r>
      <w:r w:rsidRPr="00151346" w:rsidR="00F84473">
        <w:rPr>
          <w:sz w:val="24"/>
          <w:szCs w:val="24"/>
        </w:rPr>
        <w:t xml:space="preserve"> “They are just telling us they are going to put us off AEP which I have been – that’s the only thing I [have] ever been on and give us this new program. . . . [W]e don’t get any information on what this new program is or whatever. It’s just not right.”</w:t>
      </w:r>
      <w:r>
        <w:rPr>
          <w:rStyle w:val="FootnoteReference"/>
          <w:sz w:val="24"/>
          <w:szCs w:val="24"/>
        </w:rPr>
        <w:footnoteReference w:id="4"/>
      </w:r>
      <w:r w:rsidRPr="00151346" w:rsidR="00363116">
        <w:rPr>
          <w:sz w:val="24"/>
          <w:szCs w:val="24"/>
        </w:rPr>
        <w:t xml:space="preserve"> </w:t>
      </w:r>
    </w:p>
    <w:p w:rsidR="00E7496C" w:rsidRPr="00151346" w:rsidP="00151346" w14:paraId="2940E4A8" w14:textId="3AD45399">
      <w:pPr>
        <w:spacing w:after="0" w:line="480" w:lineRule="auto"/>
        <w:rPr>
          <w:b/>
          <w:bCs/>
          <w:sz w:val="24"/>
          <w:szCs w:val="24"/>
        </w:rPr>
      </w:pPr>
      <w:r w:rsidRPr="00151346">
        <w:rPr>
          <w:sz w:val="24"/>
          <w:szCs w:val="24"/>
        </w:rPr>
        <w:tab/>
      </w:r>
      <w:r w:rsidRPr="00151346" w:rsidR="00D15E48">
        <w:rPr>
          <w:sz w:val="24"/>
          <w:szCs w:val="24"/>
        </w:rPr>
        <w:t>NEP does not</w:t>
      </w:r>
      <w:r w:rsidRPr="00151346" w:rsidR="006F0357">
        <w:rPr>
          <w:sz w:val="24"/>
          <w:szCs w:val="24"/>
        </w:rPr>
        <w:t xml:space="preserve"> </w:t>
      </w:r>
      <w:r w:rsidRPr="00151346" w:rsidR="00AC4E59">
        <w:rPr>
          <w:sz w:val="24"/>
          <w:szCs w:val="24"/>
        </w:rPr>
        <w:t>refute</w:t>
      </w:r>
      <w:r w:rsidRPr="00151346" w:rsidR="00D15E48">
        <w:rPr>
          <w:sz w:val="24"/>
          <w:szCs w:val="24"/>
        </w:rPr>
        <w:t xml:space="preserve"> this testimony. NEP</w:t>
      </w:r>
      <w:r w:rsidRPr="00151346" w:rsidR="00DB36D8">
        <w:rPr>
          <w:sz w:val="24"/>
          <w:szCs w:val="24"/>
        </w:rPr>
        <w:t xml:space="preserve"> instead</w:t>
      </w:r>
      <w:r w:rsidRPr="00151346" w:rsidR="00D15E48">
        <w:rPr>
          <w:sz w:val="24"/>
          <w:szCs w:val="24"/>
        </w:rPr>
        <w:t xml:space="preserve"> </w:t>
      </w:r>
      <w:r w:rsidRPr="00151346" w:rsidR="00AC4E59">
        <w:rPr>
          <w:sz w:val="24"/>
          <w:szCs w:val="24"/>
        </w:rPr>
        <w:t>besmirch</w:t>
      </w:r>
      <w:r w:rsidRPr="00151346" w:rsidR="006F0357">
        <w:rPr>
          <w:sz w:val="24"/>
          <w:szCs w:val="24"/>
        </w:rPr>
        <w:t>es</w:t>
      </w:r>
      <w:r w:rsidRPr="00151346" w:rsidR="00AC4E59">
        <w:rPr>
          <w:sz w:val="24"/>
          <w:szCs w:val="24"/>
        </w:rPr>
        <w:t xml:space="preserve"> </w:t>
      </w:r>
      <w:r w:rsidRPr="00151346" w:rsidR="00D15E48">
        <w:rPr>
          <w:sz w:val="24"/>
          <w:szCs w:val="24"/>
        </w:rPr>
        <w:t>OCC</w:t>
      </w:r>
      <w:r w:rsidRPr="00151346" w:rsidR="00C306DD">
        <w:rPr>
          <w:sz w:val="24"/>
          <w:szCs w:val="24"/>
        </w:rPr>
        <w:t>. NEP accuses OCC</w:t>
      </w:r>
      <w:r w:rsidRPr="00151346" w:rsidR="00AC4E59">
        <w:rPr>
          <w:sz w:val="24"/>
          <w:szCs w:val="24"/>
        </w:rPr>
        <w:t xml:space="preserve"> of</w:t>
      </w:r>
      <w:r w:rsidRPr="00151346" w:rsidR="00D15E48">
        <w:rPr>
          <w:sz w:val="24"/>
          <w:szCs w:val="24"/>
        </w:rPr>
        <w:t xml:space="preserve"> “fear mongering” and </w:t>
      </w:r>
      <w:r w:rsidRPr="00151346" w:rsidR="005F1821">
        <w:rPr>
          <w:sz w:val="24"/>
          <w:szCs w:val="24"/>
        </w:rPr>
        <w:t>spreading</w:t>
      </w:r>
      <w:r w:rsidRPr="00151346" w:rsidR="00D15E48">
        <w:rPr>
          <w:sz w:val="24"/>
          <w:szCs w:val="24"/>
        </w:rPr>
        <w:t xml:space="preserve"> “confusion and discontent” </w:t>
      </w:r>
      <w:r w:rsidRPr="00151346" w:rsidR="006F0357">
        <w:rPr>
          <w:sz w:val="24"/>
          <w:szCs w:val="24"/>
        </w:rPr>
        <w:t>among</w:t>
      </w:r>
      <w:r w:rsidRPr="00151346" w:rsidR="005F1821">
        <w:rPr>
          <w:sz w:val="24"/>
          <w:szCs w:val="24"/>
        </w:rPr>
        <w:t xml:space="preserve"> </w:t>
      </w:r>
      <w:r w:rsidRPr="00151346" w:rsidR="006F0357">
        <w:rPr>
          <w:sz w:val="24"/>
          <w:szCs w:val="24"/>
        </w:rPr>
        <w:t>the Northtowne residents</w:t>
      </w:r>
      <w:r w:rsidRPr="00151346" w:rsidR="00D15E48">
        <w:rPr>
          <w:sz w:val="24"/>
          <w:szCs w:val="24"/>
        </w:rPr>
        <w:t>.</w:t>
      </w:r>
      <w:r>
        <w:rPr>
          <w:rStyle w:val="FootnoteReference"/>
          <w:sz w:val="24"/>
          <w:szCs w:val="24"/>
        </w:rPr>
        <w:footnoteReference w:id="5"/>
      </w:r>
      <w:r w:rsidRPr="00151346" w:rsidR="005F1821">
        <w:rPr>
          <w:sz w:val="24"/>
          <w:szCs w:val="24"/>
        </w:rPr>
        <w:t xml:space="preserve"> </w:t>
      </w:r>
      <w:r w:rsidRPr="00151346" w:rsidR="00605D81">
        <w:rPr>
          <w:sz w:val="24"/>
          <w:szCs w:val="24"/>
        </w:rPr>
        <w:t>NEP c</w:t>
      </w:r>
      <w:r w:rsidRPr="00151346" w:rsidR="00BA0DB1">
        <w:rPr>
          <w:sz w:val="24"/>
          <w:szCs w:val="24"/>
        </w:rPr>
        <w:t>omplains</w:t>
      </w:r>
      <w:r w:rsidRPr="00151346" w:rsidR="00605D81">
        <w:rPr>
          <w:sz w:val="24"/>
          <w:szCs w:val="24"/>
        </w:rPr>
        <w:t xml:space="preserve"> that consumers “have only heard one very distorted side of the story.”</w:t>
      </w:r>
      <w:r>
        <w:rPr>
          <w:rStyle w:val="FootnoteReference"/>
          <w:sz w:val="24"/>
          <w:szCs w:val="24"/>
        </w:rPr>
        <w:footnoteReference w:id="6"/>
      </w:r>
      <w:r w:rsidRPr="00151346" w:rsidR="00605D81">
        <w:rPr>
          <w:sz w:val="24"/>
          <w:szCs w:val="24"/>
        </w:rPr>
        <w:t xml:space="preserve"> </w:t>
      </w:r>
      <w:r w:rsidRPr="00151346" w:rsidR="00306782">
        <w:rPr>
          <w:sz w:val="24"/>
          <w:szCs w:val="24"/>
        </w:rPr>
        <w:t>But NEP</w:t>
      </w:r>
      <w:r w:rsidRPr="00151346" w:rsidR="00605D81">
        <w:rPr>
          <w:sz w:val="24"/>
          <w:szCs w:val="24"/>
        </w:rPr>
        <w:t xml:space="preserve"> </w:t>
      </w:r>
      <w:r w:rsidRPr="00151346" w:rsidR="00693FAA">
        <w:rPr>
          <w:sz w:val="24"/>
          <w:szCs w:val="24"/>
        </w:rPr>
        <w:t>fought to keep</w:t>
      </w:r>
      <w:r w:rsidRPr="00151346" w:rsidR="00605D81">
        <w:rPr>
          <w:sz w:val="24"/>
          <w:szCs w:val="24"/>
        </w:rPr>
        <w:t xml:space="preserve"> residential consumers from participating (through their state advocate OCC) in matters regarding NEP’s submetered service.</w:t>
      </w:r>
      <w:r>
        <w:rPr>
          <w:rStyle w:val="FootnoteReference"/>
          <w:sz w:val="24"/>
          <w:szCs w:val="24"/>
        </w:rPr>
        <w:footnoteReference w:id="7"/>
      </w:r>
      <w:r w:rsidRPr="00151346" w:rsidR="00605D81">
        <w:rPr>
          <w:sz w:val="24"/>
          <w:szCs w:val="24"/>
        </w:rPr>
        <w:t xml:space="preserve"> </w:t>
      </w:r>
      <w:r w:rsidRPr="00151346" w:rsidR="00306782">
        <w:rPr>
          <w:i/>
          <w:iCs/>
          <w:sz w:val="24"/>
          <w:szCs w:val="24"/>
        </w:rPr>
        <w:t>And the</w:t>
      </w:r>
      <w:r w:rsidRPr="00151346" w:rsidR="00693FAA">
        <w:rPr>
          <w:i/>
          <w:iCs/>
          <w:sz w:val="24"/>
          <w:szCs w:val="24"/>
        </w:rPr>
        <w:t xml:space="preserve"> PUCO denied OCC’s intervention for consumers in AEP Ohio’s complaint against NEP</w:t>
      </w:r>
      <w:r w:rsidRPr="00151346" w:rsidR="00693FAA">
        <w:rPr>
          <w:sz w:val="24"/>
          <w:szCs w:val="24"/>
        </w:rPr>
        <w:t xml:space="preserve">. </w:t>
      </w:r>
      <w:r w:rsidRPr="00151346" w:rsidR="00BA0DB1">
        <w:rPr>
          <w:sz w:val="24"/>
          <w:szCs w:val="24"/>
        </w:rPr>
        <w:t>N</w:t>
      </w:r>
      <w:r w:rsidRPr="00151346" w:rsidR="00605D81">
        <w:rPr>
          <w:sz w:val="24"/>
          <w:szCs w:val="24"/>
        </w:rPr>
        <w:t>ow</w:t>
      </w:r>
      <w:r w:rsidRPr="00151346" w:rsidR="00306782">
        <w:rPr>
          <w:sz w:val="24"/>
          <w:szCs w:val="24"/>
        </w:rPr>
        <w:t xml:space="preserve"> </w:t>
      </w:r>
      <w:r w:rsidRPr="00151346" w:rsidR="00605D81">
        <w:rPr>
          <w:sz w:val="24"/>
          <w:szCs w:val="24"/>
        </w:rPr>
        <w:t>Northtowne residents have</w:t>
      </w:r>
      <w:r w:rsidRPr="00151346" w:rsidR="00AC4E59">
        <w:rPr>
          <w:sz w:val="24"/>
          <w:szCs w:val="24"/>
        </w:rPr>
        <w:t xml:space="preserve"> </w:t>
      </w:r>
      <w:r w:rsidRPr="00151346" w:rsidR="00693FAA">
        <w:rPr>
          <w:sz w:val="24"/>
          <w:szCs w:val="24"/>
        </w:rPr>
        <w:t>finally had an opportunity</w:t>
      </w:r>
      <w:r w:rsidRPr="00151346" w:rsidR="006F0357">
        <w:rPr>
          <w:sz w:val="24"/>
          <w:szCs w:val="24"/>
        </w:rPr>
        <w:t xml:space="preserve"> to </w:t>
      </w:r>
      <w:r w:rsidRPr="00151346" w:rsidR="00605D81">
        <w:rPr>
          <w:sz w:val="24"/>
          <w:szCs w:val="24"/>
        </w:rPr>
        <w:t>voice</w:t>
      </w:r>
      <w:r w:rsidRPr="00151346" w:rsidR="00BA0DB1">
        <w:rPr>
          <w:sz w:val="24"/>
          <w:szCs w:val="24"/>
        </w:rPr>
        <w:t xml:space="preserve"> their</w:t>
      </w:r>
      <w:r w:rsidRPr="00151346" w:rsidR="00605D81">
        <w:rPr>
          <w:sz w:val="24"/>
          <w:szCs w:val="24"/>
        </w:rPr>
        <w:t xml:space="preserve"> concerns</w:t>
      </w:r>
      <w:r w:rsidRPr="00151346" w:rsidR="00693FAA">
        <w:rPr>
          <w:sz w:val="24"/>
          <w:szCs w:val="24"/>
        </w:rPr>
        <w:t xml:space="preserve"> about losing </w:t>
      </w:r>
      <w:r w:rsidRPr="00151346" w:rsidR="00306782">
        <w:rPr>
          <w:sz w:val="24"/>
          <w:szCs w:val="24"/>
        </w:rPr>
        <w:t xml:space="preserve">their </w:t>
      </w:r>
      <w:r w:rsidRPr="00151346" w:rsidR="00693FAA">
        <w:rPr>
          <w:sz w:val="24"/>
          <w:szCs w:val="24"/>
        </w:rPr>
        <w:t>PUCO-regulated utility service from AEP Ohio</w:t>
      </w:r>
      <w:r w:rsidRPr="00151346" w:rsidR="00306782">
        <w:rPr>
          <w:sz w:val="24"/>
          <w:szCs w:val="24"/>
        </w:rPr>
        <w:t>.</w:t>
      </w:r>
      <w:r w:rsidRPr="00151346" w:rsidR="00693FAA">
        <w:rPr>
          <w:sz w:val="24"/>
          <w:szCs w:val="24"/>
        </w:rPr>
        <w:t xml:space="preserve"> </w:t>
      </w:r>
      <w:r w:rsidRPr="00151346" w:rsidR="00605D81">
        <w:rPr>
          <w:sz w:val="24"/>
          <w:szCs w:val="24"/>
        </w:rPr>
        <w:t>NEP</w:t>
      </w:r>
      <w:r w:rsidRPr="00151346" w:rsidR="00BA0DB1">
        <w:rPr>
          <w:sz w:val="24"/>
          <w:szCs w:val="24"/>
        </w:rPr>
        <w:t xml:space="preserve"> cries foul claiming it “had no opportunity to respond.”</w:t>
      </w:r>
      <w:r>
        <w:rPr>
          <w:rStyle w:val="FootnoteReference"/>
          <w:sz w:val="24"/>
          <w:szCs w:val="24"/>
        </w:rPr>
        <w:footnoteReference w:id="8"/>
      </w:r>
      <w:r w:rsidRPr="00151346" w:rsidR="00BA0DB1">
        <w:rPr>
          <w:sz w:val="24"/>
          <w:szCs w:val="24"/>
        </w:rPr>
        <w:t xml:space="preserve"> NEP’s attempt to play the victim</w:t>
      </w:r>
      <w:r w:rsidRPr="00151346" w:rsidR="00693FAA">
        <w:rPr>
          <w:sz w:val="24"/>
          <w:szCs w:val="24"/>
        </w:rPr>
        <w:t xml:space="preserve"> </w:t>
      </w:r>
      <w:r w:rsidRPr="00151346" w:rsidR="00306782">
        <w:rPr>
          <w:sz w:val="24"/>
          <w:szCs w:val="24"/>
        </w:rPr>
        <w:t>(along with the arguments in its initial brief) should be flatly</w:t>
      </w:r>
      <w:r w:rsidRPr="00151346" w:rsidR="00BA0DB1">
        <w:rPr>
          <w:sz w:val="24"/>
          <w:szCs w:val="24"/>
        </w:rPr>
        <w:t xml:space="preserve"> rejected.</w:t>
      </w:r>
      <w:r w:rsidRPr="00151346" w:rsidR="00AD5466">
        <w:rPr>
          <w:b/>
          <w:bCs/>
          <w:sz w:val="24"/>
          <w:szCs w:val="24"/>
        </w:rPr>
        <w:t xml:space="preserve"> </w:t>
      </w:r>
    </w:p>
    <w:p w:rsidR="000D6292" w:rsidRPr="00151346" w:rsidP="00151346" w14:paraId="348D7404" w14:textId="3BAFEB55">
      <w:pPr>
        <w:spacing w:after="0" w:line="480" w:lineRule="auto"/>
        <w:rPr>
          <w:b/>
          <w:bCs/>
          <w:sz w:val="24"/>
          <w:szCs w:val="24"/>
        </w:rPr>
      </w:pPr>
      <w:r w:rsidRPr="00151346">
        <w:rPr>
          <w:sz w:val="24"/>
          <w:szCs w:val="24"/>
        </w:rPr>
        <w:tab/>
      </w:r>
      <w:r w:rsidRPr="00151346" w:rsidR="00BA0DB1">
        <w:rPr>
          <w:sz w:val="24"/>
          <w:szCs w:val="24"/>
        </w:rPr>
        <w:t>AEP Ohio should not</w:t>
      </w:r>
      <w:r w:rsidRPr="00151346" w:rsidR="00C306DD">
        <w:rPr>
          <w:sz w:val="24"/>
          <w:szCs w:val="24"/>
        </w:rPr>
        <w:t xml:space="preserve"> be allowed to</w:t>
      </w:r>
      <w:r w:rsidRPr="00151346" w:rsidR="00BA0DB1">
        <w:rPr>
          <w:sz w:val="24"/>
          <w:szCs w:val="24"/>
        </w:rPr>
        <w:t xml:space="preserve"> abandon service </w:t>
      </w:r>
      <w:r w:rsidRPr="00151346" w:rsidR="00AC4E59">
        <w:rPr>
          <w:sz w:val="24"/>
          <w:szCs w:val="24"/>
        </w:rPr>
        <w:t>to</w:t>
      </w:r>
      <w:r w:rsidRPr="00151346" w:rsidR="004109CE">
        <w:rPr>
          <w:sz w:val="24"/>
          <w:szCs w:val="24"/>
        </w:rPr>
        <w:t xml:space="preserve"> Northtowne</w:t>
      </w:r>
      <w:r w:rsidRPr="00151346" w:rsidR="00AC4E59">
        <w:rPr>
          <w:sz w:val="24"/>
          <w:szCs w:val="24"/>
        </w:rPr>
        <w:t xml:space="preserve"> consumers.</w:t>
      </w:r>
      <w:r w:rsidRPr="00151346" w:rsidR="006F0357">
        <w:rPr>
          <w:sz w:val="24"/>
          <w:szCs w:val="24"/>
        </w:rPr>
        <w:t xml:space="preserve"> </w:t>
      </w:r>
      <w:r w:rsidRPr="00151346" w:rsidR="00C306DD">
        <w:rPr>
          <w:sz w:val="24"/>
          <w:szCs w:val="24"/>
        </w:rPr>
        <w:t xml:space="preserve">Forcing </w:t>
      </w:r>
      <w:r w:rsidRPr="00151346" w:rsidR="006F0357">
        <w:rPr>
          <w:sz w:val="24"/>
          <w:szCs w:val="24"/>
        </w:rPr>
        <w:t>Northtowne consumers to give up their rights to PUCO-regulated electric utility service</w:t>
      </w:r>
      <w:r w:rsidRPr="00151346" w:rsidR="00C306DD">
        <w:rPr>
          <w:sz w:val="24"/>
          <w:szCs w:val="24"/>
        </w:rPr>
        <w:t xml:space="preserve"> is unreasonable and not in the public welfare</w:t>
      </w:r>
      <w:r w:rsidRPr="00151346" w:rsidR="006F0357">
        <w:rPr>
          <w:sz w:val="24"/>
          <w:szCs w:val="24"/>
        </w:rPr>
        <w:t>.</w:t>
      </w:r>
      <w:r w:rsidRPr="00151346" w:rsidR="00AC4E59">
        <w:rPr>
          <w:sz w:val="24"/>
          <w:szCs w:val="24"/>
        </w:rPr>
        <w:t xml:space="preserve"> </w:t>
      </w:r>
      <w:r w:rsidRPr="00151346" w:rsidR="004E6ACC">
        <w:rPr>
          <w:sz w:val="24"/>
          <w:szCs w:val="24"/>
        </w:rPr>
        <w:t>The PUCO should deny AEP Ohio’s application to abandon distribution service to the residents of the Northtowne apartment complex</w:t>
      </w:r>
      <w:r w:rsidRPr="00151346" w:rsidR="00C17968">
        <w:rPr>
          <w:sz w:val="24"/>
          <w:szCs w:val="24"/>
        </w:rPr>
        <w:t xml:space="preserve"> to enable NEP to submeter service</w:t>
      </w:r>
      <w:r w:rsidRPr="00151346" w:rsidR="004E6ACC">
        <w:rPr>
          <w:sz w:val="24"/>
          <w:szCs w:val="24"/>
        </w:rPr>
        <w:t>.</w:t>
      </w:r>
    </w:p>
    <w:p w:rsidR="00AF0F5C" w:rsidRPr="00AF0F5C" w:rsidP="00AF0F5C" w14:paraId="74D765A3" w14:textId="77777777">
      <w:pPr>
        <w:spacing w:line="240" w:lineRule="auto"/>
      </w:pPr>
    </w:p>
    <w:p w:rsidR="0070200D" w:rsidRPr="00AD5466" w:rsidP="004109CE" w14:paraId="67A1EE34" w14:textId="4B3869CF">
      <w:pPr>
        <w:pStyle w:val="Heading1"/>
      </w:pPr>
      <w:bookmarkStart w:id="2" w:name="_Toc175316600"/>
      <w:r w:rsidRPr="00AD5466">
        <w:t>ARGUMENT</w:t>
      </w:r>
      <w:bookmarkEnd w:id="2"/>
    </w:p>
    <w:p w:rsidR="008C3C46" w:rsidRPr="00AD5466" w:rsidP="00544F53" w14:paraId="49E0F9AC" w14:textId="5EDECF29">
      <w:pPr>
        <w:pStyle w:val="Heading2"/>
      </w:pPr>
      <w:bookmarkStart w:id="3" w:name="_Toc175316601"/>
      <w:r w:rsidRPr="00AD5466">
        <w:t>The PUCO should reject NEP’s argument that the</w:t>
      </w:r>
      <w:r w:rsidRPr="00AD5466" w:rsidR="00306782">
        <w:t xml:space="preserve">re would be no </w:t>
      </w:r>
      <w:r w:rsidRPr="00AD5466" w:rsidR="00FF5213">
        <w:t>abandonment</w:t>
      </w:r>
      <w:r w:rsidRPr="00AD5466" w:rsidR="00306782">
        <w:t xml:space="preserve"> and the</w:t>
      </w:r>
      <w:r w:rsidRPr="00AD5466">
        <w:t xml:space="preserve"> Miller Act does not apply. </w:t>
      </w:r>
      <w:r w:rsidRPr="00AD5466" w:rsidR="0039670E">
        <w:t xml:space="preserve">The evidence shows </w:t>
      </w:r>
      <w:r w:rsidRPr="00AD5466" w:rsidR="00154B92">
        <w:t>that NEP’s</w:t>
      </w:r>
      <w:r w:rsidRPr="00AD5466" w:rsidR="004109CE">
        <w:t xml:space="preserve"> demand to submeter results in</w:t>
      </w:r>
      <w:r w:rsidRPr="00AD5466" w:rsidR="00154B92">
        <w:t xml:space="preserve"> </w:t>
      </w:r>
      <w:r w:rsidRPr="00AD5466" w:rsidR="00997EB1">
        <w:t>AEP Ohio</w:t>
      </w:r>
      <w:r w:rsidRPr="00AD5466" w:rsidR="00154B92">
        <w:t xml:space="preserve"> abandon</w:t>
      </w:r>
      <w:r w:rsidRPr="00AD5466" w:rsidR="00997EB1">
        <w:t>ing its</w:t>
      </w:r>
      <w:r w:rsidRPr="00AD5466" w:rsidR="0039670E">
        <w:t xml:space="preserve"> </w:t>
      </w:r>
      <w:r w:rsidRPr="00AD5466" w:rsidR="00154B92">
        <w:t>lines and services to Northtowne residents.</w:t>
      </w:r>
      <w:bookmarkEnd w:id="3"/>
      <w:r w:rsidRPr="00AD5466" w:rsidR="004109CE">
        <w:t xml:space="preserve"> </w:t>
      </w:r>
    </w:p>
    <w:p w:rsidR="0052455C" w:rsidRPr="00AD5466" w:rsidP="00544F53" w14:paraId="70B513C7" w14:textId="78C57BA0">
      <w:pPr>
        <w:spacing w:after="0" w:line="480" w:lineRule="auto"/>
        <w:ind w:firstLine="720"/>
        <w:rPr>
          <w:sz w:val="24"/>
          <w:szCs w:val="24"/>
        </w:rPr>
      </w:pPr>
      <w:r w:rsidRPr="00AD5466">
        <w:rPr>
          <w:sz w:val="24"/>
          <w:szCs w:val="24"/>
        </w:rPr>
        <w:t xml:space="preserve">NEP </w:t>
      </w:r>
      <w:r w:rsidRPr="00AD5466" w:rsidR="00997EB1">
        <w:rPr>
          <w:sz w:val="24"/>
          <w:szCs w:val="24"/>
        </w:rPr>
        <w:t>argues</w:t>
      </w:r>
      <w:r w:rsidRPr="00AD5466">
        <w:rPr>
          <w:sz w:val="24"/>
          <w:szCs w:val="24"/>
        </w:rPr>
        <w:t xml:space="preserve"> that the PUCO should dismiss AEP Ohio’s application</w:t>
      </w:r>
      <w:r w:rsidRPr="00AD5466" w:rsidR="00997EB1">
        <w:rPr>
          <w:sz w:val="24"/>
          <w:szCs w:val="24"/>
        </w:rPr>
        <w:t>. According to NEP,</w:t>
      </w:r>
      <w:r w:rsidRPr="00AD5466">
        <w:rPr>
          <w:sz w:val="24"/>
          <w:szCs w:val="24"/>
        </w:rPr>
        <w:t xml:space="preserve"> there would be no “abandonment”</w:t>
      </w:r>
      <w:r w:rsidRPr="00AD5466" w:rsidR="00E33ECE">
        <w:rPr>
          <w:sz w:val="24"/>
          <w:szCs w:val="24"/>
        </w:rPr>
        <w:t xml:space="preserve"> by AEP Ohio of its facilities serving the Northtowne residents.</w:t>
      </w:r>
      <w:r>
        <w:rPr>
          <w:rStyle w:val="FootnoteReference"/>
          <w:sz w:val="24"/>
          <w:szCs w:val="24"/>
        </w:rPr>
        <w:footnoteReference w:id="9"/>
      </w:r>
      <w:r w:rsidRPr="00AD5466" w:rsidR="00997EB1">
        <w:rPr>
          <w:sz w:val="24"/>
          <w:szCs w:val="24"/>
        </w:rPr>
        <w:t xml:space="preserve"> Evidence presented by AEP Ohio demonstrates the opposite – that an abandonment would occur. </w:t>
      </w:r>
      <w:r w:rsidRPr="00AD5466" w:rsidR="00E33ECE">
        <w:rPr>
          <w:sz w:val="24"/>
          <w:szCs w:val="24"/>
        </w:rPr>
        <w:t>T</w:t>
      </w:r>
      <w:r w:rsidRPr="00AD5466" w:rsidR="00997EB1">
        <w:rPr>
          <w:sz w:val="24"/>
          <w:szCs w:val="24"/>
        </w:rPr>
        <w:t xml:space="preserve">hus, </w:t>
      </w:r>
      <w:r w:rsidRPr="00AD5466" w:rsidR="00E33ECE">
        <w:rPr>
          <w:sz w:val="24"/>
          <w:szCs w:val="24"/>
        </w:rPr>
        <w:t xml:space="preserve">the PUCO </w:t>
      </w:r>
      <w:r w:rsidRPr="00AD5466" w:rsidR="00997EB1">
        <w:rPr>
          <w:sz w:val="24"/>
          <w:szCs w:val="24"/>
        </w:rPr>
        <w:t>must</w:t>
      </w:r>
      <w:r w:rsidRPr="00AD5466" w:rsidR="00E33ECE">
        <w:rPr>
          <w:sz w:val="24"/>
          <w:szCs w:val="24"/>
        </w:rPr>
        <w:t xml:space="preserve"> determine under the Miller Act whether </w:t>
      </w:r>
      <w:r w:rsidRPr="00AD5466" w:rsidR="00997EB1">
        <w:rPr>
          <w:sz w:val="24"/>
          <w:szCs w:val="24"/>
        </w:rPr>
        <w:t xml:space="preserve">the abandonment </w:t>
      </w:r>
      <w:r w:rsidRPr="00AD5466" w:rsidR="00E33ECE">
        <w:rPr>
          <w:sz w:val="24"/>
          <w:szCs w:val="24"/>
        </w:rPr>
        <w:t>is “reasonable, having due regard for the welfare of the public.”</w:t>
      </w:r>
      <w:r w:rsidR="00AD5466">
        <w:rPr>
          <w:sz w:val="24"/>
          <w:szCs w:val="24"/>
        </w:rPr>
        <w:t xml:space="preserve"> </w:t>
      </w:r>
    </w:p>
    <w:p w:rsidR="00154B92" w:rsidRPr="00AD5466" w:rsidP="00544F53" w14:paraId="5CF029F5" w14:textId="7A8E0F72">
      <w:pPr>
        <w:spacing w:after="0" w:line="480" w:lineRule="auto"/>
        <w:ind w:firstLine="720"/>
        <w:rPr>
          <w:sz w:val="24"/>
          <w:szCs w:val="24"/>
        </w:rPr>
      </w:pPr>
      <w:r w:rsidRPr="00AD5466">
        <w:rPr>
          <w:sz w:val="24"/>
          <w:szCs w:val="24"/>
        </w:rPr>
        <w:t xml:space="preserve">AEP Ohio </w:t>
      </w:r>
      <w:r w:rsidRPr="00AD5466" w:rsidR="00AC5063">
        <w:rPr>
          <w:sz w:val="24"/>
          <w:szCs w:val="24"/>
        </w:rPr>
        <w:t xml:space="preserve">provides </w:t>
      </w:r>
      <w:r w:rsidRPr="00AD5466">
        <w:rPr>
          <w:sz w:val="24"/>
          <w:szCs w:val="24"/>
        </w:rPr>
        <w:t>service</w:t>
      </w:r>
      <w:r w:rsidRPr="00AD5466" w:rsidR="00AC5063">
        <w:rPr>
          <w:sz w:val="24"/>
          <w:szCs w:val="24"/>
        </w:rPr>
        <w:t xml:space="preserve"> directly to</w:t>
      </w:r>
      <w:r w:rsidRPr="00AD5466">
        <w:rPr>
          <w:sz w:val="24"/>
          <w:szCs w:val="24"/>
        </w:rPr>
        <w:t xml:space="preserve"> 288 residential consumers at Northtowne.</w:t>
      </w:r>
      <w:r>
        <w:rPr>
          <w:rStyle w:val="FootnoteReference"/>
          <w:sz w:val="24"/>
          <w:szCs w:val="24"/>
        </w:rPr>
        <w:footnoteReference w:id="10"/>
      </w:r>
      <w:r w:rsidR="00AD5466">
        <w:rPr>
          <w:sz w:val="24"/>
          <w:szCs w:val="24"/>
        </w:rPr>
        <w:t xml:space="preserve"> </w:t>
      </w:r>
      <w:r w:rsidRPr="00AD5466">
        <w:rPr>
          <w:sz w:val="24"/>
          <w:szCs w:val="24"/>
        </w:rPr>
        <w:t>It does so through a complex distribution system that includes transformers, pedestal, various forms of conductor/wire, conduit, riser poles, and light poles.</w:t>
      </w:r>
      <w:r>
        <w:rPr>
          <w:rStyle w:val="FootnoteReference"/>
          <w:sz w:val="24"/>
          <w:szCs w:val="24"/>
        </w:rPr>
        <w:footnoteReference w:id="11"/>
      </w:r>
      <w:r w:rsidRPr="00AD5466">
        <w:rPr>
          <w:sz w:val="24"/>
          <w:szCs w:val="24"/>
        </w:rPr>
        <w:t xml:space="preserve"> NEP’s </w:t>
      </w:r>
      <w:r w:rsidRPr="00AD5466" w:rsidR="004E1898">
        <w:rPr>
          <w:sz w:val="24"/>
          <w:szCs w:val="24"/>
        </w:rPr>
        <w:t xml:space="preserve">demand to submeter </w:t>
      </w:r>
      <w:r w:rsidRPr="00AD5466">
        <w:rPr>
          <w:sz w:val="24"/>
          <w:szCs w:val="24"/>
        </w:rPr>
        <w:t xml:space="preserve">the Northtowne complex </w:t>
      </w:r>
      <w:r w:rsidRPr="00AD5466" w:rsidR="003E4DCB">
        <w:rPr>
          <w:sz w:val="24"/>
          <w:szCs w:val="24"/>
        </w:rPr>
        <w:t>will result</w:t>
      </w:r>
      <w:r w:rsidRPr="00AD5466">
        <w:rPr>
          <w:sz w:val="24"/>
          <w:szCs w:val="24"/>
        </w:rPr>
        <w:t xml:space="preserve"> in AEP Ohio</w:t>
      </w:r>
      <w:r w:rsidRPr="00AD5466" w:rsidR="004E1898">
        <w:rPr>
          <w:sz w:val="24"/>
          <w:szCs w:val="24"/>
        </w:rPr>
        <w:t xml:space="preserve"> establishing</w:t>
      </w:r>
      <w:r w:rsidRPr="00AD5466">
        <w:rPr>
          <w:sz w:val="24"/>
          <w:szCs w:val="24"/>
        </w:rPr>
        <w:t xml:space="preserve"> a single point of primary service at the Northtowne.</w:t>
      </w:r>
      <w:r>
        <w:rPr>
          <w:rStyle w:val="FootnoteReference"/>
          <w:sz w:val="24"/>
          <w:szCs w:val="24"/>
        </w:rPr>
        <w:footnoteReference w:id="12"/>
      </w:r>
      <w:r w:rsidRPr="00AD5466">
        <w:rPr>
          <w:sz w:val="24"/>
          <w:szCs w:val="24"/>
        </w:rPr>
        <w:t xml:space="preserve"> AEP Ohio</w:t>
      </w:r>
      <w:r w:rsidRPr="00AD5466" w:rsidR="003E4DCB">
        <w:rPr>
          <w:sz w:val="24"/>
          <w:szCs w:val="24"/>
        </w:rPr>
        <w:t xml:space="preserve">’s PUCO-approved </w:t>
      </w:r>
      <w:r w:rsidRPr="00AD5466">
        <w:rPr>
          <w:sz w:val="24"/>
          <w:szCs w:val="24"/>
        </w:rPr>
        <w:t>tariff</w:t>
      </w:r>
      <w:r w:rsidRPr="00AD5466" w:rsidR="003E4DCB">
        <w:rPr>
          <w:sz w:val="24"/>
          <w:szCs w:val="24"/>
        </w:rPr>
        <w:t xml:space="preserve"> permits it </w:t>
      </w:r>
      <w:r w:rsidRPr="00AD5466" w:rsidR="002A7AE6">
        <w:rPr>
          <w:sz w:val="24"/>
          <w:szCs w:val="24"/>
        </w:rPr>
        <w:t>“</w:t>
      </w:r>
      <w:r w:rsidRPr="00AD5466" w:rsidR="003E4DCB">
        <w:rPr>
          <w:sz w:val="24"/>
          <w:szCs w:val="24"/>
        </w:rPr>
        <w:t xml:space="preserve"> to</w:t>
      </w:r>
      <w:r w:rsidRPr="00AD5466" w:rsidR="002A7AE6">
        <w:rPr>
          <w:sz w:val="24"/>
          <w:szCs w:val="24"/>
        </w:rPr>
        <w:t xml:space="preserve"> determine the modifications to the Company’s transmission and/or distribution facilities required to provide a basic service plan to serve the customer’s load.”</w:t>
      </w:r>
      <w:r>
        <w:rPr>
          <w:rStyle w:val="FootnoteReference"/>
          <w:sz w:val="24"/>
          <w:szCs w:val="24"/>
        </w:rPr>
        <w:footnoteReference w:id="13"/>
      </w:r>
      <w:r w:rsidRPr="00AD5466" w:rsidR="002A7AE6">
        <w:rPr>
          <w:sz w:val="24"/>
          <w:szCs w:val="24"/>
        </w:rPr>
        <w:t xml:space="preserve"> </w:t>
      </w:r>
      <w:r w:rsidRPr="00AD5466" w:rsidR="004E1898">
        <w:rPr>
          <w:sz w:val="24"/>
          <w:szCs w:val="24"/>
        </w:rPr>
        <w:t xml:space="preserve">Under </w:t>
      </w:r>
      <w:r w:rsidRPr="00AD5466" w:rsidR="003E4DCB">
        <w:rPr>
          <w:sz w:val="24"/>
          <w:szCs w:val="24"/>
        </w:rPr>
        <w:t>NEP</w:t>
      </w:r>
      <w:r w:rsidRPr="00AD5466" w:rsidR="004E1898">
        <w:rPr>
          <w:sz w:val="24"/>
          <w:szCs w:val="24"/>
        </w:rPr>
        <w:t>’s submetering demand</w:t>
      </w:r>
      <w:r w:rsidRPr="00AD5466" w:rsidR="003E4DCB">
        <w:rPr>
          <w:sz w:val="24"/>
          <w:szCs w:val="24"/>
        </w:rPr>
        <w:t>, the landlord will be the end-user customer of AEP Ohio</w:t>
      </w:r>
      <w:r w:rsidRPr="00AD5466" w:rsidR="004E1898">
        <w:rPr>
          <w:sz w:val="24"/>
          <w:szCs w:val="24"/>
        </w:rPr>
        <w:t xml:space="preserve">, </w:t>
      </w:r>
      <w:r w:rsidRPr="00AD5466" w:rsidR="003E4DCB">
        <w:rPr>
          <w:sz w:val="24"/>
          <w:szCs w:val="24"/>
        </w:rPr>
        <w:t xml:space="preserve">not the individual </w:t>
      </w:r>
      <w:r w:rsidRPr="00AD5466" w:rsidR="004E1898">
        <w:rPr>
          <w:sz w:val="24"/>
          <w:szCs w:val="24"/>
        </w:rPr>
        <w:t>residents that AEP Ohio current</w:t>
      </w:r>
      <w:r w:rsidR="002B66D8">
        <w:rPr>
          <w:sz w:val="24"/>
          <w:szCs w:val="24"/>
        </w:rPr>
        <w:t>ly</w:t>
      </w:r>
      <w:r w:rsidRPr="00AD5466" w:rsidR="004E1898">
        <w:rPr>
          <w:sz w:val="24"/>
          <w:szCs w:val="24"/>
        </w:rPr>
        <w:t xml:space="preserve"> serves</w:t>
      </w:r>
      <w:r w:rsidRPr="00AD5466" w:rsidR="003E4DCB">
        <w:rPr>
          <w:sz w:val="24"/>
          <w:szCs w:val="24"/>
        </w:rPr>
        <w:t>.</w:t>
      </w:r>
      <w:r>
        <w:rPr>
          <w:rStyle w:val="FootnoteReference"/>
          <w:sz w:val="24"/>
          <w:szCs w:val="24"/>
        </w:rPr>
        <w:footnoteReference w:id="14"/>
      </w:r>
    </w:p>
    <w:p w:rsidR="00154B92" w:rsidRPr="00AD5466" w:rsidP="00A276F3" w14:paraId="2798341F" w14:textId="138C7218">
      <w:pPr>
        <w:spacing w:after="0" w:line="480" w:lineRule="auto"/>
        <w:ind w:firstLine="720"/>
        <w:rPr>
          <w:sz w:val="24"/>
          <w:szCs w:val="24"/>
        </w:rPr>
      </w:pPr>
      <w:r w:rsidRPr="00AD5466">
        <w:rPr>
          <w:sz w:val="24"/>
          <w:szCs w:val="24"/>
        </w:rPr>
        <w:t xml:space="preserve">As a result of NEP’s </w:t>
      </w:r>
      <w:r w:rsidRPr="00AD5466" w:rsidR="004E1898">
        <w:rPr>
          <w:sz w:val="24"/>
          <w:szCs w:val="24"/>
        </w:rPr>
        <w:t>submetering demand</w:t>
      </w:r>
      <w:r w:rsidRPr="00AD5466" w:rsidR="003E4DCB">
        <w:rPr>
          <w:sz w:val="24"/>
          <w:szCs w:val="24"/>
        </w:rPr>
        <w:t>,</w:t>
      </w:r>
      <w:r w:rsidRPr="00AD5466">
        <w:rPr>
          <w:sz w:val="24"/>
          <w:szCs w:val="24"/>
        </w:rPr>
        <w:t xml:space="preserve"> AEP Ohio will abandon its distribution infrastructure</w:t>
      </w:r>
      <w:r w:rsidRPr="00AD5466" w:rsidR="003E4DCB">
        <w:rPr>
          <w:sz w:val="24"/>
          <w:szCs w:val="24"/>
        </w:rPr>
        <w:t xml:space="preserve"> used to serve each tenant. AEP Ohio will also terminate </w:t>
      </w:r>
      <w:r w:rsidRPr="00AD5466">
        <w:rPr>
          <w:sz w:val="24"/>
          <w:szCs w:val="24"/>
        </w:rPr>
        <w:t xml:space="preserve">its relationship with </w:t>
      </w:r>
      <w:r w:rsidRPr="00AD5466" w:rsidR="003E4DCB">
        <w:rPr>
          <w:sz w:val="24"/>
          <w:szCs w:val="24"/>
        </w:rPr>
        <w:t xml:space="preserve">each </w:t>
      </w:r>
      <w:r w:rsidRPr="00AD5466">
        <w:rPr>
          <w:sz w:val="24"/>
          <w:szCs w:val="24"/>
        </w:rPr>
        <w:t xml:space="preserve">Northtowne resident. </w:t>
      </w:r>
      <w:r w:rsidRPr="00AD5466" w:rsidR="000D689C">
        <w:rPr>
          <w:sz w:val="24"/>
          <w:szCs w:val="24"/>
        </w:rPr>
        <w:t xml:space="preserve">That means that </w:t>
      </w:r>
      <w:r w:rsidRPr="00AD5466" w:rsidR="00654CB7">
        <w:rPr>
          <w:sz w:val="24"/>
          <w:szCs w:val="24"/>
        </w:rPr>
        <w:t>Northtowne residents will no longer receive service from AEP Ohio</w:t>
      </w:r>
      <w:r w:rsidRPr="00AD5466" w:rsidR="004E1898">
        <w:rPr>
          <w:sz w:val="24"/>
          <w:szCs w:val="24"/>
        </w:rPr>
        <w:t>,</w:t>
      </w:r>
      <w:r w:rsidRPr="00AD5466" w:rsidR="00654CB7">
        <w:rPr>
          <w:sz w:val="24"/>
          <w:szCs w:val="24"/>
        </w:rPr>
        <w:t xml:space="preserve"> and </w:t>
      </w:r>
      <w:r w:rsidRPr="00AD5466" w:rsidR="004E1898">
        <w:rPr>
          <w:sz w:val="24"/>
          <w:szCs w:val="24"/>
        </w:rPr>
        <w:t xml:space="preserve">they </w:t>
      </w:r>
      <w:r w:rsidRPr="00AD5466" w:rsidR="00654CB7">
        <w:rPr>
          <w:sz w:val="24"/>
          <w:szCs w:val="24"/>
        </w:rPr>
        <w:t>will no longer be AEP Ohio consumers.</w:t>
      </w:r>
    </w:p>
    <w:p w:rsidR="00154B92" w:rsidRPr="00AD5466" w:rsidP="00CF51B0" w14:paraId="2C7C3DBD" w14:textId="4F99881B">
      <w:pPr>
        <w:spacing w:after="0" w:line="480" w:lineRule="auto"/>
        <w:ind w:firstLine="720"/>
        <w:rPr>
          <w:sz w:val="24"/>
          <w:szCs w:val="24"/>
        </w:rPr>
      </w:pPr>
      <w:r w:rsidRPr="00AD5466">
        <w:rPr>
          <w:sz w:val="24"/>
          <w:szCs w:val="24"/>
        </w:rPr>
        <w:t xml:space="preserve">NEP’s submetering demand requires an abandonment by </w:t>
      </w:r>
      <w:r w:rsidRPr="00AD5466" w:rsidR="000D689C">
        <w:rPr>
          <w:sz w:val="24"/>
          <w:szCs w:val="24"/>
        </w:rPr>
        <w:t>AEP Ohi</w:t>
      </w:r>
      <w:r w:rsidRPr="00AD5466">
        <w:rPr>
          <w:sz w:val="24"/>
          <w:szCs w:val="24"/>
        </w:rPr>
        <w:t>o</w:t>
      </w:r>
      <w:r w:rsidRPr="00AD5466" w:rsidR="00764D2C">
        <w:rPr>
          <w:sz w:val="24"/>
          <w:szCs w:val="24"/>
        </w:rPr>
        <w:t>. Therefore,</w:t>
      </w:r>
      <w:r w:rsidRPr="00AD5466">
        <w:rPr>
          <w:sz w:val="24"/>
          <w:szCs w:val="24"/>
        </w:rPr>
        <w:t xml:space="preserve"> the PUCO must determine under the Miller Act </w:t>
      </w:r>
      <w:r w:rsidRPr="00AD5466" w:rsidR="00CF51B0">
        <w:rPr>
          <w:sz w:val="24"/>
          <w:szCs w:val="24"/>
        </w:rPr>
        <w:t>whether the proposed abandonment “is reasonable, having due regard for the welfare of the public</w:t>
      </w:r>
      <w:r w:rsidR="00E90F73">
        <w:rPr>
          <w:sz w:val="24"/>
          <w:szCs w:val="24"/>
        </w:rPr>
        <w:t xml:space="preserve"> . . .</w:t>
      </w:r>
      <w:r w:rsidRPr="00AD5466" w:rsidR="00CF51B0">
        <w:rPr>
          <w:sz w:val="24"/>
          <w:szCs w:val="24"/>
        </w:rPr>
        <w:t>”</w:t>
      </w:r>
      <w:r>
        <w:rPr>
          <w:rStyle w:val="FootnoteReference"/>
          <w:sz w:val="24"/>
          <w:szCs w:val="24"/>
        </w:rPr>
        <w:footnoteReference w:id="15"/>
      </w:r>
      <w:r w:rsidRPr="00AD5466" w:rsidR="00CF51B0">
        <w:rPr>
          <w:sz w:val="24"/>
          <w:szCs w:val="24"/>
        </w:rPr>
        <w:t xml:space="preserve"> </w:t>
      </w:r>
      <w:r w:rsidRPr="00AD5466" w:rsidR="00764D2C">
        <w:rPr>
          <w:sz w:val="24"/>
          <w:szCs w:val="24"/>
        </w:rPr>
        <w:t>AEP Ohio’s abandonment application should not be dismissed</w:t>
      </w:r>
      <w:r w:rsidRPr="00AD5466" w:rsidR="00061430">
        <w:rPr>
          <w:sz w:val="24"/>
          <w:szCs w:val="24"/>
        </w:rPr>
        <w:t>, as requested by NEP</w:t>
      </w:r>
      <w:r w:rsidRPr="00AD5466" w:rsidR="00764D2C">
        <w:rPr>
          <w:sz w:val="24"/>
          <w:szCs w:val="24"/>
        </w:rPr>
        <w:t>.</w:t>
      </w:r>
    </w:p>
    <w:p w:rsidR="006D4CDA" w:rsidRPr="00AD5466" w:rsidP="006D4CDA" w14:paraId="37D02F54" w14:textId="5CDED495">
      <w:pPr>
        <w:pStyle w:val="Heading2"/>
      </w:pPr>
      <w:bookmarkStart w:id="4" w:name="_Toc175316602"/>
      <w:r w:rsidRPr="00AD5466">
        <w:t xml:space="preserve">Abandonment of </w:t>
      </w:r>
      <w:r w:rsidRPr="00AD5466" w:rsidR="009248CD">
        <w:t xml:space="preserve">AEP Ohio </w:t>
      </w:r>
      <w:r w:rsidRPr="00AD5466">
        <w:t>service to Northtowne residents</w:t>
      </w:r>
      <w:r w:rsidRPr="00AD5466" w:rsidR="009248CD">
        <w:t xml:space="preserve"> is unreasonable and</w:t>
      </w:r>
      <w:r w:rsidRPr="00AD5466">
        <w:t xml:space="preserve"> contrary to the public welfare.</w:t>
      </w:r>
      <w:r w:rsidRPr="00AD5466" w:rsidR="00B71E95">
        <w:t xml:space="preserve"> The PUCO</w:t>
      </w:r>
      <w:r w:rsidRPr="00AD5466" w:rsidR="00AB4919">
        <w:t xml:space="preserve"> should</w:t>
      </w:r>
      <w:r w:rsidRPr="00AD5466" w:rsidR="00B71E95">
        <w:t xml:space="preserve"> deny AEP Ohio’s abandonment applica</w:t>
      </w:r>
      <w:r w:rsidRPr="00AD5466" w:rsidR="00AB4919">
        <w:t>tion.</w:t>
      </w:r>
      <w:bookmarkEnd w:id="4"/>
    </w:p>
    <w:p w:rsidR="002C6EAC" w:rsidRPr="00AD5466" w:rsidP="006D4CDA" w14:paraId="0FB50C6D" w14:textId="7350F227">
      <w:pPr>
        <w:spacing w:after="0" w:line="480" w:lineRule="auto"/>
        <w:ind w:firstLine="720"/>
        <w:rPr>
          <w:sz w:val="24"/>
          <w:szCs w:val="24"/>
        </w:rPr>
      </w:pPr>
      <w:r w:rsidRPr="00AD5466">
        <w:rPr>
          <w:sz w:val="24"/>
          <w:szCs w:val="24"/>
        </w:rPr>
        <w:t>The PUCO unequivocally held</w:t>
      </w:r>
      <w:r w:rsidRPr="00AD5466" w:rsidR="00306782">
        <w:rPr>
          <w:sz w:val="24"/>
          <w:szCs w:val="24"/>
        </w:rPr>
        <w:t xml:space="preserve"> in the complaint case order that</w:t>
      </w:r>
      <w:r w:rsidRPr="00AD5466">
        <w:rPr>
          <w:sz w:val="24"/>
          <w:szCs w:val="24"/>
        </w:rPr>
        <w:t xml:space="preserve"> residential utility consumers will </w:t>
      </w:r>
      <w:r w:rsidRPr="00AD5466" w:rsidR="00CB635C">
        <w:rPr>
          <w:sz w:val="24"/>
          <w:szCs w:val="24"/>
        </w:rPr>
        <w:t>“</w:t>
      </w:r>
      <w:r w:rsidRPr="00AD5466">
        <w:rPr>
          <w:b/>
          <w:bCs/>
          <w:i/>
          <w:iCs/>
          <w:sz w:val="24"/>
          <w:szCs w:val="24"/>
        </w:rPr>
        <w:t>lose</w:t>
      </w:r>
      <w:r w:rsidRPr="00AD5466" w:rsidR="00CB635C">
        <w:rPr>
          <w:b/>
          <w:bCs/>
          <w:i/>
          <w:iCs/>
          <w:sz w:val="24"/>
          <w:szCs w:val="24"/>
        </w:rPr>
        <w:t xml:space="preserve"> a multitude of rights and protections</w:t>
      </w:r>
      <w:r w:rsidRPr="00AD5466" w:rsidR="00CB635C">
        <w:rPr>
          <w:sz w:val="24"/>
          <w:szCs w:val="24"/>
        </w:rPr>
        <w:t>”</w:t>
      </w:r>
      <w:r w:rsidRPr="00AD5466">
        <w:rPr>
          <w:sz w:val="24"/>
          <w:szCs w:val="24"/>
        </w:rPr>
        <w:t xml:space="preserve"> under Ohio law when landlords use NEP </w:t>
      </w:r>
      <w:r w:rsidRPr="00AD5466" w:rsidR="00306782">
        <w:rPr>
          <w:sz w:val="24"/>
          <w:szCs w:val="24"/>
        </w:rPr>
        <w:t xml:space="preserve">to </w:t>
      </w:r>
      <w:r w:rsidRPr="00AD5466">
        <w:rPr>
          <w:sz w:val="24"/>
          <w:szCs w:val="24"/>
        </w:rPr>
        <w:t>submeter electric utility service.</w:t>
      </w:r>
      <w:r>
        <w:rPr>
          <w:rStyle w:val="FootnoteReference"/>
          <w:sz w:val="24"/>
          <w:szCs w:val="24"/>
        </w:rPr>
        <w:footnoteReference w:id="16"/>
      </w:r>
      <w:r w:rsidRPr="00AD5466">
        <w:rPr>
          <w:sz w:val="24"/>
          <w:szCs w:val="24"/>
        </w:rPr>
        <w:t xml:space="preserve"> That alone should be enough for the PUCO to determine that AEP Ohio’s abandonment of service to Northtowne residents is unreasonable and contrary to the public welfare. </w:t>
      </w:r>
      <w:r w:rsidRPr="00AD5466" w:rsidR="00CB635C">
        <w:rPr>
          <w:sz w:val="24"/>
          <w:szCs w:val="24"/>
        </w:rPr>
        <w:t>W</w:t>
      </w:r>
      <w:r w:rsidRPr="00AD5466">
        <w:rPr>
          <w:sz w:val="24"/>
          <w:szCs w:val="24"/>
        </w:rPr>
        <w:t xml:space="preserve">hy should residential utility consumers have fewer legal rights just because they live at Northtowne? They shouldn’t. </w:t>
      </w:r>
    </w:p>
    <w:p w:rsidR="00CB1420" w:rsidRPr="00AD5466" w:rsidP="002C6EAC" w14:paraId="29B6B49D" w14:textId="56B02347">
      <w:pPr>
        <w:spacing w:after="0" w:line="480" w:lineRule="auto"/>
        <w:ind w:firstLine="720"/>
        <w:rPr>
          <w:rFonts w:eastAsia="Times New Roman"/>
          <w:sz w:val="24"/>
          <w:szCs w:val="24"/>
        </w:rPr>
      </w:pPr>
      <w:r w:rsidRPr="00AD5466">
        <w:rPr>
          <w:rFonts w:eastAsia="Times New Roman"/>
          <w:sz w:val="24"/>
          <w:szCs w:val="24"/>
        </w:rPr>
        <w:t>Moreover, as explained in initial briefs, OCC</w:t>
      </w:r>
      <w:r w:rsidRPr="00AD5466" w:rsidR="00061430">
        <w:rPr>
          <w:rFonts w:eastAsia="Times New Roman"/>
          <w:sz w:val="24"/>
          <w:szCs w:val="24"/>
        </w:rPr>
        <w:t xml:space="preserve"> and AEP Ohio presented ample evidence about how AEP Ohio’s abandonment of service to the Northtowne residents fails the Miller Act test.</w:t>
      </w:r>
      <w:r>
        <w:rPr>
          <w:rStyle w:val="FootnoteReference"/>
          <w:rFonts w:eastAsia="Times New Roman"/>
          <w:sz w:val="24"/>
          <w:szCs w:val="24"/>
        </w:rPr>
        <w:footnoteReference w:id="17"/>
      </w:r>
      <w:r w:rsidRPr="00AD5466" w:rsidR="00061430">
        <w:rPr>
          <w:rFonts w:eastAsia="Times New Roman"/>
          <w:sz w:val="24"/>
          <w:szCs w:val="24"/>
        </w:rPr>
        <w:t xml:space="preserve"> </w:t>
      </w:r>
      <w:r w:rsidRPr="00AD5466" w:rsidR="00AB4919">
        <w:rPr>
          <w:rFonts w:eastAsia="Times New Roman"/>
          <w:sz w:val="24"/>
          <w:szCs w:val="24"/>
        </w:rPr>
        <w:t>NEP, o</w:t>
      </w:r>
      <w:r w:rsidRPr="00AD5466" w:rsidR="00061430">
        <w:rPr>
          <w:rFonts w:eastAsia="Times New Roman"/>
          <w:sz w:val="24"/>
          <w:szCs w:val="24"/>
        </w:rPr>
        <w:t>n the other hand, failed to produce any evidence about how submetering w</w:t>
      </w:r>
      <w:r w:rsidRPr="00AD5466" w:rsidR="00CB635C">
        <w:rPr>
          <w:rFonts w:eastAsia="Times New Roman"/>
          <w:sz w:val="24"/>
          <w:szCs w:val="24"/>
        </w:rPr>
        <w:t>ill</w:t>
      </w:r>
      <w:r w:rsidRPr="00AD5466" w:rsidR="00061430">
        <w:rPr>
          <w:rFonts w:eastAsia="Times New Roman"/>
          <w:sz w:val="24"/>
          <w:szCs w:val="24"/>
        </w:rPr>
        <w:t xml:space="preserve"> benefit Northtowne residents</w:t>
      </w:r>
      <w:r w:rsidRPr="00AD5466" w:rsidR="001620D9">
        <w:rPr>
          <w:rFonts w:eastAsia="Times New Roman"/>
          <w:sz w:val="24"/>
          <w:szCs w:val="24"/>
        </w:rPr>
        <w:t xml:space="preserve"> or how it would protect consumers. NEP </w:t>
      </w:r>
      <w:r w:rsidRPr="00AD5466" w:rsidR="00AB4919">
        <w:rPr>
          <w:rFonts w:eastAsia="Times New Roman"/>
          <w:sz w:val="24"/>
          <w:szCs w:val="24"/>
        </w:rPr>
        <w:t>instead</w:t>
      </w:r>
      <w:r w:rsidRPr="00AD5466" w:rsidR="001620D9">
        <w:rPr>
          <w:rFonts w:eastAsia="Times New Roman"/>
          <w:sz w:val="24"/>
          <w:szCs w:val="24"/>
        </w:rPr>
        <w:t xml:space="preserve"> attack</w:t>
      </w:r>
      <w:r w:rsidRPr="00AD5466" w:rsidR="00AB4919">
        <w:rPr>
          <w:rFonts w:eastAsia="Times New Roman"/>
          <w:sz w:val="24"/>
          <w:szCs w:val="24"/>
        </w:rPr>
        <w:t>s</w:t>
      </w:r>
      <w:r w:rsidRPr="00AD5466" w:rsidR="001620D9">
        <w:rPr>
          <w:rFonts w:eastAsia="Times New Roman"/>
          <w:sz w:val="24"/>
          <w:szCs w:val="24"/>
        </w:rPr>
        <w:t xml:space="preserve"> OCC’s and AEP Ohio’s witnesses who testified about the harm to Northtowne residents from NEP’s submetering demand. NEP’s attacks on OCC’s and AEP’s witnesses fall short</w:t>
      </w:r>
      <w:r w:rsidRPr="00AD5466" w:rsidR="00AB4919">
        <w:rPr>
          <w:rFonts w:eastAsia="Times New Roman"/>
          <w:sz w:val="24"/>
          <w:szCs w:val="24"/>
        </w:rPr>
        <w:t xml:space="preserve"> and they should be rejected.</w:t>
      </w:r>
    </w:p>
    <w:p w:rsidR="00CB1420" w:rsidRPr="00AD5466" w:rsidP="00A30926" w14:paraId="10541DF3" w14:textId="3C847830">
      <w:pPr>
        <w:spacing w:after="0" w:line="480" w:lineRule="auto"/>
        <w:ind w:firstLine="720"/>
        <w:rPr>
          <w:sz w:val="24"/>
          <w:szCs w:val="24"/>
        </w:rPr>
      </w:pPr>
      <w:r w:rsidRPr="00AD5466">
        <w:rPr>
          <w:sz w:val="24"/>
          <w:szCs w:val="24"/>
        </w:rPr>
        <w:t xml:space="preserve">Having failed to present a consumer protection witness of its own, NEP resorts to the (erroneous) legal argument that Northtowne residents will be </w:t>
      </w:r>
      <w:r w:rsidRPr="00AD5466" w:rsidR="00EE5AFE">
        <w:rPr>
          <w:sz w:val="24"/>
          <w:szCs w:val="24"/>
        </w:rPr>
        <w:t>protected</w:t>
      </w:r>
      <w:r w:rsidRPr="00AD5466" w:rsidR="00A30926">
        <w:rPr>
          <w:sz w:val="24"/>
          <w:szCs w:val="24"/>
        </w:rPr>
        <w:t xml:space="preserve"> through a patchwork of </w:t>
      </w:r>
      <w:r w:rsidRPr="00AD5466">
        <w:rPr>
          <w:sz w:val="24"/>
          <w:szCs w:val="24"/>
        </w:rPr>
        <w:t xml:space="preserve">various and sundry </w:t>
      </w:r>
      <w:r w:rsidRPr="00AD5466" w:rsidR="00A30926">
        <w:rPr>
          <w:sz w:val="24"/>
          <w:szCs w:val="24"/>
        </w:rPr>
        <w:t>rules, lease provisions, the Landlord-Tenant Act, and the Consumer Sales Practices Act.</w:t>
      </w:r>
      <w:r>
        <w:rPr>
          <w:rStyle w:val="FootnoteReference"/>
          <w:sz w:val="24"/>
          <w:szCs w:val="24"/>
        </w:rPr>
        <w:footnoteReference w:id="18"/>
      </w:r>
      <w:r w:rsidRPr="00AD5466" w:rsidR="00EE5AFE">
        <w:rPr>
          <w:sz w:val="24"/>
          <w:szCs w:val="24"/>
        </w:rPr>
        <w:t xml:space="preserve"> NEP</w:t>
      </w:r>
      <w:r w:rsidRPr="00AD5466">
        <w:rPr>
          <w:sz w:val="24"/>
          <w:szCs w:val="24"/>
        </w:rPr>
        <w:t>’s argument is contrary to the PUCO’s determination in the complaint case that consumers will lose rights under Ohio law when they receive submetered service. NEP’s arguments should be rejected.</w:t>
      </w:r>
    </w:p>
    <w:p w:rsidR="00F33E58" w:rsidRPr="00AD5466" w:rsidP="00BC5E7D" w14:paraId="416155BC" w14:textId="341EDF2A">
      <w:pPr>
        <w:pStyle w:val="Heading3"/>
      </w:pPr>
      <w:bookmarkStart w:id="5" w:name="_Toc175316603"/>
      <w:r w:rsidRPr="00AD5466">
        <w:t>There is little merit to NEP’s claims that lease provisions will fully protect consumers</w:t>
      </w:r>
      <w:r w:rsidRPr="00AD5466" w:rsidR="00BD554E">
        <w:t>, and those claims should be rejected</w:t>
      </w:r>
      <w:r w:rsidRPr="00AD5466" w:rsidR="00005398">
        <w:t>.</w:t>
      </w:r>
      <w:bookmarkEnd w:id="5"/>
    </w:p>
    <w:p w:rsidR="00830DA9" w:rsidRPr="00AD5466" w:rsidP="00E76314" w14:paraId="42967C6E" w14:textId="3E233E8A">
      <w:pPr>
        <w:spacing w:after="0" w:line="480" w:lineRule="auto"/>
        <w:ind w:firstLine="720"/>
        <w:rPr>
          <w:sz w:val="24"/>
          <w:szCs w:val="24"/>
        </w:rPr>
      </w:pPr>
      <w:r w:rsidRPr="00AD5466">
        <w:rPr>
          <w:sz w:val="24"/>
          <w:szCs w:val="24"/>
        </w:rPr>
        <w:t xml:space="preserve">When NEP submeters an apartment complex, it </w:t>
      </w:r>
      <w:r w:rsidRPr="00AD5466" w:rsidR="00C14E97">
        <w:rPr>
          <w:sz w:val="24"/>
          <w:szCs w:val="24"/>
        </w:rPr>
        <w:t>enter</w:t>
      </w:r>
      <w:r w:rsidRPr="00AD5466">
        <w:rPr>
          <w:sz w:val="24"/>
          <w:szCs w:val="24"/>
        </w:rPr>
        <w:t>s</w:t>
      </w:r>
      <w:r w:rsidRPr="00AD5466" w:rsidR="00C14E97">
        <w:rPr>
          <w:sz w:val="24"/>
          <w:szCs w:val="24"/>
        </w:rPr>
        <w:t xml:space="preserve"> into </w:t>
      </w:r>
      <w:r w:rsidRPr="00AD5466">
        <w:rPr>
          <w:sz w:val="24"/>
          <w:szCs w:val="24"/>
        </w:rPr>
        <w:t xml:space="preserve">an </w:t>
      </w:r>
      <w:r w:rsidRPr="00AD5466" w:rsidR="00C14E97">
        <w:rPr>
          <w:sz w:val="24"/>
          <w:szCs w:val="24"/>
        </w:rPr>
        <w:t xml:space="preserve">agreement with property owners </w:t>
      </w:r>
      <w:r w:rsidRPr="00AD5466">
        <w:rPr>
          <w:sz w:val="24"/>
          <w:szCs w:val="24"/>
        </w:rPr>
        <w:t xml:space="preserve">to </w:t>
      </w:r>
      <w:r w:rsidRPr="00AD5466" w:rsidR="00E76314">
        <w:rPr>
          <w:sz w:val="24"/>
          <w:szCs w:val="24"/>
        </w:rPr>
        <w:t>“re</w:t>
      </w:r>
      <w:r w:rsidRPr="00AD5466">
        <w:rPr>
          <w:sz w:val="24"/>
          <w:szCs w:val="24"/>
        </w:rPr>
        <w:t>sell</w:t>
      </w:r>
      <w:r w:rsidRPr="00AD5466" w:rsidR="00E76314">
        <w:rPr>
          <w:sz w:val="24"/>
          <w:szCs w:val="24"/>
        </w:rPr>
        <w:t>” to the apartment complex residents the utility service the landlord receives from the PUCO-regulated utility.</w:t>
      </w:r>
      <w:r>
        <w:rPr>
          <w:rStyle w:val="FootnoteReference"/>
          <w:sz w:val="24"/>
          <w:szCs w:val="24"/>
        </w:rPr>
        <w:footnoteReference w:id="19"/>
      </w:r>
      <w:r w:rsidRPr="00AD5466" w:rsidR="00C14E97">
        <w:rPr>
          <w:sz w:val="24"/>
          <w:szCs w:val="24"/>
        </w:rPr>
        <w:t xml:space="preserve"> </w:t>
      </w:r>
      <w:r w:rsidRPr="00AD5466" w:rsidR="00E76314">
        <w:rPr>
          <w:sz w:val="24"/>
          <w:szCs w:val="24"/>
        </w:rPr>
        <w:t xml:space="preserve">According to </w:t>
      </w:r>
      <w:r w:rsidRPr="00AD5466" w:rsidR="0024603B">
        <w:rPr>
          <w:sz w:val="24"/>
          <w:szCs w:val="24"/>
        </w:rPr>
        <w:t>NEP</w:t>
      </w:r>
      <w:r w:rsidRPr="00AD5466" w:rsidR="00E76314">
        <w:rPr>
          <w:sz w:val="24"/>
          <w:szCs w:val="24"/>
        </w:rPr>
        <w:t xml:space="preserve">, its agreement with the Northtowne property owner/manager </w:t>
      </w:r>
      <w:r w:rsidRPr="00AD5466" w:rsidR="003232B0">
        <w:rPr>
          <w:sz w:val="24"/>
          <w:szCs w:val="24"/>
        </w:rPr>
        <w:t xml:space="preserve">(referred to by NEP as “Preserve”) </w:t>
      </w:r>
      <w:r w:rsidRPr="00AD5466" w:rsidR="00E76314">
        <w:rPr>
          <w:sz w:val="24"/>
          <w:szCs w:val="24"/>
        </w:rPr>
        <w:t xml:space="preserve">will protect consumers by providing them notice </w:t>
      </w:r>
      <w:r w:rsidRPr="00AD5466" w:rsidR="00F53018">
        <w:rPr>
          <w:sz w:val="24"/>
          <w:szCs w:val="24"/>
        </w:rPr>
        <w:t>information regarding the submetering arrangement.</w:t>
      </w:r>
      <w:r>
        <w:rPr>
          <w:rStyle w:val="FootnoteReference"/>
          <w:sz w:val="24"/>
          <w:szCs w:val="24"/>
        </w:rPr>
        <w:footnoteReference w:id="20"/>
      </w:r>
      <w:r w:rsidRPr="00AD5466" w:rsidR="00F53018">
        <w:rPr>
          <w:sz w:val="24"/>
          <w:szCs w:val="24"/>
        </w:rPr>
        <w:t xml:space="preserve"> </w:t>
      </w:r>
      <w:r w:rsidRPr="00AD5466" w:rsidR="00E76314">
        <w:rPr>
          <w:sz w:val="24"/>
          <w:szCs w:val="24"/>
        </w:rPr>
        <w:t>NEP’s</w:t>
      </w:r>
      <w:r w:rsidRPr="00AD5466" w:rsidR="003232B0">
        <w:rPr>
          <w:sz w:val="24"/>
          <w:szCs w:val="24"/>
        </w:rPr>
        <w:t xml:space="preserve"> claims should be rejected.</w:t>
      </w:r>
    </w:p>
    <w:p w:rsidR="00C71365" w:rsidRPr="00AD5466" w:rsidP="0024603B" w14:paraId="039602CF" w14:textId="1D850518">
      <w:pPr>
        <w:spacing w:after="0" w:line="480" w:lineRule="auto"/>
        <w:ind w:firstLine="720"/>
        <w:rPr>
          <w:sz w:val="24"/>
          <w:szCs w:val="24"/>
        </w:rPr>
      </w:pPr>
      <w:r w:rsidRPr="00AD5466">
        <w:rPr>
          <w:sz w:val="24"/>
          <w:szCs w:val="24"/>
        </w:rPr>
        <w:t>T</w:t>
      </w:r>
      <w:r w:rsidRPr="00AD5466" w:rsidR="00125032">
        <w:rPr>
          <w:sz w:val="24"/>
          <w:szCs w:val="24"/>
        </w:rPr>
        <w:t>he</w:t>
      </w:r>
      <w:r w:rsidRPr="00AD5466" w:rsidR="00E76314">
        <w:rPr>
          <w:sz w:val="24"/>
          <w:szCs w:val="24"/>
        </w:rPr>
        <w:t xml:space="preserve"> agreement that will purportedly protect Northtowne residents is between the Northtowne property owner and NEP</w:t>
      </w:r>
      <w:r w:rsidRPr="00AD5466" w:rsidR="00362443">
        <w:rPr>
          <w:sz w:val="24"/>
          <w:szCs w:val="24"/>
        </w:rPr>
        <w:t>.</w:t>
      </w:r>
      <w:r>
        <w:rPr>
          <w:rStyle w:val="FootnoteReference"/>
          <w:sz w:val="24"/>
          <w:szCs w:val="24"/>
        </w:rPr>
        <w:footnoteReference w:id="21"/>
      </w:r>
      <w:r w:rsidRPr="00AD5466" w:rsidR="00AE7B19">
        <w:rPr>
          <w:sz w:val="24"/>
          <w:szCs w:val="24"/>
        </w:rPr>
        <w:t xml:space="preserve"> </w:t>
      </w:r>
      <w:r w:rsidRPr="00AD5466" w:rsidR="003232B0">
        <w:rPr>
          <w:sz w:val="24"/>
          <w:szCs w:val="24"/>
        </w:rPr>
        <w:t xml:space="preserve">The Northtowne residents </w:t>
      </w:r>
      <w:r w:rsidRPr="00AD5466" w:rsidR="00E76314">
        <w:rPr>
          <w:sz w:val="24"/>
          <w:szCs w:val="24"/>
        </w:rPr>
        <w:t xml:space="preserve">who will receive submetered service </w:t>
      </w:r>
      <w:r w:rsidRPr="00AD5466" w:rsidR="00125032">
        <w:rPr>
          <w:sz w:val="24"/>
          <w:szCs w:val="24"/>
        </w:rPr>
        <w:t>are not part</w:t>
      </w:r>
      <w:r w:rsidRPr="00AD5466" w:rsidR="00E76314">
        <w:rPr>
          <w:sz w:val="24"/>
          <w:szCs w:val="24"/>
        </w:rPr>
        <w:t>ies</w:t>
      </w:r>
      <w:r w:rsidRPr="00AD5466" w:rsidR="00125032">
        <w:rPr>
          <w:sz w:val="24"/>
          <w:szCs w:val="24"/>
        </w:rPr>
        <w:t xml:space="preserve"> to that contract.</w:t>
      </w:r>
      <w:r w:rsidRPr="00AD5466" w:rsidR="00AE7B19">
        <w:rPr>
          <w:sz w:val="24"/>
          <w:szCs w:val="24"/>
        </w:rPr>
        <w:t xml:space="preserve"> </w:t>
      </w:r>
      <w:r w:rsidRPr="00AD5466" w:rsidR="00AF6A4F">
        <w:rPr>
          <w:sz w:val="24"/>
          <w:szCs w:val="24"/>
        </w:rPr>
        <w:t>T</w:t>
      </w:r>
      <w:r w:rsidRPr="00AD5466" w:rsidR="00125032">
        <w:rPr>
          <w:sz w:val="24"/>
          <w:szCs w:val="24"/>
        </w:rPr>
        <w:t>h</w:t>
      </w:r>
      <w:r w:rsidRPr="00AD5466" w:rsidR="00AF6A4F">
        <w:rPr>
          <w:sz w:val="24"/>
          <w:szCs w:val="24"/>
        </w:rPr>
        <w:t>e</w:t>
      </w:r>
      <w:r w:rsidRPr="00AD5466" w:rsidR="00125032">
        <w:rPr>
          <w:sz w:val="24"/>
          <w:szCs w:val="24"/>
        </w:rPr>
        <w:t xml:space="preserve"> contract is </w:t>
      </w:r>
      <w:r w:rsidRPr="00AD5466" w:rsidR="00AE7B19">
        <w:rPr>
          <w:sz w:val="24"/>
          <w:szCs w:val="24"/>
        </w:rPr>
        <w:t>“</w:t>
      </w:r>
      <w:r w:rsidRPr="00AD5466" w:rsidR="00125032">
        <w:rPr>
          <w:sz w:val="24"/>
          <w:szCs w:val="24"/>
        </w:rPr>
        <w:t>binding upon and inure(s) to the benefit of the parties (NEP and</w:t>
      </w:r>
      <w:r w:rsidRPr="00AD5466" w:rsidR="00AF6A4F">
        <w:rPr>
          <w:sz w:val="24"/>
          <w:szCs w:val="24"/>
        </w:rPr>
        <w:t xml:space="preserve"> the property manager</w:t>
      </w:r>
      <w:r w:rsidRPr="00AD5466" w:rsidR="00125032">
        <w:rPr>
          <w:sz w:val="24"/>
          <w:szCs w:val="24"/>
        </w:rPr>
        <w:t>) and their respective successors and permitted assigns.</w:t>
      </w:r>
      <w:r w:rsidRPr="00AD5466" w:rsidR="00AE7B19">
        <w:rPr>
          <w:sz w:val="24"/>
          <w:szCs w:val="24"/>
        </w:rPr>
        <w:t>”</w:t>
      </w:r>
      <w:r>
        <w:rPr>
          <w:rStyle w:val="FootnoteReference"/>
          <w:sz w:val="24"/>
          <w:szCs w:val="24"/>
        </w:rPr>
        <w:footnoteReference w:id="22"/>
      </w:r>
      <w:r w:rsidRPr="00AD5466" w:rsidR="00AE7B19">
        <w:rPr>
          <w:sz w:val="24"/>
          <w:szCs w:val="24"/>
        </w:rPr>
        <w:t xml:space="preserve"> </w:t>
      </w:r>
      <w:r w:rsidRPr="00AD5466" w:rsidR="00E76314">
        <w:rPr>
          <w:sz w:val="24"/>
          <w:szCs w:val="24"/>
        </w:rPr>
        <w:t>But i</w:t>
      </w:r>
      <w:r w:rsidRPr="00AD5466" w:rsidR="008404A3">
        <w:rPr>
          <w:sz w:val="24"/>
          <w:szCs w:val="24"/>
        </w:rPr>
        <w:t>t does not inure to the benefit of the Northtowne residents.</w:t>
      </w:r>
      <w:r w:rsidRPr="00AD5466" w:rsidR="00AE7B19">
        <w:rPr>
          <w:sz w:val="24"/>
          <w:szCs w:val="24"/>
        </w:rPr>
        <w:t xml:space="preserve"> </w:t>
      </w:r>
      <w:r w:rsidRPr="00AD5466" w:rsidR="00AF6A4F">
        <w:rPr>
          <w:sz w:val="24"/>
          <w:szCs w:val="24"/>
        </w:rPr>
        <w:t>A</w:t>
      </w:r>
      <w:r w:rsidRPr="00AD5466" w:rsidR="008404A3">
        <w:rPr>
          <w:sz w:val="24"/>
          <w:szCs w:val="24"/>
        </w:rPr>
        <w:t>ny requirement that NEP provide</w:t>
      </w:r>
      <w:r w:rsidRPr="00AD5466" w:rsidR="00362443">
        <w:rPr>
          <w:sz w:val="24"/>
          <w:szCs w:val="24"/>
        </w:rPr>
        <w:t xml:space="preserve"> consumer protections</w:t>
      </w:r>
      <w:r w:rsidRPr="00AD5466" w:rsidR="00115C75">
        <w:rPr>
          <w:sz w:val="24"/>
          <w:szCs w:val="24"/>
        </w:rPr>
        <w:t xml:space="preserve"> could be </w:t>
      </w:r>
      <w:r w:rsidRPr="00AD5466" w:rsidR="008404A3">
        <w:rPr>
          <w:sz w:val="24"/>
          <w:szCs w:val="24"/>
        </w:rPr>
        <w:t>modifi</w:t>
      </w:r>
      <w:r w:rsidRPr="00AD5466" w:rsidR="00115C75">
        <w:rPr>
          <w:sz w:val="24"/>
          <w:szCs w:val="24"/>
        </w:rPr>
        <w:t>ed</w:t>
      </w:r>
      <w:r w:rsidRPr="00AD5466" w:rsidR="008404A3">
        <w:rPr>
          <w:sz w:val="24"/>
          <w:szCs w:val="24"/>
        </w:rPr>
        <w:t xml:space="preserve"> or waive</w:t>
      </w:r>
      <w:r w:rsidRPr="00AD5466" w:rsidR="00115C75">
        <w:rPr>
          <w:sz w:val="24"/>
          <w:szCs w:val="24"/>
        </w:rPr>
        <w:t>d</w:t>
      </w:r>
      <w:r w:rsidRPr="00AD5466" w:rsidR="008404A3">
        <w:rPr>
          <w:sz w:val="24"/>
          <w:szCs w:val="24"/>
        </w:rPr>
        <w:t xml:space="preserve"> by </w:t>
      </w:r>
      <w:r w:rsidRPr="00AD5466" w:rsidR="0084167D">
        <w:rPr>
          <w:sz w:val="24"/>
          <w:szCs w:val="24"/>
        </w:rPr>
        <w:t>NEP and</w:t>
      </w:r>
      <w:r w:rsidRPr="00AD5466" w:rsidR="00075611">
        <w:rPr>
          <w:sz w:val="24"/>
          <w:szCs w:val="24"/>
        </w:rPr>
        <w:t xml:space="preserve"> the property manager.</w:t>
      </w:r>
      <w:r>
        <w:rPr>
          <w:rStyle w:val="FootnoteReference"/>
          <w:sz w:val="24"/>
          <w:szCs w:val="24"/>
        </w:rPr>
        <w:footnoteReference w:id="23"/>
      </w:r>
      <w:r w:rsidRPr="00AD5466" w:rsidR="00AE7B19">
        <w:rPr>
          <w:sz w:val="24"/>
          <w:szCs w:val="24"/>
        </w:rPr>
        <w:t xml:space="preserve"> </w:t>
      </w:r>
    </w:p>
    <w:p w:rsidR="00BE1312" w:rsidRPr="00AD5466" w:rsidP="0024603B" w14:paraId="7F35FE43" w14:textId="5656A447">
      <w:pPr>
        <w:spacing w:after="0" w:line="480" w:lineRule="auto"/>
        <w:ind w:firstLine="720"/>
        <w:rPr>
          <w:sz w:val="24"/>
          <w:szCs w:val="24"/>
        </w:rPr>
      </w:pPr>
      <w:r w:rsidRPr="00AD5466">
        <w:rPr>
          <w:sz w:val="24"/>
          <w:szCs w:val="24"/>
        </w:rPr>
        <w:t xml:space="preserve">This is </w:t>
      </w:r>
      <w:r w:rsidRPr="00AD5466" w:rsidR="00AF6A4F">
        <w:rPr>
          <w:sz w:val="24"/>
          <w:szCs w:val="24"/>
        </w:rPr>
        <w:t xml:space="preserve">of </w:t>
      </w:r>
      <w:r w:rsidRPr="00AD5466" w:rsidR="00362443">
        <w:rPr>
          <w:sz w:val="24"/>
          <w:szCs w:val="24"/>
        </w:rPr>
        <w:t xml:space="preserve">particular concern </w:t>
      </w:r>
      <w:r w:rsidRPr="00AD5466">
        <w:rPr>
          <w:sz w:val="24"/>
          <w:szCs w:val="24"/>
        </w:rPr>
        <w:t xml:space="preserve">given the large sums of money that NEP </w:t>
      </w:r>
      <w:r w:rsidRPr="00AD5466" w:rsidR="00362443">
        <w:rPr>
          <w:sz w:val="24"/>
          <w:szCs w:val="24"/>
        </w:rPr>
        <w:t>provides to property managers</w:t>
      </w:r>
      <w:r w:rsidRPr="00AD5466" w:rsidR="00C62C75">
        <w:rPr>
          <w:sz w:val="24"/>
          <w:szCs w:val="24"/>
        </w:rPr>
        <w:t>/owners</w:t>
      </w:r>
      <w:r w:rsidRPr="00AD5466" w:rsidR="00362443">
        <w:rPr>
          <w:sz w:val="24"/>
          <w:szCs w:val="24"/>
        </w:rPr>
        <w:t xml:space="preserve"> who choose NEP to submeter tenants.</w:t>
      </w:r>
      <w:r w:rsidR="00AD5466">
        <w:rPr>
          <w:sz w:val="24"/>
          <w:szCs w:val="24"/>
        </w:rPr>
        <w:t xml:space="preserve"> </w:t>
      </w:r>
      <w:r w:rsidRPr="00AD5466" w:rsidR="00362443">
        <w:rPr>
          <w:sz w:val="24"/>
          <w:szCs w:val="24"/>
        </w:rPr>
        <w:t>Here, t</w:t>
      </w:r>
      <w:r w:rsidRPr="00AD5466" w:rsidR="003F3C2D">
        <w:rPr>
          <w:sz w:val="24"/>
          <w:szCs w:val="24"/>
        </w:rPr>
        <w:t xml:space="preserve">he </w:t>
      </w:r>
      <w:r w:rsidRPr="00AD5466" w:rsidR="00362443">
        <w:rPr>
          <w:sz w:val="24"/>
          <w:szCs w:val="24"/>
        </w:rPr>
        <w:t>property manager of Northtowne</w:t>
      </w:r>
      <w:r w:rsidRPr="00AD5466" w:rsidR="003F3C2D">
        <w:rPr>
          <w:sz w:val="24"/>
          <w:szCs w:val="24"/>
        </w:rPr>
        <w:t xml:space="preserve"> is entitled to a </w:t>
      </w:r>
      <w:r w:rsidRPr="00AD5466" w:rsidR="00AE7B19">
        <w:rPr>
          <w:sz w:val="24"/>
          <w:szCs w:val="24"/>
        </w:rPr>
        <w:t>“</w:t>
      </w:r>
      <w:r w:rsidRPr="00AD5466" w:rsidR="003F3C2D">
        <w:rPr>
          <w:sz w:val="24"/>
          <w:szCs w:val="24"/>
        </w:rPr>
        <w:t>Door Fee</w:t>
      </w:r>
      <w:r w:rsidRPr="00AD5466" w:rsidR="00AE7B19">
        <w:rPr>
          <w:sz w:val="24"/>
          <w:szCs w:val="24"/>
        </w:rPr>
        <w:t>”</w:t>
      </w:r>
      <w:r w:rsidRPr="00AD5466" w:rsidR="00115C75">
        <w:rPr>
          <w:sz w:val="24"/>
          <w:szCs w:val="24"/>
        </w:rPr>
        <w:t xml:space="preserve"> </w:t>
      </w:r>
      <w:r w:rsidRPr="00AD5466">
        <w:rPr>
          <w:sz w:val="24"/>
          <w:szCs w:val="24"/>
        </w:rPr>
        <w:t xml:space="preserve">from NEP </w:t>
      </w:r>
      <w:r w:rsidRPr="00AD5466" w:rsidR="003F3C2D">
        <w:rPr>
          <w:sz w:val="24"/>
          <w:szCs w:val="24"/>
        </w:rPr>
        <w:t>within thirty days of the Service Commencement Date.</w:t>
      </w:r>
      <w:r>
        <w:rPr>
          <w:rStyle w:val="FootnoteReference"/>
          <w:sz w:val="24"/>
          <w:szCs w:val="24"/>
        </w:rPr>
        <w:footnoteReference w:id="24"/>
      </w:r>
      <w:r w:rsidRPr="00AD5466" w:rsidR="00AE7B19">
        <w:rPr>
          <w:sz w:val="24"/>
          <w:szCs w:val="24"/>
        </w:rPr>
        <w:t xml:space="preserve"> </w:t>
      </w:r>
      <w:r w:rsidRPr="00AD5466" w:rsidR="00362443">
        <w:rPr>
          <w:sz w:val="24"/>
          <w:szCs w:val="24"/>
        </w:rPr>
        <w:t xml:space="preserve">NEP </w:t>
      </w:r>
      <w:r w:rsidRPr="00AD5466" w:rsidR="00AF6A4F">
        <w:rPr>
          <w:sz w:val="24"/>
          <w:szCs w:val="24"/>
        </w:rPr>
        <w:t xml:space="preserve">will not publicly disclose </w:t>
      </w:r>
      <w:r w:rsidRPr="00AD5466" w:rsidR="00161029">
        <w:rPr>
          <w:sz w:val="24"/>
          <w:szCs w:val="24"/>
        </w:rPr>
        <w:t>t</w:t>
      </w:r>
      <w:r w:rsidRPr="00AD5466" w:rsidR="007F0AB2">
        <w:rPr>
          <w:sz w:val="24"/>
          <w:szCs w:val="24"/>
        </w:rPr>
        <w:t>he</w:t>
      </w:r>
      <w:r w:rsidRPr="00AD5466" w:rsidR="00161029">
        <w:rPr>
          <w:sz w:val="24"/>
          <w:szCs w:val="24"/>
        </w:rPr>
        <w:t xml:space="preserve"> </w:t>
      </w:r>
      <w:r w:rsidRPr="00AD5466" w:rsidR="00AE7B19">
        <w:rPr>
          <w:sz w:val="24"/>
          <w:szCs w:val="24"/>
        </w:rPr>
        <w:t>“</w:t>
      </w:r>
      <w:r w:rsidRPr="00AD5466" w:rsidR="00161029">
        <w:rPr>
          <w:sz w:val="24"/>
          <w:szCs w:val="24"/>
        </w:rPr>
        <w:t>Door Fee</w:t>
      </w:r>
      <w:r w:rsidRPr="00AD5466" w:rsidR="00AE7B19">
        <w:rPr>
          <w:sz w:val="24"/>
          <w:szCs w:val="24"/>
        </w:rPr>
        <w:t>”</w:t>
      </w:r>
      <w:r w:rsidRPr="00AD5466" w:rsidR="00161029">
        <w:rPr>
          <w:sz w:val="24"/>
          <w:szCs w:val="24"/>
        </w:rPr>
        <w:t xml:space="preserve"> for Northtowne</w:t>
      </w:r>
      <w:r w:rsidRPr="00AD5466" w:rsidR="00362443">
        <w:rPr>
          <w:sz w:val="24"/>
          <w:szCs w:val="24"/>
        </w:rPr>
        <w:t>. However</w:t>
      </w:r>
      <w:r w:rsidRPr="00AD5466" w:rsidR="00AF6A4F">
        <w:rPr>
          <w:sz w:val="24"/>
          <w:szCs w:val="24"/>
        </w:rPr>
        <w:t>,</w:t>
      </w:r>
      <w:r w:rsidRPr="00AD5466" w:rsidR="00161029">
        <w:rPr>
          <w:sz w:val="24"/>
          <w:szCs w:val="24"/>
        </w:rPr>
        <w:t xml:space="preserve"> the door fees NEP </w:t>
      </w:r>
      <w:r w:rsidRPr="00AD5466" w:rsidR="00362443">
        <w:rPr>
          <w:sz w:val="24"/>
          <w:szCs w:val="24"/>
        </w:rPr>
        <w:t>has provide</w:t>
      </w:r>
      <w:r w:rsidRPr="00AD5466" w:rsidR="00AF6A4F">
        <w:rPr>
          <w:sz w:val="24"/>
          <w:szCs w:val="24"/>
        </w:rPr>
        <w:t>d</w:t>
      </w:r>
      <w:r w:rsidRPr="00AD5466" w:rsidR="00362443">
        <w:rPr>
          <w:sz w:val="24"/>
          <w:szCs w:val="24"/>
        </w:rPr>
        <w:t xml:space="preserve"> to </w:t>
      </w:r>
      <w:r w:rsidRPr="00AD5466" w:rsidR="00161029">
        <w:rPr>
          <w:sz w:val="24"/>
          <w:szCs w:val="24"/>
        </w:rPr>
        <w:t>other apartment complexes are</w:t>
      </w:r>
      <w:r w:rsidRPr="00AD5466" w:rsidR="00830DA9">
        <w:rPr>
          <w:sz w:val="24"/>
          <w:szCs w:val="24"/>
        </w:rPr>
        <w:t xml:space="preserve"> public information</w:t>
      </w:r>
      <w:r w:rsidRPr="00AD5466" w:rsidR="00AF6A4F">
        <w:rPr>
          <w:sz w:val="24"/>
          <w:szCs w:val="24"/>
        </w:rPr>
        <w:t xml:space="preserve">. They include: </w:t>
      </w:r>
      <w:r w:rsidRPr="00AD5466" w:rsidR="00161029">
        <w:rPr>
          <w:sz w:val="24"/>
          <w:szCs w:val="24"/>
        </w:rPr>
        <w:t>1)</w:t>
      </w:r>
      <w:r w:rsidRPr="00AD5466" w:rsidR="00AE7B19">
        <w:rPr>
          <w:sz w:val="24"/>
          <w:szCs w:val="24"/>
        </w:rPr>
        <w:t xml:space="preserve"> </w:t>
      </w:r>
      <w:r w:rsidRPr="00AD5466" w:rsidR="00161029">
        <w:rPr>
          <w:sz w:val="24"/>
          <w:szCs w:val="24"/>
        </w:rPr>
        <w:t xml:space="preserve">Arlington Pointe </w:t>
      </w:r>
      <w:r w:rsidRPr="00AD5466" w:rsidR="00E34BD0">
        <w:rPr>
          <w:sz w:val="24"/>
          <w:szCs w:val="24"/>
        </w:rPr>
        <w:t>(112 Apartment Units)</w:t>
      </w:r>
      <w:r>
        <w:rPr>
          <w:rStyle w:val="FootnoteReference"/>
          <w:sz w:val="24"/>
          <w:szCs w:val="24"/>
        </w:rPr>
        <w:footnoteReference w:id="25"/>
      </w:r>
      <w:r w:rsidRPr="00AD5466" w:rsidR="00E34BD0">
        <w:rPr>
          <w:sz w:val="24"/>
          <w:szCs w:val="24"/>
        </w:rPr>
        <w:t xml:space="preserve"> </w:t>
      </w:r>
      <w:r w:rsidRPr="00AD5466" w:rsidR="00161029">
        <w:rPr>
          <w:sz w:val="24"/>
          <w:szCs w:val="24"/>
        </w:rPr>
        <w:t>- $22,400.00 plus any amounts charged by the local utility for its contribution in aid of construction costs (</w:t>
      </w:r>
      <w:r w:rsidRPr="00AD5466" w:rsidR="00AE7B19">
        <w:rPr>
          <w:sz w:val="24"/>
          <w:szCs w:val="24"/>
        </w:rPr>
        <w:t>“</w:t>
      </w:r>
      <w:r w:rsidRPr="00AD5466" w:rsidR="005D6A35">
        <w:rPr>
          <w:sz w:val="24"/>
          <w:szCs w:val="24"/>
        </w:rPr>
        <w:t>CIAC</w:t>
      </w:r>
      <w:r w:rsidRPr="00AD5466" w:rsidR="00AE7B19">
        <w:rPr>
          <w:sz w:val="24"/>
          <w:szCs w:val="24"/>
        </w:rPr>
        <w:t>”</w:t>
      </w:r>
      <w:r w:rsidRPr="00AD5466" w:rsidR="00161029">
        <w:rPr>
          <w:sz w:val="24"/>
          <w:szCs w:val="24"/>
        </w:rPr>
        <w:t>)</w:t>
      </w:r>
      <w:r w:rsidRPr="00AD5466" w:rsidR="00FD1FF7">
        <w:rPr>
          <w:sz w:val="24"/>
          <w:szCs w:val="24"/>
        </w:rPr>
        <w:t>;</w:t>
      </w:r>
      <w:r>
        <w:rPr>
          <w:rStyle w:val="FootnoteReference"/>
          <w:sz w:val="24"/>
          <w:szCs w:val="24"/>
        </w:rPr>
        <w:footnoteReference w:id="26"/>
      </w:r>
      <w:r w:rsidRPr="00AD5466" w:rsidR="00161029">
        <w:rPr>
          <w:sz w:val="24"/>
          <w:szCs w:val="24"/>
        </w:rPr>
        <w:t xml:space="preserve"> 2) Gateway Lofts </w:t>
      </w:r>
      <w:r w:rsidRPr="00AD5466" w:rsidR="00830DA9">
        <w:rPr>
          <w:sz w:val="24"/>
          <w:szCs w:val="24"/>
        </w:rPr>
        <w:t>(269 Apartment Units)</w:t>
      </w:r>
      <w:r>
        <w:rPr>
          <w:rStyle w:val="FootnoteReference"/>
          <w:sz w:val="24"/>
          <w:szCs w:val="24"/>
        </w:rPr>
        <w:footnoteReference w:id="27"/>
      </w:r>
      <w:r w:rsidRPr="00AD5466" w:rsidR="002627D7">
        <w:rPr>
          <w:sz w:val="24"/>
          <w:szCs w:val="24"/>
        </w:rPr>
        <w:t xml:space="preserve"> </w:t>
      </w:r>
      <w:r w:rsidRPr="00AD5466" w:rsidR="00161029">
        <w:rPr>
          <w:sz w:val="24"/>
          <w:szCs w:val="24"/>
        </w:rPr>
        <w:t>-</w:t>
      </w:r>
      <w:r w:rsidRPr="00AD5466" w:rsidR="00AE7B19">
        <w:rPr>
          <w:sz w:val="24"/>
          <w:szCs w:val="24"/>
        </w:rPr>
        <w:t xml:space="preserve"> </w:t>
      </w:r>
      <w:r w:rsidRPr="00AD5466" w:rsidR="00830DA9">
        <w:rPr>
          <w:sz w:val="24"/>
          <w:szCs w:val="24"/>
        </w:rPr>
        <w:t xml:space="preserve">$53,800.00 plus </w:t>
      </w:r>
      <w:r w:rsidRPr="00AD5466" w:rsidR="007525D9">
        <w:rPr>
          <w:sz w:val="24"/>
          <w:szCs w:val="24"/>
        </w:rPr>
        <w:t>CIAC</w:t>
      </w:r>
      <w:r w:rsidRPr="00AD5466" w:rsidR="007C5B60">
        <w:rPr>
          <w:sz w:val="24"/>
          <w:szCs w:val="24"/>
        </w:rPr>
        <w:t>;</w:t>
      </w:r>
      <w:r>
        <w:rPr>
          <w:rStyle w:val="FootnoteReference"/>
          <w:sz w:val="24"/>
          <w:szCs w:val="24"/>
        </w:rPr>
        <w:footnoteReference w:id="28"/>
      </w:r>
      <w:r w:rsidRPr="00AD5466" w:rsidR="000F4E9E">
        <w:rPr>
          <w:sz w:val="24"/>
          <w:szCs w:val="24"/>
        </w:rPr>
        <w:t xml:space="preserve"> 3)</w:t>
      </w:r>
      <w:r w:rsidRPr="00AD5466" w:rsidR="00AE7B19">
        <w:rPr>
          <w:sz w:val="24"/>
          <w:szCs w:val="24"/>
        </w:rPr>
        <w:t xml:space="preserve"> </w:t>
      </w:r>
      <w:r w:rsidRPr="00AD5466" w:rsidR="000F4E9E">
        <w:rPr>
          <w:sz w:val="24"/>
          <w:szCs w:val="24"/>
        </w:rPr>
        <w:t>The Normandy (268 Apartment Units)</w:t>
      </w:r>
      <w:r>
        <w:rPr>
          <w:rStyle w:val="FootnoteReference"/>
          <w:sz w:val="24"/>
          <w:szCs w:val="24"/>
        </w:rPr>
        <w:footnoteReference w:id="29"/>
      </w:r>
      <w:r w:rsidRPr="00AD5466" w:rsidR="000F4E9E">
        <w:rPr>
          <w:sz w:val="24"/>
          <w:szCs w:val="24"/>
        </w:rPr>
        <w:t xml:space="preserve"> - $53,600.00 plus </w:t>
      </w:r>
      <w:r w:rsidRPr="00AD5466" w:rsidR="007525D9">
        <w:rPr>
          <w:sz w:val="24"/>
          <w:szCs w:val="24"/>
        </w:rPr>
        <w:t>CIAC</w:t>
      </w:r>
      <w:r w:rsidRPr="00AD5466" w:rsidR="007C5B60">
        <w:rPr>
          <w:sz w:val="24"/>
          <w:szCs w:val="24"/>
        </w:rPr>
        <w:t>;</w:t>
      </w:r>
      <w:r>
        <w:rPr>
          <w:rStyle w:val="FootnoteReference"/>
          <w:sz w:val="24"/>
          <w:szCs w:val="24"/>
        </w:rPr>
        <w:footnoteReference w:id="30"/>
      </w:r>
      <w:r w:rsidRPr="00AD5466" w:rsidR="000F4E9E">
        <w:rPr>
          <w:sz w:val="24"/>
          <w:szCs w:val="24"/>
        </w:rPr>
        <w:t xml:space="preserve"> 4)</w:t>
      </w:r>
      <w:r w:rsidRPr="00AD5466" w:rsidR="00AE7B19">
        <w:rPr>
          <w:sz w:val="24"/>
          <w:szCs w:val="24"/>
        </w:rPr>
        <w:t xml:space="preserve"> </w:t>
      </w:r>
      <w:r w:rsidRPr="00AD5466" w:rsidR="000F4E9E">
        <w:rPr>
          <w:sz w:val="24"/>
          <w:szCs w:val="24"/>
        </w:rPr>
        <w:t>Norton Crossing Apartments (</w:t>
      </w:r>
      <w:r w:rsidRPr="00AD5466" w:rsidR="0017702C">
        <w:rPr>
          <w:sz w:val="24"/>
          <w:szCs w:val="24"/>
        </w:rPr>
        <w:t>360 Apartment Units)</w:t>
      </w:r>
      <w:r>
        <w:rPr>
          <w:rStyle w:val="FootnoteReference"/>
          <w:sz w:val="24"/>
          <w:szCs w:val="24"/>
        </w:rPr>
        <w:footnoteReference w:id="31"/>
      </w:r>
      <w:r w:rsidRPr="00AD5466" w:rsidR="0017702C">
        <w:rPr>
          <w:sz w:val="24"/>
          <w:szCs w:val="24"/>
        </w:rPr>
        <w:t xml:space="preserve"> - $72,000.00 plus </w:t>
      </w:r>
      <w:r w:rsidRPr="00AD5466" w:rsidR="007525D9">
        <w:rPr>
          <w:sz w:val="24"/>
          <w:szCs w:val="24"/>
        </w:rPr>
        <w:t>CIAC</w:t>
      </w:r>
      <w:r w:rsidRPr="00AD5466" w:rsidR="00F95763">
        <w:rPr>
          <w:sz w:val="24"/>
          <w:szCs w:val="24"/>
        </w:rPr>
        <w:t>;</w:t>
      </w:r>
      <w:r>
        <w:rPr>
          <w:rStyle w:val="FootnoteReference"/>
          <w:sz w:val="24"/>
          <w:szCs w:val="24"/>
        </w:rPr>
        <w:footnoteReference w:id="32"/>
      </w:r>
      <w:r w:rsidRPr="00AD5466" w:rsidR="00F95763">
        <w:rPr>
          <w:sz w:val="24"/>
          <w:szCs w:val="24"/>
        </w:rPr>
        <w:t xml:space="preserve"> and</w:t>
      </w:r>
      <w:r w:rsidRPr="00AD5466" w:rsidR="0017702C">
        <w:rPr>
          <w:sz w:val="24"/>
          <w:szCs w:val="24"/>
        </w:rPr>
        <w:t xml:space="preserve"> 5) The Edge at Arlington (228 Apartment Units)</w:t>
      </w:r>
      <w:r>
        <w:rPr>
          <w:rStyle w:val="FootnoteReference"/>
          <w:sz w:val="24"/>
          <w:szCs w:val="24"/>
        </w:rPr>
        <w:footnoteReference w:id="33"/>
      </w:r>
      <w:r w:rsidRPr="00AD5466" w:rsidR="0017702C">
        <w:rPr>
          <w:sz w:val="24"/>
          <w:szCs w:val="24"/>
        </w:rPr>
        <w:t xml:space="preserve"> - $45,600.00 plus </w:t>
      </w:r>
      <w:r w:rsidRPr="00AD5466" w:rsidR="007525D9">
        <w:rPr>
          <w:sz w:val="24"/>
          <w:szCs w:val="24"/>
        </w:rPr>
        <w:t>CIAC</w:t>
      </w:r>
      <w:r w:rsidRPr="00AD5466" w:rsidR="00C1787C">
        <w:rPr>
          <w:sz w:val="24"/>
          <w:szCs w:val="24"/>
        </w:rPr>
        <w:t>.</w:t>
      </w:r>
      <w:r>
        <w:rPr>
          <w:rStyle w:val="FootnoteReference"/>
          <w:sz w:val="24"/>
          <w:szCs w:val="24"/>
        </w:rPr>
        <w:footnoteReference w:id="34"/>
      </w:r>
    </w:p>
    <w:p w:rsidR="007E4B99" w:rsidRPr="00AD5466" w:rsidP="0015587B" w14:paraId="7A2FE957" w14:textId="4D4BD9E4">
      <w:pPr>
        <w:spacing w:after="0" w:line="480" w:lineRule="auto"/>
        <w:ind w:firstLine="720"/>
        <w:rPr>
          <w:sz w:val="24"/>
          <w:szCs w:val="24"/>
        </w:rPr>
      </w:pPr>
      <w:r w:rsidRPr="00AD5466">
        <w:rPr>
          <w:sz w:val="24"/>
          <w:szCs w:val="24"/>
        </w:rPr>
        <w:t xml:space="preserve">On top of the </w:t>
      </w:r>
      <w:r w:rsidRPr="00AD5466" w:rsidR="00AE7B19">
        <w:rPr>
          <w:sz w:val="24"/>
          <w:szCs w:val="24"/>
        </w:rPr>
        <w:t>“</w:t>
      </w:r>
      <w:r w:rsidRPr="00AD5466">
        <w:rPr>
          <w:sz w:val="24"/>
          <w:szCs w:val="24"/>
        </w:rPr>
        <w:t>Door Fee</w:t>
      </w:r>
      <w:r w:rsidRPr="00AD5466" w:rsidR="00E502E5">
        <w:rPr>
          <w:sz w:val="24"/>
          <w:szCs w:val="24"/>
        </w:rPr>
        <w:t>,</w:t>
      </w:r>
      <w:r w:rsidRPr="00AD5466" w:rsidR="00AE7B19">
        <w:rPr>
          <w:sz w:val="24"/>
          <w:szCs w:val="24"/>
        </w:rPr>
        <w:t>”</w:t>
      </w:r>
      <w:r w:rsidRPr="00AD5466" w:rsidR="00E502E5">
        <w:rPr>
          <w:sz w:val="24"/>
          <w:szCs w:val="24"/>
        </w:rPr>
        <w:t xml:space="preserve"> NEP pays</w:t>
      </w:r>
      <w:r w:rsidRPr="00AD5466">
        <w:rPr>
          <w:sz w:val="24"/>
          <w:szCs w:val="24"/>
        </w:rPr>
        <w:t xml:space="preserve"> the owner</w:t>
      </w:r>
      <w:r w:rsidRPr="00AD5466" w:rsidR="0017702C">
        <w:rPr>
          <w:sz w:val="24"/>
          <w:szCs w:val="24"/>
        </w:rPr>
        <w:t xml:space="preserve"> of each apartment complex </w:t>
      </w:r>
      <w:r w:rsidRPr="00AD5466" w:rsidR="00E502E5">
        <w:rPr>
          <w:sz w:val="24"/>
          <w:szCs w:val="24"/>
        </w:rPr>
        <w:t>(</w:t>
      </w:r>
      <w:r w:rsidRPr="00AD5466" w:rsidR="0017702C">
        <w:rPr>
          <w:sz w:val="24"/>
          <w:szCs w:val="24"/>
        </w:rPr>
        <w:t>including Northtowne</w:t>
      </w:r>
      <w:r w:rsidRPr="00AD5466" w:rsidR="00E502E5">
        <w:rPr>
          <w:sz w:val="24"/>
          <w:szCs w:val="24"/>
        </w:rPr>
        <w:t>)</w:t>
      </w:r>
      <w:r w:rsidRPr="00AD5466" w:rsidR="0017702C">
        <w:rPr>
          <w:sz w:val="24"/>
          <w:szCs w:val="24"/>
        </w:rPr>
        <w:t xml:space="preserve"> </w:t>
      </w:r>
      <w:r w:rsidRPr="00AD5466">
        <w:rPr>
          <w:sz w:val="24"/>
          <w:szCs w:val="24"/>
        </w:rPr>
        <w:t xml:space="preserve">a </w:t>
      </w:r>
      <w:r w:rsidRPr="00AD5466" w:rsidR="00E502E5">
        <w:rPr>
          <w:sz w:val="24"/>
          <w:szCs w:val="24"/>
        </w:rPr>
        <w:t xml:space="preserve">monthly </w:t>
      </w:r>
      <w:r w:rsidRPr="00AD5466" w:rsidR="00AE7B19">
        <w:rPr>
          <w:sz w:val="24"/>
          <w:szCs w:val="24"/>
        </w:rPr>
        <w:t>“</w:t>
      </w:r>
      <w:r w:rsidRPr="00AD5466">
        <w:rPr>
          <w:sz w:val="24"/>
          <w:szCs w:val="24"/>
        </w:rPr>
        <w:t>Residual Payment</w:t>
      </w:r>
      <w:r w:rsidRPr="00AD5466" w:rsidR="00E502E5">
        <w:rPr>
          <w:sz w:val="24"/>
          <w:szCs w:val="24"/>
        </w:rPr>
        <w:t>.</w:t>
      </w:r>
      <w:r w:rsidRPr="00AD5466" w:rsidR="00AE7B19">
        <w:rPr>
          <w:sz w:val="24"/>
          <w:szCs w:val="24"/>
        </w:rPr>
        <w:t>”</w:t>
      </w:r>
      <w:r>
        <w:rPr>
          <w:rStyle w:val="FootnoteReference"/>
          <w:sz w:val="24"/>
          <w:szCs w:val="24"/>
        </w:rPr>
        <w:footnoteReference w:id="35"/>
      </w:r>
      <w:r w:rsidRPr="00AD5466" w:rsidR="00AE7B19">
        <w:rPr>
          <w:sz w:val="24"/>
          <w:szCs w:val="24"/>
        </w:rPr>
        <w:t xml:space="preserve"> </w:t>
      </w:r>
      <w:r w:rsidRPr="00AD5466">
        <w:rPr>
          <w:sz w:val="24"/>
          <w:szCs w:val="24"/>
        </w:rPr>
        <w:t xml:space="preserve">The Residual Payment is a set fee for every </w:t>
      </w:r>
      <w:r w:rsidRPr="00AD5466" w:rsidR="00A769ED">
        <w:rPr>
          <w:sz w:val="24"/>
          <w:szCs w:val="24"/>
        </w:rPr>
        <w:t xml:space="preserve">so-called </w:t>
      </w:r>
      <w:r w:rsidRPr="00AD5466" w:rsidR="00A36C62">
        <w:rPr>
          <w:sz w:val="24"/>
          <w:szCs w:val="24"/>
        </w:rPr>
        <w:t>“</w:t>
      </w:r>
      <w:r w:rsidRPr="00AD5466">
        <w:rPr>
          <w:sz w:val="24"/>
          <w:szCs w:val="24"/>
        </w:rPr>
        <w:t>Qualified Unit</w:t>
      </w:r>
      <w:r w:rsidRPr="00AD5466" w:rsidR="00A36C62">
        <w:rPr>
          <w:sz w:val="24"/>
          <w:szCs w:val="24"/>
        </w:rPr>
        <w:t>”</w:t>
      </w:r>
      <w:r w:rsidRPr="00AD5466">
        <w:rPr>
          <w:sz w:val="24"/>
          <w:szCs w:val="24"/>
        </w:rPr>
        <w:t xml:space="preserve"> at the Northtowne complex.</w:t>
      </w:r>
      <w:r>
        <w:rPr>
          <w:rStyle w:val="FootnoteReference"/>
          <w:sz w:val="24"/>
          <w:szCs w:val="24"/>
        </w:rPr>
        <w:footnoteReference w:id="36"/>
      </w:r>
      <w:r w:rsidRPr="00AD5466" w:rsidR="00AE7B19">
        <w:rPr>
          <w:sz w:val="24"/>
          <w:szCs w:val="24"/>
        </w:rPr>
        <w:t xml:space="preserve"> </w:t>
      </w:r>
      <w:r w:rsidRPr="00AD5466" w:rsidR="00E502E5">
        <w:rPr>
          <w:sz w:val="24"/>
          <w:szCs w:val="24"/>
        </w:rPr>
        <w:t>The l</w:t>
      </w:r>
      <w:r w:rsidRPr="00AD5466" w:rsidR="007F0AB2">
        <w:rPr>
          <w:sz w:val="24"/>
          <w:szCs w:val="24"/>
        </w:rPr>
        <w:t>ucrative nature of NEP</w:t>
      </w:r>
      <w:r w:rsidRPr="00AD5466" w:rsidR="00AE7B19">
        <w:rPr>
          <w:sz w:val="24"/>
          <w:szCs w:val="24"/>
        </w:rPr>
        <w:t>’</w:t>
      </w:r>
      <w:r w:rsidRPr="00AD5466" w:rsidR="007F0AB2">
        <w:rPr>
          <w:sz w:val="24"/>
          <w:szCs w:val="24"/>
        </w:rPr>
        <w:t>s contract</w:t>
      </w:r>
      <w:r w:rsidRPr="00AD5466" w:rsidR="00A769ED">
        <w:rPr>
          <w:sz w:val="24"/>
          <w:szCs w:val="24"/>
        </w:rPr>
        <w:t xml:space="preserve">s with Northtowne could improperly influence </w:t>
      </w:r>
      <w:r w:rsidRPr="00AD5466" w:rsidR="00075611">
        <w:rPr>
          <w:sz w:val="24"/>
          <w:szCs w:val="24"/>
        </w:rPr>
        <w:t xml:space="preserve">how </w:t>
      </w:r>
      <w:r w:rsidRPr="00AD5466" w:rsidR="00E502E5">
        <w:rPr>
          <w:sz w:val="24"/>
          <w:szCs w:val="24"/>
        </w:rPr>
        <w:t>the property manager communicates the submetering arrangement to consumers in the lease.</w:t>
      </w:r>
    </w:p>
    <w:p w:rsidR="002E2775" w:rsidP="0015587B" w14:paraId="768B23E8" w14:textId="5D7A1F11">
      <w:pPr>
        <w:spacing w:after="0" w:line="480" w:lineRule="auto"/>
        <w:ind w:firstLine="720"/>
        <w:rPr>
          <w:sz w:val="24"/>
          <w:szCs w:val="24"/>
        </w:rPr>
      </w:pPr>
      <w:r w:rsidRPr="00AD5466">
        <w:rPr>
          <w:sz w:val="24"/>
          <w:szCs w:val="24"/>
        </w:rPr>
        <w:t xml:space="preserve">Moreover, </w:t>
      </w:r>
      <w:r w:rsidRPr="00AD5466" w:rsidR="00E502E5">
        <w:rPr>
          <w:sz w:val="24"/>
          <w:szCs w:val="24"/>
        </w:rPr>
        <w:t xml:space="preserve">there is no provision within </w:t>
      </w:r>
      <w:r w:rsidRPr="00AD5466">
        <w:rPr>
          <w:sz w:val="24"/>
          <w:szCs w:val="24"/>
        </w:rPr>
        <w:t>NEP</w:t>
      </w:r>
      <w:r w:rsidRPr="00AD5466" w:rsidR="00E502E5">
        <w:rPr>
          <w:sz w:val="24"/>
          <w:szCs w:val="24"/>
        </w:rPr>
        <w:t>’s</w:t>
      </w:r>
      <w:r w:rsidRPr="00AD5466">
        <w:rPr>
          <w:sz w:val="24"/>
          <w:szCs w:val="24"/>
        </w:rPr>
        <w:t xml:space="preserve"> contract with</w:t>
      </w:r>
      <w:r w:rsidRPr="00AD5466" w:rsidR="00E502E5">
        <w:rPr>
          <w:sz w:val="24"/>
          <w:szCs w:val="24"/>
        </w:rPr>
        <w:t xml:space="preserve"> the property</w:t>
      </w:r>
      <w:r w:rsidRPr="00AD5466" w:rsidR="00E76314">
        <w:rPr>
          <w:sz w:val="24"/>
          <w:szCs w:val="24"/>
        </w:rPr>
        <w:t xml:space="preserve"> owner</w:t>
      </w:r>
      <w:r w:rsidRPr="00AD5466">
        <w:rPr>
          <w:sz w:val="24"/>
          <w:szCs w:val="24"/>
        </w:rPr>
        <w:t xml:space="preserve"> that </w:t>
      </w:r>
      <w:r w:rsidRPr="00AD5466" w:rsidR="00E502E5">
        <w:rPr>
          <w:sz w:val="24"/>
          <w:szCs w:val="24"/>
        </w:rPr>
        <w:t xml:space="preserve">requires the lease to include notices </w:t>
      </w:r>
      <w:r w:rsidRPr="00AD5466">
        <w:rPr>
          <w:sz w:val="24"/>
          <w:szCs w:val="24"/>
        </w:rPr>
        <w:t>regarding the disconnection and reconnection of service.</w:t>
      </w:r>
      <w:r>
        <w:rPr>
          <w:rStyle w:val="FootnoteReference"/>
          <w:sz w:val="24"/>
          <w:szCs w:val="24"/>
        </w:rPr>
        <w:footnoteReference w:id="37"/>
      </w:r>
      <w:r w:rsidRPr="00AD5466" w:rsidR="00AE7B19">
        <w:rPr>
          <w:sz w:val="24"/>
          <w:szCs w:val="24"/>
        </w:rPr>
        <w:t xml:space="preserve"> </w:t>
      </w:r>
      <w:r w:rsidRPr="00AD5466" w:rsidR="00E76314">
        <w:rPr>
          <w:sz w:val="24"/>
          <w:szCs w:val="24"/>
        </w:rPr>
        <w:t>N</w:t>
      </w:r>
      <w:r w:rsidRPr="00AD5466">
        <w:rPr>
          <w:sz w:val="24"/>
          <w:szCs w:val="24"/>
        </w:rPr>
        <w:t>othing in the contract sets forth any budget billing plan or other payment plan that NEP is required to provide to the Northtowne residents.</w:t>
      </w:r>
      <w:r w:rsidRPr="00AD5466" w:rsidR="00C62C75">
        <w:rPr>
          <w:sz w:val="24"/>
          <w:szCs w:val="24"/>
        </w:rPr>
        <w:t xml:space="preserve"> </w:t>
      </w:r>
      <w:r w:rsidRPr="00AD5466" w:rsidR="00E55E21">
        <w:rPr>
          <w:sz w:val="24"/>
          <w:szCs w:val="24"/>
        </w:rPr>
        <w:t>Simply put</w:t>
      </w:r>
      <w:r w:rsidRPr="00AD5466" w:rsidR="00C62C75">
        <w:rPr>
          <w:sz w:val="24"/>
          <w:szCs w:val="24"/>
        </w:rPr>
        <w:t>, NEP’s contract with the Northtowne property</w:t>
      </w:r>
      <w:r w:rsidRPr="00AD5466" w:rsidR="00E55E21">
        <w:rPr>
          <w:sz w:val="24"/>
          <w:szCs w:val="24"/>
        </w:rPr>
        <w:t xml:space="preserve"> owner</w:t>
      </w:r>
      <w:r w:rsidRPr="00AD5466" w:rsidR="00C62C75">
        <w:rPr>
          <w:sz w:val="24"/>
          <w:szCs w:val="24"/>
        </w:rPr>
        <w:t xml:space="preserve"> is not enough to protect consumers. </w:t>
      </w:r>
    </w:p>
    <w:p w:rsidR="002E2775" w14:paraId="3106BB39" w14:textId="77777777">
      <w:pPr>
        <w:rPr>
          <w:sz w:val="24"/>
          <w:szCs w:val="24"/>
        </w:rPr>
      </w:pPr>
      <w:r>
        <w:rPr>
          <w:sz w:val="24"/>
          <w:szCs w:val="24"/>
        </w:rPr>
        <w:br w:type="page"/>
      </w:r>
    </w:p>
    <w:p w:rsidR="007F0AB2" w:rsidRPr="00AD5466" w:rsidP="00804B64" w14:paraId="405F3D22" w14:textId="3E7C633B">
      <w:pPr>
        <w:pStyle w:val="Heading3"/>
      </w:pPr>
      <w:bookmarkStart w:id="7" w:name="_Toc175316604"/>
      <w:r w:rsidRPr="00AD5466">
        <w:t xml:space="preserve">The PUCO should reject NEP’s claims that </w:t>
      </w:r>
      <w:r w:rsidRPr="00AD5466" w:rsidR="000F0FF0">
        <w:t xml:space="preserve">other </w:t>
      </w:r>
      <w:r w:rsidRPr="00AD5466" w:rsidR="00C62C75">
        <w:t>Ohio</w:t>
      </w:r>
      <w:r w:rsidRPr="00AD5466" w:rsidR="000F0FF0">
        <w:t xml:space="preserve"> laws</w:t>
      </w:r>
      <w:r w:rsidRPr="00AD5466" w:rsidR="00C62C75">
        <w:t xml:space="preserve"> </w:t>
      </w:r>
      <w:r w:rsidRPr="00AD5466">
        <w:t>will provide sufficient protections to Northtowne consumers</w:t>
      </w:r>
      <w:r w:rsidRPr="00AD5466" w:rsidR="00005398">
        <w:t>.</w:t>
      </w:r>
      <w:bookmarkEnd w:id="7"/>
    </w:p>
    <w:p w:rsidR="0031524B" w:rsidRPr="00AD5466" w:rsidP="002D47C2" w14:paraId="25594610" w14:textId="644B9BF9">
      <w:pPr>
        <w:spacing w:after="0" w:line="480" w:lineRule="auto"/>
        <w:ind w:firstLine="720"/>
        <w:rPr>
          <w:sz w:val="24"/>
          <w:szCs w:val="24"/>
        </w:rPr>
      </w:pPr>
      <w:r w:rsidRPr="00AD5466">
        <w:rPr>
          <w:sz w:val="24"/>
          <w:szCs w:val="24"/>
        </w:rPr>
        <w:t>NEP</w:t>
      </w:r>
      <w:r w:rsidRPr="00AD5466" w:rsidR="009B2CD5">
        <w:rPr>
          <w:sz w:val="24"/>
          <w:szCs w:val="24"/>
        </w:rPr>
        <w:t xml:space="preserve"> </w:t>
      </w:r>
      <w:r w:rsidRPr="00AD5466" w:rsidR="00E55E21">
        <w:rPr>
          <w:sz w:val="24"/>
          <w:szCs w:val="24"/>
        </w:rPr>
        <w:t xml:space="preserve">argues </w:t>
      </w:r>
      <w:r w:rsidRPr="00AD5466" w:rsidR="009B2CD5">
        <w:rPr>
          <w:sz w:val="24"/>
          <w:szCs w:val="24"/>
        </w:rPr>
        <w:t>that</w:t>
      </w:r>
      <w:r w:rsidRPr="00AD5466">
        <w:rPr>
          <w:sz w:val="24"/>
          <w:szCs w:val="24"/>
        </w:rPr>
        <w:t xml:space="preserve"> </w:t>
      </w:r>
      <w:r w:rsidRPr="00AD5466" w:rsidR="009B2CD5">
        <w:rPr>
          <w:sz w:val="24"/>
          <w:szCs w:val="24"/>
        </w:rPr>
        <w:t xml:space="preserve">Ohio’s </w:t>
      </w:r>
      <w:r w:rsidRPr="00AD5466">
        <w:rPr>
          <w:sz w:val="24"/>
          <w:szCs w:val="24"/>
        </w:rPr>
        <w:t>Landlord-Tenant Act</w:t>
      </w:r>
      <w:r w:rsidRPr="00AD5466" w:rsidR="00E55E21">
        <w:rPr>
          <w:sz w:val="24"/>
          <w:szCs w:val="24"/>
        </w:rPr>
        <w:t xml:space="preserve"> will sufficiently protect the Northtowne residents who will receive submetered service if AEP Ohio abandons. It won’t.</w:t>
      </w:r>
      <w:r w:rsidRPr="00AD5466">
        <w:rPr>
          <w:sz w:val="24"/>
          <w:szCs w:val="24"/>
        </w:rPr>
        <w:t xml:space="preserve"> In its </w:t>
      </w:r>
      <w:r w:rsidRPr="00AD5466" w:rsidR="009B2CD5">
        <w:rPr>
          <w:sz w:val="24"/>
          <w:szCs w:val="24"/>
        </w:rPr>
        <w:t>Initial Brief</w:t>
      </w:r>
      <w:r w:rsidRPr="00AD5466" w:rsidR="00685BE7">
        <w:rPr>
          <w:sz w:val="24"/>
          <w:szCs w:val="24"/>
        </w:rPr>
        <w:t>,</w:t>
      </w:r>
      <w:r w:rsidRPr="00AD5466">
        <w:rPr>
          <w:sz w:val="24"/>
          <w:szCs w:val="24"/>
        </w:rPr>
        <w:t xml:space="preserve"> OCC detailed the numerous protections</w:t>
      </w:r>
      <w:bookmarkStart w:id="8" w:name="_Hlk174960638"/>
      <w:r w:rsidRPr="00AD5466" w:rsidR="00E55E21">
        <w:rPr>
          <w:sz w:val="24"/>
          <w:szCs w:val="24"/>
        </w:rPr>
        <w:t xml:space="preserve"> that Northtowne residents will lose</w:t>
      </w:r>
      <w:r w:rsidRPr="00AD5466">
        <w:rPr>
          <w:sz w:val="24"/>
          <w:szCs w:val="24"/>
        </w:rPr>
        <w:t>.</w:t>
      </w:r>
      <w:r>
        <w:rPr>
          <w:rStyle w:val="FootnoteReference"/>
          <w:sz w:val="24"/>
          <w:szCs w:val="24"/>
        </w:rPr>
        <w:footnoteReference w:id="38"/>
      </w:r>
      <w:r w:rsidRPr="00AD5466" w:rsidR="00AE7B19">
        <w:rPr>
          <w:sz w:val="24"/>
          <w:szCs w:val="24"/>
        </w:rPr>
        <w:t xml:space="preserve"> </w:t>
      </w:r>
      <w:r w:rsidRPr="00AD5466">
        <w:rPr>
          <w:sz w:val="24"/>
          <w:szCs w:val="24"/>
        </w:rPr>
        <w:t>These includ</w:t>
      </w:r>
      <w:r w:rsidRPr="00AD5466" w:rsidR="002D47C2">
        <w:rPr>
          <w:sz w:val="24"/>
          <w:szCs w:val="24"/>
        </w:rPr>
        <w:t>e</w:t>
      </w:r>
      <w:r w:rsidRPr="00AD5466">
        <w:rPr>
          <w:sz w:val="24"/>
          <w:szCs w:val="24"/>
        </w:rPr>
        <w:t xml:space="preserve"> information required to be in notice</w:t>
      </w:r>
      <w:r w:rsidRPr="00AD5466" w:rsidR="002D47C2">
        <w:rPr>
          <w:sz w:val="24"/>
          <w:szCs w:val="24"/>
        </w:rPr>
        <w:t>s</w:t>
      </w:r>
      <w:r w:rsidRPr="00AD5466">
        <w:rPr>
          <w:sz w:val="24"/>
          <w:szCs w:val="24"/>
        </w:rPr>
        <w:t xml:space="preserve"> of disconnection, </w:t>
      </w:r>
      <w:r w:rsidRPr="00AD5466" w:rsidR="002D47C2">
        <w:rPr>
          <w:sz w:val="24"/>
          <w:szCs w:val="24"/>
        </w:rPr>
        <w:t>the ability to make complaints with and receive assistance from the PUCO,</w:t>
      </w:r>
      <w:r w:rsidRPr="00AD5466">
        <w:rPr>
          <w:sz w:val="24"/>
          <w:szCs w:val="24"/>
        </w:rPr>
        <w:t xml:space="preserve"> medical certification provisions, information about PIPP and other utility assistance programs, the right to extended payment plans, </w:t>
      </w:r>
      <w:r w:rsidRPr="00AD5466" w:rsidR="00467D21">
        <w:rPr>
          <w:sz w:val="24"/>
          <w:szCs w:val="24"/>
        </w:rPr>
        <w:t xml:space="preserve">and </w:t>
      </w:r>
      <w:r w:rsidRPr="00AD5466">
        <w:rPr>
          <w:sz w:val="24"/>
          <w:szCs w:val="24"/>
        </w:rPr>
        <w:t>reconnection timelines</w:t>
      </w:r>
      <w:r w:rsidRPr="00AD5466" w:rsidR="00467D21">
        <w:rPr>
          <w:sz w:val="24"/>
          <w:szCs w:val="24"/>
        </w:rPr>
        <w:t>.</w:t>
      </w:r>
      <w:r>
        <w:rPr>
          <w:rStyle w:val="FootnoteReference"/>
          <w:sz w:val="24"/>
          <w:szCs w:val="24"/>
        </w:rPr>
        <w:footnoteReference w:id="39"/>
      </w:r>
      <w:r w:rsidRPr="00AD5466" w:rsidR="00AE7B19">
        <w:rPr>
          <w:sz w:val="24"/>
          <w:szCs w:val="24"/>
        </w:rPr>
        <w:t xml:space="preserve"> </w:t>
      </w:r>
      <w:r w:rsidRPr="00AD5466" w:rsidR="002D47C2">
        <w:rPr>
          <w:sz w:val="24"/>
          <w:szCs w:val="24"/>
        </w:rPr>
        <w:t>These specific consumer protections are not in Ohio’s Landlord-Tenant Act.</w:t>
      </w:r>
      <w:bookmarkEnd w:id="8"/>
      <w:r w:rsidRPr="00AD5466" w:rsidR="002D47C2">
        <w:rPr>
          <w:sz w:val="24"/>
          <w:szCs w:val="24"/>
        </w:rPr>
        <w:t xml:space="preserve"> </w:t>
      </w:r>
      <w:r w:rsidRPr="00AD5466" w:rsidR="00743B07">
        <w:rPr>
          <w:sz w:val="24"/>
          <w:szCs w:val="24"/>
        </w:rPr>
        <w:t xml:space="preserve">NEP is </w:t>
      </w:r>
      <w:r w:rsidRPr="00AD5466" w:rsidR="002D47C2">
        <w:rPr>
          <w:sz w:val="24"/>
          <w:szCs w:val="24"/>
        </w:rPr>
        <w:t>wrong to suggest</w:t>
      </w:r>
      <w:r w:rsidRPr="00AD5466" w:rsidR="00743B07">
        <w:rPr>
          <w:sz w:val="24"/>
          <w:szCs w:val="24"/>
        </w:rPr>
        <w:t xml:space="preserve"> otherwise.</w:t>
      </w:r>
    </w:p>
    <w:p w:rsidR="00467D21" w:rsidRPr="00AD5466" w:rsidP="00287649" w14:paraId="0FAADFD5" w14:textId="358B20E5">
      <w:pPr>
        <w:tabs>
          <w:tab w:val="left" w:pos="720"/>
        </w:tabs>
        <w:spacing w:after="0" w:line="480" w:lineRule="auto"/>
        <w:rPr>
          <w:sz w:val="24"/>
          <w:szCs w:val="24"/>
        </w:rPr>
      </w:pPr>
      <w:r w:rsidRPr="00AD5466">
        <w:rPr>
          <w:b/>
          <w:bCs/>
          <w:sz w:val="24"/>
          <w:szCs w:val="24"/>
        </w:rPr>
        <w:tab/>
      </w:r>
      <w:r w:rsidRPr="00AD5466">
        <w:rPr>
          <w:sz w:val="24"/>
          <w:szCs w:val="24"/>
        </w:rPr>
        <w:t xml:space="preserve">Similarly, </w:t>
      </w:r>
      <w:r w:rsidRPr="00AD5466" w:rsidR="00743B07">
        <w:rPr>
          <w:sz w:val="24"/>
          <w:szCs w:val="24"/>
        </w:rPr>
        <w:t xml:space="preserve">NEP </w:t>
      </w:r>
      <w:r w:rsidRPr="00AD5466">
        <w:rPr>
          <w:sz w:val="24"/>
          <w:szCs w:val="24"/>
        </w:rPr>
        <w:t>claims that the Ohio</w:t>
      </w:r>
      <w:r w:rsidRPr="00AD5466" w:rsidR="00743B07">
        <w:rPr>
          <w:sz w:val="24"/>
          <w:szCs w:val="24"/>
        </w:rPr>
        <w:t xml:space="preserve"> Consumer Sales Practices Act</w:t>
      </w:r>
      <w:r w:rsidRPr="00AD5466" w:rsidR="00E210C1">
        <w:rPr>
          <w:sz w:val="24"/>
          <w:szCs w:val="24"/>
        </w:rPr>
        <w:t xml:space="preserve"> (</w:t>
      </w:r>
      <w:r w:rsidRPr="00AD5466" w:rsidR="00DB3695">
        <w:rPr>
          <w:sz w:val="24"/>
          <w:szCs w:val="24"/>
        </w:rPr>
        <w:t>“</w:t>
      </w:r>
      <w:r w:rsidRPr="00AD5466" w:rsidR="00E210C1">
        <w:rPr>
          <w:sz w:val="24"/>
          <w:szCs w:val="24"/>
        </w:rPr>
        <w:t>CSPA</w:t>
      </w:r>
      <w:r w:rsidRPr="00AD5466" w:rsidR="00DB3695">
        <w:rPr>
          <w:sz w:val="24"/>
          <w:szCs w:val="24"/>
        </w:rPr>
        <w:t>”</w:t>
      </w:r>
      <w:r w:rsidRPr="00AD5466" w:rsidR="00E210C1">
        <w:rPr>
          <w:sz w:val="24"/>
          <w:szCs w:val="24"/>
        </w:rPr>
        <w:t>)</w:t>
      </w:r>
      <w:r w:rsidRPr="00AD5466">
        <w:rPr>
          <w:sz w:val="24"/>
          <w:szCs w:val="24"/>
        </w:rPr>
        <w:t xml:space="preserve"> is sufficient to protect Northtowne consumers.</w:t>
      </w:r>
      <w:r>
        <w:rPr>
          <w:rStyle w:val="FootnoteReference"/>
          <w:sz w:val="24"/>
          <w:szCs w:val="24"/>
        </w:rPr>
        <w:footnoteReference w:id="40"/>
      </w:r>
      <w:r w:rsidRPr="00AD5466" w:rsidR="00AE7B19">
        <w:rPr>
          <w:sz w:val="24"/>
          <w:szCs w:val="24"/>
        </w:rPr>
        <w:t xml:space="preserve"> </w:t>
      </w:r>
      <w:r w:rsidRPr="00AD5466">
        <w:rPr>
          <w:sz w:val="24"/>
          <w:szCs w:val="24"/>
        </w:rPr>
        <w:t xml:space="preserve">But again, </w:t>
      </w:r>
      <w:r w:rsidRPr="00AD5466" w:rsidR="000850F9">
        <w:rPr>
          <w:sz w:val="24"/>
          <w:szCs w:val="24"/>
        </w:rPr>
        <w:t xml:space="preserve">NEP </w:t>
      </w:r>
      <w:r w:rsidRPr="00AD5466">
        <w:rPr>
          <w:sz w:val="24"/>
          <w:szCs w:val="24"/>
        </w:rPr>
        <w:t>fails to</w:t>
      </w:r>
      <w:r w:rsidRPr="00AD5466" w:rsidR="000850F9">
        <w:rPr>
          <w:sz w:val="24"/>
          <w:szCs w:val="24"/>
        </w:rPr>
        <w:t xml:space="preserve"> id</w:t>
      </w:r>
      <w:r w:rsidRPr="00AD5466">
        <w:rPr>
          <w:sz w:val="24"/>
          <w:szCs w:val="24"/>
        </w:rPr>
        <w:t>entify specifically how the</w:t>
      </w:r>
      <w:r w:rsidRPr="00AD5466" w:rsidR="000850F9">
        <w:rPr>
          <w:sz w:val="24"/>
          <w:szCs w:val="24"/>
        </w:rPr>
        <w:t xml:space="preserve"> CSPA</w:t>
      </w:r>
      <w:r w:rsidRPr="00AD5466">
        <w:rPr>
          <w:sz w:val="24"/>
          <w:szCs w:val="24"/>
        </w:rPr>
        <w:t xml:space="preserve"> will provide the same protections that AEP Ohio consumers receive</w:t>
      </w:r>
      <w:r w:rsidRPr="00AD5466" w:rsidR="000850F9">
        <w:rPr>
          <w:sz w:val="24"/>
          <w:szCs w:val="24"/>
        </w:rPr>
        <w:t>.</w:t>
      </w:r>
      <w:r w:rsidRPr="00AD5466" w:rsidR="00AE7B19">
        <w:rPr>
          <w:sz w:val="24"/>
          <w:szCs w:val="24"/>
        </w:rPr>
        <w:t xml:space="preserve"> </w:t>
      </w:r>
      <w:r w:rsidRPr="00AD5466">
        <w:rPr>
          <w:sz w:val="24"/>
          <w:szCs w:val="24"/>
        </w:rPr>
        <w:t xml:space="preserve">As noted, the PUCO has conclusively determined that consumers </w:t>
      </w:r>
      <w:r w:rsidRPr="00AD5466">
        <w:rPr>
          <w:i/>
          <w:iCs/>
          <w:sz w:val="24"/>
          <w:szCs w:val="24"/>
        </w:rPr>
        <w:t>lose rights</w:t>
      </w:r>
      <w:r w:rsidRPr="00AD5466">
        <w:rPr>
          <w:sz w:val="24"/>
          <w:szCs w:val="24"/>
        </w:rPr>
        <w:t xml:space="preserve"> under Ohio law by receiving submetered service.</w:t>
      </w:r>
      <w:r w:rsidRPr="00AD5466" w:rsidR="00454469">
        <w:rPr>
          <w:sz w:val="24"/>
          <w:szCs w:val="24"/>
        </w:rPr>
        <w:t xml:space="preserve"> Other Ohio laws do not replace the protections that Northtowne residents receive as customers of the PUCO-regulated utility, AEP Ohio.</w:t>
      </w:r>
    </w:p>
    <w:p w:rsidR="00C90B9D" w:rsidRPr="00AD5466" w:rsidP="00E11DFD" w14:paraId="5456FEB0" w14:textId="0DF94BF5">
      <w:pPr>
        <w:pStyle w:val="Heading3"/>
      </w:pPr>
      <w:bookmarkStart w:id="9" w:name="_Toc175316605"/>
      <w:r w:rsidRPr="00AD5466">
        <w:t>The</w:t>
      </w:r>
      <w:r w:rsidRPr="00AD5466" w:rsidR="00AD1A95">
        <w:t>re is no evidence to support</w:t>
      </w:r>
      <w:r w:rsidRPr="00AD5466">
        <w:t xml:space="preserve"> </w:t>
      </w:r>
      <w:r w:rsidRPr="00AD5466">
        <w:t>NEP</w:t>
      </w:r>
      <w:r w:rsidRPr="00AD5466">
        <w:t xml:space="preserve">’s claims that </w:t>
      </w:r>
      <w:r w:rsidRPr="00AD5466" w:rsidR="00AD1A95">
        <w:t xml:space="preserve">other </w:t>
      </w:r>
      <w:r w:rsidRPr="00AD5466">
        <w:t>social service programs will sufficient</w:t>
      </w:r>
      <w:r w:rsidRPr="00AD5466" w:rsidR="00E45CD4">
        <w:t>ly</w:t>
      </w:r>
      <w:r w:rsidRPr="00AD5466">
        <w:t xml:space="preserve"> protect</w:t>
      </w:r>
      <w:r w:rsidRPr="00AD5466" w:rsidR="00E45CD4">
        <w:t xml:space="preserve"> </w:t>
      </w:r>
      <w:r w:rsidRPr="00AD5466">
        <w:t>Northtowne consumers</w:t>
      </w:r>
      <w:r w:rsidRPr="00AD5466" w:rsidR="00E45CD4">
        <w:t xml:space="preserve"> if AEP Ohio abandons service</w:t>
      </w:r>
      <w:r w:rsidRPr="00AD5466">
        <w:t>.</w:t>
      </w:r>
      <w:bookmarkEnd w:id="9"/>
      <w:r w:rsidRPr="00AD5466" w:rsidR="00AD1A95">
        <w:t xml:space="preserve"> </w:t>
      </w:r>
    </w:p>
    <w:p w:rsidR="00007D03" w:rsidRPr="00AD5466" w:rsidP="00E45CD4" w14:paraId="199920AB" w14:textId="6283969E">
      <w:pPr>
        <w:spacing w:after="0" w:line="480" w:lineRule="auto"/>
        <w:ind w:firstLine="720"/>
        <w:rPr>
          <w:rFonts w:eastAsia="Times New Roman"/>
          <w:sz w:val="24"/>
          <w:szCs w:val="24"/>
        </w:rPr>
      </w:pPr>
      <w:r w:rsidRPr="00AD5466">
        <w:rPr>
          <w:rFonts w:eastAsia="Times New Roman"/>
          <w:sz w:val="24"/>
          <w:szCs w:val="24"/>
        </w:rPr>
        <w:t xml:space="preserve">NEP argues that </w:t>
      </w:r>
      <w:r w:rsidRPr="00AD5466" w:rsidR="00BA6583">
        <w:rPr>
          <w:rFonts w:eastAsia="Times New Roman"/>
          <w:sz w:val="24"/>
          <w:szCs w:val="24"/>
        </w:rPr>
        <w:t xml:space="preserve">Northtowne residents </w:t>
      </w:r>
      <w:r w:rsidRPr="00AD5466" w:rsidR="00E45CD4">
        <w:rPr>
          <w:rFonts w:eastAsia="Times New Roman"/>
          <w:sz w:val="24"/>
          <w:szCs w:val="24"/>
        </w:rPr>
        <w:t xml:space="preserve">losing their AEP Ohio electric utility service will be sufficiently protected by other social service </w:t>
      </w:r>
      <w:r w:rsidRPr="00AD5466" w:rsidR="00370578">
        <w:rPr>
          <w:rFonts w:eastAsia="Times New Roman"/>
          <w:sz w:val="24"/>
          <w:szCs w:val="24"/>
        </w:rPr>
        <w:t>programs.</w:t>
      </w:r>
      <w:r>
        <w:rPr>
          <w:rStyle w:val="FootnoteReference"/>
          <w:rFonts w:eastAsia="Times New Roman"/>
          <w:sz w:val="24"/>
          <w:szCs w:val="24"/>
        </w:rPr>
        <w:footnoteReference w:id="41"/>
      </w:r>
      <w:r w:rsidRPr="00AD5466" w:rsidR="00AE7B19">
        <w:rPr>
          <w:rFonts w:eastAsia="Times New Roman"/>
          <w:sz w:val="24"/>
          <w:szCs w:val="24"/>
        </w:rPr>
        <w:t xml:space="preserve"> </w:t>
      </w:r>
      <w:r w:rsidRPr="00AD5466" w:rsidR="00370578">
        <w:rPr>
          <w:rFonts w:eastAsia="Times New Roman"/>
          <w:sz w:val="24"/>
          <w:szCs w:val="24"/>
        </w:rPr>
        <w:t>NEP</w:t>
      </w:r>
      <w:r w:rsidRPr="00AD5466">
        <w:rPr>
          <w:rFonts w:eastAsia="Times New Roman"/>
          <w:sz w:val="24"/>
          <w:szCs w:val="24"/>
        </w:rPr>
        <w:t xml:space="preserve"> states that</w:t>
      </w:r>
      <w:r w:rsidRPr="00AD5466" w:rsidR="00370578">
        <w:rPr>
          <w:rFonts w:eastAsia="Times New Roman"/>
          <w:sz w:val="24"/>
          <w:szCs w:val="24"/>
        </w:rPr>
        <w:t xml:space="preserve"> one option </w:t>
      </w:r>
      <w:r w:rsidRPr="00AD5466" w:rsidR="00E45CD4">
        <w:rPr>
          <w:rFonts w:eastAsia="Times New Roman"/>
          <w:sz w:val="24"/>
          <w:szCs w:val="24"/>
        </w:rPr>
        <w:t xml:space="preserve">available to Northtowne residents </w:t>
      </w:r>
      <w:r w:rsidRPr="00AD5466">
        <w:rPr>
          <w:rFonts w:eastAsia="Times New Roman"/>
          <w:sz w:val="24"/>
          <w:szCs w:val="24"/>
        </w:rPr>
        <w:t>is</w:t>
      </w:r>
      <w:r w:rsidRPr="00AD5466" w:rsidR="00370578">
        <w:rPr>
          <w:rFonts w:eastAsia="Times New Roman"/>
          <w:sz w:val="24"/>
          <w:szCs w:val="24"/>
        </w:rPr>
        <w:t xml:space="preserve"> the Columbus Metropolitan Housing Authority</w:t>
      </w:r>
      <w:r w:rsidRPr="00AD5466" w:rsidR="00AE7B19">
        <w:rPr>
          <w:rFonts w:eastAsia="Times New Roman"/>
          <w:sz w:val="24"/>
          <w:szCs w:val="24"/>
        </w:rPr>
        <w:t>’</w:t>
      </w:r>
      <w:r w:rsidRPr="00AD5466" w:rsidR="00370578">
        <w:rPr>
          <w:rFonts w:eastAsia="Times New Roman"/>
          <w:sz w:val="24"/>
          <w:szCs w:val="24"/>
        </w:rPr>
        <w:t>s (</w:t>
      </w:r>
      <w:r w:rsidRPr="00AD5466" w:rsidR="00F963E2">
        <w:rPr>
          <w:rFonts w:eastAsia="Times New Roman"/>
          <w:sz w:val="24"/>
          <w:szCs w:val="24"/>
        </w:rPr>
        <w:t>“</w:t>
      </w:r>
      <w:r w:rsidRPr="00AD5466" w:rsidR="00370578">
        <w:rPr>
          <w:rFonts w:eastAsia="Times New Roman"/>
          <w:sz w:val="24"/>
          <w:szCs w:val="24"/>
        </w:rPr>
        <w:t>CMHA</w:t>
      </w:r>
      <w:r w:rsidRPr="00AD5466" w:rsidR="001E6624">
        <w:rPr>
          <w:rFonts w:eastAsia="Times New Roman"/>
          <w:sz w:val="24"/>
          <w:szCs w:val="24"/>
        </w:rPr>
        <w:t>”</w:t>
      </w:r>
      <w:r w:rsidRPr="00AD5466" w:rsidR="00370578">
        <w:rPr>
          <w:rFonts w:eastAsia="Times New Roman"/>
          <w:sz w:val="24"/>
          <w:szCs w:val="24"/>
        </w:rPr>
        <w:t xml:space="preserve">) </w:t>
      </w:r>
      <w:r w:rsidRPr="00AD5466" w:rsidR="00AE7B19">
        <w:rPr>
          <w:rFonts w:eastAsia="Times New Roman"/>
          <w:sz w:val="24"/>
          <w:szCs w:val="24"/>
        </w:rPr>
        <w:t>“</w:t>
      </w:r>
      <w:r w:rsidRPr="00AD5466" w:rsidR="00370578">
        <w:rPr>
          <w:rFonts w:eastAsia="Times New Roman"/>
          <w:sz w:val="24"/>
          <w:szCs w:val="24"/>
        </w:rPr>
        <w:t>Housing Choice Voucher Program</w:t>
      </w:r>
      <w:r w:rsidRPr="00AD5466" w:rsidR="0002080D">
        <w:rPr>
          <w:rFonts w:eastAsia="Times New Roman"/>
          <w:sz w:val="24"/>
          <w:szCs w:val="24"/>
        </w:rPr>
        <w:t>,</w:t>
      </w:r>
      <w:r w:rsidRPr="00AD5466" w:rsidR="00AE7B19">
        <w:rPr>
          <w:rFonts w:eastAsia="Times New Roman"/>
          <w:sz w:val="24"/>
          <w:szCs w:val="24"/>
        </w:rPr>
        <w:t>”</w:t>
      </w:r>
      <w:r w:rsidRPr="00AD5466" w:rsidR="00370578">
        <w:rPr>
          <w:rFonts w:eastAsia="Times New Roman"/>
          <w:sz w:val="24"/>
          <w:szCs w:val="24"/>
        </w:rPr>
        <w:t xml:space="preserve"> </w:t>
      </w:r>
      <w:r w:rsidRPr="00AD5466" w:rsidR="0002080D">
        <w:rPr>
          <w:rFonts w:eastAsia="Times New Roman"/>
          <w:sz w:val="24"/>
          <w:szCs w:val="24"/>
        </w:rPr>
        <w:t xml:space="preserve">which implements </w:t>
      </w:r>
      <w:r w:rsidRPr="00AD5466" w:rsidR="00370578">
        <w:rPr>
          <w:rFonts w:eastAsia="Times New Roman"/>
          <w:sz w:val="24"/>
          <w:szCs w:val="24"/>
        </w:rPr>
        <w:t>the Department of Housing and Urban Development</w:t>
      </w:r>
      <w:r w:rsidRPr="00AD5466" w:rsidR="00AE7B19">
        <w:rPr>
          <w:rFonts w:eastAsia="Times New Roman"/>
          <w:sz w:val="24"/>
          <w:szCs w:val="24"/>
        </w:rPr>
        <w:t>’</w:t>
      </w:r>
      <w:r w:rsidRPr="00AD5466" w:rsidR="00370578">
        <w:rPr>
          <w:rFonts w:eastAsia="Times New Roman"/>
          <w:sz w:val="24"/>
          <w:szCs w:val="24"/>
        </w:rPr>
        <w:t xml:space="preserve">s </w:t>
      </w:r>
      <w:r w:rsidRPr="00AD5466" w:rsidR="00AE7B19">
        <w:rPr>
          <w:rFonts w:eastAsia="Times New Roman"/>
          <w:sz w:val="24"/>
          <w:szCs w:val="24"/>
        </w:rPr>
        <w:t>“</w:t>
      </w:r>
      <w:r w:rsidRPr="00AD5466" w:rsidR="00370578">
        <w:rPr>
          <w:rFonts w:eastAsia="Times New Roman"/>
          <w:sz w:val="24"/>
          <w:szCs w:val="24"/>
        </w:rPr>
        <w:t>Section 8</w:t>
      </w:r>
      <w:r w:rsidRPr="00AD5466" w:rsidR="00AE7B19">
        <w:rPr>
          <w:rFonts w:eastAsia="Times New Roman"/>
          <w:sz w:val="24"/>
          <w:szCs w:val="24"/>
        </w:rPr>
        <w:t>”</w:t>
      </w:r>
      <w:r w:rsidRPr="00AD5466" w:rsidR="00370578">
        <w:rPr>
          <w:rFonts w:eastAsia="Times New Roman"/>
          <w:sz w:val="24"/>
          <w:szCs w:val="24"/>
        </w:rPr>
        <w:t xml:space="preserve"> program in Columbus.</w:t>
      </w:r>
      <w:r>
        <w:rPr>
          <w:rStyle w:val="FootnoteReference"/>
          <w:rFonts w:eastAsia="Times New Roman"/>
          <w:sz w:val="24"/>
          <w:szCs w:val="24"/>
        </w:rPr>
        <w:footnoteReference w:id="42"/>
      </w:r>
      <w:r w:rsidRPr="00AD5466" w:rsidR="00E45CD4">
        <w:rPr>
          <w:rFonts w:eastAsia="Times New Roman"/>
          <w:sz w:val="24"/>
          <w:szCs w:val="24"/>
        </w:rPr>
        <w:t xml:space="preserve"> There is </w:t>
      </w:r>
      <w:r w:rsidRPr="00AD5466" w:rsidR="0002080D">
        <w:rPr>
          <w:rFonts w:eastAsia="Times New Roman"/>
          <w:sz w:val="24"/>
          <w:szCs w:val="24"/>
        </w:rPr>
        <w:t xml:space="preserve">no evidence </w:t>
      </w:r>
      <w:r w:rsidRPr="00AD5466" w:rsidR="00E45CD4">
        <w:rPr>
          <w:rFonts w:eastAsia="Times New Roman"/>
          <w:sz w:val="24"/>
          <w:szCs w:val="24"/>
        </w:rPr>
        <w:t xml:space="preserve">that </w:t>
      </w:r>
      <w:r w:rsidRPr="00AD5466" w:rsidR="00370578">
        <w:rPr>
          <w:rFonts w:eastAsia="Times New Roman"/>
          <w:sz w:val="24"/>
          <w:szCs w:val="24"/>
        </w:rPr>
        <w:t>Northtowne</w:t>
      </w:r>
      <w:r w:rsidRPr="00AD5466" w:rsidR="0002080D">
        <w:rPr>
          <w:rFonts w:eastAsia="Times New Roman"/>
          <w:sz w:val="24"/>
          <w:szCs w:val="24"/>
        </w:rPr>
        <w:t xml:space="preserve"> residents are even eligible for that program.</w:t>
      </w:r>
      <w:r w:rsidRPr="00AD5466" w:rsidR="00370578">
        <w:rPr>
          <w:rFonts w:eastAsia="Times New Roman"/>
          <w:sz w:val="24"/>
          <w:szCs w:val="24"/>
        </w:rPr>
        <w:t xml:space="preserve"> </w:t>
      </w:r>
      <w:r w:rsidRPr="00AD5466" w:rsidR="0002080D">
        <w:rPr>
          <w:rFonts w:eastAsia="Times New Roman"/>
          <w:sz w:val="24"/>
          <w:szCs w:val="24"/>
        </w:rPr>
        <w:t xml:space="preserve">And even if they were, </w:t>
      </w:r>
      <w:r w:rsidRPr="00AD5466" w:rsidR="00E45CD4">
        <w:rPr>
          <w:rFonts w:eastAsia="Times New Roman"/>
          <w:sz w:val="24"/>
          <w:szCs w:val="24"/>
        </w:rPr>
        <w:t>it is unclear how</w:t>
      </w:r>
      <w:r w:rsidRPr="00AD5466" w:rsidR="0002080D">
        <w:rPr>
          <w:rFonts w:eastAsia="Times New Roman"/>
          <w:sz w:val="24"/>
          <w:szCs w:val="24"/>
        </w:rPr>
        <w:t xml:space="preserve"> </w:t>
      </w:r>
      <w:r w:rsidRPr="00AD5466" w:rsidR="00A60664">
        <w:rPr>
          <w:rFonts w:eastAsia="Times New Roman"/>
          <w:sz w:val="24"/>
          <w:szCs w:val="24"/>
        </w:rPr>
        <w:t>t</w:t>
      </w:r>
      <w:r w:rsidRPr="00AD5466" w:rsidR="00DA2B4B">
        <w:rPr>
          <w:rFonts w:eastAsia="Times New Roman"/>
          <w:sz w:val="24"/>
          <w:szCs w:val="24"/>
        </w:rPr>
        <w:t xml:space="preserve">he CMHA Section 8 program </w:t>
      </w:r>
      <w:r w:rsidRPr="00AD5466" w:rsidR="00E45CD4">
        <w:rPr>
          <w:rFonts w:eastAsia="Times New Roman"/>
          <w:sz w:val="24"/>
          <w:szCs w:val="24"/>
        </w:rPr>
        <w:t xml:space="preserve">would </w:t>
      </w:r>
      <w:r w:rsidRPr="00AD5466" w:rsidR="00DA2B4B">
        <w:rPr>
          <w:rFonts w:eastAsia="Times New Roman"/>
          <w:sz w:val="24"/>
          <w:szCs w:val="24"/>
        </w:rPr>
        <w:t xml:space="preserve">substitute for </w:t>
      </w:r>
      <w:r w:rsidRPr="00AD5466" w:rsidR="00E45CD4">
        <w:rPr>
          <w:rFonts w:eastAsia="Times New Roman"/>
          <w:sz w:val="24"/>
          <w:szCs w:val="24"/>
        </w:rPr>
        <w:t xml:space="preserve">the legal protections </w:t>
      </w:r>
      <w:r w:rsidRPr="00AD5466" w:rsidR="00DA2B4B">
        <w:rPr>
          <w:rFonts w:eastAsia="Times New Roman"/>
          <w:sz w:val="24"/>
          <w:szCs w:val="24"/>
        </w:rPr>
        <w:t>Northtowne residents</w:t>
      </w:r>
      <w:r w:rsidRPr="00AD5466" w:rsidR="00A60664">
        <w:rPr>
          <w:rFonts w:eastAsia="Times New Roman"/>
          <w:sz w:val="24"/>
          <w:szCs w:val="24"/>
        </w:rPr>
        <w:t xml:space="preserve"> will lose if </w:t>
      </w:r>
      <w:r w:rsidRPr="00AD5466" w:rsidR="00DA2B4B">
        <w:rPr>
          <w:rFonts w:eastAsia="Times New Roman"/>
          <w:sz w:val="24"/>
          <w:szCs w:val="24"/>
        </w:rPr>
        <w:t>AEP Ohio</w:t>
      </w:r>
      <w:r w:rsidRPr="00AD5466" w:rsidR="00A60664">
        <w:rPr>
          <w:rFonts w:eastAsia="Times New Roman"/>
          <w:sz w:val="24"/>
          <w:szCs w:val="24"/>
        </w:rPr>
        <w:t xml:space="preserve"> application </w:t>
      </w:r>
      <w:r w:rsidRPr="00AD5466" w:rsidR="00DA2B4B">
        <w:rPr>
          <w:rFonts w:eastAsia="Times New Roman"/>
          <w:sz w:val="24"/>
          <w:szCs w:val="24"/>
        </w:rPr>
        <w:t xml:space="preserve">to </w:t>
      </w:r>
      <w:r w:rsidRPr="00AD5466" w:rsidR="00A60664">
        <w:rPr>
          <w:rFonts w:eastAsia="Times New Roman"/>
          <w:sz w:val="24"/>
          <w:szCs w:val="24"/>
        </w:rPr>
        <w:t>a</w:t>
      </w:r>
      <w:r w:rsidRPr="00AD5466" w:rsidR="00DA2B4B">
        <w:rPr>
          <w:rFonts w:eastAsia="Times New Roman"/>
          <w:sz w:val="24"/>
          <w:szCs w:val="24"/>
        </w:rPr>
        <w:t>bandon is approved.</w:t>
      </w:r>
    </w:p>
    <w:p w:rsidR="00DA2B4B" w:rsidRPr="00AD5466" w:rsidP="00AC1C67" w14:paraId="1F09EC25" w14:textId="0E3AD8A4">
      <w:pPr>
        <w:spacing w:after="0" w:line="480" w:lineRule="auto"/>
        <w:ind w:firstLine="720"/>
        <w:rPr>
          <w:rFonts w:eastAsia="Times New Roman"/>
          <w:sz w:val="24"/>
          <w:szCs w:val="24"/>
        </w:rPr>
      </w:pPr>
      <w:r w:rsidRPr="00AD5466">
        <w:rPr>
          <w:rFonts w:eastAsia="Times New Roman"/>
          <w:sz w:val="24"/>
          <w:szCs w:val="24"/>
        </w:rPr>
        <w:t xml:space="preserve">NEP </w:t>
      </w:r>
      <w:r w:rsidRPr="00AD5466" w:rsidR="00E45CD4">
        <w:rPr>
          <w:rFonts w:eastAsia="Times New Roman"/>
          <w:sz w:val="24"/>
          <w:szCs w:val="24"/>
        </w:rPr>
        <w:t xml:space="preserve">also claims </w:t>
      </w:r>
      <w:r w:rsidRPr="00AD5466">
        <w:rPr>
          <w:rFonts w:eastAsia="Times New Roman"/>
          <w:sz w:val="24"/>
          <w:szCs w:val="24"/>
        </w:rPr>
        <w:t>that the Home Energy Assistance Program funded by the U.S. Dept. of Health and Human Services (</w:t>
      </w:r>
      <w:r w:rsidRPr="00AD5466" w:rsidR="00AE7B19">
        <w:rPr>
          <w:rFonts w:eastAsia="Times New Roman"/>
          <w:sz w:val="24"/>
          <w:szCs w:val="24"/>
        </w:rPr>
        <w:t>“</w:t>
      </w:r>
      <w:r w:rsidRPr="00AD5466">
        <w:rPr>
          <w:rFonts w:eastAsia="Times New Roman"/>
          <w:sz w:val="24"/>
          <w:szCs w:val="24"/>
        </w:rPr>
        <w:t>HEAP</w:t>
      </w:r>
      <w:r w:rsidRPr="00AD5466" w:rsidR="00AE7B19">
        <w:rPr>
          <w:rFonts w:eastAsia="Times New Roman"/>
          <w:sz w:val="24"/>
          <w:szCs w:val="24"/>
        </w:rPr>
        <w:t>”</w:t>
      </w:r>
      <w:r w:rsidRPr="00AD5466">
        <w:rPr>
          <w:rFonts w:eastAsia="Times New Roman"/>
          <w:sz w:val="24"/>
          <w:szCs w:val="24"/>
        </w:rPr>
        <w:t xml:space="preserve">) </w:t>
      </w:r>
      <w:r w:rsidRPr="00AD5466" w:rsidR="00E45CD4">
        <w:rPr>
          <w:rFonts w:eastAsia="Times New Roman"/>
          <w:sz w:val="24"/>
          <w:szCs w:val="24"/>
        </w:rPr>
        <w:t xml:space="preserve">protects </w:t>
      </w:r>
      <w:r w:rsidRPr="00AD5466">
        <w:rPr>
          <w:rFonts w:eastAsia="Times New Roman"/>
          <w:sz w:val="24"/>
          <w:szCs w:val="24"/>
        </w:rPr>
        <w:t>Northtowne residents</w:t>
      </w:r>
      <w:r w:rsidRPr="00AD5466" w:rsidR="00E45CD4">
        <w:rPr>
          <w:rFonts w:eastAsia="Times New Roman"/>
          <w:sz w:val="24"/>
          <w:szCs w:val="24"/>
        </w:rPr>
        <w:t xml:space="preserve"> who will</w:t>
      </w:r>
      <w:r w:rsidRPr="00AD5466">
        <w:rPr>
          <w:rFonts w:eastAsia="Times New Roman"/>
          <w:sz w:val="24"/>
          <w:szCs w:val="24"/>
        </w:rPr>
        <w:t xml:space="preserve"> los</w:t>
      </w:r>
      <w:r w:rsidRPr="00AD5466" w:rsidR="00E45CD4">
        <w:rPr>
          <w:rFonts w:eastAsia="Times New Roman"/>
          <w:sz w:val="24"/>
          <w:szCs w:val="24"/>
        </w:rPr>
        <w:t>e</w:t>
      </w:r>
      <w:r w:rsidRPr="00AD5466">
        <w:rPr>
          <w:rFonts w:eastAsia="Times New Roman"/>
          <w:sz w:val="24"/>
          <w:szCs w:val="24"/>
        </w:rPr>
        <w:t xml:space="preserve"> PIPP and other</w:t>
      </w:r>
      <w:r w:rsidRPr="00AD5466" w:rsidR="00E45CD4">
        <w:rPr>
          <w:rFonts w:eastAsia="Times New Roman"/>
          <w:sz w:val="24"/>
          <w:szCs w:val="24"/>
        </w:rPr>
        <w:t xml:space="preserve"> budget-billing protections</w:t>
      </w:r>
      <w:r w:rsidRPr="00AD5466">
        <w:rPr>
          <w:rFonts w:eastAsia="Times New Roman"/>
          <w:sz w:val="24"/>
          <w:szCs w:val="24"/>
        </w:rPr>
        <w:t>.</w:t>
      </w:r>
      <w:r>
        <w:rPr>
          <w:rStyle w:val="FootnoteReference"/>
          <w:rFonts w:eastAsia="Times New Roman"/>
          <w:sz w:val="24"/>
          <w:szCs w:val="24"/>
        </w:rPr>
        <w:footnoteReference w:id="43"/>
      </w:r>
      <w:r w:rsidRPr="00AD5466" w:rsidR="00AE7B19">
        <w:rPr>
          <w:rFonts w:eastAsia="Times New Roman"/>
          <w:sz w:val="24"/>
          <w:szCs w:val="24"/>
        </w:rPr>
        <w:t xml:space="preserve"> </w:t>
      </w:r>
      <w:r w:rsidRPr="00AD5466" w:rsidR="00E45CD4">
        <w:rPr>
          <w:rFonts w:eastAsia="Times New Roman"/>
          <w:sz w:val="24"/>
          <w:szCs w:val="24"/>
        </w:rPr>
        <w:t>While HEAP does help</w:t>
      </w:r>
      <w:r w:rsidRPr="00AD5466" w:rsidR="00865175">
        <w:rPr>
          <w:rFonts w:eastAsia="Times New Roman"/>
          <w:sz w:val="24"/>
          <w:szCs w:val="24"/>
        </w:rPr>
        <w:t xml:space="preserve"> at-risk Ohioans, it will not replace the rights consumers will lose if AEP Ohio abandons service to Northtowne.</w:t>
      </w:r>
      <w:r w:rsidRPr="00AD5466" w:rsidR="00A60664">
        <w:rPr>
          <w:rFonts w:eastAsia="Times New Roman"/>
          <w:sz w:val="24"/>
          <w:szCs w:val="24"/>
        </w:rPr>
        <w:t xml:space="preserve"> </w:t>
      </w:r>
      <w:r w:rsidRPr="00AD5466" w:rsidR="00C73650">
        <w:rPr>
          <w:rFonts w:eastAsia="Times New Roman"/>
          <w:sz w:val="24"/>
          <w:szCs w:val="24"/>
        </w:rPr>
        <w:t>As explained on the PUCO</w:t>
      </w:r>
      <w:r w:rsidRPr="00AD5466" w:rsidR="00AE7B19">
        <w:rPr>
          <w:rFonts w:eastAsia="Times New Roman"/>
          <w:sz w:val="24"/>
          <w:szCs w:val="24"/>
        </w:rPr>
        <w:t>’</w:t>
      </w:r>
      <w:r w:rsidRPr="00AD5466" w:rsidR="00C73650">
        <w:rPr>
          <w:rFonts w:eastAsia="Times New Roman"/>
          <w:sz w:val="24"/>
          <w:szCs w:val="24"/>
        </w:rPr>
        <w:t xml:space="preserve">s website, </w:t>
      </w:r>
      <w:r w:rsidRPr="00AD5466">
        <w:rPr>
          <w:rFonts w:eastAsia="Times New Roman"/>
          <w:sz w:val="24"/>
          <w:szCs w:val="24"/>
        </w:rPr>
        <w:t xml:space="preserve">HEAP provides a one-time payment for </w:t>
      </w:r>
      <w:r w:rsidRPr="00AD5466" w:rsidR="00AE7B19">
        <w:rPr>
          <w:rFonts w:eastAsia="Times New Roman"/>
          <w:sz w:val="24"/>
          <w:szCs w:val="24"/>
        </w:rPr>
        <w:t>“</w:t>
      </w:r>
      <w:r w:rsidRPr="00AD5466">
        <w:rPr>
          <w:rFonts w:eastAsia="Times New Roman"/>
          <w:sz w:val="24"/>
          <w:szCs w:val="24"/>
        </w:rPr>
        <w:t>high costs of home heating.</w:t>
      </w:r>
      <w:r w:rsidRPr="00AD5466" w:rsidR="00AE7B19">
        <w:rPr>
          <w:rFonts w:eastAsia="Times New Roman"/>
          <w:sz w:val="24"/>
          <w:szCs w:val="24"/>
        </w:rPr>
        <w:t>”</w:t>
      </w:r>
      <w:r>
        <w:rPr>
          <w:rStyle w:val="FootnoteReference"/>
          <w:rFonts w:eastAsia="Times New Roman"/>
          <w:sz w:val="24"/>
          <w:szCs w:val="24"/>
        </w:rPr>
        <w:footnoteReference w:id="44"/>
      </w:r>
      <w:r w:rsidRPr="00AD5466" w:rsidR="00AE7B19">
        <w:rPr>
          <w:rFonts w:eastAsia="Times New Roman"/>
          <w:sz w:val="24"/>
          <w:szCs w:val="24"/>
        </w:rPr>
        <w:t xml:space="preserve"> </w:t>
      </w:r>
      <w:r w:rsidRPr="00AD5466" w:rsidR="00865175">
        <w:rPr>
          <w:rFonts w:eastAsia="Times New Roman"/>
          <w:sz w:val="24"/>
          <w:szCs w:val="24"/>
        </w:rPr>
        <w:t xml:space="preserve">HEAP </w:t>
      </w:r>
      <w:r w:rsidRPr="00AD5466" w:rsidR="008E4742">
        <w:rPr>
          <w:rFonts w:eastAsia="Times New Roman"/>
          <w:sz w:val="24"/>
          <w:szCs w:val="24"/>
        </w:rPr>
        <w:t>is a seasonal program</w:t>
      </w:r>
      <w:r w:rsidRPr="00AD5466" w:rsidR="00865175">
        <w:rPr>
          <w:rFonts w:eastAsia="Times New Roman"/>
          <w:sz w:val="24"/>
          <w:szCs w:val="24"/>
        </w:rPr>
        <w:t>,</w:t>
      </w:r>
      <w:r w:rsidRPr="00AD5466" w:rsidR="008E4742">
        <w:rPr>
          <w:rFonts w:eastAsia="Times New Roman"/>
          <w:sz w:val="24"/>
          <w:szCs w:val="24"/>
        </w:rPr>
        <w:t xml:space="preserve"> not a program with monthly benefits like the PIPP program</w:t>
      </w:r>
      <w:r w:rsidRPr="00AD5466" w:rsidR="00094660">
        <w:rPr>
          <w:rFonts w:eastAsia="Times New Roman"/>
          <w:sz w:val="24"/>
          <w:szCs w:val="24"/>
        </w:rPr>
        <w:t>,</w:t>
      </w:r>
      <w:r w:rsidRPr="00AD5466" w:rsidR="00AE7B19">
        <w:rPr>
          <w:rFonts w:eastAsia="Times New Roman"/>
          <w:sz w:val="24"/>
          <w:szCs w:val="24"/>
        </w:rPr>
        <w:t xml:space="preserve"> </w:t>
      </w:r>
      <w:r w:rsidRPr="00AD5466" w:rsidR="00094660">
        <w:rPr>
          <w:rFonts w:eastAsia="Times New Roman"/>
          <w:sz w:val="24"/>
          <w:szCs w:val="24"/>
        </w:rPr>
        <w:t>and it</w:t>
      </w:r>
      <w:r w:rsidRPr="00AD5466" w:rsidR="00C73650">
        <w:rPr>
          <w:rFonts w:eastAsia="Times New Roman"/>
          <w:sz w:val="24"/>
          <w:szCs w:val="24"/>
        </w:rPr>
        <w:t xml:space="preserve"> is no replacement for </w:t>
      </w:r>
      <w:r w:rsidRPr="00AD5466" w:rsidR="003051F4">
        <w:rPr>
          <w:rFonts w:eastAsia="Times New Roman"/>
          <w:sz w:val="24"/>
          <w:szCs w:val="24"/>
        </w:rPr>
        <w:t>year</w:t>
      </w:r>
      <w:r w:rsidRPr="00AD5466" w:rsidR="00A20795">
        <w:rPr>
          <w:rFonts w:eastAsia="Times New Roman"/>
          <w:sz w:val="24"/>
          <w:szCs w:val="24"/>
        </w:rPr>
        <w:t>-</w:t>
      </w:r>
      <w:r w:rsidRPr="00AD5466" w:rsidR="003051F4">
        <w:rPr>
          <w:rFonts w:eastAsia="Times New Roman"/>
          <w:sz w:val="24"/>
          <w:szCs w:val="24"/>
        </w:rPr>
        <w:t xml:space="preserve">round </w:t>
      </w:r>
      <w:r w:rsidRPr="00AD5466" w:rsidR="00C73650">
        <w:rPr>
          <w:rFonts w:eastAsia="Times New Roman"/>
          <w:sz w:val="24"/>
          <w:szCs w:val="24"/>
        </w:rPr>
        <w:t>lost benefits on their electric bills resulting from submetering.</w:t>
      </w:r>
      <w:r w:rsidRPr="00AD5466" w:rsidR="002A43F6">
        <w:rPr>
          <w:rStyle w:val="FootnoteReference"/>
          <w:rFonts w:eastAsia="Times New Roman"/>
          <w:sz w:val="24"/>
          <w:szCs w:val="24"/>
        </w:rPr>
        <w:t xml:space="preserve"> </w:t>
      </w:r>
    </w:p>
    <w:p w:rsidR="00FE4875" w:rsidRPr="00AD5466" w:rsidP="00397B4D" w14:paraId="0AB05FB7" w14:textId="764B0347">
      <w:pPr>
        <w:spacing w:after="0" w:line="480" w:lineRule="auto"/>
        <w:ind w:firstLine="720"/>
        <w:rPr>
          <w:rFonts w:eastAsia="Times New Roman"/>
          <w:sz w:val="24"/>
          <w:szCs w:val="24"/>
        </w:rPr>
      </w:pPr>
      <w:r w:rsidRPr="00AD5466">
        <w:rPr>
          <w:rFonts w:eastAsia="Times New Roman"/>
          <w:sz w:val="24"/>
          <w:szCs w:val="24"/>
        </w:rPr>
        <w:t xml:space="preserve">Grasping at straws, </w:t>
      </w:r>
      <w:r w:rsidRPr="00AD5466" w:rsidR="008E4742">
        <w:rPr>
          <w:rFonts w:eastAsia="Times New Roman"/>
          <w:sz w:val="24"/>
          <w:szCs w:val="24"/>
        </w:rPr>
        <w:t xml:space="preserve">NEP </w:t>
      </w:r>
      <w:r w:rsidRPr="00AD5466">
        <w:rPr>
          <w:rFonts w:eastAsia="Times New Roman"/>
          <w:sz w:val="24"/>
          <w:szCs w:val="24"/>
        </w:rPr>
        <w:t xml:space="preserve">also </w:t>
      </w:r>
      <w:r w:rsidRPr="00AD5466" w:rsidR="00FE18ED">
        <w:rPr>
          <w:rFonts w:eastAsia="Times New Roman"/>
          <w:sz w:val="24"/>
          <w:szCs w:val="24"/>
        </w:rPr>
        <w:t>claims</w:t>
      </w:r>
      <w:r w:rsidRPr="00AD5466" w:rsidR="00AD1A95">
        <w:rPr>
          <w:rFonts w:eastAsia="Times New Roman"/>
          <w:sz w:val="24"/>
          <w:szCs w:val="24"/>
        </w:rPr>
        <w:t xml:space="preserve"> that </w:t>
      </w:r>
      <w:r w:rsidRPr="00AD5466" w:rsidR="008E4742">
        <w:rPr>
          <w:rFonts w:eastAsia="Times New Roman"/>
          <w:sz w:val="24"/>
          <w:szCs w:val="24"/>
        </w:rPr>
        <w:t xml:space="preserve">the </w:t>
      </w:r>
      <w:r w:rsidRPr="00AD5466" w:rsidR="00AE7B19">
        <w:rPr>
          <w:rFonts w:eastAsia="Times New Roman"/>
          <w:sz w:val="24"/>
          <w:szCs w:val="24"/>
        </w:rPr>
        <w:t>“</w:t>
      </w:r>
      <w:r w:rsidRPr="00AD5466" w:rsidR="008E4742">
        <w:rPr>
          <w:rFonts w:eastAsia="Times New Roman"/>
          <w:sz w:val="24"/>
          <w:szCs w:val="24"/>
        </w:rPr>
        <w:t>American Rescue Plan Act for 2021</w:t>
      </w:r>
      <w:r w:rsidRPr="00AD5466" w:rsidR="00AE7B19">
        <w:rPr>
          <w:rFonts w:eastAsia="Times New Roman"/>
          <w:sz w:val="24"/>
          <w:szCs w:val="24"/>
        </w:rPr>
        <w:t>”</w:t>
      </w:r>
      <w:r w:rsidRPr="00AD5466" w:rsidR="00AD1A95">
        <w:rPr>
          <w:rFonts w:eastAsia="Times New Roman"/>
          <w:sz w:val="24"/>
          <w:szCs w:val="24"/>
        </w:rPr>
        <w:t xml:space="preserve"> can help</w:t>
      </w:r>
      <w:r w:rsidRPr="00AD5466">
        <w:rPr>
          <w:rFonts w:eastAsia="Times New Roman"/>
          <w:sz w:val="24"/>
          <w:szCs w:val="24"/>
        </w:rPr>
        <w:t xml:space="preserve"> Northtowne residents.</w:t>
      </w:r>
      <w:r>
        <w:rPr>
          <w:rStyle w:val="FootnoteReference"/>
          <w:rFonts w:eastAsia="Times New Roman"/>
          <w:sz w:val="24"/>
          <w:szCs w:val="24"/>
        </w:rPr>
        <w:footnoteReference w:id="45"/>
      </w:r>
      <w:r w:rsidRPr="00AD5466" w:rsidR="00AE7B19">
        <w:rPr>
          <w:rFonts w:eastAsia="Times New Roman"/>
          <w:sz w:val="24"/>
          <w:szCs w:val="24"/>
        </w:rPr>
        <w:t xml:space="preserve"> </w:t>
      </w:r>
      <w:r w:rsidRPr="00AD5466" w:rsidR="00FE18ED">
        <w:rPr>
          <w:rFonts w:eastAsia="Times New Roman"/>
          <w:sz w:val="24"/>
          <w:szCs w:val="24"/>
        </w:rPr>
        <w:t xml:space="preserve">That argument should be rejected too. According to </w:t>
      </w:r>
      <w:r w:rsidRPr="00AD5466" w:rsidR="003051F4">
        <w:rPr>
          <w:rFonts w:eastAsia="Times New Roman"/>
          <w:sz w:val="24"/>
          <w:szCs w:val="24"/>
        </w:rPr>
        <w:t>NEP</w:t>
      </w:r>
      <w:r w:rsidRPr="00AD5466" w:rsidR="00FE18ED">
        <w:rPr>
          <w:rFonts w:eastAsia="Times New Roman"/>
          <w:sz w:val="24"/>
          <w:szCs w:val="24"/>
        </w:rPr>
        <w:t xml:space="preserve">, </w:t>
      </w:r>
      <w:r w:rsidRPr="00AD5466" w:rsidR="003051F4">
        <w:rPr>
          <w:rFonts w:eastAsia="Times New Roman"/>
          <w:sz w:val="24"/>
          <w:szCs w:val="24"/>
        </w:rPr>
        <w:t>this program is managed by IMPACT Community Action in central Ohio.</w:t>
      </w:r>
      <w:r>
        <w:rPr>
          <w:rStyle w:val="FootnoteReference"/>
          <w:rFonts w:eastAsia="Times New Roman"/>
          <w:sz w:val="24"/>
          <w:szCs w:val="24"/>
        </w:rPr>
        <w:footnoteReference w:id="46"/>
      </w:r>
      <w:r w:rsidRPr="00AD5466" w:rsidR="00AE7B19">
        <w:rPr>
          <w:rFonts w:eastAsia="Times New Roman"/>
          <w:sz w:val="24"/>
          <w:szCs w:val="24"/>
        </w:rPr>
        <w:t xml:space="preserve"> </w:t>
      </w:r>
      <w:r w:rsidRPr="00AD5466" w:rsidR="003051F4">
        <w:rPr>
          <w:rFonts w:eastAsia="Times New Roman"/>
          <w:sz w:val="24"/>
          <w:szCs w:val="24"/>
        </w:rPr>
        <w:t xml:space="preserve">However, the </w:t>
      </w:r>
      <w:r w:rsidRPr="00AD5466" w:rsidR="00FE18ED">
        <w:rPr>
          <w:rFonts w:eastAsia="Times New Roman"/>
          <w:sz w:val="24"/>
          <w:szCs w:val="24"/>
        </w:rPr>
        <w:t>web</w:t>
      </w:r>
      <w:r w:rsidRPr="00AD5466" w:rsidR="003051F4">
        <w:rPr>
          <w:rFonts w:eastAsia="Times New Roman"/>
          <w:sz w:val="24"/>
          <w:szCs w:val="24"/>
        </w:rPr>
        <w:t xml:space="preserve"> page</w:t>
      </w:r>
      <w:r w:rsidRPr="00AD5466" w:rsidR="00FE18ED">
        <w:rPr>
          <w:rFonts w:eastAsia="Times New Roman"/>
          <w:sz w:val="24"/>
          <w:szCs w:val="24"/>
        </w:rPr>
        <w:t xml:space="preserve"> cited by NEP</w:t>
      </w:r>
      <w:r w:rsidRPr="00AD5466" w:rsidR="003051F4">
        <w:rPr>
          <w:rFonts w:eastAsia="Times New Roman"/>
          <w:sz w:val="24"/>
          <w:szCs w:val="24"/>
        </w:rPr>
        <w:t xml:space="preserve"> does not even mention the </w:t>
      </w:r>
      <w:r w:rsidRPr="00AD5466" w:rsidR="00AE7B19">
        <w:rPr>
          <w:rFonts w:eastAsia="Times New Roman"/>
          <w:sz w:val="24"/>
          <w:szCs w:val="24"/>
        </w:rPr>
        <w:t>“</w:t>
      </w:r>
      <w:r w:rsidRPr="00AD5466" w:rsidR="003051F4">
        <w:rPr>
          <w:rFonts w:eastAsia="Times New Roman"/>
          <w:sz w:val="24"/>
          <w:szCs w:val="24"/>
        </w:rPr>
        <w:t>American Rescue Plan Act 2021</w:t>
      </w:r>
      <w:r w:rsidRPr="00AD5466" w:rsidR="003B0662">
        <w:rPr>
          <w:rFonts w:eastAsia="Times New Roman"/>
          <w:sz w:val="24"/>
          <w:szCs w:val="24"/>
        </w:rPr>
        <w:t>.</w:t>
      </w:r>
      <w:r w:rsidRPr="00AD5466" w:rsidR="00AE7B19">
        <w:rPr>
          <w:rFonts w:eastAsia="Times New Roman"/>
          <w:sz w:val="24"/>
          <w:szCs w:val="24"/>
        </w:rPr>
        <w:t xml:space="preserve">” </w:t>
      </w:r>
      <w:r w:rsidRPr="00AD5466" w:rsidR="003051F4">
        <w:rPr>
          <w:rFonts w:eastAsia="Times New Roman"/>
          <w:sz w:val="24"/>
          <w:szCs w:val="24"/>
        </w:rPr>
        <w:t xml:space="preserve">NEP </w:t>
      </w:r>
      <w:r w:rsidRPr="00AD5466" w:rsidR="00FE18ED">
        <w:rPr>
          <w:rFonts w:eastAsia="Times New Roman"/>
          <w:sz w:val="24"/>
          <w:szCs w:val="24"/>
        </w:rPr>
        <w:t>also cite</w:t>
      </w:r>
      <w:r w:rsidR="0051576B">
        <w:rPr>
          <w:rFonts w:eastAsia="Times New Roman"/>
          <w:sz w:val="24"/>
          <w:szCs w:val="24"/>
        </w:rPr>
        <w:t>s</w:t>
      </w:r>
      <w:r w:rsidRPr="00AD5466" w:rsidR="003051F4">
        <w:rPr>
          <w:rFonts w:eastAsia="Times New Roman"/>
          <w:sz w:val="24"/>
          <w:szCs w:val="24"/>
        </w:rPr>
        <w:t xml:space="preserve"> 15 U.S.C. §</w:t>
      </w:r>
      <w:r w:rsidRPr="00AD5466">
        <w:rPr>
          <w:rFonts w:eastAsia="Times New Roman"/>
          <w:sz w:val="24"/>
          <w:szCs w:val="24"/>
        </w:rPr>
        <w:t xml:space="preserve"> </w:t>
      </w:r>
      <w:r w:rsidRPr="00AD5466" w:rsidR="003051F4">
        <w:rPr>
          <w:rFonts w:eastAsia="Times New Roman"/>
          <w:sz w:val="24"/>
          <w:szCs w:val="24"/>
        </w:rPr>
        <w:t>9058(c)</w:t>
      </w:r>
      <w:r w:rsidRPr="00AD5466" w:rsidR="00FE18ED">
        <w:rPr>
          <w:rFonts w:eastAsia="Times New Roman"/>
          <w:sz w:val="24"/>
          <w:szCs w:val="24"/>
        </w:rPr>
        <w:t>,</w:t>
      </w:r>
      <w:r w:rsidRPr="00AD5466" w:rsidR="003051F4">
        <w:rPr>
          <w:rFonts w:eastAsia="Times New Roman"/>
          <w:sz w:val="24"/>
          <w:szCs w:val="24"/>
        </w:rPr>
        <w:t xml:space="preserve"> which is a provision for a temporary moratorium on eviction</w:t>
      </w:r>
      <w:r w:rsidRPr="00AD5466" w:rsidR="00FE18ED">
        <w:rPr>
          <w:rFonts w:eastAsia="Times New Roman"/>
          <w:sz w:val="24"/>
          <w:szCs w:val="24"/>
        </w:rPr>
        <w:t>s</w:t>
      </w:r>
      <w:r w:rsidRPr="00AD5466" w:rsidR="003051F4">
        <w:rPr>
          <w:rFonts w:eastAsia="Times New Roman"/>
          <w:sz w:val="24"/>
          <w:szCs w:val="24"/>
        </w:rPr>
        <w:t xml:space="preserve"> during the</w:t>
      </w:r>
      <w:r w:rsidRPr="00AD5466" w:rsidR="00FE18ED">
        <w:rPr>
          <w:rFonts w:eastAsia="Times New Roman"/>
          <w:sz w:val="24"/>
          <w:szCs w:val="24"/>
        </w:rPr>
        <w:t xml:space="preserve"> pandemic</w:t>
      </w:r>
      <w:r w:rsidRPr="00AD5466" w:rsidR="003051F4">
        <w:rPr>
          <w:rFonts w:eastAsia="Times New Roman"/>
          <w:sz w:val="24"/>
          <w:szCs w:val="24"/>
        </w:rPr>
        <w:t>.</w:t>
      </w:r>
      <w:r>
        <w:rPr>
          <w:rStyle w:val="FootnoteReference"/>
          <w:rFonts w:eastAsia="Times New Roman"/>
          <w:sz w:val="24"/>
          <w:szCs w:val="24"/>
        </w:rPr>
        <w:footnoteReference w:id="47"/>
      </w:r>
      <w:r w:rsidRPr="00AD5466" w:rsidR="00AE7B19">
        <w:rPr>
          <w:rFonts w:eastAsia="Times New Roman"/>
          <w:sz w:val="24"/>
          <w:szCs w:val="24"/>
        </w:rPr>
        <w:t xml:space="preserve"> </w:t>
      </w:r>
      <w:r w:rsidRPr="00AD5466" w:rsidR="003051F4">
        <w:rPr>
          <w:rFonts w:eastAsia="Times New Roman"/>
          <w:sz w:val="24"/>
          <w:szCs w:val="24"/>
        </w:rPr>
        <w:t xml:space="preserve">Again, NEP provides no evidence </w:t>
      </w:r>
      <w:r w:rsidRPr="00AD5466" w:rsidR="00FE18ED">
        <w:rPr>
          <w:rFonts w:eastAsia="Times New Roman"/>
          <w:sz w:val="24"/>
          <w:szCs w:val="24"/>
        </w:rPr>
        <w:t xml:space="preserve">as to </w:t>
      </w:r>
      <w:r w:rsidRPr="00AD5466" w:rsidR="00A20795">
        <w:rPr>
          <w:rFonts w:eastAsia="Times New Roman"/>
          <w:sz w:val="24"/>
          <w:szCs w:val="24"/>
        </w:rPr>
        <w:t>whether</w:t>
      </w:r>
      <w:r w:rsidRPr="00AD5466" w:rsidR="00FE18ED">
        <w:rPr>
          <w:rFonts w:eastAsia="Times New Roman"/>
          <w:sz w:val="24"/>
          <w:szCs w:val="24"/>
        </w:rPr>
        <w:t xml:space="preserve"> that program</w:t>
      </w:r>
      <w:r w:rsidRPr="00AD5466" w:rsidR="00A20795">
        <w:rPr>
          <w:rFonts w:eastAsia="Times New Roman"/>
          <w:sz w:val="24"/>
          <w:szCs w:val="24"/>
        </w:rPr>
        <w:t xml:space="preserve"> remains in effect,</w:t>
      </w:r>
      <w:r w:rsidRPr="00AD5466" w:rsidR="00FE18ED">
        <w:rPr>
          <w:rFonts w:eastAsia="Times New Roman"/>
          <w:sz w:val="24"/>
          <w:szCs w:val="24"/>
        </w:rPr>
        <w:t xml:space="preserve"> and if so,</w:t>
      </w:r>
      <w:r w:rsidRPr="00AD5466" w:rsidR="00A20795">
        <w:rPr>
          <w:rFonts w:eastAsia="Times New Roman"/>
          <w:sz w:val="24"/>
          <w:szCs w:val="24"/>
        </w:rPr>
        <w:t xml:space="preserve"> what assistance</w:t>
      </w:r>
      <w:r w:rsidRPr="00AD5466" w:rsidR="00FE18ED">
        <w:rPr>
          <w:rFonts w:eastAsia="Times New Roman"/>
          <w:sz w:val="24"/>
          <w:szCs w:val="24"/>
        </w:rPr>
        <w:t xml:space="preserve"> (if any)</w:t>
      </w:r>
      <w:r w:rsidRPr="00AD5466" w:rsidR="00A20795">
        <w:rPr>
          <w:rFonts w:eastAsia="Times New Roman"/>
          <w:sz w:val="24"/>
          <w:szCs w:val="24"/>
        </w:rPr>
        <w:t xml:space="preserve"> it provides for </w:t>
      </w:r>
      <w:r w:rsidRPr="00AD5466" w:rsidR="00FE18ED">
        <w:rPr>
          <w:rFonts w:eastAsia="Times New Roman"/>
          <w:sz w:val="24"/>
          <w:szCs w:val="24"/>
        </w:rPr>
        <w:t>residential utility consumers</w:t>
      </w:r>
      <w:r w:rsidRPr="00AD5466" w:rsidR="00AA548C">
        <w:rPr>
          <w:rFonts w:eastAsia="Times New Roman"/>
          <w:sz w:val="24"/>
          <w:szCs w:val="24"/>
        </w:rPr>
        <w:t xml:space="preserve">. It is pure speculation </w:t>
      </w:r>
      <w:r w:rsidRPr="00AD5466" w:rsidR="00FE18ED">
        <w:rPr>
          <w:rFonts w:eastAsia="Times New Roman"/>
          <w:sz w:val="24"/>
          <w:szCs w:val="24"/>
        </w:rPr>
        <w:t xml:space="preserve">by </w:t>
      </w:r>
      <w:r w:rsidRPr="00AD5466" w:rsidR="00AA548C">
        <w:rPr>
          <w:rFonts w:eastAsia="Times New Roman"/>
          <w:sz w:val="24"/>
          <w:szCs w:val="24"/>
        </w:rPr>
        <w:t xml:space="preserve">NEP that these programs would </w:t>
      </w:r>
      <w:r w:rsidRPr="00AD5466" w:rsidR="00397B4D">
        <w:rPr>
          <w:rFonts w:eastAsia="Times New Roman"/>
          <w:sz w:val="24"/>
          <w:szCs w:val="24"/>
        </w:rPr>
        <w:t xml:space="preserve">apply to </w:t>
      </w:r>
      <w:r w:rsidRPr="00AD5466" w:rsidR="003051F4">
        <w:rPr>
          <w:rFonts w:eastAsia="Times New Roman"/>
          <w:sz w:val="24"/>
          <w:szCs w:val="24"/>
        </w:rPr>
        <w:t>Northtowne residents</w:t>
      </w:r>
      <w:r w:rsidRPr="00AD5466" w:rsidR="00AA548C">
        <w:rPr>
          <w:rFonts w:eastAsia="Times New Roman"/>
          <w:sz w:val="24"/>
          <w:szCs w:val="24"/>
        </w:rPr>
        <w:t>, let alone make up for the legal protections they will lose if AEP Ohio abandons service.</w:t>
      </w:r>
      <w:r w:rsidRPr="00AD5466" w:rsidR="00397B4D">
        <w:rPr>
          <w:rFonts w:eastAsia="Times New Roman"/>
          <w:sz w:val="24"/>
          <w:szCs w:val="24"/>
        </w:rPr>
        <w:t xml:space="preserve"> </w:t>
      </w:r>
    </w:p>
    <w:p w:rsidR="00397B4D" w:rsidRPr="00AD5466" w:rsidP="00397B4D" w14:paraId="2D0B5214" w14:textId="58639BC0">
      <w:pPr>
        <w:spacing w:after="0" w:line="480" w:lineRule="auto"/>
        <w:ind w:firstLine="720"/>
        <w:rPr>
          <w:rFonts w:eastAsia="Times New Roman"/>
          <w:sz w:val="24"/>
          <w:szCs w:val="24"/>
        </w:rPr>
      </w:pPr>
      <w:r w:rsidRPr="00AD5466">
        <w:rPr>
          <w:rFonts w:eastAsia="Times New Roman"/>
          <w:sz w:val="24"/>
          <w:szCs w:val="24"/>
        </w:rPr>
        <w:t>AEP Ohio’s abandonment of service to Northtowne residents would be unreasonable and contrary to the public welfare.</w:t>
      </w:r>
    </w:p>
    <w:p w:rsidR="00566D6D" w:rsidRPr="00AD5466" w:rsidP="00FE4875" w14:paraId="30EE8B77" w14:textId="5BDDABCE">
      <w:pPr>
        <w:pStyle w:val="Heading2"/>
      </w:pPr>
      <w:bookmarkStart w:id="10" w:name="_Toc175316606"/>
      <w:r w:rsidRPr="00AD5466">
        <w:t>T</w:t>
      </w:r>
      <w:r w:rsidRPr="00AD5466" w:rsidR="000B5317">
        <w:t xml:space="preserve">he overwhelming evidence in this case is that AEP Ohio’s abandonment </w:t>
      </w:r>
      <w:r w:rsidRPr="00AD5466">
        <w:t>of</w:t>
      </w:r>
      <w:r w:rsidRPr="00AD5466">
        <w:t xml:space="preserve"> the</w:t>
      </w:r>
      <w:r w:rsidRPr="00AD5466">
        <w:t xml:space="preserve"> Northtowne residents</w:t>
      </w:r>
      <w:r w:rsidRPr="00AD5466">
        <w:t xml:space="preserve"> is</w:t>
      </w:r>
      <w:r w:rsidRPr="00AD5466">
        <w:t xml:space="preserve"> </w:t>
      </w:r>
      <w:r w:rsidRPr="00AD5466" w:rsidR="000B5317">
        <w:t>un</w:t>
      </w:r>
      <w:r w:rsidRPr="00AD5466">
        <w:t>reasonable</w:t>
      </w:r>
      <w:r w:rsidRPr="00AD5466" w:rsidR="000B5317">
        <w:t xml:space="preserve"> and contrary to </w:t>
      </w:r>
      <w:r w:rsidRPr="00AD5466">
        <w:t>the welfare of the public</w:t>
      </w:r>
      <w:r w:rsidRPr="00AD5466" w:rsidR="00005398">
        <w:t>.</w:t>
      </w:r>
      <w:r w:rsidRPr="00AD5466">
        <w:t xml:space="preserve"> AEP Ohio’s electric reseller tariff case (Case No. 24-106-EL-ATA) will not fully address issues regarding Northtowne residents’ loss of consumer protections.</w:t>
      </w:r>
      <w:bookmarkEnd w:id="10"/>
    </w:p>
    <w:p w:rsidR="009D1D00" w:rsidRPr="00AD5466" w:rsidP="009D1D00" w14:paraId="0492FF2E" w14:textId="2F3BB88C">
      <w:pPr>
        <w:tabs>
          <w:tab w:val="left" w:pos="720"/>
        </w:tabs>
        <w:spacing w:after="0" w:line="480" w:lineRule="auto"/>
        <w:ind w:firstLine="720"/>
        <w:rPr>
          <w:rFonts w:eastAsia="Times New Roman"/>
          <w:sz w:val="24"/>
          <w:szCs w:val="24"/>
        </w:rPr>
      </w:pPr>
      <w:r w:rsidRPr="00AD5466">
        <w:rPr>
          <w:rFonts w:eastAsia="Times New Roman"/>
          <w:sz w:val="24"/>
          <w:szCs w:val="24"/>
        </w:rPr>
        <w:t xml:space="preserve">OCC and AEP Ohio </w:t>
      </w:r>
      <w:r w:rsidRPr="00AD5466">
        <w:rPr>
          <w:rFonts w:eastAsia="Times New Roman"/>
          <w:sz w:val="24"/>
          <w:szCs w:val="24"/>
        </w:rPr>
        <w:t xml:space="preserve">have </w:t>
      </w:r>
      <w:r w:rsidRPr="00AD5466">
        <w:rPr>
          <w:rFonts w:eastAsia="Times New Roman"/>
          <w:sz w:val="24"/>
          <w:szCs w:val="24"/>
        </w:rPr>
        <w:t>presented ample evidence about how Northtowne residents will be harmed if they lose their PUCO-regulated electric utility service.</w:t>
      </w:r>
      <w:r w:rsidRPr="00AD5466">
        <w:rPr>
          <w:rFonts w:eastAsia="Times New Roman"/>
          <w:sz w:val="24"/>
          <w:szCs w:val="24"/>
        </w:rPr>
        <w:t xml:space="preserve"> AEP Ohio’s application to abandon should be denied.</w:t>
      </w:r>
      <w:r w:rsidRPr="00AD5466">
        <w:rPr>
          <w:rFonts w:eastAsia="Times New Roman"/>
          <w:sz w:val="24"/>
          <w:szCs w:val="24"/>
        </w:rPr>
        <w:t xml:space="preserve"> NEP wants the PUCO to ignore th</w:t>
      </w:r>
      <w:r w:rsidRPr="00AD5466">
        <w:rPr>
          <w:rFonts w:eastAsia="Times New Roman"/>
          <w:sz w:val="24"/>
          <w:szCs w:val="24"/>
        </w:rPr>
        <w:t>e overwhelming</w:t>
      </w:r>
      <w:r w:rsidRPr="00AD5466">
        <w:rPr>
          <w:rFonts w:eastAsia="Times New Roman"/>
          <w:sz w:val="24"/>
          <w:szCs w:val="24"/>
        </w:rPr>
        <w:t xml:space="preserve"> evidence</w:t>
      </w:r>
      <w:r w:rsidRPr="00AD5466">
        <w:rPr>
          <w:rFonts w:eastAsia="Times New Roman"/>
          <w:sz w:val="24"/>
          <w:szCs w:val="24"/>
        </w:rPr>
        <w:t xml:space="preserve"> of harm to the Northtowne residents</w:t>
      </w:r>
      <w:r w:rsidRPr="00AD5466">
        <w:rPr>
          <w:rFonts w:eastAsia="Times New Roman"/>
          <w:sz w:val="24"/>
          <w:szCs w:val="24"/>
        </w:rPr>
        <w:t xml:space="preserve"> and instead</w:t>
      </w:r>
      <w:r w:rsidRPr="00AD5466" w:rsidR="00BD31AA">
        <w:rPr>
          <w:rFonts w:eastAsia="Times New Roman"/>
          <w:sz w:val="24"/>
          <w:szCs w:val="24"/>
        </w:rPr>
        <w:t xml:space="preserve"> </w:t>
      </w:r>
      <w:r w:rsidRPr="00AD5466">
        <w:rPr>
          <w:rFonts w:eastAsia="Times New Roman"/>
          <w:sz w:val="24"/>
          <w:szCs w:val="24"/>
        </w:rPr>
        <w:t>punt the matter to</w:t>
      </w:r>
      <w:r w:rsidRPr="00AD5466">
        <w:rPr>
          <w:rFonts w:eastAsia="Times New Roman"/>
          <w:sz w:val="24"/>
          <w:szCs w:val="24"/>
        </w:rPr>
        <w:t xml:space="preserve"> </w:t>
      </w:r>
      <w:r w:rsidRPr="00AD5466" w:rsidR="00566D6D">
        <w:rPr>
          <w:rFonts w:eastAsia="Times New Roman"/>
          <w:sz w:val="24"/>
          <w:szCs w:val="24"/>
        </w:rPr>
        <w:t>Case No. 24-106-EL-ATA.</w:t>
      </w:r>
      <w:r w:rsidRPr="00AD5466">
        <w:rPr>
          <w:rFonts w:eastAsia="Times New Roman"/>
          <w:sz w:val="24"/>
          <w:szCs w:val="24"/>
        </w:rPr>
        <w:t xml:space="preserve"> That case addresses the electric reseller tariff that AEP Ohio has filed at the PUCO’s direction in the complaint case order</w:t>
      </w:r>
      <w:r w:rsidRPr="00AD5466">
        <w:rPr>
          <w:rFonts w:eastAsia="Times New Roman"/>
          <w:sz w:val="24"/>
          <w:szCs w:val="24"/>
        </w:rPr>
        <w:t>.</w:t>
      </w:r>
      <w:r>
        <w:rPr>
          <w:rStyle w:val="FootnoteReference"/>
          <w:rFonts w:eastAsia="Times New Roman"/>
          <w:sz w:val="24"/>
          <w:szCs w:val="24"/>
        </w:rPr>
        <w:footnoteReference w:id="48"/>
      </w:r>
      <w:r w:rsidRPr="00AD5466">
        <w:rPr>
          <w:rFonts w:eastAsia="Times New Roman"/>
          <w:sz w:val="24"/>
          <w:szCs w:val="24"/>
        </w:rPr>
        <w:t xml:space="preserve"> Currently, there are no evidentiary hearings set in that case.</w:t>
      </w:r>
      <w:r w:rsidR="00AD5466">
        <w:rPr>
          <w:rFonts w:eastAsia="Times New Roman"/>
          <w:sz w:val="24"/>
          <w:szCs w:val="24"/>
        </w:rPr>
        <w:t xml:space="preserve"> </w:t>
      </w:r>
      <w:r w:rsidRPr="00AD5466">
        <w:rPr>
          <w:rFonts w:eastAsia="Times New Roman"/>
          <w:sz w:val="24"/>
          <w:szCs w:val="24"/>
        </w:rPr>
        <w:t xml:space="preserve">It would be patently unfair </w:t>
      </w:r>
      <w:r w:rsidRPr="00AD5466" w:rsidR="005F46FA">
        <w:rPr>
          <w:rFonts w:eastAsia="Times New Roman"/>
          <w:sz w:val="24"/>
          <w:szCs w:val="24"/>
        </w:rPr>
        <w:t xml:space="preserve">to Northtowne residents for the PUCO to ignore the evidence presented here and address the issues in a docket that may not allow for evidentiary hearing. </w:t>
      </w:r>
    </w:p>
    <w:p w:rsidR="00AF7527" w:rsidRPr="00AD5466" w:rsidP="009D1D00" w14:paraId="774FC0DF" w14:textId="5F7E74C6">
      <w:pPr>
        <w:tabs>
          <w:tab w:val="left" w:pos="720"/>
        </w:tabs>
        <w:spacing w:after="0" w:line="480" w:lineRule="auto"/>
        <w:ind w:firstLine="720"/>
        <w:rPr>
          <w:rFonts w:eastAsia="Times New Roman"/>
          <w:sz w:val="24"/>
          <w:szCs w:val="24"/>
        </w:rPr>
      </w:pPr>
      <w:r w:rsidRPr="00AD5466">
        <w:rPr>
          <w:rFonts w:eastAsia="Times New Roman"/>
          <w:sz w:val="24"/>
          <w:szCs w:val="24"/>
        </w:rPr>
        <w:t xml:space="preserve">Moreover, </w:t>
      </w:r>
      <w:r w:rsidRPr="00AD5466">
        <w:rPr>
          <w:rFonts w:eastAsia="Times New Roman"/>
          <w:sz w:val="24"/>
          <w:szCs w:val="24"/>
        </w:rPr>
        <w:t xml:space="preserve">OCC has argued in </w:t>
      </w:r>
      <w:r w:rsidRPr="00AD5466" w:rsidR="009D1D00">
        <w:rPr>
          <w:rFonts w:eastAsia="Times New Roman"/>
          <w:sz w:val="24"/>
          <w:szCs w:val="24"/>
        </w:rPr>
        <w:t xml:space="preserve">comments in the tariff </w:t>
      </w:r>
      <w:r w:rsidRPr="00AD5466">
        <w:rPr>
          <w:rFonts w:eastAsia="Times New Roman"/>
          <w:sz w:val="24"/>
          <w:szCs w:val="24"/>
        </w:rPr>
        <w:t>case</w:t>
      </w:r>
      <w:r w:rsidRPr="00AD5466" w:rsidR="009D1D00">
        <w:rPr>
          <w:rFonts w:eastAsia="Times New Roman"/>
          <w:sz w:val="24"/>
          <w:szCs w:val="24"/>
        </w:rPr>
        <w:t xml:space="preserve"> that</w:t>
      </w:r>
      <w:r w:rsidRPr="00AD5466">
        <w:rPr>
          <w:rFonts w:eastAsia="Times New Roman"/>
          <w:sz w:val="24"/>
          <w:szCs w:val="24"/>
        </w:rPr>
        <w:t xml:space="preserve"> AEP Ohio’s reseller tariff </w:t>
      </w:r>
      <w:r w:rsidRPr="00AD5466" w:rsidR="009D1D00">
        <w:rPr>
          <w:rFonts w:eastAsia="Times New Roman"/>
          <w:sz w:val="24"/>
          <w:szCs w:val="24"/>
        </w:rPr>
        <w:t>by itself</w:t>
      </w:r>
      <w:r w:rsidRPr="00AD5466">
        <w:rPr>
          <w:rFonts w:eastAsia="Times New Roman"/>
          <w:sz w:val="24"/>
          <w:szCs w:val="24"/>
        </w:rPr>
        <w:t xml:space="preserve"> will </w:t>
      </w:r>
      <w:r w:rsidRPr="00AD5466" w:rsidR="00BD31AA">
        <w:rPr>
          <w:rFonts w:eastAsia="Times New Roman"/>
          <w:sz w:val="24"/>
          <w:szCs w:val="24"/>
        </w:rPr>
        <w:t xml:space="preserve">not </w:t>
      </w:r>
      <w:r w:rsidRPr="00AD5466" w:rsidR="009D1D00">
        <w:rPr>
          <w:rFonts w:eastAsia="Times New Roman"/>
          <w:sz w:val="24"/>
          <w:szCs w:val="24"/>
        </w:rPr>
        <w:t xml:space="preserve">fully </w:t>
      </w:r>
      <w:r w:rsidRPr="00AD5466" w:rsidR="00BD31AA">
        <w:rPr>
          <w:rFonts w:eastAsia="Times New Roman"/>
          <w:sz w:val="24"/>
          <w:szCs w:val="24"/>
        </w:rPr>
        <w:t>protect consumers who lose</w:t>
      </w:r>
      <w:r w:rsidRPr="00AD5466">
        <w:rPr>
          <w:rFonts w:eastAsia="Times New Roman"/>
          <w:sz w:val="24"/>
          <w:szCs w:val="24"/>
        </w:rPr>
        <w:t xml:space="preserve"> are forced to take submetered electric utility service.</w:t>
      </w:r>
      <w:r>
        <w:rPr>
          <w:rStyle w:val="FootnoteReference"/>
          <w:rFonts w:eastAsia="Times New Roman"/>
          <w:sz w:val="24"/>
          <w:szCs w:val="24"/>
        </w:rPr>
        <w:footnoteReference w:id="49"/>
      </w:r>
      <w:r w:rsidRPr="00AD5466" w:rsidR="00BD31AA">
        <w:rPr>
          <w:rFonts w:eastAsia="Times New Roman"/>
          <w:sz w:val="24"/>
          <w:szCs w:val="24"/>
        </w:rPr>
        <w:t xml:space="preserve"> </w:t>
      </w:r>
      <w:r w:rsidRPr="00AD5466">
        <w:rPr>
          <w:rFonts w:eastAsia="Times New Roman"/>
          <w:sz w:val="24"/>
          <w:szCs w:val="24"/>
        </w:rPr>
        <w:t xml:space="preserve">OCC has argued for a number of consumer protections to be included in AEP Ohio’s electric reseller tariff. But the tariff will be no substitute for and will not replace all the rights Northtowne residents will lose if AEP Ohio abandons service to those consumers. </w:t>
      </w:r>
      <w:r w:rsidRPr="00AD5466" w:rsidR="00BD31AA">
        <w:rPr>
          <w:rFonts w:eastAsia="Times New Roman"/>
          <w:sz w:val="24"/>
          <w:szCs w:val="24"/>
        </w:rPr>
        <w:t>Th</w:t>
      </w:r>
      <w:r w:rsidRPr="00AD5466">
        <w:rPr>
          <w:rFonts w:eastAsia="Times New Roman"/>
          <w:sz w:val="24"/>
          <w:szCs w:val="24"/>
        </w:rPr>
        <w:t>e PUCO should determine in this case</w:t>
      </w:r>
      <w:r w:rsidRPr="00AD5466">
        <w:rPr>
          <w:rFonts w:eastAsia="Times New Roman"/>
          <w:i/>
          <w:iCs/>
          <w:sz w:val="24"/>
          <w:szCs w:val="24"/>
        </w:rPr>
        <w:t xml:space="preserve"> </w:t>
      </w:r>
      <w:r w:rsidRPr="00AD5466">
        <w:rPr>
          <w:rFonts w:eastAsia="Times New Roman"/>
          <w:sz w:val="24"/>
          <w:szCs w:val="24"/>
        </w:rPr>
        <w:t xml:space="preserve">that AEP Ohio’s abandonment of service is unreasonable and contrary to the public welfare. </w:t>
      </w:r>
      <w:r w:rsidRPr="00AD5466" w:rsidR="00484583">
        <w:rPr>
          <w:rFonts w:eastAsia="Times New Roman"/>
          <w:sz w:val="24"/>
          <w:szCs w:val="24"/>
        </w:rPr>
        <w:t>T</w:t>
      </w:r>
      <w:r w:rsidRPr="00AD5466" w:rsidR="00BD31AA">
        <w:rPr>
          <w:rFonts w:eastAsia="Times New Roman"/>
          <w:sz w:val="24"/>
          <w:szCs w:val="24"/>
        </w:rPr>
        <w:t>here is no good reason for the PUCO to dismiss this case and kick the can down the road to AEP Ohio’s reseller tariff case.</w:t>
      </w:r>
    </w:p>
    <w:p w:rsidR="005826A4" w:rsidRPr="00AD5466" w:rsidP="005826A4" w14:paraId="70A15E3D" w14:textId="77777777">
      <w:pPr>
        <w:tabs>
          <w:tab w:val="left" w:pos="720"/>
          <w:tab w:val="left" w:pos="1440"/>
        </w:tabs>
        <w:spacing w:after="0" w:line="240" w:lineRule="auto"/>
        <w:rPr>
          <w:rFonts w:eastAsia="Times New Roman"/>
          <w:sz w:val="24"/>
          <w:szCs w:val="24"/>
        </w:rPr>
      </w:pPr>
    </w:p>
    <w:p w:rsidR="00E907D7" w:rsidRPr="00AD5466" w:rsidP="00807CFC" w14:paraId="0B59077C" w14:textId="3288C674">
      <w:pPr>
        <w:pStyle w:val="Heading1"/>
        <w:numPr>
          <w:ilvl w:val="0"/>
          <w:numId w:val="0"/>
        </w:numPr>
        <w:ind w:left="720" w:hanging="720"/>
      </w:pPr>
      <w:bookmarkStart w:id="11" w:name="_Toc175316607"/>
      <w:r w:rsidRPr="00AD5466">
        <w:t>I</w:t>
      </w:r>
      <w:r w:rsidRPr="00AD5466" w:rsidR="00654749">
        <w:t>II</w:t>
      </w:r>
      <w:r w:rsidRPr="00AD5466">
        <w:t>.</w:t>
      </w:r>
      <w:r w:rsidRPr="00AD5466">
        <w:tab/>
        <w:t>CONCLUSION</w:t>
      </w:r>
      <w:bookmarkEnd w:id="11"/>
    </w:p>
    <w:p w:rsidR="00172C5C" w:rsidRPr="00AD5466" w:rsidP="00C9483C" w14:paraId="1EE7F456" w14:textId="3F16D6C4">
      <w:pPr>
        <w:spacing w:after="0" w:line="480" w:lineRule="auto"/>
        <w:ind w:firstLine="720"/>
        <w:rPr>
          <w:rFonts w:eastAsia="Times New Roman"/>
          <w:sz w:val="24"/>
          <w:szCs w:val="24"/>
        </w:rPr>
      </w:pPr>
      <w:r w:rsidRPr="00AD5466">
        <w:rPr>
          <w:rFonts w:eastAsia="Times New Roman"/>
          <w:sz w:val="24"/>
          <w:szCs w:val="24"/>
        </w:rPr>
        <w:t>The evidence plainly demonstrates that NEP’s demands to submeter the Northtowne apartment complex would require AEP Ohio to abandon service to Northtowne residents. AEP Ohio’s abandonment of service would harm Northtowne residents and would be unreasonable and contrary to the public welfare. The PUCO should do what’s right for Northtowne consumers and deny AEP Ohio’s application for abandonment under the Miller Act.</w:t>
      </w:r>
    </w:p>
    <w:p w:rsidR="00FE7743" w14:paraId="3C0FBE62" w14:textId="77777777">
      <w:pPr>
        <w:rPr>
          <w:rFonts w:eastAsia="Times New Roman"/>
          <w:sz w:val="24"/>
          <w:szCs w:val="24"/>
        </w:rPr>
      </w:pPr>
      <w:r>
        <w:rPr>
          <w:rFonts w:eastAsia="Times New Roman"/>
          <w:sz w:val="24"/>
          <w:szCs w:val="24"/>
        </w:rPr>
        <w:br w:type="page"/>
      </w:r>
    </w:p>
    <w:p w:rsidR="00336A43" w:rsidRPr="00AD5466" w:rsidP="00336A43" w14:paraId="517850B4" w14:textId="26699898">
      <w:pPr>
        <w:spacing w:after="0" w:line="240" w:lineRule="auto"/>
        <w:ind w:left="4320"/>
        <w:rPr>
          <w:rFonts w:eastAsia="Times New Roman"/>
          <w:sz w:val="24"/>
          <w:szCs w:val="24"/>
        </w:rPr>
      </w:pPr>
      <w:r w:rsidRPr="00AD5466">
        <w:rPr>
          <w:rFonts w:eastAsia="Times New Roman"/>
          <w:sz w:val="24"/>
          <w:szCs w:val="24"/>
        </w:rPr>
        <w:t>Respectfully submitted,</w:t>
      </w:r>
    </w:p>
    <w:p w:rsidR="00336A43" w:rsidRPr="00AD5466" w:rsidP="00336A43" w14:paraId="0FBCF31E" w14:textId="77777777">
      <w:pPr>
        <w:spacing w:after="0" w:line="240" w:lineRule="auto"/>
        <w:ind w:left="4320"/>
        <w:rPr>
          <w:rFonts w:eastAsia="Times New Roman"/>
          <w:sz w:val="24"/>
          <w:szCs w:val="24"/>
        </w:rPr>
      </w:pPr>
    </w:p>
    <w:p w:rsidR="00336A43" w:rsidRPr="00AD5466" w:rsidP="00336A43" w14:paraId="5EC784B0"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eastAsia="Courier New"/>
          <w:sz w:val="24"/>
          <w:szCs w:val="24"/>
        </w:rPr>
      </w:pPr>
      <w:r w:rsidRPr="00AD5466">
        <w:rPr>
          <w:rFonts w:eastAsia="Courier New"/>
          <w:sz w:val="24"/>
          <w:szCs w:val="24"/>
        </w:rPr>
        <w:t>Maureen R. Willis (0020847)</w:t>
      </w:r>
    </w:p>
    <w:p w:rsidR="00336A43" w:rsidRPr="00AD5466" w:rsidP="00336A43" w14:paraId="273A3605" w14:textId="71D51BB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eastAsia="Courier New"/>
          <w:sz w:val="24"/>
          <w:szCs w:val="24"/>
        </w:rPr>
      </w:pPr>
      <w:r w:rsidRPr="00AD5466">
        <w:rPr>
          <w:rFonts w:eastAsia="Times New Roman"/>
          <w:sz w:val="24"/>
          <w:szCs w:val="24"/>
        </w:rPr>
        <w:t>Ohio Consumers</w:t>
      </w:r>
      <w:r w:rsidRPr="00AD5466" w:rsidR="00AE7B19">
        <w:rPr>
          <w:rFonts w:eastAsia="Times New Roman"/>
          <w:sz w:val="24"/>
          <w:szCs w:val="24"/>
        </w:rPr>
        <w:t>’</w:t>
      </w:r>
      <w:r w:rsidRPr="00AD5466">
        <w:rPr>
          <w:rFonts w:eastAsia="Times New Roman"/>
          <w:sz w:val="24"/>
          <w:szCs w:val="24"/>
        </w:rPr>
        <w:t xml:space="preserve"> Counsel</w:t>
      </w:r>
    </w:p>
    <w:p w:rsidR="00336A43" w:rsidRPr="00AD5466" w:rsidP="00336A43" w14:paraId="7F372EBC" w14:textId="77777777">
      <w:pPr>
        <w:tabs>
          <w:tab w:val="left" w:pos="4320"/>
        </w:tabs>
        <w:spacing w:after="0" w:line="240" w:lineRule="auto"/>
        <w:ind w:left="4320"/>
        <w:rPr>
          <w:rFonts w:eastAsia="Times New Roman"/>
          <w:sz w:val="24"/>
          <w:szCs w:val="24"/>
        </w:rPr>
      </w:pPr>
    </w:p>
    <w:p w:rsidR="00336A43" w:rsidRPr="00AD5466" w:rsidP="004D7DCD" w14:paraId="0308E919" w14:textId="7F5CC30E">
      <w:pPr>
        <w:spacing w:after="0" w:line="240" w:lineRule="auto"/>
        <w:ind w:left="4320"/>
        <w:rPr>
          <w:rFonts w:eastAsia="Times New Roman"/>
          <w:sz w:val="24"/>
          <w:szCs w:val="24"/>
        </w:rPr>
      </w:pPr>
      <w:r w:rsidRPr="00AD5466">
        <w:rPr>
          <w:rFonts w:eastAsia="Times New Roman"/>
          <w:i/>
          <w:sz w:val="24"/>
          <w:szCs w:val="24"/>
          <w:u w:val="single"/>
        </w:rPr>
        <w:t xml:space="preserve">/s/ </w:t>
      </w:r>
      <w:r w:rsidRPr="00801018" w:rsidR="00801018">
        <w:rPr>
          <w:rFonts w:eastAsia="Times New Roman"/>
          <w:i/>
          <w:sz w:val="24"/>
          <w:szCs w:val="24"/>
          <w:u w:val="single"/>
        </w:rPr>
        <w:t>Thomas J. Brodbeck</w:t>
      </w:r>
    </w:p>
    <w:p w:rsidR="004D7DCD" w:rsidRPr="00AD5466" w:rsidP="004D7DCD" w14:paraId="1D25F8EB" w14:textId="77777777">
      <w:pPr>
        <w:spacing w:after="0" w:line="240" w:lineRule="auto"/>
        <w:ind w:left="4320"/>
        <w:rPr>
          <w:rFonts w:eastAsia="Times New Roman"/>
          <w:sz w:val="24"/>
          <w:szCs w:val="24"/>
        </w:rPr>
      </w:pPr>
      <w:r w:rsidRPr="00AD5466">
        <w:rPr>
          <w:rFonts w:eastAsia="Times New Roman"/>
          <w:sz w:val="24"/>
          <w:szCs w:val="24"/>
        </w:rPr>
        <w:t>Donald J. Kral (0042091)</w:t>
      </w:r>
    </w:p>
    <w:p w:rsidR="004D7DCD" w:rsidRPr="00AD5466" w:rsidP="004D7DCD" w14:paraId="54CB13A1" w14:textId="77777777">
      <w:pPr>
        <w:spacing w:after="0" w:line="240" w:lineRule="auto"/>
        <w:ind w:left="4320"/>
        <w:rPr>
          <w:rFonts w:eastAsia="Times New Roman"/>
          <w:sz w:val="24"/>
          <w:szCs w:val="24"/>
        </w:rPr>
      </w:pPr>
      <w:r w:rsidRPr="00AD5466">
        <w:rPr>
          <w:rFonts w:eastAsia="Times New Roman"/>
          <w:sz w:val="24"/>
          <w:szCs w:val="24"/>
        </w:rPr>
        <w:t>Counsel of Record</w:t>
      </w:r>
    </w:p>
    <w:p w:rsidR="004D7DCD" w:rsidRPr="00AD5466" w:rsidP="004D7DCD" w14:paraId="0DBCF38A" w14:textId="77777777">
      <w:pPr>
        <w:spacing w:after="0" w:line="240" w:lineRule="auto"/>
        <w:ind w:left="4320"/>
        <w:rPr>
          <w:rFonts w:eastAsia="Times New Roman"/>
          <w:sz w:val="24"/>
          <w:szCs w:val="24"/>
        </w:rPr>
      </w:pPr>
      <w:r w:rsidRPr="00AD5466">
        <w:rPr>
          <w:rFonts w:eastAsia="Times New Roman"/>
          <w:sz w:val="24"/>
          <w:szCs w:val="24"/>
        </w:rPr>
        <w:t>Thomas J. Brodbeck (0093920)</w:t>
      </w:r>
    </w:p>
    <w:p w:rsidR="004D7DCD" w:rsidRPr="00AD5466" w:rsidP="004D7DCD" w14:paraId="24D7A5C3" w14:textId="4FE0BFC5">
      <w:pPr>
        <w:spacing w:after="0" w:line="240" w:lineRule="auto"/>
        <w:ind w:left="4320"/>
        <w:rPr>
          <w:rFonts w:eastAsia="Times New Roman"/>
          <w:sz w:val="24"/>
          <w:szCs w:val="24"/>
        </w:rPr>
      </w:pPr>
      <w:r w:rsidRPr="00AD5466">
        <w:rPr>
          <w:rFonts w:eastAsia="Times New Roman"/>
          <w:sz w:val="24"/>
          <w:szCs w:val="24"/>
        </w:rPr>
        <w:t>Assistant Consumers</w:t>
      </w:r>
      <w:r w:rsidRPr="00AD5466" w:rsidR="00AE7B19">
        <w:rPr>
          <w:rFonts w:eastAsia="Times New Roman"/>
          <w:sz w:val="24"/>
          <w:szCs w:val="24"/>
        </w:rPr>
        <w:t>’</w:t>
      </w:r>
      <w:r w:rsidRPr="00AD5466">
        <w:rPr>
          <w:rFonts w:eastAsia="Times New Roman"/>
          <w:sz w:val="24"/>
          <w:szCs w:val="24"/>
        </w:rPr>
        <w:t xml:space="preserve"> Counsel</w:t>
      </w:r>
    </w:p>
    <w:p w:rsidR="004D7DCD" w:rsidRPr="00AD5466" w:rsidP="004D7DCD" w14:paraId="7FFEFF41" w14:textId="77777777">
      <w:pPr>
        <w:spacing w:after="0" w:line="240" w:lineRule="auto"/>
        <w:ind w:left="4320"/>
        <w:rPr>
          <w:rFonts w:eastAsia="Times New Roman"/>
          <w:sz w:val="24"/>
          <w:szCs w:val="24"/>
        </w:rPr>
      </w:pPr>
    </w:p>
    <w:p w:rsidR="004D7DCD" w:rsidRPr="00AD5466" w:rsidP="004D7DCD" w14:paraId="74936383" w14:textId="6B5B6733">
      <w:pPr>
        <w:spacing w:after="0" w:line="240" w:lineRule="auto"/>
        <w:ind w:left="4320"/>
        <w:rPr>
          <w:rFonts w:eastAsia="Times New Roman"/>
          <w:b/>
          <w:sz w:val="24"/>
          <w:szCs w:val="24"/>
        </w:rPr>
      </w:pPr>
      <w:r w:rsidRPr="00AD5466">
        <w:rPr>
          <w:rFonts w:eastAsia="Times New Roman"/>
          <w:b/>
          <w:sz w:val="24"/>
          <w:szCs w:val="24"/>
        </w:rPr>
        <w:t>Office of the Ohio Consumers</w:t>
      </w:r>
      <w:r w:rsidRPr="00AD5466" w:rsidR="00AE7B19">
        <w:rPr>
          <w:rFonts w:eastAsia="Times New Roman"/>
          <w:b/>
          <w:sz w:val="24"/>
          <w:szCs w:val="24"/>
        </w:rPr>
        <w:t>’</w:t>
      </w:r>
      <w:r w:rsidRPr="00AD5466">
        <w:rPr>
          <w:rFonts w:eastAsia="Times New Roman"/>
          <w:b/>
          <w:sz w:val="24"/>
          <w:szCs w:val="24"/>
        </w:rPr>
        <w:t xml:space="preserve"> Counsel</w:t>
      </w:r>
    </w:p>
    <w:p w:rsidR="004D7DCD" w:rsidRPr="00AD5466" w:rsidP="004D7DCD" w14:paraId="555D7F04" w14:textId="77777777">
      <w:pPr>
        <w:spacing w:after="0" w:line="240" w:lineRule="auto"/>
        <w:ind w:left="4320"/>
        <w:rPr>
          <w:rFonts w:eastAsia="Times New Roman"/>
          <w:sz w:val="24"/>
          <w:szCs w:val="24"/>
        </w:rPr>
      </w:pPr>
      <w:r w:rsidRPr="00AD5466">
        <w:rPr>
          <w:rFonts w:eastAsia="Times New Roman"/>
          <w:sz w:val="24"/>
          <w:szCs w:val="24"/>
        </w:rPr>
        <w:t>65 East State Street, Suite 700</w:t>
      </w:r>
    </w:p>
    <w:p w:rsidR="004D7DCD" w:rsidRPr="00AD5466" w:rsidP="004D7DCD" w14:paraId="7EDEA1FA" w14:textId="77777777">
      <w:pPr>
        <w:spacing w:after="0" w:line="240" w:lineRule="auto"/>
        <w:ind w:left="4320"/>
        <w:rPr>
          <w:rFonts w:eastAsia="Times New Roman"/>
          <w:sz w:val="24"/>
          <w:szCs w:val="24"/>
        </w:rPr>
      </w:pPr>
      <w:r w:rsidRPr="00AD5466">
        <w:rPr>
          <w:rFonts w:eastAsia="Times New Roman"/>
          <w:sz w:val="24"/>
          <w:szCs w:val="24"/>
        </w:rPr>
        <w:t>Columbus, Ohio 43215</w:t>
      </w:r>
    </w:p>
    <w:p w:rsidR="004D7DCD" w:rsidRPr="00AD5466" w:rsidP="004D7DCD" w14:paraId="3DF8F8BE" w14:textId="77777777">
      <w:pPr>
        <w:spacing w:after="0" w:line="240" w:lineRule="auto"/>
        <w:ind w:left="4320"/>
        <w:rPr>
          <w:rFonts w:eastAsia="Times New Roman"/>
          <w:sz w:val="24"/>
          <w:szCs w:val="24"/>
        </w:rPr>
      </w:pPr>
      <w:r w:rsidRPr="00AD5466">
        <w:rPr>
          <w:rFonts w:eastAsia="Times New Roman"/>
          <w:sz w:val="24"/>
          <w:szCs w:val="24"/>
        </w:rPr>
        <w:t>Telephone [Kral]: (614) 466-9571</w:t>
      </w:r>
    </w:p>
    <w:p w:rsidR="004D7DCD" w:rsidRPr="00AD5466" w:rsidP="004D7DCD" w14:paraId="136B73DB" w14:textId="77777777">
      <w:pPr>
        <w:spacing w:after="0" w:line="240" w:lineRule="auto"/>
        <w:ind w:left="4320"/>
        <w:rPr>
          <w:rFonts w:eastAsia="Times New Roman"/>
          <w:sz w:val="24"/>
          <w:szCs w:val="24"/>
        </w:rPr>
      </w:pPr>
      <w:r w:rsidRPr="00AD5466">
        <w:rPr>
          <w:rFonts w:eastAsia="Times New Roman"/>
          <w:sz w:val="24"/>
          <w:szCs w:val="24"/>
        </w:rPr>
        <w:t>Telephone [Brodbeck]: (614) 466-9565</w:t>
      </w:r>
    </w:p>
    <w:p w:rsidR="004D7DCD" w:rsidRPr="00AD5466" w:rsidP="004D7DCD" w14:paraId="1C486271" w14:textId="77777777">
      <w:pPr>
        <w:spacing w:after="0" w:line="240" w:lineRule="auto"/>
        <w:ind w:left="4320"/>
        <w:rPr>
          <w:rFonts w:eastAsia="Times New Roman"/>
          <w:sz w:val="24"/>
          <w:szCs w:val="24"/>
        </w:rPr>
      </w:pPr>
      <w:hyperlink r:id="rId6" w:history="1">
        <w:r w:rsidRPr="00AD5466" w:rsidR="003F77D8">
          <w:rPr>
            <w:color w:val="0000FF"/>
            <w:sz w:val="24"/>
            <w:szCs w:val="24"/>
            <w:u w:val="single"/>
          </w:rPr>
          <w:t>donald.kral@occ.ohio.gov</w:t>
        </w:r>
      </w:hyperlink>
    </w:p>
    <w:p w:rsidR="004D7DCD" w:rsidRPr="00AD5466" w:rsidP="004D7DCD" w14:paraId="1FF54046" w14:textId="77777777">
      <w:pPr>
        <w:spacing w:after="0" w:line="240" w:lineRule="auto"/>
        <w:ind w:left="4320"/>
        <w:rPr>
          <w:rFonts w:eastAsia="Times New Roman"/>
          <w:sz w:val="24"/>
          <w:szCs w:val="24"/>
        </w:rPr>
      </w:pPr>
      <w:hyperlink r:id="rId7" w:history="1">
        <w:r w:rsidRPr="00AD5466" w:rsidR="003F77D8">
          <w:rPr>
            <w:color w:val="0000FF"/>
            <w:sz w:val="24"/>
            <w:szCs w:val="24"/>
            <w:u w:val="single"/>
          </w:rPr>
          <w:t>thomas.brodbeck@occ.ohio.gov</w:t>
        </w:r>
      </w:hyperlink>
    </w:p>
    <w:p w:rsidR="00336A43" w:rsidRPr="00AD5466" w:rsidP="00F60A0E" w14:paraId="634F877B" w14:textId="67801BA9">
      <w:pPr>
        <w:spacing w:after="0" w:line="240" w:lineRule="auto"/>
        <w:ind w:left="4320"/>
        <w:rPr>
          <w:rFonts w:eastAsia="Times New Roman"/>
          <w:sz w:val="24"/>
          <w:szCs w:val="24"/>
        </w:rPr>
      </w:pPr>
      <w:r w:rsidRPr="00AD5466">
        <w:rPr>
          <w:rFonts w:eastAsia="Times New Roman"/>
          <w:sz w:val="24"/>
          <w:szCs w:val="24"/>
        </w:rPr>
        <w:t xml:space="preserve">(willing to accept service by e-mail) </w:t>
      </w:r>
    </w:p>
    <w:p w:rsidR="00336A43" w:rsidRPr="00AD5466" w:rsidP="00336A43" w14:paraId="7D0D5A6A" w14:textId="77777777">
      <w:pPr>
        <w:tabs>
          <w:tab w:val="left" w:pos="8730"/>
        </w:tabs>
        <w:spacing w:after="0" w:line="240" w:lineRule="auto"/>
        <w:ind w:left="4320"/>
        <w:rPr>
          <w:rFonts w:eastAsia="Times New Roman"/>
          <w:sz w:val="24"/>
          <w:szCs w:val="24"/>
        </w:rPr>
      </w:pPr>
    </w:p>
    <w:p w:rsidR="00336A43" w:rsidRPr="00AD5466" w:rsidP="00336A43" w14:paraId="04528175" w14:textId="77777777">
      <w:pPr>
        <w:spacing w:after="0" w:line="240" w:lineRule="auto"/>
        <w:rPr>
          <w:rFonts w:eastAsia="Times New Roman"/>
          <w:b/>
          <w:sz w:val="24"/>
          <w:szCs w:val="24"/>
          <w:u w:val="single"/>
        </w:rPr>
      </w:pPr>
      <w:r w:rsidRPr="00AD5466">
        <w:rPr>
          <w:rFonts w:eastAsia="Times New Roman"/>
          <w:b/>
          <w:sz w:val="24"/>
          <w:szCs w:val="24"/>
          <w:u w:val="single"/>
        </w:rPr>
        <w:br w:type="page"/>
      </w:r>
    </w:p>
    <w:p w:rsidR="00336A43" w:rsidRPr="00AD5466" w:rsidP="00336A43" w14:paraId="6C3D1D2C" w14:textId="77777777">
      <w:pPr>
        <w:tabs>
          <w:tab w:val="left" w:pos="4320"/>
        </w:tabs>
        <w:spacing w:after="0" w:line="240" w:lineRule="auto"/>
        <w:jc w:val="center"/>
        <w:rPr>
          <w:rFonts w:eastAsia="Times New Roman"/>
          <w:sz w:val="24"/>
          <w:szCs w:val="24"/>
        </w:rPr>
      </w:pPr>
      <w:r w:rsidRPr="00AD5466">
        <w:rPr>
          <w:rFonts w:eastAsia="Times New Roman"/>
          <w:b/>
          <w:sz w:val="24"/>
          <w:szCs w:val="24"/>
          <w:u w:val="single"/>
        </w:rPr>
        <w:t>CERTIFICATE OF SERVICE</w:t>
      </w:r>
    </w:p>
    <w:p w:rsidR="00336A43" w:rsidRPr="00AD5466" w:rsidP="00336A43" w14:paraId="7F951F9C" w14:textId="77777777">
      <w:pPr>
        <w:autoSpaceDE w:val="0"/>
        <w:autoSpaceDN w:val="0"/>
        <w:adjustRightInd w:val="0"/>
        <w:spacing w:after="0" w:line="240" w:lineRule="auto"/>
        <w:ind w:firstLine="4320"/>
        <w:jc w:val="center"/>
        <w:rPr>
          <w:rFonts w:eastAsia="Times New Roman"/>
          <w:sz w:val="24"/>
          <w:szCs w:val="24"/>
          <w:u w:val="single"/>
        </w:rPr>
      </w:pPr>
    </w:p>
    <w:p w:rsidR="00336A43" w:rsidRPr="00AD5466" w:rsidP="009F24A2" w14:paraId="16EAA2FA" w14:textId="572F0D87">
      <w:pPr>
        <w:spacing w:after="0" w:line="480" w:lineRule="auto"/>
        <w:ind w:firstLine="720"/>
        <w:rPr>
          <w:sz w:val="24"/>
          <w:szCs w:val="24"/>
        </w:rPr>
      </w:pPr>
      <w:r w:rsidRPr="00AD5466">
        <w:rPr>
          <w:sz w:val="24"/>
          <w:szCs w:val="24"/>
        </w:rPr>
        <w:t xml:space="preserve">I hereby certify that a copy of the foregoing </w:t>
      </w:r>
      <w:r w:rsidRPr="00AD5466" w:rsidR="00A15706">
        <w:rPr>
          <w:sz w:val="24"/>
          <w:szCs w:val="24"/>
        </w:rPr>
        <w:t>Reply</w:t>
      </w:r>
      <w:r w:rsidRPr="00AD5466" w:rsidR="009D74FF">
        <w:rPr>
          <w:sz w:val="24"/>
          <w:szCs w:val="24"/>
        </w:rPr>
        <w:t xml:space="preserve"> Brief for Consumer Protection </w:t>
      </w:r>
      <w:r w:rsidRPr="00AD5466" w:rsidR="00EF0B5B">
        <w:rPr>
          <w:sz w:val="24"/>
          <w:szCs w:val="24"/>
        </w:rPr>
        <w:t xml:space="preserve">was served via electronic transmission upon the parties this </w:t>
      </w:r>
      <w:r w:rsidRPr="00AD5466" w:rsidR="00EC5EDC">
        <w:rPr>
          <w:sz w:val="24"/>
          <w:szCs w:val="24"/>
        </w:rPr>
        <w:t>23</w:t>
      </w:r>
      <w:r w:rsidRPr="00AD5466" w:rsidR="00EC5EDC">
        <w:rPr>
          <w:sz w:val="24"/>
          <w:szCs w:val="24"/>
          <w:vertAlign w:val="superscript"/>
        </w:rPr>
        <w:t>rd</w:t>
      </w:r>
      <w:r w:rsidRPr="00AD5466" w:rsidR="00EC5EDC">
        <w:rPr>
          <w:sz w:val="24"/>
          <w:szCs w:val="24"/>
        </w:rPr>
        <w:t xml:space="preserve"> </w:t>
      </w:r>
      <w:r w:rsidRPr="00AD5466">
        <w:rPr>
          <w:sz w:val="24"/>
          <w:szCs w:val="24"/>
        </w:rPr>
        <w:t xml:space="preserve">day of August 2024. </w:t>
      </w:r>
    </w:p>
    <w:p w:rsidR="00336A43" w:rsidRPr="00AD5466" w:rsidP="00336A43" w14:paraId="427B1BAD" w14:textId="20ACC8F4">
      <w:pPr>
        <w:suppressAutoHyphens/>
        <w:spacing w:after="0" w:line="240" w:lineRule="auto"/>
        <w:ind w:firstLine="4320"/>
        <w:rPr>
          <w:rFonts w:eastAsia="Times New Roman"/>
          <w:sz w:val="24"/>
          <w:szCs w:val="24"/>
        </w:rPr>
      </w:pPr>
      <w:r w:rsidRPr="00AD5466">
        <w:rPr>
          <w:rFonts w:eastAsia="Times New Roman"/>
          <w:i/>
          <w:iCs/>
          <w:sz w:val="24"/>
          <w:szCs w:val="24"/>
          <w:u w:val="single"/>
        </w:rPr>
        <w:t xml:space="preserve">/s/ </w:t>
      </w:r>
      <w:r w:rsidRPr="00801018" w:rsidR="006B79AA">
        <w:rPr>
          <w:rFonts w:eastAsia="Times New Roman"/>
          <w:i/>
          <w:sz w:val="24"/>
          <w:szCs w:val="24"/>
          <w:u w:val="single"/>
        </w:rPr>
        <w:t>Thomas J. Brodbeck</w:t>
      </w:r>
    </w:p>
    <w:p w:rsidR="00336A43" w:rsidRPr="00AD5466" w:rsidP="00336A43" w14:paraId="07E180EF" w14:textId="1B8B4E58">
      <w:pPr>
        <w:tabs>
          <w:tab w:val="left" w:pos="4320"/>
        </w:tabs>
        <w:spacing w:after="0" w:line="240" w:lineRule="auto"/>
        <w:rPr>
          <w:rFonts w:eastAsia="Times New Roman"/>
          <w:sz w:val="24"/>
          <w:szCs w:val="24"/>
        </w:rPr>
      </w:pPr>
      <w:r w:rsidRPr="00AD5466">
        <w:rPr>
          <w:rFonts w:eastAsia="Times New Roman"/>
          <w:sz w:val="24"/>
          <w:szCs w:val="24"/>
        </w:rPr>
        <w:tab/>
      </w:r>
      <w:r w:rsidR="006B79AA">
        <w:rPr>
          <w:rFonts w:eastAsia="Times New Roman"/>
          <w:sz w:val="24"/>
          <w:szCs w:val="24"/>
        </w:rPr>
        <w:t>Thomas J. Brodbeck</w:t>
      </w:r>
    </w:p>
    <w:p w:rsidR="00336A43" w:rsidRPr="00AD5466" w:rsidP="00336A43" w14:paraId="711C166E" w14:textId="1C1DC0BE">
      <w:pPr>
        <w:tabs>
          <w:tab w:val="left" w:pos="4320"/>
        </w:tabs>
        <w:spacing w:after="0" w:line="240" w:lineRule="auto"/>
        <w:rPr>
          <w:rFonts w:eastAsia="Times New Roman"/>
          <w:sz w:val="24"/>
          <w:szCs w:val="24"/>
        </w:rPr>
      </w:pPr>
      <w:r w:rsidRPr="00AD5466">
        <w:rPr>
          <w:rFonts w:eastAsia="Times New Roman"/>
          <w:sz w:val="24"/>
          <w:szCs w:val="24"/>
        </w:rPr>
        <w:tab/>
        <w:t>Assistant Consumers</w:t>
      </w:r>
      <w:r w:rsidRPr="00AD5466" w:rsidR="00AE7B19">
        <w:rPr>
          <w:rFonts w:eastAsia="Times New Roman"/>
          <w:sz w:val="24"/>
          <w:szCs w:val="24"/>
        </w:rPr>
        <w:t>’</w:t>
      </w:r>
      <w:r w:rsidRPr="00AD5466">
        <w:rPr>
          <w:rFonts w:eastAsia="Times New Roman"/>
          <w:sz w:val="24"/>
          <w:szCs w:val="24"/>
        </w:rPr>
        <w:t xml:space="preserve"> Counsel</w:t>
      </w:r>
    </w:p>
    <w:p w:rsidR="00336A43" w:rsidRPr="00AD5466" w:rsidP="00336A43" w14:paraId="5D957059" w14:textId="77777777">
      <w:pPr>
        <w:tabs>
          <w:tab w:val="left" w:pos="4320"/>
        </w:tabs>
        <w:spacing w:after="0" w:line="240" w:lineRule="auto"/>
        <w:rPr>
          <w:rFonts w:eastAsia="Times New Roman"/>
          <w:sz w:val="24"/>
          <w:szCs w:val="24"/>
        </w:rPr>
      </w:pPr>
    </w:p>
    <w:p w:rsidR="00336A43" w:rsidRPr="00AD5466" w:rsidP="00336A43" w14:paraId="4903DFDF" w14:textId="60231763">
      <w:pPr>
        <w:spacing w:after="0" w:line="240" w:lineRule="auto"/>
        <w:rPr>
          <w:rFonts w:eastAsia="Times New Roman"/>
          <w:sz w:val="24"/>
          <w:szCs w:val="24"/>
        </w:rPr>
      </w:pPr>
      <w:r w:rsidRPr="00AD5466">
        <w:rPr>
          <w:rFonts w:eastAsia="Times New Roman"/>
          <w:sz w:val="24"/>
          <w:szCs w:val="24"/>
        </w:rPr>
        <w:t>The PUCO</w:t>
      </w:r>
      <w:r w:rsidRPr="00AD5466" w:rsidR="00AE7B19">
        <w:rPr>
          <w:rFonts w:eastAsia="Times New Roman"/>
          <w:sz w:val="24"/>
          <w:szCs w:val="24"/>
        </w:rPr>
        <w:t>’</w:t>
      </w:r>
      <w:r w:rsidRPr="00AD5466">
        <w:rPr>
          <w:rFonts w:eastAsia="Times New Roman"/>
          <w:sz w:val="24"/>
          <w:szCs w:val="24"/>
        </w:rPr>
        <w:t>s e-filing system will electronically serve notice of the filing of this document on the following parties:</w:t>
      </w:r>
    </w:p>
    <w:p w:rsidR="00336A43" w:rsidRPr="00AD5466" w:rsidP="00336A43" w14:paraId="34B04A2D" w14:textId="77777777">
      <w:pPr>
        <w:spacing w:after="0" w:line="240" w:lineRule="auto"/>
        <w:rPr>
          <w:rFonts w:eastAsia="Times New Roman"/>
          <w:b/>
          <w:sz w:val="24"/>
          <w:szCs w:val="24"/>
          <w:u w:val="single"/>
        </w:rPr>
      </w:pPr>
    </w:p>
    <w:p w:rsidR="00336A43" w:rsidRPr="00AD5466" w:rsidP="00336A43" w14:paraId="6A1A63DB" w14:textId="77777777">
      <w:pPr>
        <w:spacing w:after="0" w:line="240" w:lineRule="auto"/>
        <w:jc w:val="center"/>
        <w:rPr>
          <w:rFonts w:eastAsia="Times New Roman"/>
          <w:b/>
          <w:sz w:val="24"/>
          <w:szCs w:val="24"/>
          <w:u w:val="single"/>
        </w:rPr>
      </w:pPr>
      <w:r w:rsidRPr="00AD5466">
        <w:rPr>
          <w:rFonts w:eastAsia="Times New Roman"/>
          <w:b/>
          <w:sz w:val="24"/>
          <w:szCs w:val="24"/>
          <w:u w:val="single"/>
        </w:rPr>
        <w:t>SERVICE LIST</w:t>
      </w:r>
    </w:p>
    <w:p w:rsidR="00336A43" w:rsidRPr="00AD5466" w:rsidP="00336A43" w14:paraId="1175BBA7" w14:textId="77777777">
      <w:pPr>
        <w:spacing w:after="0" w:line="240" w:lineRule="auto"/>
        <w:jc w:val="center"/>
        <w:rPr>
          <w:rFonts w:eastAsia="Times New Roman"/>
          <w:b/>
          <w:sz w:val="24"/>
          <w:szCs w:val="24"/>
          <w:u w:val="single"/>
        </w:rPr>
      </w:pPr>
    </w:p>
    <w:tbl>
      <w:tblPr>
        <w:tblW w:w="0" w:type="auto"/>
        <w:tblInd w:w="0" w:type="dxa"/>
        <w:tblCellMar>
          <w:top w:w="0" w:type="dxa"/>
          <w:left w:w="108" w:type="dxa"/>
          <w:bottom w:w="0" w:type="dxa"/>
          <w:right w:w="108" w:type="dxa"/>
        </w:tblCellMar>
        <w:tblLook w:val="01E0"/>
      </w:tblPr>
      <w:tblGrid>
        <w:gridCol w:w="4262"/>
        <w:gridCol w:w="4378"/>
      </w:tblGrid>
      <w:tr w14:paraId="2B05C0AA" w14:textId="77777777" w:rsidTr="00BA752C">
        <w:tblPrEx>
          <w:tblW w:w="0" w:type="auto"/>
          <w:tblInd w:w="0" w:type="dxa"/>
          <w:tblCellMar>
            <w:top w:w="0" w:type="dxa"/>
            <w:left w:w="108" w:type="dxa"/>
            <w:bottom w:w="0" w:type="dxa"/>
            <w:right w:w="108" w:type="dxa"/>
          </w:tblCellMar>
          <w:tblLook w:val="01E0"/>
        </w:tblPrEx>
        <w:tc>
          <w:tcPr>
            <w:tcW w:w="4428" w:type="dxa"/>
            <w:shd w:val="clear" w:color="auto" w:fill="auto"/>
          </w:tcPr>
          <w:p w:rsidR="00336A43" w:rsidRPr="00AD5466" w:rsidP="00336A43" w14:paraId="6CACA924" w14:textId="4BAE6C73">
            <w:pPr>
              <w:autoSpaceDE w:val="0"/>
              <w:autoSpaceDN w:val="0"/>
              <w:adjustRightInd w:val="0"/>
              <w:spacing w:after="0" w:line="240" w:lineRule="auto"/>
              <w:rPr>
                <w:rFonts w:eastAsia="Times New Roman"/>
                <w:bCs/>
                <w:sz w:val="24"/>
                <w:szCs w:val="24"/>
                <w:lang w:val="en-US" w:eastAsia="en-US" w:bidi="ar-SA"/>
              </w:rPr>
            </w:pPr>
            <w:hyperlink r:id="rId15" w:history="1">
              <w:r w:rsidRPr="00AD5466" w:rsidR="0099457A">
                <w:rPr>
                  <w:rStyle w:val="Hyperlink"/>
                  <w:rFonts w:eastAsia="Times New Roman"/>
                  <w:bCs/>
                  <w:color w:val="0000FF"/>
                  <w:sz w:val="24"/>
                  <w:szCs w:val="24"/>
                  <w:u w:val="single"/>
                  <w:lang w:val="en-US" w:eastAsia="en-US" w:bidi="ar-SA"/>
                </w:rPr>
                <w:t>ambrosia.wilson@ohioago.gov</w:t>
              </w:r>
            </w:hyperlink>
          </w:p>
          <w:p w:rsidR="00336A43" w:rsidRPr="00AD5466" w:rsidP="00336A43" w14:paraId="36E1C21D" w14:textId="77777777">
            <w:pPr>
              <w:autoSpaceDE w:val="0"/>
              <w:autoSpaceDN w:val="0"/>
              <w:adjustRightInd w:val="0"/>
              <w:spacing w:after="0" w:line="240" w:lineRule="auto"/>
              <w:rPr>
                <w:rFonts w:eastAsia="Times New Roman"/>
                <w:bCs/>
                <w:sz w:val="24"/>
                <w:szCs w:val="24"/>
                <w:lang w:val="en-US" w:eastAsia="en-US" w:bidi="ar-SA"/>
              </w:rPr>
            </w:pPr>
          </w:p>
          <w:p w:rsidR="00336A43" w:rsidRPr="00AD5466" w:rsidP="00336A43" w14:paraId="0DE0AC14" w14:textId="77777777">
            <w:pPr>
              <w:spacing w:after="0" w:line="240" w:lineRule="auto"/>
              <w:rPr>
                <w:rFonts w:eastAsia="Times New Roman"/>
                <w:sz w:val="24"/>
                <w:szCs w:val="24"/>
                <w:lang w:val="en-US" w:eastAsia="en-US" w:bidi="ar-SA"/>
              </w:rPr>
            </w:pPr>
            <w:r w:rsidRPr="00AD5466">
              <w:rPr>
                <w:rFonts w:eastAsia="Times New Roman"/>
                <w:sz w:val="24"/>
                <w:szCs w:val="24"/>
                <w:lang w:val="en-US" w:eastAsia="en-US" w:bidi="ar-SA"/>
              </w:rPr>
              <w:t>Attorney Examiners:</w:t>
            </w:r>
          </w:p>
          <w:p w:rsidR="00336A43" w:rsidRPr="00AD5466" w:rsidP="00336A43" w14:paraId="7F363110" w14:textId="77777777">
            <w:pPr>
              <w:autoSpaceDE w:val="0"/>
              <w:autoSpaceDN w:val="0"/>
              <w:adjustRightInd w:val="0"/>
              <w:spacing w:after="0" w:line="240" w:lineRule="auto"/>
              <w:rPr>
                <w:rFonts w:eastAsia="Times New Roman"/>
                <w:bCs/>
                <w:sz w:val="24"/>
                <w:szCs w:val="24"/>
                <w:lang w:val="en-US" w:eastAsia="en-US" w:bidi="ar-SA"/>
              </w:rPr>
            </w:pPr>
            <w:hyperlink r:id="rId16" w:history="1">
              <w:r w:rsidRPr="00AD5466" w:rsidR="003F77D8">
                <w:rPr>
                  <w:rFonts w:eastAsia="Times New Roman"/>
                  <w:bCs/>
                  <w:color w:val="0000FF"/>
                  <w:sz w:val="24"/>
                  <w:szCs w:val="24"/>
                  <w:u w:val="single"/>
                  <w:lang w:val="en-US" w:eastAsia="en-US" w:bidi="ar-SA"/>
                </w:rPr>
                <w:t>david.hicks@puco.ohio.gov</w:t>
              </w:r>
            </w:hyperlink>
          </w:p>
          <w:p w:rsidR="00336A43" w:rsidRPr="00AD5466" w:rsidP="00336A43" w14:paraId="5D051CAF" w14:textId="77777777">
            <w:pPr>
              <w:autoSpaceDE w:val="0"/>
              <w:autoSpaceDN w:val="0"/>
              <w:adjustRightInd w:val="0"/>
              <w:spacing w:after="0" w:line="240" w:lineRule="auto"/>
              <w:rPr>
                <w:rFonts w:eastAsia="Times New Roman"/>
                <w:bCs/>
                <w:sz w:val="24"/>
                <w:szCs w:val="24"/>
                <w:lang w:val="en-US" w:eastAsia="en-US" w:bidi="ar-SA"/>
              </w:rPr>
            </w:pPr>
            <w:hyperlink r:id="rId17" w:history="1">
              <w:r w:rsidRPr="00AD5466" w:rsidR="003F77D8">
                <w:rPr>
                  <w:rFonts w:eastAsia="Times New Roman"/>
                  <w:bCs/>
                  <w:color w:val="0000FF"/>
                  <w:sz w:val="24"/>
                  <w:szCs w:val="24"/>
                  <w:u w:val="single"/>
                  <w:lang w:val="en-US" w:eastAsia="en-US" w:bidi="ar-SA"/>
                </w:rPr>
                <w:t>matthew.sandor@puco.ohio.gov</w:t>
              </w:r>
            </w:hyperlink>
          </w:p>
          <w:p w:rsidR="00336A43" w:rsidRPr="00AD5466" w:rsidP="00336A43" w14:paraId="282A58BE" w14:textId="77777777">
            <w:pPr>
              <w:autoSpaceDE w:val="0"/>
              <w:autoSpaceDN w:val="0"/>
              <w:adjustRightInd w:val="0"/>
              <w:spacing w:after="0" w:line="240" w:lineRule="auto"/>
              <w:rPr>
                <w:rFonts w:eastAsia="Times New Roman"/>
                <w:bCs/>
                <w:sz w:val="24"/>
                <w:szCs w:val="24"/>
                <w:lang w:val="en-US" w:eastAsia="en-US" w:bidi="ar-SA"/>
              </w:rPr>
            </w:pPr>
          </w:p>
        </w:tc>
        <w:tc>
          <w:tcPr>
            <w:tcW w:w="4428" w:type="dxa"/>
            <w:shd w:val="clear" w:color="auto" w:fill="auto"/>
          </w:tcPr>
          <w:p w:rsidR="00336A43" w:rsidRPr="00AD5466" w:rsidP="00336A43" w14:paraId="7B9B2B77" w14:textId="77777777">
            <w:pPr>
              <w:spacing w:after="0" w:line="240" w:lineRule="auto"/>
              <w:jc w:val="both"/>
              <w:rPr>
                <w:rFonts w:eastAsia="Times New Roman"/>
                <w:sz w:val="24"/>
                <w:szCs w:val="24"/>
                <w:lang w:val="en-US" w:eastAsia="en-US" w:bidi="ar-SA"/>
              </w:rPr>
            </w:pPr>
            <w:hyperlink r:id="rId18" w:history="1">
              <w:r w:rsidRPr="00AD5466" w:rsidR="003F77D8">
                <w:rPr>
                  <w:rFonts w:eastAsia="Times New Roman"/>
                  <w:color w:val="0000FF"/>
                  <w:sz w:val="24"/>
                  <w:szCs w:val="24"/>
                  <w:u w:val="single"/>
                  <w:lang w:val="en-US" w:eastAsia="en-US" w:bidi="ar-SA"/>
                </w:rPr>
                <w:t>stnourse@aep.com</w:t>
              </w:r>
            </w:hyperlink>
          </w:p>
          <w:p w:rsidR="00336A43" w:rsidRPr="00AD5466" w:rsidP="00336A43" w14:paraId="0ADF6826" w14:textId="77777777">
            <w:pPr>
              <w:spacing w:after="0" w:line="240" w:lineRule="auto"/>
              <w:jc w:val="both"/>
              <w:rPr>
                <w:rFonts w:eastAsia="Times New Roman"/>
                <w:sz w:val="24"/>
                <w:szCs w:val="24"/>
                <w:lang w:val="en-US" w:eastAsia="en-US" w:bidi="ar-SA"/>
              </w:rPr>
            </w:pPr>
            <w:hyperlink r:id="rId19" w:history="1">
              <w:r w:rsidRPr="00AD5466" w:rsidR="003F77D8">
                <w:rPr>
                  <w:rFonts w:eastAsia="Times New Roman"/>
                  <w:color w:val="0000FF"/>
                  <w:sz w:val="24"/>
                  <w:szCs w:val="24"/>
                  <w:u w:val="single"/>
                  <w:lang w:val="en-US" w:eastAsia="en-US" w:bidi="ar-SA"/>
                </w:rPr>
                <w:t>mjschuler@aep.com</w:t>
              </w:r>
            </w:hyperlink>
          </w:p>
          <w:p w:rsidR="00336A43" w:rsidRPr="00AD5466" w:rsidP="00336A43" w14:paraId="37AB2D48" w14:textId="77777777">
            <w:pPr>
              <w:spacing w:after="0" w:line="240" w:lineRule="auto"/>
              <w:jc w:val="both"/>
              <w:rPr>
                <w:rFonts w:eastAsia="Times New Roman"/>
                <w:bCs/>
                <w:color w:val="0000FF"/>
                <w:sz w:val="24"/>
                <w:szCs w:val="24"/>
                <w:u w:val="single"/>
                <w:lang w:val="en-US" w:eastAsia="en-US" w:bidi="ar-SA"/>
              </w:rPr>
            </w:pPr>
            <w:hyperlink r:id="rId20" w:history="1">
              <w:r w:rsidRPr="00AD5466" w:rsidR="003F77D8">
                <w:rPr>
                  <w:rFonts w:eastAsia="Times New Roman"/>
                  <w:bCs/>
                  <w:color w:val="0000FF"/>
                  <w:sz w:val="24"/>
                  <w:szCs w:val="24"/>
                  <w:u w:val="single"/>
                  <w:lang w:val="en-US" w:eastAsia="en-US" w:bidi="ar-SA"/>
                </w:rPr>
                <w:t>dromig@nationwideenergypartners.com</w:t>
              </w:r>
            </w:hyperlink>
          </w:p>
          <w:p w:rsidR="00336A43" w:rsidRPr="00AD5466" w:rsidP="00336A43" w14:paraId="3CF4F4D4" w14:textId="77777777">
            <w:pPr>
              <w:spacing w:after="0" w:line="240" w:lineRule="auto"/>
              <w:jc w:val="both"/>
              <w:rPr>
                <w:rFonts w:eastAsia="Times New Roman"/>
                <w:bCs/>
                <w:color w:val="0000FF"/>
                <w:sz w:val="24"/>
                <w:szCs w:val="24"/>
                <w:u w:val="single"/>
                <w:lang w:val="en-US" w:eastAsia="en-US" w:bidi="ar-SA"/>
              </w:rPr>
            </w:pPr>
            <w:hyperlink r:id="rId21" w:history="1">
              <w:r w:rsidRPr="00AD5466" w:rsidR="003F77D8">
                <w:rPr>
                  <w:rFonts w:eastAsia="Times New Roman"/>
                  <w:bCs/>
                  <w:color w:val="0000FF"/>
                  <w:sz w:val="24"/>
                  <w:szCs w:val="24"/>
                  <w:u w:val="single"/>
                  <w:lang w:val="en-US" w:eastAsia="en-US" w:bidi="ar-SA"/>
                </w:rPr>
                <w:t>mjsettineri@vorys.com</w:t>
              </w:r>
            </w:hyperlink>
          </w:p>
          <w:p w:rsidR="00336A43" w:rsidRPr="00AD5466" w:rsidP="00336A43" w14:paraId="1C614268" w14:textId="77777777">
            <w:pPr>
              <w:spacing w:after="0" w:line="240" w:lineRule="auto"/>
              <w:jc w:val="both"/>
              <w:rPr>
                <w:rFonts w:eastAsia="Times New Roman"/>
                <w:color w:val="0000FF"/>
                <w:sz w:val="24"/>
                <w:szCs w:val="24"/>
                <w:u w:val="single"/>
                <w:lang w:val="en-US" w:eastAsia="en-US" w:bidi="ar-SA"/>
              </w:rPr>
            </w:pPr>
            <w:hyperlink r:id="rId22" w:history="1">
              <w:r w:rsidRPr="00AD5466" w:rsidR="003F77D8">
                <w:rPr>
                  <w:rFonts w:eastAsia="Times New Roman"/>
                  <w:color w:val="0000FF"/>
                  <w:sz w:val="24"/>
                  <w:szCs w:val="24"/>
                  <w:u w:val="single"/>
                  <w:lang w:val="en-US" w:eastAsia="en-US" w:bidi="ar-SA"/>
                </w:rPr>
                <w:t>aasanyal@vorys.com</w:t>
              </w:r>
            </w:hyperlink>
          </w:p>
          <w:p w:rsidR="00336A43" w:rsidRPr="00AD5466" w:rsidP="00336A43" w14:paraId="5A3D5E01" w14:textId="77777777">
            <w:pPr>
              <w:spacing w:after="0" w:line="240" w:lineRule="auto"/>
              <w:jc w:val="both"/>
              <w:rPr>
                <w:rFonts w:eastAsia="Times New Roman"/>
                <w:bCs/>
                <w:sz w:val="24"/>
                <w:szCs w:val="24"/>
                <w:lang w:val="en-US" w:eastAsia="en-US" w:bidi="ar-SA"/>
              </w:rPr>
            </w:pPr>
            <w:r w:rsidRPr="00AD5466">
              <w:rPr>
                <w:rFonts w:eastAsia="Times New Roman"/>
                <w:color w:val="0000FF"/>
                <w:sz w:val="24"/>
                <w:szCs w:val="24"/>
                <w:u w:val="single"/>
                <w:lang w:val="en-US" w:eastAsia="en-US" w:bidi="ar-SA"/>
              </w:rPr>
              <w:t>apguran@vorys.com</w:t>
            </w:r>
          </w:p>
          <w:p w:rsidR="00336A43" w:rsidRPr="00AD5466" w:rsidP="00336A43" w14:paraId="7F4C3E7A" w14:textId="77777777">
            <w:pPr>
              <w:spacing w:after="0" w:line="240" w:lineRule="auto"/>
              <w:jc w:val="both"/>
              <w:rPr>
                <w:rFonts w:eastAsia="Times New Roman"/>
                <w:bCs/>
                <w:sz w:val="24"/>
                <w:szCs w:val="24"/>
                <w:lang w:val="en-US" w:eastAsia="en-US" w:bidi="ar-SA"/>
              </w:rPr>
            </w:pPr>
          </w:p>
        </w:tc>
      </w:tr>
    </w:tbl>
    <w:p w:rsidR="00336A43" w:rsidRPr="00AD5466" w:rsidP="00336A43" w14:paraId="16BCF46E" w14:textId="77777777">
      <w:pPr>
        <w:spacing w:after="0" w:line="240" w:lineRule="auto"/>
        <w:rPr>
          <w:rFonts w:eastAsia="Times New Roman"/>
          <w:sz w:val="24"/>
          <w:szCs w:val="24"/>
        </w:rPr>
      </w:pPr>
    </w:p>
    <w:p w:rsidR="008C118E" w:rsidRPr="00AD5466" w:rsidP="008C118E" w14:paraId="7852AD64" w14:textId="77777777">
      <w:pPr>
        <w:spacing w:after="0" w:line="240" w:lineRule="auto"/>
        <w:rPr>
          <w:rFonts w:eastAsia="Times New Roman"/>
          <w:sz w:val="24"/>
          <w:szCs w:val="24"/>
        </w:rPr>
      </w:pPr>
    </w:p>
    <w:sectPr w:rsidSect="00BF5492">
      <w:footerReference w:type="default" r:id="rId23"/>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537" w14:paraId="50BD02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EC7" w14:paraId="3574FAC2" w14:textId="72AD3CBE">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537" w14:paraId="4B96D58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4"/>
        <w:szCs w:val="24"/>
      </w:rPr>
      <w:id w:val="1131127668"/>
      <w:docPartObj>
        <w:docPartGallery w:val="Page Numbers (Bottom of Page)"/>
        <w:docPartUnique/>
      </w:docPartObj>
    </w:sdtPr>
    <w:sdtEndPr>
      <w:rPr>
        <w:noProof/>
      </w:rPr>
    </w:sdtEndPr>
    <w:sdtContent>
      <w:p w:rsidR="00091B30" w:rsidRPr="00091B30" w14:paraId="51C5C1D0" w14:textId="6C30A84E">
        <w:pPr>
          <w:pStyle w:val="Footer"/>
          <w:jc w:val="center"/>
          <w:rPr>
            <w:sz w:val="24"/>
            <w:szCs w:val="24"/>
          </w:rPr>
        </w:pPr>
        <w:r w:rsidRPr="00091B30">
          <w:rPr>
            <w:sz w:val="24"/>
            <w:szCs w:val="24"/>
          </w:rPr>
          <w:fldChar w:fldCharType="begin"/>
        </w:r>
        <w:r w:rsidRPr="00091B30">
          <w:rPr>
            <w:sz w:val="24"/>
            <w:szCs w:val="24"/>
          </w:rPr>
          <w:instrText xml:space="preserve"> PAGE   \* MERGEFORMAT </w:instrText>
        </w:r>
        <w:r w:rsidRPr="00091B30">
          <w:rPr>
            <w:sz w:val="24"/>
            <w:szCs w:val="24"/>
          </w:rPr>
          <w:fldChar w:fldCharType="separate"/>
        </w:r>
        <w:r w:rsidRPr="00091B30">
          <w:rPr>
            <w:noProof/>
            <w:sz w:val="24"/>
            <w:szCs w:val="24"/>
          </w:rPr>
          <w:t>2</w:t>
        </w:r>
        <w:r w:rsidRPr="00091B30">
          <w:rPr>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4"/>
        <w:szCs w:val="24"/>
      </w:rPr>
      <w:id w:val="-1172875549"/>
      <w:docPartObj>
        <w:docPartGallery w:val="Page Numbers (Bottom of Page)"/>
        <w:docPartUnique/>
      </w:docPartObj>
    </w:sdtPr>
    <w:sdtEndPr>
      <w:rPr>
        <w:noProof/>
      </w:rPr>
    </w:sdtEndPr>
    <w:sdtContent>
      <w:p w:rsidR="00BF5492" w:rsidRPr="00091B30" w14:paraId="48F5D0BE" w14:textId="77777777">
        <w:pPr>
          <w:pStyle w:val="Footer"/>
          <w:jc w:val="center"/>
          <w:rPr>
            <w:sz w:val="24"/>
            <w:szCs w:val="24"/>
          </w:rPr>
        </w:pPr>
        <w:r w:rsidRPr="00091B30">
          <w:rPr>
            <w:sz w:val="24"/>
            <w:szCs w:val="24"/>
          </w:rPr>
          <w:fldChar w:fldCharType="begin"/>
        </w:r>
        <w:r w:rsidRPr="00091B30">
          <w:rPr>
            <w:sz w:val="24"/>
            <w:szCs w:val="24"/>
          </w:rPr>
          <w:instrText xml:space="preserve"> PAGE   \* MERGEFORMAT </w:instrText>
        </w:r>
        <w:r w:rsidRPr="00091B30">
          <w:rPr>
            <w:sz w:val="24"/>
            <w:szCs w:val="24"/>
          </w:rPr>
          <w:fldChar w:fldCharType="separate"/>
        </w:r>
        <w:r w:rsidRPr="00091B30">
          <w:rPr>
            <w:noProof/>
            <w:sz w:val="24"/>
            <w:szCs w:val="24"/>
          </w:rPr>
          <w:t>2</w:t>
        </w:r>
        <w:r w:rsidRPr="00091B30">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3663C" w:rsidP="00B20889" w14:paraId="6634AF75" w14:textId="77777777">
      <w:pPr>
        <w:spacing w:after="0" w:line="240" w:lineRule="auto"/>
      </w:pPr>
      <w:r>
        <w:separator/>
      </w:r>
    </w:p>
  </w:footnote>
  <w:footnote w:type="continuationSeparator" w:id="1">
    <w:p w:rsidR="00E3663C" w:rsidP="00B20889" w14:paraId="2F4E0AFA" w14:textId="77777777">
      <w:pPr>
        <w:spacing w:after="0" w:line="240" w:lineRule="auto"/>
      </w:pPr>
      <w:r>
        <w:continuationSeparator/>
      </w:r>
    </w:p>
  </w:footnote>
  <w:footnote w:id="2">
    <w:p w:rsidR="001279D4" w:rsidP="00F24346" w14:paraId="55DD0F2A" w14:textId="758311D7">
      <w:pPr>
        <w:pStyle w:val="FootnoteText"/>
        <w:spacing w:after="120"/>
      </w:pPr>
      <w:r>
        <w:rPr>
          <w:rStyle w:val="FootnoteReference"/>
        </w:rPr>
        <w:footnoteRef/>
      </w:r>
      <w:r>
        <w:t xml:space="preserve"> R.C. 4905.20 and 4905.21 (the “Miller Act”)</w:t>
      </w:r>
      <w:r w:rsidR="00CF0AE6">
        <w:t>.</w:t>
      </w:r>
    </w:p>
  </w:footnote>
  <w:footnote w:id="3">
    <w:p w:rsidR="00F84473" w:rsidP="00F24346" w14:paraId="27A4C1F9" w14:textId="2114C5FE">
      <w:pPr>
        <w:pStyle w:val="FootnoteText"/>
        <w:spacing w:after="120"/>
      </w:pPr>
      <w:r>
        <w:rPr>
          <w:rStyle w:val="FootnoteReference"/>
        </w:rPr>
        <w:footnoteRef/>
      </w:r>
      <w:r>
        <w:t xml:space="preserve"> Hearing Transcript Vol. I</w:t>
      </w:r>
      <w:r w:rsidR="001E5A57">
        <w:t xml:space="preserve"> (June 24, 2024)</w:t>
      </w:r>
      <w:r>
        <w:t xml:space="preserve"> at 26.</w:t>
      </w:r>
    </w:p>
  </w:footnote>
  <w:footnote w:id="4">
    <w:p w:rsidR="00F84473" w:rsidP="00F24346" w14:paraId="500BC1B8" w14:textId="0295B5C4">
      <w:pPr>
        <w:pStyle w:val="FootnoteText"/>
        <w:spacing w:after="120"/>
      </w:pPr>
      <w:r>
        <w:rPr>
          <w:rStyle w:val="FootnoteReference"/>
        </w:rPr>
        <w:footnoteRef/>
      </w:r>
      <w:r>
        <w:t xml:space="preserve"> </w:t>
      </w:r>
      <w:r w:rsidR="00CF0AE6">
        <w:rPr>
          <w:i/>
          <w:iCs/>
        </w:rPr>
        <w:t>Id</w:t>
      </w:r>
      <w:r w:rsidR="00CF0AE6">
        <w:t>.</w:t>
      </w:r>
      <w:r w:rsidR="008F3B81">
        <w:t xml:space="preserve"> at 30.</w:t>
      </w:r>
    </w:p>
  </w:footnote>
  <w:footnote w:id="5">
    <w:p w:rsidR="00330ACD" w:rsidP="00F24346" w14:paraId="503F6558" w14:textId="2D5F8648">
      <w:pPr>
        <w:pStyle w:val="FootnoteText"/>
        <w:spacing w:after="120"/>
      </w:pPr>
      <w:r>
        <w:rPr>
          <w:rStyle w:val="FootnoteReference"/>
        </w:rPr>
        <w:footnoteRef/>
      </w:r>
      <w:r>
        <w:t xml:space="preserve"> Initial Brief of NEP (</w:t>
      </w:r>
      <w:r w:rsidR="00AF6374">
        <w:t>Aug. 2, 2024</w:t>
      </w:r>
      <w:r>
        <w:t>) at 19-25.</w:t>
      </w:r>
    </w:p>
  </w:footnote>
  <w:footnote w:id="6">
    <w:p w:rsidR="00330ACD" w:rsidP="00F24346" w14:paraId="44E625B8" w14:textId="67F024BB">
      <w:pPr>
        <w:pStyle w:val="FootnoteText"/>
        <w:spacing w:after="120"/>
      </w:pPr>
      <w:r>
        <w:rPr>
          <w:rStyle w:val="FootnoteReference"/>
        </w:rPr>
        <w:footnoteRef/>
      </w:r>
      <w:r>
        <w:t xml:space="preserve"> </w:t>
      </w:r>
      <w:r w:rsidR="00CF0AE6">
        <w:rPr>
          <w:i/>
          <w:iCs/>
        </w:rPr>
        <w:t>Id</w:t>
      </w:r>
      <w:r w:rsidR="00CF0AE6">
        <w:t>.</w:t>
      </w:r>
      <w:r>
        <w:t xml:space="preserve"> at 28.</w:t>
      </w:r>
    </w:p>
  </w:footnote>
  <w:footnote w:id="7">
    <w:p w:rsidR="00330ACD" w:rsidP="00F24346" w14:paraId="42CCCE33" w14:textId="2A930275">
      <w:pPr>
        <w:pStyle w:val="FootnoteText"/>
        <w:spacing w:after="120"/>
      </w:pPr>
      <w:r>
        <w:rPr>
          <w:rStyle w:val="FootnoteReference"/>
        </w:rPr>
        <w:footnoteRef/>
      </w:r>
      <w:r w:rsidR="0036273E">
        <w:rPr>
          <w:i/>
          <w:iCs/>
        </w:rPr>
        <w:t xml:space="preserve"> </w:t>
      </w:r>
      <w:r w:rsidR="00280DCC">
        <w:rPr>
          <w:i/>
          <w:iCs/>
        </w:rPr>
        <w:t xml:space="preserve">In the Matter of the Complaint of </w:t>
      </w:r>
      <w:r w:rsidR="00C56ED8">
        <w:rPr>
          <w:i/>
          <w:iCs/>
        </w:rPr>
        <w:t xml:space="preserve">Ohio Power Company v. Nationwide Energy </w:t>
      </w:r>
      <w:r w:rsidRPr="00C56ED8" w:rsidR="00C56ED8">
        <w:rPr>
          <w:i/>
          <w:iCs/>
        </w:rPr>
        <w:t>Partners</w:t>
      </w:r>
      <w:r w:rsidR="00280DCC">
        <w:rPr>
          <w:i/>
          <w:iCs/>
        </w:rPr>
        <w:t>, LLC</w:t>
      </w:r>
      <w:r w:rsidR="00C56ED8">
        <w:t xml:space="preserve">, </w:t>
      </w:r>
      <w:r w:rsidRPr="00C56ED8" w:rsidR="00157359">
        <w:t>Case</w:t>
      </w:r>
      <w:r w:rsidR="00157359">
        <w:t xml:space="preserve"> No. 21-990-EL-CSS,</w:t>
      </w:r>
      <w:r w:rsidR="00C56ED8">
        <w:t xml:space="preserve"> NEP’s Memorandum Contra OCC’s Motion to Intervene (Nov. 12, 2021); NEP’s Memorandum Contra OCC’s Interlocutory Appeal (Feb. 14, 2022);</w:t>
      </w:r>
      <w:r>
        <w:t xml:space="preserve"> </w:t>
      </w:r>
      <w:r w:rsidR="00157359">
        <w:t>NEP</w:t>
      </w:r>
      <w:r w:rsidR="00292F03">
        <w:t>’s</w:t>
      </w:r>
      <w:r w:rsidR="00157359">
        <w:t xml:space="preserve"> Memorandum Contra OCC’s Application for Rehearing of the Denial of Interlocutory Appeal (Sept. 6, 2022)</w:t>
      </w:r>
      <w:r w:rsidR="00C56ED8">
        <w:t>;</w:t>
      </w:r>
      <w:r w:rsidR="00157359">
        <w:t xml:space="preserve"> NEP’s Memorandum Contra OCC’s Motion for Leave to File Instanter an Application for Rehearing (Oct. 16, 2023)</w:t>
      </w:r>
      <w:r w:rsidR="00C56ED8">
        <w:t>.</w:t>
      </w:r>
    </w:p>
  </w:footnote>
  <w:footnote w:id="8">
    <w:p w:rsidR="00807A5A" w:rsidP="00F24346" w14:paraId="73946A75" w14:textId="6D7C3BA0">
      <w:pPr>
        <w:pStyle w:val="FootnoteText"/>
        <w:spacing w:after="120"/>
      </w:pPr>
      <w:r>
        <w:rPr>
          <w:rStyle w:val="FootnoteReference"/>
        </w:rPr>
        <w:footnoteRef/>
      </w:r>
      <w:r>
        <w:t xml:space="preserve"> </w:t>
      </w:r>
      <w:r w:rsidR="000C4102">
        <w:t>Initial Brief of N</w:t>
      </w:r>
      <w:r w:rsidR="00AF6374">
        <w:t>E</w:t>
      </w:r>
      <w:r w:rsidR="000C4102">
        <w:t>P (</w:t>
      </w:r>
      <w:r w:rsidR="00AF6374">
        <w:t>Aug. 2, 2024</w:t>
      </w:r>
      <w:r w:rsidR="000C4102">
        <w:t>) at 28.</w:t>
      </w:r>
    </w:p>
  </w:footnote>
  <w:footnote w:id="9">
    <w:p w:rsidR="00E73560" w:rsidP="00F24346" w14:paraId="50C18061" w14:textId="4A84EFB9">
      <w:pPr>
        <w:pStyle w:val="FootnoteText"/>
        <w:spacing w:after="120"/>
      </w:pPr>
      <w:r>
        <w:rPr>
          <w:rStyle w:val="FootnoteReference"/>
        </w:rPr>
        <w:footnoteRef/>
      </w:r>
      <w:r>
        <w:t xml:space="preserve"> Initial Brief of AEP Ohio (Aug. 2, 2024) at 1-</w:t>
      </w:r>
      <w:r w:rsidR="00E45045">
        <w:t>3.</w:t>
      </w:r>
    </w:p>
  </w:footnote>
  <w:footnote w:id="10">
    <w:p w:rsidR="00D666C6" w:rsidP="00F24346" w14:paraId="20C98A79" w14:textId="4BF50A57">
      <w:pPr>
        <w:pStyle w:val="FootnoteText"/>
        <w:spacing w:after="120"/>
      </w:pPr>
      <w:r>
        <w:rPr>
          <w:rStyle w:val="FootnoteReference"/>
        </w:rPr>
        <w:footnoteRef/>
      </w:r>
      <w:r>
        <w:t xml:space="preserve"> Direct Testimony of AEP</w:t>
      </w:r>
      <w:r w:rsidR="008C0E6A">
        <w:t xml:space="preserve"> Ohio</w:t>
      </w:r>
      <w:r>
        <w:t xml:space="preserve"> Witness</w:t>
      </w:r>
      <w:r w:rsidR="008C0E6A">
        <w:t xml:space="preserve"> Ryan</w:t>
      </w:r>
      <w:r>
        <w:t xml:space="preserve"> Forbes (June 10, 2024) at 5.</w:t>
      </w:r>
    </w:p>
  </w:footnote>
  <w:footnote w:id="11">
    <w:p w:rsidR="00B5183B" w:rsidRPr="00D666C6" w:rsidP="00F24346" w14:paraId="76404D5B" w14:textId="74597016">
      <w:pPr>
        <w:pStyle w:val="FootnoteText"/>
        <w:spacing w:after="120"/>
      </w:pPr>
      <w:r>
        <w:rPr>
          <w:rStyle w:val="FootnoteReference"/>
        </w:rPr>
        <w:footnoteRef/>
      </w:r>
      <w:r>
        <w:t xml:space="preserve"> </w:t>
      </w:r>
      <w:r w:rsidR="00D666C6">
        <w:rPr>
          <w:i/>
          <w:iCs/>
        </w:rPr>
        <w:t>Id.</w:t>
      </w:r>
      <w:r w:rsidR="00D666C6">
        <w:t xml:space="preserve"> at Ex. RJF-1.</w:t>
      </w:r>
    </w:p>
  </w:footnote>
  <w:footnote w:id="12">
    <w:p w:rsidR="00B5183B" w:rsidP="00F24346" w14:paraId="7D244A91" w14:textId="497686D9">
      <w:pPr>
        <w:pStyle w:val="FootnoteText"/>
        <w:spacing w:after="120"/>
      </w:pPr>
      <w:r>
        <w:rPr>
          <w:rStyle w:val="FootnoteReference"/>
        </w:rPr>
        <w:footnoteRef/>
      </w:r>
      <w:r>
        <w:t xml:space="preserve"> </w:t>
      </w:r>
      <w:r w:rsidR="00950967">
        <w:rPr>
          <w:i/>
          <w:iCs/>
        </w:rPr>
        <w:t>Id</w:t>
      </w:r>
      <w:r w:rsidR="00950967">
        <w:t>.</w:t>
      </w:r>
      <w:r>
        <w:t xml:space="preserve"> at 10-11, Ex</w:t>
      </w:r>
      <w:r w:rsidR="0008007E">
        <w:t>.</w:t>
      </w:r>
      <w:r>
        <w:t xml:space="preserve"> RJF-2.</w:t>
      </w:r>
    </w:p>
  </w:footnote>
  <w:footnote w:id="13">
    <w:p w:rsidR="002A7AE6" w:rsidP="00F24346" w14:paraId="0E43A499" w14:textId="7A360485">
      <w:pPr>
        <w:pStyle w:val="FootnoteText"/>
        <w:spacing w:after="120"/>
      </w:pPr>
      <w:r w:rsidRPr="00E777C6">
        <w:rPr>
          <w:rStyle w:val="FootnoteReference"/>
        </w:rPr>
        <w:footnoteRef/>
      </w:r>
      <w:r w:rsidRPr="00E777C6">
        <w:t xml:space="preserve"> AEP Ohio 1</w:t>
      </w:r>
      <w:r w:rsidRPr="00B64F4C">
        <w:rPr>
          <w:vertAlign w:val="superscript"/>
        </w:rPr>
        <w:t>st</w:t>
      </w:r>
      <w:r w:rsidRPr="00E777C6">
        <w:t xml:space="preserve"> Revised Sheet No. 103-5.</w:t>
      </w:r>
    </w:p>
  </w:footnote>
  <w:footnote w:id="14">
    <w:p w:rsidR="006D578A" w:rsidP="00F24346" w14:paraId="40D428E6" w14:textId="75DCE11F">
      <w:pPr>
        <w:pStyle w:val="FootnoteText"/>
        <w:spacing w:after="120"/>
      </w:pPr>
      <w:r>
        <w:rPr>
          <w:rStyle w:val="FootnoteReference"/>
        </w:rPr>
        <w:footnoteRef/>
      </w:r>
      <w:r>
        <w:t xml:space="preserve"> </w:t>
      </w:r>
      <w:r w:rsidR="001F45B2">
        <w:t xml:space="preserve">Hearing Transcript Vol. I </w:t>
      </w:r>
      <w:r w:rsidR="00252015">
        <w:t xml:space="preserve">(June 24, 2024) </w:t>
      </w:r>
      <w:r w:rsidR="001F45B2">
        <w:t>at 215.</w:t>
      </w:r>
    </w:p>
  </w:footnote>
  <w:footnote w:id="15">
    <w:p w:rsidR="00CF51B0" w:rsidRPr="00B64F4C" w:rsidP="00F24346" w14:paraId="07D32EA4" w14:textId="30240503">
      <w:pPr>
        <w:pStyle w:val="FootnoteText"/>
        <w:spacing w:after="120"/>
        <w:rPr>
          <w:i/>
          <w:iCs/>
        </w:rPr>
      </w:pPr>
      <w:r>
        <w:rPr>
          <w:rStyle w:val="FootnoteReference"/>
        </w:rPr>
        <w:footnoteRef/>
      </w:r>
      <w:r>
        <w:t xml:space="preserve"> </w:t>
      </w:r>
      <w:r>
        <w:rPr>
          <w:i/>
          <w:iCs/>
        </w:rPr>
        <w:t>Id.</w:t>
      </w:r>
    </w:p>
  </w:footnote>
  <w:footnote w:id="16">
    <w:p w:rsidR="002C6EAC" w:rsidP="00F24346" w14:paraId="69175CE5" w14:textId="59ECAC1F">
      <w:pPr>
        <w:pStyle w:val="FootnoteText"/>
        <w:spacing w:after="120"/>
      </w:pPr>
      <w:r>
        <w:rPr>
          <w:rStyle w:val="FootnoteReference"/>
        </w:rPr>
        <w:footnoteRef/>
      </w:r>
      <w:r>
        <w:t xml:space="preserve"> </w:t>
      </w:r>
      <w:r>
        <w:rPr>
          <w:i/>
          <w:iCs/>
        </w:rPr>
        <w:t>In the Matter of the Complaint of Ohio Power Company v. Nationwide Energy Partners, LLC</w:t>
      </w:r>
      <w:r>
        <w:t xml:space="preserve">, Case No. 21-990-EL-CSS, </w:t>
      </w:r>
      <w:r w:rsidRPr="00ED3CE1">
        <w:t>Opinion</w:t>
      </w:r>
      <w:r>
        <w:t xml:space="preserve"> and Order (Sept. 6, 2023) at ¶ 224 (“[W]e find the testimony . . . convincing in </w:t>
      </w:r>
      <w:r w:rsidRPr="00B64F4C">
        <w:rPr>
          <w:b/>
          <w:bCs/>
          <w:i/>
          <w:iCs/>
        </w:rPr>
        <w:t xml:space="preserve">that tenants lose a multitude of rights and protections </w:t>
      </w:r>
      <w:r>
        <w:t>. . . that ensure consumers receive adequate, safe, and reasonable electric service, as required by law”</w:t>
      </w:r>
      <w:r w:rsidR="00B52EB2">
        <w:t>)</w:t>
      </w:r>
      <w:r>
        <w:t xml:space="preserve"> (emphasis added).</w:t>
      </w:r>
    </w:p>
  </w:footnote>
  <w:footnote w:id="17">
    <w:p w:rsidR="00E73560" w:rsidP="00F24346" w14:paraId="3E464AD0" w14:textId="6A211F08">
      <w:pPr>
        <w:pStyle w:val="FootnoteText"/>
        <w:spacing w:after="120"/>
      </w:pPr>
      <w:r>
        <w:rPr>
          <w:rStyle w:val="FootnoteReference"/>
        </w:rPr>
        <w:footnoteRef/>
      </w:r>
      <w:r>
        <w:t xml:space="preserve"> </w:t>
      </w:r>
      <w:r w:rsidR="00E45045">
        <w:rPr>
          <w:i/>
          <w:iCs/>
        </w:rPr>
        <w:t>See</w:t>
      </w:r>
      <w:r w:rsidR="00E45045">
        <w:t xml:space="preserve"> Initial Brief of OCC (Aug. 2, 2024) at 12-26.</w:t>
      </w:r>
    </w:p>
  </w:footnote>
  <w:footnote w:id="18">
    <w:p w:rsidR="00E45045" w:rsidP="00F24346" w14:paraId="4103A0F4" w14:textId="7643D76C">
      <w:pPr>
        <w:pStyle w:val="FootnoteText"/>
        <w:spacing w:after="120"/>
      </w:pPr>
      <w:r>
        <w:rPr>
          <w:rStyle w:val="FootnoteReference"/>
        </w:rPr>
        <w:footnoteRef/>
      </w:r>
      <w:r>
        <w:t xml:space="preserve"> </w:t>
      </w:r>
      <w:r w:rsidR="00DB6A42">
        <w:t>Initial Brief of NEP (Aug. 2, 2024) at 19-24.</w:t>
      </w:r>
    </w:p>
  </w:footnote>
  <w:footnote w:id="19">
    <w:p w:rsidR="00001946" w:rsidP="00F24346" w14:paraId="73F57E83" w14:textId="77777777">
      <w:pPr>
        <w:pStyle w:val="FootnoteText"/>
        <w:spacing w:after="120"/>
      </w:pPr>
      <w:r>
        <w:rPr>
          <w:rStyle w:val="FootnoteReference"/>
        </w:rPr>
        <w:footnoteRef/>
      </w:r>
      <w:r>
        <w:t xml:space="preserve"> Updated Ex. </w:t>
      </w:r>
      <w:r w:rsidRPr="00AE7B19">
        <w:t xml:space="preserve">AD-5 to Aaron Depinet’s </w:t>
      </w:r>
      <w:r>
        <w:t>P</w:t>
      </w:r>
      <w:r w:rsidRPr="00AE7B19">
        <w:t>ublic</w:t>
      </w:r>
      <w:r>
        <w:t xml:space="preserve"> T</w:t>
      </w:r>
      <w:r w:rsidRPr="00AE7B19">
        <w:t>estimony (July 5, 2024), Commodity Coordination Service Agreement (Cover Sheet) at p. 1.</w:t>
      </w:r>
    </w:p>
  </w:footnote>
  <w:footnote w:id="20">
    <w:p w:rsidR="00E90BF0" w:rsidP="00F24346" w14:paraId="07710ABB" w14:textId="12A2930F">
      <w:pPr>
        <w:pStyle w:val="FootnoteText"/>
        <w:spacing w:after="120"/>
      </w:pPr>
      <w:r>
        <w:rPr>
          <w:rStyle w:val="FootnoteReference"/>
        </w:rPr>
        <w:footnoteRef/>
      </w:r>
      <w:r>
        <w:t xml:space="preserve"> Initial Brief of NEP (Aug. </w:t>
      </w:r>
      <w:r w:rsidR="00FB712B">
        <w:t>2</w:t>
      </w:r>
      <w:r w:rsidR="00CF0AE6">
        <w:t>,</w:t>
      </w:r>
      <w:r>
        <w:t xml:space="preserve"> 2024) at 19-23.</w:t>
      </w:r>
    </w:p>
  </w:footnote>
  <w:footnote w:id="21">
    <w:p w:rsidR="00125032" w:rsidRPr="00AE7B19" w:rsidP="00F24346" w14:paraId="13F40621" w14:textId="6208DC4C">
      <w:pPr>
        <w:pStyle w:val="FootnoteText"/>
        <w:spacing w:after="120"/>
      </w:pPr>
      <w:r w:rsidRPr="00AE7B19">
        <w:rPr>
          <w:rStyle w:val="FootnoteReference"/>
        </w:rPr>
        <w:footnoteRef/>
      </w:r>
      <w:r w:rsidRPr="00AE7B19">
        <w:t xml:space="preserve"> </w:t>
      </w:r>
      <w:r w:rsidRPr="00AE7B19" w:rsidR="00FB712B">
        <w:t>Updated Ex</w:t>
      </w:r>
      <w:r w:rsidR="00AA077A">
        <w:t>.</w:t>
      </w:r>
      <w:r w:rsidRPr="00AE7B19" w:rsidR="00FB712B">
        <w:t xml:space="preserve"> AD-5 to Aaron Depinet</w:t>
      </w:r>
      <w:r w:rsidR="00AA077A">
        <w:t xml:space="preserve">’s Public </w:t>
      </w:r>
      <w:r w:rsidR="003554C3">
        <w:t>Testimony</w:t>
      </w:r>
      <w:r w:rsidRPr="00AE7B19" w:rsidR="00FB712B">
        <w:t xml:space="preserve"> </w:t>
      </w:r>
      <w:r w:rsidR="00FB712B">
        <w:t>(</w:t>
      </w:r>
      <w:r w:rsidRPr="00AE7B19" w:rsidR="00FB712B">
        <w:t>July 5, 2024</w:t>
      </w:r>
      <w:r w:rsidR="00FB712B">
        <w:t>),</w:t>
      </w:r>
      <w:r w:rsidRPr="00AE7B19">
        <w:t xml:space="preserve"> Commodity Coordination Service Agreement at 1.</w:t>
      </w:r>
    </w:p>
  </w:footnote>
  <w:footnote w:id="22">
    <w:p w:rsidR="00E34BD0" w:rsidRPr="00AE7B19" w:rsidP="00F24346" w14:paraId="1900F15A" w14:textId="5E4010C1">
      <w:pPr>
        <w:pStyle w:val="FootnoteText"/>
        <w:spacing w:after="120"/>
      </w:pPr>
      <w:r w:rsidRPr="00AE7B19">
        <w:rPr>
          <w:rStyle w:val="FootnoteReference"/>
        </w:rPr>
        <w:footnoteRef/>
      </w:r>
      <w:r w:rsidRPr="00AE7B19">
        <w:t xml:space="preserve"> </w:t>
      </w:r>
      <w:r w:rsidRPr="00AE7B19">
        <w:rPr>
          <w:i/>
          <w:iCs/>
        </w:rPr>
        <w:t xml:space="preserve">Id. </w:t>
      </w:r>
      <w:r w:rsidRPr="00AE7B19">
        <w:t xml:space="preserve">at 14, </w:t>
      </w:r>
      <w:r w:rsidR="00AE7B19">
        <w:t>¶</w:t>
      </w:r>
      <w:r w:rsidRPr="00AE7B19">
        <w:t xml:space="preserve"> 8.</w:t>
      </w:r>
    </w:p>
  </w:footnote>
  <w:footnote w:id="23">
    <w:p w:rsidR="00E34BD0" w:rsidRPr="00AE7B19" w:rsidP="00F24346" w14:paraId="7C944DCC" w14:textId="38D4DAA2">
      <w:pPr>
        <w:pStyle w:val="FootnoteText"/>
        <w:spacing w:after="120"/>
      </w:pPr>
      <w:r w:rsidRPr="00AE7B19">
        <w:rPr>
          <w:rStyle w:val="FootnoteReference"/>
        </w:rPr>
        <w:footnoteRef/>
      </w:r>
      <w:r w:rsidRPr="00AE7B19">
        <w:t xml:space="preserve"> </w:t>
      </w:r>
      <w:r w:rsidRPr="00AE7B19">
        <w:rPr>
          <w:i/>
          <w:iCs/>
        </w:rPr>
        <w:t xml:space="preserve">Id. </w:t>
      </w:r>
      <w:r w:rsidRPr="00AE7B19">
        <w:t xml:space="preserve">at </w:t>
      </w:r>
      <w:r w:rsidR="00AE7B19">
        <w:t>¶</w:t>
      </w:r>
      <w:r w:rsidRPr="00AE7B19">
        <w:t xml:space="preserve"> 7 (</w:t>
      </w:r>
      <w:r w:rsidRPr="00AE7B19" w:rsidR="00AE7B19">
        <w:t>“</w:t>
      </w:r>
      <w:r w:rsidRPr="00AE7B19">
        <w:t>No supplement, modification or waiver of this Agreement shall be binding unless executed in writing by the party to be bound thereby.</w:t>
      </w:r>
      <w:r w:rsidRPr="00AE7B19" w:rsidR="00AE7B19">
        <w:t>”</w:t>
      </w:r>
      <w:r w:rsidRPr="00AE7B19">
        <w:t>)</w:t>
      </w:r>
    </w:p>
  </w:footnote>
  <w:footnote w:id="24">
    <w:p w:rsidR="003F3C2D" w:rsidRPr="00AE7B19" w:rsidP="00F24346" w14:paraId="004EF85C" w14:textId="5ACF9B7F">
      <w:pPr>
        <w:pStyle w:val="FootnoteText"/>
        <w:spacing w:after="120"/>
      </w:pPr>
      <w:r w:rsidRPr="00AE7B19">
        <w:rPr>
          <w:rStyle w:val="FootnoteReference"/>
        </w:rPr>
        <w:footnoteRef/>
      </w:r>
      <w:r w:rsidRPr="00AE7B19">
        <w:t xml:space="preserve"> </w:t>
      </w:r>
      <w:r w:rsidRPr="00AE7B19">
        <w:rPr>
          <w:i/>
          <w:iCs/>
        </w:rPr>
        <w:t xml:space="preserve">Id. </w:t>
      </w:r>
      <w:r w:rsidRPr="00AE7B19">
        <w:t>at 2, Section 2</w:t>
      </w:r>
      <w:r w:rsidR="006A6193">
        <w:t xml:space="preserve"> </w:t>
      </w:r>
      <w:r w:rsidRPr="00AE7B19">
        <w:t>- Installation</w:t>
      </w:r>
      <w:r w:rsidR="00AE7B19">
        <w:t>.</w:t>
      </w:r>
    </w:p>
  </w:footnote>
  <w:footnote w:id="25">
    <w:p w:rsidR="00E34BD0" w:rsidRPr="00AE7B19" w:rsidP="00F24346" w14:paraId="3CE043C7" w14:textId="5431B6B4">
      <w:pPr>
        <w:pStyle w:val="FootnoteText"/>
        <w:spacing w:after="120"/>
      </w:pPr>
      <w:r w:rsidRPr="00AE7B19">
        <w:rPr>
          <w:rStyle w:val="FootnoteReference"/>
        </w:rPr>
        <w:footnoteRef/>
      </w:r>
      <w:r w:rsidRPr="00AE7B19">
        <w:t xml:space="preserve"> </w:t>
      </w:r>
      <w:r w:rsidR="004E1DAE">
        <w:t>NEP Ex</w:t>
      </w:r>
      <w:r w:rsidR="00CF0AE6">
        <w:t>.</w:t>
      </w:r>
      <w:r w:rsidRPr="00AE7B19">
        <w:t xml:space="preserve"> G </w:t>
      </w:r>
      <w:r w:rsidR="005D6A35">
        <w:t>(</w:t>
      </w:r>
      <w:r w:rsidRPr="00AE7B19">
        <w:t>Aug</w:t>
      </w:r>
      <w:r w:rsidR="00DF17B5">
        <w:t>.</w:t>
      </w:r>
      <w:r w:rsidRPr="00AE7B19">
        <w:t xml:space="preserve"> 18, 2023</w:t>
      </w:r>
      <w:r w:rsidR="005D6A35">
        <w:t>)</w:t>
      </w:r>
      <w:r w:rsidRPr="00AE7B19">
        <w:t xml:space="preserve"> </w:t>
      </w:r>
      <w:r w:rsidR="005D6A35">
        <w:t>(</w:t>
      </w:r>
      <w:r w:rsidRPr="00AE7B19" w:rsidR="005D6A35">
        <w:t xml:space="preserve">filed </w:t>
      </w:r>
      <w:r w:rsidRPr="00AE7B19">
        <w:t>as part of a Public Filing of numerous exhibits</w:t>
      </w:r>
      <w:r w:rsidR="005D6A35">
        <w:t>)</w:t>
      </w:r>
      <w:r w:rsidRPr="00AE7B19">
        <w:t xml:space="preserve"> at</w:t>
      </w:r>
      <w:r w:rsidR="00726BD0">
        <w:t xml:space="preserve"> </w:t>
      </w:r>
      <w:r w:rsidRPr="00AE7B19">
        <w:t>5</w:t>
      </w:r>
      <w:r w:rsidR="004E1DAE">
        <w:t>.</w:t>
      </w:r>
    </w:p>
  </w:footnote>
  <w:footnote w:id="26">
    <w:p w:rsidR="00E34BD0" w:rsidRPr="00AE7B19" w:rsidP="00F24346" w14:paraId="359877D7" w14:textId="149D2A97">
      <w:pPr>
        <w:pStyle w:val="FootnoteText"/>
        <w:spacing w:after="120"/>
      </w:pPr>
      <w:r w:rsidRPr="00AE7B19">
        <w:rPr>
          <w:rStyle w:val="FootnoteReference"/>
        </w:rPr>
        <w:footnoteRef/>
      </w:r>
      <w:r w:rsidRPr="00AE7B19">
        <w:t xml:space="preserve"> </w:t>
      </w:r>
      <w:bookmarkStart w:id="6" w:name="_Hlk174719815"/>
      <w:r w:rsidRPr="00AE7B19">
        <w:rPr>
          <w:i/>
          <w:iCs/>
        </w:rPr>
        <w:t xml:space="preserve">Id. </w:t>
      </w:r>
      <w:r w:rsidRPr="00AE7B19">
        <w:t>at 33</w:t>
      </w:r>
      <w:r w:rsidR="004E1DAE">
        <w:t>.</w:t>
      </w:r>
    </w:p>
    <w:bookmarkEnd w:id="6"/>
  </w:footnote>
  <w:footnote w:id="27">
    <w:p w:rsidR="000F4E9E" w:rsidRPr="00AE7B19" w:rsidP="00F24346" w14:paraId="48E47EC3" w14:textId="6C779E32">
      <w:pPr>
        <w:pStyle w:val="FootnoteText"/>
        <w:spacing w:after="120"/>
      </w:pPr>
      <w:r w:rsidRPr="00AE7B19">
        <w:rPr>
          <w:rStyle w:val="FootnoteReference"/>
        </w:rPr>
        <w:footnoteRef/>
      </w:r>
      <w:r w:rsidRPr="00AE7B19">
        <w:t xml:space="preserve"> </w:t>
      </w:r>
      <w:r w:rsidRPr="00AE7B19">
        <w:rPr>
          <w:i/>
          <w:iCs/>
        </w:rPr>
        <w:t xml:space="preserve">Id. </w:t>
      </w:r>
      <w:r w:rsidRPr="00AE7B19">
        <w:t>at 50.</w:t>
      </w:r>
    </w:p>
  </w:footnote>
  <w:footnote w:id="28">
    <w:p w:rsidR="000F4E9E" w:rsidRPr="00AE7B19" w:rsidP="00F24346" w14:paraId="16BCE6ED" w14:textId="43FCDEF9">
      <w:pPr>
        <w:pStyle w:val="FootnoteText"/>
        <w:spacing w:after="120"/>
      </w:pPr>
      <w:r w:rsidRPr="00AE7B19">
        <w:rPr>
          <w:rStyle w:val="FootnoteReference"/>
        </w:rPr>
        <w:footnoteRef/>
      </w:r>
      <w:r w:rsidRPr="00AE7B19">
        <w:t xml:space="preserve"> </w:t>
      </w:r>
      <w:r w:rsidRPr="00AE7B19">
        <w:rPr>
          <w:i/>
          <w:iCs/>
        </w:rPr>
        <w:t xml:space="preserve">Id. </w:t>
      </w:r>
      <w:r w:rsidRPr="00AE7B19">
        <w:t>at 76.</w:t>
      </w:r>
    </w:p>
  </w:footnote>
  <w:footnote w:id="29">
    <w:p w:rsidR="000F4E9E" w:rsidRPr="00AE7B19" w:rsidP="00F24346" w14:paraId="0D207364" w14:textId="5702C535">
      <w:pPr>
        <w:pStyle w:val="FootnoteText"/>
        <w:spacing w:after="120"/>
      </w:pPr>
      <w:r w:rsidRPr="00AE7B19">
        <w:rPr>
          <w:rStyle w:val="FootnoteReference"/>
        </w:rPr>
        <w:footnoteRef/>
      </w:r>
      <w:r w:rsidRPr="00AE7B19">
        <w:t xml:space="preserve"> </w:t>
      </w:r>
      <w:r w:rsidRPr="00AE7B19">
        <w:rPr>
          <w:i/>
          <w:iCs/>
        </w:rPr>
        <w:t xml:space="preserve">Id. </w:t>
      </w:r>
      <w:r w:rsidRPr="00AE7B19">
        <w:t>at 91.</w:t>
      </w:r>
    </w:p>
  </w:footnote>
  <w:footnote w:id="30">
    <w:p w:rsidR="0017702C" w:rsidRPr="00AE7B19" w:rsidP="00F24346" w14:paraId="0FED7B6F" w14:textId="2054586C">
      <w:pPr>
        <w:pStyle w:val="FootnoteText"/>
        <w:spacing w:after="120"/>
      </w:pPr>
      <w:r w:rsidRPr="00AE7B19">
        <w:rPr>
          <w:rStyle w:val="FootnoteReference"/>
        </w:rPr>
        <w:footnoteRef/>
      </w:r>
      <w:r w:rsidRPr="00AE7B19">
        <w:t xml:space="preserve"> </w:t>
      </w:r>
      <w:r w:rsidRPr="00AE7B19">
        <w:rPr>
          <w:i/>
          <w:iCs/>
        </w:rPr>
        <w:t xml:space="preserve">Id. </w:t>
      </w:r>
      <w:r w:rsidRPr="00AE7B19">
        <w:t>at 119.</w:t>
      </w:r>
    </w:p>
  </w:footnote>
  <w:footnote w:id="31">
    <w:p w:rsidR="0017702C" w:rsidRPr="00AE7B19" w:rsidP="00F24346" w14:paraId="640A0586" w14:textId="5ED0FCBA">
      <w:pPr>
        <w:pStyle w:val="FootnoteText"/>
        <w:spacing w:after="120"/>
      </w:pPr>
      <w:r w:rsidRPr="00AE7B19">
        <w:rPr>
          <w:rStyle w:val="FootnoteReference"/>
        </w:rPr>
        <w:footnoteRef/>
      </w:r>
      <w:r w:rsidRPr="00AE7B19">
        <w:t xml:space="preserve"> </w:t>
      </w:r>
      <w:r w:rsidRPr="00AE7B19">
        <w:rPr>
          <w:i/>
          <w:iCs/>
        </w:rPr>
        <w:t xml:space="preserve">Id. </w:t>
      </w:r>
      <w:r w:rsidRPr="00AE7B19">
        <w:t>at 136.</w:t>
      </w:r>
    </w:p>
  </w:footnote>
  <w:footnote w:id="32">
    <w:p w:rsidR="0017702C" w:rsidRPr="00AE7B19" w:rsidP="00F24346" w14:paraId="3192EF7E" w14:textId="127C4F14">
      <w:pPr>
        <w:pStyle w:val="FootnoteText"/>
        <w:spacing w:after="120"/>
      </w:pPr>
      <w:r w:rsidRPr="00AE7B19">
        <w:rPr>
          <w:rStyle w:val="FootnoteReference"/>
        </w:rPr>
        <w:footnoteRef/>
      </w:r>
      <w:r w:rsidRPr="00AE7B19">
        <w:t xml:space="preserve"> </w:t>
      </w:r>
      <w:r w:rsidRPr="00AE7B19">
        <w:rPr>
          <w:i/>
          <w:iCs/>
        </w:rPr>
        <w:t xml:space="preserve">Id. </w:t>
      </w:r>
      <w:r w:rsidRPr="00AE7B19">
        <w:t>at 163.</w:t>
      </w:r>
    </w:p>
  </w:footnote>
  <w:footnote w:id="33">
    <w:p w:rsidR="0017702C" w:rsidRPr="00AE7B19" w:rsidP="00F24346" w14:paraId="30362D84" w14:textId="45F26E22">
      <w:pPr>
        <w:pStyle w:val="FootnoteText"/>
        <w:spacing w:after="120"/>
      </w:pPr>
      <w:r w:rsidRPr="00AE7B19">
        <w:rPr>
          <w:rStyle w:val="FootnoteReference"/>
        </w:rPr>
        <w:footnoteRef/>
      </w:r>
      <w:r w:rsidRPr="00AE7B19">
        <w:t xml:space="preserve"> </w:t>
      </w:r>
      <w:r w:rsidRPr="00AE7B19">
        <w:rPr>
          <w:i/>
          <w:iCs/>
        </w:rPr>
        <w:t xml:space="preserve">Id. </w:t>
      </w:r>
      <w:r w:rsidRPr="00AE7B19">
        <w:t>at 208.</w:t>
      </w:r>
    </w:p>
  </w:footnote>
  <w:footnote w:id="34">
    <w:p w:rsidR="0017702C" w:rsidRPr="00FF0262" w:rsidP="00F24346" w14:paraId="1F620A48" w14:textId="014CBE67">
      <w:pPr>
        <w:pStyle w:val="FootnoteText"/>
        <w:spacing w:after="120"/>
        <w:rPr>
          <w:i/>
          <w:iCs/>
        </w:rPr>
      </w:pPr>
      <w:r w:rsidRPr="00AE7B19">
        <w:rPr>
          <w:rStyle w:val="FootnoteReference"/>
        </w:rPr>
        <w:footnoteRef/>
      </w:r>
      <w:r w:rsidRPr="00AE7B19">
        <w:t xml:space="preserve"> </w:t>
      </w:r>
      <w:r w:rsidRPr="00AE7B19">
        <w:rPr>
          <w:i/>
          <w:iCs/>
        </w:rPr>
        <w:t>Id.</w:t>
      </w:r>
    </w:p>
  </w:footnote>
  <w:footnote w:id="35">
    <w:p w:rsidR="00E34BD0" w:rsidRPr="00AE7B19" w:rsidP="00F24346" w14:paraId="0B6C256D" w14:textId="783130C2">
      <w:pPr>
        <w:pStyle w:val="FootnoteText"/>
        <w:spacing w:after="120"/>
      </w:pPr>
      <w:r w:rsidRPr="00AE7B19">
        <w:rPr>
          <w:rStyle w:val="FootnoteReference"/>
        </w:rPr>
        <w:footnoteRef/>
      </w:r>
      <w:r w:rsidRPr="00AE7B19">
        <w:t xml:space="preserve"> </w:t>
      </w:r>
      <w:r w:rsidRPr="00AE7B19">
        <w:rPr>
          <w:i/>
          <w:iCs/>
        </w:rPr>
        <w:t xml:space="preserve">Id. </w:t>
      </w:r>
      <w:r w:rsidRPr="00AE7B19">
        <w:t>at p. 4, Section 6 – Residual Payment.</w:t>
      </w:r>
    </w:p>
  </w:footnote>
  <w:footnote w:id="36">
    <w:p w:rsidR="0017702C" w:rsidRPr="00B64F4C" w:rsidP="00F24346" w14:paraId="6B8310EB" w14:textId="06A43247">
      <w:pPr>
        <w:pStyle w:val="FootnoteText"/>
        <w:spacing w:after="120"/>
      </w:pPr>
      <w:r w:rsidRPr="00AE7B19">
        <w:rPr>
          <w:rStyle w:val="FootnoteReference"/>
        </w:rPr>
        <w:footnoteRef/>
      </w:r>
      <w:r w:rsidRPr="00AE7B19">
        <w:t xml:space="preserve"> </w:t>
      </w:r>
      <w:r w:rsidRPr="00AE7B19">
        <w:rPr>
          <w:i/>
          <w:iCs/>
        </w:rPr>
        <w:t>Id.</w:t>
      </w:r>
      <w:r w:rsidR="008318F7">
        <w:rPr>
          <w:i/>
          <w:iCs/>
        </w:rPr>
        <w:t xml:space="preserve"> </w:t>
      </w:r>
      <w:r w:rsidR="00A36C62">
        <w:t>(“A Unit shall be deemed a “Qualified Unit” under this Agreement if: (i) the unit is a residential unit within the Community; (ii) Provider can apply the Base Residential Rate for electric consumption at the Unit; (iii) the Unit is occupied by a Lessee at the time the Residual Payment becomes payable; and (iv</w:t>
      </w:r>
      <w:r w:rsidR="00D46E96">
        <w:t>)</w:t>
      </w:r>
      <w:r w:rsidR="00A36C62">
        <w:t xml:space="preserve"> Customer is not in default under this Agreement.”)</w:t>
      </w:r>
    </w:p>
  </w:footnote>
  <w:footnote w:id="37">
    <w:p w:rsidR="0015587B" w:rsidRPr="00AE7B19" w:rsidP="00F24346" w14:paraId="6B5893C6" w14:textId="7EC48D36">
      <w:pPr>
        <w:pStyle w:val="FootnoteText"/>
        <w:spacing w:after="120"/>
      </w:pPr>
      <w:r w:rsidRPr="00AE7B19">
        <w:rPr>
          <w:rStyle w:val="FootnoteReference"/>
        </w:rPr>
        <w:footnoteRef/>
      </w:r>
      <w:r w:rsidRPr="00AE7B19">
        <w:t xml:space="preserve"> </w:t>
      </w:r>
      <w:r w:rsidR="00107EF0">
        <w:t>Initial Brief</w:t>
      </w:r>
      <w:r w:rsidR="009B2CD5">
        <w:t xml:space="preserve"> of OCC</w:t>
      </w:r>
      <w:r w:rsidR="004C424A">
        <w:t xml:space="preserve"> (Aug. 2, 2024)</w:t>
      </w:r>
      <w:r w:rsidRPr="00AE7B19" w:rsidR="00107EF0">
        <w:t xml:space="preserve"> </w:t>
      </w:r>
      <w:r w:rsidRPr="00AE7B19">
        <w:t>at 16-21.</w:t>
      </w:r>
    </w:p>
  </w:footnote>
  <w:footnote w:id="38">
    <w:p w:rsidR="009B2CD5" w:rsidRPr="009B2CD5" w:rsidP="00F24346" w14:paraId="04A07175" w14:textId="10BB6440">
      <w:pPr>
        <w:pStyle w:val="FootnoteText"/>
        <w:spacing w:after="120"/>
      </w:pPr>
      <w:r>
        <w:rPr>
          <w:rStyle w:val="FootnoteReference"/>
        </w:rPr>
        <w:footnoteRef/>
      </w:r>
      <w:r>
        <w:t xml:space="preserve"> </w:t>
      </w:r>
      <w:r>
        <w:rPr>
          <w:i/>
          <w:iCs/>
        </w:rPr>
        <w:t>Id</w:t>
      </w:r>
      <w:r>
        <w:t>.</w:t>
      </w:r>
    </w:p>
  </w:footnote>
  <w:footnote w:id="39">
    <w:p w:rsidR="00965B99" w:rsidRPr="00965B99" w:rsidP="00F24346" w14:paraId="60B4CF77" w14:textId="2DF8B3D5">
      <w:pPr>
        <w:pStyle w:val="FootnoteText"/>
        <w:spacing w:after="120"/>
      </w:pPr>
      <w:r>
        <w:rPr>
          <w:rStyle w:val="FootnoteReference"/>
        </w:rPr>
        <w:footnoteRef/>
      </w:r>
      <w:r>
        <w:t xml:space="preserve"> </w:t>
      </w:r>
      <w:r>
        <w:rPr>
          <w:i/>
          <w:iCs/>
        </w:rPr>
        <w:t>Id</w:t>
      </w:r>
      <w:r>
        <w:t>.</w:t>
      </w:r>
    </w:p>
  </w:footnote>
  <w:footnote w:id="40">
    <w:p w:rsidR="00E210C1" w:rsidRPr="00AE7B19" w:rsidP="00F24346" w14:paraId="5ECFC7EC" w14:textId="65025FBD">
      <w:pPr>
        <w:pStyle w:val="FootnoteText"/>
        <w:spacing w:after="120"/>
        <w:rPr>
          <w:i/>
          <w:iCs/>
        </w:rPr>
      </w:pPr>
      <w:r w:rsidRPr="00AE7B19">
        <w:rPr>
          <w:rStyle w:val="FootnoteReference"/>
        </w:rPr>
        <w:footnoteRef/>
      </w:r>
      <w:r w:rsidRPr="00AE7B19">
        <w:t xml:space="preserve"> </w:t>
      </w:r>
      <w:r w:rsidRPr="00AE7B19">
        <w:rPr>
          <w:i/>
          <w:iCs/>
        </w:rPr>
        <w:t>Id.</w:t>
      </w:r>
    </w:p>
  </w:footnote>
  <w:footnote w:id="41">
    <w:p w:rsidR="001D3BA5" w:rsidP="00F24346" w14:paraId="6D362561" w14:textId="5D1D8ADC">
      <w:pPr>
        <w:pStyle w:val="FootnoteText"/>
        <w:spacing w:after="120"/>
      </w:pPr>
      <w:r>
        <w:rPr>
          <w:rStyle w:val="FootnoteReference"/>
        </w:rPr>
        <w:footnoteRef/>
      </w:r>
      <w:r>
        <w:t xml:space="preserve"> Initial Brief of NEP (Aug. 2, 2024) at 23-24.</w:t>
      </w:r>
    </w:p>
  </w:footnote>
  <w:footnote w:id="42">
    <w:p w:rsidR="00370578" w:rsidRPr="00AE7B19" w:rsidP="00F24346" w14:paraId="1576EEA0" w14:textId="0E5F21E0">
      <w:pPr>
        <w:pStyle w:val="FootnoteText"/>
        <w:spacing w:after="120"/>
      </w:pPr>
      <w:r w:rsidRPr="00AE7B19">
        <w:rPr>
          <w:rStyle w:val="FootnoteReference"/>
        </w:rPr>
        <w:footnoteRef/>
      </w:r>
      <w:r w:rsidRPr="00AE7B19">
        <w:t xml:space="preserve"> </w:t>
      </w:r>
      <w:r w:rsidR="001D3BA5">
        <w:rPr>
          <w:i/>
          <w:iCs/>
        </w:rPr>
        <w:t>Id</w:t>
      </w:r>
      <w:r w:rsidRPr="00AE7B19">
        <w:t>.</w:t>
      </w:r>
    </w:p>
  </w:footnote>
  <w:footnote w:id="43">
    <w:p w:rsidR="009F2283" w:rsidRPr="009F2283" w:rsidP="00F24346" w14:paraId="316618AB" w14:textId="3DE5D6E7">
      <w:pPr>
        <w:pStyle w:val="FootnoteText"/>
        <w:spacing w:after="120"/>
      </w:pPr>
      <w:r>
        <w:rPr>
          <w:rStyle w:val="FootnoteReference"/>
        </w:rPr>
        <w:footnoteRef/>
      </w:r>
      <w:r>
        <w:t xml:space="preserve"> </w:t>
      </w:r>
      <w:r>
        <w:rPr>
          <w:i/>
          <w:iCs/>
        </w:rPr>
        <w:t>Id</w:t>
      </w:r>
      <w:r>
        <w:t>.</w:t>
      </w:r>
    </w:p>
  </w:footnote>
  <w:footnote w:id="44">
    <w:p w:rsidR="00FF0262" w:rsidRPr="00AE7B19" w:rsidP="00F24346" w14:paraId="6C459330" w14:textId="1D55DE62">
      <w:pPr>
        <w:pStyle w:val="FootnoteText"/>
        <w:spacing w:after="120"/>
      </w:pPr>
      <w:r w:rsidRPr="00E561F8">
        <w:rPr>
          <w:rStyle w:val="FootnoteReference"/>
        </w:rPr>
        <w:footnoteRef/>
      </w:r>
      <w:r w:rsidRPr="00E561F8">
        <w:t xml:space="preserve"> </w:t>
      </w:r>
      <w:r w:rsidRPr="00B64F4C" w:rsidR="00E30220">
        <w:t>P</w:t>
      </w:r>
      <w:r w:rsidR="00444269">
        <w:t>UCO</w:t>
      </w:r>
      <w:r w:rsidRPr="00B64F4C" w:rsidR="00E30220">
        <w:t xml:space="preserve">, </w:t>
      </w:r>
      <w:r w:rsidRPr="00B64F4C" w:rsidR="00E30220">
        <w:rPr>
          <w:i/>
          <w:iCs/>
        </w:rPr>
        <w:t>Home Energy Assistance Program (HEAP)</w:t>
      </w:r>
      <w:r w:rsidR="00444269">
        <w:t>,</w:t>
      </w:r>
      <w:r w:rsidRPr="00B64F4C" w:rsidR="00E30220">
        <w:t xml:space="preserve"> </w:t>
      </w:r>
      <w:hyperlink r:id="rId1" w:history="1">
        <w:r w:rsidRPr="00873D15" w:rsidR="00444269">
          <w:rPr>
            <w:rStyle w:val="Hyperlink"/>
          </w:rPr>
          <w:t>https://puco.ohio.gov/utilities/gas/resources/home-energy-assistance-program</w:t>
        </w:r>
      </w:hyperlink>
      <w:r w:rsidRPr="00B64F4C" w:rsidR="00E30220">
        <w:t xml:space="preserve"> (last accessed Aug. 22, 2024)</w:t>
      </w:r>
      <w:r w:rsidRPr="00E561F8">
        <w:t>.</w:t>
      </w:r>
    </w:p>
  </w:footnote>
  <w:footnote w:id="45">
    <w:p w:rsidR="003051F4" w:rsidRPr="00AE7B19" w:rsidP="00F24346" w14:paraId="1953F3F5" w14:textId="21B44A6D">
      <w:pPr>
        <w:pStyle w:val="FootnoteText"/>
        <w:spacing w:after="120"/>
      </w:pPr>
      <w:r w:rsidRPr="00AE7B19">
        <w:rPr>
          <w:rStyle w:val="FootnoteReference"/>
        </w:rPr>
        <w:footnoteRef/>
      </w:r>
      <w:r w:rsidRPr="00AE7B19">
        <w:t xml:space="preserve"> </w:t>
      </w:r>
      <w:r w:rsidR="00B31ADB">
        <w:t>Initial Brief of NEP</w:t>
      </w:r>
      <w:r w:rsidR="00E561F8">
        <w:t xml:space="preserve"> (Aug. 2, 2024)</w:t>
      </w:r>
      <w:r w:rsidR="00B31ADB">
        <w:t xml:space="preserve"> </w:t>
      </w:r>
      <w:r w:rsidRPr="00AE7B19">
        <w:t>at 24.</w:t>
      </w:r>
    </w:p>
  </w:footnote>
  <w:footnote w:id="46">
    <w:p w:rsidR="00094660" w:rsidRPr="00094660" w:rsidP="00F24346" w14:paraId="5DF1E0B5" w14:textId="001DCAE3">
      <w:pPr>
        <w:pStyle w:val="FootnoteText"/>
        <w:spacing w:after="120"/>
      </w:pPr>
      <w:r>
        <w:rPr>
          <w:rStyle w:val="FootnoteReference"/>
        </w:rPr>
        <w:footnoteRef/>
      </w:r>
      <w:r>
        <w:t xml:space="preserve"> </w:t>
      </w:r>
      <w:r>
        <w:rPr>
          <w:i/>
          <w:iCs/>
        </w:rPr>
        <w:t>Id</w:t>
      </w:r>
      <w:r>
        <w:t>.</w:t>
      </w:r>
    </w:p>
  </w:footnote>
  <w:footnote w:id="47">
    <w:p w:rsidR="00094660" w:rsidRPr="00827E00" w:rsidP="00F24346" w14:paraId="509E01BF" w14:textId="7CE50DC9">
      <w:pPr>
        <w:pStyle w:val="FootnoteText"/>
        <w:spacing w:after="120"/>
      </w:pPr>
      <w:r>
        <w:rPr>
          <w:rStyle w:val="FootnoteReference"/>
        </w:rPr>
        <w:footnoteRef/>
      </w:r>
      <w:r>
        <w:t xml:space="preserve"> </w:t>
      </w:r>
      <w:r>
        <w:rPr>
          <w:i/>
          <w:iCs/>
        </w:rPr>
        <w:t>Id</w:t>
      </w:r>
      <w:r>
        <w:t>. at footnote 11</w:t>
      </w:r>
      <w:r w:rsidR="00827E00">
        <w:t xml:space="preserve"> (“</w:t>
      </w:r>
      <w:r w:rsidR="00827E00">
        <w:rPr>
          <w:i/>
          <w:iCs/>
        </w:rPr>
        <w:t xml:space="preserve">See also </w:t>
      </w:r>
      <w:hyperlink r:id="rId2" w:history="1">
        <w:r w:rsidRPr="00873D15" w:rsidR="0083400B">
          <w:rPr>
            <w:rStyle w:val="Hyperlink"/>
          </w:rPr>
          <w:t>https://www.impactca.org/housing/crisis</w:t>
        </w:r>
      </w:hyperlink>
      <w:r w:rsidR="00827E00">
        <w:t>”).</w:t>
      </w:r>
    </w:p>
  </w:footnote>
  <w:footnote w:id="48">
    <w:p w:rsidR="00EF2B37" w:rsidRPr="00EF2B37" w:rsidP="00F24346" w14:paraId="01E3024C" w14:textId="6B0E3E3F">
      <w:pPr>
        <w:pStyle w:val="FootnoteText"/>
        <w:spacing w:after="120"/>
      </w:pPr>
      <w:r>
        <w:rPr>
          <w:rStyle w:val="FootnoteReference"/>
        </w:rPr>
        <w:footnoteRef/>
      </w:r>
      <w:r>
        <w:t xml:space="preserve"> </w:t>
      </w:r>
      <w:r>
        <w:rPr>
          <w:i/>
          <w:iCs/>
        </w:rPr>
        <w:t>In the Matter of the Application of Ohio Power Company for Authority to New or Amended Rate Schedules and Tariffs</w:t>
      </w:r>
      <w:r>
        <w:t>, Case No. 24-106-EL-ATA, Application Not for an Increase in Rates (Feb. 5, 2024) at 1</w:t>
      </w:r>
      <w:r w:rsidR="00CF0AE6">
        <w:t xml:space="preserve"> (citing </w:t>
      </w:r>
      <w:r>
        <w:rPr>
          <w:i/>
          <w:iCs/>
        </w:rPr>
        <w:t>In the Matter of the Complaint of Ohio Power Company v. Nationwide Energy Partners, LLC</w:t>
      </w:r>
      <w:r>
        <w:t xml:space="preserve">, Case No. 21-990-EL-CSS, Opinion and Order (Sept. 6, 2023) at </w:t>
      </w:r>
      <w:r w:rsidRPr="00EF2B37">
        <w:t>¶ 225</w:t>
      </w:r>
      <w:r w:rsidR="00CF0AE6">
        <w:t>)</w:t>
      </w:r>
      <w:r>
        <w:t>.</w:t>
      </w:r>
    </w:p>
  </w:footnote>
  <w:footnote w:id="49">
    <w:p w:rsidR="00EF2B37" w:rsidRPr="00EF2B37" w:rsidP="00F24346" w14:paraId="1152AB6C" w14:textId="53F4B627">
      <w:pPr>
        <w:pStyle w:val="FootnoteText"/>
        <w:spacing w:after="120"/>
      </w:pPr>
      <w:r>
        <w:rPr>
          <w:rStyle w:val="FootnoteReference"/>
        </w:rPr>
        <w:footnoteRef/>
      </w:r>
      <w:r>
        <w:t xml:space="preserve"> </w:t>
      </w:r>
      <w:r w:rsidRPr="005D41F6" w:rsidR="00CF0AE6">
        <w:rPr>
          <w:i/>
          <w:iCs/>
        </w:rPr>
        <w:t>Id.</w:t>
      </w:r>
      <w:r w:rsidR="00F073B4">
        <w:t xml:space="preserve"> at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537" w14:paraId="39843B0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537" w14:paraId="4397EAE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537" w14:paraId="00B689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853E58"/>
    <w:multiLevelType w:val="hybridMultilevel"/>
    <w:tmpl w:val="09AC509A"/>
    <w:lvl w:ilvl="0">
      <w:start w:val="1"/>
      <w:numFmt w:val="upperRoman"/>
      <w:lvlText w:val="%1."/>
      <w:lvlJc w:val="left"/>
      <w:pPr>
        <w:ind w:left="-360" w:hanging="720"/>
      </w:pPr>
      <w:rPr>
        <w:rFonts w:hint="default"/>
        <w:b/>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
    <w:nsid w:val="16225979"/>
    <w:multiLevelType w:val="hybridMultilevel"/>
    <w:tmpl w:val="791CACA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D836FAB"/>
    <w:multiLevelType w:val="hybridMultilevel"/>
    <w:tmpl w:val="8D0A25E6"/>
    <w:lvl w:ilvl="0">
      <w:start w:val="1"/>
      <w:numFmt w:val="decimal"/>
      <w:lvlText w:val="%1"/>
      <w:lvlJc w:val="left"/>
      <w:pPr>
        <w:ind w:left="1420" w:hanging="1193"/>
        <w:jc w:val="right"/>
      </w:pPr>
      <w:rPr>
        <w:rFonts w:ascii="Calibri" w:eastAsia="Calibri" w:hAnsi="Calibri" w:cs="Calibri" w:hint="default"/>
        <w:w w:val="100"/>
        <w:sz w:val="22"/>
        <w:szCs w:val="22"/>
      </w:rPr>
    </w:lvl>
    <w:lvl w:ilvl="1">
      <w:start w:val="0"/>
      <w:numFmt w:val="bullet"/>
      <w:lvlText w:val="•"/>
      <w:lvlJc w:val="left"/>
      <w:pPr>
        <w:ind w:left="2296" w:hanging="1193"/>
      </w:pPr>
      <w:rPr>
        <w:rFonts w:hint="default"/>
      </w:rPr>
    </w:lvl>
    <w:lvl w:ilvl="2">
      <w:start w:val="0"/>
      <w:numFmt w:val="bullet"/>
      <w:lvlText w:val="•"/>
      <w:lvlJc w:val="left"/>
      <w:pPr>
        <w:ind w:left="3172" w:hanging="1193"/>
      </w:pPr>
      <w:rPr>
        <w:rFonts w:hint="default"/>
      </w:rPr>
    </w:lvl>
    <w:lvl w:ilvl="3">
      <w:start w:val="0"/>
      <w:numFmt w:val="bullet"/>
      <w:lvlText w:val="•"/>
      <w:lvlJc w:val="left"/>
      <w:pPr>
        <w:ind w:left="4048" w:hanging="1193"/>
      </w:pPr>
      <w:rPr>
        <w:rFonts w:hint="default"/>
      </w:rPr>
    </w:lvl>
    <w:lvl w:ilvl="4">
      <w:start w:val="0"/>
      <w:numFmt w:val="bullet"/>
      <w:lvlText w:val="•"/>
      <w:lvlJc w:val="left"/>
      <w:pPr>
        <w:ind w:left="4924" w:hanging="1193"/>
      </w:pPr>
      <w:rPr>
        <w:rFonts w:hint="default"/>
      </w:rPr>
    </w:lvl>
    <w:lvl w:ilvl="5">
      <w:start w:val="0"/>
      <w:numFmt w:val="bullet"/>
      <w:lvlText w:val="•"/>
      <w:lvlJc w:val="left"/>
      <w:pPr>
        <w:ind w:left="5800" w:hanging="1193"/>
      </w:pPr>
      <w:rPr>
        <w:rFonts w:hint="default"/>
      </w:rPr>
    </w:lvl>
    <w:lvl w:ilvl="6">
      <w:start w:val="0"/>
      <w:numFmt w:val="bullet"/>
      <w:lvlText w:val="•"/>
      <w:lvlJc w:val="left"/>
      <w:pPr>
        <w:ind w:left="6676" w:hanging="1193"/>
      </w:pPr>
      <w:rPr>
        <w:rFonts w:hint="default"/>
      </w:rPr>
    </w:lvl>
    <w:lvl w:ilvl="7">
      <w:start w:val="0"/>
      <w:numFmt w:val="bullet"/>
      <w:lvlText w:val="•"/>
      <w:lvlJc w:val="left"/>
      <w:pPr>
        <w:ind w:left="7552" w:hanging="1193"/>
      </w:pPr>
      <w:rPr>
        <w:rFonts w:hint="default"/>
      </w:rPr>
    </w:lvl>
    <w:lvl w:ilvl="8">
      <w:start w:val="0"/>
      <w:numFmt w:val="bullet"/>
      <w:lvlText w:val="•"/>
      <w:lvlJc w:val="left"/>
      <w:pPr>
        <w:ind w:left="8428" w:hanging="1193"/>
      </w:pPr>
      <w:rPr>
        <w:rFonts w:hint="default"/>
      </w:rPr>
    </w:lvl>
  </w:abstractNum>
  <w:abstractNum w:abstractNumId="3">
    <w:nsid w:val="237E59E1"/>
    <w:multiLevelType w:val="hybridMultilevel"/>
    <w:tmpl w:val="7396DAF2"/>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937484"/>
    <w:multiLevelType w:val="hybridMultilevel"/>
    <w:tmpl w:val="FDA40B8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45200F9B"/>
    <w:multiLevelType w:val="hybridMultilevel"/>
    <w:tmpl w:val="0C961DA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AD20EAD"/>
    <w:multiLevelType w:val="hybridMultilevel"/>
    <w:tmpl w:val="468AB0D4"/>
    <w:lvl w:ilvl="0">
      <w:start w:val="1"/>
      <w:numFmt w:val="decimal"/>
      <w:lvlText w:val="%1."/>
      <w:lvlJc w:val="left"/>
      <w:pPr>
        <w:ind w:left="1530" w:hanging="360"/>
      </w:pPr>
      <w:rPr>
        <w:rFonts w:ascii="Times New Roman" w:eastAsia="Times New Roman" w:hAnsi="Times New Roman" w:cs="Times New Roman"/>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7">
    <w:nsid w:val="53164BE4"/>
    <w:multiLevelType w:val="hybridMultilevel"/>
    <w:tmpl w:val="89723B46"/>
    <w:lvl w:ilvl="0">
      <w:start w:val="1"/>
      <w:numFmt w:val="upperLetter"/>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8">
    <w:nsid w:val="5C0D3056"/>
    <w:multiLevelType w:val="hybridMultilevel"/>
    <w:tmpl w:val="0A5CD2F6"/>
    <w:lvl w:ilvl="0">
      <w:start w:val="1"/>
      <w:numFmt w:val="upp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65DE3E17"/>
    <w:multiLevelType w:val="hybridMultilevel"/>
    <w:tmpl w:val="5F70DB3A"/>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14F3B62"/>
    <w:multiLevelType w:val="hybridMultilevel"/>
    <w:tmpl w:val="1AF45B96"/>
    <w:lvl w:ilvl="0">
      <w:start w:val="1"/>
      <w:numFmt w:val="decimal"/>
      <w:pStyle w:val="Heading3"/>
      <w:lvlText w:val="%1."/>
      <w:lvlJc w:val="left"/>
      <w:pPr>
        <w:ind w:left="1530" w:hanging="360"/>
      </w:pPr>
      <w:rPr>
        <w:rFonts w:ascii="Times New Roman" w:eastAsia="Times New Roman" w:hAnsi="Times New Roman" w:cs="Times New Roman"/>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1">
    <w:nsid w:val="72544BB7"/>
    <w:multiLevelType w:val="hybridMultilevel"/>
    <w:tmpl w:val="2E76D18C"/>
    <w:lvl w:ilvl="0">
      <w:start w:val="1"/>
      <w:numFmt w:val="upperLetter"/>
      <w:lvlText w:val="%1."/>
      <w:lvlJc w:val="left"/>
      <w:pPr>
        <w:ind w:left="171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7331621C"/>
    <w:multiLevelType w:val="hybridMultilevel"/>
    <w:tmpl w:val="38D843F2"/>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75300BB0"/>
    <w:multiLevelType w:val="hybridMultilevel"/>
    <w:tmpl w:val="2FAC4B94"/>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70003C6"/>
    <w:multiLevelType w:val="hybridMultilevel"/>
    <w:tmpl w:val="B1C44672"/>
    <w:lvl w:ilvl="0">
      <w:start w:val="1"/>
      <w:numFmt w:val="upperLetter"/>
      <w:pStyle w:val="Heading2"/>
      <w:lvlText w:val="%1."/>
      <w:lvlJc w:val="left"/>
      <w:pPr>
        <w:ind w:left="360" w:hanging="360"/>
      </w:pPr>
      <w:rPr>
        <w:rFonts w:hint="default"/>
        <w:b/>
      </w:rPr>
    </w:lvl>
    <w:lvl w:ilvl="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15">
    <w:nsid w:val="79CD7B55"/>
    <w:multiLevelType w:val="hybridMultilevel"/>
    <w:tmpl w:val="E8C2E87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7B1401BB"/>
    <w:multiLevelType w:val="hybridMultilevel"/>
    <w:tmpl w:val="C644D9C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0"/>
  </w:num>
  <w:num w:numId="2">
    <w:abstractNumId w:val="13"/>
  </w:num>
  <w:num w:numId="3">
    <w:abstractNumId w:val="3"/>
  </w:num>
  <w:num w:numId="4">
    <w:abstractNumId w:val="8"/>
  </w:num>
  <w:num w:numId="5">
    <w:abstractNumId w:val="14"/>
  </w:num>
  <w:num w:numId="6">
    <w:abstractNumId w:val="10"/>
  </w:num>
  <w:num w:numId="7">
    <w:abstractNumId w:val="15"/>
  </w:num>
  <w:num w:numId="8">
    <w:abstractNumId w:val="2"/>
  </w:num>
  <w:num w:numId="9">
    <w:abstractNumId w:val="7"/>
  </w:num>
  <w:num w:numId="10">
    <w:abstractNumId w:val="11"/>
  </w:num>
  <w:num w:numId="11">
    <w:abstractNumId w:val="9"/>
  </w:num>
  <w:num w:numId="12">
    <w:abstractNumId w:val="6"/>
  </w:num>
  <w:num w:numId="13">
    <w:abstractNumId w:val="12"/>
  </w:num>
  <w:num w:numId="14">
    <w:abstractNumId w:val="16"/>
  </w:num>
  <w:num w:numId="15">
    <w:abstractNumId w:val="5"/>
  </w:num>
  <w:num w:numId="16">
    <w:abstractNumId w:val="4"/>
  </w:num>
  <w:num w:numId="17">
    <w:abstractNumId w:val="1"/>
  </w:num>
  <w:num w:numId="18">
    <w:abstractNumId w:val="10"/>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F3"/>
    <w:rsid w:val="000016A9"/>
    <w:rsid w:val="000018F7"/>
    <w:rsid w:val="00001946"/>
    <w:rsid w:val="000039D6"/>
    <w:rsid w:val="00004916"/>
    <w:rsid w:val="00005398"/>
    <w:rsid w:val="00007D03"/>
    <w:rsid w:val="00014B10"/>
    <w:rsid w:val="000161BA"/>
    <w:rsid w:val="00016A5F"/>
    <w:rsid w:val="00020462"/>
    <w:rsid w:val="0002080D"/>
    <w:rsid w:val="000232EA"/>
    <w:rsid w:val="00023A82"/>
    <w:rsid w:val="000248EC"/>
    <w:rsid w:val="00024935"/>
    <w:rsid w:val="00025CE5"/>
    <w:rsid w:val="00026475"/>
    <w:rsid w:val="0002718F"/>
    <w:rsid w:val="000325DE"/>
    <w:rsid w:val="00033260"/>
    <w:rsid w:val="00037414"/>
    <w:rsid w:val="00042398"/>
    <w:rsid w:val="00043EDA"/>
    <w:rsid w:val="00045856"/>
    <w:rsid w:val="00045BBD"/>
    <w:rsid w:val="00047939"/>
    <w:rsid w:val="00050A4E"/>
    <w:rsid w:val="00051963"/>
    <w:rsid w:val="00055F6C"/>
    <w:rsid w:val="00056558"/>
    <w:rsid w:val="00061430"/>
    <w:rsid w:val="0006195E"/>
    <w:rsid w:val="00061DD0"/>
    <w:rsid w:val="00062FB6"/>
    <w:rsid w:val="00063D40"/>
    <w:rsid w:val="0007167F"/>
    <w:rsid w:val="00072A73"/>
    <w:rsid w:val="00075611"/>
    <w:rsid w:val="000760E7"/>
    <w:rsid w:val="000768A4"/>
    <w:rsid w:val="0008007E"/>
    <w:rsid w:val="00081514"/>
    <w:rsid w:val="00081D9D"/>
    <w:rsid w:val="000825C7"/>
    <w:rsid w:val="000850F9"/>
    <w:rsid w:val="00090889"/>
    <w:rsid w:val="00090DB3"/>
    <w:rsid w:val="00091B30"/>
    <w:rsid w:val="00091E63"/>
    <w:rsid w:val="000934E5"/>
    <w:rsid w:val="00093AC5"/>
    <w:rsid w:val="00094660"/>
    <w:rsid w:val="00094995"/>
    <w:rsid w:val="0009632D"/>
    <w:rsid w:val="0009657A"/>
    <w:rsid w:val="00096820"/>
    <w:rsid w:val="00096906"/>
    <w:rsid w:val="00096BAA"/>
    <w:rsid w:val="00097277"/>
    <w:rsid w:val="0009740A"/>
    <w:rsid w:val="000A0771"/>
    <w:rsid w:val="000A1C74"/>
    <w:rsid w:val="000A2FE6"/>
    <w:rsid w:val="000A6328"/>
    <w:rsid w:val="000A758B"/>
    <w:rsid w:val="000B00C2"/>
    <w:rsid w:val="000B3AD9"/>
    <w:rsid w:val="000B5317"/>
    <w:rsid w:val="000B5A4F"/>
    <w:rsid w:val="000C00E5"/>
    <w:rsid w:val="000C4102"/>
    <w:rsid w:val="000C4DF7"/>
    <w:rsid w:val="000C61B6"/>
    <w:rsid w:val="000C649D"/>
    <w:rsid w:val="000C6B87"/>
    <w:rsid w:val="000D0194"/>
    <w:rsid w:val="000D2C68"/>
    <w:rsid w:val="000D6292"/>
    <w:rsid w:val="000D689C"/>
    <w:rsid w:val="000D6BAA"/>
    <w:rsid w:val="000E2F47"/>
    <w:rsid w:val="000F0FF0"/>
    <w:rsid w:val="000F295D"/>
    <w:rsid w:val="000F4C43"/>
    <w:rsid w:val="000F4E9E"/>
    <w:rsid w:val="000F6095"/>
    <w:rsid w:val="000F72C2"/>
    <w:rsid w:val="0010712D"/>
    <w:rsid w:val="001072DF"/>
    <w:rsid w:val="00107E80"/>
    <w:rsid w:val="00107EF0"/>
    <w:rsid w:val="00112B18"/>
    <w:rsid w:val="00114916"/>
    <w:rsid w:val="00115C75"/>
    <w:rsid w:val="001168F7"/>
    <w:rsid w:val="0012054A"/>
    <w:rsid w:val="00120E86"/>
    <w:rsid w:val="00122250"/>
    <w:rsid w:val="0012238C"/>
    <w:rsid w:val="00123749"/>
    <w:rsid w:val="00124AD8"/>
    <w:rsid w:val="00125032"/>
    <w:rsid w:val="00126471"/>
    <w:rsid w:val="00126E17"/>
    <w:rsid w:val="001279D4"/>
    <w:rsid w:val="00127E7C"/>
    <w:rsid w:val="00131819"/>
    <w:rsid w:val="001334C4"/>
    <w:rsid w:val="0013403F"/>
    <w:rsid w:val="00134EAC"/>
    <w:rsid w:val="00136F2F"/>
    <w:rsid w:val="0013734B"/>
    <w:rsid w:val="0013754C"/>
    <w:rsid w:val="0014262F"/>
    <w:rsid w:val="00143672"/>
    <w:rsid w:val="001470C5"/>
    <w:rsid w:val="001503C8"/>
    <w:rsid w:val="00151346"/>
    <w:rsid w:val="0015219A"/>
    <w:rsid w:val="00152842"/>
    <w:rsid w:val="00154B92"/>
    <w:rsid w:val="0015587B"/>
    <w:rsid w:val="0015667B"/>
    <w:rsid w:val="00157359"/>
    <w:rsid w:val="00160584"/>
    <w:rsid w:val="00161029"/>
    <w:rsid w:val="00161C5C"/>
    <w:rsid w:val="001620D9"/>
    <w:rsid w:val="00167714"/>
    <w:rsid w:val="001679EA"/>
    <w:rsid w:val="00167C0F"/>
    <w:rsid w:val="001703CE"/>
    <w:rsid w:val="00172550"/>
    <w:rsid w:val="00172C5C"/>
    <w:rsid w:val="001746BA"/>
    <w:rsid w:val="001747E5"/>
    <w:rsid w:val="00174B62"/>
    <w:rsid w:val="0017702C"/>
    <w:rsid w:val="00177E62"/>
    <w:rsid w:val="00180D79"/>
    <w:rsid w:val="001819E9"/>
    <w:rsid w:val="001824AC"/>
    <w:rsid w:val="001826D2"/>
    <w:rsid w:val="0018520A"/>
    <w:rsid w:val="00185F83"/>
    <w:rsid w:val="00186479"/>
    <w:rsid w:val="00187C95"/>
    <w:rsid w:val="001900DA"/>
    <w:rsid w:val="00190CC8"/>
    <w:rsid w:val="00191EE2"/>
    <w:rsid w:val="00195BE7"/>
    <w:rsid w:val="00195DF5"/>
    <w:rsid w:val="001A0107"/>
    <w:rsid w:val="001A05B1"/>
    <w:rsid w:val="001A121F"/>
    <w:rsid w:val="001A62F6"/>
    <w:rsid w:val="001B02D0"/>
    <w:rsid w:val="001B16F5"/>
    <w:rsid w:val="001B4187"/>
    <w:rsid w:val="001B47B0"/>
    <w:rsid w:val="001B5B92"/>
    <w:rsid w:val="001B701C"/>
    <w:rsid w:val="001B74F2"/>
    <w:rsid w:val="001C101A"/>
    <w:rsid w:val="001C25D2"/>
    <w:rsid w:val="001C27EB"/>
    <w:rsid w:val="001C29DD"/>
    <w:rsid w:val="001C33CE"/>
    <w:rsid w:val="001C4B9B"/>
    <w:rsid w:val="001D026E"/>
    <w:rsid w:val="001D0693"/>
    <w:rsid w:val="001D2028"/>
    <w:rsid w:val="001D3BA5"/>
    <w:rsid w:val="001D4AF3"/>
    <w:rsid w:val="001D51F2"/>
    <w:rsid w:val="001D5AC3"/>
    <w:rsid w:val="001E04EA"/>
    <w:rsid w:val="001E5A57"/>
    <w:rsid w:val="001E6624"/>
    <w:rsid w:val="001F093A"/>
    <w:rsid w:val="001F1A10"/>
    <w:rsid w:val="001F45B2"/>
    <w:rsid w:val="001F5D91"/>
    <w:rsid w:val="00201AE6"/>
    <w:rsid w:val="00201E3F"/>
    <w:rsid w:val="00204A6A"/>
    <w:rsid w:val="00205182"/>
    <w:rsid w:val="002059F2"/>
    <w:rsid w:val="002103CA"/>
    <w:rsid w:val="00210D3F"/>
    <w:rsid w:val="0021209D"/>
    <w:rsid w:val="00212AE2"/>
    <w:rsid w:val="002133E3"/>
    <w:rsid w:val="00214C8A"/>
    <w:rsid w:val="00215739"/>
    <w:rsid w:val="00215E91"/>
    <w:rsid w:val="00220B61"/>
    <w:rsid w:val="002224A1"/>
    <w:rsid w:val="0022556F"/>
    <w:rsid w:val="00236DDD"/>
    <w:rsid w:val="0024132E"/>
    <w:rsid w:val="00242759"/>
    <w:rsid w:val="0024603B"/>
    <w:rsid w:val="0024622E"/>
    <w:rsid w:val="00252015"/>
    <w:rsid w:val="002520B5"/>
    <w:rsid w:val="00253D9F"/>
    <w:rsid w:val="00260F15"/>
    <w:rsid w:val="002627D7"/>
    <w:rsid w:val="00263B8B"/>
    <w:rsid w:val="002647DA"/>
    <w:rsid w:val="00265D8A"/>
    <w:rsid w:val="0027342A"/>
    <w:rsid w:val="002749B4"/>
    <w:rsid w:val="002770DB"/>
    <w:rsid w:val="0028004E"/>
    <w:rsid w:val="00280DCC"/>
    <w:rsid w:val="002814DD"/>
    <w:rsid w:val="002817C7"/>
    <w:rsid w:val="00282C0B"/>
    <w:rsid w:val="00284E23"/>
    <w:rsid w:val="00287649"/>
    <w:rsid w:val="00287B21"/>
    <w:rsid w:val="00292F03"/>
    <w:rsid w:val="00294255"/>
    <w:rsid w:val="00296DF8"/>
    <w:rsid w:val="002974A1"/>
    <w:rsid w:val="002A15BA"/>
    <w:rsid w:val="002A24B1"/>
    <w:rsid w:val="002A375D"/>
    <w:rsid w:val="002A3D1F"/>
    <w:rsid w:val="002A43F6"/>
    <w:rsid w:val="002A7AE6"/>
    <w:rsid w:val="002B206E"/>
    <w:rsid w:val="002B21EB"/>
    <w:rsid w:val="002B3CFB"/>
    <w:rsid w:val="002B4508"/>
    <w:rsid w:val="002B66D8"/>
    <w:rsid w:val="002C2CC7"/>
    <w:rsid w:val="002C39D7"/>
    <w:rsid w:val="002C6EAC"/>
    <w:rsid w:val="002C71A2"/>
    <w:rsid w:val="002C7978"/>
    <w:rsid w:val="002D47C2"/>
    <w:rsid w:val="002D5C45"/>
    <w:rsid w:val="002D74D6"/>
    <w:rsid w:val="002D7824"/>
    <w:rsid w:val="002E1044"/>
    <w:rsid w:val="002E1B26"/>
    <w:rsid w:val="002E2775"/>
    <w:rsid w:val="002E4FC0"/>
    <w:rsid w:val="002E54AC"/>
    <w:rsid w:val="002E60A3"/>
    <w:rsid w:val="002E7373"/>
    <w:rsid w:val="002F13D9"/>
    <w:rsid w:val="002F3988"/>
    <w:rsid w:val="002F5D4C"/>
    <w:rsid w:val="002F63C9"/>
    <w:rsid w:val="00301D51"/>
    <w:rsid w:val="003051F4"/>
    <w:rsid w:val="00305CC6"/>
    <w:rsid w:val="0030614E"/>
    <w:rsid w:val="00306782"/>
    <w:rsid w:val="00313CD4"/>
    <w:rsid w:val="00313D4D"/>
    <w:rsid w:val="00313DBA"/>
    <w:rsid w:val="0031458C"/>
    <w:rsid w:val="0031524B"/>
    <w:rsid w:val="0031530C"/>
    <w:rsid w:val="00316BDC"/>
    <w:rsid w:val="00317AFD"/>
    <w:rsid w:val="00320FB3"/>
    <w:rsid w:val="00320FF2"/>
    <w:rsid w:val="003232B0"/>
    <w:rsid w:val="00330ACD"/>
    <w:rsid w:val="003314D7"/>
    <w:rsid w:val="00334000"/>
    <w:rsid w:val="0033605F"/>
    <w:rsid w:val="00336A43"/>
    <w:rsid w:val="0033760A"/>
    <w:rsid w:val="00342379"/>
    <w:rsid w:val="003554C3"/>
    <w:rsid w:val="00355B40"/>
    <w:rsid w:val="00357834"/>
    <w:rsid w:val="003578E0"/>
    <w:rsid w:val="00361463"/>
    <w:rsid w:val="00361C84"/>
    <w:rsid w:val="00362443"/>
    <w:rsid w:val="00362691"/>
    <w:rsid w:val="0036273E"/>
    <w:rsid w:val="00363116"/>
    <w:rsid w:val="003668C9"/>
    <w:rsid w:val="003674B5"/>
    <w:rsid w:val="00370578"/>
    <w:rsid w:val="003711A4"/>
    <w:rsid w:val="0037178C"/>
    <w:rsid w:val="003719AA"/>
    <w:rsid w:val="00375822"/>
    <w:rsid w:val="00380262"/>
    <w:rsid w:val="0038120D"/>
    <w:rsid w:val="00385D07"/>
    <w:rsid w:val="0039010D"/>
    <w:rsid w:val="003929C2"/>
    <w:rsid w:val="00392B16"/>
    <w:rsid w:val="003947A1"/>
    <w:rsid w:val="0039670E"/>
    <w:rsid w:val="0039674A"/>
    <w:rsid w:val="00397B4D"/>
    <w:rsid w:val="003A0B03"/>
    <w:rsid w:val="003A0E57"/>
    <w:rsid w:val="003A2128"/>
    <w:rsid w:val="003A4F7B"/>
    <w:rsid w:val="003A6B42"/>
    <w:rsid w:val="003A6EF2"/>
    <w:rsid w:val="003A7D78"/>
    <w:rsid w:val="003B0662"/>
    <w:rsid w:val="003B3699"/>
    <w:rsid w:val="003B4E20"/>
    <w:rsid w:val="003B5F0D"/>
    <w:rsid w:val="003C19B7"/>
    <w:rsid w:val="003C5FF4"/>
    <w:rsid w:val="003D1325"/>
    <w:rsid w:val="003D2688"/>
    <w:rsid w:val="003D2BAD"/>
    <w:rsid w:val="003D345C"/>
    <w:rsid w:val="003D68F3"/>
    <w:rsid w:val="003D7ADC"/>
    <w:rsid w:val="003E036D"/>
    <w:rsid w:val="003E083D"/>
    <w:rsid w:val="003E0A11"/>
    <w:rsid w:val="003E2FBC"/>
    <w:rsid w:val="003E4DCB"/>
    <w:rsid w:val="003E5859"/>
    <w:rsid w:val="003E5D31"/>
    <w:rsid w:val="003E66AA"/>
    <w:rsid w:val="003E7617"/>
    <w:rsid w:val="003F1341"/>
    <w:rsid w:val="003F2AF7"/>
    <w:rsid w:val="003F3C2D"/>
    <w:rsid w:val="003F756B"/>
    <w:rsid w:val="003F77D8"/>
    <w:rsid w:val="003F7A67"/>
    <w:rsid w:val="0040008D"/>
    <w:rsid w:val="0040365C"/>
    <w:rsid w:val="00403C93"/>
    <w:rsid w:val="00404537"/>
    <w:rsid w:val="00405437"/>
    <w:rsid w:val="004109CE"/>
    <w:rsid w:val="00412C02"/>
    <w:rsid w:val="004150EE"/>
    <w:rsid w:val="00415F0D"/>
    <w:rsid w:val="00417295"/>
    <w:rsid w:val="004178B8"/>
    <w:rsid w:val="00422757"/>
    <w:rsid w:val="00423D06"/>
    <w:rsid w:val="00427831"/>
    <w:rsid w:val="00432CC9"/>
    <w:rsid w:val="0043354E"/>
    <w:rsid w:val="0043707C"/>
    <w:rsid w:val="0044046D"/>
    <w:rsid w:val="0044123B"/>
    <w:rsid w:val="00443436"/>
    <w:rsid w:val="00443483"/>
    <w:rsid w:val="00444269"/>
    <w:rsid w:val="00445334"/>
    <w:rsid w:val="0045395A"/>
    <w:rsid w:val="00454314"/>
    <w:rsid w:val="00454469"/>
    <w:rsid w:val="0045461F"/>
    <w:rsid w:val="00455F4C"/>
    <w:rsid w:val="00456D24"/>
    <w:rsid w:val="00457F29"/>
    <w:rsid w:val="00461678"/>
    <w:rsid w:val="00462FA6"/>
    <w:rsid w:val="00463515"/>
    <w:rsid w:val="00466F51"/>
    <w:rsid w:val="00467D21"/>
    <w:rsid w:val="00472924"/>
    <w:rsid w:val="00474E03"/>
    <w:rsid w:val="00475BAF"/>
    <w:rsid w:val="004765FE"/>
    <w:rsid w:val="004822F9"/>
    <w:rsid w:val="00483EC7"/>
    <w:rsid w:val="00484583"/>
    <w:rsid w:val="0049502A"/>
    <w:rsid w:val="004A23F1"/>
    <w:rsid w:val="004A2EF3"/>
    <w:rsid w:val="004A3A38"/>
    <w:rsid w:val="004A3BBE"/>
    <w:rsid w:val="004B0DF4"/>
    <w:rsid w:val="004B3BE4"/>
    <w:rsid w:val="004B7405"/>
    <w:rsid w:val="004C424A"/>
    <w:rsid w:val="004C4CEA"/>
    <w:rsid w:val="004C5788"/>
    <w:rsid w:val="004C5E4D"/>
    <w:rsid w:val="004C7BFD"/>
    <w:rsid w:val="004D12AA"/>
    <w:rsid w:val="004D7442"/>
    <w:rsid w:val="004D7DCD"/>
    <w:rsid w:val="004D7F26"/>
    <w:rsid w:val="004E1898"/>
    <w:rsid w:val="004E1DAE"/>
    <w:rsid w:val="004E2D4E"/>
    <w:rsid w:val="004E5966"/>
    <w:rsid w:val="004E6ACC"/>
    <w:rsid w:val="004F1C25"/>
    <w:rsid w:val="004F2CA7"/>
    <w:rsid w:val="004F4810"/>
    <w:rsid w:val="004F5308"/>
    <w:rsid w:val="005025DA"/>
    <w:rsid w:val="00502B8E"/>
    <w:rsid w:val="00503B12"/>
    <w:rsid w:val="005048F9"/>
    <w:rsid w:val="005073A4"/>
    <w:rsid w:val="00510BA6"/>
    <w:rsid w:val="00510BBF"/>
    <w:rsid w:val="00511007"/>
    <w:rsid w:val="00511CAF"/>
    <w:rsid w:val="00512642"/>
    <w:rsid w:val="00513C88"/>
    <w:rsid w:val="00514583"/>
    <w:rsid w:val="005149D0"/>
    <w:rsid w:val="0051576B"/>
    <w:rsid w:val="00515C17"/>
    <w:rsid w:val="00516B5C"/>
    <w:rsid w:val="0051705A"/>
    <w:rsid w:val="005207B6"/>
    <w:rsid w:val="00520A2B"/>
    <w:rsid w:val="005214F1"/>
    <w:rsid w:val="00521612"/>
    <w:rsid w:val="0052455C"/>
    <w:rsid w:val="0052467A"/>
    <w:rsid w:val="0052638E"/>
    <w:rsid w:val="00527E3C"/>
    <w:rsid w:val="005315C0"/>
    <w:rsid w:val="005333BE"/>
    <w:rsid w:val="005346DF"/>
    <w:rsid w:val="0053494E"/>
    <w:rsid w:val="00535D92"/>
    <w:rsid w:val="005434DD"/>
    <w:rsid w:val="005440F6"/>
    <w:rsid w:val="00544F53"/>
    <w:rsid w:val="0055005F"/>
    <w:rsid w:val="00550475"/>
    <w:rsid w:val="00553EEB"/>
    <w:rsid w:val="00562B2B"/>
    <w:rsid w:val="00563D08"/>
    <w:rsid w:val="00563D17"/>
    <w:rsid w:val="00566D6D"/>
    <w:rsid w:val="00567667"/>
    <w:rsid w:val="00567727"/>
    <w:rsid w:val="00567975"/>
    <w:rsid w:val="00567A9C"/>
    <w:rsid w:val="00570038"/>
    <w:rsid w:val="00570994"/>
    <w:rsid w:val="0057148A"/>
    <w:rsid w:val="0057246F"/>
    <w:rsid w:val="005734F7"/>
    <w:rsid w:val="00573AC6"/>
    <w:rsid w:val="005750D7"/>
    <w:rsid w:val="005826A4"/>
    <w:rsid w:val="00582A26"/>
    <w:rsid w:val="005856C4"/>
    <w:rsid w:val="00585D1E"/>
    <w:rsid w:val="00586D56"/>
    <w:rsid w:val="00586EDC"/>
    <w:rsid w:val="00592772"/>
    <w:rsid w:val="0059347A"/>
    <w:rsid w:val="005944AD"/>
    <w:rsid w:val="00597F7B"/>
    <w:rsid w:val="005A36DA"/>
    <w:rsid w:val="005A423A"/>
    <w:rsid w:val="005A4B56"/>
    <w:rsid w:val="005A52CC"/>
    <w:rsid w:val="005A621E"/>
    <w:rsid w:val="005A7453"/>
    <w:rsid w:val="005A7A72"/>
    <w:rsid w:val="005B0503"/>
    <w:rsid w:val="005B4B3A"/>
    <w:rsid w:val="005B662D"/>
    <w:rsid w:val="005B6819"/>
    <w:rsid w:val="005B68C2"/>
    <w:rsid w:val="005B708A"/>
    <w:rsid w:val="005C1F7A"/>
    <w:rsid w:val="005C6D32"/>
    <w:rsid w:val="005D25FD"/>
    <w:rsid w:val="005D41F6"/>
    <w:rsid w:val="005D6A35"/>
    <w:rsid w:val="005D6B2F"/>
    <w:rsid w:val="005E025E"/>
    <w:rsid w:val="005E16A7"/>
    <w:rsid w:val="005E23FF"/>
    <w:rsid w:val="005E2DF2"/>
    <w:rsid w:val="005E4B85"/>
    <w:rsid w:val="005E6C9E"/>
    <w:rsid w:val="005E6E00"/>
    <w:rsid w:val="005E7011"/>
    <w:rsid w:val="005F1821"/>
    <w:rsid w:val="005F46FA"/>
    <w:rsid w:val="005F473E"/>
    <w:rsid w:val="005F4774"/>
    <w:rsid w:val="005F4D88"/>
    <w:rsid w:val="005F59CD"/>
    <w:rsid w:val="005F5DE3"/>
    <w:rsid w:val="005F7F00"/>
    <w:rsid w:val="00601B4C"/>
    <w:rsid w:val="006025A5"/>
    <w:rsid w:val="006049A9"/>
    <w:rsid w:val="00605D81"/>
    <w:rsid w:val="00610324"/>
    <w:rsid w:val="00613277"/>
    <w:rsid w:val="00614E80"/>
    <w:rsid w:val="00614F9E"/>
    <w:rsid w:val="00633007"/>
    <w:rsid w:val="00635D3C"/>
    <w:rsid w:val="00642580"/>
    <w:rsid w:val="00644179"/>
    <w:rsid w:val="00644CA7"/>
    <w:rsid w:val="00646808"/>
    <w:rsid w:val="0065201C"/>
    <w:rsid w:val="006520BE"/>
    <w:rsid w:val="006543EE"/>
    <w:rsid w:val="00654749"/>
    <w:rsid w:val="00654CB7"/>
    <w:rsid w:val="006552FD"/>
    <w:rsid w:val="006556AB"/>
    <w:rsid w:val="006630B5"/>
    <w:rsid w:val="00665185"/>
    <w:rsid w:val="00665D25"/>
    <w:rsid w:val="00666FD9"/>
    <w:rsid w:val="006679F1"/>
    <w:rsid w:val="00674B1E"/>
    <w:rsid w:val="00680688"/>
    <w:rsid w:val="00680C96"/>
    <w:rsid w:val="00680DDD"/>
    <w:rsid w:val="00681A22"/>
    <w:rsid w:val="006827FA"/>
    <w:rsid w:val="0068346A"/>
    <w:rsid w:val="00685091"/>
    <w:rsid w:val="00685B3E"/>
    <w:rsid w:val="00685BE7"/>
    <w:rsid w:val="00687051"/>
    <w:rsid w:val="00687681"/>
    <w:rsid w:val="00690ADC"/>
    <w:rsid w:val="00690F42"/>
    <w:rsid w:val="00691572"/>
    <w:rsid w:val="006932AD"/>
    <w:rsid w:val="006936A1"/>
    <w:rsid w:val="00693AE9"/>
    <w:rsid w:val="00693FAA"/>
    <w:rsid w:val="006946A7"/>
    <w:rsid w:val="006A07E6"/>
    <w:rsid w:val="006A221B"/>
    <w:rsid w:val="006A54CB"/>
    <w:rsid w:val="006A5943"/>
    <w:rsid w:val="006A6193"/>
    <w:rsid w:val="006A6982"/>
    <w:rsid w:val="006A72A2"/>
    <w:rsid w:val="006A7B59"/>
    <w:rsid w:val="006B1F55"/>
    <w:rsid w:val="006B3D36"/>
    <w:rsid w:val="006B4157"/>
    <w:rsid w:val="006B79AA"/>
    <w:rsid w:val="006C143C"/>
    <w:rsid w:val="006C359D"/>
    <w:rsid w:val="006C3BE0"/>
    <w:rsid w:val="006C433B"/>
    <w:rsid w:val="006C48BF"/>
    <w:rsid w:val="006C5930"/>
    <w:rsid w:val="006C5E13"/>
    <w:rsid w:val="006C5FB4"/>
    <w:rsid w:val="006C62A8"/>
    <w:rsid w:val="006C7F99"/>
    <w:rsid w:val="006D4B2D"/>
    <w:rsid w:val="006D4CDA"/>
    <w:rsid w:val="006D578A"/>
    <w:rsid w:val="006D5A3E"/>
    <w:rsid w:val="006D5AAD"/>
    <w:rsid w:val="006D7D77"/>
    <w:rsid w:val="006E31E3"/>
    <w:rsid w:val="006E402F"/>
    <w:rsid w:val="006E5F3B"/>
    <w:rsid w:val="006F0357"/>
    <w:rsid w:val="006F6B92"/>
    <w:rsid w:val="00701EB6"/>
    <w:rsid w:val="0070200D"/>
    <w:rsid w:val="007032A9"/>
    <w:rsid w:val="00706C77"/>
    <w:rsid w:val="00707DA1"/>
    <w:rsid w:val="0071330E"/>
    <w:rsid w:val="00713BC5"/>
    <w:rsid w:val="00713DA5"/>
    <w:rsid w:val="00720363"/>
    <w:rsid w:val="00720E72"/>
    <w:rsid w:val="0072188D"/>
    <w:rsid w:val="00726BD0"/>
    <w:rsid w:val="007277B2"/>
    <w:rsid w:val="00730AD8"/>
    <w:rsid w:val="00732EB8"/>
    <w:rsid w:val="0073476C"/>
    <w:rsid w:val="00734C0F"/>
    <w:rsid w:val="00736C03"/>
    <w:rsid w:val="007410BB"/>
    <w:rsid w:val="00741B0D"/>
    <w:rsid w:val="00741FDC"/>
    <w:rsid w:val="007433C7"/>
    <w:rsid w:val="00743B07"/>
    <w:rsid w:val="007461E5"/>
    <w:rsid w:val="00746688"/>
    <w:rsid w:val="00746E2C"/>
    <w:rsid w:val="007525D9"/>
    <w:rsid w:val="007552B0"/>
    <w:rsid w:val="00764D2C"/>
    <w:rsid w:val="00766072"/>
    <w:rsid w:val="0076769C"/>
    <w:rsid w:val="00771DE6"/>
    <w:rsid w:val="00771EBF"/>
    <w:rsid w:val="00772DE6"/>
    <w:rsid w:val="007800FD"/>
    <w:rsid w:val="00780343"/>
    <w:rsid w:val="00781086"/>
    <w:rsid w:val="00781BD9"/>
    <w:rsid w:val="0078208C"/>
    <w:rsid w:val="00782789"/>
    <w:rsid w:val="00782B64"/>
    <w:rsid w:val="007836C9"/>
    <w:rsid w:val="00783B71"/>
    <w:rsid w:val="007848A1"/>
    <w:rsid w:val="00785621"/>
    <w:rsid w:val="007858FE"/>
    <w:rsid w:val="007864A0"/>
    <w:rsid w:val="007905DF"/>
    <w:rsid w:val="00792EB1"/>
    <w:rsid w:val="007964E6"/>
    <w:rsid w:val="007A0554"/>
    <w:rsid w:val="007A3769"/>
    <w:rsid w:val="007B1C7A"/>
    <w:rsid w:val="007B288C"/>
    <w:rsid w:val="007B2C34"/>
    <w:rsid w:val="007B77C1"/>
    <w:rsid w:val="007B78D4"/>
    <w:rsid w:val="007B7913"/>
    <w:rsid w:val="007C0D6E"/>
    <w:rsid w:val="007C1188"/>
    <w:rsid w:val="007C231F"/>
    <w:rsid w:val="007C2958"/>
    <w:rsid w:val="007C2F22"/>
    <w:rsid w:val="007C578C"/>
    <w:rsid w:val="007C5B60"/>
    <w:rsid w:val="007C7E38"/>
    <w:rsid w:val="007D1622"/>
    <w:rsid w:val="007D1CC0"/>
    <w:rsid w:val="007D2B2D"/>
    <w:rsid w:val="007D371F"/>
    <w:rsid w:val="007D5F93"/>
    <w:rsid w:val="007D61EC"/>
    <w:rsid w:val="007E03A1"/>
    <w:rsid w:val="007E4B99"/>
    <w:rsid w:val="007E4E21"/>
    <w:rsid w:val="007E61A6"/>
    <w:rsid w:val="007F0AB2"/>
    <w:rsid w:val="007F2690"/>
    <w:rsid w:val="007F3CF5"/>
    <w:rsid w:val="007F3F71"/>
    <w:rsid w:val="007F7F9F"/>
    <w:rsid w:val="00801018"/>
    <w:rsid w:val="00804605"/>
    <w:rsid w:val="00804B64"/>
    <w:rsid w:val="00807A5A"/>
    <w:rsid w:val="00807CFC"/>
    <w:rsid w:val="00810197"/>
    <w:rsid w:val="008142BD"/>
    <w:rsid w:val="00815A17"/>
    <w:rsid w:val="00817725"/>
    <w:rsid w:val="00820D07"/>
    <w:rsid w:val="00821185"/>
    <w:rsid w:val="00822876"/>
    <w:rsid w:val="00824941"/>
    <w:rsid w:val="00825C96"/>
    <w:rsid w:val="00826849"/>
    <w:rsid w:val="00827E00"/>
    <w:rsid w:val="00830DA9"/>
    <w:rsid w:val="008318F7"/>
    <w:rsid w:val="008320DC"/>
    <w:rsid w:val="0083400B"/>
    <w:rsid w:val="008363E8"/>
    <w:rsid w:val="008404A3"/>
    <w:rsid w:val="0084167D"/>
    <w:rsid w:val="008447C1"/>
    <w:rsid w:val="00845DC0"/>
    <w:rsid w:val="00846B97"/>
    <w:rsid w:val="0084795A"/>
    <w:rsid w:val="0085030D"/>
    <w:rsid w:val="00850A53"/>
    <w:rsid w:val="008525A9"/>
    <w:rsid w:val="0085597A"/>
    <w:rsid w:val="00857C76"/>
    <w:rsid w:val="00861AD7"/>
    <w:rsid w:val="008620B0"/>
    <w:rsid w:val="00863252"/>
    <w:rsid w:val="00865175"/>
    <w:rsid w:val="008704EE"/>
    <w:rsid w:val="00873872"/>
    <w:rsid w:val="0087387A"/>
    <w:rsid w:val="00873D15"/>
    <w:rsid w:val="00875130"/>
    <w:rsid w:val="00875397"/>
    <w:rsid w:val="00875448"/>
    <w:rsid w:val="00876913"/>
    <w:rsid w:val="0087711C"/>
    <w:rsid w:val="0087716E"/>
    <w:rsid w:val="00884792"/>
    <w:rsid w:val="00885ECD"/>
    <w:rsid w:val="0088603E"/>
    <w:rsid w:val="008860A6"/>
    <w:rsid w:val="00887FCB"/>
    <w:rsid w:val="00890EA9"/>
    <w:rsid w:val="00891937"/>
    <w:rsid w:val="00892384"/>
    <w:rsid w:val="00893171"/>
    <w:rsid w:val="00895CD4"/>
    <w:rsid w:val="00895D1E"/>
    <w:rsid w:val="008A0400"/>
    <w:rsid w:val="008A2927"/>
    <w:rsid w:val="008A3610"/>
    <w:rsid w:val="008A380D"/>
    <w:rsid w:val="008A380E"/>
    <w:rsid w:val="008A4A8F"/>
    <w:rsid w:val="008A6742"/>
    <w:rsid w:val="008B109E"/>
    <w:rsid w:val="008B43FE"/>
    <w:rsid w:val="008B6908"/>
    <w:rsid w:val="008B75E3"/>
    <w:rsid w:val="008C030B"/>
    <w:rsid w:val="008C05F6"/>
    <w:rsid w:val="008C0E6A"/>
    <w:rsid w:val="008C118E"/>
    <w:rsid w:val="008C1203"/>
    <w:rsid w:val="008C26F4"/>
    <w:rsid w:val="008C3C46"/>
    <w:rsid w:val="008C6181"/>
    <w:rsid w:val="008C6A6D"/>
    <w:rsid w:val="008D1837"/>
    <w:rsid w:val="008D1DA8"/>
    <w:rsid w:val="008D70E0"/>
    <w:rsid w:val="008E049B"/>
    <w:rsid w:val="008E1959"/>
    <w:rsid w:val="008E1CA7"/>
    <w:rsid w:val="008E2F98"/>
    <w:rsid w:val="008E3867"/>
    <w:rsid w:val="008E4742"/>
    <w:rsid w:val="008E576A"/>
    <w:rsid w:val="008E5E8A"/>
    <w:rsid w:val="008E6A1E"/>
    <w:rsid w:val="008E7B95"/>
    <w:rsid w:val="008F290A"/>
    <w:rsid w:val="008F2B09"/>
    <w:rsid w:val="008F3B81"/>
    <w:rsid w:val="008F4D1F"/>
    <w:rsid w:val="008F7B94"/>
    <w:rsid w:val="009020E0"/>
    <w:rsid w:val="00903A25"/>
    <w:rsid w:val="00903C5B"/>
    <w:rsid w:val="009111C6"/>
    <w:rsid w:val="00914D60"/>
    <w:rsid w:val="00915F40"/>
    <w:rsid w:val="00916A5A"/>
    <w:rsid w:val="00916CE2"/>
    <w:rsid w:val="00917B10"/>
    <w:rsid w:val="00917BFB"/>
    <w:rsid w:val="009248CD"/>
    <w:rsid w:val="00925384"/>
    <w:rsid w:val="009279C7"/>
    <w:rsid w:val="009303C9"/>
    <w:rsid w:val="009322E4"/>
    <w:rsid w:val="00932880"/>
    <w:rsid w:val="00933B38"/>
    <w:rsid w:val="00936C22"/>
    <w:rsid w:val="00941522"/>
    <w:rsid w:val="00941DDA"/>
    <w:rsid w:val="00944DC2"/>
    <w:rsid w:val="00950967"/>
    <w:rsid w:val="00955315"/>
    <w:rsid w:val="00955EF5"/>
    <w:rsid w:val="0095708E"/>
    <w:rsid w:val="00957611"/>
    <w:rsid w:val="00961CC0"/>
    <w:rsid w:val="009628B3"/>
    <w:rsid w:val="00962EA3"/>
    <w:rsid w:val="00963DBF"/>
    <w:rsid w:val="009650FF"/>
    <w:rsid w:val="00965336"/>
    <w:rsid w:val="00965B99"/>
    <w:rsid w:val="009666E6"/>
    <w:rsid w:val="00970C23"/>
    <w:rsid w:val="00971397"/>
    <w:rsid w:val="00972590"/>
    <w:rsid w:val="00972F86"/>
    <w:rsid w:val="00975184"/>
    <w:rsid w:val="0097639E"/>
    <w:rsid w:val="009800F7"/>
    <w:rsid w:val="00983585"/>
    <w:rsid w:val="0098393F"/>
    <w:rsid w:val="00984855"/>
    <w:rsid w:val="00985318"/>
    <w:rsid w:val="00986D29"/>
    <w:rsid w:val="00991F97"/>
    <w:rsid w:val="009926CE"/>
    <w:rsid w:val="00993347"/>
    <w:rsid w:val="0099457A"/>
    <w:rsid w:val="00995F44"/>
    <w:rsid w:val="00996009"/>
    <w:rsid w:val="00997CCC"/>
    <w:rsid w:val="00997EB1"/>
    <w:rsid w:val="009A2B69"/>
    <w:rsid w:val="009A5F5E"/>
    <w:rsid w:val="009A777C"/>
    <w:rsid w:val="009A77AE"/>
    <w:rsid w:val="009B027F"/>
    <w:rsid w:val="009B0CE3"/>
    <w:rsid w:val="009B2CD5"/>
    <w:rsid w:val="009B6A55"/>
    <w:rsid w:val="009B6AA3"/>
    <w:rsid w:val="009C05C9"/>
    <w:rsid w:val="009C0994"/>
    <w:rsid w:val="009C3171"/>
    <w:rsid w:val="009D050E"/>
    <w:rsid w:val="009D0B99"/>
    <w:rsid w:val="009D17C2"/>
    <w:rsid w:val="009D1D00"/>
    <w:rsid w:val="009D5C62"/>
    <w:rsid w:val="009D6BC8"/>
    <w:rsid w:val="009D74FF"/>
    <w:rsid w:val="009E09A7"/>
    <w:rsid w:val="009E0CE9"/>
    <w:rsid w:val="009E2341"/>
    <w:rsid w:val="009E23B2"/>
    <w:rsid w:val="009E2802"/>
    <w:rsid w:val="009E4A33"/>
    <w:rsid w:val="009F2283"/>
    <w:rsid w:val="009F24A2"/>
    <w:rsid w:val="009F3A95"/>
    <w:rsid w:val="009F4005"/>
    <w:rsid w:val="009F5FB5"/>
    <w:rsid w:val="009F7418"/>
    <w:rsid w:val="009F7691"/>
    <w:rsid w:val="00A0243D"/>
    <w:rsid w:val="00A03BC9"/>
    <w:rsid w:val="00A0474E"/>
    <w:rsid w:val="00A06982"/>
    <w:rsid w:val="00A072C6"/>
    <w:rsid w:val="00A076F7"/>
    <w:rsid w:val="00A07FCD"/>
    <w:rsid w:val="00A1373C"/>
    <w:rsid w:val="00A13E99"/>
    <w:rsid w:val="00A13F72"/>
    <w:rsid w:val="00A13FE4"/>
    <w:rsid w:val="00A15706"/>
    <w:rsid w:val="00A16E23"/>
    <w:rsid w:val="00A17A7C"/>
    <w:rsid w:val="00A20795"/>
    <w:rsid w:val="00A226FB"/>
    <w:rsid w:val="00A24635"/>
    <w:rsid w:val="00A25B2E"/>
    <w:rsid w:val="00A276F3"/>
    <w:rsid w:val="00A30926"/>
    <w:rsid w:val="00A36C62"/>
    <w:rsid w:val="00A4133B"/>
    <w:rsid w:val="00A4389F"/>
    <w:rsid w:val="00A439C8"/>
    <w:rsid w:val="00A44D15"/>
    <w:rsid w:val="00A46AA6"/>
    <w:rsid w:val="00A55889"/>
    <w:rsid w:val="00A60664"/>
    <w:rsid w:val="00A627D5"/>
    <w:rsid w:val="00A62C5B"/>
    <w:rsid w:val="00A62D3F"/>
    <w:rsid w:val="00A64F21"/>
    <w:rsid w:val="00A65D25"/>
    <w:rsid w:val="00A66C6D"/>
    <w:rsid w:val="00A67326"/>
    <w:rsid w:val="00A67A8D"/>
    <w:rsid w:val="00A67C51"/>
    <w:rsid w:val="00A70CC6"/>
    <w:rsid w:val="00A7181C"/>
    <w:rsid w:val="00A72287"/>
    <w:rsid w:val="00A72BF6"/>
    <w:rsid w:val="00A76923"/>
    <w:rsid w:val="00A769ED"/>
    <w:rsid w:val="00A7740D"/>
    <w:rsid w:val="00A8583A"/>
    <w:rsid w:val="00A866EF"/>
    <w:rsid w:val="00A907B2"/>
    <w:rsid w:val="00A91E46"/>
    <w:rsid w:val="00A920C4"/>
    <w:rsid w:val="00A928ED"/>
    <w:rsid w:val="00A92984"/>
    <w:rsid w:val="00A94EFA"/>
    <w:rsid w:val="00AA0312"/>
    <w:rsid w:val="00AA077A"/>
    <w:rsid w:val="00AA0A33"/>
    <w:rsid w:val="00AA180C"/>
    <w:rsid w:val="00AA37F9"/>
    <w:rsid w:val="00AA4573"/>
    <w:rsid w:val="00AA51C2"/>
    <w:rsid w:val="00AA548C"/>
    <w:rsid w:val="00AA6040"/>
    <w:rsid w:val="00AB0272"/>
    <w:rsid w:val="00AB1036"/>
    <w:rsid w:val="00AB1D4B"/>
    <w:rsid w:val="00AB3157"/>
    <w:rsid w:val="00AB4919"/>
    <w:rsid w:val="00AB5BCB"/>
    <w:rsid w:val="00AB7550"/>
    <w:rsid w:val="00AC1C67"/>
    <w:rsid w:val="00AC1D53"/>
    <w:rsid w:val="00AC2E56"/>
    <w:rsid w:val="00AC30EE"/>
    <w:rsid w:val="00AC389D"/>
    <w:rsid w:val="00AC3CF3"/>
    <w:rsid w:val="00AC4E3B"/>
    <w:rsid w:val="00AC4E59"/>
    <w:rsid w:val="00AC5063"/>
    <w:rsid w:val="00AC6717"/>
    <w:rsid w:val="00AD018D"/>
    <w:rsid w:val="00AD1890"/>
    <w:rsid w:val="00AD1A95"/>
    <w:rsid w:val="00AD262B"/>
    <w:rsid w:val="00AD373E"/>
    <w:rsid w:val="00AD4733"/>
    <w:rsid w:val="00AD4DE3"/>
    <w:rsid w:val="00AD5466"/>
    <w:rsid w:val="00AD612E"/>
    <w:rsid w:val="00AE1EA6"/>
    <w:rsid w:val="00AE536C"/>
    <w:rsid w:val="00AE6661"/>
    <w:rsid w:val="00AE7103"/>
    <w:rsid w:val="00AE7B19"/>
    <w:rsid w:val="00AF098B"/>
    <w:rsid w:val="00AF0F5C"/>
    <w:rsid w:val="00AF2059"/>
    <w:rsid w:val="00AF6374"/>
    <w:rsid w:val="00AF6A4F"/>
    <w:rsid w:val="00AF6AAC"/>
    <w:rsid w:val="00AF7527"/>
    <w:rsid w:val="00AF77B4"/>
    <w:rsid w:val="00B01558"/>
    <w:rsid w:val="00B026E3"/>
    <w:rsid w:val="00B0299B"/>
    <w:rsid w:val="00B02BCC"/>
    <w:rsid w:val="00B03E9D"/>
    <w:rsid w:val="00B045E7"/>
    <w:rsid w:val="00B0513F"/>
    <w:rsid w:val="00B069F1"/>
    <w:rsid w:val="00B11BF9"/>
    <w:rsid w:val="00B124F6"/>
    <w:rsid w:val="00B146B3"/>
    <w:rsid w:val="00B1652F"/>
    <w:rsid w:val="00B16BF7"/>
    <w:rsid w:val="00B16CDA"/>
    <w:rsid w:val="00B177B0"/>
    <w:rsid w:val="00B20889"/>
    <w:rsid w:val="00B20C8C"/>
    <w:rsid w:val="00B226E9"/>
    <w:rsid w:val="00B22963"/>
    <w:rsid w:val="00B23CEC"/>
    <w:rsid w:val="00B31ADB"/>
    <w:rsid w:val="00B33692"/>
    <w:rsid w:val="00B40755"/>
    <w:rsid w:val="00B40E27"/>
    <w:rsid w:val="00B450B1"/>
    <w:rsid w:val="00B464E6"/>
    <w:rsid w:val="00B47663"/>
    <w:rsid w:val="00B47FC5"/>
    <w:rsid w:val="00B51083"/>
    <w:rsid w:val="00B5183B"/>
    <w:rsid w:val="00B52CEC"/>
    <w:rsid w:val="00B52EB2"/>
    <w:rsid w:val="00B55E6C"/>
    <w:rsid w:val="00B63410"/>
    <w:rsid w:val="00B64F4C"/>
    <w:rsid w:val="00B66DEA"/>
    <w:rsid w:val="00B67973"/>
    <w:rsid w:val="00B70958"/>
    <w:rsid w:val="00B71E95"/>
    <w:rsid w:val="00B7464C"/>
    <w:rsid w:val="00B75452"/>
    <w:rsid w:val="00B7692D"/>
    <w:rsid w:val="00B77468"/>
    <w:rsid w:val="00B77C27"/>
    <w:rsid w:val="00B82564"/>
    <w:rsid w:val="00B83D1C"/>
    <w:rsid w:val="00B86037"/>
    <w:rsid w:val="00B90A89"/>
    <w:rsid w:val="00B90E67"/>
    <w:rsid w:val="00B91D04"/>
    <w:rsid w:val="00B92380"/>
    <w:rsid w:val="00B92EC2"/>
    <w:rsid w:val="00B9762C"/>
    <w:rsid w:val="00BA0DB1"/>
    <w:rsid w:val="00BA2BBE"/>
    <w:rsid w:val="00BA32BE"/>
    <w:rsid w:val="00BA6583"/>
    <w:rsid w:val="00BA6F40"/>
    <w:rsid w:val="00BA752C"/>
    <w:rsid w:val="00BA78AD"/>
    <w:rsid w:val="00BB2E35"/>
    <w:rsid w:val="00BB3949"/>
    <w:rsid w:val="00BB4788"/>
    <w:rsid w:val="00BB4AC4"/>
    <w:rsid w:val="00BB56D9"/>
    <w:rsid w:val="00BB6E04"/>
    <w:rsid w:val="00BC0B98"/>
    <w:rsid w:val="00BC146C"/>
    <w:rsid w:val="00BC3BE8"/>
    <w:rsid w:val="00BC520F"/>
    <w:rsid w:val="00BC5E7D"/>
    <w:rsid w:val="00BC612F"/>
    <w:rsid w:val="00BC6EE3"/>
    <w:rsid w:val="00BC71DF"/>
    <w:rsid w:val="00BD31AA"/>
    <w:rsid w:val="00BD44B3"/>
    <w:rsid w:val="00BD554E"/>
    <w:rsid w:val="00BD56B9"/>
    <w:rsid w:val="00BD630F"/>
    <w:rsid w:val="00BD7A53"/>
    <w:rsid w:val="00BE1312"/>
    <w:rsid w:val="00BE5163"/>
    <w:rsid w:val="00BE6BD4"/>
    <w:rsid w:val="00BF3D6E"/>
    <w:rsid w:val="00BF4156"/>
    <w:rsid w:val="00BF5492"/>
    <w:rsid w:val="00BF5B85"/>
    <w:rsid w:val="00BF6D7A"/>
    <w:rsid w:val="00C01222"/>
    <w:rsid w:val="00C014A5"/>
    <w:rsid w:val="00C02383"/>
    <w:rsid w:val="00C06711"/>
    <w:rsid w:val="00C06DB4"/>
    <w:rsid w:val="00C12988"/>
    <w:rsid w:val="00C14E97"/>
    <w:rsid w:val="00C1643F"/>
    <w:rsid w:val="00C1787C"/>
    <w:rsid w:val="00C17968"/>
    <w:rsid w:val="00C24891"/>
    <w:rsid w:val="00C24F26"/>
    <w:rsid w:val="00C250B5"/>
    <w:rsid w:val="00C27553"/>
    <w:rsid w:val="00C306DD"/>
    <w:rsid w:val="00C328E3"/>
    <w:rsid w:val="00C32C73"/>
    <w:rsid w:val="00C34D98"/>
    <w:rsid w:val="00C36BBD"/>
    <w:rsid w:val="00C43ADA"/>
    <w:rsid w:val="00C43DF6"/>
    <w:rsid w:val="00C440D7"/>
    <w:rsid w:val="00C45445"/>
    <w:rsid w:val="00C475BF"/>
    <w:rsid w:val="00C47722"/>
    <w:rsid w:val="00C51799"/>
    <w:rsid w:val="00C5282B"/>
    <w:rsid w:val="00C56ED8"/>
    <w:rsid w:val="00C6069D"/>
    <w:rsid w:val="00C623FC"/>
    <w:rsid w:val="00C62C75"/>
    <w:rsid w:val="00C6537F"/>
    <w:rsid w:val="00C67243"/>
    <w:rsid w:val="00C71365"/>
    <w:rsid w:val="00C72580"/>
    <w:rsid w:val="00C73650"/>
    <w:rsid w:val="00C73FE0"/>
    <w:rsid w:val="00C74BF5"/>
    <w:rsid w:val="00C80B1A"/>
    <w:rsid w:val="00C835CE"/>
    <w:rsid w:val="00C85F4E"/>
    <w:rsid w:val="00C869AD"/>
    <w:rsid w:val="00C86EC8"/>
    <w:rsid w:val="00C871DA"/>
    <w:rsid w:val="00C90B9D"/>
    <w:rsid w:val="00C93F64"/>
    <w:rsid w:val="00C945EC"/>
    <w:rsid w:val="00C9483C"/>
    <w:rsid w:val="00C9487A"/>
    <w:rsid w:val="00C95CAE"/>
    <w:rsid w:val="00C972D2"/>
    <w:rsid w:val="00C974ED"/>
    <w:rsid w:val="00CA0A8F"/>
    <w:rsid w:val="00CA5AFE"/>
    <w:rsid w:val="00CA6913"/>
    <w:rsid w:val="00CB1420"/>
    <w:rsid w:val="00CB17E3"/>
    <w:rsid w:val="00CB2449"/>
    <w:rsid w:val="00CB27A5"/>
    <w:rsid w:val="00CB2E0D"/>
    <w:rsid w:val="00CB4BEC"/>
    <w:rsid w:val="00CB5F2E"/>
    <w:rsid w:val="00CB635C"/>
    <w:rsid w:val="00CB7D95"/>
    <w:rsid w:val="00CC0484"/>
    <w:rsid w:val="00CC2763"/>
    <w:rsid w:val="00CC4D11"/>
    <w:rsid w:val="00CC4FB3"/>
    <w:rsid w:val="00CC61CD"/>
    <w:rsid w:val="00CD36C0"/>
    <w:rsid w:val="00CD70BC"/>
    <w:rsid w:val="00CE001C"/>
    <w:rsid w:val="00CE03C4"/>
    <w:rsid w:val="00CE0A9F"/>
    <w:rsid w:val="00CE1123"/>
    <w:rsid w:val="00CE4201"/>
    <w:rsid w:val="00CE663A"/>
    <w:rsid w:val="00CE7B43"/>
    <w:rsid w:val="00CF0AE6"/>
    <w:rsid w:val="00CF0E2F"/>
    <w:rsid w:val="00CF1B74"/>
    <w:rsid w:val="00CF26C6"/>
    <w:rsid w:val="00CF43C8"/>
    <w:rsid w:val="00CF51B0"/>
    <w:rsid w:val="00D00406"/>
    <w:rsid w:val="00D00B78"/>
    <w:rsid w:val="00D01137"/>
    <w:rsid w:val="00D0407B"/>
    <w:rsid w:val="00D05FD0"/>
    <w:rsid w:val="00D11D06"/>
    <w:rsid w:val="00D13907"/>
    <w:rsid w:val="00D154A4"/>
    <w:rsid w:val="00D15E48"/>
    <w:rsid w:val="00D1758F"/>
    <w:rsid w:val="00D17C0B"/>
    <w:rsid w:val="00D243FE"/>
    <w:rsid w:val="00D312D1"/>
    <w:rsid w:val="00D3214F"/>
    <w:rsid w:val="00D33AB6"/>
    <w:rsid w:val="00D35E22"/>
    <w:rsid w:val="00D366E6"/>
    <w:rsid w:val="00D3753C"/>
    <w:rsid w:val="00D44FA0"/>
    <w:rsid w:val="00D45CBE"/>
    <w:rsid w:val="00D46E96"/>
    <w:rsid w:val="00D50D64"/>
    <w:rsid w:val="00D530F5"/>
    <w:rsid w:val="00D54B2B"/>
    <w:rsid w:val="00D62AE8"/>
    <w:rsid w:val="00D643EF"/>
    <w:rsid w:val="00D64666"/>
    <w:rsid w:val="00D666C6"/>
    <w:rsid w:val="00D716BB"/>
    <w:rsid w:val="00D76C84"/>
    <w:rsid w:val="00D77121"/>
    <w:rsid w:val="00D773A4"/>
    <w:rsid w:val="00D80111"/>
    <w:rsid w:val="00D80DA0"/>
    <w:rsid w:val="00D855C2"/>
    <w:rsid w:val="00D86DBF"/>
    <w:rsid w:val="00D87646"/>
    <w:rsid w:val="00D87B1A"/>
    <w:rsid w:val="00D912AB"/>
    <w:rsid w:val="00D964DD"/>
    <w:rsid w:val="00DA2B4B"/>
    <w:rsid w:val="00DA3A30"/>
    <w:rsid w:val="00DA498C"/>
    <w:rsid w:val="00DA7671"/>
    <w:rsid w:val="00DB088B"/>
    <w:rsid w:val="00DB10D5"/>
    <w:rsid w:val="00DB10D7"/>
    <w:rsid w:val="00DB1B8F"/>
    <w:rsid w:val="00DB3077"/>
    <w:rsid w:val="00DB3695"/>
    <w:rsid w:val="00DB36D8"/>
    <w:rsid w:val="00DB4228"/>
    <w:rsid w:val="00DB4E31"/>
    <w:rsid w:val="00DB4F3C"/>
    <w:rsid w:val="00DB5B3D"/>
    <w:rsid w:val="00DB6A42"/>
    <w:rsid w:val="00DB7DAD"/>
    <w:rsid w:val="00DC1F6C"/>
    <w:rsid w:val="00DD0349"/>
    <w:rsid w:val="00DD05BC"/>
    <w:rsid w:val="00DD075D"/>
    <w:rsid w:val="00DD09E6"/>
    <w:rsid w:val="00DD0F61"/>
    <w:rsid w:val="00DD1DF6"/>
    <w:rsid w:val="00DD3678"/>
    <w:rsid w:val="00DD4C25"/>
    <w:rsid w:val="00DD628D"/>
    <w:rsid w:val="00DD7144"/>
    <w:rsid w:val="00DE0D91"/>
    <w:rsid w:val="00DE1FC1"/>
    <w:rsid w:val="00DE252C"/>
    <w:rsid w:val="00DE62CC"/>
    <w:rsid w:val="00DF17B5"/>
    <w:rsid w:val="00DF7753"/>
    <w:rsid w:val="00DF78EA"/>
    <w:rsid w:val="00E00245"/>
    <w:rsid w:val="00E0078B"/>
    <w:rsid w:val="00E1046E"/>
    <w:rsid w:val="00E11DFD"/>
    <w:rsid w:val="00E12D7C"/>
    <w:rsid w:val="00E13869"/>
    <w:rsid w:val="00E13DCE"/>
    <w:rsid w:val="00E1494A"/>
    <w:rsid w:val="00E177DD"/>
    <w:rsid w:val="00E20C16"/>
    <w:rsid w:val="00E210C1"/>
    <w:rsid w:val="00E23232"/>
    <w:rsid w:val="00E265A1"/>
    <w:rsid w:val="00E30220"/>
    <w:rsid w:val="00E31A25"/>
    <w:rsid w:val="00E31C6A"/>
    <w:rsid w:val="00E32537"/>
    <w:rsid w:val="00E33ECE"/>
    <w:rsid w:val="00E34962"/>
    <w:rsid w:val="00E34BD0"/>
    <w:rsid w:val="00E3663C"/>
    <w:rsid w:val="00E36B1B"/>
    <w:rsid w:val="00E37A9A"/>
    <w:rsid w:val="00E41D44"/>
    <w:rsid w:val="00E41E3A"/>
    <w:rsid w:val="00E44293"/>
    <w:rsid w:val="00E45045"/>
    <w:rsid w:val="00E45CD4"/>
    <w:rsid w:val="00E502E5"/>
    <w:rsid w:val="00E51B55"/>
    <w:rsid w:val="00E52FEC"/>
    <w:rsid w:val="00E53BD6"/>
    <w:rsid w:val="00E55E21"/>
    <w:rsid w:val="00E561F8"/>
    <w:rsid w:val="00E61B55"/>
    <w:rsid w:val="00E62BEB"/>
    <w:rsid w:val="00E62D28"/>
    <w:rsid w:val="00E64DA3"/>
    <w:rsid w:val="00E656DC"/>
    <w:rsid w:val="00E70D3C"/>
    <w:rsid w:val="00E71F3D"/>
    <w:rsid w:val="00E73560"/>
    <w:rsid w:val="00E7496C"/>
    <w:rsid w:val="00E75DB3"/>
    <w:rsid w:val="00E76314"/>
    <w:rsid w:val="00E777C6"/>
    <w:rsid w:val="00E80859"/>
    <w:rsid w:val="00E809E2"/>
    <w:rsid w:val="00E83BD3"/>
    <w:rsid w:val="00E859C9"/>
    <w:rsid w:val="00E907D7"/>
    <w:rsid w:val="00E90BF0"/>
    <w:rsid w:val="00E90DA7"/>
    <w:rsid w:val="00E90F73"/>
    <w:rsid w:val="00E91E97"/>
    <w:rsid w:val="00E93A21"/>
    <w:rsid w:val="00E93B3B"/>
    <w:rsid w:val="00E96B0A"/>
    <w:rsid w:val="00E97004"/>
    <w:rsid w:val="00E975EC"/>
    <w:rsid w:val="00EA13CE"/>
    <w:rsid w:val="00EA3153"/>
    <w:rsid w:val="00EA4264"/>
    <w:rsid w:val="00EA6C84"/>
    <w:rsid w:val="00EA78FB"/>
    <w:rsid w:val="00EB394F"/>
    <w:rsid w:val="00EB3A19"/>
    <w:rsid w:val="00EB4823"/>
    <w:rsid w:val="00EB523F"/>
    <w:rsid w:val="00EC0197"/>
    <w:rsid w:val="00EC1C66"/>
    <w:rsid w:val="00EC4266"/>
    <w:rsid w:val="00EC5994"/>
    <w:rsid w:val="00EC5EDC"/>
    <w:rsid w:val="00EC74DD"/>
    <w:rsid w:val="00ED3CE1"/>
    <w:rsid w:val="00ED522E"/>
    <w:rsid w:val="00EE2053"/>
    <w:rsid w:val="00EE33D3"/>
    <w:rsid w:val="00EE5AFE"/>
    <w:rsid w:val="00EE7826"/>
    <w:rsid w:val="00EF0295"/>
    <w:rsid w:val="00EF0B5B"/>
    <w:rsid w:val="00EF11E1"/>
    <w:rsid w:val="00EF2B37"/>
    <w:rsid w:val="00EF79AB"/>
    <w:rsid w:val="00EF7CC7"/>
    <w:rsid w:val="00EF7D07"/>
    <w:rsid w:val="00F00128"/>
    <w:rsid w:val="00F00844"/>
    <w:rsid w:val="00F0448C"/>
    <w:rsid w:val="00F05289"/>
    <w:rsid w:val="00F06C3A"/>
    <w:rsid w:val="00F073B4"/>
    <w:rsid w:val="00F10D6F"/>
    <w:rsid w:val="00F126C0"/>
    <w:rsid w:val="00F1426E"/>
    <w:rsid w:val="00F15AA5"/>
    <w:rsid w:val="00F17A15"/>
    <w:rsid w:val="00F17CF4"/>
    <w:rsid w:val="00F2097A"/>
    <w:rsid w:val="00F24346"/>
    <w:rsid w:val="00F25BE3"/>
    <w:rsid w:val="00F26E59"/>
    <w:rsid w:val="00F2726F"/>
    <w:rsid w:val="00F27667"/>
    <w:rsid w:val="00F3273C"/>
    <w:rsid w:val="00F327BE"/>
    <w:rsid w:val="00F32E10"/>
    <w:rsid w:val="00F33B7C"/>
    <w:rsid w:val="00F33C5F"/>
    <w:rsid w:val="00F33E58"/>
    <w:rsid w:val="00F35ABF"/>
    <w:rsid w:val="00F35BCB"/>
    <w:rsid w:val="00F372F5"/>
    <w:rsid w:val="00F40579"/>
    <w:rsid w:val="00F4064F"/>
    <w:rsid w:val="00F41327"/>
    <w:rsid w:val="00F41AE2"/>
    <w:rsid w:val="00F45B6F"/>
    <w:rsid w:val="00F5146E"/>
    <w:rsid w:val="00F51477"/>
    <w:rsid w:val="00F53018"/>
    <w:rsid w:val="00F56660"/>
    <w:rsid w:val="00F60A0E"/>
    <w:rsid w:val="00F62A9F"/>
    <w:rsid w:val="00F63083"/>
    <w:rsid w:val="00F70940"/>
    <w:rsid w:val="00F726ED"/>
    <w:rsid w:val="00F76611"/>
    <w:rsid w:val="00F77360"/>
    <w:rsid w:val="00F77400"/>
    <w:rsid w:val="00F80DDA"/>
    <w:rsid w:val="00F813DD"/>
    <w:rsid w:val="00F82A7D"/>
    <w:rsid w:val="00F84473"/>
    <w:rsid w:val="00F85C3B"/>
    <w:rsid w:val="00F863FE"/>
    <w:rsid w:val="00F87A0B"/>
    <w:rsid w:val="00F91BB7"/>
    <w:rsid w:val="00F924FF"/>
    <w:rsid w:val="00F93660"/>
    <w:rsid w:val="00F94F56"/>
    <w:rsid w:val="00F95763"/>
    <w:rsid w:val="00F963E2"/>
    <w:rsid w:val="00F96BAB"/>
    <w:rsid w:val="00F97B21"/>
    <w:rsid w:val="00FA10F7"/>
    <w:rsid w:val="00FA34FD"/>
    <w:rsid w:val="00FA588E"/>
    <w:rsid w:val="00FB0BD4"/>
    <w:rsid w:val="00FB2B4D"/>
    <w:rsid w:val="00FB2E5C"/>
    <w:rsid w:val="00FB2EAA"/>
    <w:rsid w:val="00FB4490"/>
    <w:rsid w:val="00FB6588"/>
    <w:rsid w:val="00FB703C"/>
    <w:rsid w:val="00FB712B"/>
    <w:rsid w:val="00FB79ED"/>
    <w:rsid w:val="00FB7D8C"/>
    <w:rsid w:val="00FC29C0"/>
    <w:rsid w:val="00FC4316"/>
    <w:rsid w:val="00FC7556"/>
    <w:rsid w:val="00FC77BF"/>
    <w:rsid w:val="00FD1931"/>
    <w:rsid w:val="00FD1FF7"/>
    <w:rsid w:val="00FD2644"/>
    <w:rsid w:val="00FE09BA"/>
    <w:rsid w:val="00FE1513"/>
    <w:rsid w:val="00FE18ED"/>
    <w:rsid w:val="00FE21E3"/>
    <w:rsid w:val="00FE33CB"/>
    <w:rsid w:val="00FE37A1"/>
    <w:rsid w:val="00FE42F0"/>
    <w:rsid w:val="00FE485B"/>
    <w:rsid w:val="00FE4875"/>
    <w:rsid w:val="00FE5015"/>
    <w:rsid w:val="00FE5AE1"/>
    <w:rsid w:val="00FE70FC"/>
    <w:rsid w:val="00FE7743"/>
    <w:rsid w:val="00FF0262"/>
    <w:rsid w:val="00FF0CC7"/>
    <w:rsid w:val="00FF200F"/>
    <w:rsid w:val="00FF5213"/>
    <w:rsid w:val="00FF5DF1"/>
    <w:rsid w:val="00FF6B9E"/>
    <w:rsid w:val="00FF6C8D"/>
    <w:rsid w:val="00FF78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52FC2C"/>
  <w15:chartTrackingRefBased/>
  <w15:docId w15:val="{F3321F2B-2E4B-472F-81BE-FF52EF17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DCD"/>
  </w:style>
  <w:style w:type="paragraph" w:styleId="Heading1">
    <w:name w:val="heading 1"/>
    <w:basedOn w:val="ListParagraph"/>
    <w:next w:val="Normal"/>
    <w:link w:val="Heading1Char"/>
    <w:uiPriority w:val="9"/>
    <w:qFormat/>
    <w:rsid w:val="005F473E"/>
    <w:pPr>
      <w:numPr>
        <w:numId w:val="11"/>
      </w:numPr>
      <w:spacing w:after="240" w:line="240" w:lineRule="auto"/>
      <w:ind w:left="720"/>
      <w:contextualSpacing w:val="0"/>
      <w:outlineLvl w:val="0"/>
    </w:pPr>
    <w:rPr>
      <w:rFonts w:eastAsia="Times New Roman"/>
      <w:b/>
      <w:bCs/>
      <w:sz w:val="24"/>
      <w:szCs w:val="24"/>
    </w:rPr>
  </w:style>
  <w:style w:type="paragraph" w:styleId="Heading2">
    <w:name w:val="heading 2"/>
    <w:basedOn w:val="ListParagraph"/>
    <w:next w:val="Normal"/>
    <w:link w:val="Heading2Char"/>
    <w:uiPriority w:val="9"/>
    <w:unhideWhenUsed/>
    <w:qFormat/>
    <w:rsid w:val="00FE42F0"/>
    <w:pPr>
      <w:numPr>
        <w:numId w:val="5"/>
      </w:numPr>
      <w:spacing w:after="240" w:line="240" w:lineRule="auto"/>
      <w:ind w:left="1440" w:hanging="720"/>
      <w:contextualSpacing w:val="0"/>
      <w:outlineLvl w:val="1"/>
    </w:pPr>
    <w:rPr>
      <w:rFonts w:eastAsia="Times New Roman"/>
      <w:b/>
      <w:bCs/>
      <w:sz w:val="24"/>
      <w:szCs w:val="24"/>
    </w:rPr>
  </w:style>
  <w:style w:type="paragraph" w:styleId="Heading3">
    <w:name w:val="heading 3"/>
    <w:basedOn w:val="ListParagraph"/>
    <w:next w:val="Normal"/>
    <w:link w:val="Heading3Char"/>
    <w:uiPriority w:val="9"/>
    <w:unhideWhenUsed/>
    <w:qFormat/>
    <w:rsid w:val="008C6A6D"/>
    <w:pPr>
      <w:numPr>
        <w:numId w:val="6"/>
      </w:numPr>
      <w:tabs>
        <w:tab w:val="left" w:pos="2430"/>
      </w:tabs>
      <w:spacing w:after="240" w:line="240" w:lineRule="auto"/>
      <w:ind w:left="2160" w:hanging="720"/>
      <w:contextualSpacing w:val="0"/>
      <w:outlineLvl w:val="2"/>
    </w:pPr>
    <w:rPr>
      <w:rFonts w:eastAsia="Times New Roman"/>
      <w:b/>
      <w:bCs/>
      <w:sz w:val="24"/>
      <w:szCs w:val="24"/>
    </w:rPr>
  </w:style>
  <w:style w:type="paragraph" w:styleId="Heading4">
    <w:name w:val="heading 4"/>
    <w:basedOn w:val="Normal"/>
    <w:next w:val="Normal"/>
    <w:link w:val="Heading4Char"/>
    <w:uiPriority w:val="9"/>
    <w:semiHidden/>
    <w:unhideWhenUsed/>
    <w:qFormat/>
    <w:rsid w:val="001D4AF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D4AF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D4AF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D4AF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D4AF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D4AF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73E"/>
    <w:rPr>
      <w:rFonts w:eastAsia="Times New Roman"/>
      <w:b/>
      <w:bCs/>
      <w:sz w:val="24"/>
      <w:szCs w:val="24"/>
    </w:rPr>
  </w:style>
  <w:style w:type="character" w:customStyle="1" w:styleId="Heading2Char">
    <w:name w:val="Heading 2 Char"/>
    <w:basedOn w:val="DefaultParagraphFont"/>
    <w:link w:val="Heading2"/>
    <w:uiPriority w:val="9"/>
    <w:rsid w:val="00FE42F0"/>
    <w:rPr>
      <w:rFonts w:eastAsia="Times New Roman"/>
      <w:b/>
      <w:bCs/>
      <w:sz w:val="24"/>
      <w:szCs w:val="24"/>
    </w:rPr>
  </w:style>
  <w:style w:type="character" w:customStyle="1" w:styleId="Heading3Char">
    <w:name w:val="Heading 3 Char"/>
    <w:basedOn w:val="DefaultParagraphFont"/>
    <w:link w:val="Heading3"/>
    <w:uiPriority w:val="9"/>
    <w:rsid w:val="008C6A6D"/>
    <w:rPr>
      <w:rFonts w:eastAsia="Times New Roman"/>
      <w:b/>
      <w:bCs/>
      <w:sz w:val="24"/>
      <w:szCs w:val="24"/>
    </w:rPr>
  </w:style>
  <w:style w:type="character" w:customStyle="1" w:styleId="Heading4Char">
    <w:name w:val="Heading 4 Char"/>
    <w:basedOn w:val="DefaultParagraphFont"/>
    <w:link w:val="Heading4"/>
    <w:uiPriority w:val="9"/>
    <w:semiHidden/>
    <w:rsid w:val="001D4AF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D4AF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D4A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D4A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D4A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D4A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D4A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A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AF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A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D4AF3"/>
    <w:pPr>
      <w:spacing w:before="160"/>
      <w:jc w:val="center"/>
    </w:pPr>
    <w:rPr>
      <w:i/>
      <w:iCs/>
      <w:color w:val="404040" w:themeColor="text1" w:themeTint="BF"/>
    </w:rPr>
  </w:style>
  <w:style w:type="character" w:customStyle="1" w:styleId="QuoteChar">
    <w:name w:val="Quote Char"/>
    <w:basedOn w:val="DefaultParagraphFont"/>
    <w:link w:val="Quote"/>
    <w:uiPriority w:val="29"/>
    <w:rsid w:val="001D4AF3"/>
    <w:rPr>
      <w:i/>
      <w:iCs/>
      <w:color w:val="404040" w:themeColor="text1" w:themeTint="BF"/>
    </w:rPr>
  </w:style>
  <w:style w:type="paragraph" w:styleId="ListParagraph">
    <w:name w:val="List Paragraph"/>
    <w:basedOn w:val="Normal"/>
    <w:uiPriority w:val="34"/>
    <w:qFormat/>
    <w:rsid w:val="001D4AF3"/>
    <w:pPr>
      <w:ind w:left="720"/>
      <w:contextualSpacing/>
    </w:pPr>
  </w:style>
  <w:style w:type="character" w:styleId="IntenseEmphasis">
    <w:name w:val="Intense Emphasis"/>
    <w:basedOn w:val="DefaultParagraphFont"/>
    <w:uiPriority w:val="21"/>
    <w:qFormat/>
    <w:rsid w:val="001D4AF3"/>
    <w:rPr>
      <w:i/>
      <w:iCs/>
      <w:color w:val="0F4761" w:themeColor="accent1" w:themeShade="BF"/>
    </w:rPr>
  </w:style>
  <w:style w:type="paragraph" w:styleId="IntenseQuote">
    <w:name w:val="Intense Quote"/>
    <w:basedOn w:val="Normal"/>
    <w:next w:val="Normal"/>
    <w:link w:val="IntenseQuoteChar"/>
    <w:uiPriority w:val="30"/>
    <w:qFormat/>
    <w:rsid w:val="001D4A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AF3"/>
    <w:rPr>
      <w:i/>
      <w:iCs/>
      <w:color w:val="0F4761" w:themeColor="accent1" w:themeShade="BF"/>
    </w:rPr>
  </w:style>
  <w:style w:type="character" w:styleId="IntenseReference">
    <w:name w:val="Intense Reference"/>
    <w:basedOn w:val="DefaultParagraphFont"/>
    <w:uiPriority w:val="32"/>
    <w:qFormat/>
    <w:rsid w:val="001D4AF3"/>
    <w:rPr>
      <w:b/>
      <w:bCs/>
      <w:smallCaps/>
      <w:color w:val="0F4761" w:themeColor="accent1" w:themeShade="BF"/>
      <w:spacing w:val="5"/>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nhideWhenUsed/>
    <w:qFormat/>
    <w:rsid w:val="00B20889"/>
    <w:pPr>
      <w:spacing w:after="0" w:line="240" w:lineRule="auto"/>
    </w:p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basedOn w:val="DefaultParagraphFont"/>
    <w:link w:val="FootnoteText"/>
    <w:rsid w:val="00B20889"/>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rsid w:val="00B20889"/>
    <w:rPr>
      <w:vertAlign w:val="superscript"/>
    </w:rPr>
  </w:style>
  <w:style w:type="character" w:styleId="Hyperlink">
    <w:name w:val="Hyperlink"/>
    <w:basedOn w:val="DefaultParagraphFont"/>
    <w:uiPriority w:val="99"/>
    <w:unhideWhenUsed/>
    <w:rsid w:val="00CB2E0D"/>
    <w:rPr>
      <w:color w:val="0000FF"/>
      <w:u w:val="single"/>
    </w:rPr>
  </w:style>
  <w:style w:type="character" w:customStyle="1" w:styleId="UnresolvedMention1">
    <w:name w:val="Unresolved Mention1"/>
    <w:basedOn w:val="DefaultParagraphFont"/>
    <w:uiPriority w:val="99"/>
    <w:semiHidden/>
    <w:unhideWhenUsed/>
    <w:rsid w:val="002F13D9"/>
    <w:rPr>
      <w:color w:val="605E5C"/>
      <w:shd w:val="clear" w:color="auto" w:fill="E1DFDD"/>
    </w:rPr>
  </w:style>
  <w:style w:type="paragraph" w:styleId="BodyText">
    <w:name w:val="Body Text"/>
    <w:basedOn w:val="Normal"/>
    <w:link w:val="BodyTextChar"/>
    <w:uiPriority w:val="99"/>
    <w:unhideWhenUsed/>
    <w:rsid w:val="00483EC7"/>
    <w:pPr>
      <w:spacing w:after="120"/>
    </w:pPr>
  </w:style>
  <w:style w:type="character" w:customStyle="1" w:styleId="BodyTextChar">
    <w:name w:val="Body Text Char"/>
    <w:basedOn w:val="DefaultParagraphFont"/>
    <w:link w:val="BodyText"/>
    <w:uiPriority w:val="99"/>
    <w:rsid w:val="00483EC7"/>
  </w:style>
  <w:style w:type="paragraph" w:styleId="Header">
    <w:name w:val="header"/>
    <w:basedOn w:val="Normal"/>
    <w:link w:val="HeaderChar"/>
    <w:uiPriority w:val="99"/>
    <w:unhideWhenUsed/>
    <w:rsid w:val="00B77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468"/>
  </w:style>
  <w:style w:type="paragraph" w:styleId="Footer">
    <w:name w:val="footer"/>
    <w:basedOn w:val="Normal"/>
    <w:link w:val="FooterChar"/>
    <w:uiPriority w:val="99"/>
    <w:unhideWhenUsed/>
    <w:rsid w:val="00B77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468"/>
  </w:style>
  <w:style w:type="paragraph" w:styleId="TOC2">
    <w:name w:val="toc 2"/>
    <w:basedOn w:val="Normal"/>
    <w:next w:val="Normal"/>
    <w:autoRedefine/>
    <w:uiPriority w:val="39"/>
    <w:unhideWhenUsed/>
    <w:rsid w:val="00891937"/>
    <w:pPr>
      <w:tabs>
        <w:tab w:val="decimal" w:leader="dot" w:pos="9360"/>
      </w:tabs>
      <w:spacing w:after="240" w:line="240" w:lineRule="auto"/>
      <w:ind w:left="1440" w:hanging="720"/>
    </w:pPr>
    <w:rPr>
      <w:rFonts w:eastAsiaTheme="minorEastAsia"/>
      <w:sz w:val="24"/>
      <w:szCs w:val="22"/>
    </w:rPr>
  </w:style>
  <w:style w:type="paragraph" w:styleId="TOC1">
    <w:name w:val="toc 1"/>
    <w:basedOn w:val="Normal"/>
    <w:next w:val="Normal"/>
    <w:autoRedefine/>
    <w:uiPriority w:val="39"/>
    <w:unhideWhenUsed/>
    <w:rsid w:val="00891937"/>
    <w:pPr>
      <w:tabs>
        <w:tab w:val="decimal" w:leader="dot" w:pos="9360"/>
      </w:tabs>
      <w:spacing w:after="240" w:line="240" w:lineRule="auto"/>
      <w:ind w:left="720" w:hanging="720"/>
    </w:pPr>
    <w:rPr>
      <w:rFonts w:eastAsiaTheme="minorEastAsia"/>
      <w:sz w:val="24"/>
      <w:szCs w:val="22"/>
    </w:rPr>
  </w:style>
  <w:style w:type="paragraph" w:styleId="TOC3">
    <w:name w:val="toc 3"/>
    <w:basedOn w:val="Normal"/>
    <w:next w:val="Normal"/>
    <w:autoRedefine/>
    <w:uiPriority w:val="39"/>
    <w:unhideWhenUsed/>
    <w:rsid w:val="00891937"/>
    <w:pPr>
      <w:tabs>
        <w:tab w:val="decimal" w:leader="dot" w:pos="9360"/>
      </w:tabs>
      <w:spacing w:after="240" w:line="240" w:lineRule="auto"/>
      <w:ind w:left="2160" w:hanging="720"/>
    </w:pPr>
    <w:rPr>
      <w:rFonts w:eastAsiaTheme="minorEastAsia"/>
      <w:sz w:val="24"/>
      <w:szCs w:val="22"/>
    </w:rPr>
  </w:style>
  <w:style w:type="paragraph" w:styleId="TOC4">
    <w:name w:val="toc 4"/>
    <w:basedOn w:val="Normal"/>
    <w:next w:val="Normal"/>
    <w:autoRedefine/>
    <w:uiPriority w:val="39"/>
    <w:unhideWhenUsed/>
    <w:rsid w:val="00891937"/>
    <w:pPr>
      <w:tabs>
        <w:tab w:val="decimal" w:leader="dot" w:pos="9360"/>
      </w:tabs>
      <w:spacing w:after="240" w:line="240" w:lineRule="auto"/>
      <w:ind w:left="2880" w:hanging="720"/>
    </w:pPr>
    <w:rPr>
      <w:rFonts w:cstheme="minorBidi"/>
      <w:sz w:val="24"/>
      <w:szCs w:val="22"/>
    </w:rPr>
  </w:style>
  <w:style w:type="paragraph" w:styleId="Revision">
    <w:name w:val="Revision"/>
    <w:hidden/>
    <w:uiPriority w:val="99"/>
    <w:semiHidden/>
    <w:rsid w:val="00C835CE"/>
    <w:pPr>
      <w:spacing w:after="0" w:line="240" w:lineRule="auto"/>
    </w:pPr>
  </w:style>
  <w:style w:type="character" w:styleId="CommentReference">
    <w:name w:val="annotation reference"/>
    <w:basedOn w:val="DefaultParagraphFont"/>
    <w:uiPriority w:val="99"/>
    <w:semiHidden/>
    <w:unhideWhenUsed/>
    <w:rsid w:val="00BF4156"/>
    <w:rPr>
      <w:sz w:val="16"/>
      <w:szCs w:val="16"/>
    </w:rPr>
  </w:style>
  <w:style w:type="paragraph" w:styleId="CommentText">
    <w:name w:val="annotation text"/>
    <w:basedOn w:val="Normal"/>
    <w:link w:val="CommentTextChar"/>
    <w:uiPriority w:val="99"/>
    <w:unhideWhenUsed/>
    <w:rsid w:val="00BF4156"/>
    <w:pPr>
      <w:spacing w:line="240" w:lineRule="auto"/>
    </w:pPr>
  </w:style>
  <w:style w:type="character" w:customStyle="1" w:styleId="CommentTextChar">
    <w:name w:val="Comment Text Char"/>
    <w:basedOn w:val="DefaultParagraphFont"/>
    <w:link w:val="CommentText"/>
    <w:uiPriority w:val="99"/>
    <w:rsid w:val="00BF4156"/>
  </w:style>
  <w:style w:type="paragraph" w:styleId="CommentSubject">
    <w:name w:val="annotation subject"/>
    <w:basedOn w:val="CommentText"/>
    <w:next w:val="CommentText"/>
    <w:link w:val="CommentSubjectChar"/>
    <w:uiPriority w:val="99"/>
    <w:semiHidden/>
    <w:unhideWhenUsed/>
    <w:rsid w:val="00BF4156"/>
    <w:rPr>
      <w:b/>
      <w:bCs/>
    </w:rPr>
  </w:style>
  <w:style w:type="character" w:customStyle="1" w:styleId="CommentSubjectChar">
    <w:name w:val="Comment Subject Char"/>
    <w:basedOn w:val="CommentTextChar"/>
    <w:link w:val="CommentSubject"/>
    <w:uiPriority w:val="99"/>
    <w:semiHidden/>
    <w:rsid w:val="00BF4156"/>
    <w:rPr>
      <w:b/>
      <w:bCs/>
    </w:rPr>
  </w:style>
  <w:style w:type="character" w:customStyle="1" w:styleId="UnresolvedMention">
    <w:name w:val="Unresolved Mention"/>
    <w:basedOn w:val="DefaultParagraphFont"/>
    <w:uiPriority w:val="99"/>
    <w:rsid w:val="00B52CEC"/>
    <w:rPr>
      <w:color w:val="605E5C"/>
      <w:shd w:val="clear" w:color="auto" w:fill="E1DFDD"/>
    </w:rPr>
  </w:style>
  <w:style w:type="character" w:styleId="FollowedHyperlink">
    <w:name w:val="FollowedHyperlink"/>
    <w:basedOn w:val="DefaultParagraphFont"/>
    <w:uiPriority w:val="99"/>
    <w:semiHidden/>
    <w:unhideWhenUsed/>
    <w:rsid w:val="00F5146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hyperlink" Target="mailto:ambrosia.wilson@ohioago.gov" TargetMode="External" /><Relationship Id="rId16" Type="http://schemas.openxmlformats.org/officeDocument/2006/relationships/hyperlink" Target="mailto:david.hicks@puco.ohio.gov" TargetMode="External" /><Relationship Id="rId17" Type="http://schemas.openxmlformats.org/officeDocument/2006/relationships/hyperlink" Target="mailto:matthew.sandor@puco.ohio.gov" TargetMode="External" /><Relationship Id="rId18" Type="http://schemas.openxmlformats.org/officeDocument/2006/relationships/hyperlink" Target="mailto:stnourse@aep.com" TargetMode="External" /><Relationship Id="rId19" Type="http://schemas.openxmlformats.org/officeDocument/2006/relationships/hyperlink" Target="mailto:mjschuler@aep.com" TargetMode="External" /><Relationship Id="rId2" Type="http://schemas.openxmlformats.org/officeDocument/2006/relationships/settings" Target="settings.xml" /><Relationship Id="rId20" Type="http://schemas.openxmlformats.org/officeDocument/2006/relationships/hyperlink" Target="mailto:dromig@nationwideenergypartners.com" TargetMode="External" /><Relationship Id="rId21" Type="http://schemas.openxmlformats.org/officeDocument/2006/relationships/hyperlink" Target="mailto:mjsettineri@vorys.com" TargetMode="External" /><Relationship Id="rId22" Type="http://schemas.openxmlformats.org/officeDocument/2006/relationships/hyperlink" Target="mailto:aasanyal@vorys.com" TargetMode="External" /><Relationship Id="rId23" Type="http://schemas.openxmlformats.org/officeDocument/2006/relationships/footer" Target="footer5.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donald.kral@occ.ohio.gov" TargetMode="External" /><Relationship Id="rId7" Type="http://schemas.openxmlformats.org/officeDocument/2006/relationships/hyperlink" Target="mailto:thomas.brodbeck@occ.ohio.gov" TargetMode="External" /><Relationship Id="rId8" Type="http://schemas.openxmlformats.org/officeDocument/2006/relationships/header" Target="header1.xml" /><Relationship Id="rId9" Type="http://schemas.openxmlformats.org/officeDocument/2006/relationships/header" Target="head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puco.ohio.gov/utilities/gas/resources/home-energy-assistance-program" TargetMode="External" /><Relationship Id="rId2" Type="http://schemas.openxmlformats.org/officeDocument/2006/relationships/hyperlink" Target="https://www.impactca.org/housing/crisi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49320-BD13-4BDC-92AA-F291803D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2934</Words>
  <Characters>16729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2024-08-23T18:43:25Z</dcterms:created>
  <dcterms:modified xsi:type="dcterms:W3CDTF">2024-08-23T18:43:25Z</dcterms:modified>
</cp:coreProperties>
</file>