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C83E09">
      <w:pPr>
        <w:jc w:val="center"/>
        <w:rPr>
          <w:b/>
        </w:rPr>
      </w:pPr>
      <w:bookmarkStart w:id="0" w:name="_GoBack"/>
      <w:bookmarkEnd w:id="0"/>
      <w:r>
        <w:rPr>
          <w:b/>
        </w:rPr>
        <w:t>BEFORE</w:t>
      </w:r>
    </w:p>
    <w:p w:rsidR="00C83E09">
      <w:pPr>
        <w:jc w:val="center"/>
        <w:rPr>
          <w:b/>
          <w:bCs/>
          <w:szCs w:val="24"/>
        </w:rPr>
      </w:pPr>
      <w:r>
        <w:rPr>
          <w:b/>
          <w:bCs/>
          <w:szCs w:val="24"/>
        </w:rPr>
        <w:t>THE PUBLIC UTILITIES COMMISSION OF OHIO</w:t>
      </w:r>
    </w:p>
    <w:tbl>
      <w:tblPr>
        <w:tblW w:w="8838" w:type="dxa"/>
        <w:tblInd w:w="18" w:type="dxa"/>
        <w:tblCellMar>
          <w:top w:w="0" w:type="dxa"/>
          <w:left w:w="108" w:type="dxa"/>
          <w:bottom w:w="0" w:type="dxa"/>
          <w:right w:w="108" w:type="dxa"/>
        </w:tblCellMar>
        <w:tblLook w:val="01E0"/>
      </w:tblPr>
      <w:tblGrid>
        <w:gridCol w:w="8396"/>
        <w:gridCol w:w="221"/>
        <w:gridCol w:w="221"/>
      </w:tblGrid>
      <w:tr w:rsidTr="00C95B5D">
        <w:tblPrEx>
          <w:tblW w:w="8838" w:type="dxa"/>
          <w:tblInd w:w="18" w:type="dxa"/>
          <w:tblCellMar>
            <w:top w:w="0" w:type="dxa"/>
            <w:left w:w="108" w:type="dxa"/>
            <w:bottom w:w="0" w:type="dxa"/>
            <w:right w:w="108" w:type="dxa"/>
          </w:tblCellMar>
          <w:tblLook w:val="01E0"/>
        </w:tblPrEx>
        <w:tc>
          <w:tcPr>
            <w:tcW w:w="8396" w:type="dxa"/>
          </w:tcPr>
          <w:p w:rsidR="00E20893" w:rsidRPr="006E31D9" w:rsidP="00E2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tbl>
            <w:tblPr>
              <w:tblW w:w="9092" w:type="dxa"/>
              <w:tblInd w:w="0" w:type="dxa"/>
              <w:tblCellMar>
                <w:top w:w="0" w:type="dxa"/>
                <w:left w:w="108" w:type="dxa"/>
                <w:bottom w:w="0" w:type="dxa"/>
                <w:right w:w="108" w:type="dxa"/>
              </w:tblCellMar>
              <w:tblLook w:val="01E0"/>
            </w:tblPr>
            <w:tblGrid>
              <w:gridCol w:w="4332"/>
              <w:gridCol w:w="360"/>
              <w:gridCol w:w="4400"/>
            </w:tblGrid>
            <w:tr w:rsidTr="00C83E09">
              <w:tblPrEx>
                <w:tblW w:w="9092" w:type="dxa"/>
                <w:tblInd w:w="0" w:type="dxa"/>
                <w:tblCellMar>
                  <w:top w:w="0" w:type="dxa"/>
                  <w:left w:w="108" w:type="dxa"/>
                  <w:bottom w:w="0" w:type="dxa"/>
                  <w:right w:w="108" w:type="dxa"/>
                </w:tblCellMar>
                <w:tblLook w:val="01E0"/>
              </w:tblPrEx>
              <w:trPr>
                <w:trHeight w:val="1962"/>
              </w:trPr>
              <w:tc>
                <w:tcPr>
                  <w:tcW w:w="4332" w:type="dxa"/>
                  <w:shd w:val="clear" w:color="auto" w:fill="auto"/>
                </w:tcPr>
                <w:p w:rsidR="00E20893" w:rsidRPr="006E31D9" w:rsidP="00C83E09">
                  <w:pPr>
                    <w:widowControl w:val="0"/>
                    <w:autoSpaceDE w:val="0"/>
                    <w:autoSpaceDN w:val="0"/>
                    <w:adjustRightInd w:val="0"/>
                    <w:rPr>
                      <w:rStyle w:val="DefaultParagraphFont"/>
                      <w:rFonts w:eastAsia="Courier New"/>
                      <w:sz w:val="24"/>
                      <w:szCs w:val="24"/>
                      <w:lang w:val="en-US" w:eastAsia="en-US" w:bidi="ar-SA"/>
                    </w:rPr>
                  </w:pPr>
                  <w:r w:rsidRPr="006E31D9">
                    <w:rPr>
                      <w:rFonts w:eastAsia="Calibri"/>
                      <w:sz w:val="24"/>
                      <w:szCs w:val="24"/>
                      <w:lang w:val="en-US" w:eastAsia="en-US" w:bidi="ar-SA"/>
                    </w:rPr>
                    <w:t>In the Matter of the Application of Ohio Edison Company, The Cleveland Electric Illuminating Company and The Toledo Edison Company for Authority to Provide for a Standard Service Offer Pursuant R.C. 4928.143 in the Form of an Electric Security Plan.</w:t>
                  </w:r>
                  <w:r w:rsidRPr="006E31D9">
                    <w:rPr>
                      <w:rFonts w:eastAsia="Courier New"/>
                      <w:sz w:val="24"/>
                      <w:szCs w:val="24"/>
                      <w:lang w:val="en-US" w:eastAsia="en-US" w:bidi="ar-SA"/>
                    </w:rPr>
                    <w:t xml:space="preserve"> </w:t>
                  </w:r>
                </w:p>
              </w:tc>
              <w:tc>
                <w:tcPr>
                  <w:tcW w:w="360" w:type="dxa"/>
                  <w:shd w:val="clear" w:color="auto" w:fill="auto"/>
                </w:tcPr>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tc>
              <w:tc>
                <w:tcPr>
                  <w:tcW w:w="4400" w:type="dxa"/>
                  <w:shd w:val="clear" w:color="auto" w:fill="auto"/>
                </w:tcPr>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Case No. 14-1297-EL-SSO</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tc>
            </w:tr>
          </w:tbl>
          <w:p w:rsidR="00C83E09" w:rsidRPr="001A22D5" w:rsidP="00C83E09">
            <w:pPr>
              <w:rPr>
                <w:rStyle w:val="DefaultParagraphFont"/>
                <w:sz w:val="24"/>
                <w:szCs w:val="24"/>
                <w:lang w:val="en-US" w:eastAsia="en-US" w:bidi="ar-SA"/>
              </w:rPr>
            </w:pPr>
          </w:p>
        </w:tc>
        <w:tc>
          <w:tcPr>
            <w:tcW w:w="221" w:type="dxa"/>
          </w:tcPr>
          <w:p w:rsidR="00C83E09" w:rsidRPr="001A22D5" w:rsidP="00C83E09">
            <w:pPr>
              <w:rPr>
                <w:rStyle w:val="DefaultParagraphFont"/>
                <w:sz w:val="24"/>
                <w:szCs w:val="24"/>
                <w:lang w:val="en-US" w:eastAsia="en-US" w:bidi="ar-SA"/>
              </w:rPr>
            </w:pPr>
          </w:p>
        </w:tc>
        <w:tc>
          <w:tcPr>
            <w:tcW w:w="221" w:type="dxa"/>
          </w:tcPr>
          <w:p w:rsidR="00C83E09" w:rsidRPr="001A22D5" w:rsidP="00C83E09">
            <w:pPr>
              <w:rPr>
                <w:rStyle w:val="DefaultParagraphFont"/>
                <w:sz w:val="24"/>
                <w:szCs w:val="24"/>
                <w:lang w:val="en-US" w:eastAsia="en-US" w:bidi="ar-SA"/>
              </w:rPr>
            </w:pPr>
          </w:p>
        </w:tc>
      </w:tr>
    </w:tbl>
    <w:p w:rsidR="00C83E09" w:rsidP="00C83E09">
      <w:pPr>
        <w:pStyle w:val="HTMLPreformatted"/>
        <w:pBdr>
          <w:bottom w:val="single" w:sz="12" w:space="1" w:color="auto"/>
        </w:pBdr>
        <w:rPr>
          <w:rFonts w:ascii="Times New Roman" w:hAnsi="Times New Roman" w:cs="Times New Roman"/>
          <w:sz w:val="24"/>
          <w:szCs w:val="24"/>
        </w:rPr>
      </w:pPr>
    </w:p>
    <w:p w:rsidR="00C83E09" w:rsidP="00C83E09">
      <w:pPr>
        <w:jc w:val="center"/>
        <w:rPr>
          <w:b/>
          <w:szCs w:val="24"/>
        </w:rPr>
      </w:pPr>
    </w:p>
    <w:p w:rsidR="00C83E09">
      <w:pPr>
        <w:jc w:val="center"/>
        <w:rPr>
          <w:b/>
          <w:szCs w:val="24"/>
        </w:rPr>
      </w:pPr>
      <w:r>
        <w:rPr>
          <w:b/>
          <w:szCs w:val="24"/>
        </w:rPr>
        <w:t xml:space="preserve">APPLICATION FOR REHEARING </w:t>
      </w:r>
    </w:p>
    <w:p w:rsidR="00C83E09">
      <w:pPr>
        <w:jc w:val="center"/>
        <w:rPr>
          <w:b/>
          <w:szCs w:val="24"/>
        </w:rPr>
      </w:pPr>
      <w:r>
        <w:rPr>
          <w:b/>
          <w:szCs w:val="24"/>
        </w:rPr>
        <w:t>BY</w:t>
      </w:r>
    </w:p>
    <w:p w:rsidR="00C83E09">
      <w:pPr>
        <w:jc w:val="center"/>
        <w:rPr>
          <w:b/>
          <w:szCs w:val="24"/>
        </w:rPr>
      </w:pPr>
      <w:r>
        <w:rPr>
          <w:b/>
          <w:szCs w:val="24"/>
        </w:rPr>
        <w:t xml:space="preserve">THE OFFICE OF THE OHIO CONSUMERS’ COUNSEL </w:t>
      </w:r>
    </w:p>
    <w:p w:rsidR="00C83E09" w:rsidP="00C83E09">
      <w:pPr>
        <w:pBdr>
          <w:bottom w:val="single" w:sz="12" w:space="1" w:color="auto"/>
        </w:pBdr>
        <w:jc w:val="center"/>
        <w:rPr>
          <w:b/>
          <w:szCs w:val="24"/>
        </w:rPr>
      </w:pPr>
    </w:p>
    <w:p w:rsidR="00C83E09" w:rsidP="00C83E09">
      <w:pPr>
        <w:tabs>
          <w:tab w:val="left" w:pos="4320"/>
        </w:tabs>
        <w:ind w:firstLine="48"/>
        <w:rPr>
          <w:szCs w:val="24"/>
        </w:rPr>
      </w:pPr>
      <w:r>
        <w:br/>
      </w:r>
    </w:p>
    <w:p w:rsidR="00C83E09" w:rsidP="00C83E09">
      <w:pPr>
        <w:tabs>
          <w:tab w:val="left" w:pos="4320"/>
        </w:tabs>
        <w:ind w:firstLine="48"/>
        <w:rPr>
          <w:szCs w:val="24"/>
        </w:rPr>
      </w:pPr>
    </w:p>
    <w:p w:rsidR="00C95B5D" w:rsidP="00C83E09">
      <w:pPr>
        <w:tabs>
          <w:tab w:val="left" w:pos="4320"/>
        </w:tabs>
        <w:ind w:left="4320"/>
        <w:rPr>
          <w:szCs w:val="24"/>
        </w:rPr>
      </w:pPr>
    </w:p>
    <w:p w:rsidR="00C95B5D" w:rsidP="00C83E09">
      <w:pPr>
        <w:tabs>
          <w:tab w:val="left" w:pos="4320"/>
        </w:tabs>
        <w:ind w:left="4320"/>
        <w:rPr>
          <w:szCs w:val="24"/>
        </w:rPr>
      </w:pPr>
    </w:p>
    <w:p w:rsidR="00C95B5D" w:rsidP="00C83E09">
      <w:pPr>
        <w:tabs>
          <w:tab w:val="left" w:pos="4320"/>
        </w:tabs>
        <w:ind w:left="4320"/>
        <w:rPr>
          <w:szCs w:val="24"/>
        </w:rPr>
      </w:pPr>
    </w:p>
    <w:p w:rsidR="00C83E09" w:rsidP="00C83E09">
      <w:pPr>
        <w:tabs>
          <w:tab w:val="left" w:pos="4320"/>
        </w:tabs>
        <w:ind w:left="4320"/>
        <w:rPr>
          <w:szCs w:val="24"/>
        </w:rPr>
      </w:pPr>
      <w:r>
        <w:rPr>
          <w:szCs w:val="24"/>
        </w:rPr>
        <w:t>BRUCE WESTON (0016973)</w:t>
      </w:r>
    </w:p>
    <w:p w:rsidR="00C83E09" w:rsidP="00C83E09">
      <w:pPr>
        <w:tabs>
          <w:tab w:val="left" w:pos="4320"/>
        </w:tabs>
        <w:ind w:left="4320"/>
        <w:rPr>
          <w:szCs w:val="24"/>
        </w:rPr>
      </w:pPr>
      <w:r>
        <w:rPr>
          <w:szCs w:val="24"/>
        </w:rPr>
        <w:t>OHIO CONSUMERS’ COUNSEL</w:t>
      </w:r>
    </w:p>
    <w:p w:rsidR="00C83E09" w:rsidRPr="002A7C48" w:rsidP="00C83E09">
      <w:pPr>
        <w:tabs>
          <w:tab w:val="left" w:pos="4320"/>
        </w:tabs>
        <w:ind w:left="4320"/>
        <w:rPr>
          <w:sz w:val="16"/>
          <w:szCs w:val="16"/>
        </w:rPr>
      </w:pPr>
    </w:p>
    <w:p w:rsidR="00E20893" w:rsidRPr="0048108C" w:rsidP="00E20893">
      <w:pPr>
        <w:tabs>
          <w:tab w:val="left" w:pos="4230"/>
        </w:tabs>
        <w:ind w:left="4320"/>
        <w:contextualSpacing/>
        <w:rPr>
          <w:szCs w:val="24"/>
        </w:rPr>
      </w:pPr>
      <w:r w:rsidRPr="0048108C">
        <w:rPr>
          <w:szCs w:val="24"/>
        </w:rPr>
        <w:t>Larry S. Sauer (0039223)</w:t>
      </w:r>
    </w:p>
    <w:p w:rsidR="00E20893" w:rsidRPr="0048108C" w:rsidP="00E20893">
      <w:pPr>
        <w:tabs>
          <w:tab w:val="left" w:pos="4230"/>
        </w:tabs>
        <w:ind w:left="4320"/>
        <w:contextualSpacing/>
        <w:rPr>
          <w:szCs w:val="24"/>
        </w:rPr>
      </w:pPr>
      <w:r w:rsidRPr="0048108C">
        <w:rPr>
          <w:szCs w:val="24"/>
        </w:rPr>
        <w:t>Counsel of Record</w:t>
      </w:r>
    </w:p>
    <w:p w:rsidR="00E20893" w:rsidRPr="0048108C" w:rsidP="00E20893">
      <w:pPr>
        <w:autoSpaceDE w:val="0"/>
        <w:autoSpaceDN w:val="0"/>
        <w:adjustRightInd w:val="0"/>
        <w:ind w:left="4320"/>
        <w:rPr>
          <w:szCs w:val="24"/>
        </w:rPr>
      </w:pPr>
      <w:r w:rsidRPr="0048108C">
        <w:rPr>
          <w:szCs w:val="24"/>
        </w:rPr>
        <w:t>Maureen R. Willis (0020847)</w:t>
      </w:r>
    </w:p>
    <w:p w:rsidR="00E20893" w:rsidRPr="0048108C" w:rsidP="00E20893">
      <w:pPr>
        <w:autoSpaceDE w:val="0"/>
        <w:autoSpaceDN w:val="0"/>
        <w:adjustRightInd w:val="0"/>
        <w:ind w:left="4320"/>
        <w:rPr>
          <w:szCs w:val="24"/>
        </w:rPr>
      </w:pPr>
      <w:r w:rsidRPr="0048108C">
        <w:rPr>
          <w:szCs w:val="24"/>
        </w:rPr>
        <w:t>William J. Michael (0070921)</w:t>
      </w:r>
    </w:p>
    <w:p w:rsidR="00E20893" w:rsidRPr="0048108C" w:rsidP="00E20893">
      <w:pPr>
        <w:autoSpaceDE w:val="0"/>
        <w:autoSpaceDN w:val="0"/>
        <w:adjustRightInd w:val="0"/>
        <w:ind w:left="4320"/>
        <w:rPr>
          <w:szCs w:val="24"/>
        </w:rPr>
      </w:pPr>
      <w:r w:rsidRPr="0048108C">
        <w:rPr>
          <w:szCs w:val="24"/>
        </w:rPr>
        <w:t>Kevin F. Moore (0089228)</w:t>
      </w:r>
    </w:p>
    <w:p w:rsidR="00E20893" w:rsidRPr="0048108C" w:rsidP="00E20893">
      <w:pPr>
        <w:autoSpaceDE w:val="0"/>
        <w:autoSpaceDN w:val="0"/>
        <w:adjustRightInd w:val="0"/>
        <w:ind w:left="4320"/>
        <w:rPr>
          <w:szCs w:val="24"/>
        </w:rPr>
      </w:pPr>
      <w:r w:rsidRPr="0048108C">
        <w:rPr>
          <w:szCs w:val="24"/>
        </w:rPr>
        <w:t>Ajay Kumar (0092208)</w:t>
      </w:r>
    </w:p>
    <w:p w:rsidR="00E20893" w:rsidRPr="0048108C" w:rsidP="00E20893">
      <w:pPr>
        <w:autoSpaceDE w:val="0"/>
        <w:autoSpaceDN w:val="0"/>
        <w:adjustRightInd w:val="0"/>
        <w:ind w:left="4320"/>
        <w:rPr>
          <w:szCs w:val="24"/>
        </w:rPr>
      </w:pPr>
      <w:r w:rsidRPr="0048108C">
        <w:rPr>
          <w:szCs w:val="24"/>
        </w:rPr>
        <w:t>Assistant Consumers’ Counsel</w:t>
      </w:r>
    </w:p>
    <w:p w:rsidR="00E20893" w:rsidRPr="0048108C" w:rsidP="00E20893">
      <w:pPr>
        <w:autoSpaceDE w:val="0"/>
        <w:autoSpaceDN w:val="0"/>
        <w:adjustRightInd w:val="0"/>
        <w:ind w:left="4320"/>
        <w:rPr>
          <w:szCs w:val="24"/>
        </w:rPr>
      </w:pPr>
    </w:p>
    <w:p w:rsidR="00E20893" w:rsidRPr="0048108C" w:rsidP="00E20893">
      <w:pPr>
        <w:autoSpaceDE w:val="0"/>
        <w:autoSpaceDN w:val="0"/>
        <w:adjustRightInd w:val="0"/>
        <w:ind w:left="4320"/>
        <w:rPr>
          <w:b/>
          <w:szCs w:val="24"/>
        </w:rPr>
      </w:pPr>
      <w:r w:rsidRPr="0048108C">
        <w:rPr>
          <w:b/>
          <w:szCs w:val="24"/>
        </w:rPr>
        <w:t>Office of the Ohio Consumers’ Counsel</w:t>
      </w:r>
    </w:p>
    <w:p w:rsidR="00E20893" w:rsidRPr="0048108C" w:rsidP="00E20893">
      <w:pPr>
        <w:autoSpaceDE w:val="0"/>
        <w:autoSpaceDN w:val="0"/>
        <w:adjustRightInd w:val="0"/>
        <w:ind w:left="4320"/>
        <w:rPr>
          <w:szCs w:val="24"/>
        </w:rPr>
      </w:pPr>
      <w:r w:rsidRPr="0048108C">
        <w:rPr>
          <w:szCs w:val="24"/>
        </w:rPr>
        <w:t>10 West Broad Street, Suite 1800</w:t>
      </w:r>
    </w:p>
    <w:p w:rsidR="00E20893" w:rsidRPr="0048108C" w:rsidP="00E20893">
      <w:pPr>
        <w:autoSpaceDE w:val="0"/>
        <w:autoSpaceDN w:val="0"/>
        <w:adjustRightInd w:val="0"/>
        <w:ind w:left="4320"/>
        <w:rPr>
          <w:szCs w:val="24"/>
        </w:rPr>
      </w:pPr>
      <w:r w:rsidRPr="0048108C">
        <w:rPr>
          <w:szCs w:val="24"/>
        </w:rPr>
        <w:t>Columbus, Ohio 43215-3485</w:t>
      </w:r>
    </w:p>
    <w:p w:rsidR="00E20893" w:rsidRPr="0048108C" w:rsidP="00E20893">
      <w:pPr>
        <w:autoSpaceDE w:val="0"/>
        <w:autoSpaceDN w:val="0"/>
        <w:adjustRightInd w:val="0"/>
        <w:ind w:left="4320"/>
        <w:rPr>
          <w:szCs w:val="24"/>
        </w:rPr>
      </w:pPr>
      <w:r w:rsidRPr="0048108C">
        <w:rPr>
          <w:szCs w:val="24"/>
        </w:rPr>
        <w:t>Telephone [Sauer]: (614) 466-1312</w:t>
      </w:r>
    </w:p>
    <w:p w:rsidR="00E20893" w:rsidRPr="0048108C" w:rsidP="00E20893">
      <w:pPr>
        <w:autoSpaceDE w:val="0"/>
        <w:autoSpaceDN w:val="0"/>
        <w:adjustRightInd w:val="0"/>
        <w:ind w:left="4320"/>
        <w:rPr>
          <w:szCs w:val="24"/>
        </w:rPr>
      </w:pPr>
      <w:r w:rsidRPr="0048108C">
        <w:rPr>
          <w:szCs w:val="24"/>
        </w:rPr>
        <w:t>Telephone [Willis]: (614) 466-9567</w:t>
      </w:r>
    </w:p>
    <w:p w:rsidR="00E20893" w:rsidRPr="0048108C" w:rsidP="00E20893">
      <w:pPr>
        <w:autoSpaceDE w:val="0"/>
        <w:autoSpaceDN w:val="0"/>
        <w:adjustRightInd w:val="0"/>
        <w:ind w:left="4320"/>
        <w:rPr>
          <w:szCs w:val="24"/>
        </w:rPr>
      </w:pPr>
      <w:r w:rsidRPr="0048108C">
        <w:rPr>
          <w:szCs w:val="24"/>
        </w:rPr>
        <w:t>Telephone [Michael]: (614) 466-1291</w:t>
      </w:r>
    </w:p>
    <w:p w:rsidR="00E20893" w:rsidRPr="0048108C" w:rsidP="00E20893">
      <w:pPr>
        <w:autoSpaceDE w:val="0"/>
        <w:autoSpaceDN w:val="0"/>
        <w:adjustRightInd w:val="0"/>
        <w:ind w:left="4320"/>
        <w:rPr>
          <w:szCs w:val="24"/>
        </w:rPr>
      </w:pPr>
      <w:r w:rsidRPr="0048108C">
        <w:rPr>
          <w:szCs w:val="24"/>
        </w:rPr>
        <w:t>Telephone [Moore]: (614) 387-2965</w:t>
      </w:r>
    </w:p>
    <w:p w:rsidR="00E20893" w:rsidRPr="0048108C" w:rsidP="00E20893">
      <w:pPr>
        <w:autoSpaceDE w:val="0"/>
        <w:autoSpaceDN w:val="0"/>
        <w:adjustRightInd w:val="0"/>
        <w:ind w:left="4320"/>
        <w:rPr>
          <w:szCs w:val="24"/>
        </w:rPr>
      </w:pPr>
      <w:r w:rsidRPr="0048108C">
        <w:rPr>
          <w:szCs w:val="24"/>
        </w:rPr>
        <w:t>Telephone [Kumar]: (614) 466-1292</w:t>
      </w:r>
    </w:p>
    <w:p w:rsidR="00E20893" w:rsidRPr="0048108C" w:rsidP="00E20893">
      <w:pPr>
        <w:autoSpaceDE w:val="0"/>
        <w:autoSpaceDN w:val="0"/>
        <w:adjustRightInd w:val="0"/>
        <w:ind w:left="4320"/>
        <w:rPr>
          <w:szCs w:val="24"/>
        </w:rPr>
      </w:pPr>
      <w:r>
        <w:fldChar w:fldCharType="begin"/>
      </w:r>
      <w:r>
        <w:instrText xml:space="preserve"> HYPERLINK "mailto:Larry.sauer@occ.ohio.gov" </w:instrText>
      </w:r>
      <w:r>
        <w:fldChar w:fldCharType="separate"/>
      </w:r>
      <w:r w:rsidRPr="0048108C">
        <w:rPr>
          <w:rStyle w:val="Hyperlink"/>
          <w:szCs w:val="24"/>
        </w:rPr>
        <w:t>Larry.sauer@occ.ohio.gov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"mailto:Maureen.willis@occ.ohio.gov" </w:instrText>
      </w:r>
      <w:r>
        <w:fldChar w:fldCharType="separate"/>
      </w:r>
      <w:r w:rsidRPr="0048108C">
        <w:rPr>
          <w:rStyle w:val="Hyperlink"/>
          <w:szCs w:val="24"/>
        </w:rPr>
        <w:t>Maureen.willis@occ.ohio.gov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"mailto:William.michael@occ.ohio.gov" </w:instrText>
      </w:r>
      <w:r>
        <w:fldChar w:fldCharType="separate"/>
      </w:r>
      <w:r w:rsidRPr="0048108C">
        <w:rPr>
          <w:rStyle w:val="Hyperlink"/>
          <w:szCs w:val="24"/>
        </w:rPr>
        <w:t>William.michael@occ.ohio.gov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"mailto:Kevin.moore@occ.ohio.gov" </w:instrText>
      </w:r>
      <w:r>
        <w:fldChar w:fldCharType="separate"/>
      </w:r>
      <w:r w:rsidRPr="0048108C">
        <w:rPr>
          <w:rStyle w:val="Hyperlink"/>
          <w:szCs w:val="24"/>
        </w:rPr>
        <w:t>Kevin.moore@occ.ohio.gov</w:t>
      </w:r>
      <w:r>
        <w:fldChar w:fldCharType="end"/>
      </w:r>
    </w:p>
    <w:p w:rsidR="006D25DD" w:rsidP="0038028D">
      <w:pPr>
        <w:autoSpaceDE w:val="0"/>
        <w:autoSpaceDN w:val="0"/>
        <w:adjustRightInd w:val="0"/>
        <w:rPr>
          <w:rStyle w:val="Hyperlink"/>
          <w:szCs w:val="24"/>
        </w:rPr>
        <w:sectPr w:rsidSect="00C95B5D">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titlePg/>
          <w:docGrid w:linePitch="326"/>
        </w:sectPr>
      </w:pPr>
      <w:r>
        <w:t>January 6, 2017</w:t>
      </w:r>
      <w:r>
        <w:tab/>
      </w:r>
      <w:r>
        <w:tab/>
      </w:r>
      <w:r>
        <w:tab/>
      </w:r>
      <w:r>
        <w:tab/>
      </w:r>
      <w:r>
        <w:fldChar w:fldCharType="begin"/>
      </w:r>
      <w:r>
        <w:instrText xml:space="preserve"> HYPERLINK "mailto:Ajay.kumar@occ.ohio.gov" </w:instrText>
      </w:r>
      <w:r>
        <w:fldChar w:fldCharType="separate"/>
      </w:r>
      <w:r w:rsidRPr="00AC1B47">
        <w:rPr>
          <w:rStyle w:val="Hyperlink"/>
          <w:szCs w:val="24"/>
        </w:rPr>
        <w:t>Ajay.kumar@occ.ohio.gov</w:t>
      </w:r>
      <w:r>
        <w:fldChar w:fldCharType="end"/>
      </w:r>
    </w:p>
    <w:p w:rsidR="00C83E09" w:rsidP="00C83E09">
      <w:pPr>
        <w:jc w:val="center"/>
        <w:rPr>
          <w:b/>
          <w:szCs w:val="24"/>
        </w:rPr>
      </w:pPr>
      <w:r>
        <w:rPr>
          <w:b/>
          <w:szCs w:val="24"/>
        </w:rPr>
        <w:t>BEFORE</w:t>
      </w:r>
    </w:p>
    <w:p w:rsidR="00C83E09" w:rsidP="00C83E09">
      <w:pPr>
        <w:jc w:val="center"/>
        <w:rPr>
          <w:b/>
          <w:bCs/>
          <w:szCs w:val="24"/>
        </w:rPr>
      </w:pPr>
      <w:r>
        <w:rPr>
          <w:b/>
          <w:bCs/>
          <w:szCs w:val="24"/>
        </w:rPr>
        <w:t>THE PUBLIC UTILITIES COMMISSION OF OHIO</w:t>
      </w:r>
    </w:p>
    <w:p w:rsidR="00C83E09" w:rsidRPr="00CC7702" w:rsidP="00C83E09">
      <w:pPr>
        <w:jc w:val="center"/>
        <w:rPr>
          <w:b/>
          <w:bCs/>
          <w:szCs w:val="24"/>
        </w:rPr>
      </w:pPr>
    </w:p>
    <w:tbl>
      <w:tblPr>
        <w:tblW w:w="8730" w:type="dxa"/>
        <w:tblInd w:w="18" w:type="dxa"/>
        <w:tblCellMar>
          <w:top w:w="0" w:type="dxa"/>
          <w:left w:w="108" w:type="dxa"/>
          <w:bottom w:w="0" w:type="dxa"/>
          <w:right w:w="108" w:type="dxa"/>
        </w:tblCellMar>
        <w:tblLook w:val="01E0"/>
      </w:tblPr>
      <w:tblGrid>
        <w:gridCol w:w="8396"/>
        <w:gridCol w:w="221"/>
        <w:gridCol w:w="221"/>
      </w:tblGrid>
      <w:tr w:rsidTr="00C83E09">
        <w:tblPrEx>
          <w:tblW w:w="8730" w:type="dxa"/>
          <w:tblInd w:w="18" w:type="dxa"/>
          <w:tblCellMar>
            <w:top w:w="0" w:type="dxa"/>
            <w:left w:w="108" w:type="dxa"/>
            <w:bottom w:w="0" w:type="dxa"/>
            <w:right w:w="108" w:type="dxa"/>
          </w:tblCellMar>
          <w:tblLook w:val="01E0"/>
        </w:tblPrEx>
        <w:tc>
          <w:tcPr>
            <w:tcW w:w="4680" w:type="dxa"/>
          </w:tcPr>
          <w:tbl>
            <w:tblPr>
              <w:tblW w:w="9092" w:type="dxa"/>
              <w:tblInd w:w="0" w:type="dxa"/>
              <w:tblCellMar>
                <w:top w:w="0" w:type="dxa"/>
                <w:left w:w="108" w:type="dxa"/>
                <w:bottom w:w="0" w:type="dxa"/>
                <w:right w:w="108" w:type="dxa"/>
              </w:tblCellMar>
              <w:tblLook w:val="01E0"/>
            </w:tblPr>
            <w:tblGrid>
              <w:gridCol w:w="4332"/>
              <w:gridCol w:w="360"/>
              <w:gridCol w:w="4400"/>
            </w:tblGrid>
            <w:tr w:rsidTr="00C83E09">
              <w:tblPrEx>
                <w:tblW w:w="9092" w:type="dxa"/>
                <w:tblInd w:w="0" w:type="dxa"/>
                <w:tblCellMar>
                  <w:top w:w="0" w:type="dxa"/>
                  <w:left w:w="108" w:type="dxa"/>
                  <w:bottom w:w="0" w:type="dxa"/>
                  <w:right w:w="108" w:type="dxa"/>
                </w:tblCellMar>
                <w:tblLook w:val="01E0"/>
              </w:tblPrEx>
              <w:trPr>
                <w:trHeight w:val="1962"/>
              </w:trPr>
              <w:tc>
                <w:tcPr>
                  <w:tcW w:w="4332" w:type="dxa"/>
                  <w:shd w:val="clear" w:color="auto" w:fill="auto"/>
                </w:tcPr>
                <w:p w:rsidR="00E20893" w:rsidRPr="006E31D9" w:rsidP="00C83E09">
                  <w:pPr>
                    <w:widowControl w:val="0"/>
                    <w:autoSpaceDE w:val="0"/>
                    <w:autoSpaceDN w:val="0"/>
                    <w:adjustRightInd w:val="0"/>
                    <w:rPr>
                      <w:rStyle w:val="DefaultParagraphFont"/>
                      <w:rFonts w:eastAsia="Courier New"/>
                      <w:sz w:val="24"/>
                      <w:szCs w:val="24"/>
                      <w:lang w:val="en-US" w:eastAsia="en-US" w:bidi="ar-SA"/>
                    </w:rPr>
                  </w:pPr>
                  <w:r w:rsidRPr="006E31D9">
                    <w:rPr>
                      <w:rFonts w:eastAsia="Calibri"/>
                      <w:sz w:val="24"/>
                      <w:szCs w:val="24"/>
                      <w:lang w:val="en-US" w:eastAsia="en-US" w:bidi="ar-SA"/>
                    </w:rPr>
                    <w:t>In the Matter of the Application of Ohio Edison Company, The Cleveland Electric Illuminating Company and The Toledo Edison Company for Authority to Provide for a Standard Service Offer Pursuant R.C. 4928.143 in the Form of an Electric Security Plan.</w:t>
                  </w:r>
                  <w:r w:rsidRPr="006E31D9">
                    <w:rPr>
                      <w:rFonts w:eastAsia="Courier New"/>
                      <w:sz w:val="24"/>
                      <w:szCs w:val="24"/>
                      <w:lang w:val="en-US" w:eastAsia="en-US" w:bidi="ar-SA"/>
                    </w:rPr>
                    <w:t xml:space="preserve"> </w:t>
                  </w:r>
                </w:p>
              </w:tc>
              <w:tc>
                <w:tcPr>
                  <w:tcW w:w="360" w:type="dxa"/>
                  <w:shd w:val="clear" w:color="auto" w:fill="auto"/>
                </w:tcPr>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tc>
              <w:tc>
                <w:tcPr>
                  <w:tcW w:w="4400" w:type="dxa"/>
                  <w:shd w:val="clear" w:color="auto" w:fill="auto"/>
                </w:tcPr>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Case No. 14-1297-EL-SSO</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tc>
            </w:tr>
          </w:tbl>
          <w:p w:rsidR="00C83E09" w:rsidRPr="001A22D5" w:rsidP="00C83E09">
            <w:pPr>
              <w:rPr>
                <w:rStyle w:val="DefaultParagraphFont"/>
                <w:sz w:val="24"/>
                <w:szCs w:val="24"/>
                <w:lang w:val="en-US" w:eastAsia="en-US" w:bidi="ar-SA"/>
              </w:rPr>
            </w:pPr>
          </w:p>
        </w:tc>
        <w:tc>
          <w:tcPr>
            <w:tcW w:w="360" w:type="dxa"/>
          </w:tcPr>
          <w:p w:rsidR="00C83E09" w:rsidRPr="001A22D5" w:rsidP="00C83E09">
            <w:pPr>
              <w:rPr>
                <w:rStyle w:val="DefaultParagraphFont"/>
                <w:sz w:val="24"/>
                <w:szCs w:val="24"/>
                <w:lang w:val="en-US" w:eastAsia="en-US" w:bidi="ar-SA"/>
              </w:rPr>
            </w:pPr>
          </w:p>
        </w:tc>
        <w:tc>
          <w:tcPr>
            <w:tcW w:w="3690" w:type="dxa"/>
          </w:tcPr>
          <w:p w:rsidR="00C83E09" w:rsidRPr="001A22D5" w:rsidP="00C83E09">
            <w:pPr>
              <w:rPr>
                <w:rStyle w:val="DefaultParagraphFont"/>
                <w:sz w:val="24"/>
                <w:szCs w:val="24"/>
                <w:lang w:val="en-US" w:eastAsia="en-US" w:bidi="ar-SA"/>
              </w:rPr>
            </w:pPr>
          </w:p>
        </w:tc>
      </w:tr>
    </w:tbl>
    <w:p w:rsidR="00C83E09" w:rsidP="00C83E09">
      <w:pPr>
        <w:pStyle w:val="HTMLPreformatted"/>
        <w:pBdr>
          <w:bottom w:val="single" w:sz="12" w:space="1" w:color="auto"/>
        </w:pBdr>
        <w:rPr>
          <w:rFonts w:ascii="Times New Roman" w:hAnsi="Times New Roman" w:cs="Times New Roman"/>
          <w:sz w:val="24"/>
          <w:szCs w:val="24"/>
        </w:rPr>
      </w:pPr>
    </w:p>
    <w:p w:rsidR="00C83E09" w:rsidP="00C83E09">
      <w:pPr>
        <w:jc w:val="center"/>
        <w:rPr>
          <w:b/>
          <w:szCs w:val="24"/>
        </w:rPr>
      </w:pPr>
    </w:p>
    <w:p w:rsidR="00C83E09" w:rsidP="00C83E09">
      <w:pPr>
        <w:jc w:val="center"/>
        <w:rPr>
          <w:b/>
          <w:szCs w:val="24"/>
        </w:rPr>
      </w:pPr>
      <w:r>
        <w:rPr>
          <w:b/>
          <w:szCs w:val="24"/>
        </w:rPr>
        <w:t xml:space="preserve">APPLICATION FOR REHEARING </w:t>
      </w:r>
    </w:p>
    <w:p w:rsidR="00C83E09" w:rsidP="00C83E09">
      <w:pPr>
        <w:pBdr>
          <w:bottom w:val="single" w:sz="12" w:space="1" w:color="auto"/>
        </w:pBdr>
        <w:rPr>
          <w:b/>
          <w:szCs w:val="24"/>
        </w:rPr>
      </w:pPr>
    </w:p>
    <w:p w:rsidR="00C83E09" w:rsidP="00C83E09">
      <w:pPr>
        <w:tabs>
          <w:tab w:val="left" w:pos="-720"/>
        </w:tabs>
        <w:suppressAutoHyphens/>
        <w:rPr>
          <w:szCs w:val="24"/>
        </w:rPr>
      </w:pPr>
      <w:r>
        <w:rPr>
          <w:szCs w:val="24"/>
        </w:rPr>
        <w:tab/>
      </w:r>
      <w:r>
        <w:rPr>
          <w:szCs w:val="24"/>
        </w:rPr>
        <w:tab/>
      </w:r>
    </w:p>
    <w:p w:rsidR="00C83E09" w:rsidRPr="00852CBB" w:rsidP="007469C8">
      <w:pPr>
        <w:widowControl w:val="0"/>
        <w:spacing w:before="69" w:line="472" w:lineRule="auto"/>
        <w:ind w:firstLine="720"/>
        <w:rPr>
          <w:szCs w:val="24"/>
        </w:rPr>
      </w:pPr>
      <w:r w:rsidRPr="00852CBB">
        <w:rPr>
          <w:szCs w:val="24"/>
        </w:rPr>
        <w:t>The</w:t>
      </w:r>
      <w:r w:rsidRPr="00852CBB">
        <w:rPr>
          <w:spacing w:val="-8"/>
          <w:szCs w:val="24"/>
        </w:rPr>
        <w:t xml:space="preserve"> </w:t>
      </w:r>
      <w:r w:rsidRPr="00852CBB">
        <w:rPr>
          <w:spacing w:val="-1"/>
          <w:szCs w:val="24"/>
        </w:rPr>
        <w:t>Office</w:t>
      </w:r>
      <w:r w:rsidRPr="00852CBB">
        <w:rPr>
          <w:spacing w:val="-7"/>
          <w:szCs w:val="24"/>
        </w:rPr>
        <w:t xml:space="preserve"> </w:t>
      </w:r>
      <w:r w:rsidRPr="00852CBB">
        <w:rPr>
          <w:szCs w:val="24"/>
        </w:rPr>
        <w:t>of</w:t>
      </w:r>
      <w:r w:rsidRPr="00852CBB">
        <w:rPr>
          <w:spacing w:val="-7"/>
          <w:szCs w:val="24"/>
        </w:rPr>
        <w:t xml:space="preserve"> </w:t>
      </w:r>
      <w:r w:rsidRPr="00852CBB">
        <w:rPr>
          <w:szCs w:val="24"/>
        </w:rPr>
        <w:t>the</w:t>
      </w:r>
      <w:r w:rsidRPr="00852CBB">
        <w:rPr>
          <w:spacing w:val="-5"/>
          <w:szCs w:val="24"/>
        </w:rPr>
        <w:t xml:space="preserve"> </w:t>
      </w:r>
      <w:r w:rsidRPr="00852CBB">
        <w:rPr>
          <w:spacing w:val="-1"/>
          <w:szCs w:val="24"/>
        </w:rPr>
        <w:t>Ohio</w:t>
      </w:r>
      <w:r w:rsidRPr="00852CBB">
        <w:rPr>
          <w:spacing w:val="-7"/>
          <w:szCs w:val="24"/>
        </w:rPr>
        <w:t xml:space="preserve"> </w:t>
      </w:r>
      <w:r w:rsidRPr="00852CBB">
        <w:rPr>
          <w:spacing w:val="-1"/>
          <w:szCs w:val="24"/>
        </w:rPr>
        <w:t>Consumers’</w:t>
      </w:r>
      <w:r w:rsidRPr="00852CBB">
        <w:rPr>
          <w:spacing w:val="-7"/>
          <w:szCs w:val="24"/>
        </w:rPr>
        <w:t xml:space="preserve"> </w:t>
      </w:r>
      <w:r w:rsidRPr="00852CBB">
        <w:rPr>
          <w:szCs w:val="24"/>
        </w:rPr>
        <w:t>Counsel</w:t>
      </w:r>
      <w:r w:rsidRPr="00852CBB">
        <w:rPr>
          <w:spacing w:val="-6"/>
          <w:szCs w:val="24"/>
        </w:rPr>
        <w:t xml:space="preserve"> </w:t>
      </w:r>
      <w:r w:rsidRPr="00852CBB">
        <w:rPr>
          <w:szCs w:val="24"/>
        </w:rPr>
        <w:t>(“OCC”)</w:t>
      </w:r>
      <w:r w:rsidRPr="00852CBB">
        <w:rPr>
          <w:spacing w:val="-7"/>
          <w:szCs w:val="24"/>
        </w:rPr>
        <w:t xml:space="preserve"> </w:t>
      </w:r>
      <w:r w:rsidRPr="00852CBB">
        <w:rPr>
          <w:spacing w:val="-1"/>
          <w:szCs w:val="24"/>
        </w:rPr>
        <w:t>file</w:t>
      </w:r>
      <w:r w:rsidRPr="00852CBB">
        <w:rPr>
          <w:spacing w:val="-1"/>
          <w:szCs w:val="24"/>
        </w:rPr>
        <w:t>s</w:t>
      </w:r>
      <w:r w:rsidRPr="00852CBB">
        <w:rPr>
          <w:spacing w:val="-7"/>
          <w:szCs w:val="24"/>
        </w:rPr>
        <w:t xml:space="preserve"> </w:t>
      </w:r>
      <w:r w:rsidRPr="00852CBB">
        <w:rPr>
          <w:szCs w:val="24"/>
        </w:rPr>
        <w:t>this</w:t>
      </w:r>
      <w:r w:rsidRPr="00852CBB">
        <w:rPr>
          <w:spacing w:val="-6"/>
          <w:szCs w:val="24"/>
        </w:rPr>
        <w:t xml:space="preserve"> </w:t>
      </w:r>
      <w:r w:rsidRPr="00852CBB">
        <w:rPr>
          <w:spacing w:val="-1"/>
          <w:szCs w:val="24"/>
        </w:rPr>
        <w:t>application</w:t>
      </w:r>
      <w:r w:rsidRPr="00852CBB">
        <w:rPr>
          <w:spacing w:val="-6"/>
          <w:szCs w:val="24"/>
        </w:rPr>
        <w:t xml:space="preserve"> </w:t>
      </w:r>
      <w:r w:rsidRPr="00852CBB">
        <w:rPr>
          <w:spacing w:val="-1"/>
          <w:szCs w:val="24"/>
        </w:rPr>
        <w:t>for</w:t>
      </w:r>
      <w:r w:rsidRPr="00852CBB">
        <w:rPr>
          <w:spacing w:val="59"/>
          <w:w w:val="99"/>
          <w:szCs w:val="24"/>
        </w:rPr>
        <w:t xml:space="preserve"> </w:t>
      </w:r>
      <w:r w:rsidRPr="00852CBB">
        <w:rPr>
          <w:spacing w:val="-1"/>
          <w:szCs w:val="24"/>
        </w:rPr>
        <w:t>rehearing</w:t>
      </w:r>
      <w:r>
        <w:rPr>
          <w:rStyle w:val="FootnoteReference"/>
          <w:spacing w:val="-1"/>
          <w:szCs w:val="24"/>
        </w:rPr>
        <w:footnoteReference w:id="2"/>
      </w:r>
      <w:r w:rsidRPr="000A00DD">
        <w:rPr>
          <w:spacing w:val="14"/>
          <w:position w:val="11"/>
          <w:szCs w:val="24"/>
        </w:rPr>
        <w:t xml:space="preserve"> </w:t>
      </w:r>
      <w:r w:rsidRPr="000A00DD">
        <w:rPr>
          <w:szCs w:val="24"/>
        </w:rPr>
        <w:t>to</w:t>
      </w:r>
      <w:r w:rsidRPr="00852CBB">
        <w:rPr>
          <w:spacing w:val="-6"/>
          <w:szCs w:val="24"/>
        </w:rPr>
        <w:t xml:space="preserve"> </w:t>
      </w:r>
      <w:r w:rsidRPr="00852CBB">
        <w:rPr>
          <w:spacing w:val="-1"/>
          <w:szCs w:val="24"/>
        </w:rPr>
        <w:t>protect</w:t>
      </w:r>
      <w:r w:rsidRPr="00852CBB">
        <w:rPr>
          <w:spacing w:val="-7"/>
          <w:szCs w:val="24"/>
        </w:rPr>
        <w:t xml:space="preserve"> </w:t>
      </w:r>
      <w:r w:rsidRPr="00852CBB">
        <w:rPr>
          <w:szCs w:val="24"/>
        </w:rPr>
        <w:t>1.9</w:t>
      </w:r>
      <w:r w:rsidRPr="00852CBB">
        <w:rPr>
          <w:spacing w:val="-6"/>
          <w:szCs w:val="24"/>
        </w:rPr>
        <w:t xml:space="preserve"> </w:t>
      </w:r>
      <w:r w:rsidRPr="00852CBB">
        <w:rPr>
          <w:szCs w:val="24"/>
        </w:rPr>
        <w:t>million</w:t>
      </w:r>
      <w:r w:rsidRPr="00852CBB">
        <w:rPr>
          <w:spacing w:val="-7"/>
          <w:szCs w:val="24"/>
        </w:rPr>
        <w:t xml:space="preserve"> </w:t>
      </w:r>
      <w:r w:rsidRPr="00852CBB">
        <w:rPr>
          <w:spacing w:val="-1"/>
          <w:szCs w:val="24"/>
        </w:rPr>
        <w:t>consumers</w:t>
      </w:r>
      <w:r w:rsidRPr="00852CBB">
        <w:rPr>
          <w:spacing w:val="-6"/>
          <w:szCs w:val="24"/>
        </w:rPr>
        <w:t xml:space="preserve"> </w:t>
      </w:r>
      <w:r w:rsidR="003B1DA4">
        <w:rPr>
          <w:spacing w:val="-7"/>
          <w:szCs w:val="24"/>
        </w:rPr>
        <w:t xml:space="preserve">from being charged </w:t>
      </w:r>
      <w:r w:rsidRPr="00852CBB">
        <w:rPr>
          <w:spacing w:val="-9"/>
          <w:szCs w:val="24"/>
        </w:rPr>
        <w:t xml:space="preserve"> hundreds of millions of dollars to support </w:t>
      </w:r>
      <w:r w:rsidR="008E7ECF">
        <w:rPr>
          <w:spacing w:val="-9"/>
          <w:szCs w:val="24"/>
        </w:rPr>
        <w:t>FirstEnergy’s</w:t>
      </w:r>
      <w:r w:rsidRPr="00852CBB" w:rsidR="008E7ECF">
        <w:rPr>
          <w:spacing w:val="-9"/>
          <w:szCs w:val="24"/>
        </w:rPr>
        <w:t xml:space="preserve"> </w:t>
      </w:r>
      <w:r w:rsidRPr="00852CBB">
        <w:rPr>
          <w:spacing w:val="-9"/>
          <w:szCs w:val="24"/>
        </w:rPr>
        <w:t xml:space="preserve">financially challenged parent, FirstEnergy Corp., and/or its unregulated generation affiliate, FirstEnergy Solutions. </w:t>
      </w:r>
      <w:r w:rsidRPr="00852CBB">
        <w:rPr>
          <w:spacing w:val="-7"/>
          <w:szCs w:val="24"/>
        </w:rPr>
        <w:t>This</w:t>
      </w:r>
      <w:r w:rsidR="007469C8">
        <w:rPr>
          <w:spacing w:val="-7"/>
          <w:szCs w:val="24"/>
        </w:rPr>
        <w:t xml:space="preserve"> Public Utilities Commission of Ohio (“</w:t>
      </w:r>
      <w:r w:rsidRPr="00852CBB">
        <w:rPr>
          <w:spacing w:val="-7"/>
          <w:szCs w:val="24"/>
        </w:rPr>
        <w:t xml:space="preserve"> </w:t>
      </w:r>
      <w:r w:rsidR="003B1DA4">
        <w:rPr>
          <w:spacing w:val="-7"/>
          <w:szCs w:val="24"/>
        </w:rPr>
        <w:t>PUCO</w:t>
      </w:r>
      <w:r w:rsidR="007469C8">
        <w:rPr>
          <w:spacing w:val="-7"/>
          <w:szCs w:val="24"/>
        </w:rPr>
        <w:t>”)</w:t>
      </w:r>
      <w:r w:rsidR="003B1DA4">
        <w:rPr>
          <w:spacing w:val="-7"/>
          <w:szCs w:val="24"/>
        </w:rPr>
        <w:t xml:space="preserve">-approved customer-funded </w:t>
      </w:r>
      <w:r w:rsidRPr="00852CBB">
        <w:rPr>
          <w:spacing w:val="-7"/>
          <w:szCs w:val="24"/>
        </w:rPr>
        <w:t>s</w:t>
      </w:r>
      <w:r w:rsidR="003B1DA4">
        <w:rPr>
          <w:spacing w:val="-7"/>
          <w:szCs w:val="24"/>
        </w:rPr>
        <w:t>upport, in the form of a "distribution modernization rider" (aka credit support rider)</w:t>
      </w:r>
      <w:r w:rsidR="001179FB">
        <w:rPr>
          <w:spacing w:val="-7"/>
          <w:szCs w:val="24"/>
        </w:rPr>
        <w:t xml:space="preserve">, </w:t>
      </w:r>
      <w:r w:rsidR="003B1DA4">
        <w:rPr>
          <w:spacing w:val="-7"/>
          <w:szCs w:val="24"/>
        </w:rPr>
        <w:t xml:space="preserve"> provides credit </w:t>
      </w:r>
      <w:r w:rsidRPr="00852CBB">
        <w:rPr>
          <w:spacing w:val="-7"/>
          <w:szCs w:val="24"/>
        </w:rPr>
        <w:t>support</w:t>
      </w:r>
      <w:r w:rsidR="000A00DD">
        <w:rPr>
          <w:spacing w:val="-7"/>
          <w:szCs w:val="24"/>
        </w:rPr>
        <w:t xml:space="preserve"> </w:t>
      </w:r>
      <w:r w:rsidR="003B1DA4">
        <w:rPr>
          <w:spacing w:val="-7"/>
          <w:szCs w:val="24"/>
        </w:rPr>
        <w:t xml:space="preserve">that is akin </w:t>
      </w:r>
      <w:r w:rsidRPr="00852CBB">
        <w:rPr>
          <w:spacing w:val="-1"/>
          <w:szCs w:val="24"/>
        </w:rPr>
        <w:t xml:space="preserve">to the </w:t>
      </w:r>
      <w:r w:rsidR="003B1DA4">
        <w:rPr>
          <w:spacing w:val="-1"/>
          <w:szCs w:val="24"/>
        </w:rPr>
        <w:t xml:space="preserve">bail-out </w:t>
      </w:r>
      <w:r w:rsidRPr="00852CBB">
        <w:rPr>
          <w:spacing w:val="-1"/>
          <w:szCs w:val="24"/>
        </w:rPr>
        <w:t>proposal that was halted in April by</w:t>
      </w:r>
      <w:r w:rsidR="008E7ECF">
        <w:rPr>
          <w:spacing w:val="-1"/>
          <w:szCs w:val="24"/>
        </w:rPr>
        <w:t xml:space="preserve"> the</w:t>
      </w:r>
      <w:r w:rsidRPr="00852CBB">
        <w:rPr>
          <w:spacing w:val="-1"/>
          <w:szCs w:val="24"/>
        </w:rPr>
        <w:t xml:space="preserve"> Federal Energy Regulatory Commission (“FERC”).</w:t>
      </w:r>
      <w:r w:rsidRPr="00852CBB">
        <w:rPr>
          <w:spacing w:val="-7"/>
          <w:szCs w:val="24"/>
        </w:rPr>
        <w:t xml:space="preserve"> </w:t>
      </w:r>
      <w:r w:rsidRPr="00852CBB">
        <w:rPr>
          <w:spacing w:val="-1"/>
          <w:szCs w:val="24"/>
        </w:rPr>
        <w:t>Consumers</w:t>
      </w:r>
      <w:r w:rsidRPr="00852CBB">
        <w:rPr>
          <w:spacing w:val="-5"/>
          <w:szCs w:val="24"/>
        </w:rPr>
        <w:t xml:space="preserve"> will pay at least </w:t>
      </w:r>
      <w:r w:rsidRPr="00852CBB">
        <w:rPr>
          <w:szCs w:val="24"/>
        </w:rPr>
        <w:t>$612 million dollars (and perhaps up to more than $1 billion)</w:t>
      </w:r>
      <w:r>
        <w:rPr>
          <w:rStyle w:val="FootnoteReference"/>
          <w:szCs w:val="24"/>
        </w:rPr>
        <w:footnoteReference w:id="3"/>
      </w:r>
      <w:r w:rsidRPr="00852CBB">
        <w:rPr>
          <w:szCs w:val="24"/>
        </w:rPr>
        <w:t xml:space="preserve"> but not for the electricity that they use.  </w:t>
      </w:r>
    </w:p>
    <w:p w:rsidR="006D25DD" w:rsidP="006D25DD">
      <w:pPr>
        <w:widowControl w:val="0"/>
        <w:spacing w:line="473" w:lineRule="auto"/>
        <w:ind w:firstLine="720"/>
        <w:rPr>
          <w:spacing w:val="-5"/>
          <w:szCs w:val="24"/>
        </w:rPr>
        <w:sectPr w:rsidSect="00C95B5D">
          <w:headerReference w:type="default" r:id="rId11"/>
          <w:pgSz w:w="12240" w:h="15840"/>
          <w:pgMar w:top="1440" w:right="1800" w:bottom="1440" w:left="1800" w:header="720" w:footer="720" w:gutter="0"/>
          <w:pgNumType w:start="2"/>
          <w:cols w:space="720"/>
          <w:titlePg/>
          <w:docGrid w:linePitch="326"/>
        </w:sectPr>
      </w:pPr>
      <w:r w:rsidRPr="0038028D">
        <w:t>The Credit Support Rider</w:t>
      </w:r>
      <w:r>
        <w:rPr>
          <w:spacing w:val="49"/>
          <w:szCs w:val="24"/>
        </w:rPr>
        <w:t xml:space="preserve"> </w:t>
      </w:r>
      <w:r w:rsidRPr="00852CBB" w:rsidR="00E20893">
        <w:rPr>
          <w:spacing w:val="-1"/>
          <w:szCs w:val="24"/>
        </w:rPr>
        <w:t>was</w:t>
      </w:r>
      <w:r w:rsidRPr="00852CBB" w:rsidR="00E20893">
        <w:rPr>
          <w:spacing w:val="-7"/>
          <w:szCs w:val="24"/>
        </w:rPr>
        <w:t xml:space="preserve"> </w:t>
      </w:r>
      <w:r w:rsidRPr="00852CBB" w:rsidR="00E20893">
        <w:rPr>
          <w:spacing w:val="-1"/>
          <w:szCs w:val="24"/>
        </w:rPr>
        <w:t>approved</w:t>
      </w:r>
      <w:r w:rsidRPr="00852CBB" w:rsidR="00E20893">
        <w:rPr>
          <w:spacing w:val="-6"/>
          <w:szCs w:val="24"/>
        </w:rPr>
        <w:t xml:space="preserve"> </w:t>
      </w:r>
      <w:r w:rsidRPr="00852CBB" w:rsidR="00E20893">
        <w:rPr>
          <w:spacing w:val="2"/>
          <w:szCs w:val="24"/>
        </w:rPr>
        <w:t>by</w:t>
      </w:r>
      <w:r w:rsidRPr="00852CBB" w:rsidR="00E20893">
        <w:rPr>
          <w:spacing w:val="-11"/>
          <w:szCs w:val="24"/>
        </w:rPr>
        <w:t xml:space="preserve"> </w:t>
      </w:r>
      <w:r w:rsidRPr="00852CBB" w:rsidR="00E20893">
        <w:rPr>
          <w:szCs w:val="24"/>
        </w:rPr>
        <w:t>the</w:t>
      </w:r>
      <w:r w:rsidRPr="00852CBB" w:rsidR="00E20893">
        <w:rPr>
          <w:spacing w:val="-6"/>
          <w:szCs w:val="24"/>
        </w:rPr>
        <w:t xml:space="preserve"> </w:t>
      </w:r>
      <w:r w:rsidRPr="00852CBB" w:rsidR="00E20893">
        <w:rPr>
          <w:spacing w:val="-1"/>
          <w:szCs w:val="24"/>
        </w:rPr>
        <w:t>PUCO</w:t>
      </w:r>
      <w:r w:rsidRPr="00852CBB" w:rsidR="00E20893">
        <w:rPr>
          <w:spacing w:val="-7"/>
          <w:szCs w:val="24"/>
        </w:rPr>
        <w:t xml:space="preserve"> </w:t>
      </w:r>
      <w:r w:rsidRPr="00852CBB" w:rsidR="00E20893">
        <w:rPr>
          <w:szCs w:val="24"/>
        </w:rPr>
        <w:t>in</w:t>
      </w:r>
      <w:r w:rsidRPr="00852CBB" w:rsidR="00E20893">
        <w:rPr>
          <w:spacing w:val="-5"/>
          <w:szCs w:val="24"/>
        </w:rPr>
        <w:t xml:space="preserve"> </w:t>
      </w:r>
      <w:r w:rsidRPr="00852CBB" w:rsidR="00E20893">
        <w:rPr>
          <w:szCs w:val="24"/>
        </w:rPr>
        <w:t>its</w:t>
      </w:r>
      <w:r w:rsidRPr="00852CBB" w:rsidR="00E20893">
        <w:rPr>
          <w:spacing w:val="-6"/>
          <w:szCs w:val="24"/>
        </w:rPr>
        <w:t xml:space="preserve"> Fifth Entry on Rehearing, issued  October 12, 2016.  </w:t>
      </w:r>
      <w:r>
        <w:rPr>
          <w:spacing w:val="-6"/>
          <w:szCs w:val="24"/>
        </w:rPr>
        <w:t>There</w:t>
      </w:r>
      <w:r>
        <w:rPr>
          <w:spacing w:val="-1"/>
          <w:szCs w:val="24"/>
        </w:rPr>
        <w:t>,</w:t>
      </w:r>
      <w:r w:rsidRPr="00852CBB" w:rsidR="00E20893">
        <w:rPr>
          <w:spacing w:val="-3"/>
          <w:szCs w:val="24"/>
        </w:rPr>
        <w:t xml:space="preserve"> </w:t>
      </w:r>
      <w:r w:rsidRPr="00852CBB" w:rsidR="00E20893">
        <w:rPr>
          <w:szCs w:val="24"/>
        </w:rPr>
        <w:t>the</w:t>
      </w:r>
      <w:r w:rsidRPr="00852CBB" w:rsidR="00E20893">
        <w:rPr>
          <w:spacing w:val="-6"/>
          <w:szCs w:val="24"/>
        </w:rPr>
        <w:t xml:space="preserve"> </w:t>
      </w:r>
      <w:r w:rsidRPr="00852CBB" w:rsidR="00E20893">
        <w:rPr>
          <w:szCs w:val="24"/>
        </w:rPr>
        <w:t>PUCO</w:t>
      </w:r>
      <w:r w:rsidRPr="00852CBB" w:rsidR="00E20893">
        <w:rPr>
          <w:spacing w:val="-6"/>
          <w:szCs w:val="24"/>
        </w:rPr>
        <w:t xml:space="preserve"> </w:t>
      </w:r>
      <w:r w:rsidRPr="00852CBB" w:rsidR="00E20893">
        <w:rPr>
          <w:spacing w:val="-1"/>
          <w:szCs w:val="24"/>
        </w:rPr>
        <w:t>approved,</w:t>
      </w:r>
      <w:r w:rsidRPr="00852CBB" w:rsidR="00E20893">
        <w:rPr>
          <w:spacing w:val="-5"/>
          <w:szCs w:val="24"/>
        </w:rPr>
        <w:t xml:space="preserve"> </w:t>
      </w:r>
      <w:r w:rsidRPr="00852CBB" w:rsidR="00E20893">
        <w:rPr>
          <w:szCs w:val="24"/>
        </w:rPr>
        <w:t>with</w:t>
      </w:r>
      <w:r w:rsidRPr="00852CBB" w:rsidR="00E20893">
        <w:rPr>
          <w:spacing w:val="-5"/>
          <w:szCs w:val="24"/>
        </w:rPr>
        <w:t xml:space="preserve"> </w:t>
      </w:r>
      <w:r w:rsidRPr="00852CBB" w:rsidR="00E20893">
        <w:rPr>
          <w:spacing w:val="-1"/>
          <w:szCs w:val="24"/>
        </w:rPr>
        <w:t>modifications,</w:t>
      </w:r>
      <w:r w:rsidRPr="00852CBB" w:rsidR="00E20893">
        <w:rPr>
          <w:spacing w:val="-5"/>
          <w:szCs w:val="24"/>
        </w:rPr>
        <w:t xml:space="preserve"> </w:t>
      </w:r>
      <w:r w:rsidRPr="00852CBB" w:rsidR="00E20893">
        <w:rPr>
          <w:szCs w:val="24"/>
        </w:rPr>
        <w:t>the</w:t>
      </w:r>
      <w:r w:rsidRPr="00852CBB" w:rsidR="00E20893">
        <w:rPr>
          <w:spacing w:val="-6"/>
          <w:szCs w:val="24"/>
        </w:rPr>
        <w:t xml:space="preserve"> Third Supplemental Stipulation establishing an eight year </w:t>
      </w:r>
      <w:r w:rsidRPr="00852CBB" w:rsidR="00E20893">
        <w:rPr>
          <w:szCs w:val="24"/>
        </w:rPr>
        <w:t>electric security</w:t>
      </w:r>
      <w:r w:rsidRPr="00852CBB" w:rsidR="00E20893">
        <w:rPr>
          <w:spacing w:val="-10"/>
          <w:szCs w:val="24"/>
        </w:rPr>
        <w:t xml:space="preserve"> </w:t>
      </w:r>
      <w:r w:rsidRPr="00852CBB" w:rsidR="00E20893">
        <w:rPr>
          <w:spacing w:val="-1"/>
          <w:szCs w:val="24"/>
        </w:rPr>
        <w:t>plan</w:t>
      </w:r>
      <w:r w:rsidRPr="00852CBB" w:rsidR="00E20893">
        <w:rPr>
          <w:spacing w:val="-6"/>
          <w:szCs w:val="24"/>
        </w:rPr>
        <w:t xml:space="preserve"> </w:t>
      </w:r>
      <w:r w:rsidRPr="00852CBB" w:rsidR="00E20893">
        <w:rPr>
          <w:szCs w:val="24"/>
        </w:rPr>
        <w:t>(“ESP</w:t>
      </w:r>
      <w:r w:rsidR="008E7ECF">
        <w:rPr>
          <w:szCs w:val="24"/>
        </w:rPr>
        <w:t>”</w:t>
      </w:r>
      <w:r w:rsidRPr="00852CBB" w:rsidR="00E20893">
        <w:rPr>
          <w:szCs w:val="24"/>
        </w:rPr>
        <w:t>) for FirstEnergy.</w:t>
      </w:r>
      <w:r w:rsidRPr="00852CBB" w:rsidR="00E20893">
        <w:rPr>
          <w:spacing w:val="-5"/>
          <w:szCs w:val="24"/>
        </w:rPr>
        <w:t xml:space="preserve"> </w:t>
      </w:r>
      <w:r w:rsidRPr="00852CBB" w:rsidR="00E20893">
        <w:rPr>
          <w:szCs w:val="24"/>
        </w:rPr>
        <w:t>Under</w:t>
      </w:r>
      <w:r w:rsidRPr="00852CBB" w:rsidR="00E20893">
        <w:rPr>
          <w:spacing w:val="-7"/>
          <w:szCs w:val="24"/>
        </w:rPr>
        <w:t xml:space="preserve"> </w:t>
      </w:r>
      <w:r w:rsidRPr="00852CBB" w:rsidR="00E20893">
        <w:rPr>
          <w:szCs w:val="24"/>
        </w:rPr>
        <w:t>the</w:t>
      </w:r>
      <w:r w:rsidRPr="00852CBB" w:rsidR="00E20893">
        <w:rPr>
          <w:spacing w:val="-6"/>
          <w:szCs w:val="24"/>
        </w:rPr>
        <w:t xml:space="preserve"> PUCO</w:t>
      </w:r>
      <w:r>
        <w:rPr>
          <w:spacing w:val="-6"/>
          <w:szCs w:val="24"/>
        </w:rPr>
        <w:t>-</w:t>
      </w:r>
      <w:r w:rsidRPr="00852CBB" w:rsidR="00E20893">
        <w:rPr>
          <w:spacing w:val="-1"/>
          <w:szCs w:val="24"/>
        </w:rPr>
        <w:t>modified</w:t>
      </w:r>
      <w:r w:rsidRPr="00852CBB" w:rsidR="00E20893">
        <w:rPr>
          <w:spacing w:val="-5"/>
          <w:szCs w:val="24"/>
        </w:rPr>
        <w:t xml:space="preserve"> </w:t>
      </w:r>
      <w:r w:rsidRPr="00852CBB" w:rsidR="00E20893">
        <w:rPr>
          <w:szCs w:val="24"/>
        </w:rPr>
        <w:t>ESP</w:t>
      </w:r>
      <w:r w:rsidRPr="00852CBB" w:rsidR="00E20893">
        <w:rPr>
          <w:spacing w:val="-4"/>
          <w:szCs w:val="24"/>
        </w:rPr>
        <w:t xml:space="preserve"> IV</w:t>
      </w:r>
      <w:r w:rsidRPr="0048108C" w:rsidR="00E20893">
        <w:rPr>
          <w:spacing w:val="-4"/>
          <w:szCs w:val="24"/>
        </w:rPr>
        <w:t xml:space="preserve"> </w:t>
      </w:r>
      <w:r w:rsidRPr="0048108C" w:rsidR="00E20893">
        <w:rPr>
          <w:spacing w:val="-1"/>
          <w:szCs w:val="24"/>
        </w:rPr>
        <w:t>FirstEnergy</w:t>
      </w:r>
      <w:r w:rsidRPr="0048108C" w:rsidR="00E20893">
        <w:rPr>
          <w:spacing w:val="-9"/>
          <w:szCs w:val="24"/>
        </w:rPr>
        <w:t xml:space="preserve"> </w:t>
      </w:r>
      <w:r w:rsidRPr="0048108C" w:rsidR="00E20893">
        <w:rPr>
          <w:spacing w:val="-1"/>
          <w:szCs w:val="24"/>
        </w:rPr>
        <w:t>will</w:t>
      </w:r>
      <w:r w:rsidRPr="0048108C" w:rsidR="00E20893">
        <w:rPr>
          <w:spacing w:val="-5"/>
          <w:szCs w:val="24"/>
        </w:rPr>
        <w:t xml:space="preserve"> </w:t>
      </w:r>
      <w:r w:rsidRPr="0048108C" w:rsidR="00E20893">
        <w:rPr>
          <w:spacing w:val="-1"/>
          <w:szCs w:val="24"/>
        </w:rPr>
        <w:t>collect</w:t>
      </w:r>
      <w:r w:rsidRPr="0048108C" w:rsidR="00E20893">
        <w:rPr>
          <w:spacing w:val="-5"/>
          <w:szCs w:val="24"/>
        </w:rPr>
        <w:t xml:space="preserve"> $204 million per </w:t>
      </w:r>
    </w:p>
    <w:p w:rsidR="00E20893" w:rsidP="006D25DD">
      <w:pPr>
        <w:widowControl w:val="0"/>
        <w:spacing w:line="473" w:lineRule="auto"/>
      </w:pPr>
      <w:r w:rsidRPr="0048108C">
        <w:rPr>
          <w:spacing w:val="-5"/>
          <w:szCs w:val="24"/>
        </w:rPr>
        <w:t xml:space="preserve">year from customers for three years (plus potentially </w:t>
      </w:r>
      <w:r w:rsidR="000A00DD">
        <w:rPr>
          <w:spacing w:val="-5"/>
          <w:szCs w:val="24"/>
        </w:rPr>
        <w:t>two</w:t>
      </w:r>
      <w:r w:rsidRPr="0048108C">
        <w:rPr>
          <w:spacing w:val="-5"/>
          <w:szCs w:val="24"/>
        </w:rPr>
        <w:t xml:space="preserve"> more years) </w:t>
      </w:r>
      <w:r w:rsidRPr="0048108C">
        <w:rPr>
          <w:spacing w:val="-6"/>
          <w:szCs w:val="24"/>
        </w:rPr>
        <w:t xml:space="preserve">through the Credit Support Rider starting January 1, 2017.  </w:t>
      </w:r>
    </w:p>
    <w:p w:rsidR="00C83E09" w:rsidP="00C83E09">
      <w:pPr>
        <w:spacing w:line="480" w:lineRule="auto"/>
        <w:ind w:firstLine="720"/>
      </w:pPr>
      <w:r>
        <w:t>The OCC filed an application for rehearing from the PUCO's Fifth Entry on Rehearing on November 14, 2016.  On December 7, 2016, the PUCO issued a Sixth Entry on Rehearing.  In that Sixth Entry on Rehearing, the PUCO granted rehearing "for further consideration of the matters specified in the applications for rehearing."</w:t>
      </w:r>
      <w:r>
        <w:rPr>
          <w:rStyle w:val="FootnoteReference"/>
        </w:rPr>
        <w:footnoteReference w:id="4"/>
      </w:r>
      <w:r>
        <w:t xml:space="preserve"> The PUCO's Sixth Entry on Rehearing of December 7, 2016 was unreasonable or unlawful in the following respects:</w:t>
      </w:r>
    </w:p>
    <w:p w:rsidR="00C83E09" w:rsidP="00C83E09">
      <w:pPr>
        <w:spacing w:line="480" w:lineRule="auto"/>
        <w:ind w:firstLine="720"/>
      </w:pPr>
      <w:r>
        <w:t>Assignment of Error 1:  The PUCO erred by not granting and holding rehearing on the matters specified in OCC</w:t>
      </w:r>
      <w:r w:rsidR="006D25DD">
        <w:t>’</w:t>
      </w:r>
      <w:r>
        <w:t xml:space="preserve">s </w:t>
      </w:r>
      <w:r w:rsidR="003B1DA4">
        <w:t xml:space="preserve">November 14, 2016 </w:t>
      </w:r>
      <w:r>
        <w:t xml:space="preserve">application for rehearing.   </w:t>
      </w:r>
    </w:p>
    <w:p w:rsidR="00C83E09" w:rsidRPr="00F97A77" w:rsidP="00C83E09">
      <w:pPr>
        <w:spacing w:line="480" w:lineRule="auto"/>
      </w:pPr>
      <w:r>
        <w:tab/>
        <w:t xml:space="preserve">Assignment of Error 2:  The PUCO erred by granting rehearing to allow itself more time to issue a final appealable order. By doing so, the PUCO fails to fulfill its duty to hear matters pending before it without unreasonable delay and with due regard to the rights and interests of all litigants before it. The PUCO's Order permits it to evade a timely judicial review of its order and precludes parties from exercising their rights to appeal a PUCO order to the </w:t>
      </w:r>
      <w:r w:rsidR="008E7ECF">
        <w:t xml:space="preserve">Ohio Supreme </w:t>
      </w:r>
      <w:r>
        <w:t>Court -- a right that is established under R.C. 4903.10</w:t>
      </w:r>
      <w:r w:rsidR="008E7ECF">
        <w:t>, 4903.11</w:t>
      </w:r>
      <w:r>
        <w:t xml:space="preserve"> and 4903.13.  </w:t>
      </w:r>
    </w:p>
    <w:p w:rsidR="00C95B5D" w:rsidP="00C83E09">
      <w:pPr>
        <w:spacing w:line="480" w:lineRule="auto"/>
        <w:ind w:firstLine="720"/>
        <w:sectPr w:rsidSect="00C95B5D">
          <w:footerReference w:type="first" r:id="rId12"/>
          <w:pgSz w:w="12240" w:h="15840"/>
          <w:pgMar w:top="1440" w:right="1800" w:bottom="1440" w:left="1800" w:header="720" w:footer="720" w:gutter="0"/>
          <w:pgNumType w:start="2"/>
          <w:cols w:space="720"/>
          <w:titlePg/>
          <w:docGrid w:linePitch="326"/>
        </w:sectPr>
      </w:pPr>
      <w:r>
        <w:t>The reasons in support of this application for rehearing are set forth in the accompanying Memorandum in Support. The PUCO should grant rehearing and abrogate or modify its Sixth Entry on Rehearing as requested by OCC.</w:t>
      </w:r>
    </w:p>
    <w:p w:rsidR="00C83E09" w:rsidRPr="00EB2D16" w:rsidP="00C83E09">
      <w:pPr>
        <w:pStyle w:val="Footer"/>
        <w:tabs>
          <w:tab w:val="left" w:pos="4320"/>
        </w:tabs>
        <w:ind w:left="4320"/>
        <w:rPr>
          <w:sz w:val="24"/>
          <w:szCs w:val="24"/>
        </w:rPr>
      </w:pPr>
      <w:r>
        <w:rPr>
          <w:sz w:val="24"/>
          <w:szCs w:val="24"/>
        </w:rPr>
        <w:t>R</w:t>
      </w:r>
      <w:r w:rsidRPr="00EB2D16">
        <w:rPr>
          <w:sz w:val="24"/>
          <w:szCs w:val="24"/>
        </w:rPr>
        <w:t>espectfully submitted,</w:t>
      </w:r>
    </w:p>
    <w:p w:rsidR="00C83E09" w:rsidRPr="00EB2D16" w:rsidP="00C83E09">
      <w:pPr>
        <w:pStyle w:val="Footer"/>
        <w:tabs>
          <w:tab w:val="left" w:pos="4320"/>
        </w:tabs>
        <w:ind w:left="4320"/>
        <w:rPr>
          <w:sz w:val="24"/>
          <w:szCs w:val="24"/>
        </w:rPr>
      </w:pPr>
    </w:p>
    <w:p w:rsidR="00C83E09" w:rsidRPr="00EB2D16" w:rsidP="00C83E09">
      <w:pPr>
        <w:pStyle w:val="Footer"/>
        <w:tabs>
          <w:tab w:val="left" w:pos="4320"/>
        </w:tabs>
        <w:ind w:left="4320"/>
        <w:rPr>
          <w:sz w:val="24"/>
          <w:szCs w:val="24"/>
        </w:rPr>
      </w:pPr>
      <w:r w:rsidRPr="00EB2D16">
        <w:rPr>
          <w:sz w:val="24"/>
          <w:szCs w:val="24"/>
        </w:rPr>
        <w:t>BRUCE WESTON (0016973)</w:t>
      </w:r>
    </w:p>
    <w:p w:rsidR="00C83E09" w:rsidP="00C83E09">
      <w:pPr>
        <w:pStyle w:val="Footer"/>
        <w:tabs>
          <w:tab w:val="left" w:pos="4320"/>
        </w:tabs>
        <w:ind w:left="4320"/>
        <w:rPr>
          <w:sz w:val="24"/>
          <w:szCs w:val="24"/>
        </w:rPr>
      </w:pPr>
      <w:r w:rsidRPr="00EB2D16">
        <w:rPr>
          <w:sz w:val="24"/>
          <w:szCs w:val="24"/>
        </w:rPr>
        <w:t>OHIO CONSUMERS</w:t>
      </w:r>
      <w:r w:rsidR="0038028D">
        <w:rPr>
          <w:sz w:val="24"/>
          <w:szCs w:val="24"/>
        </w:rPr>
        <w:t>’</w:t>
      </w:r>
      <w:r w:rsidRPr="00EB2D16">
        <w:rPr>
          <w:sz w:val="24"/>
          <w:szCs w:val="24"/>
        </w:rPr>
        <w:t xml:space="preserve"> COUNSEL</w:t>
      </w:r>
    </w:p>
    <w:p w:rsidR="0038028D" w:rsidRPr="00EB2D16" w:rsidP="00C83E09">
      <w:pPr>
        <w:pStyle w:val="Footer"/>
        <w:tabs>
          <w:tab w:val="left" w:pos="4320"/>
        </w:tabs>
        <w:ind w:left="4320"/>
        <w:rPr>
          <w:sz w:val="24"/>
          <w:szCs w:val="24"/>
        </w:rPr>
      </w:pPr>
    </w:p>
    <w:p w:rsidR="00C83E09" w:rsidRPr="0038028D" w:rsidP="00C83E09">
      <w:pPr>
        <w:pStyle w:val="Footer"/>
        <w:tabs>
          <w:tab w:val="left" w:pos="4320"/>
        </w:tabs>
        <w:ind w:left="4320"/>
        <w:rPr>
          <w:i/>
          <w:sz w:val="24"/>
          <w:szCs w:val="24"/>
          <w:u w:val="single"/>
        </w:rPr>
      </w:pPr>
      <w:r>
        <w:rPr>
          <w:i/>
          <w:sz w:val="24"/>
          <w:szCs w:val="24"/>
          <w:u w:val="single"/>
        </w:rPr>
        <w:t>/s/ Larry S. Sauer</w:t>
      </w:r>
    </w:p>
    <w:p w:rsidR="00E20893" w:rsidRPr="0048108C" w:rsidP="00E20893">
      <w:pPr>
        <w:tabs>
          <w:tab w:val="left" w:pos="4230"/>
        </w:tabs>
        <w:ind w:left="4320"/>
        <w:contextualSpacing/>
        <w:rPr>
          <w:szCs w:val="24"/>
        </w:rPr>
      </w:pPr>
      <w:r w:rsidRPr="0048108C">
        <w:rPr>
          <w:szCs w:val="24"/>
        </w:rPr>
        <w:t>Larry S. Sauer (0039223)</w:t>
      </w:r>
    </w:p>
    <w:p w:rsidR="00E20893" w:rsidRPr="0048108C" w:rsidP="00E20893">
      <w:pPr>
        <w:tabs>
          <w:tab w:val="left" w:pos="4230"/>
        </w:tabs>
        <w:ind w:left="4320"/>
        <w:contextualSpacing/>
        <w:rPr>
          <w:szCs w:val="24"/>
        </w:rPr>
      </w:pPr>
      <w:r w:rsidRPr="0048108C">
        <w:rPr>
          <w:szCs w:val="24"/>
        </w:rPr>
        <w:t>Counsel of Record</w:t>
      </w:r>
    </w:p>
    <w:p w:rsidR="00E20893" w:rsidRPr="0048108C" w:rsidP="00E20893">
      <w:pPr>
        <w:autoSpaceDE w:val="0"/>
        <w:autoSpaceDN w:val="0"/>
        <w:adjustRightInd w:val="0"/>
        <w:ind w:left="4320"/>
        <w:rPr>
          <w:szCs w:val="24"/>
        </w:rPr>
      </w:pPr>
      <w:r w:rsidRPr="0048108C">
        <w:rPr>
          <w:szCs w:val="24"/>
        </w:rPr>
        <w:t>Maureen R. Willis (0020847)</w:t>
      </w:r>
    </w:p>
    <w:p w:rsidR="00E20893" w:rsidRPr="0048108C" w:rsidP="00E20893">
      <w:pPr>
        <w:autoSpaceDE w:val="0"/>
        <w:autoSpaceDN w:val="0"/>
        <w:adjustRightInd w:val="0"/>
        <w:ind w:left="4320"/>
        <w:rPr>
          <w:szCs w:val="24"/>
        </w:rPr>
      </w:pPr>
      <w:r w:rsidRPr="0048108C">
        <w:rPr>
          <w:szCs w:val="24"/>
        </w:rPr>
        <w:t>William J. Michael (0070921)</w:t>
      </w:r>
    </w:p>
    <w:p w:rsidR="00E20893" w:rsidRPr="0048108C" w:rsidP="00E20893">
      <w:pPr>
        <w:autoSpaceDE w:val="0"/>
        <w:autoSpaceDN w:val="0"/>
        <w:adjustRightInd w:val="0"/>
        <w:ind w:left="4320"/>
        <w:rPr>
          <w:szCs w:val="24"/>
        </w:rPr>
      </w:pPr>
      <w:r w:rsidRPr="0048108C">
        <w:rPr>
          <w:szCs w:val="24"/>
        </w:rPr>
        <w:t>Kevin F. Moore (0089228)</w:t>
      </w:r>
    </w:p>
    <w:p w:rsidR="00E20893" w:rsidRPr="0048108C" w:rsidP="00E20893">
      <w:pPr>
        <w:autoSpaceDE w:val="0"/>
        <w:autoSpaceDN w:val="0"/>
        <w:adjustRightInd w:val="0"/>
        <w:ind w:left="4320"/>
        <w:rPr>
          <w:szCs w:val="24"/>
        </w:rPr>
      </w:pPr>
      <w:r w:rsidRPr="0048108C">
        <w:rPr>
          <w:szCs w:val="24"/>
        </w:rPr>
        <w:t>Ajay Kumar (0092208)</w:t>
      </w:r>
    </w:p>
    <w:p w:rsidR="00E20893" w:rsidRPr="0048108C" w:rsidP="00E20893">
      <w:pPr>
        <w:autoSpaceDE w:val="0"/>
        <w:autoSpaceDN w:val="0"/>
        <w:adjustRightInd w:val="0"/>
        <w:ind w:left="4320"/>
        <w:rPr>
          <w:szCs w:val="24"/>
        </w:rPr>
      </w:pPr>
      <w:r w:rsidRPr="0048108C">
        <w:rPr>
          <w:szCs w:val="24"/>
        </w:rPr>
        <w:t>Assistant Consumers’ Counsel</w:t>
      </w:r>
    </w:p>
    <w:p w:rsidR="00E20893" w:rsidRPr="0048108C" w:rsidP="00E20893">
      <w:pPr>
        <w:autoSpaceDE w:val="0"/>
        <w:autoSpaceDN w:val="0"/>
        <w:adjustRightInd w:val="0"/>
        <w:ind w:left="4320"/>
        <w:rPr>
          <w:szCs w:val="24"/>
        </w:rPr>
      </w:pPr>
    </w:p>
    <w:p w:rsidR="00E20893" w:rsidRPr="0048108C" w:rsidP="00E20893">
      <w:pPr>
        <w:autoSpaceDE w:val="0"/>
        <w:autoSpaceDN w:val="0"/>
        <w:adjustRightInd w:val="0"/>
        <w:ind w:left="4320"/>
        <w:rPr>
          <w:b/>
          <w:szCs w:val="24"/>
        </w:rPr>
      </w:pPr>
      <w:r w:rsidRPr="0048108C">
        <w:rPr>
          <w:b/>
          <w:szCs w:val="24"/>
        </w:rPr>
        <w:t>Office of the Ohio Consumers’ Counsel</w:t>
      </w:r>
    </w:p>
    <w:p w:rsidR="00E20893" w:rsidRPr="0048108C" w:rsidP="00E20893">
      <w:pPr>
        <w:autoSpaceDE w:val="0"/>
        <w:autoSpaceDN w:val="0"/>
        <w:adjustRightInd w:val="0"/>
        <w:ind w:left="4320"/>
        <w:rPr>
          <w:szCs w:val="24"/>
        </w:rPr>
      </w:pPr>
      <w:r w:rsidRPr="0048108C">
        <w:rPr>
          <w:szCs w:val="24"/>
        </w:rPr>
        <w:t>10 West Broad Street, Suite 1800</w:t>
      </w:r>
    </w:p>
    <w:p w:rsidR="00E20893" w:rsidRPr="0048108C" w:rsidP="00E20893">
      <w:pPr>
        <w:autoSpaceDE w:val="0"/>
        <w:autoSpaceDN w:val="0"/>
        <w:adjustRightInd w:val="0"/>
        <w:ind w:left="4320"/>
        <w:rPr>
          <w:szCs w:val="24"/>
        </w:rPr>
      </w:pPr>
      <w:r w:rsidRPr="0048108C">
        <w:rPr>
          <w:szCs w:val="24"/>
        </w:rPr>
        <w:t>Columbus, Ohio 43215-3485</w:t>
      </w:r>
    </w:p>
    <w:p w:rsidR="00E20893" w:rsidRPr="0048108C" w:rsidP="00E20893">
      <w:pPr>
        <w:autoSpaceDE w:val="0"/>
        <w:autoSpaceDN w:val="0"/>
        <w:adjustRightInd w:val="0"/>
        <w:ind w:left="4320"/>
        <w:rPr>
          <w:szCs w:val="24"/>
        </w:rPr>
      </w:pPr>
      <w:r w:rsidRPr="0048108C">
        <w:rPr>
          <w:szCs w:val="24"/>
        </w:rPr>
        <w:t>Telephone [Sauer]: (614) 466-1312</w:t>
      </w:r>
    </w:p>
    <w:p w:rsidR="00E20893" w:rsidRPr="0048108C" w:rsidP="00E20893">
      <w:pPr>
        <w:autoSpaceDE w:val="0"/>
        <w:autoSpaceDN w:val="0"/>
        <w:adjustRightInd w:val="0"/>
        <w:ind w:left="4320"/>
        <w:rPr>
          <w:szCs w:val="24"/>
        </w:rPr>
      </w:pPr>
      <w:r w:rsidRPr="0048108C">
        <w:rPr>
          <w:szCs w:val="24"/>
        </w:rPr>
        <w:t>Telephone [Willis]: (614) 466-9567</w:t>
      </w:r>
    </w:p>
    <w:p w:rsidR="00E20893" w:rsidRPr="0048108C" w:rsidP="00E20893">
      <w:pPr>
        <w:autoSpaceDE w:val="0"/>
        <w:autoSpaceDN w:val="0"/>
        <w:adjustRightInd w:val="0"/>
        <w:ind w:left="4320"/>
        <w:rPr>
          <w:szCs w:val="24"/>
        </w:rPr>
      </w:pPr>
      <w:r w:rsidRPr="0048108C">
        <w:rPr>
          <w:szCs w:val="24"/>
        </w:rPr>
        <w:t>Telephone [Michael]: (614) 466-1291</w:t>
      </w:r>
    </w:p>
    <w:p w:rsidR="00E20893" w:rsidRPr="0048108C" w:rsidP="00E20893">
      <w:pPr>
        <w:autoSpaceDE w:val="0"/>
        <w:autoSpaceDN w:val="0"/>
        <w:adjustRightInd w:val="0"/>
        <w:ind w:left="4320"/>
        <w:rPr>
          <w:szCs w:val="24"/>
        </w:rPr>
      </w:pPr>
      <w:r w:rsidRPr="0048108C">
        <w:rPr>
          <w:szCs w:val="24"/>
        </w:rPr>
        <w:t>Telephone [Moore]: (614) 387-2965</w:t>
      </w:r>
    </w:p>
    <w:p w:rsidR="00E20893" w:rsidRPr="0048108C" w:rsidP="00E20893">
      <w:pPr>
        <w:autoSpaceDE w:val="0"/>
        <w:autoSpaceDN w:val="0"/>
        <w:adjustRightInd w:val="0"/>
        <w:ind w:left="4320"/>
        <w:rPr>
          <w:szCs w:val="24"/>
        </w:rPr>
      </w:pPr>
      <w:r w:rsidRPr="0048108C">
        <w:rPr>
          <w:szCs w:val="24"/>
        </w:rPr>
        <w:t>Telephone [Kumar]: (614) 466-1292</w:t>
      </w:r>
    </w:p>
    <w:p w:rsidR="00E20893" w:rsidRPr="0048108C" w:rsidP="00E20893">
      <w:pPr>
        <w:autoSpaceDE w:val="0"/>
        <w:autoSpaceDN w:val="0"/>
        <w:adjustRightInd w:val="0"/>
        <w:ind w:left="4320"/>
        <w:rPr>
          <w:szCs w:val="24"/>
        </w:rPr>
      </w:pPr>
      <w:r>
        <w:fldChar w:fldCharType="begin"/>
      </w:r>
      <w:r>
        <w:instrText xml:space="preserve"> HYPERLINK "mailto:Larry.sauer@occ.ohio.gov" </w:instrText>
      </w:r>
      <w:r>
        <w:fldChar w:fldCharType="separate"/>
      </w:r>
      <w:r w:rsidRPr="0048108C">
        <w:rPr>
          <w:rStyle w:val="Hyperlink"/>
          <w:szCs w:val="24"/>
        </w:rPr>
        <w:t>Larry.sauer@occ.ohio.gov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"mailto:Maureen.willis@occ.ohio.gov" </w:instrText>
      </w:r>
      <w:r>
        <w:fldChar w:fldCharType="separate"/>
      </w:r>
      <w:r w:rsidRPr="0048108C">
        <w:rPr>
          <w:rStyle w:val="Hyperlink"/>
          <w:szCs w:val="24"/>
        </w:rPr>
        <w:t>Maureen.willis@occ.ohio.gov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"mailto:William.michael@occ.ohio.gov" </w:instrText>
      </w:r>
      <w:r>
        <w:fldChar w:fldCharType="separate"/>
      </w:r>
      <w:r w:rsidRPr="0048108C">
        <w:rPr>
          <w:rStyle w:val="Hyperlink"/>
          <w:szCs w:val="24"/>
        </w:rPr>
        <w:t>William.michael@occ.ohio.gov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"mailto:Kevin.moore@occ.ohio.gov" </w:instrText>
      </w:r>
      <w:r>
        <w:fldChar w:fldCharType="separate"/>
      </w:r>
      <w:r w:rsidRPr="0048108C">
        <w:rPr>
          <w:rStyle w:val="Hyperlink"/>
          <w:szCs w:val="24"/>
        </w:rPr>
        <w:t>Kevin.moore@occ.ohio.gov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"mailto:Ajay.kumar@occ.ohio.gov" </w:instrText>
      </w:r>
      <w:r>
        <w:fldChar w:fldCharType="separate"/>
      </w:r>
      <w:r w:rsidRPr="0048108C">
        <w:rPr>
          <w:rStyle w:val="Hyperlink"/>
          <w:szCs w:val="24"/>
        </w:rPr>
        <w:t>Ajay.kumar@occ.ohio.gov</w:t>
      </w:r>
      <w:r>
        <w:fldChar w:fldCharType="end"/>
      </w:r>
    </w:p>
    <w:p w:rsidR="00E20893" w:rsidP="00C83E09">
      <w:pPr>
        <w:pStyle w:val="Footer"/>
        <w:tabs>
          <w:tab w:val="left" w:pos="4320"/>
        </w:tabs>
        <w:ind w:left="4320"/>
        <w:rPr>
          <w:i/>
          <w:sz w:val="24"/>
          <w:szCs w:val="24"/>
          <w:u w:val="single"/>
        </w:rPr>
      </w:pPr>
    </w:p>
    <w:p w:rsidR="00E20893" w:rsidP="00C83E09">
      <w:pPr>
        <w:pStyle w:val="Footer"/>
        <w:tabs>
          <w:tab w:val="left" w:pos="4320"/>
        </w:tabs>
        <w:ind w:left="4320"/>
        <w:rPr>
          <w:i/>
          <w:sz w:val="24"/>
          <w:szCs w:val="24"/>
          <w:u w:val="single"/>
        </w:rPr>
      </w:pPr>
    </w:p>
    <w:p w:rsidR="00E20893" w:rsidP="00C83E09">
      <w:pPr>
        <w:pStyle w:val="Footer"/>
        <w:tabs>
          <w:tab w:val="left" w:pos="4320"/>
        </w:tabs>
        <w:ind w:left="4320"/>
        <w:rPr>
          <w:i/>
          <w:sz w:val="24"/>
          <w:szCs w:val="24"/>
          <w:u w:val="single"/>
        </w:rPr>
      </w:pPr>
    </w:p>
    <w:p w:rsidR="00E20893" w:rsidP="00C83E09">
      <w:pPr>
        <w:pStyle w:val="Footer"/>
        <w:tabs>
          <w:tab w:val="left" w:pos="4320"/>
        </w:tabs>
        <w:ind w:left="4320"/>
        <w:rPr>
          <w:i/>
          <w:sz w:val="24"/>
          <w:szCs w:val="24"/>
          <w:u w:val="single"/>
        </w:rPr>
      </w:pPr>
    </w:p>
    <w:p w:rsidR="00E20893" w:rsidP="00C83E09">
      <w:pPr>
        <w:pStyle w:val="Footer"/>
        <w:tabs>
          <w:tab w:val="left" w:pos="4320"/>
        </w:tabs>
        <w:ind w:left="4320"/>
        <w:rPr>
          <w:i/>
          <w:sz w:val="24"/>
          <w:szCs w:val="24"/>
          <w:u w:val="single"/>
        </w:rPr>
      </w:pPr>
    </w:p>
    <w:p w:rsidR="00E20893" w:rsidP="00C83E09">
      <w:pPr>
        <w:pStyle w:val="Footer"/>
        <w:tabs>
          <w:tab w:val="left" w:pos="4320"/>
        </w:tabs>
        <w:ind w:left="4320"/>
        <w:rPr>
          <w:i/>
          <w:sz w:val="24"/>
          <w:szCs w:val="24"/>
          <w:u w:val="single"/>
        </w:rPr>
      </w:pPr>
    </w:p>
    <w:p w:rsidR="00E20893" w:rsidP="00C83E09">
      <w:pPr>
        <w:pStyle w:val="Footer"/>
        <w:tabs>
          <w:tab w:val="left" w:pos="4320"/>
        </w:tabs>
        <w:ind w:left="4320"/>
        <w:rPr>
          <w:i/>
          <w:sz w:val="24"/>
          <w:szCs w:val="24"/>
          <w:u w:val="single"/>
        </w:rPr>
      </w:pPr>
    </w:p>
    <w:p w:rsidR="00E20893" w:rsidP="00C83E09">
      <w:pPr>
        <w:jc w:val="center"/>
        <w:rPr>
          <w:b/>
          <w:szCs w:val="24"/>
          <w:u w:val="single"/>
        </w:rPr>
      </w:pPr>
    </w:p>
    <w:p w:rsidR="00E20893" w:rsidP="00C83E09">
      <w:pPr>
        <w:jc w:val="center"/>
        <w:rPr>
          <w:b/>
          <w:szCs w:val="24"/>
          <w:u w:val="single"/>
        </w:rPr>
      </w:pPr>
    </w:p>
    <w:p w:rsidR="0038028D" w:rsidP="00C83E09">
      <w:pPr>
        <w:jc w:val="center"/>
        <w:rPr>
          <w:b/>
          <w:szCs w:val="24"/>
          <w:u w:val="single"/>
        </w:rPr>
        <w:sectPr w:rsidSect="00C95B5D">
          <w:pgSz w:w="12240" w:h="15840"/>
          <w:pgMar w:top="1440" w:right="1800" w:bottom="1440" w:left="1800" w:header="720" w:footer="720" w:gutter="0"/>
          <w:pgNumType w:start="3"/>
          <w:cols w:space="720"/>
          <w:titlePg/>
          <w:docGrid w:linePitch="326"/>
        </w:sectPr>
      </w:pPr>
    </w:p>
    <w:p w:rsidR="00C83E09" w:rsidRPr="00F2288D" w:rsidP="00C83E09">
      <w:pPr>
        <w:jc w:val="center"/>
        <w:rPr>
          <w:b/>
          <w:szCs w:val="24"/>
          <w:u w:val="single"/>
        </w:rPr>
      </w:pPr>
      <w:r w:rsidRPr="00F2288D">
        <w:rPr>
          <w:b/>
          <w:szCs w:val="24"/>
          <w:u w:val="single"/>
        </w:rPr>
        <w:t>TABLE OF CONTENTS</w:t>
      </w:r>
    </w:p>
    <w:p w:rsidR="00C83E09" w:rsidP="00C83E09">
      <w:pPr>
        <w:jc w:val="right"/>
        <w:rPr>
          <w:b/>
          <w:szCs w:val="24"/>
        </w:rPr>
      </w:pPr>
      <w:r>
        <w:rPr>
          <w:b/>
          <w:szCs w:val="24"/>
        </w:rPr>
        <w:t>PAGE</w:t>
      </w:r>
    </w:p>
    <w:p w:rsidR="00C83E09" w:rsidP="00C83E09">
      <w:pPr>
        <w:rPr>
          <w:b/>
          <w:szCs w:val="24"/>
        </w:rPr>
      </w:pPr>
    </w:p>
    <w:p w:rsidR="009124B6">
      <w:pPr>
        <w:pStyle w:val="TOC1"/>
        <w:tabs>
          <w:tab w:val="left" w:pos="720"/>
        </w:tabs>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r>
        <w:fldChar w:fldCharType="begin"/>
      </w:r>
      <w:r>
        <w:instrText xml:space="preserve"> HYPERLINK \l "_Toc471477792" </w:instrText>
      </w:r>
      <w:r>
        <w:fldChar w:fldCharType="separate"/>
      </w:r>
      <w:r w:rsidRPr="005D48F3">
        <w:rPr>
          <w:rStyle w:val="Hyperlink"/>
          <w:noProof/>
        </w:rPr>
        <w:t xml:space="preserve">I. </w:t>
      </w:r>
      <w:r>
        <w:rPr>
          <w:rFonts w:asciiTheme="minorHAnsi" w:eastAsiaTheme="minorEastAsia" w:hAnsiTheme="minorHAnsi" w:cstheme="minorBidi"/>
          <w:caps w:val="0"/>
          <w:noProof/>
          <w:sz w:val="22"/>
          <w:szCs w:val="22"/>
        </w:rPr>
        <w:tab/>
      </w:r>
      <w:r w:rsidRPr="005D48F3">
        <w:rPr>
          <w:rStyle w:val="Hyperlink"/>
          <w:noProof/>
        </w:rPr>
        <w:t>INTRODUCTION</w:t>
      </w:r>
      <w:r>
        <w:rPr>
          <w:noProof/>
          <w:webHidden/>
        </w:rPr>
        <w:tab/>
      </w:r>
      <w:r>
        <w:rPr>
          <w:noProof/>
          <w:webHidden/>
        </w:rPr>
        <w:fldChar w:fldCharType="begin"/>
      </w:r>
      <w:r>
        <w:rPr>
          <w:noProof/>
          <w:webHidden/>
        </w:rPr>
        <w:instrText xml:space="preserve"> PAGEREF _Toc471477792 \h </w:instrText>
      </w:r>
      <w:r>
        <w:rPr>
          <w:noProof/>
          <w:webHidden/>
        </w:rPr>
        <w:fldChar w:fldCharType="separate"/>
      </w:r>
      <w:r>
        <w:rPr>
          <w:noProof/>
          <w:webHidden/>
        </w:rPr>
        <w:t>1</w:t>
      </w:r>
      <w:r>
        <w:rPr>
          <w:noProof/>
          <w:webHidden/>
        </w:rPr>
        <w:fldChar w:fldCharType="end"/>
      </w:r>
      <w:r>
        <w:fldChar w:fldCharType="end"/>
      </w:r>
    </w:p>
    <w:p w:rsidR="009124B6">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"_Toc471477793" </w:instrText>
      </w:r>
      <w:r>
        <w:fldChar w:fldCharType="separate"/>
      </w:r>
      <w:r w:rsidRPr="005D48F3">
        <w:rPr>
          <w:rStyle w:val="Hyperlink"/>
          <w:noProof/>
        </w:rPr>
        <w:t>II.</w:t>
      </w:r>
      <w:r>
        <w:rPr>
          <w:rFonts w:asciiTheme="minorHAnsi" w:eastAsiaTheme="minorEastAsia" w:hAnsiTheme="minorHAnsi" w:cstheme="minorBidi"/>
          <w:caps w:val="0"/>
          <w:noProof/>
          <w:sz w:val="22"/>
          <w:szCs w:val="22"/>
        </w:rPr>
        <w:tab/>
      </w:r>
      <w:r w:rsidRPr="005D48F3">
        <w:rPr>
          <w:rStyle w:val="Hyperlink"/>
          <w:noProof/>
        </w:rPr>
        <w:t>STANDARD OF REVIEW</w:t>
      </w:r>
      <w:r>
        <w:rPr>
          <w:noProof/>
          <w:webHidden/>
        </w:rPr>
        <w:tab/>
      </w:r>
      <w:r>
        <w:rPr>
          <w:noProof/>
          <w:webHidden/>
        </w:rPr>
        <w:fldChar w:fldCharType="begin"/>
      </w:r>
      <w:r>
        <w:rPr>
          <w:noProof/>
          <w:webHidden/>
        </w:rPr>
        <w:instrText xml:space="preserve"> PAGEREF _Toc471477793 \h </w:instrText>
      </w:r>
      <w:r>
        <w:rPr>
          <w:noProof/>
          <w:webHidden/>
        </w:rPr>
        <w:fldChar w:fldCharType="separate"/>
      </w:r>
      <w:r>
        <w:rPr>
          <w:noProof/>
          <w:webHidden/>
        </w:rPr>
        <w:t>2</w:t>
      </w:r>
      <w:r>
        <w:rPr>
          <w:noProof/>
          <w:webHidden/>
        </w:rPr>
        <w:fldChar w:fldCharType="end"/>
      </w:r>
      <w:r>
        <w:fldChar w:fldCharType="end"/>
      </w:r>
    </w:p>
    <w:p w:rsidR="009124B6">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"_Toc471477794" </w:instrText>
      </w:r>
      <w:r>
        <w:fldChar w:fldCharType="separate"/>
      </w:r>
      <w:r w:rsidRPr="005D48F3">
        <w:rPr>
          <w:rStyle w:val="Hyperlink"/>
          <w:noProof/>
        </w:rPr>
        <w:t xml:space="preserve">III. </w:t>
      </w:r>
      <w:r>
        <w:rPr>
          <w:rFonts w:asciiTheme="minorHAnsi" w:eastAsiaTheme="minorEastAsia" w:hAnsiTheme="minorHAnsi" w:cstheme="minorBidi"/>
          <w:caps w:val="0"/>
          <w:noProof/>
          <w:sz w:val="22"/>
          <w:szCs w:val="22"/>
        </w:rPr>
        <w:tab/>
      </w:r>
      <w:r w:rsidRPr="005D48F3">
        <w:rPr>
          <w:rStyle w:val="Hyperlink"/>
          <w:noProof/>
        </w:rPr>
        <w:t>ERRORS</w:t>
      </w:r>
      <w:r>
        <w:rPr>
          <w:noProof/>
          <w:webHidden/>
        </w:rPr>
        <w:tab/>
      </w:r>
      <w:r>
        <w:rPr>
          <w:noProof/>
          <w:webHidden/>
        </w:rPr>
        <w:fldChar w:fldCharType="begin"/>
      </w:r>
      <w:r>
        <w:rPr>
          <w:noProof/>
          <w:webHidden/>
        </w:rPr>
        <w:instrText xml:space="preserve"> PAGEREF _Toc471477794 \h </w:instrText>
      </w:r>
      <w:r>
        <w:rPr>
          <w:noProof/>
          <w:webHidden/>
        </w:rPr>
        <w:fldChar w:fldCharType="separate"/>
      </w:r>
      <w:r>
        <w:rPr>
          <w:noProof/>
          <w:webHidden/>
        </w:rPr>
        <w:t>3</w:t>
      </w:r>
      <w:r>
        <w:rPr>
          <w:noProof/>
          <w:webHidden/>
        </w:rPr>
        <w:fldChar w:fldCharType="end"/>
      </w:r>
      <w:r>
        <w:fldChar w:fldCharType="end"/>
      </w:r>
    </w:p>
    <w:p w:rsidR="009124B6">
      <w:pPr>
        <w:pStyle w:val="TOC2"/>
        <w:rPr>
          <w:rFonts w:asciiTheme="minorHAnsi" w:eastAsiaTheme="minorEastAsia" w:hAnsiTheme="minorHAnsi" w:cstheme="minorBidi"/>
          <w:noProof/>
          <w:sz w:val="22"/>
          <w:szCs w:val="22"/>
        </w:rPr>
      </w:pPr>
      <w:r>
        <w:fldChar w:fldCharType="begin"/>
      </w:r>
      <w:r>
        <w:instrText xml:space="preserve"> HYPERLINK \l "_Toc471477795" </w:instrText>
      </w:r>
      <w:r>
        <w:fldChar w:fldCharType="separate"/>
      </w:r>
      <w:r w:rsidRPr="005D48F3">
        <w:rPr>
          <w:rStyle w:val="Hyperlink"/>
          <w:noProof/>
        </w:rPr>
        <w:t>Assignment of Error 1: The PUCO erred in not granting and holding rehearing on the matters specified in OCC's application for rehearing.</w:t>
      </w:r>
      <w:r>
        <w:rPr>
          <w:noProof/>
          <w:webHidden/>
        </w:rPr>
        <w:tab/>
      </w:r>
      <w:r>
        <w:rPr>
          <w:noProof/>
          <w:webHidden/>
        </w:rPr>
        <w:fldChar w:fldCharType="begin"/>
      </w:r>
      <w:r>
        <w:rPr>
          <w:noProof/>
          <w:webHidden/>
        </w:rPr>
        <w:instrText xml:space="preserve"> PAGEREF _Toc471477795 \h </w:instrText>
      </w:r>
      <w:r>
        <w:rPr>
          <w:noProof/>
          <w:webHidden/>
        </w:rPr>
        <w:fldChar w:fldCharType="separate"/>
      </w:r>
      <w:r>
        <w:rPr>
          <w:noProof/>
          <w:webHidden/>
        </w:rPr>
        <w:t>3</w:t>
      </w:r>
      <w:r>
        <w:rPr>
          <w:noProof/>
          <w:webHidden/>
        </w:rPr>
        <w:fldChar w:fldCharType="end"/>
      </w:r>
      <w:r>
        <w:fldChar w:fldCharType="end"/>
      </w:r>
    </w:p>
    <w:p w:rsidR="009124B6">
      <w:pPr>
        <w:pStyle w:val="TOC2"/>
        <w:rPr>
          <w:rFonts w:asciiTheme="minorHAnsi" w:eastAsiaTheme="minorEastAsia" w:hAnsiTheme="minorHAnsi" w:cstheme="minorBidi"/>
          <w:noProof/>
          <w:sz w:val="22"/>
          <w:szCs w:val="22"/>
        </w:rPr>
      </w:pPr>
      <w:r>
        <w:fldChar w:fldCharType="begin"/>
      </w:r>
      <w:r>
        <w:instrText xml:space="preserve"> HYPERLINK \l "_Toc471477796" </w:instrText>
      </w:r>
      <w:r>
        <w:fldChar w:fldCharType="separate"/>
      </w:r>
      <w:r w:rsidRPr="005D48F3">
        <w:rPr>
          <w:rStyle w:val="Hyperlink"/>
          <w:noProof/>
        </w:rPr>
        <w:t>Assignment of Error 2:  The PUCO erred by granting rehearing to allow itself more time to issue a final appealable order.  By doing so, the PUCO fails to fulfill its duty to hear matters pending before it without unreasonable delay and with due regard to the rights and interests of all litigants before it. The PUCO's Order permits it to evade a timely review and reconsideration of its order by the Ohio Supreme Court and precludes parties from exercising their rights to appeal a PUCO order to the Ohio Supreme Court -- a right that is established under R.C. 4903.10 and 4903.11 and 4903.13.</w:t>
      </w:r>
      <w:r>
        <w:rPr>
          <w:noProof/>
          <w:webHidden/>
        </w:rPr>
        <w:tab/>
      </w:r>
      <w:r>
        <w:rPr>
          <w:noProof/>
          <w:webHidden/>
        </w:rPr>
        <w:fldChar w:fldCharType="begin"/>
      </w:r>
      <w:r>
        <w:rPr>
          <w:noProof/>
          <w:webHidden/>
        </w:rPr>
        <w:instrText xml:space="preserve"> PAGEREF _Toc471477796 \h </w:instrText>
      </w:r>
      <w:r>
        <w:rPr>
          <w:noProof/>
          <w:webHidden/>
        </w:rPr>
        <w:fldChar w:fldCharType="separate"/>
      </w:r>
      <w:r>
        <w:rPr>
          <w:noProof/>
          <w:webHidden/>
        </w:rPr>
        <w:t>4</w:t>
      </w:r>
      <w:r>
        <w:rPr>
          <w:noProof/>
          <w:webHidden/>
        </w:rPr>
        <w:fldChar w:fldCharType="end"/>
      </w:r>
      <w:r>
        <w:fldChar w:fldCharType="end"/>
      </w:r>
    </w:p>
    <w:p w:rsidR="009124B6">
      <w:pPr>
        <w:pStyle w:val="TOC1"/>
        <w:tabs>
          <w:tab w:val="left" w:pos="720"/>
        </w:tabs>
        <w:rPr>
          <w:rFonts w:asciiTheme="minorHAnsi" w:eastAsiaTheme="minorEastAsia" w:hAnsiTheme="minorHAnsi" w:cstheme="minorBidi"/>
          <w:caps w:val="0"/>
          <w:noProof/>
          <w:sz w:val="22"/>
          <w:szCs w:val="22"/>
        </w:rPr>
      </w:pPr>
      <w:r>
        <w:fldChar w:fldCharType="begin"/>
      </w:r>
      <w:r>
        <w:instrText xml:space="preserve"> HYPERLINK \l "_Toc471477797" </w:instrText>
      </w:r>
      <w:r>
        <w:fldChar w:fldCharType="separate"/>
      </w:r>
      <w:r w:rsidRPr="005D48F3">
        <w:rPr>
          <w:rStyle w:val="Hyperlink"/>
          <w:noProof/>
        </w:rPr>
        <w:t xml:space="preserve">IV. </w:t>
      </w:r>
      <w:r>
        <w:rPr>
          <w:rFonts w:asciiTheme="minorHAnsi" w:eastAsiaTheme="minorEastAsia" w:hAnsiTheme="minorHAnsi" w:cstheme="minorBidi"/>
          <w:caps w:val="0"/>
          <w:noProof/>
          <w:sz w:val="22"/>
          <w:szCs w:val="22"/>
        </w:rPr>
        <w:tab/>
      </w:r>
      <w:r w:rsidRPr="005D48F3">
        <w:rPr>
          <w:rStyle w:val="Hyperlink"/>
          <w:noProof/>
        </w:rPr>
        <w:t>CONCLUSION</w:t>
      </w:r>
      <w:r>
        <w:rPr>
          <w:noProof/>
          <w:webHidden/>
        </w:rPr>
        <w:tab/>
      </w:r>
      <w:r>
        <w:rPr>
          <w:noProof/>
          <w:webHidden/>
        </w:rPr>
        <w:fldChar w:fldCharType="begin"/>
      </w:r>
      <w:r>
        <w:rPr>
          <w:noProof/>
          <w:webHidden/>
        </w:rPr>
        <w:instrText xml:space="preserve"> PAGEREF _Toc471477797 \h </w:instrText>
      </w:r>
      <w:r>
        <w:rPr>
          <w:noProof/>
          <w:webHidden/>
        </w:rPr>
        <w:fldChar w:fldCharType="separate"/>
      </w:r>
      <w:r>
        <w:rPr>
          <w:noProof/>
          <w:webHidden/>
        </w:rPr>
        <w:t>8</w:t>
      </w:r>
      <w:r>
        <w:rPr>
          <w:noProof/>
          <w:webHidden/>
        </w:rPr>
        <w:fldChar w:fldCharType="end"/>
      </w:r>
      <w:r>
        <w:fldChar w:fldCharType="end"/>
      </w:r>
    </w:p>
    <w:p w:rsidR="00C83E09" w:rsidP="00C83E09">
      <w:pPr>
        <w:ind w:left="4320"/>
        <w:rPr>
          <w:b/>
          <w:szCs w:val="24"/>
        </w:rPr>
      </w:pPr>
      <w:r>
        <w:rPr>
          <w:b/>
          <w:szCs w:val="24"/>
        </w:rPr>
        <w:fldChar w:fldCharType="end"/>
      </w:r>
    </w:p>
    <w:p w:rsidR="009124B6">
      <w:pPr>
        <w:rPr>
          <w:b/>
          <w:szCs w:val="24"/>
        </w:rPr>
        <w:sectPr w:rsidSect="0038028D">
          <w:headerReference w:type="first" r:id="rId13"/>
          <w:pgSz w:w="12240" w:h="15840"/>
          <w:pgMar w:top="1440" w:right="1800" w:bottom="1440" w:left="1800" w:header="720" w:footer="720" w:gutter="0"/>
          <w:pgNumType w:fmt="lowerRoman" w:start="1"/>
          <w:cols w:space="720"/>
          <w:titlePg/>
          <w:docGrid w:linePitch="326"/>
        </w:sectPr>
      </w:pPr>
    </w:p>
    <w:p w:rsidR="00C83E09" w:rsidP="00C83E09">
      <w:pPr>
        <w:ind w:left="4320"/>
        <w:rPr>
          <w:b/>
          <w:szCs w:val="24"/>
        </w:rPr>
      </w:pPr>
      <w:r>
        <w:rPr>
          <w:b/>
          <w:szCs w:val="24"/>
        </w:rPr>
        <w:t>BEFORE</w:t>
      </w:r>
    </w:p>
    <w:p w:rsidR="00C83E09" w:rsidP="00C83E09">
      <w:pPr>
        <w:jc w:val="center"/>
        <w:rPr>
          <w:b/>
          <w:bCs/>
          <w:szCs w:val="24"/>
        </w:rPr>
      </w:pPr>
      <w:r>
        <w:rPr>
          <w:b/>
          <w:bCs/>
          <w:szCs w:val="24"/>
        </w:rPr>
        <w:t>THE PUBLIC UTILITIES COMMISSION OF OHIO</w:t>
      </w:r>
    </w:p>
    <w:p w:rsidR="00C83E09" w:rsidRPr="00CC7702" w:rsidP="00C83E09">
      <w:pPr>
        <w:jc w:val="center"/>
        <w:rPr>
          <w:b/>
          <w:bCs/>
          <w:szCs w:val="24"/>
        </w:rPr>
      </w:pPr>
    </w:p>
    <w:tbl>
      <w:tblPr>
        <w:tblW w:w="8730" w:type="dxa"/>
        <w:tblInd w:w="18" w:type="dxa"/>
        <w:tblCellMar>
          <w:top w:w="0" w:type="dxa"/>
          <w:left w:w="108" w:type="dxa"/>
          <w:bottom w:w="0" w:type="dxa"/>
          <w:right w:w="108" w:type="dxa"/>
        </w:tblCellMar>
        <w:tblLook w:val="01E0"/>
      </w:tblPr>
      <w:tblGrid>
        <w:gridCol w:w="8396"/>
        <w:gridCol w:w="221"/>
        <w:gridCol w:w="221"/>
      </w:tblGrid>
      <w:tr w:rsidTr="00C83E09">
        <w:tblPrEx>
          <w:tblW w:w="8730" w:type="dxa"/>
          <w:tblInd w:w="18" w:type="dxa"/>
          <w:tblCellMar>
            <w:top w:w="0" w:type="dxa"/>
            <w:left w:w="108" w:type="dxa"/>
            <w:bottom w:w="0" w:type="dxa"/>
            <w:right w:w="108" w:type="dxa"/>
          </w:tblCellMar>
          <w:tblLook w:val="01E0"/>
        </w:tblPrEx>
        <w:tc>
          <w:tcPr>
            <w:tcW w:w="4680" w:type="dxa"/>
          </w:tcPr>
          <w:tbl>
            <w:tblPr>
              <w:tblW w:w="9092" w:type="dxa"/>
              <w:tblInd w:w="0" w:type="dxa"/>
              <w:tblCellMar>
                <w:top w:w="0" w:type="dxa"/>
                <w:left w:w="108" w:type="dxa"/>
                <w:bottom w:w="0" w:type="dxa"/>
                <w:right w:w="108" w:type="dxa"/>
              </w:tblCellMar>
              <w:tblLook w:val="01E0"/>
            </w:tblPr>
            <w:tblGrid>
              <w:gridCol w:w="4332"/>
              <w:gridCol w:w="360"/>
              <w:gridCol w:w="4400"/>
            </w:tblGrid>
            <w:tr w:rsidTr="00C83E09">
              <w:tblPrEx>
                <w:tblW w:w="9092" w:type="dxa"/>
                <w:tblInd w:w="0" w:type="dxa"/>
                <w:tblCellMar>
                  <w:top w:w="0" w:type="dxa"/>
                  <w:left w:w="108" w:type="dxa"/>
                  <w:bottom w:w="0" w:type="dxa"/>
                  <w:right w:w="108" w:type="dxa"/>
                </w:tblCellMar>
                <w:tblLook w:val="01E0"/>
              </w:tblPrEx>
              <w:trPr>
                <w:trHeight w:val="1962"/>
              </w:trPr>
              <w:tc>
                <w:tcPr>
                  <w:tcW w:w="4332" w:type="dxa"/>
                  <w:shd w:val="clear" w:color="auto" w:fill="auto"/>
                </w:tcPr>
                <w:p w:rsidR="00E20893" w:rsidRPr="006E31D9" w:rsidP="00C83E09">
                  <w:pPr>
                    <w:widowControl w:val="0"/>
                    <w:autoSpaceDE w:val="0"/>
                    <w:autoSpaceDN w:val="0"/>
                    <w:adjustRightInd w:val="0"/>
                    <w:rPr>
                      <w:rStyle w:val="DefaultParagraphFont"/>
                      <w:rFonts w:eastAsia="Courier New"/>
                      <w:sz w:val="24"/>
                      <w:szCs w:val="24"/>
                      <w:lang w:val="en-US" w:eastAsia="en-US" w:bidi="ar-SA"/>
                    </w:rPr>
                  </w:pPr>
                  <w:r w:rsidRPr="006E31D9">
                    <w:rPr>
                      <w:rFonts w:eastAsia="Calibri"/>
                      <w:sz w:val="24"/>
                      <w:szCs w:val="24"/>
                      <w:lang w:val="en-US" w:eastAsia="en-US" w:bidi="ar-SA"/>
                    </w:rPr>
                    <w:t>In the Matter of the Application of Ohio Edison Company, The Cleveland Electric Illuminating Company and The Toledo Edison Company for Authority to Provide for a Standard Service Offer Pursuant R.C. 4928.143 in the Form of an Electric Security Plan.</w:t>
                  </w:r>
                  <w:r w:rsidRPr="006E31D9">
                    <w:rPr>
                      <w:rFonts w:eastAsia="Courier New"/>
                      <w:sz w:val="24"/>
                      <w:szCs w:val="24"/>
                      <w:lang w:val="en-US" w:eastAsia="en-US" w:bidi="ar-SA"/>
                    </w:rPr>
                    <w:t xml:space="preserve"> </w:t>
                  </w:r>
                </w:p>
              </w:tc>
              <w:tc>
                <w:tcPr>
                  <w:tcW w:w="360" w:type="dxa"/>
                  <w:shd w:val="clear" w:color="auto" w:fill="auto"/>
                </w:tcPr>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w:t>
                  </w:r>
                </w:p>
              </w:tc>
              <w:tc>
                <w:tcPr>
                  <w:tcW w:w="4400" w:type="dxa"/>
                  <w:shd w:val="clear" w:color="auto" w:fill="auto"/>
                </w:tcPr>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6E31D9">
                    <w:rPr>
                      <w:rFonts w:eastAsia="Courier New"/>
                      <w:sz w:val="24"/>
                      <w:szCs w:val="24"/>
                      <w:lang w:val="en-US" w:eastAsia="en-US" w:bidi="ar-SA"/>
                    </w:rPr>
                    <w:t>Case No. 14-1297-EL-SSO</w:t>
                  </w: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p w:rsidR="00E20893" w:rsidRPr="006E31D9" w:rsidP="00C8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p>
              </w:tc>
            </w:tr>
          </w:tbl>
          <w:p w:rsidR="00C83E09" w:rsidRPr="001A22D5" w:rsidP="00C83E09">
            <w:pPr>
              <w:rPr>
                <w:rStyle w:val="DefaultParagraphFont"/>
                <w:sz w:val="24"/>
                <w:szCs w:val="24"/>
                <w:lang w:val="en-US" w:eastAsia="en-US" w:bidi="ar-SA"/>
              </w:rPr>
            </w:pPr>
          </w:p>
        </w:tc>
        <w:tc>
          <w:tcPr>
            <w:tcW w:w="360" w:type="dxa"/>
          </w:tcPr>
          <w:p w:rsidR="00C83E09" w:rsidRPr="001A22D5" w:rsidP="00C83E09">
            <w:pPr>
              <w:rPr>
                <w:rStyle w:val="DefaultParagraphFont"/>
                <w:sz w:val="24"/>
                <w:szCs w:val="24"/>
                <w:lang w:val="en-US" w:eastAsia="en-US" w:bidi="ar-SA"/>
              </w:rPr>
            </w:pPr>
          </w:p>
        </w:tc>
        <w:tc>
          <w:tcPr>
            <w:tcW w:w="3690" w:type="dxa"/>
          </w:tcPr>
          <w:p w:rsidR="00C83E09" w:rsidRPr="001A22D5" w:rsidP="00C83E09">
            <w:pPr>
              <w:rPr>
                <w:rStyle w:val="DefaultParagraphFont"/>
                <w:sz w:val="24"/>
                <w:szCs w:val="24"/>
                <w:lang w:val="en-US" w:eastAsia="en-US" w:bidi="ar-SA"/>
              </w:rPr>
            </w:pPr>
          </w:p>
        </w:tc>
      </w:tr>
    </w:tbl>
    <w:p w:rsidR="00C83E09" w:rsidP="00C83E09">
      <w:pPr>
        <w:pStyle w:val="HTMLPreformatted"/>
        <w:pBdr>
          <w:bottom w:val="single" w:sz="12" w:space="1" w:color="auto"/>
        </w:pBdr>
        <w:rPr>
          <w:rFonts w:ascii="Times New Roman" w:hAnsi="Times New Roman" w:cs="Times New Roman"/>
          <w:sz w:val="24"/>
          <w:szCs w:val="24"/>
        </w:rPr>
      </w:pPr>
    </w:p>
    <w:p w:rsidR="00C83E09" w:rsidP="00C83E09">
      <w:pPr>
        <w:jc w:val="center"/>
        <w:rPr>
          <w:b/>
          <w:szCs w:val="24"/>
        </w:rPr>
      </w:pPr>
    </w:p>
    <w:p w:rsidR="00C83E09" w:rsidP="00C83E09">
      <w:pPr>
        <w:jc w:val="center"/>
        <w:rPr>
          <w:b/>
          <w:szCs w:val="24"/>
        </w:rPr>
      </w:pPr>
      <w:r>
        <w:rPr>
          <w:b/>
          <w:szCs w:val="24"/>
        </w:rPr>
        <w:t>MEMORANDUM IN SUPPORT</w:t>
      </w:r>
    </w:p>
    <w:p w:rsidR="00C83E09" w:rsidP="00C83E09">
      <w:pPr>
        <w:pBdr>
          <w:bottom w:val="single" w:sz="12" w:space="1" w:color="auto"/>
        </w:pBdr>
        <w:rPr>
          <w:b/>
          <w:szCs w:val="24"/>
        </w:rPr>
      </w:pPr>
    </w:p>
    <w:p w:rsidR="00C83E09" w:rsidP="00C83E09">
      <w:pPr>
        <w:tabs>
          <w:tab w:val="left" w:pos="-720"/>
        </w:tabs>
        <w:suppressAutoHyphens/>
        <w:rPr>
          <w:szCs w:val="24"/>
        </w:rPr>
      </w:pPr>
    </w:p>
    <w:p w:rsidR="00C83E09" w:rsidP="00C83E09">
      <w:pPr>
        <w:pStyle w:val="Heading1"/>
      </w:pPr>
      <w:bookmarkStart w:id="1" w:name="_Toc462673186"/>
      <w:bookmarkStart w:id="2" w:name="_Toc471477792"/>
      <w:r>
        <w:t xml:space="preserve">I. </w:t>
      </w:r>
      <w:r>
        <w:tab/>
      </w:r>
      <w:r w:rsidRPr="00F2288D">
        <w:t>INTRODUCTION</w:t>
      </w:r>
      <w:bookmarkEnd w:id="1"/>
      <w:bookmarkEnd w:id="2"/>
    </w:p>
    <w:p w:rsidR="00C83E09" w:rsidRPr="0048108C" w:rsidP="00C83E09">
      <w:pPr>
        <w:spacing w:line="480" w:lineRule="auto"/>
        <w:ind w:firstLine="720"/>
        <w:contextualSpacing/>
        <w:rPr>
          <w:szCs w:val="24"/>
        </w:rPr>
      </w:pPr>
      <w:bookmarkStart w:id="3" w:name="_Toc314232317"/>
      <w:bookmarkStart w:id="4" w:name="_Toc334799827"/>
      <w:bookmarkStart w:id="5" w:name="_Toc334799903"/>
      <w:bookmarkStart w:id="6" w:name="_Toc414891921"/>
      <w:bookmarkStart w:id="7" w:name="_Toc415237292"/>
      <w:bookmarkStart w:id="8" w:name="_Toc462673187"/>
      <w:r w:rsidRPr="0048108C">
        <w:rPr>
          <w:szCs w:val="24"/>
        </w:rPr>
        <w:t>The Public Utilities Commission of Ohio (“PUCO”) still has the ability in this proceeding to protect 1.9 million Ohioans from paying massive subsidies to FirstEnergy (“FirstEnergy” or “Utilities”)</w:t>
      </w:r>
      <w:r>
        <w:rPr>
          <w:rStyle w:val="FootnoteReference"/>
          <w:szCs w:val="24"/>
        </w:rPr>
        <w:footnoteReference w:id="5"/>
      </w:r>
      <w:r w:rsidRPr="0048108C">
        <w:rPr>
          <w:szCs w:val="24"/>
        </w:rPr>
        <w:t xml:space="preserve"> in the name of credit support. The credit support will require consumers to pay $612 million over the next three years or more than $1 billion over five years.</w:t>
      </w:r>
      <w:r>
        <w:rPr>
          <w:rStyle w:val="FootnoteReference"/>
          <w:szCs w:val="24"/>
        </w:rPr>
        <w:footnoteReference w:id="6"/>
      </w:r>
      <w:r w:rsidRPr="0048108C">
        <w:rPr>
          <w:szCs w:val="24"/>
        </w:rPr>
        <w:t xml:space="preserve"> It is not for the electricity that they use. Instead </w:t>
      </w:r>
      <w:r w:rsidR="003B1DA4">
        <w:rPr>
          <w:szCs w:val="24"/>
        </w:rPr>
        <w:t xml:space="preserve">the customer-supplied subsidy </w:t>
      </w:r>
      <w:r w:rsidRPr="0048108C">
        <w:rPr>
          <w:szCs w:val="24"/>
        </w:rPr>
        <w:t xml:space="preserve">can be used to </w:t>
      </w:r>
      <w:r>
        <w:rPr>
          <w:szCs w:val="24"/>
        </w:rPr>
        <w:t>bailout</w:t>
      </w:r>
      <w:r w:rsidRPr="0048108C">
        <w:rPr>
          <w:szCs w:val="24"/>
        </w:rPr>
        <w:t xml:space="preserve"> FirstEnergy Corp</w:t>
      </w:r>
      <w:r w:rsidR="008E7ECF">
        <w:rPr>
          <w:szCs w:val="24"/>
        </w:rPr>
        <w:t>.</w:t>
      </w:r>
      <w:r w:rsidRPr="0048108C">
        <w:rPr>
          <w:szCs w:val="24"/>
        </w:rPr>
        <w:t xml:space="preserve"> or its unregulated generation affiliate in any way they see fit. </w:t>
      </w:r>
    </w:p>
    <w:p w:rsidR="009124B6" w:rsidP="00C83E09">
      <w:pPr>
        <w:spacing w:line="480" w:lineRule="auto"/>
        <w:ind w:firstLine="720"/>
        <w:contextualSpacing/>
        <w:rPr>
          <w:szCs w:val="24"/>
        </w:rPr>
        <w:sectPr w:rsidSect="009124B6">
          <w:headerReference w:type="first" r:id="rId14"/>
          <w:footerReference w:type="first" r:id="rId15"/>
          <w:pgSz w:w="12240" w:h="15840"/>
          <w:pgMar w:top="1440" w:right="1800" w:bottom="1440" w:left="1800" w:header="720" w:footer="720" w:gutter="0"/>
          <w:pgNumType w:start="1"/>
          <w:cols w:space="720"/>
          <w:titlePg/>
          <w:docGrid w:linePitch="326"/>
        </w:sectPr>
      </w:pPr>
      <w:r w:rsidRPr="0048108C">
        <w:rPr>
          <w:szCs w:val="24"/>
        </w:rPr>
        <w:t>In 1999, the Ohio General Assembly approved Senate Bill 3 (“S.B. 3”) that replaced cost-based regulation for generation with competitive markets. The fundamental premise behind S.B. 3 is that retail customers should not now be asked to protect Ohio electric utilities from competitive generation market risks or losses. FirstEnergy is now wholly responsible for whether it is in a competitive position in the generation market</w:t>
      </w:r>
      <w:r w:rsidR="00137271">
        <w:rPr>
          <w:szCs w:val="24"/>
        </w:rPr>
        <w:t xml:space="preserve"> so their</w:t>
      </w:r>
      <w:r w:rsidRPr="0048108C">
        <w:rPr>
          <w:szCs w:val="24"/>
        </w:rPr>
        <w:t xml:space="preserve"> generation should not be subsidized by consumers. Subsidies are harmful to a </w:t>
      </w:r>
    </w:p>
    <w:p w:rsidR="00C83E09" w:rsidRPr="0048108C" w:rsidP="006D25DD">
      <w:pPr>
        <w:spacing w:line="480" w:lineRule="auto"/>
        <w:contextualSpacing/>
        <w:rPr>
          <w:szCs w:val="24"/>
        </w:rPr>
      </w:pPr>
      <w:r>
        <w:rPr>
          <w:szCs w:val="24"/>
        </w:rPr>
        <w:t>com</w:t>
      </w:r>
      <w:r w:rsidRPr="0048108C">
        <w:rPr>
          <w:szCs w:val="24"/>
        </w:rPr>
        <w:t>petitive market. Instead, consumers should receive the benefits of historically low competitive market pricing as the Ohio General Assembly intended</w:t>
      </w:r>
      <w:r w:rsidR="00137271">
        <w:rPr>
          <w:szCs w:val="24"/>
        </w:rPr>
        <w:t xml:space="preserve"> when it required the separation of generation and distribution</w:t>
      </w:r>
      <w:r w:rsidRPr="0048108C">
        <w:rPr>
          <w:szCs w:val="24"/>
        </w:rPr>
        <w:t xml:space="preserve"> in 1999.</w:t>
      </w:r>
    </w:p>
    <w:p w:rsidR="00C83E09" w:rsidRPr="0048108C" w:rsidP="00C83E09">
      <w:pPr>
        <w:spacing w:line="480" w:lineRule="auto"/>
        <w:ind w:firstLine="720"/>
        <w:contextualSpacing/>
        <w:rPr>
          <w:szCs w:val="24"/>
        </w:rPr>
      </w:pPr>
      <w:r w:rsidRPr="0048108C">
        <w:rPr>
          <w:szCs w:val="24"/>
        </w:rPr>
        <w:t>The OCC</w:t>
      </w:r>
      <w:r w:rsidR="006D25DD">
        <w:rPr>
          <w:szCs w:val="24"/>
        </w:rPr>
        <w:t>,</w:t>
      </w:r>
      <w:r w:rsidRPr="0048108C">
        <w:rPr>
          <w:szCs w:val="24"/>
        </w:rPr>
        <w:t xml:space="preserve"> on behalf of Ohio’s residential energy consumers, submits this application for rehearing on the PUCO’s </w:t>
      </w:r>
      <w:r>
        <w:rPr>
          <w:szCs w:val="24"/>
        </w:rPr>
        <w:t>Sixth</w:t>
      </w:r>
      <w:r w:rsidRPr="0048108C">
        <w:rPr>
          <w:szCs w:val="24"/>
        </w:rPr>
        <w:t xml:space="preserve"> Entry on Rehearing. Because the PUCO’s decision violated Ohio law and the policy underlying the law, </w:t>
      </w:r>
      <w:r>
        <w:rPr>
          <w:szCs w:val="24"/>
        </w:rPr>
        <w:t>OCC</w:t>
      </w:r>
      <w:r w:rsidRPr="0048108C">
        <w:rPr>
          <w:szCs w:val="24"/>
        </w:rPr>
        <w:t xml:space="preserve"> seek</w:t>
      </w:r>
      <w:r>
        <w:rPr>
          <w:szCs w:val="24"/>
        </w:rPr>
        <w:t>s</w:t>
      </w:r>
      <w:r w:rsidRPr="0048108C">
        <w:rPr>
          <w:szCs w:val="24"/>
        </w:rPr>
        <w:t xml:space="preserve"> rehearing.  </w:t>
      </w:r>
    </w:p>
    <w:p w:rsidR="00C83E09" w:rsidP="00C83E09">
      <w:pPr>
        <w:ind w:firstLine="720"/>
      </w:pPr>
    </w:p>
    <w:p w:rsidR="00C83E09" w:rsidRPr="005D1C1E" w:rsidP="00C83E09">
      <w:pPr>
        <w:pStyle w:val="Heading1"/>
      </w:pPr>
      <w:bookmarkStart w:id="9" w:name="_Toc471477793"/>
      <w:r>
        <w:t>II.</w:t>
      </w:r>
      <w:r>
        <w:tab/>
      </w:r>
      <w:r w:rsidRPr="00415357">
        <w:t>STANDARD OF REVIEW</w:t>
      </w:r>
      <w:bookmarkEnd w:id="3"/>
      <w:bookmarkEnd w:id="4"/>
      <w:bookmarkEnd w:id="5"/>
      <w:bookmarkEnd w:id="6"/>
      <w:bookmarkEnd w:id="7"/>
      <w:bookmarkEnd w:id="8"/>
      <w:bookmarkEnd w:id="9"/>
    </w:p>
    <w:p w:rsidR="00C83E09" w:rsidP="00C83E09">
      <w:pPr>
        <w:spacing w:line="480" w:lineRule="auto"/>
        <w:ind w:firstLine="720"/>
      </w:pPr>
      <w:r>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on </w:t>
      </w:r>
      <w:r w:rsidR="00AD7043">
        <w:t>August 14, 2014</w:t>
      </w:r>
      <w:r>
        <w:t xml:space="preserve">, which was granted.  OCC also filed testimony regarding the application and participated in the evidentiary hearing on the application.  </w:t>
      </w:r>
    </w:p>
    <w:p w:rsidR="00C83E09" w:rsidP="00C83E09">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10" w:name="R35"/>
      <w:r w:rsidRPr="004E3DCB">
        <w:rPr>
          <w:rStyle w:val="Strong"/>
          <w:b w:val="0"/>
        </w:rPr>
        <w:t>4901-1-35</w:t>
      </w:r>
      <w:r w:rsidRPr="004E3DCB">
        <w:t>(A)</w:t>
      </w:r>
      <w:bookmarkEnd w:id="10"/>
      <w:r>
        <w:t xml:space="preserve"> states: “An application for rehearing must be accompanied by a memorandum in support, which shall be filed no later than the application for rehearing.”</w:t>
      </w:r>
    </w:p>
    <w:p w:rsidR="00C83E09" w:rsidP="00C83E09">
      <w:pPr>
        <w:spacing w:line="480" w:lineRule="auto"/>
        <w:ind w:firstLine="720"/>
      </w:pPr>
      <w:r>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C83E09" w:rsidP="00C83E09">
      <w:pPr>
        <w:spacing w:line="480" w:lineRule="auto"/>
        <w:ind w:firstLine="720"/>
      </w:pPr>
      <w:r>
        <w:t xml:space="preserve">The statutory standard for abrogating some portions of the Order and modifying other portions is met here. The PUCO should grant and hold rehearing on the matters specified in this Application for Rehearing, and subsequently abrogate or modify its </w:t>
      </w:r>
      <w:r w:rsidR="00397BE7">
        <w:t>Sixth Entry on Rehearing of December 7,</w:t>
      </w:r>
      <w:r>
        <w:t xml:space="preserve"> 2016. The PUCO’s ruling was unreasonable or unlawful in the following respects.</w:t>
      </w:r>
    </w:p>
    <w:p w:rsidR="00C83E09" w:rsidP="00C83E09">
      <w:pPr>
        <w:ind w:firstLine="720"/>
      </w:pPr>
    </w:p>
    <w:p w:rsidR="00C83E09" w:rsidRPr="00EB2D16" w:rsidP="00C83E09">
      <w:pPr>
        <w:pStyle w:val="Heading1"/>
      </w:pPr>
      <w:bookmarkStart w:id="11" w:name="_Toc462673188"/>
      <w:bookmarkStart w:id="12" w:name="_Toc471477794"/>
      <w:r w:rsidRPr="000609BB">
        <w:t>I</w:t>
      </w:r>
      <w:r>
        <w:t>I</w:t>
      </w:r>
      <w:r w:rsidRPr="000609BB">
        <w:t xml:space="preserve">I. </w:t>
      </w:r>
      <w:r>
        <w:tab/>
      </w:r>
      <w:r w:rsidRPr="00152983">
        <w:t>ERRORS</w:t>
      </w:r>
      <w:bookmarkEnd w:id="11"/>
      <w:bookmarkEnd w:id="12"/>
    </w:p>
    <w:p w:rsidR="00C83E09" w:rsidP="00C83E09">
      <w:pPr>
        <w:pStyle w:val="Heading2"/>
      </w:pPr>
      <w:bookmarkStart w:id="13" w:name="_Toc462673189"/>
      <w:bookmarkStart w:id="14" w:name="_Toc471477795"/>
      <w:r w:rsidRPr="002C2A6D">
        <w:t xml:space="preserve">Assignment of Error 1: </w:t>
      </w:r>
      <w:bookmarkEnd w:id="13"/>
      <w:r w:rsidRPr="002C2A6D">
        <w:t>The PUCO erred in not granting and holding rehearing on the matters specified in OCC's application for rehearing.</w:t>
      </w:r>
      <w:bookmarkEnd w:id="14"/>
      <w:r w:rsidRPr="002C2A6D">
        <w:t xml:space="preserve">   </w:t>
      </w:r>
    </w:p>
    <w:p w:rsidR="00C83E09" w:rsidP="00C83E09">
      <w:pPr>
        <w:spacing w:line="480" w:lineRule="auto"/>
        <w:ind w:firstLine="720"/>
      </w:pPr>
      <w:r>
        <w:t>The PUCO ruled that rehearing should be granted for further consideration of the matters specified in the applications for rehearing.</w:t>
      </w:r>
      <w:r>
        <w:rPr>
          <w:rStyle w:val="FootnoteReference"/>
        </w:rPr>
        <w:footnoteReference w:id="7"/>
      </w:r>
      <w:r>
        <w:t xml:space="preserve">  The PUCO was wrong in doing so because it should have granted OCC rehearing on the matters specified in its Application for Rehearing.  </w:t>
      </w:r>
    </w:p>
    <w:p w:rsidR="009124B6" w:rsidP="00C83E09">
      <w:pPr>
        <w:spacing w:line="480" w:lineRule="auto"/>
        <w:ind w:firstLine="720"/>
        <w:sectPr w:rsidSect="009124B6">
          <w:headerReference w:type="default" r:id="rId16"/>
          <w:headerReference w:type="first" r:id="rId17"/>
          <w:pgSz w:w="12240" w:h="15840"/>
          <w:pgMar w:top="1440" w:right="1800" w:bottom="1440" w:left="1800" w:header="720" w:footer="720" w:gutter="0"/>
          <w:cols w:space="720"/>
          <w:titlePg/>
          <w:docGrid w:linePitch="326"/>
        </w:sectPr>
      </w:pPr>
      <w:r>
        <w:t xml:space="preserve">OCC requested rehearing alleging that the PUCO violated the law (R.C. </w:t>
      </w:r>
      <w:r w:rsidR="0095057F">
        <w:t>4903.38 and 4928.143</w:t>
      </w:r>
      <w:r w:rsidR="00F107DC">
        <w:t>)</w:t>
      </w:r>
      <w:r>
        <w:t xml:space="preserve">, which permitted </w:t>
      </w:r>
      <w:r w:rsidR="0095057F">
        <w:t>FirstEnergy</w:t>
      </w:r>
      <w:r>
        <w:t xml:space="preserve"> to</w:t>
      </w:r>
      <w:r w:rsidR="0095057F">
        <w:t xml:space="preserve"> collect from customers $204 million per year under the guise of providing credit support to the electric distribution utilities (“EDU”)</w:t>
      </w:r>
      <w:r w:rsidR="00F107DC">
        <w:t xml:space="preserve"> for grid modernization</w:t>
      </w:r>
      <w:r>
        <w:t>.</w:t>
      </w:r>
      <w:r w:rsidR="0095057F">
        <w:t xml:space="preserve">  The fallacy in the PUCO’s logic is that there was no requirement that a single dollar of the revenues collected through the credit support rider had to be used for grid modernization.  </w:t>
      </w:r>
      <w:r w:rsidR="00BF1006">
        <w:t>T</w:t>
      </w:r>
      <w:r w:rsidR="0095057F">
        <w:t xml:space="preserve">he credit support rider funds could be used to </w:t>
      </w:r>
    </w:p>
    <w:p w:rsidR="00C83E09" w:rsidP="009124B6">
      <w:pPr>
        <w:spacing w:line="480" w:lineRule="auto"/>
      </w:pPr>
      <w:r>
        <w:t xml:space="preserve">bailout </w:t>
      </w:r>
      <w:r w:rsidR="00F107DC">
        <w:t>the EDU’s parent or unregulated generation affiliate – FirstEnergy Solutions</w:t>
      </w:r>
      <w:r w:rsidR="00AD7043">
        <w:t xml:space="preserve"> or any of a number of scenarios which have nothing to do with grid modernization</w:t>
      </w:r>
      <w:r w:rsidR="00F107DC">
        <w:t xml:space="preserve">.  </w:t>
      </w:r>
      <w:r>
        <w:t xml:space="preserve"> </w:t>
      </w:r>
      <w:r>
        <w:t xml:space="preserve">  </w:t>
      </w:r>
    </w:p>
    <w:p w:rsidR="00C83E09" w:rsidP="00C83E09">
      <w:pPr>
        <w:spacing w:line="480" w:lineRule="auto"/>
        <w:ind w:firstLine="720"/>
      </w:pPr>
      <w:r>
        <w:t xml:space="preserve">It was not reasonable or lawful for the PUCO to </w:t>
      </w:r>
      <w:r w:rsidR="00F107DC">
        <w:t xml:space="preserve">approve FirstEnergy’s electric security plan (“ESP”) that included a credit support provision charged to customers who may see no tangible benefit from the charge.  The PUCO’s approval of the credit support rider constituted an unlawful subsidy that </w:t>
      </w:r>
      <w:r w:rsidR="00397BE7">
        <w:t>may benefit FirstEnergy’s parent or unregulated generation affiliate.</w:t>
      </w:r>
      <w:r w:rsidR="00F107DC">
        <w:t xml:space="preserve"> </w:t>
      </w:r>
      <w:r>
        <w:t xml:space="preserve">The error was clear.  The PUCO </w:t>
      </w:r>
      <w:bookmarkStart w:id="15" w:name="_Toc462673193"/>
      <w:r>
        <w:t>should have granted rehearing</w:t>
      </w:r>
      <w:r w:rsidR="00397BE7">
        <w:t>.</w:t>
      </w:r>
    </w:p>
    <w:p w:rsidR="00C83E09" w:rsidP="00C83E09">
      <w:pPr>
        <w:pStyle w:val="Heading2"/>
      </w:pPr>
      <w:bookmarkStart w:id="16" w:name="_Toc471477796"/>
      <w:r w:rsidRPr="0087051F">
        <w:t>Assignment of Error 2:</w:t>
      </w:r>
      <w:r>
        <w:t xml:space="preserve">  </w:t>
      </w:r>
      <w:r w:rsidRPr="0085075C">
        <w:t>The PUCO erred by granting rehearing to allow itself more time to issue a final appealable order.  By doing so, the PUCO fails to fulfill its duty to hear matters pending before it without unreasonable delay</w:t>
      </w:r>
      <w:r>
        <w:t xml:space="preserve"> </w:t>
      </w:r>
      <w:r w:rsidRPr="0085075C">
        <w:t>and with due regard to the rights and interests of all litigants before it. The PUCO's Order permits it to evade a timely review</w:t>
      </w:r>
      <w:r>
        <w:t xml:space="preserve"> and reconsideration </w:t>
      </w:r>
      <w:r w:rsidRPr="0085075C">
        <w:t xml:space="preserve">of its order by the Ohio Supreme Court and precludes parties from exercising their rights to appeal </w:t>
      </w:r>
      <w:r>
        <w:t xml:space="preserve">a </w:t>
      </w:r>
      <w:r w:rsidRPr="0085075C">
        <w:t>PUCO order to the Ohio Supreme Court -- a right that is established</w:t>
      </w:r>
      <w:r w:rsidR="00137271">
        <w:t xml:space="preserve"> </w:t>
      </w:r>
      <w:r>
        <w:t>under R.C. 4903.10 and 4903.11 and 4903.13</w:t>
      </w:r>
      <w:r w:rsidRPr="0085075C">
        <w:t>.</w:t>
      </w:r>
      <w:bookmarkEnd w:id="16"/>
      <w:r w:rsidRPr="0085075C">
        <w:t xml:space="preserve">  </w:t>
      </w:r>
    </w:p>
    <w:p w:rsidR="00C83E09" w:rsidP="00C83E09">
      <w:pPr>
        <w:spacing w:line="480" w:lineRule="auto"/>
        <w:ind w:firstLine="720"/>
      </w:pPr>
      <w:r>
        <w:t>The</w:t>
      </w:r>
      <w:r w:rsidR="008E7ECF">
        <w:t xml:space="preserve"> Ohio Supreme</w:t>
      </w:r>
      <w:r>
        <w:t xml:space="preserve"> Court</w:t>
      </w:r>
      <w:r w:rsidR="008E7ECF">
        <w:t xml:space="preserve"> (“Court”)</w:t>
      </w:r>
      <w:r>
        <w:t xml:space="preserve"> has held that "[i]t is the duty of the commission to hear matters pending before the commission without unreasonable delay and with due regard to the rights and interests of all litigants before that tribunal."</w:t>
      </w:r>
      <w:r>
        <w:rPr>
          <w:rStyle w:val="FootnoteReference"/>
        </w:rPr>
        <w:footnoteReference w:id="8"/>
      </w:r>
      <w:r w:rsidR="00044E66">
        <w:t xml:space="preserve"> </w:t>
      </w:r>
      <w:r>
        <w:t xml:space="preserve">This duty is described, with defined parameters, under R.C. 4903.10.  </w:t>
      </w:r>
    </w:p>
    <w:p w:rsidR="009124B6" w:rsidP="00C83E09">
      <w:pPr>
        <w:spacing w:line="480" w:lineRule="auto"/>
        <w:ind w:firstLine="720"/>
        <w:sectPr w:rsidSect="009124B6">
          <w:headerReference w:type="default" r:id="rId18"/>
          <w:headerReference w:type="first" r:id="rId19"/>
          <w:pgSz w:w="12240" w:h="15840"/>
          <w:pgMar w:top="1440" w:right="1800" w:bottom="1440" w:left="1800" w:header="720" w:footer="720" w:gutter="0"/>
          <w:pgNumType w:start="4"/>
          <w:cols w:space="720"/>
          <w:titlePg/>
          <w:docGrid w:linePitch="326"/>
        </w:sectPr>
      </w:pPr>
      <w:r>
        <w:t xml:space="preserve">Under R.C. 4903.10, the General Assembly established a thirty day process for the PUCO to either grant or deny rehearing.  Under the statute, if the PUCO does not grant or deny the applications within thirty days, the applications are denied by operation of law.  This provision was meant to ensure that the PUCO resolved applications in a </w:t>
      </w:r>
    </w:p>
    <w:p w:rsidR="00C83E09" w:rsidP="009124B6">
      <w:pPr>
        <w:spacing w:line="480" w:lineRule="auto"/>
      </w:pPr>
      <w:r>
        <w:t xml:space="preserve">timely manner--thirty days under the statute. </w:t>
      </w:r>
      <w:r w:rsidR="00F57E19">
        <w:t xml:space="preserve"> The statute is designed to enforce the axiom that "justice delayed is justice denied." </w:t>
      </w:r>
      <w:r>
        <w:rPr>
          <w:rStyle w:val="FootnoteReference"/>
        </w:rPr>
        <w:footnoteReference w:id="9"/>
      </w:r>
    </w:p>
    <w:p w:rsidR="00C83E09" w:rsidP="00C83E09">
      <w:pPr>
        <w:spacing w:line="480" w:lineRule="auto"/>
        <w:ind w:firstLine="720"/>
      </w:pPr>
      <w:r>
        <w:t>The timely resolution of applications for rehearing (within 30 days) is important because an order of the PUCO cannot be appealed as a "final order" until the PUCO has ruled on all rehearing applications or the rehearing has been denied by operation of law.</w:t>
      </w:r>
      <w:r>
        <w:rPr>
          <w:rStyle w:val="FootnoteReference"/>
        </w:rPr>
        <w:footnoteReference w:id="10"/>
      </w:r>
      <w:r>
        <w:t xml:space="preserve">  Yet the </w:t>
      </w:r>
      <w:r w:rsidR="00397BE7">
        <w:t>Sixth Entry on Rehearing</w:t>
      </w:r>
      <w:r>
        <w:t xml:space="preserve"> upon which rehearing is being sought is "effective," with customers being charged rates that are challenged on rehearing.</w:t>
      </w:r>
      <w:r>
        <w:rPr>
          <w:rStyle w:val="FootnoteReference"/>
        </w:rPr>
        <w:footnoteReference w:id="11"/>
      </w:r>
      <w:r>
        <w:t xml:space="preserve">  That means </w:t>
      </w:r>
      <w:r w:rsidR="00397BE7">
        <w:t>FirstEnergy</w:t>
      </w:r>
      <w:r>
        <w:t xml:space="preserve"> can charge customers rates that include a</w:t>
      </w:r>
      <w:r w:rsidR="00397BE7">
        <w:t>n annual</w:t>
      </w:r>
      <w:r>
        <w:t xml:space="preserve"> $</w:t>
      </w:r>
      <w:r w:rsidR="00397BE7">
        <w:t>204 million credit support rider</w:t>
      </w:r>
      <w:r>
        <w:t xml:space="preserve"> charge, regardless of the fact that OCC is challenging that charge before the PUCO.  This </w:t>
      </w:r>
      <w:r w:rsidR="0054304B">
        <w:t>happens because under Ohio law</w:t>
      </w:r>
      <w:r>
        <w:t xml:space="preserve"> the PUCO has authority to implement its Order, regardless of challenges to the order made through the rehearing process.  The law (R.C. 4903.10) makes clear that the filing of an application for rehearing does not excuse compliance with the order or operate to stay or postpone enforcement of the order. </w:t>
      </w:r>
    </w:p>
    <w:p w:rsidR="009124B6" w:rsidP="001179FB">
      <w:pPr>
        <w:spacing w:line="480" w:lineRule="auto"/>
        <w:ind w:firstLine="720"/>
        <w:sectPr w:rsidSect="009124B6">
          <w:headerReference w:type="first" r:id="rId20"/>
          <w:pgSz w:w="12240" w:h="15840"/>
          <w:pgMar w:top="1440" w:right="1800" w:bottom="1440" w:left="1800" w:header="720" w:footer="720" w:gutter="0"/>
          <w:cols w:space="720"/>
          <w:titlePg/>
          <w:docGrid w:linePitch="326"/>
        </w:sectPr>
      </w:pPr>
      <w:r>
        <w:t xml:space="preserve">The PUCO, however, has recently been side-stepping the thirty-day review by instead employing a process under which rehearing has been extended by months, and in </w:t>
      </w:r>
    </w:p>
    <w:p w:rsidR="0062048A" w:rsidP="0038028D">
      <w:pPr>
        <w:spacing w:line="480" w:lineRule="auto"/>
      </w:pPr>
      <w:r>
        <w:t>some cases, even years.</w:t>
      </w:r>
      <w:r>
        <w:rPr>
          <w:rStyle w:val="FootnoteReference"/>
        </w:rPr>
        <w:footnoteReference w:id="12"/>
      </w:r>
      <w:r>
        <w:t xml:space="preserve">  And while the Court has ruled that the PUCO may grant applications for rehearing for the limited purpose of allowing additional time to consider them,</w:t>
      </w:r>
      <w:r>
        <w:rPr>
          <w:rStyle w:val="FootnoteReference"/>
        </w:rPr>
        <w:footnoteReference w:id="13"/>
      </w:r>
      <w:r>
        <w:t xml:space="preserve"> the Court's ruling is being unreasonably applied in a manner that disrupts timely judicial review of PUCO rulings</w:t>
      </w:r>
      <w:r w:rsidR="00BF1006">
        <w:t xml:space="preserve">, prejudicing </w:t>
      </w:r>
      <w:r>
        <w:t>would-be appellants.  The PUCO can thwart (and evade) judicial review by granting itself more time to consider the applications and issuing a final order months or years down the road, while at the same time subsidies are being collected from Ohioans.</w:t>
      </w:r>
      <w:r>
        <w:rPr>
          <w:rStyle w:val="FootnoteReference"/>
        </w:rPr>
        <w:footnoteReference w:id="14"/>
      </w:r>
      <w:r w:rsidR="00F763C5">
        <w:t xml:space="preserve"> </w:t>
      </w:r>
      <w:r>
        <w:t xml:space="preserve"> </w:t>
      </w:r>
    </w:p>
    <w:p w:rsidR="009124B6" w:rsidP="001179FB">
      <w:pPr>
        <w:spacing w:line="480" w:lineRule="auto"/>
        <w:ind w:firstLine="720"/>
        <w:sectPr w:rsidSect="009124B6">
          <w:pgSz w:w="12240" w:h="15840"/>
          <w:pgMar w:top="1440" w:right="1800" w:bottom="1440" w:left="1800" w:header="720" w:footer="720" w:gutter="0"/>
          <w:cols w:space="720"/>
          <w:titlePg/>
          <w:docGrid w:linePitch="326"/>
        </w:sectPr>
      </w:pPr>
      <w:r>
        <w:t xml:space="preserve">Delaying </w:t>
      </w:r>
      <w:r w:rsidR="00C83E09">
        <w:t>judicial review matters to Ohioans because of Court precedent</w:t>
      </w:r>
      <w:r>
        <w:rPr>
          <w:rStyle w:val="FootnoteReference"/>
        </w:rPr>
        <w:footnoteReference w:id="15"/>
      </w:r>
      <w:r w:rsidR="00C83E09">
        <w:t xml:space="preserve"> that generally precludes refunds to customers for rates already collected.  Each day that the PUCO delays issuing a final order, is a day that rates are charged to customers without an opportunity to stop </w:t>
      </w:r>
      <w:r w:rsidR="001179FB">
        <w:t>these</w:t>
      </w:r>
      <w:r w:rsidR="00C83E09">
        <w:t xml:space="preserve"> collections and without a likely recourse to a refund</w:t>
      </w:r>
      <w:r w:rsidR="001179FB">
        <w:t xml:space="preserve"> </w:t>
      </w:r>
      <w:r w:rsidR="006D25DD">
        <w:t xml:space="preserve">of </w:t>
      </w:r>
      <w:r w:rsidR="001179FB">
        <w:t>the collections from customers</w:t>
      </w:r>
      <w:r w:rsidR="00C83E09">
        <w:t xml:space="preserve">.  </w:t>
      </w:r>
    </w:p>
    <w:p w:rsidR="00C83E09" w:rsidP="001179FB">
      <w:pPr>
        <w:spacing w:line="480" w:lineRule="auto"/>
        <w:ind w:firstLine="720"/>
      </w:pPr>
      <w:r>
        <w:t xml:space="preserve">The delay in ruling upon OCC's application for rehearing harms customers because customers must pay increased rates </w:t>
      </w:r>
      <w:r w:rsidR="0062048A">
        <w:t>that are not paid subject to refund</w:t>
      </w:r>
      <w:r w:rsidR="00044E66">
        <w:t xml:space="preserve"> or not stayed</w:t>
      </w:r>
      <w:r w:rsidR="0062048A">
        <w:t>.</w:t>
      </w:r>
      <w:r w:rsidR="00F57E19">
        <w:t xml:space="preserve">  </w:t>
      </w:r>
      <w:r w:rsidR="00BF1006">
        <w:t>This is prejudicial</w:t>
      </w:r>
      <w:r w:rsidR="00F57E19">
        <w:t xml:space="preserve">, </w:t>
      </w:r>
      <w:r w:rsidR="00F4255F">
        <w:t xml:space="preserve">and </w:t>
      </w:r>
      <w:r w:rsidR="00F57E19">
        <w:t>manifestly unjust.</w:t>
      </w:r>
      <w:r>
        <w:rPr>
          <w:rStyle w:val="FootnoteReference"/>
        </w:rPr>
        <w:footnoteReference w:id="16"/>
      </w:r>
      <w:r w:rsidR="0062048A">
        <w:t xml:space="preserve"> The delay in ruling on the application for rehearing forecloses OCC from seeking relief from the Ohio Supreme Court, including relief </w:t>
      </w:r>
      <w:r w:rsidR="0054304B">
        <w:t xml:space="preserve">(non-payment of disputed rates) </w:t>
      </w:r>
      <w:r w:rsidR="00044E66">
        <w:t xml:space="preserve">by staying the </w:t>
      </w:r>
      <w:r w:rsidR="0054304B">
        <w:t xml:space="preserve">collection </w:t>
      </w:r>
      <w:r w:rsidR="00044E66">
        <w:t xml:space="preserve">of rates. </w:t>
      </w:r>
      <w:r w:rsidR="0062048A">
        <w:t xml:space="preserve"> While OCC may pursue extraordinary relief</w:t>
      </w:r>
      <w:r>
        <w:rPr>
          <w:rStyle w:val="FootnoteReference"/>
        </w:rPr>
        <w:footnoteReference w:id="17"/>
      </w:r>
      <w:r w:rsidR="0062048A">
        <w:t xml:space="preserve"> from the Court, even without a ruling on rehearing, that relief is </w:t>
      </w:r>
      <w:r w:rsidR="00F4255F">
        <w:t xml:space="preserve">generally beyond OCC's grasp.  </w:t>
      </w:r>
      <w:r w:rsidR="00044E66">
        <w:t>This is</w:t>
      </w:r>
      <w:r w:rsidR="0062048A">
        <w:t xml:space="preserve"> because it is </w:t>
      </w:r>
      <w:r w:rsidR="00044E66">
        <w:t>likely</w:t>
      </w:r>
      <w:r w:rsidR="0054304B">
        <w:t>, based on past experience,</w:t>
      </w:r>
      <w:r>
        <w:rPr>
          <w:rStyle w:val="FootnoteReference"/>
        </w:rPr>
        <w:footnoteReference w:id="18"/>
      </w:r>
      <w:r w:rsidR="0054304B">
        <w:t xml:space="preserve"> </w:t>
      </w:r>
      <w:r w:rsidR="00044E66">
        <w:t xml:space="preserve"> that the Court will deny such relief </w:t>
      </w:r>
      <w:r w:rsidR="00F4255F">
        <w:t xml:space="preserve">as </w:t>
      </w:r>
      <w:r w:rsidR="00044E66">
        <w:t xml:space="preserve">OCC </w:t>
      </w:r>
      <w:r w:rsidR="00F4255F">
        <w:t>has a s</w:t>
      </w:r>
      <w:r w:rsidR="0054304B">
        <w:t>o-called "</w:t>
      </w:r>
      <w:r w:rsidR="00044E66">
        <w:t>adequate remedy at law</w:t>
      </w:r>
      <w:r w:rsidR="0054304B">
        <w:t>"</w:t>
      </w:r>
      <w:r w:rsidR="001179FB">
        <w:t xml:space="preserve">:  </w:t>
      </w:r>
      <w:r w:rsidR="00F4255F">
        <w:t xml:space="preserve"> an appeal from the eventual PUCO final order.  </w:t>
      </w:r>
      <w:r w:rsidR="0062048A">
        <w:t xml:space="preserve">    </w:t>
      </w:r>
      <w:r w:rsidR="00BF1006">
        <w:t xml:space="preserve"> </w:t>
      </w:r>
    </w:p>
    <w:p w:rsidR="009124B6" w:rsidP="00C83E09">
      <w:pPr>
        <w:spacing w:line="480" w:lineRule="auto"/>
        <w:ind w:firstLine="720"/>
        <w:sectPr w:rsidSect="009124B6">
          <w:pgSz w:w="12240" w:h="15840"/>
          <w:pgMar w:top="1440" w:right="1800" w:bottom="1440" w:left="1800" w:header="720" w:footer="720" w:gutter="0"/>
          <w:cols w:space="720"/>
          <w:titlePg/>
          <w:docGrid w:linePitch="326"/>
        </w:sectPr>
      </w:pPr>
      <w:r>
        <w:t>Rehearing should be granted (or denied) and a final order should be issued.  Granting more time to consider issues raised on rehearing unreasonably delays the issuance of a final order</w:t>
      </w:r>
      <w:r w:rsidR="00701512">
        <w:t xml:space="preserve"> all while customers are paying higher rates</w:t>
      </w:r>
      <w:r>
        <w:t xml:space="preserve">.  Under the PUCO's practice, there is no denial of the application for rehearing, either by law or by entry.  Thus, there is no final order.  This makes it impossible for parties to exercise their rights under R.C. 4903.11 and 4903.13 to appeal PUCO decisions to the Court.  And because the PUCO has not ordered a stay of the rates, or ordered rates be collected subject to refund, its dilatory rulings </w:t>
      </w:r>
      <w:r w:rsidR="0054304B">
        <w:t xml:space="preserve">unduly delay any relief customers can seek, </w:t>
      </w:r>
      <w:r>
        <w:t>provid</w:t>
      </w:r>
      <w:r w:rsidR="0054304B">
        <w:t>ing</w:t>
      </w:r>
      <w:r>
        <w:t xml:space="preserve"> immediate</w:t>
      </w:r>
      <w:r w:rsidR="0054304B">
        <w:t xml:space="preserve"> and </w:t>
      </w:r>
      <w:r>
        <w:t xml:space="preserve">material harm to customers.  </w:t>
      </w:r>
    </w:p>
    <w:p w:rsidR="00C83E09" w:rsidP="00C83E09">
      <w:pPr>
        <w:spacing w:line="480" w:lineRule="auto"/>
        <w:ind w:firstLine="720"/>
      </w:pPr>
      <w:r>
        <w:t xml:space="preserve">The PUCO should not be able to evade judicial review of its decisions by failing to issue a timely final appealable order. Rehearing should be granted, with a final appealable order being issued.  This will allow parties to exercise their statutory rights to appeal the PUCO's decisions. </w:t>
      </w:r>
    </w:p>
    <w:p w:rsidR="00C83E09" w:rsidP="00C83E09">
      <w:pPr>
        <w:ind w:firstLine="720"/>
      </w:pPr>
    </w:p>
    <w:p w:rsidR="00C83E09" w:rsidRPr="00EB2D16" w:rsidP="00C83E09">
      <w:pPr>
        <w:pStyle w:val="Heading1"/>
      </w:pPr>
      <w:r>
        <w:t xml:space="preserve">  </w:t>
      </w:r>
      <w:bookmarkStart w:id="17" w:name="_Toc471477797"/>
      <w:r w:rsidRPr="00EB2D16">
        <w:t xml:space="preserve">IV. </w:t>
      </w:r>
      <w:r w:rsidRPr="00EB2D16">
        <w:tab/>
        <w:t>CONCLUSION</w:t>
      </w:r>
      <w:bookmarkEnd w:id="15"/>
      <w:bookmarkEnd w:id="17"/>
    </w:p>
    <w:p w:rsidR="00C83E09" w:rsidP="00C83E09">
      <w:pPr>
        <w:spacing w:line="480" w:lineRule="auto"/>
        <w:ind w:firstLine="720"/>
      </w:pPr>
      <w:r>
        <w:t xml:space="preserve">To protect customers, the PUCO should grant rehearing and abrogate or modify its </w:t>
      </w:r>
      <w:r w:rsidR="00397BE7">
        <w:t>Sixth Entry on Rehearing</w:t>
      </w:r>
      <w:r>
        <w:t xml:space="preserve">.  This would ensure that parties, including OCC, can exercise their statutory right to appeal the PUCO decisions in a timely manner and helps protect the interests of the residential customers that OCC represents.  </w:t>
      </w:r>
    </w:p>
    <w:p w:rsidR="00C83E09" w:rsidRPr="00EB2D16" w:rsidP="00C83E09">
      <w:pPr>
        <w:spacing w:line="480" w:lineRule="auto"/>
        <w:ind w:firstLine="720"/>
      </w:pPr>
      <w:r>
        <w:rPr>
          <w:szCs w:val="24"/>
        </w:rPr>
        <w:tab/>
      </w:r>
      <w:r>
        <w:rPr>
          <w:szCs w:val="24"/>
        </w:rPr>
        <w:tab/>
      </w:r>
      <w:r>
        <w:rPr>
          <w:szCs w:val="24"/>
        </w:rPr>
        <w:tab/>
      </w:r>
      <w:r>
        <w:rPr>
          <w:szCs w:val="24"/>
        </w:rPr>
        <w:tab/>
      </w:r>
      <w:r>
        <w:rPr>
          <w:szCs w:val="24"/>
        </w:rPr>
        <w:tab/>
      </w:r>
      <w:r w:rsidRPr="00EB2D16">
        <w:t>Respectfully submitted,</w:t>
      </w:r>
    </w:p>
    <w:p w:rsidR="00C83E09" w:rsidRPr="00EB2D16" w:rsidP="00C83E09">
      <w:pPr>
        <w:tabs>
          <w:tab w:val="left" w:pos="4320"/>
        </w:tabs>
        <w:ind w:left="4320"/>
        <w:rPr>
          <w:szCs w:val="24"/>
        </w:rPr>
      </w:pPr>
      <w:r w:rsidRPr="00EB2D16">
        <w:rPr>
          <w:szCs w:val="24"/>
        </w:rPr>
        <w:t>BRUCE WESTON (0016973)</w:t>
      </w:r>
    </w:p>
    <w:p w:rsidR="00C83E09" w:rsidP="00C83E09">
      <w:pPr>
        <w:tabs>
          <w:tab w:val="left" w:pos="4320"/>
        </w:tabs>
        <w:ind w:left="4320"/>
        <w:rPr>
          <w:szCs w:val="24"/>
        </w:rPr>
      </w:pPr>
      <w:r w:rsidRPr="00EB2D16">
        <w:rPr>
          <w:szCs w:val="24"/>
        </w:rPr>
        <w:t>OHIO CONSUMERS’ COUNSEL</w:t>
      </w:r>
    </w:p>
    <w:p w:rsidR="0038028D" w:rsidRPr="00EB2D16" w:rsidP="00C83E09">
      <w:pPr>
        <w:tabs>
          <w:tab w:val="left" w:pos="4320"/>
        </w:tabs>
        <w:ind w:left="4320"/>
        <w:rPr>
          <w:szCs w:val="24"/>
        </w:rPr>
      </w:pPr>
    </w:p>
    <w:p w:rsidR="00C83E09" w:rsidRPr="0038028D" w:rsidP="00C83E09">
      <w:pPr>
        <w:tabs>
          <w:tab w:val="left" w:pos="4320"/>
        </w:tabs>
        <w:ind w:left="4320"/>
        <w:rPr>
          <w:i/>
          <w:szCs w:val="24"/>
          <w:u w:val="single"/>
        </w:rPr>
      </w:pPr>
      <w:r>
        <w:rPr>
          <w:i/>
          <w:szCs w:val="24"/>
          <w:u w:val="single"/>
        </w:rPr>
        <w:t>/s/ Larry S. Sauer</w:t>
      </w:r>
    </w:p>
    <w:p w:rsidR="00E20893" w:rsidRPr="0048108C" w:rsidP="00E20893">
      <w:pPr>
        <w:tabs>
          <w:tab w:val="left" w:pos="4230"/>
        </w:tabs>
        <w:ind w:left="4320"/>
        <w:contextualSpacing/>
        <w:rPr>
          <w:szCs w:val="24"/>
        </w:rPr>
      </w:pPr>
      <w:r w:rsidRPr="0048108C">
        <w:rPr>
          <w:szCs w:val="24"/>
        </w:rPr>
        <w:t>Larry S. Sauer (0039223)</w:t>
      </w:r>
    </w:p>
    <w:p w:rsidR="00E20893" w:rsidRPr="0048108C" w:rsidP="00E20893">
      <w:pPr>
        <w:tabs>
          <w:tab w:val="left" w:pos="4230"/>
        </w:tabs>
        <w:ind w:left="4320"/>
        <w:contextualSpacing/>
        <w:rPr>
          <w:szCs w:val="24"/>
        </w:rPr>
      </w:pPr>
      <w:r w:rsidRPr="0048108C">
        <w:rPr>
          <w:szCs w:val="24"/>
        </w:rPr>
        <w:t>Counsel of Record</w:t>
      </w:r>
    </w:p>
    <w:p w:rsidR="00E20893" w:rsidRPr="0048108C" w:rsidP="00E20893">
      <w:pPr>
        <w:autoSpaceDE w:val="0"/>
        <w:autoSpaceDN w:val="0"/>
        <w:adjustRightInd w:val="0"/>
        <w:ind w:left="4320"/>
        <w:rPr>
          <w:szCs w:val="24"/>
        </w:rPr>
      </w:pPr>
      <w:r w:rsidRPr="0048108C">
        <w:rPr>
          <w:szCs w:val="24"/>
        </w:rPr>
        <w:t>Maureen R. Willis (0020847)</w:t>
      </w:r>
    </w:p>
    <w:p w:rsidR="00E20893" w:rsidRPr="0048108C" w:rsidP="00E20893">
      <w:pPr>
        <w:autoSpaceDE w:val="0"/>
        <w:autoSpaceDN w:val="0"/>
        <w:adjustRightInd w:val="0"/>
        <w:ind w:left="4320"/>
        <w:rPr>
          <w:szCs w:val="24"/>
        </w:rPr>
      </w:pPr>
      <w:r w:rsidRPr="0048108C">
        <w:rPr>
          <w:szCs w:val="24"/>
        </w:rPr>
        <w:t>William J. Michael (0070921)</w:t>
      </w:r>
    </w:p>
    <w:p w:rsidR="00E20893" w:rsidRPr="0048108C" w:rsidP="00E20893">
      <w:pPr>
        <w:autoSpaceDE w:val="0"/>
        <w:autoSpaceDN w:val="0"/>
        <w:adjustRightInd w:val="0"/>
        <w:ind w:left="4320"/>
        <w:rPr>
          <w:szCs w:val="24"/>
        </w:rPr>
      </w:pPr>
      <w:r w:rsidRPr="0048108C">
        <w:rPr>
          <w:szCs w:val="24"/>
        </w:rPr>
        <w:t>Kevin F. Moore (0089228)</w:t>
      </w:r>
    </w:p>
    <w:p w:rsidR="00E20893" w:rsidRPr="0048108C" w:rsidP="00E20893">
      <w:pPr>
        <w:autoSpaceDE w:val="0"/>
        <w:autoSpaceDN w:val="0"/>
        <w:adjustRightInd w:val="0"/>
        <w:ind w:left="4320"/>
        <w:rPr>
          <w:szCs w:val="24"/>
        </w:rPr>
      </w:pPr>
      <w:r w:rsidRPr="0048108C">
        <w:rPr>
          <w:szCs w:val="24"/>
        </w:rPr>
        <w:t>Ajay Kumar (0092208)</w:t>
      </w:r>
    </w:p>
    <w:p w:rsidR="00E20893" w:rsidRPr="0048108C" w:rsidP="00E20893">
      <w:pPr>
        <w:autoSpaceDE w:val="0"/>
        <w:autoSpaceDN w:val="0"/>
        <w:adjustRightInd w:val="0"/>
        <w:ind w:left="4320"/>
        <w:rPr>
          <w:szCs w:val="24"/>
        </w:rPr>
      </w:pPr>
      <w:r w:rsidRPr="0048108C">
        <w:rPr>
          <w:szCs w:val="24"/>
        </w:rPr>
        <w:t>Assistant Consumers’ Counsel</w:t>
      </w:r>
    </w:p>
    <w:p w:rsidR="00E20893" w:rsidRPr="0048108C" w:rsidP="00E20893">
      <w:pPr>
        <w:autoSpaceDE w:val="0"/>
        <w:autoSpaceDN w:val="0"/>
        <w:adjustRightInd w:val="0"/>
        <w:ind w:left="4320"/>
        <w:rPr>
          <w:szCs w:val="24"/>
        </w:rPr>
      </w:pPr>
    </w:p>
    <w:p w:rsidR="00E20893" w:rsidRPr="0048108C" w:rsidP="00E20893">
      <w:pPr>
        <w:autoSpaceDE w:val="0"/>
        <w:autoSpaceDN w:val="0"/>
        <w:adjustRightInd w:val="0"/>
        <w:ind w:left="4320"/>
        <w:rPr>
          <w:b/>
          <w:szCs w:val="24"/>
        </w:rPr>
      </w:pPr>
      <w:r w:rsidRPr="0048108C">
        <w:rPr>
          <w:b/>
          <w:szCs w:val="24"/>
        </w:rPr>
        <w:t>Office of the Ohio Consumers’ Counsel</w:t>
      </w:r>
    </w:p>
    <w:p w:rsidR="00E20893" w:rsidRPr="0048108C" w:rsidP="00E20893">
      <w:pPr>
        <w:autoSpaceDE w:val="0"/>
        <w:autoSpaceDN w:val="0"/>
        <w:adjustRightInd w:val="0"/>
        <w:ind w:left="4320"/>
        <w:rPr>
          <w:szCs w:val="24"/>
        </w:rPr>
      </w:pPr>
      <w:r w:rsidRPr="0048108C">
        <w:rPr>
          <w:szCs w:val="24"/>
        </w:rPr>
        <w:t>10 West Broad Street, Suite 1800</w:t>
      </w:r>
    </w:p>
    <w:p w:rsidR="00E20893" w:rsidRPr="0048108C" w:rsidP="00E20893">
      <w:pPr>
        <w:autoSpaceDE w:val="0"/>
        <w:autoSpaceDN w:val="0"/>
        <w:adjustRightInd w:val="0"/>
        <w:ind w:left="4320"/>
        <w:rPr>
          <w:szCs w:val="24"/>
        </w:rPr>
      </w:pPr>
      <w:r w:rsidRPr="0048108C">
        <w:rPr>
          <w:szCs w:val="24"/>
        </w:rPr>
        <w:t>Columbus, Ohio 43215-3485</w:t>
      </w:r>
    </w:p>
    <w:p w:rsidR="00E20893" w:rsidRPr="0048108C" w:rsidP="00E20893">
      <w:pPr>
        <w:autoSpaceDE w:val="0"/>
        <w:autoSpaceDN w:val="0"/>
        <w:adjustRightInd w:val="0"/>
        <w:ind w:left="4320"/>
        <w:rPr>
          <w:szCs w:val="24"/>
        </w:rPr>
      </w:pPr>
      <w:r w:rsidRPr="0048108C">
        <w:rPr>
          <w:szCs w:val="24"/>
        </w:rPr>
        <w:t>Telephone [Sauer]: (614) 466-1312</w:t>
      </w:r>
    </w:p>
    <w:p w:rsidR="00E20893" w:rsidRPr="0048108C" w:rsidP="00E20893">
      <w:pPr>
        <w:autoSpaceDE w:val="0"/>
        <w:autoSpaceDN w:val="0"/>
        <w:adjustRightInd w:val="0"/>
        <w:ind w:left="4320"/>
        <w:rPr>
          <w:szCs w:val="24"/>
        </w:rPr>
      </w:pPr>
      <w:r w:rsidRPr="0048108C">
        <w:rPr>
          <w:szCs w:val="24"/>
        </w:rPr>
        <w:t>Telephone [Willis]: (614) 466-9567</w:t>
      </w:r>
    </w:p>
    <w:p w:rsidR="00E20893" w:rsidRPr="0048108C" w:rsidP="00E20893">
      <w:pPr>
        <w:autoSpaceDE w:val="0"/>
        <w:autoSpaceDN w:val="0"/>
        <w:adjustRightInd w:val="0"/>
        <w:ind w:left="4320"/>
        <w:rPr>
          <w:szCs w:val="24"/>
        </w:rPr>
      </w:pPr>
      <w:r w:rsidRPr="0048108C">
        <w:rPr>
          <w:szCs w:val="24"/>
        </w:rPr>
        <w:t>Telephone [Michael]: (614) 466-1291</w:t>
      </w:r>
    </w:p>
    <w:p w:rsidR="00E20893" w:rsidRPr="0048108C" w:rsidP="00E20893">
      <w:pPr>
        <w:autoSpaceDE w:val="0"/>
        <w:autoSpaceDN w:val="0"/>
        <w:adjustRightInd w:val="0"/>
        <w:ind w:left="4320"/>
        <w:rPr>
          <w:szCs w:val="24"/>
        </w:rPr>
      </w:pPr>
      <w:r w:rsidRPr="0048108C">
        <w:rPr>
          <w:szCs w:val="24"/>
        </w:rPr>
        <w:t>Telephone [Moore]: (614) 387-2965</w:t>
      </w:r>
    </w:p>
    <w:p w:rsidR="00E20893" w:rsidRPr="0048108C" w:rsidP="00E20893">
      <w:pPr>
        <w:autoSpaceDE w:val="0"/>
        <w:autoSpaceDN w:val="0"/>
        <w:adjustRightInd w:val="0"/>
        <w:ind w:left="4320"/>
        <w:rPr>
          <w:szCs w:val="24"/>
        </w:rPr>
      </w:pPr>
      <w:r w:rsidRPr="0048108C">
        <w:rPr>
          <w:szCs w:val="24"/>
        </w:rPr>
        <w:t>Telephone [Kumar]: (614) 466-1292</w:t>
      </w:r>
    </w:p>
    <w:p w:rsidR="00E20893" w:rsidRPr="0048108C" w:rsidP="00E20893">
      <w:pPr>
        <w:autoSpaceDE w:val="0"/>
        <w:autoSpaceDN w:val="0"/>
        <w:adjustRightInd w:val="0"/>
        <w:ind w:left="4320"/>
        <w:rPr>
          <w:szCs w:val="24"/>
        </w:rPr>
      </w:pPr>
      <w:r>
        <w:fldChar w:fldCharType="begin"/>
      </w:r>
      <w:r>
        <w:instrText xml:space="preserve"> HYPERLINK "mailto:Larry.sauer@occ.ohio.gov" </w:instrText>
      </w:r>
      <w:r>
        <w:fldChar w:fldCharType="separate"/>
      </w:r>
      <w:r w:rsidRPr="0048108C">
        <w:rPr>
          <w:rStyle w:val="Hyperlink"/>
          <w:szCs w:val="24"/>
        </w:rPr>
        <w:t>Larry.sauer@occ.ohio.gov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"mailto:Maureen.willis@occ.ohio.gov" </w:instrText>
      </w:r>
      <w:r>
        <w:fldChar w:fldCharType="separate"/>
      </w:r>
      <w:r w:rsidRPr="0048108C">
        <w:rPr>
          <w:rStyle w:val="Hyperlink"/>
          <w:szCs w:val="24"/>
        </w:rPr>
        <w:t>Maureen.willis@occ.ohio.gov</w:t>
      </w:r>
      <w:r>
        <w:fldChar w:fldCharType="end"/>
      </w:r>
    </w:p>
    <w:p w:rsidR="00E20893" w:rsidRPr="0048108C" w:rsidP="00E20893">
      <w:pPr>
        <w:autoSpaceDE w:val="0"/>
        <w:autoSpaceDN w:val="0"/>
        <w:adjustRightInd w:val="0"/>
        <w:ind w:left="4320"/>
        <w:rPr>
          <w:szCs w:val="24"/>
        </w:rPr>
      </w:pPr>
      <w:r>
        <w:fldChar w:fldCharType="begin"/>
      </w:r>
      <w:r>
        <w:instrText xml:space="preserve"> HYPERLINK "mailto:William.michael@occ.ohio.gov" </w:instrText>
      </w:r>
      <w:r>
        <w:fldChar w:fldCharType="separate"/>
      </w:r>
      <w:r w:rsidRPr="0048108C">
        <w:rPr>
          <w:rStyle w:val="Hyperlink"/>
          <w:szCs w:val="24"/>
        </w:rPr>
        <w:t>William.michael@occ.ohio.gov</w:t>
      </w:r>
      <w:r>
        <w:fldChar w:fldCharType="end"/>
      </w:r>
    </w:p>
    <w:p w:rsidR="00E20893" w:rsidP="00E20893">
      <w:pPr>
        <w:autoSpaceDE w:val="0"/>
        <w:autoSpaceDN w:val="0"/>
        <w:adjustRightInd w:val="0"/>
        <w:ind w:left="4320"/>
        <w:rPr>
          <w:rStyle w:val="Hyperlink"/>
          <w:szCs w:val="24"/>
        </w:rPr>
      </w:pPr>
      <w:r>
        <w:fldChar w:fldCharType="begin"/>
      </w:r>
      <w:r>
        <w:instrText xml:space="preserve"> HYPERLINK "mailto:Kevin.moore@occ.ohio.gov" </w:instrText>
      </w:r>
      <w:r>
        <w:fldChar w:fldCharType="separate"/>
      </w:r>
      <w:r w:rsidRPr="0048108C">
        <w:rPr>
          <w:rStyle w:val="Hyperlink"/>
          <w:szCs w:val="24"/>
        </w:rPr>
        <w:t>Kevin.moore@occ.ohio.gov</w:t>
      </w:r>
      <w:r>
        <w:fldChar w:fldCharType="end"/>
      </w:r>
    </w:p>
    <w:p w:rsidR="0038028D" w:rsidP="00E20893">
      <w:pPr>
        <w:autoSpaceDE w:val="0"/>
        <w:autoSpaceDN w:val="0"/>
        <w:adjustRightInd w:val="0"/>
        <w:ind w:left="4320"/>
        <w:rPr>
          <w:rStyle w:val="Hyperlink"/>
          <w:szCs w:val="24"/>
        </w:rPr>
      </w:pPr>
      <w:r>
        <w:fldChar w:fldCharType="begin"/>
      </w:r>
      <w:r>
        <w:instrText xml:space="preserve"> HYPERLINK "mailto:Ajay.kumar@occ.ohio.gov" </w:instrText>
      </w:r>
      <w:r>
        <w:fldChar w:fldCharType="separate"/>
      </w:r>
      <w:r w:rsidRPr="00AC1B47">
        <w:rPr>
          <w:rStyle w:val="Hyperlink"/>
          <w:szCs w:val="24"/>
        </w:rPr>
        <w:t>Ajay.kumar@occ.ohio.gov</w:t>
      </w:r>
      <w:r>
        <w:fldChar w:fldCharType="end"/>
      </w:r>
    </w:p>
    <w:p w:rsidR="0038028D" w:rsidRPr="0038028D" w:rsidP="00E20893">
      <w:pPr>
        <w:autoSpaceDE w:val="0"/>
        <w:autoSpaceDN w:val="0"/>
        <w:adjustRightInd w:val="0"/>
        <w:ind w:left="4320"/>
        <w:rPr>
          <w:szCs w:val="24"/>
        </w:rPr>
      </w:pPr>
      <w:r>
        <w:rPr>
          <w:rStyle w:val="Hyperlink"/>
          <w:color w:val="auto"/>
          <w:szCs w:val="24"/>
          <w:u w:val="none"/>
        </w:rPr>
        <w:t>(All will accept service via email)</w:t>
      </w:r>
    </w:p>
    <w:p w:rsidR="009124B6" w:rsidP="0038028D">
      <w:pPr>
        <w:autoSpaceDE w:val="0"/>
        <w:autoSpaceDN w:val="0"/>
        <w:adjustRightInd w:val="0"/>
        <w:ind w:left="4320"/>
        <w:rPr>
          <w:szCs w:val="24"/>
        </w:rPr>
        <w:sectPr w:rsidSect="009124B6">
          <w:pgSz w:w="12240" w:h="15840"/>
          <w:pgMar w:top="1440" w:right="1800" w:bottom="1440" w:left="1800" w:header="720" w:footer="720" w:gutter="0"/>
          <w:cols w:space="720"/>
          <w:titlePg/>
          <w:docGrid w:linePitch="326"/>
        </w:sectPr>
      </w:pPr>
    </w:p>
    <w:p w:rsidR="00C83E09">
      <w:pPr>
        <w:jc w:val="center"/>
        <w:rPr>
          <w:b/>
          <w:bCs/>
          <w:szCs w:val="24"/>
          <w:u w:val="single"/>
        </w:rPr>
      </w:pPr>
      <w:r>
        <w:rPr>
          <w:b/>
          <w:bCs/>
          <w:szCs w:val="24"/>
          <w:u w:val="single"/>
        </w:rPr>
        <w:t>CERTIFICATE OF SERVICE</w:t>
      </w:r>
    </w:p>
    <w:p w:rsidR="00C83E09" w:rsidP="00C83E09">
      <w:pPr>
        <w:spacing w:line="480" w:lineRule="atLeast"/>
        <w:ind w:firstLine="720"/>
        <w:rPr>
          <w:szCs w:val="24"/>
        </w:rPr>
      </w:pPr>
      <w:r>
        <w:rPr>
          <w:szCs w:val="24"/>
        </w:rPr>
        <w:t xml:space="preserve">I hereby certify that a copy of this Application for Rehearing was electronically served via electric transmission on the persons stated below this </w:t>
      </w:r>
      <w:r w:rsidR="00E20893">
        <w:rPr>
          <w:szCs w:val="24"/>
        </w:rPr>
        <w:t>6</w:t>
      </w:r>
      <w:r w:rsidRPr="00F36C1F">
        <w:rPr>
          <w:szCs w:val="24"/>
          <w:vertAlign w:val="superscript"/>
        </w:rPr>
        <w:t>th</w:t>
      </w:r>
      <w:r>
        <w:rPr>
          <w:szCs w:val="24"/>
        </w:rPr>
        <w:t xml:space="preserve"> day of </w:t>
      </w:r>
      <w:r w:rsidR="00E20893">
        <w:rPr>
          <w:szCs w:val="24"/>
        </w:rPr>
        <w:t>January</w:t>
      </w:r>
      <w:r>
        <w:rPr>
          <w:szCs w:val="24"/>
        </w:rPr>
        <w:t xml:space="preserve"> 201</w:t>
      </w:r>
      <w:r w:rsidR="00E20893">
        <w:rPr>
          <w:szCs w:val="24"/>
        </w:rPr>
        <w:t>7</w:t>
      </w:r>
      <w:r>
        <w:rPr>
          <w:szCs w:val="24"/>
        </w:rPr>
        <w:t>.</w:t>
      </w:r>
    </w:p>
    <w:p w:rsidR="00C83E09">
      <w:pPr>
        <w:tabs>
          <w:tab w:val="left" w:pos="4320"/>
        </w:tabs>
        <w:rPr>
          <w:szCs w:val="24"/>
        </w:rPr>
      </w:pPr>
    </w:p>
    <w:p w:rsidR="00C83E09">
      <w:pPr>
        <w:tabs>
          <w:tab w:val="left" w:pos="4320"/>
        </w:tabs>
        <w:rPr>
          <w:szCs w:val="24"/>
        </w:rPr>
      </w:pPr>
      <w:r>
        <w:rPr>
          <w:szCs w:val="24"/>
        </w:rPr>
        <w:tab/>
      </w:r>
      <w:r>
        <w:rPr>
          <w:i/>
          <w:szCs w:val="24"/>
          <w:u w:val="single"/>
        </w:rPr>
        <w:t xml:space="preserve">/s/ </w:t>
      </w:r>
      <w:r w:rsidR="009124B6">
        <w:rPr>
          <w:i/>
          <w:szCs w:val="24"/>
          <w:u w:val="single"/>
        </w:rPr>
        <w:t>Larry S. Sauer</w:t>
      </w:r>
    </w:p>
    <w:p w:rsidR="009124B6">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r>
      <w:r>
        <w:rPr>
          <w:szCs w:val="24"/>
        </w:rPr>
        <w:t>Larry S. Sauer</w:t>
      </w:r>
    </w:p>
    <w:p w:rsidR="00C83E09" w:rsidP="009124B6">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Deputy Consumers’ Counsel</w:t>
      </w:r>
    </w:p>
    <w:p w:rsidR="00C83E09" w:rsidP="00C83E09">
      <w:pPr>
        <w:pStyle w:val="CommentText"/>
        <w:jc w:val="center"/>
        <w:rPr>
          <w:b/>
          <w:u w:val="single"/>
        </w:rPr>
      </w:pPr>
    </w:p>
    <w:p w:rsidR="00C83E09">
      <w:pPr>
        <w:pStyle w:val="CommentText"/>
        <w:jc w:val="center"/>
        <w:rPr>
          <w:b/>
          <w:u w:val="single"/>
        </w:rPr>
      </w:pPr>
      <w:r>
        <w:rPr>
          <w:b/>
          <w:u w:val="single"/>
        </w:rPr>
        <w:t>SERVICE LIST</w:t>
      </w:r>
    </w:p>
    <w:p w:rsidR="00C83E09" w:rsidP="00C83E09">
      <w:pPr>
        <w:pStyle w:val="BodyText"/>
        <w:rPr>
          <w:b/>
          <w:bCs/>
          <w:szCs w:val="24"/>
        </w:rPr>
      </w:pPr>
    </w:p>
    <w:tbl>
      <w:tblPr>
        <w:tblW w:w="0" w:type="auto"/>
        <w:tblInd w:w="0" w:type="dxa"/>
        <w:tblCellMar>
          <w:top w:w="0" w:type="dxa"/>
          <w:left w:w="108" w:type="dxa"/>
          <w:bottom w:w="0" w:type="dxa"/>
          <w:right w:w="108" w:type="dxa"/>
        </w:tblCellMar>
        <w:tblLook w:val="01E0"/>
      </w:tblPr>
      <w:tblGrid>
        <w:gridCol w:w="4327"/>
        <w:gridCol w:w="4529"/>
      </w:tblGrid>
      <w:tr w:rsidTr="00C83E09">
        <w:tblPrEx>
          <w:tblW w:w="0" w:type="auto"/>
          <w:tblInd w:w="0" w:type="dxa"/>
          <w:tblCellMar>
            <w:top w:w="0" w:type="dxa"/>
            <w:left w:w="108" w:type="dxa"/>
            <w:bottom w:w="0" w:type="dxa"/>
            <w:right w:w="108" w:type="dxa"/>
          </w:tblCellMar>
          <w:tblLook w:val="01E0"/>
        </w:tblPrEx>
        <w:tc>
          <w:tcPr>
            <w:tcW w:w="4428" w:type="dxa"/>
          </w:tcPr>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"mailto:mkurtz@BKLlawfirm.com" </w:instrText>
            </w:r>
            <w:r>
              <w:fldChar w:fldCharType="separate"/>
            </w:r>
            <w:r w:rsidRPr="006D25DD">
              <w:rPr>
                <w:rFonts w:eastAsiaTheme="minorHAnsi"/>
                <w:color w:val="0070C0"/>
                <w:sz w:val="24"/>
                <w:szCs w:val="24"/>
                <w:u w:val="single"/>
                <w:lang w:val="en-US" w:eastAsia="en-US" w:bidi="ar-SA"/>
              </w:rPr>
              <w:t>mkurtz@BKLlawfirm.com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"mailto:kboem@BKLlawfirm.com" </w:instrText>
            </w:r>
            <w:r>
              <w:fldChar w:fldCharType="separate"/>
            </w:r>
            <w:r w:rsidRPr="006D25DD">
              <w:rPr>
                <w:rFonts w:eastAsiaTheme="minorHAnsi"/>
                <w:color w:val="0070C0"/>
                <w:sz w:val="24"/>
                <w:szCs w:val="24"/>
                <w:u w:val="single"/>
                <w:lang w:val="en-US" w:eastAsia="en-US" w:bidi="ar-SA"/>
              </w:rPr>
              <w:t>kboehm@BKLlawfirm.com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"mailto:jkylercohn@BKLlawfirm.com" </w:instrText>
            </w:r>
            <w:r>
              <w:fldChar w:fldCharType="separate"/>
            </w:r>
            <w:r w:rsidRPr="006D25DD">
              <w:rPr>
                <w:rFonts w:eastAsiaTheme="minorHAnsi"/>
                <w:color w:val="0070C0"/>
                <w:sz w:val="24"/>
                <w:szCs w:val="24"/>
                <w:u w:val="single"/>
                <w:lang w:val="en-US" w:eastAsia="en-US" w:bidi="ar-SA"/>
              </w:rPr>
              <w:t>jkylercohn@BKLlawfirm.com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"mailto:stnourse@aep.com" </w:instrText>
            </w:r>
            <w:r>
              <w:fldChar w:fldCharType="separate"/>
            </w:r>
            <w:r w:rsidRPr="006D25DD">
              <w:rPr>
                <w:rFonts w:eastAsiaTheme="minorHAnsi"/>
                <w:color w:val="0070C0"/>
                <w:sz w:val="24"/>
                <w:szCs w:val="24"/>
                <w:u w:val="single"/>
                <w:lang w:val="en-US" w:eastAsia="en-US" w:bidi="ar-SA"/>
              </w:rPr>
              <w:t>stnourse@aep.com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"mailto:mjsatterwhite@aep.com" </w:instrText>
            </w:r>
            <w:r>
              <w:fldChar w:fldCharType="separate"/>
            </w:r>
            <w:r w:rsidRPr="006D25DD">
              <w:rPr>
                <w:rFonts w:eastAsiaTheme="minorHAnsi"/>
                <w:color w:val="0070C0"/>
                <w:sz w:val="24"/>
                <w:szCs w:val="24"/>
                <w:u w:val="single"/>
                <w:lang w:val="en-US" w:eastAsia="en-US" w:bidi="ar-SA"/>
              </w:rPr>
              <w:t>mjsatterwhite@aep.com</w:t>
            </w:r>
            <w:r>
              <w:fldChar w:fldCharType="end"/>
            </w:r>
          </w:p>
          <w:p w:rsidR="00E20893" w:rsidRPr="006D25DD" w:rsidP="00C83E09">
            <w:pPr>
              <w:autoSpaceDE w:val="0"/>
              <w:autoSpaceDN w:val="0"/>
              <w:adjustRightInd w:val="0"/>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"mailto:yalami@aep.com" </w:instrText>
            </w:r>
            <w:r>
              <w:fldChar w:fldCharType="separate"/>
            </w:r>
            <w:r w:rsidRPr="006D25DD">
              <w:rPr>
                <w:rFonts w:eastAsiaTheme="minorHAnsi"/>
                <w:color w:val="0070C0"/>
                <w:sz w:val="24"/>
                <w:szCs w:val="24"/>
                <w:u w:val="single"/>
                <w:lang w:val="en-US" w:eastAsia="en-US" w:bidi="ar-SA"/>
              </w:rPr>
              <w:t>yalami@aep.com</w:t>
            </w:r>
            <w:r>
              <w:fldChar w:fldCharType="end"/>
            </w:r>
          </w:p>
          <w:p w:rsidR="00E20893" w:rsidRPr="006D25DD" w:rsidP="00C83E09">
            <w:pPr>
              <w:autoSpaceDE w:val="0"/>
              <w:autoSpaceDN w:val="0"/>
              <w:adjustRightInd w:val="0"/>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"mailto:czdebski@eckertseamans.com" </w:instrText>
            </w:r>
            <w:r>
              <w:fldChar w:fldCharType="separate"/>
            </w:r>
            <w:r w:rsidRPr="006D25DD">
              <w:rPr>
                <w:rFonts w:eastAsiaTheme="minorHAnsi"/>
                <w:color w:val="0070C0"/>
                <w:sz w:val="24"/>
                <w:szCs w:val="24"/>
                <w:u w:val="single"/>
                <w:lang w:val="en-US" w:eastAsia="en-US" w:bidi="ar-SA"/>
              </w:rPr>
              <w:t>czdebski@eckertseamans.com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"mailto:dparram@taftlaw.com" </w:instrText>
            </w:r>
            <w:r>
              <w:fldChar w:fldCharType="separate"/>
            </w:r>
            <w:r w:rsidRPr="006D25DD">
              <w:rPr>
                <w:rFonts w:eastAsiaTheme="minorHAnsi"/>
                <w:color w:val="0070C0"/>
                <w:sz w:val="24"/>
                <w:szCs w:val="24"/>
                <w:u w:val="single"/>
                <w:lang w:val="en-US" w:eastAsia="en-US" w:bidi="ar-SA"/>
              </w:rPr>
              <w:t>dparram@taftlaw.com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"mailto:Schmidt@sppgrp.com" </w:instrText>
            </w:r>
            <w:r>
              <w:fldChar w:fldCharType="separate"/>
            </w:r>
            <w:r w:rsidRPr="006D25DD">
              <w:rPr>
                <w:rFonts w:eastAsiaTheme="minorHAnsi"/>
                <w:color w:val="0070C0"/>
                <w:sz w:val="24"/>
                <w:szCs w:val="24"/>
                <w:u w:val="single"/>
                <w:lang w:val="en-US" w:eastAsia="en-US" w:bidi="ar-SA"/>
              </w:rPr>
              <w:t>Schmidt@sppgrp.com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"mailto:ricks@ohanet.org" </w:instrText>
            </w:r>
            <w:r>
              <w:fldChar w:fldCharType="separate"/>
            </w:r>
            <w:r w:rsidRPr="006D25DD">
              <w:rPr>
                <w:rFonts w:eastAsiaTheme="minorHAnsi"/>
                <w:color w:val="0070C0"/>
                <w:sz w:val="24"/>
                <w:szCs w:val="24"/>
                <w:u w:val="single"/>
                <w:lang w:val="en-US" w:eastAsia="en-US" w:bidi="ar-SA"/>
              </w:rPr>
              <w:t>ricks@ohanet.org</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"mailto:mkl@smxblaw.com" </w:instrText>
            </w:r>
            <w:r>
              <w:fldChar w:fldCharType="separate"/>
            </w:r>
            <w:r w:rsidRPr="006D25DD">
              <w:rPr>
                <w:rFonts w:eastAsiaTheme="minorHAnsi"/>
                <w:color w:val="0070C0"/>
                <w:sz w:val="24"/>
                <w:szCs w:val="24"/>
                <w:u w:val="single"/>
                <w:lang w:val="en-US" w:eastAsia="en-US" w:bidi="ar-SA"/>
              </w:rPr>
              <w:t>mkl@smxblaw.com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"mailto:gas@bbrslaw.com" </w:instrText>
            </w:r>
            <w:r>
              <w:fldChar w:fldCharType="separate"/>
            </w:r>
            <w:r w:rsidRPr="006D25DD">
              <w:rPr>
                <w:rFonts w:eastAsiaTheme="minorHAnsi"/>
                <w:color w:val="0070C0"/>
                <w:sz w:val="24"/>
                <w:szCs w:val="24"/>
                <w:u w:val="single"/>
                <w:lang w:val="en-US" w:eastAsia="en-US" w:bidi="ar-SA"/>
              </w:rPr>
              <w:t>gas@smxblaw.com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"mailto:wttpmlc@aol.com" </w:instrText>
            </w:r>
            <w:r>
              <w:fldChar w:fldCharType="separate"/>
            </w:r>
            <w:r w:rsidRPr="006D25DD">
              <w:rPr>
                <w:rFonts w:eastAsiaTheme="minorHAnsi"/>
                <w:color w:val="0070C0"/>
                <w:sz w:val="24"/>
                <w:szCs w:val="24"/>
                <w:u w:val="single"/>
                <w:lang w:val="en-US" w:eastAsia="en-US" w:bidi="ar-SA"/>
              </w:rPr>
              <w:t>wttpmlc@aol.com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"mailto:lhawrot@spilmanlaw.com" </w:instrText>
            </w:r>
            <w:r>
              <w:fldChar w:fldCharType="separate"/>
            </w:r>
            <w:r w:rsidRPr="006D25DD">
              <w:rPr>
                <w:rFonts w:eastAsiaTheme="minorHAnsi"/>
                <w:color w:val="0070C0"/>
                <w:sz w:val="24"/>
                <w:szCs w:val="24"/>
                <w:u w:val="single"/>
                <w:lang w:val="en-US" w:eastAsia="en-US" w:bidi="ar-SA"/>
              </w:rPr>
              <w:t>lhawrot@spilmanlaw.com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"mailto:dwilliamson@spilmanlaw.com" </w:instrText>
            </w:r>
            <w:r>
              <w:fldChar w:fldCharType="separate"/>
            </w:r>
            <w:r w:rsidRPr="006D25DD">
              <w:rPr>
                <w:rFonts w:eastAsiaTheme="minorHAnsi"/>
                <w:color w:val="0070C0"/>
                <w:sz w:val="24"/>
                <w:szCs w:val="24"/>
                <w:u w:val="single"/>
                <w:lang w:val="en-US" w:eastAsia="en-US" w:bidi="ar-SA"/>
              </w:rPr>
              <w:t>dwilliamson@spilmanlaw.com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"mailto:blanghenry@city.cleveland.oh.us" </w:instrText>
            </w:r>
            <w:r>
              <w:fldChar w:fldCharType="separate"/>
            </w:r>
            <w:r w:rsidRPr="006D25DD">
              <w:rPr>
                <w:rFonts w:eastAsiaTheme="minorHAnsi"/>
                <w:color w:val="0070C0"/>
                <w:sz w:val="24"/>
                <w:szCs w:val="24"/>
                <w:u w:val="single"/>
                <w:lang w:val="en-US" w:eastAsia="en-US" w:bidi="ar-SA"/>
              </w:rPr>
              <w:t>blanghenry@city.cleveland.oh.us</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"mailto:hmadorsky@city.cleveland.oh.us" </w:instrText>
            </w:r>
            <w:r>
              <w:fldChar w:fldCharType="separate"/>
            </w:r>
            <w:r w:rsidRPr="006D25DD">
              <w:rPr>
                <w:rFonts w:eastAsiaTheme="minorHAnsi"/>
                <w:color w:val="0070C0"/>
                <w:sz w:val="24"/>
                <w:szCs w:val="24"/>
                <w:u w:val="single"/>
                <w:lang w:val="en-US" w:eastAsia="en-US" w:bidi="ar-SA"/>
              </w:rPr>
              <w:t>hmadorsky@city.cleveland.oh.us</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"mailto:mdortch@kravitzllc.com" </w:instrText>
            </w:r>
            <w:r>
              <w:fldChar w:fldCharType="separate"/>
            </w:r>
            <w:r w:rsidRPr="006D25DD">
              <w:rPr>
                <w:rFonts w:eastAsiaTheme="minorHAnsi"/>
                <w:color w:val="0070C0"/>
                <w:sz w:val="24"/>
                <w:szCs w:val="24"/>
                <w:u w:val="single"/>
                <w:lang w:val="en-US" w:eastAsia="en-US" w:bidi="ar-SA"/>
              </w:rPr>
              <w:t>mdortch@kravitzllc.com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"mailto:rparsons@kravitzllc.com" </w:instrText>
            </w:r>
            <w:r>
              <w:fldChar w:fldCharType="separate"/>
            </w:r>
            <w:r w:rsidRPr="006D25DD">
              <w:rPr>
                <w:rFonts w:eastAsiaTheme="minorHAnsi"/>
                <w:color w:val="0070C0"/>
                <w:sz w:val="24"/>
                <w:szCs w:val="24"/>
                <w:u w:val="single"/>
                <w:lang w:val="en-US" w:eastAsia="en-US" w:bidi="ar-SA"/>
              </w:rPr>
              <w:t>rparsons@kravitzllc.com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"mailto:gkrassen@bricker.com" </w:instrText>
            </w:r>
            <w:r>
              <w:fldChar w:fldCharType="separate"/>
            </w:r>
            <w:r w:rsidRPr="006D25DD">
              <w:rPr>
                <w:rFonts w:eastAsiaTheme="minorHAnsi"/>
                <w:color w:val="0070C0"/>
                <w:sz w:val="24"/>
                <w:szCs w:val="24"/>
                <w:u w:val="single"/>
                <w:lang w:val="en-US" w:eastAsia="en-US" w:bidi="ar-SA"/>
              </w:rPr>
              <w:t>gkrassen@bricker.com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"mailto:dstinson@bricker.com" </w:instrText>
            </w:r>
            <w:r>
              <w:fldChar w:fldCharType="separate"/>
            </w:r>
            <w:r w:rsidRPr="006D25DD">
              <w:rPr>
                <w:rFonts w:eastAsiaTheme="minorHAnsi"/>
                <w:color w:val="0070C0"/>
                <w:sz w:val="24"/>
                <w:szCs w:val="24"/>
                <w:u w:val="single"/>
                <w:lang w:val="en-US" w:eastAsia="en-US" w:bidi="ar-SA"/>
              </w:rPr>
              <w:t>dstinson@bricker.com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"mailto:dborchers@bricker.com" </w:instrText>
            </w:r>
            <w:r>
              <w:fldChar w:fldCharType="separate"/>
            </w:r>
            <w:r w:rsidRPr="006D25DD">
              <w:rPr>
                <w:rFonts w:eastAsiaTheme="minorHAnsi"/>
                <w:color w:val="0070C0"/>
                <w:sz w:val="24"/>
                <w:szCs w:val="24"/>
                <w:u w:val="single"/>
                <w:lang w:val="en-US" w:eastAsia="en-US" w:bidi="ar-SA"/>
              </w:rPr>
              <w:t>dborchers@bricker.com</w:t>
            </w:r>
            <w:r>
              <w:fldChar w:fldCharType="end"/>
            </w:r>
          </w:p>
          <w:p w:rsidR="00E20893" w:rsidRPr="006D25DD" w:rsidP="00C83E09">
            <w:pPr>
              <w:autoSpaceDE w:val="0"/>
              <w:autoSpaceDN w:val="0"/>
              <w:adjustRightInd w:val="0"/>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"mailto:DFolk@akronohio.gov" </w:instrText>
            </w:r>
            <w:r>
              <w:fldChar w:fldCharType="separate"/>
            </w:r>
            <w:r w:rsidRPr="006D25DD">
              <w:rPr>
                <w:rFonts w:eastAsiaTheme="minorHAnsi"/>
                <w:color w:val="0070C0"/>
                <w:sz w:val="24"/>
                <w:szCs w:val="24"/>
                <w:u w:val="single"/>
                <w:lang w:val="en-US" w:eastAsia="en-US" w:bidi="ar-SA"/>
              </w:rPr>
              <w:t>DFolk@akronohio.gov</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"mailto:sechler@carpenterlipps.com" </w:instrText>
            </w:r>
            <w:r>
              <w:fldChar w:fldCharType="separate"/>
            </w:r>
            <w:r w:rsidRPr="006D25DD">
              <w:rPr>
                <w:rFonts w:eastAsiaTheme="minorHAnsi"/>
                <w:color w:val="0070C0"/>
                <w:sz w:val="24"/>
                <w:szCs w:val="24"/>
                <w:u w:val="single"/>
                <w:lang w:val="en-US" w:eastAsia="en-US" w:bidi="ar-SA"/>
              </w:rPr>
              <w:t>sechler@carpenterlipps.com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"mailto:gpoulos@enernoc.com" </w:instrText>
            </w:r>
            <w:r>
              <w:fldChar w:fldCharType="separate"/>
            </w:r>
            <w:r w:rsidRPr="006D25DD">
              <w:rPr>
                <w:rFonts w:eastAsiaTheme="minorHAnsi"/>
                <w:color w:val="0070C0"/>
                <w:sz w:val="24"/>
                <w:szCs w:val="24"/>
                <w:u w:val="single"/>
                <w:lang w:val="en-US" w:eastAsia="en-US" w:bidi="ar-SA"/>
              </w:rPr>
              <w:t>gpoulos@enernoc.com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"mailto:dwolff@crowell.com" </w:instrText>
            </w:r>
            <w:r>
              <w:fldChar w:fldCharType="separate"/>
            </w:r>
            <w:r w:rsidRPr="006D25DD">
              <w:rPr>
                <w:rFonts w:eastAsiaTheme="minorHAnsi"/>
                <w:color w:val="0070C0"/>
                <w:sz w:val="24"/>
                <w:szCs w:val="24"/>
                <w:u w:val="single"/>
                <w:lang w:val="en-US" w:eastAsia="en-US" w:bidi="ar-SA"/>
              </w:rPr>
              <w:t>dwolff@crowell.com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"mailto:rlehfeldt@crowell.com" </w:instrText>
            </w:r>
            <w:r>
              <w:fldChar w:fldCharType="separate"/>
            </w:r>
            <w:r w:rsidRPr="006D25DD">
              <w:rPr>
                <w:rFonts w:eastAsiaTheme="minorHAnsi"/>
                <w:color w:val="0070C0"/>
                <w:sz w:val="24"/>
                <w:szCs w:val="24"/>
                <w:u w:val="single"/>
                <w:lang w:val="en-US" w:eastAsia="en-US" w:bidi="ar-SA"/>
              </w:rPr>
              <w:t>rlehfeldt@crowell.com</w:t>
            </w:r>
            <w:r>
              <w:fldChar w:fldCharType="end"/>
            </w:r>
          </w:p>
          <w:p w:rsidR="00E20893" w:rsidRPr="006D25DD" w:rsidP="00C83E09">
            <w:pPr>
              <w:autoSpaceDE w:val="0"/>
              <w:autoSpaceDN w:val="0"/>
              <w:adjustRightInd w:val="0"/>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"mailto:rkelter@elpc.org" </w:instrText>
            </w:r>
            <w:r>
              <w:fldChar w:fldCharType="separate"/>
            </w:r>
            <w:r w:rsidRPr="006D25DD">
              <w:rPr>
                <w:rFonts w:eastAsiaTheme="minorHAnsi"/>
                <w:color w:val="0070C0"/>
                <w:sz w:val="24"/>
                <w:szCs w:val="24"/>
                <w:u w:val="single"/>
                <w:lang w:val="en-US" w:eastAsia="en-US" w:bidi="ar-SA"/>
              </w:rPr>
              <w:t>rkelter@elpc.org</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"mailto:evelyn.robinson@pjm.com" </w:instrText>
            </w:r>
            <w:r>
              <w:fldChar w:fldCharType="separate"/>
            </w:r>
            <w:r w:rsidRPr="006D25DD">
              <w:rPr>
                <w:rFonts w:eastAsiaTheme="minorHAnsi"/>
                <w:color w:val="0070C0"/>
                <w:sz w:val="24"/>
                <w:szCs w:val="24"/>
                <w:u w:val="single"/>
                <w:lang w:val="en-US" w:eastAsia="en-US" w:bidi="ar-SA"/>
              </w:rPr>
              <w:t>evelyn.robinson@pjm.com</w:t>
            </w:r>
            <w:r>
              <w:fldChar w:fldCharType="end"/>
            </w:r>
          </w:p>
          <w:p w:rsidR="00E20893" w:rsidRPr="006D25DD" w:rsidP="00C83E09">
            <w:pPr>
              <w:tabs>
                <w:tab w:val="left" w:pos="-720"/>
              </w:tabs>
              <w:suppressAutoHyphens/>
              <w:jc w:val="both"/>
              <w:rPr>
                <w:rStyle w:val="DefaultParagraphFont"/>
                <w:color w:val="0070C0"/>
                <w:sz w:val="24"/>
                <w:szCs w:val="24"/>
                <w:lang w:val="en-US" w:eastAsia="en-US" w:bidi="ar-SA"/>
              </w:rPr>
            </w:pPr>
            <w:r>
              <w:fldChar w:fldCharType="begin"/>
            </w:r>
            <w:r>
              <w:rPr>
                <w:sz w:val="24"/>
                <w:lang w:val="en-US" w:eastAsia="en-US" w:bidi="ar-SA"/>
              </w:rPr>
              <w:instrText xml:space="preserve"> HYPERLINK "mailto:mjsettineri@vorys.com" </w:instrText>
            </w:r>
            <w:r>
              <w:fldChar w:fldCharType="separate"/>
            </w:r>
            <w:r w:rsidRPr="006D25DD">
              <w:rPr>
                <w:rFonts w:eastAsiaTheme="minorHAnsi"/>
                <w:color w:val="0070C0"/>
                <w:sz w:val="24"/>
                <w:szCs w:val="24"/>
                <w:u w:val="single"/>
                <w:lang w:val="en-US" w:eastAsia="en-US" w:bidi="ar-SA"/>
              </w:rPr>
              <w:t>mjsettineri@vorys.com</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"mailto:glpetrucci@vorys.com" </w:instrText>
            </w:r>
            <w:r>
              <w:fldChar w:fldCharType="separate"/>
            </w:r>
            <w:r w:rsidRPr="006D25DD">
              <w:rPr>
                <w:rFonts w:eastAsiaTheme="minorHAnsi"/>
                <w:color w:val="0070C0"/>
                <w:sz w:val="24"/>
                <w:szCs w:val="24"/>
                <w:u w:val="single"/>
                <w:lang w:val="en-US" w:eastAsia="en-US" w:bidi="ar-SA"/>
              </w:rPr>
              <w:t>glpetrucci@vorys.com</w:t>
            </w:r>
            <w:r>
              <w:fldChar w:fldCharType="end"/>
            </w:r>
          </w:p>
          <w:p w:rsidR="00E20893" w:rsidRPr="006D25DD" w:rsidP="00C83E09">
            <w:pPr>
              <w:tabs>
                <w:tab w:val="left" w:pos="-720"/>
              </w:tabs>
              <w:suppressAutoHyphens/>
              <w:jc w:val="both"/>
              <w:rPr>
                <w:rStyle w:val="DefaultParagraphFont"/>
                <w:color w:val="0070C0"/>
                <w:sz w:val="24"/>
                <w:szCs w:val="24"/>
                <w:lang w:val="en-US" w:eastAsia="en-US" w:bidi="ar-SA"/>
              </w:rPr>
            </w:pPr>
            <w:r>
              <w:fldChar w:fldCharType="begin"/>
            </w:r>
            <w:r>
              <w:rPr>
                <w:sz w:val="24"/>
                <w:lang w:val="en-US" w:eastAsia="en-US" w:bidi="ar-SA"/>
              </w:rPr>
              <w:instrText xml:space="preserve"> HYPERLINK "mailto:mwarnock@bricker.com" </w:instrText>
            </w:r>
            <w:r>
              <w:fldChar w:fldCharType="separate"/>
            </w:r>
            <w:r w:rsidRPr="006D25DD">
              <w:rPr>
                <w:rFonts w:eastAsiaTheme="minorHAnsi"/>
                <w:color w:val="0070C0"/>
                <w:sz w:val="24"/>
                <w:szCs w:val="24"/>
                <w:u w:val="single"/>
                <w:lang w:val="en-US" w:eastAsia="en-US" w:bidi="ar-SA"/>
              </w:rPr>
              <w:t>mwarnock@bricker.com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"mailto:Gregory.price@puc.state.oh.us" </w:instrText>
            </w:r>
            <w:r>
              <w:fldChar w:fldCharType="separate"/>
            </w:r>
            <w:r w:rsidRPr="006D25DD">
              <w:rPr>
                <w:rFonts w:eastAsiaTheme="minorHAnsi"/>
                <w:color w:val="0070C0"/>
                <w:sz w:val="24"/>
                <w:szCs w:val="24"/>
                <w:u w:val="single"/>
                <w:lang w:val="en-US" w:eastAsia="en-US" w:bidi="ar-SA"/>
              </w:rPr>
              <w:t>Gregory.price@puc.state.oh.us</w:t>
            </w:r>
            <w:r>
              <w:fldChar w:fldCharType="end"/>
            </w:r>
          </w:p>
          <w:p w:rsidR="00E20893" w:rsidRPr="006D25DD" w:rsidP="00C83E09">
            <w:pPr>
              <w:autoSpaceDE w:val="0"/>
              <w:autoSpaceDN w:val="0"/>
              <w:adjustRightInd w:val="0"/>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"mailto:Mandy.willey@puc.state.oh.us" </w:instrText>
            </w:r>
            <w:r>
              <w:fldChar w:fldCharType="separate"/>
            </w:r>
            <w:r w:rsidRPr="006D25DD">
              <w:rPr>
                <w:rFonts w:eastAsiaTheme="minorHAnsi"/>
                <w:color w:val="0070C0"/>
                <w:sz w:val="24"/>
                <w:szCs w:val="24"/>
                <w:u w:val="single"/>
                <w:lang w:val="en-US" w:eastAsia="en-US" w:bidi="ar-SA"/>
              </w:rPr>
              <w:t>Mandy.willey@puc.state.oh.us</w:t>
            </w:r>
            <w:r>
              <w:fldChar w:fldCharType="end"/>
            </w:r>
          </w:p>
          <w:p w:rsidR="00E20893" w:rsidRPr="006D25DD" w:rsidP="00C83E09">
            <w:pPr>
              <w:autoSpaceDE w:val="0"/>
              <w:autoSpaceDN w:val="0"/>
              <w:adjustRightInd w:val="0"/>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"mailto:Megan.addison@puc.state.oh.us" </w:instrText>
            </w:r>
            <w:r>
              <w:fldChar w:fldCharType="separate"/>
            </w:r>
            <w:r w:rsidRPr="006D25DD">
              <w:rPr>
                <w:rFonts w:eastAsiaTheme="minorHAnsi"/>
                <w:color w:val="0070C0"/>
                <w:sz w:val="24"/>
                <w:szCs w:val="24"/>
                <w:u w:val="single"/>
                <w:lang w:val="en-US" w:eastAsia="en-US" w:bidi="ar-SA"/>
              </w:rPr>
              <w:t>Megan.addison@puc.state.oh.us</w:t>
            </w:r>
            <w:r>
              <w:fldChar w:fldCharType="end"/>
            </w:r>
          </w:p>
          <w:p w:rsidR="00E20893" w:rsidRPr="006D25DD" w:rsidP="00C83E09">
            <w:pPr>
              <w:autoSpaceDE w:val="0"/>
              <w:autoSpaceDN w:val="0"/>
              <w:adjustRightInd w:val="0"/>
              <w:rPr>
                <w:rStyle w:val="DefaultParagraphFont"/>
                <w:bCs/>
                <w:color w:val="0070C0"/>
                <w:sz w:val="24"/>
                <w:szCs w:val="24"/>
                <w:lang w:val="en-US" w:eastAsia="en-US" w:bidi="ar-SA"/>
              </w:rPr>
            </w:pPr>
          </w:p>
        </w:tc>
        <w:tc>
          <w:tcPr>
            <w:tcW w:w="4428" w:type="dxa"/>
            <w:hideMark/>
          </w:tcPr>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"mailto:cdunn@firstenergycorp.com" </w:instrText>
            </w:r>
            <w:r>
              <w:fldChar w:fldCharType="separate"/>
            </w:r>
            <w:r w:rsidRPr="006D25DD">
              <w:rPr>
                <w:rFonts w:eastAsiaTheme="minorHAnsi"/>
                <w:color w:val="0070C0"/>
                <w:sz w:val="24"/>
                <w:szCs w:val="24"/>
                <w:u w:val="single"/>
                <w:lang w:val="en-US" w:eastAsia="en-US" w:bidi="ar-SA"/>
              </w:rPr>
              <w:t>cdunn@firstenergycorp.com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"mailto:jlang@calfee.com" </w:instrText>
            </w:r>
            <w:r>
              <w:fldChar w:fldCharType="separate"/>
            </w:r>
            <w:r w:rsidRPr="006D25DD">
              <w:rPr>
                <w:rFonts w:eastAsiaTheme="minorHAnsi"/>
                <w:color w:val="0070C0"/>
                <w:sz w:val="24"/>
                <w:szCs w:val="24"/>
                <w:u w:val="single"/>
                <w:lang w:val="en-US" w:eastAsia="en-US" w:bidi="ar-SA"/>
              </w:rPr>
              <w:t>jlang@calfee.com</w:t>
            </w:r>
            <w:r>
              <w:fldChar w:fldCharType="end"/>
            </w:r>
          </w:p>
          <w:p w:rsidR="00E20893" w:rsidRPr="006D25DD" w:rsidP="00C83E09">
            <w:pPr>
              <w:autoSpaceDE w:val="0"/>
              <w:autoSpaceDN w:val="0"/>
              <w:adjustRightInd w:val="0"/>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"mailto:talexander@calfee.com" </w:instrText>
            </w:r>
            <w:r>
              <w:fldChar w:fldCharType="separate"/>
            </w:r>
            <w:r w:rsidRPr="006D25DD">
              <w:rPr>
                <w:rFonts w:eastAsiaTheme="minorHAnsi"/>
                <w:color w:val="0070C0"/>
                <w:sz w:val="24"/>
                <w:szCs w:val="24"/>
                <w:u w:val="single"/>
                <w:lang w:val="en-US" w:eastAsia="en-US" w:bidi="ar-SA"/>
              </w:rPr>
              <w:t>talexander@calfee.com</w:t>
            </w:r>
            <w:r>
              <w:fldChar w:fldCharType="end"/>
            </w:r>
          </w:p>
          <w:p w:rsidR="00E20893" w:rsidRPr="006D25DD" w:rsidP="00C83E09">
            <w:pPr>
              <w:tabs>
                <w:tab w:val="left" w:pos="2693"/>
              </w:tabs>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"mailto:dakutik@jonesday.com" </w:instrText>
            </w:r>
            <w:r>
              <w:fldChar w:fldCharType="separate"/>
            </w:r>
            <w:r w:rsidRPr="006D25DD">
              <w:rPr>
                <w:rFonts w:eastAsiaTheme="minorHAnsi"/>
                <w:color w:val="0070C0"/>
                <w:sz w:val="24"/>
                <w:szCs w:val="24"/>
                <w:u w:val="single"/>
                <w:lang w:val="en-US" w:eastAsia="en-US" w:bidi="ar-SA"/>
              </w:rPr>
              <w:t>dakutik@jonesday.com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"mailto:sam@mwncmh.com" </w:instrText>
            </w:r>
            <w:r>
              <w:fldChar w:fldCharType="separate"/>
            </w:r>
            <w:r w:rsidRPr="006D25DD">
              <w:rPr>
                <w:rFonts w:eastAsiaTheme="minorHAnsi"/>
                <w:color w:val="0070C0"/>
                <w:sz w:val="24"/>
                <w:szCs w:val="24"/>
                <w:u w:val="single"/>
                <w:lang w:val="en-US" w:eastAsia="en-US" w:bidi="ar-SA"/>
              </w:rPr>
              <w:t>sam@mwncmh.com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"mailto:fdarr@mwncmh.com" </w:instrText>
            </w:r>
            <w:r>
              <w:fldChar w:fldCharType="separate"/>
            </w:r>
            <w:r w:rsidRPr="006D25DD">
              <w:rPr>
                <w:rFonts w:eastAsiaTheme="minorHAnsi"/>
                <w:color w:val="0070C0"/>
                <w:sz w:val="24"/>
                <w:szCs w:val="24"/>
                <w:u w:val="single"/>
                <w:lang w:val="en-US" w:eastAsia="en-US" w:bidi="ar-SA"/>
              </w:rPr>
              <w:t>fdarr@mwncmh.com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"mailto:mpritchard@mwncmh.com" </w:instrText>
            </w:r>
            <w:r>
              <w:fldChar w:fldCharType="separate"/>
            </w:r>
            <w:r w:rsidRPr="006D25DD">
              <w:rPr>
                <w:rFonts w:eastAsiaTheme="minorHAnsi"/>
                <w:color w:val="0070C0"/>
                <w:sz w:val="24"/>
                <w:szCs w:val="24"/>
                <w:u w:val="single"/>
                <w:lang w:val="en-US" w:eastAsia="en-US" w:bidi="ar-SA"/>
              </w:rPr>
              <w:t>mpritchard@mwncmh.com</w:t>
            </w:r>
            <w:r>
              <w:fldChar w:fldCharType="end"/>
            </w:r>
          </w:p>
          <w:p w:rsidR="00E20893" w:rsidRPr="006D25DD" w:rsidP="00C83E09">
            <w:pPr>
              <w:autoSpaceDE w:val="0"/>
              <w:autoSpaceDN w:val="0"/>
              <w:adjustRightInd w:val="0"/>
              <w:rPr>
                <w:rStyle w:val="DefaultParagraphFont"/>
                <w:color w:val="0070C0"/>
                <w:sz w:val="24"/>
                <w:szCs w:val="24"/>
                <w:lang w:val="en-US" w:eastAsia="en-US" w:bidi="ar-SA"/>
              </w:rPr>
            </w:pPr>
            <w:r>
              <w:fldChar w:fldCharType="begin"/>
            </w:r>
            <w:r>
              <w:rPr>
                <w:sz w:val="24"/>
                <w:lang w:val="en-US" w:eastAsia="en-US" w:bidi="ar-SA"/>
              </w:rPr>
              <w:instrText xml:space="preserve"> HYPERLINK "mailto:cmooney@ohiopartners.org" </w:instrText>
            </w:r>
            <w:r>
              <w:fldChar w:fldCharType="separate"/>
            </w:r>
            <w:r w:rsidRPr="006D25DD">
              <w:rPr>
                <w:rFonts w:eastAsiaTheme="minorHAnsi"/>
                <w:color w:val="0070C0"/>
                <w:sz w:val="24"/>
                <w:szCs w:val="24"/>
                <w:u w:val="single"/>
                <w:lang w:val="en-US" w:eastAsia="en-US" w:bidi="ar-SA"/>
              </w:rPr>
              <w:t>cmooney@ohiopartners.org</w:t>
            </w:r>
            <w:r>
              <w:fldChar w:fldCharType="end"/>
            </w:r>
          </w:p>
          <w:p w:rsidR="00E20893" w:rsidRPr="006D25DD" w:rsidP="00C83E09">
            <w:pPr>
              <w:tabs>
                <w:tab w:val="left" w:pos="-720"/>
              </w:tabs>
              <w:suppressAutoHyphens/>
              <w:jc w:val="both"/>
              <w:rPr>
                <w:rStyle w:val="DefaultParagraphFont"/>
                <w:snapToGrid w:val="0"/>
                <w:color w:val="0070C0"/>
                <w:spacing w:val="-3"/>
                <w:sz w:val="24"/>
                <w:szCs w:val="24"/>
                <w:lang w:val="en-US" w:eastAsia="en-US" w:bidi="ar-SA"/>
              </w:rPr>
            </w:pPr>
            <w:r>
              <w:fldChar w:fldCharType="begin"/>
            </w:r>
            <w:r>
              <w:rPr>
                <w:sz w:val="24"/>
                <w:lang w:val="en-US" w:eastAsia="en-US" w:bidi="ar-SA"/>
              </w:rPr>
              <w:instrText xml:space="preserve"> HYPERLINK "mailto:callwein@keglerbrown.com" </w:instrText>
            </w:r>
            <w:r>
              <w:fldChar w:fldCharType="separate"/>
            </w:r>
            <w:r w:rsidRPr="006D25DD">
              <w:rPr>
                <w:rFonts w:eastAsiaTheme="minorHAnsi"/>
                <w:snapToGrid w:val="0"/>
                <w:color w:val="0070C0"/>
                <w:spacing w:val="-3"/>
                <w:sz w:val="24"/>
                <w:szCs w:val="24"/>
                <w:u w:val="single"/>
                <w:lang w:val="en-US" w:eastAsia="en-US" w:bidi="ar-SA"/>
              </w:rPr>
              <w:t>callwein@keglerbrown.com</w:t>
            </w:r>
            <w:r>
              <w:fldChar w:fldCharType="end"/>
            </w:r>
          </w:p>
          <w:p w:rsidR="00E20893" w:rsidRPr="006D25DD" w:rsidP="00C83E09">
            <w:pPr>
              <w:tabs>
                <w:tab w:val="left" w:pos="-720"/>
              </w:tabs>
              <w:suppressAutoHyphens/>
              <w:jc w:val="both"/>
              <w:rPr>
                <w:rStyle w:val="DefaultParagraphFont"/>
                <w:snapToGrid w:val="0"/>
                <w:color w:val="0070C0"/>
                <w:spacing w:val="-3"/>
                <w:sz w:val="24"/>
                <w:szCs w:val="24"/>
                <w:lang w:val="en-US" w:eastAsia="en-US" w:bidi="ar-SA"/>
              </w:rPr>
            </w:pPr>
            <w:r>
              <w:fldChar w:fldCharType="begin"/>
            </w:r>
            <w:r>
              <w:rPr>
                <w:sz w:val="24"/>
                <w:lang w:val="en-US" w:eastAsia="en-US" w:bidi="ar-SA"/>
              </w:rPr>
              <w:instrText xml:space="preserve"> HYPERLINK "mailto:joliker@igsenergy.com" </w:instrText>
            </w:r>
            <w:r>
              <w:fldChar w:fldCharType="separate"/>
            </w:r>
            <w:r w:rsidRPr="006D25DD">
              <w:rPr>
                <w:rFonts w:eastAsiaTheme="minorHAnsi"/>
                <w:snapToGrid w:val="0"/>
                <w:color w:val="0070C0"/>
                <w:spacing w:val="-3"/>
                <w:sz w:val="24"/>
                <w:szCs w:val="24"/>
                <w:u w:val="single"/>
                <w:lang w:val="en-US" w:eastAsia="en-US" w:bidi="ar-SA"/>
              </w:rPr>
              <w:t>joliker@igsenergy.com</w:t>
            </w:r>
            <w:r>
              <w:fldChar w:fldCharType="end"/>
            </w:r>
          </w:p>
          <w:p w:rsidR="00E20893" w:rsidRPr="006D25DD" w:rsidP="00C83E09">
            <w:pPr>
              <w:tabs>
                <w:tab w:val="left" w:pos="-720"/>
              </w:tabs>
              <w:suppressAutoHyphens/>
              <w:jc w:val="both"/>
              <w:rPr>
                <w:rStyle w:val="DefaultParagraphFont"/>
                <w:snapToGrid w:val="0"/>
                <w:color w:val="0070C0"/>
                <w:spacing w:val="-3"/>
                <w:sz w:val="24"/>
                <w:szCs w:val="24"/>
                <w:lang w:val="en-US" w:eastAsia="en-US" w:bidi="ar-SA"/>
              </w:rPr>
            </w:pPr>
            <w:r>
              <w:fldChar w:fldCharType="begin"/>
            </w:r>
            <w:r>
              <w:rPr>
                <w:sz w:val="24"/>
                <w:lang w:val="en-US" w:eastAsia="en-US" w:bidi="ar-SA"/>
              </w:rPr>
              <w:instrText xml:space="preserve"> HYPERLINK "mailto:mswhite@igsenergy.com" </w:instrText>
            </w:r>
            <w:r>
              <w:fldChar w:fldCharType="separate"/>
            </w:r>
            <w:r w:rsidRPr="006D25DD">
              <w:rPr>
                <w:rFonts w:eastAsiaTheme="minorHAnsi"/>
                <w:snapToGrid w:val="0"/>
                <w:color w:val="0070C0"/>
                <w:spacing w:val="-3"/>
                <w:sz w:val="24"/>
                <w:szCs w:val="24"/>
                <w:u w:val="single"/>
                <w:lang w:val="en-US" w:eastAsia="en-US" w:bidi="ar-SA"/>
              </w:rPr>
              <w:t>mswhite@igsenergy.com</w:t>
            </w:r>
            <w:r>
              <w:fldChar w:fldCharType="end"/>
            </w:r>
          </w:p>
          <w:p w:rsidR="00E20893" w:rsidRPr="006D25DD" w:rsidP="00C83E09">
            <w:pPr>
              <w:tabs>
                <w:tab w:val="left" w:pos="-720"/>
              </w:tabs>
              <w:suppressAutoHyphens/>
              <w:jc w:val="both"/>
              <w:rPr>
                <w:rStyle w:val="DefaultParagraphFont"/>
                <w:bCs/>
                <w:snapToGrid w:val="0"/>
                <w:color w:val="0070C0"/>
                <w:spacing w:val="-3"/>
                <w:sz w:val="24"/>
                <w:szCs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6D25DD">
              <w:rPr>
                <w:rFonts w:eastAsiaTheme="minorHAnsi"/>
                <w:bCs/>
                <w:snapToGrid w:val="0"/>
                <w:color w:val="0070C0"/>
                <w:spacing w:val="-3"/>
                <w:sz w:val="24"/>
                <w:szCs w:val="24"/>
                <w:u w:val="single"/>
                <w:lang w:val="en-US" w:eastAsia="en-US" w:bidi="ar-SA"/>
              </w:rPr>
              <w:t>Bojko@carpenterlipps.com</w:t>
            </w:r>
            <w:r>
              <w:fldChar w:fldCharType="end"/>
            </w:r>
          </w:p>
          <w:p w:rsidR="00E20893" w:rsidRPr="006D25DD" w:rsidP="00C83E09">
            <w:pPr>
              <w:tabs>
                <w:tab w:val="left" w:pos="-720"/>
              </w:tabs>
              <w:suppressAutoHyphens/>
              <w:jc w:val="both"/>
              <w:rPr>
                <w:rStyle w:val="DefaultParagraphFont"/>
                <w:color w:val="0070C0"/>
                <w:sz w:val="24"/>
                <w:szCs w:val="24"/>
                <w:lang w:val="en-US" w:eastAsia="en-US" w:bidi="ar-SA"/>
              </w:rPr>
            </w:pPr>
            <w:r>
              <w:fldChar w:fldCharType="begin"/>
            </w:r>
            <w:r>
              <w:rPr>
                <w:sz w:val="24"/>
                <w:lang w:val="en-US" w:eastAsia="en-US" w:bidi="ar-SA"/>
              </w:rPr>
              <w:instrText xml:space="preserve"> HYPERLINK "mailto:ghiloni@carpenterlipps.com" </w:instrText>
            </w:r>
            <w:r>
              <w:fldChar w:fldCharType="separate"/>
            </w:r>
            <w:r w:rsidRPr="006D25DD">
              <w:rPr>
                <w:rFonts w:eastAsiaTheme="minorHAnsi"/>
                <w:color w:val="0070C0"/>
                <w:sz w:val="24"/>
                <w:szCs w:val="24"/>
                <w:u w:val="single"/>
                <w:lang w:val="en-US" w:eastAsia="en-US" w:bidi="ar-SA"/>
              </w:rPr>
              <w:t>ghiloni@carpenterlipps.com</w:t>
            </w:r>
            <w:r>
              <w:fldChar w:fldCharType="end"/>
            </w:r>
          </w:p>
          <w:p w:rsidR="00E20893" w:rsidRPr="006D25DD" w:rsidP="00C83E09">
            <w:pPr>
              <w:tabs>
                <w:tab w:val="left" w:pos="-720"/>
              </w:tabs>
              <w:suppressAutoHyphens/>
              <w:jc w:val="both"/>
              <w:rPr>
                <w:rStyle w:val="DefaultParagraphFont"/>
                <w:bCs/>
                <w:snapToGrid w:val="0"/>
                <w:color w:val="0070C0"/>
                <w:spacing w:val="-3"/>
                <w:sz w:val="24"/>
                <w:szCs w:val="24"/>
                <w:lang w:val="en-US" w:eastAsia="en-US" w:bidi="ar-SA"/>
              </w:rPr>
            </w:pPr>
            <w:r>
              <w:fldChar w:fldCharType="begin"/>
            </w:r>
            <w:r>
              <w:rPr>
                <w:sz w:val="24"/>
                <w:lang w:val="en-US" w:eastAsia="en-US" w:bidi="ar-SA"/>
              </w:rPr>
              <w:instrText xml:space="preserve"> HYPERLINK "mailto:barthroyer@aol.com" </w:instrText>
            </w:r>
            <w:r>
              <w:fldChar w:fldCharType="separate"/>
            </w:r>
            <w:r w:rsidRPr="006D25DD">
              <w:rPr>
                <w:rFonts w:eastAsiaTheme="minorHAnsi"/>
                <w:bCs/>
                <w:snapToGrid w:val="0"/>
                <w:color w:val="0070C0"/>
                <w:spacing w:val="-3"/>
                <w:sz w:val="24"/>
                <w:szCs w:val="24"/>
                <w:u w:val="single"/>
                <w:lang w:val="en-US" w:eastAsia="en-US" w:bidi="ar-SA"/>
              </w:rPr>
              <w:t>barthroyer@aol.com</w:t>
            </w:r>
            <w:r>
              <w:fldChar w:fldCharType="end"/>
            </w:r>
          </w:p>
          <w:p w:rsidR="00E20893" w:rsidRPr="006D25DD" w:rsidP="00C83E09">
            <w:pPr>
              <w:tabs>
                <w:tab w:val="left" w:pos="-720"/>
              </w:tabs>
              <w:suppressAutoHyphens/>
              <w:jc w:val="both"/>
              <w:rPr>
                <w:rStyle w:val="DefaultParagraphFont"/>
                <w:bCs/>
                <w:snapToGrid w:val="0"/>
                <w:color w:val="0070C0"/>
                <w:spacing w:val="-3"/>
                <w:sz w:val="24"/>
                <w:szCs w:val="24"/>
                <w:lang w:val="en-US" w:eastAsia="en-US" w:bidi="ar-SA"/>
              </w:rPr>
            </w:pPr>
            <w:r>
              <w:fldChar w:fldCharType="begin"/>
            </w:r>
            <w:r>
              <w:rPr>
                <w:sz w:val="24"/>
                <w:lang w:val="en-US" w:eastAsia="en-US" w:bidi="ar-SA"/>
              </w:rPr>
              <w:instrText xml:space="preserve"> HYPERLINK "mailto:athompson@taftlaw.com" </w:instrText>
            </w:r>
            <w:r>
              <w:fldChar w:fldCharType="separate"/>
            </w:r>
            <w:r w:rsidRPr="006D25DD">
              <w:rPr>
                <w:rFonts w:eastAsiaTheme="minorHAnsi"/>
                <w:bCs/>
                <w:snapToGrid w:val="0"/>
                <w:color w:val="0070C0"/>
                <w:spacing w:val="-3"/>
                <w:sz w:val="24"/>
                <w:szCs w:val="24"/>
                <w:u w:val="single"/>
                <w:lang w:val="en-US" w:eastAsia="en-US" w:bidi="ar-SA"/>
              </w:rPr>
              <w:t>athompson@taftlaw.com</w:t>
            </w:r>
            <w:r>
              <w:fldChar w:fldCharType="end"/>
            </w:r>
          </w:p>
          <w:p w:rsidR="00E20893" w:rsidRPr="006D25DD" w:rsidP="00C83E09">
            <w:pPr>
              <w:tabs>
                <w:tab w:val="left" w:pos="-720"/>
              </w:tabs>
              <w:suppressAutoHyphens/>
              <w:jc w:val="both"/>
              <w:rPr>
                <w:rStyle w:val="DefaultParagraphFont"/>
                <w:bCs/>
                <w:snapToGrid w:val="0"/>
                <w:color w:val="0070C0"/>
                <w:spacing w:val="-3"/>
                <w:sz w:val="24"/>
                <w:szCs w:val="24"/>
                <w:lang w:val="en-US" w:eastAsia="en-US" w:bidi="ar-SA"/>
              </w:rPr>
            </w:pPr>
            <w:r>
              <w:fldChar w:fldCharType="begin"/>
            </w:r>
            <w:r>
              <w:rPr>
                <w:sz w:val="24"/>
                <w:lang w:val="en-US" w:eastAsia="en-US" w:bidi="ar-SA"/>
              </w:rPr>
              <w:instrText xml:space="preserve"> HYPERLINK "mailto:Christopher.miller@icemiller.com" </w:instrText>
            </w:r>
            <w:r>
              <w:fldChar w:fldCharType="separate"/>
            </w:r>
            <w:r w:rsidRPr="006D25DD">
              <w:rPr>
                <w:rFonts w:eastAsiaTheme="minorHAnsi"/>
                <w:bCs/>
                <w:snapToGrid w:val="0"/>
                <w:color w:val="0070C0"/>
                <w:spacing w:val="-3"/>
                <w:sz w:val="24"/>
                <w:szCs w:val="24"/>
                <w:u w:val="single"/>
                <w:lang w:val="en-US" w:eastAsia="en-US" w:bidi="ar-SA"/>
              </w:rPr>
              <w:t>Christopher.miller@icemiller.com</w:t>
            </w:r>
            <w:r>
              <w:fldChar w:fldCharType="end"/>
            </w:r>
          </w:p>
          <w:p w:rsidR="00E20893" w:rsidRPr="006D25DD" w:rsidP="00C83E09">
            <w:pPr>
              <w:tabs>
                <w:tab w:val="left" w:pos="-720"/>
              </w:tabs>
              <w:suppressAutoHyphens/>
              <w:jc w:val="both"/>
              <w:rPr>
                <w:rStyle w:val="DefaultParagraphFont"/>
                <w:bCs/>
                <w:snapToGrid w:val="0"/>
                <w:color w:val="0070C0"/>
                <w:spacing w:val="-3"/>
                <w:sz w:val="24"/>
                <w:szCs w:val="24"/>
                <w:lang w:val="en-US" w:eastAsia="en-US" w:bidi="ar-SA"/>
              </w:rPr>
            </w:pPr>
            <w:r>
              <w:fldChar w:fldCharType="begin"/>
            </w:r>
            <w:r>
              <w:rPr>
                <w:sz w:val="24"/>
                <w:lang w:val="en-US" w:eastAsia="en-US" w:bidi="ar-SA"/>
              </w:rPr>
              <w:instrText xml:space="preserve"> HYPERLINK "mailto:Gregory.dunn@icemiller.com" </w:instrText>
            </w:r>
            <w:r>
              <w:fldChar w:fldCharType="separate"/>
            </w:r>
            <w:r w:rsidRPr="006D25DD">
              <w:rPr>
                <w:rFonts w:eastAsiaTheme="minorHAnsi"/>
                <w:bCs/>
                <w:snapToGrid w:val="0"/>
                <w:color w:val="0070C0"/>
                <w:spacing w:val="-3"/>
                <w:sz w:val="24"/>
                <w:szCs w:val="24"/>
                <w:u w:val="single"/>
                <w:lang w:val="en-US" w:eastAsia="en-US" w:bidi="ar-SA"/>
              </w:rPr>
              <w:t>Gregory.dunn@icemiller.com</w:t>
            </w:r>
            <w:r>
              <w:fldChar w:fldCharType="end"/>
            </w:r>
          </w:p>
          <w:p w:rsidR="00E20893" w:rsidRPr="006D25DD" w:rsidP="00C83E09">
            <w:pPr>
              <w:tabs>
                <w:tab w:val="left" w:pos="-720"/>
              </w:tabs>
              <w:suppressAutoHyphens/>
              <w:jc w:val="both"/>
              <w:rPr>
                <w:rStyle w:val="DefaultParagraphFont"/>
                <w:bCs/>
                <w:snapToGrid w:val="0"/>
                <w:color w:val="0070C0"/>
                <w:spacing w:val="-3"/>
                <w:sz w:val="24"/>
                <w:szCs w:val="24"/>
                <w:lang w:val="en-US" w:eastAsia="en-US" w:bidi="ar-SA"/>
              </w:rPr>
            </w:pPr>
            <w:r>
              <w:fldChar w:fldCharType="begin"/>
            </w:r>
            <w:r>
              <w:rPr>
                <w:sz w:val="24"/>
                <w:lang w:val="en-US" w:eastAsia="en-US" w:bidi="ar-SA"/>
              </w:rPr>
              <w:instrText xml:space="preserve"> HYPERLINK "mailto:Jeremy.grayem@icemiller.com" </w:instrText>
            </w:r>
            <w:r>
              <w:fldChar w:fldCharType="separate"/>
            </w:r>
            <w:r w:rsidRPr="006D25DD">
              <w:rPr>
                <w:rFonts w:eastAsiaTheme="minorHAnsi"/>
                <w:bCs/>
                <w:snapToGrid w:val="0"/>
                <w:color w:val="0070C0"/>
                <w:spacing w:val="-3"/>
                <w:sz w:val="24"/>
                <w:szCs w:val="24"/>
                <w:u w:val="single"/>
                <w:lang w:val="en-US" w:eastAsia="en-US" w:bidi="ar-SA"/>
              </w:rPr>
              <w:t>Jeremy.grayem@icemiller.com</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"mailto:tdougherty@theOEC.org" </w:instrText>
            </w:r>
            <w:r>
              <w:fldChar w:fldCharType="separate"/>
            </w:r>
            <w:r w:rsidRPr="006D25DD">
              <w:rPr>
                <w:rFonts w:eastAsiaTheme="minorHAnsi"/>
                <w:color w:val="0070C0"/>
                <w:sz w:val="24"/>
                <w:szCs w:val="24"/>
                <w:u w:val="single"/>
                <w:lang w:val="en-US" w:eastAsia="en-US" w:bidi="ar-SA"/>
              </w:rPr>
              <w:t>tdougherty@theOEC.org</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"mailto:Marilyn@wflawfirm.com" </w:instrText>
            </w:r>
            <w:r>
              <w:fldChar w:fldCharType="separate"/>
            </w:r>
            <w:r w:rsidRPr="006D25DD">
              <w:rPr>
                <w:rFonts w:eastAsiaTheme="minorHAnsi"/>
                <w:color w:val="0070C0"/>
                <w:sz w:val="24"/>
                <w:szCs w:val="24"/>
                <w:u w:val="single"/>
                <w:lang w:val="en-US" w:eastAsia="en-US" w:bidi="ar-SA"/>
              </w:rPr>
              <w:t>Marilyn@wflawfirm.com</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"mailto:todonnell@dickinsonwright.com" </w:instrText>
            </w:r>
            <w:r>
              <w:fldChar w:fldCharType="separate"/>
            </w:r>
            <w:r w:rsidRPr="006D25DD">
              <w:rPr>
                <w:rFonts w:eastAsiaTheme="minorHAnsi"/>
                <w:color w:val="0070C0"/>
                <w:sz w:val="24"/>
                <w:szCs w:val="24"/>
                <w:u w:val="single"/>
                <w:lang w:val="en-US" w:eastAsia="en-US" w:bidi="ar-SA"/>
              </w:rPr>
              <w:t>todonnell@dickinsonwright.com</w:t>
            </w:r>
            <w:r>
              <w:fldChar w:fldCharType="end"/>
            </w:r>
          </w:p>
          <w:p w:rsidR="00E20893" w:rsidRPr="006D25DD" w:rsidP="00C83E09">
            <w:pPr>
              <w:tabs>
                <w:tab w:val="left" w:pos="-720"/>
              </w:tabs>
              <w:suppressAutoHyphens/>
              <w:jc w:val="both"/>
              <w:rPr>
                <w:rStyle w:val="DefaultParagraphFont"/>
                <w:color w:val="0070C0"/>
                <w:sz w:val="24"/>
                <w:szCs w:val="24"/>
                <w:lang w:val="en-US" w:eastAsia="en-US" w:bidi="ar-SA"/>
              </w:rPr>
            </w:pPr>
            <w:r>
              <w:fldChar w:fldCharType="begin"/>
            </w:r>
            <w:r>
              <w:rPr>
                <w:sz w:val="24"/>
                <w:lang w:val="en-US" w:eastAsia="en-US" w:bidi="ar-SA"/>
              </w:rPr>
              <w:instrText xml:space="preserve"> HYPERLINK "mailto:mfleisher@elpc.org" </w:instrText>
            </w:r>
            <w:r>
              <w:fldChar w:fldCharType="separate"/>
            </w:r>
            <w:r w:rsidRPr="006D25DD">
              <w:rPr>
                <w:rFonts w:eastAsiaTheme="minorHAnsi"/>
                <w:color w:val="0070C0"/>
                <w:sz w:val="24"/>
                <w:szCs w:val="24"/>
                <w:u w:val="single"/>
                <w:lang w:val="en-US" w:eastAsia="en-US" w:bidi="ar-SA"/>
              </w:rPr>
              <w:t>mfleisher@elpc.org</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"mailto:drinebolt@ohiopartners.org" </w:instrText>
            </w:r>
            <w:r>
              <w:fldChar w:fldCharType="separate"/>
            </w:r>
            <w:r w:rsidRPr="006D25DD">
              <w:rPr>
                <w:rFonts w:eastAsiaTheme="minorHAnsi"/>
                <w:color w:val="0070C0"/>
                <w:sz w:val="24"/>
                <w:szCs w:val="24"/>
                <w:u w:val="single"/>
                <w:lang w:val="en-US" w:eastAsia="en-US" w:bidi="ar-SA"/>
              </w:rPr>
              <w:t>drinebolt@ohiopartners.org</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"mailto:meissnerjoseph@yahoo.com" </w:instrText>
            </w:r>
            <w:r>
              <w:fldChar w:fldCharType="separate"/>
            </w:r>
            <w:r w:rsidRPr="006D25DD">
              <w:rPr>
                <w:rFonts w:eastAsiaTheme="minorHAnsi"/>
                <w:color w:val="0070C0"/>
                <w:sz w:val="24"/>
                <w:szCs w:val="24"/>
                <w:u w:val="single"/>
                <w:lang w:val="en-US" w:eastAsia="en-US" w:bidi="ar-SA"/>
              </w:rPr>
              <w:t>meissnerjoseph@yahoo.com</w:t>
            </w:r>
            <w:r>
              <w:fldChar w:fldCharType="end"/>
            </w:r>
          </w:p>
          <w:p w:rsidR="00E20893" w:rsidRPr="006D25DD" w:rsidP="00C83E09">
            <w:pPr>
              <w:tabs>
                <w:tab w:val="left" w:pos="-720"/>
              </w:tabs>
              <w:suppressAutoHyphens/>
              <w:jc w:val="both"/>
              <w:rPr>
                <w:rStyle w:val="DefaultParagraphFont"/>
                <w:color w:val="0070C0"/>
                <w:sz w:val="24"/>
                <w:szCs w:val="24"/>
                <w:lang w:val="en-US" w:eastAsia="en-US" w:bidi="ar-SA"/>
              </w:rPr>
            </w:pPr>
            <w:r>
              <w:fldChar w:fldCharType="begin"/>
            </w:r>
            <w:r>
              <w:rPr>
                <w:sz w:val="24"/>
                <w:lang w:val="en-US" w:eastAsia="en-US" w:bidi="ar-SA"/>
              </w:rPr>
              <w:instrText xml:space="preserve"> HYPERLINK "mailto:LeslieKovacik@toledo.oh.gov" </w:instrText>
            </w:r>
            <w:r>
              <w:fldChar w:fldCharType="separate"/>
            </w:r>
            <w:r w:rsidRPr="006D25DD">
              <w:rPr>
                <w:rFonts w:eastAsiaTheme="minorHAnsi"/>
                <w:color w:val="0070C0"/>
                <w:sz w:val="24"/>
                <w:szCs w:val="24"/>
                <w:u w:val="single"/>
                <w:lang w:val="en-US" w:eastAsia="en-US" w:bidi="ar-SA"/>
              </w:rPr>
              <w:t>LeslieKovacik@toledo.oh.gov</w:t>
            </w:r>
            <w:r>
              <w:fldChar w:fldCharType="end"/>
            </w:r>
          </w:p>
          <w:p w:rsidR="00E20893" w:rsidRPr="006D25DD" w:rsidP="00C83E09">
            <w:pPr>
              <w:tabs>
                <w:tab w:val="left" w:pos="-720"/>
              </w:tabs>
              <w:suppressAutoHyphens/>
              <w:jc w:val="both"/>
              <w:rPr>
                <w:rStyle w:val="DefaultParagraphFont"/>
                <w:color w:val="0070C0"/>
                <w:sz w:val="24"/>
                <w:szCs w:val="24"/>
                <w:lang w:val="en-US" w:eastAsia="en-US" w:bidi="ar-SA"/>
              </w:rPr>
            </w:pPr>
            <w:r>
              <w:fldChar w:fldCharType="begin"/>
            </w:r>
            <w:r>
              <w:rPr>
                <w:sz w:val="24"/>
                <w:lang w:val="en-US" w:eastAsia="en-US" w:bidi="ar-SA"/>
              </w:rPr>
              <w:instrText xml:space="preserve"> HYPERLINK "mailto:trhayslaw@gmail.com" </w:instrText>
            </w:r>
            <w:r>
              <w:fldChar w:fldCharType="separate"/>
            </w:r>
            <w:r w:rsidRPr="006D25DD">
              <w:rPr>
                <w:rFonts w:eastAsiaTheme="minorHAnsi"/>
                <w:color w:val="0070C0"/>
                <w:sz w:val="24"/>
                <w:szCs w:val="24"/>
                <w:u w:val="single"/>
                <w:lang w:val="en-US" w:eastAsia="en-US" w:bidi="ar-SA"/>
              </w:rPr>
              <w:t>trhayslaw@gmail.com</w:t>
            </w:r>
            <w:r>
              <w:fldChar w:fldCharType="end"/>
            </w:r>
          </w:p>
          <w:p w:rsidR="00E20893" w:rsidRPr="006D25DD" w:rsidP="00C83E09">
            <w:pPr>
              <w:tabs>
                <w:tab w:val="left" w:pos="-720"/>
              </w:tabs>
              <w:suppressAutoHyphens/>
              <w:jc w:val="both"/>
              <w:rPr>
                <w:rStyle w:val="DefaultParagraphFont"/>
                <w:color w:val="0070C0"/>
                <w:sz w:val="24"/>
                <w:szCs w:val="24"/>
                <w:lang w:val="en-US" w:eastAsia="en-US" w:bidi="ar-SA"/>
              </w:rPr>
            </w:pPr>
            <w:r>
              <w:fldChar w:fldCharType="begin"/>
            </w:r>
            <w:r>
              <w:rPr>
                <w:sz w:val="24"/>
                <w:lang w:val="en-US" w:eastAsia="en-US" w:bidi="ar-SA"/>
              </w:rPr>
              <w:instrText xml:space="preserve"> HYPERLINK "mailto:Jeffrey.mayes@monitoringanalytics.com" </w:instrText>
            </w:r>
            <w:r>
              <w:fldChar w:fldCharType="separate"/>
            </w:r>
            <w:r w:rsidRPr="006D25DD">
              <w:rPr>
                <w:rFonts w:eastAsiaTheme="minorHAnsi"/>
                <w:color w:val="0070C0"/>
                <w:sz w:val="24"/>
                <w:szCs w:val="24"/>
                <w:u w:val="single"/>
                <w:lang w:val="en-US" w:eastAsia="en-US" w:bidi="ar-SA"/>
              </w:rPr>
              <w:t>Jeffrey.mayes@monitoringanalytics.com</w:t>
            </w:r>
            <w:r>
              <w:fldChar w:fldCharType="end"/>
            </w:r>
          </w:p>
          <w:p w:rsidR="00E20893" w:rsidRPr="006D25DD" w:rsidP="00C83E09">
            <w:pPr>
              <w:tabs>
                <w:tab w:val="left" w:pos="-720"/>
              </w:tabs>
              <w:suppressAutoHyphens/>
              <w:jc w:val="both"/>
              <w:rPr>
                <w:rStyle w:val="DefaultParagraphFont"/>
                <w:color w:val="0070C0"/>
                <w:sz w:val="24"/>
                <w:szCs w:val="24"/>
                <w:lang w:val="en-US" w:eastAsia="en-US" w:bidi="ar-SA"/>
              </w:rPr>
            </w:pPr>
            <w:r>
              <w:fldChar w:fldCharType="begin"/>
            </w:r>
            <w:r>
              <w:rPr>
                <w:sz w:val="24"/>
                <w:lang w:val="en-US" w:eastAsia="en-US" w:bidi="ar-SA"/>
              </w:rPr>
              <w:instrText xml:space="preserve"> HYPERLINK "mailto:msoules@earthjustice.org" </w:instrText>
            </w:r>
            <w:r>
              <w:fldChar w:fldCharType="separate"/>
            </w:r>
            <w:r w:rsidRPr="006D25DD">
              <w:rPr>
                <w:rFonts w:eastAsiaTheme="minorHAnsi"/>
                <w:color w:val="0070C0"/>
                <w:sz w:val="24"/>
                <w:szCs w:val="24"/>
                <w:u w:val="single"/>
                <w:lang w:val="en-US" w:eastAsia="en-US" w:bidi="ar-SA"/>
              </w:rPr>
              <w:t>msoules@earthjustice.org</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"mailto:sfisk@earthjustice.org" </w:instrText>
            </w:r>
            <w:r>
              <w:fldChar w:fldCharType="separate"/>
            </w:r>
            <w:r w:rsidRPr="006D25DD">
              <w:rPr>
                <w:rFonts w:eastAsiaTheme="minorHAnsi"/>
                <w:color w:val="0070C0"/>
                <w:sz w:val="24"/>
                <w:szCs w:val="24"/>
                <w:u w:val="single"/>
                <w:lang w:val="en-US" w:eastAsia="en-US" w:bidi="ar-SA"/>
              </w:rPr>
              <w:t>sfisk@earthjustice.org</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"mailto:Thomas.mcnamee@ohioattorneygeneral.gov" </w:instrText>
            </w:r>
            <w:r>
              <w:fldChar w:fldCharType="separate"/>
            </w:r>
            <w:r w:rsidRPr="006D25DD">
              <w:rPr>
                <w:rFonts w:eastAsiaTheme="minorHAnsi"/>
                <w:color w:val="0070C0"/>
                <w:sz w:val="24"/>
                <w:szCs w:val="24"/>
                <w:u w:val="single"/>
                <w:lang w:val="en-US" w:eastAsia="en-US" w:bidi="ar-SA"/>
              </w:rPr>
              <w:t>Thomas.mcnamee@ohioattorneygeneral.gov</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"mailto:Thomas.lindgren@ohioattorneygeneral.gov" </w:instrText>
            </w:r>
            <w:r>
              <w:fldChar w:fldCharType="separate"/>
            </w:r>
            <w:r w:rsidRPr="006D25DD">
              <w:rPr>
                <w:rFonts w:eastAsiaTheme="minorHAnsi"/>
                <w:color w:val="0070C0"/>
                <w:sz w:val="24"/>
                <w:szCs w:val="24"/>
                <w:u w:val="single"/>
                <w:lang w:val="en-US" w:eastAsia="en-US" w:bidi="ar-SA"/>
              </w:rPr>
              <w:t>Thomas.lindgren@ohioattorneygeneral.gov</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r>
              <w:fldChar w:fldCharType="begin"/>
            </w:r>
            <w:r>
              <w:rPr>
                <w:sz w:val="24"/>
                <w:lang w:val="en-US" w:eastAsia="en-US" w:bidi="ar-SA"/>
              </w:rPr>
              <w:instrText xml:space="preserve"> HYPERLINK "mailto:Steven.beeler@ohioattorneygeneral.gov" </w:instrText>
            </w:r>
            <w:r>
              <w:fldChar w:fldCharType="separate"/>
            </w:r>
            <w:r w:rsidRPr="006D25DD">
              <w:rPr>
                <w:rFonts w:eastAsiaTheme="minorHAnsi"/>
                <w:color w:val="0070C0"/>
                <w:sz w:val="24"/>
                <w:szCs w:val="24"/>
                <w:u w:val="single"/>
                <w:lang w:val="en-US" w:eastAsia="en-US" w:bidi="ar-SA"/>
              </w:rPr>
              <w:t>Steven.beeler@ohioattorneygeneral.gov</w:t>
            </w:r>
            <w:r>
              <w:fldChar w:fldCharType="end"/>
            </w:r>
          </w:p>
          <w:p w:rsidR="00E20893" w:rsidRPr="006D25DD" w:rsidP="00C83E09">
            <w:pPr>
              <w:tabs>
                <w:tab w:val="left" w:pos="-720"/>
              </w:tabs>
              <w:suppressAutoHyphens/>
              <w:jc w:val="both"/>
              <w:rPr>
                <w:rStyle w:val="DefaultParagraphFont"/>
                <w:color w:val="0070C0"/>
                <w:sz w:val="24"/>
                <w:szCs w:val="24"/>
                <w:u w:val="single"/>
                <w:lang w:val="en-US" w:eastAsia="en-US" w:bidi="ar-SA"/>
              </w:rPr>
            </w:pPr>
          </w:p>
          <w:p w:rsidR="00E20893" w:rsidRPr="006D25DD" w:rsidP="00C83E09">
            <w:pPr>
              <w:tabs>
                <w:tab w:val="left" w:pos="-720"/>
              </w:tabs>
              <w:suppressAutoHyphens/>
              <w:jc w:val="both"/>
              <w:rPr>
                <w:rStyle w:val="DefaultParagraphFont"/>
                <w:bCs/>
                <w:snapToGrid w:val="0"/>
                <w:color w:val="0070C0"/>
                <w:spacing w:val="-3"/>
                <w:sz w:val="24"/>
                <w:szCs w:val="24"/>
                <w:lang w:val="en-US" w:eastAsia="en-US" w:bidi="ar-SA"/>
              </w:rPr>
            </w:pPr>
          </w:p>
        </w:tc>
      </w:tr>
    </w:tbl>
    <w:p w:rsidR="00E20893" w:rsidP="00C83E09">
      <w:pPr>
        <w:pStyle w:val="BodyText"/>
        <w:rPr>
          <w:b/>
          <w:bCs/>
          <w:szCs w:val="24"/>
        </w:rPr>
      </w:pPr>
    </w:p>
    <w:sectPr w:rsidSect="00C83E09">
      <w:headerReference w:type="even" r:id="rId21"/>
      <w:headerReference w:type="default" r:id="rId22"/>
      <w:headerReference w:type="first" r:id="rId23"/>
      <w:footerReference w:type="first" r:id="rId24"/>
      <w:pgSz w:w="12240" w:h="15840"/>
      <w:pgMar w:top="903"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8752306"/>
      <w:docPartObj>
        <w:docPartGallery w:val="Page Numbers (Bottom of Page)"/>
        <w:docPartUnique/>
      </w:docPartObj>
    </w:sdtPr>
    <w:sdtEndPr>
      <w:rPr>
        <w:noProof/>
      </w:rPr>
    </w:sdtEndPr>
    <w:sdtContent>
      <w:p w:rsidR="006D25DD">
        <w:pPr>
          <w:pStyle w:val="Footer"/>
          <w:jc w:val="center"/>
        </w:pPr>
        <w:r>
          <w:fldChar w:fldCharType="begin"/>
        </w:r>
        <w:r>
          <w:instrText xml:space="preserve"> PAGE   \* MERGEFORMAT </w:instrText>
        </w:r>
        <w:r>
          <w:fldChar w:fldCharType="separate"/>
        </w:r>
        <w:r w:rsidR="00CA6101">
          <w:rPr>
            <w:noProof/>
          </w:rPr>
          <w:t>3</w:t>
        </w:r>
        <w:r>
          <w:rPr>
            <w:noProof/>
          </w:rPr>
          <w:fldChar w:fldCharType="end"/>
        </w:r>
      </w:p>
    </w:sdtContent>
  </w:sdt>
  <w:p w:rsidR="006D2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7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3612773"/>
      <w:docPartObj>
        <w:docPartGallery w:val="Page Numbers (Bottom of Page)"/>
        <w:docPartUnique/>
      </w:docPartObj>
    </w:sdtPr>
    <w:sdtEndPr>
      <w:rPr>
        <w:noProof/>
      </w:rPr>
    </w:sdtEndPr>
    <w:sdtContent>
      <w:p w:rsidR="006D25DD">
        <w:pPr>
          <w:pStyle w:val="Footer"/>
          <w:jc w:val="center"/>
        </w:pPr>
        <w:r>
          <w:fldChar w:fldCharType="begin"/>
        </w:r>
        <w:r>
          <w:instrText xml:space="preserve"> PAGE   \* MERGEFORMAT </w:instrText>
        </w:r>
        <w:r>
          <w:fldChar w:fldCharType="separate"/>
        </w:r>
        <w:r w:rsidR="00CA6101">
          <w:rPr>
            <w:noProof/>
          </w:rPr>
          <w:t>i</w:t>
        </w:r>
        <w:r>
          <w:rPr>
            <w:noProof/>
          </w:rPr>
          <w:fldChar w:fldCharType="end"/>
        </w:r>
      </w:p>
    </w:sdtContent>
  </w:sdt>
  <w:p w:rsidR="006D25DD" w:rsidRPr="009A7E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2039853"/>
      <w:docPartObj>
        <w:docPartGallery w:val="Page Numbers (Bottom of Page)"/>
        <w:docPartUnique/>
      </w:docPartObj>
    </w:sdtPr>
    <w:sdtEndPr>
      <w:rPr>
        <w:noProof/>
      </w:rPr>
    </w:sdtEndPr>
    <w:sdtContent>
      <w:p w:rsidR="00C83E09">
        <w:pPr>
          <w:pStyle w:val="Footer"/>
          <w:jc w:val="center"/>
        </w:pPr>
        <w:r>
          <w:fldChar w:fldCharType="begin"/>
        </w:r>
        <w:r>
          <w:instrText xml:space="preserve"> PAGE   \* MERGEFORMAT </w:instrText>
        </w:r>
        <w:r>
          <w:fldChar w:fldCharType="separate"/>
        </w:r>
        <w:r w:rsidR="00CA6101">
          <w:rPr>
            <w:noProof/>
          </w:rPr>
          <w:t>8</w:t>
        </w:r>
        <w:r>
          <w:rPr>
            <w:noProof/>
          </w:rPr>
          <w:fldChar w:fldCharType="end"/>
        </w:r>
      </w:p>
    </w:sdtContent>
  </w:sdt>
  <w:p w:rsidR="00C83E09" w:rsidRPr="009A7E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E09" w:rsidRPr="009A7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422A">
      <w:r>
        <w:separator/>
      </w:r>
    </w:p>
  </w:footnote>
  <w:footnote w:type="continuationSeparator" w:id="1">
    <w:p w:rsidR="005B422A">
      <w:r>
        <w:continuationSeparator/>
      </w:r>
    </w:p>
  </w:footnote>
  <w:footnote w:id="2">
    <w:p w:rsidR="00C83E09" w:rsidRPr="002F553D" w:rsidP="00E20893">
      <w:pPr>
        <w:pStyle w:val="FootnoteText"/>
        <w:spacing w:after="120"/>
      </w:pPr>
      <w:r w:rsidRPr="002F553D">
        <w:rPr>
          <w:rStyle w:val="FootnoteReference"/>
        </w:rPr>
        <w:footnoteRef/>
      </w:r>
      <w:r w:rsidRPr="002F553D">
        <w:t xml:space="preserve"> This application for rehearing is authorized under R.C. 4903.10 and Ohio Adm. Code 4901-1-35.</w:t>
      </w:r>
    </w:p>
  </w:footnote>
  <w:footnote w:id="3">
    <w:p w:rsidR="000A00DD">
      <w:pPr>
        <w:pStyle w:val="FootnoteText"/>
      </w:pPr>
      <w:r>
        <w:rPr>
          <w:rStyle w:val="FootnoteReference"/>
        </w:rPr>
        <w:footnoteRef/>
      </w:r>
      <w:r>
        <w:t xml:space="preserve"> Fifth Entry on Rehearing, Concurring Opinion of Asim Haque</w:t>
      </w:r>
      <w:r w:rsidR="00137271">
        <w:t xml:space="preserve"> at</w:t>
      </w:r>
      <w:r>
        <w:t xml:space="preserve"> ¶</w:t>
      </w:r>
      <w:r w:rsidR="00137271">
        <w:t xml:space="preserve">9 (October 12, 2016). </w:t>
      </w:r>
    </w:p>
  </w:footnote>
  <w:footnote w:id="4">
    <w:p w:rsidR="00C83E09" w:rsidRPr="00152983" w:rsidP="00C83E09">
      <w:pPr>
        <w:pStyle w:val="FootnoteText"/>
        <w:spacing w:after="120"/>
      </w:pPr>
      <w:r w:rsidRPr="00152983">
        <w:rPr>
          <w:rStyle w:val="FootnoteReference"/>
        </w:rPr>
        <w:footnoteRef/>
      </w:r>
      <w:r w:rsidRPr="00152983">
        <w:t xml:space="preserve"> </w:t>
      </w:r>
      <w:r>
        <w:t>Sixth Entry on Rehearing</w:t>
      </w:r>
      <w:r w:rsidRPr="00152983">
        <w:t xml:space="preserve"> at ¶</w:t>
      </w:r>
      <w:r>
        <w:t>14</w:t>
      </w:r>
      <w:r w:rsidRPr="00152983">
        <w:t xml:space="preserve"> (</w:t>
      </w:r>
      <w:r>
        <w:t>December 7</w:t>
      </w:r>
      <w:r w:rsidRPr="00152983">
        <w:t xml:space="preserve">, 2016).  </w:t>
      </w:r>
    </w:p>
  </w:footnote>
  <w:footnote w:id="5">
    <w:p w:rsidR="00C83E09" w:rsidRPr="002F553D" w:rsidP="00C83E09">
      <w:pPr>
        <w:pStyle w:val="FootnoteText"/>
        <w:spacing w:after="120"/>
      </w:pPr>
      <w:r w:rsidRPr="002F553D">
        <w:rPr>
          <w:rStyle w:val="FootnoteReference"/>
        </w:rPr>
        <w:footnoteRef/>
      </w:r>
      <w:r w:rsidRPr="002F553D">
        <w:t xml:space="preserve"> FirstEnergy refers to Ohio Edison Company, The Cleveland Electric Illuminating Company and The Toledo Edison Company.</w:t>
      </w:r>
    </w:p>
  </w:footnote>
  <w:footnote w:id="6">
    <w:p w:rsidR="00137271">
      <w:pPr>
        <w:pStyle w:val="FootnoteText"/>
      </w:pPr>
      <w:r>
        <w:rPr>
          <w:rStyle w:val="FootnoteReference"/>
        </w:rPr>
        <w:footnoteRef/>
      </w:r>
      <w:r>
        <w:t xml:space="preserve"> Fifth Entry on Rehearing, Concurring Opinion of Asim Haque at ¶9 (October 12, 2016).</w:t>
      </w:r>
    </w:p>
  </w:footnote>
  <w:footnote w:id="7">
    <w:p w:rsidR="00C83E09" w:rsidRPr="00152983" w:rsidP="00C83E09">
      <w:pPr>
        <w:pStyle w:val="FootnoteText"/>
        <w:spacing w:after="120"/>
      </w:pPr>
      <w:r w:rsidRPr="00152983">
        <w:rPr>
          <w:rStyle w:val="FootnoteReference"/>
        </w:rPr>
        <w:footnoteRef/>
      </w:r>
      <w:r w:rsidRPr="00152983">
        <w:t xml:space="preserve"> </w:t>
      </w:r>
      <w:r>
        <w:t xml:space="preserve">Sixth Entry on Rehearing at </w:t>
      </w:r>
      <w:r w:rsidRPr="00152983">
        <w:t>¶</w:t>
      </w:r>
      <w:r>
        <w:t>14</w:t>
      </w:r>
      <w:r w:rsidRPr="00152983">
        <w:t xml:space="preserve">.  </w:t>
      </w:r>
    </w:p>
  </w:footnote>
  <w:footnote w:id="8">
    <w:p w:rsidR="008E7ECF">
      <w:pPr>
        <w:pStyle w:val="FootnoteText"/>
      </w:pPr>
      <w:r>
        <w:rPr>
          <w:rStyle w:val="FootnoteReference"/>
        </w:rPr>
        <w:footnoteRef/>
      </w:r>
      <w:r>
        <w:t xml:space="preserve"> </w:t>
      </w:r>
      <w:r w:rsidRPr="00D30FA2">
        <w:rPr>
          <w:i/>
        </w:rPr>
        <w:t xml:space="preserve">State ex rel. Columbus Gas &amp; Fuel Col. </w:t>
      </w:r>
      <w:r>
        <w:rPr>
          <w:i/>
        </w:rPr>
        <w:t>v</w:t>
      </w:r>
      <w:r w:rsidRPr="00D30FA2">
        <w:rPr>
          <w:i/>
        </w:rPr>
        <w:t>. Pub. Util</w:t>
      </w:r>
      <w:r>
        <w:rPr>
          <w:i/>
        </w:rPr>
        <w:t>.</w:t>
      </w:r>
      <w:r w:rsidRPr="00D30FA2">
        <w:rPr>
          <w:i/>
        </w:rPr>
        <w:t xml:space="preserve"> Comm.</w:t>
      </w:r>
      <w:r>
        <w:t xml:space="preserve"> (1930), 122 Ohio St. 473, 475.  </w:t>
      </w:r>
    </w:p>
  </w:footnote>
  <w:footnote w:id="9">
    <w:p w:rsidR="00F57E19" w:rsidP="00D2690A">
      <w:pPr>
        <w:pStyle w:val="FootnoteText"/>
        <w:spacing w:after="120"/>
      </w:pPr>
      <w:r>
        <w:rPr>
          <w:rStyle w:val="FootnoteReference"/>
        </w:rPr>
        <w:footnoteRef/>
      </w:r>
      <w:r>
        <w:t xml:space="preserve"> See, e.g., </w:t>
      </w:r>
      <w:r w:rsidRPr="000F1F14">
        <w:rPr>
          <w:i/>
        </w:rPr>
        <w:t>Moeller v. Moeller</w:t>
      </w:r>
      <w:r>
        <w:t xml:space="preserve"> (C.A. 9th Dist.), 1993 Ohio App. LEXIS 50 (finding that a similar statute,  R.C. 2701.02, setting forth the time limit in which courts must render decisions on certain matters , </w:t>
      </w:r>
      <w:r w:rsidR="001179FB">
        <w:t>w</w:t>
      </w:r>
      <w:r>
        <w:t xml:space="preserve">as designed to enforce the axiom that "justice delayed is justice denied."   </w:t>
      </w:r>
    </w:p>
  </w:footnote>
  <w:footnote w:id="10">
    <w:p w:rsidR="00C83E09" w:rsidRPr="00152983" w:rsidP="00D2690A">
      <w:pPr>
        <w:pStyle w:val="FootnoteText"/>
        <w:spacing w:after="120"/>
      </w:pPr>
      <w:r w:rsidRPr="00152983">
        <w:rPr>
          <w:rStyle w:val="FootnoteReference"/>
        </w:rPr>
        <w:footnoteRef/>
      </w:r>
      <w:r w:rsidRPr="00152983">
        <w:t xml:space="preserve"> See R.C. 4903.11.  </w:t>
      </w:r>
    </w:p>
  </w:footnote>
  <w:footnote w:id="11">
    <w:p w:rsidR="00C83E09" w:rsidRPr="00152983" w:rsidP="00D2690A">
      <w:pPr>
        <w:pStyle w:val="FootnoteText"/>
        <w:spacing w:after="120"/>
      </w:pPr>
      <w:r w:rsidRPr="00152983">
        <w:rPr>
          <w:rStyle w:val="FootnoteReference"/>
        </w:rPr>
        <w:footnoteRef/>
      </w:r>
      <w:r w:rsidRPr="00152983">
        <w:t xml:space="preserve"> There are few exceptions to this.  The exceptions provide that through a special order of the PUCO, the filing of an application may stay the order.  Also if parties file an application prior to the effective date of the order the order is stayed, "unless otherwise ordered by the commission."  </w:t>
      </w:r>
    </w:p>
  </w:footnote>
  <w:footnote w:id="12">
    <w:p w:rsidR="00C83E09" w:rsidRPr="00152983" w:rsidP="0038028D">
      <w:pPr>
        <w:spacing w:after="120"/>
      </w:pPr>
      <w:r w:rsidRPr="00152983">
        <w:rPr>
          <w:rStyle w:val="FootnoteReference"/>
          <w:sz w:val="20"/>
        </w:rPr>
        <w:footnoteRef/>
      </w:r>
      <w:r>
        <w:rPr>
          <w:sz w:val="20"/>
        </w:rPr>
        <w:t xml:space="preserve"> </w:t>
      </w:r>
      <w:r w:rsidRPr="00152983">
        <w:rPr>
          <w:sz w:val="20"/>
        </w:rPr>
        <w:t xml:space="preserve">See, e.g., </w:t>
      </w:r>
      <w:r w:rsidRPr="00152983">
        <w:rPr>
          <w:i/>
          <w:sz w:val="20"/>
        </w:rPr>
        <w:t>In the Matter of the Application of Ohio Power Company</w:t>
      </w:r>
      <w:r w:rsidRPr="00152983">
        <w:rPr>
          <w:sz w:val="20"/>
        </w:rPr>
        <w:t xml:space="preserve">, Case No. 13-2385, Third Entry on Rehearing (July 27, 2015)(granting rehearing allowing PUCO more time to consider OCC and others' application for rehearing). A substantive Entry on Rehearing was finally issued on November 3, 2016, more than a year  later.   </w:t>
      </w:r>
      <w:r w:rsidRPr="00152983">
        <w:rPr>
          <w:i/>
          <w:sz w:val="20"/>
        </w:rPr>
        <w:t>In re: Duke Energy Ohio,</w:t>
      </w:r>
      <w:r w:rsidRPr="00152983">
        <w:rPr>
          <w:sz w:val="20"/>
        </w:rPr>
        <w:t xml:space="preserve"> Case No.  14-841-EL-SSO, Entry on Rehearing (May 28, 2015) (granting rehearing allowing PUCO more time to consider OCC and others' application for rehearing).  No substantive Entry on Rehearing has been issued.  </w:t>
      </w:r>
      <w:r w:rsidRPr="00152983">
        <w:rPr>
          <w:i/>
          <w:sz w:val="20"/>
        </w:rPr>
        <w:t xml:space="preserve">In the Matter of the Application of The Dayton Power and Light Company for Authority to Issue and Sell and Amount Not to Exceed $490 Million of First Mortgage Bonds, Debentures, Notes, or Other Evidences of Indebtedness or Unsecured Note, </w:t>
      </w:r>
      <w:r w:rsidRPr="00152983">
        <w:rPr>
          <w:sz w:val="20"/>
        </w:rPr>
        <w:t>Case No. 13-0893-EL-AIS, Entry on rehearing (Sept. 4, 2013) (Granting application for rehearing filed by OCC for the limited purpose of further consideration) No final entry.</w:t>
      </w:r>
      <w:r w:rsidRPr="00152983">
        <w:rPr>
          <w:i/>
          <w:sz w:val="20"/>
        </w:rPr>
        <w:t xml:space="preserve"> In the Matter of the Application of Ohio Edison Company, The Cleveland Electric Illuminating Company, and The Toledo Edison Company For Approval of Their Energy Efficiency and Peak Demand Reduction Program Portfolio Plans for 2013-2015, </w:t>
      </w:r>
      <w:r w:rsidRPr="00152983">
        <w:rPr>
          <w:sz w:val="20"/>
        </w:rPr>
        <w:t xml:space="preserve">Case Nos. 12-2190-EL-POR, 12-2191-El-POR, and 12-2192-EL-POR, Entry on rehearing (Jan. 14, 2015)(Granting the application for rehearing by FirstEnergy, OCC, OMAEG, and Environmental Groups be granted for further consideration) No final entry. </w:t>
      </w:r>
      <w:r w:rsidRPr="00152983">
        <w:rPr>
          <w:i/>
          <w:sz w:val="20"/>
        </w:rPr>
        <w:t xml:space="preserve">In the Matter of the Application of Ohio Power Company to Adopt a Final Implementation Plan for the Retail Stability Rider, </w:t>
      </w:r>
      <w:r w:rsidRPr="00152983">
        <w:rPr>
          <w:sz w:val="20"/>
        </w:rPr>
        <w:t xml:space="preserve">Case No. 14-1186-EL-RDR, Entry on Rehearing (May 28, 2015)(Granting application for rehearing by The Kroger Company and Joint Applicants, including OCC, for further consideration) No Final Entry. </w:t>
      </w:r>
      <w:r w:rsidRPr="00152983">
        <w:t xml:space="preserve">  </w:t>
      </w:r>
    </w:p>
  </w:footnote>
  <w:footnote w:id="13">
    <w:p w:rsidR="00C83E09" w:rsidRPr="00152983" w:rsidP="00C83E09">
      <w:pPr>
        <w:pStyle w:val="FootnoteText"/>
        <w:spacing w:after="120"/>
      </w:pPr>
      <w:r w:rsidRPr="00152983">
        <w:rPr>
          <w:rStyle w:val="FootnoteReference"/>
        </w:rPr>
        <w:footnoteRef/>
      </w:r>
      <w:r w:rsidRPr="00152983">
        <w:t xml:space="preserve"> See, </w:t>
      </w:r>
      <w:r w:rsidRPr="00152983">
        <w:rPr>
          <w:i/>
        </w:rPr>
        <w:t>State ex rel. Consumers' Counsel v. Pub. Util. Comm</w:t>
      </w:r>
      <w:r w:rsidRPr="00152983">
        <w:t xml:space="preserve">., (2004), 102 Ohio St.3d 301, 304.  </w:t>
      </w:r>
    </w:p>
  </w:footnote>
  <w:footnote w:id="14">
    <w:p w:rsidR="00C83E09" w:rsidRPr="00152983" w:rsidP="00C83E09">
      <w:pPr>
        <w:pStyle w:val="FootnoteText"/>
        <w:spacing w:after="120"/>
      </w:pPr>
      <w:r w:rsidRPr="00152983">
        <w:rPr>
          <w:rStyle w:val="FootnoteReference"/>
        </w:rPr>
        <w:footnoteRef/>
      </w:r>
      <w:r w:rsidRPr="00152983">
        <w:t xml:space="preserve"> A factor that contributes to harm to customers is that the PUCO as a matter of course denies requests to stay rates or collect rates subject to refund.  A ruling granting a stay of rates, or collecting rates subject to refund would potentially limit the harm to customers that is occurring when the PUCO delays issuing a final order.  Typically the PUCO has not ordered such relief.  </w:t>
      </w:r>
    </w:p>
  </w:footnote>
  <w:footnote w:id="15">
    <w:p w:rsidR="00C83E09" w:rsidRPr="00152983" w:rsidP="00C83E09">
      <w:pPr>
        <w:pStyle w:val="FootnoteText"/>
        <w:spacing w:after="120"/>
      </w:pPr>
      <w:r w:rsidRPr="00C22FD7">
        <w:rPr>
          <w:rStyle w:val="FootnoteReference"/>
        </w:rPr>
        <w:footnoteRef/>
      </w:r>
      <w:r w:rsidRPr="00152983">
        <w:rPr>
          <w:i/>
        </w:rPr>
        <w:t xml:space="preserve"> Keco Industries v. Cincinnati &amp; Suburban Bell Tel. Co.,</w:t>
      </w:r>
      <w:r w:rsidRPr="00152983">
        <w:t xml:space="preserve"> 166 Ohio St. 3d 254, 257, 141 N.E.2d 445 (1957).  </w:t>
      </w:r>
    </w:p>
  </w:footnote>
  <w:footnote w:id="16">
    <w:p w:rsidR="00F57E19" w:rsidP="0038028D">
      <w:pPr>
        <w:pStyle w:val="FootnoteText"/>
        <w:spacing w:after="120"/>
      </w:pPr>
      <w:r>
        <w:rPr>
          <w:rStyle w:val="FootnoteReference"/>
        </w:rPr>
        <w:footnoteRef/>
      </w:r>
      <w:r>
        <w:t xml:space="preserve"> See, e.g., </w:t>
      </w:r>
      <w:r w:rsidRPr="000F1F14">
        <w:rPr>
          <w:i/>
        </w:rPr>
        <w:t>Knox v. Knox</w:t>
      </w:r>
      <w:r>
        <w:t xml:space="preserve">, (C.A. 5th Dist), 26 Ohio App. 3d 236, where the appellate court held that the trial court's delay in rendering a judgment was an abuse of discretion considering that the </w:t>
      </w:r>
      <w:r w:rsidR="0062048A">
        <w:t xml:space="preserve">delay foreclosed the relief that appellant otherwise would have been afforded .  </w:t>
      </w:r>
    </w:p>
  </w:footnote>
  <w:footnote w:id="17">
    <w:p w:rsidR="000F1F14" w:rsidP="0038028D">
      <w:pPr>
        <w:pStyle w:val="FootnoteText"/>
        <w:spacing w:after="120"/>
      </w:pPr>
      <w:r>
        <w:rPr>
          <w:rStyle w:val="FootnoteReference"/>
        </w:rPr>
        <w:footnoteRef/>
      </w:r>
      <w:r>
        <w:t xml:space="preserve"> Through a writ of procedendo or prohibition.  </w:t>
      </w:r>
    </w:p>
  </w:footnote>
  <w:footnote w:id="18">
    <w:p w:rsidR="0054304B" w:rsidRPr="000F1F14" w:rsidP="0038028D">
      <w:pPr>
        <w:spacing w:after="120"/>
        <w:rPr>
          <w:sz w:val="22"/>
          <w:szCs w:val="22"/>
        </w:rPr>
      </w:pPr>
      <w:r w:rsidRPr="000F1F14">
        <w:rPr>
          <w:rStyle w:val="FootnoteReference"/>
          <w:sz w:val="22"/>
          <w:szCs w:val="22"/>
        </w:rPr>
        <w:footnoteRef/>
      </w:r>
      <w:r w:rsidRPr="000F1F14">
        <w:rPr>
          <w:sz w:val="22"/>
          <w:szCs w:val="22"/>
        </w:rPr>
        <w:t xml:space="preserve"> </w:t>
      </w:r>
      <w:r w:rsidRPr="000F1F14" w:rsidR="00F4255F">
        <w:rPr>
          <w:sz w:val="20"/>
        </w:rPr>
        <w:t xml:space="preserve">See, e.g., </w:t>
      </w:r>
      <w:r w:rsidRPr="000F1F14" w:rsidR="001179FB">
        <w:rPr>
          <w:i/>
          <w:sz w:val="20"/>
        </w:rPr>
        <w:t>State of Ohio ex rel. OCC et al. v. Alan R. Schriber et al</w:t>
      </w:r>
      <w:r w:rsidRPr="000F1F14" w:rsidR="001179FB">
        <w:rPr>
          <w:sz w:val="20"/>
        </w:rPr>
        <w:t xml:space="preserve">., </w:t>
      </w:r>
      <w:r w:rsidRPr="000F1F14" w:rsidR="00F4255F">
        <w:rPr>
          <w:sz w:val="20"/>
        </w:rPr>
        <w:t>Case No.</w:t>
      </w:r>
      <w:r w:rsidRPr="000F1F14" w:rsidR="00522027">
        <w:rPr>
          <w:sz w:val="20"/>
        </w:rPr>
        <w:t xml:space="preserve"> </w:t>
      </w:r>
      <w:r w:rsidRPr="000F1F14" w:rsidR="001179FB">
        <w:rPr>
          <w:sz w:val="20"/>
        </w:rPr>
        <w:t>2009-0710</w:t>
      </w:r>
      <w:r w:rsidRPr="000F1F14" w:rsidR="000F1F14">
        <w:rPr>
          <w:sz w:val="20"/>
        </w:rPr>
        <w:t xml:space="preserve">, Entry (June 17, 2009) (denying the writ </w:t>
      </w:r>
      <w:r w:rsidR="000F1F14">
        <w:rPr>
          <w:sz w:val="20"/>
        </w:rPr>
        <w:t xml:space="preserve">of </w:t>
      </w:r>
      <w:r w:rsidRPr="000F1F14" w:rsidR="000F1F14">
        <w:rPr>
          <w:sz w:val="20"/>
        </w:rPr>
        <w:t xml:space="preserve"> prohibition because the issues raised in the complaint could be resolved on appeal)</w:t>
      </w:r>
      <w:r w:rsidRPr="000F1F14" w:rsidR="00F4255F">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76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4B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4B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E0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E0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7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25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02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4B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25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4B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0057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C42282"/>
    <w:multiLevelType w:val="hybridMultilevel"/>
    <w:tmpl w:val="DA4291C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80183B"/>
    <w:multiLevelType w:val="hybridMultilevel"/>
    <w:tmpl w:val="3F34311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47984573"/>
    <w:multiLevelType w:val="hybridMultilevel"/>
    <w:tmpl w:val="AB7099C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FD561EF"/>
    <w:multiLevelType w:val="hybridMultilevel"/>
    <w:tmpl w:val="387084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7A5196A"/>
    <w:multiLevelType w:val="hybridMultilevel"/>
    <w:tmpl w:val="7E60C1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112E73"/>
    <w:multiLevelType w:val="hybridMultilevel"/>
    <w:tmpl w:val="256C08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autoRedefine/>
    <w:qFormat/>
    <w:rsid w:val="00B663BA"/>
    <w:pPr>
      <w:keepNext/>
      <w:spacing w:after="240"/>
      <w:ind w:right="720"/>
      <w:outlineLvl w:val="0"/>
    </w:pPr>
    <w:rPr>
      <w:rFonts w:ascii="Times New Roman Bold" w:hAnsi="Times New Roman Bold"/>
      <w:b/>
      <w:caps/>
      <w:szCs w:val="24"/>
    </w:rPr>
  </w:style>
  <w:style w:type="paragraph" w:styleId="Heading2">
    <w:name w:val="heading 2"/>
    <w:basedOn w:val="Normal"/>
    <w:next w:val="Normal"/>
    <w:autoRedefine/>
    <w:qFormat/>
    <w:rsid w:val="001A635E"/>
    <w:pPr>
      <w:keepNext/>
      <w:spacing w:after="240"/>
      <w:ind w:left="720" w:right="720"/>
      <w:outlineLvl w:val="1"/>
    </w:pPr>
    <w:rPr>
      <w:rFonts w:ascii="Times New Roman Bold" w:hAnsi="Times New Roman Bold"/>
      <w:szCs w:val="24"/>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szCs w:val="24"/>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szCs w:val="24"/>
    </w:rPr>
  </w:style>
  <w:style w:type="paragraph" w:styleId="Heading5">
    <w:name w:val="heading 5"/>
    <w:basedOn w:val="Normal"/>
    <w:next w:val="Normal"/>
    <w:autoRedefine/>
    <w:qFormat/>
    <w:pPr>
      <w:spacing w:after="240"/>
      <w:ind w:left="3600" w:hanging="720"/>
      <w:outlineLvl w:val="4"/>
    </w:pPr>
    <w:rPr>
      <w:rFonts w:ascii="Times New Roman Bold" w:hAnsi="Times New Roman Bold"/>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paragraph" w:styleId="FootnoteText">
    <w:name w:val="footnote text"/>
    <w:aliases w:val="ALTS FOOTNOTE,Car,Footnote Text Char,Footnote Text Char Char,Footnote Text Char Char Char Char,Footnote Text Char1,Footnote Text Char1 Char Char1,Footnote Text Char1 Char Char1 Char Char Char,Footnote Text Char2 Char Char Char Char1,fn"/>
    <w:basedOn w:val="Normal"/>
    <w:link w:val="FootnoteTextChar2"/>
    <w:uiPriority w:val="99"/>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8"/>
    </w:rPr>
  </w:style>
  <w:style w:type="character" w:styleId="Hyperlink">
    <w:name w:val="Hyperlink"/>
    <w:uiPriority w:val="99"/>
    <w:rPr>
      <w:color w:val="0000FF"/>
      <w:u w:val="single"/>
    </w:rPr>
  </w:style>
  <w:style w:type="character" w:customStyle="1" w:styleId="FootnoteTextChar2">
    <w:name w:val="Footnote Text Char2"/>
    <w:aliases w:val="ALTS FOOTNOTE Char,Footnote Text Char Char Char,Footnote Text Char Char Char Char Char,Footnote Text Char Char2,Footnote Text Char1 Char,Footnote Text Char1 Char Char1 Char,Footnote Text Char1 Char Char1 Char Char Char Char,fn Char"/>
    <w:link w:val="FootnoteText"/>
    <w:uiPriority w:val="99"/>
    <w:locked/>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Pr>
      <w:lang w:val="en-US" w:eastAsia="en-US" w:bidi="ar-SA"/>
    </w:rPr>
  </w:style>
  <w:style w:type="character" w:customStyle="1" w:styleId="Heading1Char">
    <w:name w:val="Heading 1 Char"/>
    <w:link w:val="Heading1"/>
    <w:rsid w:val="00B663BA"/>
    <w:rPr>
      <w:rFonts w:ascii="Times New Roman Bold" w:hAnsi="Times New Roman Bold"/>
      <w:b/>
      <w:caps/>
      <w:sz w:val="24"/>
      <w:szCs w:val="24"/>
    </w:rPr>
  </w:style>
  <w:style w:type="paragraph" w:styleId="Header">
    <w:name w:val="header"/>
    <w:basedOn w:val="Normal"/>
    <w:link w:val="HeaderChar"/>
    <w:uiPriority w:val="99"/>
    <w:pPr>
      <w:tabs>
        <w:tab w:val="center" w:pos="4320"/>
        <w:tab w:val="right" w:pos="8640"/>
      </w:tabs>
    </w:pPr>
  </w:style>
  <w:style w:type="paragraph" w:customStyle="1" w:styleId="Testimony">
    <w:name w:val="Testimony"/>
    <w:basedOn w:val="A"/>
    <w:pPr>
      <w:ind w:firstLine="547"/>
    </w:pPr>
  </w:style>
  <w:style w:type="paragraph" w:styleId="TOC1">
    <w:name w:val="toc 1"/>
    <w:basedOn w:val="Normal"/>
    <w:next w:val="Normal"/>
    <w:autoRedefine/>
    <w:uiPriority w:val="39"/>
    <w:qFormat/>
    <w:rsid w:val="00152983"/>
    <w:pPr>
      <w:tabs>
        <w:tab w:val="decimal" w:leader="dot" w:pos="8640"/>
      </w:tabs>
      <w:spacing w:after="240"/>
    </w:pPr>
    <w:rPr>
      <w:caps/>
      <w:szCs w:val="24"/>
    </w:rPr>
  </w:style>
  <w:style w:type="paragraph" w:styleId="TOC2">
    <w:name w:val="toc 2"/>
    <w:basedOn w:val="Normal"/>
    <w:next w:val="Normal"/>
    <w:autoRedefine/>
    <w:uiPriority w:val="39"/>
    <w:qFormat/>
    <w:rsid w:val="00152983"/>
    <w:pPr>
      <w:tabs>
        <w:tab w:val="decimal" w:leader="dot" w:pos="8640"/>
      </w:tabs>
      <w:spacing w:after="240"/>
      <w:ind w:left="720"/>
    </w:pPr>
    <w:rPr>
      <w:szCs w:val="24"/>
    </w:rPr>
  </w:style>
  <w:style w:type="paragraph" w:styleId="TOC3">
    <w:name w:val="toc 3"/>
    <w:basedOn w:val="Normal"/>
    <w:next w:val="Normal"/>
    <w:autoRedefine/>
    <w:uiPriority w:val="39"/>
    <w:qFormat/>
    <w:rsid w:val="00F97A77"/>
    <w:pPr>
      <w:tabs>
        <w:tab w:val="decimal" w:leader="dot" w:pos="8640"/>
      </w:tabs>
      <w:spacing w:after="240"/>
    </w:pPr>
    <w:rPr>
      <w:szCs w:val="24"/>
    </w:rPr>
  </w:style>
  <w:style w:type="paragraph" w:customStyle="1" w:styleId="A">
    <w:name w:val="A:"/>
    <w:basedOn w:val="Normal"/>
    <w:next w:val="Testimony"/>
    <w:link w:val="AChar"/>
    <w:pPr>
      <w:spacing w:line="480" w:lineRule="exact"/>
      <w:ind w:left="547" w:hanging="547"/>
      <w:jc w:val="both"/>
    </w:pPr>
    <w:rPr>
      <w:kern w:val="22"/>
      <w:sz w:val="26"/>
    </w:rPr>
  </w:style>
  <w:style w:type="character" w:customStyle="1" w:styleId="AChar">
    <w:name w:val="A: Char"/>
    <w:link w:val="A"/>
    <w:rPr>
      <w:kern w:val="22"/>
      <w:sz w:val="26"/>
      <w:lang w:val="en-US" w:eastAsia="en-US" w:bidi="ar-SA"/>
    </w:rPr>
  </w:style>
  <w:style w:type="paragraph" w:customStyle="1" w:styleId="Q">
    <w:name w:val="Q:"/>
    <w:basedOn w:val="A"/>
    <w:next w:val="A"/>
    <w:pPr>
      <w:spacing w:before="120"/>
    </w:pPr>
    <w:rPr>
      <w:b/>
    </w:rPr>
  </w:style>
  <w:style w:type="paragraph" w:styleId="BlockText">
    <w:name w:val="Block Text"/>
    <w:basedOn w:val="Normal"/>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pPr>
      <w:tabs>
        <w:tab w:val="left" w:pos="720"/>
        <w:tab w:val="left" w:pos="1440"/>
        <w:tab w:val="left" w:pos="2160"/>
        <w:tab w:val="decimal" w:leader="dot" w:pos="8640"/>
      </w:tabs>
      <w:spacing w:after="240"/>
      <w:ind w:left="2880" w:hanging="720"/>
    </w:pPr>
    <w:rPr>
      <w:szCs w:val="24"/>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paragraph" w:styleId="PlainText">
    <w:name w:val="Plain Text"/>
    <w:basedOn w:val="Normal"/>
    <w:link w:val="PlainTextChar"/>
    <w:unhideWhenUsed/>
    <w:rPr>
      <w:rFonts w:ascii="Consolas" w:eastAsia="Calibri" w:hAnsi="Consolas"/>
      <w:sz w:val="21"/>
      <w:szCs w:val="21"/>
    </w:rPr>
  </w:style>
  <w:style w:type="character" w:customStyle="1" w:styleId="PlainTextChar">
    <w:name w:val="Plain Text Char"/>
    <w:link w:val="PlainText"/>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Pr>
      <w:lang w:val="en-US" w:eastAsia="en-US" w:bidi="ar-SA"/>
    </w:rPr>
  </w:style>
  <w:style w:type="paragraph" w:customStyle="1" w:styleId="Level2">
    <w:name w:val="Level 2"/>
    <w:basedOn w:val="Normal"/>
    <w:rPr>
      <w:rFonts w:eastAsia="SimSun"/>
      <w:szCs w:val="24"/>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pPr>
      <w:tabs>
        <w:tab w:val="left" w:pos="720"/>
        <w:tab w:val="left" w:pos="1440"/>
        <w:tab w:val="left" w:pos="2160"/>
        <w:tab w:val="left" w:pos="2880"/>
        <w:tab w:val="decimal" w:leader="dot" w:pos="8640"/>
      </w:tabs>
      <w:spacing w:after="240"/>
      <w:ind w:left="3600" w:hanging="720"/>
    </w:pPr>
    <w:rPr>
      <w:szCs w:val="24"/>
    </w:r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rPr>
      <w:szCs w:val="24"/>
    </w:rPr>
  </w:style>
  <w:style w:type="paragraph" w:customStyle="1" w:styleId="LightList-Accent31">
    <w:name w:val="Light List - Accent 31"/>
    <w:hidden/>
    <w:uiPriority w:val="99"/>
    <w:semiHidden/>
    <w:rsid w:val="008F3B3C"/>
    <w:rPr>
      <w:sz w:val="24"/>
    </w:rPr>
  </w:style>
  <w:style w:type="character" w:styleId="Strong">
    <w:name w:val="Strong"/>
    <w:qFormat/>
    <w:rsid w:val="00F0492A"/>
    <w:rPr>
      <w:b/>
      <w:bCs/>
    </w:rPr>
  </w:style>
  <w:style w:type="paragraph" w:styleId="ListParagraph">
    <w:name w:val="List Paragraph"/>
    <w:basedOn w:val="Normal"/>
    <w:uiPriority w:val="72"/>
    <w:rsid w:val="00BA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header" Target="header9.xml" /><Relationship Id="rId19" Type="http://schemas.openxmlformats.org/officeDocument/2006/relationships/header" Target="header10.xml" /><Relationship Id="rId2" Type="http://schemas.openxmlformats.org/officeDocument/2006/relationships/settings" Target="settings.xml" /><Relationship Id="rId20" Type="http://schemas.openxmlformats.org/officeDocument/2006/relationships/header" Target="header11.xml" /><Relationship Id="rId21" Type="http://schemas.openxmlformats.org/officeDocument/2006/relationships/header" Target="header12.xml" /><Relationship Id="rId22" Type="http://schemas.openxmlformats.org/officeDocument/2006/relationships/header" Target="header13.xml" /><Relationship Id="rId23" Type="http://schemas.openxmlformats.org/officeDocument/2006/relationships/header" Target="header14.xml" /><Relationship Id="rId24" Type="http://schemas.openxmlformats.org/officeDocument/2006/relationships/footer" Target="footer6.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2017-01-06T20:25:03Z</dcterms:created>
  <dcterms:modified xsi:type="dcterms:W3CDTF">2017-01-06T20:25:03Z</dcterms:modified>
</cp:coreProperties>
</file>