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15657" w:rsidRPr="007D4C6F" w:rsidP="00015657" w14:paraId="54902B1A" w14:textId="77777777">
      <w:pPr>
        <w:jc w:val="center"/>
        <w:rPr>
          <w:b/>
        </w:rPr>
      </w:pPr>
      <w:r w:rsidRPr="007D4C6F">
        <w:rPr>
          <w:b/>
        </w:rPr>
        <w:t xml:space="preserve">BEFORE </w:t>
      </w:r>
    </w:p>
    <w:p w:rsidR="00015657" w:rsidRPr="007D4C6F" w:rsidP="00015657" w14:paraId="39D25B70" w14:textId="77777777">
      <w:pPr>
        <w:jc w:val="center"/>
        <w:rPr>
          <w:b/>
        </w:rPr>
      </w:pPr>
      <w:r w:rsidRPr="007D4C6F">
        <w:rPr>
          <w:b/>
        </w:rPr>
        <w:t>THE PUBLIC UTILITIES COMMISSION OF OHIO</w:t>
      </w:r>
    </w:p>
    <w:p w:rsidR="00A17668" w:rsidRPr="007D4C6F" w:rsidP="00015657" w14:paraId="560AAD1B" w14:textId="77777777">
      <w:pPr>
        <w:jc w:val="center"/>
        <w:rPr>
          <w:b/>
        </w:rPr>
      </w:pPr>
    </w:p>
    <w:tbl>
      <w:tblPr>
        <w:tblW w:w="8640" w:type="dxa"/>
        <w:tblLook w:val="01E0"/>
      </w:tblPr>
      <w:tblGrid>
        <w:gridCol w:w="4332"/>
        <w:gridCol w:w="360"/>
        <w:gridCol w:w="3948"/>
      </w:tblGrid>
      <w:tr w14:paraId="72757052" w14:textId="77777777" w:rsidTr="00D26E0D">
        <w:tblPrEx>
          <w:tblW w:w="8640" w:type="dxa"/>
          <w:tblLook w:val="01E0"/>
        </w:tblPrEx>
        <w:trPr>
          <w:trHeight w:val="807"/>
        </w:trPr>
        <w:tc>
          <w:tcPr>
            <w:tcW w:w="4332" w:type="dxa"/>
            <w:shd w:val="clear" w:color="auto" w:fill="auto"/>
          </w:tcPr>
          <w:p w:rsidR="00A17668" w:rsidRPr="007D4C6F" w:rsidP="00D26E0D" w14:paraId="729FC158"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the Duke Energy Ohio, Inc., for an Increase in Electric Distribution Rates.</w:t>
            </w:r>
          </w:p>
          <w:p w:rsidR="00A17668" w:rsidRPr="007D4C6F" w:rsidP="00D26E0D" w14:paraId="75C93351" w14:textId="77777777">
            <w:pPr>
              <w:pStyle w:val="HTMLPreformatted"/>
              <w:rPr>
                <w:rFonts w:ascii="Times New Roman" w:hAnsi="Times New Roman" w:cs="Times New Roman"/>
                <w:sz w:val="24"/>
                <w:szCs w:val="24"/>
              </w:rPr>
            </w:pPr>
          </w:p>
          <w:p w:rsidR="00A17668" w:rsidRPr="007D4C6F" w:rsidP="00D26E0D" w14:paraId="42C2AF6C"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Duke Energy Ohio, Inc., for Tariff Approval.</w:t>
            </w:r>
          </w:p>
          <w:p w:rsidR="00A17668" w:rsidRPr="007D4C6F" w:rsidP="00D26E0D" w14:paraId="41D0ABF5" w14:textId="77777777">
            <w:pPr>
              <w:pStyle w:val="HTMLPreformatted"/>
              <w:rPr>
                <w:rFonts w:ascii="Times New Roman" w:hAnsi="Times New Roman" w:cs="Times New Roman"/>
                <w:sz w:val="24"/>
                <w:szCs w:val="24"/>
              </w:rPr>
            </w:pPr>
          </w:p>
          <w:p w:rsidR="00A17668" w:rsidRPr="007D4C6F" w:rsidP="00D26E0D" w14:paraId="7D61BB27"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Duke Energy Inc., for Approval to Change Accounting Methods.</w:t>
            </w:r>
          </w:p>
        </w:tc>
        <w:tc>
          <w:tcPr>
            <w:tcW w:w="360" w:type="dxa"/>
            <w:shd w:val="clear" w:color="auto" w:fill="auto"/>
          </w:tcPr>
          <w:p w:rsidR="00A17668" w:rsidRPr="007D4C6F" w:rsidP="00D26E0D" w14:paraId="2955CF9D"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5C0A8B08"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1B84994F"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48FA38A6" w14:textId="77777777">
            <w:pPr>
              <w:pStyle w:val="HTMLPreformatted"/>
              <w:rPr>
                <w:rFonts w:ascii="Times New Roman" w:hAnsi="Times New Roman" w:cs="Times New Roman"/>
                <w:sz w:val="24"/>
                <w:szCs w:val="24"/>
              </w:rPr>
            </w:pPr>
          </w:p>
          <w:p w:rsidR="00A17668" w:rsidRPr="007D4C6F" w:rsidP="00D26E0D" w14:paraId="425C270D"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6452E308"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5ADC846B" w14:textId="77777777">
            <w:pPr>
              <w:pStyle w:val="HTMLPreformatted"/>
              <w:rPr>
                <w:rFonts w:ascii="Times New Roman" w:hAnsi="Times New Roman" w:cs="Times New Roman"/>
                <w:sz w:val="24"/>
                <w:szCs w:val="24"/>
              </w:rPr>
            </w:pPr>
          </w:p>
          <w:p w:rsidR="00A17668" w:rsidRPr="007D4C6F" w:rsidP="00D26E0D" w14:paraId="58D0E6E5"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6136B9DA"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A17668" w:rsidRPr="007D4C6F" w:rsidP="00D26E0D" w14:paraId="0B84D829"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tc>
        <w:tc>
          <w:tcPr>
            <w:tcW w:w="3948" w:type="dxa"/>
            <w:shd w:val="clear" w:color="auto" w:fill="auto"/>
          </w:tcPr>
          <w:p w:rsidR="00A17668" w:rsidRPr="007D4C6F" w:rsidP="00D26E0D" w14:paraId="026548F5" w14:textId="77777777">
            <w:pPr>
              <w:pStyle w:val="HTMLPreformatted"/>
              <w:rPr>
                <w:rFonts w:ascii="Times New Roman" w:hAnsi="Times New Roman" w:cs="Times New Roman"/>
                <w:sz w:val="24"/>
                <w:szCs w:val="24"/>
              </w:rPr>
            </w:pPr>
          </w:p>
          <w:p w:rsidR="00A17668" w:rsidRPr="007D4C6F" w:rsidP="00D26E0D" w14:paraId="02AC8AFE"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21-887-EL-AIR</w:t>
            </w:r>
          </w:p>
          <w:p w:rsidR="00A17668" w:rsidRPr="007D4C6F" w:rsidP="00D26E0D" w14:paraId="305CD74B" w14:textId="77777777">
            <w:pPr>
              <w:pStyle w:val="HTMLPreformatted"/>
              <w:rPr>
                <w:rFonts w:ascii="Times New Roman" w:hAnsi="Times New Roman" w:cs="Times New Roman"/>
                <w:sz w:val="24"/>
                <w:szCs w:val="24"/>
              </w:rPr>
            </w:pPr>
          </w:p>
          <w:p w:rsidR="00A17668" w:rsidRPr="007D4C6F" w:rsidP="00D26E0D" w14:paraId="74BC1861" w14:textId="77777777">
            <w:pPr>
              <w:pStyle w:val="HTMLPreformatted"/>
              <w:rPr>
                <w:rFonts w:ascii="Times New Roman" w:hAnsi="Times New Roman" w:cs="Times New Roman"/>
                <w:sz w:val="24"/>
                <w:szCs w:val="24"/>
              </w:rPr>
            </w:pPr>
          </w:p>
          <w:p w:rsidR="00A17668" w:rsidRPr="007D4C6F" w:rsidP="00D26E0D" w14:paraId="6F002604" w14:textId="77777777">
            <w:pPr>
              <w:pStyle w:val="HTMLPreformatted"/>
              <w:rPr>
                <w:rFonts w:ascii="Times New Roman" w:hAnsi="Times New Roman" w:cs="Times New Roman"/>
                <w:sz w:val="24"/>
                <w:szCs w:val="24"/>
              </w:rPr>
            </w:pPr>
          </w:p>
          <w:p w:rsidR="00A17668" w:rsidRPr="007D4C6F" w:rsidP="00D26E0D" w14:paraId="73BF4D21"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21-888-EL-ATA</w:t>
            </w:r>
          </w:p>
          <w:p w:rsidR="00A17668" w:rsidRPr="007D4C6F" w:rsidP="00D26E0D" w14:paraId="0CFED790" w14:textId="77777777">
            <w:pPr>
              <w:pStyle w:val="HTMLPreformatted"/>
              <w:rPr>
                <w:rFonts w:ascii="Times New Roman" w:hAnsi="Times New Roman" w:cs="Times New Roman"/>
                <w:sz w:val="24"/>
                <w:szCs w:val="24"/>
              </w:rPr>
            </w:pPr>
          </w:p>
          <w:p w:rsidR="00A17668" w:rsidRPr="007D4C6F" w:rsidP="00D26E0D" w14:paraId="27A06A6F" w14:textId="77777777">
            <w:pPr>
              <w:pStyle w:val="HTMLPreformatted"/>
              <w:rPr>
                <w:rFonts w:ascii="Times New Roman" w:hAnsi="Times New Roman" w:cs="Times New Roman"/>
                <w:sz w:val="24"/>
                <w:szCs w:val="24"/>
              </w:rPr>
            </w:pPr>
          </w:p>
          <w:p w:rsidR="00A17668" w:rsidRPr="007D4C6F" w:rsidP="00D26E0D" w14:paraId="501FE3DD"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21-889-EL-AAM</w:t>
            </w:r>
          </w:p>
        </w:tc>
      </w:tr>
    </w:tbl>
    <w:p w:rsidR="00015657" w:rsidRPr="007D4C6F" w:rsidP="00015657" w14:paraId="1E62EE3B" w14:textId="77777777">
      <w:pPr>
        <w:rPr>
          <w:b/>
        </w:rPr>
      </w:pPr>
    </w:p>
    <w:p w:rsidR="00015657" w:rsidRPr="007D4C6F" w:rsidP="00015657" w14:paraId="545A0B66" w14:textId="77777777">
      <w:pPr>
        <w:pBdr>
          <w:top w:val="single" w:sz="12" w:space="0" w:color="auto"/>
        </w:pBdr>
        <w:tabs>
          <w:tab w:val="left" w:pos="-720"/>
        </w:tabs>
        <w:suppressAutoHyphens/>
        <w:jc w:val="center"/>
        <w:rPr>
          <w:b/>
          <w:bCs/>
        </w:rPr>
      </w:pPr>
    </w:p>
    <w:p w:rsidR="00015657" w:rsidRPr="007D4C6F" w:rsidP="00015657" w14:paraId="1D742A37" w14:textId="2BA943F4">
      <w:pPr>
        <w:tabs>
          <w:tab w:val="left" w:pos="4770"/>
          <w:tab w:val="left" w:pos="6480"/>
        </w:tabs>
        <w:jc w:val="center"/>
        <w:rPr>
          <w:b/>
        </w:rPr>
      </w:pPr>
      <w:r w:rsidRPr="007D4C6F">
        <w:rPr>
          <w:b/>
        </w:rPr>
        <w:t>REPLY</w:t>
      </w:r>
      <w:r w:rsidRPr="007D4C6F" w:rsidR="00C73DA6">
        <w:rPr>
          <w:b/>
        </w:rPr>
        <w:t xml:space="preserve"> BRIEF FOR CONSUMER PROTECTION</w:t>
      </w:r>
    </w:p>
    <w:p w:rsidR="00015657" w:rsidRPr="007D4C6F" w:rsidP="00015657" w14:paraId="0C843183" w14:textId="77777777">
      <w:pPr>
        <w:tabs>
          <w:tab w:val="left" w:pos="4770"/>
          <w:tab w:val="left" w:pos="6480"/>
        </w:tabs>
        <w:jc w:val="center"/>
        <w:rPr>
          <w:b/>
        </w:rPr>
      </w:pPr>
      <w:r w:rsidRPr="007D4C6F">
        <w:rPr>
          <w:b/>
        </w:rPr>
        <w:t>BY</w:t>
      </w:r>
    </w:p>
    <w:p w:rsidR="00015657" w:rsidRPr="007D4C6F" w:rsidP="00015657" w14:paraId="466C248A" w14:textId="77777777">
      <w:pPr>
        <w:tabs>
          <w:tab w:val="left" w:pos="4770"/>
          <w:tab w:val="left" w:pos="6480"/>
        </w:tabs>
        <w:jc w:val="center"/>
        <w:rPr>
          <w:b/>
        </w:rPr>
      </w:pPr>
      <w:r w:rsidRPr="007D4C6F">
        <w:rPr>
          <w:b/>
        </w:rPr>
        <w:t>OFFICE OF THE OHIO CONSUMERS’ COUNSEL</w:t>
      </w:r>
    </w:p>
    <w:p w:rsidR="00015657" w:rsidRPr="007D4C6F" w:rsidP="00015657" w14:paraId="3DC29395" w14:textId="77777777">
      <w:pPr>
        <w:pBdr>
          <w:bottom w:val="single" w:sz="12" w:space="1" w:color="auto"/>
        </w:pBdr>
        <w:tabs>
          <w:tab w:val="left" w:pos="-720"/>
        </w:tabs>
        <w:suppressAutoHyphens/>
        <w:jc w:val="center"/>
        <w:rPr>
          <w:b/>
          <w:bCs/>
        </w:rPr>
      </w:pPr>
    </w:p>
    <w:p w:rsidR="00015657" w:rsidRPr="007D4C6F" w:rsidP="00015657" w14:paraId="6CA47F9C" w14:textId="77777777">
      <w:pPr>
        <w:tabs>
          <w:tab w:val="left" w:pos="4770"/>
          <w:tab w:val="left" w:pos="6480"/>
        </w:tabs>
        <w:rPr>
          <w:b/>
          <w:u w:val="single"/>
        </w:rPr>
      </w:pPr>
    </w:p>
    <w:p w:rsidR="00015657" w:rsidRPr="007D4C6F" w:rsidP="00015657" w14:paraId="7DC0849F" w14:textId="77777777">
      <w:pPr>
        <w:jc w:val="center"/>
        <w:rPr>
          <w:b/>
        </w:rPr>
      </w:pPr>
    </w:p>
    <w:p w:rsidR="004C207A" w:rsidRPr="007D4C6F" w:rsidP="004C207A" w14:paraId="5DACB8D4" w14:textId="77777777">
      <w:pPr>
        <w:ind w:left="3780"/>
        <w:jc w:val="both"/>
      </w:pPr>
      <w:r w:rsidRPr="007D4C6F">
        <w:t>Bruce Weston (0016973)</w:t>
      </w:r>
    </w:p>
    <w:p w:rsidR="004C207A" w:rsidRPr="007D4C6F" w:rsidP="004C207A" w14:paraId="463B7A9A" w14:textId="77777777">
      <w:pPr>
        <w:ind w:left="3780"/>
        <w:jc w:val="both"/>
      </w:pPr>
      <w:r w:rsidRPr="007D4C6F">
        <w:t>Ohio Consumers’ Counsel</w:t>
      </w:r>
    </w:p>
    <w:p w:rsidR="004C207A" w:rsidRPr="007D4C6F" w:rsidP="004C207A" w14:paraId="72DB3AC3" w14:textId="77777777">
      <w:pPr>
        <w:ind w:left="3780"/>
        <w:rPr>
          <w:i/>
          <w:iCs/>
          <w:u w:val="single"/>
        </w:rPr>
      </w:pPr>
    </w:p>
    <w:p w:rsidR="004C207A" w:rsidRPr="007D4C6F" w:rsidP="004C207A" w14:paraId="5F6A3C5B" w14:textId="77777777">
      <w:pPr>
        <w:ind w:left="3780"/>
      </w:pPr>
      <w:r w:rsidRPr="007D4C6F">
        <w:t>Angela D. O’Brien (0097579)</w:t>
      </w:r>
    </w:p>
    <w:p w:rsidR="004C207A" w:rsidRPr="007D4C6F" w:rsidP="004C207A" w14:paraId="099A5018" w14:textId="77777777">
      <w:pPr>
        <w:tabs>
          <w:tab w:val="left" w:pos="4320"/>
        </w:tabs>
        <w:ind w:left="3780"/>
      </w:pPr>
      <w:r w:rsidRPr="007D4C6F">
        <w:t>Counsel of Record</w:t>
      </w:r>
    </w:p>
    <w:p w:rsidR="004C207A" w:rsidRPr="007D4C6F" w:rsidP="004C207A" w14:paraId="7FFF64CF" w14:textId="77777777">
      <w:pPr>
        <w:tabs>
          <w:tab w:val="left" w:pos="4320"/>
        </w:tabs>
        <w:ind w:left="3780"/>
      </w:pPr>
      <w:r w:rsidRPr="007D4C6F">
        <w:t>Ambrosia E. Wilson (0096598)</w:t>
      </w:r>
    </w:p>
    <w:p w:rsidR="004C207A" w:rsidRPr="007D4C6F" w:rsidP="004C207A" w14:paraId="03CB4CF8" w14:textId="77777777">
      <w:pPr>
        <w:suppressLineNumbers/>
        <w:ind w:left="3780"/>
      </w:pPr>
      <w:r w:rsidRPr="007D4C6F">
        <w:t>John Finnigan (0018689)</w:t>
      </w:r>
      <w:r w:rsidRPr="007D4C6F">
        <w:tab/>
      </w:r>
    </w:p>
    <w:p w:rsidR="004C207A" w:rsidRPr="007D4C6F" w:rsidP="004C207A" w14:paraId="29546BA2" w14:textId="77777777">
      <w:pPr>
        <w:suppressLineNumbers/>
        <w:ind w:left="3780"/>
      </w:pPr>
      <w:r w:rsidRPr="007D4C6F">
        <w:t>Connor D. Semple (0101102)</w:t>
      </w:r>
    </w:p>
    <w:p w:rsidR="004C207A" w:rsidRPr="007D4C6F" w:rsidP="004C207A" w14:paraId="26B1FFC4" w14:textId="77777777">
      <w:pPr>
        <w:tabs>
          <w:tab w:val="left" w:pos="4320"/>
        </w:tabs>
        <w:ind w:left="3780"/>
      </w:pPr>
      <w:r w:rsidRPr="007D4C6F">
        <w:t>Assistant Consumers’ Counsel</w:t>
      </w:r>
    </w:p>
    <w:p w:rsidR="004C207A" w:rsidRPr="007D4C6F" w:rsidP="004C207A" w14:paraId="15ADDAD9" w14:textId="77777777">
      <w:pPr>
        <w:tabs>
          <w:tab w:val="left" w:pos="4320"/>
        </w:tabs>
        <w:ind w:left="3780"/>
      </w:pPr>
      <w:r w:rsidRPr="007D4C6F">
        <w:tab/>
      </w:r>
    </w:p>
    <w:p w:rsidR="004C207A" w:rsidRPr="007D4C6F" w:rsidP="004C207A" w14:paraId="49B165BD" w14:textId="77777777">
      <w:pPr>
        <w:ind w:left="3780"/>
        <w:rPr>
          <w:b/>
          <w:bCs/>
        </w:rPr>
      </w:pPr>
      <w:r w:rsidRPr="007D4C6F">
        <w:rPr>
          <w:b/>
          <w:bCs/>
        </w:rPr>
        <w:t>Office of the Ohio Consumers’ Counsel</w:t>
      </w:r>
    </w:p>
    <w:p w:rsidR="004C207A" w:rsidRPr="007D4C6F" w:rsidP="004C207A" w14:paraId="3598D243" w14:textId="77777777">
      <w:pPr>
        <w:ind w:left="3780"/>
      </w:pPr>
      <w:r w:rsidRPr="007D4C6F">
        <w:t>65 East State Street, Suite 700</w:t>
      </w:r>
    </w:p>
    <w:p w:rsidR="004C207A" w:rsidRPr="007D4C6F" w:rsidP="004C207A" w14:paraId="42C71C92" w14:textId="77777777">
      <w:pPr>
        <w:ind w:left="3780"/>
      </w:pPr>
      <w:r w:rsidRPr="007D4C6F">
        <w:t>Columbus, Ohio 43215</w:t>
      </w:r>
    </w:p>
    <w:p w:rsidR="004C207A" w:rsidRPr="007D4C6F" w:rsidP="004C207A" w14:paraId="6B9FEAC6" w14:textId="77777777">
      <w:pPr>
        <w:autoSpaceDE w:val="0"/>
        <w:autoSpaceDN w:val="0"/>
        <w:adjustRightInd w:val="0"/>
        <w:ind w:left="3780"/>
      </w:pPr>
      <w:r w:rsidRPr="007D4C6F">
        <w:t>Telephone [O’Brien]: (614)-466-9531</w:t>
      </w:r>
    </w:p>
    <w:p w:rsidR="004C207A" w:rsidRPr="007D4C6F" w:rsidP="004C207A" w14:paraId="70FE90AF" w14:textId="77777777">
      <w:pPr>
        <w:autoSpaceDE w:val="0"/>
        <w:autoSpaceDN w:val="0"/>
        <w:adjustRightInd w:val="0"/>
        <w:ind w:left="3780"/>
      </w:pPr>
      <w:r w:rsidRPr="007D4C6F">
        <w:t>Telephone [Wilson]: (614)-466-1292</w:t>
      </w:r>
    </w:p>
    <w:p w:rsidR="004C207A" w:rsidRPr="007D4C6F" w:rsidP="004C207A" w14:paraId="710172FF" w14:textId="77777777">
      <w:pPr>
        <w:suppressLineNumbers/>
        <w:ind w:left="3780"/>
      </w:pPr>
      <w:r w:rsidRPr="007D4C6F">
        <w:t>Telephone [Finnigan]: (614) 466-9585</w:t>
      </w:r>
    </w:p>
    <w:p w:rsidR="004C207A" w:rsidRPr="007D4C6F" w:rsidP="004C207A" w14:paraId="5FA5905A" w14:textId="77777777">
      <w:pPr>
        <w:suppressLineNumbers/>
        <w:ind w:left="3780"/>
      </w:pPr>
      <w:r w:rsidRPr="007D4C6F">
        <w:t>Telephone [Semple]: (614) 466-9565</w:t>
      </w:r>
    </w:p>
    <w:p w:rsidR="004C207A" w:rsidRPr="007D4C6F" w:rsidP="004C207A" w14:paraId="6D9FC64D" w14:textId="77777777">
      <w:pPr>
        <w:autoSpaceDE w:val="0"/>
        <w:autoSpaceDN w:val="0"/>
        <w:adjustRightInd w:val="0"/>
        <w:ind w:left="3780"/>
      </w:pPr>
      <w:hyperlink r:id="rId6" w:history="1">
        <w:r w:rsidRPr="007D4C6F" w:rsidR="00C73DA6">
          <w:rPr>
            <w:color w:val="0000FF"/>
            <w:u w:val="single"/>
          </w:rPr>
          <w:t>angela.obrien@occ.ohio.gov</w:t>
        </w:r>
      </w:hyperlink>
    </w:p>
    <w:p w:rsidR="004C207A" w:rsidRPr="007D4C6F" w:rsidP="004C207A" w14:paraId="2587709C" w14:textId="77777777">
      <w:pPr>
        <w:autoSpaceDE w:val="0"/>
        <w:autoSpaceDN w:val="0"/>
        <w:adjustRightInd w:val="0"/>
        <w:ind w:left="3780"/>
        <w:rPr>
          <w:color w:val="0000FF"/>
          <w:u w:val="single"/>
        </w:rPr>
      </w:pPr>
      <w:hyperlink r:id="rId7" w:history="1">
        <w:r w:rsidRPr="007D4C6F" w:rsidR="00C73DA6">
          <w:rPr>
            <w:color w:val="0000FF"/>
            <w:u w:val="single"/>
          </w:rPr>
          <w:t>ambrosia.wilson@occ.ohio.gov</w:t>
        </w:r>
      </w:hyperlink>
    </w:p>
    <w:p w:rsidR="004C207A" w:rsidRPr="007D4C6F" w:rsidP="004C207A" w14:paraId="57F7D53B" w14:textId="77777777">
      <w:pPr>
        <w:suppressLineNumbers/>
        <w:ind w:left="3780"/>
        <w:rPr>
          <w:rFonts w:eastAsia="Courier New"/>
          <w:color w:val="0000FF"/>
          <w:u w:val="single"/>
        </w:rPr>
      </w:pPr>
      <w:hyperlink r:id="rId8" w:history="1">
        <w:r w:rsidRPr="007D4C6F" w:rsidR="00C73DA6">
          <w:rPr>
            <w:rFonts w:eastAsia="Courier New"/>
            <w:color w:val="0000FF"/>
            <w:u w:val="single"/>
          </w:rPr>
          <w:t>john.finnigan@occ.ohio.gov</w:t>
        </w:r>
      </w:hyperlink>
    </w:p>
    <w:p w:rsidR="004C207A" w:rsidRPr="007D4C6F" w:rsidP="004C207A" w14:paraId="59BC19FD" w14:textId="77777777">
      <w:pPr>
        <w:suppressLineNumbers/>
        <w:ind w:left="3780"/>
        <w:rPr>
          <w:rFonts w:eastAsia="Courier New"/>
          <w:color w:val="0000FF"/>
          <w:u w:val="single"/>
        </w:rPr>
      </w:pPr>
      <w:r w:rsidRPr="007D4C6F">
        <w:rPr>
          <w:rFonts w:eastAsia="Courier New"/>
          <w:color w:val="0000FF"/>
          <w:u w:val="single"/>
        </w:rPr>
        <w:t>connor.semple@occ.ohio.gov</w:t>
      </w:r>
    </w:p>
    <w:p w:rsidR="004C207A" w:rsidRPr="007D4C6F" w:rsidP="004C207A" w14:paraId="203DEBC9" w14:textId="09A50711">
      <w:pPr>
        <w:ind w:left="3780" w:hanging="3780"/>
        <w:sectPr w:rsidSect="00015657">
          <w:footerReference w:type="default" r:id="rId9"/>
          <w:pgSz w:w="12240" w:h="15840"/>
          <w:pgMar w:top="1440" w:right="1800" w:bottom="1440" w:left="1800" w:header="720" w:footer="720" w:gutter="0"/>
          <w:pgNumType w:fmt="lowerRoman" w:start="1"/>
          <w:cols w:space="720"/>
          <w:titlePg/>
          <w:docGrid w:linePitch="360"/>
        </w:sectPr>
      </w:pPr>
      <w:r w:rsidRPr="007D4C6F">
        <w:t>November 14</w:t>
      </w:r>
      <w:r w:rsidRPr="007D4C6F" w:rsidR="00C73DA6">
        <w:t>, 2022</w:t>
      </w:r>
      <w:r w:rsidRPr="007D4C6F" w:rsidR="00C73DA6">
        <w:tab/>
        <w:t>(willing to accept service by e-mail)</w:t>
      </w:r>
    </w:p>
    <w:p w:rsidR="00A93A38" w:rsidRPr="007D4C6F" w:rsidP="00A93A38" w14:paraId="028B2E94" w14:textId="77777777">
      <w:pPr>
        <w:jc w:val="center"/>
        <w:rPr>
          <w:b/>
          <w:caps/>
          <w:u w:val="single"/>
          <w:lang w:eastAsia="ja-JP"/>
        </w:rPr>
      </w:pPr>
      <w:r w:rsidRPr="007D4C6F">
        <w:rPr>
          <w:b/>
          <w:caps/>
          <w:u w:val="single"/>
          <w:lang w:eastAsia="ja-JP"/>
        </w:rPr>
        <w:t>TABLE OF CONTENTS</w:t>
      </w:r>
    </w:p>
    <w:p w:rsidR="008C1899" w:rsidRPr="007D4C6F" w:rsidP="00A93A38" w14:paraId="30868BDB" w14:textId="77777777">
      <w:pPr>
        <w:jc w:val="center"/>
        <w:rPr>
          <w:b/>
          <w:caps/>
          <w:u w:val="single"/>
          <w:lang w:eastAsia="ja-JP"/>
        </w:rPr>
      </w:pPr>
    </w:p>
    <w:p w:rsidR="00A93A38" w:rsidRPr="007D4C6F" w:rsidP="00A93A38" w14:paraId="34B00ADB" w14:textId="29845415">
      <w:pPr>
        <w:jc w:val="right"/>
        <w:rPr>
          <w:b/>
          <w:caps/>
          <w:lang w:eastAsia="ja-JP"/>
        </w:rPr>
      </w:pPr>
      <w:r w:rsidRPr="007D4C6F">
        <w:rPr>
          <w:b/>
          <w:caps/>
          <w:lang w:eastAsia="ja-JP"/>
        </w:rPr>
        <w:t>PAGE</w:t>
      </w:r>
    </w:p>
    <w:p w:rsidR="00FD0F54" w:rsidRPr="007D4C6F" w:rsidP="00FD0F54" w14:paraId="4453DF8E" w14:textId="77777777">
      <w:pPr>
        <w:jc w:val="center"/>
        <w:rPr>
          <w:b/>
          <w:bCs/>
        </w:rPr>
      </w:pPr>
    </w:p>
    <w:p w:rsidR="00025E63" w14:paraId="56597BAA" w14:textId="661186BA">
      <w:pPr>
        <w:pStyle w:val="TOC1"/>
        <w:rPr>
          <w:rFonts w:asciiTheme="minorHAnsi" w:eastAsiaTheme="minorEastAsia" w:hAnsiTheme="minorHAnsi" w:cstheme="minorBidi"/>
          <w:noProof/>
          <w:sz w:val="22"/>
          <w:szCs w:val="22"/>
          <w:lang w:bidi="ar-SA"/>
        </w:rPr>
      </w:pPr>
      <w:r w:rsidRPr="007D4C6F">
        <w:rPr>
          <w:b/>
          <w:bCs/>
        </w:rPr>
        <w:fldChar w:fldCharType="begin"/>
      </w:r>
      <w:r w:rsidRPr="007D4C6F">
        <w:rPr>
          <w:b/>
          <w:bCs/>
        </w:rPr>
        <w:instrText xml:space="preserve"> TOC \o "1-3" \h \z \u </w:instrText>
      </w:r>
      <w:r w:rsidRPr="007D4C6F">
        <w:rPr>
          <w:b/>
          <w:bCs/>
        </w:rPr>
        <w:fldChar w:fldCharType="separate"/>
      </w:r>
      <w:hyperlink w:anchor="_Toc119331510" w:history="1">
        <w:r w:rsidRPr="009360CF">
          <w:rPr>
            <w:rStyle w:val="Hyperlink"/>
            <w:noProof/>
          </w:rPr>
          <w:t>I.</w:t>
        </w:r>
        <w:r>
          <w:rPr>
            <w:rFonts w:asciiTheme="minorHAnsi" w:eastAsiaTheme="minorEastAsia" w:hAnsiTheme="minorHAnsi" w:cstheme="minorBidi"/>
            <w:noProof/>
            <w:sz w:val="22"/>
            <w:szCs w:val="22"/>
            <w:lang w:bidi="ar-SA"/>
          </w:rPr>
          <w:tab/>
        </w:r>
        <w:r w:rsidRPr="009360CF">
          <w:rPr>
            <w:rStyle w:val="Hyperlink"/>
            <w:noProof/>
          </w:rPr>
          <w:t>INTRODUCTION</w:t>
        </w:r>
        <w:r>
          <w:rPr>
            <w:noProof/>
            <w:webHidden/>
          </w:rPr>
          <w:tab/>
        </w:r>
        <w:r>
          <w:rPr>
            <w:noProof/>
            <w:webHidden/>
          </w:rPr>
          <w:fldChar w:fldCharType="begin"/>
        </w:r>
        <w:r>
          <w:rPr>
            <w:noProof/>
            <w:webHidden/>
          </w:rPr>
          <w:instrText xml:space="preserve"> PAGEREF _Toc119331510 \h </w:instrText>
        </w:r>
        <w:r>
          <w:rPr>
            <w:noProof/>
            <w:webHidden/>
          </w:rPr>
          <w:fldChar w:fldCharType="separate"/>
        </w:r>
        <w:r>
          <w:rPr>
            <w:noProof/>
            <w:webHidden/>
          </w:rPr>
          <w:t>1</w:t>
        </w:r>
        <w:r>
          <w:rPr>
            <w:noProof/>
            <w:webHidden/>
          </w:rPr>
          <w:fldChar w:fldCharType="end"/>
        </w:r>
      </w:hyperlink>
    </w:p>
    <w:p w:rsidR="00025E63" w14:paraId="41EA0DD6" w14:textId="5E7C6E5D">
      <w:pPr>
        <w:pStyle w:val="TOC1"/>
        <w:rPr>
          <w:rFonts w:asciiTheme="minorHAnsi" w:eastAsiaTheme="minorEastAsia" w:hAnsiTheme="minorHAnsi" w:cstheme="minorBidi"/>
          <w:noProof/>
          <w:sz w:val="22"/>
          <w:szCs w:val="22"/>
          <w:lang w:bidi="ar-SA"/>
        </w:rPr>
      </w:pPr>
      <w:hyperlink w:anchor="_Toc119331511" w:history="1">
        <w:r w:rsidRPr="009360CF" w:rsidR="007C2259">
          <w:rPr>
            <w:rStyle w:val="Hyperlink"/>
            <w:noProof/>
          </w:rPr>
          <w:t>II.</w:t>
        </w:r>
        <w:r w:rsidR="007C2259">
          <w:rPr>
            <w:rFonts w:asciiTheme="minorHAnsi" w:eastAsiaTheme="minorEastAsia" w:hAnsiTheme="minorHAnsi" w:cstheme="minorBidi"/>
            <w:noProof/>
            <w:sz w:val="22"/>
            <w:szCs w:val="22"/>
            <w:lang w:bidi="ar-SA"/>
          </w:rPr>
          <w:tab/>
        </w:r>
        <w:r w:rsidRPr="009360CF" w:rsidR="007C2259">
          <w:rPr>
            <w:rStyle w:val="Hyperlink"/>
            <w:noProof/>
          </w:rPr>
          <w:t>ARGUMENT</w:t>
        </w:r>
        <w:r w:rsidR="007C2259">
          <w:rPr>
            <w:noProof/>
            <w:webHidden/>
          </w:rPr>
          <w:tab/>
        </w:r>
        <w:r w:rsidR="007C2259">
          <w:rPr>
            <w:noProof/>
            <w:webHidden/>
          </w:rPr>
          <w:fldChar w:fldCharType="begin"/>
        </w:r>
        <w:r w:rsidR="007C2259">
          <w:rPr>
            <w:noProof/>
            <w:webHidden/>
          </w:rPr>
          <w:instrText xml:space="preserve"> PAGEREF _Toc119331511 \h </w:instrText>
        </w:r>
        <w:r w:rsidR="007C2259">
          <w:rPr>
            <w:noProof/>
            <w:webHidden/>
          </w:rPr>
          <w:fldChar w:fldCharType="separate"/>
        </w:r>
        <w:r w:rsidR="007C2259">
          <w:rPr>
            <w:noProof/>
            <w:webHidden/>
          </w:rPr>
          <w:t>2</w:t>
        </w:r>
        <w:r w:rsidR="007C2259">
          <w:rPr>
            <w:noProof/>
            <w:webHidden/>
          </w:rPr>
          <w:fldChar w:fldCharType="end"/>
        </w:r>
      </w:hyperlink>
    </w:p>
    <w:p w:rsidR="00025E63" w14:paraId="4B21A5DB" w14:textId="4B86BA34">
      <w:pPr>
        <w:pStyle w:val="TOC2"/>
        <w:tabs>
          <w:tab w:val="left" w:pos="1440"/>
        </w:tabs>
        <w:rPr>
          <w:rFonts w:asciiTheme="minorHAnsi" w:eastAsiaTheme="minorEastAsia" w:hAnsiTheme="minorHAnsi" w:cstheme="minorBidi"/>
          <w:noProof/>
          <w:sz w:val="22"/>
          <w:szCs w:val="22"/>
          <w:lang w:bidi="ar-SA"/>
        </w:rPr>
      </w:pPr>
      <w:hyperlink w:anchor="_Toc119331512" w:history="1">
        <w:r w:rsidRPr="009360CF" w:rsidR="007C2259">
          <w:rPr>
            <w:rStyle w:val="Hyperlink"/>
            <w:noProof/>
          </w:rPr>
          <w:t>A.</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The settlement lacked the serious bargaining needed to meet the </w:t>
        </w:r>
        <w:r w:rsidR="007C2259">
          <w:rPr>
            <w:rStyle w:val="Hyperlink"/>
            <w:noProof/>
          </w:rPr>
          <w:br/>
        </w:r>
        <w:r w:rsidRPr="009360CF" w:rsidR="007C2259">
          <w:rPr>
            <w:rStyle w:val="Hyperlink"/>
            <w:noProof/>
          </w:rPr>
          <w:t xml:space="preserve">PUCO’s test, including a lack of serious bargaining with OCC, </w:t>
        </w:r>
        <w:r w:rsidR="007C2259">
          <w:rPr>
            <w:rStyle w:val="Hyperlink"/>
            <w:noProof/>
          </w:rPr>
          <w:br/>
        </w:r>
        <w:r w:rsidRPr="009360CF" w:rsidR="007C2259">
          <w:rPr>
            <w:rStyle w:val="Hyperlink"/>
            <w:noProof/>
          </w:rPr>
          <w:t xml:space="preserve">the only party that represents the broad consumer interests of </w:t>
        </w:r>
        <w:r w:rsidRPr="009360CF" w:rsidR="007C2259">
          <w:rPr>
            <w:rStyle w:val="Hyperlink"/>
            <w:i/>
            <w:noProof/>
          </w:rPr>
          <w:t>all</w:t>
        </w:r>
        <w:r w:rsidRPr="009360CF" w:rsidR="007C2259">
          <w:rPr>
            <w:rStyle w:val="Hyperlink"/>
            <w:noProof/>
          </w:rPr>
          <w:t xml:space="preserve"> residential consumers who are allocated 92.4% of Duke’s rate </w:t>
        </w:r>
        <w:r w:rsidR="007C2259">
          <w:rPr>
            <w:rStyle w:val="Hyperlink"/>
            <w:noProof/>
          </w:rPr>
          <w:br/>
        </w:r>
        <w:r w:rsidRPr="009360CF" w:rsidR="007C2259">
          <w:rPr>
            <w:rStyle w:val="Hyperlink"/>
            <w:noProof/>
          </w:rPr>
          <w:t>increase under the settlement.</w:t>
        </w:r>
        <w:r w:rsidR="007C2259">
          <w:rPr>
            <w:noProof/>
            <w:webHidden/>
          </w:rPr>
          <w:tab/>
        </w:r>
        <w:r w:rsidR="007C2259">
          <w:rPr>
            <w:noProof/>
            <w:webHidden/>
          </w:rPr>
          <w:fldChar w:fldCharType="begin"/>
        </w:r>
        <w:r w:rsidR="007C2259">
          <w:rPr>
            <w:noProof/>
            <w:webHidden/>
          </w:rPr>
          <w:instrText xml:space="preserve"> PAGEREF _Toc119331512 \h </w:instrText>
        </w:r>
        <w:r w:rsidR="007C2259">
          <w:rPr>
            <w:noProof/>
            <w:webHidden/>
          </w:rPr>
          <w:fldChar w:fldCharType="separate"/>
        </w:r>
        <w:r w:rsidR="007C2259">
          <w:rPr>
            <w:noProof/>
            <w:webHidden/>
          </w:rPr>
          <w:t>2</w:t>
        </w:r>
        <w:r w:rsidR="007C2259">
          <w:rPr>
            <w:noProof/>
            <w:webHidden/>
          </w:rPr>
          <w:fldChar w:fldCharType="end"/>
        </w:r>
      </w:hyperlink>
    </w:p>
    <w:p w:rsidR="00025E63" w14:paraId="64E4979A" w14:textId="50F03F39">
      <w:pPr>
        <w:pStyle w:val="TOC3"/>
        <w:rPr>
          <w:rFonts w:asciiTheme="minorHAnsi" w:eastAsiaTheme="minorEastAsia" w:hAnsiTheme="minorHAnsi" w:cstheme="minorBidi"/>
          <w:noProof/>
          <w:sz w:val="22"/>
          <w:szCs w:val="22"/>
          <w:lang w:bidi="ar-SA"/>
        </w:rPr>
      </w:pPr>
      <w:hyperlink w:anchor="_Toc119331513" w:history="1">
        <w:r w:rsidRPr="009360CF" w:rsidR="007C2259">
          <w:rPr>
            <w:rStyle w:val="Hyperlink"/>
            <w:noProof/>
          </w:rPr>
          <w:t>1.</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Duke leveraged its superior and unfair bargaining power </w:t>
        </w:r>
        <w:r w:rsidR="007C2259">
          <w:rPr>
            <w:rStyle w:val="Hyperlink"/>
            <w:noProof/>
          </w:rPr>
          <w:br/>
        </w:r>
        <w:r w:rsidRPr="009360CF" w:rsidR="007C2259">
          <w:rPr>
            <w:rStyle w:val="Hyperlink"/>
            <w:noProof/>
          </w:rPr>
          <w:t xml:space="preserve">to get various settling parties to agree to allocate 92.4% </w:t>
        </w:r>
        <w:r w:rsidR="007C2259">
          <w:rPr>
            <w:rStyle w:val="Hyperlink"/>
            <w:noProof/>
          </w:rPr>
          <w:br/>
        </w:r>
        <w:r w:rsidRPr="009360CF" w:rsidR="007C2259">
          <w:rPr>
            <w:rStyle w:val="Hyperlink"/>
            <w:noProof/>
          </w:rPr>
          <w:t xml:space="preserve">of Duke’s rate increase to residential consumers while </w:t>
        </w:r>
        <w:r w:rsidR="007C2259">
          <w:rPr>
            <w:rStyle w:val="Hyperlink"/>
            <w:noProof/>
          </w:rPr>
          <w:br/>
        </w:r>
        <w:r w:rsidRPr="009360CF" w:rsidR="007C2259">
          <w:rPr>
            <w:rStyle w:val="Hyperlink"/>
            <w:noProof/>
          </w:rPr>
          <w:t xml:space="preserve">refusing to include OCC’s proposals to protect all </w:t>
        </w:r>
        <w:r w:rsidR="007C2259">
          <w:rPr>
            <w:rStyle w:val="Hyperlink"/>
            <w:noProof/>
          </w:rPr>
          <w:br/>
        </w:r>
        <w:r w:rsidRPr="009360CF" w:rsidR="007C2259">
          <w:rPr>
            <w:rStyle w:val="Hyperlink"/>
            <w:noProof/>
          </w:rPr>
          <w:t>residential consumers in Duke’s service territory.</w:t>
        </w:r>
        <w:r w:rsidR="007C2259">
          <w:rPr>
            <w:noProof/>
            <w:webHidden/>
          </w:rPr>
          <w:tab/>
        </w:r>
        <w:r w:rsidR="007C2259">
          <w:rPr>
            <w:noProof/>
            <w:webHidden/>
          </w:rPr>
          <w:fldChar w:fldCharType="begin"/>
        </w:r>
        <w:r w:rsidR="007C2259">
          <w:rPr>
            <w:noProof/>
            <w:webHidden/>
          </w:rPr>
          <w:instrText xml:space="preserve"> PAGEREF _Toc119331513 \h </w:instrText>
        </w:r>
        <w:r w:rsidR="007C2259">
          <w:rPr>
            <w:noProof/>
            <w:webHidden/>
          </w:rPr>
          <w:fldChar w:fldCharType="separate"/>
        </w:r>
        <w:r w:rsidR="007C2259">
          <w:rPr>
            <w:noProof/>
            <w:webHidden/>
          </w:rPr>
          <w:t>3</w:t>
        </w:r>
        <w:r w:rsidR="007C2259">
          <w:rPr>
            <w:noProof/>
            <w:webHidden/>
          </w:rPr>
          <w:fldChar w:fldCharType="end"/>
        </w:r>
      </w:hyperlink>
    </w:p>
    <w:p w:rsidR="00025E63" w14:paraId="3098CF01" w14:textId="37D84C44">
      <w:pPr>
        <w:pStyle w:val="TOC3"/>
        <w:rPr>
          <w:rFonts w:asciiTheme="minorHAnsi" w:eastAsiaTheme="minorEastAsia" w:hAnsiTheme="minorHAnsi" w:cstheme="minorBidi"/>
          <w:noProof/>
          <w:sz w:val="22"/>
          <w:szCs w:val="22"/>
          <w:lang w:bidi="ar-SA"/>
        </w:rPr>
      </w:pPr>
      <w:hyperlink w:anchor="_Toc119331514" w:history="1">
        <w:r w:rsidRPr="009360CF" w:rsidR="007C2259">
          <w:rPr>
            <w:rStyle w:val="Hyperlink"/>
            <w:noProof/>
          </w:rPr>
          <w:t>2.</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The settlement included only narrow-interested residential consumer parties (with some interests being more </w:t>
        </w:r>
        <w:r w:rsidR="007C2259">
          <w:rPr>
            <w:rStyle w:val="Hyperlink"/>
            <w:noProof/>
          </w:rPr>
          <w:br/>
        </w:r>
        <w:r w:rsidRPr="009360CF" w:rsidR="007C2259">
          <w:rPr>
            <w:rStyle w:val="Hyperlink"/>
            <w:noProof/>
          </w:rPr>
          <w:t xml:space="preserve">environmental than consumer), as distinguished from the </w:t>
        </w:r>
        <w:r w:rsidR="007C2259">
          <w:rPr>
            <w:rStyle w:val="Hyperlink"/>
            <w:noProof/>
          </w:rPr>
          <w:br/>
        </w:r>
        <w:r w:rsidRPr="009360CF" w:rsidR="007C2259">
          <w:rPr>
            <w:rStyle w:val="Hyperlink"/>
            <w:noProof/>
          </w:rPr>
          <w:t xml:space="preserve">detriment to the broad interests of the residential </w:t>
        </w:r>
        <w:r w:rsidR="007C2259">
          <w:rPr>
            <w:rStyle w:val="Hyperlink"/>
            <w:noProof/>
          </w:rPr>
          <w:br/>
        </w:r>
        <w:r w:rsidRPr="009360CF" w:rsidR="007C2259">
          <w:rPr>
            <w:rStyle w:val="Hyperlink"/>
            <w:noProof/>
          </w:rPr>
          <w:t xml:space="preserve">consumer class in charges and reliable service, etc. The </w:t>
        </w:r>
        <w:r w:rsidR="007C2259">
          <w:rPr>
            <w:rStyle w:val="Hyperlink"/>
            <w:noProof/>
          </w:rPr>
          <w:br/>
        </w:r>
        <w:r w:rsidRPr="009360CF" w:rsidR="007C2259">
          <w:rPr>
            <w:rStyle w:val="Hyperlink"/>
            <w:noProof/>
          </w:rPr>
          <w:t xml:space="preserve">settling business parties benefit from a lower allocation or </w:t>
        </w:r>
        <w:r w:rsidR="007C2259">
          <w:rPr>
            <w:rStyle w:val="Hyperlink"/>
            <w:noProof/>
          </w:rPr>
          <w:br/>
        </w:r>
        <w:r w:rsidRPr="009360CF" w:rsidR="007C2259">
          <w:rPr>
            <w:rStyle w:val="Hyperlink"/>
            <w:noProof/>
          </w:rPr>
          <w:t xml:space="preserve">are not uniquely affected (as with Duke and others) by the </w:t>
        </w:r>
        <w:r w:rsidR="007C2259">
          <w:rPr>
            <w:rStyle w:val="Hyperlink"/>
            <w:noProof/>
          </w:rPr>
          <w:br/>
        </w:r>
        <w:r w:rsidRPr="009360CF" w:rsidR="007C2259">
          <w:rPr>
            <w:rStyle w:val="Hyperlink"/>
            <w:noProof/>
          </w:rPr>
          <w:t>92.4% allocation.</w:t>
        </w:r>
        <w:r w:rsidR="007C2259">
          <w:rPr>
            <w:noProof/>
            <w:webHidden/>
          </w:rPr>
          <w:tab/>
        </w:r>
        <w:r w:rsidR="007C2259">
          <w:rPr>
            <w:noProof/>
            <w:webHidden/>
          </w:rPr>
          <w:fldChar w:fldCharType="begin"/>
        </w:r>
        <w:r w:rsidR="007C2259">
          <w:rPr>
            <w:noProof/>
            <w:webHidden/>
          </w:rPr>
          <w:instrText xml:space="preserve"> PAGEREF _Toc119331514 \h </w:instrText>
        </w:r>
        <w:r w:rsidR="007C2259">
          <w:rPr>
            <w:noProof/>
            <w:webHidden/>
          </w:rPr>
          <w:fldChar w:fldCharType="separate"/>
        </w:r>
        <w:r w:rsidR="007C2259">
          <w:rPr>
            <w:noProof/>
            <w:webHidden/>
          </w:rPr>
          <w:t>7</w:t>
        </w:r>
        <w:r w:rsidR="007C2259">
          <w:rPr>
            <w:noProof/>
            <w:webHidden/>
          </w:rPr>
          <w:fldChar w:fldCharType="end"/>
        </w:r>
      </w:hyperlink>
    </w:p>
    <w:p w:rsidR="00025E63" w14:paraId="714A2DF4" w14:textId="504E9465">
      <w:pPr>
        <w:pStyle w:val="TOC3"/>
        <w:rPr>
          <w:rFonts w:asciiTheme="minorHAnsi" w:eastAsiaTheme="minorEastAsia" w:hAnsiTheme="minorHAnsi" w:cstheme="minorBidi"/>
          <w:noProof/>
          <w:sz w:val="22"/>
          <w:szCs w:val="22"/>
          <w:lang w:bidi="ar-SA"/>
        </w:rPr>
      </w:pPr>
      <w:hyperlink w:anchor="_Toc119331515" w:history="1">
        <w:r w:rsidRPr="009360CF" w:rsidR="007C2259">
          <w:rPr>
            <w:rStyle w:val="Hyperlink"/>
            <w:noProof/>
          </w:rPr>
          <w:t>3.</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OCC does not seek “veto power” over the settlement. If </w:t>
        </w:r>
        <w:r w:rsidR="007C2259">
          <w:rPr>
            <w:rStyle w:val="Hyperlink"/>
            <w:noProof/>
          </w:rPr>
          <w:br/>
        </w:r>
        <w:r w:rsidRPr="009360CF" w:rsidR="007C2259">
          <w:rPr>
            <w:rStyle w:val="Hyperlink"/>
            <w:noProof/>
          </w:rPr>
          <w:t xml:space="preserve">there is any party with veto power, it would be the utility </w:t>
        </w:r>
        <w:r w:rsidR="007C2259">
          <w:rPr>
            <w:rStyle w:val="Hyperlink"/>
            <w:noProof/>
          </w:rPr>
          <w:br/>
        </w:r>
        <w:r w:rsidRPr="009360CF" w:rsidR="007C2259">
          <w:rPr>
            <w:rStyle w:val="Hyperlink"/>
            <w:noProof/>
          </w:rPr>
          <w:t xml:space="preserve">Duke because virtually no settlement is submitted to the </w:t>
        </w:r>
        <w:r w:rsidR="007C2259">
          <w:rPr>
            <w:rStyle w:val="Hyperlink"/>
            <w:noProof/>
          </w:rPr>
          <w:br/>
        </w:r>
        <w:r w:rsidRPr="009360CF" w:rsidR="007C2259">
          <w:rPr>
            <w:rStyle w:val="Hyperlink"/>
            <w:noProof/>
          </w:rPr>
          <w:t xml:space="preserve">PUCO Commissioners unless the utility has agreed to it. </w:t>
        </w:r>
        <w:r w:rsidR="007C2259">
          <w:rPr>
            <w:rStyle w:val="Hyperlink"/>
            <w:noProof/>
          </w:rPr>
          <w:br/>
        </w:r>
        <w:r w:rsidRPr="009360CF" w:rsidR="007C2259">
          <w:rPr>
            <w:rStyle w:val="Hyperlink"/>
            <w:noProof/>
          </w:rPr>
          <w:t xml:space="preserve">OCC seeks a fair, just, and reasonable settlement process </w:t>
        </w:r>
        <w:r w:rsidR="007C2259">
          <w:rPr>
            <w:rStyle w:val="Hyperlink"/>
            <w:noProof/>
          </w:rPr>
          <w:br/>
        </w:r>
        <w:r w:rsidRPr="009360CF" w:rsidR="007C2259">
          <w:rPr>
            <w:rStyle w:val="Hyperlink"/>
            <w:noProof/>
          </w:rPr>
          <w:t>and resolution for 640,000 residential consumers.</w:t>
        </w:r>
        <w:r w:rsidR="007C2259">
          <w:rPr>
            <w:noProof/>
            <w:webHidden/>
          </w:rPr>
          <w:tab/>
        </w:r>
        <w:r w:rsidR="007C2259">
          <w:rPr>
            <w:noProof/>
            <w:webHidden/>
          </w:rPr>
          <w:fldChar w:fldCharType="begin"/>
        </w:r>
        <w:r w:rsidR="007C2259">
          <w:rPr>
            <w:noProof/>
            <w:webHidden/>
          </w:rPr>
          <w:instrText xml:space="preserve"> PAGEREF _Toc119331515 \h </w:instrText>
        </w:r>
        <w:r w:rsidR="007C2259">
          <w:rPr>
            <w:noProof/>
            <w:webHidden/>
          </w:rPr>
          <w:fldChar w:fldCharType="separate"/>
        </w:r>
        <w:r w:rsidR="007C2259">
          <w:rPr>
            <w:noProof/>
            <w:webHidden/>
          </w:rPr>
          <w:t>14</w:t>
        </w:r>
        <w:r w:rsidR="007C2259">
          <w:rPr>
            <w:noProof/>
            <w:webHidden/>
          </w:rPr>
          <w:fldChar w:fldCharType="end"/>
        </w:r>
      </w:hyperlink>
    </w:p>
    <w:p w:rsidR="00025E63" w14:paraId="45D1EC9E" w14:textId="3F034B5B">
      <w:pPr>
        <w:pStyle w:val="TOC3"/>
        <w:rPr>
          <w:rFonts w:asciiTheme="minorHAnsi" w:eastAsiaTheme="minorEastAsia" w:hAnsiTheme="minorHAnsi" w:cstheme="minorBidi"/>
          <w:noProof/>
          <w:sz w:val="22"/>
          <w:szCs w:val="22"/>
          <w:lang w:bidi="ar-SA"/>
        </w:rPr>
      </w:pPr>
      <w:hyperlink w:anchor="_Toc119331516" w:history="1">
        <w:r w:rsidRPr="009360CF" w:rsidR="007C2259">
          <w:rPr>
            <w:rStyle w:val="Hyperlink"/>
            <w:noProof/>
          </w:rPr>
          <w:t xml:space="preserve">4. </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A false equivalency with OCC’s broad consumer interest </w:t>
        </w:r>
        <w:r w:rsidR="007C2259">
          <w:rPr>
            <w:rStyle w:val="Hyperlink"/>
            <w:noProof/>
          </w:rPr>
          <w:br/>
        </w:r>
        <w:r w:rsidRPr="009360CF" w:rsidR="007C2259">
          <w:rPr>
            <w:rStyle w:val="Hyperlink"/>
            <w:noProof/>
          </w:rPr>
          <w:t xml:space="preserve">is created by Duke’s argument that limited-interest, </w:t>
        </w:r>
        <w:r w:rsidR="007C2259">
          <w:rPr>
            <w:rStyle w:val="Hyperlink"/>
            <w:noProof/>
          </w:rPr>
          <w:br/>
        </w:r>
        <w:r w:rsidRPr="009360CF" w:rsidR="007C2259">
          <w:rPr>
            <w:rStyle w:val="Hyperlink"/>
            <w:noProof/>
          </w:rPr>
          <w:t xml:space="preserve">multi-customer and/or environmental-interest signatories </w:t>
        </w:r>
        <w:r w:rsidR="007C2259">
          <w:rPr>
            <w:rStyle w:val="Hyperlink"/>
            <w:noProof/>
          </w:rPr>
          <w:br/>
        </w:r>
        <w:r w:rsidRPr="009360CF" w:rsidR="007C2259">
          <w:rPr>
            <w:rStyle w:val="Hyperlink"/>
            <w:noProof/>
          </w:rPr>
          <w:t xml:space="preserve">(such as CUB Ohio, OPAE and others) satisfy the PUCO’s </w:t>
        </w:r>
        <w:r w:rsidR="007C2259">
          <w:rPr>
            <w:rStyle w:val="Hyperlink"/>
            <w:noProof/>
          </w:rPr>
          <w:br/>
        </w:r>
        <w:r w:rsidRPr="009360CF" w:rsidR="007C2259">
          <w:rPr>
            <w:rStyle w:val="Hyperlink"/>
            <w:noProof/>
          </w:rPr>
          <w:t xml:space="preserve">first-prong settlement test as a residential consumer interest. </w:t>
        </w:r>
        <w:r w:rsidR="007C2259">
          <w:rPr>
            <w:rStyle w:val="Hyperlink"/>
            <w:noProof/>
          </w:rPr>
          <w:br/>
        </w:r>
        <w:r w:rsidRPr="009360CF" w:rsidR="007C2259">
          <w:rPr>
            <w:rStyle w:val="Hyperlink"/>
            <w:noProof/>
          </w:rPr>
          <w:t>It is mistaken.</w:t>
        </w:r>
        <w:r w:rsidR="007C2259">
          <w:rPr>
            <w:noProof/>
            <w:webHidden/>
          </w:rPr>
          <w:tab/>
        </w:r>
        <w:r w:rsidR="007C2259">
          <w:rPr>
            <w:noProof/>
            <w:webHidden/>
          </w:rPr>
          <w:fldChar w:fldCharType="begin"/>
        </w:r>
        <w:r w:rsidR="007C2259">
          <w:rPr>
            <w:noProof/>
            <w:webHidden/>
          </w:rPr>
          <w:instrText xml:space="preserve"> PAGEREF _Toc119331516 \h </w:instrText>
        </w:r>
        <w:r w:rsidR="007C2259">
          <w:rPr>
            <w:noProof/>
            <w:webHidden/>
          </w:rPr>
          <w:fldChar w:fldCharType="separate"/>
        </w:r>
        <w:r w:rsidR="007C2259">
          <w:rPr>
            <w:noProof/>
            <w:webHidden/>
          </w:rPr>
          <w:t>15</w:t>
        </w:r>
        <w:r w:rsidR="007C2259">
          <w:rPr>
            <w:noProof/>
            <w:webHidden/>
          </w:rPr>
          <w:fldChar w:fldCharType="end"/>
        </w:r>
      </w:hyperlink>
    </w:p>
    <w:p w:rsidR="00025E63" w14:paraId="216F305C" w14:textId="729E5280">
      <w:pPr>
        <w:pStyle w:val="TOC2"/>
        <w:tabs>
          <w:tab w:val="left" w:pos="1440"/>
        </w:tabs>
        <w:rPr>
          <w:rFonts w:asciiTheme="minorHAnsi" w:eastAsiaTheme="minorEastAsia" w:hAnsiTheme="minorHAnsi" w:cstheme="minorBidi"/>
          <w:noProof/>
          <w:sz w:val="22"/>
          <w:szCs w:val="22"/>
          <w:lang w:bidi="ar-SA"/>
        </w:rPr>
      </w:pPr>
      <w:hyperlink w:anchor="_Toc119331517" w:history="1">
        <w:r w:rsidRPr="009360CF" w:rsidR="007C2259">
          <w:rPr>
            <w:rStyle w:val="Hyperlink"/>
            <w:noProof/>
          </w:rPr>
          <w:t>B.</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Settling parties’ claims that the settlement benefits consumers </w:t>
        </w:r>
        <w:r w:rsidR="007C2259">
          <w:rPr>
            <w:rStyle w:val="Hyperlink"/>
            <w:noProof/>
          </w:rPr>
          <w:br/>
        </w:r>
        <w:r w:rsidRPr="009360CF" w:rsidR="007C2259">
          <w:rPr>
            <w:rStyle w:val="Hyperlink"/>
            <w:noProof/>
          </w:rPr>
          <w:t xml:space="preserve">because it gives Duke less than what Duke initially requested in </w:t>
        </w:r>
        <w:r w:rsidR="007C2259">
          <w:rPr>
            <w:rStyle w:val="Hyperlink"/>
            <w:noProof/>
          </w:rPr>
          <w:br/>
        </w:r>
        <w:r w:rsidRPr="009360CF" w:rsidR="007C2259">
          <w:rPr>
            <w:rStyle w:val="Hyperlink"/>
            <w:noProof/>
          </w:rPr>
          <w:t xml:space="preserve">its rate increase application do not mean the settlement benefits </w:t>
        </w:r>
        <w:r w:rsidR="007C2259">
          <w:rPr>
            <w:rStyle w:val="Hyperlink"/>
            <w:noProof/>
          </w:rPr>
          <w:br/>
        </w:r>
        <w:r w:rsidRPr="009360CF" w:rsidR="007C2259">
          <w:rPr>
            <w:rStyle w:val="Hyperlink"/>
            <w:noProof/>
          </w:rPr>
          <w:t>consumers or the public interest.</w:t>
        </w:r>
        <w:r w:rsidR="007C2259">
          <w:rPr>
            <w:noProof/>
            <w:webHidden/>
          </w:rPr>
          <w:tab/>
        </w:r>
        <w:r w:rsidR="007C2259">
          <w:rPr>
            <w:noProof/>
            <w:webHidden/>
          </w:rPr>
          <w:fldChar w:fldCharType="begin"/>
        </w:r>
        <w:r w:rsidR="007C2259">
          <w:rPr>
            <w:noProof/>
            <w:webHidden/>
          </w:rPr>
          <w:instrText xml:space="preserve"> PAGEREF _Toc119331517 \h </w:instrText>
        </w:r>
        <w:r w:rsidR="007C2259">
          <w:rPr>
            <w:noProof/>
            <w:webHidden/>
          </w:rPr>
          <w:fldChar w:fldCharType="separate"/>
        </w:r>
        <w:r w:rsidR="007C2259">
          <w:rPr>
            <w:noProof/>
            <w:webHidden/>
          </w:rPr>
          <w:t>17</w:t>
        </w:r>
        <w:r w:rsidR="007C2259">
          <w:rPr>
            <w:noProof/>
            <w:webHidden/>
          </w:rPr>
          <w:fldChar w:fldCharType="end"/>
        </w:r>
      </w:hyperlink>
    </w:p>
    <w:p w:rsidR="00025E63" w14:paraId="419EED6C" w14:textId="06B8B431">
      <w:pPr>
        <w:pStyle w:val="TOC2"/>
        <w:tabs>
          <w:tab w:val="left" w:pos="1440"/>
        </w:tabs>
        <w:rPr>
          <w:rFonts w:asciiTheme="minorHAnsi" w:eastAsiaTheme="minorEastAsia" w:hAnsiTheme="minorHAnsi" w:cstheme="minorBidi"/>
          <w:noProof/>
          <w:sz w:val="22"/>
          <w:szCs w:val="22"/>
          <w:lang w:bidi="ar-SA"/>
        </w:rPr>
      </w:pPr>
      <w:hyperlink w:anchor="_Toc119331518" w:history="1">
        <w:r w:rsidRPr="009360CF" w:rsidR="007C2259">
          <w:rPr>
            <w:rStyle w:val="Hyperlink"/>
            <w:noProof/>
          </w:rPr>
          <w:t>C.</w:t>
        </w:r>
        <w:r w:rsidR="007C2259">
          <w:rPr>
            <w:rFonts w:asciiTheme="minorHAnsi" w:eastAsiaTheme="minorEastAsia" w:hAnsiTheme="minorHAnsi" w:cstheme="minorBidi"/>
            <w:noProof/>
            <w:sz w:val="22"/>
            <w:szCs w:val="22"/>
            <w:lang w:bidi="ar-SA"/>
          </w:rPr>
          <w:tab/>
        </w:r>
        <w:r w:rsidRPr="009360CF" w:rsidR="007C2259">
          <w:rPr>
            <w:rStyle w:val="Hyperlink"/>
            <w:noProof/>
          </w:rPr>
          <w:t xml:space="preserve">The settlement violates Ohio law and numerous important </w:t>
        </w:r>
        <w:r w:rsidR="007C2259">
          <w:rPr>
            <w:rStyle w:val="Hyperlink"/>
            <w:noProof/>
          </w:rPr>
          <w:br/>
        </w:r>
        <w:r w:rsidRPr="009360CF" w:rsidR="007C2259">
          <w:rPr>
            <w:rStyle w:val="Hyperlink"/>
            <w:noProof/>
          </w:rPr>
          <w:t xml:space="preserve">regulatory principles and practices. The settling parties fail to </w:t>
        </w:r>
        <w:r w:rsidR="007C2259">
          <w:rPr>
            <w:rStyle w:val="Hyperlink"/>
            <w:noProof/>
          </w:rPr>
          <w:br/>
        </w:r>
        <w:r w:rsidRPr="009360CF" w:rsidR="007C2259">
          <w:rPr>
            <w:rStyle w:val="Hyperlink"/>
            <w:noProof/>
          </w:rPr>
          <w:t xml:space="preserve">demonstrate that the settlement satisfies prong three of the </w:t>
        </w:r>
        <w:r w:rsidR="007C2259">
          <w:rPr>
            <w:rStyle w:val="Hyperlink"/>
            <w:noProof/>
          </w:rPr>
          <w:br/>
        </w:r>
        <w:r w:rsidRPr="009360CF" w:rsidR="007C2259">
          <w:rPr>
            <w:rStyle w:val="Hyperlink"/>
            <w:noProof/>
          </w:rPr>
          <w:t>three-part settlement test.</w:t>
        </w:r>
        <w:r w:rsidR="007C2259">
          <w:rPr>
            <w:noProof/>
            <w:webHidden/>
          </w:rPr>
          <w:tab/>
        </w:r>
        <w:r w:rsidR="007C2259">
          <w:rPr>
            <w:noProof/>
            <w:webHidden/>
          </w:rPr>
          <w:fldChar w:fldCharType="begin"/>
        </w:r>
        <w:r w:rsidR="007C2259">
          <w:rPr>
            <w:noProof/>
            <w:webHidden/>
          </w:rPr>
          <w:instrText xml:space="preserve"> PAGEREF _Toc119331518 \h </w:instrText>
        </w:r>
        <w:r w:rsidR="007C2259">
          <w:rPr>
            <w:noProof/>
            <w:webHidden/>
          </w:rPr>
          <w:fldChar w:fldCharType="separate"/>
        </w:r>
        <w:r w:rsidR="007C2259">
          <w:rPr>
            <w:noProof/>
            <w:webHidden/>
          </w:rPr>
          <w:t>20</w:t>
        </w:r>
        <w:r w:rsidR="007C2259">
          <w:rPr>
            <w:noProof/>
            <w:webHidden/>
          </w:rPr>
          <w:fldChar w:fldCharType="end"/>
        </w:r>
      </w:hyperlink>
    </w:p>
    <w:p w:rsidR="00025E63" w14:paraId="09072453" w14:textId="74420383">
      <w:pPr>
        <w:pStyle w:val="TOC1"/>
        <w:rPr>
          <w:rFonts w:asciiTheme="minorHAnsi" w:eastAsiaTheme="minorEastAsia" w:hAnsiTheme="minorHAnsi" w:cstheme="minorBidi"/>
          <w:noProof/>
          <w:sz w:val="22"/>
          <w:szCs w:val="22"/>
          <w:lang w:bidi="ar-SA"/>
        </w:rPr>
      </w:pPr>
      <w:hyperlink w:anchor="_Toc119331519" w:history="1">
        <w:r w:rsidRPr="009360CF" w:rsidR="007C2259">
          <w:rPr>
            <w:rStyle w:val="Hyperlink"/>
            <w:noProof/>
          </w:rPr>
          <w:t>III.</w:t>
        </w:r>
        <w:r w:rsidR="007C2259">
          <w:rPr>
            <w:rFonts w:asciiTheme="minorHAnsi" w:eastAsiaTheme="minorEastAsia" w:hAnsiTheme="minorHAnsi" w:cstheme="minorBidi"/>
            <w:noProof/>
            <w:sz w:val="22"/>
            <w:szCs w:val="22"/>
            <w:lang w:bidi="ar-SA"/>
          </w:rPr>
          <w:tab/>
        </w:r>
        <w:r w:rsidRPr="009360CF" w:rsidR="007C2259">
          <w:rPr>
            <w:rStyle w:val="Hyperlink"/>
            <w:noProof/>
          </w:rPr>
          <w:t>CONCLUSION</w:t>
        </w:r>
        <w:r w:rsidR="007C2259">
          <w:rPr>
            <w:noProof/>
            <w:webHidden/>
          </w:rPr>
          <w:tab/>
        </w:r>
        <w:r w:rsidR="007C2259">
          <w:rPr>
            <w:noProof/>
            <w:webHidden/>
          </w:rPr>
          <w:fldChar w:fldCharType="begin"/>
        </w:r>
        <w:r w:rsidR="007C2259">
          <w:rPr>
            <w:noProof/>
            <w:webHidden/>
          </w:rPr>
          <w:instrText xml:space="preserve"> PAGEREF _Toc119331519 \h </w:instrText>
        </w:r>
        <w:r w:rsidR="007C2259">
          <w:rPr>
            <w:noProof/>
            <w:webHidden/>
          </w:rPr>
          <w:fldChar w:fldCharType="separate"/>
        </w:r>
        <w:r w:rsidR="007C2259">
          <w:rPr>
            <w:noProof/>
            <w:webHidden/>
          </w:rPr>
          <w:t>27</w:t>
        </w:r>
        <w:r w:rsidR="007C2259">
          <w:rPr>
            <w:noProof/>
            <w:webHidden/>
          </w:rPr>
          <w:fldChar w:fldCharType="end"/>
        </w:r>
      </w:hyperlink>
    </w:p>
    <w:p w:rsidR="00FD0F54" w:rsidRPr="007D4C6F" w:rsidP="00FD0F54" w14:paraId="549A73A8" w14:textId="720940B1">
      <w:pPr>
        <w:jc w:val="right"/>
        <w:rPr>
          <w:b/>
          <w:caps/>
          <w:lang w:eastAsia="ja-JP"/>
        </w:rPr>
      </w:pPr>
      <w:r w:rsidRPr="007D4C6F">
        <w:rPr>
          <w:b/>
          <w:bCs/>
        </w:rPr>
        <w:fldChar w:fldCharType="end"/>
      </w:r>
    </w:p>
    <w:p w:rsidR="00076489" w:rsidRPr="007D4C6F" w:rsidP="00A93A38" w14:paraId="0D8D2514" w14:textId="77777777">
      <w:pPr>
        <w:jc w:val="right"/>
        <w:rPr>
          <w:b/>
          <w:caps/>
          <w:lang w:eastAsia="ja-JP"/>
        </w:rPr>
        <w:sectPr w:rsidSect="000B6558">
          <w:headerReference w:type="even" r:id="rId10"/>
          <w:headerReference w:type="default" r:id="rId11"/>
          <w:headerReference w:type="first" r:id="rId12"/>
          <w:footerReference w:type="first" r:id="rId13"/>
          <w:pgSz w:w="12240" w:h="15840"/>
          <w:pgMar w:top="1440" w:right="1800" w:bottom="1440" w:left="1800" w:header="720" w:footer="720" w:gutter="0"/>
          <w:pgNumType w:fmt="lowerRoman" w:start="1"/>
          <w:cols w:space="720"/>
          <w:titlePg/>
          <w:docGrid w:linePitch="360"/>
        </w:sectPr>
      </w:pPr>
    </w:p>
    <w:p w:rsidR="00015657" w:rsidRPr="007D4C6F" w:rsidP="00A93A38" w14:paraId="2C8CE706" w14:textId="3C1F7648">
      <w:pPr>
        <w:jc w:val="center"/>
        <w:rPr>
          <w:b/>
        </w:rPr>
      </w:pPr>
      <w:r w:rsidRPr="007D4C6F">
        <w:rPr>
          <w:b/>
        </w:rPr>
        <w:t xml:space="preserve">BEFORE </w:t>
      </w:r>
    </w:p>
    <w:p w:rsidR="00015657" w:rsidRPr="007D4C6F" w:rsidP="00015657" w14:paraId="3487ACF8" w14:textId="77777777">
      <w:pPr>
        <w:jc w:val="center"/>
        <w:rPr>
          <w:b/>
        </w:rPr>
      </w:pPr>
      <w:r w:rsidRPr="007D4C6F">
        <w:rPr>
          <w:b/>
        </w:rPr>
        <w:t>THE PUBLIC UTILITIES COMMISSION OF OHIO</w:t>
      </w:r>
    </w:p>
    <w:p w:rsidR="00382E7B" w:rsidRPr="007D4C6F" w:rsidP="00015657" w14:paraId="54036D20" w14:textId="77777777">
      <w:pPr>
        <w:jc w:val="center"/>
        <w:rPr>
          <w:b/>
        </w:rPr>
      </w:pPr>
    </w:p>
    <w:tbl>
      <w:tblPr>
        <w:tblW w:w="8640" w:type="dxa"/>
        <w:tblLook w:val="01E0"/>
      </w:tblPr>
      <w:tblGrid>
        <w:gridCol w:w="4332"/>
        <w:gridCol w:w="360"/>
        <w:gridCol w:w="3948"/>
      </w:tblGrid>
      <w:tr w14:paraId="3982748E" w14:textId="77777777" w:rsidTr="00D26E0D">
        <w:tblPrEx>
          <w:tblW w:w="8640" w:type="dxa"/>
          <w:tblLook w:val="01E0"/>
        </w:tblPrEx>
        <w:trPr>
          <w:trHeight w:val="807"/>
        </w:trPr>
        <w:tc>
          <w:tcPr>
            <w:tcW w:w="4332" w:type="dxa"/>
            <w:shd w:val="clear" w:color="auto" w:fill="auto"/>
          </w:tcPr>
          <w:p w:rsidR="00382E7B" w:rsidRPr="007D4C6F" w:rsidP="00D26E0D" w14:paraId="227E45F5"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the Duke Energy Ohio, Inc., for an Increase in Electric Distribution Rates.</w:t>
            </w:r>
          </w:p>
          <w:p w:rsidR="00382E7B" w:rsidRPr="007D4C6F" w:rsidP="00D26E0D" w14:paraId="614E9FF8" w14:textId="77777777">
            <w:pPr>
              <w:pStyle w:val="HTMLPreformatted"/>
              <w:rPr>
                <w:rFonts w:ascii="Times New Roman" w:hAnsi="Times New Roman" w:cs="Times New Roman"/>
                <w:sz w:val="24"/>
                <w:szCs w:val="24"/>
              </w:rPr>
            </w:pPr>
          </w:p>
          <w:p w:rsidR="00382E7B" w:rsidRPr="007D4C6F" w:rsidP="00D26E0D" w14:paraId="205BD060"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Duke Energy Ohio, Inc., for Tariff Approval.</w:t>
            </w:r>
          </w:p>
          <w:p w:rsidR="00382E7B" w:rsidRPr="007D4C6F" w:rsidP="00D26E0D" w14:paraId="7D55C033" w14:textId="77777777">
            <w:pPr>
              <w:pStyle w:val="HTMLPreformatted"/>
              <w:rPr>
                <w:rFonts w:ascii="Times New Roman" w:hAnsi="Times New Roman" w:cs="Times New Roman"/>
                <w:sz w:val="24"/>
                <w:szCs w:val="24"/>
              </w:rPr>
            </w:pPr>
          </w:p>
          <w:p w:rsidR="00382E7B" w:rsidRPr="007D4C6F" w:rsidP="00D26E0D" w14:paraId="5DBB4FC0"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In the Matter of the Application of Duke Energy Inc., for Approval to Change Accounting Methods.</w:t>
            </w:r>
          </w:p>
        </w:tc>
        <w:tc>
          <w:tcPr>
            <w:tcW w:w="360" w:type="dxa"/>
            <w:shd w:val="clear" w:color="auto" w:fill="auto"/>
          </w:tcPr>
          <w:p w:rsidR="00382E7B" w:rsidRPr="007D4C6F" w:rsidP="00D26E0D" w14:paraId="75EF4FE3"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78D8C12E"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2E77FC85"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4C1F4911" w14:textId="77777777">
            <w:pPr>
              <w:pStyle w:val="HTMLPreformatted"/>
              <w:rPr>
                <w:rFonts w:ascii="Times New Roman" w:hAnsi="Times New Roman" w:cs="Times New Roman"/>
                <w:sz w:val="24"/>
                <w:szCs w:val="24"/>
              </w:rPr>
            </w:pPr>
          </w:p>
          <w:p w:rsidR="00382E7B" w:rsidRPr="007D4C6F" w:rsidP="00D26E0D" w14:paraId="6742E757"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0CB1F077"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2162C260" w14:textId="77777777">
            <w:pPr>
              <w:pStyle w:val="HTMLPreformatted"/>
              <w:rPr>
                <w:rFonts w:ascii="Times New Roman" w:hAnsi="Times New Roman" w:cs="Times New Roman"/>
                <w:sz w:val="24"/>
                <w:szCs w:val="24"/>
              </w:rPr>
            </w:pPr>
          </w:p>
          <w:p w:rsidR="00382E7B" w:rsidRPr="007D4C6F" w:rsidP="00D26E0D" w14:paraId="64C798BE"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583B8FE2"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p w:rsidR="00382E7B" w:rsidRPr="007D4C6F" w:rsidP="00D26E0D" w14:paraId="000BA94C"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w:t>
            </w:r>
          </w:p>
        </w:tc>
        <w:tc>
          <w:tcPr>
            <w:tcW w:w="3948" w:type="dxa"/>
            <w:shd w:val="clear" w:color="auto" w:fill="auto"/>
          </w:tcPr>
          <w:p w:rsidR="00382E7B" w:rsidRPr="007D4C6F" w:rsidP="00D26E0D" w14:paraId="5A6A7411" w14:textId="77777777">
            <w:pPr>
              <w:pStyle w:val="HTMLPreformatted"/>
              <w:rPr>
                <w:rFonts w:ascii="Times New Roman" w:hAnsi="Times New Roman" w:cs="Times New Roman"/>
                <w:sz w:val="24"/>
                <w:szCs w:val="24"/>
              </w:rPr>
            </w:pPr>
          </w:p>
          <w:p w:rsidR="00382E7B" w:rsidRPr="007D4C6F" w:rsidP="00D26E0D" w14:paraId="40F39781"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21-887-EL-AIR</w:t>
            </w:r>
          </w:p>
          <w:p w:rsidR="00382E7B" w:rsidRPr="007D4C6F" w:rsidP="00D26E0D" w14:paraId="5C08037B" w14:textId="77777777">
            <w:pPr>
              <w:pStyle w:val="HTMLPreformatted"/>
              <w:rPr>
                <w:rFonts w:ascii="Times New Roman" w:hAnsi="Times New Roman" w:cs="Times New Roman"/>
                <w:sz w:val="24"/>
                <w:szCs w:val="24"/>
              </w:rPr>
            </w:pPr>
          </w:p>
          <w:p w:rsidR="00382E7B" w:rsidRPr="007D4C6F" w:rsidP="00D26E0D" w14:paraId="3A7A7ACC" w14:textId="77777777">
            <w:pPr>
              <w:pStyle w:val="HTMLPreformatted"/>
              <w:rPr>
                <w:rFonts w:ascii="Times New Roman" w:hAnsi="Times New Roman" w:cs="Times New Roman"/>
                <w:sz w:val="24"/>
                <w:szCs w:val="24"/>
              </w:rPr>
            </w:pPr>
          </w:p>
          <w:p w:rsidR="00382E7B" w:rsidRPr="007D4C6F" w:rsidP="00D26E0D" w14:paraId="07C5BA48" w14:textId="77777777">
            <w:pPr>
              <w:pStyle w:val="HTMLPreformatted"/>
              <w:rPr>
                <w:rFonts w:ascii="Times New Roman" w:hAnsi="Times New Roman" w:cs="Times New Roman"/>
                <w:sz w:val="24"/>
                <w:szCs w:val="24"/>
              </w:rPr>
            </w:pPr>
          </w:p>
          <w:p w:rsidR="00382E7B" w:rsidRPr="007D4C6F" w:rsidP="00D26E0D" w14:paraId="47880B49"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21-888-EL-ATA</w:t>
            </w:r>
          </w:p>
          <w:p w:rsidR="00382E7B" w:rsidRPr="007D4C6F" w:rsidP="00D26E0D" w14:paraId="4925D306" w14:textId="77777777">
            <w:pPr>
              <w:pStyle w:val="HTMLPreformatted"/>
              <w:rPr>
                <w:rFonts w:ascii="Times New Roman" w:hAnsi="Times New Roman" w:cs="Times New Roman"/>
                <w:sz w:val="24"/>
                <w:szCs w:val="24"/>
              </w:rPr>
            </w:pPr>
          </w:p>
          <w:p w:rsidR="00382E7B" w:rsidRPr="007D4C6F" w:rsidP="00D26E0D" w14:paraId="4B1D6F69" w14:textId="77777777">
            <w:pPr>
              <w:pStyle w:val="HTMLPreformatted"/>
              <w:rPr>
                <w:rFonts w:ascii="Times New Roman" w:hAnsi="Times New Roman" w:cs="Times New Roman"/>
                <w:sz w:val="24"/>
                <w:szCs w:val="24"/>
              </w:rPr>
            </w:pPr>
          </w:p>
          <w:p w:rsidR="00382E7B" w:rsidRPr="007D4C6F" w:rsidP="00D26E0D" w14:paraId="4347EE01" w14:textId="77777777">
            <w:pPr>
              <w:pStyle w:val="HTMLPreformatted"/>
              <w:rPr>
                <w:rFonts w:ascii="Times New Roman" w:hAnsi="Times New Roman" w:cs="Times New Roman"/>
                <w:sz w:val="24"/>
                <w:szCs w:val="24"/>
              </w:rPr>
            </w:pPr>
            <w:r w:rsidRPr="007D4C6F">
              <w:rPr>
                <w:rFonts w:ascii="Times New Roman" w:hAnsi="Times New Roman" w:cs="Times New Roman"/>
                <w:sz w:val="24"/>
                <w:szCs w:val="24"/>
              </w:rPr>
              <w:t>Case No. 21-889-EL-AAM</w:t>
            </w:r>
          </w:p>
        </w:tc>
      </w:tr>
    </w:tbl>
    <w:p w:rsidR="00015657" w:rsidRPr="007D4C6F" w:rsidP="00015657" w14:paraId="5CBE3D68" w14:textId="77777777">
      <w:pPr>
        <w:rPr>
          <w:b/>
        </w:rPr>
      </w:pPr>
    </w:p>
    <w:p w:rsidR="00015657" w:rsidRPr="007D4C6F" w:rsidP="00015657" w14:paraId="0946A61C" w14:textId="77777777">
      <w:pPr>
        <w:pBdr>
          <w:top w:val="single" w:sz="12" w:space="0" w:color="auto"/>
        </w:pBdr>
        <w:tabs>
          <w:tab w:val="left" w:pos="-720"/>
        </w:tabs>
        <w:suppressAutoHyphens/>
        <w:jc w:val="center"/>
        <w:rPr>
          <w:b/>
          <w:bCs/>
        </w:rPr>
      </w:pPr>
    </w:p>
    <w:p w:rsidR="00D7291B" w:rsidRPr="007D4C6F" w:rsidP="00D7291B" w14:paraId="765F4627" w14:textId="0E59A356">
      <w:pPr>
        <w:tabs>
          <w:tab w:val="left" w:pos="4770"/>
          <w:tab w:val="left" w:pos="6480"/>
        </w:tabs>
        <w:jc w:val="center"/>
        <w:rPr>
          <w:b/>
        </w:rPr>
      </w:pPr>
      <w:r w:rsidRPr="007D4C6F">
        <w:rPr>
          <w:b/>
        </w:rPr>
        <w:t xml:space="preserve">REPLY </w:t>
      </w:r>
      <w:r w:rsidRPr="007D4C6F" w:rsidR="00C73DA6">
        <w:rPr>
          <w:b/>
        </w:rPr>
        <w:t>BRIEF FOR CONSUMER PROTECTION</w:t>
      </w:r>
    </w:p>
    <w:p w:rsidR="00D7291B" w:rsidRPr="007D4C6F" w:rsidP="00D7291B" w14:paraId="40133909" w14:textId="77777777">
      <w:pPr>
        <w:tabs>
          <w:tab w:val="left" w:pos="4770"/>
          <w:tab w:val="left" w:pos="6480"/>
        </w:tabs>
        <w:jc w:val="center"/>
        <w:rPr>
          <w:b/>
        </w:rPr>
      </w:pPr>
      <w:r w:rsidRPr="007D4C6F">
        <w:rPr>
          <w:b/>
        </w:rPr>
        <w:t>BY</w:t>
      </w:r>
    </w:p>
    <w:p w:rsidR="00D7291B" w:rsidRPr="007D4C6F" w:rsidP="00D7291B" w14:paraId="3C7FD347" w14:textId="77777777">
      <w:pPr>
        <w:tabs>
          <w:tab w:val="left" w:pos="4770"/>
          <w:tab w:val="left" w:pos="6480"/>
        </w:tabs>
        <w:jc w:val="center"/>
        <w:rPr>
          <w:b/>
        </w:rPr>
      </w:pPr>
      <w:r w:rsidRPr="007D4C6F">
        <w:rPr>
          <w:b/>
        </w:rPr>
        <w:t>OFFICE OF THE OHIO CONSUMERS’ COUNSEL</w:t>
      </w:r>
    </w:p>
    <w:p w:rsidR="00015657" w:rsidRPr="007D4C6F" w:rsidP="00015657" w14:paraId="0ED92FCD" w14:textId="77777777">
      <w:pPr>
        <w:pBdr>
          <w:bottom w:val="single" w:sz="12" w:space="1" w:color="auto"/>
        </w:pBdr>
        <w:tabs>
          <w:tab w:val="left" w:pos="-720"/>
        </w:tabs>
        <w:suppressAutoHyphens/>
        <w:jc w:val="center"/>
        <w:rPr>
          <w:b/>
          <w:bCs/>
        </w:rPr>
      </w:pPr>
    </w:p>
    <w:p w:rsidR="00525001" w:rsidRPr="007D4C6F" w:rsidP="00525001" w14:paraId="3D0B7941" w14:textId="77777777">
      <w:pPr>
        <w:tabs>
          <w:tab w:val="left" w:pos="4770"/>
          <w:tab w:val="left" w:pos="6480"/>
        </w:tabs>
        <w:rPr>
          <w:b/>
          <w:u w:val="single"/>
        </w:rPr>
      </w:pPr>
    </w:p>
    <w:p w:rsidR="00EE52DC" w:rsidRPr="007D4C6F" w:rsidP="00344215" w14:paraId="5A21BDFE" w14:textId="00B59DD7">
      <w:pPr>
        <w:pStyle w:val="Heading1"/>
      </w:pPr>
      <w:bookmarkStart w:id="0" w:name="_Toc2936384"/>
      <w:bookmarkStart w:id="1" w:name="_Toc102143385"/>
      <w:bookmarkStart w:id="2" w:name="_Toc102143556"/>
      <w:bookmarkStart w:id="3" w:name="_Toc106717605"/>
      <w:bookmarkStart w:id="4" w:name="_Toc118121832"/>
      <w:bookmarkStart w:id="5" w:name="_Toc119331510"/>
      <w:r w:rsidRPr="007D4C6F">
        <w:t>INTRODUCTION</w:t>
      </w:r>
      <w:bookmarkEnd w:id="0"/>
      <w:bookmarkEnd w:id="1"/>
      <w:bookmarkEnd w:id="2"/>
      <w:bookmarkEnd w:id="3"/>
      <w:bookmarkEnd w:id="4"/>
      <w:bookmarkEnd w:id="5"/>
    </w:p>
    <w:p w:rsidR="006A3A48" w:rsidRPr="007D4C6F" w:rsidP="00825D73" w14:paraId="50138A7E" w14:textId="44984276">
      <w:pPr>
        <w:spacing w:line="480" w:lineRule="auto"/>
        <w:ind w:firstLine="720"/>
      </w:pPr>
      <w:r w:rsidRPr="007D4C6F">
        <w:t>Du</w:t>
      </w:r>
      <w:r w:rsidRPr="007D4C6F" w:rsidR="00912264">
        <w:t>ke</w:t>
      </w:r>
      <w:r w:rsidRPr="007D4C6F" w:rsidR="00BF4FA5">
        <w:t>, the PUCO Staff,</w:t>
      </w:r>
      <w:r w:rsidRPr="007D4C6F" w:rsidR="00912264">
        <w:t xml:space="preserve"> and other s</w:t>
      </w:r>
      <w:r w:rsidRPr="007D4C6F" w:rsidR="00BF4FA5">
        <w:t>ettling</w:t>
      </w:r>
      <w:r w:rsidRPr="007D4C6F" w:rsidR="00694088">
        <w:t xml:space="preserve"> </w:t>
      </w:r>
      <w:r w:rsidRPr="007D4C6F" w:rsidR="00912264">
        <w:t xml:space="preserve">parties urge the PUCO to approve </w:t>
      </w:r>
      <w:r w:rsidRPr="007D4C6F" w:rsidR="00BF4FA5">
        <w:t xml:space="preserve">the </w:t>
      </w:r>
      <w:r w:rsidRPr="007D4C6F" w:rsidR="00912264">
        <w:t>settlement</w:t>
      </w:r>
      <w:r w:rsidRPr="007D4C6F" w:rsidR="00BF4FA5">
        <w:t xml:space="preserve"> regarding Duke</w:t>
      </w:r>
      <w:r w:rsidRPr="007D4C6F" w:rsidR="00694088">
        <w:t>’s rate increase</w:t>
      </w:r>
      <w:r w:rsidRPr="007D4C6F" w:rsidR="00BF4FA5">
        <w:t>.</w:t>
      </w:r>
      <w:r w:rsidRPr="007D4C6F" w:rsidR="00912264">
        <w:t xml:space="preserve"> OCC opposes</w:t>
      </w:r>
      <w:r w:rsidRPr="007D4C6F" w:rsidR="00BF4FA5">
        <w:t xml:space="preserve"> the settlement because it</w:t>
      </w:r>
      <w:r w:rsidRPr="007D4C6F" w:rsidR="00694088">
        <w:t xml:space="preserve"> is a bad deal for Duke’s residential consumers. The settlement</w:t>
      </w:r>
      <w:r w:rsidRPr="007D4C6F" w:rsidR="00BF4FA5">
        <w:t xml:space="preserve"> would harm Duke’s residential consumers at a time when they are already </w:t>
      </w:r>
      <w:r w:rsidRPr="007D4C6F" w:rsidR="00C50C85">
        <w:t xml:space="preserve">vulnerable to </w:t>
      </w:r>
      <w:r w:rsidRPr="007D4C6F" w:rsidR="00BF4FA5">
        <w:t xml:space="preserve">soaring energy </w:t>
      </w:r>
      <w:r w:rsidRPr="007D4C6F" w:rsidR="000D256D">
        <w:t>prices</w:t>
      </w:r>
      <w:r w:rsidRPr="007D4C6F" w:rsidR="00BF4FA5">
        <w:t>, inflation, and a possible recession.</w:t>
      </w:r>
      <w:r w:rsidRPr="007D4C6F" w:rsidR="00985446">
        <w:t xml:space="preserve"> The settlement </w:t>
      </w:r>
      <w:r w:rsidRPr="007D4C6F" w:rsidR="00694088">
        <w:t>fails to satisfy each of the three prongs of the PUCO’s settlement test and it should be rejected</w:t>
      </w:r>
      <w:r w:rsidRPr="007D4C6F" w:rsidR="00C73DA6">
        <w:t xml:space="preserve">. The PUCO should instead </w:t>
      </w:r>
      <w:r w:rsidRPr="007D4C6F" w:rsidR="0099761F">
        <w:t xml:space="preserve">resolve Duke’s rate case issues in a way that is fair </w:t>
      </w:r>
      <w:r w:rsidRPr="007D4C6F" w:rsidR="00694088">
        <w:t>and protects</w:t>
      </w:r>
      <w:r w:rsidRPr="007D4C6F" w:rsidR="0099761F">
        <w:t xml:space="preserve"> </w:t>
      </w:r>
      <w:r w:rsidRPr="007D4C6F" w:rsidR="0099761F">
        <w:rPr>
          <w:i/>
          <w:iCs/>
        </w:rPr>
        <w:t xml:space="preserve">all </w:t>
      </w:r>
      <w:r w:rsidRPr="007D4C6F" w:rsidR="0099761F">
        <w:t xml:space="preserve">of Duke’s </w:t>
      </w:r>
      <w:r w:rsidRPr="007D4C6F" w:rsidR="00F21CBC">
        <w:t xml:space="preserve">residential </w:t>
      </w:r>
      <w:r w:rsidRPr="007D4C6F" w:rsidR="0099761F">
        <w:t>consumers</w:t>
      </w:r>
      <w:r w:rsidRPr="007D4C6F" w:rsidR="00F21CBC">
        <w:t xml:space="preserve">. That </w:t>
      </w:r>
      <w:r w:rsidRPr="007D4C6F" w:rsidR="003C1F84">
        <w:t xml:space="preserve">should </w:t>
      </w:r>
      <w:r w:rsidRPr="007D4C6F" w:rsidR="00F21CBC">
        <w:t xml:space="preserve">include </w:t>
      </w:r>
      <w:r w:rsidRPr="007D4C6F" w:rsidR="00066578">
        <w:t xml:space="preserve">OCC’s recommendations </w:t>
      </w:r>
      <w:r w:rsidRPr="007D4C6F" w:rsidR="00F21CBC">
        <w:t xml:space="preserve">on allocations, </w:t>
      </w:r>
      <w:r w:rsidRPr="007D4C6F" w:rsidR="00066578">
        <w:t>adequate reliability of service, bill-payment assistance for at-risk people, and protections from electricity marketing</w:t>
      </w:r>
      <w:r w:rsidRPr="007D4C6F" w:rsidR="0099761F">
        <w:t xml:space="preserve">. </w:t>
      </w:r>
      <w:r w:rsidRPr="007D4C6F" w:rsidR="00F21CBC">
        <w:t xml:space="preserve">The </w:t>
      </w:r>
      <w:r w:rsidRPr="007D4C6F" w:rsidR="003C1F84">
        <w:t xml:space="preserve">settlement’s denial of bill-payment assistance for Duke consumers in the many localities outside of Cincinnati is discriminatory in violation of R.C. 4928.02(A), </w:t>
      </w:r>
      <w:r w:rsidRPr="007D4C6F" w:rsidR="003C1F84">
        <w:rPr>
          <w:i/>
          <w:iCs/>
        </w:rPr>
        <w:t>as those people matter too.</w:t>
      </w:r>
    </w:p>
    <w:p w:rsidR="001E0562" w:rsidRPr="007D4C6F" w:rsidP="00344215" w14:paraId="15BEFD2C" w14:textId="7587D99A">
      <w:pPr>
        <w:pStyle w:val="Heading1"/>
        <w:rPr>
          <w:lang w:bidi="ar-SA"/>
        </w:rPr>
      </w:pPr>
      <w:bookmarkStart w:id="6" w:name="_Toc119331511"/>
      <w:r w:rsidRPr="007D4C6F">
        <w:rPr>
          <w:lang w:bidi="ar-SA"/>
        </w:rPr>
        <w:t>ARGUMENT</w:t>
      </w:r>
      <w:bookmarkEnd w:id="6"/>
    </w:p>
    <w:p w:rsidR="006A3A48" w:rsidRPr="007D4C6F" w:rsidP="000209DC" w14:paraId="33070A4D" w14:textId="06BFBAD7">
      <w:pPr>
        <w:pStyle w:val="BodyTextIndent3"/>
        <w:widowControl w:val="0"/>
        <w:spacing w:after="0" w:line="480" w:lineRule="auto"/>
        <w:ind w:left="0" w:firstLine="720"/>
        <w:rPr>
          <w:b/>
          <w:bCs/>
          <w:sz w:val="24"/>
          <w:szCs w:val="24"/>
          <w:lang w:bidi="ar-SA"/>
        </w:rPr>
      </w:pPr>
      <w:r w:rsidRPr="007D4C6F">
        <w:rPr>
          <w:sz w:val="24"/>
          <w:szCs w:val="24"/>
        </w:rPr>
        <w:t xml:space="preserve">OCC filed an initial brief </w:t>
      </w:r>
      <w:r w:rsidRPr="007D4C6F" w:rsidR="00E75F49">
        <w:rPr>
          <w:sz w:val="24"/>
          <w:szCs w:val="24"/>
        </w:rPr>
        <w:t xml:space="preserve">to </w:t>
      </w:r>
      <w:r w:rsidRPr="007D4C6F">
        <w:rPr>
          <w:sz w:val="24"/>
          <w:szCs w:val="24"/>
        </w:rPr>
        <w:t xml:space="preserve">explain why the PUCO should reject the settlement and adopt OCC’s recommendations. </w:t>
      </w:r>
      <w:r w:rsidRPr="007D4C6F" w:rsidR="00DC2488">
        <w:rPr>
          <w:sz w:val="24"/>
          <w:szCs w:val="24"/>
        </w:rPr>
        <w:t>Duke, the PUCO Staff, and</w:t>
      </w:r>
      <w:r w:rsidRPr="007D4C6F" w:rsidR="008C2C47">
        <w:rPr>
          <w:sz w:val="24"/>
          <w:szCs w:val="24"/>
        </w:rPr>
        <w:t xml:space="preserve"> certain</w:t>
      </w:r>
      <w:r w:rsidRPr="007D4C6F" w:rsidR="00DC2488">
        <w:rPr>
          <w:sz w:val="24"/>
          <w:szCs w:val="24"/>
        </w:rPr>
        <w:t xml:space="preserve"> settling </w:t>
      </w:r>
      <w:r w:rsidRPr="007D4C6F">
        <w:rPr>
          <w:sz w:val="24"/>
          <w:szCs w:val="24"/>
        </w:rPr>
        <w:t xml:space="preserve">and non-opposing </w:t>
      </w:r>
      <w:r w:rsidRPr="007D4C6F" w:rsidR="00DC2488">
        <w:rPr>
          <w:sz w:val="24"/>
          <w:szCs w:val="24"/>
        </w:rPr>
        <w:t xml:space="preserve">parties </w:t>
      </w:r>
      <w:r w:rsidRPr="007D4C6F" w:rsidR="008C2C47">
        <w:rPr>
          <w:sz w:val="24"/>
          <w:szCs w:val="24"/>
        </w:rPr>
        <w:t>fil</w:t>
      </w:r>
      <w:r w:rsidRPr="007D4C6F" w:rsidR="009C6399">
        <w:rPr>
          <w:sz w:val="24"/>
          <w:szCs w:val="24"/>
        </w:rPr>
        <w:t>ed</w:t>
      </w:r>
      <w:r w:rsidRPr="007D4C6F" w:rsidR="008C2C47">
        <w:rPr>
          <w:sz w:val="24"/>
          <w:szCs w:val="24"/>
        </w:rPr>
        <w:t xml:space="preserve"> initial briefs arguing</w:t>
      </w:r>
      <w:r w:rsidRPr="007D4C6F" w:rsidR="00DC2488">
        <w:rPr>
          <w:sz w:val="24"/>
          <w:szCs w:val="24"/>
        </w:rPr>
        <w:t xml:space="preserve"> that the </w:t>
      </w:r>
      <w:r w:rsidRPr="007D4C6F" w:rsidR="009C6399">
        <w:rPr>
          <w:sz w:val="24"/>
          <w:szCs w:val="24"/>
        </w:rPr>
        <w:t xml:space="preserve">settlement satisfies the </w:t>
      </w:r>
      <w:r w:rsidRPr="007D4C6F">
        <w:rPr>
          <w:sz w:val="24"/>
          <w:szCs w:val="24"/>
        </w:rPr>
        <w:t xml:space="preserve">PUCO’s </w:t>
      </w:r>
      <w:r w:rsidRPr="007D4C6F" w:rsidR="009C6399">
        <w:rPr>
          <w:sz w:val="24"/>
          <w:szCs w:val="24"/>
        </w:rPr>
        <w:t>three-part settlement test</w:t>
      </w:r>
      <w:r w:rsidRPr="007D4C6F" w:rsidR="00043B27">
        <w:rPr>
          <w:sz w:val="24"/>
          <w:szCs w:val="24"/>
        </w:rPr>
        <w:t>.</w:t>
      </w:r>
      <w:r>
        <w:rPr>
          <w:rStyle w:val="FootnoteReference"/>
          <w:sz w:val="24"/>
          <w:szCs w:val="24"/>
        </w:rPr>
        <w:footnoteReference w:id="3"/>
      </w:r>
      <w:r w:rsidRPr="007D4C6F" w:rsidR="008C2C47">
        <w:rPr>
          <w:sz w:val="24"/>
          <w:szCs w:val="24"/>
        </w:rPr>
        <w:t xml:space="preserve"> They are wrong. </w:t>
      </w:r>
      <w:r w:rsidRPr="007D4C6F" w:rsidR="00825D73">
        <w:rPr>
          <w:sz w:val="24"/>
          <w:szCs w:val="24"/>
        </w:rPr>
        <w:t xml:space="preserve">These </w:t>
      </w:r>
      <w:r w:rsidRPr="007D4C6F" w:rsidR="002846EF">
        <w:rPr>
          <w:sz w:val="24"/>
          <w:szCs w:val="24"/>
        </w:rPr>
        <w:t>parties essentially argue that the</w:t>
      </w:r>
      <w:r w:rsidRPr="007D4C6F" w:rsidR="009C6399">
        <w:rPr>
          <w:sz w:val="24"/>
          <w:szCs w:val="24"/>
        </w:rPr>
        <w:t xml:space="preserve"> PUCO should approve the settlement because</w:t>
      </w:r>
      <w:r w:rsidRPr="007D4C6F" w:rsidR="008C2C47">
        <w:rPr>
          <w:sz w:val="24"/>
          <w:szCs w:val="24"/>
        </w:rPr>
        <w:t>:</w:t>
      </w:r>
      <w:r w:rsidRPr="007D4C6F" w:rsidR="00DC2488">
        <w:rPr>
          <w:sz w:val="24"/>
          <w:szCs w:val="24"/>
        </w:rPr>
        <w:t xml:space="preserve"> </w:t>
      </w:r>
      <w:r w:rsidRPr="007D4C6F">
        <w:rPr>
          <w:sz w:val="24"/>
          <w:szCs w:val="24"/>
        </w:rPr>
        <w:t>(</w:t>
      </w:r>
      <w:r w:rsidRPr="007D4C6F" w:rsidR="00DC2488">
        <w:rPr>
          <w:sz w:val="24"/>
          <w:szCs w:val="24"/>
        </w:rPr>
        <w:t>1</w:t>
      </w:r>
      <w:r w:rsidRPr="007D4C6F">
        <w:rPr>
          <w:sz w:val="24"/>
          <w:szCs w:val="24"/>
        </w:rPr>
        <w:t>)</w:t>
      </w:r>
      <w:r w:rsidRPr="007D4C6F" w:rsidR="00DC2488">
        <w:rPr>
          <w:sz w:val="24"/>
          <w:szCs w:val="24"/>
        </w:rPr>
        <w:t xml:space="preserve"> Duke held settlement meetings where OCC</w:t>
      </w:r>
      <w:r w:rsidRPr="007D4C6F" w:rsidR="002846EF">
        <w:rPr>
          <w:sz w:val="24"/>
          <w:szCs w:val="24"/>
        </w:rPr>
        <w:t xml:space="preserve"> was</w:t>
      </w:r>
      <w:r w:rsidRPr="007D4C6F" w:rsidR="00DC2488">
        <w:rPr>
          <w:sz w:val="24"/>
          <w:szCs w:val="24"/>
        </w:rPr>
        <w:t xml:space="preserve"> invited to participate;</w:t>
      </w:r>
      <w:r>
        <w:rPr>
          <w:rStyle w:val="FootnoteReference"/>
          <w:sz w:val="24"/>
          <w:szCs w:val="24"/>
        </w:rPr>
        <w:footnoteReference w:id="4"/>
      </w:r>
      <w:r w:rsidRPr="007D4C6F" w:rsidR="00DC2488">
        <w:rPr>
          <w:sz w:val="24"/>
          <w:szCs w:val="24"/>
        </w:rPr>
        <w:t xml:space="preserve"> </w:t>
      </w:r>
      <w:r w:rsidRPr="007D4C6F">
        <w:rPr>
          <w:sz w:val="24"/>
          <w:szCs w:val="24"/>
        </w:rPr>
        <w:t>(</w:t>
      </w:r>
      <w:r w:rsidRPr="007D4C6F" w:rsidR="00DC2488">
        <w:rPr>
          <w:sz w:val="24"/>
          <w:szCs w:val="24"/>
        </w:rPr>
        <w:t>2</w:t>
      </w:r>
      <w:r w:rsidRPr="007D4C6F">
        <w:rPr>
          <w:sz w:val="24"/>
          <w:szCs w:val="24"/>
        </w:rPr>
        <w:t>)</w:t>
      </w:r>
      <w:r w:rsidRPr="007D4C6F" w:rsidR="00DC2488">
        <w:rPr>
          <w:sz w:val="24"/>
          <w:szCs w:val="24"/>
        </w:rPr>
        <w:t xml:space="preserve"> </w:t>
      </w:r>
      <w:r w:rsidRPr="007D4C6F" w:rsidR="002846EF">
        <w:rPr>
          <w:sz w:val="24"/>
          <w:szCs w:val="24"/>
        </w:rPr>
        <w:t xml:space="preserve">the settlement </w:t>
      </w:r>
      <w:r w:rsidRPr="007D4C6F" w:rsidR="00C03889">
        <w:rPr>
          <w:sz w:val="24"/>
          <w:szCs w:val="24"/>
        </w:rPr>
        <w:t>gives Duke</w:t>
      </w:r>
      <w:r w:rsidRPr="007D4C6F" w:rsidR="00DC2488">
        <w:rPr>
          <w:sz w:val="24"/>
          <w:szCs w:val="24"/>
        </w:rPr>
        <w:t xml:space="preserve"> </w:t>
      </w:r>
      <w:r w:rsidRPr="007D4C6F" w:rsidR="009C6399">
        <w:rPr>
          <w:sz w:val="24"/>
          <w:szCs w:val="24"/>
        </w:rPr>
        <w:t xml:space="preserve">a lower rate increase than what </w:t>
      </w:r>
      <w:r w:rsidRPr="007D4C6F" w:rsidR="00C03889">
        <w:rPr>
          <w:sz w:val="24"/>
          <w:szCs w:val="24"/>
        </w:rPr>
        <w:t>was</w:t>
      </w:r>
      <w:r w:rsidRPr="007D4C6F" w:rsidR="009C6399">
        <w:rPr>
          <w:sz w:val="24"/>
          <w:szCs w:val="24"/>
        </w:rPr>
        <w:t xml:space="preserve"> </w:t>
      </w:r>
      <w:r w:rsidRPr="007D4C6F" w:rsidR="00DC2488">
        <w:rPr>
          <w:sz w:val="24"/>
          <w:szCs w:val="24"/>
        </w:rPr>
        <w:t>initially requested in its application;</w:t>
      </w:r>
      <w:r>
        <w:rPr>
          <w:rStyle w:val="FootnoteReference"/>
          <w:sz w:val="24"/>
          <w:szCs w:val="24"/>
        </w:rPr>
        <w:footnoteReference w:id="5"/>
      </w:r>
      <w:r w:rsidRPr="007D4C6F" w:rsidR="00DC2488">
        <w:rPr>
          <w:sz w:val="24"/>
          <w:szCs w:val="24"/>
        </w:rPr>
        <w:t xml:space="preserve"> and </w:t>
      </w:r>
      <w:r w:rsidRPr="007D4C6F">
        <w:rPr>
          <w:sz w:val="24"/>
          <w:szCs w:val="24"/>
        </w:rPr>
        <w:t>(</w:t>
      </w:r>
      <w:r w:rsidRPr="007D4C6F" w:rsidR="00DC2488">
        <w:rPr>
          <w:sz w:val="24"/>
          <w:szCs w:val="24"/>
        </w:rPr>
        <w:t>3</w:t>
      </w:r>
      <w:r w:rsidRPr="007D4C6F">
        <w:rPr>
          <w:sz w:val="24"/>
          <w:szCs w:val="24"/>
        </w:rPr>
        <w:t>)</w:t>
      </w:r>
      <w:r w:rsidRPr="007D4C6F" w:rsidR="00DC2488">
        <w:rPr>
          <w:sz w:val="24"/>
          <w:szCs w:val="24"/>
        </w:rPr>
        <w:t xml:space="preserve"> OCC </w:t>
      </w:r>
      <w:r w:rsidRPr="007D4C6F" w:rsidR="00FE5A4C">
        <w:rPr>
          <w:sz w:val="24"/>
          <w:szCs w:val="24"/>
        </w:rPr>
        <w:t xml:space="preserve">is </w:t>
      </w:r>
      <w:r w:rsidRPr="007D4C6F" w:rsidR="00DC2488">
        <w:rPr>
          <w:sz w:val="24"/>
          <w:szCs w:val="24"/>
        </w:rPr>
        <w:t>the only party to</w:t>
      </w:r>
      <w:r w:rsidRPr="007D4C6F" w:rsidR="00FE5A4C">
        <w:rPr>
          <w:sz w:val="24"/>
          <w:szCs w:val="24"/>
        </w:rPr>
        <w:t xml:space="preserve"> oppose</w:t>
      </w:r>
      <w:r w:rsidRPr="007D4C6F" w:rsidR="00DC2488">
        <w:rPr>
          <w:sz w:val="24"/>
          <w:szCs w:val="24"/>
        </w:rPr>
        <w:t xml:space="preserve"> the settlement.</w:t>
      </w:r>
      <w:r>
        <w:rPr>
          <w:rStyle w:val="FootnoteReference"/>
          <w:sz w:val="24"/>
          <w:szCs w:val="24"/>
        </w:rPr>
        <w:footnoteReference w:id="6"/>
      </w:r>
      <w:r w:rsidRPr="007D4C6F" w:rsidR="00DC2488">
        <w:rPr>
          <w:sz w:val="24"/>
          <w:szCs w:val="24"/>
        </w:rPr>
        <w:t xml:space="preserve"> </w:t>
      </w:r>
      <w:r w:rsidRPr="007D4C6F" w:rsidR="00773FC4">
        <w:rPr>
          <w:sz w:val="24"/>
          <w:szCs w:val="24"/>
        </w:rPr>
        <w:t>These</w:t>
      </w:r>
      <w:r w:rsidRPr="007D4C6F" w:rsidR="00C03889">
        <w:rPr>
          <w:sz w:val="24"/>
          <w:szCs w:val="24"/>
        </w:rPr>
        <w:t xml:space="preserve"> </w:t>
      </w:r>
      <w:r w:rsidRPr="007D4C6F" w:rsidR="00773FC4">
        <w:rPr>
          <w:sz w:val="24"/>
          <w:szCs w:val="24"/>
        </w:rPr>
        <w:t xml:space="preserve">arguments </w:t>
      </w:r>
      <w:r w:rsidRPr="007D4C6F" w:rsidR="00A21ADE">
        <w:rPr>
          <w:sz w:val="24"/>
          <w:szCs w:val="24"/>
        </w:rPr>
        <w:t>fall short of the PUCO’s standards for approving settlements</w:t>
      </w:r>
      <w:r w:rsidRPr="007D4C6F" w:rsidR="009C6399">
        <w:rPr>
          <w:sz w:val="24"/>
          <w:szCs w:val="24"/>
        </w:rPr>
        <w:t>.</w:t>
      </w:r>
      <w:r w:rsidRPr="007D4C6F" w:rsidR="00773FC4">
        <w:rPr>
          <w:sz w:val="24"/>
          <w:szCs w:val="24"/>
        </w:rPr>
        <w:t xml:space="preserve"> </w:t>
      </w:r>
    </w:p>
    <w:p w:rsidR="001F2E9C" w:rsidRPr="007D4C6F" w:rsidP="00D16A72" w14:paraId="30416054" w14:textId="759311A7">
      <w:pPr>
        <w:pStyle w:val="Heading2"/>
      </w:pPr>
      <w:bookmarkStart w:id="7" w:name="_Toc119331512"/>
      <w:r w:rsidRPr="007D4C6F">
        <w:t>A.</w:t>
      </w:r>
      <w:r w:rsidRPr="007D4C6F">
        <w:tab/>
      </w:r>
      <w:r w:rsidRPr="007D4C6F" w:rsidR="00530890">
        <w:t>The settlement lacked the serious bargaining needed to meet the PUCO’s test, including a lack of</w:t>
      </w:r>
      <w:r w:rsidRPr="007D4C6F" w:rsidR="00E52277">
        <w:t xml:space="preserve"> serious </w:t>
      </w:r>
      <w:r w:rsidRPr="007D4C6F" w:rsidR="00C03889">
        <w:t>bargain</w:t>
      </w:r>
      <w:r w:rsidRPr="007D4C6F" w:rsidR="00530890">
        <w:t>ing</w:t>
      </w:r>
      <w:r w:rsidRPr="007D4C6F" w:rsidR="00E52277">
        <w:t xml:space="preserve"> </w:t>
      </w:r>
      <w:r w:rsidRPr="007D4C6F">
        <w:t>with OCC, the only party that represents the broad</w:t>
      </w:r>
      <w:r w:rsidRPr="007D4C6F" w:rsidR="002A5596">
        <w:t xml:space="preserve"> consumer</w:t>
      </w:r>
      <w:r w:rsidRPr="007D4C6F">
        <w:t xml:space="preserve"> interests of </w:t>
      </w:r>
      <w:r w:rsidRPr="007D4C6F">
        <w:rPr>
          <w:i/>
        </w:rPr>
        <w:t>all</w:t>
      </w:r>
      <w:r w:rsidRPr="007D4C6F">
        <w:t xml:space="preserve"> residential consumers</w:t>
      </w:r>
      <w:r w:rsidRPr="007D4C6F" w:rsidR="00E52277">
        <w:t xml:space="preserve"> who </w:t>
      </w:r>
      <w:r w:rsidRPr="007D4C6F" w:rsidR="00C03889">
        <w:t>are</w:t>
      </w:r>
      <w:r w:rsidRPr="007D4C6F" w:rsidR="00E52277">
        <w:t xml:space="preserve"> allocated 92.4% of Duke’s rate increase under the settlement</w:t>
      </w:r>
      <w:r w:rsidRPr="007D4C6F">
        <w:t>.</w:t>
      </w:r>
      <w:bookmarkEnd w:id="7"/>
      <w:r w:rsidRPr="007D4C6F">
        <w:t xml:space="preserve"> </w:t>
      </w:r>
    </w:p>
    <w:p w:rsidR="002740DD" w:rsidRPr="007D4C6F" w:rsidP="002740DD" w14:paraId="7DFEFB26" w14:textId="3B0A9481">
      <w:pPr>
        <w:spacing w:line="480" w:lineRule="auto"/>
        <w:ind w:firstLine="720"/>
      </w:pPr>
      <w:r w:rsidRPr="007D4C6F">
        <w:t xml:space="preserve">The parties argue that the settlement satisfies the first prong of the PUCO’s three-part test to evaluate settlements. It doesn’t. </w:t>
      </w:r>
      <w:r w:rsidRPr="007D4C6F" w:rsidR="00530890">
        <w:t>The settlement lacked the serious bargaining needed to meet the PUCO’s test, including a lack of serious bargaining with OCC (the only party that represents the broad</w:t>
      </w:r>
      <w:r w:rsidRPr="007D4C6F" w:rsidR="002A5596">
        <w:t xml:space="preserve"> consumer</w:t>
      </w:r>
      <w:r w:rsidRPr="007D4C6F" w:rsidR="00530890">
        <w:t xml:space="preserve"> interests of </w:t>
      </w:r>
      <w:r w:rsidRPr="007D4C6F" w:rsidR="00530890">
        <w:rPr>
          <w:i/>
        </w:rPr>
        <w:t>all</w:t>
      </w:r>
      <w:r w:rsidRPr="007D4C6F" w:rsidR="00530890">
        <w:t xml:space="preserve"> residential consumers who are allocated 92.4% of Duke’s rate increase under the settlement). </w:t>
      </w:r>
      <w:r w:rsidRPr="007D4C6F" w:rsidR="0005772D">
        <w:t>Note that this allocation issue (that disfavored residential consumers) was not a heavy lift for bargaining by Duke, because</w:t>
      </w:r>
      <w:r w:rsidRPr="007D4C6F" w:rsidR="00994169">
        <w:t xml:space="preserve"> the</w:t>
      </w:r>
      <w:r w:rsidRPr="007D4C6F" w:rsidR="0005772D">
        <w:t xml:space="preserve"> allocations do not cost </w:t>
      </w:r>
      <w:r w:rsidRPr="007D4C6F">
        <w:t xml:space="preserve">shareholders </w:t>
      </w:r>
      <w:r w:rsidRPr="007D4C6F" w:rsidR="00994169">
        <w:t xml:space="preserve">any </w:t>
      </w:r>
      <w:r w:rsidRPr="007D4C6F">
        <w:t>money.</w:t>
      </w:r>
      <w:r w:rsidR="007D4C6F">
        <w:t xml:space="preserve"> </w:t>
      </w:r>
    </w:p>
    <w:p w:rsidR="005B592A" w:rsidRPr="007D4C6F" w:rsidP="002740DD" w14:paraId="234FF72A" w14:textId="6264233C">
      <w:pPr>
        <w:spacing w:line="480" w:lineRule="auto"/>
        <w:ind w:firstLine="720"/>
      </w:pPr>
      <w:r w:rsidRPr="007D4C6F">
        <w:t>And the major issue of allocations for increased charges to residential consumers was not a priority (or even an issue) for other interests claimed by Duke to be residential. For example,</w:t>
      </w:r>
      <w:r w:rsidRPr="007D4C6F" w:rsidR="002A5596">
        <w:t xml:space="preserve"> CUB Ohio’s objections to the Staff Report were focused on environmental interests and not consumer interests in ratemaking.</w:t>
      </w:r>
      <w:r w:rsidRPr="007D4C6F" w:rsidR="004F3079">
        <w:t xml:space="preserve"> </w:t>
      </w:r>
      <w:r w:rsidRPr="007D4C6F" w:rsidR="0055661D">
        <w:t xml:space="preserve">And </w:t>
      </w:r>
      <w:r w:rsidRPr="007D4C6F" w:rsidR="004F3079">
        <w:t xml:space="preserve">PWC did not file objections to the Staff Report at all. </w:t>
      </w:r>
    </w:p>
    <w:p w:rsidR="00203006" w:rsidRPr="007D4C6F" w:rsidP="006B2C24" w14:paraId="770AC33A" w14:textId="747B8B3D">
      <w:pPr>
        <w:spacing w:line="480" w:lineRule="auto"/>
        <w:ind w:firstLine="720"/>
      </w:pPr>
      <w:r w:rsidRPr="007D4C6F">
        <w:t>T</w:t>
      </w:r>
      <w:r w:rsidRPr="007D4C6F" w:rsidR="00AC04B7">
        <w:t xml:space="preserve">he settlement fails the first prong of the PUCO’s three-part settlement </w:t>
      </w:r>
      <w:r w:rsidRPr="007D4C6F" w:rsidR="006A3A48">
        <w:t>test</w:t>
      </w:r>
      <w:r w:rsidRPr="007D4C6F" w:rsidR="00F65BA7">
        <w:t>.</w:t>
      </w:r>
      <w:r w:rsidRPr="007D4C6F" w:rsidR="00AC04B7">
        <w:t xml:space="preserve"> </w:t>
      </w:r>
    </w:p>
    <w:p w:rsidR="00F0483F" w:rsidRPr="007D4C6F" w:rsidP="0014037C" w14:paraId="725BE5F9" w14:textId="73583177">
      <w:pPr>
        <w:pStyle w:val="Heading3"/>
      </w:pPr>
      <w:bookmarkStart w:id="8" w:name="_Toc119331513"/>
      <w:r w:rsidRPr="007D4C6F">
        <w:t>1.</w:t>
      </w:r>
      <w:r w:rsidRPr="007D4C6F">
        <w:tab/>
        <w:t xml:space="preserve">Duke </w:t>
      </w:r>
      <w:r w:rsidRPr="007D4C6F" w:rsidR="00E034FE">
        <w:t xml:space="preserve">leveraged its </w:t>
      </w:r>
      <w:r w:rsidRPr="007D4C6F" w:rsidR="00777D3F">
        <w:t>superior</w:t>
      </w:r>
      <w:r w:rsidRPr="007D4C6F" w:rsidR="00B161A8">
        <w:t xml:space="preserve"> and unfair</w:t>
      </w:r>
      <w:r w:rsidRPr="007D4C6F" w:rsidR="00777D3F">
        <w:t xml:space="preserve"> </w:t>
      </w:r>
      <w:r w:rsidRPr="007D4C6F" w:rsidR="00E034FE">
        <w:t xml:space="preserve">bargaining power to get </w:t>
      </w:r>
      <w:r w:rsidRPr="007D4C6F" w:rsidR="00B161A8">
        <w:t xml:space="preserve">various </w:t>
      </w:r>
      <w:r w:rsidRPr="007D4C6F" w:rsidR="00E034FE">
        <w:t>settli</w:t>
      </w:r>
      <w:r w:rsidRPr="007D4C6F" w:rsidR="00825D73">
        <w:t>ng</w:t>
      </w:r>
      <w:r w:rsidRPr="007D4C6F" w:rsidR="00E034FE">
        <w:t xml:space="preserve"> parties to agree to allocate 92.4% of Duke’s rate increase to residential consumers while refusing to include OCC’s</w:t>
      </w:r>
      <w:r w:rsidRPr="007D4C6F">
        <w:t xml:space="preserve"> propos</w:t>
      </w:r>
      <w:r w:rsidRPr="007D4C6F" w:rsidR="00E034FE">
        <w:t xml:space="preserve">als to protect </w:t>
      </w:r>
      <w:r w:rsidRPr="007D4C6F">
        <w:t xml:space="preserve">all residential consumers </w:t>
      </w:r>
      <w:r w:rsidRPr="007D4C6F" w:rsidR="00E034FE">
        <w:t>in Duke’s service territory.</w:t>
      </w:r>
      <w:bookmarkEnd w:id="8"/>
      <w:r w:rsidRPr="007D4C6F" w:rsidR="00D80527">
        <w:t xml:space="preserve"> </w:t>
      </w:r>
    </w:p>
    <w:p w:rsidR="00E034FE" w:rsidRPr="007D4C6F" w:rsidP="006B2C24" w14:paraId="20B36397" w14:textId="196EA941">
      <w:pPr>
        <w:spacing w:line="480" w:lineRule="auto"/>
        <w:ind w:firstLine="720"/>
      </w:pPr>
      <w:r w:rsidRPr="007D4C6F">
        <w:t xml:space="preserve">Duke, the PUCO Staff, </w:t>
      </w:r>
      <w:r w:rsidRPr="007D4C6F" w:rsidR="00B161A8">
        <w:t xml:space="preserve">industrial and manufacturing business parties, </w:t>
      </w:r>
      <w:r w:rsidRPr="007D4C6F">
        <w:t xml:space="preserve">and </w:t>
      </w:r>
      <w:r w:rsidRPr="007D4C6F" w:rsidR="00B161A8">
        <w:t xml:space="preserve">other </w:t>
      </w:r>
      <w:r w:rsidRPr="007D4C6F">
        <w:t xml:space="preserve">settling </w:t>
      </w:r>
      <w:r w:rsidRPr="007D4C6F" w:rsidR="00B161A8">
        <w:t xml:space="preserve">(and non-opposing) </w:t>
      </w:r>
      <w:r w:rsidRPr="007D4C6F">
        <w:t>parties agreed to allocate 92.4% of Duke’s $23.1 million rate increase to residential consumers</w:t>
      </w:r>
      <w:r w:rsidRPr="007D4C6F" w:rsidR="00B161A8">
        <w:t xml:space="preserve"> (and to spare business customers)</w:t>
      </w:r>
      <w:r w:rsidRPr="007D4C6F" w:rsidR="007C68CC">
        <w:t>. That was</w:t>
      </w:r>
      <w:r w:rsidRPr="007D4C6F" w:rsidR="00B161A8">
        <w:t xml:space="preserve"> without </w:t>
      </w:r>
      <w:r w:rsidRPr="007D4C6F">
        <w:t>serious</w:t>
      </w:r>
      <w:r w:rsidRPr="007D4C6F" w:rsidR="00B161A8">
        <w:t xml:space="preserve"> bargaining on</w:t>
      </w:r>
      <w:r w:rsidRPr="007D4C6F">
        <w:t xml:space="preserve"> OCC’s </w:t>
      </w:r>
      <w:r w:rsidRPr="007D4C6F" w:rsidR="007C68CC">
        <w:t xml:space="preserve">position and on other OCC </w:t>
      </w:r>
      <w:r w:rsidRPr="007D4C6F">
        <w:t>proposed consumer protections</w:t>
      </w:r>
      <w:r w:rsidRPr="007D4C6F" w:rsidR="00994169">
        <w:t xml:space="preserve"> for adequate reliability of service, bill-payment assistance for at-risk people, protections regarding electricity marketing, etc</w:t>
      </w:r>
      <w:r w:rsidRPr="007D4C6F">
        <w:t>. Duke leveraged it</w:t>
      </w:r>
      <w:r w:rsidRPr="007D4C6F" w:rsidR="00AC04B7">
        <w:t>s</w:t>
      </w:r>
      <w:r w:rsidRPr="007D4C6F">
        <w:t xml:space="preserve"> </w:t>
      </w:r>
      <w:r w:rsidRPr="007D4C6F" w:rsidR="00B161A8">
        <w:t xml:space="preserve">superior </w:t>
      </w:r>
      <w:r w:rsidRPr="007D4C6F">
        <w:t>bargaining power to accomplish this</w:t>
      </w:r>
      <w:r w:rsidRPr="007D4C6F" w:rsidR="00B161A8">
        <w:t xml:space="preserve"> result</w:t>
      </w:r>
      <w:r w:rsidRPr="007D4C6F">
        <w:t>.</w:t>
      </w:r>
      <w:r w:rsidRPr="007D4C6F" w:rsidR="00FA00BA">
        <w:t xml:space="preserve"> </w:t>
      </w:r>
      <w:r w:rsidRPr="007D4C6F">
        <w:t>As a result, the settlement</w:t>
      </w:r>
      <w:r w:rsidRPr="007D4C6F" w:rsidR="00584C30">
        <w:t xml:space="preserve"> </w:t>
      </w:r>
      <w:r w:rsidRPr="007D4C6F">
        <w:t xml:space="preserve">is not the product of serious bargaining. </w:t>
      </w:r>
    </w:p>
    <w:p w:rsidR="00F65BA7" w:rsidRPr="007D4C6F" w:rsidP="006B2C24" w14:paraId="28E3F7FD" w14:textId="77777777">
      <w:pPr>
        <w:spacing w:line="480" w:lineRule="auto"/>
        <w:ind w:firstLine="720"/>
      </w:pPr>
      <w:r w:rsidRPr="007D4C6F">
        <w:t>The s</w:t>
      </w:r>
      <w:r w:rsidRPr="007D4C6F" w:rsidR="00203006">
        <w:t>ettling parties</w:t>
      </w:r>
      <w:r w:rsidRPr="007D4C6F">
        <w:t xml:space="preserve"> argue that </w:t>
      </w:r>
      <w:r w:rsidRPr="007D4C6F" w:rsidR="00203006">
        <w:t xml:space="preserve">the first prong of settlement test </w:t>
      </w:r>
      <w:r w:rsidRPr="007D4C6F">
        <w:t xml:space="preserve">has been satisfied </w:t>
      </w:r>
      <w:r w:rsidRPr="007D4C6F" w:rsidR="00211955">
        <w:t xml:space="preserve">simply </w:t>
      </w:r>
      <w:r w:rsidRPr="007D4C6F">
        <w:t>because OCC participated in settlement negotiations</w:t>
      </w:r>
      <w:r w:rsidRPr="007D4C6F" w:rsidR="00203006">
        <w:t>. However, the</w:t>
      </w:r>
      <w:r w:rsidRPr="007D4C6F" w:rsidR="006B2C24">
        <w:t xml:space="preserve"> fact that OCC </w:t>
      </w:r>
      <w:r w:rsidRPr="007D4C6F" w:rsidR="00AC04B7">
        <w:t>attended</w:t>
      </w:r>
      <w:r w:rsidRPr="007D4C6F" w:rsidR="00211955">
        <w:t xml:space="preserve"> and </w:t>
      </w:r>
      <w:r w:rsidRPr="007D4C6F" w:rsidR="006B2C24">
        <w:t>participated in settlement negotiations</w:t>
      </w:r>
      <w:r w:rsidRPr="007D4C6F" w:rsidR="0006607C">
        <w:t xml:space="preserve"> is not</w:t>
      </w:r>
      <w:r w:rsidRPr="007D4C6F" w:rsidR="001F4B26">
        <w:t xml:space="preserve"> (and cannot be)</w:t>
      </w:r>
      <w:r w:rsidRPr="007D4C6F" w:rsidR="0006607C">
        <w:t xml:space="preserve"> a</w:t>
      </w:r>
      <w:r w:rsidRPr="007D4C6F" w:rsidR="00AC04B7">
        <w:t>n automatic</w:t>
      </w:r>
      <w:r w:rsidRPr="007D4C6F" w:rsidR="0006607C">
        <w:t xml:space="preserve"> indicator</w:t>
      </w:r>
      <w:r w:rsidRPr="007D4C6F" w:rsidR="006B2C24">
        <w:t xml:space="preserve"> that serious bargaining occurred.</w:t>
      </w:r>
    </w:p>
    <w:p w:rsidR="00FA00BA" w:rsidRPr="007D4C6F" w:rsidP="006B2C24" w14:paraId="306A3757" w14:textId="17455060">
      <w:pPr>
        <w:spacing w:line="480" w:lineRule="auto"/>
        <w:ind w:firstLine="720"/>
      </w:pPr>
      <w:r w:rsidRPr="007D4C6F">
        <w:t xml:space="preserve"> </w:t>
      </w:r>
      <w:r w:rsidRPr="007D4C6F" w:rsidR="001F4B26">
        <w:t>D</w:t>
      </w:r>
      <w:r w:rsidRPr="007D4C6F">
        <w:t>uke, the PUCO Staff, and parties representing business customers like O</w:t>
      </w:r>
      <w:r w:rsidRPr="007D4C6F" w:rsidR="00C609E0">
        <w:t>hio Manufacturers’ Association Energy Group</w:t>
      </w:r>
      <w:r w:rsidRPr="007D4C6F">
        <w:t>, O</w:t>
      </w:r>
      <w:r w:rsidRPr="007D4C6F" w:rsidR="00C609E0">
        <w:t>hio Energy Group</w:t>
      </w:r>
      <w:r w:rsidRPr="007D4C6F">
        <w:t>, Kroger and Walmart (</w:t>
      </w:r>
      <w:r w:rsidRPr="007D4C6F" w:rsidR="00211955">
        <w:t>that</w:t>
      </w:r>
      <w:r w:rsidRPr="007D4C6F">
        <w:t xml:space="preserve"> are allocated </w:t>
      </w:r>
      <w:r w:rsidRPr="007D4C6F">
        <w:rPr>
          <w:i/>
          <w:iCs/>
        </w:rPr>
        <w:t>less than 8%</w:t>
      </w:r>
      <w:r w:rsidRPr="007D4C6F">
        <w:t xml:space="preserve"> of Duke’s rate increase</w:t>
      </w:r>
      <w:r w:rsidRPr="007D4C6F" w:rsidR="001F4B26">
        <w:t xml:space="preserve"> under the settlement</w:t>
      </w:r>
      <w:r w:rsidRPr="007D4C6F">
        <w:t>)</w:t>
      </w:r>
      <w:r w:rsidRPr="007D4C6F" w:rsidR="00290053">
        <w:t xml:space="preserve"> </w:t>
      </w:r>
      <w:r w:rsidRPr="007D4C6F" w:rsidR="008D2D0C">
        <w:t>rejected</w:t>
      </w:r>
      <w:r w:rsidRPr="007D4C6F" w:rsidR="001F4B26">
        <w:t xml:space="preserve"> OCC</w:t>
      </w:r>
      <w:r w:rsidRPr="007D4C6F" w:rsidR="008D2D0C">
        <w:t xml:space="preserve">’s proposals to help protect residential consumers </w:t>
      </w:r>
      <w:r w:rsidRPr="007D4C6F" w:rsidR="00211955">
        <w:t xml:space="preserve">who </w:t>
      </w:r>
      <w:r w:rsidRPr="007D4C6F" w:rsidR="00C13C17">
        <w:t xml:space="preserve">are allocated </w:t>
      </w:r>
      <w:r w:rsidRPr="007D4C6F" w:rsidR="00FE5A4C">
        <w:t>the bulk</w:t>
      </w:r>
      <w:r w:rsidRPr="007D4C6F" w:rsidR="00C13C17">
        <w:t xml:space="preserve"> of</w:t>
      </w:r>
      <w:r w:rsidRPr="007D4C6F" w:rsidR="008D2D0C">
        <w:t xml:space="preserve"> Duke’s </w:t>
      </w:r>
      <w:r w:rsidRPr="007D4C6F" w:rsidR="00C13C17">
        <w:t>agreed-to</w:t>
      </w:r>
      <w:r w:rsidRPr="007D4C6F" w:rsidR="00FE5A4C">
        <w:t xml:space="preserve"> and excessive</w:t>
      </w:r>
      <w:r w:rsidRPr="007D4C6F" w:rsidR="00C13C17">
        <w:t xml:space="preserve"> </w:t>
      </w:r>
      <w:r w:rsidRPr="007D4C6F" w:rsidR="008D2D0C">
        <w:t>rate increase</w:t>
      </w:r>
      <w:r w:rsidRPr="007D4C6F">
        <w:t>.</w:t>
      </w:r>
    </w:p>
    <w:p w:rsidR="00616E57" w:rsidRPr="007D4C6F" w:rsidP="00D87C26" w14:paraId="4D22C184" w14:textId="20C5B573">
      <w:pPr>
        <w:spacing w:line="480" w:lineRule="auto"/>
        <w:ind w:firstLine="720"/>
      </w:pPr>
      <w:r w:rsidRPr="007D4C6F">
        <w:t>As explained in OCC’s brief</w:t>
      </w:r>
      <w:r>
        <w:rPr>
          <w:rStyle w:val="FootnoteReference"/>
        </w:rPr>
        <w:footnoteReference w:id="7"/>
      </w:r>
      <w:r w:rsidRPr="007D4C6F">
        <w:t xml:space="preserve"> and below, OCC advocated for </w:t>
      </w:r>
      <w:r w:rsidRPr="007D4C6F" w:rsidR="00B161A8">
        <w:t xml:space="preserve">a rate </w:t>
      </w:r>
      <w:r w:rsidRPr="007D4C6F" w:rsidR="00B161A8">
        <w:rPr>
          <w:i/>
          <w:iCs/>
        </w:rPr>
        <w:t>decrease</w:t>
      </w:r>
      <w:r w:rsidRPr="007D4C6F" w:rsidR="00721BFC">
        <w:t>.</w:t>
      </w:r>
      <w:r>
        <w:rPr>
          <w:rStyle w:val="FootnoteReference"/>
        </w:rPr>
        <w:footnoteReference w:id="8"/>
      </w:r>
      <w:r w:rsidR="007D4C6F">
        <w:t xml:space="preserve"> </w:t>
      </w:r>
      <w:r w:rsidRPr="007D4C6F" w:rsidR="00721BFC">
        <w:rPr>
          <w:i/>
          <w:iCs/>
        </w:rPr>
        <w:t>No other settling party with a residential consumer interest (or claimed residential interest) appeared to even have a prepared litigation case on the rate decrease</w:t>
      </w:r>
      <w:r w:rsidRPr="007D4C6F">
        <w:rPr>
          <w:i/>
          <w:iCs/>
        </w:rPr>
        <w:t xml:space="preserve"> </w:t>
      </w:r>
      <w:r w:rsidRPr="007D4C6F" w:rsidR="00C609E0">
        <w:rPr>
          <w:i/>
          <w:iCs/>
        </w:rPr>
        <w:t xml:space="preserve">and </w:t>
      </w:r>
      <w:r w:rsidRPr="007D4C6F" w:rsidR="007C68CC">
        <w:rPr>
          <w:i/>
          <w:iCs/>
        </w:rPr>
        <w:t xml:space="preserve">the </w:t>
      </w:r>
      <w:r w:rsidRPr="007D4C6F" w:rsidR="00C609E0">
        <w:rPr>
          <w:i/>
          <w:iCs/>
        </w:rPr>
        <w:t xml:space="preserve">allocations </w:t>
      </w:r>
      <w:r w:rsidRPr="007D4C6F">
        <w:rPr>
          <w:i/>
          <w:iCs/>
        </w:rPr>
        <w:t>ratemaking</w:t>
      </w:r>
      <w:r w:rsidRPr="007D4C6F" w:rsidR="00C609E0">
        <w:rPr>
          <w:i/>
          <w:iCs/>
        </w:rPr>
        <w:t xml:space="preserve"> issues</w:t>
      </w:r>
      <w:r w:rsidRPr="007D4C6F">
        <w:rPr>
          <w:i/>
          <w:iCs/>
        </w:rPr>
        <w:t xml:space="preserve"> – i.e.,</w:t>
      </w:r>
      <w:r w:rsidRPr="007D4C6F" w:rsidR="00721BFC">
        <w:rPr>
          <w:i/>
          <w:iCs/>
        </w:rPr>
        <w:t xml:space="preserve"> revenue requirement and rate design issues.</w:t>
      </w:r>
      <w:r w:rsidRPr="007D4C6F" w:rsidR="00721BFC">
        <w:t xml:space="preserve"> </w:t>
      </w:r>
    </w:p>
    <w:p w:rsidR="0006607C" w:rsidRPr="007D4C6F" w:rsidP="00D87C26" w14:paraId="4BE5689F" w14:textId="68EB62FD">
      <w:pPr>
        <w:spacing w:line="480" w:lineRule="auto"/>
        <w:ind w:firstLine="720"/>
      </w:pPr>
      <w:r w:rsidRPr="007D4C6F">
        <w:t xml:space="preserve">For example, CUB Ohio’s objections to the Staff Report, which frame a party’s issues, were essentially </w:t>
      </w:r>
      <w:r w:rsidRPr="007D4C6F">
        <w:rPr>
          <w:i/>
          <w:iCs/>
        </w:rPr>
        <w:t>environmental</w:t>
      </w:r>
      <w:r w:rsidRPr="007D4C6F">
        <w:t xml:space="preserve"> advocacy issues </w:t>
      </w:r>
      <w:r w:rsidRPr="007D4C6F">
        <w:rPr>
          <w:i/>
          <w:iCs/>
        </w:rPr>
        <w:t>and not consumer advocacy issues</w:t>
      </w:r>
      <w:r w:rsidRPr="007D4C6F" w:rsidR="007C68CC">
        <w:rPr>
          <w:i/>
          <w:iCs/>
        </w:rPr>
        <w:t xml:space="preserve"> like the ratemaking and reliability issues</w:t>
      </w:r>
      <w:r w:rsidRPr="007D4C6F" w:rsidR="007C68CC">
        <w:t xml:space="preserve"> that OCC was prepared to litigate for consumers</w:t>
      </w:r>
      <w:r w:rsidRPr="007D4C6F">
        <w:t xml:space="preserve">. </w:t>
      </w:r>
      <w:r w:rsidRPr="007D4C6F" w:rsidR="001C55FB">
        <w:t xml:space="preserve">Per R.C. 4928.02(L), </w:t>
      </w:r>
      <w:r w:rsidRPr="007D4C6F" w:rsidR="00721BFC">
        <w:t xml:space="preserve">OCC also advocated for </w:t>
      </w:r>
      <w:r w:rsidRPr="007D4C6F" w:rsidR="00977906">
        <w:t>bill payment assistance</w:t>
      </w:r>
      <w:r w:rsidRPr="007D4C6F" w:rsidR="00B161A8">
        <w:t xml:space="preserve"> for </w:t>
      </w:r>
      <w:r w:rsidRPr="007D4C6F" w:rsidR="00721BFC">
        <w:t xml:space="preserve">all the </w:t>
      </w:r>
      <w:r w:rsidRPr="007D4C6F" w:rsidR="00B161A8">
        <w:t>at-risk consumers</w:t>
      </w:r>
      <w:r w:rsidRPr="007D4C6F" w:rsidR="00721BFC">
        <w:t xml:space="preserve"> in Duke’s service territory (and not just those </w:t>
      </w:r>
      <w:r w:rsidRPr="007D4C6F" w:rsidR="001C55FB">
        <w:t>for</w:t>
      </w:r>
      <w:r w:rsidRPr="007D4C6F" w:rsidR="00721BFC">
        <w:t xml:space="preserve"> Cincinnati</w:t>
      </w:r>
      <w:r w:rsidRPr="007D4C6F" w:rsidR="00D03644">
        <w:t xml:space="preserve"> </w:t>
      </w:r>
      <w:r w:rsidRPr="007D4C6F" w:rsidR="008F7969">
        <w:t xml:space="preserve">as Cincinnati bargained for </w:t>
      </w:r>
      <w:r w:rsidRPr="007D4C6F" w:rsidR="00D03644">
        <w:t>under the settlement</w:t>
      </w:r>
      <w:r w:rsidRPr="007D4C6F" w:rsidR="00721BFC">
        <w:t>).</w:t>
      </w:r>
      <w:r w:rsidRPr="007D4C6F" w:rsidR="00977906">
        <w:t xml:space="preserve"> </w:t>
      </w:r>
      <w:r w:rsidRPr="007D4C6F" w:rsidR="00721BFC">
        <w:t xml:space="preserve">And OCC advocated for </w:t>
      </w:r>
      <w:r w:rsidRPr="007D4C6F" w:rsidR="00977906">
        <w:t xml:space="preserve">a </w:t>
      </w:r>
      <w:r w:rsidRPr="007D4C6F" w:rsidR="001C55FB">
        <w:t>convenient</w:t>
      </w:r>
      <w:r w:rsidRPr="007D4C6F" w:rsidR="00977906">
        <w:t xml:space="preserve"> opt-out </w:t>
      </w:r>
      <w:r w:rsidRPr="007D4C6F" w:rsidR="00721BFC">
        <w:t>feature</w:t>
      </w:r>
      <w:r w:rsidRPr="007D4C6F" w:rsidR="00977906">
        <w:t xml:space="preserve"> on Duke’s website </w:t>
      </w:r>
      <w:r w:rsidRPr="007D4C6F" w:rsidR="00721BFC">
        <w:t>enabling</w:t>
      </w:r>
      <w:r w:rsidRPr="007D4C6F" w:rsidR="00977906">
        <w:t xml:space="preserve"> </w:t>
      </w:r>
      <w:r w:rsidRPr="007D4C6F" w:rsidR="00721BFC">
        <w:t xml:space="preserve">all </w:t>
      </w:r>
      <w:r w:rsidRPr="007D4C6F" w:rsidR="00977906">
        <w:t xml:space="preserve">consumers </w:t>
      </w:r>
      <w:r w:rsidRPr="007D4C6F" w:rsidR="00721BFC">
        <w:t>to</w:t>
      </w:r>
      <w:r w:rsidRPr="007D4C6F" w:rsidR="00977906">
        <w:t xml:space="preserve"> easily opt-out of having their </w:t>
      </w:r>
      <w:r w:rsidRPr="007D4C6F" w:rsidR="008F7969">
        <w:t xml:space="preserve">personal </w:t>
      </w:r>
      <w:r w:rsidRPr="007D4C6F" w:rsidR="00977906">
        <w:t>information shared with marketers</w:t>
      </w:r>
      <w:r w:rsidRPr="007D4C6F" w:rsidR="001C55FB">
        <w:t>. A</w:t>
      </w:r>
      <w:r w:rsidRPr="007D4C6F" w:rsidR="008F7969">
        <w:t>lso,</w:t>
      </w:r>
      <w:r w:rsidRPr="007D4C6F" w:rsidR="001C55FB">
        <w:t xml:space="preserve"> OCC advocated </w:t>
      </w:r>
      <w:r w:rsidRPr="007D4C6F" w:rsidR="00721BFC">
        <w:t xml:space="preserve">for </w:t>
      </w:r>
      <w:r w:rsidRPr="007D4C6F" w:rsidR="00977906">
        <w:t>aggregate</w:t>
      </w:r>
      <w:r w:rsidRPr="007D4C6F" w:rsidR="008F7969">
        <w:t xml:space="preserve"> (shadow)</w:t>
      </w:r>
      <w:r w:rsidRPr="007D4C6F" w:rsidR="00977906">
        <w:t xml:space="preserve"> billing data to provide</w:t>
      </w:r>
      <w:r w:rsidRPr="007D4C6F" w:rsidR="008F7969">
        <w:t xml:space="preserve"> consumers with</w:t>
      </w:r>
      <w:r w:rsidRPr="007D4C6F" w:rsidR="00977906">
        <w:t xml:space="preserve"> information </w:t>
      </w:r>
      <w:r w:rsidRPr="007D4C6F" w:rsidR="008F7969">
        <w:t>about</w:t>
      </w:r>
      <w:r w:rsidRPr="007D4C6F" w:rsidR="00977906">
        <w:t xml:space="preserve"> how much Duke’s consumers </w:t>
      </w:r>
      <w:r w:rsidRPr="007D4C6F" w:rsidR="008F7969">
        <w:t xml:space="preserve">have </w:t>
      </w:r>
      <w:r w:rsidRPr="007D4C6F" w:rsidR="00977906">
        <w:t>save</w:t>
      </w:r>
      <w:r w:rsidRPr="007D4C6F" w:rsidR="008F7969">
        <w:t>d</w:t>
      </w:r>
      <w:r w:rsidRPr="007D4C6F" w:rsidR="00977906">
        <w:t xml:space="preserve"> when the</w:t>
      </w:r>
      <w:r w:rsidRPr="007D4C6F" w:rsidR="00B161A8">
        <w:t>y</w:t>
      </w:r>
      <w:r w:rsidRPr="007D4C6F" w:rsidR="00977906">
        <w:t xml:space="preserve"> take electric service through Duke’s standard service offer.</w:t>
      </w:r>
      <w:r w:rsidRPr="007D4C6F" w:rsidR="00814648">
        <w:t xml:space="preserve"> </w:t>
      </w:r>
      <w:r w:rsidRPr="007D4C6F" w:rsidR="00721BFC">
        <w:t xml:space="preserve">The result is a </w:t>
      </w:r>
      <w:r w:rsidRPr="007D4C6F" w:rsidR="00132333">
        <w:t xml:space="preserve">glaring absence of anything in the settlement related to OCC’s </w:t>
      </w:r>
      <w:r w:rsidRPr="007D4C6F" w:rsidR="00DD759C">
        <w:t xml:space="preserve">bona fide consumer </w:t>
      </w:r>
      <w:r w:rsidRPr="007D4C6F" w:rsidR="00132333">
        <w:t>recommendations.</w:t>
      </w:r>
      <w:r w:rsidRPr="007D4C6F" w:rsidR="006B2C24">
        <w:t xml:space="preserve"> </w:t>
      </w:r>
    </w:p>
    <w:p w:rsidR="00E46FC5" w:rsidRPr="007D4C6F" w:rsidP="006B2C24" w14:paraId="4F7EEBCC" w14:textId="3ACC7D65">
      <w:pPr>
        <w:spacing w:line="480" w:lineRule="auto"/>
        <w:ind w:firstLine="720"/>
      </w:pPr>
      <w:r w:rsidRPr="007D4C6F">
        <w:t xml:space="preserve">Duke’s </w:t>
      </w:r>
      <w:r w:rsidRPr="007D4C6F" w:rsidR="00D03644">
        <w:t>lack of</w:t>
      </w:r>
      <w:r w:rsidRPr="007D4C6F">
        <w:t xml:space="preserve"> serious consider</w:t>
      </w:r>
      <w:r w:rsidRPr="007D4C6F" w:rsidR="00D03644">
        <w:t>ation of</w:t>
      </w:r>
      <w:r w:rsidRPr="007D4C6F">
        <w:t xml:space="preserve"> OCC’s proposals </w:t>
      </w:r>
      <w:r w:rsidRPr="007D4C6F" w:rsidR="00DD759C">
        <w:t xml:space="preserve">illustrates </w:t>
      </w:r>
      <w:r w:rsidRPr="007D4C6F">
        <w:t>the</w:t>
      </w:r>
      <w:r w:rsidRPr="007D4C6F" w:rsidR="006B2C24">
        <w:t xml:space="preserve"> unequal bargaining power inherent in the PUCO’s settlement process</w:t>
      </w:r>
      <w:r w:rsidRPr="007D4C6F">
        <w:t xml:space="preserve">. </w:t>
      </w:r>
      <w:r w:rsidRPr="007D4C6F" w:rsidR="00721BFC">
        <w:t xml:space="preserve">With its superior bargaining power, </w:t>
      </w:r>
      <w:r w:rsidRPr="007D4C6F" w:rsidR="006B2C24">
        <w:t>Duke</w:t>
      </w:r>
      <w:r w:rsidRPr="007D4C6F" w:rsidR="00132333">
        <w:t xml:space="preserve"> </w:t>
      </w:r>
      <w:r w:rsidRPr="007D4C6F">
        <w:t>had the advantage</w:t>
      </w:r>
      <w:r w:rsidRPr="007D4C6F" w:rsidR="00721BFC">
        <w:t xml:space="preserve"> to bargain with</w:t>
      </w:r>
      <w:r w:rsidRPr="007D4C6F" w:rsidR="00D87C26">
        <w:t xml:space="preserve"> narrow</w:t>
      </w:r>
      <w:r w:rsidRPr="007D4C6F" w:rsidR="008F7969">
        <w:t xml:space="preserve"> </w:t>
      </w:r>
      <w:r w:rsidRPr="007D4C6F" w:rsidR="00D87C26">
        <w:t>interest</w:t>
      </w:r>
      <w:r w:rsidRPr="007D4C6F" w:rsidR="008F7969">
        <w:t>s</w:t>
      </w:r>
      <w:r w:rsidRPr="007D4C6F" w:rsidR="00721BFC">
        <w:t xml:space="preserve"> </w:t>
      </w:r>
      <w:r w:rsidRPr="007D4C6F" w:rsidR="008F7969">
        <w:t>and environmental interests</w:t>
      </w:r>
      <w:r w:rsidRPr="007D4C6F" w:rsidR="00721BFC">
        <w:t xml:space="preserve"> that </w:t>
      </w:r>
      <w:r w:rsidRPr="007D4C6F" w:rsidR="00D03644">
        <w:t xml:space="preserve">Duke </w:t>
      </w:r>
      <w:r w:rsidRPr="007D4C6F" w:rsidR="00EF67DC">
        <w:t>heralds as</w:t>
      </w:r>
      <w:r w:rsidRPr="007D4C6F" w:rsidR="00D03644">
        <w:t xml:space="preserve"> residential</w:t>
      </w:r>
      <w:r w:rsidRPr="007D4C6F" w:rsidR="00EF67DC">
        <w:t xml:space="preserve"> consumer</w:t>
      </w:r>
      <w:r w:rsidRPr="007D4C6F" w:rsidR="00D03644">
        <w:t xml:space="preserve"> interests.</w:t>
      </w:r>
      <w:r w:rsidRPr="007D4C6F" w:rsidR="00EF67DC">
        <w:t xml:space="preserve"> But those parties</w:t>
      </w:r>
      <w:r w:rsidRPr="007D4C6F" w:rsidR="00D03644">
        <w:t xml:space="preserve"> </w:t>
      </w:r>
      <w:r w:rsidRPr="007D4C6F" w:rsidR="00721BFC">
        <w:t>were not positioned to advocate for broad protections</w:t>
      </w:r>
      <w:r w:rsidRPr="007D4C6F" w:rsidR="00EF67DC">
        <w:t xml:space="preserve"> for all Duke consumers</w:t>
      </w:r>
      <w:r w:rsidRPr="007D4C6F" w:rsidR="00DD759C">
        <w:t>.</w:t>
      </w:r>
      <w:r w:rsidRPr="007D4C6F" w:rsidR="00EF67DC">
        <w:t xml:space="preserve"> </w:t>
      </w:r>
    </w:p>
    <w:p w:rsidR="00F65BA7" w:rsidRPr="007D4C6F" w:rsidP="006B2C24" w14:paraId="738D05D2" w14:textId="081F50FF">
      <w:pPr>
        <w:spacing w:line="480" w:lineRule="auto"/>
        <w:ind w:firstLine="720"/>
      </w:pPr>
      <w:r w:rsidRPr="007D4C6F">
        <w:t xml:space="preserve">Note that </w:t>
      </w:r>
      <w:r w:rsidRPr="007D4C6F" w:rsidR="00E46FC5">
        <w:t xml:space="preserve">serious </w:t>
      </w:r>
      <w:r w:rsidRPr="007D4C6F">
        <w:t>b</w:t>
      </w:r>
      <w:r w:rsidRPr="007D4C6F" w:rsidR="00EF67DC">
        <w:t>argaining with broad</w:t>
      </w:r>
      <w:r w:rsidRPr="007D4C6F" w:rsidR="00DD759C">
        <w:t>-</w:t>
      </w:r>
      <w:r w:rsidRPr="007D4C6F" w:rsidR="00EF67DC">
        <w:t xml:space="preserve">interest </w:t>
      </w:r>
      <w:r w:rsidRPr="007D4C6F" w:rsidR="00DD759C">
        <w:t xml:space="preserve">consumer advocacy </w:t>
      </w:r>
      <w:r w:rsidRPr="007D4C6F" w:rsidR="00EF67DC">
        <w:t>(</w:t>
      </w:r>
      <w:r w:rsidRPr="007D4C6F" w:rsidR="00DD759C">
        <w:t>through</w:t>
      </w:r>
      <w:r w:rsidRPr="007D4C6F" w:rsidR="00EF67DC">
        <w:t xml:space="preserve"> OCC) </w:t>
      </w:r>
      <w:r w:rsidRPr="007D4C6F" w:rsidR="00721BFC">
        <w:t>would have cost Duke</w:t>
      </w:r>
      <w:r w:rsidRPr="007D4C6F" w:rsidR="00DD759C">
        <w:t>’s shareholders</w:t>
      </w:r>
      <w:r w:rsidRPr="007D4C6F" w:rsidR="00E46FC5">
        <w:t xml:space="preserve"> more money </w:t>
      </w:r>
      <w:r w:rsidRPr="007D4C6F" w:rsidR="00AB15AD">
        <w:t>than bargaining with</w:t>
      </w:r>
      <w:r w:rsidRPr="007D4C6F" w:rsidR="00B078B6">
        <w:t xml:space="preserve"> narrow interests</w:t>
      </w:r>
      <w:r w:rsidRPr="007D4C6F" w:rsidR="00AB15AD">
        <w:t>. That</w:t>
      </w:r>
      <w:r w:rsidRPr="007D4C6F" w:rsidR="00B078B6">
        <w:t xml:space="preserve"> further explains the result</w:t>
      </w:r>
      <w:r w:rsidRPr="007D4C6F" w:rsidR="00D87C26">
        <w:t>.</w:t>
      </w:r>
      <w:r w:rsidRPr="007D4C6F" w:rsidR="008D2D0C">
        <w:t xml:space="preserve"> </w:t>
      </w:r>
    </w:p>
    <w:p w:rsidR="00D87C26" w:rsidRPr="007D4C6F" w:rsidP="00F65BA7" w14:paraId="2564216F" w14:textId="7BC2C7A9">
      <w:pPr>
        <w:spacing w:line="480" w:lineRule="auto"/>
        <w:ind w:firstLine="720"/>
      </w:pPr>
      <w:r w:rsidRPr="007D4C6F">
        <w:t>T</w:t>
      </w:r>
      <w:r w:rsidRPr="007D4C6F" w:rsidR="00502DB6">
        <w:t>he</w:t>
      </w:r>
      <w:r w:rsidRPr="007D4C6F">
        <w:t xml:space="preserve"> PUCO should reject claims of serious bargaining that are based on</w:t>
      </w:r>
      <w:r w:rsidRPr="007D4C6F" w:rsidR="00502DB6">
        <w:t xml:space="preserve"> OCC</w:t>
      </w:r>
      <w:r w:rsidRPr="007D4C6F">
        <w:t xml:space="preserve"> having</w:t>
      </w:r>
      <w:r w:rsidRPr="007D4C6F" w:rsidR="00502DB6">
        <w:t xml:space="preserve"> </w:t>
      </w:r>
      <w:r w:rsidRPr="007D4C6F" w:rsidR="009206DF">
        <w:t>a “seat at the table”</w:t>
      </w:r>
      <w:r>
        <w:rPr>
          <w:rStyle w:val="FootnoteReference"/>
        </w:rPr>
        <w:footnoteReference w:id="9"/>
      </w:r>
      <w:r w:rsidRPr="007D4C6F" w:rsidR="00A71301">
        <w:t xml:space="preserve"> during settlement negotiations</w:t>
      </w:r>
      <w:r w:rsidRPr="007D4C6F">
        <w:t>. That seat</w:t>
      </w:r>
      <w:r w:rsidRPr="007D4C6F" w:rsidR="00502DB6">
        <w:t xml:space="preserve"> </w:t>
      </w:r>
      <w:r w:rsidRPr="007D4C6F" w:rsidR="00211955">
        <w:t xml:space="preserve">means little </w:t>
      </w:r>
      <w:r w:rsidRPr="007D4C6F">
        <w:t xml:space="preserve">where the utility is empowered in the settlement process </w:t>
      </w:r>
      <w:r w:rsidRPr="007D4C6F" w:rsidR="00AC04B7">
        <w:t>to</w:t>
      </w:r>
      <w:r w:rsidRPr="007D4C6F" w:rsidR="00211955">
        <w:t xml:space="preserve"> </w:t>
      </w:r>
      <w:r w:rsidRPr="007D4C6F" w:rsidR="00A71301">
        <w:t>leverag</w:t>
      </w:r>
      <w:r w:rsidRPr="007D4C6F" w:rsidR="00211955">
        <w:t>e</w:t>
      </w:r>
      <w:r w:rsidRPr="007D4C6F">
        <w:t xml:space="preserve"> </w:t>
      </w:r>
      <w:r w:rsidRPr="007D4C6F" w:rsidR="00211955">
        <w:t xml:space="preserve">its </w:t>
      </w:r>
      <w:r w:rsidRPr="007D4C6F" w:rsidR="00B078B6">
        <w:t xml:space="preserve">superior </w:t>
      </w:r>
      <w:r w:rsidRPr="007D4C6F">
        <w:t xml:space="preserve">bargaining power to the detriment of </w:t>
      </w:r>
      <w:r w:rsidRPr="007D4C6F" w:rsidR="009F77DC">
        <w:t>its residential consumers</w:t>
      </w:r>
      <w:r w:rsidRPr="007D4C6F">
        <w:t xml:space="preserve">. </w:t>
      </w:r>
    </w:p>
    <w:p w:rsidR="0005772D" w:rsidRPr="007D4C6F" w:rsidP="006B2C24" w14:paraId="193260E0" w14:textId="21A06235">
      <w:pPr>
        <w:spacing w:line="480" w:lineRule="auto"/>
        <w:ind w:firstLine="720"/>
      </w:pPr>
      <w:r w:rsidRPr="007D4C6F">
        <w:t>In this regard, there are virtually no settlements submitted to the PUCO</w:t>
      </w:r>
      <w:r w:rsidRPr="007D4C6F" w:rsidR="00B15638">
        <w:t xml:space="preserve"> (unfortunately)</w:t>
      </w:r>
      <w:r w:rsidRPr="007D4C6F">
        <w:t xml:space="preserve"> where the utility</w:t>
      </w:r>
      <w:r w:rsidRPr="007D4C6F" w:rsidR="00EF67DC">
        <w:t xml:space="preserve"> is</w:t>
      </w:r>
      <w:r w:rsidRPr="007D4C6F">
        <w:t xml:space="preserve"> not a party. So Duke </w:t>
      </w:r>
      <w:r w:rsidRPr="007D4C6F" w:rsidR="00B15638">
        <w:t>can bargain basically as an</w:t>
      </w:r>
      <w:r w:rsidRPr="007D4C6F">
        <w:t xml:space="preserve"> essential party for a settlement</w:t>
      </w:r>
      <w:r w:rsidRPr="007D4C6F" w:rsidR="00A15B87">
        <w:t xml:space="preserve"> – which undercuts serious bargaining</w:t>
      </w:r>
      <w:r w:rsidRPr="007D4C6F">
        <w:t xml:space="preserve">. </w:t>
      </w:r>
    </w:p>
    <w:p w:rsidR="00CA0B2E" w:rsidRPr="007D4C6F" w:rsidP="006B2C24" w14:paraId="3827B8D1" w14:textId="26F65F45">
      <w:pPr>
        <w:spacing w:line="480" w:lineRule="auto"/>
        <w:ind w:firstLine="720"/>
      </w:pPr>
      <w:r w:rsidRPr="007D4C6F">
        <w:t>And</w:t>
      </w:r>
      <w:r w:rsidRPr="007D4C6F" w:rsidR="00ED5AB6">
        <w:t>, as noted,</w:t>
      </w:r>
      <w:r w:rsidRPr="007D4C6F">
        <w:t xml:space="preserve"> </w:t>
      </w:r>
      <w:r w:rsidRPr="007D4C6F" w:rsidR="00D87C26">
        <w:t>Duke</w:t>
      </w:r>
      <w:r w:rsidRPr="007D4C6F" w:rsidR="007D63E4">
        <w:t>’s ability</w:t>
      </w:r>
      <w:r w:rsidRPr="007D4C6F" w:rsidR="00D87C26">
        <w:t xml:space="preserve"> </w:t>
      </w:r>
      <w:r w:rsidRPr="007D4C6F" w:rsidR="007D63E4">
        <w:t>to</w:t>
      </w:r>
      <w:r w:rsidRPr="007D4C6F" w:rsidR="00D87C26">
        <w:t xml:space="preserve"> obtain a settlement </w:t>
      </w:r>
      <w:r w:rsidRPr="007D4C6F" w:rsidR="002145DB">
        <w:t>through limited bargaining with parties having narrow</w:t>
      </w:r>
      <w:r w:rsidRPr="007D4C6F" w:rsidR="007D63E4">
        <w:t xml:space="preserve"> residential</w:t>
      </w:r>
      <w:r w:rsidRPr="007D4C6F" w:rsidR="002145DB">
        <w:t xml:space="preserve"> interests</w:t>
      </w:r>
      <w:r w:rsidRPr="007D4C6F" w:rsidR="007D63E4">
        <w:t xml:space="preserve"> (and not even necessarily having consumer ratemaking interests </w:t>
      </w:r>
      <w:r w:rsidRPr="007D4C6F" w:rsidR="00F4730D">
        <w:t>as</w:t>
      </w:r>
      <w:r w:rsidRPr="007D4C6F" w:rsidR="007D63E4">
        <w:t xml:space="preserve"> distinguished from </w:t>
      </w:r>
      <w:r w:rsidRPr="007D4C6F" w:rsidR="007D63E4">
        <w:rPr>
          <w:i/>
          <w:iCs/>
        </w:rPr>
        <w:t>environmental</w:t>
      </w:r>
      <w:r w:rsidRPr="007D4C6F" w:rsidR="007D63E4">
        <w:t xml:space="preserve"> interests)</w:t>
      </w:r>
      <w:r w:rsidRPr="007D4C6F" w:rsidR="002145DB">
        <w:t xml:space="preserve"> </w:t>
      </w:r>
      <w:r w:rsidRPr="007D4C6F">
        <w:t>works for Duke</w:t>
      </w:r>
      <w:r w:rsidRPr="007D4C6F" w:rsidR="00ED5AB6">
        <w:t>. The</w:t>
      </w:r>
      <w:r w:rsidRPr="007D4C6F">
        <w:t xml:space="preserve"> result </w:t>
      </w:r>
      <w:r w:rsidRPr="007D4C6F" w:rsidR="007D63E4">
        <w:t>is</w:t>
      </w:r>
      <w:r w:rsidRPr="007D4C6F" w:rsidR="002145DB">
        <w:t xml:space="preserve"> </w:t>
      </w:r>
      <w:r w:rsidRPr="007D4C6F" w:rsidR="0005772D">
        <w:t xml:space="preserve">much </w:t>
      </w:r>
      <w:r w:rsidRPr="007D4C6F" w:rsidR="002145DB">
        <w:t>less costly to Duke’s shareholders.</w:t>
      </w:r>
      <w:r w:rsidRPr="007D4C6F">
        <w:t xml:space="preserve"> (As stated, the allocations issue that Duke settled is not a steep climb for Duke as it does not cost Duke any money.)</w:t>
      </w:r>
      <w:r w:rsidRPr="007D4C6F" w:rsidR="002145DB">
        <w:t xml:space="preserve"> </w:t>
      </w:r>
    </w:p>
    <w:p w:rsidR="00D87C26" w:rsidRPr="007D4C6F" w:rsidP="006B2C24" w14:paraId="009ADABF" w14:textId="1D3813DD">
      <w:pPr>
        <w:spacing w:line="480" w:lineRule="auto"/>
        <w:ind w:firstLine="720"/>
      </w:pPr>
      <w:r w:rsidRPr="007D4C6F">
        <w:t>For the benefit of all residential consumers in a utility’s service area, the PUCO needs to put more teeth into its existing standards</w:t>
      </w:r>
      <w:r w:rsidRPr="007D4C6F" w:rsidR="00CA0B2E">
        <w:t>. O</w:t>
      </w:r>
      <w:r w:rsidRPr="007D4C6F">
        <w:t>r</w:t>
      </w:r>
      <w:r w:rsidRPr="007D4C6F" w:rsidR="00CA0B2E">
        <w:t xml:space="preserve"> it needs to</w:t>
      </w:r>
      <w:r w:rsidRPr="007D4C6F">
        <w:t xml:space="preserve"> improve the standards such as</w:t>
      </w:r>
      <w:r w:rsidRPr="007D4C6F" w:rsidR="00CA0B2E">
        <w:t xml:space="preserve"> with</w:t>
      </w:r>
      <w:r w:rsidRPr="007D4C6F">
        <w:t xml:space="preserve"> the first test</w:t>
      </w:r>
      <w:r w:rsidRPr="007D4C6F" w:rsidR="00CA0B2E">
        <w:t xml:space="preserve"> in the standards</w:t>
      </w:r>
      <w:r w:rsidRPr="007D4C6F">
        <w:t xml:space="preserve">. </w:t>
      </w:r>
    </w:p>
    <w:p w:rsidR="00BD66AB" w:rsidRPr="007D4C6F" w:rsidP="00F65BA7" w14:paraId="11376128" w14:textId="46351A67">
      <w:pPr>
        <w:spacing w:line="480" w:lineRule="auto"/>
        <w:ind w:firstLine="720"/>
      </w:pPr>
      <w:r w:rsidRPr="007D4C6F">
        <w:t>Notably, f</w:t>
      </w:r>
      <w:r w:rsidRPr="007D4C6F" w:rsidR="009F77DC">
        <w:t xml:space="preserve">ormer PUCO </w:t>
      </w:r>
      <w:r w:rsidRPr="007D4C6F" w:rsidR="00502DB6">
        <w:t>Commissioner Cheryl Roberto</w:t>
      </w:r>
      <w:r w:rsidRPr="007D4C6F" w:rsidR="009F77DC">
        <w:t xml:space="preserve"> previousl</w:t>
      </w:r>
      <w:r w:rsidRPr="007D4C6F" w:rsidR="00A71301">
        <w:t xml:space="preserve">y </w:t>
      </w:r>
      <w:r w:rsidRPr="007D4C6F" w:rsidR="00CA0B2E">
        <w:t xml:space="preserve">wrote in a separate opinion about </w:t>
      </w:r>
      <w:r w:rsidRPr="007D4C6F" w:rsidR="006C4DD1">
        <w:t xml:space="preserve">the </w:t>
      </w:r>
      <w:r w:rsidRPr="007D4C6F" w:rsidR="00F65BA7">
        <w:t>fallacy of</w:t>
      </w:r>
      <w:r w:rsidRPr="007D4C6F" w:rsidR="006C4DD1">
        <w:t xml:space="preserve"> </w:t>
      </w:r>
      <w:r w:rsidRPr="007D4C6F" w:rsidR="002E5F83">
        <w:t xml:space="preserve">relying on </w:t>
      </w:r>
      <w:r w:rsidRPr="007D4C6F" w:rsidR="006C4DD1">
        <w:t xml:space="preserve">the </w:t>
      </w:r>
      <w:r w:rsidRPr="007D4C6F" w:rsidR="00A71301">
        <w:t>PUCO</w:t>
      </w:r>
      <w:r w:rsidRPr="007D4C6F" w:rsidR="00211955">
        <w:t>’s</w:t>
      </w:r>
      <w:r w:rsidRPr="007D4C6F" w:rsidR="00A71301">
        <w:t xml:space="preserve"> settlement process</w:t>
      </w:r>
      <w:r w:rsidRPr="007D4C6F" w:rsidR="006C4DD1">
        <w:t xml:space="preserve"> when a utility</w:t>
      </w:r>
      <w:r w:rsidRPr="007D4C6F" w:rsidR="00AC04B7">
        <w:t xml:space="preserve"> </w:t>
      </w:r>
      <w:r w:rsidRPr="007D4C6F" w:rsidR="00F65BA7">
        <w:t xml:space="preserve">has </w:t>
      </w:r>
      <w:r w:rsidRPr="007D4C6F" w:rsidR="002E5F83">
        <w:t>superior</w:t>
      </w:r>
      <w:r w:rsidRPr="007D4C6F" w:rsidR="00F65BA7">
        <w:t xml:space="preserve"> bargaining power</w:t>
      </w:r>
      <w:r w:rsidRPr="007D4C6F" w:rsidR="002E5F83">
        <w:t xml:space="preserve">. </w:t>
      </w:r>
      <w:r w:rsidRPr="007D4C6F" w:rsidR="002603E1">
        <w:t>With regard to</w:t>
      </w:r>
      <w:r w:rsidRPr="007D4C6F">
        <w:t xml:space="preserve"> </w:t>
      </w:r>
      <w:r w:rsidRPr="007D4C6F" w:rsidR="00B4682D">
        <w:t>a</w:t>
      </w:r>
      <w:r w:rsidRPr="007D4C6F" w:rsidR="002603E1">
        <w:t xml:space="preserve"> settlement of a</w:t>
      </w:r>
      <w:r w:rsidRPr="007D4C6F" w:rsidR="00B4682D">
        <w:t xml:space="preserve"> FirstEnergy</w:t>
      </w:r>
      <w:r w:rsidRPr="007D4C6F">
        <w:t xml:space="preserve"> electric security plan</w:t>
      </w:r>
      <w:r w:rsidRPr="007D4C6F" w:rsidR="00AC04B7">
        <w:t xml:space="preserve"> (“ESP”)</w:t>
      </w:r>
      <w:r w:rsidRPr="007D4C6F">
        <w:t xml:space="preserve">, </w:t>
      </w:r>
      <w:r w:rsidRPr="007D4C6F" w:rsidR="002603E1">
        <w:t>Commissioner</w:t>
      </w:r>
      <w:r w:rsidRPr="007D4C6F">
        <w:t xml:space="preserve"> Roberto wrote:</w:t>
      </w:r>
    </w:p>
    <w:p w:rsidR="00502DB6" w:rsidRPr="007D4C6F" w:rsidP="00BD66AB" w14:paraId="30C0F6F8" w14:textId="1331E7CD">
      <w:pPr>
        <w:pStyle w:val="NormalWeb"/>
        <w:spacing w:before="0" w:beforeAutospacing="0" w:after="0" w:afterAutospacing="0"/>
        <w:ind w:left="1440" w:right="1440"/>
      </w:pPr>
      <w:r w:rsidRPr="007D4C6F">
        <w:t>In the case of an ESP, the balance of power created by an electric distribution utility</w:t>
      </w:r>
      <w:r w:rsidRPr="007D4C6F" w:rsidR="00FA00BA">
        <w:t>’</w:t>
      </w:r>
      <w:r w:rsidRPr="007D4C6F">
        <w:t>s authority to withdraw a Commission-modified and approved plan creates a dynamic that is impossible to ignore. I have no reservation that the parties are indeed capable and knowledgeable but, because of the utility</w:t>
      </w:r>
      <w:r w:rsidRPr="007D4C6F" w:rsidR="00FA00BA">
        <w:t>’</w:t>
      </w:r>
      <w:r w:rsidRPr="007D4C6F">
        <w:t>s ability to withdraw, the remaining parties certainly do not possess equal bargaining power in an ESP action before the Commission.</w:t>
      </w:r>
      <w:r>
        <w:rPr>
          <w:rStyle w:val="FootnoteReference"/>
        </w:rPr>
        <w:footnoteReference w:id="10"/>
      </w:r>
    </w:p>
    <w:p w:rsidR="00B4682D" w:rsidRPr="007D4C6F" w:rsidP="00B4682D" w14:paraId="0903ABE0" w14:textId="6CE56E90">
      <w:pPr>
        <w:pStyle w:val="NormalWeb"/>
        <w:spacing w:before="0" w:beforeAutospacing="0" w:after="0" w:afterAutospacing="0"/>
        <w:ind w:right="1440"/>
      </w:pPr>
    </w:p>
    <w:p w:rsidR="00FA00BA" w:rsidRPr="007D4C6F" w:rsidP="00A17CBA" w14:paraId="282A517E" w14:textId="180C8B9A">
      <w:pPr>
        <w:spacing w:line="480" w:lineRule="auto"/>
        <w:ind w:firstLine="720"/>
      </w:pPr>
      <w:r w:rsidRPr="007D4C6F">
        <w:t>The instant</w:t>
      </w:r>
      <w:r w:rsidRPr="007D4C6F" w:rsidR="00B4682D">
        <w:t xml:space="preserve"> case</w:t>
      </w:r>
      <w:r w:rsidRPr="007D4C6F">
        <w:t xml:space="preserve"> regarding Duke’s rate increase</w:t>
      </w:r>
      <w:r w:rsidRPr="007D4C6F" w:rsidR="00B4682D">
        <w:t>, while not involving an electric security plan</w:t>
      </w:r>
      <w:r w:rsidRPr="007D4C6F" w:rsidR="00ED5AB6">
        <w:t xml:space="preserve"> that Commissioner Roberto wrote about</w:t>
      </w:r>
      <w:r w:rsidRPr="007D4C6F" w:rsidR="00B4682D">
        <w:t xml:space="preserve">, has a similar </w:t>
      </w:r>
      <w:r w:rsidRPr="007D4C6F" w:rsidR="00C107D4">
        <w:t xml:space="preserve">unfair </w:t>
      </w:r>
      <w:r w:rsidRPr="007D4C6F" w:rsidR="00B4682D">
        <w:t xml:space="preserve">dynamic. </w:t>
      </w:r>
      <w:r w:rsidRPr="007D4C6F" w:rsidR="00C107D4">
        <w:t>OCC described above how</w:t>
      </w:r>
      <w:r w:rsidRPr="007D4C6F" w:rsidR="00BF05CF">
        <w:t xml:space="preserve"> there virtually are no settlements at the PUCO unless the utility (here,</w:t>
      </w:r>
      <w:r w:rsidRPr="007D4C6F" w:rsidR="00C107D4">
        <w:t xml:space="preserve"> Duke</w:t>
      </w:r>
      <w:r w:rsidRPr="007D4C6F" w:rsidR="00BF05CF">
        <w:t>)</w:t>
      </w:r>
      <w:r w:rsidRPr="007D4C6F" w:rsidR="00C107D4">
        <w:t xml:space="preserve">, </w:t>
      </w:r>
      <w:r w:rsidRPr="007D4C6F" w:rsidR="00BF05CF">
        <w:t>is willing to be a signatory</w:t>
      </w:r>
      <w:r w:rsidRPr="007D4C6F">
        <w:t xml:space="preserve">. Given its </w:t>
      </w:r>
      <w:r w:rsidRPr="007D4C6F" w:rsidR="00BF05CF">
        <w:t>virtual</w:t>
      </w:r>
      <w:r w:rsidRPr="007D4C6F" w:rsidR="00CA0B2E">
        <w:t>ly</w:t>
      </w:r>
      <w:r w:rsidRPr="007D4C6F">
        <w:t xml:space="preserve"> indispensable status </w:t>
      </w:r>
      <w:r w:rsidRPr="007D4C6F" w:rsidR="00BF05CF">
        <w:t>for</w:t>
      </w:r>
      <w:r w:rsidRPr="007D4C6F">
        <w:t xml:space="preserve"> a Settlement, </w:t>
      </w:r>
      <w:r w:rsidRPr="007D4C6F" w:rsidR="00BF05CF">
        <w:t>Duke is empowered above other bargaining parties</w:t>
      </w:r>
      <w:r w:rsidRPr="007D4C6F" w:rsidR="00ED5AB6">
        <w:t>. That is</w:t>
      </w:r>
      <w:r w:rsidRPr="007D4C6F" w:rsidR="00BF05CF">
        <w:t xml:space="preserve"> even though it lacks the right to withdraw its application that was the focus of Commissioner Roberto’s separate opinion</w:t>
      </w:r>
      <w:r w:rsidRPr="007D4C6F" w:rsidR="00CA0B2E">
        <w:t xml:space="preserve"> in a FirstEnergy ESP case</w:t>
      </w:r>
      <w:r w:rsidRPr="007D4C6F" w:rsidR="00BF05CF">
        <w:t>.</w:t>
      </w:r>
      <w:r w:rsidRPr="007D4C6F">
        <w:t xml:space="preserve"> </w:t>
      </w:r>
    </w:p>
    <w:p w:rsidR="00A17CBA" w:rsidRPr="007D4C6F" w:rsidP="00A17CBA" w14:paraId="24C0901C" w14:textId="23713094">
      <w:pPr>
        <w:spacing w:line="480" w:lineRule="auto"/>
        <w:ind w:firstLine="720"/>
      </w:pPr>
      <w:r w:rsidRPr="007D4C6F">
        <w:t>T</w:t>
      </w:r>
      <w:r w:rsidRPr="007D4C6F" w:rsidR="006C4DD1">
        <w:t>he</w:t>
      </w:r>
      <w:r w:rsidRPr="007D4C6F" w:rsidR="00B4682D">
        <w:t xml:space="preserve"> PUCO</w:t>
      </w:r>
      <w:r w:rsidRPr="007D4C6F">
        <w:t xml:space="preserve"> </w:t>
      </w:r>
      <w:r w:rsidRPr="007D4C6F" w:rsidR="00B4682D">
        <w:t xml:space="preserve">should </w:t>
      </w:r>
      <w:r w:rsidRPr="007D4C6F">
        <w:t xml:space="preserve">protect consumers from Duke’s superior </w:t>
      </w:r>
      <w:r w:rsidRPr="007D4C6F" w:rsidR="00B4682D">
        <w:t>bargaining power</w:t>
      </w:r>
      <w:r w:rsidRPr="007D4C6F">
        <w:t xml:space="preserve"> by equalizing the power</w:t>
      </w:r>
      <w:r w:rsidRPr="007D4C6F" w:rsidR="004027D7">
        <w:t xml:space="preserve"> among parties</w:t>
      </w:r>
      <w:r w:rsidRPr="007D4C6F">
        <w:t xml:space="preserve"> or </w:t>
      </w:r>
      <w:r w:rsidRPr="007D4C6F" w:rsidR="004027D7">
        <w:t xml:space="preserve">improving </w:t>
      </w:r>
      <w:r w:rsidRPr="007D4C6F">
        <w:t xml:space="preserve">the results </w:t>
      </w:r>
      <w:r w:rsidRPr="007D4C6F" w:rsidR="004027D7">
        <w:t>in such a settlement</w:t>
      </w:r>
      <w:r w:rsidRPr="007D4C6F">
        <w:t>.</w:t>
      </w:r>
      <w:r w:rsidRPr="007D4C6F" w:rsidR="00B4682D">
        <w:t xml:space="preserve"> This is especially true</w:t>
      </w:r>
      <w:r w:rsidRPr="007D4C6F" w:rsidR="00845AA3">
        <w:t xml:space="preserve"> in this case where </w:t>
      </w:r>
      <w:r w:rsidRPr="007D4C6F" w:rsidR="006C4DD1">
        <w:t xml:space="preserve">Duke, the PUCO Staff, </w:t>
      </w:r>
      <w:r w:rsidRPr="007D4C6F">
        <w:t xml:space="preserve">business parties, </w:t>
      </w:r>
      <w:r w:rsidRPr="007D4C6F" w:rsidR="006C4DD1">
        <w:t>and</w:t>
      </w:r>
      <w:r w:rsidRPr="007D4C6F" w:rsidR="00845AA3">
        <w:t xml:space="preserve"> </w:t>
      </w:r>
      <w:r w:rsidRPr="007D4C6F">
        <w:t>others</w:t>
      </w:r>
      <w:r w:rsidRPr="007D4C6F" w:rsidR="00845AA3">
        <w:t xml:space="preserve"> agreed to allocate $21.3 million of Duke’s $23.1 million increase to residential consumers</w:t>
      </w:r>
      <w:r w:rsidRPr="007D4C6F">
        <w:t xml:space="preserve">. And they did not adopt any of OCC’s </w:t>
      </w:r>
      <w:r w:rsidRPr="007D4C6F" w:rsidR="00ED5AB6">
        <w:t xml:space="preserve">other </w:t>
      </w:r>
      <w:r w:rsidRPr="007D4C6F">
        <w:t>recommendations</w:t>
      </w:r>
      <w:r w:rsidRPr="007D4C6F" w:rsidR="00ED5AB6">
        <w:t>, such as for adequate service reliability, bill-payment assistance for people in need etc</w:t>
      </w:r>
      <w:r w:rsidRPr="007D4C6F">
        <w:t>.</w:t>
      </w:r>
      <w:r w:rsidRPr="007D4C6F" w:rsidR="00845AA3">
        <w:t xml:space="preserve"> </w:t>
      </w:r>
    </w:p>
    <w:p w:rsidR="00D458E5" w:rsidRPr="007D4C6F" w:rsidP="00D458E5" w14:paraId="62649DB6" w14:textId="298C46B5">
      <w:pPr>
        <w:spacing w:line="480" w:lineRule="auto"/>
        <w:ind w:firstLine="720"/>
      </w:pPr>
      <w:r w:rsidRPr="007D4C6F">
        <w:t>The settlement should be rejected</w:t>
      </w:r>
      <w:r w:rsidRPr="007D4C6F" w:rsidR="00BE2F3D">
        <w:t xml:space="preserve"> or modified</w:t>
      </w:r>
      <w:r w:rsidRPr="007D4C6F" w:rsidR="009F11F3">
        <w:t xml:space="preserve"> to overcome the lack of serious bargaining</w:t>
      </w:r>
      <w:r w:rsidRPr="007D4C6F">
        <w:t>.</w:t>
      </w:r>
    </w:p>
    <w:p w:rsidR="006A2433" w:rsidRPr="007D4C6F" w:rsidP="0014037C" w14:paraId="4E3AF8E5" w14:textId="345445AC">
      <w:pPr>
        <w:pStyle w:val="Heading3"/>
      </w:pPr>
      <w:bookmarkStart w:id="9" w:name="_Toc119331514"/>
      <w:r w:rsidRPr="007D4C6F">
        <w:t>2.</w:t>
      </w:r>
      <w:r w:rsidRPr="007D4C6F">
        <w:tab/>
      </w:r>
      <w:r w:rsidRPr="007D4C6F" w:rsidR="00D458E5">
        <w:t>The settl</w:t>
      </w:r>
      <w:r w:rsidRPr="007D4C6F" w:rsidR="00EA5D65">
        <w:t>ement</w:t>
      </w:r>
      <w:r w:rsidRPr="007D4C6F" w:rsidR="00D458E5">
        <w:t xml:space="preserve"> </w:t>
      </w:r>
      <w:r w:rsidRPr="007D4C6F" w:rsidR="00A30B30">
        <w:t>included only</w:t>
      </w:r>
      <w:r w:rsidRPr="007D4C6F" w:rsidR="00D34BFE">
        <w:t xml:space="preserve"> </w:t>
      </w:r>
      <w:r w:rsidRPr="007D4C6F" w:rsidR="00A30B30">
        <w:t xml:space="preserve">narrow-interested residential </w:t>
      </w:r>
      <w:r w:rsidRPr="007D4C6F" w:rsidR="008256DA">
        <w:t xml:space="preserve">consumer </w:t>
      </w:r>
      <w:r w:rsidRPr="007D4C6F" w:rsidR="00A30B30">
        <w:t>parties</w:t>
      </w:r>
      <w:r w:rsidRPr="007D4C6F" w:rsidR="008256DA">
        <w:t xml:space="preserve"> (with some interests being more environmental tha</w:t>
      </w:r>
      <w:r w:rsidRPr="007D4C6F" w:rsidR="00520167">
        <w:t>n</w:t>
      </w:r>
      <w:r w:rsidRPr="007D4C6F" w:rsidR="008256DA">
        <w:t xml:space="preserve"> consumer)</w:t>
      </w:r>
      <w:r w:rsidRPr="007D4C6F" w:rsidR="00520167">
        <w:t>,</w:t>
      </w:r>
      <w:r w:rsidRPr="007D4C6F" w:rsidR="00D34BFE">
        <w:t xml:space="preserve"> a</w:t>
      </w:r>
      <w:r w:rsidRPr="007D4C6F" w:rsidR="00EA5D65">
        <w:t>s distinguished from</w:t>
      </w:r>
      <w:r w:rsidRPr="007D4C6F" w:rsidR="00AF64C7">
        <w:t xml:space="preserve"> the detriment to</w:t>
      </w:r>
      <w:r w:rsidRPr="007D4C6F" w:rsidR="00EA5D65">
        <w:t xml:space="preserve"> </w:t>
      </w:r>
      <w:r w:rsidRPr="007D4C6F" w:rsidR="00D34BFE">
        <w:t>the</w:t>
      </w:r>
      <w:r w:rsidRPr="007D4C6F" w:rsidR="00520167">
        <w:t xml:space="preserve"> </w:t>
      </w:r>
      <w:r w:rsidRPr="007D4C6F" w:rsidR="00D34BFE">
        <w:t xml:space="preserve">broad interests of the residential </w:t>
      </w:r>
      <w:r w:rsidRPr="007D4C6F" w:rsidR="008256DA">
        <w:t>consumer</w:t>
      </w:r>
      <w:r w:rsidRPr="007D4C6F" w:rsidR="00D34BFE">
        <w:t xml:space="preserve"> class</w:t>
      </w:r>
      <w:r w:rsidRPr="007D4C6F" w:rsidR="00520167">
        <w:t xml:space="preserve"> in charges and reliable service</w:t>
      </w:r>
      <w:r w:rsidRPr="007D4C6F" w:rsidR="001274B8">
        <w:t>,</w:t>
      </w:r>
      <w:r w:rsidRPr="007D4C6F" w:rsidR="00520167">
        <w:t xml:space="preserve"> etc.</w:t>
      </w:r>
      <w:r w:rsidRPr="007D4C6F" w:rsidR="008256DA">
        <w:t xml:space="preserve"> </w:t>
      </w:r>
      <w:r w:rsidRPr="007D4C6F" w:rsidR="00520167">
        <w:t>The s</w:t>
      </w:r>
      <w:r w:rsidRPr="007D4C6F" w:rsidR="00346280">
        <w:t xml:space="preserve">ettling </w:t>
      </w:r>
      <w:r w:rsidRPr="007D4C6F" w:rsidR="00EA5D65">
        <w:t xml:space="preserve">business </w:t>
      </w:r>
      <w:r w:rsidRPr="007D4C6F" w:rsidR="00346280">
        <w:t>parties benefit from a lower allocation or</w:t>
      </w:r>
      <w:r w:rsidRPr="007D4C6F" w:rsidR="00A30B30">
        <w:t xml:space="preserve"> </w:t>
      </w:r>
      <w:r w:rsidRPr="007D4C6F" w:rsidR="00346280">
        <w:t>are not</w:t>
      </w:r>
      <w:r w:rsidRPr="007D4C6F" w:rsidR="00EE417A">
        <w:t xml:space="preserve"> </w:t>
      </w:r>
      <w:r w:rsidRPr="007D4C6F" w:rsidR="00520167">
        <w:t xml:space="preserve">uniquely </w:t>
      </w:r>
      <w:r w:rsidRPr="007D4C6F" w:rsidR="00EE417A">
        <w:t>affected</w:t>
      </w:r>
      <w:r w:rsidRPr="007D4C6F" w:rsidR="00520167">
        <w:t xml:space="preserve"> (as with Duke</w:t>
      </w:r>
      <w:r w:rsidRPr="007D4C6F" w:rsidR="00AF64C7">
        <w:t xml:space="preserve"> and others</w:t>
      </w:r>
      <w:r w:rsidRPr="007D4C6F" w:rsidR="00520167">
        <w:t>)</w:t>
      </w:r>
      <w:r w:rsidRPr="007D4C6F" w:rsidR="00EE417A">
        <w:t xml:space="preserve"> by the 92.4% allocation.</w:t>
      </w:r>
      <w:bookmarkEnd w:id="9"/>
      <w:r w:rsidRPr="007D4C6F" w:rsidR="00346280">
        <w:t xml:space="preserve"> </w:t>
      </w:r>
    </w:p>
    <w:p w:rsidR="00A17CBA" w:rsidRPr="007D4C6F" w:rsidP="006B2C24" w14:paraId="6E37EEB2" w14:textId="5E59D6FC">
      <w:pPr>
        <w:spacing w:line="480" w:lineRule="auto"/>
        <w:ind w:firstLine="720"/>
      </w:pPr>
      <w:r w:rsidRPr="007D4C6F">
        <w:t xml:space="preserve">The settlement unfairly </w:t>
      </w:r>
      <w:r w:rsidRPr="007D4C6F" w:rsidR="00244A46">
        <w:t>pushes</w:t>
      </w:r>
      <w:r w:rsidRPr="007D4C6F">
        <w:t xml:space="preserve"> the bulk of the rate increase on residential consumers. </w:t>
      </w:r>
      <w:r w:rsidRPr="007D4C6F" w:rsidR="00551125">
        <w:t>Other than with Cincinnati</w:t>
      </w:r>
      <w:r w:rsidRPr="007D4C6F" w:rsidR="00F93971">
        <w:t xml:space="preserve"> within its city limits,</w:t>
      </w:r>
      <w:r w:rsidRPr="007D4C6F" w:rsidR="00551125">
        <w:t xml:space="preserve"> t</w:t>
      </w:r>
      <w:r w:rsidRPr="007D4C6F" w:rsidR="003D02AF">
        <w:t xml:space="preserve">he settling parties </w:t>
      </w:r>
      <w:r w:rsidRPr="007D4C6F" w:rsidR="00487343">
        <w:t>agreeing to</w:t>
      </w:r>
      <w:r w:rsidRPr="007D4C6F" w:rsidR="00244A46">
        <w:t xml:space="preserve"> the </w:t>
      </w:r>
      <w:r w:rsidRPr="007D4C6F" w:rsidR="00487343">
        <w:t>residential consumer</w:t>
      </w:r>
      <w:r w:rsidRPr="007D4C6F" w:rsidR="00346280">
        <w:t xml:space="preserve"> allocation</w:t>
      </w:r>
      <w:r w:rsidRPr="007D4C6F" w:rsidR="00244A46">
        <w:t xml:space="preserve"> </w:t>
      </w:r>
      <w:r w:rsidRPr="007D4C6F" w:rsidR="00244A46">
        <w:rPr>
          <w:i/>
          <w:iCs/>
        </w:rPr>
        <w:t>don’t have to pay it</w:t>
      </w:r>
      <w:r w:rsidRPr="007D4C6F" w:rsidR="00244A46">
        <w:t xml:space="preserve">. </w:t>
      </w:r>
      <w:r w:rsidRPr="007D4C6F" w:rsidR="005D5C4F">
        <w:t xml:space="preserve">Even Cincinnati can benefit in its business-service capacity. </w:t>
      </w:r>
      <w:r w:rsidRPr="007D4C6F" w:rsidR="00244A46">
        <w:t>The settling parties</w:t>
      </w:r>
      <w:r w:rsidRPr="007D4C6F" w:rsidR="00487343">
        <w:t xml:space="preserve"> do</w:t>
      </w:r>
      <w:r w:rsidRPr="007D4C6F" w:rsidR="00244A46">
        <w:t xml:space="preserve"> not</w:t>
      </w:r>
      <w:r w:rsidRPr="007D4C6F">
        <w:t xml:space="preserve"> </w:t>
      </w:r>
      <w:r w:rsidRPr="007D4C6F" w:rsidR="00487343">
        <w:t xml:space="preserve">represent the broad interests of </w:t>
      </w:r>
      <w:r w:rsidRPr="007D4C6F" w:rsidR="00F7510D">
        <w:t>Duke’s</w:t>
      </w:r>
      <w:r w:rsidRPr="007D4C6F" w:rsidR="00487343">
        <w:t xml:space="preserve"> residential consumers.</w:t>
      </w:r>
      <w:r w:rsidRPr="007D4C6F">
        <w:t xml:space="preserve"> </w:t>
      </w:r>
      <w:r w:rsidRPr="007D4C6F" w:rsidR="00F93971">
        <w:t>The result of the</w:t>
      </w:r>
      <w:r w:rsidRPr="007D4C6F" w:rsidR="00346280">
        <w:t xml:space="preserve"> 92.4% allocation </w:t>
      </w:r>
      <w:r w:rsidRPr="007D4C6F" w:rsidR="00F93971">
        <w:t>to</w:t>
      </w:r>
      <w:r w:rsidRPr="007D4C6F" w:rsidR="00346280">
        <w:t xml:space="preserve"> residential consumers </w:t>
      </w:r>
      <w:r w:rsidRPr="007D4C6F" w:rsidR="005D5C4F">
        <w:t xml:space="preserve">and lack of </w:t>
      </w:r>
      <w:r w:rsidRPr="007D4C6F" w:rsidR="00F93971">
        <w:t>adopti</w:t>
      </w:r>
      <w:r w:rsidRPr="007D4C6F" w:rsidR="005D5C4F">
        <w:t>on of</w:t>
      </w:r>
      <w:r w:rsidRPr="007D4C6F" w:rsidR="00F93971">
        <w:t xml:space="preserve"> </w:t>
      </w:r>
      <w:r w:rsidRPr="007D4C6F" w:rsidR="00346280">
        <w:t>OCC’s</w:t>
      </w:r>
      <w:r w:rsidRPr="007D4C6F" w:rsidR="005D5C4F">
        <w:t xml:space="preserve"> other</w:t>
      </w:r>
      <w:r w:rsidRPr="007D4C6F" w:rsidR="00346280">
        <w:t xml:space="preserve"> consumer protection proposals </w:t>
      </w:r>
      <w:r w:rsidRPr="007D4C6F" w:rsidR="00F93971">
        <w:t>reflects a lack of</w:t>
      </w:r>
      <w:r w:rsidRPr="007D4C6F">
        <w:t xml:space="preserve"> serious bargaining.</w:t>
      </w:r>
      <w:r w:rsidRPr="007D4C6F" w:rsidR="00D80527">
        <w:t xml:space="preserve"> </w:t>
      </w:r>
    </w:p>
    <w:p w:rsidR="00D725FF" w:rsidRPr="007D4C6F" w:rsidP="00A17CBA" w14:paraId="519A3C11" w14:textId="08DA35AD">
      <w:pPr>
        <w:spacing w:line="480" w:lineRule="auto"/>
        <w:ind w:firstLine="720"/>
      </w:pPr>
      <w:r w:rsidRPr="007D4C6F">
        <w:t>S</w:t>
      </w:r>
      <w:r w:rsidRPr="007D4C6F" w:rsidR="00430D1B">
        <w:t xml:space="preserve">ettling </w:t>
      </w:r>
      <w:r w:rsidRPr="007D4C6F" w:rsidR="00487343">
        <w:t>parties</w:t>
      </w:r>
      <w:r w:rsidRPr="007D4C6F">
        <w:t xml:space="preserve"> O</w:t>
      </w:r>
      <w:r w:rsidRPr="007D4C6F" w:rsidR="00094C68">
        <w:t>hio Energy Group (which includes some of the larger corporations in the state)</w:t>
      </w:r>
      <w:r w:rsidRPr="007D4C6F">
        <w:t xml:space="preserve"> and</w:t>
      </w:r>
      <w:r w:rsidRPr="007D4C6F" w:rsidR="00F7510D">
        <w:t xml:space="preserve"> </w:t>
      </w:r>
      <w:r w:rsidRPr="007D4C6F" w:rsidR="00E30246">
        <w:t xml:space="preserve">national </w:t>
      </w:r>
      <w:r w:rsidRPr="007D4C6F" w:rsidR="00F7510D">
        <w:t>retailer</w:t>
      </w:r>
      <w:r w:rsidRPr="007D4C6F">
        <w:t xml:space="preserve"> Walmart</w:t>
      </w:r>
      <w:r w:rsidRPr="007D4C6F" w:rsidR="00346280">
        <w:t xml:space="preserve"> agreed to allocate 92.4% of the unreasonabl</w:t>
      </w:r>
      <w:r w:rsidRPr="007D4C6F" w:rsidR="00A86155">
        <w:t>y high</w:t>
      </w:r>
      <w:r w:rsidRPr="007D4C6F" w:rsidR="00346280">
        <w:t xml:space="preserve"> rate increase to residential consumers</w:t>
      </w:r>
      <w:r w:rsidRPr="007D4C6F" w:rsidR="005D5C4F">
        <w:t>,</w:t>
      </w:r>
      <w:r w:rsidRPr="007D4C6F" w:rsidR="00450F1E">
        <w:t xml:space="preserve"> </w:t>
      </w:r>
      <w:r w:rsidRPr="007D4C6F" w:rsidR="00A86155">
        <w:t>sparing</w:t>
      </w:r>
      <w:r w:rsidRPr="007D4C6F" w:rsidR="00450F1E">
        <w:t xml:space="preserve"> their businesses</w:t>
      </w:r>
      <w:r w:rsidRPr="007D4C6F" w:rsidR="00A86155">
        <w:t>. The</w:t>
      </w:r>
      <w:r w:rsidRPr="007D4C6F" w:rsidR="00A30B30">
        <w:t xml:space="preserve"> Ohio Manufacturers’ Association Energy Group and Kroger agreed to not oppose it</w:t>
      </w:r>
      <w:r w:rsidRPr="007D4C6F" w:rsidR="00346280">
        <w:t>. But OEG</w:t>
      </w:r>
      <w:r w:rsidRPr="007D4C6F" w:rsidR="00761513">
        <w:t xml:space="preserve">, </w:t>
      </w:r>
      <w:r w:rsidRPr="007D4C6F" w:rsidR="00346280">
        <w:t>Walmart</w:t>
      </w:r>
      <w:r w:rsidRPr="007D4C6F" w:rsidR="00761513">
        <w:t>, OMA-EG, and Kroger</w:t>
      </w:r>
      <w:r w:rsidRPr="007D4C6F">
        <w:t xml:space="preserve"> </w:t>
      </w:r>
      <w:r w:rsidRPr="007D4C6F" w:rsidR="00346280">
        <w:t>obviously</w:t>
      </w:r>
      <w:r w:rsidRPr="007D4C6F" w:rsidR="00A17CBA">
        <w:t xml:space="preserve"> </w:t>
      </w:r>
      <w:r w:rsidRPr="007D4C6F" w:rsidR="00761513">
        <w:t>are not</w:t>
      </w:r>
      <w:r w:rsidRPr="007D4C6F" w:rsidR="00487343">
        <w:t xml:space="preserve"> residential interests</w:t>
      </w:r>
      <w:r w:rsidRPr="007D4C6F" w:rsidR="00537E26">
        <w:t>.</w:t>
      </w:r>
      <w:r w:rsidRPr="007D4C6F" w:rsidR="00487343">
        <w:t xml:space="preserve"> </w:t>
      </w:r>
      <w:r w:rsidRPr="007D4C6F" w:rsidR="00537E26">
        <w:t xml:space="preserve">And, as representatives of non-residential interests, </w:t>
      </w:r>
      <w:r w:rsidRPr="007D4C6F">
        <w:t>they</w:t>
      </w:r>
      <w:r w:rsidRPr="007D4C6F" w:rsidR="00094B70">
        <w:t xml:space="preserve"> benefit</w:t>
      </w:r>
      <w:r w:rsidRPr="007D4C6F">
        <w:t xml:space="preserve"> from</w:t>
      </w:r>
      <w:r w:rsidRPr="007D4C6F" w:rsidR="00094B70">
        <w:t xml:space="preserve"> </w:t>
      </w:r>
      <w:r w:rsidRPr="007D4C6F" w:rsidR="00E30246">
        <w:t>being allocated less than</w:t>
      </w:r>
      <w:r w:rsidRPr="007D4C6F" w:rsidR="00094B70">
        <w:t xml:space="preserve"> 8%</w:t>
      </w:r>
      <w:r w:rsidRPr="007D4C6F" w:rsidR="00487343">
        <w:t xml:space="preserve"> </w:t>
      </w:r>
      <w:r w:rsidRPr="007D4C6F" w:rsidR="00430D1B">
        <w:t>of the rate increase.</w:t>
      </w:r>
      <w:r w:rsidRPr="007D4C6F" w:rsidR="00F17699">
        <w:t xml:space="preserve"> </w:t>
      </w:r>
    </w:p>
    <w:p w:rsidR="009D41F4" w:rsidRPr="007D4C6F" w:rsidP="00D34BFE" w14:paraId="4C1ACB03" w14:textId="063EBE96">
      <w:pPr>
        <w:spacing w:line="480" w:lineRule="auto"/>
        <w:ind w:firstLine="720"/>
      </w:pPr>
      <w:r w:rsidRPr="007D4C6F">
        <w:t>OMA-EG</w:t>
      </w:r>
      <w:r w:rsidRPr="007D4C6F" w:rsidR="001652DC">
        <w:t>/</w:t>
      </w:r>
      <w:r w:rsidRPr="007D4C6F" w:rsidR="00094C68">
        <w:t>Kroger</w:t>
      </w:r>
      <w:r w:rsidRPr="007D4C6F">
        <w:t xml:space="preserve"> claim that the Signatory Parties to the Stipulation include numerous groups that represent residential customers.</w:t>
      </w:r>
      <w:r>
        <w:rPr>
          <w:rStyle w:val="FootnoteReference"/>
        </w:rPr>
        <w:footnoteReference w:id="11"/>
      </w:r>
      <w:r w:rsidR="007D4C6F">
        <w:t xml:space="preserve"> </w:t>
      </w:r>
      <w:r w:rsidRPr="007D4C6F" w:rsidR="00094C68">
        <w:t>OMA-EG</w:t>
      </w:r>
      <w:r w:rsidRPr="007D4C6F" w:rsidR="001652DC">
        <w:t>/</w:t>
      </w:r>
      <w:r w:rsidRPr="007D4C6F" w:rsidR="00094C68">
        <w:t>Kroger would elevate CUB</w:t>
      </w:r>
      <w:r w:rsidRPr="007D4C6F" w:rsidR="00D663CE">
        <w:t xml:space="preserve"> Ohio</w:t>
      </w:r>
      <w:r w:rsidRPr="007D4C6F" w:rsidR="00094C68">
        <w:t xml:space="preserve"> </w:t>
      </w:r>
      <w:r w:rsidRPr="007D4C6F" w:rsidR="00D663CE">
        <w:t>as a residential interest</w:t>
      </w:r>
      <w:r w:rsidRPr="007D4C6F" w:rsidR="00094C68">
        <w:t xml:space="preserve">. </w:t>
      </w:r>
      <w:r w:rsidRPr="007D4C6F">
        <w:t xml:space="preserve">But </w:t>
      </w:r>
      <w:r w:rsidRPr="007D4C6F" w:rsidR="00094C68">
        <w:t>OMA-EG</w:t>
      </w:r>
      <w:r w:rsidRPr="007D4C6F" w:rsidR="001652DC">
        <w:t>/Kroger</w:t>
      </w:r>
      <w:r w:rsidRPr="007D4C6F" w:rsidR="00094C68">
        <w:t>’s characterization</w:t>
      </w:r>
      <w:r w:rsidRPr="007D4C6F" w:rsidR="00A86155">
        <w:t xml:space="preserve"> to prop up CUB Ohio</w:t>
      </w:r>
      <w:r w:rsidRPr="007D4C6F" w:rsidR="00094C68">
        <w:t xml:space="preserve"> </w:t>
      </w:r>
      <w:r w:rsidRPr="007D4C6F" w:rsidR="001E0E87">
        <w:t>is</w:t>
      </w:r>
      <w:r w:rsidRPr="007D4C6F" w:rsidR="00094C68">
        <w:t xml:space="preserve"> </w:t>
      </w:r>
      <w:r w:rsidRPr="007D4C6F">
        <w:t>overstated</w:t>
      </w:r>
      <w:r w:rsidRPr="007D4C6F" w:rsidR="00094C68">
        <w:t>.</w:t>
      </w:r>
      <w:r w:rsidRPr="007D4C6F">
        <w:t xml:space="preserve"> </w:t>
      </w:r>
      <w:r w:rsidRPr="007D4C6F" w:rsidR="001E0E87">
        <w:t>It’s</w:t>
      </w:r>
      <w:r w:rsidRPr="007D4C6F">
        <w:t xml:space="preserve"> not borne out by the facts.</w:t>
      </w:r>
      <w:r w:rsidR="007D4C6F">
        <w:t xml:space="preserve"> </w:t>
      </w:r>
    </w:p>
    <w:p w:rsidR="009D41F4" w:rsidRPr="007D4C6F" w:rsidP="00D34BFE" w14:paraId="2995F446" w14:textId="52968E48">
      <w:pPr>
        <w:spacing w:line="480" w:lineRule="auto"/>
        <w:ind w:firstLine="720"/>
      </w:pPr>
      <w:r w:rsidRPr="007D4C6F">
        <w:t>OMA-EG</w:t>
      </w:r>
      <w:r w:rsidRPr="007D4C6F" w:rsidR="001652DC">
        <w:t>/Kroger</w:t>
      </w:r>
      <w:r w:rsidRPr="007D4C6F">
        <w:t xml:space="preserve"> claim that OCC</w:t>
      </w:r>
      <w:r w:rsidRPr="007D4C6F" w:rsidR="001652DC">
        <w:t>’s</w:t>
      </w:r>
      <w:r w:rsidRPr="007D4C6F">
        <w:t xml:space="preserve"> witness Williams “acknowledged” th</w:t>
      </w:r>
      <w:r w:rsidRPr="007D4C6F" w:rsidR="001652DC">
        <w:t xml:space="preserve">e </w:t>
      </w:r>
      <w:r w:rsidRPr="007D4C6F">
        <w:t>following:</w:t>
      </w:r>
      <w:r w:rsidR="007D4C6F">
        <w:t xml:space="preserve"> </w:t>
      </w:r>
      <w:bookmarkStart w:id="10" w:name="_Hlk119311380"/>
      <w:r w:rsidRPr="007D4C6F">
        <w:t>“[f]or decades, the Citizens Utility Board has fought for cheaper bills, reliable service, transparency, consumer rights and clean healthy energy, helping consumers to save billions of dollars.”</w:t>
      </w:r>
      <w:bookmarkEnd w:id="10"/>
      <w:r>
        <w:rPr>
          <w:rStyle w:val="FootnoteReference"/>
        </w:rPr>
        <w:footnoteReference w:id="12"/>
      </w:r>
      <w:r w:rsidR="007D4C6F">
        <w:t xml:space="preserve"> </w:t>
      </w:r>
    </w:p>
    <w:p w:rsidR="00D34BFE" w:rsidRPr="007D4C6F" w:rsidP="00D34BFE" w14:paraId="06FA950C" w14:textId="278FCE8B">
      <w:pPr>
        <w:spacing w:line="480" w:lineRule="auto"/>
        <w:ind w:firstLine="720"/>
      </w:pPr>
      <w:r w:rsidRPr="007D4C6F">
        <w:t xml:space="preserve">But </w:t>
      </w:r>
      <w:r w:rsidRPr="007D4C6F" w:rsidR="001E0E87">
        <w:t xml:space="preserve">OCC </w:t>
      </w:r>
      <w:r w:rsidRPr="007D4C6F">
        <w:t xml:space="preserve">witness Williams </w:t>
      </w:r>
      <w:r w:rsidRPr="007D4C6F" w:rsidR="005D5C4F">
        <w:t>was not</w:t>
      </w:r>
      <w:r w:rsidRPr="007D4C6F">
        <w:t xml:space="preserve"> acknowledg</w:t>
      </w:r>
      <w:r w:rsidRPr="007D4C6F" w:rsidR="005D5C4F">
        <w:t>ing</w:t>
      </w:r>
      <w:r w:rsidRPr="007D4C6F">
        <w:t xml:space="preserve"> </w:t>
      </w:r>
      <w:r w:rsidRPr="007D4C6F" w:rsidR="00D663CE">
        <w:t>th</w:t>
      </w:r>
      <w:r w:rsidRPr="007D4C6F" w:rsidR="001E0E87">
        <w:t>at</w:t>
      </w:r>
      <w:r w:rsidRPr="007D4C6F" w:rsidR="005D5C4F">
        <w:t xml:space="preserve"> the</w:t>
      </w:r>
      <w:r w:rsidRPr="007D4C6F" w:rsidR="00D663CE">
        <w:t xml:space="preserve"> </w:t>
      </w:r>
      <w:r w:rsidRPr="007D4C6F" w:rsidR="001E0E87">
        <w:t xml:space="preserve">information </w:t>
      </w:r>
      <w:r w:rsidRPr="007D4C6F" w:rsidR="005D5C4F">
        <w:t>Duke’s counsel showed him is true</w:t>
      </w:r>
      <w:r w:rsidRPr="007D4C6F">
        <w:t xml:space="preserve">. He simply acknowledged that the quote was in a </w:t>
      </w:r>
      <w:r w:rsidRPr="007D4C6F" w:rsidR="00D663CE">
        <w:t>record</w:t>
      </w:r>
      <w:r w:rsidRPr="007D4C6F">
        <w:t xml:space="preserve"> that </w:t>
      </w:r>
      <w:r w:rsidRPr="007D4C6F" w:rsidR="00A86155">
        <w:t>Duke</w:t>
      </w:r>
      <w:r w:rsidRPr="007D4C6F">
        <w:t xml:space="preserve">’s counsel handed him </w:t>
      </w:r>
      <w:r w:rsidRPr="007D4C6F" w:rsidR="00A86155">
        <w:t>on</w:t>
      </w:r>
      <w:r w:rsidRPr="007D4C6F">
        <w:t xml:space="preserve"> cross-examination</w:t>
      </w:r>
      <w:r w:rsidRPr="007D4C6F" w:rsidR="00D663CE">
        <w:t xml:space="preserve"> regarding CUB Ohio</w:t>
      </w:r>
      <w:r w:rsidRPr="007D4C6F">
        <w:t xml:space="preserve">. </w:t>
      </w:r>
    </w:p>
    <w:p w:rsidR="00DB06B7" w:rsidRPr="007D4C6F" w:rsidP="00D34BFE" w14:paraId="056F05E1" w14:textId="71C4E1B5">
      <w:pPr>
        <w:spacing w:line="480" w:lineRule="auto"/>
        <w:ind w:firstLine="720"/>
      </w:pPr>
      <w:r w:rsidRPr="007D4C6F">
        <w:t xml:space="preserve">During </w:t>
      </w:r>
      <w:r w:rsidRPr="007D4C6F" w:rsidR="001E0E87">
        <w:t>Duke’s</w:t>
      </w:r>
      <w:r w:rsidRPr="007D4C6F">
        <w:t xml:space="preserve"> cross-examination, </w:t>
      </w:r>
      <w:r w:rsidRPr="007D4C6F" w:rsidR="00CB27AF">
        <w:t>Mr. Williams</w:t>
      </w:r>
      <w:r w:rsidRPr="007D4C6F" w:rsidR="00D34BFE">
        <w:t xml:space="preserve"> correctly </w:t>
      </w:r>
      <w:r w:rsidRPr="007D4C6F" w:rsidR="00CB27AF">
        <w:t>noted</w:t>
      </w:r>
      <w:r w:rsidRPr="007D4C6F" w:rsidR="00D34BFE">
        <w:t xml:space="preserve"> that CUB Ohio had only started</w:t>
      </w:r>
      <w:r w:rsidRPr="007D4C6F" w:rsidR="00CB27AF">
        <w:t>-up</w:t>
      </w:r>
      <w:r w:rsidRPr="007D4C6F" w:rsidR="00D34BFE">
        <w:t xml:space="preserve"> in the last few years.</w:t>
      </w:r>
      <w:r>
        <w:rPr>
          <w:rStyle w:val="FootnoteReference"/>
        </w:rPr>
        <w:footnoteReference w:id="13"/>
      </w:r>
      <w:r w:rsidRPr="007D4C6F" w:rsidR="00D34BFE">
        <w:t xml:space="preserve"> Mr. Williams </w:t>
      </w:r>
      <w:r w:rsidRPr="007D4C6F" w:rsidR="001E0E87">
        <w:t>noted</w:t>
      </w:r>
      <w:r w:rsidRPr="007D4C6F" w:rsidR="00D34BFE">
        <w:t xml:space="preserve"> that there is a difference between “CUB Ohio” and the “Citizens Utility Board,” testifying that “CUB has existed in many forms and in many different states for many decades.”</w:t>
      </w:r>
      <w:r>
        <w:rPr>
          <w:rStyle w:val="FootnoteReference"/>
        </w:rPr>
        <w:footnoteReference w:id="14"/>
      </w:r>
      <w:r w:rsidR="007D4C6F">
        <w:t xml:space="preserve"> </w:t>
      </w:r>
      <w:r w:rsidRPr="007D4C6F" w:rsidR="00D34BFE">
        <w:t>CUB Ohio has only been in existence since 2020</w:t>
      </w:r>
      <w:r w:rsidRPr="007D4C6F" w:rsidR="00C3562C">
        <w:t>.</w:t>
      </w:r>
      <w:r>
        <w:rPr>
          <w:rStyle w:val="FootnoteReference"/>
        </w:rPr>
        <w:footnoteReference w:id="15"/>
      </w:r>
      <w:r w:rsidR="007D4C6F">
        <w:t xml:space="preserve"> </w:t>
      </w:r>
    </w:p>
    <w:p w:rsidR="00D34BFE" w:rsidRPr="007D4C6F" w:rsidP="00D34BFE" w14:paraId="0BDD5A91" w14:textId="7BD170C3">
      <w:pPr>
        <w:spacing w:line="480" w:lineRule="auto"/>
        <w:ind w:firstLine="720"/>
      </w:pPr>
      <w:r w:rsidRPr="007D4C6F">
        <w:t xml:space="preserve">OMA-EG/Kroger’s </w:t>
      </w:r>
      <w:r w:rsidRPr="007D4C6F" w:rsidR="0073167F">
        <w:t>characterization of</w:t>
      </w:r>
      <w:r w:rsidRPr="007D4C6F">
        <w:t xml:space="preserve"> information</w:t>
      </w:r>
      <w:r w:rsidRPr="007D4C6F" w:rsidR="00DB06B7">
        <w:t xml:space="preserve"> about “decades” of consumer advocacy and “billions”</w:t>
      </w:r>
      <w:r w:rsidRPr="007D4C6F">
        <w:t xml:space="preserve"> </w:t>
      </w:r>
      <w:r w:rsidRPr="007D4C6F" w:rsidR="00DB06B7">
        <w:t xml:space="preserve">saved </w:t>
      </w:r>
      <w:r w:rsidRPr="007D4C6F" w:rsidR="005D5C4F">
        <w:t>by</w:t>
      </w:r>
      <w:r w:rsidRPr="007D4C6F" w:rsidR="0073167F">
        <w:t xml:space="preserve"> CUB Ohio </w:t>
      </w:r>
      <w:r w:rsidRPr="007D4C6F" w:rsidR="00DB06B7">
        <w:t xml:space="preserve">should not be </w:t>
      </w:r>
      <w:r w:rsidRPr="007D4C6F" w:rsidR="0073167F">
        <w:t>mistaken</w:t>
      </w:r>
      <w:r w:rsidRPr="007D4C6F" w:rsidR="005D5C4F">
        <w:t xml:space="preserve"> by the PUCO</w:t>
      </w:r>
      <w:r w:rsidRPr="007D4C6F" w:rsidR="0073167F">
        <w:t xml:space="preserve"> as reality </w:t>
      </w:r>
      <w:r w:rsidRPr="007D4C6F" w:rsidR="005D5C4F">
        <w:t>for CUB Ohio’s</w:t>
      </w:r>
      <w:r w:rsidRPr="007D4C6F" w:rsidR="00DB06B7">
        <w:t xml:space="preserve"> </w:t>
      </w:r>
      <w:r w:rsidRPr="007D4C6F" w:rsidR="005D5C4F">
        <w:t xml:space="preserve">consumer </w:t>
      </w:r>
      <w:r w:rsidRPr="007D4C6F" w:rsidR="00DB06B7">
        <w:t>credentials</w:t>
      </w:r>
      <w:r w:rsidRPr="007D4C6F" w:rsidR="005D5C4F">
        <w:t>.</w:t>
      </w:r>
      <w:r w:rsidRPr="007D4C6F" w:rsidR="00DB06B7">
        <w:t xml:space="preserve"> </w:t>
      </w:r>
      <w:r w:rsidRPr="007D4C6F" w:rsidR="005D5C4F">
        <w:t xml:space="preserve">Again, </w:t>
      </w:r>
      <w:r w:rsidRPr="007D4C6F" w:rsidR="00DB06B7">
        <w:t>CUB Ohio has only operated in Ohio for a couple years.</w:t>
      </w:r>
      <w:r w:rsidRPr="007D4C6F">
        <w:t xml:space="preserve"> </w:t>
      </w:r>
      <w:r w:rsidRPr="007D4C6F" w:rsidR="0084312F">
        <w:t xml:space="preserve">Mr. Williams would have been glad to describe the Ohio Consumers’ Counsel’s record of consumer </w:t>
      </w:r>
      <w:r w:rsidRPr="007D4C6F" w:rsidR="0073167F">
        <w:t xml:space="preserve">advocacy and </w:t>
      </w:r>
      <w:r w:rsidRPr="007D4C6F" w:rsidR="0084312F">
        <w:t xml:space="preserve">savings, had </w:t>
      </w:r>
      <w:r w:rsidRPr="007D4C6F" w:rsidR="0073167F">
        <w:t>Duke</w:t>
      </w:r>
      <w:r w:rsidRPr="007D4C6F" w:rsidR="0084312F">
        <w:t>’s counsel asked him.</w:t>
      </w:r>
    </w:p>
    <w:p w:rsidR="00E7790F" w:rsidRPr="007D4C6F" w:rsidP="006B2C24" w14:paraId="3D639E33" w14:textId="77F40D10">
      <w:pPr>
        <w:spacing w:line="480" w:lineRule="auto"/>
        <w:ind w:firstLine="720"/>
      </w:pPr>
      <w:r w:rsidRPr="007D4C6F">
        <w:t>CUB Ohio</w:t>
      </w:r>
      <w:r w:rsidRPr="007D4C6F" w:rsidR="0080093A">
        <w:t>, OPAE, PWC</w:t>
      </w:r>
      <w:r w:rsidRPr="007D4C6F">
        <w:t>, and Cincinnati</w:t>
      </w:r>
      <w:r w:rsidRPr="007D4C6F" w:rsidR="00B00AA4">
        <w:t xml:space="preserve"> represent certain</w:t>
      </w:r>
      <w:r w:rsidRPr="007D4C6F" w:rsidR="009A30E7">
        <w:t xml:space="preserve"> </w:t>
      </w:r>
      <w:r w:rsidRPr="007D4C6F">
        <w:t>narrow</w:t>
      </w:r>
      <w:r w:rsidRPr="007D4C6F" w:rsidR="00FA00BA">
        <w:t xml:space="preserve"> </w:t>
      </w:r>
      <w:r w:rsidRPr="007D4C6F" w:rsidR="0080093A">
        <w:t>residential consumer</w:t>
      </w:r>
      <w:r w:rsidRPr="007D4C6F" w:rsidR="006E50A1">
        <w:t xml:space="preserve"> interests</w:t>
      </w:r>
      <w:r w:rsidRPr="007D4C6F">
        <w:t xml:space="preserve">. They do </w:t>
      </w:r>
      <w:r w:rsidRPr="007D4C6F" w:rsidR="00D34BFE">
        <w:t>not</w:t>
      </w:r>
      <w:r w:rsidRPr="007D4C6F">
        <w:t xml:space="preserve"> represent</w:t>
      </w:r>
      <w:r w:rsidRPr="007D4C6F" w:rsidR="00D34BFE">
        <w:t xml:space="preserve"> the broad interests of the residential consumer class</w:t>
      </w:r>
      <w:r w:rsidRPr="007D4C6F">
        <w:t xml:space="preserve"> that is impacted</w:t>
      </w:r>
      <w:r w:rsidRPr="007D4C6F" w:rsidR="00F6560A">
        <w:t xml:space="preserve"> to its detriment</w:t>
      </w:r>
      <w:r w:rsidRPr="007D4C6F">
        <w:t xml:space="preserve"> by the settlement in this case</w:t>
      </w:r>
      <w:r w:rsidRPr="007D4C6F" w:rsidR="00F6560A">
        <w:t xml:space="preserve"> –</w:t>
      </w:r>
      <w:r w:rsidRPr="007D4C6F">
        <w:t xml:space="preserve"> and that needed but did not get serious bargaining from Duke</w:t>
      </w:r>
      <w:r w:rsidRPr="007D4C6F" w:rsidR="00D34BFE">
        <w:t>.</w:t>
      </w:r>
      <w:r w:rsidR="007D4C6F">
        <w:t xml:space="preserve"> </w:t>
      </w:r>
    </w:p>
    <w:p w:rsidR="00D34BFE" w:rsidRPr="007D4C6F" w:rsidP="006B2C24" w14:paraId="239DC8C6" w14:textId="4A16ED7F">
      <w:pPr>
        <w:spacing w:line="480" w:lineRule="auto"/>
        <w:ind w:firstLine="720"/>
      </w:pPr>
      <w:r w:rsidRPr="007D4C6F">
        <w:t>And th</w:t>
      </w:r>
      <w:r w:rsidRPr="007D4C6F" w:rsidR="00F6560A">
        <w:t>e</w:t>
      </w:r>
      <w:r w:rsidRPr="007D4C6F">
        <w:t xml:space="preserve"> </w:t>
      </w:r>
      <w:r w:rsidRPr="007D4C6F" w:rsidR="00C1396B">
        <w:t>interests</w:t>
      </w:r>
      <w:r w:rsidRPr="007D4C6F" w:rsidR="00F6560A">
        <w:t xml:space="preserve"> of those entities</w:t>
      </w:r>
      <w:r w:rsidRPr="007D4C6F" w:rsidR="00C1396B">
        <w:t xml:space="preserve"> for advancing serious bargaining are</w:t>
      </w:r>
      <w:r w:rsidRPr="007D4C6F" w:rsidR="007A41E1">
        <w:t xml:space="preserve"> not</w:t>
      </w:r>
      <w:r w:rsidRPr="007D4C6F" w:rsidR="00C1396B">
        <w:t xml:space="preserve"> only</w:t>
      </w:r>
      <w:r w:rsidRPr="007D4C6F">
        <w:t xml:space="preserve"> </w:t>
      </w:r>
      <w:r w:rsidRPr="007D4C6F" w:rsidR="00C1396B">
        <w:t>limited</w:t>
      </w:r>
      <w:r w:rsidRPr="007D4C6F" w:rsidR="007A41E1">
        <w:t xml:space="preserve"> interests</w:t>
      </w:r>
      <w:r w:rsidRPr="007D4C6F" w:rsidR="00C1396B">
        <w:t>.</w:t>
      </w:r>
      <w:r w:rsidRPr="007D4C6F">
        <w:t xml:space="preserve"> </w:t>
      </w:r>
      <w:r w:rsidRPr="007D4C6F" w:rsidR="00C1396B">
        <w:t xml:space="preserve">They </w:t>
      </w:r>
      <w:r w:rsidRPr="007D4C6F">
        <w:t xml:space="preserve">also </w:t>
      </w:r>
      <w:r w:rsidRPr="007D4C6F" w:rsidR="007A41E1">
        <w:t xml:space="preserve">include some </w:t>
      </w:r>
      <w:r w:rsidRPr="007D4C6F" w:rsidR="00737241">
        <w:t xml:space="preserve">multi-customer </w:t>
      </w:r>
      <w:r w:rsidRPr="007D4C6F" w:rsidR="007A41E1">
        <w:t>interests</w:t>
      </w:r>
      <w:r w:rsidRPr="007D4C6F">
        <w:t xml:space="preserve"> as OCC Witness Williams testified</w:t>
      </w:r>
      <w:r w:rsidRPr="007D4C6F" w:rsidR="0080093A">
        <w:t>.</w:t>
      </w:r>
      <w:r>
        <w:rPr>
          <w:rStyle w:val="FootnoteReference"/>
        </w:rPr>
        <w:footnoteReference w:id="16"/>
      </w:r>
      <w:r w:rsidRPr="007D4C6F" w:rsidR="00B00AA4">
        <w:t xml:space="preserve"> </w:t>
      </w:r>
    </w:p>
    <w:p w:rsidR="00A37D25" w:rsidRPr="007D4C6F" w:rsidP="006B2C24" w14:paraId="7C7B986C" w14:textId="445A784E">
      <w:pPr>
        <w:spacing w:line="480" w:lineRule="auto"/>
        <w:ind w:firstLine="720"/>
      </w:pPr>
      <w:r w:rsidRPr="007D4C6F">
        <w:t>The City of Cincinnati is both a purchaser of electricity</w:t>
      </w:r>
      <w:r w:rsidRPr="007D4C6F" w:rsidR="00E774F4">
        <w:t xml:space="preserve"> </w:t>
      </w:r>
      <w:r w:rsidRPr="007D4C6F" w:rsidR="00E774F4">
        <w:rPr>
          <w:i/>
          <w:iCs/>
        </w:rPr>
        <w:t>(a non-residential customer)</w:t>
      </w:r>
      <w:r w:rsidRPr="007D4C6F">
        <w:t xml:space="preserve"> and a representative of residents</w:t>
      </w:r>
      <w:r w:rsidRPr="007D4C6F" w:rsidR="00E774F4">
        <w:t xml:space="preserve"> </w:t>
      </w:r>
      <w:r w:rsidRPr="007D4C6F" w:rsidR="00C1396B">
        <w:t>(</w:t>
      </w:r>
      <w:r w:rsidRPr="007D4C6F" w:rsidR="00E7790F">
        <w:t xml:space="preserve">but only </w:t>
      </w:r>
      <w:r w:rsidRPr="007D4C6F" w:rsidR="00E774F4">
        <w:t>within its city limits</w:t>
      </w:r>
      <w:r w:rsidRPr="007D4C6F" w:rsidR="00C1396B">
        <w:t>)</w:t>
      </w:r>
      <w:r w:rsidRPr="007D4C6F">
        <w:t>.</w:t>
      </w:r>
      <w:r>
        <w:rPr>
          <w:rStyle w:val="FootnoteReference"/>
        </w:rPr>
        <w:footnoteReference w:id="17"/>
      </w:r>
      <w:r w:rsidRPr="007D4C6F">
        <w:t xml:space="preserve"> OPAE states that it is “a rare organization that serves as an advocate and service provider for low income customers </w:t>
      </w:r>
      <w:r w:rsidRPr="007D4C6F">
        <w:rPr>
          <w:i/>
          <w:iCs/>
        </w:rPr>
        <w:t>as well as being a non-residential customer</w:t>
      </w:r>
      <w:r w:rsidRPr="007D4C6F">
        <w:t>.”</w:t>
      </w:r>
      <w:r>
        <w:rPr>
          <w:rStyle w:val="FootnoteReference"/>
        </w:rPr>
        <w:footnoteReference w:id="18"/>
      </w:r>
      <w:r w:rsidRPr="007D4C6F">
        <w:t xml:space="preserve"> CUB Ohio, only recently founded in 2020, states that it is a “non-profit consumer watchdog that advocates for residential and </w:t>
      </w:r>
      <w:r w:rsidRPr="007D4C6F">
        <w:rPr>
          <w:i/>
          <w:iCs/>
        </w:rPr>
        <w:t>small business utility customers</w:t>
      </w:r>
      <w:r w:rsidRPr="007D4C6F">
        <w:t xml:space="preserve"> in Ohio” with members in Duke’s service territory. </w:t>
      </w:r>
      <w:r>
        <w:rPr>
          <w:rStyle w:val="FootnoteReference"/>
        </w:rPr>
        <w:footnoteReference w:id="19"/>
      </w:r>
      <w:r w:rsidRPr="007D4C6F">
        <w:t xml:space="preserve"> PWC serves low-income residential</w:t>
      </w:r>
      <w:r w:rsidRPr="007D4C6F" w:rsidR="007B017B">
        <w:t xml:space="preserve"> consumers</w:t>
      </w:r>
      <w:r w:rsidRPr="007D4C6F">
        <w:t xml:space="preserve"> in Ohio by providing weatherization and energy management services to low-income residential consumers.</w:t>
      </w:r>
      <w:r w:rsidR="007D4C6F">
        <w:t xml:space="preserve"> </w:t>
      </w:r>
      <w:r w:rsidRPr="007D4C6F">
        <w:t xml:space="preserve">PWC </w:t>
      </w:r>
      <w:r w:rsidRPr="007D4C6F" w:rsidR="007B017B">
        <w:t>acknowledges</w:t>
      </w:r>
      <w:r w:rsidRPr="007D4C6F">
        <w:t xml:space="preserve"> that it depends on funding from utility companies like Duke.</w:t>
      </w:r>
      <w:r>
        <w:rPr>
          <w:rStyle w:val="FootnoteReference"/>
        </w:rPr>
        <w:footnoteReference w:id="20"/>
      </w:r>
    </w:p>
    <w:p w:rsidR="006610A9" w:rsidRPr="007D4C6F" w:rsidP="00A37D25" w14:paraId="5863E8E3" w14:textId="53799492">
      <w:pPr>
        <w:spacing w:line="480" w:lineRule="auto"/>
        <w:ind w:firstLine="720"/>
      </w:pPr>
      <w:r w:rsidRPr="007D4C6F">
        <w:t>All of these intervenors</w:t>
      </w:r>
      <w:r w:rsidRPr="007D4C6F" w:rsidR="00FA521E">
        <w:t xml:space="preserve">, as explained in their Motions to Intervene, </w:t>
      </w:r>
      <w:r w:rsidRPr="007D4C6F">
        <w:t xml:space="preserve">have limited interests. Those interests are not the same as the broad interests of all the residential consumers that OCC represents. </w:t>
      </w:r>
    </w:p>
    <w:p w:rsidR="006610A9" w:rsidRPr="007D4C6F" w:rsidP="00A37D25" w14:paraId="00CB4A2C" w14:textId="0BC30A87">
      <w:pPr>
        <w:spacing w:line="480" w:lineRule="auto"/>
        <w:ind w:firstLine="720"/>
      </w:pPr>
      <w:r w:rsidRPr="007D4C6F">
        <w:t>Having limited interests is not to the discredit of what organizations such as PWC do for the public. But the fact that interests are narrow is a matter to be critiqued under the PUCO’s settlement standards that are being used here</w:t>
      </w:r>
      <w:r w:rsidRPr="007D4C6F" w:rsidR="007A41E1">
        <w:t xml:space="preserve"> by Duke and others</w:t>
      </w:r>
      <w:r w:rsidRPr="007D4C6F">
        <w:t xml:space="preserve"> to justify rate increases for all residential consumers and </w:t>
      </w:r>
      <w:r w:rsidRPr="007D4C6F" w:rsidR="007A41E1">
        <w:t xml:space="preserve">justify </w:t>
      </w:r>
      <w:r w:rsidRPr="007D4C6F">
        <w:t>the rejection of OCC’s consumer protection</w:t>
      </w:r>
      <w:r w:rsidRPr="007D4C6F" w:rsidR="009827DE">
        <w:t xml:space="preserve"> recommendation</w:t>
      </w:r>
      <w:r w:rsidRPr="007D4C6F">
        <w:t>s</w:t>
      </w:r>
      <w:r w:rsidRPr="007D4C6F" w:rsidR="007A41E1">
        <w:t xml:space="preserve"> on reliability, bill-payment assistance etc</w:t>
      </w:r>
      <w:r w:rsidRPr="007D4C6F">
        <w:t>.</w:t>
      </w:r>
      <w:r w:rsidR="007D4C6F">
        <w:t xml:space="preserve"> </w:t>
      </w:r>
    </w:p>
    <w:p w:rsidR="00A37D25" w:rsidRPr="007D4C6F" w:rsidP="00A37D25" w14:paraId="1C7555D1" w14:textId="7C5B46B7">
      <w:pPr>
        <w:spacing w:line="480" w:lineRule="auto"/>
        <w:ind w:firstLine="720"/>
      </w:pPr>
      <w:r w:rsidRPr="007D4C6F">
        <w:t>In fact</w:t>
      </w:r>
      <w:r w:rsidRPr="007D4C6F" w:rsidR="006610A9">
        <w:t>,</w:t>
      </w:r>
      <w:r w:rsidRPr="007D4C6F">
        <w:t xml:space="preserve"> each of these intervenors claimed that their interests are unique and not adequately represented by other parties – a factor under O.A.C. 4901-1-11((B)(5) that the PUCO considers in granting intervention. And the PUCO did grant their interventions, considering the arguments each party raised in their motion to intervene. </w:t>
      </w:r>
    </w:p>
    <w:p w:rsidR="00E06CF9" w:rsidRPr="007D4C6F" w:rsidP="00A37D25" w14:paraId="78FDB45E" w14:textId="7A1459D9">
      <w:pPr>
        <w:spacing w:line="480" w:lineRule="auto"/>
        <w:ind w:firstLine="720"/>
      </w:pPr>
      <w:r w:rsidRPr="007D4C6F">
        <w:t>OEG, OMA</w:t>
      </w:r>
      <w:r w:rsidRPr="007D4C6F" w:rsidR="00AA205B">
        <w:t>-</w:t>
      </w:r>
      <w:r w:rsidRPr="007D4C6F">
        <w:t xml:space="preserve">EG, and Kroger </w:t>
      </w:r>
      <w:r w:rsidRPr="007D4C6F" w:rsidR="00890A22">
        <w:t>argue in briefs</w:t>
      </w:r>
      <w:r w:rsidRPr="007D4C6F">
        <w:t xml:space="preserve"> that OCC </w:t>
      </w:r>
      <w:r w:rsidRPr="007D4C6F" w:rsidR="00890A22">
        <w:t xml:space="preserve">agreed that </w:t>
      </w:r>
      <w:r w:rsidRPr="007D4C6F" w:rsidR="006E50A1">
        <w:t xml:space="preserve">these parties </w:t>
      </w:r>
      <w:r w:rsidRPr="007D4C6F">
        <w:t>represent residential customer</w:t>
      </w:r>
      <w:r w:rsidRPr="007D4C6F" w:rsidR="006E50A1">
        <w:t>s</w:t>
      </w:r>
      <w:r w:rsidRPr="007D4C6F">
        <w:t>.</w:t>
      </w:r>
      <w:r>
        <w:rPr>
          <w:rStyle w:val="FootnoteReference"/>
        </w:rPr>
        <w:footnoteReference w:id="21"/>
      </w:r>
      <w:r w:rsidRPr="007D4C6F">
        <w:t xml:space="preserve"> </w:t>
      </w:r>
      <w:r w:rsidRPr="007D4C6F" w:rsidR="00CE4A0E">
        <w:t xml:space="preserve">But </w:t>
      </w:r>
      <w:r w:rsidRPr="007D4C6F">
        <w:t>OEG, OMA</w:t>
      </w:r>
      <w:r w:rsidRPr="007D4C6F" w:rsidR="00AA205B">
        <w:t>-</w:t>
      </w:r>
      <w:r w:rsidRPr="007D4C6F">
        <w:t xml:space="preserve">EG, and Kroger </w:t>
      </w:r>
      <w:r w:rsidRPr="007D4C6F" w:rsidR="006E50A1">
        <w:t>mischaracterize</w:t>
      </w:r>
      <w:r w:rsidRPr="007D4C6F">
        <w:t xml:space="preserve"> </w:t>
      </w:r>
      <w:r w:rsidRPr="007D4C6F" w:rsidR="00922F5D">
        <w:t>the evidence</w:t>
      </w:r>
      <w:r w:rsidRPr="007D4C6F">
        <w:t>.</w:t>
      </w:r>
      <w:r w:rsidRPr="007D4C6F" w:rsidR="006E50A1">
        <w:t xml:space="preserve"> </w:t>
      </w:r>
      <w:r w:rsidRPr="007D4C6F" w:rsidR="003B78A4">
        <w:t xml:space="preserve">OCC witness Williams </w:t>
      </w:r>
      <w:r w:rsidRPr="007D4C6F" w:rsidR="008E2B0F">
        <w:t>never testified</w:t>
      </w:r>
      <w:r w:rsidRPr="007D4C6F" w:rsidR="003B78A4">
        <w:t xml:space="preserve"> that the City of Cincinnati, OPAE, CUB</w:t>
      </w:r>
      <w:r w:rsidRPr="007D4C6F" w:rsidR="00AA205B">
        <w:t xml:space="preserve"> Ohio</w:t>
      </w:r>
      <w:r w:rsidRPr="007D4C6F" w:rsidR="003B78A4">
        <w:t xml:space="preserve">, and PWC represented </w:t>
      </w:r>
      <w:r w:rsidRPr="007D4C6F" w:rsidR="003B78A4">
        <w:rPr>
          <w:i/>
          <w:iCs/>
        </w:rPr>
        <w:t>all</w:t>
      </w:r>
      <w:r w:rsidRPr="007D4C6F" w:rsidR="003B78A4">
        <w:t xml:space="preserve"> consumer interests.</w:t>
      </w:r>
      <w:r w:rsidR="007D4C6F">
        <w:t xml:space="preserve"> </w:t>
      </w:r>
      <w:r w:rsidRPr="007D4C6F" w:rsidR="003B78A4">
        <w:t xml:space="preserve">Indeed, </w:t>
      </w:r>
      <w:r w:rsidRPr="007D4C6F" w:rsidR="003B78A4">
        <w:rPr>
          <w:i/>
          <w:iCs/>
        </w:rPr>
        <w:t>n</w:t>
      </w:r>
      <w:r w:rsidRPr="007D4C6F" w:rsidR="006E50A1">
        <w:rPr>
          <w:i/>
          <w:iCs/>
        </w:rPr>
        <w:t>one of the settlement parties represent the broad interests of all residential consumers throughout Duke’s service territory</w:t>
      </w:r>
      <w:r w:rsidRPr="007D4C6F" w:rsidR="00AA205B">
        <w:rPr>
          <w:i/>
          <w:iCs/>
        </w:rPr>
        <w:t>, as does OCC under</w:t>
      </w:r>
      <w:r w:rsidRPr="007D4C6F" w:rsidR="00F825E4">
        <w:rPr>
          <w:i/>
          <w:iCs/>
        </w:rPr>
        <w:t xml:space="preserve"> the</w:t>
      </w:r>
      <w:r w:rsidRPr="007D4C6F" w:rsidR="00AA205B">
        <w:rPr>
          <w:i/>
          <w:iCs/>
        </w:rPr>
        <w:t xml:space="preserve"> law</w:t>
      </w:r>
      <w:r w:rsidRPr="007D4C6F" w:rsidR="006E50A1">
        <w:rPr>
          <w:i/>
          <w:iCs/>
        </w:rPr>
        <w:t>.</w:t>
      </w:r>
      <w:r>
        <w:rPr>
          <w:rStyle w:val="FootnoteReference"/>
        </w:rPr>
        <w:footnoteReference w:id="22"/>
      </w:r>
      <w:r w:rsidRPr="007D4C6F" w:rsidR="008E2B0F">
        <w:t xml:space="preserve"> </w:t>
      </w:r>
    </w:p>
    <w:p w:rsidR="004D61B3" w:rsidRPr="007D4C6F" w:rsidP="006B2C24" w14:paraId="54B8BCDC" w14:textId="0465ED30">
      <w:pPr>
        <w:spacing w:line="480" w:lineRule="auto"/>
        <w:ind w:firstLine="720"/>
      </w:pPr>
      <w:r w:rsidRPr="007D4C6F">
        <w:t>The City of Cincinnati does not represent residential consumers outside its geographical limits</w:t>
      </w:r>
      <w:r w:rsidRPr="007D4C6F" w:rsidR="008130AC">
        <w:t>, which is graphically illustrated by Duke catering to Cincinnati in the settlement and not to the other local governments in its service territory</w:t>
      </w:r>
      <w:r w:rsidRPr="007D4C6F">
        <w:t>.</w:t>
      </w:r>
      <w:r w:rsidRPr="007D4C6F" w:rsidR="00890A22">
        <w:t xml:space="preserve"> </w:t>
      </w:r>
      <w:r w:rsidRPr="007D4C6F" w:rsidR="003915C4">
        <w:t xml:space="preserve">Of course, </w:t>
      </w:r>
      <w:r w:rsidRPr="007D4C6F" w:rsidR="00890A22">
        <w:t xml:space="preserve">Duke’s service territory </w:t>
      </w:r>
      <w:r w:rsidRPr="007D4C6F" w:rsidR="008130AC">
        <w:t>has lots</w:t>
      </w:r>
      <w:r w:rsidRPr="007D4C6F" w:rsidR="00890A22">
        <w:t xml:space="preserve"> more</w:t>
      </w:r>
      <w:r w:rsidRPr="007D4C6F" w:rsidR="008130AC">
        <w:t xml:space="preserve"> local governments</w:t>
      </w:r>
      <w:r w:rsidRPr="007D4C6F" w:rsidR="00890A22">
        <w:t xml:space="preserve"> than just Cincinnati</w:t>
      </w:r>
      <w:r w:rsidRPr="007D4C6F" w:rsidR="003915C4">
        <w:t>.</w:t>
      </w:r>
      <w:r w:rsidR="007D4C6F">
        <w:t xml:space="preserve"> </w:t>
      </w:r>
    </w:p>
    <w:p w:rsidR="004D61B3" w:rsidRPr="007D4C6F" w:rsidP="006B2C24" w14:paraId="47D1889F" w14:textId="4DB9BFF7">
      <w:pPr>
        <w:spacing w:line="480" w:lineRule="auto"/>
        <w:ind w:firstLine="720"/>
      </w:pPr>
      <w:r w:rsidRPr="007D4C6F">
        <w:t>R.C. 4928.02(A) requires the PUCO to “ensure”…nondiscriminatory” service. To comply with the law</w:t>
      </w:r>
      <w:r w:rsidRPr="007D4C6F" w:rsidR="00E53FF9">
        <w:t xml:space="preserve"> against discrimination</w:t>
      </w:r>
      <w:r w:rsidRPr="007D4C6F">
        <w:t xml:space="preserve">, </w:t>
      </w:r>
      <w:r w:rsidRPr="007D4C6F" w:rsidR="00C12D63">
        <w:t>the settlement should be</w:t>
      </w:r>
      <w:r w:rsidRPr="007D4C6F" w:rsidR="00E53FF9">
        <w:t xml:space="preserve"> rejected</w:t>
      </w:r>
      <w:r w:rsidRPr="007D4C6F" w:rsidR="00C12D63">
        <w:t xml:space="preserve"> </w:t>
      </w:r>
      <w:r w:rsidRPr="007D4C6F" w:rsidR="00E53FF9">
        <w:t xml:space="preserve">or at least </w:t>
      </w:r>
      <w:r w:rsidRPr="007D4C6F" w:rsidR="00C12D63">
        <w:t xml:space="preserve">modified to order </w:t>
      </w:r>
      <w:r w:rsidRPr="007D4C6F">
        <w:t xml:space="preserve">Duke to make available, </w:t>
      </w:r>
      <w:r w:rsidRPr="007D4C6F">
        <w:rPr>
          <w:i/>
          <w:iCs/>
        </w:rPr>
        <w:t>at Duke shareholder expense</w:t>
      </w:r>
      <w:r w:rsidRPr="007D4C6F">
        <w:t>, similar benefits for the other local governments</w:t>
      </w:r>
      <w:r w:rsidRPr="007D4C6F" w:rsidR="00C12D63">
        <w:t xml:space="preserve"> in its territory</w:t>
      </w:r>
      <w:r w:rsidRPr="007D4C6F">
        <w:t xml:space="preserve"> as it agreed for Cincinnati.</w:t>
      </w:r>
      <w:r w:rsidRPr="007D4C6F" w:rsidR="00C12D63">
        <w:t xml:space="preserve"> </w:t>
      </w:r>
      <w:r w:rsidRPr="007D4C6F" w:rsidR="00C12D63">
        <w:rPr>
          <w:i/>
          <w:iCs/>
        </w:rPr>
        <w:t>That result</w:t>
      </w:r>
      <w:r w:rsidRPr="007D4C6F" w:rsidR="00390348">
        <w:rPr>
          <w:i/>
          <w:iCs/>
        </w:rPr>
        <w:t xml:space="preserve"> </w:t>
      </w:r>
      <w:r w:rsidRPr="007D4C6F" w:rsidR="00C12D63">
        <w:rPr>
          <w:i/>
          <w:iCs/>
        </w:rPr>
        <w:t xml:space="preserve">should especially require making bill-payment assistance available </w:t>
      </w:r>
      <w:r w:rsidRPr="007D4C6F" w:rsidR="00390348">
        <w:rPr>
          <w:i/>
          <w:iCs/>
        </w:rPr>
        <w:t xml:space="preserve">at shareholder expense </w:t>
      </w:r>
      <w:r w:rsidRPr="007D4C6F" w:rsidR="00C12D63">
        <w:rPr>
          <w:i/>
          <w:iCs/>
        </w:rPr>
        <w:t>to</w:t>
      </w:r>
      <w:r w:rsidRPr="007D4C6F" w:rsidR="003B1D00">
        <w:rPr>
          <w:i/>
          <w:iCs/>
        </w:rPr>
        <w:t xml:space="preserve"> all</w:t>
      </w:r>
      <w:r w:rsidRPr="007D4C6F" w:rsidR="00C12D63">
        <w:rPr>
          <w:i/>
          <w:iCs/>
        </w:rPr>
        <w:t xml:space="preserve"> the at-risk </w:t>
      </w:r>
      <w:r w:rsidRPr="007D4C6F" w:rsidR="003B1D00">
        <w:rPr>
          <w:i/>
          <w:iCs/>
        </w:rPr>
        <w:t>Ohioans</w:t>
      </w:r>
      <w:r w:rsidRPr="007D4C6F" w:rsidR="00C12D63">
        <w:rPr>
          <w:i/>
          <w:iCs/>
        </w:rPr>
        <w:t xml:space="preserve"> in all the other localities in Duke’s service territory</w:t>
      </w:r>
      <w:r w:rsidRPr="007D4C6F" w:rsidR="0064762F">
        <w:rPr>
          <w:i/>
          <w:iCs/>
        </w:rPr>
        <w:t>, similar to Duke’s agreement for Cincinnati</w:t>
      </w:r>
      <w:r w:rsidRPr="007D4C6F" w:rsidR="00C12D63">
        <w:rPr>
          <w:i/>
          <w:iCs/>
        </w:rPr>
        <w:t>.</w:t>
      </w:r>
      <w:r w:rsidRPr="007D4C6F" w:rsidR="00390348">
        <w:rPr>
          <w:i/>
          <w:iCs/>
        </w:rPr>
        <w:t xml:space="preserve"> </w:t>
      </w:r>
      <w:r w:rsidRPr="007D4C6F" w:rsidR="000D5800">
        <w:t xml:space="preserve">That result would be consistent with OCC’s position, not adopted in the settlement, for </w:t>
      </w:r>
      <w:r w:rsidRPr="007D4C6F" w:rsidR="007A41E1">
        <w:t xml:space="preserve">at-risk </w:t>
      </w:r>
      <w:r w:rsidRPr="007D4C6F" w:rsidR="000D5800">
        <w:t>Ohioans to have more bill-payment assistance available.</w:t>
      </w:r>
    </w:p>
    <w:p w:rsidR="00503ACA" w:rsidRPr="007D4C6F" w:rsidP="006B2C24" w14:paraId="663616F3" w14:textId="7B16BB3E">
      <w:pPr>
        <w:spacing w:line="480" w:lineRule="auto"/>
        <w:ind w:firstLine="720"/>
      </w:pPr>
      <w:r w:rsidRPr="007D4C6F">
        <w:t xml:space="preserve">Interestingly for other localities and their consumers, </w:t>
      </w:r>
      <w:r w:rsidRPr="007D4C6F" w:rsidR="00E06CF9">
        <w:t xml:space="preserve">Duke </w:t>
      </w:r>
      <w:r w:rsidRPr="007D4C6F" w:rsidR="008E3EAB">
        <w:t>confirmed in its brief</w:t>
      </w:r>
      <w:r w:rsidRPr="007D4C6F" w:rsidR="008D0325">
        <w:t xml:space="preserve"> that</w:t>
      </w:r>
      <w:r w:rsidRPr="007D4C6F" w:rsidR="00E06CF9">
        <w:t xml:space="preserve"> funding for th</w:t>
      </w:r>
      <w:r w:rsidRPr="007D4C6F" w:rsidR="00890A22">
        <w:t>ese</w:t>
      </w:r>
      <w:r w:rsidRPr="007D4C6F">
        <w:t xml:space="preserve"> Cincinnati</w:t>
      </w:r>
      <w:r w:rsidRPr="007D4C6F" w:rsidR="00890A22">
        <w:t xml:space="preserve"> programs </w:t>
      </w:r>
      <w:r w:rsidRPr="007D4C6F" w:rsidR="00E06CF9">
        <w:t xml:space="preserve">will </w:t>
      </w:r>
      <w:r w:rsidRPr="007D4C6F" w:rsidR="00890A22">
        <w:t xml:space="preserve">be </w:t>
      </w:r>
      <w:r w:rsidRPr="007D4C6F" w:rsidR="00E06CF9">
        <w:t xml:space="preserve">paid for by </w:t>
      </w:r>
      <w:r w:rsidRPr="007D4C6F" w:rsidR="00E06CF9">
        <w:rPr>
          <w:i/>
          <w:iCs/>
        </w:rPr>
        <w:t xml:space="preserve">all </w:t>
      </w:r>
      <w:r w:rsidRPr="007D4C6F" w:rsidR="00E06CF9">
        <w:t>consumers in Duke’s service territory.</w:t>
      </w:r>
      <w:r>
        <w:rPr>
          <w:rStyle w:val="FootnoteReference"/>
        </w:rPr>
        <w:footnoteReference w:id="23"/>
      </w:r>
      <w:r w:rsidRPr="007D4C6F" w:rsidR="00D80527">
        <w:t xml:space="preserve"> </w:t>
      </w:r>
      <w:r w:rsidRPr="007D4C6F">
        <w:t xml:space="preserve">So the settlement denies other Ohioans the benefits of, for example, bill-payment assistance </w:t>
      </w:r>
      <w:r w:rsidRPr="007D4C6F" w:rsidR="007A41E1">
        <w:t>in</w:t>
      </w:r>
      <w:r w:rsidRPr="007D4C6F">
        <w:t xml:space="preserve"> Cincinnati. But it makes the Ohioans</w:t>
      </w:r>
      <w:r w:rsidRPr="007D4C6F" w:rsidR="007A41E1">
        <w:t xml:space="preserve"> in other Duke localities</w:t>
      </w:r>
      <w:r w:rsidRPr="007D4C6F">
        <w:t xml:space="preserve"> pay for the program that they aren’t getting under the settlement. </w:t>
      </w:r>
    </w:p>
    <w:p w:rsidR="00D94165" w:rsidRPr="007D4C6F" w:rsidP="006B2C24" w14:paraId="5A641B6C" w14:textId="54B4DDC1">
      <w:pPr>
        <w:spacing w:line="480" w:lineRule="auto"/>
        <w:ind w:firstLine="720"/>
        <w:rPr>
          <w:i/>
          <w:iCs/>
        </w:rPr>
      </w:pPr>
      <w:r w:rsidRPr="007D4C6F">
        <w:t>We don’t begrudge bill-payment assistance for Cincinnati residents. Indeed</w:t>
      </w:r>
      <w:r w:rsidRPr="007D4C6F" w:rsidR="00171360">
        <w:t>,</w:t>
      </w:r>
      <w:r w:rsidRPr="007D4C6F">
        <w:t xml:space="preserve"> they should have it, as per OCC’s general position for all consumers. </w:t>
      </w:r>
      <w:r w:rsidRPr="007D4C6F">
        <w:rPr>
          <w:i/>
          <w:iCs/>
        </w:rPr>
        <w:t xml:space="preserve">We just want the PUCO to perform its duty under R.C. 4928.02(A) and (L) to </w:t>
      </w:r>
      <w:r w:rsidRPr="007D4C6F" w:rsidR="007A41E1">
        <w:rPr>
          <w:i/>
          <w:iCs/>
        </w:rPr>
        <w:t xml:space="preserve">nondiscriminatorily </w:t>
      </w:r>
      <w:r w:rsidRPr="007D4C6F">
        <w:rPr>
          <w:i/>
          <w:iCs/>
        </w:rPr>
        <w:t xml:space="preserve">give all the other Duke at-risk consumers the same or similar benefits – because those people matter too. </w:t>
      </w:r>
    </w:p>
    <w:p w:rsidR="00890A22" w:rsidRPr="007D4C6F" w:rsidP="006B2C24" w14:paraId="5A382E17" w14:textId="6D10C25E">
      <w:pPr>
        <w:spacing w:line="480" w:lineRule="auto"/>
        <w:ind w:firstLine="720"/>
      </w:pPr>
      <w:r w:rsidRPr="007D4C6F">
        <w:t>Further, we note that funds to help with weatherization for low-income consumers reach relatively few consumers given the high cost of weatherization per property. As said, there should be such funding. But the greatest good for the greatest number (per utilitarianism) should also be incorporated into the settlement, with OCC’s proposals.</w:t>
      </w:r>
      <w:r w:rsidR="007D4C6F">
        <w:t xml:space="preserve"> </w:t>
      </w:r>
    </w:p>
    <w:p w:rsidR="00E06CF9" w:rsidRPr="007D4C6F" w:rsidP="006B2C24" w14:paraId="339DDBAB" w14:textId="57F1E27C">
      <w:pPr>
        <w:spacing w:line="480" w:lineRule="auto"/>
        <w:ind w:firstLine="720"/>
      </w:pPr>
      <w:r w:rsidRPr="007D4C6F">
        <w:t>Moreover, the City</w:t>
      </w:r>
      <w:r w:rsidRPr="007D4C6F" w:rsidR="006062AA">
        <w:t>’s interest includes that it</w:t>
      </w:r>
      <w:r w:rsidRPr="007D4C6F">
        <w:t xml:space="preserve"> </w:t>
      </w:r>
      <w:r w:rsidRPr="007D4C6F" w:rsidR="0080093A">
        <w:t>represents its</w:t>
      </w:r>
      <w:r w:rsidRPr="007D4C6F">
        <w:t xml:space="preserve"> own </w:t>
      </w:r>
      <w:r w:rsidRPr="007D4C6F" w:rsidR="006062AA">
        <w:rPr>
          <w:i/>
          <w:iCs/>
        </w:rPr>
        <w:t>commercial</w:t>
      </w:r>
      <w:r w:rsidRPr="007D4C6F" w:rsidR="006062AA">
        <w:t xml:space="preserve"> </w:t>
      </w:r>
      <w:r w:rsidRPr="007D4C6F">
        <w:t>interests in settlement negotiations</w:t>
      </w:r>
      <w:r w:rsidRPr="007D4C6F" w:rsidR="0080093A">
        <w:t xml:space="preserve"> as a</w:t>
      </w:r>
      <w:r w:rsidRPr="007D4C6F">
        <w:t xml:space="preserve"> </w:t>
      </w:r>
      <w:r w:rsidRPr="007D4C6F" w:rsidR="0080093A">
        <w:t>customer of Duke</w:t>
      </w:r>
      <w:r w:rsidRPr="007D4C6F" w:rsidR="00D94165">
        <w:t>. That’s in addit</w:t>
      </w:r>
      <w:r w:rsidRPr="007D4C6F" w:rsidR="00530815">
        <w:t>i</w:t>
      </w:r>
      <w:r w:rsidRPr="007D4C6F" w:rsidR="00D94165">
        <w:t>on</w:t>
      </w:r>
      <w:r w:rsidRPr="007D4C6F">
        <w:t xml:space="preserve"> </w:t>
      </w:r>
      <w:r w:rsidRPr="007D4C6F" w:rsidR="00530815">
        <w:t>to the City having</w:t>
      </w:r>
      <w:r w:rsidRPr="007D4C6F">
        <w:t xml:space="preserve"> the interests of</w:t>
      </w:r>
      <w:r w:rsidRPr="007D4C6F" w:rsidR="0080093A">
        <w:t xml:space="preserve"> </w:t>
      </w:r>
      <w:r w:rsidRPr="007D4C6F">
        <w:t xml:space="preserve">other </w:t>
      </w:r>
      <w:r w:rsidRPr="007D4C6F" w:rsidR="0080093A">
        <w:rPr>
          <w:i/>
          <w:iCs/>
        </w:rPr>
        <w:t>business</w:t>
      </w:r>
      <w:r w:rsidRPr="007D4C6F" w:rsidR="0080093A">
        <w:t xml:space="preserve"> customers</w:t>
      </w:r>
      <w:r w:rsidRPr="007D4C6F" w:rsidR="00530815">
        <w:t xml:space="preserve"> (not just residential customers)</w:t>
      </w:r>
      <w:r w:rsidRPr="007D4C6F" w:rsidR="0080093A">
        <w:t xml:space="preserve"> in Cincinnati</w:t>
      </w:r>
      <w:r w:rsidRPr="007D4C6F">
        <w:t xml:space="preserve"> (</w:t>
      </w:r>
      <w:r w:rsidRPr="007D4C6F" w:rsidR="00890A22">
        <w:t>that</w:t>
      </w:r>
      <w:r w:rsidRPr="007D4C6F">
        <w:t xml:space="preserve"> will be</w:t>
      </w:r>
      <w:r w:rsidRPr="007D4C6F" w:rsidR="00A3601D">
        <w:t xml:space="preserve">nefit from </w:t>
      </w:r>
      <w:r w:rsidRPr="007D4C6F">
        <w:t>the</w:t>
      </w:r>
      <w:r w:rsidRPr="007D4C6F" w:rsidR="00A3601D">
        <w:t xml:space="preserve"> less than</w:t>
      </w:r>
      <w:r w:rsidRPr="007D4C6F">
        <w:t xml:space="preserve"> 8% </w:t>
      </w:r>
      <w:r w:rsidRPr="007D4C6F" w:rsidR="00A3601D">
        <w:t xml:space="preserve">allocation </w:t>
      </w:r>
      <w:r w:rsidRPr="007D4C6F">
        <w:t>of the rate increase</w:t>
      </w:r>
      <w:r w:rsidRPr="007D4C6F" w:rsidR="00A3601D">
        <w:t xml:space="preserve"> at residential consumers’ expense</w:t>
      </w:r>
      <w:r w:rsidRPr="007D4C6F">
        <w:t>)</w:t>
      </w:r>
      <w:r w:rsidRPr="007D4C6F" w:rsidR="0080093A">
        <w:t xml:space="preserve">. </w:t>
      </w:r>
    </w:p>
    <w:p w:rsidR="00333B87" w:rsidRPr="007D4C6F" w:rsidP="00E128B2" w14:paraId="11F3AE05" w14:textId="3AD61B52">
      <w:pPr>
        <w:spacing w:line="480" w:lineRule="auto"/>
        <w:ind w:firstLine="720"/>
      </w:pPr>
      <w:r w:rsidRPr="007D4C6F">
        <w:t>T</w:t>
      </w:r>
      <w:r w:rsidRPr="007D4C6F" w:rsidR="00E128B2">
        <w:t>he PUCO Staff</w:t>
      </w:r>
      <w:r w:rsidRPr="007D4C6F">
        <w:t xml:space="preserve"> has an important </w:t>
      </w:r>
      <w:r w:rsidRPr="007D4C6F" w:rsidR="00417A99">
        <w:t>role,</w:t>
      </w:r>
      <w:r w:rsidRPr="007D4C6F">
        <w:t xml:space="preserve"> but it is</w:t>
      </w:r>
      <w:r w:rsidRPr="007D4C6F" w:rsidR="00E128B2">
        <w:t xml:space="preserve"> </w:t>
      </w:r>
      <w:r w:rsidRPr="007D4C6F">
        <w:t xml:space="preserve">not a residential consumer advocate. </w:t>
      </w:r>
      <w:r w:rsidRPr="007D4C6F" w:rsidR="00E128B2">
        <w:t xml:space="preserve">The PUCO Staff </w:t>
      </w:r>
      <w:r w:rsidRPr="007D4C6F" w:rsidR="005205E3">
        <w:t>balance</w:t>
      </w:r>
      <w:r w:rsidRPr="007D4C6F">
        <w:t>s</w:t>
      </w:r>
      <w:r w:rsidRPr="007D4C6F" w:rsidR="005205E3">
        <w:t xml:space="preserve"> the interests of utilities, business customers, residential consumers</w:t>
      </w:r>
      <w:r w:rsidRPr="007D4C6F">
        <w:t>, and others</w:t>
      </w:r>
      <w:r w:rsidRPr="007D4C6F" w:rsidR="005205E3">
        <w:t>.</w:t>
      </w:r>
      <w:r w:rsidRPr="007D4C6F" w:rsidR="00D80527">
        <w:t xml:space="preserve"> </w:t>
      </w:r>
    </w:p>
    <w:p w:rsidR="00BD0175" w:rsidRPr="007D4C6F" w:rsidP="00B42380" w14:paraId="0F9ADF92" w14:textId="344D8FD8">
      <w:pPr>
        <w:spacing w:line="480" w:lineRule="auto"/>
        <w:ind w:firstLine="720"/>
      </w:pPr>
      <w:r w:rsidRPr="007D4C6F">
        <w:t>OMA</w:t>
      </w:r>
      <w:r w:rsidRPr="007D4C6F" w:rsidR="006B64D0">
        <w:t>-</w:t>
      </w:r>
      <w:r w:rsidRPr="007D4C6F">
        <w:t xml:space="preserve">EG and Kroger </w:t>
      </w:r>
      <w:r w:rsidRPr="007D4C6F" w:rsidR="00530815">
        <w:t xml:space="preserve">note </w:t>
      </w:r>
      <w:r w:rsidRPr="007D4C6F" w:rsidR="00B42380">
        <w:t>that</w:t>
      </w:r>
      <w:r w:rsidRPr="007D4C6F">
        <w:t xml:space="preserve"> </w:t>
      </w:r>
      <w:r w:rsidRPr="007D4C6F" w:rsidR="0080093A">
        <w:t>OPAE provide</w:t>
      </w:r>
      <w:r w:rsidRPr="007D4C6F">
        <w:t>s</w:t>
      </w:r>
      <w:r w:rsidRPr="007D4C6F" w:rsidR="0080093A">
        <w:t xml:space="preserve"> weatherization </w:t>
      </w:r>
      <w:r w:rsidRPr="007D4C6F">
        <w:t>and energy efficiency services to</w:t>
      </w:r>
      <w:r w:rsidRPr="007D4C6F" w:rsidR="0080093A">
        <w:t xml:space="preserve"> </w:t>
      </w:r>
      <w:r w:rsidRPr="007D4C6F">
        <w:t xml:space="preserve">low-income </w:t>
      </w:r>
      <w:r w:rsidRPr="007D4C6F" w:rsidR="0080093A">
        <w:t>residential consumers.</w:t>
      </w:r>
      <w:r>
        <w:rPr>
          <w:rStyle w:val="FootnoteReference"/>
        </w:rPr>
        <w:footnoteReference w:id="24"/>
      </w:r>
      <w:r w:rsidRPr="007D4C6F" w:rsidR="0080093A">
        <w:t xml:space="preserve"> </w:t>
      </w:r>
      <w:r w:rsidRPr="007D4C6F" w:rsidR="006B64D0">
        <w:t>OPAE is an association of providers</w:t>
      </w:r>
      <w:r w:rsidRPr="007D4C6F" w:rsidR="00530815">
        <w:t xml:space="preserve"> </w:t>
      </w:r>
      <w:r w:rsidRPr="007D4C6F" w:rsidR="001B73E3">
        <w:t xml:space="preserve">engaged </w:t>
      </w:r>
      <w:r w:rsidRPr="007D4C6F" w:rsidR="00530815">
        <w:t>in the business of weatherization</w:t>
      </w:r>
      <w:r w:rsidRPr="007D4C6F" w:rsidR="006B64D0">
        <w:t xml:space="preserve">. </w:t>
      </w:r>
      <w:r w:rsidRPr="007D4C6F" w:rsidR="00F41EAF">
        <w:t xml:space="preserve">PWC </w:t>
      </w:r>
      <w:r w:rsidRPr="007D4C6F" w:rsidR="00AC2A49">
        <w:t>also provides weatherization services</w:t>
      </w:r>
      <w:r w:rsidRPr="007D4C6F" w:rsidR="00F41EAF">
        <w:t>.</w:t>
      </w:r>
      <w:r>
        <w:rPr>
          <w:rStyle w:val="FootnoteReference"/>
        </w:rPr>
        <w:footnoteReference w:id="25"/>
      </w:r>
      <w:r w:rsidRPr="007D4C6F" w:rsidR="00F41EAF">
        <w:t xml:space="preserve"> </w:t>
      </w:r>
      <w:r w:rsidRPr="007D4C6F" w:rsidR="00A3601D">
        <w:t>OPAE and PWC depend on funding from utilities</w:t>
      </w:r>
      <w:r w:rsidRPr="007D4C6F">
        <w:t xml:space="preserve"> (and their consumers)</w:t>
      </w:r>
      <w:r w:rsidRPr="007D4C6F" w:rsidR="00A3601D">
        <w:t xml:space="preserve"> to implement their programs.</w:t>
      </w:r>
      <w:r>
        <w:rPr>
          <w:rStyle w:val="FootnoteReference"/>
        </w:rPr>
        <w:footnoteReference w:id="26"/>
      </w:r>
      <w:r w:rsidRPr="007D4C6F" w:rsidR="00CD7239">
        <w:t xml:space="preserve"> </w:t>
      </w:r>
      <w:r w:rsidRPr="007D4C6F" w:rsidR="00AC2A49">
        <w:t xml:space="preserve">That </w:t>
      </w:r>
      <w:r w:rsidRPr="007D4C6F" w:rsidR="00130B96">
        <w:t xml:space="preserve">funding </w:t>
      </w:r>
      <w:r w:rsidRPr="007D4C6F" w:rsidR="00CD7239">
        <w:t xml:space="preserve">arrangement </w:t>
      </w:r>
      <w:r w:rsidRPr="007D4C6F" w:rsidR="00AC2A49">
        <w:t xml:space="preserve">gives the utility leverage in bargaining with </w:t>
      </w:r>
      <w:r w:rsidRPr="007D4C6F" w:rsidR="00130B96">
        <w:t>OPAE and PWC</w:t>
      </w:r>
      <w:r w:rsidRPr="007D4C6F" w:rsidR="00AC2A49">
        <w:t>.</w:t>
      </w:r>
      <w:r w:rsidRPr="007D4C6F">
        <w:t xml:space="preserve"> That leverage should be considered under the PUCO’s settlement standard (first prong).</w:t>
      </w:r>
      <w:r w:rsidR="007D4C6F">
        <w:t xml:space="preserve"> </w:t>
      </w:r>
    </w:p>
    <w:p w:rsidR="00530815" w:rsidRPr="007D4C6F" w:rsidP="00B42380" w14:paraId="4A67FF8C" w14:textId="42041155">
      <w:pPr>
        <w:spacing w:line="480" w:lineRule="auto"/>
        <w:ind w:firstLine="720"/>
      </w:pPr>
      <w:r w:rsidRPr="007D4C6F">
        <w:t>As OCC has argued, there should be funding for the</w:t>
      </w:r>
      <w:r w:rsidRPr="007D4C6F" w:rsidR="00BD0175">
        <w:t>ir</w:t>
      </w:r>
      <w:r w:rsidRPr="007D4C6F">
        <w:t xml:space="preserve"> services to at-risk Ohioans</w:t>
      </w:r>
      <w:r w:rsidRPr="007D4C6F" w:rsidR="00130B96">
        <w:t xml:space="preserve">. </w:t>
      </w:r>
      <w:r w:rsidRPr="007D4C6F" w:rsidR="00533593">
        <w:t>But</w:t>
      </w:r>
      <w:r w:rsidRPr="007D4C6F" w:rsidR="00130B96">
        <w:t xml:space="preserve"> that funding should be </w:t>
      </w:r>
      <w:r w:rsidRPr="007D4C6F" w:rsidR="000C53A3">
        <w:t>arranged</w:t>
      </w:r>
      <w:r w:rsidRPr="007D4C6F" w:rsidR="00130B96">
        <w:t xml:space="preserve"> to help people</w:t>
      </w:r>
      <w:r w:rsidRPr="007D4C6F" w:rsidR="00BD0175">
        <w:t xml:space="preserve"> in a separate PUCO process</w:t>
      </w:r>
      <w:r w:rsidRPr="007D4C6F">
        <w:t xml:space="preserve"> without </w:t>
      </w:r>
      <w:r w:rsidRPr="007D4C6F" w:rsidR="00A842D6">
        <w:t xml:space="preserve">the </w:t>
      </w:r>
      <w:r w:rsidRPr="007D4C6F" w:rsidR="00BD0175">
        <w:t xml:space="preserve">utilities and the PUCO </w:t>
      </w:r>
      <w:r w:rsidRPr="007D4C6F">
        <w:t xml:space="preserve">involving that funding in the PUCO’s settlement </w:t>
      </w:r>
      <w:r w:rsidRPr="007D4C6F" w:rsidR="00A842D6">
        <w:t>approval</w:t>
      </w:r>
      <w:r w:rsidRPr="007D4C6F">
        <w:t xml:space="preserve"> process</w:t>
      </w:r>
      <w:r w:rsidRPr="007D4C6F" w:rsidR="00A842D6">
        <w:t>.</w:t>
      </w:r>
      <w:r>
        <w:rPr>
          <w:rStyle w:val="FootnoteReference"/>
        </w:rPr>
        <w:footnoteReference w:id="27"/>
      </w:r>
      <w:r w:rsidRPr="007D4C6F" w:rsidR="000C53A3">
        <w:t xml:space="preserve"> </w:t>
      </w:r>
      <w:r w:rsidRPr="007D4C6F" w:rsidR="00A842D6">
        <w:t>And it should be done without such organizations having to be dependent on bargaining with utilities for utility/consumer funding</w:t>
      </w:r>
      <w:r w:rsidRPr="007D4C6F">
        <w:t xml:space="preserve">. </w:t>
      </w:r>
      <w:r w:rsidRPr="007D4C6F" w:rsidR="00BD0175">
        <w:t xml:space="preserve">Alternatively, the PUCO should award PWC </w:t>
      </w:r>
      <w:r w:rsidRPr="007D4C6F" w:rsidR="00A842D6">
        <w:t>and OPAE the funds at issue in this case without that being part of the settlement approval package.</w:t>
      </w:r>
    </w:p>
    <w:p w:rsidR="005E23A2" w:rsidRPr="007D4C6F" w:rsidP="00B42380" w14:paraId="53BB1B4D" w14:textId="4E8A536D">
      <w:pPr>
        <w:spacing w:line="480" w:lineRule="auto"/>
        <w:ind w:firstLine="720"/>
      </w:pPr>
      <w:r w:rsidRPr="007D4C6F">
        <w:t xml:space="preserve">Similarly, </w:t>
      </w:r>
      <w:r w:rsidRPr="007D4C6F" w:rsidR="00F81FAC">
        <w:t>CUB Ohio</w:t>
      </w:r>
      <w:r w:rsidRPr="007D4C6F" w:rsidR="000C53A3">
        <w:t xml:space="preserve"> has a focus on </w:t>
      </w:r>
      <w:r w:rsidRPr="007D4C6F" w:rsidR="00F81FAC">
        <w:t xml:space="preserve">energy efficiency programs for residential and small </w:t>
      </w:r>
      <w:r w:rsidRPr="007D4C6F" w:rsidR="00A61FE7">
        <w:t xml:space="preserve">business </w:t>
      </w:r>
      <w:r w:rsidRPr="007D4C6F" w:rsidR="00F81FAC">
        <w:t>consumers</w:t>
      </w:r>
      <w:r w:rsidRPr="007D4C6F" w:rsidR="00A61FE7">
        <w:t>.</w:t>
      </w:r>
      <w:r>
        <w:rPr>
          <w:rStyle w:val="FootnoteReference"/>
        </w:rPr>
        <w:footnoteReference w:id="28"/>
      </w:r>
      <w:r w:rsidRPr="007D4C6F" w:rsidR="00A61FE7">
        <w:t xml:space="preserve"> </w:t>
      </w:r>
      <w:r w:rsidRPr="007D4C6F" w:rsidR="00F81FAC">
        <w:t xml:space="preserve">Energy efficiency programs are </w:t>
      </w:r>
      <w:r w:rsidRPr="007D4C6F" w:rsidR="00B42380">
        <w:t xml:space="preserve">often </w:t>
      </w:r>
      <w:r w:rsidRPr="007D4C6F" w:rsidR="00A13EC1">
        <w:t>subsidized</w:t>
      </w:r>
      <w:r w:rsidRPr="007D4C6F" w:rsidR="00F81FAC">
        <w:t xml:space="preserve"> by </w:t>
      </w:r>
      <w:r w:rsidRPr="007D4C6F" w:rsidR="00A13EC1">
        <w:t xml:space="preserve">all </w:t>
      </w:r>
      <w:r w:rsidRPr="007D4C6F" w:rsidR="00F81FAC">
        <w:t xml:space="preserve">consumers through utility rates. </w:t>
      </w:r>
      <w:r w:rsidRPr="007D4C6F" w:rsidR="000C53A3">
        <w:t xml:space="preserve">Again, for bargaining that is not a </w:t>
      </w:r>
      <w:r w:rsidRPr="007D4C6F">
        <w:t>broad interest</w:t>
      </w:r>
      <w:r w:rsidRPr="007D4C6F" w:rsidR="000C53A3">
        <w:t xml:space="preserve"> in the ratemaking and service reliability issues for</w:t>
      </w:r>
      <w:r w:rsidRPr="007D4C6F">
        <w:t xml:space="preserve"> Duke’s residential consumers</w:t>
      </w:r>
      <w:r w:rsidRPr="007D4C6F" w:rsidR="000C53A3">
        <w:t xml:space="preserve"> in this case</w:t>
      </w:r>
      <w:r w:rsidRPr="007D4C6F">
        <w:t>.</w:t>
      </w:r>
      <w:r>
        <w:rPr>
          <w:rStyle w:val="FootnoteReference"/>
        </w:rPr>
        <w:footnoteReference w:id="29"/>
      </w:r>
      <w:r w:rsidRPr="007D4C6F" w:rsidR="00AB0BA7">
        <w:t xml:space="preserve"> </w:t>
      </w:r>
    </w:p>
    <w:p w:rsidR="00D73DB6" w:rsidRPr="007D4C6F" w:rsidP="00B42380" w14:paraId="10A66D85" w14:textId="7C66B443">
      <w:pPr>
        <w:spacing w:line="480" w:lineRule="auto"/>
        <w:ind w:firstLine="720"/>
      </w:pPr>
      <w:r w:rsidRPr="007D4C6F">
        <w:t>IGS and RESA are marketers that sell electric supply service to residential consumers for profit. They do not represent residential consumers’ interests. Far from it. As further explained below, IGS</w:t>
      </w:r>
      <w:r w:rsidRPr="007D4C6F" w:rsidR="00CE4A0E">
        <w:t xml:space="preserve"> and </w:t>
      </w:r>
      <w:r w:rsidRPr="007D4C6F">
        <w:t>RESA vigorously oppose OCC’s proposed consumer protections like shadow billing and bill format changes</w:t>
      </w:r>
      <w:r w:rsidRPr="007D4C6F" w:rsidR="00CE4A0E">
        <w:t xml:space="preserve"> that would</w:t>
      </w:r>
      <w:r w:rsidRPr="007D4C6F">
        <w:t xml:space="preserve"> empower consumers and shine a light on how much consumers pay marketers for electric service.</w:t>
      </w:r>
      <w:r w:rsidRPr="007D4C6F" w:rsidR="00E128B2">
        <w:t xml:space="preserve"> </w:t>
      </w:r>
    </w:p>
    <w:p w:rsidR="00B07489" w:rsidRPr="007D4C6F" w:rsidP="005F7486" w14:paraId="5DBA507C" w14:textId="70BBF7C2">
      <w:pPr>
        <w:spacing w:line="480" w:lineRule="auto"/>
        <w:ind w:firstLine="720"/>
      </w:pPr>
      <w:r w:rsidRPr="007D4C6F">
        <w:t xml:space="preserve">In sum, </w:t>
      </w:r>
      <w:r w:rsidRPr="007D4C6F" w:rsidR="005205E3">
        <w:t>despite settling parties’ claims to the contrary, no party to the settlement fully represents</w:t>
      </w:r>
      <w:r w:rsidRPr="007D4C6F" w:rsidR="00355EFE">
        <w:t xml:space="preserve"> or is </w:t>
      </w:r>
      <w:r w:rsidRPr="007D4C6F" w:rsidR="00C162C5">
        <w:t xml:space="preserve">seriously </w:t>
      </w:r>
      <w:r w:rsidRPr="007D4C6F" w:rsidR="00355EFE">
        <w:t>bargaining for</w:t>
      </w:r>
      <w:r w:rsidRPr="007D4C6F" w:rsidR="005205E3">
        <w:t xml:space="preserve"> the broad interests of</w:t>
      </w:r>
      <w:r w:rsidRPr="007D4C6F" w:rsidR="00355EFE">
        <w:t xml:space="preserve"> all of</w:t>
      </w:r>
      <w:r w:rsidRPr="007D4C6F" w:rsidR="005205E3">
        <w:t xml:space="preserve"> Duke’s residential consumers. And where, as here, the settling parties agree to force the bulk of Duke’s rate increase onto residential consumers</w:t>
      </w:r>
      <w:r w:rsidRPr="007D4C6F" w:rsidR="00355EFE">
        <w:t xml:space="preserve"> and reject other</w:t>
      </w:r>
      <w:r w:rsidRPr="007D4C6F" w:rsidR="005205E3">
        <w:t xml:space="preserve"> appropriate consumer protections, there is no serious bargaining. The settlement should be rejected.</w:t>
      </w:r>
    </w:p>
    <w:p w:rsidR="00AD2CC7" w:rsidRPr="007D4C6F" w14:paraId="7CA26CEA" w14:textId="77777777">
      <w:pPr>
        <w:rPr>
          <w:b/>
          <w:bCs/>
        </w:rPr>
      </w:pPr>
      <w:r w:rsidRPr="007D4C6F">
        <w:rPr>
          <w:b/>
          <w:bCs/>
        </w:rPr>
        <w:br w:type="page"/>
      </w:r>
    </w:p>
    <w:p w:rsidR="00FD4921" w:rsidRPr="007D4C6F" w:rsidP="0014037C" w14:paraId="4D83A61E" w14:textId="367C19CB">
      <w:pPr>
        <w:pStyle w:val="Heading3"/>
      </w:pPr>
      <w:bookmarkStart w:id="11" w:name="_Toc119331515"/>
      <w:r w:rsidRPr="007D4C6F">
        <w:t>3.</w:t>
      </w:r>
      <w:r w:rsidRPr="007D4C6F">
        <w:tab/>
      </w:r>
      <w:r w:rsidRPr="007D4C6F" w:rsidR="006A2433">
        <w:t xml:space="preserve">OCC does not seek “veto power” over the settlement. </w:t>
      </w:r>
      <w:r w:rsidRPr="007D4C6F" w:rsidR="00DA2177">
        <w:t xml:space="preserve">If there is any party with veto power, it would be the utility Duke because virtually no settlement is submitted to the PUCO Commissioners unless the utility has agreed to it. </w:t>
      </w:r>
      <w:r w:rsidRPr="007D4C6F" w:rsidR="006A2433">
        <w:t xml:space="preserve">OCC seeks a </w:t>
      </w:r>
      <w:r w:rsidRPr="007D4C6F" w:rsidR="00DA2177">
        <w:t xml:space="preserve">fair, </w:t>
      </w:r>
      <w:r w:rsidRPr="007D4C6F" w:rsidR="00E368B8">
        <w:t>just</w:t>
      </w:r>
      <w:r w:rsidRPr="007D4C6F" w:rsidR="00171360">
        <w:t>,</w:t>
      </w:r>
      <w:r w:rsidRPr="007D4C6F" w:rsidR="00E368B8">
        <w:t xml:space="preserve"> and reasonable</w:t>
      </w:r>
      <w:r w:rsidRPr="007D4C6F" w:rsidR="00DA2177">
        <w:t xml:space="preserve"> settlement process and</w:t>
      </w:r>
      <w:r w:rsidRPr="007D4C6F" w:rsidR="00E368B8">
        <w:t xml:space="preserve"> </w:t>
      </w:r>
      <w:r w:rsidRPr="007D4C6F" w:rsidR="006A2433">
        <w:t>resolution</w:t>
      </w:r>
      <w:r w:rsidRPr="007D4C6F" w:rsidR="00DA2177">
        <w:t xml:space="preserve"> for </w:t>
      </w:r>
      <w:r w:rsidRPr="007D4C6F" w:rsidR="0071512E">
        <w:t>640</w:t>
      </w:r>
      <w:r w:rsidRPr="007D4C6F" w:rsidR="00DA2177">
        <w:t>,000 residential consumers.</w:t>
      </w:r>
      <w:bookmarkEnd w:id="11"/>
      <w:r w:rsidR="007D4C6F">
        <w:t xml:space="preserve"> </w:t>
      </w:r>
    </w:p>
    <w:p w:rsidR="00953A0E" w:rsidRPr="007D4C6F" w:rsidP="005205E3" w14:paraId="25627576" w14:textId="50020F20">
      <w:pPr>
        <w:spacing w:line="480" w:lineRule="auto"/>
        <w:ind w:firstLine="720"/>
      </w:pPr>
      <w:r w:rsidRPr="007D4C6F">
        <w:t xml:space="preserve">Duke and other </w:t>
      </w:r>
      <w:r w:rsidRPr="007D4C6F" w:rsidR="00FD4921">
        <w:t xml:space="preserve">settling parties claim that by opposing the settlement, OCC </w:t>
      </w:r>
      <w:r w:rsidRPr="007D4C6F" w:rsidR="00302DD2">
        <w:t>improperly seek</w:t>
      </w:r>
      <w:r w:rsidRPr="007D4C6F">
        <w:t>s</w:t>
      </w:r>
      <w:r w:rsidRPr="007D4C6F" w:rsidR="00302DD2">
        <w:t xml:space="preserve"> “veto power” over the settlement.</w:t>
      </w:r>
      <w:r>
        <w:rPr>
          <w:rStyle w:val="FootnoteReference"/>
        </w:rPr>
        <w:footnoteReference w:id="30"/>
      </w:r>
      <w:r w:rsidRPr="007D4C6F" w:rsidR="00582C44">
        <w:t xml:space="preserve"> </w:t>
      </w:r>
      <w:r w:rsidRPr="007D4C6F" w:rsidR="009F18B9">
        <w:t>That is mistaken.</w:t>
      </w:r>
      <w:r w:rsidRPr="007D4C6F" w:rsidR="00582C44">
        <w:t xml:space="preserve"> </w:t>
      </w:r>
    </w:p>
    <w:p w:rsidR="003478AD" w:rsidRPr="007D4C6F" w:rsidP="005205E3" w14:paraId="4C01257A" w14:textId="6F4012EA">
      <w:pPr>
        <w:spacing w:line="480" w:lineRule="auto"/>
        <w:ind w:firstLine="720"/>
      </w:pPr>
      <w:r w:rsidRPr="007D4C6F">
        <w:t xml:space="preserve">OCC </w:t>
      </w:r>
      <w:r w:rsidRPr="007D4C6F" w:rsidR="00196D97">
        <w:t xml:space="preserve">is concerned with a bargaining process </w:t>
      </w:r>
      <w:r w:rsidRPr="007D4C6F" w:rsidR="009F18B9">
        <w:t>that is not “serious,” as the PUCO requires. OCC’s</w:t>
      </w:r>
      <w:r w:rsidRPr="007D4C6F" w:rsidR="002B1AAE">
        <w:t xml:space="preserve"> opposition </w:t>
      </w:r>
      <w:r w:rsidRPr="007D4C6F" w:rsidR="009F18B9">
        <w:t xml:space="preserve">to the settlement, on behalf of </w:t>
      </w:r>
      <w:r w:rsidRPr="007D4C6F" w:rsidR="0070117F">
        <w:t>640,000</w:t>
      </w:r>
      <w:r w:rsidRPr="007D4C6F" w:rsidR="009F18B9">
        <w:t xml:space="preserve"> </w:t>
      </w:r>
      <w:r w:rsidRPr="007D4C6F" w:rsidR="0070117F">
        <w:t xml:space="preserve">residential </w:t>
      </w:r>
      <w:r w:rsidRPr="007D4C6F" w:rsidR="009F18B9">
        <w:t xml:space="preserve">consumers, </w:t>
      </w:r>
      <w:r w:rsidRPr="007D4C6F" w:rsidR="002B1AAE">
        <w:t>is</w:t>
      </w:r>
      <w:r w:rsidRPr="007D4C6F" w:rsidR="00885F09">
        <w:t xml:space="preserve"> </w:t>
      </w:r>
      <w:r w:rsidRPr="007D4C6F" w:rsidR="00582C44">
        <w:t xml:space="preserve">for good reason. </w:t>
      </w:r>
    </w:p>
    <w:p w:rsidR="001B4A48" w:rsidRPr="007D4C6F" w:rsidP="005205E3" w14:paraId="75CAF24B" w14:textId="60726471">
      <w:pPr>
        <w:spacing w:line="480" w:lineRule="auto"/>
        <w:ind w:firstLine="720"/>
      </w:pPr>
      <w:r w:rsidRPr="007D4C6F">
        <w:t xml:space="preserve">As explained in </w:t>
      </w:r>
      <w:r w:rsidRPr="007D4C6F" w:rsidR="00885F09">
        <w:t>OCC’s</w:t>
      </w:r>
      <w:r w:rsidRPr="007D4C6F">
        <w:t xml:space="preserve"> initial brief and here, the settlement violates all three prongs of the PUCO’s settlement test in numerous ways. </w:t>
      </w:r>
      <w:r w:rsidRPr="007D4C6F" w:rsidR="00D85627">
        <w:t>T</w:t>
      </w:r>
      <w:r w:rsidRPr="007D4C6F" w:rsidR="005205E3">
        <w:t>he settlement</w:t>
      </w:r>
      <w:r w:rsidRPr="007D4C6F">
        <w:t xml:space="preserve"> imposes most of Duke’s rate increase on residential consumers</w:t>
      </w:r>
      <w:r w:rsidRPr="007D4C6F" w:rsidR="00381BFB">
        <w:t>. And it does not</w:t>
      </w:r>
      <w:r w:rsidRPr="007D4C6F">
        <w:t xml:space="preserve"> </w:t>
      </w:r>
      <w:r w:rsidRPr="007D4C6F" w:rsidR="00381BFB">
        <w:t xml:space="preserve">include </w:t>
      </w:r>
      <w:r w:rsidRPr="007D4C6F">
        <w:t>important consumer protection</w:t>
      </w:r>
      <w:r w:rsidRPr="007D4C6F" w:rsidR="00F825E4">
        <w:t xml:space="preserve"> recommendation</w:t>
      </w:r>
      <w:r w:rsidRPr="007D4C6F">
        <w:t>s proposed by OCC</w:t>
      </w:r>
      <w:r w:rsidRPr="007D4C6F" w:rsidR="00381BFB">
        <w:t>, such as</w:t>
      </w:r>
      <w:r w:rsidRPr="007D4C6F" w:rsidR="009A57EF">
        <w:t xml:space="preserve"> adequate service reliability standards and</w:t>
      </w:r>
      <w:r w:rsidRPr="007D4C6F" w:rsidR="00381BFB">
        <w:t xml:space="preserve"> bill-payment assistance</w:t>
      </w:r>
      <w:r w:rsidRPr="007D4C6F">
        <w:t xml:space="preserve">. </w:t>
      </w:r>
    </w:p>
    <w:p w:rsidR="00E07A9C" w:rsidRPr="007D4C6F" w:rsidP="005205E3" w14:paraId="0BDB5C7E" w14:textId="3609F348">
      <w:pPr>
        <w:spacing w:line="480" w:lineRule="auto"/>
        <w:ind w:firstLine="720"/>
      </w:pPr>
      <w:r w:rsidRPr="007D4C6F">
        <w:t>In addition, t</w:t>
      </w:r>
      <w:r w:rsidRPr="007D4C6F" w:rsidR="00582C44">
        <w:t xml:space="preserve">he settlement </w:t>
      </w:r>
      <w:r w:rsidRPr="007D4C6F" w:rsidR="001B4A48">
        <w:t xml:space="preserve">does not give consumers throughout Duke’s service territory the bill-payment assistance and other benefits that Duke is giving to </w:t>
      </w:r>
      <w:r w:rsidRPr="007D4C6F">
        <w:t xml:space="preserve">Cincinnati </w:t>
      </w:r>
      <w:r w:rsidRPr="007D4C6F" w:rsidR="00582C44">
        <w:t>consumers</w:t>
      </w:r>
      <w:r w:rsidRPr="007D4C6F" w:rsidR="001B4A48">
        <w:t>.</w:t>
      </w:r>
      <w:r w:rsidRPr="007D4C6F" w:rsidR="00582C44">
        <w:t xml:space="preserve"> </w:t>
      </w:r>
      <w:r w:rsidRPr="007D4C6F" w:rsidR="001B4A48">
        <w:t xml:space="preserve">As addressed earlier, we are not proposing to deny benefits to City of Cincinnati consumers. </w:t>
      </w:r>
    </w:p>
    <w:p w:rsidR="00A74D17" w:rsidRPr="007D4C6F" w:rsidP="005205E3" w14:paraId="35669BFC" w14:textId="0CD5BFE2">
      <w:pPr>
        <w:spacing w:line="480" w:lineRule="auto"/>
        <w:ind w:firstLine="720"/>
      </w:pPr>
      <w:r w:rsidRPr="007D4C6F">
        <w:t>But we are seeking nondiscriminatory treatment (at</w:t>
      </w:r>
      <w:r w:rsidRPr="007D4C6F" w:rsidR="00E07A9C">
        <w:t xml:space="preserve"> Duke</w:t>
      </w:r>
      <w:r w:rsidRPr="007D4C6F">
        <w:t xml:space="preserve"> shareholders’ expense) for all the other consumers in Duke’s service territory – </w:t>
      </w:r>
      <w:r w:rsidRPr="007D4C6F">
        <w:rPr>
          <w:i/>
          <w:iCs/>
        </w:rPr>
        <w:t>because people in Duke’s service area outside the Cincinnati city limits also matter</w:t>
      </w:r>
      <w:r w:rsidRPr="007D4C6F">
        <w:t>.</w:t>
      </w:r>
      <w:r w:rsidR="007D4C6F">
        <w:t xml:space="preserve"> </w:t>
      </w:r>
      <w:r w:rsidRPr="007D4C6F">
        <w:t xml:space="preserve">Avoiding discrimination is required by </w:t>
      </w:r>
      <w:r w:rsidRPr="007D4C6F" w:rsidR="00764E4A">
        <w:t>R.C. 4929.02(A)</w:t>
      </w:r>
      <w:r w:rsidRPr="007D4C6F">
        <w:t xml:space="preserve"> and protecting at-risk consumer is required by R.C. 4928.02(L)</w:t>
      </w:r>
      <w:r w:rsidRPr="007D4C6F" w:rsidR="008E2B0F">
        <w:t>.</w:t>
      </w:r>
    </w:p>
    <w:p w:rsidR="00D34BFE" w:rsidRPr="007D4C6F" w:rsidP="00171360" w14:paraId="060E83BC" w14:textId="43B5A42E">
      <w:pPr>
        <w:spacing w:line="480" w:lineRule="auto"/>
        <w:ind w:firstLine="720"/>
      </w:pPr>
      <w:r w:rsidRPr="007D4C6F">
        <w:t xml:space="preserve">The fact that OCC, the lone party to represent </w:t>
      </w:r>
      <w:r w:rsidRPr="007D4C6F">
        <w:rPr>
          <w:i/>
          <w:iCs/>
        </w:rPr>
        <w:t>all</w:t>
      </w:r>
      <w:r w:rsidRPr="007D4C6F">
        <w:t xml:space="preserve"> residential consumer interests, was outnumbered by limited-interest parties signing the settlement does not mean the settlement should be approved. The settling parties’ “veto” argument is an attempt to distract the PUCO from the fact that the </w:t>
      </w:r>
      <w:r w:rsidRPr="007D4C6F">
        <w:rPr>
          <w:i/>
          <w:iCs/>
        </w:rPr>
        <w:t xml:space="preserve">evidence </w:t>
      </w:r>
      <w:r w:rsidRPr="007D4C6F">
        <w:t xml:space="preserve">OCC presented demonstrates that the settlement violates all three prongs of the PUCO’s settlement test. The PUCO should reject the settlement. </w:t>
      </w:r>
    </w:p>
    <w:p w:rsidR="00D34BFE" w:rsidRPr="007D4C6F" w:rsidP="00171360" w14:paraId="22410F91" w14:textId="4988EAFF">
      <w:pPr>
        <w:pStyle w:val="Heading3"/>
      </w:pPr>
      <w:bookmarkStart w:id="12" w:name="_Toc119331516"/>
      <w:r w:rsidRPr="007D4C6F">
        <w:t>4.</w:t>
      </w:r>
      <w:r w:rsidR="007D4C6F">
        <w:t xml:space="preserve"> </w:t>
      </w:r>
      <w:r w:rsidRPr="007D4C6F" w:rsidR="00737241">
        <w:tab/>
      </w:r>
      <w:r w:rsidRPr="007D4C6F" w:rsidR="00C3358A">
        <w:t xml:space="preserve">A false equivalency </w:t>
      </w:r>
      <w:r w:rsidRPr="007D4C6F" w:rsidR="003629DF">
        <w:t xml:space="preserve">with OCC’s broad consumer interest </w:t>
      </w:r>
      <w:r w:rsidRPr="007D4C6F" w:rsidR="00C3358A">
        <w:t>is created by</w:t>
      </w:r>
      <w:r w:rsidRPr="007D4C6F" w:rsidR="00E07A9C">
        <w:t xml:space="preserve"> Duke’s </w:t>
      </w:r>
      <w:r w:rsidRPr="007D4C6F" w:rsidR="003629DF">
        <w:t>argument that</w:t>
      </w:r>
      <w:r w:rsidRPr="007D4C6F" w:rsidR="00C3358A">
        <w:t xml:space="preserve"> </w:t>
      </w:r>
      <w:r w:rsidRPr="007D4C6F" w:rsidR="003629DF">
        <w:t xml:space="preserve">limited-interest, </w:t>
      </w:r>
      <w:r w:rsidRPr="007D4C6F" w:rsidR="00737241">
        <w:t xml:space="preserve">multi-customer </w:t>
      </w:r>
      <w:r w:rsidRPr="007D4C6F" w:rsidR="003629DF">
        <w:t>and/or environmental-interest</w:t>
      </w:r>
      <w:r w:rsidRPr="007D4C6F">
        <w:t xml:space="preserve"> </w:t>
      </w:r>
      <w:r w:rsidRPr="007D4C6F" w:rsidR="003629DF">
        <w:t>signatories</w:t>
      </w:r>
      <w:r w:rsidRPr="007D4C6F">
        <w:t xml:space="preserve"> </w:t>
      </w:r>
      <w:r w:rsidRPr="007D4C6F" w:rsidR="00C3358A">
        <w:t>(such as C</w:t>
      </w:r>
      <w:r w:rsidRPr="007D4C6F" w:rsidR="003629DF">
        <w:t>UB</w:t>
      </w:r>
      <w:r w:rsidRPr="007D4C6F" w:rsidR="00C3358A">
        <w:t xml:space="preserve"> Ohio, OPAE and others)</w:t>
      </w:r>
      <w:r w:rsidRPr="007D4C6F" w:rsidR="003629DF">
        <w:t xml:space="preserve"> satisfy the PUCO’s first-prong settlement test as a residential consumer interest. It is mistaken.</w:t>
      </w:r>
      <w:bookmarkEnd w:id="12"/>
      <w:r w:rsidRPr="007D4C6F" w:rsidR="003629DF">
        <w:t xml:space="preserve"> </w:t>
      </w:r>
    </w:p>
    <w:p w:rsidR="00A37D25" w:rsidRPr="007D4C6F" w:rsidP="0080463A" w14:paraId="614CD58B" w14:textId="0044D09D">
      <w:pPr>
        <w:spacing w:line="480" w:lineRule="auto"/>
        <w:ind w:firstLine="720"/>
      </w:pPr>
      <w:r w:rsidRPr="007D4C6F">
        <w:t xml:space="preserve">OCC </w:t>
      </w:r>
      <w:r w:rsidRPr="007D4C6F" w:rsidR="00BD7824">
        <w:t>was</w:t>
      </w:r>
      <w:r w:rsidRPr="007D4C6F">
        <w:t xml:space="preserve"> the only party </w:t>
      </w:r>
      <w:r w:rsidRPr="007D4C6F" w:rsidR="00C91739">
        <w:t xml:space="preserve">prepared to present a broad case for residential consumer protection with expert witnesses on ratemaking, service reliability, </w:t>
      </w:r>
      <w:r w:rsidRPr="007D4C6F" w:rsidR="006A54CE">
        <w:t>and consumer electric choice issues</w:t>
      </w:r>
      <w:r w:rsidRPr="007D4C6F">
        <w:t>. Instead</w:t>
      </w:r>
      <w:r w:rsidRPr="007D4C6F" w:rsidR="00C91739">
        <w:t>,</w:t>
      </w:r>
      <w:r w:rsidRPr="007D4C6F">
        <w:t xml:space="preserve"> </w:t>
      </w:r>
      <w:r w:rsidRPr="007D4C6F" w:rsidR="00DF2798">
        <w:t>other parties</w:t>
      </w:r>
      <w:r w:rsidRPr="007D4C6F" w:rsidR="00F45322">
        <w:t xml:space="preserve"> with limited, </w:t>
      </w:r>
      <w:r w:rsidRPr="007D4C6F" w:rsidR="0071512E">
        <w:t xml:space="preserve">multi-customer, </w:t>
      </w:r>
      <w:r w:rsidRPr="007D4C6F" w:rsidR="00F45322">
        <w:t xml:space="preserve">and/or environmental interests are </w:t>
      </w:r>
      <w:r w:rsidRPr="007D4C6F" w:rsidR="00E53952">
        <w:t xml:space="preserve">simplistically </w:t>
      </w:r>
      <w:r w:rsidRPr="007D4C6F" w:rsidR="00F45322">
        <w:t xml:space="preserve">presented by Duke as </w:t>
      </w:r>
      <w:r w:rsidRPr="007D4C6F" w:rsidR="00E53952">
        <w:t xml:space="preserve">having a residential consumer interest that shows serious bargaining and </w:t>
      </w:r>
      <w:r w:rsidRPr="007D4C6F" w:rsidR="00F45322">
        <w:t>justif</w:t>
      </w:r>
      <w:r w:rsidRPr="007D4C6F" w:rsidR="00E53952">
        <w:t>ies</w:t>
      </w:r>
      <w:r w:rsidRPr="007D4C6F" w:rsidR="00F45322">
        <w:t xml:space="preserve"> the settlement</w:t>
      </w:r>
      <w:r w:rsidRPr="007D4C6F" w:rsidR="00E53952">
        <w:t>.</w:t>
      </w:r>
      <w:r w:rsidRPr="007D4C6F" w:rsidR="00F45322">
        <w:t xml:space="preserve"> </w:t>
      </w:r>
      <w:r w:rsidRPr="007D4C6F" w:rsidR="00E53952">
        <w:t>It doesn’t.</w:t>
      </w:r>
      <w:r w:rsidRPr="007D4C6F">
        <w:t xml:space="preserve"> </w:t>
      </w:r>
      <w:r w:rsidRPr="007D4C6F" w:rsidR="00E53952">
        <w:t xml:space="preserve">Duke’s approach suffers from </w:t>
      </w:r>
      <w:r w:rsidRPr="007D4C6F" w:rsidR="00416EB8">
        <w:t>its</w:t>
      </w:r>
      <w:r w:rsidRPr="007D4C6F" w:rsidR="00E53952">
        <w:t xml:space="preserve"> </w:t>
      </w:r>
      <w:r w:rsidRPr="007D4C6F" w:rsidR="00ED4C52">
        <w:t>creat</w:t>
      </w:r>
      <w:r w:rsidRPr="007D4C6F" w:rsidR="00E53952">
        <w:t>ing</w:t>
      </w:r>
      <w:r w:rsidRPr="007D4C6F" w:rsidR="00ED4C52">
        <w:t xml:space="preserve"> a false equivalency </w:t>
      </w:r>
      <w:r w:rsidRPr="007D4C6F" w:rsidR="00E53952">
        <w:t>of these interests with that of the broad, dedicated consumer interest of a party like OCC.</w:t>
      </w:r>
      <w:r w:rsidRPr="007D4C6F" w:rsidR="00D34BFE">
        <w:t xml:space="preserve"> </w:t>
      </w:r>
    </w:p>
    <w:p w:rsidR="00495C6F" w:rsidRPr="007D4C6F" w:rsidP="0080463A" w14:paraId="22C6C60F" w14:textId="6B03C231">
      <w:pPr>
        <w:spacing w:line="480" w:lineRule="auto"/>
        <w:ind w:firstLine="720"/>
      </w:pPr>
      <w:r w:rsidRPr="007D4C6F">
        <w:t xml:space="preserve">One need only look at the objections filed in this case to see how truly limited the interests of </w:t>
      </w:r>
      <w:r w:rsidRPr="007D4C6F" w:rsidR="00416EB8">
        <w:t>Duke’s claimed</w:t>
      </w:r>
      <w:r w:rsidRPr="007D4C6F">
        <w:t xml:space="preserve"> residential </w:t>
      </w:r>
      <w:r w:rsidRPr="007D4C6F" w:rsidR="00416EB8">
        <w:t>parties</w:t>
      </w:r>
      <w:r w:rsidRPr="007D4C6F">
        <w:t xml:space="preserve"> were. For instance</w:t>
      </w:r>
      <w:r w:rsidRPr="007D4C6F" w:rsidR="00416EB8">
        <w:t>,</w:t>
      </w:r>
      <w:r w:rsidRPr="007D4C6F">
        <w:t xml:space="preserve"> CUB </w:t>
      </w:r>
      <w:r w:rsidRPr="007D4C6F" w:rsidR="00DF2798">
        <w:t xml:space="preserve">Ohio filed </w:t>
      </w:r>
      <w:r w:rsidRPr="007D4C6F" w:rsidR="00416EB8">
        <w:t xml:space="preserve">a total of just </w:t>
      </w:r>
      <w:r w:rsidRPr="007D4C6F">
        <w:rPr>
          <w:i/>
          <w:iCs/>
        </w:rPr>
        <w:t>three</w:t>
      </w:r>
      <w:r w:rsidRPr="007D4C6F">
        <w:t xml:space="preserve"> objections to the Staff’s Report to set forth its positions under R.C. 4909.19.</w:t>
      </w:r>
      <w:r w:rsidRPr="007D4C6F" w:rsidR="00416EB8">
        <w:t xml:space="preserve"> </w:t>
      </w:r>
      <w:r w:rsidRPr="007D4C6F">
        <w:t xml:space="preserve">CUB’s three objections </w:t>
      </w:r>
      <w:r w:rsidRPr="007D4C6F" w:rsidR="00DF2798">
        <w:t>relat</w:t>
      </w:r>
      <w:r w:rsidRPr="007D4C6F">
        <w:t>ed</w:t>
      </w:r>
      <w:r w:rsidRPr="007D4C6F" w:rsidR="00DF2798">
        <w:t xml:space="preserve"> </w:t>
      </w:r>
      <w:r w:rsidRPr="007D4C6F">
        <w:t>to promoting energy efficiency, a community-driven electric vehicle charging program, and time of use rates.</w:t>
      </w:r>
      <w:r>
        <w:rPr>
          <w:rStyle w:val="FootnoteReference"/>
        </w:rPr>
        <w:footnoteReference w:id="31"/>
      </w:r>
      <w:r w:rsidRPr="007D4C6F">
        <w:t xml:space="preserve"> Those are largely environmental issues. </w:t>
      </w:r>
    </w:p>
    <w:p w:rsidR="00A37D25" w:rsidRPr="007D4C6F" w:rsidP="0080463A" w14:paraId="238F9B7E" w14:textId="5ED4C79D">
      <w:pPr>
        <w:spacing w:line="480" w:lineRule="auto"/>
        <w:ind w:firstLine="720"/>
      </w:pPr>
      <w:r w:rsidRPr="007D4C6F">
        <w:t xml:space="preserve">The City of Cincinnati objected to the </w:t>
      </w:r>
      <w:r w:rsidRPr="007D4C6F">
        <w:rPr>
          <w:i/>
          <w:iCs/>
        </w:rPr>
        <w:t>non-residential</w:t>
      </w:r>
      <w:r w:rsidRPr="007D4C6F">
        <w:t xml:space="preserve"> rates, the use of federal infrastructure funds, outdoor lighting, demand charges for </w:t>
      </w:r>
      <w:r w:rsidRPr="007D4C6F">
        <w:rPr>
          <w:i/>
          <w:iCs/>
        </w:rPr>
        <w:t>non-residential</w:t>
      </w:r>
      <w:r w:rsidRPr="007D4C6F">
        <w:t xml:space="preserve"> rates</w:t>
      </w:r>
      <w:r w:rsidRPr="007D4C6F" w:rsidR="008E2B0F">
        <w:t>,</w:t>
      </w:r>
      <w:r w:rsidRPr="007D4C6F">
        <w:t xml:space="preserve"> electric vehicle funding projects, poor reliability related to </w:t>
      </w:r>
      <w:r w:rsidRPr="007D4C6F">
        <w:rPr>
          <w:i/>
          <w:iCs/>
        </w:rPr>
        <w:t>non-residential</w:t>
      </w:r>
      <w:r w:rsidRPr="007D4C6F">
        <w:t xml:space="preserve"> service, and a 25% increase in the energy (not distribution) component of Duke’s rates (an issue arguably outside this distribution rate case).</w:t>
      </w:r>
      <w:r>
        <w:rPr>
          <w:rStyle w:val="FootnoteReference"/>
        </w:rPr>
        <w:footnoteReference w:id="32"/>
      </w:r>
      <w:r w:rsidR="007D4C6F">
        <w:t xml:space="preserve"> </w:t>
      </w:r>
      <w:r w:rsidRPr="007D4C6F" w:rsidR="00495C6F">
        <w:t xml:space="preserve">PWC did not file objections. </w:t>
      </w:r>
      <w:r w:rsidRPr="007D4C6F">
        <w:t>OPAE objected to the rate of return, the increased residential and low-income customer charges, and the collection of convenience fees.</w:t>
      </w:r>
      <w:r>
        <w:rPr>
          <w:rStyle w:val="FootnoteReference"/>
        </w:rPr>
        <w:footnoteReference w:id="33"/>
      </w:r>
      <w:r w:rsidR="007D4C6F">
        <w:t xml:space="preserve"> </w:t>
      </w:r>
    </w:p>
    <w:p w:rsidR="00AE4C86" w:rsidRPr="007D4C6F" w:rsidP="00D34BFE" w14:paraId="3668B90E" w14:textId="0A37ECC2">
      <w:pPr>
        <w:spacing w:line="480" w:lineRule="auto"/>
        <w:ind w:firstLine="720"/>
      </w:pPr>
      <w:r w:rsidRPr="007D4C6F">
        <w:t xml:space="preserve">Additionally, when it came down to presenting a case to advocate for their </w:t>
      </w:r>
      <w:r w:rsidRPr="007D4C6F" w:rsidR="00DF2798">
        <w:t xml:space="preserve">limited </w:t>
      </w:r>
      <w:r w:rsidRPr="007D4C6F">
        <w:t xml:space="preserve">interests, these parties did </w:t>
      </w:r>
      <w:r w:rsidRPr="007D4C6F">
        <w:rPr>
          <w:i/>
          <w:iCs/>
        </w:rPr>
        <w:t>not</w:t>
      </w:r>
      <w:r w:rsidRPr="007D4C6F">
        <w:t xml:space="preserve"> file testimony supporting their objections. </w:t>
      </w:r>
      <w:r w:rsidRPr="007D4C6F" w:rsidR="008E2B0F">
        <w:t>OPAE presented no testimony in this case to advocate for residential consumer interests.</w:t>
      </w:r>
      <w:r w:rsidRPr="007D4C6F" w:rsidR="00BD7824">
        <w:t xml:space="preserve"> Neither did the City of Cincinnati</w:t>
      </w:r>
      <w:r w:rsidRPr="007D4C6F" w:rsidR="00F57FCC">
        <w:t>,</w:t>
      </w:r>
      <w:r w:rsidRPr="007D4C6F" w:rsidR="008E2B0F">
        <w:t xml:space="preserve"> </w:t>
      </w:r>
      <w:r w:rsidRPr="007D4C6F" w:rsidR="00BD7824">
        <w:t>CUB Ohio,</w:t>
      </w:r>
      <w:r w:rsidRPr="007D4C6F">
        <w:t xml:space="preserve"> or </w:t>
      </w:r>
      <w:r w:rsidRPr="007D4C6F" w:rsidR="00BD7824">
        <w:t>PWC</w:t>
      </w:r>
      <w:r w:rsidRPr="007D4C6F">
        <w:t>.</w:t>
      </w:r>
      <w:r w:rsidR="007D4C6F">
        <w:t xml:space="preserve"> </w:t>
      </w:r>
    </w:p>
    <w:p w:rsidR="00DF2798" w:rsidRPr="007D4C6F" w:rsidP="00D34BFE" w14:paraId="1B7689DE" w14:textId="0DDCA816">
      <w:pPr>
        <w:spacing w:line="480" w:lineRule="auto"/>
        <w:ind w:firstLine="720"/>
      </w:pPr>
      <w:r w:rsidRPr="007D4C6F">
        <w:t>As a group, as well as individually, these</w:t>
      </w:r>
      <w:r w:rsidRPr="007D4C6F" w:rsidR="007368A9">
        <w:t xml:space="preserve"> settlement</w:t>
      </w:r>
      <w:r w:rsidRPr="007D4C6F">
        <w:t xml:space="preserve"> </w:t>
      </w:r>
      <w:r w:rsidRPr="007D4C6F" w:rsidR="007368A9">
        <w:t>parties</w:t>
      </w:r>
      <w:r w:rsidRPr="007D4C6F">
        <w:t xml:space="preserve"> </w:t>
      </w:r>
      <w:r w:rsidRPr="007D4C6F" w:rsidR="007368A9">
        <w:t>were not on track</w:t>
      </w:r>
      <w:r w:rsidRPr="007D4C6F">
        <w:t xml:space="preserve"> to present a broad </w:t>
      </w:r>
      <w:r w:rsidRPr="007D4C6F" w:rsidR="007368A9">
        <w:t>hearing case with direct evidence for residential consumer protection</w:t>
      </w:r>
      <w:r w:rsidRPr="007D4C6F" w:rsidR="00001E07">
        <w:t xml:space="preserve"> on ratemaking, service reliability</w:t>
      </w:r>
      <w:r w:rsidRPr="007D4C6F" w:rsidR="00D74B9A">
        <w:t xml:space="preserve">, </w:t>
      </w:r>
      <w:r w:rsidRPr="007D4C6F" w:rsidR="00001E07">
        <w:t>etc</w:t>
      </w:r>
      <w:r w:rsidRPr="007D4C6F" w:rsidR="007368A9">
        <w:t>. And</w:t>
      </w:r>
      <w:r w:rsidRPr="007D4C6F">
        <w:t xml:space="preserve"> </w:t>
      </w:r>
      <w:r w:rsidRPr="007D4C6F" w:rsidR="007368A9">
        <w:t>that</w:t>
      </w:r>
      <w:r w:rsidRPr="007D4C6F">
        <w:t xml:space="preserve"> </w:t>
      </w:r>
      <w:r w:rsidRPr="007D4C6F" w:rsidR="00001E07">
        <w:t xml:space="preserve">lack of a case </w:t>
      </w:r>
      <w:r w:rsidRPr="007D4C6F">
        <w:t xml:space="preserve">would </w:t>
      </w:r>
      <w:r w:rsidRPr="007D4C6F" w:rsidR="007368A9">
        <w:t>undermine</w:t>
      </w:r>
      <w:r w:rsidRPr="007D4C6F">
        <w:t xml:space="preserve"> leverage </w:t>
      </w:r>
      <w:r w:rsidRPr="007D4C6F" w:rsidR="007368A9">
        <w:t xml:space="preserve">for </w:t>
      </w:r>
      <w:r w:rsidRPr="007D4C6F" w:rsidR="00001E07">
        <w:t xml:space="preserve">effective </w:t>
      </w:r>
      <w:r w:rsidRPr="007D4C6F" w:rsidR="007368A9">
        <w:t>serious bargaining</w:t>
      </w:r>
      <w:r w:rsidRPr="007D4C6F" w:rsidR="00001E07">
        <w:t>.</w:t>
      </w:r>
      <w:r w:rsidRPr="007D4C6F">
        <w:t xml:space="preserve"> </w:t>
      </w:r>
    </w:p>
    <w:p w:rsidR="00F756C5" w:rsidRPr="007D4C6F" w:rsidP="00E90FA2" w14:paraId="4D407A88" w14:textId="59961B16">
      <w:pPr>
        <w:spacing w:line="480" w:lineRule="auto"/>
        <w:ind w:firstLine="720"/>
      </w:pPr>
      <w:r w:rsidRPr="007D4C6F">
        <w:t xml:space="preserve">Of all the significant consumer issues in the case, </w:t>
      </w:r>
      <w:r w:rsidRPr="007D4C6F" w:rsidR="00AE4C86">
        <w:t>CUB Ohio</w:t>
      </w:r>
      <w:r w:rsidRPr="007D4C6F">
        <w:t xml:space="preserve">’s bargaining is most identifiable in the settlement where it obtains </w:t>
      </w:r>
      <w:r w:rsidRPr="007D4C6F" w:rsidR="00AE4C86">
        <w:t xml:space="preserve">a commitment to be added to a Duke </w:t>
      </w:r>
      <w:r w:rsidRPr="007D4C6F" w:rsidR="0071512E">
        <w:t>energy-efficiency</w:t>
      </w:r>
      <w:r w:rsidRPr="007D4C6F">
        <w:t xml:space="preserve"> c</w:t>
      </w:r>
      <w:r w:rsidRPr="007D4C6F" w:rsidR="00AE4C86">
        <w:t xml:space="preserve">ollaborative and an agreement to a future </w:t>
      </w:r>
      <w:r w:rsidRPr="007D4C6F" w:rsidR="0071512E">
        <w:t>energy-efficiency</w:t>
      </w:r>
      <w:r w:rsidRPr="007D4C6F" w:rsidR="00D363D3">
        <w:t xml:space="preserve"> </w:t>
      </w:r>
      <w:r w:rsidRPr="007D4C6F" w:rsidR="00ED4C52">
        <w:t xml:space="preserve">collaborative </w:t>
      </w:r>
      <w:r w:rsidRPr="007D4C6F" w:rsidR="00AE4C86">
        <w:t xml:space="preserve">meeting. </w:t>
      </w:r>
      <w:r w:rsidRPr="007D4C6F" w:rsidR="00557941">
        <w:t>That does not reflect the serious bargaining that could be expected from the “consumer watchdog” role for CUB</w:t>
      </w:r>
      <w:r w:rsidRPr="007D4C6F">
        <w:t xml:space="preserve"> Ohio</w:t>
      </w:r>
      <w:r w:rsidRPr="007D4C6F" w:rsidR="00557941">
        <w:t xml:space="preserve"> </w:t>
      </w:r>
      <w:r w:rsidRPr="007D4C6F">
        <w:t xml:space="preserve">that OMA-EG </w:t>
      </w:r>
      <w:r w:rsidRPr="007D4C6F" w:rsidR="00F825E4">
        <w:t xml:space="preserve">and Kroger </w:t>
      </w:r>
      <w:r w:rsidRPr="007D4C6F">
        <w:t xml:space="preserve">wrote in </w:t>
      </w:r>
      <w:r w:rsidRPr="007D4C6F" w:rsidR="00F825E4">
        <w:t>their</w:t>
      </w:r>
      <w:r w:rsidRPr="007D4C6F">
        <w:t xml:space="preserve"> brief.</w:t>
      </w:r>
      <w:r>
        <w:rPr>
          <w:rStyle w:val="FootnoteReference"/>
        </w:rPr>
        <w:footnoteReference w:id="34"/>
      </w:r>
      <w:r w:rsidR="007D4C6F">
        <w:t xml:space="preserve"> </w:t>
      </w:r>
    </w:p>
    <w:p w:rsidR="00E90FA2" w:rsidRPr="007D4C6F" w:rsidP="00E90FA2" w14:paraId="213C907B" w14:textId="1905AF81">
      <w:pPr>
        <w:spacing w:line="480" w:lineRule="auto"/>
        <w:ind w:firstLine="720"/>
      </w:pPr>
      <w:r w:rsidRPr="007D4C6F">
        <w:t>Duke claims that the commitments made in the settlement to the City of Cincinnati “demonstrate[] the seriousness of bargaining that occurred.”</w:t>
      </w:r>
      <w:r>
        <w:rPr>
          <w:rStyle w:val="FootnoteReference"/>
        </w:rPr>
        <w:footnoteReference w:id="35"/>
      </w:r>
      <w:r w:rsidRPr="007D4C6F">
        <w:t xml:space="preserve"> The opposite is true. </w:t>
      </w:r>
      <w:r w:rsidRPr="007D4C6F" w:rsidR="00D75E05">
        <w:t>That Duke’s commitments end at the</w:t>
      </w:r>
      <w:r w:rsidRPr="007D4C6F">
        <w:t xml:space="preserve"> Cincinnati</w:t>
      </w:r>
      <w:r w:rsidRPr="007D4C6F" w:rsidR="00D75E05">
        <w:t xml:space="preserve"> city line </w:t>
      </w:r>
      <w:r w:rsidRPr="007D4C6F">
        <w:t>only demonstrate</w:t>
      </w:r>
      <w:r w:rsidRPr="007D4C6F" w:rsidR="00D75E05">
        <w:t>s</w:t>
      </w:r>
      <w:r w:rsidRPr="007D4C6F">
        <w:t xml:space="preserve"> that Duke was </w:t>
      </w:r>
      <w:r w:rsidRPr="007D4C6F">
        <w:rPr>
          <w:i/>
          <w:iCs/>
        </w:rPr>
        <w:t>unwilling</w:t>
      </w:r>
      <w:r w:rsidRPr="007D4C6F">
        <w:t xml:space="preserve"> to seriously </w:t>
      </w:r>
      <w:r w:rsidRPr="007D4C6F" w:rsidR="00D75E05">
        <w:t>bargain for</w:t>
      </w:r>
      <w:r w:rsidRPr="007D4C6F">
        <w:t xml:space="preserve"> the bill payment and consumer protection provisions proposed by OCC to benefit residential consumers in need throughout </w:t>
      </w:r>
      <w:r w:rsidRPr="007D4C6F">
        <w:rPr>
          <w:i/>
          <w:iCs/>
        </w:rPr>
        <w:t xml:space="preserve">all </w:t>
      </w:r>
      <w:r w:rsidRPr="007D4C6F">
        <w:t xml:space="preserve">of Duke’s service territory. </w:t>
      </w:r>
    </w:p>
    <w:p w:rsidR="00001137" w:rsidRPr="007D4C6F" w:rsidP="0080463A" w14:paraId="7E41BE73" w14:textId="657A5DE4">
      <w:pPr>
        <w:spacing w:line="480" w:lineRule="auto"/>
        <w:ind w:firstLine="720"/>
      </w:pPr>
      <w:r w:rsidRPr="007D4C6F">
        <w:t>We have already discussed how</w:t>
      </w:r>
      <w:r w:rsidRPr="007D4C6F" w:rsidR="00DE43FB">
        <w:t xml:space="preserve"> the settlement</w:t>
      </w:r>
      <w:r w:rsidRPr="007D4C6F">
        <w:t>, with Duke’s provisions for Cincinnati including low-income bill-payment assistance,</w:t>
      </w:r>
      <w:r w:rsidRPr="007D4C6F" w:rsidR="00DE43FB">
        <w:t xml:space="preserve"> fails to</w:t>
      </w:r>
      <w:r w:rsidRPr="007D4C6F">
        <w:t xml:space="preserve"> be </w:t>
      </w:r>
      <w:r w:rsidRPr="007D4C6F">
        <w:rPr>
          <w:i/>
          <w:iCs/>
        </w:rPr>
        <w:t>nondiscriminatory</w:t>
      </w:r>
      <w:r w:rsidRPr="007D4C6F" w:rsidR="00271565">
        <w:t xml:space="preserve"> for </w:t>
      </w:r>
      <w:r w:rsidRPr="007D4C6F">
        <w:t xml:space="preserve">other </w:t>
      </w:r>
      <w:r w:rsidRPr="007D4C6F" w:rsidR="00271565">
        <w:t xml:space="preserve">at-risk </w:t>
      </w:r>
      <w:r w:rsidRPr="007D4C6F">
        <w:t xml:space="preserve">Ohioans in other localities in Duke’s service area, </w:t>
      </w:r>
      <w:r w:rsidRPr="007D4C6F" w:rsidR="00271565">
        <w:t>under</w:t>
      </w:r>
      <w:r w:rsidRPr="007D4C6F">
        <w:t xml:space="preserve"> R.C. 4928.02(A)</w:t>
      </w:r>
      <w:r w:rsidRPr="007D4C6F" w:rsidR="00271565">
        <w:t>.</w:t>
      </w:r>
      <w:r w:rsidRPr="007D4C6F">
        <w:t xml:space="preserve"> </w:t>
      </w:r>
      <w:r w:rsidRPr="007D4C6F" w:rsidR="00271565">
        <w:t>And we discussed how it</w:t>
      </w:r>
      <w:r w:rsidRPr="007D4C6F">
        <w:t xml:space="preserve"> fails to</w:t>
      </w:r>
      <w:r w:rsidRPr="007D4C6F" w:rsidR="00DE43FB">
        <w:rPr>
          <w:i/>
          <w:iCs/>
        </w:rPr>
        <w:t xml:space="preserve"> protect </w:t>
      </w:r>
      <w:r w:rsidRPr="007D4C6F">
        <w:rPr>
          <w:i/>
          <w:iCs/>
        </w:rPr>
        <w:t xml:space="preserve">other </w:t>
      </w:r>
      <w:r w:rsidRPr="007D4C6F" w:rsidR="00DE43FB">
        <w:rPr>
          <w:i/>
          <w:iCs/>
        </w:rPr>
        <w:t>at-risk populations</w:t>
      </w:r>
      <w:r w:rsidRPr="007D4C6F" w:rsidR="00DE43FB">
        <w:t xml:space="preserve"> </w:t>
      </w:r>
      <w:r w:rsidRPr="007D4C6F">
        <w:t xml:space="preserve">in other localities in Duke’s service area, </w:t>
      </w:r>
      <w:r w:rsidRPr="007D4C6F" w:rsidR="00271565">
        <w:t>under</w:t>
      </w:r>
      <w:r w:rsidRPr="007D4C6F" w:rsidR="00DE43FB">
        <w:t xml:space="preserve"> R.C. 4928.02(L). </w:t>
      </w:r>
      <w:r w:rsidRPr="007D4C6F">
        <w:t>Those people</w:t>
      </w:r>
      <w:r w:rsidRPr="007D4C6F" w:rsidR="00610AA9">
        <w:t xml:space="preserve"> in Duke’s service area</w:t>
      </w:r>
      <w:r w:rsidRPr="007D4C6F">
        <w:t xml:space="preserve"> outside Cincinnati city limits also matter.</w:t>
      </w:r>
    </w:p>
    <w:p w:rsidR="00D34BFE" w:rsidRPr="007D4C6F" w:rsidP="00AD2CC7" w14:paraId="46B9579A" w14:textId="1C997A20">
      <w:pPr>
        <w:spacing w:line="480" w:lineRule="auto"/>
        <w:ind w:firstLine="720"/>
      </w:pPr>
      <w:r w:rsidRPr="007D4C6F">
        <w:t xml:space="preserve">The PUCO should reject </w:t>
      </w:r>
      <w:r w:rsidRPr="007D4C6F" w:rsidR="00BD072D">
        <w:t xml:space="preserve">Duke’s use of </w:t>
      </w:r>
      <w:r w:rsidRPr="007D4C6F">
        <w:t xml:space="preserve">its </w:t>
      </w:r>
      <w:r w:rsidRPr="007D4C6F" w:rsidR="00BD072D">
        <w:t>false equivalencies</w:t>
      </w:r>
      <w:r w:rsidRPr="007D4C6F">
        <w:t xml:space="preserve"> to gain approval of its settlement.</w:t>
      </w:r>
      <w:r w:rsidRPr="007D4C6F" w:rsidR="00BD072D">
        <w:t xml:space="preserve"> </w:t>
      </w:r>
    </w:p>
    <w:p w:rsidR="00015657" w:rsidRPr="007D4C6F" w:rsidP="00D16A72" w14:paraId="60E5854A" w14:textId="6F21FEB9">
      <w:pPr>
        <w:pStyle w:val="Heading2"/>
      </w:pPr>
      <w:bookmarkStart w:id="13" w:name="_Toc119331517"/>
      <w:bookmarkStart w:id="14" w:name="_Toc118121836"/>
      <w:r w:rsidRPr="007D4C6F">
        <w:t>B.</w:t>
      </w:r>
      <w:r w:rsidRPr="007D4C6F">
        <w:tab/>
      </w:r>
      <w:r w:rsidRPr="007D4C6F" w:rsidR="00997F76">
        <w:t xml:space="preserve">Settling parties’ claims that the settlement benefits consumers because it gives Duke less than what </w:t>
      </w:r>
      <w:r w:rsidRPr="007D4C6F" w:rsidR="000C5F66">
        <w:t>Duke initial</w:t>
      </w:r>
      <w:r w:rsidRPr="007D4C6F" w:rsidR="00B62744">
        <w:t>ly</w:t>
      </w:r>
      <w:r w:rsidRPr="007D4C6F" w:rsidR="000C5F66">
        <w:t xml:space="preserve"> </w:t>
      </w:r>
      <w:r w:rsidRPr="007D4C6F" w:rsidR="00997F76">
        <w:t xml:space="preserve">requested in </w:t>
      </w:r>
      <w:r w:rsidRPr="007D4C6F" w:rsidR="000C5F66">
        <w:t xml:space="preserve">its rate increase </w:t>
      </w:r>
      <w:r w:rsidRPr="007D4C6F" w:rsidR="00997F76">
        <w:t xml:space="preserve">application do not </w:t>
      </w:r>
      <w:r w:rsidRPr="007D4C6F" w:rsidR="00FA72FD">
        <w:t>mean</w:t>
      </w:r>
      <w:r w:rsidRPr="007D4C6F" w:rsidR="00997F76">
        <w:t xml:space="preserve"> the settlement benefits </w:t>
      </w:r>
      <w:r w:rsidRPr="007D4C6F" w:rsidR="00FA72FD">
        <w:t>consumers</w:t>
      </w:r>
      <w:r w:rsidRPr="007D4C6F" w:rsidR="00997F76">
        <w:t xml:space="preserve"> or the public interest.</w:t>
      </w:r>
      <w:bookmarkEnd w:id="13"/>
      <w:r w:rsidRPr="007D4C6F" w:rsidR="00997F76">
        <w:t xml:space="preserve"> </w:t>
      </w:r>
      <w:bookmarkEnd w:id="14"/>
    </w:p>
    <w:p w:rsidR="00D85627" w:rsidRPr="007D4C6F" w:rsidP="00195145" w14:paraId="7F5C9558" w14:textId="6270BCA6">
      <w:pPr>
        <w:spacing w:line="480" w:lineRule="auto"/>
        <w:ind w:firstLine="720"/>
      </w:pPr>
      <w:r w:rsidRPr="007D4C6F">
        <w:t xml:space="preserve">The </w:t>
      </w:r>
      <w:r w:rsidRPr="007D4C6F" w:rsidR="008D1C0C">
        <w:t>recurring</w:t>
      </w:r>
      <w:r w:rsidRPr="007D4C6F" w:rsidR="00CB4318">
        <w:t xml:space="preserve"> theme </w:t>
      </w:r>
      <w:r w:rsidRPr="007D4C6F" w:rsidR="00D4292A">
        <w:t>in Duke’s and settling parties’ briefs is that</w:t>
      </w:r>
      <w:r w:rsidRPr="007D4C6F" w:rsidR="000C5F66">
        <w:t xml:space="preserve"> the settlement </w:t>
      </w:r>
      <w:r w:rsidRPr="007D4C6F" w:rsidR="00445D8C">
        <w:t xml:space="preserve">should be approved </w:t>
      </w:r>
      <w:r w:rsidRPr="007D4C6F" w:rsidR="00FB3977">
        <w:t>because Duke settled for less than what it asked for in its initial application.</w:t>
      </w:r>
      <w:r>
        <w:rPr>
          <w:rStyle w:val="FootnoteReference"/>
        </w:rPr>
        <w:footnoteReference w:id="36"/>
      </w:r>
      <w:r w:rsidRPr="007D4C6F" w:rsidR="00FB3977">
        <w:t xml:space="preserve"> </w:t>
      </w:r>
      <w:r w:rsidRPr="007D4C6F" w:rsidR="00A067D4">
        <w:t>However,</w:t>
      </w:r>
      <w:r w:rsidRPr="007D4C6F" w:rsidR="00445D8C">
        <w:t xml:space="preserve"> </w:t>
      </w:r>
      <w:r w:rsidRPr="007D4C6F" w:rsidR="00A067D4">
        <w:t>that does not</w:t>
      </w:r>
      <w:r w:rsidRPr="007D4C6F" w:rsidR="00445D8C">
        <w:t xml:space="preserve"> necessarily</w:t>
      </w:r>
      <w:r w:rsidRPr="007D4C6F" w:rsidR="00A067D4">
        <w:t xml:space="preserve"> demonstrate that the settlement benefits customers or the public interest.</w:t>
      </w:r>
    </w:p>
    <w:p w:rsidR="00A067D4" w:rsidRPr="007D4C6F" w:rsidP="00195145" w14:paraId="46E760A6" w14:textId="2249AC1D">
      <w:pPr>
        <w:spacing w:line="480" w:lineRule="auto"/>
        <w:ind w:firstLine="720"/>
      </w:pPr>
      <w:r w:rsidRPr="007D4C6F">
        <w:t xml:space="preserve"> As OCC witness Mr. Defever testified</w:t>
      </w:r>
      <w:r w:rsidRPr="007D4C6F" w:rsidR="00195145">
        <w:t>, “if a Company’s request was $20 million too high, and the settlement only reduced the company’s request by $5 million, customers would still be responsible for $15 million more than would be reasonable.”</w:t>
      </w:r>
      <w:r>
        <w:rPr>
          <w:rStyle w:val="FootnoteReference"/>
        </w:rPr>
        <w:footnoteReference w:id="37"/>
      </w:r>
      <w:r w:rsidRPr="007D4C6F" w:rsidR="00445D8C">
        <w:t xml:space="preserve"> Regardless of what Duke asked for in its application, the evidence</w:t>
      </w:r>
      <w:r w:rsidRPr="007D4C6F" w:rsidR="00900A1E">
        <w:t xml:space="preserve"> presented by OCC</w:t>
      </w:r>
      <w:r w:rsidRPr="007D4C6F" w:rsidR="00445D8C">
        <w:t xml:space="preserve"> demonstrates that the settlement terms are unreasonable and harmful to consumers.</w:t>
      </w:r>
    </w:p>
    <w:p w:rsidR="00347DA9" w:rsidRPr="007D4C6F" w:rsidP="00F500E3" w14:paraId="10990366" w14:textId="02B25F40">
      <w:pPr>
        <w:spacing w:line="480" w:lineRule="auto"/>
        <w:ind w:firstLine="720"/>
      </w:pPr>
      <w:r w:rsidRPr="007D4C6F">
        <w:t xml:space="preserve">OCC presented evidence to demonstrate that a rate </w:t>
      </w:r>
      <w:r w:rsidRPr="007D4C6F">
        <w:rPr>
          <w:i/>
          <w:iCs/>
        </w:rPr>
        <w:t>decrease</w:t>
      </w:r>
      <w:r w:rsidRPr="007D4C6F">
        <w:t xml:space="preserve"> for Duke’s consumers is appropriate.</w:t>
      </w:r>
      <w:r>
        <w:rPr>
          <w:rStyle w:val="FootnoteReference"/>
        </w:rPr>
        <w:footnoteReference w:id="38"/>
      </w:r>
      <w:r w:rsidRPr="007D4C6F">
        <w:t xml:space="preserve"> OCC witness Mr. Defever testified </w:t>
      </w:r>
      <w:r w:rsidRPr="007D4C6F" w:rsidR="002B6812">
        <w:t>and provided evidence to</w:t>
      </w:r>
      <w:r w:rsidRPr="007D4C6F">
        <w:t xml:space="preserve"> support a total revenue requirement of $560.6 million for Duke and a revenue decrease for consumers of $1.5 million.</w:t>
      </w:r>
      <w:r>
        <w:rPr>
          <w:rStyle w:val="FootnoteReference"/>
        </w:rPr>
        <w:footnoteReference w:id="39"/>
      </w:r>
      <w:r w:rsidRPr="007D4C6F" w:rsidR="002B6812">
        <w:t xml:space="preserve"> </w:t>
      </w:r>
      <w:r w:rsidRPr="007D4C6F" w:rsidR="000D334D">
        <w:t>Moreover, the PUCO Staff initially recommended that Duke be allowed an increase between $1.86 million and $15.27 million.</w:t>
      </w:r>
      <w:r>
        <w:rPr>
          <w:rStyle w:val="FootnoteReference"/>
        </w:rPr>
        <w:footnoteReference w:id="40"/>
      </w:r>
      <w:r w:rsidRPr="007D4C6F" w:rsidR="000D334D">
        <w:t xml:space="preserve"> The $23.1 million increase in the settlement, while less than what Duke initially requested in its application, is still unreasonable and harmful to consumers.</w:t>
      </w:r>
      <w:r w:rsidRPr="007D4C6F" w:rsidR="009A2AD9">
        <w:t xml:space="preserve"> Paying $7.8 million over the high end of PUCO Staff’s range is not a benefit</w:t>
      </w:r>
      <w:r w:rsidRPr="007D4C6F" w:rsidR="00CB4318">
        <w:t xml:space="preserve"> for consumers</w:t>
      </w:r>
      <w:r w:rsidRPr="007D4C6F" w:rsidR="009A2AD9">
        <w:t xml:space="preserve">, unless you are allocating 92.4% of it to someone that is not signing onto the </w:t>
      </w:r>
      <w:r w:rsidRPr="007D4C6F" w:rsidR="00D85627">
        <w:t>settlement</w:t>
      </w:r>
      <w:r w:rsidRPr="007D4C6F" w:rsidR="009A2AD9">
        <w:t xml:space="preserve">. </w:t>
      </w:r>
    </w:p>
    <w:p w:rsidR="00CD7591" w:rsidRPr="007D4C6F" w:rsidP="000050E7" w14:paraId="38E68CAC" w14:textId="3D0C2259">
      <w:pPr>
        <w:spacing w:line="480" w:lineRule="auto"/>
        <w:ind w:firstLine="720"/>
      </w:pPr>
      <w:r w:rsidRPr="007D4C6F">
        <w:t>The settlement adopts a return on equity (“ROE”</w:t>
      </w:r>
      <w:r w:rsidRPr="007D4C6F" w:rsidR="006A195E">
        <w:t xml:space="preserve"> or profit</w:t>
      </w:r>
      <w:r w:rsidRPr="007D4C6F">
        <w:t>) of 9.5%.</w:t>
      </w:r>
      <w:r>
        <w:rPr>
          <w:rStyle w:val="FootnoteReference"/>
        </w:rPr>
        <w:footnoteReference w:id="41"/>
      </w:r>
      <w:r w:rsidRPr="007D4C6F" w:rsidR="00F500E3">
        <w:t xml:space="preserve"> </w:t>
      </w:r>
      <w:r w:rsidRPr="007D4C6F" w:rsidR="000050E7">
        <w:t>While</w:t>
      </w:r>
      <w:r w:rsidRPr="007D4C6F" w:rsidR="00F500E3">
        <w:t xml:space="preserve"> this is less than the ROE Duke initially requested</w:t>
      </w:r>
      <w:r w:rsidRPr="007D4C6F" w:rsidR="000050E7">
        <w:t xml:space="preserve">, </w:t>
      </w:r>
      <w:r w:rsidRPr="007D4C6F" w:rsidR="00F500E3">
        <w:t xml:space="preserve">OCC presented evidence through Dr. Woolridge that the settlement’s </w:t>
      </w:r>
      <w:r w:rsidRPr="007D4C6F">
        <w:t>ROE</w:t>
      </w:r>
      <w:r w:rsidRPr="007D4C6F" w:rsidR="000050E7">
        <w:t xml:space="preserve"> </w:t>
      </w:r>
      <w:r w:rsidRPr="007D4C6F" w:rsidR="00F500E3">
        <w:t>(</w:t>
      </w:r>
      <w:r w:rsidRPr="007D4C6F">
        <w:t>and capital structure</w:t>
      </w:r>
      <w:r w:rsidRPr="007D4C6F" w:rsidR="00F500E3">
        <w:t>)</w:t>
      </w:r>
      <w:r w:rsidRPr="007D4C6F">
        <w:t xml:space="preserve"> will result in excessive and unreasonable charges to Duke’s consumers.</w:t>
      </w:r>
      <w:r w:rsidRPr="007D4C6F" w:rsidR="001F67A5">
        <w:t xml:space="preserve"> </w:t>
      </w:r>
      <w:r w:rsidRPr="007D4C6F" w:rsidR="00F500E3">
        <w:t>Instead</w:t>
      </w:r>
      <w:r w:rsidRPr="007D4C6F" w:rsidR="000050E7">
        <w:t>, f</w:t>
      </w:r>
      <w:r w:rsidRPr="007D4C6F" w:rsidR="001F67A5">
        <w:t>or consumer protection, OCC</w:t>
      </w:r>
      <w:r w:rsidRPr="007D4C6F" w:rsidR="000050E7">
        <w:t xml:space="preserve"> presented evidence to support a more reasonable</w:t>
      </w:r>
      <w:r w:rsidRPr="007D4C6F" w:rsidR="001F67A5">
        <w:t xml:space="preserve"> 8.84% ROE and capital structure of 50% equity</w:t>
      </w:r>
      <w:r w:rsidRPr="007D4C6F">
        <w:t>.</w:t>
      </w:r>
      <w:r>
        <w:rPr>
          <w:rStyle w:val="FootnoteReference"/>
        </w:rPr>
        <w:footnoteReference w:id="42"/>
      </w:r>
      <w:r w:rsidRPr="007D4C6F">
        <w:t xml:space="preserve"> </w:t>
      </w:r>
    </w:p>
    <w:p w:rsidR="00B1742D" w:rsidRPr="007D4C6F" w:rsidP="0070795D" w14:paraId="0C59E26C" w14:textId="5A711280">
      <w:pPr>
        <w:pStyle w:val="Body"/>
        <w:tabs>
          <w:tab w:val="clear" w:pos="720"/>
        </w:tabs>
        <w:spacing w:line="480" w:lineRule="auto"/>
        <w:ind w:left="0" w:firstLine="720"/>
        <w:rPr>
          <w:rFonts w:cs="Times New Roman"/>
          <w:lang w:val="en-US"/>
        </w:rPr>
      </w:pPr>
      <w:r w:rsidRPr="007D4C6F">
        <w:rPr>
          <w:rFonts w:cs="Times New Roman"/>
        </w:rPr>
        <w:t>The settlement calls for a Residential Customer charge of $8.00, wh</w:t>
      </w:r>
      <w:r w:rsidRPr="007D4C6F" w:rsidR="00591A35">
        <w:rPr>
          <w:rFonts w:cs="Times New Roman"/>
        </w:rPr>
        <w:t>ich is an increase from the</w:t>
      </w:r>
      <w:r w:rsidRPr="007D4C6F">
        <w:rPr>
          <w:rFonts w:cs="Times New Roman"/>
        </w:rPr>
        <w:t xml:space="preserve"> current Residential consumer char</w:t>
      </w:r>
      <w:r w:rsidRPr="007D4C6F" w:rsidR="00591A35">
        <w:rPr>
          <w:rFonts w:cs="Times New Roman"/>
        </w:rPr>
        <w:t>ge of</w:t>
      </w:r>
      <w:r w:rsidRPr="007D4C6F">
        <w:rPr>
          <w:rFonts w:cs="Times New Roman"/>
        </w:rPr>
        <w:t xml:space="preserve"> $6.00.</w:t>
      </w:r>
      <w:r>
        <w:rPr>
          <w:rFonts w:cs="Times New Roman"/>
          <w:vertAlign w:val="superscript"/>
        </w:rPr>
        <w:footnoteReference w:id="43"/>
      </w:r>
      <w:r w:rsidRPr="007D4C6F">
        <w:rPr>
          <w:rFonts w:cs="Times New Roman"/>
        </w:rPr>
        <w:t xml:space="preserve"> </w:t>
      </w:r>
      <w:r w:rsidRPr="007D4C6F" w:rsidR="00591A35">
        <w:rPr>
          <w:rFonts w:cs="Times New Roman"/>
        </w:rPr>
        <w:t>The</w:t>
      </w:r>
      <w:r w:rsidRPr="007D4C6F">
        <w:rPr>
          <w:rFonts w:cs="Times New Roman"/>
        </w:rPr>
        <w:t xml:space="preserve"> $8.00 Residential Customer charge </w:t>
      </w:r>
      <w:r w:rsidRPr="007D4C6F" w:rsidR="00591A35">
        <w:rPr>
          <w:rFonts w:cs="Times New Roman"/>
        </w:rPr>
        <w:t xml:space="preserve">in the settlmeent </w:t>
      </w:r>
      <w:r w:rsidRPr="007D4C6F">
        <w:rPr>
          <w:rFonts w:cs="Times New Roman"/>
        </w:rPr>
        <w:t>is less than what Duke initially requested</w:t>
      </w:r>
      <w:r w:rsidRPr="007D4C6F" w:rsidR="00591A35">
        <w:rPr>
          <w:rFonts w:cs="Times New Roman"/>
        </w:rPr>
        <w:t>.</w:t>
      </w:r>
      <w:r w:rsidRPr="007D4C6F">
        <w:rPr>
          <w:rFonts w:cs="Times New Roman"/>
        </w:rPr>
        <w:t xml:space="preserve"> </w:t>
      </w:r>
      <w:r w:rsidRPr="007D4C6F" w:rsidR="00591A35">
        <w:rPr>
          <w:rFonts w:cs="Times New Roman"/>
        </w:rPr>
        <w:t xml:space="preserve">But </w:t>
      </w:r>
      <w:r w:rsidRPr="007D4C6F">
        <w:rPr>
          <w:rFonts w:cs="Times New Roman"/>
        </w:rPr>
        <w:t xml:space="preserve">OCC presented the testimony of expert witness </w:t>
      </w:r>
      <w:r w:rsidRPr="007D4C6F" w:rsidR="00591A35">
        <w:rPr>
          <w:rFonts w:cs="Times New Roman"/>
        </w:rPr>
        <w:t xml:space="preserve">Robert </w:t>
      </w:r>
      <w:r w:rsidRPr="007D4C6F">
        <w:rPr>
          <w:rFonts w:cs="Times New Roman"/>
        </w:rPr>
        <w:t xml:space="preserve">Fortney that an increase of 33.33% to the customer charge </w:t>
      </w:r>
      <w:r w:rsidRPr="007D4C6F" w:rsidR="00591A35">
        <w:rPr>
          <w:rFonts w:cs="Times New Roman"/>
        </w:rPr>
        <w:t>does not</w:t>
      </w:r>
      <w:r w:rsidRPr="007D4C6F">
        <w:rPr>
          <w:rFonts w:cs="Times New Roman"/>
        </w:rPr>
        <w:t xml:space="preserve"> benefit consumers </w:t>
      </w:r>
      <w:r w:rsidRPr="007D4C6F" w:rsidR="00591A35">
        <w:rPr>
          <w:rFonts w:cs="Times New Roman"/>
        </w:rPr>
        <w:t xml:space="preserve">or </w:t>
      </w:r>
      <w:r w:rsidRPr="007D4C6F">
        <w:rPr>
          <w:rFonts w:cs="Times New Roman"/>
        </w:rPr>
        <w:t>the public interest.</w:t>
      </w:r>
      <w:r>
        <w:rPr>
          <w:rStyle w:val="FootnoteReference"/>
          <w:rFonts w:cs="Times New Roman"/>
        </w:rPr>
        <w:footnoteReference w:id="44"/>
      </w:r>
      <w:r w:rsidRPr="007D4C6F">
        <w:rPr>
          <w:rFonts w:cs="Times New Roman"/>
        </w:rPr>
        <w:t xml:space="preserve"> </w:t>
      </w:r>
      <w:r w:rsidRPr="007D4C6F">
        <w:rPr>
          <w:rFonts w:cs="Times New Roman"/>
          <w:lang w:val="en-US"/>
        </w:rPr>
        <w:t>The</w:t>
      </w:r>
      <w:r w:rsidRPr="007D4C6F" w:rsidR="00502A04">
        <w:rPr>
          <w:rFonts w:cs="Times New Roman"/>
          <w:lang w:val="en-US"/>
        </w:rPr>
        <w:t xml:space="preserve"> $8.00 Residential Customer charge is also higher than what the</w:t>
      </w:r>
      <w:r w:rsidRPr="007D4C6F">
        <w:rPr>
          <w:rFonts w:cs="Times New Roman"/>
          <w:lang w:val="en-US"/>
        </w:rPr>
        <w:t xml:space="preserve"> PUCO Staff </w:t>
      </w:r>
      <w:r w:rsidRPr="007D4C6F" w:rsidR="00502A04">
        <w:rPr>
          <w:rFonts w:cs="Times New Roman"/>
          <w:lang w:val="en-US"/>
        </w:rPr>
        <w:t xml:space="preserve">initially </w:t>
      </w:r>
      <w:r w:rsidRPr="007D4C6F">
        <w:rPr>
          <w:rFonts w:cs="Times New Roman"/>
          <w:lang w:val="en-US"/>
        </w:rPr>
        <w:t>recommended</w:t>
      </w:r>
      <w:r w:rsidRPr="007D4C6F" w:rsidR="00502A04">
        <w:rPr>
          <w:rFonts w:cs="Times New Roman"/>
          <w:lang w:val="en-US"/>
        </w:rPr>
        <w:t xml:space="preserve"> (</w:t>
      </w:r>
      <w:r w:rsidRPr="007D4C6F">
        <w:rPr>
          <w:rFonts w:cs="Times New Roman"/>
          <w:lang w:val="en-US"/>
        </w:rPr>
        <w:t>$7.32</w:t>
      </w:r>
      <w:r w:rsidRPr="007D4C6F" w:rsidR="00502A04">
        <w:rPr>
          <w:rFonts w:cs="Times New Roman"/>
          <w:lang w:val="en-US"/>
        </w:rPr>
        <w:t>)</w:t>
      </w:r>
      <w:r w:rsidRPr="007D4C6F">
        <w:rPr>
          <w:rFonts w:cs="Times New Roman"/>
          <w:lang w:val="en-US"/>
        </w:rPr>
        <w:t>.</w:t>
      </w:r>
      <w:r>
        <w:rPr>
          <w:rStyle w:val="FootnoteReference"/>
          <w:rFonts w:cs="Times New Roman"/>
          <w:lang w:val="en-US"/>
        </w:rPr>
        <w:footnoteReference w:id="45"/>
      </w:r>
      <w:r w:rsidRPr="007D4C6F">
        <w:rPr>
          <w:rFonts w:cs="Times New Roman"/>
          <w:lang w:val="en-US"/>
        </w:rPr>
        <w:t xml:space="preserve"> </w:t>
      </w:r>
      <w:r w:rsidRPr="007D4C6F" w:rsidR="00502A04">
        <w:rPr>
          <w:rFonts w:cs="Times New Roman"/>
          <w:lang w:val="en-US"/>
        </w:rPr>
        <w:t>OCC instead presented evidence to support a Residential Customer charge of $5.66.</w:t>
      </w:r>
      <w:r>
        <w:rPr>
          <w:rStyle w:val="FootnoteReference"/>
          <w:rFonts w:cs="Times New Roman"/>
          <w:lang w:val="en-US"/>
        </w:rPr>
        <w:footnoteReference w:id="46"/>
      </w:r>
    </w:p>
    <w:p w:rsidR="0021674C" w:rsidRPr="007D4C6F" w:rsidP="00645B71" w14:paraId="3ADB215D" w14:textId="622CBBC3">
      <w:pPr>
        <w:spacing w:line="480" w:lineRule="auto"/>
        <w:ind w:firstLine="720"/>
        <w:rPr>
          <w:color w:val="000000" w:themeColor="text1"/>
        </w:rPr>
      </w:pPr>
      <w:r w:rsidRPr="007D4C6F">
        <w:rPr>
          <w:color w:val="000000" w:themeColor="text1"/>
        </w:rPr>
        <w:t>Duke, OMA</w:t>
      </w:r>
      <w:r w:rsidRPr="007D4C6F" w:rsidR="00D74B9A">
        <w:rPr>
          <w:color w:val="000000" w:themeColor="text1"/>
        </w:rPr>
        <w:t>-</w:t>
      </w:r>
      <w:r w:rsidRPr="007D4C6F">
        <w:rPr>
          <w:color w:val="000000" w:themeColor="text1"/>
        </w:rPr>
        <w:t>EG, and Kroger also claim that settlement allows Duke to charge consumers less under the Distribution Capital Investment (“DCI”) Rider than what Duke initially requested.</w:t>
      </w:r>
      <w:r>
        <w:rPr>
          <w:rStyle w:val="FootnoteReference"/>
          <w:color w:val="000000" w:themeColor="text1"/>
        </w:rPr>
        <w:footnoteReference w:id="47"/>
      </w:r>
      <w:r w:rsidRPr="007D4C6F">
        <w:rPr>
          <w:color w:val="000000" w:themeColor="text1"/>
        </w:rPr>
        <w:t xml:space="preserve"> </w:t>
      </w:r>
      <w:r w:rsidRPr="007D4C6F" w:rsidR="00645B71">
        <w:rPr>
          <w:color w:val="000000" w:themeColor="text1"/>
        </w:rPr>
        <w:t xml:space="preserve">However, </w:t>
      </w:r>
      <w:r w:rsidRPr="007D4C6F" w:rsidR="00C73DA6">
        <w:rPr>
          <w:color w:val="000000" w:themeColor="text1"/>
        </w:rPr>
        <w:t>OCC witness Mr. Williams testified that the settlement</w:t>
      </w:r>
      <w:r w:rsidRPr="007D4C6F" w:rsidR="008774C2">
        <w:rPr>
          <w:color w:val="000000" w:themeColor="text1"/>
        </w:rPr>
        <w:t xml:space="preserve"> </w:t>
      </w:r>
      <w:r w:rsidRPr="007D4C6F" w:rsidR="00C73DA6">
        <w:rPr>
          <w:color w:val="000000" w:themeColor="text1"/>
        </w:rPr>
        <w:t>harms</w:t>
      </w:r>
      <w:r w:rsidRPr="007D4C6F" w:rsidR="008774C2">
        <w:rPr>
          <w:color w:val="000000" w:themeColor="text1"/>
        </w:rPr>
        <w:t xml:space="preserve"> consumers and the public interest</w:t>
      </w:r>
      <w:r w:rsidRPr="007D4C6F" w:rsidR="00C73DA6">
        <w:rPr>
          <w:color w:val="000000" w:themeColor="text1"/>
        </w:rPr>
        <w:t xml:space="preserve"> </w:t>
      </w:r>
      <w:r w:rsidRPr="007D4C6F" w:rsidR="00645B71">
        <w:rPr>
          <w:color w:val="000000" w:themeColor="text1"/>
        </w:rPr>
        <w:t xml:space="preserve">because it </w:t>
      </w:r>
      <w:r w:rsidRPr="007D4C6F" w:rsidR="00C73DA6">
        <w:rPr>
          <w:color w:val="000000" w:themeColor="text1"/>
        </w:rPr>
        <w:t xml:space="preserve">allows Duke to charge consumers up to $159 million total </w:t>
      </w:r>
      <w:r w:rsidRPr="007D4C6F" w:rsidR="00645B71">
        <w:rPr>
          <w:color w:val="000000" w:themeColor="text1"/>
        </w:rPr>
        <w:t xml:space="preserve">under the DCI Rider without requiring </w:t>
      </w:r>
      <w:r w:rsidRPr="007D4C6F" w:rsidR="00C73DA6">
        <w:rPr>
          <w:color w:val="000000" w:themeColor="text1"/>
        </w:rPr>
        <w:t>Duke</w:t>
      </w:r>
      <w:r w:rsidRPr="007D4C6F" w:rsidR="00645B71">
        <w:rPr>
          <w:color w:val="000000" w:themeColor="text1"/>
        </w:rPr>
        <w:t xml:space="preserve"> to provide</w:t>
      </w:r>
      <w:r w:rsidRPr="007D4C6F" w:rsidR="00C73DA6">
        <w:rPr>
          <w:color w:val="000000" w:themeColor="text1"/>
        </w:rPr>
        <w:t xml:space="preserve"> more reliable service in exchange.</w:t>
      </w:r>
      <w:r>
        <w:rPr>
          <w:rStyle w:val="FootnoteReference"/>
          <w:color w:val="000000" w:themeColor="text1"/>
        </w:rPr>
        <w:footnoteReference w:id="48"/>
      </w:r>
      <w:r w:rsidRPr="007D4C6F">
        <w:rPr>
          <w:color w:val="000000" w:themeColor="text1"/>
        </w:rPr>
        <w:t xml:space="preserve"> Thus, the settlement is still harmful to consumers and the public interest.</w:t>
      </w:r>
      <w:r w:rsidRPr="007D4C6F" w:rsidR="00C73DA6">
        <w:rPr>
          <w:color w:val="000000" w:themeColor="text1"/>
        </w:rPr>
        <w:t xml:space="preserve"> </w:t>
      </w:r>
    </w:p>
    <w:p w:rsidR="007411AC" w:rsidRPr="007D4C6F" w:rsidP="0021674C" w14:paraId="11F288B0" w14:textId="3B5247D7">
      <w:pPr>
        <w:spacing w:line="480" w:lineRule="auto"/>
        <w:ind w:firstLine="720"/>
        <w:rPr>
          <w:color w:val="000000" w:themeColor="text1"/>
        </w:rPr>
      </w:pPr>
      <w:r w:rsidRPr="007D4C6F">
        <w:rPr>
          <w:color w:val="000000" w:themeColor="text1"/>
        </w:rPr>
        <w:t>The s</w:t>
      </w:r>
      <w:r w:rsidRPr="007D4C6F" w:rsidR="00645B71">
        <w:rPr>
          <w:color w:val="000000" w:themeColor="text1"/>
        </w:rPr>
        <w:t>ettlement</w:t>
      </w:r>
      <w:r w:rsidRPr="007D4C6F">
        <w:rPr>
          <w:color w:val="000000" w:themeColor="text1"/>
        </w:rPr>
        <w:t>’s provisions regarding the DCI Rider allow Duke to continue charging consumers even if Duke fails</w:t>
      </w:r>
      <w:r w:rsidRPr="007D4C6F" w:rsidR="00645B71">
        <w:rPr>
          <w:color w:val="000000" w:themeColor="text1"/>
        </w:rPr>
        <w:t xml:space="preserve"> </w:t>
      </w:r>
      <w:r w:rsidRPr="007D4C6F" w:rsidR="00C73DA6">
        <w:rPr>
          <w:color w:val="000000" w:themeColor="text1"/>
        </w:rPr>
        <w:t>to meet two performance standards – SAIFI</w:t>
      </w:r>
      <w:r>
        <w:rPr>
          <w:rStyle w:val="FootnoteReference"/>
          <w:color w:val="000000" w:themeColor="text1"/>
        </w:rPr>
        <w:footnoteReference w:id="49"/>
      </w:r>
      <w:r w:rsidRPr="007D4C6F" w:rsidR="00C73DA6">
        <w:rPr>
          <w:color w:val="000000" w:themeColor="text1"/>
        </w:rPr>
        <w:t xml:space="preserve"> and CAIDI</w:t>
      </w:r>
      <w:r>
        <w:rPr>
          <w:rStyle w:val="FootnoteReference"/>
          <w:color w:val="000000" w:themeColor="text1"/>
        </w:rPr>
        <w:footnoteReference w:id="50"/>
      </w:r>
      <w:r w:rsidRPr="007D4C6F" w:rsidR="00645B71">
        <w:rPr>
          <w:color w:val="000000" w:themeColor="text1"/>
        </w:rPr>
        <w:t xml:space="preserve"> --</w:t>
      </w:r>
      <w:r w:rsidRPr="007D4C6F">
        <w:rPr>
          <w:color w:val="000000" w:themeColor="text1"/>
        </w:rPr>
        <w:t xml:space="preserve"> under</w:t>
      </w:r>
      <w:r w:rsidRPr="007D4C6F" w:rsidR="00645B71">
        <w:rPr>
          <w:color w:val="000000" w:themeColor="text1"/>
        </w:rPr>
        <w:t xml:space="preserve"> the PUCO’s rules. </w:t>
      </w:r>
      <w:r w:rsidRPr="007D4C6F">
        <w:rPr>
          <w:color w:val="000000" w:themeColor="text1"/>
        </w:rPr>
        <w:t>T</w:t>
      </w:r>
      <w:r w:rsidRPr="007D4C6F" w:rsidR="00645B71">
        <w:rPr>
          <w:color w:val="000000" w:themeColor="text1"/>
        </w:rPr>
        <w:t xml:space="preserve">he </w:t>
      </w:r>
      <w:r w:rsidRPr="007D4C6F" w:rsidR="00217ED0">
        <w:rPr>
          <w:color w:val="000000" w:themeColor="text1"/>
        </w:rPr>
        <w:t>settlement</w:t>
      </w:r>
      <w:r w:rsidRPr="007D4C6F">
        <w:rPr>
          <w:color w:val="000000" w:themeColor="text1"/>
        </w:rPr>
        <w:t xml:space="preserve"> instead</w:t>
      </w:r>
      <w:r w:rsidRPr="007D4C6F" w:rsidR="00C73DA6">
        <w:rPr>
          <w:color w:val="000000" w:themeColor="text1"/>
        </w:rPr>
        <w:t xml:space="preserve"> uses</w:t>
      </w:r>
      <w:r>
        <w:rPr>
          <w:rStyle w:val="FootnoteReference"/>
          <w:color w:val="000000" w:themeColor="text1"/>
        </w:rPr>
        <w:footnoteReference w:id="51"/>
      </w:r>
      <w:r w:rsidRPr="007D4C6F" w:rsidR="00C73DA6">
        <w:rPr>
          <w:color w:val="000000" w:themeColor="text1"/>
        </w:rPr>
        <w:t xml:space="preserve"> a third standard – SAIDI</w:t>
      </w:r>
      <w:r>
        <w:rPr>
          <w:rStyle w:val="FootnoteReference"/>
          <w:color w:val="000000" w:themeColor="text1"/>
        </w:rPr>
        <w:footnoteReference w:id="52"/>
      </w:r>
      <w:r w:rsidRPr="007D4C6F" w:rsidR="00C73DA6">
        <w:rPr>
          <w:color w:val="000000" w:themeColor="text1"/>
        </w:rPr>
        <w:t xml:space="preserve"> – that the PUCO has not approv</w:t>
      </w:r>
      <w:r w:rsidRPr="007D4C6F" w:rsidR="00645B71">
        <w:rPr>
          <w:color w:val="000000" w:themeColor="text1"/>
        </w:rPr>
        <w:t>ed as a distribution reliability standard</w:t>
      </w:r>
      <w:r w:rsidRPr="007D4C6F" w:rsidR="00C73DA6">
        <w:rPr>
          <w:color w:val="000000" w:themeColor="text1"/>
        </w:rPr>
        <w:t>.</w:t>
      </w:r>
      <w:r w:rsidRPr="007D4C6F" w:rsidR="00645B71">
        <w:rPr>
          <w:color w:val="000000" w:themeColor="text1"/>
        </w:rPr>
        <w:t xml:space="preserve"> Duke’s witness Mr. Hesse conceded</w:t>
      </w:r>
      <w:r w:rsidRPr="007D4C6F">
        <w:rPr>
          <w:color w:val="000000" w:themeColor="text1"/>
        </w:rPr>
        <w:t xml:space="preserve"> during the evidentiary hearing</w:t>
      </w:r>
      <w:r w:rsidRPr="007D4C6F" w:rsidR="00645B71">
        <w:rPr>
          <w:color w:val="000000" w:themeColor="text1"/>
        </w:rPr>
        <w:t xml:space="preserve"> that the settlement </w:t>
      </w:r>
      <w:r w:rsidRPr="007D4C6F">
        <w:rPr>
          <w:color w:val="000000" w:themeColor="text1"/>
        </w:rPr>
        <w:t>will</w:t>
      </w:r>
      <w:r w:rsidRPr="007D4C6F" w:rsidR="00645B71">
        <w:rPr>
          <w:color w:val="000000" w:themeColor="text1"/>
        </w:rPr>
        <w:t xml:space="preserve"> </w:t>
      </w:r>
      <w:r w:rsidRPr="007D4C6F" w:rsidR="009F3D19">
        <w:rPr>
          <w:color w:val="000000" w:themeColor="text1"/>
        </w:rPr>
        <w:t xml:space="preserve">allow </w:t>
      </w:r>
      <w:r w:rsidRPr="007D4C6F" w:rsidR="00C73DA6">
        <w:rPr>
          <w:color w:val="000000" w:themeColor="text1"/>
        </w:rPr>
        <w:t xml:space="preserve">Duke </w:t>
      </w:r>
      <w:r w:rsidRPr="007D4C6F" w:rsidR="00645B71">
        <w:rPr>
          <w:color w:val="000000" w:themeColor="text1"/>
        </w:rPr>
        <w:t>to</w:t>
      </w:r>
      <w:r w:rsidRPr="007D4C6F" w:rsidR="00C73DA6">
        <w:rPr>
          <w:color w:val="000000" w:themeColor="text1"/>
        </w:rPr>
        <w:t xml:space="preserve"> </w:t>
      </w:r>
      <w:r w:rsidRPr="007D4C6F" w:rsidR="00645B71">
        <w:rPr>
          <w:color w:val="000000" w:themeColor="text1"/>
        </w:rPr>
        <w:t>charge consumers under the</w:t>
      </w:r>
      <w:r w:rsidRPr="007D4C6F" w:rsidR="00C73DA6">
        <w:rPr>
          <w:color w:val="000000" w:themeColor="text1"/>
        </w:rPr>
        <w:t xml:space="preserve"> DCI </w:t>
      </w:r>
      <w:r w:rsidRPr="007D4C6F" w:rsidR="00645B71">
        <w:rPr>
          <w:color w:val="000000" w:themeColor="text1"/>
        </w:rPr>
        <w:t>Rider even if Duke fails the SAIFI and CAIDI standards</w:t>
      </w:r>
      <w:r w:rsidRPr="007D4C6F" w:rsidR="00C73DA6">
        <w:rPr>
          <w:color w:val="000000" w:themeColor="text1"/>
        </w:rPr>
        <w:t>.</w:t>
      </w:r>
      <w:r>
        <w:rPr>
          <w:rStyle w:val="FootnoteReference"/>
          <w:color w:val="000000" w:themeColor="text1"/>
        </w:rPr>
        <w:footnoteReference w:id="53"/>
      </w:r>
      <w:r w:rsidRPr="007D4C6F" w:rsidR="00C73DA6">
        <w:rPr>
          <w:color w:val="000000" w:themeColor="text1"/>
        </w:rPr>
        <w:t xml:space="preserve"> </w:t>
      </w:r>
      <w:r w:rsidRPr="007D4C6F" w:rsidR="00D85627">
        <w:rPr>
          <w:color w:val="000000" w:themeColor="text1"/>
        </w:rPr>
        <w:t xml:space="preserve">That is unreasonable. </w:t>
      </w:r>
    </w:p>
    <w:p w:rsidR="00806DA7" w:rsidRPr="007D4C6F" w:rsidP="00AD2CC7" w14:paraId="0A4CF6D1" w14:textId="3042EF4D">
      <w:pPr>
        <w:spacing w:line="480" w:lineRule="auto"/>
        <w:ind w:firstLine="720"/>
        <w:rPr>
          <w:color w:val="000000" w:themeColor="text1"/>
        </w:rPr>
      </w:pPr>
      <w:r w:rsidRPr="007D4C6F">
        <w:rPr>
          <w:color w:val="000000" w:themeColor="text1"/>
        </w:rPr>
        <w:t>U</w:t>
      </w:r>
      <w:r w:rsidRPr="007D4C6F" w:rsidR="0021674C">
        <w:rPr>
          <w:color w:val="000000" w:themeColor="text1"/>
        </w:rPr>
        <w:t>nder the settlement, consumers will be required to pay more for Duke’s distribution investments even if they get no quantifiable reliability benefit</w:t>
      </w:r>
      <w:r w:rsidRPr="007D4C6F" w:rsidR="00F825E4">
        <w:rPr>
          <w:color w:val="000000" w:themeColor="text1"/>
        </w:rPr>
        <w:t xml:space="preserve"> improvement</w:t>
      </w:r>
      <w:r w:rsidRPr="007D4C6F" w:rsidR="0021674C">
        <w:rPr>
          <w:color w:val="000000" w:themeColor="text1"/>
        </w:rPr>
        <w:t>s.</w:t>
      </w:r>
      <w:r>
        <w:rPr>
          <w:rStyle w:val="FootnoteReference"/>
          <w:color w:val="000000" w:themeColor="text1"/>
        </w:rPr>
        <w:footnoteReference w:id="54"/>
      </w:r>
      <w:r w:rsidRPr="007D4C6F" w:rsidR="00C73DA6">
        <w:rPr>
          <w:color w:val="000000" w:themeColor="text1"/>
        </w:rPr>
        <w:t xml:space="preserve"> </w:t>
      </w:r>
      <w:r w:rsidRPr="007D4C6F" w:rsidR="0021674C">
        <w:rPr>
          <w:color w:val="000000" w:themeColor="text1"/>
        </w:rPr>
        <w:t>This is yet another example of why the settlement does not benefit customers or the public interest</w:t>
      </w:r>
      <w:r w:rsidRPr="007D4C6F">
        <w:rPr>
          <w:color w:val="000000" w:themeColor="text1"/>
        </w:rPr>
        <w:t>,</w:t>
      </w:r>
      <w:r w:rsidRPr="007D4C6F" w:rsidR="0021674C">
        <w:rPr>
          <w:color w:val="000000" w:themeColor="text1"/>
        </w:rPr>
        <w:t xml:space="preserve"> even though it provides Duke with less than what Duke initially proposed in its application. The PUCO should reject the settlement</w:t>
      </w:r>
      <w:r w:rsidRPr="007D4C6F" w:rsidR="002D64F2">
        <w:rPr>
          <w:color w:val="000000" w:themeColor="text1"/>
        </w:rPr>
        <w:t>.</w:t>
      </w:r>
    </w:p>
    <w:p w:rsidR="00055B57" w:rsidRPr="007D4C6F" w:rsidP="00D16A72" w14:paraId="45A56AF8" w14:textId="16733569">
      <w:pPr>
        <w:pStyle w:val="Heading2"/>
      </w:pPr>
      <w:bookmarkStart w:id="15" w:name="_Toc118121845"/>
      <w:bookmarkStart w:id="16" w:name="_Toc119331518"/>
      <w:r w:rsidRPr="007D4C6F">
        <w:t>C.</w:t>
      </w:r>
      <w:r w:rsidRPr="007D4C6F">
        <w:tab/>
      </w:r>
      <w:r w:rsidRPr="007D4C6F" w:rsidR="00F15CB8">
        <w:t>The</w:t>
      </w:r>
      <w:r w:rsidRPr="007D4C6F" w:rsidR="008774C2">
        <w:t xml:space="preserve"> </w:t>
      </w:r>
      <w:r w:rsidRPr="007D4C6F" w:rsidR="00F15CB8">
        <w:t>settlement</w:t>
      </w:r>
      <w:r w:rsidRPr="007D4C6F" w:rsidR="00491050">
        <w:t xml:space="preserve"> viola</w:t>
      </w:r>
      <w:r w:rsidRPr="007D4C6F">
        <w:t>tes</w:t>
      </w:r>
      <w:r w:rsidRPr="007D4C6F" w:rsidR="00A343E3">
        <w:t xml:space="preserve"> Ohio law and</w:t>
      </w:r>
      <w:r w:rsidRPr="007D4C6F">
        <w:t xml:space="preserve"> numerous</w:t>
      </w:r>
      <w:r w:rsidRPr="007D4C6F" w:rsidR="00491050">
        <w:t xml:space="preserve"> important regulatory principles and practices.</w:t>
      </w:r>
      <w:bookmarkEnd w:id="15"/>
      <w:r w:rsidRPr="007D4C6F" w:rsidR="00F15CB8">
        <w:t xml:space="preserve"> The settling parties fail to demonstrate that the settlement satisfies prong three of the three-part </w:t>
      </w:r>
      <w:r w:rsidRPr="007D4C6F" w:rsidR="00FA72FD">
        <w:t xml:space="preserve">settlement </w:t>
      </w:r>
      <w:r w:rsidRPr="007D4C6F" w:rsidR="00F15CB8">
        <w:t>test.</w:t>
      </w:r>
      <w:bookmarkEnd w:id="16"/>
    </w:p>
    <w:p w:rsidR="00A66726" w:rsidRPr="007D4C6F" w:rsidP="00A66726" w14:paraId="2F49F9A9" w14:textId="252CAC7A">
      <w:pPr>
        <w:spacing w:line="480" w:lineRule="auto"/>
        <w:ind w:firstLine="720"/>
      </w:pPr>
      <w:r w:rsidRPr="007D4C6F">
        <w:t>The settling parties have failed to meet their burden to demonstrate that the settlement satisfies prong three of the three-part settlement test. The PUCO Staff proclaims in its brief (with no argument at all) that “[t]he Stipulation does not violate any important regulatory principle or practice.”</w:t>
      </w:r>
      <w:r>
        <w:rPr>
          <w:rStyle w:val="FootnoteReference"/>
        </w:rPr>
        <w:footnoteReference w:id="55"/>
      </w:r>
      <w:r w:rsidRPr="007D4C6F">
        <w:t xml:space="preserve"> Contrary to the PUCO Staff’s bald assertion, </w:t>
      </w:r>
      <w:r w:rsidRPr="007D4C6F" w:rsidR="00F15CB8">
        <w:t xml:space="preserve">OCC presented ample evidence demonstrating </w:t>
      </w:r>
      <w:r w:rsidRPr="007D4C6F" w:rsidR="00F15CB8">
        <w:rPr>
          <w:i/>
          <w:iCs/>
        </w:rPr>
        <w:t xml:space="preserve">specifically </w:t>
      </w:r>
      <w:r w:rsidRPr="007D4C6F" w:rsidR="00F15CB8">
        <w:t>how the settlement violates Ohio law</w:t>
      </w:r>
      <w:r w:rsidRPr="007D4C6F">
        <w:t xml:space="preserve"> and regulatory principles</w:t>
      </w:r>
      <w:r w:rsidRPr="007D4C6F" w:rsidR="00F15CB8">
        <w:t>.</w:t>
      </w:r>
      <w:r>
        <w:rPr>
          <w:rStyle w:val="FootnoteReference"/>
        </w:rPr>
        <w:footnoteReference w:id="56"/>
      </w:r>
      <w:r w:rsidRPr="007D4C6F">
        <w:t xml:space="preserve"> The settlement should be rejected.</w:t>
      </w:r>
      <w:r w:rsidRPr="007D4C6F" w:rsidR="00F15CB8">
        <w:t xml:space="preserve"> </w:t>
      </w:r>
    </w:p>
    <w:p w:rsidR="00C32839" w:rsidRPr="007D4C6F" w:rsidP="00A66726" w14:paraId="04C0291D" w14:textId="7BF67B92">
      <w:pPr>
        <w:spacing w:line="480" w:lineRule="auto"/>
        <w:ind w:firstLine="720"/>
      </w:pPr>
      <w:r w:rsidRPr="007D4C6F">
        <w:t xml:space="preserve">OCC’s witnesses, who are regulatory and financial experts with decades of professional experience, </w:t>
      </w:r>
      <w:r w:rsidRPr="007D4C6F" w:rsidR="00E1010F">
        <w:t xml:space="preserve">provided detailed evidence as to how </w:t>
      </w:r>
      <w:r w:rsidRPr="007D4C6F">
        <w:t>the settlement:</w:t>
      </w:r>
    </w:p>
    <w:p w:rsidR="00146C5E" w:rsidRPr="007D4C6F" w:rsidP="00C32839" w14:paraId="6278F1D3" w14:textId="402DE53D">
      <w:pPr>
        <w:pStyle w:val="ListParagraph"/>
        <w:numPr>
          <w:ilvl w:val="0"/>
          <w:numId w:val="17"/>
        </w:numPr>
        <w:spacing w:line="480" w:lineRule="auto"/>
      </w:pPr>
      <w:r w:rsidRPr="007D4C6F">
        <w:t>Violates Ohio law and policy requiring utilities to pay just and reasonable rates (R.C. 4905.22, R.C. 4928.02(A));</w:t>
      </w:r>
      <w:r>
        <w:rPr>
          <w:rStyle w:val="FootnoteReference"/>
        </w:rPr>
        <w:footnoteReference w:id="57"/>
      </w:r>
    </w:p>
    <w:p w:rsidR="00C32839" w:rsidRPr="007D4C6F" w:rsidP="00C32839" w14:paraId="6A800C9D" w14:textId="600D5D48">
      <w:pPr>
        <w:pStyle w:val="ListParagraph"/>
        <w:numPr>
          <w:ilvl w:val="0"/>
          <w:numId w:val="17"/>
        </w:numPr>
        <w:spacing w:line="480" w:lineRule="auto"/>
      </w:pPr>
      <w:r w:rsidRPr="007D4C6F">
        <w:t>Sets a return on equity that is based on outdated information, contrary the PUCO’s past decisions that ROEs be based on current market conditions;</w:t>
      </w:r>
      <w:r>
        <w:rPr>
          <w:rStyle w:val="FootnoteReference"/>
        </w:rPr>
        <w:footnoteReference w:id="58"/>
      </w:r>
    </w:p>
    <w:p w:rsidR="00F82E0B" w:rsidRPr="007D4C6F" w:rsidP="00C32839" w14:paraId="606ECBD1" w14:textId="03A07066">
      <w:pPr>
        <w:pStyle w:val="ListParagraph"/>
        <w:numPr>
          <w:ilvl w:val="0"/>
          <w:numId w:val="17"/>
        </w:numPr>
        <w:spacing w:line="480" w:lineRule="auto"/>
      </w:pPr>
      <w:r w:rsidRPr="007D4C6F">
        <w:t>Violates Ohio law and policy that requires utilities to provide nondiscriminatory electric service (R.C. 4905.33, R.C. 4928.02(A)) and the PUCO to protect at-risk populations (R.C. 4928.02(L));</w:t>
      </w:r>
      <w:r>
        <w:rPr>
          <w:rStyle w:val="FootnoteReference"/>
        </w:rPr>
        <w:footnoteReference w:id="59"/>
      </w:r>
    </w:p>
    <w:p w:rsidR="00F82E0B" w:rsidRPr="007D4C6F" w:rsidP="00C32839" w14:paraId="3D04A676" w14:textId="4583A60F">
      <w:pPr>
        <w:pStyle w:val="ListParagraph"/>
        <w:numPr>
          <w:ilvl w:val="0"/>
          <w:numId w:val="17"/>
        </w:numPr>
        <w:spacing w:line="480" w:lineRule="auto"/>
      </w:pPr>
      <w:r w:rsidRPr="007D4C6F">
        <w:t>Violates the rate-making principles of gradualism and practicality</w:t>
      </w:r>
      <w:r w:rsidRPr="007D4C6F" w:rsidR="00BE5200">
        <w:t>, which prevents “rate-shock” to consumers</w:t>
      </w:r>
      <w:r w:rsidRPr="007D4C6F" w:rsidR="00AD2CC7">
        <w:t>;</w:t>
      </w:r>
      <w:r>
        <w:rPr>
          <w:rStyle w:val="FootnoteReference"/>
        </w:rPr>
        <w:footnoteReference w:id="60"/>
      </w:r>
    </w:p>
    <w:p w:rsidR="00BE5200" w:rsidRPr="007D4C6F" w:rsidP="00C32839" w14:paraId="1BDEB617" w14:textId="6F0D2B6B">
      <w:pPr>
        <w:pStyle w:val="ListParagraph"/>
        <w:numPr>
          <w:ilvl w:val="0"/>
          <w:numId w:val="17"/>
        </w:numPr>
        <w:spacing w:line="480" w:lineRule="auto"/>
      </w:pPr>
      <w:r w:rsidRPr="007D4C6F">
        <w:t>Violates the regulatory principles of equity and utilitarianism, by providing</w:t>
      </w:r>
      <w:r w:rsidRPr="007D4C6F" w:rsidR="00FB5CA5">
        <w:t xml:space="preserve"> specific</w:t>
      </w:r>
      <w:r w:rsidRPr="007D4C6F">
        <w:t xml:space="preserve"> benefits to settling parties </w:t>
      </w:r>
      <w:r w:rsidRPr="007D4C6F" w:rsidR="00FB5CA5">
        <w:t>that</w:t>
      </w:r>
      <w:r w:rsidRPr="007D4C6F">
        <w:t xml:space="preserve"> </w:t>
      </w:r>
      <w:r w:rsidRPr="007D4C6F" w:rsidR="00FB5CA5">
        <w:t>agreed to pass the bulk</w:t>
      </w:r>
      <w:r w:rsidRPr="007D4C6F">
        <w:t xml:space="preserve"> of Duke’s rate increase on to residential consumers;</w:t>
      </w:r>
      <w:r>
        <w:rPr>
          <w:rStyle w:val="FootnoteReference"/>
        </w:rPr>
        <w:footnoteReference w:id="61"/>
      </w:r>
      <w:r w:rsidRPr="007D4C6F" w:rsidR="002164A0">
        <w:t xml:space="preserve"> and</w:t>
      </w:r>
    </w:p>
    <w:p w:rsidR="007B160C" w:rsidRPr="007D4C6F" w:rsidP="007B160C" w14:paraId="20DEDDBB" w14:textId="472F2671">
      <w:pPr>
        <w:pStyle w:val="ListParagraph"/>
        <w:numPr>
          <w:ilvl w:val="0"/>
          <w:numId w:val="17"/>
        </w:numPr>
        <w:spacing w:line="480" w:lineRule="auto"/>
      </w:pPr>
      <w:r w:rsidRPr="007D4C6F">
        <w:t>Violates regulatory principles and PUCO precedent because it permits Duke to “double leverage” the agreed-upon capital structure, which results in excessive rates in violation of R.C. 4905.22 and R.C. 4909.15.</w:t>
      </w:r>
      <w:r>
        <w:rPr>
          <w:rStyle w:val="FootnoteReference"/>
        </w:rPr>
        <w:footnoteReference w:id="62"/>
      </w:r>
    </w:p>
    <w:p w:rsidR="00572599" w:rsidRPr="007D4C6F" w:rsidP="0045713D" w14:paraId="0E19C4BE" w14:textId="3F39A70A">
      <w:pPr>
        <w:spacing w:line="480" w:lineRule="auto"/>
        <w:ind w:firstLine="720"/>
      </w:pPr>
      <w:r w:rsidRPr="007D4C6F">
        <w:t>OCC will not repeat the arguments from its initial brief</w:t>
      </w:r>
      <w:r w:rsidRPr="007D4C6F" w:rsidR="007B160C">
        <w:t xml:space="preserve"> on these points. But</w:t>
      </w:r>
      <w:r w:rsidRPr="007D4C6F" w:rsidR="00B84421">
        <w:t xml:space="preserve"> </w:t>
      </w:r>
      <w:r w:rsidRPr="007D4C6F" w:rsidR="007B160C">
        <w:t xml:space="preserve">it </w:t>
      </w:r>
      <w:r w:rsidRPr="007D4C6F" w:rsidR="00B84421">
        <w:t>is</w:t>
      </w:r>
      <w:r w:rsidRPr="007D4C6F" w:rsidR="0098010A">
        <w:t xml:space="preserve"> important to reiterate the unfair</w:t>
      </w:r>
      <w:r w:rsidRPr="007D4C6F">
        <w:t xml:space="preserve"> and</w:t>
      </w:r>
      <w:r w:rsidRPr="007D4C6F" w:rsidR="0098010A">
        <w:t xml:space="preserve"> discriminatory nature of the settlement</w:t>
      </w:r>
      <w:r w:rsidRPr="007D4C6F">
        <w:t>.</w:t>
      </w:r>
      <w:r w:rsidRPr="007D4C6F" w:rsidR="0098010A">
        <w:t xml:space="preserve"> </w:t>
      </w:r>
      <w:r w:rsidRPr="007D4C6F">
        <w:t xml:space="preserve">As OCC has argued, </w:t>
      </w:r>
      <w:r w:rsidRPr="007D4C6F" w:rsidR="007B160C">
        <w:t>the settling parties have agreed to</w:t>
      </w:r>
      <w:r w:rsidRPr="007D4C6F" w:rsidR="00E824D4">
        <w:t xml:space="preserve"> </w:t>
      </w:r>
      <w:r w:rsidRPr="007D4C6F" w:rsidR="006A781F">
        <w:t xml:space="preserve">assign </w:t>
      </w:r>
      <w:r w:rsidRPr="007D4C6F" w:rsidR="00E824D4">
        <w:t>residential consumers with 92.4% of the agreed upon rate increase</w:t>
      </w:r>
      <w:r w:rsidRPr="007D4C6F" w:rsidR="006A781F">
        <w:t xml:space="preserve"> and</w:t>
      </w:r>
      <w:r w:rsidRPr="007D4C6F" w:rsidR="00E824D4">
        <w:t xml:space="preserve"> </w:t>
      </w:r>
      <w:r w:rsidRPr="007D4C6F" w:rsidR="006A781F">
        <w:t xml:space="preserve">did not adopt other </w:t>
      </w:r>
      <w:r w:rsidRPr="007D4C6F" w:rsidR="00E824D4">
        <w:t>consumer protections.</w:t>
      </w:r>
      <w:r w:rsidRPr="007D4C6F" w:rsidR="00B36132">
        <w:t xml:space="preserve"> T</w:t>
      </w:r>
      <w:r w:rsidRPr="007D4C6F" w:rsidR="007B160C">
        <w:t>he</w:t>
      </w:r>
      <w:r w:rsidRPr="007D4C6F" w:rsidR="00E824D4">
        <w:t xml:space="preserve"> few protections Duke </w:t>
      </w:r>
      <w:r w:rsidRPr="007D4C6F">
        <w:t xml:space="preserve">has </w:t>
      </w:r>
      <w:r w:rsidRPr="007D4C6F" w:rsidR="00E824D4">
        <w:t xml:space="preserve">agreed to provide </w:t>
      </w:r>
      <w:r w:rsidRPr="007D4C6F" w:rsidR="00FA72FD">
        <w:t>apply</w:t>
      </w:r>
      <w:r w:rsidRPr="007D4C6F" w:rsidR="00E824D4">
        <w:t xml:space="preserve"> only</w:t>
      </w:r>
      <w:r w:rsidRPr="007D4C6F">
        <w:t xml:space="preserve"> to</w:t>
      </w:r>
      <w:r w:rsidRPr="007D4C6F" w:rsidR="00E824D4">
        <w:t xml:space="preserve"> </w:t>
      </w:r>
      <w:r w:rsidRPr="007D4C6F" w:rsidR="001F7282">
        <w:t xml:space="preserve">certain </w:t>
      </w:r>
      <w:r w:rsidRPr="007D4C6F" w:rsidR="00E824D4">
        <w:t>consumers within the City of Cincinnati.</w:t>
      </w:r>
      <w:r w:rsidRPr="007D4C6F">
        <w:t xml:space="preserve"> That </w:t>
      </w:r>
      <w:r w:rsidRPr="007D4C6F" w:rsidR="007B160C">
        <w:t xml:space="preserve">simply </w:t>
      </w:r>
      <w:r w:rsidRPr="007D4C6F">
        <w:t xml:space="preserve">is not </w:t>
      </w:r>
      <w:r w:rsidRPr="007D4C6F" w:rsidR="00821B4D">
        <w:t>reasonable. In fact</w:t>
      </w:r>
      <w:r w:rsidRPr="007D4C6F" w:rsidR="00D74B9A">
        <w:t>,</w:t>
      </w:r>
      <w:r w:rsidRPr="007D4C6F" w:rsidR="00821B4D">
        <w:t xml:space="preserve"> it is discriminatory</w:t>
      </w:r>
      <w:r w:rsidRPr="007D4C6F" w:rsidR="00A245E1">
        <w:t xml:space="preserve"> because similar benefits are not provided to other consumers and local governments outside Cincinnati</w:t>
      </w:r>
      <w:r w:rsidRPr="007D4C6F" w:rsidR="00821B4D">
        <w:t xml:space="preserve">. </w:t>
      </w:r>
      <w:r w:rsidRPr="007D4C6F" w:rsidR="009A4514">
        <w:t>It is a fundamental regulatory principle that t</w:t>
      </w:r>
      <w:r w:rsidRPr="007D4C6F" w:rsidR="007B160C">
        <w:t xml:space="preserve">he PUCO has a duty to protect </w:t>
      </w:r>
      <w:r w:rsidRPr="007D4C6F" w:rsidR="007B160C">
        <w:rPr>
          <w:i/>
          <w:iCs/>
        </w:rPr>
        <w:t>all consumers</w:t>
      </w:r>
      <w:r w:rsidRPr="007D4C6F" w:rsidR="007B160C">
        <w:t>, not just a select few</w:t>
      </w:r>
      <w:r w:rsidRPr="007D4C6F" w:rsidR="009A2AD9">
        <w:t xml:space="preserve"> that sign onto a settlement</w:t>
      </w:r>
      <w:r w:rsidRPr="007D4C6F" w:rsidR="007B160C">
        <w:t>.</w:t>
      </w:r>
    </w:p>
    <w:p w:rsidR="00B84421" w:rsidRPr="007D4C6F" w:rsidP="0045713D" w14:paraId="7BBD1FD8" w14:textId="22850E63">
      <w:pPr>
        <w:spacing w:line="480" w:lineRule="auto"/>
        <w:ind w:firstLine="720"/>
      </w:pPr>
      <w:r w:rsidRPr="007D4C6F">
        <w:t>Duke</w:t>
      </w:r>
      <w:r w:rsidRPr="007D4C6F" w:rsidR="00E824D4">
        <w:t>, the PUCO Staff, and other parties</w:t>
      </w:r>
      <w:r w:rsidRPr="007D4C6F">
        <w:t xml:space="preserve"> make no attempt whatsoever</w:t>
      </w:r>
      <w:r w:rsidRPr="007D4C6F" w:rsidR="00572599">
        <w:t xml:space="preserve"> (</w:t>
      </w:r>
      <w:r w:rsidRPr="007D4C6F">
        <w:t>b</w:t>
      </w:r>
      <w:r w:rsidRPr="007D4C6F" w:rsidR="00E824D4">
        <w:t>ecause they can’t</w:t>
      </w:r>
      <w:r w:rsidRPr="007D4C6F" w:rsidR="00572599">
        <w:t xml:space="preserve">) </w:t>
      </w:r>
      <w:r w:rsidRPr="007D4C6F">
        <w:t xml:space="preserve">to </w:t>
      </w:r>
      <w:r w:rsidRPr="007D4C6F" w:rsidR="00E824D4">
        <w:t>explain how</w:t>
      </w:r>
      <w:r w:rsidRPr="007D4C6F">
        <w:t xml:space="preserve"> </w:t>
      </w:r>
      <w:r w:rsidRPr="007D4C6F" w:rsidR="006A781F">
        <w:t>consumers in the many localities outside Cincinnati are not given the benefits (such as bill-payment assistance) that Duke is providing within</w:t>
      </w:r>
      <w:r w:rsidRPr="007D4C6F" w:rsidR="00572599">
        <w:t xml:space="preserve"> Cincinnati</w:t>
      </w:r>
      <w:r w:rsidRPr="007D4C6F" w:rsidR="006A781F">
        <w:t>.</w:t>
      </w:r>
      <w:r>
        <w:rPr>
          <w:rStyle w:val="FootnoteReference"/>
        </w:rPr>
        <w:footnoteReference w:id="63"/>
      </w:r>
      <w:r w:rsidRPr="007D4C6F" w:rsidR="00321A5F">
        <w:t xml:space="preserve"> </w:t>
      </w:r>
      <w:r w:rsidRPr="007D4C6F" w:rsidR="006A781F">
        <w:t xml:space="preserve">That is not </w:t>
      </w:r>
      <w:r w:rsidRPr="007D4C6F" w:rsidR="00821B4D">
        <w:t>reason</w:t>
      </w:r>
      <w:r w:rsidRPr="007D4C6F" w:rsidR="006A781F">
        <w:t>a</w:t>
      </w:r>
      <w:r w:rsidRPr="007D4C6F" w:rsidR="00821B4D">
        <w:t>ble</w:t>
      </w:r>
      <w:r w:rsidRPr="007D4C6F" w:rsidR="00E824D4">
        <w:t>, lawful, or consistent with regulatory principles and practices</w:t>
      </w:r>
      <w:r w:rsidRPr="007D4C6F" w:rsidR="00A342AC">
        <w:t>.</w:t>
      </w:r>
      <w:r w:rsidRPr="007D4C6F" w:rsidR="00321A5F">
        <w:t xml:space="preserve"> </w:t>
      </w:r>
      <w:r w:rsidRPr="007D4C6F" w:rsidR="00670133">
        <w:t>At-risk people</w:t>
      </w:r>
      <w:r w:rsidRPr="007D4C6F" w:rsidR="006A781F">
        <w:t xml:space="preserve"> in Duke’s service area outside Cincinnati also matter. </w:t>
      </w:r>
      <w:r w:rsidRPr="007D4C6F" w:rsidR="00507900">
        <w:t>As we recommend above, Duke should provide bill-payment assistance to all at-risk Duke electric consumers</w:t>
      </w:r>
      <w:r w:rsidRPr="007D4C6F" w:rsidR="00670133">
        <w:t xml:space="preserve"> (including but not limited to Cincinnati)</w:t>
      </w:r>
      <w:r w:rsidRPr="007D4C6F" w:rsidR="00507900">
        <w:t xml:space="preserve"> at the level recommended by OCC.</w:t>
      </w:r>
    </w:p>
    <w:p w:rsidR="00DA2F68" w:rsidRPr="007D4C6F" w:rsidP="00A342AC" w14:paraId="13B8B405" w14:textId="2EE7F5D5">
      <w:pPr>
        <w:spacing w:line="480" w:lineRule="auto"/>
        <w:ind w:firstLine="720"/>
        <w:rPr>
          <w:color w:val="000000" w:themeColor="text1"/>
        </w:rPr>
      </w:pPr>
      <w:r w:rsidRPr="007D4C6F">
        <w:t>Certainly, other local governments and consumers</w:t>
      </w:r>
      <w:r w:rsidRPr="007D4C6F" w:rsidR="00B84421">
        <w:t xml:space="preserve"> within Duke’s service territory</w:t>
      </w:r>
      <w:r w:rsidRPr="007D4C6F">
        <w:t xml:space="preserve"> would benefit from</w:t>
      </w:r>
      <w:r w:rsidRPr="007D4C6F" w:rsidR="00E824D4">
        <w:t xml:space="preserve"> </w:t>
      </w:r>
      <w:r w:rsidRPr="007D4C6F" w:rsidR="00467127">
        <w:t>increased reliability of electric service to water treatment plants</w:t>
      </w:r>
      <w:r w:rsidRPr="007D4C6F">
        <w:t>.</w:t>
      </w:r>
      <w:r>
        <w:rPr>
          <w:rStyle w:val="FootnoteReference"/>
        </w:rPr>
        <w:footnoteReference w:id="64"/>
      </w:r>
      <w:r w:rsidRPr="007D4C6F" w:rsidR="00A342AC">
        <w:rPr>
          <w:color w:val="000000" w:themeColor="text1"/>
        </w:rPr>
        <w:t xml:space="preserve"> </w:t>
      </w:r>
      <w:r w:rsidRPr="007D4C6F" w:rsidR="00467127">
        <w:rPr>
          <w:color w:val="000000" w:themeColor="text1"/>
        </w:rPr>
        <w:t>Duke</w:t>
      </w:r>
      <w:r w:rsidRPr="007D4C6F" w:rsidR="00B36132">
        <w:rPr>
          <w:color w:val="000000" w:themeColor="text1"/>
        </w:rPr>
        <w:t>’s</w:t>
      </w:r>
      <w:r w:rsidRPr="007D4C6F" w:rsidR="00467127">
        <w:rPr>
          <w:color w:val="000000" w:themeColor="text1"/>
        </w:rPr>
        <w:t xml:space="preserve"> residential consumers outside the City of Cincinnati would benefit from weatherization and bill payment assistance.</w:t>
      </w:r>
      <w:r>
        <w:rPr>
          <w:rStyle w:val="FootnoteReference"/>
          <w:color w:val="000000" w:themeColor="text1"/>
        </w:rPr>
        <w:footnoteReference w:id="65"/>
      </w:r>
      <w:r w:rsidRPr="007D4C6F" w:rsidR="00B84421">
        <w:rPr>
          <w:color w:val="000000" w:themeColor="text1"/>
        </w:rPr>
        <w:t xml:space="preserve"> Other local governments and consumers would benefit from streetlight replacements and Smart-City technology.</w:t>
      </w:r>
      <w:r>
        <w:rPr>
          <w:rStyle w:val="FootnoteReference"/>
          <w:color w:val="000000" w:themeColor="text1"/>
        </w:rPr>
        <w:footnoteReference w:id="66"/>
      </w:r>
      <w:r w:rsidRPr="007D4C6F">
        <w:rPr>
          <w:color w:val="000000" w:themeColor="text1"/>
        </w:rPr>
        <w:t xml:space="preserve"> </w:t>
      </w:r>
      <w:r w:rsidRPr="007D4C6F" w:rsidR="00FA72FD">
        <w:rPr>
          <w:color w:val="000000" w:themeColor="text1"/>
        </w:rPr>
        <w:t>But</w:t>
      </w:r>
      <w:r w:rsidRPr="007D4C6F">
        <w:rPr>
          <w:color w:val="000000" w:themeColor="text1"/>
        </w:rPr>
        <w:t xml:space="preserve"> consumers outside the City of Cincinnati are largely ignored in the settlement.</w:t>
      </w:r>
      <w:r w:rsidRPr="007D4C6F" w:rsidR="00467127">
        <w:rPr>
          <w:color w:val="000000" w:themeColor="text1"/>
        </w:rPr>
        <w:t xml:space="preserve"> </w:t>
      </w:r>
    </w:p>
    <w:p w:rsidR="008341E8" w:rsidRPr="007D4C6F" w:rsidP="00A342AC" w14:paraId="4ABEB6CC" w14:textId="4B0F642E">
      <w:pPr>
        <w:spacing w:line="480" w:lineRule="auto"/>
        <w:ind w:firstLine="720"/>
        <w:rPr>
          <w:color w:val="000000" w:themeColor="text1"/>
        </w:rPr>
      </w:pPr>
      <w:r w:rsidRPr="007D4C6F">
        <w:rPr>
          <w:color w:val="000000" w:themeColor="text1"/>
        </w:rPr>
        <w:t>Duke’s special concessions and limited bill payment assistance only to the City of Cincinnati violate state policy codified in R.C. 4928.02(A)</w:t>
      </w:r>
      <w:r w:rsidRPr="007D4C6F" w:rsidR="00B36132">
        <w:rPr>
          <w:color w:val="000000" w:themeColor="text1"/>
        </w:rPr>
        <w:t xml:space="preserve"> </w:t>
      </w:r>
      <w:r w:rsidRPr="007D4C6F" w:rsidR="000C1AEF">
        <w:rPr>
          <w:color w:val="000000" w:themeColor="text1"/>
        </w:rPr>
        <w:t xml:space="preserve">and R.C. 4905.33 </w:t>
      </w:r>
      <w:r w:rsidRPr="007D4C6F" w:rsidR="00B36132">
        <w:rPr>
          <w:color w:val="000000" w:themeColor="text1"/>
        </w:rPr>
        <w:t>that electric service be nondiscriminatory</w:t>
      </w:r>
      <w:r w:rsidRPr="007D4C6F">
        <w:rPr>
          <w:color w:val="000000" w:themeColor="text1"/>
        </w:rPr>
        <w:t>. The concessions made in the settlement to the City of Cincinnati should be made broadly available to others by Duke (at shareholder expense). The settlement should be rejected.</w:t>
      </w:r>
    </w:p>
    <w:p w:rsidR="003078AB" w:rsidRPr="007D4C6F" w:rsidP="00623AB0" w14:paraId="1B64322B" w14:textId="5EF35D22">
      <w:pPr>
        <w:spacing w:line="480" w:lineRule="auto"/>
        <w:ind w:firstLine="720"/>
        <w:rPr>
          <w:color w:val="000000" w:themeColor="text1"/>
        </w:rPr>
      </w:pPr>
      <w:r w:rsidRPr="007D4C6F">
        <w:rPr>
          <w:color w:val="000000" w:themeColor="text1"/>
        </w:rPr>
        <w:t>Finally, IGS</w:t>
      </w:r>
      <w:r w:rsidRPr="007D4C6F" w:rsidR="00FA72FD">
        <w:rPr>
          <w:color w:val="000000" w:themeColor="text1"/>
        </w:rPr>
        <w:t>/</w:t>
      </w:r>
      <w:r w:rsidRPr="007D4C6F">
        <w:rPr>
          <w:color w:val="000000" w:themeColor="text1"/>
        </w:rPr>
        <w:t>RESA</w:t>
      </w:r>
      <w:r w:rsidRPr="007D4C6F" w:rsidR="00DA2F68">
        <w:rPr>
          <w:color w:val="000000" w:themeColor="text1"/>
        </w:rPr>
        <w:t xml:space="preserve"> </w:t>
      </w:r>
      <w:r w:rsidRPr="007D4C6F" w:rsidR="00F20F02">
        <w:rPr>
          <w:color w:val="000000" w:themeColor="text1"/>
        </w:rPr>
        <w:t xml:space="preserve">claim that </w:t>
      </w:r>
      <w:r w:rsidRPr="007D4C6F" w:rsidR="00DA2F68">
        <w:rPr>
          <w:color w:val="000000" w:themeColor="text1"/>
        </w:rPr>
        <w:t xml:space="preserve">OCC’s proposal </w:t>
      </w:r>
      <w:r w:rsidRPr="007D4C6F" w:rsidR="009A4514">
        <w:rPr>
          <w:color w:val="000000" w:themeColor="text1"/>
        </w:rPr>
        <w:t>for</w:t>
      </w:r>
      <w:r w:rsidRPr="007D4C6F" w:rsidR="00FA72FD">
        <w:rPr>
          <w:color w:val="000000" w:themeColor="text1"/>
        </w:rPr>
        <w:t xml:space="preserve"> Duke to </w:t>
      </w:r>
      <w:r w:rsidRPr="007D4C6F" w:rsidR="00DA2F68">
        <w:rPr>
          <w:color w:val="000000" w:themeColor="text1"/>
        </w:rPr>
        <w:t xml:space="preserve">provide </w:t>
      </w:r>
      <w:r w:rsidRPr="007D4C6F" w:rsidR="008253E1">
        <w:rPr>
          <w:color w:val="000000" w:themeColor="text1"/>
        </w:rPr>
        <w:t xml:space="preserve">aggregated billing </w:t>
      </w:r>
      <w:r w:rsidRPr="007D4C6F" w:rsidR="00DA2F68">
        <w:rPr>
          <w:color w:val="000000" w:themeColor="text1"/>
        </w:rPr>
        <w:t xml:space="preserve">information </w:t>
      </w:r>
      <w:r w:rsidRPr="007D4C6F" w:rsidR="008253E1">
        <w:rPr>
          <w:color w:val="000000" w:themeColor="text1"/>
        </w:rPr>
        <w:t xml:space="preserve">(shadow billing) </w:t>
      </w:r>
      <w:r w:rsidRPr="007D4C6F" w:rsidR="00DA2F68">
        <w:rPr>
          <w:color w:val="000000" w:themeColor="text1"/>
        </w:rPr>
        <w:t xml:space="preserve">for its electric consumers </w:t>
      </w:r>
      <w:r w:rsidRPr="007D4C6F" w:rsidR="00F20F02">
        <w:rPr>
          <w:color w:val="000000" w:themeColor="text1"/>
        </w:rPr>
        <w:t>would violate regulatory principles and practices.</w:t>
      </w:r>
      <w:r>
        <w:rPr>
          <w:rStyle w:val="FootnoteReference"/>
          <w:color w:val="000000" w:themeColor="text1"/>
        </w:rPr>
        <w:footnoteReference w:id="67"/>
      </w:r>
      <w:r w:rsidRPr="007D4C6F" w:rsidR="00F20F02">
        <w:rPr>
          <w:color w:val="000000" w:themeColor="text1"/>
        </w:rPr>
        <w:t xml:space="preserve"> IGS/RESA also criticize OCC’s proposal for</w:t>
      </w:r>
      <w:r w:rsidRPr="007D4C6F" w:rsidR="008253E1">
        <w:rPr>
          <w:color w:val="000000" w:themeColor="text1"/>
        </w:rPr>
        <w:t xml:space="preserve"> an easy on-line opt-out function on Duke’s website so that consumer</w:t>
      </w:r>
      <w:r w:rsidRPr="007D4C6F" w:rsidR="009A4514">
        <w:rPr>
          <w:color w:val="000000" w:themeColor="text1"/>
        </w:rPr>
        <w:t>s</w:t>
      </w:r>
      <w:r w:rsidRPr="007D4C6F" w:rsidR="008253E1">
        <w:rPr>
          <w:color w:val="000000" w:themeColor="text1"/>
        </w:rPr>
        <w:t xml:space="preserve"> can opt-out of Duke providing customer information to marketers</w:t>
      </w:r>
      <w:r w:rsidRPr="007D4C6F" w:rsidR="00DA2F68">
        <w:rPr>
          <w:color w:val="000000" w:themeColor="text1"/>
        </w:rPr>
        <w:t>.</w:t>
      </w:r>
      <w:r>
        <w:rPr>
          <w:rStyle w:val="FootnoteReference"/>
          <w:color w:val="000000" w:themeColor="text1"/>
        </w:rPr>
        <w:footnoteReference w:id="68"/>
      </w:r>
      <w:r w:rsidRPr="007D4C6F" w:rsidR="00D80527">
        <w:rPr>
          <w:color w:val="000000" w:themeColor="text1"/>
        </w:rPr>
        <w:t xml:space="preserve"> </w:t>
      </w:r>
      <w:r w:rsidRPr="007D4C6F" w:rsidR="009D6EED">
        <w:rPr>
          <w:color w:val="000000" w:themeColor="text1"/>
        </w:rPr>
        <w:t xml:space="preserve">IGS/RESA’s </w:t>
      </w:r>
      <w:r w:rsidRPr="007D4C6F" w:rsidR="00670133">
        <w:rPr>
          <w:color w:val="000000" w:themeColor="text1"/>
        </w:rPr>
        <w:t xml:space="preserve">anti-consumer </w:t>
      </w:r>
      <w:r w:rsidRPr="007D4C6F" w:rsidR="009D6EED">
        <w:rPr>
          <w:color w:val="000000" w:themeColor="text1"/>
        </w:rPr>
        <w:t>arguments should be rejected.</w:t>
      </w:r>
      <w:r w:rsidRPr="007D4C6F">
        <w:rPr>
          <w:color w:val="000000" w:themeColor="text1"/>
        </w:rPr>
        <w:t xml:space="preserve"> </w:t>
      </w:r>
    </w:p>
    <w:p w:rsidR="001D38CD" w:rsidRPr="007D4C6F" w:rsidP="00FC6BBD" w14:paraId="60422695" w14:textId="3D84C222">
      <w:pPr>
        <w:spacing w:line="480" w:lineRule="auto"/>
        <w:ind w:firstLine="720"/>
        <w:rPr>
          <w:color w:val="000000" w:themeColor="text1"/>
        </w:rPr>
      </w:pPr>
      <w:r w:rsidRPr="007D4C6F">
        <w:rPr>
          <w:color w:val="000000" w:themeColor="text1"/>
        </w:rPr>
        <w:t>S</w:t>
      </w:r>
      <w:r w:rsidRPr="007D4C6F" w:rsidR="00623AB0">
        <w:rPr>
          <w:color w:val="000000" w:themeColor="text1"/>
        </w:rPr>
        <w:t>hadow billing data</w:t>
      </w:r>
      <w:r w:rsidRPr="007D4C6F">
        <w:rPr>
          <w:color w:val="000000" w:themeColor="text1"/>
        </w:rPr>
        <w:t xml:space="preserve"> has been ordered to date for a number of utilities (and their consumers), but not enough utilities</w:t>
      </w:r>
      <w:r w:rsidRPr="007D4C6F" w:rsidR="000D665B">
        <w:rPr>
          <w:color w:val="000000" w:themeColor="text1"/>
        </w:rPr>
        <w:t xml:space="preserve"> for consumer protection</w:t>
      </w:r>
      <w:r w:rsidRPr="007D4C6F">
        <w:rPr>
          <w:color w:val="000000" w:themeColor="text1"/>
        </w:rPr>
        <w:t>.</w:t>
      </w:r>
      <w:r w:rsidRPr="007D4C6F" w:rsidR="00623AB0">
        <w:rPr>
          <w:color w:val="000000" w:themeColor="text1"/>
        </w:rPr>
        <w:t xml:space="preserve"> </w:t>
      </w:r>
    </w:p>
    <w:p w:rsidR="00FC6BBD" w:rsidRPr="007D4C6F" w:rsidP="00FC6BBD" w14:paraId="7918912D" w14:textId="5D2DF14D">
      <w:pPr>
        <w:spacing w:line="480" w:lineRule="auto"/>
        <w:ind w:firstLine="720"/>
        <w:rPr>
          <w:color w:val="000000" w:themeColor="text1"/>
        </w:rPr>
      </w:pPr>
      <w:r w:rsidRPr="007D4C6F">
        <w:rPr>
          <w:color w:val="000000" w:themeColor="text1"/>
        </w:rPr>
        <w:t xml:space="preserve">IGS/RESA </w:t>
      </w:r>
      <w:r w:rsidRPr="007D4C6F" w:rsidR="00323982">
        <w:rPr>
          <w:color w:val="000000" w:themeColor="text1"/>
        </w:rPr>
        <w:t xml:space="preserve">also </w:t>
      </w:r>
      <w:r w:rsidRPr="007D4C6F">
        <w:rPr>
          <w:color w:val="000000" w:themeColor="text1"/>
        </w:rPr>
        <w:t xml:space="preserve">wrongly claim that the PUCO has refused to adopt OCC’s </w:t>
      </w:r>
      <w:r w:rsidRPr="007D4C6F" w:rsidR="001D38CD">
        <w:rPr>
          <w:color w:val="000000" w:themeColor="text1"/>
        </w:rPr>
        <w:t xml:space="preserve">shadow billing </w:t>
      </w:r>
      <w:r w:rsidRPr="007D4C6F">
        <w:rPr>
          <w:color w:val="000000" w:themeColor="text1"/>
        </w:rPr>
        <w:t xml:space="preserve">recommendations. </w:t>
      </w:r>
      <w:r w:rsidRPr="007D4C6F" w:rsidR="00FA72FD">
        <w:rPr>
          <w:color w:val="000000" w:themeColor="text1"/>
        </w:rPr>
        <w:t>While the PUCO has declined to require</w:t>
      </w:r>
      <w:r w:rsidRPr="007D4C6F">
        <w:rPr>
          <w:color w:val="000000" w:themeColor="text1"/>
        </w:rPr>
        <w:t xml:space="preserve"> utilities to provide shadow billing data on an industry-wide basis, nothing prevents a utility from agreeing in a settlement to provide that information. </w:t>
      </w:r>
    </w:p>
    <w:p w:rsidR="003078AB" w:rsidRPr="007D4C6F" w:rsidP="00FC6BBD" w14:paraId="5CE2D6B7" w14:textId="02BB9BDD">
      <w:pPr>
        <w:spacing w:line="480" w:lineRule="auto"/>
        <w:ind w:firstLine="720"/>
        <w:rPr>
          <w:color w:val="000000" w:themeColor="text1"/>
        </w:rPr>
      </w:pPr>
      <w:r w:rsidRPr="007D4C6F">
        <w:rPr>
          <w:color w:val="000000" w:themeColor="text1"/>
        </w:rPr>
        <w:t xml:space="preserve">In fact, </w:t>
      </w:r>
      <w:r w:rsidRPr="007D4C6F" w:rsidR="00CE610E">
        <w:rPr>
          <w:color w:val="000000" w:themeColor="text1"/>
        </w:rPr>
        <w:t xml:space="preserve">the PUCO rejected similar claims by IGS and other marketers in a case involving </w:t>
      </w:r>
      <w:r w:rsidRPr="007D4C6F">
        <w:rPr>
          <w:color w:val="000000" w:themeColor="text1"/>
        </w:rPr>
        <w:t>AEP</w:t>
      </w:r>
      <w:r w:rsidRPr="007D4C6F" w:rsidR="00CE610E">
        <w:rPr>
          <w:color w:val="000000" w:themeColor="text1"/>
        </w:rPr>
        <w:t>. The</w:t>
      </w:r>
      <w:r w:rsidRPr="007D4C6F" w:rsidR="00DD2BF8">
        <w:rPr>
          <w:color w:val="000000" w:themeColor="text1"/>
        </w:rPr>
        <w:t>re, the</w:t>
      </w:r>
      <w:r w:rsidRPr="007D4C6F" w:rsidR="00CE610E">
        <w:rPr>
          <w:color w:val="000000" w:themeColor="text1"/>
        </w:rPr>
        <w:t xml:space="preserve"> marketers litigated against </w:t>
      </w:r>
      <w:r w:rsidRPr="007D4C6F" w:rsidR="00DD2BF8">
        <w:rPr>
          <w:color w:val="000000" w:themeColor="text1"/>
        </w:rPr>
        <w:t>the settlement to try to prevent the use of</w:t>
      </w:r>
      <w:r w:rsidRPr="007D4C6F">
        <w:rPr>
          <w:color w:val="000000" w:themeColor="text1"/>
        </w:rPr>
        <w:t xml:space="preserve"> shadow billing data for consumers</w:t>
      </w:r>
      <w:r w:rsidRPr="007D4C6F" w:rsidR="00323982">
        <w:rPr>
          <w:color w:val="000000" w:themeColor="text1"/>
        </w:rPr>
        <w:t xml:space="preserve"> and </w:t>
      </w:r>
      <w:r w:rsidRPr="007D4C6F" w:rsidR="00DD2BF8">
        <w:rPr>
          <w:color w:val="000000" w:themeColor="text1"/>
        </w:rPr>
        <w:t>for related</w:t>
      </w:r>
      <w:r w:rsidRPr="007D4C6F" w:rsidR="00323982">
        <w:rPr>
          <w:color w:val="000000" w:themeColor="text1"/>
        </w:rPr>
        <w:t xml:space="preserve"> bill format changes</w:t>
      </w:r>
      <w:r w:rsidRPr="007D4C6F" w:rsidR="00DD2BF8">
        <w:rPr>
          <w:color w:val="000000" w:themeColor="text1"/>
        </w:rPr>
        <w:t>.</w:t>
      </w:r>
      <w:r>
        <w:rPr>
          <w:rStyle w:val="FootnoteReference"/>
          <w:color w:val="000000" w:themeColor="text1"/>
        </w:rPr>
        <w:footnoteReference w:id="69"/>
      </w:r>
      <w:r w:rsidRPr="007D4C6F" w:rsidR="00F20F02">
        <w:rPr>
          <w:color w:val="000000" w:themeColor="text1"/>
        </w:rPr>
        <w:t xml:space="preserve"> </w:t>
      </w:r>
      <w:r w:rsidRPr="007D4C6F" w:rsidR="00323982">
        <w:rPr>
          <w:color w:val="000000" w:themeColor="text1"/>
        </w:rPr>
        <w:t>T</w:t>
      </w:r>
      <w:r w:rsidRPr="007D4C6F">
        <w:rPr>
          <w:color w:val="000000" w:themeColor="text1"/>
        </w:rPr>
        <w:t>he PUCO</w:t>
      </w:r>
      <w:r w:rsidRPr="007D4C6F" w:rsidR="00323982">
        <w:rPr>
          <w:color w:val="000000" w:themeColor="text1"/>
        </w:rPr>
        <w:t xml:space="preserve"> </w:t>
      </w:r>
      <w:r w:rsidRPr="007D4C6F">
        <w:rPr>
          <w:color w:val="000000" w:themeColor="text1"/>
        </w:rPr>
        <w:t xml:space="preserve">approved that settlement, </w:t>
      </w:r>
      <w:r w:rsidRPr="007D4C6F" w:rsidR="00323982">
        <w:rPr>
          <w:color w:val="000000" w:themeColor="text1"/>
        </w:rPr>
        <w:t>over IGS’s and other marketers’ objections</w:t>
      </w:r>
      <w:r w:rsidRPr="007D4C6F">
        <w:rPr>
          <w:color w:val="000000" w:themeColor="text1"/>
        </w:rPr>
        <w:t>. There, the PUCO stated:</w:t>
      </w:r>
    </w:p>
    <w:p w:rsidR="003078AB" w:rsidRPr="007D4C6F" w:rsidP="00AD2CC7" w14:paraId="0575759A" w14:textId="5409456F">
      <w:pPr>
        <w:ind w:left="1440" w:right="1440"/>
        <w:rPr>
          <w:color w:val="000000" w:themeColor="text1"/>
        </w:rPr>
      </w:pPr>
      <w:r w:rsidRPr="007D4C6F">
        <w:t xml:space="preserve">The Commission finds that no valid reason has been presented to justify elimination of the shadow-billing provisions from the Stipulation pursuant to part two of the test to evaluate stipulations. We emphasize that the Commission must evaluate the benefits of the Stipulation as a package and each provision of the Stipulation need not provide a direct and immediate benefit to ratepayers and the public interest. Nonetheless, in this instance, we find that, while OCC indicates that it has no current plans for the shadow-billing report, </w:t>
      </w:r>
      <w:r w:rsidRPr="007D4C6F">
        <w:rPr>
          <w:b/>
          <w:bCs/>
          <w:i/>
          <w:iCs/>
        </w:rPr>
        <w:t>the</w:t>
      </w:r>
      <w:r w:rsidRPr="007D4C6F" w:rsidR="00386B19">
        <w:rPr>
          <w:b/>
          <w:bCs/>
          <w:i/>
          <w:iCs/>
        </w:rPr>
        <w:t xml:space="preserve"> report may serve to confirm information otherwise available about the competitive market or highlight issues for further review and analysis</w:t>
      </w:r>
      <w:r w:rsidRPr="007D4C6F" w:rsidR="00386B19">
        <w:t>. The Commission reiterates, however, that customers may choose an energy provider for various reasons. Price is only one attribute of any offer available in the competitive market; there may be other features of the offer that are of value to customers.</w:t>
      </w:r>
      <w:r w:rsidRPr="007D4C6F" w:rsidR="00323982">
        <w:t xml:space="preserve"> </w:t>
      </w:r>
      <w:r w:rsidRPr="007D4C6F" w:rsidR="00323982">
        <w:rPr>
          <w:i/>
          <w:iCs/>
        </w:rPr>
        <w:t>In re Commission’s Review of the Minimum Gas Service Standards in Chapter 4901:1-13 of the Ohio Administrative Code</w:t>
      </w:r>
      <w:r w:rsidRPr="007D4C6F" w:rsidR="00323982">
        <w:t>, Case No. 19-1429-GA-ORD, Finding and Order (Feb. 24, 2021) at ¶ 69. As for the commitment of AEP Ohio and OCC to work on a proposal to submit for comment and review in the pending bill format case, the Commission finds this aspect of the Stipulation to be of no adverse consequence to the opposing parties or the retail market. The intervenors in that case will be afforded an opportunity for input and comment on the amended application. The Commission will, at that point, fully consider the amended application and the comments before any decision is reached in that case. We, therefore, decline to eliminate either of the shadow-billing provisions from the Stipulation. Our decision should not be construed as a predetermination regarding the relevancy of the shadow-billing report in any future proceeding or as to the outcome in the bill format case.</w:t>
      </w:r>
      <w:r>
        <w:rPr>
          <w:rStyle w:val="FootnoteReference"/>
        </w:rPr>
        <w:footnoteReference w:id="70"/>
      </w:r>
    </w:p>
    <w:p w:rsidR="00323982" w:rsidRPr="007D4C6F" w:rsidP="00323982" w14:paraId="02B99CFA" w14:textId="77777777">
      <w:pPr>
        <w:ind w:left="1440" w:right="720"/>
        <w:rPr>
          <w:color w:val="000000" w:themeColor="text1"/>
        </w:rPr>
      </w:pPr>
    </w:p>
    <w:p w:rsidR="00A342AC" w:rsidRPr="007D4C6F" w:rsidP="00B17A60" w14:paraId="3BE1E6C2" w14:textId="0D9E9B20">
      <w:pPr>
        <w:spacing w:line="480" w:lineRule="auto"/>
        <w:ind w:firstLine="720"/>
        <w:rPr>
          <w:color w:val="000000" w:themeColor="text1"/>
        </w:rPr>
      </w:pPr>
      <w:r w:rsidRPr="007D4C6F">
        <w:rPr>
          <w:color w:val="000000" w:themeColor="text1"/>
        </w:rPr>
        <w:t xml:space="preserve">Moreover, OCC’s proposals </w:t>
      </w:r>
      <w:r w:rsidRPr="007D4C6F" w:rsidR="00354277">
        <w:rPr>
          <w:color w:val="000000" w:themeColor="text1"/>
        </w:rPr>
        <w:t>are</w:t>
      </w:r>
      <w:r w:rsidRPr="007D4C6F" w:rsidR="00623AB0">
        <w:rPr>
          <w:color w:val="000000" w:themeColor="text1"/>
        </w:rPr>
        <w:t xml:space="preserve"> also</w:t>
      </w:r>
      <w:r w:rsidRPr="007D4C6F" w:rsidR="00354277">
        <w:rPr>
          <w:color w:val="000000" w:themeColor="text1"/>
        </w:rPr>
        <w:t xml:space="preserve"> consistent with Ohio law (R.C. 4928.02(A)), which requires that consumers have access to </w:t>
      </w:r>
      <w:r w:rsidRPr="007D4C6F" w:rsidR="006A0980">
        <w:rPr>
          <w:color w:val="000000" w:themeColor="text1"/>
        </w:rPr>
        <w:t>reasonably priced electric service.</w:t>
      </w:r>
      <w:r w:rsidRPr="007D4C6F" w:rsidR="00D80527">
        <w:rPr>
          <w:color w:val="000000" w:themeColor="text1"/>
        </w:rPr>
        <w:t xml:space="preserve"> </w:t>
      </w:r>
    </w:p>
    <w:p w:rsidR="006530EB" w:rsidRPr="007D4C6F" w:rsidP="009D6EED" w14:paraId="7FDC3E57" w14:textId="61BC5AFD">
      <w:pPr>
        <w:spacing w:line="480" w:lineRule="auto"/>
        <w:rPr>
          <w:color w:val="000000" w:themeColor="text1"/>
        </w:rPr>
      </w:pPr>
      <w:r w:rsidRPr="007D4C6F">
        <w:rPr>
          <w:color w:val="000000" w:themeColor="text1"/>
        </w:rPr>
        <w:tab/>
      </w:r>
      <w:r w:rsidRPr="007D4C6F" w:rsidR="00623AB0">
        <w:rPr>
          <w:color w:val="000000" w:themeColor="text1"/>
        </w:rPr>
        <w:t>OCC’s proposals are</w:t>
      </w:r>
      <w:r w:rsidRPr="007D4C6F" w:rsidR="00323982">
        <w:rPr>
          <w:color w:val="000000" w:themeColor="text1"/>
        </w:rPr>
        <w:t xml:space="preserve"> </w:t>
      </w:r>
      <w:r w:rsidRPr="007D4C6F" w:rsidR="00623AB0">
        <w:rPr>
          <w:color w:val="000000" w:themeColor="text1"/>
        </w:rPr>
        <w:t>necessary to protect consumers</w:t>
      </w:r>
      <w:r w:rsidRPr="007D4C6F">
        <w:rPr>
          <w:color w:val="000000" w:themeColor="text1"/>
        </w:rPr>
        <w:t xml:space="preserve"> with information that can actually help them in their decisions about electricity options involving marketers. Marketers know much more about how their contracts work than consumers unfortunately do.</w:t>
      </w:r>
      <w:r w:rsidRPr="007D4C6F" w:rsidR="00623AB0">
        <w:rPr>
          <w:color w:val="000000" w:themeColor="text1"/>
        </w:rPr>
        <w:t xml:space="preserve"> </w:t>
      </w:r>
    </w:p>
    <w:p w:rsidR="00E1010F" w:rsidRPr="007D4C6F" w:rsidP="00B17A60" w14:paraId="09352B0F" w14:textId="1622F078">
      <w:pPr>
        <w:spacing w:line="480" w:lineRule="auto"/>
        <w:ind w:firstLine="720"/>
        <w:rPr>
          <w:color w:val="000000" w:themeColor="text1"/>
        </w:rPr>
      </w:pPr>
      <w:r w:rsidRPr="007D4C6F">
        <w:rPr>
          <w:color w:val="000000" w:themeColor="text1"/>
        </w:rPr>
        <w:t>As explained in OCC’s brief and the testimony of Jim Williams, consumers are losing significant amounts of money to marketers as compared to the utilit</w:t>
      </w:r>
      <w:r w:rsidRPr="007D4C6F" w:rsidR="006530EB">
        <w:rPr>
          <w:color w:val="000000" w:themeColor="text1"/>
        </w:rPr>
        <w:t>ies’</w:t>
      </w:r>
      <w:r w:rsidRPr="007D4C6F">
        <w:rPr>
          <w:color w:val="000000" w:themeColor="text1"/>
        </w:rPr>
        <w:t xml:space="preserve"> standard service offer</w:t>
      </w:r>
      <w:r w:rsidRPr="007D4C6F" w:rsidR="006530EB">
        <w:rPr>
          <w:color w:val="000000" w:themeColor="text1"/>
        </w:rPr>
        <w:t>s</w:t>
      </w:r>
      <w:r w:rsidRPr="007D4C6F">
        <w:rPr>
          <w:color w:val="000000" w:themeColor="text1"/>
        </w:rPr>
        <w:t>.</w:t>
      </w:r>
      <w:r>
        <w:rPr>
          <w:rStyle w:val="FootnoteReference"/>
          <w:color w:val="000000" w:themeColor="text1"/>
        </w:rPr>
        <w:footnoteReference w:id="71"/>
      </w:r>
      <w:r w:rsidRPr="007D4C6F">
        <w:rPr>
          <w:color w:val="000000" w:themeColor="text1"/>
        </w:rPr>
        <w:t xml:space="preserve"> </w:t>
      </w:r>
      <w:r w:rsidRPr="007D4C6F" w:rsidR="006530EB">
        <w:rPr>
          <w:color w:val="000000" w:themeColor="text1"/>
        </w:rPr>
        <w:t xml:space="preserve">Reasons include that </w:t>
      </w:r>
      <w:r w:rsidRPr="007D4C6F" w:rsidR="00CE6DEE">
        <w:rPr>
          <w:color w:val="000000" w:themeColor="text1"/>
        </w:rPr>
        <w:t>marketers</w:t>
      </w:r>
      <w:r w:rsidRPr="007D4C6F" w:rsidR="008C2705">
        <w:rPr>
          <w:color w:val="000000" w:themeColor="text1"/>
        </w:rPr>
        <w:t xml:space="preserve"> often </w:t>
      </w:r>
      <w:r w:rsidRPr="007D4C6F" w:rsidR="00CE6DEE">
        <w:rPr>
          <w:color w:val="000000" w:themeColor="text1"/>
        </w:rPr>
        <w:t>cha</w:t>
      </w:r>
      <w:r w:rsidRPr="007D4C6F" w:rsidR="008C2705">
        <w:rPr>
          <w:color w:val="000000" w:themeColor="text1"/>
        </w:rPr>
        <w:t>r</w:t>
      </w:r>
      <w:r w:rsidRPr="007D4C6F" w:rsidR="00CE6DEE">
        <w:rPr>
          <w:color w:val="000000" w:themeColor="text1"/>
        </w:rPr>
        <w:t>ge consumers</w:t>
      </w:r>
      <w:r w:rsidRPr="007D4C6F" w:rsidR="008C2705">
        <w:rPr>
          <w:color w:val="000000" w:themeColor="text1"/>
        </w:rPr>
        <w:t xml:space="preserve"> high</w:t>
      </w:r>
      <w:r w:rsidRPr="007D4C6F" w:rsidR="00CE6DEE">
        <w:rPr>
          <w:color w:val="000000" w:themeColor="text1"/>
        </w:rPr>
        <w:t xml:space="preserve"> monthly variable rates</w:t>
      </w:r>
      <w:r w:rsidRPr="007D4C6F" w:rsidR="00FC6BBD">
        <w:rPr>
          <w:color w:val="000000" w:themeColor="text1"/>
        </w:rPr>
        <w:t xml:space="preserve"> following introductory fixed “teaser” rates</w:t>
      </w:r>
      <w:r w:rsidRPr="007D4C6F" w:rsidR="00CE6DEE">
        <w:rPr>
          <w:color w:val="000000" w:themeColor="text1"/>
        </w:rPr>
        <w:t xml:space="preserve"> </w:t>
      </w:r>
      <w:r w:rsidRPr="007D4C6F" w:rsidR="008C2705">
        <w:rPr>
          <w:color w:val="000000" w:themeColor="text1"/>
        </w:rPr>
        <w:t xml:space="preserve">or charge more for “green energy” products. </w:t>
      </w:r>
    </w:p>
    <w:p w:rsidR="009D6EED" w:rsidRPr="007D4C6F" w:rsidP="00E1010F" w14:paraId="3C3D1853" w14:textId="21C9FDE1">
      <w:pPr>
        <w:spacing w:line="480" w:lineRule="auto"/>
        <w:ind w:firstLine="720"/>
        <w:rPr>
          <w:color w:val="000000" w:themeColor="text1"/>
        </w:rPr>
      </w:pPr>
      <w:r w:rsidRPr="007D4C6F">
        <w:rPr>
          <w:color w:val="000000" w:themeColor="text1"/>
        </w:rPr>
        <w:t xml:space="preserve">Within the past few years, the PUCO has opened </w:t>
      </w:r>
      <w:r w:rsidRPr="007D4C6F" w:rsidR="006530EB">
        <w:rPr>
          <w:color w:val="000000" w:themeColor="text1"/>
        </w:rPr>
        <w:t xml:space="preserve">a number of </w:t>
      </w:r>
      <w:r w:rsidRPr="007D4C6F">
        <w:rPr>
          <w:color w:val="000000" w:themeColor="text1"/>
        </w:rPr>
        <w:t>investigations</w:t>
      </w:r>
      <w:r w:rsidRPr="007D4C6F" w:rsidR="000800E7">
        <w:rPr>
          <w:color w:val="000000" w:themeColor="text1"/>
        </w:rPr>
        <w:t xml:space="preserve"> into</w:t>
      </w:r>
      <w:r w:rsidRPr="007D4C6F">
        <w:rPr>
          <w:color w:val="000000" w:themeColor="text1"/>
        </w:rPr>
        <w:t xml:space="preserve"> marketers </w:t>
      </w:r>
      <w:r w:rsidRPr="007D4C6F" w:rsidR="000800E7">
        <w:rPr>
          <w:color w:val="000000" w:themeColor="text1"/>
        </w:rPr>
        <w:t>for alleged</w:t>
      </w:r>
      <w:r w:rsidRPr="007D4C6F">
        <w:rPr>
          <w:color w:val="000000" w:themeColor="text1"/>
        </w:rPr>
        <w:t xml:space="preserve"> deceptive and misleading marketing practices</w:t>
      </w:r>
      <w:r w:rsidRPr="007D4C6F" w:rsidR="00EC64DB">
        <w:rPr>
          <w:color w:val="000000" w:themeColor="text1"/>
        </w:rPr>
        <w:t xml:space="preserve"> to enroll consumers in programs that charge </w:t>
      </w:r>
      <w:r w:rsidRPr="007D4C6F">
        <w:rPr>
          <w:color w:val="000000" w:themeColor="text1"/>
        </w:rPr>
        <w:t xml:space="preserve">excessive </w:t>
      </w:r>
      <w:r w:rsidRPr="007D4C6F" w:rsidR="00EC64DB">
        <w:rPr>
          <w:color w:val="000000" w:themeColor="text1"/>
        </w:rPr>
        <w:t>rates</w:t>
      </w:r>
      <w:r w:rsidRPr="007D4C6F" w:rsidR="00BE7BB3">
        <w:rPr>
          <w:color w:val="000000" w:themeColor="text1"/>
        </w:rPr>
        <w:t>.</w:t>
      </w:r>
      <w:r>
        <w:rPr>
          <w:rStyle w:val="FootnoteReference"/>
          <w:color w:val="000000" w:themeColor="text1"/>
        </w:rPr>
        <w:footnoteReference w:id="72"/>
      </w:r>
      <w:r w:rsidRPr="007D4C6F" w:rsidR="00B47ABB">
        <w:rPr>
          <w:color w:val="000000" w:themeColor="text1"/>
        </w:rPr>
        <w:t xml:space="preserve"> Most r</w:t>
      </w:r>
      <w:r w:rsidRPr="007D4C6F" w:rsidR="00354277">
        <w:rPr>
          <w:color w:val="000000" w:themeColor="text1"/>
        </w:rPr>
        <w:t xml:space="preserve">ecently, the PUCO Staff has </w:t>
      </w:r>
      <w:r w:rsidRPr="007D4C6F" w:rsidR="000C1AEF">
        <w:rPr>
          <w:color w:val="000000" w:themeColor="text1"/>
        </w:rPr>
        <w:t>alleged that</w:t>
      </w:r>
      <w:r w:rsidRPr="007D4C6F" w:rsidR="00BE7BB3">
        <w:rPr>
          <w:color w:val="000000" w:themeColor="text1"/>
        </w:rPr>
        <w:t xml:space="preserve"> Direct</w:t>
      </w:r>
      <w:r w:rsidRPr="007D4C6F" w:rsidR="00EC64DB">
        <w:rPr>
          <w:color w:val="000000" w:themeColor="text1"/>
        </w:rPr>
        <w:t xml:space="preserve"> </w:t>
      </w:r>
      <w:r w:rsidRPr="007D4C6F" w:rsidR="00BE7BB3">
        <w:rPr>
          <w:color w:val="000000" w:themeColor="text1"/>
        </w:rPr>
        <w:t>Energy</w:t>
      </w:r>
      <w:r w:rsidRPr="007D4C6F" w:rsidR="00354277">
        <w:rPr>
          <w:color w:val="000000" w:themeColor="text1"/>
        </w:rPr>
        <w:t xml:space="preserve">, </w:t>
      </w:r>
      <w:r w:rsidRPr="007D4C6F" w:rsidR="00BE7BB3">
        <w:rPr>
          <w:color w:val="000000" w:themeColor="text1"/>
        </w:rPr>
        <w:t>XOOM,</w:t>
      </w:r>
      <w:r w:rsidRPr="007D4C6F" w:rsidR="00354277">
        <w:rPr>
          <w:color w:val="000000" w:themeColor="text1"/>
        </w:rPr>
        <w:t xml:space="preserve"> and RPA Energy d/b/a Green Choice,</w:t>
      </w:r>
      <w:r w:rsidRPr="007D4C6F" w:rsidR="0022527D">
        <w:rPr>
          <w:color w:val="000000" w:themeColor="text1"/>
        </w:rPr>
        <w:t xml:space="preserve"> have</w:t>
      </w:r>
      <w:r w:rsidRPr="007D4C6F" w:rsidR="000C1AEF">
        <w:rPr>
          <w:color w:val="000000" w:themeColor="text1"/>
        </w:rPr>
        <w:t xml:space="preserve"> engag</w:t>
      </w:r>
      <w:r w:rsidRPr="007D4C6F" w:rsidR="0022527D">
        <w:rPr>
          <w:color w:val="000000" w:themeColor="text1"/>
        </w:rPr>
        <w:t>ed</w:t>
      </w:r>
      <w:r w:rsidRPr="007D4C6F" w:rsidR="000C1AEF">
        <w:rPr>
          <w:color w:val="000000" w:themeColor="text1"/>
        </w:rPr>
        <w:t xml:space="preserve"> in </w:t>
      </w:r>
      <w:r w:rsidRPr="007D4C6F" w:rsidR="00BE7BB3">
        <w:rPr>
          <w:color w:val="000000" w:themeColor="text1"/>
        </w:rPr>
        <w:t>misleading and deceptive marketing and enrollment of consumers.</w:t>
      </w:r>
      <w:r>
        <w:rPr>
          <w:rStyle w:val="FootnoteReference"/>
          <w:color w:val="000000" w:themeColor="text1"/>
        </w:rPr>
        <w:footnoteReference w:id="73"/>
      </w:r>
      <w:r w:rsidRPr="007D4C6F" w:rsidR="00BE7BB3">
        <w:rPr>
          <w:color w:val="000000" w:themeColor="text1"/>
        </w:rPr>
        <w:t xml:space="preserve"> </w:t>
      </w:r>
    </w:p>
    <w:p w:rsidR="00454296" w:rsidRPr="007D4C6F" w:rsidP="00B47ABB" w14:paraId="1B9A589B" w14:textId="24A86902">
      <w:pPr>
        <w:spacing w:line="480" w:lineRule="auto"/>
        <w:rPr>
          <w:color w:val="000000" w:themeColor="text1"/>
        </w:rPr>
      </w:pPr>
      <w:r w:rsidRPr="007D4C6F">
        <w:rPr>
          <w:color w:val="000000" w:themeColor="text1"/>
        </w:rPr>
        <w:tab/>
        <w:t xml:space="preserve">It is clear from the number of PUCO investigations into marketers’ </w:t>
      </w:r>
      <w:r w:rsidRPr="007D4C6F" w:rsidR="00FB3CDE">
        <w:rPr>
          <w:color w:val="000000" w:themeColor="text1"/>
        </w:rPr>
        <w:t>sales</w:t>
      </w:r>
      <w:r w:rsidRPr="007D4C6F">
        <w:rPr>
          <w:color w:val="000000" w:themeColor="text1"/>
        </w:rPr>
        <w:t xml:space="preserve"> and enrollment practices</w:t>
      </w:r>
      <w:r w:rsidRPr="007D4C6F" w:rsidR="006530EB">
        <w:rPr>
          <w:color w:val="000000" w:themeColor="text1"/>
        </w:rPr>
        <w:t xml:space="preserve"> – and just from the basic difficulty in making wise electricity choices on marketer offers –</w:t>
      </w:r>
      <w:r w:rsidRPr="007D4C6F">
        <w:rPr>
          <w:color w:val="000000" w:themeColor="text1"/>
        </w:rPr>
        <w:t xml:space="preserve"> that residential consumers need more, not less, consumer protection. OCC’s proposals for shadow billing, bill format changes, and an opt-out function on Duke’s website are consistent with regulatory policies and practices and would </w:t>
      </w:r>
      <w:r w:rsidRPr="007D4C6F" w:rsidR="006530EB">
        <w:rPr>
          <w:color w:val="000000" w:themeColor="text1"/>
        </w:rPr>
        <w:t>help</w:t>
      </w:r>
      <w:r w:rsidRPr="007D4C6F">
        <w:rPr>
          <w:color w:val="000000" w:themeColor="text1"/>
        </w:rPr>
        <w:t xml:space="preserve"> protect consumers from paying unnecessary charges for essential electric utility service.</w:t>
      </w:r>
      <w:r w:rsidRPr="007D4C6F" w:rsidR="00D80527">
        <w:rPr>
          <w:color w:val="000000" w:themeColor="text1"/>
        </w:rPr>
        <w:t xml:space="preserve"> </w:t>
      </w:r>
    </w:p>
    <w:p w:rsidR="00015657" w:rsidRPr="007D4C6F" w:rsidP="00AD2CC7" w14:paraId="0B4604CF" w14:textId="73AC3FC7">
      <w:pPr>
        <w:pStyle w:val="Heading1"/>
        <w:numPr>
          <w:ilvl w:val="0"/>
          <w:numId w:val="0"/>
        </w:numPr>
        <w:ind w:left="720" w:hanging="720"/>
      </w:pPr>
      <w:bookmarkStart w:id="17" w:name="_Toc2936405"/>
      <w:bookmarkStart w:id="18" w:name="_Toc102143397"/>
      <w:bookmarkStart w:id="19" w:name="_Toc102143606"/>
      <w:bookmarkStart w:id="20" w:name="_Toc106717647"/>
      <w:bookmarkStart w:id="21" w:name="_Toc118121853"/>
      <w:bookmarkStart w:id="22" w:name="_Toc119331519"/>
      <w:r w:rsidRPr="007D4C6F">
        <w:t>III.</w:t>
      </w:r>
      <w:r w:rsidRPr="007D4C6F">
        <w:tab/>
      </w:r>
      <w:r w:rsidRPr="007D4C6F" w:rsidR="001378A5">
        <w:t>CONCLUSION</w:t>
      </w:r>
      <w:bookmarkEnd w:id="17"/>
      <w:bookmarkEnd w:id="18"/>
      <w:bookmarkEnd w:id="19"/>
      <w:bookmarkEnd w:id="20"/>
      <w:bookmarkEnd w:id="21"/>
      <w:bookmarkEnd w:id="22"/>
    </w:p>
    <w:p w:rsidR="00015657" w:rsidRPr="007D4C6F" w:rsidP="00015657" w14:paraId="18332C27" w14:textId="6F180898">
      <w:pPr>
        <w:spacing w:line="480" w:lineRule="auto"/>
        <w:ind w:right="254" w:firstLine="720"/>
      </w:pPr>
      <w:r w:rsidRPr="007D4C6F">
        <w:t>T</w:t>
      </w:r>
      <w:r w:rsidRPr="007D4C6F" w:rsidR="00C73DA6">
        <w:t xml:space="preserve">he settlement filed by Duke, the PUCO Staff, and others fails the PUCO’s three-part test for evaluating settlements. </w:t>
      </w:r>
      <w:r w:rsidRPr="007D4C6F" w:rsidR="001378A5">
        <w:t>To protect consumers,</w:t>
      </w:r>
      <w:r w:rsidRPr="007D4C6F" w:rsidR="00C73DA6">
        <w:t xml:space="preserve"> the PUCO should reject the settlement and adopt OCC’s recommendations </w:t>
      </w:r>
      <w:r w:rsidRPr="007D4C6F" w:rsidR="00FA2FDF">
        <w:t>set forth in its witnesses’ testimony</w:t>
      </w:r>
      <w:r w:rsidRPr="007D4C6F" w:rsidR="001378A5">
        <w:t>.</w:t>
      </w:r>
    </w:p>
    <w:p w:rsidR="00C83B25" w:rsidRPr="007D4C6F" w:rsidP="00C83B25" w14:paraId="7E319B6C" w14:textId="77777777">
      <w:pPr>
        <w:ind w:left="3780"/>
      </w:pPr>
      <w:r w:rsidRPr="007D4C6F">
        <w:t>Respectfully submitted,</w:t>
      </w:r>
    </w:p>
    <w:p w:rsidR="00C83B25" w:rsidRPr="007D4C6F" w:rsidP="00C83B25" w14:paraId="50247478" w14:textId="77777777">
      <w:pPr>
        <w:ind w:left="3780"/>
      </w:pPr>
    </w:p>
    <w:p w:rsidR="00C83B25" w:rsidRPr="007D4C6F" w:rsidP="00C83B25" w14:paraId="219511B6" w14:textId="77777777">
      <w:pPr>
        <w:ind w:left="3780"/>
        <w:jc w:val="both"/>
      </w:pPr>
      <w:r w:rsidRPr="007D4C6F">
        <w:t>Bruce Weston (0016973)</w:t>
      </w:r>
    </w:p>
    <w:p w:rsidR="00C83B25" w:rsidRPr="007D4C6F" w:rsidP="00C83B25" w14:paraId="6ED53F18" w14:textId="77777777">
      <w:pPr>
        <w:ind w:left="3780"/>
        <w:jc w:val="both"/>
      </w:pPr>
      <w:r w:rsidRPr="007D4C6F">
        <w:t>Ohio Consumers’ Counsel</w:t>
      </w:r>
    </w:p>
    <w:p w:rsidR="00C83B25" w:rsidRPr="007D4C6F" w:rsidP="00C83B25" w14:paraId="05E25C9B" w14:textId="77777777">
      <w:pPr>
        <w:ind w:left="3780"/>
        <w:rPr>
          <w:i/>
          <w:iCs/>
          <w:u w:val="single"/>
        </w:rPr>
      </w:pPr>
    </w:p>
    <w:p w:rsidR="00C83B25" w:rsidRPr="007D4C6F" w:rsidP="00C83B25" w14:paraId="5807548A" w14:textId="77777777">
      <w:pPr>
        <w:ind w:left="3780"/>
        <w:rPr>
          <w:i/>
          <w:iCs/>
          <w:u w:val="single"/>
        </w:rPr>
      </w:pPr>
      <w:r w:rsidRPr="007D4C6F">
        <w:rPr>
          <w:i/>
          <w:iCs/>
          <w:u w:val="single"/>
        </w:rPr>
        <w:t>/s/ Angela D. O’Brien</w:t>
      </w:r>
    </w:p>
    <w:p w:rsidR="00C83B25" w:rsidRPr="007D4C6F" w:rsidP="00C83B25" w14:paraId="2C430EBF" w14:textId="77777777">
      <w:pPr>
        <w:ind w:left="3780"/>
      </w:pPr>
      <w:r w:rsidRPr="007D4C6F">
        <w:t>Angela D. O’Brien (0097579)</w:t>
      </w:r>
    </w:p>
    <w:p w:rsidR="00C83B25" w:rsidRPr="007D4C6F" w:rsidP="00C83B25" w14:paraId="23997C59" w14:textId="77777777">
      <w:pPr>
        <w:tabs>
          <w:tab w:val="left" w:pos="4320"/>
        </w:tabs>
        <w:ind w:left="3780"/>
      </w:pPr>
      <w:r w:rsidRPr="007D4C6F">
        <w:t>Counsel of Record</w:t>
      </w:r>
    </w:p>
    <w:p w:rsidR="00C83B25" w:rsidRPr="007D4C6F" w:rsidP="00C83B25" w14:paraId="52441655" w14:textId="77777777">
      <w:pPr>
        <w:tabs>
          <w:tab w:val="left" w:pos="4320"/>
        </w:tabs>
        <w:ind w:left="3780"/>
      </w:pPr>
      <w:r w:rsidRPr="007D4C6F">
        <w:t>Ambrosia E. Wilson (0096598)</w:t>
      </w:r>
    </w:p>
    <w:p w:rsidR="00C83B25" w:rsidRPr="007D4C6F" w:rsidP="00C83B25" w14:paraId="191996F8" w14:textId="77777777">
      <w:pPr>
        <w:suppressLineNumbers/>
        <w:ind w:left="3780"/>
      </w:pPr>
      <w:r w:rsidRPr="007D4C6F">
        <w:t>John Finnigan (0018689)</w:t>
      </w:r>
      <w:r w:rsidRPr="007D4C6F">
        <w:tab/>
      </w:r>
    </w:p>
    <w:p w:rsidR="00C83B25" w:rsidRPr="007D4C6F" w:rsidP="00C83B25" w14:paraId="05C164A4" w14:textId="77777777">
      <w:pPr>
        <w:suppressLineNumbers/>
        <w:ind w:left="3780"/>
      </w:pPr>
      <w:r w:rsidRPr="007D4C6F">
        <w:t>Connor D. Semple (0101102)</w:t>
      </w:r>
    </w:p>
    <w:p w:rsidR="00C83B25" w:rsidRPr="007D4C6F" w:rsidP="00C83B25" w14:paraId="673E920F" w14:textId="77777777">
      <w:pPr>
        <w:tabs>
          <w:tab w:val="left" w:pos="4320"/>
        </w:tabs>
        <w:ind w:left="3780"/>
      </w:pPr>
      <w:r w:rsidRPr="007D4C6F">
        <w:t>Assistant Consumers’ Counsel</w:t>
      </w:r>
    </w:p>
    <w:p w:rsidR="00C83B25" w:rsidRPr="007D4C6F" w:rsidP="00C83B25" w14:paraId="66764946" w14:textId="77777777">
      <w:pPr>
        <w:tabs>
          <w:tab w:val="left" w:pos="4320"/>
        </w:tabs>
        <w:ind w:left="3780"/>
      </w:pPr>
      <w:r w:rsidRPr="007D4C6F">
        <w:tab/>
      </w:r>
    </w:p>
    <w:p w:rsidR="00C83B25" w:rsidRPr="007D4C6F" w:rsidP="00C83B25" w14:paraId="62E5FDFC" w14:textId="77777777">
      <w:pPr>
        <w:ind w:left="3780"/>
        <w:rPr>
          <w:b/>
          <w:bCs/>
        </w:rPr>
      </w:pPr>
      <w:r w:rsidRPr="007D4C6F">
        <w:rPr>
          <w:b/>
          <w:bCs/>
        </w:rPr>
        <w:t>Office of the Ohio Consumers’ Counsel</w:t>
      </w:r>
    </w:p>
    <w:p w:rsidR="00C83B25" w:rsidRPr="007D4C6F" w:rsidP="00C83B25" w14:paraId="2C4D9A8B" w14:textId="77777777">
      <w:pPr>
        <w:ind w:left="3780"/>
      </w:pPr>
      <w:r w:rsidRPr="007D4C6F">
        <w:t>65 East State Street, Suite 700</w:t>
      </w:r>
    </w:p>
    <w:p w:rsidR="00C83B25" w:rsidRPr="007D4C6F" w:rsidP="00C83B25" w14:paraId="382E92D9" w14:textId="77777777">
      <w:pPr>
        <w:ind w:left="3780"/>
      </w:pPr>
      <w:r w:rsidRPr="007D4C6F">
        <w:t>Columbus, Ohio 43215</w:t>
      </w:r>
    </w:p>
    <w:p w:rsidR="00C83B25" w:rsidRPr="007D4C6F" w:rsidP="00C83B25" w14:paraId="6DC46C31" w14:textId="77777777">
      <w:pPr>
        <w:autoSpaceDE w:val="0"/>
        <w:autoSpaceDN w:val="0"/>
        <w:adjustRightInd w:val="0"/>
        <w:ind w:left="3780"/>
      </w:pPr>
      <w:r w:rsidRPr="007D4C6F">
        <w:t>Telephone [O’Brien]: (614)-466-9531</w:t>
      </w:r>
    </w:p>
    <w:p w:rsidR="00C83B25" w:rsidRPr="007D4C6F" w:rsidP="00C83B25" w14:paraId="23777A14" w14:textId="77777777">
      <w:pPr>
        <w:autoSpaceDE w:val="0"/>
        <w:autoSpaceDN w:val="0"/>
        <w:adjustRightInd w:val="0"/>
        <w:ind w:left="3780"/>
      </w:pPr>
      <w:r w:rsidRPr="007D4C6F">
        <w:t>Telephone [Wilson]: (614)-466-1292</w:t>
      </w:r>
    </w:p>
    <w:p w:rsidR="00C83B25" w:rsidRPr="007D4C6F" w:rsidP="00C83B25" w14:paraId="399328DC" w14:textId="77777777">
      <w:pPr>
        <w:suppressLineNumbers/>
        <w:ind w:left="3780"/>
      </w:pPr>
      <w:r w:rsidRPr="007D4C6F">
        <w:t>Telephone [Finnigan]: (614) 466-9585</w:t>
      </w:r>
    </w:p>
    <w:p w:rsidR="00C83B25" w:rsidRPr="007D4C6F" w:rsidP="00C83B25" w14:paraId="5D93405C" w14:textId="77777777">
      <w:pPr>
        <w:suppressLineNumbers/>
        <w:ind w:left="3780"/>
      </w:pPr>
      <w:r w:rsidRPr="007D4C6F">
        <w:t>Telephone [Semple]: (614) 466-9565</w:t>
      </w:r>
    </w:p>
    <w:p w:rsidR="00C83B25" w:rsidRPr="007D4C6F" w:rsidP="00C83B25" w14:paraId="7518EB5A" w14:textId="77777777">
      <w:pPr>
        <w:autoSpaceDE w:val="0"/>
        <w:autoSpaceDN w:val="0"/>
        <w:adjustRightInd w:val="0"/>
        <w:ind w:left="3780"/>
      </w:pPr>
      <w:hyperlink r:id="rId6" w:history="1">
        <w:r w:rsidRPr="007D4C6F" w:rsidR="00C73DA6">
          <w:rPr>
            <w:color w:val="0000FF"/>
            <w:u w:val="single"/>
          </w:rPr>
          <w:t>angela.obrien@occ.ohio.gov</w:t>
        </w:r>
      </w:hyperlink>
    </w:p>
    <w:p w:rsidR="00C83B25" w:rsidRPr="007D4C6F" w:rsidP="00C83B25" w14:paraId="5809C50B" w14:textId="77777777">
      <w:pPr>
        <w:autoSpaceDE w:val="0"/>
        <w:autoSpaceDN w:val="0"/>
        <w:adjustRightInd w:val="0"/>
        <w:ind w:left="3780"/>
        <w:rPr>
          <w:color w:val="0000FF"/>
          <w:u w:val="single"/>
        </w:rPr>
      </w:pPr>
      <w:hyperlink r:id="rId7" w:history="1">
        <w:r w:rsidRPr="007D4C6F" w:rsidR="00C73DA6">
          <w:rPr>
            <w:color w:val="0000FF"/>
            <w:u w:val="single"/>
          </w:rPr>
          <w:t>ambrosia.wilson@occ.ohio.gov</w:t>
        </w:r>
      </w:hyperlink>
    </w:p>
    <w:p w:rsidR="00C83B25" w:rsidRPr="007D4C6F" w:rsidP="00C83B25" w14:paraId="09D91FD3" w14:textId="77777777">
      <w:pPr>
        <w:suppressLineNumbers/>
        <w:ind w:left="3780"/>
        <w:rPr>
          <w:rFonts w:eastAsia="Courier New"/>
          <w:color w:val="0000FF"/>
          <w:u w:val="single"/>
        </w:rPr>
      </w:pPr>
      <w:hyperlink r:id="rId8" w:history="1">
        <w:r w:rsidRPr="007D4C6F" w:rsidR="00C73DA6">
          <w:rPr>
            <w:rFonts w:eastAsia="Courier New"/>
            <w:color w:val="0000FF"/>
            <w:u w:val="single"/>
          </w:rPr>
          <w:t>john.finnigan@occ.ohio.gov</w:t>
        </w:r>
      </w:hyperlink>
    </w:p>
    <w:p w:rsidR="00C83B25" w:rsidRPr="007D4C6F" w:rsidP="00C83B25" w14:paraId="69A6998C" w14:textId="77777777">
      <w:pPr>
        <w:suppressLineNumbers/>
        <w:ind w:left="3780"/>
        <w:rPr>
          <w:rFonts w:eastAsia="Courier New"/>
          <w:color w:val="0000FF"/>
          <w:u w:val="single"/>
        </w:rPr>
      </w:pPr>
      <w:r w:rsidRPr="007D4C6F">
        <w:rPr>
          <w:rFonts w:eastAsia="Courier New"/>
          <w:color w:val="0000FF"/>
          <w:u w:val="single"/>
        </w:rPr>
        <w:t>connor.semple@occ.ohio.gov</w:t>
      </w:r>
    </w:p>
    <w:p w:rsidR="007A481F" w:rsidRPr="007D4C6F" w:rsidP="003E7B74" w14:paraId="375D7D08" w14:textId="77777777">
      <w:pPr>
        <w:autoSpaceDE w:val="0"/>
        <w:autoSpaceDN w:val="0"/>
        <w:adjustRightInd w:val="0"/>
        <w:ind w:left="3780"/>
        <w:rPr>
          <w:rFonts w:eastAsiaTheme="minorHAnsi"/>
          <w:lang w:bidi="ar-SA"/>
        </w:rPr>
      </w:pPr>
      <w:r w:rsidRPr="007D4C6F">
        <w:t>(willing to accept service by e-mail)</w:t>
      </w:r>
      <w:r w:rsidRPr="007D4C6F" w:rsidR="001378A5">
        <w:rPr>
          <w:rFonts w:eastAsiaTheme="minorHAnsi"/>
          <w:lang w:bidi="ar-SA"/>
        </w:rPr>
        <w:br w:type="page"/>
      </w:r>
    </w:p>
    <w:p w:rsidR="00015657" w:rsidRPr="007D4C6F" w:rsidP="007A481F" w14:paraId="18926856" w14:textId="77777777">
      <w:pPr>
        <w:autoSpaceDE w:val="0"/>
        <w:autoSpaceDN w:val="0"/>
        <w:adjustRightInd w:val="0"/>
        <w:jc w:val="center"/>
        <w:rPr>
          <w:b/>
          <w:u w:val="single"/>
        </w:rPr>
      </w:pPr>
      <w:r w:rsidRPr="007D4C6F">
        <w:rPr>
          <w:b/>
          <w:u w:val="single"/>
        </w:rPr>
        <w:t>CERTIFICATE OF SERVICE</w:t>
      </w:r>
    </w:p>
    <w:p w:rsidR="00015657" w:rsidRPr="007D4C6F" w:rsidP="00015657" w14:paraId="43B96935" w14:textId="77777777">
      <w:pPr>
        <w:jc w:val="center"/>
      </w:pPr>
    </w:p>
    <w:p w:rsidR="00015657" w:rsidRPr="007D4C6F" w:rsidP="007A481F" w14:paraId="3B05F869" w14:textId="45A93D60">
      <w:pPr>
        <w:suppressAutoHyphens/>
        <w:spacing w:line="480" w:lineRule="auto"/>
        <w:ind w:firstLine="720"/>
      </w:pPr>
      <w:r w:rsidRPr="007D4C6F">
        <w:t>It is hereby certified that a true copy of the foregoing</w:t>
      </w:r>
      <w:r w:rsidRPr="007D4C6F" w:rsidR="00FA2FDF">
        <w:t xml:space="preserve"> </w:t>
      </w:r>
      <w:r w:rsidRPr="007D4C6F" w:rsidR="00FB3CDE">
        <w:t>Reply</w:t>
      </w:r>
      <w:r w:rsidRPr="007D4C6F" w:rsidR="00FA2FDF">
        <w:t xml:space="preserve"> Brief</w:t>
      </w:r>
      <w:r w:rsidRPr="007D4C6F" w:rsidR="0042638F">
        <w:t xml:space="preserve"> for Consumer Protection</w:t>
      </w:r>
      <w:r w:rsidRPr="007D4C6F">
        <w:rPr>
          <w:iCs/>
        </w:rPr>
        <w:t xml:space="preserve"> </w:t>
      </w:r>
      <w:r w:rsidRPr="007D4C6F">
        <w:t>was served by electronic transmission upon the parties below this</w:t>
      </w:r>
      <w:r w:rsidRPr="007D4C6F" w:rsidR="00FB3CDE">
        <w:t xml:space="preserve"> 14</w:t>
      </w:r>
      <w:r w:rsidRPr="007D4C6F" w:rsidR="00FB3CDE">
        <w:rPr>
          <w:vertAlign w:val="superscript"/>
        </w:rPr>
        <w:t>th</w:t>
      </w:r>
      <w:r w:rsidRPr="007D4C6F" w:rsidR="007A481F">
        <w:t xml:space="preserve"> </w:t>
      </w:r>
      <w:r w:rsidRPr="007D4C6F">
        <w:t>day of</w:t>
      </w:r>
      <w:r w:rsidRPr="007D4C6F" w:rsidR="00FA3E4B">
        <w:t xml:space="preserve"> </w:t>
      </w:r>
      <w:r w:rsidRPr="007D4C6F" w:rsidR="00FB3CDE">
        <w:t>November</w:t>
      </w:r>
      <w:r w:rsidRPr="007D4C6F">
        <w:t xml:space="preserve"> 20</w:t>
      </w:r>
      <w:r w:rsidRPr="007D4C6F" w:rsidR="00FA3E4B">
        <w:t>2</w:t>
      </w:r>
      <w:r w:rsidRPr="007D4C6F" w:rsidR="00CA5494">
        <w:t>2</w:t>
      </w:r>
      <w:r w:rsidRPr="007D4C6F">
        <w:t>.</w:t>
      </w:r>
    </w:p>
    <w:p w:rsidR="00F36163" w:rsidRPr="007D4C6F" w:rsidP="00015657" w14:paraId="6F17AC08" w14:textId="77777777">
      <w:pPr>
        <w:pStyle w:val="EndnoteText"/>
        <w:widowControl/>
        <w:rPr>
          <w:rFonts w:ascii="Times New Roman" w:hAnsi="Times New Roman"/>
          <w:szCs w:val="24"/>
        </w:rPr>
      </w:pP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i/>
          <w:szCs w:val="24"/>
          <w:u w:val="single"/>
        </w:rPr>
        <w:t xml:space="preserve">/s/ </w:t>
      </w:r>
      <w:r w:rsidRPr="007D4C6F" w:rsidR="00FA3E4B">
        <w:rPr>
          <w:rFonts w:ascii="Times New Roman" w:hAnsi="Times New Roman"/>
          <w:i/>
          <w:szCs w:val="24"/>
          <w:u w:val="single"/>
        </w:rPr>
        <w:t>Angela O’Brien</w:t>
      </w:r>
      <w:r w:rsidRPr="007D4C6F" w:rsidR="00FA3E4B">
        <w:rPr>
          <w:rFonts w:ascii="Times New Roman" w:hAnsi="Times New Roman"/>
          <w:i/>
          <w:szCs w:val="24"/>
          <w:u w:val="single"/>
        </w:rPr>
        <w:tab/>
      </w:r>
      <w:r w:rsidRPr="007D4C6F">
        <w:rPr>
          <w:rFonts w:ascii="Times New Roman" w:hAnsi="Times New Roman"/>
          <w:i/>
          <w:szCs w:val="24"/>
          <w:u w:val="single"/>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r>
      <w:r w:rsidRPr="007D4C6F">
        <w:rPr>
          <w:rFonts w:ascii="Times New Roman" w:hAnsi="Times New Roman"/>
          <w:szCs w:val="24"/>
        </w:rPr>
        <w:tab/>
        <w:t>Angela O’Brien</w:t>
      </w:r>
    </w:p>
    <w:p w:rsidR="0042638F" w:rsidRPr="007D4C6F" w:rsidP="0042638F" w14:paraId="7A2FB194" w14:textId="77777777">
      <w:pPr>
        <w:suppressLineNumbers/>
        <w:ind w:left="5040"/>
      </w:pPr>
      <w:r w:rsidRPr="007D4C6F">
        <w:t>Assistant Consumers’ Counsel</w:t>
      </w:r>
    </w:p>
    <w:p w:rsidR="00F36163" w:rsidRPr="007D4C6F" w:rsidP="00015657" w14:paraId="12BC7294" w14:textId="77777777">
      <w:pPr>
        <w:pStyle w:val="EndnoteText"/>
        <w:widowControl/>
        <w:rPr>
          <w:rFonts w:ascii="Times New Roman" w:hAnsi="Times New Roman"/>
          <w:szCs w:val="24"/>
        </w:rPr>
      </w:pPr>
    </w:p>
    <w:p w:rsidR="00F36163" w:rsidRPr="007D4C6F" w:rsidP="00F36163" w14:paraId="62845C53" w14:textId="77777777">
      <w:pPr>
        <w:pStyle w:val="CommentText"/>
        <w:rPr>
          <w:sz w:val="24"/>
          <w:szCs w:val="24"/>
        </w:rPr>
      </w:pPr>
      <w:r w:rsidRPr="007D4C6F">
        <w:rPr>
          <w:sz w:val="24"/>
          <w:szCs w:val="24"/>
        </w:rPr>
        <w:t>The PUCO’s e-filing system will electronically serve notice of the filing of this document on the following parties:</w:t>
      </w:r>
    </w:p>
    <w:p w:rsidR="00015657" w:rsidRPr="007D4C6F" w:rsidP="00015657" w14:paraId="0AD6BDB6" w14:textId="77777777">
      <w:pPr>
        <w:pStyle w:val="EndnoteText"/>
        <w:widowControl/>
        <w:rPr>
          <w:rFonts w:ascii="Times New Roman" w:hAnsi="Times New Roman"/>
          <w:szCs w:val="24"/>
        </w:rPr>
      </w:pPr>
    </w:p>
    <w:p w:rsidR="00F36163" w:rsidRPr="007D4C6F" w:rsidP="00F36163" w14:paraId="6B38B59F" w14:textId="77777777">
      <w:pPr>
        <w:pStyle w:val="CommentText"/>
        <w:jc w:val="center"/>
        <w:rPr>
          <w:b/>
          <w:sz w:val="24"/>
          <w:szCs w:val="24"/>
          <w:u w:val="single"/>
        </w:rPr>
      </w:pPr>
      <w:r w:rsidRPr="007D4C6F">
        <w:rPr>
          <w:b/>
          <w:sz w:val="24"/>
          <w:szCs w:val="24"/>
          <w:u w:val="single"/>
        </w:rPr>
        <w:t>SERVICE LIST</w:t>
      </w:r>
    </w:p>
    <w:p w:rsidR="00F36163" w:rsidRPr="007D4C6F" w:rsidP="00F36163" w14:paraId="799C920A" w14:textId="77777777">
      <w:pPr>
        <w:pStyle w:val="CommentText"/>
        <w:jc w:val="center"/>
        <w:rPr>
          <w:bCs/>
          <w:sz w:val="24"/>
          <w:szCs w:val="24"/>
          <w:u w:val="single"/>
        </w:rPr>
      </w:pPr>
    </w:p>
    <w:tbl>
      <w:tblPr>
        <w:tblW w:w="0" w:type="auto"/>
        <w:tblCellMar>
          <w:left w:w="0" w:type="dxa"/>
          <w:right w:w="0" w:type="dxa"/>
        </w:tblCellMar>
        <w:tblLook w:val="04A0"/>
      </w:tblPr>
      <w:tblGrid>
        <w:gridCol w:w="4251"/>
        <w:gridCol w:w="4389"/>
      </w:tblGrid>
      <w:tr w14:paraId="6204CA1B" w14:textId="77777777" w:rsidTr="00456E19">
        <w:tblPrEx>
          <w:tblW w:w="0" w:type="auto"/>
          <w:tblCellMar>
            <w:left w:w="0" w:type="dxa"/>
            <w:right w:w="0" w:type="dxa"/>
          </w:tblCellMar>
          <w:tblLook w:val="04A0"/>
        </w:tblPrEx>
        <w:tc>
          <w:tcPr>
            <w:tcW w:w="4428" w:type="dxa"/>
            <w:tcMar>
              <w:top w:w="0" w:type="dxa"/>
              <w:left w:w="108" w:type="dxa"/>
              <w:bottom w:w="0" w:type="dxa"/>
              <w:right w:w="108" w:type="dxa"/>
            </w:tcMar>
          </w:tcPr>
          <w:p w:rsidR="002921FA" w:rsidRPr="007D4C6F" w:rsidP="00456E19" w14:paraId="069B7E73" w14:textId="77777777">
            <w:pPr>
              <w:autoSpaceDE w:val="0"/>
              <w:autoSpaceDN w:val="0"/>
              <w:snapToGrid w:val="0"/>
              <w:jc w:val="both"/>
              <w:rPr>
                <w:rFonts w:eastAsia="Calibri"/>
                <w:color w:val="0000FF"/>
                <w:u w:val="single"/>
              </w:rPr>
            </w:pPr>
            <w:hyperlink r:id="rId14" w:history="1">
              <w:r w:rsidRPr="007D4C6F" w:rsidR="00C73DA6">
                <w:rPr>
                  <w:rFonts w:eastAsia="Calibri"/>
                  <w:color w:val="0000FF"/>
                  <w:u w:val="single"/>
                </w:rPr>
                <w:t>robert.eubanks@ohioAGO.gov</w:t>
              </w:r>
            </w:hyperlink>
          </w:p>
          <w:p w:rsidR="002921FA" w:rsidRPr="007D4C6F" w:rsidP="00456E19" w14:paraId="164EBC26" w14:textId="77777777">
            <w:pPr>
              <w:autoSpaceDE w:val="0"/>
              <w:autoSpaceDN w:val="0"/>
              <w:snapToGrid w:val="0"/>
              <w:jc w:val="both"/>
              <w:rPr>
                <w:rFonts w:eastAsia="Calibri"/>
              </w:rPr>
            </w:pPr>
            <w:hyperlink r:id="rId15" w:history="1">
              <w:r w:rsidRPr="007D4C6F" w:rsidR="00C73DA6">
                <w:rPr>
                  <w:rFonts w:eastAsia="Calibri"/>
                  <w:color w:val="0000FF"/>
                  <w:u w:val="single"/>
                </w:rPr>
                <w:t>shaun.lyons@ohioAGO.gov</w:t>
              </w:r>
            </w:hyperlink>
          </w:p>
          <w:p w:rsidR="002921FA" w:rsidRPr="007D4C6F" w:rsidP="00456E19" w14:paraId="6594C463" w14:textId="77777777">
            <w:pPr>
              <w:autoSpaceDE w:val="0"/>
              <w:autoSpaceDN w:val="0"/>
              <w:snapToGrid w:val="0"/>
              <w:jc w:val="both"/>
              <w:rPr>
                <w:rFonts w:eastAsia="Calibri"/>
              </w:rPr>
            </w:pPr>
            <w:hyperlink r:id="rId16" w:history="1">
              <w:r w:rsidRPr="007D4C6F" w:rsidR="00C73DA6">
                <w:rPr>
                  <w:rFonts w:eastAsia="Calibri"/>
                  <w:color w:val="0000FF"/>
                  <w:u w:val="single"/>
                </w:rPr>
                <w:t>werner.margard@ohioAGO.gov</w:t>
              </w:r>
            </w:hyperlink>
          </w:p>
          <w:p w:rsidR="002921FA" w:rsidRPr="007D4C6F" w:rsidP="00456E19" w14:paraId="173EE7DA" w14:textId="77777777">
            <w:pPr>
              <w:autoSpaceDE w:val="0"/>
              <w:autoSpaceDN w:val="0"/>
              <w:snapToGrid w:val="0"/>
              <w:jc w:val="both"/>
              <w:rPr>
                <w:rFonts w:eastAsia="Calibri"/>
                <w:color w:val="0000FF"/>
              </w:rPr>
            </w:pPr>
            <w:hyperlink r:id="rId17" w:history="1">
              <w:r w:rsidRPr="007D4C6F" w:rsidR="00C73DA6">
                <w:rPr>
                  <w:rFonts w:eastAsia="Calibri"/>
                  <w:color w:val="0000FF"/>
                  <w:u w:val="single"/>
                </w:rPr>
                <w:t>mkurtz@BKLlawfirm.com</w:t>
              </w:r>
            </w:hyperlink>
          </w:p>
          <w:p w:rsidR="002921FA" w:rsidRPr="007D4C6F" w:rsidP="00456E19" w14:paraId="63516086" w14:textId="77777777">
            <w:pPr>
              <w:autoSpaceDE w:val="0"/>
              <w:autoSpaceDN w:val="0"/>
              <w:snapToGrid w:val="0"/>
              <w:jc w:val="both"/>
              <w:rPr>
                <w:rFonts w:eastAsia="Calibri"/>
                <w:color w:val="0000FF"/>
              </w:rPr>
            </w:pPr>
            <w:hyperlink r:id="rId18" w:history="1">
              <w:r w:rsidRPr="007D4C6F" w:rsidR="00C73DA6">
                <w:rPr>
                  <w:rFonts w:eastAsia="Calibri"/>
                  <w:color w:val="0000FF"/>
                  <w:u w:val="single"/>
                </w:rPr>
                <w:t>kboehm@BKLlawfirm.com</w:t>
              </w:r>
            </w:hyperlink>
          </w:p>
          <w:p w:rsidR="002921FA" w:rsidRPr="007D4C6F" w:rsidP="00456E19" w14:paraId="43F0D5B6" w14:textId="77777777">
            <w:pPr>
              <w:autoSpaceDE w:val="0"/>
              <w:autoSpaceDN w:val="0"/>
              <w:snapToGrid w:val="0"/>
              <w:jc w:val="both"/>
              <w:rPr>
                <w:rFonts w:eastAsia="Calibri"/>
                <w:color w:val="0000FF"/>
              </w:rPr>
            </w:pPr>
            <w:hyperlink r:id="rId19" w:history="1">
              <w:r w:rsidRPr="007D4C6F" w:rsidR="00C73DA6">
                <w:rPr>
                  <w:rFonts w:eastAsia="Calibri"/>
                  <w:color w:val="0000FF"/>
                  <w:u w:val="single"/>
                </w:rPr>
                <w:t>jkylercohn@BKLlawfirm.com</w:t>
              </w:r>
            </w:hyperlink>
          </w:p>
          <w:p w:rsidR="002921FA" w:rsidRPr="007D4C6F" w:rsidP="00456E19" w14:paraId="09438994" w14:textId="77777777">
            <w:pPr>
              <w:autoSpaceDE w:val="0"/>
              <w:autoSpaceDN w:val="0"/>
              <w:snapToGrid w:val="0"/>
              <w:jc w:val="both"/>
              <w:rPr>
                <w:rFonts w:eastAsia="Calibri"/>
                <w:color w:val="0000FF"/>
                <w:u w:val="single"/>
              </w:rPr>
            </w:pPr>
            <w:hyperlink r:id="rId20" w:history="1">
              <w:r w:rsidRPr="007D4C6F" w:rsidR="00C73DA6">
                <w:rPr>
                  <w:rFonts w:eastAsia="Calibri"/>
                  <w:color w:val="0000FF"/>
                  <w:u w:val="single"/>
                </w:rPr>
                <w:t>mwarnock@bricker.com</w:t>
              </w:r>
            </w:hyperlink>
          </w:p>
          <w:p w:rsidR="002921FA" w:rsidRPr="007D4C6F" w:rsidP="00456E19" w14:paraId="7F0199CD" w14:textId="77777777">
            <w:pPr>
              <w:autoSpaceDE w:val="0"/>
              <w:autoSpaceDN w:val="0"/>
              <w:snapToGrid w:val="0"/>
              <w:jc w:val="both"/>
              <w:rPr>
                <w:rFonts w:eastAsia="Calibri"/>
                <w:color w:val="0000FF"/>
              </w:rPr>
            </w:pPr>
            <w:hyperlink r:id="rId21" w:history="1">
              <w:r w:rsidRPr="007D4C6F" w:rsidR="00C73DA6">
                <w:rPr>
                  <w:rFonts w:eastAsia="Calibri"/>
                  <w:color w:val="0000FF"/>
                  <w:u w:val="single"/>
                </w:rPr>
                <w:t>kherrnstein@bricker.com</w:t>
              </w:r>
            </w:hyperlink>
          </w:p>
          <w:p w:rsidR="002921FA" w:rsidRPr="007D4C6F" w:rsidP="00456E19" w14:paraId="7B763FA9" w14:textId="77777777">
            <w:pPr>
              <w:autoSpaceDE w:val="0"/>
              <w:autoSpaceDN w:val="0"/>
              <w:snapToGrid w:val="0"/>
              <w:jc w:val="both"/>
              <w:rPr>
                <w:rFonts w:eastAsia="Calibri"/>
                <w:color w:val="0000FF"/>
              </w:rPr>
            </w:pPr>
            <w:hyperlink r:id="rId22" w:history="1">
              <w:r w:rsidRPr="007D4C6F" w:rsidR="00C73DA6">
                <w:rPr>
                  <w:rFonts w:eastAsia="Calibri"/>
                  <w:color w:val="0000FF"/>
                  <w:u w:val="single"/>
                </w:rPr>
                <w:t>ktreadway@oneenergyllc.com</w:t>
              </w:r>
            </w:hyperlink>
          </w:p>
          <w:p w:rsidR="002921FA" w:rsidRPr="007D4C6F" w:rsidP="00456E19" w14:paraId="02752FB5" w14:textId="77777777">
            <w:pPr>
              <w:autoSpaceDE w:val="0"/>
              <w:autoSpaceDN w:val="0"/>
              <w:snapToGrid w:val="0"/>
              <w:jc w:val="both"/>
              <w:rPr>
                <w:rFonts w:eastAsia="Calibri"/>
                <w:color w:val="0000FF"/>
                <w:u w:val="single"/>
              </w:rPr>
            </w:pPr>
            <w:hyperlink r:id="rId23" w:history="1">
              <w:r w:rsidRPr="007D4C6F" w:rsidR="00C73DA6">
                <w:rPr>
                  <w:rFonts w:eastAsia="Calibri"/>
                  <w:color w:val="0000FF"/>
                  <w:u w:val="single"/>
                </w:rPr>
                <w:t>jdunn@oneenergyllc.com</w:t>
              </w:r>
            </w:hyperlink>
          </w:p>
          <w:p w:rsidR="002921FA" w:rsidRPr="007D4C6F" w:rsidP="00456E19" w14:paraId="64B3E93A" w14:textId="77777777">
            <w:pPr>
              <w:autoSpaceDE w:val="0"/>
              <w:autoSpaceDN w:val="0"/>
              <w:snapToGrid w:val="0"/>
              <w:jc w:val="both"/>
              <w:rPr>
                <w:rFonts w:eastAsia="Calibri"/>
                <w:color w:val="0000FF"/>
                <w:u w:val="single"/>
              </w:rPr>
            </w:pPr>
            <w:hyperlink r:id="rId24" w:history="1">
              <w:r w:rsidRPr="007D4C6F" w:rsidR="00C73DA6">
                <w:rPr>
                  <w:rFonts w:eastAsia="Calibri"/>
                  <w:color w:val="0000FF"/>
                  <w:u w:val="single"/>
                </w:rPr>
                <w:t>dborchers@bricker.com</w:t>
              </w:r>
            </w:hyperlink>
          </w:p>
          <w:p w:rsidR="002921FA" w:rsidRPr="007D4C6F" w:rsidP="00456E19" w14:paraId="650731EF" w14:textId="77777777">
            <w:pPr>
              <w:autoSpaceDE w:val="0"/>
              <w:autoSpaceDN w:val="0"/>
              <w:snapToGrid w:val="0"/>
              <w:jc w:val="both"/>
              <w:rPr>
                <w:rFonts w:eastAsia="Calibri"/>
                <w:color w:val="0000FF"/>
                <w:u w:val="single"/>
              </w:rPr>
            </w:pPr>
            <w:hyperlink r:id="rId21" w:history="1">
              <w:r w:rsidRPr="007D4C6F" w:rsidR="00C73DA6">
                <w:rPr>
                  <w:rFonts w:eastAsia="Calibri"/>
                  <w:color w:val="0000FF"/>
                  <w:u w:val="single"/>
                </w:rPr>
                <w:t>kherrnstein@bricker.com</w:t>
              </w:r>
            </w:hyperlink>
          </w:p>
          <w:p w:rsidR="002921FA" w:rsidRPr="007D4C6F" w:rsidP="00456E19" w14:paraId="601382D3" w14:textId="77777777">
            <w:pPr>
              <w:autoSpaceDE w:val="0"/>
              <w:autoSpaceDN w:val="0"/>
              <w:snapToGrid w:val="0"/>
              <w:jc w:val="both"/>
              <w:rPr>
                <w:rFonts w:eastAsia="Calibri"/>
                <w:color w:val="0000FF"/>
                <w:u w:val="single"/>
              </w:rPr>
            </w:pPr>
            <w:hyperlink r:id="rId25" w:history="1">
              <w:r w:rsidRPr="007D4C6F" w:rsidR="00C73DA6">
                <w:rPr>
                  <w:rFonts w:eastAsia="Calibri"/>
                  <w:color w:val="0000FF"/>
                  <w:u w:val="single"/>
                </w:rPr>
                <w:t>Fdarr2019@gmail.com</w:t>
              </w:r>
            </w:hyperlink>
          </w:p>
          <w:p w:rsidR="002921FA" w:rsidRPr="007D4C6F" w:rsidP="00456E19" w14:paraId="678ED328" w14:textId="77777777">
            <w:pPr>
              <w:autoSpaceDE w:val="0"/>
              <w:autoSpaceDN w:val="0"/>
              <w:snapToGrid w:val="0"/>
              <w:jc w:val="both"/>
              <w:rPr>
                <w:rFonts w:eastAsia="Calibri"/>
                <w:color w:val="0000FF"/>
                <w:u w:val="single"/>
              </w:rPr>
            </w:pPr>
            <w:hyperlink r:id="rId26" w:history="1">
              <w:r w:rsidRPr="007D4C6F" w:rsidR="00C73DA6">
                <w:rPr>
                  <w:rFonts w:eastAsia="Calibri"/>
                  <w:color w:val="0000FF"/>
                  <w:u w:val="single"/>
                </w:rPr>
                <w:t>paul@carpenterlipps.com</w:t>
              </w:r>
            </w:hyperlink>
          </w:p>
          <w:p w:rsidR="002921FA" w:rsidRPr="007D4C6F" w:rsidP="00456E19" w14:paraId="6D47A50F" w14:textId="77777777">
            <w:pPr>
              <w:autoSpaceDE w:val="0"/>
              <w:autoSpaceDN w:val="0"/>
              <w:snapToGrid w:val="0"/>
              <w:jc w:val="both"/>
              <w:rPr>
                <w:rFonts w:eastAsia="Calibri"/>
                <w:color w:val="0000FF"/>
                <w:u w:val="single"/>
              </w:rPr>
            </w:pPr>
            <w:hyperlink r:id="rId27" w:history="1">
              <w:r w:rsidRPr="007D4C6F" w:rsidR="00C73DA6">
                <w:rPr>
                  <w:rFonts w:eastAsia="Calibri"/>
                  <w:color w:val="0000FF"/>
                  <w:u w:val="single"/>
                </w:rPr>
                <w:t>rdove@keglerbrown.com</w:t>
              </w:r>
            </w:hyperlink>
          </w:p>
          <w:p w:rsidR="002921FA" w:rsidRPr="007D4C6F" w:rsidP="00456E19" w14:paraId="70941021" w14:textId="77777777">
            <w:pPr>
              <w:autoSpaceDE w:val="0"/>
              <w:autoSpaceDN w:val="0"/>
              <w:snapToGrid w:val="0"/>
              <w:jc w:val="both"/>
              <w:rPr>
                <w:rFonts w:eastAsia="Calibri"/>
                <w:color w:val="0000FF"/>
              </w:rPr>
            </w:pPr>
            <w:hyperlink r:id="rId28" w:history="1">
              <w:r w:rsidRPr="007D4C6F" w:rsidR="00C73DA6">
                <w:rPr>
                  <w:rFonts w:eastAsia="Calibri"/>
                  <w:color w:val="0000FF"/>
                  <w:u w:val="single"/>
                </w:rPr>
                <w:t>nbobb@keglerbrown.com</w:t>
              </w:r>
            </w:hyperlink>
          </w:p>
          <w:p w:rsidR="002921FA" w:rsidRPr="007D4C6F" w:rsidP="00456E19" w14:paraId="7B3BC08A" w14:textId="77777777">
            <w:pPr>
              <w:autoSpaceDE w:val="0"/>
              <w:autoSpaceDN w:val="0"/>
              <w:snapToGrid w:val="0"/>
              <w:jc w:val="both"/>
              <w:rPr>
                <w:rFonts w:eastAsia="Calibri"/>
                <w:color w:val="0000FF"/>
                <w:u w:val="single"/>
              </w:rPr>
            </w:pPr>
            <w:hyperlink r:id="rId29" w:history="1">
              <w:r w:rsidRPr="007D4C6F" w:rsidR="00C73DA6">
                <w:rPr>
                  <w:rFonts w:eastAsia="Calibri"/>
                  <w:color w:val="0000FF"/>
                  <w:u w:val="single"/>
                </w:rPr>
                <w:t>trent@hubaydougherty.com</w:t>
              </w:r>
            </w:hyperlink>
            <w:r w:rsidRPr="007D4C6F" w:rsidR="00C73DA6">
              <w:rPr>
                <w:rFonts w:eastAsia="Calibri"/>
                <w:color w:val="0000FF"/>
              </w:rPr>
              <w:t xml:space="preserve"> </w:t>
            </w:r>
          </w:p>
          <w:p w:rsidR="002921FA" w:rsidRPr="007D4C6F" w:rsidP="00456E19" w14:paraId="3E566665" w14:textId="77777777">
            <w:pPr>
              <w:autoSpaceDE w:val="0"/>
              <w:autoSpaceDN w:val="0"/>
              <w:snapToGrid w:val="0"/>
              <w:jc w:val="both"/>
              <w:rPr>
                <w:rFonts w:eastAsia="Calibri"/>
                <w:color w:val="0000FF"/>
              </w:rPr>
            </w:pPr>
          </w:p>
          <w:p w:rsidR="002921FA" w:rsidRPr="007D4C6F" w:rsidP="00456E19" w14:paraId="13A2F8B3" w14:textId="77777777">
            <w:pPr>
              <w:autoSpaceDE w:val="0"/>
              <w:autoSpaceDN w:val="0"/>
              <w:snapToGrid w:val="0"/>
              <w:jc w:val="both"/>
              <w:rPr>
                <w:rFonts w:eastAsia="Calibri"/>
              </w:rPr>
            </w:pPr>
            <w:r w:rsidRPr="007D4C6F">
              <w:rPr>
                <w:rFonts w:eastAsia="Calibri"/>
              </w:rPr>
              <w:t>Attorney Examiners:</w:t>
            </w:r>
          </w:p>
          <w:p w:rsidR="002921FA" w:rsidRPr="007D4C6F" w:rsidP="00456E19" w14:paraId="6E2BB3DB" w14:textId="77777777">
            <w:pPr>
              <w:autoSpaceDE w:val="0"/>
              <w:autoSpaceDN w:val="0"/>
              <w:snapToGrid w:val="0"/>
              <w:jc w:val="both"/>
              <w:rPr>
                <w:rFonts w:eastAsia="Calibri"/>
              </w:rPr>
            </w:pPr>
            <w:hyperlink r:id="rId30" w:history="1">
              <w:r w:rsidRPr="007D4C6F" w:rsidR="00C73DA6">
                <w:rPr>
                  <w:rFonts w:eastAsia="Calibri"/>
                  <w:color w:val="0000FF"/>
                  <w:u w:val="single"/>
                </w:rPr>
                <w:t>matthew.sandor@puco.ohio.gov</w:t>
              </w:r>
            </w:hyperlink>
          </w:p>
          <w:p w:rsidR="002921FA" w:rsidRPr="007D4C6F" w:rsidP="00456E19" w14:paraId="1D9FC7AE" w14:textId="77777777">
            <w:pPr>
              <w:autoSpaceDE w:val="0"/>
              <w:autoSpaceDN w:val="0"/>
              <w:snapToGrid w:val="0"/>
              <w:jc w:val="both"/>
              <w:rPr>
                <w:rFonts w:eastAsia="Calibri"/>
              </w:rPr>
            </w:pPr>
            <w:hyperlink r:id="rId31" w:history="1">
              <w:r w:rsidRPr="007D4C6F" w:rsidR="00C73DA6">
                <w:rPr>
                  <w:rFonts w:eastAsia="Calibri"/>
                  <w:color w:val="0000FF"/>
                  <w:u w:val="single"/>
                </w:rPr>
                <w:t>nicholas.walstra@puco.ohio.gov</w:t>
              </w:r>
            </w:hyperlink>
          </w:p>
          <w:p w:rsidR="002921FA" w:rsidRPr="007D4C6F" w:rsidP="00456E19" w14:paraId="15BC2013" w14:textId="77777777">
            <w:pPr>
              <w:autoSpaceDE w:val="0"/>
              <w:autoSpaceDN w:val="0"/>
              <w:snapToGrid w:val="0"/>
              <w:jc w:val="both"/>
              <w:rPr>
                <w:rFonts w:eastAsia="Calibri"/>
              </w:rPr>
            </w:pPr>
          </w:p>
        </w:tc>
        <w:tc>
          <w:tcPr>
            <w:tcW w:w="4428" w:type="dxa"/>
            <w:tcMar>
              <w:top w:w="0" w:type="dxa"/>
              <w:left w:w="108" w:type="dxa"/>
              <w:bottom w:w="0" w:type="dxa"/>
              <w:right w:w="108" w:type="dxa"/>
            </w:tcMar>
            <w:hideMark/>
          </w:tcPr>
          <w:p w:rsidR="002921FA" w:rsidRPr="007D4C6F" w:rsidP="00456E19" w14:paraId="6D2745C7" w14:textId="77777777">
            <w:pPr>
              <w:snapToGrid w:val="0"/>
              <w:ind w:left="100"/>
              <w:jc w:val="both"/>
              <w:rPr>
                <w:rFonts w:eastAsia="Calibri"/>
              </w:rPr>
            </w:pPr>
            <w:hyperlink r:id="rId32" w:history="1">
              <w:r w:rsidRPr="007D4C6F" w:rsidR="00C73DA6">
                <w:rPr>
                  <w:rFonts w:eastAsia="Calibri"/>
                  <w:color w:val="0000FF"/>
                  <w:u w:val="single"/>
                </w:rPr>
                <w:t>Rocco.dascenzo@duke-energy.com</w:t>
              </w:r>
            </w:hyperlink>
          </w:p>
          <w:p w:rsidR="002921FA" w:rsidRPr="007D4C6F" w:rsidP="00456E19" w14:paraId="16ACCB12" w14:textId="77777777">
            <w:pPr>
              <w:snapToGrid w:val="0"/>
              <w:ind w:left="100"/>
              <w:jc w:val="both"/>
              <w:rPr>
                <w:rFonts w:eastAsia="Calibri"/>
              </w:rPr>
            </w:pPr>
            <w:hyperlink r:id="rId33" w:history="1">
              <w:r w:rsidRPr="007D4C6F" w:rsidR="00C73DA6">
                <w:rPr>
                  <w:rFonts w:eastAsia="Calibri"/>
                  <w:color w:val="0000FF"/>
                  <w:u w:val="single"/>
                </w:rPr>
                <w:t>Jeanne.kingery@duke-energy.com</w:t>
              </w:r>
            </w:hyperlink>
          </w:p>
          <w:p w:rsidR="002921FA" w:rsidRPr="007D4C6F" w:rsidP="00456E19" w14:paraId="7DF73B0A" w14:textId="77777777">
            <w:pPr>
              <w:snapToGrid w:val="0"/>
              <w:ind w:left="100"/>
              <w:jc w:val="both"/>
              <w:rPr>
                <w:rFonts w:eastAsia="Calibri"/>
                <w:color w:val="0000FF"/>
                <w:u w:val="single"/>
              </w:rPr>
            </w:pPr>
            <w:hyperlink r:id="rId34" w:history="1">
              <w:r w:rsidRPr="007D4C6F" w:rsidR="00C73DA6">
                <w:rPr>
                  <w:rFonts w:eastAsia="Calibri"/>
                  <w:color w:val="0000FF"/>
                  <w:u w:val="single"/>
                </w:rPr>
                <w:t>Larisa.vaysman@duke-energy.com</w:t>
              </w:r>
            </w:hyperlink>
          </w:p>
          <w:p w:rsidR="002921FA" w:rsidRPr="007D4C6F" w:rsidP="00456E19" w14:paraId="10A0F61B" w14:textId="77777777">
            <w:pPr>
              <w:snapToGrid w:val="0"/>
              <w:ind w:left="100"/>
              <w:jc w:val="both"/>
              <w:rPr>
                <w:rFonts w:eastAsia="Calibri"/>
              </w:rPr>
            </w:pPr>
            <w:hyperlink r:id="rId35" w:history="1">
              <w:r w:rsidRPr="007D4C6F" w:rsidR="00C73DA6">
                <w:rPr>
                  <w:rFonts w:eastAsia="Calibri"/>
                  <w:color w:val="0000FF"/>
                  <w:u w:val="single"/>
                </w:rPr>
                <w:t>elyse.akhbari@duke-energy.com</w:t>
              </w:r>
            </w:hyperlink>
          </w:p>
          <w:p w:rsidR="002921FA" w:rsidRPr="007D4C6F" w:rsidP="00456E19" w14:paraId="0A0E2CDF" w14:textId="77777777">
            <w:pPr>
              <w:snapToGrid w:val="0"/>
              <w:ind w:left="100"/>
              <w:jc w:val="both"/>
              <w:rPr>
                <w:rFonts w:eastAsia="Calibri"/>
                <w:color w:val="0000FF"/>
                <w:u w:val="single"/>
              </w:rPr>
            </w:pPr>
            <w:hyperlink r:id="rId36" w:history="1">
              <w:r w:rsidRPr="007D4C6F" w:rsidR="00C73DA6">
                <w:rPr>
                  <w:rFonts w:eastAsia="Calibri"/>
                  <w:color w:val="0000FF"/>
                  <w:u w:val="single"/>
                </w:rPr>
                <w:t>ebrama@taftlaw.com</w:t>
              </w:r>
            </w:hyperlink>
          </w:p>
          <w:p w:rsidR="002921FA" w:rsidRPr="007D4C6F" w:rsidP="00456E19" w14:paraId="5CDC304A" w14:textId="77777777">
            <w:pPr>
              <w:snapToGrid w:val="0"/>
              <w:ind w:left="100"/>
              <w:jc w:val="both"/>
              <w:rPr>
                <w:rFonts w:eastAsia="Calibri"/>
              </w:rPr>
            </w:pPr>
            <w:hyperlink r:id="rId37" w:history="1">
              <w:r w:rsidRPr="007D4C6F" w:rsidR="00C73DA6">
                <w:rPr>
                  <w:rFonts w:eastAsia="Calibri"/>
                  <w:color w:val="0000FF"/>
                  <w:u w:val="single"/>
                </w:rPr>
                <w:t>kverhalen@taftlaw.com</w:t>
              </w:r>
            </w:hyperlink>
          </w:p>
          <w:p w:rsidR="002921FA" w:rsidRPr="007D4C6F" w:rsidP="00456E19" w14:paraId="06357974" w14:textId="77777777">
            <w:pPr>
              <w:snapToGrid w:val="0"/>
              <w:ind w:left="100"/>
              <w:jc w:val="both"/>
              <w:rPr>
                <w:rFonts w:eastAsia="Calibri"/>
              </w:rPr>
            </w:pPr>
            <w:hyperlink r:id="rId38" w:history="1">
              <w:r w:rsidRPr="007D4C6F" w:rsidR="00C73DA6">
                <w:rPr>
                  <w:rFonts w:eastAsia="Calibri"/>
                  <w:color w:val="0000FF"/>
                  <w:u w:val="single"/>
                </w:rPr>
                <w:t>Bethany.allen@igs.com</w:t>
              </w:r>
            </w:hyperlink>
          </w:p>
          <w:p w:rsidR="002921FA" w:rsidRPr="007D4C6F" w:rsidP="00456E19" w14:paraId="4C810033" w14:textId="77777777">
            <w:pPr>
              <w:snapToGrid w:val="0"/>
              <w:ind w:left="100"/>
              <w:jc w:val="both"/>
              <w:rPr>
                <w:rFonts w:eastAsia="Calibri"/>
              </w:rPr>
            </w:pPr>
            <w:hyperlink r:id="rId39" w:history="1">
              <w:r w:rsidRPr="007D4C6F" w:rsidR="00C73DA6">
                <w:rPr>
                  <w:rFonts w:eastAsia="Calibri"/>
                  <w:color w:val="0000FF"/>
                  <w:u w:val="single"/>
                </w:rPr>
                <w:t>Joe.oliker@igs.com</w:t>
              </w:r>
            </w:hyperlink>
          </w:p>
          <w:p w:rsidR="002921FA" w:rsidRPr="007D4C6F" w:rsidP="00456E19" w14:paraId="0BF1930D" w14:textId="77777777">
            <w:pPr>
              <w:snapToGrid w:val="0"/>
              <w:ind w:left="100"/>
              <w:jc w:val="both"/>
              <w:rPr>
                <w:rFonts w:eastAsia="Calibri"/>
                <w:color w:val="0000FF"/>
                <w:u w:val="single"/>
              </w:rPr>
            </w:pPr>
            <w:hyperlink r:id="rId40" w:history="1">
              <w:r w:rsidRPr="007D4C6F" w:rsidR="00C73DA6">
                <w:rPr>
                  <w:rFonts w:eastAsia="Calibri"/>
                  <w:color w:val="0000FF"/>
                  <w:u w:val="single"/>
                </w:rPr>
                <w:t>Evan.betterton@igs.com</w:t>
              </w:r>
            </w:hyperlink>
          </w:p>
          <w:p w:rsidR="002921FA" w:rsidRPr="007D4C6F" w:rsidP="00456E19" w14:paraId="4DA30A20" w14:textId="77777777">
            <w:pPr>
              <w:snapToGrid w:val="0"/>
              <w:ind w:left="100"/>
              <w:jc w:val="both"/>
              <w:rPr>
                <w:rFonts w:eastAsia="Calibri"/>
                <w:color w:val="0000FF"/>
                <w:u w:val="single"/>
              </w:rPr>
            </w:pPr>
            <w:hyperlink r:id="rId41" w:history="1">
              <w:r w:rsidRPr="007D4C6F" w:rsidR="00C73DA6">
                <w:rPr>
                  <w:rFonts w:eastAsia="Calibri"/>
                  <w:color w:val="0000FF"/>
                  <w:u w:val="single"/>
                </w:rPr>
                <w:t>Stacie.cathcart@igs.com</w:t>
              </w:r>
            </w:hyperlink>
          </w:p>
          <w:p w:rsidR="002921FA" w:rsidRPr="007D4C6F" w:rsidP="00456E19" w14:paraId="02C85481" w14:textId="77777777">
            <w:pPr>
              <w:snapToGrid w:val="0"/>
              <w:ind w:left="100"/>
              <w:jc w:val="both"/>
              <w:rPr>
                <w:rFonts w:eastAsia="Calibri"/>
                <w:color w:val="0000FF"/>
                <w:u w:val="single"/>
              </w:rPr>
            </w:pPr>
            <w:hyperlink r:id="rId42" w:history="1">
              <w:r w:rsidRPr="007D4C6F" w:rsidR="00C73DA6">
                <w:rPr>
                  <w:rFonts w:eastAsia="Calibri"/>
                  <w:color w:val="0000FF"/>
                  <w:u w:val="single"/>
                </w:rPr>
                <w:t>michael.nugent@igs.com</w:t>
              </w:r>
            </w:hyperlink>
          </w:p>
          <w:p w:rsidR="002921FA" w:rsidRPr="007D4C6F" w:rsidP="00456E19" w14:paraId="5A5E9B66" w14:textId="77777777">
            <w:pPr>
              <w:snapToGrid w:val="0"/>
              <w:ind w:left="100"/>
              <w:jc w:val="both"/>
              <w:rPr>
                <w:rFonts w:eastAsia="Calibri"/>
                <w:color w:val="0000FF"/>
                <w:u w:val="single"/>
              </w:rPr>
            </w:pPr>
            <w:hyperlink r:id="rId43" w:history="1">
              <w:r w:rsidRPr="007D4C6F" w:rsidR="00C73DA6">
                <w:rPr>
                  <w:rFonts w:eastAsia="Calibri"/>
                  <w:color w:val="0000FF"/>
                  <w:u w:val="single"/>
                </w:rPr>
                <w:t>jlang@calfee.com</w:t>
              </w:r>
            </w:hyperlink>
          </w:p>
          <w:p w:rsidR="002921FA" w:rsidRPr="007D4C6F" w:rsidP="00456E19" w14:paraId="7A7C7D48" w14:textId="77777777">
            <w:pPr>
              <w:snapToGrid w:val="0"/>
              <w:ind w:left="100"/>
              <w:jc w:val="both"/>
              <w:rPr>
                <w:rFonts w:eastAsia="Calibri"/>
                <w:color w:val="0000FF"/>
                <w:u w:val="single"/>
              </w:rPr>
            </w:pPr>
            <w:hyperlink r:id="rId44" w:history="1">
              <w:r w:rsidRPr="007D4C6F" w:rsidR="00C73DA6">
                <w:rPr>
                  <w:rFonts w:eastAsia="Calibri"/>
                  <w:color w:val="0000FF"/>
                  <w:u w:val="single"/>
                </w:rPr>
                <w:t>gjewell@calfee.com</w:t>
              </w:r>
            </w:hyperlink>
          </w:p>
          <w:p w:rsidR="002921FA" w:rsidRPr="007D4C6F" w:rsidP="00456E19" w14:paraId="14DF3336" w14:textId="77777777">
            <w:pPr>
              <w:snapToGrid w:val="0"/>
              <w:ind w:left="100"/>
              <w:jc w:val="both"/>
              <w:rPr>
                <w:rFonts w:eastAsia="Calibri"/>
                <w:color w:val="0000FF"/>
                <w:u w:val="single"/>
              </w:rPr>
            </w:pPr>
            <w:hyperlink r:id="rId45" w:history="1">
              <w:r w:rsidRPr="007D4C6F" w:rsidR="00C73DA6">
                <w:rPr>
                  <w:rFonts w:eastAsia="Calibri"/>
                  <w:color w:val="0000FF"/>
                  <w:u w:val="single"/>
                </w:rPr>
                <w:t>gwhaling@calfee.com</w:t>
              </w:r>
            </w:hyperlink>
          </w:p>
          <w:p w:rsidR="002921FA" w:rsidRPr="007D4C6F" w:rsidP="00456E19" w14:paraId="51BC626D" w14:textId="77777777">
            <w:pPr>
              <w:snapToGrid w:val="0"/>
              <w:ind w:left="100"/>
              <w:jc w:val="both"/>
              <w:rPr>
                <w:rFonts w:eastAsia="Calibri"/>
                <w:color w:val="0000FF"/>
                <w:u w:val="single"/>
              </w:rPr>
            </w:pPr>
            <w:hyperlink r:id="rId46" w:history="1">
              <w:r w:rsidRPr="007D4C6F" w:rsidR="00C73DA6">
                <w:rPr>
                  <w:rFonts w:eastAsia="Calibri"/>
                  <w:color w:val="0000FF"/>
                  <w:u w:val="single"/>
                </w:rPr>
                <w:t>sfranson@calfee.com</w:t>
              </w:r>
            </w:hyperlink>
          </w:p>
          <w:p w:rsidR="002921FA" w:rsidRPr="007D4C6F" w:rsidP="00456E19" w14:paraId="4318D833" w14:textId="77777777">
            <w:pPr>
              <w:snapToGrid w:val="0"/>
              <w:ind w:left="100"/>
              <w:jc w:val="both"/>
              <w:rPr>
                <w:rFonts w:eastAsia="Calibri"/>
              </w:rPr>
            </w:pPr>
            <w:hyperlink r:id="rId47" w:history="1">
              <w:r w:rsidRPr="007D4C6F" w:rsidR="00C73DA6">
                <w:rPr>
                  <w:rFonts w:eastAsia="Calibri"/>
                  <w:color w:val="0000FF"/>
                  <w:u w:val="single"/>
                </w:rPr>
                <w:t>dromig@nationwideenergypartners.com</w:t>
              </w:r>
            </w:hyperlink>
          </w:p>
          <w:p w:rsidR="002921FA" w:rsidRPr="007D4C6F" w:rsidP="00456E19" w14:paraId="2B2AE5E2" w14:textId="77777777">
            <w:pPr>
              <w:snapToGrid w:val="0"/>
              <w:ind w:left="100"/>
              <w:jc w:val="both"/>
              <w:rPr>
                <w:rFonts w:eastAsia="Calibri"/>
                <w:color w:val="0000FF"/>
                <w:u w:val="single"/>
              </w:rPr>
            </w:pPr>
            <w:hyperlink r:id="rId48" w:history="1">
              <w:r w:rsidRPr="007D4C6F" w:rsidR="00C73DA6">
                <w:rPr>
                  <w:rFonts w:eastAsia="Calibri"/>
                  <w:color w:val="0000FF"/>
                  <w:u w:val="single"/>
                </w:rPr>
                <w:t>Bojko@carpenterlipps.com</w:t>
              </w:r>
            </w:hyperlink>
          </w:p>
          <w:p w:rsidR="002921FA" w:rsidRPr="007D4C6F" w:rsidP="00456E19" w14:paraId="27C1E246" w14:textId="77777777">
            <w:pPr>
              <w:snapToGrid w:val="0"/>
              <w:ind w:left="100"/>
              <w:jc w:val="both"/>
              <w:rPr>
                <w:rFonts w:eastAsia="Calibri"/>
              </w:rPr>
            </w:pPr>
            <w:hyperlink r:id="rId49" w:history="1">
              <w:r w:rsidRPr="007D4C6F" w:rsidR="00C73DA6">
                <w:rPr>
                  <w:rFonts w:eastAsia="Calibri"/>
                  <w:color w:val="0000FF"/>
                  <w:u w:val="single"/>
                </w:rPr>
                <w:t>Wygonski@carpenterlipps.com</w:t>
              </w:r>
            </w:hyperlink>
          </w:p>
          <w:p w:rsidR="002921FA" w:rsidRPr="007D4C6F" w:rsidP="00456E19" w14:paraId="541262BB" w14:textId="77777777">
            <w:pPr>
              <w:snapToGrid w:val="0"/>
              <w:ind w:left="100"/>
              <w:jc w:val="both"/>
              <w:rPr>
                <w:rFonts w:eastAsia="Calibri"/>
              </w:rPr>
            </w:pPr>
            <w:hyperlink r:id="rId50" w:history="1">
              <w:r w:rsidRPr="007D4C6F" w:rsidR="00C73DA6">
                <w:rPr>
                  <w:rFonts w:eastAsia="Calibri"/>
                  <w:color w:val="0000FF"/>
                  <w:u w:val="single"/>
                </w:rPr>
                <w:t>cgrundmann@spilmanlaw.com</w:t>
              </w:r>
            </w:hyperlink>
          </w:p>
          <w:p w:rsidR="002921FA" w:rsidRPr="007D4C6F" w:rsidP="00456E19" w14:paraId="60628ED3" w14:textId="77777777">
            <w:pPr>
              <w:snapToGrid w:val="0"/>
              <w:ind w:left="100"/>
              <w:jc w:val="both"/>
              <w:rPr>
                <w:rFonts w:eastAsia="Calibri"/>
                <w:color w:val="0000FF"/>
                <w:u w:val="single"/>
              </w:rPr>
            </w:pPr>
            <w:hyperlink r:id="rId51" w:history="1">
              <w:r w:rsidRPr="007D4C6F" w:rsidR="00C73DA6">
                <w:rPr>
                  <w:rFonts w:eastAsia="Calibri"/>
                  <w:color w:val="0000FF"/>
                  <w:u w:val="single"/>
                </w:rPr>
                <w:t>dwilliamson@spilmanlaw.com</w:t>
              </w:r>
            </w:hyperlink>
          </w:p>
          <w:p w:rsidR="002921FA" w:rsidRPr="007D4C6F" w:rsidP="00456E19" w14:paraId="400E2E43" w14:textId="77777777">
            <w:pPr>
              <w:autoSpaceDE w:val="0"/>
              <w:autoSpaceDN w:val="0"/>
              <w:snapToGrid w:val="0"/>
              <w:ind w:left="100"/>
              <w:jc w:val="both"/>
              <w:rPr>
                <w:rFonts w:eastAsia="Calibri"/>
                <w:color w:val="0000FF"/>
              </w:rPr>
            </w:pPr>
            <w:hyperlink r:id="rId52" w:history="1">
              <w:r w:rsidRPr="007D4C6F" w:rsidR="00C73DA6">
                <w:rPr>
                  <w:rFonts w:eastAsia="Calibri"/>
                  <w:color w:val="0000FF"/>
                  <w:u w:val="single"/>
                </w:rPr>
                <w:t>cpirik@dickinsonwright.com</w:t>
              </w:r>
            </w:hyperlink>
          </w:p>
          <w:p w:rsidR="002921FA" w:rsidRPr="007D4C6F" w:rsidP="00456E19" w14:paraId="7B11929C" w14:textId="77777777">
            <w:pPr>
              <w:autoSpaceDE w:val="0"/>
              <w:autoSpaceDN w:val="0"/>
              <w:snapToGrid w:val="0"/>
              <w:ind w:left="100"/>
              <w:jc w:val="both"/>
              <w:rPr>
                <w:rFonts w:eastAsia="Calibri"/>
                <w:color w:val="0000FF"/>
              </w:rPr>
            </w:pPr>
            <w:hyperlink r:id="rId53" w:history="1">
              <w:r w:rsidRPr="007D4C6F" w:rsidR="00C73DA6">
                <w:rPr>
                  <w:rFonts w:eastAsia="Calibri"/>
                  <w:color w:val="0000FF"/>
                  <w:u w:val="single"/>
                </w:rPr>
                <w:t>todonnell@dickinsonwright.com</w:t>
              </w:r>
            </w:hyperlink>
          </w:p>
          <w:p w:rsidR="002921FA" w:rsidRPr="007D4C6F" w:rsidP="00456E19" w14:paraId="6C325571" w14:textId="77777777">
            <w:pPr>
              <w:autoSpaceDE w:val="0"/>
              <w:autoSpaceDN w:val="0"/>
              <w:snapToGrid w:val="0"/>
              <w:ind w:left="100"/>
              <w:jc w:val="both"/>
              <w:rPr>
                <w:rFonts w:eastAsia="Calibri"/>
              </w:rPr>
            </w:pPr>
            <w:hyperlink r:id="rId54" w:history="1">
              <w:r w:rsidRPr="007D4C6F" w:rsidR="00C73DA6">
                <w:rPr>
                  <w:rFonts w:eastAsia="Calibri"/>
                  <w:color w:val="0000FF"/>
                  <w:u w:val="single"/>
                </w:rPr>
                <w:t>mmcdonnell@dickinsonwright.com</w:t>
              </w:r>
            </w:hyperlink>
          </w:p>
        </w:tc>
      </w:tr>
    </w:tbl>
    <w:p w:rsidR="00015657" w:rsidRPr="007D4C6F" w:rsidP="00F36163" w14:paraId="6CCA69F6" w14:textId="77777777">
      <w:pPr>
        <w:jc w:val="center"/>
        <w:rPr>
          <w:b/>
          <w:u w:val="single"/>
        </w:rPr>
      </w:pPr>
    </w:p>
    <w:sectPr w:rsidSect="00992E6A">
      <w:footerReference w:type="first" r:id="rId55"/>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38D02628"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032B78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733F0C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5EF" w14:paraId="52FF0AC9" w14:textId="77777777">
      <w:r>
        <w:separator/>
      </w:r>
    </w:p>
  </w:footnote>
  <w:footnote w:type="continuationSeparator" w:id="1">
    <w:p w:rsidR="008A05EF" w14:paraId="452F3C1C" w14:textId="77777777">
      <w:r>
        <w:continuationSeparator/>
      </w:r>
    </w:p>
  </w:footnote>
  <w:footnote w:type="continuationNotice" w:id="2">
    <w:p w:rsidR="008A05EF" w14:paraId="6FCFE115" w14:textId="77777777"/>
  </w:footnote>
  <w:footnote w:id="3">
    <w:p w:rsidR="007368A9" w:rsidRPr="007D4C6F" w:rsidP="007D4C6F" w14:paraId="1E628784" w14:textId="695C6EC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sidR="00806E4E">
        <w:rPr>
          <w:rFonts w:ascii="Times New Roman" w:hAnsi="Times New Roman"/>
        </w:rPr>
        <w:t>P</w:t>
      </w:r>
      <w:r w:rsidRPr="007D4C6F">
        <w:rPr>
          <w:rFonts w:ascii="Times New Roman" w:hAnsi="Times New Roman"/>
        </w:rPr>
        <w:t xml:space="preserve">arties filing initial briefs </w:t>
      </w:r>
      <w:r w:rsidRPr="007D4C6F" w:rsidR="00417A99">
        <w:rPr>
          <w:rFonts w:ascii="Times New Roman" w:hAnsi="Times New Roman"/>
        </w:rPr>
        <w:t>include</w:t>
      </w:r>
      <w:r w:rsidRPr="007D4C6F">
        <w:rPr>
          <w:rFonts w:ascii="Times New Roman" w:hAnsi="Times New Roman"/>
        </w:rPr>
        <w:t xml:space="preserve"> Duke, the PUCO Staff, the Ohio Manufacturers Association Energy Group (“</w:t>
      </w:r>
      <w:r w:rsidRPr="007D4C6F" w:rsidR="009F3D19">
        <w:rPr>
          <w:rFonts w:ascii="Times New Roman" w:hAnsi="Times New Roman"/>
        </w:rPr>
        <w:t>OMA-EG</w:t>
      </w:r>
      <w:r w:rsidRPr="007D4C6F">
        <w:rPr>
          <w:rFonts w:ascii="Times New Roman" w:hAnsi="Times New Roman"/>
        </w:rPr>
        <w:t>”) and the Kroger Co. (“Kroger”) (filing jointly), Ohio Energy Group (“OEG”), Interstate Gas Supply (“IGS”) and Retail Energy Supply Association (“RESA”) (filing jointly), Walmart, Inc. (“Walmart”), and the City of Cincinnati.</w:t>
      </w:r>
      <w:r w:rsidRPr="007D4C6F" w:rsidR="00806E4E">
        <w:rPr>
          <w:rFonts w:ascii="Times New Roman" w:hAnsi="Times New Roman"/>
        </w:rPr>
        <w:t xml:space="preserve"> </w:t>
      </w:r>
      <w:r w:rsidRPr="007D4C6F" w:rsidR="009F3D19">
        <w:rPr>
          <w:rFonts w:ascii="Times New Roman" w:hAnsi="Times New Roman"/>
        </w:rPr>
        <w:t>OMA-EG</w:t>
      </w:r>
      <w:r w:rsidRPr="007D4C6F" w:rsidR="00806E4E">
        <w:rPr>
          <w:rFonts w:ascii="Times New Roman" w:hAnsi="Times New Roman"/>
        </w:rPr>
        <w:t xml:space="preserve"> and Kroger did not sign in support of the settlement but agreed not to oppose.</w:t>
      </w:r>
    </w:p>
  </w:footnote>
  <w:footnote w:id="4">
    <w:p w:rsidR="007368A9" w:rsidRPr="007D4C6F" w:rsidP="007D4C6F" w14:paraId="219F74B3" w14:textId="385631E1">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See </w:t>
      </w:r>
      <w:r w:rsidRPr="007D4C6F">
        <w:rPr>
          <w:rFonts w:ascii="Times New Roman" w:hAnsi="Times New Roman"/>
        </w:rPr>
        <w:t>Duke Brief at 11.</w:t>
      </w:r>
    </w:p>
  </w:footnote>
  <w:footnote w:id="5">
    <w:p w:rsidR="007368A9" w:rsidRPr="007D4C6F" w:rsidP="007D4C6F" w14:paraId="050FDC2E" w14:textId="58985F9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See </w:t>
      </w:r>
      <w:r w:rsidRPr="007D4C6F">
        <w:rPr>
          <w:rFonts w:ascii="Times New Roman" w:hAnsi="Times New Roman"/>
        </w:rPr>
        <w:t xml:space="preserve">Duke Brief at 13-16; </w:t>
      </w:r>
      <w:r w:rsidRPr="007D4C6F" w:rsidR="009F3D19">
        <w:rPr>
          <w:rFonts w:ascii="Times New Roman" w:hAnsi="Times New Roman"/>
        </w:rPr>
        <w:t>OMA-EG</w:t>
      </w:r>
      <w:r w:rsidRPr="007D4C6F">
        <w:rPr>
          <w:rFonts w:ascii="Times New Roman" w:hAnsi="Times New Roman"/>
        </w:rPr>
        <w:t>/Kroger Brief at 6-7, 10, 14-15.</w:t>
      </w:r>
    </w:p>
  </w:footnote>
  <w:footnote w:id="6">
    <w:p w:rsidR="007368A9" w:rsidRPr="007D4C6F" w:rsidP="007D4C6F" w14:paraId="02A0ACE9" w14:textId="296DED0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See e.g., </w:t>
      </w:r>
      <w:r w:rsidRPr="007D4C6F">
        <w:rPr>
          <w:rFonts w:ascii="Times New Roman" w:hAnsi="Times New Roman"/>
        </w:rPr>
        <w:t xml:space="preserve">Duke Brief at 3-4; </w:t>
      </w:r>
      <w:r w:rsidRPr="007D4C6F" w:rsidR="009F3D19">
        <w:rPr>
          <w:rFonts w:ascii="Times New Roman" w:hAnsi="Times New Roman"/>
        </w:rPr>
        <w:t>OMA-EG</w:t>
      </w:r>
      <w:r w:rsidRPr="007D4C6F">
        <w:rPr>
          <w:rFonts w:ascii="Times New Roman" w:hAnsi="Times New Roman"/>
        </w:rPr>
        <w:t>/Kroger Brief at 10.</w:t>
      </w:r>
    </w:p>
  </w:footnote>
  <w:footnote w:id="7">
    <w:p w:rsidR="007368A9" w:rsidRPr="007D4C6F" w:rsidP="007D4C6F" w14:paraId="360F364C" w14:textId="326E1E2E">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 28.</w:t>
      </w:r>
    </w:p>
  </w:footnote>
  <w:footnote w:id="8">
    <w:p w:rsidR="007368A9" w:rsidRPr="007D4C6F" w:rsidP="007D4C6F" w14:paraId="4D2F4239" w14:textId="45889EDB">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11-16.</w:t>
      </w:r>
    </w:p>
  </w:footnote>
  <w:footnote w:id="9">
    <w:p w:rsidR="007368A9" w:rsidRPr="007D4C6F" w:rsidP="007D4C6F" w14:paraId="35D07F04" w14:textId="51F9FF1A">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IGS/RESA Brief at 4.</w:t>
      </w:r>
    </w:p>
  </w:footnote>
  <w:footnote w:id="10">
    <w:p w:rsidR="007368A9" w:rsidRPr="007D4C6F" w:rsidP="007D4C6F" w14:paraId="2DA8399F" w14:textId="291A2C56">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In the Matter of the Application of Ohio Edison Company, et al</w:t>
      </w:r>
      <w:r w:rsidRPr="007D4C6F">
        <w:rPr>
          <w:rFonts w:ascii="Times New Roman" w:hAnsi="Times New Roman"/>
        </w:rPr>
        <w:t>., Case No. 08-935-EL-SS0, et al., Concurring and Dissenting Opinion of Cheryl Roberto, at 2.</w:t>
      </w:r>
    </w:p>
  </w:footnote>
  <w:footnote w:id="11">
    <w:p w:rsidR="007368A9" w:rsidRPr="007D4C6F" w:rsidP="007D4C6F" w14:paraId="50FE136B" w14:textId="23919E3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OMA-EG</w:t>
      </w:r>
      <w:r w:rsidRPr="007D4C6F" w:rsidR="009F3D19">
        <w:rPr>
          <w:rFonts w:ascii="Times New Roman" w:hAnsi="Times New Roman"/>
        </w:rPr>
        <w:t>/Kroger</w:t>
      </w:r>
      <w:r w:rsidRPr="007D4C6F">
        <w:rPr>
          <w:rFonts w:ascii="Times New Roman" w:hAnsi="Times New Roman"/>
        </w:rPr>
        <w:t xml:space="preserve"> Brief at 11.</w:t>
      </w:r>
      <w:r w:rsidRPr="007D4C6F" w:rsidR="007D4C6F">
        <w:rPr>
          <w:rFonts w:ascii="Times New Roman" w:hAnsi="Times New Roman"/>
        </w:rPr>
        <w:t xml:space="preserve"> </w:t>
      </w:r>
    </w:p>
  </w:footnote>
  <w:footnote w:id="12">
    <w:p w:rsidR="007368A9" w:rsidRPr="007D4C6F" w:rsidP="007D4C6F" w14:paraId="58BE5B7D" w14:textId="18E568E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Id.</w:t>
      </w:r>
      <w:r w:rsidRPr="007D4C6F" w:rsidR="007D4C6F">
        <w:rPr>
          <w:rFonts w:ascii="Times New Roman" w:hAnsi="Times New Roman"/>
        </w:rPr>
        <w:t xml:space="preserve"> </w:t>
      </w:r>
    </w:p>
  </w:footnote>
  <w:footnote w:id="13">
    <w:p w:rsidR="001274B8" w:rsidRPr="007D4C6F" w:rsidP="007D4C6F" w14:paraId="751EFB07" w14:textId="33F5CAF2">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Tr. Vol. II</w:t>
      </w:r>
      <w:r w:rsidRPr="007D4C6F" w:rsidR="00C84E9E">
        <w:rPr>
          <w:rFonts w:ascii="Times New Roman" w:hAnsi="Times New Roman"/>
        </w:rPr>
        <w:t xml:space="preserve"> (Williams Cross by Duke) at 259.</w:t>
      </w:r>
    </w:p>
  </w:footnote>
  <w:footnote w:id="14">
    <w:p w:rsidR="001274B8" w:rsidRPr="007D4C6F" w:rsidP="007D4C6F" w14:paraId="1BA2E31C" w14:textId="777770C4">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Tr. </w:t>
      </w:r>
      <w:r w:rsidRPr="007D4C6F" w:rsidR="0055661D">
        <w:rPr>
          <w:rFonts w:ascii="Times New Roman" w:hAnsi="Times New Roman"/>
        </w:rPr>
        <w:t xml:space="preserve">Vol. </w:t>
      </w:r>
      <w:r w:rsidRPr="007D4C6F">
        <w:rPr>
          <w:rFonts w:ascii="Times New Roman" w:hAnsi="Times New Roman"/>
        </w:rPr>
        <w:t>II</w:t>
      </w:r>
      <w:r w:rsidRPr="007D4C6F" w:rsidR="00C84E9E">
        <w:rPr>
          <w:rFonts w:ascii="Times New Roman" w:hAnsi="Times New Roman"/>
        </w:rPr>
        <w:t xml:space="preserve"> (Williams Cross by Duke)</w:t>
      </w:r>
      <w:r w:rsidRPr="007D4C6F">
        <w:rPr>
          <w:rFonts w:ascii="Times New Roman" w:hAnsi="Times New Roman"/>
        </w:rPr>
        <w:t xml:space="preserve"> at 258-259.</w:t>
      </w:r>
      <w:r w:rsidRPr="007D4C6F" w:rsidR="007D4C6F">
        <w:rPr>
          <w:rFonts w:ascii="Times New Roman" w:hAnsi="Times New Roman"/>
        </w:rPr>
        <w:t xml:space="preserve"> </w:t>
      </w:r>
    </w:p>
  </w:footnote>
  <w:footnote w:id="15">
    <w:p w:rsidR="007368A9" w:rsidRPr="007D4C6F" w:rsidP="007D4C6F" w14:paraId="48B3FC44" w14:textId="3F73EB24">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CUB Ohio Motion to Intervene at </w:t>
      </w:r>
      <w:r w:rsidRPr="007D4C6F" w:rsidR="00F11D01">
        <w:rPr>
          <w:rFonts w:ascii="Times New Roman" w:hAnsi="Times New Roman"/>
        </w:rPr>
        <w:t>4.</w:t>
      </w:r>
      <w:r w:rsidRPr="007D4C6F" w:rsidR="007D4C6F">
        <w:rPr>
          <w:rFonts w:ascii="Times New Roman" w:hAnsi="Times New Roman"/>
        </w:rPr>
        <w:t xml:space="preserve"> </w:t>
      </w:r>
    </w:p>
  </w:footnote>
  <w:footnote w:id="16">
    <w:p w:rsidR="007368A9" w:rsidRPr="007D4C6F" w:rsidP="007D4C6F" w14:paraId="4AA8AE6A" w14:textId="19C9E24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(Williams Supplemental) at 7-8.</w:t>
      </w:r>
    </w:p>
  </w:footnote>
  <w:footnote w:id="17">
    <w:p w:rsidR="007368A9" w:rsidRPr="007D4C6F" w:rsidP="007D4C6F" w14:paraId="55DA2550" w14:textId="4DB933A8">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City of Cincinnati Motion to </w:t>
      </w:r>
      <w:r w:rsidR="005C5285">
        <w:rPr>
          <w:rFonts w:ascii="Times New Roman" w:hAnsi="Times New Roman"/>
        </w:rPr>
        <w:t>I</w:t>
      </w:r>
      <w:r w:rsidRPr="007D4C6F">
        <w:rPr>
          <w:rFonts w:ascii="Times New Roman" w:hAnsi="Times New Roman"/>
        </w:rPr>
        <w:t>ntervene at 3</w:t>
      </w:r>
      <w:r w:rsidRPr="007D4C6F" w:rsidR="001274B8">
        <w:rPr>
          <w:rFonts w:ascii="Times New Roman" w:hAnsi="Times New Roman"/>
        </w:rPr>
        <w:t xml:space="preserve"> (Nov. 17, 2021)</w:t>
      </w:r>
      <w:r w:rsidRPr="007D4C6F" w:rsidR="00F11D01">
        <w:rPr>
          <w:rFonts w:ascii="Times New Roman" w:hAnsi="Times New Roman"/>
        </w:rPr>
        <w:t>.</w:t>
      </w:r>
    </w:p>
  </w:footnote>
  <w:footnote w:id="18">
    <w:p w:rsidR="001274B8" w:rsidRPr="007D4C6F" w:rsidP="007D4C6F" w14:paraId="78320260" w14:textId="4BCB998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OPAE Motion to Intervene at 4 (Mar. 16, 2022) (emphasis added).</w:t>
      </w:r>
    </w:p>
  </w:footnote>
  <w:footnote w:id="19">
    <w:p w:rsidR="009F3D19" w:rsidRPr="007D4C6F" w:rsidP="007D4C6F" w14:paraId="356A1CCC" w14:textId="5CCED43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CUB Ohio Motion to Intervene (Apr. 4, 2022) (emphasis added).</w:t>
      </w:r>
      <w:r w:rsidRPr="007D4C6F" w:rsidR="007D4C6F">
        <w:rPr>
          <w:rFonts w:ascii="Times New Roman" w:hAnsi="Times New Roman"/>
        </w:rPr>
        <w:t xml:space="preserve"> </w:t>
      </w:r>
    </w:p>
  </w:footnote>
  <w:footnote w:id="20">
    <w:p w:rsidR="007368A9" w:rsidRPr="007D4C6F" w:rsidP="007D4C6F" w14:paraId="659F9A03" w14:textId="175FEAC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PWC Motion to Intervene at 4</w:t>
      </w:r>
      <w:r w:rsidRPr="007D4C6F" w:rsidR="007D4C6F">
        <w:rPr>
          <w:rFonts w:ascii="Times New Roman" w:hAnsi="Times New Roman"/>
        </w:rPr>
        <w:t xml:space="preserve"> </w:t>
      </w:r>
      <w:r w:rsidRPr="007D4C6F">
        <w:rPr>
          <w:rFonts w:ascii="Times New Roman" w:hAnsi="Times New Roman"/>
        </w:rPr>
        <w:t>(Mar. 18,</w:t>
      </w:r>
      <w:r w:rsidRPr="007D4C6F" w:rsidR="007D4C6F">
        <w:rPr>
          <w:rFonts w:ascii="Times New Roman" w:hAnsi="Times New Roman"/>
        </w:rPr>
        <w:t xml:space="preserve"> </w:t>
      </w:r>
      <w:r w:rsidRPr="007D4C6F">
        <w:rPr>
          <w:rFonts w:ascii="Times New Roman" w:hAnsi="Times New Roman"/>
        </w:rPr>
        <w:t>2022).</w:t>
      </w:r>
    </w:p>
  </w:footnote>
  <w:footnote w:id="21">
    <w:p w:rsidR="007368A9" w:rsidRPr="007D4C6F" w:rsidP="007D4C6F" w14:paraId="33A3779F" w14:textId="7FF0772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OEG Brief at 3; </w:t>
      </w:r>
      <w:r w:rsidRPr="007D4C6F" w:rsidR="009F3D19">
        <w:rPr>
          <w:rFonts w:ascii="Times New Roman" w:hAnsi="Times New Roman"/>
        </w:rPr>
        <w:t>OMA-EG</w:t>
      </w:r>
      <w:r w:rsidRPr="007D4C6F">
        <w:rPr>
          <w:rFonts w:ascii="Times New Roman" w:hAnsi="Times New Roman"/>
        </w:rPr>
        <w:t xml:space="preserve">/Kroger Brief at 12-13. </w:t>
      </w:r>
    </w:p>
  </w:footnote>
  <w:footnote w:id="22">
    <w:p w:rsidR="007368A9" w:rsidRPr="007D4C6F" w:rsidP="007D4C6F" w14:paraId="07F21976" w14:textId="038804FC">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(Williams Supplemental) at 7-8.</w:t>
      </w:r>
    </w:p>
  </w:footnote>
  <w:footnote w:id="23">
    <w:p w:rsidR="007368A9" w:rsidRPr="007D4C6F" w:rsidP="007D4C6F" w14:paraId="6CC568B3" w14:textId="1433F31E">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Duke Brief at 22. </w:t>
      </w:r>
    </w:p>
  </w:footnote>
  <w:footnote w:id="24">
    <w:p w:rsidR="007368A9" w:rsidRPr="007D4C6F" w:rsidP="007D4C6F" w14:paraId="62979BC7" w14:textId="7FC90AFB">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sidR="009F3D19">
        <w:rPr>
          <w:rFonts w:ascii="Times New Roman" w:hAnsi="Times New Roman"/>
        </w:rPr>
        <w:t>OMA-EG</w:t>
      </w:r>
      <w:r w:rsidRPr="007D4C6F">
        <w:rPr>
          <w:rFonts w:ascii="Times New Roman" w:hAnsi="Times New Roman"/>
        </w:rPr>
        <w:t>/Kroger Brief at 11.</w:t>
      </w:r>
    </w:p>
  </w:footnote>
  <w:footnote w:id="25">
    <w:p w:rsidR="007368A9" w:rsidRPr="007D4C6F" w:rsidP="007D4C6F" w14:paraId="419F9BFF" w14:textId="2CF1589E">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(Williams Supplemental) at 7-8.</w:t>
      </w:r>
    </w:p>
  </w:footnote>
  <w:footnote w:id="26">
    <w:p w:rsidR="007368A9" w:rsidRPr="007D4C6F" w:rsidP="007D4C6F" w14:paraId="105A61BB" w14:textId="0CBF9ADD">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sidR="0071512E">
        <w:rPr>
          <w:rFonts w:ascii="Times New Roman" w:hAnsi="Times New Roman"/>
          <w:i/>
          <w:iCs/>
        </w:rPr>
        <w:t xml:space="preserve">See </w:t>
      </w:r>
      <w:r w:rsidRPr="007D4C6F">
        <w:rPr>
          <w:rFonts w:ascii="Times New Roman" w:hAnsi="Times New Roman"/>
        </w:rPr>
        <w:t>Joint Ex. 1 (Settlement) at 16; OCC Ex. 3 (Williams Supplemental) at 6.</w:t>
      </w:r>
    </w:p>
  </w:footnote>
  <w:footnote w:id="27">
    <w:p w:rsidR="007368A9" w:rsidRPr="007D4C6F" w:rsidP="007D4C6F" w14:paraId="5B0138B8"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at 7.</w:t>
      </w:r>
    </w:p>
  </w:footnote>
  <w:footnote w:id="28">
    <w:p w:rsidR="007368A9" w:rsidRPr="007D4C6F" w:rsidP="007D4C6F" w14:paraId="3F54B4FF" w14:textId="38469C6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sidR="009F3D19">
        <w:rPr>
          <w:rFonts w:ascii="Times New Roman" w:hAnsi="Times New Roman"/>
        </w:rPr>
        <w:t>OMA-EG</w:t>
      </w:r>
      <w:r w:rsidRPr="007D4C6F">
        <w:rPr>
          <w:rFonts w:ascii="Times New Roman" w:hAnsi="Times New Roman"/>
        </w:rPr>
        <w:t>/Kroger Brief at 11.</w:t>
      </w:r>
    </w:p>
  </w:footnote>
  <w:footnote w:id="29">
    <w:p w:rsidR="007368A9" w:rsidRPr="007D4C6F" w:rsidP="007D4C6F" w14:paraId="21AA7B64" w14:textId="22B8EC84">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(Williams Supplemental) at 7.</w:t>
      </w:r>
    </w:p>
  </w:footnote>
  <w:footnote w:id="30">
    <w:p w:rsidR="007368A9" w:rsidRPr="007D4C6F" w:rsidP="007D4C6F" w14:paraId="12B58194" w14:textId="06836AD3">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Duke Brief at 25; </w:t>
      </w:r>
      <w:r w:rsidRPr="007D4C6F" w:rsidR="009F3D19">
        <w:rPr>
          <w:rFonts w:ascii="Times New Roman" w:hAnsi="Times New Roman"/>
        </w:rPr>
        <w:t>OMA-EG</w:t>
      </w:r>
      <w:r w:rsidRPr="007D4C6F">
        <w:rPr>
          <w:rFonts w:ascii="Times New Roman" w:hAnsi="Times New Roman"/>
        </w:rPr>
        <w:t>/Kroger Brief at 9; Walmart Brief at 3; OEG Brief at 3; IGS/RESA Brief at 5-6.</w:t>
      </w:r>
    </w:p>
  </w:footnote>
  <w:footnote w:id="31">
    <w:p w:rsidR="007368A9" w:rsidRPr="007D4C6F" w:rsidP="007D4C6F" w14:paraId="2FC0ABD6" w14:textId="2243B71B">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CUB Ohio Objections (Jun</w:t>
      </w:r>
      <w:r w:rsidR="00786339">
        <w:rPr>
          <w:rFonts w:ascii="Times New Roman" w:hAnsi="Times New Roman"/>
        </w:rPr>
        <w:t>e</w:t>
      </w:r>
      <w:r w:rsidRPr="007D4C6F">
        <w:rPr>
          <w:rFonts w:ascii="Times New Roman" w:hAnsi="Times New Roman"/>
        </w:rPr>
        <w:t xml:space="preserve"> 21, 2022).</w:t>
      </w:r>
    </w:p>
  </w:footnote>
  <w:footnote w:id="32">
    <w:p w:rsidR="00D74B9A" w:rsidRPr="007D4C6F" w:rsidP="007D4C6F" w14:paraId="03515684" w14:textId="5DCF3188">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City of Cincinnati Objections (Jun</w:t>
      </w:r>
      <w:r w:rsidR="00786339">
        <w:rPr>
          <w:rFonts w:ascii="Times New Roman" w:hAnsi="Times New Roman"/>
        </w:rPr>
        <w:t>e</w:t>
      </w:r>
      <w:r w:rsidRPr="007D4C6F">
        <w:rPr>
          <w:rFonts w:ascii="Times New Roman" w:hAnsi="Times New Roman"/>
        </w:rPr>
        <w:t xml:space="preserve"> 21, 2022).</w:t>
      </w:r>
      <w:r w:rsidRPr="007D4C6F" w:rsidR="007D4C6F">
        <w:rPr>
          <w:rFonts w:ascii="Times New Roman" w:hAnsi="Times New Roman"/>
        </w:rPr>
        <w:t xml:space="preserve"> </w:t>
      </w:r>
    </w:p>
  </w:footnote>
  <w:footnote w:id="33">
    <w:p w:rsidR="007368A9" w:rsidRPr="007D4C6F" w:rsidP="007D4C6F" w14:paraId="64433B45" w14:textId="13EA5D5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OPAE Objections (Jun</w:t>
      </w:r>
      <w:r w:rsidR="00786339">
        <w:rPr>
          <w:rFonts w:ascii="Times New Roman" w:hAnsi="Times New Roman"/>
        </w:rPr>
        <w:t>e</w:t>
      </w:r>
      <w:r w:rsidRPr="007D4C6F">
        <w:rPr>
          <w:rFonts w:ascii="Times New Roman" w:hAnsi="Times New Roman"/>
        </w:rPr>
        <w:t xml:space="preserve"> 21, 2022)</w:t>
      </w:r>
      <w:r w:rsidR="00786339">
        <w:rPr>
          <w:rFonts w:ascii="Times New Roman" w:hAnsi="Times New Roman"/>
        </w:rPr>
        <w:t>.</w:t>
      </w:r>
    </w:p>
  </w:footnote>
  <w:footnote w:id="34">
    <w:p w:rsidR="00D74B9A" w:rsidRPr="007D4C6F" w:rsidP="007D4C6F" w14:paraId="5E223A8A" w14:textId="1AABEDB3">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OMA-EG</w:t>
      </w:r>
      <w:r w:rsidRPr="007D4C6F" w:rsidR="009F3D19">
        <w:rPr>
          <w:rFonts w:ascii="Times New Roman" w:hAnsi="Times New Roman"/>
        </w:rPr>
        <w:t>/Kroger</w:t>
      </w:r>
      <w:r w:rsidRPr="007D4C6F">
        <w:rPr>
          <w:rFonts w:ascii="Times New Roman" w:hAnsi="Times New Roman"/>
        </w:rPr>
        <w:t xml:space="preserve"> Brief at 11.</w:t>
      </w:r>
    </w:p>
  </w:footnote>
  <w:footnote w:id="35">
    <w:p w:rsidR="007368A9" w:rsidRPr="007D4C6F" w:rsidP="007D4C6F" w14:paraId="2B7F7096"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Duke Brief at 20.</w:t>
      </w:r>
    </w:p>
  </w:footnote>
  <w:footnote w:id="36">
    <w:p w:rsidR="007368A9" w:rsidRPr="007D4C6F" w:rsidP="007D4C6F" w14:paraId="23A3D691" w14:textId="49710902">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See e.g., </w:t>
      </w:r>
      <w:r w:rsidRPr="007D4C6F">
        <w:rPr>
          <w:rFonts w:ascii="Times New Roman" w:hAnsi="Times New Roman"/>
        </w:rPr>
        <w:t xml:space="preserve">PUCO Staff Brief at 12; Duke Brief at 11-17, 26-27; </w:t>
      </w:r>
      <w:r w:rsidRPr="007D4C6F" w:rsidR="009F3D19">
        <w:rPr>
          <w:rFonts w:ascii="Times New Roman" w:hAnsi="Times New Roman"/>
        </w:rPr>
        <w:t>OMA-EG</w:t>
      </w:r>
      <w:r w:rsidRPr="007D4C6F">
        <w:rPr>
          <w:rFonts w:ascii="Times New Roman" w:hAnsi="Times New Roman"/>
        </w:rPr>
        <w:t xml:space="preserve">/Kroger Brief at 6-7, 10, 13, 17; and OEG Brief at 4. </w:t>
      </w:r>
    </w:p>
  </w:footnote>
  <w:footnote w:id="37">
    <w:p w:rsidR="007368A9" w:rsidRPr="007D4C6F" w:rsidP="007D4C6F" w14:paraId="302767B5" w14:textId="3CA4429C">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4 (Defever Supplemental) at 8.</w:t>
      </w:r>
    </w:p>
  </w:footnote>
  <w:footnote w:id="38">
    <w:p w:rsidR="007368A9" w:rsidRPr="007D4C6F" w:rsidP="007D4C6F" w14:paraId="265D8F9C" w14:textId="049C221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11-20.</w:t>
      </w:r>
    </w:p>
  </w:footnote>
  <w:footnote w:id="39">
    <w:p w:rsidR="007368A9" w:rsidRPr="007D4C6F" w:rsidP="007D4C6F" w14:paraId="41F52E81"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5 (Defever Direct) at 7, OCC-JD-2.</w:t>
      </w:r>
    </w:p>
  </w:footnote>
  <w:footnote w:id="40">
    <w:p w:rsidR="007368A9" w:rsidRPr="007D4C6F" w:rsidP="007D4C6F" w14:paraId="0BAB646C"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PUCO Staff Ex. 1 (Staff Report) at 6.</w:t>
      </w:r>
    </w:p>
  </w:footnote>
  <w:footnote w:id="41">
    <w:p w:rsidR="007368A9" w:rsidRPr="007D4C6F" w:rsidP="007D4C6F" w14:paraId="1341B4AD"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Joint Ex. 1 (Settlement) at 3. </w:t>
      </w:r>
    </w:p>
  </w:footnote>
  <w:footnote w:id="42">
    <w:p w:rsidR="007368A9" w:rsidRPr="007D4C6F" w:rsidP="007D4C6F" w14:paraId="5ABD0419"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2 (Woolridge Direct) at 18-23; OCC Ex. 1 (Woolridge Supplemental) at 3.</w:t>
      </w:r>
    </w:p>
  </w:footnote>
  <w:footnote w:id="43">
    <w:p w:rsidR="007368A9" w:rsidRPr="007D4C6F" w:rsidP="007D4C6F" w14:paraId="4C77E37B" w14:textId="2E531919">
      <w:pPr>
        <w:pStyle w:val="FootnoteText"/>
        <w:spacing w:after="120"/>
        <w:rPr>
          <w:rFonts w:ascii="Times New Roman" w:hAnsi="Times New Roman"/>
          <w:i/>
          <w:iCs/>
        </w:rPr>
      </w:pPr>
      <w:r w:rsidRPr="007D4C6F">
        <w:rPr>
          <w:rStyle w:val="FootnoteReference"/>
          <w:rFonts w:ascii="Times New Roman" w:hAnsi="Times New Roman"/>
        </w:rPr>
        <w:footnoteRef/>
      </w:r>
      <w:r w:rsidRPr="007D4C6F">
        <w:rPr>
          <w:rFonts w:ascii="Times New Roman" w:hAnsi="Times New Roman"/>
        </w:rPr>
        <w:t xml:space="preserve"> OCC Ex. 7 (Supplemental Testimony of Robert B. Fortney) at 8.</w:t>
      </w:r>
    </w:p>
  </w:footnote>
  <w:footnote w:id="44">
    <w:p w:rsidR="007368A9" w:rsidRPr="007D4C6F" w:rsidP="007D4C6F" w14:paraId="043105FE"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Id. </w:t>
      </w:r>
      <w:r w:rsidRPr="007D4C6F">
        <w:rPr>
          <w:rFonts w:ascii="Times New Roman" w:hAnsi="Times New Roman"/>
        </w:rPr>
        <w:t>at 8.</w:t>
      </w:r>
    </w:p>
  </w:footnote>
  <w:footnote w:id="45">
    <w:p w:rsidR="007368A9" w:rsidRPr="007D4C6F" w:rsidP="007D4C6F" w14:paraId="3CD9CE7D" w14:textId="77777777">
      <w:pPr>
        <w:pStyle w:val="FootnoteText"/>
        <w:spacing w:after="120"/>
        <w:rPr>
          <w:rFonts w:ascii="Times New Roman" w:hAnsi="Times New Roman"/>
          <w:i/>
          <w:iCs/>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Id.</w:t>
      </w:r>
    </w:p>
  </w:footnote>
  <w:footnote w:id="46">
    <w:p w:rsidR="007368A9" w:rsidRPr="007D4C6F" w:rsidP="007D4C6F" w14:paraId="62350B79" w14:textId="74D43713">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Id. </w:t>
      </w:r>
      <w:r w:rsidRPr="007D4C6F">
        <w:rPr>
          <w:rFonts w:ascii="Times New Roman" w:hAnsi="Times New Roman"/>
        </w:rPr>
        <w:t xml:space="preserve">at 9. </w:t>
      </w:r>
    </w:p>
  </w:footnote>
  <w:footnote w:id="47">
    <w:p w:rsidR="007368A9" w:rsidRPr="007D4C6F" w:rsidP="007D4C6F" w14:paraId="36983E2F" w14:textId="3A00482C">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See</w:t>
      </w:r>
      <w:r w:rsidRPr="007D4C6F">
        <w:rPr>
          <w:rFonts w:ascii="Times New Roman" w:hAnsi="Times New Roman"/>
        </w:rPr>
        <w:t xml:space="preserve"> Duke Brief at 13-14, 26, and </w:t>
      </w:r>
      <w:r w:rsidRPr="007D4C6F" w:rsidR="009F3D19">
        <w:rPr>
          <w:rFonts w:ascii="Times New Roman" w:hAnsi="Times New Roman"/>
        </w:rPr>
        <w:t>OMA-EG</w:t>
      </w:r>
      <w:r w:rsidRPr="007D4C6F">
        <w:rPr>
          <w:rFonts w:ascii="Times New Roman" w:hAnsi="Times New Roman"/>
        </w:rPr>
        <w:t>/Kroger Brief at 15-16.</w:t>
      </w:r>
    </w:p>
  </w:footnote>
  <w:footnote w:id="48">
    <w:p w:rsidR="007368A9" w:rsidRPr="007D4C6F" w:rsidP="007D4C6F" w14:paraId="676B88E4" w14:textId="36E4885B">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Ex. 3 (Williams Supplemental) at 13.</w:t>
      </w:r>
    </w:p>
  </w:footnote>
  <w:footnote w:id="49">
    <w:p w:rsidR="007368A9" w:rsidRPr="007D4C6F" w:rsidP="007D4C6F" w14:paraId="05622187" w14:textId="77777777">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System Average Interruption Frequency Index.</w:t>
      </w:r>
    </w:p>
  </w:footnote>
  <w:footnote w:id="50">
    <w:p w:rsidR="007368A9" w:rsidRPr="007D4C6F" w:rsidP="007D4C6F" w14:paraId="20ACF291" w14:textId="77777777">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Customer Average Interruption Duration Index.</w:t>
      </w:r>
    </w:p>
  </w:footnote>
  <w:footnote w:id="51">
    <w:p w:rsidR="007368A9" w:rsidRPr="007D4C6F" w:rsidP="007D4C6F" w14:paraId="7A02A757" w14:textId="77777777">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Joint Ex. 1 (Settlement) at 10(c)(1)(a). </w:t>
      </w:r>
    </w:p>
  </w:footnote>
  <w:footnote w:id="52">
    <w:p w:rsidR="007368A9" w:rsidRPr="007D4C6F" w:rsidP="007D4C6F" w14:paraId="52DABB70" w14:textId="77777777">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System Average Interruption Duration Index.</w:t>
      </w:r>
    </w:p>
  </w:footnote>
  <w:footnote w:id="53">
    <w:p w:rsidR="007368A9" w:rsidRPr="007D4C6F" w:rsidP="007D4C6F" w14:paraId="2C559F77" w14:textId="3B468E76">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Tr. Vol. I (Hesse Cross) at 134:3-9.</w:t>
      </w:r>
    </w:p>
  </w:footnote>
  <w:footnote w:id="54">
    <w:p w:rsidR="007368A9" w:rsidRPr="007D4C6F" w:rsidP="007D4C6F" w14:paraId="6BD361A8" w14:textId="77777777">
      <w:pPr>
        <w:pStyle w:val="FootnoteText"/>
        <w:spacing w:after="120"/>
        <w:rPr>
          <w:rFonts w:ascii="Times New Roman" w:hAnsi="Times New Roman"/>
          <w:color w:val="000000" w:themeColor="text1"/>
        </w:rPr>
      </w:pPr>
      <w:r w:rsidRPr="007D4C6F">
        <w:rPr>
          <w:rStyle w:val="FootnoteReference"/>
          <w:rFonts w:ascii="Times New Roman" w:hAnsi="Times New Roman"/>
          <w:color w:val="000000" w:themeColor="text1"/>
        </w:rPr>
        <w:footnoteRef/>
      </w:r>
      <w:r w:rsidRPr="007D4C6F">
        <w:rPr>
          <w:rFonts w:ascii="Times New Roman" w:hAnsi="Times New Roman"/>
          <w:color w:val="000000" w:themeColor="text1"/>
        </w:rPr>
        <w:t xml:space="preserve"> </w:t>
      </w:r>
      <w:r w:rsidRPr="007D4C6F">
        <w:rPr>
          <w:rFonts w:ascii="Times New Roman" w:hAnsi="Times New Roman"/>
          <w:i/>
          <w:iCs/>
          <w:color w:val="000000" w:themeColor="text1"/>
        </w:rPr>
        <w:t xml:space="preserve">Id. </w:t>
      </w:r>
      <w:r w:rsidRPr="007D4C6F">
        <w:rPr>
          <w:rFonts w:ascii="Times New Roman" w:hAnsi="Times New Roman"/>
          <w:color w:val="000000" w:themeColor="text1"/>
        </w:rPr>
        <w:t xml:space="preserve">at 16: 1-2. </w:t>
      </w:r>
    </w:p>
  </w:footnote>
  <w:footnote w:id="55">
    <w:p w:rsidR="007368A9" w:rsidRPr="007D4C6F" w:rsidP="007D4C6F" w14:paraId="263A99A9" w14:textId="784FCDBE">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PUCO Staff Brief at 13.</w:t>
      </w:r>
    </w:p>
  </w:footnote>
  <w:footnote w:id="56">
    <w:p w:rsidR="007368A9" w:rsidRPr="007D4C6F" w:rsidP="007D4C6F" w14:paraId="71FA8C93" w14:textId="2894E531">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30-42.</w:t>
      </w:r>
    </w:p>
  </w:footnote>
  <w:footnote w:id="57">
    <w:p w:rsidR="007368A9" w:rsidRPr="007D4C6F" w:rsidP="007D4C6F" w14:paraId="1B975DD4" w14:textId="73294351">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30-33.</w:t>
      </w:r>
    </w:p>
  </w:footnote>
  <w:footnote w:id="58">
    <w:p w:rsidR="007368A9" w:rsidRPr="007D4C6F" w:rsidP="007D4C6F" w14:paraId="6466C49A" w14:textId="11087550">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34-36.</w:t>
      </w:r>
    </w:p>
  </w:footnote>
  <w:footnote w:id="59">
    <w:p w:rsidR="007368A9" w:rsidRPr="007D4C6F" w:rsidP="007D4C6F" w14:paraId="3F1427CD" w14:textId="0C892D59">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36-37.</w:t>
      </w:r>
    </w:p>
  </w:footnote>
  <w:footnote w:id="60">
    <w:p w:rsidR="007368A9" w:rsidRPr="007D4C6F" w:rsidP="007D4C6F" w14:paraId="4F20D693" w14:textId="059D540D">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37-40.</w:t>
      </w:r>
    </w:p>
  </w:footnote>
  <w:footnote w:id="61">
    <w:p w:rsidR="007368A9" w:rsidRPr="007D4C6F" w:rsidP="007D4C6F" w14:paraId="2FA85FC5" w14:textId="7FAE2A58">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40-41.</w:t>
      </w:r>
    </w:p>
  </w:footnote>
  <w:footnote w:id="62">
    <w:p w:rsidR="007368A9" w:rsidRPr="007D4C6F" w:rsidP="007D4C6F" w14:paraId="3435E673" w14:textId="579B77F0">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41-42.</w:t>
      </w:r>
    </w:p>
  </w:footnote>
  <w:footnote w:id="63">
    <w:p w:rsidR="006A781F" w:rsidRPr="007D4C6F" w:rsidP="007D4C6F" w14:paraId="222CF50B" w14:textId="3070952A">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We are not agreeing that the relatively low level of bill-payment assistance that Duke agreed to for Cincinnati is adequate given people’s need</w:t>
      </w:r>
      <w:r w:rsidRPr="007D4C6F" w:rsidR="00F56B64">
        <w:rPr>
          <w:rFonts w:ascii="Times New Roman" w:hAnsi="Times New Roman"/>
        </w:rPr>
        <w:t>s</w:t>
      </w:r>
      <w:r w:rsidRPr="007D4C6F">
        <w:rPr>
          <w:rFonts w:ascii="Times New Roman" w:hAnsi="Times New Roman"/>
        </w:rPr>
        <w:t>.</w:t>
      </w:r>
    </w:p>
  </w:footnote>
  <w:footnote w:id="64">
    <w:p w:rsidR="007368A9" w:rsidRPr="007D4C6F" w:rsidP="007D4C6F" w14:paraId="4E21E3A6" w14:textId="025529B4">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Joint Ex. 1 (Settlement) at 23-24.</w:t>
      </w:r>
    </w:p>
  </w:footnote>
  <w:footnote w:id="65">
    <w:p w:rsidR="007368A9" w:rsidRPr="007D4C6F" w:rsidP="007D4C6F" w14:paraId="4D1EF865" w14:textId="182D8701">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Id. </w:t>
      </w:r>
      <w:r w:rsidRPr="007D4C6F">
        <w:rPr>
          <w:rFonts w:ascii="Times New Roman" w:hAnsi="Times New Roman"/>
        </w:rPr>
        <w:t xml:space="preserve">at 24-25. </w:t>
      </w:r>
    </w:p>
  </w:footnote>
  <w:footnote w:id="66">
    <w:p w:rsidR="007368A9" w:rsidRPr="007D4C6F" w:rsidP="007D4C6F" w14:paraId="1618B5E6" w14:textId="34FA9356">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Id. </w:t>
      </w:r>
      <w:r w:rsidRPr="007D4C6F">
        <w:rPr>
          <w:rFonts w:ascii="Times New Roman" w:hAnsi="Times New Roman"/>
        </w:rPr>
        <w:t>at 21-23.</w:t>
      </w:r>
    </w:p>
  </w:footnote>
  <w:footnote w:id="67">
    <w:p w:rsidR="007368A9" w:rsidRPr="007D4C6F" w:rsidP="007D4C6F" w14:paraId="0FAC051B" w14:textId="25A0F614">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IGS/RESA Brief at 8-11.</w:t>
      </w:r>
    </w:p>
  </w:footnote>
  <w:footnote w:id="68">
    <w:p w:rsidR="007368A9" w:rsidRPr="007D4C6F" w:rsidP="007D4C6F" w14:paraId="759B6E70" w14:textId="2B0D1709">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IGS/RESA Brief at 8-11.</w:t>
      </w:r>
    </w:p>
  </w:footnote>
  <w:footnote w:id="69">
    <w:p w:rsidR="007368A9" w:rsidRPr="007D4C6F" w:rsidP="007D4C6F" w14:paraId="6E9A3BAB" w14:textId="77777777">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In the Matter of the Application of Ohio Power Company for an Increase in Electric Distribution Rates</w:t>
      </w:r>
      <w:r w:rsidRPr="007D4C6F">
        <w:rPr>
          <w:rFonts w:ascii="Times New Roman" w:hAnsi="Times New Roman"/>
        </w:rPr>
        <w:t>, Case No. 20-585-EL-AIR, et al., Opinion and Order (Nov. 17, 2021) at ¶¶ 72, 131.</w:t>
      </w:r>
    </w:p>
  </w:footnote>
  <w:footnote w:id="70">
    <w:p w:rsidR="007368A9" w:rsidRPr="007D4C6F" w:rsidP="007D4C6F" w14:paraId="2EBC2FEC" w14:textId="30398FD5">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 xml:space="preserve">Id. </w:t>
      </w:r>
      <w:r w:rsidRPr="007D4C6F">
        <w:rPr>
          <w:rFonts w:ascii="Times New Roman" w:hAnsi="Times New Roman"/>
        </w:rPr>
        <w:t>at ¶ 131 (emphasis added).</w:t>
      </w:r>
    </w:p>
  </w:footnote>
  <w:footnote w:id="71">
    <w:p w:rsidR="007368A9" w:rsidRPr="007D4C6F" w:rsidP="007D4C6F" w14:paraId="53D7AB7F" w14:textId="2B4FB6DF">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OCC Brief at 3, 28-29; OCC Ex. 3 (Williams Supplemental) at 4.</w:t>
      </w:r>
    </w:p>
  </w:footnote>
  <w:footnote w:id="72">
    <w:p w:rsidR="007368A9" w:rsidRPr="007D4C6F" w:rsidP="007D4C6F" w14:paraId="6D44F272" w14:textId="2C275058">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See e.g. In the Matter of the Commission’s Investigation of PALMco Power OH, LLC, d/b/a Indra Energy’s Compliance with the Ohio Administrative Code and Potential Remedial Actions for Non-Compliance</w:t>
      </w:r>
      <w:r w:rsidRPr="007D4C6F">
        <w:rPr>
          <w:rFonts w:ascii="Times New Roman" w:hAnsi="Times New Roman"/>
        </w:rPr>
        <w:t xml:space="preserve">, Case No. 19-957-GE-COI; </w:t>
      </w:r>
      <w:r w:rsidRPr="007D4C6F">
        <w:rPr>
          <w:rFonts w:ascii="Times New Roman" w:hAnsi="Times New Roman"/>
          <w:i/>
          <w:iCs/>
        </w:rPr>
        <w:t>In the Matter of the Commission’s Investigation into Verde Energy USA Ohio, LLC’s Compliance with the Ohio Administrative Code and Potential Remedial Actions for Non-Compliance</w:t>
      </w:r>
      <w:r w:rsidRPr="007D4C6F">
        <w:rPr>
          <w:rFonts w:ascii="Times New Roman" w:hAnsi="Times New Roman"/>
        </w:rPr>
        <w:t xml:space="preserve">, Case No. 19-958-GE-COI; </w:t>
      </w:r>
      <w:r w:rsidRPr="007D4C6F">
        <w:rPr>
          <w:rFonts w:ascii="Times New Roman" w:hAnsi="Times New Roman"/>
          <w:i/>
          <w:iCs/>
        </w:rPr>
        <w:t>In the Matter of the Commission’s Investigation of PALMco Power OH, LLC, d/b/a Indra Energy and PALMco Energy OH, LLC, d/b/a Indra Energy’s Compliance with the Ohio Administrative Code and Potential Remedial Actions for Non-Compliance</w:t>
      </w:r>
      <w:r w:rsidRPr="007D4C6F">
        <w:rPr>
          <w:rFonts w:ascii="Times New Roman" w:hAnsi="Times New Roman"/>
        </w:rPr>
        <w:t xml:space="preserve">, Case No. 19-2153-GE-COI; </w:t>
      </w:r>
      <w:r w:rsidRPr="007D4C6F">
        <w:rPr>
          <w:rFonts w:ascii="Times New Roman" w:hAnsi="Times New Roman"/>
          <w:i/>
          <w:iCs/>
        </w:rPr>
        <w:t>In the Matter of the Commission’s Investigation into SFE Energy Ohio, Inc. and Statewise Energy Ohio, LLC’s Compliance with the Ohio Administrative Code and Potential Remedial Actions for Non-Compliance</w:t>
      </w:r>
      <w:r w:rsidRPr="007D4C6F">
        <w:rPr>
          <w:rFonts w:ascii="Times New Roman" w:hAnsi="Times New Roman"/>
        </w:rPr>
        <w:t xml:space="preserve">, Case No. 20-1216-GE-COI; </w:t>
      </w:r>
      <w:r w:rsidRPr="007D4C6F">
        <w:rPr>
          <w:rFonts w:ascii="Times New Roman" w:hAnsi="Times New Roman"/>
          <w:i/>
          <w:iCs/>
        </w:rPr>
        <w:t>In the Matter of the Commission’s Investigation into XOOM Energy Ohio, LLC’s Compliance with the Ohio Administrative Code and Potential Remedial Actions for Non-Compliance</w:t>
      </w:r>
      <w:r w:rsidRPr="007D4C6F">
        <w:rPr>
          <w:rFonts w:ascii="Times New Roman" w:hAnsi="Times New Roman"/>
        </w:rPr>
        <w:t xml:space="preserve">, Case No. 22-267-GE-COI; and </w:t>
      </w:r>
      <w:r w:rsidRPr="007D4C6F">
        <w:rPr>
          <w:rFonts w:ascii="Times New Roman" w:hAnsi="Times New Roman"/>
          <w:i/>
          <w:iCs/>
        </w:rPr>
        <w:t>In the Matter of the Commission’s Investigation into RPA Energy Inc.’s Compliance with the Ohio Administrative Code and Potential Remedial Actions for Non-Compliance</w:t>
      </w:r>
      <w:r w:rsidRPr="007D4C6F">
        <w:rPr>
          <w:rFonts w:ascii="Times New Roman" w:hAnsi="Times New Roman"/>
        </w:rPr>
        <w:t>, Case No. 22-441-GE-COI.</w:t>
      </w:r>
    </w:p>
  </w:footnote>
  <w:footnote w:id="73">
    <w:p w:rsidR="007368A9" w:rsidRPr="007D4C6F" w:rsidP="007D4C6F" w14:paraId="14664CF6" w14:textId="37896EE3">
      <w:pPr>
        <w:pStyle w:val="FootnoteText"/>
        <w:spacing w:after="120"/>
        <w:rPr>
          <w:rFonts w:ascii="Times New Roman" w:hAnsi="Times New Roman"/>
        </w:rPr>
      </w:pPr>
      <w:r w:rsidRPr="007D4C6F">
        <w:rPr>
          <w:rStyle w:val="FootnoteReference"/>
          <w:rFonts w:ascii="Times New Roman" w:hAnsi="Times New Roman"/>
        </w:rPr>
        <w:footnoteRef/>
      </w:r>
      <w:r w:rsidRPr="007D4C6F">
        <w:rPr>
          <w:rFonts w:ascii="Times New Roman" w:hAnsi="Times New Roman"/>
        </w:rPr>
        <w:t xml:space="preserve"> </w:t>
      </w:r>
      <w:r w:rsidRPr="007D4C6F">
        <w:rPr>
          <w:rFonts w:ascii="Times New Roman" w:hAnsi="Times New Roman"/>
          <w:i/>
          <w:iCs/>
        </w:rPr>
        <w:t>See In the Matter of Direct Energy Services, LLC</w:t>
      </w:r>
      <w:r w:rsidRPr="007D4C6F">
        <w:rPr>
          <w:rFonts w:ascii="Times New Roman" w:hAnsi="Times New Roman"/>
        </w:rPr>
        <w:t xml:space="preserve">, Case No. 22-583-GE-UNC, Exhibit A to the Joint Stipulation and Recommendation (Letter from PUCO Staff to Direct Energy regarding consumer complaints that Direct Energy sales agents provided misleading and deceptive market information); and </w:t>
      </w:r>
      <w:r w:rsidRPr="007D4C6F">
        <w:rPr>
          <w:rFonts w:ascii="Times New Roman" w:hAnsi="Times New Roman"/>
          <w:i/>
          <w:iCs/>
        </w:rPr>
        <w:t>In the Matter of the Commission’s Investigation into XOOM Energy Ohio, LLC’s Compliance with the Ohio Administrative Code and Potential Remedial Actions for Non-Compliance</w:t>
      </w:r>
      <w:r w:rsidRPr="007D4C6F">
        <w:rPr>
          <w:rFonts w:ascii="Times New Roman" w:hAnsi="Times New Roman"/>
        </w:rPr>
        <w:t xml:space="preserve">, Case No. 22-267-GE-COI, Entry (Apr. 20, 2022); </w:t>
      </w:r>
      <w:r w:rsidRPr="007D4C6F">
        <w:rPr>
          <w:rFonts w:ascii="Times New Roman" w:hAnsi="Times New Roman"/>
          <w:i/>
          <w:iCs/>
        </w:rPr>
        <w:t>In the Matter of the Commission’s Investigation into RPA Energy Inc.’s Compliance with the Ohio Administrative Code and Potential Remedial Actions for Non-Compliance</w:t>
      </w:r>
      <w:r w:rsidRPr="007D4C6F">
        <w:rPr>
          <w:rFonts w:ascii="Times New Roman" w:hAnsi="Times New Roman"/>
        </w:rPr>
        <w:t>, Case No. 22-441-GE-COI, Entry (Apr. 20,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5B1863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5AC8C6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2C708E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5B1261"/>
    <w:multiLevelType w:val="hybridMultilevel"/>
    <w:tmpl w:val="8C088752"/>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1">
    <w:nsid w:val="1D876813"/>
    <w:multiLevelType w:val="hybridMultilevel"/>
    <w:tmpl w:val="E4D2FD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D8D5AF4"/>
    <w:multiLevelType w:val="hybridMultilevel"/>
    <w:tmpl w:val="1076E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37290E"/>
    <w:multiLevelType w:val="hybridMultilevel"/>
    <w:tmpl w:val="0450D9FC"/>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3E13E2"/>
    <w:multiLevelType w:val="hybridMultilevel"/>
    <w:tmpl w:val="C1AA1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6E743A"/>
    <w:multiLevelType w:val="hybridMultilevel"/>
    <w:tmpl w:val="9040635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20B177F"/>
    <w:multiLevelType w:val="hybridMultilevel"/>
    <w:tmpl w:val="5F188870"/>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5D6142B"/>
    <w:multiLevelType w:val="hybridMultilevel"/>
    <w:tmpl w:val="C3C4D3A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EF3AB6"/>
    <w:multiLevelType w:val="hybridMultilevel"/>
    <w:tmpl w:val="AB06A304"/>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FE27C1D"/>
    <w:multiLevelType w:val="hybridMultilevel"/>
    <w:tmpl w:val="734EE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3B97739"/>
    <w:multiLevelType w:val="hybridMultilevel"/>
    <w:tmpl w:val="E42060C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65732E22"/>
    <w:multiLevelType w:val="hybridMultilevel"/>
    <w:tmpl w:val="723E457C"/>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5861AE9"/>
    <w:multiLevelType w:val="hybridMultilevel"/>
    <w:tmpl w:val="CEFC0F8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137B98"/>
    <w:multiLevelType w:val="hybridMultilevel"/>
    <w:tmpl w:val="7FAA06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D6210ED"/>
    <w:multiLevelType w:val="hybridMultilevel"/>
    <w:tmpl w:val="088676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8022A29"/>
    <w:multiLevelType w:val="hybridMultilevel"/>
    <w:tmpl w:val="221A8CA2"/>
    <w:lvl w:ilvl="0">
      <w:start w:val="1"/>
      <w:numFmt w:val="decimal"/>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E1123E2"/>
    <w:multiLevelType w:val="hybridMultilevel"/>
    <w:tmpl w:val="6E3C54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6"/>
  </w:num>
  <w:num w:numId="3">
    <w:abstractNumId w:val="14"/>
  </w:num>
  <w:num w:numId="4">
    <w:abstractNumId w:val="9"/>
  </w:num>
  <w:num w:numId="5">
    <w:abstractNumId w:val="2"/>
  </w:num>
  <w:num w:numId="6">
    <w:abstractNumId w:val="11"/>
  </w:num>
  <w:num w:numId="7">
    <w:abstractNumId w:val="3"/>
  </w:num>
  <w:num w:numId="8">
    <w:abstractNumId w:val="1"/>
  </w:num>
  <w:num w:numId="9">
    <w:abstractNumId w:val="4"/>
  </w:num>
  <w:num w:numId="10">
    <w:abstractNumId w:val="12"/>
  </w:num>
  <w:num w:numId="11">
    <w:abstractNumId w:val="8"/>
  </w:num>
  <w:num w:numId="12">
    <w:abstractNumId w:val="5"/>
  </w:num>
  <w:num w:numId="13">
    <w:abstractNumId w:val="7"/>
  </w:num>
  <w:num w:numId="14">
    <w:abstractNumId w:val="13"/>
  </w:num>
  <w:num w:numId="15">
    <w:abstractNumId w:val="15"/>
  </w:num>
  <w:num w:numId="16">
    <w:abstractNumId w:val="10"/>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06E"/>
    <w:rsid w:val="00000F52"/>
    <w:rsid w:val="00001137"/>
    <w:rsid w:val="00001221"/>
    <w:rsid w:val="00001E07"/>
    <w:rsid w:val="00002B97"/>
    <w:rsid w:val="00002F66"/>
    <w:rsid w:val="00003BDE"/>
    <w:rsid w:val="000043C4"/>
    <w:rsid w:val="00004563"/>
    <w:rsid w:val="000050E7"/>
    <w:rsid w:val="00005206"/>
    <w:rsid w:val="00005FC3"/>
    <w:rsid w:val="000066B8"/>
    <w:rsid w:val="000108EF"/>
    <w:rsid w:val="00011FD6"/>
    <w:rsid w:val="0001316E"/>
    <w:rsid w:val="00013C56"/>
    <w:rsid w:val="000143E1"/>
    <w:rsid w:val="00015236"/>
    <w:rsid w:val="00015657"/>
    <w:rsid w:val="00015EBE"/>
    <w:rsid w:val="00017A50"/>
    <w:rsid w:val="00017AFB"/>
    <w:rsid w:val="00020305"/>
    <w:rsid w:val="000209DC"/>
    <w:rsid w:val="00020E12"/>
    <w:rsid w:val="00020E32"/>
    <w:rsid w:val="000212B1"/>
    <w:rsid w:val="00021AD9"/>
    <w:rsid w:val="00021B7A"/>
    <w:rsid w:val="0002208C"/>
    <w:rsid w:val="00022513"/>
    <w:rsid w:val="00022573"/>
    <w:rsid w:val="00022632"/>
    <w:rsid w:val="000229D5"/>
    <w:rsid w:val="00022D7E"/>
    <w:rsid w:val="00022E4D"/>
    <w:rsid w:val="00023B75"/>
    <w:rsid w:val="00023DB2"/>
    <w:rsid w:val="00024E10"/>
    <w:rsid w:val="000254B3"/>
    <w:rsid w:val="00025E63"/>
    <w:rsid w:val="000263E6"/>
    <w:rsid w:val="0002720C"/>
    <w:rsid w:val="00027842"/>
    <w:rsid w:val="000300DD"/>
    <w:rsid w:val="000314A5"/>
    <w:rsid w:val="00031E64"/>
    <w:rsid w:val="0003300D"/>
    <w:rsid w:val="00033CDD"/>
    <w:rsid w:val="00033E6B"/>
    <w:rsid w:val="0003412B"/>
    <w:rsid w:val="000350F7"/>
    <w:rsid w:val="0003576D"/>
    <w:rsid w:val="00035BA8"/>
    <w:rsid w:val="00036114"/>
    <w:rsid w:val="00036A46"/>
    <w:rsid w:val="00036E65"/>
    <w:rsid w:val="00037ECA"/>
    <w:rsid w:val="000416EA"/>
    <w:rsid w:val="00041F41"/>
    <w:rsid w:val="000427E9"/>
    <w:rsid w:val="00042F38"/>
    <w:rsid w:val="00043B27"/>
    <w:rsid w:val="00043D4E"/>
    <w:rsid w:val="000440AF"/>
    <w:rsid w:val="00044D6A"/>
    <w:rsid w:val="000457B3"/>
    <w:rsid w:val="00046894"/>
    <w:rsid w:val="00047E47"/>
    <w:rsid w:val="00050597"/>
    <w:rsid w:val="000525E6"/>
    <w:rsid w:val="00052C17"/>
    <w:rsid w:val="00052E77"/>
    <w:rsid w:val="00053184"/>
    <w:rsid w:val="000542B0"/>
    <w:rsid w:val="000546A5"/>
    <w:rsid w:val="00055635"/>
    <w:rsid w:val="000557F9"/>
    <w:rsid w:val="00055B57"/>
    <w:rsid w:val="0005722F"/>
    <w:rsid w:val="0005772D"/>
    <w:rsid w:val="00057DB2"/>
    <w:rsid w:val="00060347"/>
    <w:rsid w:val="00060581"/>
    <w:rsid w:val="00060A91"/>
    <w:rsid w:val="00060E8C"/>
    <w:rsid w:val="00060EC6"/>
    <w:rsid w:val="00063E38"/>
    <w:rsid w:val="0006511F"/>
    <w:rsid w:val="00065809"/>
    <w:rsid w:val="00065B6F"/>
    <w:rsid w:val="0006607C"/>
    <w:rsid w:val="00066578"/>
    <w:rsid w:val="00071A49"/>
    <w:rsid w:val="00072B17"/>
    <w:rsid w:val="0007402E"/>
    <w:rsid w:val="00074367"/>
    <w:rsid w:val="00074DAE"/>
    <w:rsid w:val="000755B1"/>
    <w:rsid w:val="00076489"/>
    <w:rsid w:val="00077BE1"/>
    <w:rsid w:val="00080050"/>
    <w:rsid w:val="000800E7"/>
    <w:rsid w:val="000809E7"/>
    <w:rsid w:val="00080EC3"/>
    <w:rsid w:val="00081AA3"/>
    <w:rsid w:val="00082025"/>
    <w:rsid w:val="00082248"/>
    <w:rsid w:val="000823E4"/>
    <w:rsid w:val="00082ACD"/>
    <w:rsid w:val="00082B0F"/>
    <w:rsid w:val="00083D09"/>
    <w:rsid w:val="00086676"/>
    <w:rsid w:val="0008690E"/>
    <w:rsid w:val="000876C0"/>
    <w:rsid w:val="00090383"/>
    <w:rsid w:val="000904E0"/>
    <w:rsid w:val="000905DA"/>
    <w:rsid w:val="000907A1"/>
    <w:rsid w:val="000909C4"/>
    <w:rsid w:val="00092889"/>
    <w:rsid w:val="00094150"/>
    <w:rsid w:val="00094583"/>
    <w:rsid w:val="00094B70"/>
    <w:rsid w:val="00094C68"/>
    <w:rsid w:val="00096835"/>
    <w:rsid w:val="00097924"/>
    <w:rsid w:val="000979AB"/>
    <w:rsid w:val="000A0293"/>
    <w:rsid w:val="000A2A0A"/>
    <w:rsid w:val="000A2C67"/>
    <w:rsid w:val="000A3259"/>
    <w:rsid w:val="000A4B57"/>
    <w:rsid w:val="000A6F32"/>
    <w:rsid w:val="000A7705"/>
    <w:rsid w:val="000B2723"/>
    <w:rsid w:val="000B2810"/>
    <w:rsid w:val="000B30BA"/>
    <w:rsid w:val="000B31CC"/>
    <w:rsid w:val="000B498E"/>
    <w:rsid w:val="000B4D0B"/>
    <w:rsid w:val="000B5183"/>
    <w:rsid w:val="000B5E0A"/>
    <w:rsid w:val="000B6067"/>
    <w:rsid w:val="000B644C"/>
    <w:rsid w:val="000B6558"/>
    <w:rsid w:val="000B7ACA"/>
    <w:rsid w:val="000C0A3B"/>
    <w:rsid w:val="000C0E41"/>
    <w:rsid w:val="000C0E93"/>
    <w:rsid w:val="000C152B"/>
    <w:rsid w:val="000C1AEF"/>
    <w:rsid w:val="000C2001"/>
    <w:rsid w:val="000C26B9"/>
    <w:rsid w:val="000C2F8C"/>
    <w:rsid w:val="000C3189"/>
    <w:rsid w:val="000C35F4"/>
    <w:rsid w:val="000C5153"/>
    <w:rsid w:val="000C53A3"/>
    <w:rsid w:val="000C5A28"/>
    <w:rsid w:val="000C5F66"/>
    <w:rsid w:val="000C6BB6"/>
    <w:rsid w:val="000D0945"/>
    <w:rsid w:val="000D18EB"/>
    <w:rsid w:val="000D1DDA"/>
    <w:rsid w:val="000D256D"/>
    <w:rsid w:val="000D2BD8"/>
    <w:rsid w:val="000D334D"/>
    <w:rsid w:val="000D3A0B"/>
    <w:rsid w:val="000D5800"/>
    <w:rsid w:val="000D665B"/>
    <w:rsid w:val="000D6A57"/>
    <w:rsid w:val="000D6F6D"/>
    <w:rsid w:val="000D7A08"/>
    <w:rsid w:val="000E16E0"/>
    <w:rsid w:val="000E1A3D"/>
    <w:rsid w:val="000E22D5"/>
    <w:rsid w:val="000E284D"/>
    <w:rsid w:val="000E2A2D"/>
    <w:rsid w:val="000E3022"/>
    <w:rsid w:val="000E3501"/>
    <w:rsid w:val="000E4EEF"/>
    <w:rsid w:val="000E5EB6"/>
    <w:rsid w:val="000E6767"/>
    <w:rsid w:val="000E67CD"/>
    <w:rsid w:val="000E69CF"/>
    <w:rsid w:val="000F0B4E"/>
    <w:rsid w:val="000F1A6D"/>
    <w:rsid w:val="000F2188"/>
    <w:rsid w:val="000F37A3"/>
    <w:rsid w:val="000F3E84"/>
    <w:rsid w:val="000F448E"/>
    <w:rsid w:val="000F4DC7"/>
    <w:rsid w:val="000F7125"/>
    <w:rsid w:val="000F71FC"/>
    <w:rsid w:val="001001EC"/>
    <w:rsid w:val="0010052F"/>
    <w:rsid w:val="00100DF9"/>
    <w:rsid w:val="00101758"/>
    <w:rsid w:val="00101BDD"/>
    <w:rsid w:val="001035CE"/>
    <w:rsid w:val="00103B65"/>
    <w:rsid w:val="00103E2E"/>
    <w:rsid w:val="00104A93"/>
    <w:rsid w:val="00105296"/>
    <w:rsid w:val="00105981"/>
    <w:rsid w:val="0010637E"/>
    <w:rsid w:val="00106D7C"/>
    <w:rsid w:val="00106FE9"/>
    <w:rsid w:val="00107BA3"/>
    <w:rsid w:val="00107D25"/>
    <w:rsid w:val="00110631"/>
    <w:rsid w:val="00110BB5"/>
    <w:rsid w:val="001124C2"/>
    <w:rsid w:val="00113E42"/>
    <w:rsid w:val="00114EB1"/>
    <w:rsid w:val="001169AF"/>
    <w:rsid w:val="0011742E"/>
    <w:rsid w:val="0011769D"/>
    <w:rsid w:val="001179CF"/>
    <w:rsid w:val="00117E8E"/>
    <w:rsid w:val="00120D0E"/>
    <w:rsid w:val="00121322"/>
    <w:rsid w:val="00121AFE"/>
    <w:rsid w:val="0012236C"/>
    <w:rsid w:val="0012269F"/>
    <w:rsid w:val="00123344"/>
    <w:rsid w:val="0012518C"/>
    <w:rsid w:val="00125706"/>
    <w:rsid w:val="00125D64"/>
    <w:rsid w:val="0012618B"/>
    <w:rsid w:val="001268A0"/>
    <w:rsid w:val="00126A12"/>
    <w:rsid w:val="001274B8"/>
    <w:rsid w:val="00127DF8"/>
    <w:rsid w:val="00130B4A"/>
    <w:rsid w:val="00130B78"/>
    <w:rsid w:val="00130B96"/>
    <w:rsid w:val="00132333"/>
    <w:rsid w:val="00132816"/>
    <w:rsid w:val="001353F4"/>
    <w:rsid w:val="00135437"/>
    <w:rsid w:val="0013546B"/>
    <w:rsid w:val="001362B6"/>
    <w:rsid w:val="00136C65"/>
    <w:rsid w:val="0013780C"/>
    <w:rsid w:val="001378A5"/>
    <w:rsid w:val="0014037C"/>
    <w:rsid w:val="00142C9C"/>
    <w:rsid w:val="001436AB"/>
    <w:rsid w:val="00144419"/>
    <w:rsid w:val="001446CC"/>
    <w:rsid w:val="0014546D"/>
    <w:rsid w:val="001468E7"/>
    <w:rsid w:val="00146C5E"/>
    <w:rsid w:val="001471FF"/>
    <w:rsid w:val="0015151B"/>
    <w:rsid w:val="00151F0C"/>
    <w:rsid w:val="00152871"/>
    <w:rsid w:val="0015298E"/>
    <w:rsid w:val="001534D3"/>
    <w:rsid w:val="001537F1"/>
    <w:rsid w:val="00154E73"/>
    <w:rsid w:val="00155688"/>
    <w:rsid w:val="00156090"/>
    <w:rsid w:val="0015694C"/>
    <w:rsid w:val="00156A84"/>
    <w:rsid w:val="00156C0A"/>
    <w:rsid w:val="0015721D"/>
    <w:rsid w:val="00157322"/>
    <w:rsid w:val="0015742F"/>
    <w:rsid w:val="0015797D"/>
    <w:rsid w:val="0016041E"/>
    <w:rsid w:val="00160BCA"/>
    <w:rsid w:val="0016355F"/>
    <w:rsid w:val="0016371B"/>
    <w:rsid w:val="00164E61"/>
    <w:rsid w:val="001652DC"/>
    <w:rsid w:val="00166782"/>
    <w:rsid w:val="00166907"/>
    <w:rsid w:val="001670FB"/>
    <w:rsid w:val="00167B6A"/>
    <w:rsid w:val="00170168"/>
    <w:rsid w:val="00171360"/>
    <w:rsid w:val="00174080"/>
    <w:rsid w:val="00175160"/>
    <w:rsid w:val="001751FF"/>
    <w:rsid w:val="0017543B"/>
    <w:rsid w:val="001779C0"/>
    <w:rsid w:val="00177BF6"/>
    <w:rsid w:val="00177CFB"/>
    <w:rsid w:val="00181E5B"/>
    <w:rsid w:val="00182F77"/>
    <w:rsid w:val="00183C39"/>
    <w:rsid w:val="00184D5E"/>
    <w:rsid w:val="001857D4"/>
    <w:rsid w:val="00185F6D"/>
    <w:rsid w:val="001874C7"/>
    <w:rsid w:val="00187732"/>
    <w:rsid w:val="001916A0"/>
    <w:rsid w:val="00191954"/>
    <w:rsid w:val="00191C0B"/>
    <w:rsid w:val="001934A2"/>
    <w:rsid w:val="00193FC7"/>
    <w:rsid w:val="0019460B"/>
    <w:rsid w:val="00195145"/>
    <w:rsid w:val="001958FA"/>
    <w:rsid w:val="00196081"/>
    <w:rsid w:val="00196D97"/>
    <w:rsid w:val="001A0761"/>
    <w:rsid w:val="001A0FA0"/>
    <w:rsid w:val="001A12F4"/>
    <w:rsid w:val="001A16B4"/>
    <w:rsid w:val="001A2713"/>
    <w:rsid w:val="001A33BC"/>
    <w:rsid w:val="001A39C7"/>
    <w:rsid w:val="001A4D56"/>
    <w:rsid w:val="001A582D"/>
    <w:rsid w:val="001A5CF1"/>
    <w:rsid w:val="001A6044"/>
    <w:rsid w:val="001A614F"/>
    <w:rsid w:val="001A65D3"/>
    <w:rsid w:val="001A669E"/>
    <w:rsid w:val="001A6742"/>
    <w:rsid w:val="001A6997"/>
    <w:rsid w:val="001A7440"/>
    <w:rsid w:val="001B0582"/>
    <w:rsid w:val="001B0681"/>
    <w:rsid w:val="001B426F"/>
    <w:rsid w:val="001B4A48"/>
    <w:rsid w:val="001B6D08"/>
    <w:rsid w:val="001B73E3"/>
    <w:rsid w:val="001B77CC"/>
    <w:rsid w:val="001B7E3B"/>
    <w:rsid w:val="001C0FAE"/>
    <w:rsid w:val="001C13C6"/>
    <w:rsid w:val="001C1B21"/>
    <w:rsid w:val="001C26F5"/>
    <w:rsid w:val="001C2C67"/>
    <w:rsid w:val="001C38CB"/>
    <w:rsid w:val="001C414F"/>
    <w:rsid w:val="001C5134"/>
    <w:rsid w:val="001C54C8"/>
    <w:rsid w:val="001C55FB"/>
    <w:rsid w:val="001C5737"/>
    <w:rsid w:val="001C59B6"/>
    <w:rsid w:val="001C668A"/>
    <w:rsid w:val="001C7049"/>
    <w:rsid w:val="001C76EC"/>
    <w:rsid w:val="001D0548"/>
    <w:rsid w:val="001D09CE"/>
    <w:rsid w:val="001D0E0E"/>
    <w:rsid w:val="001D119C"/>
    <w:rsid w:val="001D179F"/>
    <w:rsid w:val="001D1BA8"/>
    <w:rsid w:val="001D25F4"/>
    <w:rsid w:val="001D3863"/>
    <w:rsid w:val="001D38CD"/>
    <w:rsid w:val="001D4BD6"/>
    <w:rsid w:val="001D5FFA"/>
    <w:rsid w:val="001D66D1"/>
    <w:rsid w:val="001D68FA"/>
    <w:rsid w:val="001D69FF"/>
    <w:rsid w:val="001D6B31"/>
    <w:rsid w:val="001D724A"/>
    <w:rsid w:val="001D784F"/>
    <w:rsid w:val="001D7D45"/>
    <w:rsid w:val="001E0077"/>
    <w:rsid w:val="001E0562"/>
    <w:rsid w:val="001E0E87"/>
    <w:rsid w:val="001E11E2"/>
    <w:rsid w:val="001E1364"/>
    <w:rsid w:val="001E1C70"/>
    <w:rsid w:val="001E268F"/>
    <w:rsid w:val="001E3EDD"/>
    <w:rsid w:val="001E53D6"/>
    <w:rsid w:val="001E5741"/>
    <w:rsid w:val="001E59F8"/>
    <w:rsid w:val="001E68FE"/>
    <w:rsid w:val="001E7057"/>
    <w:rsid w:val="001E77C7"/>
    <w:rsid w:val="001E79B2"/>
    <w:rsid w:val="001F1357"/>
    <w:rsid w:val="001F1C05"/>
    <w:rsid w:val="001F1C7E"/>
    <w:rsid w:val="001F1D61"/>
    <w:rsid w:val="001F2129"/>
    <w:rsid w:val="001F2C4C"/>
    <w:rsid w:val="001F2E9C"/>
    <w:rsid w:val="001F3D07"/>
    <w:rsid w:val="001F4443"/>
    <w:rsid w:val="001F4734"/>
    <w:rsid w:val="001F49B8"/>
    <w:rsid w:val="001F4AA5"/>
    <w:rsid w:val="001F4B26"/>
    <w:rsid w:val="001F5BC1"/>
    <w:rsid w:val="001F5CEB"/>
    <w:rsid w:val="001F67A5"/>
    <w:rsid w:val="001F6860"/>
    <w:rsid w:val="001F6F60"/>
    <w:rsid w:val="001F7282"/>
    <w:rsid w:val="001F72AC"/>
    <w:rsid w:val="001F738E"/>
    <w:rsid w:val="001F742D"/>
    <w:rsid w:val="001F775C"/>
    <w:rsid w:val="001F7817"/>
    <w:rsid w:val="001F79C6"/>
    <w:rsid w:val="002002FD"/>
    <w:rsid w:val="00200354"/>
    <w:rsid w:val="00200B0F"/>
    <w:rsid w:val="00200CAF"/>
    <w:rsid w:val="0020180D"/>
    <w:rsid w:val="00201AA6"/>
    <w:rsid w:val="0020294B"/>
    <w:rsid w:val="00202C05"/>
    <w:rsid w:val="00202C21"/>
    <w:rsid w:val="00202C71"/>
    <w:rsid w:val="00203006"/>
    <w:rsid w:val="00203B69"/>
    <w:rsid w:val="00203FD8"/>
    <w:rsid w:val="00204523"/>
    <w:rsid w:val="0020577C"/>
    <w:rsid w:val="0020587E"/>
    <w:rsid w:val="0020646E"/>
    <w:rsid w:val="00206E6F"/>
    <w:rsid w:val="0020734B"/>
    <w:rsid w:val="00210199"/>
    <w:rsid w:val="00211955"/>
    <w:rsid w:val="00211F9A"/>
    <w:rsid w:val="00212FA7"/>
    <w:rsid w:val="00213A42"/>
    <w:rsid w:val="00213B65"/>
    <w:rsid w:val="0021410F"/>
    <w:rsid w:val="00214222"/>
    <w:rsid w:val="002145DB"/>
    <w:rsid w:val="002150F2"/>
    <w:rsid w:val="00215281"/>
    <w:rsid w:val="002164A0"/>
    <w:rsid w:val="0021674C"/>
    <w:rsid w:val="00216F7D"/>
    <w:rsid w:val="002175B9"/>
    <w:rsid w:val="002179CB"/>
    <w:rsid w:val="00217ED0"/>
    <w:rsid w:val="002200FE"/>
    <w:rsid w:val="002206DB"/>
    <w:rsid w:val="00220B78"/>
    <w:rsid w:val="00221618"/>
    <w:rsid w:val="002219F5"/>
    <w:rsid w:val="00223D95"/>
    <w:rsid w:val="00223E17"/>
    <w:rsid w:val="00224055"/>
    <w:rsid w:val="0022420F"/>
    <w:rsid w:val="00224226"/>
    <w:rsid w:val="0022527D"/>
    <w:rsid w:val="00225398"/>
    <w:rsid w:val="00226BE4"/>
    <w:rsid w:val="0023071E"/>
    <w:rsid w:val="002307E5"/>
    <w:rsid w:val="00230ABD"/>
    <w:rsid w:val="00232E84"/>
    <w:rsid w:val="002346CF"/>
    <w:rsid w:val="00234FBB"/>
    <w:rsid w:val="00235781"/>
    <w:rsid w:val="00235A01"/>
    <w:rsid w:val="00236164"/>
    <w:rsid w:val="002361EE"/>
    <w:rsid w:val="002370D5"/>
    <w:rsid w:val="00237241"/>
    <w:rsid w:val="002372CE"/>
    <w:rsid w:val="002400BD"/>
    <w:rsid w:val="00241CD0"/>
    <w:rsid w:val="00243DFB"/>
    <w:rsid w:val="00244A46"/>
    <w:rsid w:val="002458B6"/>
    <w:rsid w:val="0024604A"/>
    <w:rsid w:val="00246342"/>
    <w:rsid w:val="00246A84"/>
    <w:rsid w:val="00250072"/>
    <w:rsid w:val="0025063D"/>
    <w:rsid w:val="00250874"/>
    <w:rsid w:val="00250F57"/>
    <w:rsid w:val="002514DA"/>
    <w:rsid w:val="002523DA"/>
    <w:rsid w:val="0025246D"/>
    <w:rsid w:val="00252E4F"/>
    <w:rsid w:val="002538FC"/>
    <w:rsid w:val="00255142"/>
    <w:rsid w:val="002551E3"/>
    <w:rsid w:val="00256B06"/>
    <w:rsid w:val="0025739C"/>
    <w:rsid w:val="0025763E"/>
    <w:rsid w:val="002576C5"/>
    <w:rsid w:val="0025792A"/>
    <w:rsid w:val="002603E1"/>
    <w:rsid w:val="002611D9"/>
    <w:rsid w:val="00261583"/>
    <w:rsid w:val="00261957"/>
    <w:rsid w:val="00261D20"/>
    <w:rsid w:val="002626E0"/>
    <w:rsid w:val="00263F99"/>
    <w:rsid w:val="002641CB"/>
    <w:rsid w:val="00264EC5"/>
    <w:rsid w:val="0026559E"/>
    <w:rsid w:val="0026647B"/>
    <w:rsid w:val="00267293"/>
    <w:rsid w:val="0026748F"/>
    <w:rsid w:val="002678E0"/>
    <w:rsid w:val="0026796B"/>
    <w:rsid w:val="00270D8C"/>
    <w:rsid w:val="00271565"/>
    <w:rsid w:val="00271D97"/>
    <w:rsid w:val="00271F0B"/>
    <w:rsid w:val="00272405"/>
    <w:rsid w:val="00272536"/>
    <w:rsid w:val="002727B5"/>
    <w:rsid w:val="00272898"/>
    <w:rsid w:val="0027368E"/>
    <w:rsid w:val="002740DD"/>
    <w:rsid w:val="002741D0"/>
    <w:rsid w:val="0027446C"/>
    <w:rsid w:val="00274963"/>
    <w:rsid w:val="00275257"/>
    <w:rsid w:val="002758CE"/>
    <w:rsid w:val="00276686"/>
    <w:rsid w:val="002769EB"/>
    <w:rsid w:val="0027716F"/>
    <w:rsid w:val="0027734B"/>
    <w:rsid w:val="002779A7"/>
    <w:rsid w:val="0028070D"/>
    <w:rsid w:val="00280BEF"/>
    <w:rsid w:val="00282D48"/>
    <w:rsid w:val="0028385D"/>
    <w:rsid w:val="002846EF"/>
    <w:rsid w:val="00284A87"/>
    <w:rsid w:val="00284DDC"/>
    <w:rsid w:val="002865CD"/>
    <w:rsid w:val="00287852"/>
    <w:rsid w:val="00290053"/>
    <w:rsid w:val="002905F0"/>
    <w:rsid w:val="00290AB4"/>
    <w:rsid w:val="00291109"/>
    <w:rsid w:val="002917ED"/>
    <w:rsid w:val="00291AC3"/>
    <w:rsid w:val="002921FA"/>
    <w:rsid w:val="002935E3"/>
    <w:rsid w:val="0029482B"/>
    <w:rsid w:val="0029502F"/>
    <w:rsid w:val="002953D6"/>
    <w:rsid w:val="00295ED2"/>
    <w:rsid w:val="002960B1"/>
    <w:rsid w:val="00296725"/>
    <w:rsid w:val="0029716F"/>
    <w:rsid w:val="002978EC"/>
    <w:rsid w:val="00297FD1"/>
    <w:rsid w:val="002A00C6"/>
    <w:rsid w:val="002A08EF"/>
    <w:rsid w:val="002A16BF"/>
    <w:rsid w:val="002A2067"/>
    <w:rsid w:val="002A231D"/>
    <w:rsid w:val="002A23CF"/>
    <w:rsid w:val="002A447E"/>
    <w:rsid w:val="002A44FB"/>
    <w:rsid w:val="002A4CFB"/>
    <w:rsid w:val="002A5596"/>
    <w:rsid w:val="002A5F36"/>
    <w:rsid w:val="002A6DAF"/>
    <w:rsid w:val="002B0DAE"/>
    <w:rsid w:val="002B1AAE"/>
    <w:rsid w:val="002B2248"/>
    <w:rsid w:val="002B263E"/>
    <w:rsid w:val="002B663A"/>
    <w:rsid w:val="002B6812"/>
    <w:rsid w:val="002B6C5E"/>
    <w:rsid w:val="002C07FC"/>
    <w:rsid w:val="002C0D83"/>
    <w:rsid w:val="002C115F"/>
    <w:rsid w:val="002C1F37"/>
    <w:rsid w:val="002C2E92"/>
    <w:rsid w:val="002C3188"/>
    <w:rsid w:val="002C35D2"/>
    <w:rsid w:val="002C3931"/>
    <w:rsid w:val="002C3E6D"/>
    <w:rsid w:val="002C45F2"/>
    <w:rsid w:val="002C61C1"/>
    <w:rsid w:val="002C6F6F"/>
    <w:rsid w:val="002C7F76"/>
    <w:rsid w:val="002D062B"/>
    <w:rsid w:val="002D1E8A"/>
    <w:rsid w:val="002D2246"/>
    <w:rsid w:val="002D28FD"/>
    <w:rsid w:val="002D3773"/>
    <w:rsid w:val="002D46FD"/>
    <w:rsid w:val="002D49D2"/>
    <w:rsid w:val="002D4A6B"/>
    <w:rsid w:val="002D4C08"/>
    <w:rsid w:val="002D50E5"/>
    <w:rsid w:val="002D5761"/>
    <w:rsid w:val="002D5844"/>
    <w:rsid w:val="002D64F2"/>
    <w:rsid w:val="002D65A5"/>
    <w:rsid w:val="002D67A0"/>
    <w:rsid w:val="002D73A5"/>
    <w:rsid w:val="002D7DE2"/>
    <w:rsid w:val="002E0D9F"/>
    <w:rsid w:val="002E136D"/>
    <w:rsid w:val="002E1434"/>
    <w:rsid w:val="002E17FC"/>
    <w:rsid w:val="002E1D19"/>
    <w:rsid w:val="002E2AC5"/>
    <w:rsid w:val="002E3475"/>
    <w:rsid w:val="002E4046"/>
    <w:rsid w:val="002E4B77"/>
    <w:rsid w:val="002E5699"/>
    <w:rsid w:val="002E57C2"/>
    <w:rsid w:val="002E5F83"/>
    <w:rsid w:val="002E7047"/>
    <w:rsid w:val="002F0B10"/>
    <w:rsid w:val="002F0E59"/>
    <w:rsid w:val="002F163D"/>
    <w:rsid w:val="002F33FC"/>
    <w:rsid w:val="002F419B"/>
    <w:rsid w:val="002F4A48"/>
    <w:rsid w:val="002F669B"/>
    <w:rsid w:val="002F683E"/>
    <w:rsid w:val="002F780F"/>
    <w:rsid w:val="002F7E0E"/>
    <w:rsid w:val="0030063A"/>
    <w:rsid w:val="00301CD2"/>
    <w:rsid w:val="00301FFB"/>
    <w:rsid w:val="0030239A"/>
    <w:rsid w:val="00302CA6"/>
    <w:rsid w:val="00302DD2"/>
    <w:rsid w:val="00303026"/>
    <w:rsid w:val="00304825"/>
    <w:rsid w:val="00304837"/>
    <w:rsid w:val="003049DD"/>
    <w:rsid w:val="00304A17"/>
    <w:rsid w:val="003055B0"/>
    <w:rsid w:val="00305F25"/>
    <w:rsid w:val="00307776"/>
    <w:rsid w:val="003078AB"/>
    <w:rsid w:val="003121B5"/>
    <w:rsid w:val="00312248"/>
    <w:rsid w:val="00312480"/>
    <w:rsid w:val="00312A79"/>
    <w:rsid w:val="00313AF6"/>
    <w:rsid w:val="0031468C"/>
    <w:rsid w:val="00314CF8"/>
    <w:rsid w:val="003151D5"/>
    <w:rsid w:val="00315AD6"/>
    <w:rsid w:val="00316952"/>
    <w:rsid w:val="00316E05"/>
    <w:rsid w:val="00317886"/>
    <w:rsid w:val="00320541"/>
    <w:rsid w:val="00321A5F"/>
    <w:rsid w:val="0032239E"/>
    <w:rsid w:val="0032290E"/>
    <w:rsid w:val="00322FFB"/>
    <w:rsid w:val="003236FA"/>
    <w:rsid w:val="003238C1"/>
    <w:rsid w:val="00323952"/>
    <w:rsid w:val="00323982"/>
    <w:rsid w:val="00324D9E"/>
    <w:rsid w:val="003265EF"/>
    <w:rsid w:val="00326CEF"/>
    <w:rsid w:val="00327833"/>
    <w:rsid w:val="00331DA8"/>
    <w:rsid w:val="00333B87"/>
    <w:rsid w:val="003357BA"/>
    <w:rsid w:val="003358CB"/>
    <w:rsid w:val="00337E9B"/>
    <w:rsid w:val="00340730"/>
    <w:rsid w:val="00340813"/>
    <w:rsid w:val="00340C22"/>
    <w:rsid w:val="00341D07"/>
    <w:rsid w:val="003437AD"/>
    <w:rsid w:val="003439C9"/>
    <w:rsid w:val="00343F64"/>
    <w:rsid w:val="003441B4"/>
    <w:rsid w:val="00344215"/>
    <w:rsid w:val="0034478D"/>
    <w:rsid w:val="00344D4E"/>
    <w:rsid w:val="003452C1"/>
    <w:rsid w:val="00346280"/>
    <w:rsid w:val="00346490"/>
    <w:rsid w:val="00346ABC"/>
    <w:rsid w:val="00346F48"/>
    <w:rsid w:val="003478AD"/>
    <w:rsid w:val="00347937"/>
    <w:rsid w:val="00347DA9"/>
    <w:rsid w:val="00353D83"/>
    <w:rsid w:val="00354277"/>
    <w:rsid w:val="00354FB1"/>
    <w:rsid w:val="00355EFE"/>
    <w:rsid w:val="003566FA"/>
    <w:rsid w:val="00356FFF"/>
    <w:rsid w:val="00360412"/>
    <w:rsid w:val="00360693"/>
    <w:rsid w:val="00360AC3"/>
    <w:rsid w:val="003620F5"/>
    <w:rsid w:val="003629DF"/>
    <w:rsid w:val="003632B6"/>
    <w:rsid w:val="00365282"/>
    <w:rsid w:val="0036530D"/>
    <w:rsid w:val="00365A1D"/>
    <w:rsid w:val="00365FF0"/>
    <w:rsid w:val="00366C62"/>
    <w:rsid w:val="00367456"/>
    <w:rsid w:val="00370202"/>
    <w:rsid w:val="0037200C"/>
    <w:rsid w:val="003724F2"/>
    <w:rsid w:val="00372D6C"/>
    <w:rsid w:val="00372FBF"/>
    <w:rsid w:val="00373201"/>
    <w:rsid w:val="0037462A"/>
    <w:rsid w:val="00374D82"/>
    <w:rsid w:val="00375E00"/>
    <w:rsid w:val="00375F8D"/>
    <w:rsid w:val="00376B0D"/>
    <w:rsid w:val="00376DC9"/>
    <w:rsid w:val="00377D1E"/>
    <w:rsid w:val="003813E1"/>
    <w:rsid w:val="00381BFB"/>
    <w:rsid w:val="003821FA"/>
    <w:rsid w:val="00382E7B"/>
    <w:rsid w:val="0038305B"/>
    <w:rsid w:val="003831D7"/>
    <w:rsid w:val="00384059"/>
    <w:rsid w:val="0038442B"/>
    <w:rsid w:val="003850D1"/>
    <w:rsid w:val="003856ED"/>
    <w:rsid w:val="00385856"/>
    <w:rsid w:val="003863B0"/>
    <w:rsid w:val="00386990"/>
    <w:rsid w:val="00386AA7"/>
    <w:rsid w:val="00386B19"/>
    <w:rsid w:val="00386B92"/>
    <w:rsid w:val="00387F2C"/>
    <w:rsid w:val="003900F2"/>
    <w:rsid w:val="00390348"/>
    <w:rsid w:val="003905D3"/>
    <w:rsid w:val="003915C4"/>
    <w:rsid w:val="003922F2"/>
    <w:rsid w:val="00393111"/>
    <w:rsid w:val="0039417A"/>
    <w:rsid w:val="003943E8"/>
    <w:rsid w:val="00394D32"/>
    <w:rsid w:val="00395548"/>
    <w:rsid w:val="00395897"/>
    <w:rsid w:val="00397ECF"/>
    <w:rsid w:val="003A01B7"/>
    <w:rsid w:val="003A125A"/>
    <w:rsid w:val="003A192D"/>
    <w:rsid w:val="003A1983"/>
    <w:rsid w:val="003A2183"/>
    <w:rsid w:val="003A2231"/>
    <w:rsid w:val="003A38AB"/>
    <w:rsid w:val="003A3ADA"/>
    <w:rsid w:val="003A407E"/>
    <w:rsid w:val="003A4E51"/>
    <w:rsid w:val="003A4F49"/>
    <w:rsid w:val="003A5E07"/>
    <w:rsid w:val="003A6087"/>
    <w:rsid w:val="003A63DF"/>
    <w:rsid w:val="003A7C92"/>
    <w:rsid w:val="003B1413"/>
    <w:rsid w:val="003B1B73"/>
    <w:rsid w:val="003B1D00"/>
    <w:rsid w:val="003B217A"/>
    <w:rsid w:val="003B2EFE"/>
    <w:rsid w:val="003B444C"/>
    <w:rsid w:val="003B57BF"/>
    <w:rsid w:val="003B589F"/>
    <w:rsid w:val="003B591C"/>
    <w:rsid w:val="003B5934"/>
    <w:rsid w:val="003B620B"/>
    <w:rsid w:val="003B6FDB"/>
    <w:rsid w:val="003B78A4"/>
    <w:rsid w:val="003C1F84"/>
    <w:rsid w:val="003C4B7F"/>
    <w:rsid w:val="003C6022"/>
    <w:rsid w:val="003C62E5"/>
    <w:rsid w:val="003C7357"/>
    <w:rsid w:val="003C7B07"/>
    <w:rsid w:val="003D02AF"/>
    <w:rsid w:val="003D0584"/>
    <w:rsid w:val="003D1681"/>
    <w:rsid w:val="003D277E"/>
    <w:rsid w:val="003D528F"/>
    <w:rsid w:val="003D6580"/>
    <w:rsid w:val="003D6923"/>
    <w:rsid w:val="003D6C27"/>
    <w:rsid w:val="003D6C2C"/>
    <w:rsid w:val="003D702A"/>
    <w:rsid w:val="003D73D9"/>
    <w:rsid w:val="003D76A2"/>
    <w:rsid w:val="003D7C7E"/>
    <w:rsid w:val="003E0868"/>
    <w:rsid w:val="003E21B4"/>
    <w:rsid w:val="003E2AB9"/>
    <w:rsid w:val="003E31D2"/>
    <w:rsid w:val="003E37EA"/>
    <w:rsid w:val="003E4751"/>
    <w:rsid w:val="003E4D58"/>
    <w:rsid w:val="003E64B9"/>
    <w:rsid w:val="003E69BC"/>
    <w:rsid w:val="003E7B74"/>
    <w:rsid w:val="003F09CC"/>
    <w:rsid w:val="003F0A85"/>
    <w:rsid w:val="003F117E"/>
    <w:rsid w:val="003F3828"/>
    <w:rsid w:val="003F3882"/>
    <w:rsid w:val="003F5659"/>
    <w:rsid w:val="003F73CA"/>
    <w:rsid w:val="003F747A"/>
    <w:rsid w:val="003F7907"/>
    <w:rsid w:val="00400CA0"/>
    <w:rsid w:val="00400FBE"/>
    <w:rsid w:val="00401092"/>
    <w:rsid w:val="004014BC"/>
    <w:rsid w:val="0040173A"/>
    <w:rsid w:val="004022CD"/>
    <w:rsid w:val="004027D7"/>
    <w:rsid w:val="0040335B"/>
    <w:rsid w:val="0040345B"/>
    <w:rsid w:val="00403DA8"/>
    <w:rsid w:val="0040673A"/>
    <w:rsid w:val="00407327"/>
    <w:rsid w:val="004075D7"/>
    <w:rsid w:val="00407721"/>
    <w:rsid w:val="00407AB6"/>
    <w:rsid w:val="00407F24"/>
    <w:rsid w:val="004109DE"/>
    <w:rsid w:val="00411713"/>
    <w:rsid w:val="00411AB5"/>
    <w:rsid w:val="00411CCF"/>
    <w:rsid w:val="0041214B"/>
    <w:rsid w:val="004126DA"/>
    <w:rsid w:val="004136BA"/>
    <w:rsid w:val="004141F0"/>
    <w:rsid w:val="004148C9"/>
    <w:rsid w:val="004150EA"/>
    <w:rsid w:val="00415A94"/>
    <w:rsid w:val="0041632A"/>
    <w:rsid w:val="00416993"/>
    <w:rsid w:val="00416EB8"/>
    <w:rsid w:val="00417A99"/>
    <w:rsid w:val="004215FD"/>
    <w:rsid w:val="00421C8E"/>
    <w:rsid w:val="004237A8"/>
    <w:rsid w:val="004242FE"/>
    <w:rsid w:val="004253BB"/>
    <w:rsid w:val="0042592F"/>
    <w:rsid w:val="00425AD9"/>
    <w:rsid w:val="0042638F"/>
    <w:rsid w:val="00426A4E"/>
    <w:rsid w:val="0042772F"/>
    <w:rsid w:val="00427ECB"/>
    <w:rsid w:val="00430D1B"/>
    <w:rsid w:val="0043115F"/>
    <w:rsid w:val="004311A7"/>
    <w:rsid w:val="004319AE"/>
    <w:rsid w:val="00431F06"/>
    <w:rsid w:val="00432F48"/>
    <w:rsid w:val="0043314D"/>
    <w:rsid w:val="0043411A"/>
    <w:rsid w:val="004349C3"/>
    <w:rsid w:val="0043639F"/>
    <w:rsid w:val="004368CA"/>
    <w:rsid w:val="004369D4"/>
    <w:rsid w:val="00436D6A"/>
    <w:rsid w:val="004377A5"/>
    <w:rsid w:val="00437A6F"/>
    <w:rsid w:val="00440FB1"/>
    <w:rsid w:val="004410E2"/>
    <w:rsid w:val="004412A9"/>
    <w:rsid w:val="0044131A"/>
    <w:rsid w:val="00441CFA"/>
    <w:rsid w:val="00442F0C"/>
    <w:rsid w:val="0044307D"/>
    <w:rsid w:val="004454B8"/>
    <w:rsid w:val="004456D4"/>
    <w:rsid w:val="00445D8C"/>
    <w:rsid w:val="00445DDE"/>
    <w:rsid w:val="00446B29"/>
    <w:rsid w:val="00450BA3"/>
    <w:rsid w:val="00450F1E"/>
    <w:rsid w:val="0045101F"/>
    <w:rsid w:val="004523BB"/>
    <w:rsid w:val="00453B41"/>
    <w:rsid w:val="00454296"/>
    <w:rsid w:val="00454A88"/>
    <w:rsid w:val="004551F8"/>
    <w:rsid w:val="004566A7"/>
    <w:rsid w:val="00456E19"/>
    <w:rsid w:val="0045713D"/>
    <w:rsid w:val="004578A7"/>
    <w:rsid w:val="00457B91"/>
    <w:rsid w:val="00460496"/>
    <w:rsid w:val="00460A57"/>
    <w:rsid w:val="00460BA0"/>
    <w:rsid w:val="00461705"/>
    <w:rsid w:val="00461AD3"/>
    <w:rsid w:val="00461E66"/>
    <w:rsid w:val="00462DBB"/>
    <w:rsid w:val="00462F93"/>
    <w:rsid w:val="00463918"/>
    <w:rsid w:val="00463AFC"/>
    <w:rsid w:val="00465059"/>
    <w:rsid w:val="0046613A"/>
    <w:rsid w:val="0046621E"/>
    <w:rsid w:val="00467127"/>
    <w:rsid w:val="004673A7"/>
    <w:rsid w:val="00467D0C"/>
    <w:rsid w:val="00470E45"/>
    <w:rsid w:val="00471244"/>
    <w:rsid w:val="00471977"/>
    <w:rsid w:val="0047274A"/>
    <w:rsid w:val="004728A2"/>
    <w:rsid w:val="0047375F"/>
    <w:rsid w:val="00473AFD"/>
    <w:rsid w:val="00474382"/>
    <w:rsid w:val="004746C8"/>
    <w:rsid w:val="004762F2"/>
    <w:rsid w:val="00476AB0"/>
    <w:rsid w:val="00476CD9"/>
    <w:rsid w:val="00477261"/>
    <w:rsid w:val="00477328"/>
    <w:rsid w:val="004776EF"/>
    <w:rsid w:val="00477EE1"/>
    <w:rsid w:val="00477F78"/>
    <w:rsid w:val="004801A3"/>
    <w:rsid w:val="00480B49"/>
    <w:rsid w:val="00481A01"/>
    <w:rsid w:val="00481C4E"/>
    <w:rsid w:val="00481E2E"/>
    <w:rsid w:val="004825DD"/>
    <w:rsid w:val="00484C03"/>
    <w:rsid w:val="00485071"/>
    <w:rsid w:val="00485C47"/>
    <w:rsid w:val="00485DD9"/>
    <w:rsid w:val="004869E5"/>
    <w:rsid w:val="00487343"/>
    <w:rsid w:val="00490400"/>
    <w:rsid w:val="00490421"/>
    <w:rsid w:val="00491050"/>
    <w:rsid w:val="0049137E"/>
    <w:rsid w:val="00492212"/>
    <w:rsid w:val="0049277B"/>
    <w:rsid w:val="00492855"/>
    <w:rsid w:val="00492AD7"/>
    <w:rsid w:val="004933E6"/>
    <w:rsid w:val="0049388A"/>
    <w:rsid w:val="004938FB"/>
    <w:rsid w:val="00493C10"/>
    <w:rsid w:val="00494262"/>
    <w:rsid w:val="00494915"/>
    <w:rsid w:val="00495C6F"/>
    <w:rsid w:val="004969C8"/>
    <w:rsid w:val="004972AD"/>
    <w:rsid w:val="00497455"/>
    <w:rsid w:val="00497622"/>
    <w:rsid w:val="004A078A"/>
    <w:rsid w:val="004A08F8"/>
    <w:rsid w:val="004A1405"/>
    <w:rsid w:val="004A26F9"/>
    <w:rsid w:val="004A2B27"/>
    <w:rsid w:val="004A2C90"/>
    <w:rsid w:val="004A3875"/>
    <w:rsid w:val="004A44C7"/>
    <w:rsid w:val="004A4EFF"/>
    <w:rsid w:val="004A63DF"/>
    <w:rsid w:val="004A65D4"/>
    <w:rsid w:val="004A668B"/>
    <w:rsid w:val="004A6BC1"/>
    <w:rsid w:val="004A6D6E"/>
    <w:rsid w:val="004B01AD"/>
    <w:rsid w:val="004B02F5"/>
    <w:rsid w:val="004B08F0"/>
    <w:rsid w:val="004B098D"/>
    <w:rsid w:val="004B1411"/>
    <w:rsid w:val="004B14B0"/>
    <w:rsid w:val="004B1685"/>
    <w:rsid w:val="004B1AD6"/>
    <w:rsid w:val="004B1E6A"/>
    <w:rsid w:val="004B2B86"/>
    <w:rsid w:val="004B37F6"/>
    <w:rsid w:val="004B43AE"/>
    <w:rsid w:val="004B4BA1"/>
    <w:rsid w:val="004B5C21"/>
    <w:rsid w:val="004B5D4F"/>
    <w:rsid w:val="004C04AD"/>
    <w:rsid w:val="004C0CEF"/>
    <w:rsid w:val="004C183F"/>
    <w:rsid w:val="004C207A"/>
    <w:rsid w:val="004C39FB"/>
    <w:rsid w:val="004C45B3"/>
    <w:rsid w:val="004C48A7"/>
    <w:rsid w:val="004C58CD"/>
    <w:rsid w:val="004C5C33"/>
    <w:rsid w:val="004C5E24"/>
    <w:rsid w:val="004C67B6"/>
    <w:rsid w:val="004C6A63"/>
    <w:rsid w:val="004C6B3F"/>
    <w:rsid w:val="004C6BB2"/>
    <w:rsid w:val="004C7E6D"/>
    <w:rsid w:val="004D0407"/>
    <w:rsid w:val="004D1396"/>
    <w:rsid w:val="004D2434"/>
    <w:rsid w:val="004D292A"/>
    <w:rsid w:val="004D3901"/>
    <w:rsid w:val="004D39DE"/>
    <w:rsid w:val="004D3D0D"/>
    <w:rsid w:val="004D42D1"/>
    <w:rsid w:val="004D5F7D"/>
    <w:rsid w:val="004D61B3"/>
    <w:rsid w:val="004D62CA"/>
    <w:rsid w:val="004D6945"/>
    <w:rsid w:val="004D6F0B"/>
    <w:rsid w:val="004D7A8F"/>
    <w:rsid w:val="004E1108"/>
    <w:rsid w:val="004E212A"/>
    <w:rsid w:val="004E222E"/>
    <w:rsid w:val="004E2272"/>
    <w:rsid w:val="004E3F46"/>
    <w:rsid w:val="004E4CC8"/>
    <w:rsid w:val="004E5BCA"/>
    <w:rsid w:val="004E69BE"/>
    <w:rsid w:val="004E69C0"/>
    <w:rsid w:val="004E6BB0"/>
    <w:rsid w:val="004E757B"/>
    <w:rsid w:val="004E7767"/>
    <w:rsid w:val="004F004B"/>
    <w:rsid w:val="004F08A0"/>
    <w:rsid w:val="004F0A67"/>
    <w:rsid w:val="004F0D6B"/>
    <w:rsid w:val="004F2718"/>
    <w:rsid w:val="004F2BD4"/>
    <w:rsid w:val="004F2C63"/>
    <w:rsid w:val="004F3079"/>
    <w:rsid w:val="004F3507"/>
    <w:rsid w:val="004F3C81"/>
    <w:rsid w:val="004F3D38"/>
    <w:rsid w:val="004F457C"/>
    <w:rsid w:val="004F5C55"/>
    <w:rsid w:val="004F6920"/>
    <w:rsid w:val="004F7339"/>
    <w:rsid w:val="00500A01"/>
    <w:rsid w:val="00501934"/>
    <w:rsid w:val="00501FCB"/>
    <w:rsid w:val="0050289F"/>
    <w:rsid w:val="00502A04"/>
    <w:rsid w:val="00502DB6"/>
    <w:rsid w:val="00502F02"/>
    <w:rsid w:val="0050312E"/>
    <w:rsid w:val="005036F4"/>
    <w:rsid w:val="00503903"/>
    <w:rsid w:val="00503ACA"/>
    <w:rsid w:val="00504041"/>
    <w:rsid w:val="00504417"/>
    <w:rsid w:val="00504541"/>
    <w:rsid w:val="005050DB"/>
    <w:rsid w:val="00505DCC"/>
    <w:rsid w:val="00506520"/>
    <w:rsid w:val="00507900"/>
    <w:rsid w:val="00507FEC"/>
    <w:rsid w:val="0051009F"/>
    <w:rsid w:val="00510A77"/>
    <w:rsid w:val="00511A22"/>
    <w:rsid w:val="00511EB8"/>
    <w:rsid w:val="005121F1"/>
    <w:rsid w:val="00512C5D"/>
    <w:rsid w:val="00513580"/>
    <w:rsid w:val="005136FD"/>
    <w:rsid w:val="005139DB"/>
    <w:rsid w:val="00514282"/>
    <w:rsid w:val="0051448D"/>
    <w:rsid w:val="005145F7"/>
    <w:rsid w:val="00514DA3"/>
    <w:rsid w:val="0051553F"/>
    <w:rsid w:val="00516EAD"/>
    <w:rsid w:val="005170F5"/>
    <w:rsid w:val="00517D51"/>
    <w:rsid w:val="00520167"/>
    <w:rsid w:val="0052037D"/>
    <w:rsid w:val="005205E3"/>
    <w:rsid w:val="00521176"/>
    <w:rsid w:val="00521E16"/>
    <w:rsid w:val="005237C0"/>
    <w:rsid w:val="00523B22"/>
    <w:rsid w:val="00525001"/>
    <w:rsid w:val="00525E6C"/>
    <w:rsid w:val="005261F9"/>
    <w:rsid w:val="00526359"/>
    <w:rsid w:val="00526793"/>
    <w:rsid w:val="00526A6C"/>
    <w:rsid w:val="005277EB"/>
    <w:rsid w:val="00527CBB"/>
    <w:rsid w:val="00527D1C"/>
    <w:rsid w:val="00527D79"/>
    <w:rsid w:val="0053045F"/>
    <w:rsid w:val="00530815"/>
    <w:rsid w:val="00530890"/>
    <w:rsid w:val="00532B28"/>
    <w:rsid w:val="0053320D"/>
    <w:rsid w:val="00533593"/>
    <w:rsid w:val="00533DF7"/>
    <w:rsid w:val="00534E39"/>
    <w:rsid w:val="005350E8"/>
    <w:rsid w:val="005358E8"/>
    <w:rsid w:val="00535C37"/>
    <w:rsid w:val="005361D1"/>
    <w:rsid w:val="005366F3"/>
    <w:rsid w:val="00536D81"/>
    <w:rsid w:val="00537E26"/>
    <w:rsid w:val="00541890"/>
    <w:rsid w:val="00541953"/>
    <w:rsid w:val="00541E37"/>
    <w:rsid w:val="00542BB7"/>
    <w:rsid w:val="00543C56"/>
    <w:rsid w:val="00544E1F"/>
    <w:rsid w:val="005452B1"/>
    <w:rsid w:val="0054630F"/>
    <w:rsid w:val="00546D5E"/>
    <w:rsid w:val="00546DE2"/>
    <w:rsid w:val="00546E58"/>
    <w:rsid w:val="00547100"/>
    <w:rsid w:val="005477A2"/>
    <w:rsid w:val="00551125"/>
    <w:rsid w:val="00551545"/>
    <w:rsid w:val="00551622"/>
    <w:rsid w:val="005518D8"/>
    <w:rsid w:val="005518F2"/>
    <w:rsid w:val="0055505E"/>
    <w:rsid w:val="00555B9D"/>
    <w:rsid w:val="00555EC2"/>
    <w:rsid w:val="00556511"/>
    <w:rsid w:val="0055661D"/>
    <w:rsid w:val="005574AF"/>
    <w:rsid w:val="00557941"/>
    <w:rsid w:val="00557A53"/>
    <w:rsid w:val="00560170"/>
    <w:rsid w:val="00560224"/>
    <w:rsid w:val="00560809"/>
    <w:rsid w:val="00560EC7"/>
    <w:rsid w:val="00561122"/>
    <w:rsid w:val="00561702"/>
    <w:rsid w:val="0056407B"/>
    <w:rsid w:val="005642B5"/>
    <w:rsid w:val="00565954"/>
    <w:rsid w:val="00565A81"/>
    <w:rsid w:val="00565BBC"/>
    <w:rsid w:val="00566124"/>
    <w:rsid w:val="00566F09"/>
    <w:rsid w:val="0056739C"/>
    <w:rsid w:val="00567486"/>
    <w:rsid w:val="00567504"/>
    <w:rsid w:val="005678C7"/>
    <w:rsid w:val="00567F70"/>
    <w:rsid w:val="00570BD4"/>
    <w:rsid w:val="00570BF6"/>
    <w:rsid w:val="005714EF"/>
    <w:rsid w:val="00571934"/>
    <w:rsid w:val="00572599"/>
    <w:rsid w:val="0057334C"/>
    <w:rsid w:val="005737A4"/>
    <w:rsid w:val="00573A95"/>
    <w:rsid w:val="00574656"/>
    <w:rsid w:val="0057493D"/>
    <w:rsid w:val="0057520A"/>
    <w:rsid w:val="005759DC"/>
    <w:rsid w:val="00575C40"/>
    <w:rsid w:val="005768F2"/>
    <w:rsid w:val="00576AD3"/>
    <w:rsid w:val="0057701B"/>
    <w:rsid w:val="0057707B"/>
    <w:rsid w:val="0057715F"/>
    <w:rsid w:val="0058156C"/>
    <w:rsid w:val="00582305"/>
    <w:rsid w:val="005826A5"/>
    <w:rsid w:val="00582AB7"/>
    <w:rsid w:val="00582C44"/>
    <w:rsid w:val="0058433D"/>
    <w:rsid w:val="005843A8"/>
    <w:rsid w:val="00584C30"/>
    <w:rsid w:val="005859CB"/>
    <w:rsid w:val="00585FF3"/>
    <w:rsid w:val="005860CC"/>
    <w:rsid w:val="00586243"/>
    <w:rsid w:val="00586D3B"/>
    <w:rsid w:val="0059032E"/>
    <w:rsid w:val="00590BB3"/>
    <w:rsid w:val="00591A35"/>
    <w:rsid w:val="00591FF0"/>
    <w:rsid w:val="00592C63"/>
    <w:rsid w:val="00592FF2"/>
    <w:rsid w:val="00594003"/>
    <w:rsid w:val="005A034F"/>
    <w:rsid w:val="005A0793"/>
    <w:rsid w:val="005A0F39"/>
    <w:rsid w:val="005A0FB1"/>
    <w:rsid w:val="005A18D4"/>
    <w:rsid w:val="005A1999"/>
    <w:rsid w:val="005A2623"/>
    <w:rsid w:val="005A2E20"/>
    <w:rsid w:val="005A3936"/>
    <w:rsid w:val="005A3CC5"/>
    <w:rsid w:val="005A587B"/>
    <w:rsid w:val="005A5F66"/>
    <w:rsid w:val="005A6B6E"/>
    <w:rsid w:val="005A6F36"/>
    <w:rsid w:val="005A7640"/>
    <w:rsid w:val="005B03B0"/>
    <w:rsid w:val="005B0666"/>
    <w:rsid w:val="005B104E"/>
    <w:rsid w:val="005B139E"/>
    <w:rsid w:val="005B1697"/>
    <w:rsid w:val="005B1B9D"/>
    <w:rsid w:val="005B26CD"/>
    <w:rsid w:val="005B27FA"/>
    <w:rsid w:val="005B2BA5"/>
    <w:rsid w:val="005B32C3"/>
    <w:rsid w:val="005B3339"/>
    <w:rsid w:val="005B3C6C"/>
    <w:rsid w:val="005B4C20"/>
    <w:rsid w:val="005B51C2"/>
    <w:rsid w:val="005B5506"/>
    <w:rsid w:val="005B592A"/>
    <w:rsid w:val="005B7280"/>
    <w:rsid w:val="005B769C"/>
    <w:rsid w:val="005B7A9C"/>
    <w:rsid w:val="005B7E05"/>
    <w:rsid w:val="005B7FBD"/>
    <w:rsid w:val="005C0425"/>
    <w:rsid w:val="005C04A6"/>
    <w:rsid w:val="005C0781"/>
    <w:rsid w:val="005C129C"/>
    <w:rsid w:val="005C16DF"/>
    <w:rsid w:val="005C272C"/>
    <w:rsid w:val="005C2A9B"/>
    <w:rsid w:val="005C39A1"/>
    <w:rsid w:val="005C4816"/>
    <w:rsid w:val="005C522A"/>
    <w:rsid w:val="005C5285"/>
    <w:rsid w:val="005C5EB1"/>
    <w:rsid w:val="005C62B4"/>
    <w:rsid w:val="005C7A01"/>
    <w:rsid w:val="005D02D3"/>
    <w:rsid w:val="005D0AD6"/>
    <w:rsid w:val="005D1951"/>
    <w:rsid w:val="005D245B"/>
    <w:rsid w:val="005D2541"/>
    <w:rsid w:val="005D2689"/>
    <w:rsid w:val="005D2C5C"/>
    <w:rsid w:val="005D2DA5"/>
    <w:rsid w:val="005D3761"/>
    <w:rsid w:val="005D3B33"/>
    <w:rsid w:val="005D5462"/>
    <w:rsid w:val="005D558A"/>
    <w:rsid w:val="005D5C4F"/>
    <w:rsid w:val="005D60DE"/>
    <w:rsid w:val="005D6358"/>
    <w:rsid w:val="005D7669"/>
    <w:rsid w:val="005D793B"/>
    <w:rsid w:val="005D7F2A"/>
    <w:rsid w:val="005E194A"/>
    <w:rsid w:val="005E1F61"/>
    <w:rsid w:val="005E20DC"/>
    <w:rsid w:val="005E23A2"/>
    <w:rsid w:val="005E2815"/>
    <w:rsid w:val="005E3460"/>
    <w:rsid w:val="005E34F1"/>
    <w:rsid w:val="005E36BD"/>
    <w:rsid w:val="005E37D9"/>
    <w:rsid w:val="005E3C4B"/>
    <w:rsid w:val="005E4669"/>
    <w:rsid w:val="005E6E31"/>
    <w:rsid w:val="005E706C"/>
    <w:rsid w:val="005F113F"/>
    <w:rsid w:val="005F1CB3"/>
    <w:rsid w:val="005F27CE"/>
    <w:rsid w:val="005F2E68"/>
    <w:rsid w:val="005F307C"/>
    <w:rsid w:val="005F4345"/>
    <w:rsid w:val="005F5E06"/>
    <w:rsid w:val="005F6CC5"/>
    <w:rsid w:val="005F6F1A"/>
    <w:rsid w:val="005F71A0"/>
    <w:rsid w:val="005F7295"/>
    <w:rsid w:val="005F7486"/>
    <w:rsid w:val="00601268"/>
    <w:rsid w:val="00602C64"/>
    <w:rsid w:val="006031AB"/>
    <w:rsid w:val="00603995"/>
    <w:rsid w:val="00605456"/>
    <w:rsid w:val="006062AA"/>
    <w:rsid w:val="00606AE9"/>
    <w:rsid w:val="00610AA9"/>
    <w:rsid w:val="00610B5B"/>
    <w:rsid w:val="00610F97"/>
    <w:rsid w:val="006120B3"/>
    <w:rsid w:val="00612A73"/>
    <w:rsid w:val="00612B11"/>
    <w:rsid w:val="00613079"/>
    <w:rsid w:val="00613701"/>
    <w:rsid w:val="006138AB"/>
    <w:rsid w:val="0061391D"/>
    <w:rsid w:val="006152A4"/>
    <w:rsid w:val="00616372"/>
    <w:rsid w:val="00616736"/>
    <w:rsid w:val="00616E57"/>
    <w:rsid w:val="006175BB"/>
    <w:rsid w:val="006176E7"/>
    <w:rsid w:val="00620B18"/>
    <w:rsid w:val="00620C50"/>
    <w:rsid w:val="006216DB"/>
    <w:rsid w:val="00621897"/>
    <w:rsid w:val="006221C3"/>
    <w:rsid w:val="00622B3B"/>
    <w:rsid w:val="00623210"/>
    <w:rsid w:val="00623AB0"/>
    <w:rsid w:val="00623D2E"/>
    <w:rsid w:val="00624344"/>
    <w:rsid w:val="006243ED"/>
    <w:rsid w:val="00624C08"/>
    <w:rsid w:val="0062651E"/>
    <w:rsid w:val="00626835"/>
    <w:rsid w:val="00626E5C"/>
    <w:rsid w:val="00626F38"/>
    <w:rsid w:val="006276CB"/>
    <w:rsid w:val="0063006B"/>
    <w:rsid w:val="006312B5"/>
    <w:rsid w:val="00631B81"/>
    <w:rsid w:val="00631B86"/>
    <w:rsid w:val="00632774"/>
    <w:rsid w:val="00632961"/>
    <w:rsid w:val="006329CC"/>
    <w:rsid w:val="00632B3C"/>
    <w:rsid w:val="0063453D"/>
    <w:rsid w:val="00634AC6"/>
    <w:rsid w:val="00634FC0"/>
    <w:rsid w:val="0063550C"/>
    <w:rsid w:val="006359E9"/>
    <w:rsid w:val="00636DF3"/>
    <w:rsid w:val="00636E3E"/>
    <w:rsid w:val="00640527"/>
    <w:rsid w:val="00642E84"/>
    <w:rsid w:val="00643D40"/>
    <w:rsid w:val="00644458"/>
    <w:rsid w:val="006449F3"/>
    <w:rsid w:val="00644DE5"/>
    <w:rsid w:val="0064520A"/>
    <w:rsid w:val="006454F8"/>
    <w:rsid w:val="006454FC"/>
    <w:rsid w:val="00645B71"/>
    <w:rsid w:val="00645D8E"/>
    <w:rsid w:val="00646D39"/>
    <w:rsid w:val="0064762F"/>
    <w:rsid w:val="00647808"/>
    <w:rsid w:val="006478D2"/>
    <w:rsid w:val="0065173A"/>
    <w:rsid w:val="006521C5"/>
    <w:rsid w:val="006522AE"/>
    <w:rsid w:val="00652F98"/>
    <w:rsid w:val="006530EB"/>
    <w:rsid w:val="00654218"/>
    <w:rsid w:val="00654A45"/>
    <w:rsid w:val="00654C0C"/>
    <w:rsid w:val="00655A3E"/>
    <w:rsid w:val="0065652E"/>
    <w:rsid w:val="00656E20"/>
    <w:rsid w:val="0066003E"/>
    <w:rsid w:val="00660F88"/>
    <w:rsid w:val="006610A9"/>
    <w:rsid w:val="006615EA"/>
    <w:rsid w:val="00661D7A"/>
    <w:rsid w:val="006633DC"/>
    <w:rsid w:val="006638F9"/>
    <w:rsid w:val="00663A08"/>
    <w:rsid w:val="00663F70"/>
    <w:rsid w:val="00664377"/>
    <w:rsid w:val="00664C48"/>
    <w:rsid w:val="00665157"/>
    <w:rsid w:val="00666259"/>
    <w:rsid w:val="006665C5"/>
    <w:rsid w:val="006666F9"/>
    <w:rsid w:val="00666BF8"/>
    <w:rsid w:val="00667A38"/>
    <w:rsid w:val="00670133"/>
    <w:rsid w:val="00670944"/>
    <w:rsid w:val="00670B74"/>
    <w:rsid w:val="0067152C"/>
    <w:rsid w:val="00672C06"/>
    <w:rsid w:val="006730E8"/>
    <w:rsid w:val="0067335C"/>
    <w:rsid w:val="00675174"/>
    <w:rsid w:val="006751E2"/>
    <w:rsid w:val="0067527A"/>
    <w:rsid w:val="00675789"/>
    <w:rsid w:val="00675A6D"/>
    <w:rsid w:val="006771BA"/>
    <w:rsid w:val="00677318"/>
    <w:rsid w:val="00677409"/>
    <w:rsid w:val="00677F08"/>
    <w:rsid w:val="00680E7E"/>
    <w:rsid w:val="00681177"/>
    <w:rsid w:val="00681900"/>
    <w:rsid w:val="00683224"/>
    <w:rsid w:val="006845E8"/>
    <w:rsid w:val="00685D7E"/>
    <w:rsid w:val="0068633A"/>
    <w:rsid w:val="0068692B"/>
    <w:rsid w:val="00686F13"/>
    <w:rsid w:val="00687548"/>
    <w:rsid w:val="006900EB"/>
    <w:rsid w:val="00690535"/>
    <w:rsid w:val="006917AC"/>
    <w:rsid w:val="00691CFB"/>
    <w:rsid w:val="00691FC6"/>
    <w:rsid w:val="006935E0"/>
    <w:rsid w:val="00693ED6"/>
    <w:rsid w:val="00694088"/>
    <w:rsid w:val="0069429C"/>
    <w:rsid w:val="006946B0"/>
    <w:rsid w:val="00694834"/>
    <w:rsid w:val="00695447"/>
    <w:rsid w:val="0069595A"/>
    <w:rsid w:val="00695F57"/>
    <w:rsid w:val="00696DFC"/>
    <w:rsid w:val="00697BFC"/>
    <w:rsid w:val="006A0094"/>
    <w:rsid w:val="006A00DF"/>
    <w:rsid w:val="006A0980"/>
    <w:rsid w:val="006A0FCE"/>
    <w:rsid w:val="006A195E"/>
    <w:rsid w:val="006A2433"/>
    <w:rsid w:val="006A303C"/>
    <w:rsid w:val="006A3A48"/>
    <w:rsid w:val="006A3A59"/>
    <w:rsid w:val="006A3F1D"/>
    <w:rsid w:val="006A3FD5"/>
    <w:rsid w:val="006A402E"/>
    <w:rsid w:val="006A54CE"/>
    <w:rsid w:val="006A59A0"/>
    <w:rsid w:val="006A6606"/>
    <w:rsid w:val="006A781F"/>
    <w:rsid w:val="006B1405"/>
    <w:rsid w:val="006B1CB6"/>
    <w:rsid w:val="006B243B"/>
    <w:rsid w:val="006B247A"/>
    <w:rsid w:val="006B2C24"/>
    <w:rsid w:val="006B2D64"/>
    <w:rsid w:val="006B2F59"/>
    <w:rsid w:val="006B4B47"/>
    <w:rsid w:val="006B5F62"/>
    <w:rsid w:val="006B6310"/>
    <w:rsid w:val="006B64D0"/>
    <w:rsid w:val="006B6602"/>
    <w:rsid w:val="006B6675"/>
    <w:rsid w:val="006B6696"/>
    <w:rsid w:val="006B6B4F"/>
    <w:rsid w:val="006B6EAC"/>
    <w:rsid w:val="006B6F66"/>
    <w:rsid w:val="006B76BB"/>
    <w:rsid w:val="006B7E6D"/>
    <w:rsid w:val="006C0758"/>
    <w:rsid w:val="006C09A4"/>
    <w:rsid w:val="006C1416"/>
    <w:rsid w:val="006C17A0"/>
    <w:rsid w:val="006C1A8B"/>
    <w:rsid w:val="006C1D79"/>
    <w:rsid w:val="006C1E72"/>
    <w:rsid w:val="006C3390"/>
    <w:rsid w:val="006C3F9F"/>
    <w:rsid w:val="006C43C5"/>
    <w:rsid w:val="006C4481"/>
    <w:rsid w:val="006C4DD1"/>
    <w:rsid w:val="006C512C"/>
    <w:rsid w:val="006C51C1"/>
    <w:rsid w:val="006C6219"/>
    <w:rsid w:val="006C68C3"/>
    <w:rsid w:val="006D0F98"/>
    <w:rsid w:val="006D10A6"/>
    <w:rsid w:val="006D130D"/>
    <w:rsid w:val="006D21BA"/>
    <w:rsid w:val="006D2DF3"/>
    <w:rsid w:val="006D2E19"/>
    <w:rsid w:val="006D4FCD"/>
    <w:rsid w:val="006D57A4"/>
    <w:rsid w:val="006D5B5B"/>
    <w:rsid w:val="006D6EDF"/>
    <w:rsid w:val="006D6FCD"/>
    <w:rsid w:val="006D73B6"/>
    <w:rsid w:val="006D784F"/>
    <w:rsid w:val="006D7B1B"/>
    <w:rsid w:val="006E0006"/>
    <w:rsid w:val="006E007B"/>
    <w:rsid w:val="006E0E35"/>
    <w:rsid w:val="006E19F9"/>
    <w:rsid w:val="006E248C"/>
    <w:rsid w:val="006E3BFE"/>
    <w:rsid w:val="006E3DA1"/>
    <w:rsid w:val="006E50A1"/>
    <w:rsid w:val="006E5623"/>
    <w:rsid w:val="006E67A0"/>
    <w:rsid w:val="006E7148"/>
    <w:rsid w:val="006E72D3"/>
    <w:rsid w:val="006E73DC"/>
    <w:rsid w:val="006E753C"/>
    <w:rsid w:val="006E753E"/>
    <w:rsid w:val="006E7E9F"/>
    <w:rsid w:val="006F0941"/>
    <w:rsid w:val="006F0BA1"/>
    <w:rsid w:val="006F17CF"/>
    <w:rsid w:val="006F2344"/>
    <w:rsid w:val="006F2B15"/>
    <w:rsid w:val="006F35A8"/>
    <w:rsid w:val="006F35D4"/>
    <w:rsid w:val="006F38B2"/>
    <w:rsid w:val="006F4AE4"/>
    <w:rsid w:val="006F611A"/>
    <w:rsid w:val="006F6C89"/>
    <w:rsid w:val="006F73FD"/>
    <w:rsid w:val="006F7AE3"/>
    <w:rsid w:val="00700415"/>
    <w:rsid w:val="0070117F"/>
    <w:rsid w:val="007019FE"/>
    <w:rsid w:val="00701B1C"/>
    <w:rsid w:val="007024C0"/>
    <w:rsid w:val="007024E1"/>
    <w:rsid w:val="007049DB"/>
    <w:rsid w:val="00704F4E"/>
    <w:rsid w:val="00705A2C"/>
    <w:rsid w:val="007060D7"/>
    <w:rsid w:val="007067E8"/>
    <w:rsid w:val="007068E7"/>
    <w:rsid w:val="0070795D"/>
    <w:rsid w:val="00707A4F"/>
    <w:rsid w:val="00707C03"/>
    <w:rsid w:val="00707D03"/>
    <w:rsid w:val="007101FD"/>
    <w:rsid w:val="00710AA1"/>
    <w:rsid w:val="007112E3"/>
    <w:rsid w:val="00712AC1"/>
    <w:rsid w:val="0071315D"/>
    <w:rsid w:val="00713BE7"/>
    <w:rsid w:val="0071512E"/>
    <w:rsid w:val="00715529"/>
    <w:rsid w:val="0071605B"/>
    <w:rsid w:val="00716068"/>
    <w:rsid w:val="00716236"/>
    <w:rsid w:val="007168FC"/>
    <w:rsid w:val="00716F95"/>
    <w:rsid w:val="00717584"/>
    <w:rsid w:val="0072020B"/>
    <w:rsid w:val="007204A9"/>
    <w:rsid w:val="00721280"/>
    <w:rsid w:val="00721BFC"/>
    <w:rsid w:val="007239DB"/>
    <w:rsid w:val="007258FE"/>
    <w:rsid w:val="00725C5F"/>
    <w:rsid w:val="00725F86"/>
    <w:rsid w:val="007262FA"/>
    <w:rsid w:val="00727471"/>
    <w:rsid w:val="0073167F"/>
    <w:rsid w:val="00731981"/>
    <w:rsid w:val="0073335C"/>
    <w:rsid w:val="007341E4"/>
    <w:rsid w:val="0073556C"/>
    <w:rsid w:val="007355E0"/>
    <w:rsid w:val="0073594A"/>
    <w:rsid w:val="0073617A"/>
    <w:rsid w:val="007368A9"/>
    <w:rsid w:val="00737241"/>
    <w:rsid w:val="007374E0"/>
    <w:rsid w:val="007379F5"/>
    <w:rsid w:val="00737A7A"/>
    <w:rsid w:val="007404A4"/>
    <w:rsid w:val="007411AC"/>
    <w:rsid w:val="00741719"/>
    <w:rsid w:val="00741955"/>
    <w:rsid w:val="00741FA7"/>
    <w:rsid w:val="00742718"/>
    <w:rsid w:val="0074297B"/>
    <w:rsid w:val="00742FA7"/>
    <w:rsid w:val="00743B81"/>
    <w:rsid w:val="00744F57"/>
    <w:rsid w:val="00745F7F"/>
    <w:rsid w:val="00746B17"/>
    <w:rsid w:val="00747067"/>
    <w:rsid w:val="00747A11"/>
    <w:rsid w:val="00747B50"/>
    <w:rsid w:val="00747EB7"/>
    <w:rsid w:val="007504BC"/>
    <w:rsid w:val="007508CE"/>
    <w:rsid w:val="00751453"/>
    <w:rsid w:val="00753A4A"/>
    <w:rsid w:val="00753AB6"/>
    <w:rsid w:val="00753BA1"/>
    <w:rsid w:val="0075491D"/>
    <w:rsid w:val="00754CA4"/>
    <w:rsid w:val="007551A1"/>
    <w:rsid w:val="00756774"/>
    <w:rsid w:val="00757401"/>
    <w:rsid w:val="007575FD"/>
    <w:rsid w:val="00757DCC"/>
    <w:rsid w:val="00757F04"/>
    <w:rsid w:val="00761513"/>
    <w:rsid w:val="00762233"/>
    <w:rsid w:val="00762F15"/>
    <w:rsid w:val="0076322D"/>
    <w:rsid w:val="00763B23"/>
    <w:rsid w:val="0076458C"/>
    <w:rsid w:val="00764A2A"/>
    <w:rsid w:val="00764E4A"/>
    <w:rsid w:val="007701D3"/>
    <w:rsid w:val="00771383"/>
    <w:rsid w:val="00773C49"/>
    <w:rsid w:val="00773FC4"/>
    <w:rsid w:val="007746C0"/>
    <w:rsid w:val="00776388"/>
    <w:rsid w:val="00776587"/>
    <w:rsid w:val="00776AD7"/>
    <w:rsid w:val="007772EB"/>
    <w:rsid w:val="007776A8"/>
    <w:rsid w:val="00777D3F"/>
    <w:rsid w:val="00780494"/>
    <w:rsid w:val="0078067D"/>
    <w:rsid w:val="00781B2F"/>
    <w:rsid w:val="00781DA0"/>
    <w:rsid w:val="0078224A"/>
    <w:rsid w:val="0078262B"/>
    <w:rsid w:val="007828F7"/>
    <w:rsid w:val="00783B60"/>
    <w:rsid w:val="00783DE3"/>
    <w:rsid w:val="00784482"/>
    <w:rsid w:val="00784A23"/>
    <w:rsid w:val="00784C1B"/>
    <w:rsid w:val="00784C55"/>
    <w:rsid w:val="007859B0"/>
    <w:rsid w:val="00786339"/>
    <w:rsid w:val="00786B29"/>
    <w:rsid w:val="0078710B"/>
    <w:rsid w:val="00792903"/>
    <w:rsid w:val="00792E8F"/>
    <w:rsid w:val="007936AB"/>
    <w:rsid w:val="00793C44"/>
    <w:rsid w:val="00795B8E"/>
    <w:rsid w:val="00796376"/>
    <w:rsid w:val="00796D13"/>
    <w:rsid w:val="00796D4F"/>
    <w:rsid w:val="00796F27"/>
    <w:rsid w:val="007A00A8"/>
    <w:rsid w:val="007A0463"/>
    <w:rsid w:val="007A087D"/>
    <w:rsid w:val="007A0F3C"/>
    <w:rsid w:val="007A2073"/>
    <w:rsid w:val="007A2882"/>
    <w:rsid w:val="007A2D24"/>
    <w:rsid w:val="007A36E9"/>
    <w:rsid w:val="007A41E1"/>
    <w:rsid w:val="007A46AA"/>
    <w:rsid w:val="007A481F"/>
    <w:rsid w:val="007A4D52"/>
    <w:rsid w:val="007A521A"/>
    <w:rsid w:val="007A79B7"/>
    <w:rsid w:val="007A7C1E"/>
    <w:rsid w:val="007A7E97"/>
    <w:rsid w:val="007B017B"/>
    <w:rsid w:val="007B027F"/>
    <w:rsid w:val="007B0751"/>
    <w:rsid w:val="007B0A59"/>
    <w:rsid w:val="007B0B26"/>
    <w:rsid w:val="007B160C"/>
    <w:rsid w:val="007B1FF9"/>
    <w:rsid w:val="007B2578"/>
    <w:rsid w:val="007B2FDD"/>
    <w:rsid w:val="007B4370"/>
    <w:rsid w:val="007B479F"/>
    <w:rsid w:val="007B4BE1"/>
    <w:rsid w:val="007B51C0"/>
    <w:rsid w:val="007B5B6F"/>
    <w:rsid w:val="007B5F9B"/>
    <w:rsid w:val="007B65C8"/>
    <w:rsid w:val="007B7008"/>
    <w:rsid w:val="007B72EC"/>
    <w:rsid w:val="007B739D"/>
    <w:rsid w:val="007B74DC"/>
    <w:rsid w:val="007B792A"/>
    <w:rsid w:val="007B7B7B"/>
    <w:rsid w:val="007C03C7"/>
    <w:rsid w:val="007C07F9"/>
    <w:rsid w:val="007C0D4D"/>
    <w:rsid w:val="007C14D1"/>
    <w:rsid w:val="007C1A7C"/>
    <w:rsid w:val="007C1CBA"/>
    <w:rsid w:val="007C2251"/>
    <w:rsid w:val="007C2259"/>
    <w:rsid w:val="007C232A"/>
    <w:rsid w:val="007C236A"/>
    <w:rsid w:val="007C35EF"/>
    <w:rsid w:val="007C68CC"/>
    <w:rsid w:val="007C6CC3"/>
    <w:rsid w:val="007D1915"/>
    <w:rsid w:val="007D3BF7"/>
    <w:rsid w:val="007D4C6F"/>
    <w:rsid w:val="007D5450"/>
    <w:rsid w:val="007D62EC"/>
    <w:rsid w:val="007D63E4"/>
    <w:rsid w:val="007D68C6"/>
    <w:rsid w:val="007D6BB1"/>
    <w:rsid w:val="007D75FB"/>
    <w:rsid w:val="007D7631"/>
    <w:rsid w:val="007D77D6"/>
    <w:rsid w:val="007D783E"/>
    <w:rsid w:val="007D7977"/>
    <w:rsid w:val="007E27A3"/>
    <w:rsid w:val="007E2FAD"/>
    <w:rsid w:val="007E384C"/>
    <w:rsid w:val="007E404F"/>
    <w:rsid w:val="007E45B3"/>
    <w:rsid w:val="007E487F"/>
    <w:rsid w:val="007E4DF3"/>
    <w:rsid w:val="007E53F6"/>
    <w:rsid w:val="007E6519"/>
    <w:rsid w:val="007E6794"/>
    <w:rsid w:val="007E67ED"/>
    <w:rsid w:val="007F04C0"/>
    <w:rsid w:val="007F0585"/>
    <w:rsid w:val="007F0591"/>
    <w:rsid w:val="007F10A5"/>
    <w:rsid w:val="007F141B"/>
    <w:rsid w:val="007F15B5"/>
    <w:rsid w:val="007F178F"/>
    <w:rsid w:val="007F1AAD"/>
    <w:rsid w:val="007F22F9"/>
    <w:rsid w:val="007F2513"/>
    <w:rsid w:val="007F2744"/>
    <w:rsid w:val="007F2F5E"/>
    <w:rsid w:val="007F33E6"/>
    <w:rsid w:val="007F3C1A"/>
    <w:rsid w:val="007F3E60"/>
    <w:rsid w:val="007F4263"/>
    <w:rsid w:val="007F5F1D"/>
    <w:rsid w:val="007F60EF"/>
    <w:rsid w:val="007F7327"/>
    <w:rsid w:val="007F7B3F"/>
    <w:rsid w:val="0080093A"/>
    <w:rsid w:val="0080145F"/>
    <w:rsid w:val="008018EB"/>
    <w:rsid w:val="00802041"/>
    <w:rsid w:val="00802C52"/>
    <w:rsid w:val="00802CCB"/>
    <w:rsid w:val="008031B8"/>
    <w:rsid w:val="008034E9"/>
    <w:rsid w:val="008037C2"/>
    <w:rsid w:val="008040C9"/>
    <w:rsid w:val="00804272"/>
    <w:rsid w:val="0080463A"/>
    <w:rsid w:val="00804B9C"/>
    <w:rsid w:val="00805075"/>
    <w:rsid w:val="00805633"/>
    <w:rsid w:val="00805AA8"/>
    <w:rsid w:val="00806A8A"/>
    <w:rsid w:val="00806DA7"/>
    <w:rsid w:val="00806E4E"/>
    <w:rsid w:val="0080709B"/>
    <w:rsid w:val="00807343"/>
    <w:rsid w:val="00810302"/>
    <w:rsid w:val="00811AE4"/>
    <w:rsid w:val="00812B1C"/>
    <w:rsid w:val="00812ECC"/>
    <w:rsid w:val="008130AC"/>
    <w:rsid w:val="00814615"/>
    <w:rsid w:val="00814648"/>
    <w:rsid w:val="008149FC"/>
    <w:rsid w:val="00814B4E"/>
    <w:rsid w:val="00814EB8"/>
    <w:rsid w:val="00815A89"/>
    <w:rsid w:val="00815E3E"/>
    <w:rsid w:val="008174D9"/>
    <w:rsid w:val="00817612"/>
    <w:rsid w:val="008179BA"/>
    <w:rsid w:val="00820C20"/>
    <w:rsid w:val="00820D1A"/>
    <w:rsid w:val="0082144F"/>
    <w:rsid w:val="008219F9"/>
    <w:rsid w:val="00821B4D"/>
    <w:rsid w:val="00823026"/>
    <w:rsid w:val="00824054"/>
    <w:rsid w:val="0082414C"/>
    <w:rsid w:val="008241D2"/>
    <w:rsid w:val="00824E4B"/>
    <w:rsid w:val="00825307"/>
    <w:rsid w:val="008253E1"/>
    <w:rsid w:val="008256DA"/>
    <w:rsid w:val="00825D73"/>
    <w:rsid w:val="00827BC2"/>
    <w:rsid w:val="00827E64"/>
    <w:rsid w:val="00830087"/>
    <w:rsid w:val="00830C29"/>
    <w:rsid w:val="00830C9D"/>
    <w:rsid w:val="00832BA9"/>
    <w:rsid w:val="00832E85"/>
    <w:rsid w:val="00833834"/>
    <w:rsid w:val="00833E58"/>
    <w:rsid w:val="008341E8"/>
    <w:rsid w:val="00834946"/>
    <w:rsid w:val="008354BE"/>
    <w:rsid w:val="00835A48"/>
    <w:rsid w:val="0083619E"/>
    <w:rsid w:val="008367BF"/>
    <w:rsid w:val="00837572"/>
    <w:rsid w:val="00837C6D"/>
    <w:rsid w:val="0084068C"/>
    <w:rsid w:val="00840F03"/>
    <w:rsid w:val="00840F6B"/>
    <w:rsid w:val="00841278"/>
    <w:rsid w:val="0084212E"/>
    <w:rsid w:val="00842EAC"/>
    <w:rsid w:val="0084312F"/>
    <w:rsid w:val="008437B5"/>
    <w:rsid w:val="00843929"/>
    <w:rsid w:val="008442BE"/>
    <w:rsid w:val="00844ADD"/>
    <w:rsid w:val="00844DFD"/>
    <w:rsid w:val="00845600"/>
    <w:rsid w:val="00845AA3"/>
    <w:rsid w:val="0084612F"/>
    <w:rsid w:val="008463FF"/>
    <w:rsid w:val="008468EA"/>
    <w:rsid w:val="00846E75"/>
    <w:rsid w:val="008471F8"/>
    <w:rsid w:val="008473F7"/>
    <w:rsid w:val="00847891"/>
    <w:rsid w:val="008479F0"/>
    <w:rsid w:val="00847AB0"/>
    <w:rsid w:val="00847C3C"/>
    <w:rsid w:val="008501B8"/>
    <w:rsid w:val="00850CD0"/>
    <w:rsid w:val="00850DA9"/>
    <w:rsid w:val="008513D9"/>
    <w:rsid w:val="00851CE8"/>
    <w:rsid w:val="00853251"/>
    <w:rsid w:val="0085510F"/>
    <w:rsid w:val="008561F2"/>
    <w:rsid w:val="00856738"/>
    <w:rsid w:val="00857D0D"/>
    <w:rsid w:val="00860A7C"/>
    <w:rsid w:val="00860C0B"/>
    <w:rsid w:val="00861A91"/>
    <w:rsid w:val="00861D20"/>
    <w:rsid w:val="0086238A"/>
    <w:rsid w:val="0086263D"/>
    <w:rsid w:val="00862AE8"/>
    <w:rsid w:val="00863102"/>
    <w:rsid w:val="0086386E"/>
    <w:rsid w:val="00864711"/>
    <w:rsid w:val="00865634"/>
    <w:rsid w:val="00866B44"/>
    <w:rsid w:val="0086707F"/>
    <w:rsid w:val="00867B8D"/>
    <w:rsid w:val="00867F4B"/>
    <w:rsid w:val="00870330"/>
    <w:rsid w:val="00870536"/>
    <w:rsid w:val="0087160C"/>
    <w:rsid w:val="00871900"/>
    <w:rsid w:val="00871A79"/>
    <w:rsid w:val="00872340"/>
    <w:rsid w:val="008724BE"/>
    <w:rsid w:val="00872732"/>
    <w:rsid w:val="008738C7"/>
    <w:rsid w:val="00873DB3"/>
    <w:rsid w:val="008742FE"/>
    <w:rsid w:val="00875A45"/>
    <w:rsid w:val="00875FB1"/>
    <w:rsid w:val="0087665D"/>
    <w:rsid w:val="00876855"/>
    <w:rsid w:val="00876BF1"/>
    <w:rsid w:val="008773D1"/>
    <w:rsid w:val="008774C2"/>
    <w:rsid w:val="00877AA6"/>
    <w:rsid w:val="00877B54"/>
    <w:rsid w:val="00880924"/>
    <w:rsid w:val="0088166E"/>
    <w:rsid w:val="00881D42"/>
    <w:rsid w:val="0088203E"/>
    <w:rsid w:val="00882307"/>
    <w:rsid w:val="00882E05"/>
    <w:rsid w:val="00884159"/>
    <w:rsid w:val="00884EC7"/>
    <w:rsid w:val="008852A0"/>
    <w:rsid w:val="00885658"/>
    <w:rsid w:val="00885F09"/>
    <w:rsid w:val="00885F0E"/>
    <w:rsid w:val="008863C2"/>
    <w:rsid w:val="00887CEB"/>
    <w:rsid w:val="00890855"/>
    <w:rsid w:val="00890A22"/>
    <w:rsid w:val="008916A1"/>
    <w:rsid w:val="00892EF4"/>
    <w:rsid w:val="0089352C"/>
    <w:rsid w:val="00893D00"/>
    <w:rsid w:val="00894068"/>
    <w:rsid w:val="00894CCA"/>
    <w:rsid w:val="00894FA1"/>
    <w:rsid w:val="008A05EF"/>
    <w:rsid w:val="008A16FF"/>
    <w:rsid w:val="008A20BC"/>
    <w:rsid w:val="008A230E"/>
    <w:rsid w:val="008A2ECC"/>
    <w:rsid w:val="008A32D4"/>
    <w:rsid w:val="008A3C88"/>
    <w:rsid w:val="008A3E84"/>
    <w:rsid w:val="008A41E0"/>
    <w:rsid w:val="008A471D"/>
    <w:rsid w:val="008A4F83"/>
    <w:rsid w:val="008A5A4F"/>
    <w:rsid w:val="008A643B"/>
    <w:rsid w:val="008A6C03"/>
    <w:rsid w:val="008A7367"/>
    <w:rsid w:val="008A738E"/>
    <w:rsid w:val="008B0B2C"/>
    <w:rsid w:val="008B0D91"/>
    <w:rsid w:val="008B1359"/>
    <w:rsid w:val="008B1C84"/>
    <w:rsid w:val="008B2243"/>
    <w:rsid w:val="008B23EF"/>
    <w:rsid w:val="008B3EA4"/>
    <w:rsid w:val="008B4E18"/>
    <w:rsid w:val="008B6A9A"/>
    <w:rsid w:val="008B6EEA"/>
    <w:rsid w:val="008C086E"/>
    <w:rsid w:val="008C0DDF"/>
    <w:rsid w:val="008C1899"/>
    <w:rsid w:val="008C1AAA"/>
    <w:rsid w:val="008C2705"/>
    <w:rsid w:val="008C2AF1"/>
    <w:rsid w:val="008C2C47"/>
    <w:rsid w:val="008C3051"/>
    <w:rsid w:val="008C3691"/>
    <w:rsid w:val="008C5191"/>
    <w:rsid w:val="008C5575"/>
    <w:rsid w:val="008C633D"/>
    <w:rsid w:val="008D0325"/>
    <w:rsid w:val="008D05C8"/>
    <w:rsid w:val="008D0C29"/>
    <w:rsid w:val="008D1C0C"/>
    <w:rsid w:val="008D26C8"/>
    <w:rsid w:val="008D2738"/>
    <w:rsid w:val="008D2D0C"/>
    <w:rsid w:val="008D3511"/>
    <w:rsid w:val="008D377B"/>
    <w:rsid w:val="008D3AC0"/>
    <w:rsid w:val="008D3B16"/>
    <w:rsid w:val="008D4207"/>
    <w:rsid w:val="008D4FB3"/>
    <w:rsid w:val="008D5D7E"/>
    <w:rsid w:val="008D6A4B"/>
    <w:rsid w:val="008D6AB6"/>
    <w:rsid w:val="008D7797"/>
    <w:rsid w:val="008D7CD6"/>
    <w:rsid w:val="008D7D07"/>
    <w:rsid w:val="008D7EF7"/>
    <w:rsid w:val="008E0744"/>
    <w:rsid w:val="008E1B5D"/>
    <w:rsid w:val="008E26E5"/>
    <w:rsid w:val="008E2B0F"/>
    <w:rsid w:val="008E2EA2"/>
    <w:rsid w:val="008E35DE"/>
    <w:rsid w:val="008E3832"/>
    <w:rsid w:val="008E3DC3"/>
    <w:rsid w:val="008E3EAB"/>
    <w:rsid w:val="008E4205"/>
    <w:rsid w:val="008E5B96"/>
    <w:rsid w:val="008E5CC4"/>
    <w:rsid w:val="008E638E"/>
    <w:rsid w:val="008E64D7"/>
    <w:rsid w:val="008E6F4E"/>
    <w:rsid w:val="008E7712"/>
    <w:rsid w:val="008F0418"/>
    <w:rsid w:val="008F116F"/>
    <w:rsid w:val="008F62AB"/>
    <w:rsid w:val="008F7969"/>
    <w:rsid w:val="008F7C2A"/>
    <w:rsid w:val="008F7D3E"/>
    <w:rsid w:val="00900A1E"/>
    <w:rsid w:val="00900C36"/>
    <w:rsid w:val="00901514"/>
    <w:rsid w:val="00902A7C"/>
    <w:rsid w:val="00902B17"/>
    <w:rsid w:val="00902C74"/>
    <w:rsid w:val="00903275"/>
    <w:rsid w:val="0090339A"/>
    <w:rsid w:val="0090422C"/>
    <w:rsid w:val="00904513"/>
    <w:rsid w:val="00904ACF"/>
    <w:rsid w:val="00905790"/>
    <w:rsid w:val="00905A8D"/>
    <w:rsid w:val="00906EFB"/>
    <w:rsid w:val="00907A69"/>
    <w:rsid w:val="00907FCE"/>
    <w:rsid w:val="00911489"/>
    <w:rsid w:val="00911D07"/>
    <w:rsid w:val="00912264"/>
    <w:rsid w:val="0091243C"/>
    <w:rsid w:val="009124D0"/>
    <w:rsid w:val="00912FC1"/>
    <w:rsid w:val="00913B83"/>
    <w:rsid w:val="00913BEB"/>
    <w:rsid w:val="009145A0"/>
    <w:rsid w:val="00914802"/>
    <w:rsid w:val="00914C4B"/>
    <w:rsid w:val="009172FB"/>
    <w:rsid w:val="009206DF"/>
    <w:rsid w:val="00920BDF"/>
    <w:rsid w:val="009212DE"/>
    <w:rsid w:val="00921ED9"/>
    <w:rsid w:val="00922751"/>
    <w:rsid w:val="00922F5D"/>
    <w:rsid w:val="00925787"/>
    <w:rsid w:val="0092662B"/>
    <w:rsid w:val="00926BF4"/>
    <w:rsid w:val="00926FB1"/>
    <w:rsid w:val="00927AF5"/>
    <w:rsid w:val="00927D8B"/>
    <w:rsid w:val="00927F68"/>
    <w:rsid w:val="009302D8"/>
    <w:rsid w:val="009307B9"/>
    <w:rsid w:val="0093226F"/>
    <w:rsid w:val="00932C79"/>
    <w:rsid w:val="00934274"/>
    <w:rsid w:val="00934E63"/>
    <w:rsid w:val="00934FB3"/>
    <w:rsid w:val="0093526B"/>
    <w:rsid w:val="00935B7F"/>
    <w:rsid w:val="009360CF"/>
    <w:rsid w:val="00937825"/>
    <w:rsid w:val="009403E7"/>
    <w:rsid w:val="00940647"/>
    <w:rsid w:val="0094070E"/>
    <w:rsid w:val="00942C19"/>
    <w:rsid w:val="00942C7C"/>
    <w:rsid w:val="00943FD3"/>
    <w:rsid w:val="0094406C"/>
    <w:rsid w:val="009452CD"/>
    <w:rsid w:val="00945932"/>
    <w:rsid w:val="00947418"/>
    <w:rsid w:val="0095039A"/>
    <w:rsid w:val="0095111A"/>
    <w:rsid w:val="009513B9"/>
    <w:rsid w:val="00951CA3"/>
    <w:rsid w:val="00953311"/>
    <w:rsid w:val="00953A0E"/>
    <w:rsid w:val="00953FF7"/>
    <w:rsid w:val="00954322"/>
    <w:rsid w:val="00954AC5"/>
    <w:rsid w:val="00954AE9"/>
    <w:rsid w:val="00954EBA"/>
    <w:rsid w:val="00954F1B"/>
    <w:rsid w:val="009550C4"/>
    <w:rsid w:val="009552BC"/>
    <w:rsid w:val="00955FED"/>
    <w:rsid w:val="00956964"/>
    <w:rsid w:val="0095733F"/>
    <w:rsid w:val="0095752F"/>
    <w:rsid w:val="00957601"/>
    <w:rsid w:val="009618BE"/>
    <w:rsid w:val="009628A8"/>
    <w:rsid w:val="00962DAA"/>
    <w:rsid w:val="00963FFE"/>
    <w:rsid w:val="009645D0"/>
    <w:rsid w:val="00964A7D"/>
    <w:rsid w:val="00964ECA"/>
    <w:rsid w:val="00965223"/>
    <w:rsid w:val="009654B5"/>
    <w:rsid w:val="00967DC9"/>
    <w:rsid w:val="009703CE"/>
    <w:rsid w:val="00970773"/>
    <w:rsid w:val="00970B2F"/>
    <w:rsid w:val="00972007"/>
    <w:rsid w:val="00972B44"/>
    <w:rsid w:val="00974D8F"/>
    <w:rsid w:val="009754BA"/>
    <w:rsid w:val="00976804"/>
    <w:rsid w:val="0097689D"/>
    <w:rsid w:val="009769B9"/>
    <w:rsid w:val="00976A12"/>
    <w:rsid w:val="00977906"/>
    <w:rsid w:val="00977F5C"/>
    <w:rsid w:val="0098010A"/>
    <w:rsid w:val="0098047A"/>
    <w:rsid w:val="00980D3A"/>
    <w:rsid w:val="0098203D"/>
    <w:rsid w:val="00982269"/>
    <w:rsid w:val="009827DE"/>
    <w:rsid w:val="00982B84"/>
    <w:rsid w:val="00982F69"/>
    <w:rsid w:val="009838C1"/>
    <w:rsid w:val="0098427D"/>
    <w:rsid w:val="00985130"/>
    <w:rsid w:val="00985446"/>
    <w:rsid w:val="00986619"/>
    <w:rsid w:val="00986F7E"/>
    <w:rsid w:val="00987486"/>
    <w:rsid w:val="009876FD"/>
    <w:rsid w:val="00990184"/>
    <w:rsid w:val="009901B8"/>
    <w:rsid w:val="00991A53"/>
    <w:rsid w:val="00992E6A"/>
    <w:rsid w:val="0099364F"/>
    <w:rsid w:val="00993754"/>
    <w:rsid w:val="00993B5B"/>
    <w:rsid w:val="00993E37"/>
    <w:rsid w:val="00994169"/>
    <w:rsid w:val="00994262"/>
    <w:rsid w:val="00995292"/>
    <w:rsid w:val="0099761F"/>
    <w:rsid w:val="00997F76"/>
    <w:rsid w:val="009A04EC"/>
    <w:rsid w:val="009A207D"/>
    <w:rsid w:val="009A2AD9"/>
    <w:rsid w:val="009A30E7"/>
    <w:rsid w:val="009A3476"/>
    <w:rsid w:val="009A4514"/>
    <w:rsid w:val="009A4BEE"/>
    <w:rsid w:val="009A4ECB"/>
    <w:rsid w:val="009A5022"/>
    <w:rsid w:val="009A571D"/>
    <w:rsid w:val="009A57EF"/>
    <w:rsid w:val="009A5BAA"/>
    <w:rsid w:val="009A6ED7"/>
    <w:rsid w:val="009A7501"/>
    <w:rsid w:val="009B0FDE"/>
    <w:rsid w:val="009B1190"/>
    <w:rsid w:val="009B1890"/>
    <w:rsid w:val="009B2808"/>
    <w:rsid w:val="009B34B4"/>
    <w:rsid w:val="009B3C77"/>
    <w:rsid w:val="009B3EDB"/>
    <w:rsid w:val="009B4030"/>
    <w:rsid w:val="009B4B49"/>
    <w:rsid w:val="009B4C1B"/>
    <w:rsid w:val="009B4C56"/>
    <w:rsid w:val="009B660D"/>
    <w:rsid w:val="009B6A79"/>
    <w:rsid w:val="009B774B"/>
    <w:rsid w:val="009C02BB"/>
    <w:rsid w:val="009C0365"/>
    <w:rsid w:val="009C14D7"/>
    <w:rsid w:val="009C20CD"/>
    <w:rsid w:val="009C2839"/>
    <w:rsid w:val="009C2F43"/>
    <w:rsid w:val="009C49D3"/>
    <w:rsid w:val="009C5393"/>
    <w:rsid w:val="009C5625"/>
    <w:rsid w:val="009C6399"/>
    <w:rsid w:val="009C7523"/>
    <w:rsid w:val="009C77C5"/>
    <w:rsid w:val="009D1C75"/>
    <w:rsid w:val="009D31B1"/>
    <w:rsid w:val="009D3F4C"/>
    <w:rsid w:val="009D3F9B"/>
    <w:rsid w:val="009D41F4"/>
    <w:rsid w:val="009D4609"/>
    <w:rsid w:val="009D5CBE"/>
    <w:rsid w:val="009D5F98"/>
    <w:rsid w:val="009D688C"/>
    <w:rsid w:val="009D6EED"/>
    <w:rsid w:val="009D7991"/>
    <w:rsid w:val="009E0715"/>
    <w:rsid w:val="009E1CE2"/>
    <w:rsid w:val="009E2811"/>
    <w:rsid w:val="009E28EF"/>
    <w:rsid w:val="009E2B4D"/>
    <w:rsid w:val="009E41BF"/>
    <w:rsid w:val="009E42A4"/>
    <w:rsid w:val="009E58E4"/>
    <w:rsid w:val="009E5D5B"/>
    <w:rsid w:val="009E6306"/>
    <w:rsid w:val="009E7D6C"/>
    <w:rsid w:val="009F0813"/>
    <w:rsid w:val="009F08E8"/>
    <w:rsid w:val="009F0ED8"/>
    <w:rsid w:val="009F11F3"/>
    <w:rsid w:val="009F149D"/>
    <w:rsid w:val="009F1584"/>
    <w:rsid w:val="009F170D"/>
    <w:rsid w:val="009F18B9"/>
    <w:rsid w:val="009F1C1A"/>
    <w:rsid w:val="009F1C99"/>
    <w:rsid w:val="009F34D2"/>
    <w:rsid w:val="009F3D19"/>
    <w:rsid w:val="009F41B6"/>
    <w:rsid w:val="009F4CBD"/>
    <w:rsid w:val="009F4F7B"/>
    <w:rsid w:val="009F53A9"/>
    <w:rsid w:val="009F5610"/>
    <w:rsid w:val="009F5DB6"/>
    <w:rsid w:val="009F63E6"/>
    <w:rsid w:val="009F67A4"/>
    <w:rsid w:val="009F6A02"/>
    <w:rsid w:val="009F6E5F"/>
    <w:rsid w:val="009F77DC"/>
    <w:rsid w:val="00A0002F"/>
    <w:rsid w:val="00A01445"/>
    <w:rsid w:val="00A0155A"/>
    <w:rsid w:val="00A0162B"/>
    <w:rsid w:val="00A027B0"/>
    <w:rsid w:val="00A035F6"/>
    <w:rsid w:val="00A03611"/>
    <w:rsid w:val="00A038E7"/>
    <w:rsid w:val="00A04125"/>
    <w:rsid w:val="00A04393"/>
    <w:rsid w:val="00A0575F"/>
    <w:rsid w:val="00A05C0D"/>
    <w:rsid w:val="00A05C8D"/>
    <w:rsid w:val="00A0649E"/>
    <w:rsid w:val="00A067D4"/>
    <w:rsid w:val="00A068F3"/>
    <w:rsid w:val="00A078D7"/>
    <w:rsid w:val="00A07DA8"/>
    <w:rsid w:val="00A1030B"/>
    <w:rsid w:val="00A104BA"/>
    <w:rsid w:val="00A114BD"/>
    <w:rsid w:val="00A13B2F"/>
    <w:rsid w:val="00A13EC1"/>
    <w:rsid w:val="00A144B7"/>
    <w:rsid w:val="00A14D1F"/>
    <w:rsid w:val="00A14E5D"/>
    <w:rsid w:val="00A15B87"/>
    <w:rsid w:val="00A17668"/>
    <w:rsid w:val="00A17CBA"/>
    <w:rsid w:val="00A20493"/>
    <w:rsid w:val="00A20D52"/>
    <w:rsid w:val="00A20F7A"/>
    <w:rsid w:val="00A21142"/>
    <w:rsid w:val="00A21A0F"/>
    <w:rsid w:val="00A21ADE"/>
    <w:rsid w:val="00A21D55"/>
    <w:rsid w:val="00A22BD1"/>
    <w:rsid w:val="00A24300"/>
    <w:rsid w:val="00A245D2"/>
    <w:rsid w:val="00A245E1"/>
    <w:rsid w:val="00A24D57"/>
    <w:rsid w:val="00A2612E"/>
    <w:rsid w:val="00A269DF"/>
    <w:rsid w:val="00A26CDA"/>
    <w:rsid w:val="00A26D46"/>
    <w:rsid w:val="00A27E45"/>
    <w:rsid w:val="00A3024D"/>
    <w:rsid w:val="00A30B30"/>
    <w:rsid w:val="00A3133E"/>
    <w:rsid w:val="00A313F4"/>
    <w:rsid w:val="00A31C21"/>
    <w:rsid w:val="00A31E42"/>
    <w:rsid w:val="00A326AE"/>
    <w:rsid w:val="00A335DA"/>
    <w:rsid w:val="00A342AC"/>
    <w:rsid w:val="00A343E3"/>
    <w:rsid w:val="00A344FB"/>
    <w:rsid w:val="00A34965"/>
    <w:rsid w:val="00A34A94"/>
    <w:rsid w:val="00A35C70"/>
    <w:rsid w:val="00A35DAE"/>
    <w:rsid w:val="00A3601D"/>
    <w:rsid w:val="00A364A4"/>
    <w:rsid w:val="00A36EC6"/>
    <w:rsid w:val="00A37187"/>
    <w:rsid w:val="00A37D25"/>
    <w:rsid w:val="00A37DAC"/>
    <w:rsid w:val="00A37E88"/>
    <w:rsid w:val="00A40357"/>
    <w:rsid w:val="00A40681"/>
    <w:rsid w:val="00A406F0"/>
    <w:rsid w:val="00A40823"/>
    <w:rsid w:val="00A40863"/>
    <w:rsid w:val="00A419C0"/>
    <w:rsid w:val="00A41A47"/>
    <w:rsid w:val="00A431FB"/>
    <w:rsid w:val="00A443C7"/>
    <w:rsid w:val="00A46147"/>
    <w:rsid w:val="00A46C1F"/>
    <w:rsid w:val="00A46EAD"/>
    <w:rsid w:val="00A5096F"/>
    <w:rsid w:val="00A50A49"/>
    <w:rsid w:val="00A5251A"/>
    <w:rsid w:val="00A52BFF"/>
    <w:rsid w:val="00A53797"/>
    <w:rsid w:val="00A53A5A"/>
    <w:rsid w:val="00A53AC3"/>
    <w:rsid w:val="00A53F7D"/>
    <w:rsid w:val="00A53FD4"/>
    <w:rsid w:val="00A5458C"/>
    <w:rsid w:val="00A55C1B"/>
    <w:rsid w:val="00A565CF"/>
    <w:rsid w:val="00A56728"/>
    <w:rsid w:val="00A5688F"/>
    <w:rsid w:val="00A5690D"/>
    <w:rsid w:val="00A56D1C"/>
    <w:rsid w:val="00A56E05"/>
    <w:rsid w:val="00A576B4"/>
    <w:rsid w:val="00A57CB1"/>
    <w:rsid w:val="00A602AA"/>
    <w:rsid w:val="00A61480"/>
    <w:rsid w:val="00A61866"/>
    <w:rsid w:val="00A61E3F"/>
    <w:rsid w:val="00A61FE7"/>
    <w:rsid w:val="00A63026"/>
    <w:rsid w:val="00A6329A"/>
    <w:rsid w:val="00A634BB"/>
    <w:rsid w:val="00A64FC3"/>
    <w:rsid w:val="00A656C9"/>
    <w:rsid w:val="00A656DD"/>
    <w:rsid w:val="00A6600B"/>
    <w:rsid w:val="00A665F8"/>
    <w:rsid w:val="00A66726"/>
    <w:rsid w:val="00A67C76"/>
    <w:rsid w:val="00A7042A"/>
    <w:rsid w:val="00A70A33"/>
    <w:rsid w:val="00A71301"/>
    <w:rsid w:val="00A714D5"/>
    <w:rsid w:val="00A71509"/>
    <w:rsid w:val="00A71B8C"/>
    <w:rsid w:val="00A7206F"/>
    <w:rsid w:val="00A72B41"/>
    <w:rsid w:val="00A734C5"/>
    <w:rsid w:val="00A737D9"/>
    <w:rsid w:val="00A73BE9"/>
    <w:rsid w:val="00A7428A"/>
    <w:rsid w:val="00A74D17"/>
    <w:rsid w:val="00A753C8"/>
    <w:rsid w:val="00A762C7"/>
    <w:rsid w:val="00A77A8C"/>
    <w:rsid w:val="00A77CCA"/>
    <w:rsid w:val="00A80D4D"/>
    <w:rsid w:val="00A81574"/>
    <w:rsid w:val="00A82504"/>
    <w:rsid w:val="00A83405"/>
    <w:rsid w:val="00A836CA"/>
    <w:rsid w:val="00A83744"/>
    <w:rsid w:val="00A83871"/>
    <w:rsid w:val="00A83AB5"/>
    <w:rsid w:val="00A842D6"/>
    <w:rsid w:val="00A843CD"/>
    <w:rsid w:val="00A85420"/>
    <w:rsid w:val="00A85820"/>
    <w:rsid w:val="00A85874"/>
    <w:rsid w:val="00A85AA8"/>
    <w:rsid w:val="00A8614F"/>
    <w:rsid w:val="00A86155"/>
    <w:rsid w:val="00A86E79"/>
    <w:rsid w:val="00A875B3"/>
    <w:rsid w:val="00A87A82"/>
    <w:rsid w:val="00A87B21"/>
    <w:rsid w:val="00A90436"/>
    <w:rsid w:val="00A91EBB"/>
    <w:rsid w:val="00A92C89"/>
    <w:rsid w:val="00A93A38"/>
    <w:rsid w:val="00A93F2A"/>
    <w:rsid w:val="00A947DC"/>
    <w:rsid w:val="00A95343"/>
    <w:rsid w:val="00A96182"/>
    <w:rsid w:val="00A97112"/>
    <w:rsid w:val="00A971CC"/>
    <w:rsid w:val="00A9747A"/>
    <w:rsid w:val="00A97E15"/>
    <w:rsid w:val="00AA1749"/>
    <w:rsid w:val="00AA1BB5"/>
    <w:rsid w:val="00AA205B"/>
    <w:rsid w:val="00AA36E9"/>
    <w:rsid w:val="00AA5166"/>
    <w:rsid w:val="00AA6589"/>
    <w:rsid w:val="00AA65CB"/>
    <w:rsid w:val="00AA6A22"/>
    <w:rsid w:val="00AA6C3C"/>
    <w:rsid w:val="00AA6ECE"/>
    <w:rsid w:val="00AA7A53"/>
    <w:rsid w:val="00AB0BA7"/>
    <w:rsid w:val="00AB0C92"/>
    <w:rsid w:val="00AB1277"/>
    <w:rsid w:val="00AB15AD"/>
    <w:rsid w:val="00AB2169"/>
    <w:rsid w:val="00AB3ECF"/>
    <w:rsid w:val="00AB3FF6"/>
    <w:rsid w:val="00AB44BC"/>
    <w:rsid w:val="00AB76D1"/>
    <w:rsid w:val="00AB7E92"/>
    <w:rsid w:val="00AC0098"/>
    <w:rsid w:val="00AC04B7"/>
    <w:rsid w:val="00AC050C"/>
    <w:rsid w:val="00AC0617"/>
    <w:rsid w:val="00AC080C"/>
    <w:rsid w:val="00AC0D57"/>
    <w:rsid w:val="00AC0ECA"/>
    <w:rsid w:val="00AC0EF5"/>
    <w:rsid w:val="00AC1FA5"/>
    <w:rsid w:val="00AC2A49"/>
    <w:rsid w:val="00AC3B30"/>
    <w:rsid w:val="00AC3BAD"/>
    <w:rsid w:val="00AC44FB"/>
    <w:rsid w:val="00AC4C00"/>
    <w:rsid w:val="00AD03D2"/>
    <w:rsid w:val="00AD067B"/>
    <w:rsid w:val="00AD08EB"/>
    <w:rsid w:val="00AD0F4A"/>
    <w:rsid w:val="00AD10D2"/>
    <w:rsid w:val="00AD2724"/>
    <w:rsid w:val="00AD2CC7"/>
    <w:rsid w:val="00AD35BA"/>
    <w:rsid w:val="00AD37A1"/>
    <w:rsid w:val="00AD4C85"/>
    <w:rsid w:val="00AD4E67"/>
    <w:rsid w:val="00AD553A"/>
    <w:rsid w:val="00AD5A11"/>
    <w:rsid w:val="00AD5A6D"/>
    <w:rsid w:val="00AD62AD"/>
    <w:rsid w:val="00AD798E"/>
    <w:rsid w:val="00AE0C05"/>
    <w:rsid w:val="00AE0E1E"/>
    <w:rsid w:val="00AE10AB"/>
    <w:rsid w:val="00AE13F8"/>
    <w:rsid w:val="00AE2A3A"/>
    <w:rsid w:val="00AE416A"/>
    <w:rsid w:val="00AE41A9"/>
    <w:rsid w:val="00AE46EF"/>
    <w:rsid w:val="00AE4A79"/>
    <w:rsid w:val="00AE4C86"/>
    <w:rsid w:val="00AE4E18"/>
    <w:rsid w:val="00AE5825"/>
    <w:rsid w:val="00AE5BE0"/>
    <w:rsid w:val="00AE711A"/>
    <w:rsid w:val="00AE7566"/>
    <w:rsid w:val="00AE75F4"/>
    <w:rsid w:val="00AF0809"/>
    <w:rsid w:val="00AF0BB6"/>
    <w:rsid w:val="00AF1457"/>
    <w:rsid w:val="00AF204E"/>
    <w:rsid w:val="00AF2124"/>
    <w:rsid w:val="00AF22AE"/>
    <w:rsid w:val="00AF281F"/>
    <w:rsid w:val="00AF2FF8"/>
    <w:rsid w:val="00AF351C"/>
    <w:rsid w:val="00AF4BBD"/>
    <w:rsid w:val="00AF59E5"/>
    <w:rsid w:val="00AF5B41"/>
    <w:rsid w:val="00AF64C7"/>
    <w:rsid w:val="00AF64E0"/>
    <w:rsid w:val="00AF7E4A"/>
    <w:rsid w:val="00B0025E"/>
    <w:rsid w:val="00B008EE"/>
    <w:rsid w:val="00B00AA4"/>
    <w:rsid w:val="00B01369"/>
    <w:rsid w:val="00B02CF4"/>
    <w:rsid w:val="00B04084"/>
    <w:rsid w:val="00B04500"/>
    <w:rsid w:val="00B05933"/>
    <w:rsid w:val="00B05BCF"/>
    <w:rsid w:val="00B06832"/>
    <w:rsid w:val="00B072B7"/>
    <w:rsid w:val="00B07489"/>
    <w:rsid w:val="00B078B6"/>
    <w:rsid w:val="00B10DDC"/>
    <w:rsid w:val="00B13F85"/>
    <w:rsid w:val="00B1468F"/>
    <w:rsid w:val="00B149A5"/>
    <w:rsid w:val="00B152A0"/>
    <w:rsid w:val="00B15638"/>
    <w:rsid w:val="00B15B5E"/>
    <w:rsid w:val="00B15B73"/>
    <w:rsid w:val="00B161A8"/>
    <w:rsid w:val="00B16D7E"/>
    <w:rsid w:val="00B16FB4"/>
    <w:rsid w:val="00B17061"/>
    <w:rsid w:val="00B17183"/>
    <w:rsid w:val="00B1742D"/>
    <w:rsid w:val="00B17A60"/>
    <w:rsid w:val="00B17E94"/>
    <w:rsid w:val="00B205FA"/>
    <w:rsid w:val="00B2064F"/>
    <w:rsid w:val="00B20BC9"/>
    <w:rsid w:val="00B21CB7"/>
    <w:rsid w:val="00B21FE7"/>
    <w:rsid w:val="00B2207B"/>
    <w:rsid w:val="00B226CA"/>
    <w:rsid w:val="00B23ECF"/>
    <w:rsid w:val="00B24333"/>
    <w:rsid w:val="00B254DD"/>
    <w:rsid w:val="00B25A6A"/>
    <w:rsid w:val="00B262C8"/>
    <w:rsid w:val="00B26377"/>
    <w:rsid w:val="00B2649E"/>
    <w:rsid w:val="00B26D80"/>
    <w:rsid w:val="00B275B4"/>
    <w:rsid w:val="00B30375"/>
    <w:rsid w:val="00B3057F"/>
    <w:rsid w:val="00B307F1"/>
    <w:rsid w:val="00B3111B"/>
    <w:rsid w:val="00B31626"/>
    <w:rsid w:val="00B318F9"/>
    <w:rsid w:val="00B31D48"/>
    <w:rsid w:val="00B32489"/>
    <w:rsid w:val="00B32EA0"/>
    <w:rsid w:val="00B335E4"/>
    <w:rsid w:val="00B34004"/>
    <w:rsid w:val="00B34770"/>
    <w:rsid w:val="00B34C51"/>
    <w:rsid w:val="00B3588F"/>
    <w:rsid w:val="00B36132"/>
    <w:rsid w:val="00B36198"/>
    <w:rsid w:val="00B3662B"/>
    <w:rsid w:val="00B36962"/>
    <w:rsid w:val="00B36C09"/>
    <w:rsid w:val="00B36F86"/>
    <w:rsid w:val="00B37903"/>
    <w:rsid w:val="00B37EE0"/>
    <w:rsid w:val="00B40198"/>
    <w:rsid w:val="00B4099F"/>
    <w:rsid w:val="00B40AB8"/>
    <w:rsid w:val="00B412D9"/>
    <w:rsid w:val="00B415C9"/>
    <w:rsid w:val="00B41759"/>
    <w:rsid w:val="00B41D44"/>
    <w:rsid w:val="00B42380"/>
    <w:rsid w:val="00B42F51"/>
    <w:rsid w:val="00B43AF1"/>
    <w:rsid w:val="00B462EA"/>
    <w:rsid w:val="00B4682D"/>
    <w:rsid w:val="00B46E43"/>
    <w:rsid w:val="00B47ABB"/>
    <w:rsid w:val="00B50ACC"/>
    <w:rsid w:val="00B51804"/>
    <w:rsid w:val="00B5181D"/>
    <w:rsid w:val="00B52785"/>
    <w:rsid w:val="00B53663"/>
    <w:rsid w:val="00B53EAE"/>
    <w:rsid w:val="00B54271"/>
    <w:rsid w:val="00B5457B"/>
    <w:rsid w:val="00B5458A"/>
    <w:rsid w:val="00B548AE"/>
    <w:rsid w:val="00B549BE"/>
    <w:rsid w:val="00B559EF"/>
    <w:rsid w:val="00B56065"/>
    <w:rsid w:val="00B5613D"/>
    <w:rsid w:val="00B56305"/>
    <w:rsid w:val="00B56D38"/>
    <w:rsid w:val="00B57274"/>
    <w:rsid w:val="00B57923"/>
    <w:rsid w:val="00B57949"/>
    <w:rsid w:val="00B6042F"/>
    <w:rsid w:val="00B61149"/>
    <w:rsid w:val="00B61AB4"/>
    <w:rsid w:val="00B61D7F"/>
    <w:rsid w:val="00B61D85"/>
    <w:rsid w:val="00B62025"/>
    <w:rsid w:val="00B62744"/>
    <w:rsid w:val="00B63A29"/>
    <w:rsid w:val="00B647ED"/>
    <w:rsid w:val="00B65304"/>
    <w:rsid w:val="00B66D3F"/>
    <w:rsid w:val="00B70535"/>
    <w:rsid w:val="00B7065E"/>
    <w:rsid w:val="00B70A5C"/>
    <w:rsid w:val="00B711BE"/>
    <w:rsid w:val="00B7263A"/>
    <w:rsid w:val="00B72787"/>
    <w:rsid w:val="00B72CA7"/>
    <w:rsid w:val="00B7475A"/>
    <w:rsid w:val="00B7549E"/>
    <w:rsid w:val="00B77370"/>
    <w:rsid w:val="00B7743C"/>
    <w:rsid w:val="00B77AF5"/>
    <w:rsid w:val="00B77CAE"/>
    <w:rsid w:val="00B80349"/>
    <w:rsid w:val="00B812C1"/>
    <w:rsid w:val="00B8178E"/>
    <w:rsid w:val="00B81D68"/>
    <w:rsid w:val="00B835E1"/>
    <w:rsid w:val="00B836C8"/>
    <w:rsid w:val="00B83F26"/>
    <w:rsid w:val="00B8425F"/>
    <w:rsid w:val="00B843E8"/>
    <w:rsid w:val="00B84421"/>
    <w:rsid w:val="00B84F0C"/>
    <w:rsid w:val="00B8593A"/>
    <w:rsid w:val="00B85C99"/>
    <w:rsid w:val="00B85E71"/>
    <w:rsid w:val="00B85EEC"/>
    <w:rsid w:val="00B866AC"/>
    <w:rsid w:val="00B869E6"/>
    <w:rsid w:val="00B87A69"/>
    <w:rsid w:val="00B87B59"/>
    <w:rsid w:val="00B90914"/>
    <w:rsid w:val="00B93194"/>
    <w:rsid w:val="00B938E3"/>
    <w:rsid w:val="00B94EF6"/>
    <w:rsid w:val="00B95EF4"/>
    <w:rsid w:val="00B95F7D"/>
    <w:rsid w:val="00B95FBC"/>
    <w:rsid w:val="00B96D62"/>
    <w:rsid w:val="00B975DE"/>
    <w:rsid w:val="00BA09A2"/>
    <w:rsid w:val="00BA0DEC"/>
    <w:rsid w:val="00BA1118"/>
    <w:rsid w:val="00BA1823"/>
    <w:rsid w:val="00BA187D"/>
    <w:rsid w:val="00BA3899"/>
    <w:rsid w:val="00BA417E"/>
    <w:rsid w:val="00BA41D6"/>
    <w:rsid w:val="00BA6B30"/>
    <w:rsid w:val="00BA7267"/>
    <w:rsid w:val="00BA7763"/>
    <w:rsid w:val="00BB03AA"/>
    <w:rsid w:val="00BB0AB0"/>
    <w:rsid w:val="00BB0B0D"/>
    <w:rsid w:val="00BB2257"/>
    <w:rsid w:val="00BB2412"/>
    <w:rsid w:val="00BB24BC"/>
    <w:rsid w:val="00BB3590"/>
    <w:rsid w:val="00BB44CA"/>
    <w:rsid w:val="00BB52F1"/>
    <w:rsid w:val="00BB5364"/>
    <w:rsid w:val="00BB5562"/>
    <w:rsid w:val="00BB5A9C"/>
    <w:rsid w:val="00BB5EE2"/>
    <w:rsid w:val="00BB6477"/>
    <w:rsid w:val="00BB7E8E"/>
    <w:rsid w:val="00BB7F90"/>
    <w:rsid w:val="00BC035A"/>
    <w:rsid w:val="00BC0DC5"/>
    <w:rsid w:val="00BC13E0"/>
    <w:rsid w:val="00BC17FA"/>
    <w:rsid w:val="00BC2023"/>
    <w:rsid w:val="00BC39A3"/>
    <w:rsid w:val="00BC3D0B"/>
    <w:rsid w:val="00BC41EC"/>
    <w:rsid w:val="00BC5415"/>
    <w:rsid w:val="00BC5601"/>
    <w:rsid w:val="00BC59C2"/>
    <w:rsid w:val="00BC5C44"/>
    <w:rsid w:val="00BC5E5A"/>
    <w:rsid w:val="00BC62C7"/>
    <w:rsid w:val="00BC66C0"/>
    <w:rsid w:val="00BC6819"/>
    <w:rsid w:val="00BC6D37"/>
    <w:rsid w:val="00BC7C6A"/>
    <w:rsid w:val="00BD0040"/>
    <w:rsid w:val="00BD0175"/>
    <w:rsid w:val="00BD072D"/>
    <w:rsid w:val="00BD0B62"/>
    <w:rsid w:val="00BD0C68"/>
    <w:rsid w:val="00BD10E2"/>
    <w:rsid w:val="00BD135F"/>
    <w:rsid w:val="00BD1734"/>
    <w:rsid w:val="00BD1769"/>
    <w:rsid w:val="00BD1FB1"/>
    <w:rsid w:val="00BD2F4A"/>
    <w:rsid w:val="00BD322F"/>
    <w:rsid w:val="00BD3B1E"/>
    <w:rsid w:val="00BD3DC3"/>
    <w:rsid w:val="00BD4CAD"/>
    <w:rsid w:val="00BD51AD"/>
    <w:rsid w:val="00BD5234"/>
    <w:rsid w:val="00BD571C"/>
    <w:rsid w:val="00BD61F6"/>
    <w:rsid w:val="00BD664E"/>
    <w:rsid w:val="00BD66AB"/>
    <w:rsid w:val="00BD7824"/>
    <w:rsid w:val="00BD7858"/>
    <w:rsid w:val="00BD7D5E"/>
    <w:rsid w:val="00BE01DB"/>
    <w:rsid w:val="00BE0ABC"/>
    <w:rsid w:val="00BE1AC0"/>
    <w:rsid w:val="00BE1D83"/>
    <w:rsid w:val="00BE1F31"/>
    <w:rsid w:val="00BE2AE8"/>
    <w:rsid w:val="00BE2F3D"/>
    <w:rsid w:val="00BE332C"/>
    <w:rsid w:val="00BE3628"/>
    <w:rsid w:val="00BE3996"/>
    <w:rsid w:val="00BE3E99"/>
    <w:rsid w:val="00BE40E0"/>
    <w:rsid w:val="00BE427C"/>
    <w:rsid w:val="00BE5048"/>
    <w:rsid w:val="00BE5200"/>
    <w:rsid w:val="00BE5899"/>
    <w:rsid w:val="00BE5CDD"/>
    <w:rsid w:val="00BE61C2"/>
    <w:rsid w:val="00BE6331"/>
    <w:rsid w:val="00BE682F"/>
    <w:rsid w:val="00BE69E4"/>
    <w:rsid w:val="00BE6FCC"/>
    <w:rsid w:val="00BE7BB3"/>
    <w:rsid w:val="00BF05CF"/>
    <w:rsid w:val="00BF141F"/>
    <w:rsid w:val="00BF2377"/>
    <w:rsid w:val="00BF474F"/>
    <w:rsid w:val="00BF4876"/>
    <w:rsid w:val="00BF4FA5"/>
    <w:rsid w:val="00BF5002"/>
    <w:rsid w:val="00BF50ED"/>
    <w:rsid w:val="00BF53A5"/>
    <w:rsid w:val="00BF540F"/>
    <w:rsid w:val="00BF584B"/>
    <w:rsid w:val="00BF5C36"/>
    <w:rsid w:val="00BF5D87"/>
    <w:rsid w:val="00BF5FCA"/>
    <w:rsid w:val="00BF7780"/>
    <w:rsid w:val="00C00CC3"/>
    <w:rsid w:val="00C015EF"/>
    <w:rsid w:val="00C01C4F"/>
    <w:rsid w:val="00C02759"/>
    <w:rsid w:val="00C02769"/>
    <w:rsid w:val="00C02B71"/>
    <w:rsid w:val="00C03695"/>
    <w:rsid w:val="00C03889"/>
    <w:rsid w:val="00C03A7B"/>
    <w:rsid w:val="00C04181"/>
    <w:rsid w:val="00C04D92"/>
    <w:rsid w:val="00C05413"/>
    <w:rsid w:val="00C057B7"/>
    <w:rsid w:val="00C06678"/>
    <w:rsid w:val="00C06938"/>
    <w:rsid w:val="00C07FEA"/>
    <w:rsid w:val="00C1062F"/>
    <w:rsid w:val="00C107D4"/>
    <w:rsid w:val="00C12194"/>
    <w:rsid w:val="00C1291B"/>
    <w:rsid w:val="00C12D63"/>
    <w:rsid w:val="00C1396B"/>
    <w:rsid w:val="00C13C17"/>
    <w:rsid w:val="00C13D45"/>
    <w:rsid w:val="00C162C5"/>
    <w:rsid w:val="00C16770"/>
    <w:rsid w:val="00C172F2"/>
    <w:rsid w:val="00C17F5D"/>
    <w:rsid w:val="00C210BF"/>
    <w:rsid w:val="00C226B3"/>
    <w:rsid w:val="00C234EE"/>
    <w:rsid w:val="00C23535"/>
    <w:rsid w:val="00C23846"/>
    <w:rsid w:val="00C23F18"/>
    <w:rsid w:val="00C24254"/>
    <w:rsid w:val="00C25423"/>
    <w:rsid w:val="00C25CFA"/>
    <w:rsid w:val="00C26017"/>
    <w:rsid w:val="00C261A2"/>
    <w:rsid w:val="00C268D9"/>
    <w:rsid w:val="00C270FB"/>
    <w:rsid w:val="00C30E59"/>
    <w:rsid w:val="00C31870"/>
    <w:rsid w:val="00C31AD6"/>
    <w:rsid w:val="00C31AE1"/>
    <w:rsid w:val="00C31BA3"/>
    <w:rsid w:val="00C31FA8"/>
    <w:rsid w:val="00C325EF"/>
    <w:rsid w:val="00C32839"/>
    <w:rsid w:val="00C3358A"/>
    <w:rsid w:val="00C33C04"/>
    <w:rsid w:val="00C33DC9"/>
    <w:rsid w:val="00C34C15"/>
    <w:rsid w:val="00C34E1D"/>
    <w:rsid w:val="00C355F4"/>
    <w:rsid w:val="00C3562C"/>
    <w:rsid w:val="00C36B49"/>
    <w:rsid w:val="00C3798A"/>
    <w:rsid w:val="00C37FBD"/>
    <w:rsid w:val="00C424E8"/>
    <w:rsid w:val="00C434B5"/>
    <w:rsid w:val="00C43C09"/>
    <w:rsid w:val="00C43F77"/>
    <w:rsid w:val="00C440E8"/>
    <w:rsid w:val="00C44367"/>
    <w:rsid w:val="00C444AC"/>
    <w:rsid w:val="00C450D2"/>
    <w:rsid w:val="00C4519B"/>
    <w:rsid w:val="00C46917"/>
    <w:rsid w:val="00C46981"/>
    <w:rsid w:val="00C47741"/>
    <w:rsid w:val="00C47EB4"/>
    <w:rsid w:val="00C50030"/>
    <w:rsid w:val="00C503F2"/>
    <w:rsid w:val="00C50C85"/>
    <w:rsid w:val="00C514A6"/>
    <w:rsid w:val="00C5162D"/>
    <w:rsid w:val="00C520DC"/>
    <w:rsid w:val="00C53D5A"/>
    <w:rsid w:val="00C53E10"/>
    <w:rsid w:val="00C55860"/>
    <w:rsid w:val="00C5622D"/>
    <w:rsid w:val="00C564DB"/>
    <w:rsid w:val="00C56680"/>
    <w:rsid w:val="00C56993"/>
    <w:rsid w:val="00C56DF6"/>
    <w:rsid w:val="00C57AF3"/>
    <w:rsid w:val="00C609E0"/>
    <w:rsid w:val="00C60AB8"/>
    <w:rsid w:val="00C60CCF"/>
    <w:rsid w:val="00C612EA"/>
    <w:rsid w:val="00C644E1"/>
    <w:rsid w:val="00C65BF8"/>
    <w:rsid w:val="00C66DBA"/>
    <w:rsid w:val="00C67040"/>
    <w:rsid w:val="00C67E86"/>
    <w:rsid w:val="00C707BA"/>
    <w:rsid w:val="00C7188C"/>
    <w:rsid w:val="00C71BFB"/>
    <w:rsid w:val="00C73085"/>
    <w:rsid w:val="00C736ED"/>
    <w:rsid w:val="00C73DA6"/>
    <w:rsid w:val="00C74263"/>
    <w:rsid w:val="00C74D33"/>
    <w:rsid w:val="00C758C2"/>
    <w:rsid w:val="00C76003"/>
    <w:rsid w:val="00C76671"/>
    <w:rsid w:val="00C76B9F"/>
    <w:rsid w:val="00C76D38"/>
    <w:rsid w:val="00C8015F"/>
    <w:rsid w:val="00C81184"/>
    <w:rsid w:val="00C824FA"/>
    <w:rsid w:val="00C8252F"/>
    <w:rsid w:val="00C82BB8"/>
    <w:rsid w:val="00C83B25"/>
    <w:rsid w:val="00C83EC0"/>
    <w:rsid w:val="00C849D5"/>
    <w:rsid w:val="00C84E9E"/>
    <w:rsid w:val="00C85C49"/>
    <w:rsid w:val="00C86A86"/>
    <w:rsid w:val="00C87015"/>
    <w:rsid w:val="00C909B0"/>
    <w:rsid w:val="00C90DA9"/>
    <w:rsid w:val="00C90DD5"/>
    <w:rsid w:val="00C915CF"/>
    <w:rsid w:val="00C91739"/>
    <w:rsid w:val="00C9183A"/>
    <w:rsid w:val="00C91B42"/>
    <w:rsid w:val="00C92219"/>
    <w:rsid w:val="00C93509"/>
    <w:rsid w:val="00C93613"/>
    <w:rsid w:val="00C939FF"/>
    <w:rsid w:val="00C943F7"/>
    <w:rsid w:val="00C94927"/>
    <w:rsid w:val="00C96189"/>
    <w:rsid w:val="00C96A6D"/>
    <w:rsid w:val="00C97D7A"/>
    <w:rsid w:val="00CA026D"/>
    <w:rsid w:val="00CA0B2E"/>
    <w:rsid w:val="00CA114E"/>
    <w:rsid w:val="00CA12DA"/>
    <w:rsid w:val="00CA1840"/>
    <w:rsid w:val="00CA1B3D"/>
    <w:rsid w:val="00CA1B78"/>
    <w:rsid w:val="00CA3702"/>
    <w:rsid w:val="00CA3880"/>
    <w:rsid w:val="00CA4CAF"/>
    <w:rsid w:val="00CA4D65"/>
    <w:rsid w:val="00CA5494"/>
    <w:rsid w:val="00CA5578"/>
    <w:rsid w:val="00CA5913"/>
    <w:rsid w:val="00CA68EA"/>
    <w:rsid w:val="00CA6C50"/>
    <w:rsid w:val="00CB024A"/>
    <w:rsid w:val="00CB10D4"/>
    <w:rsid w:val="00CB27AF"/>
    <w:rsid w:val="00CB30A7"/>
    <w:rsid w:val="00CB3B4D"/>
    <w:rsid w:val="00CB4318"/>
    <w:rsid w:val="00CB448C"/>
    <w:rsid w:val="00CB468F"/>
    <w:rsid w:val="00CB4FF0"/>
    <w:rsid w:val="00CB5E8E"/>
    <w:rsid w:val="00CC1530"/>
    <w:rsid w:val="00CC1EB4"/>
    <w:rsid w:val="00CC3BFF"/>
    <w:rsid w:val="00CC4B31"/>
    <w:rsid w:val="00CC4F4F"/>
    <w:rsid w:val="00CC5080"/>
    <w:rsid w:val="00CC50FA"/>
    <w:rsid w:val="00CC5560"/>
    <w:rsid w:val="00CC6D47"/>
    <w:rsid w:val="00CD060E"/>
    <w:rsid w:val="00CD0E22"/>
    <w:rsid w:val="00CD1302"/>
    <w:rsid w:val="00CD13B2"/>
    <w:rsid w:val="00CD4802"/>
    <w:rsid w:val="00CD59C7"/>
    <w:rsid w:val="00CD61D6"/>
    <w:rsid w:val="00CD6D9D"/>
    <w:rsid w:val="00CD6F00"/>
    <w:rsid w:val="00CD7239"/>
    <w:rsid w:val="00CD731C"/>
    <w:rsid w:val="00CD7591"/>
    <w:rsid w:val="00CD76F2"/>
    <w:rsid w:val="00CD7B04"/>
    <w:rsid w:val="00CE0264"/>
    <w:rsid w:val="00CE17B0"/>
    <w:rsid w:val="00CE2998"/>
    <w:rsid w:val="00CE2DB6"/>
    <w:rsid w:val="00CE4A0E"/>
    <w:rsid w:val="00CE5220"/>
    <w:rsid w:val="00CE610E"/>
    <w:rsid w:val="00CE6C38"/>
    <w:rsid w:val="00CE6DEE"/>
    <w:rsid w:val="00CE6F2E"/>
    <w:rsid w:val="00CE7CAF"/>
    <w:rsid w:val="00CF0C12"/>
    <w:rsid w:val="00CF28E5"/>
    <w:rsid w:val="00CF2936"/>
    <w:rsid w:val="00CF2A73"/>
    <w:rsid w:val="00CF3DBC"/>
    <w:rsid w:val="00CF3F3A"/>
    <w:rsid w:val="00CF47BB"/>
    <w:rsid w:val="00CF5CA0"/>
    <w:rsid w:val="00CF704E"/>
    <w:rsid w:val="00CF7DAB"/>
    <w:rsid w:val="00D00155"/>
    <w:rsid w:val="00D0019C"/>
    <w:rsid w:val="00D01C99"/>
    <w:rsid w:val="00D021A8"/>
    <w:rsid w:val="00D03241"/>
    <w:rsid w:val="00D032B3"/>
    <w:rsid w:val="00D03644"/>
    <w:rsid w:val="00D03932"/>
    <w:rsid w:val="00D03E5B"/>
    <w:rsid w:val="00D054BF"/>
    <w:rsid w:val="00D0641B"/>
    <w:rsid w:val="00D066C0"/>
    <w:rsid w:val="00D11003"/>
    <w:rsid w:val="00D118E0"/>
    <w:rsid w:val="00D11C85"/>
    <w:rsid w:val="00D11D42"/>
    <w:rsid w:val="00D11D87"/>
    <w:rsid w:val="00D11E31"/>
    <w:rsid w:val="00D1263C"/>
    <w:rsid w:val="00D14842"/>
    <w:rsid w:val="00D15790"/>
    <w:rsid w:val="00D15D0F"/>
    <w:rsid w:val="00D1662C"/>
    <w:rsid w:val="00D16A72"/>
    <w:rsid w:val="00D16E2D"/>
    <w:rsid w:val="00D17FAC"/>
    <w:rsid w:val="00D2023B"/>
    <w:rsid w:val="00D223B1"/>
    <w:rsid w:val="00D2316A"/>
    <w:rsid w:val="00D25474"/>
    <w:rsid w:val="00D25D90"/>
    <w:rsid w:val="00D26157"/>
    <w:rsid w:val="00D26E0D"/>
    <w:rsid w:val="00D2716E"/>
    <w:rsid w:val="00D27314"/>
    <w:rsid w:val="00D30950"/>
    <w:rsid w:val="00D31E88"/>
    <w:rsid w:val="00D326EF"/>
    <w:rsid w:val="00D32A67"/>
    <w:rsid w:val="00D333D1"/>
    <w:rsid w:val="00D33432"/>
    <w:rsid w:val="00D33C2E"/>
    <w:rsid w:val="00D3416E"/>
    <w:rsid w:val="00D34A79"/>
    <w:rsid w:val="00D34BFE"/>
    <w:rsid w:val="00D351A8"/>
    <w:rsid w:val="00D356B5"/>
    <w:rsid w:val="00D35DB3"/>
    <w:rsid w:val="00D363D3"/>
    <w:rsid w:val="00D36403"/>
    <w:rsid w:val="00D36616"/>
    <w:rsid w:val="00D36B23"/>
    <w:rsid w:val="00D37589"/>
    <w:rsid w:val="00D401A7"/>
    <w:rsid w:val="00D40953"/>
    <w:rsid w:val="00D41784"/>
    <w:rsid w:val="00D41960"/>
    <w:rsid w:val="00D4202C"/>
    <w:rsid w:val="00D422F2"/>
    <w:rsid w:val="00D424D0"/>
    <w:rsid w:val="00D4292A"/>
    <w:rsid w:val="00D43095"/>
    <w:rsid w:val="00D431E1"/>
    <w:rsid w:val="00D43545"/>
    <w:rsid w:val="00D43890"/>
    <w:rsid w:val="00D45737"/>
    <w:rsid w:val="00D458E5"/>
    <w:rsid w:val="00D47687"/>
    <w:rsid w:val="00D5018A"/>
    <w:rsid w:val="00D50566"/>
    <w:rsid w:val="00D5072E"/>
    <w:rsid w:val="00D50810"/>
    <w:rsid w:val="00D50F50"/>
    <w:rsid w:val="00D51098"/>
    <w:rsid w:val="00D51D58"/>
    <w:rsid w:val="00D53983"/>
    <w:rsid w:val="00D54017"/>
    <w:rsid w:val="00D541B5"/>
    <w:rsid w:val="00D541F8"/>
    <w:rsid w:val="00D543EF"/>
    <w:rsid w:val="00D548AB"/>
    <w:rsid w:val="00D553E4"/>
    <w:rsid w:val="00D56DFB"/>
    <w:rsid w:val="00D56FE4"/>
    <w:rsid w:val="00D5714F"/>
    <w:rsid w:val="00D57671"/>
    <w:rsid w:val="00D60017"/>
    <w:rsid w:val="00D60EE8"/>
    <w:rsid w:val="00D61090"/>
    <w:rsid w:val="00D611EE"/>
    <w:rsid w:val="00D64106"/>
    <w:rsid w:val="00D64C2D"/>
    <w:rsid w:val="00D65F6E"/>
    <w:rsid w:val="00D663CE"/>
    <w:rsid w:val="00D66636"/>
    <w:rsid w:val="00D67F5F"/>
    <w:rsid w:val="00D7041F"/>
    <w:rsid w:val="00D705B6"/>
    <w:rsid w:val="00D70E01"/>
    <w:rsid w:val="00D7155E"/>
    <w:rsid w:val="00D72216"/>
    <w:rsid w:val="00D722A0"/>
    <w:rsid w:val="00D722E9"/>
    <w:rsid w:val="00D725FF"/>
    <w:rsid w:val="00D7291B"/>
    <w:rsid w:val="00D72CC2"/>
    <w:rsid w:val="00D72D13"/>
    <w:rsid w:val="00D72D31"/>
    <w:rsid w:val="00D73D7F"/>
    <w:rsid w:val="00D73DB6"/>
    <w:rsid w:val="00D74B9A"/>
    <w:rsid w:val="00D74D17"/>
    <w:rsid w:val="00D75250"/>
    <w:rsid w:val="00D75D4A"/>
    <w:rsid w:val="00D75E05"/>
    <w:rsid w:val="00D75F86"/>
    <w:rsid w:val="00D760E9"/>
    <w:rsid w:val="00D76778"/>
    <w:rsid w:val="00D7751E"/>
    <w:rsid w:val="00D77CD2"/>
    <w:rsid w:val="00D80527"/>
    <w:rsid w:val="00D808C5"/>
    <w:rsid w:val="00D80E0E"/>
    <w:rsid w:val="00D8138D"/>
    <w:rsid w:val="00D81C12"/>
    <w:rsid w:val="00D83831"/>
    <w:rsid w:val="00D84E39"/>
    <w:rsid w:val="00D85627"/>
    <w:rsid w:val="00D85A9C"/>
    <w:rsid w:val="00D85CEE"/>
    <w:rsid w:val="00D85F11"/>
    <w:rsid w:val="00D860B7"/>
    <w:rsid w:val="00D86318"/>
    <w:rsid w:val="00D86750"/>
    <w:rsid w:val="00D86782"/>
    <w:rsid w:val="00D86A50"/>
    <w:rsid w:val="00D87BBE"/>
    <w:rsid w:val="00D87C26"/>
    <w:rsid w:val="00D90643"/>
    <w:rsid w:val="00D91261"/>
    <w:rsid w:val="00D91D23"/>
    <w:rsid w:val="00D92261"/>
    <w:rsid w:val="00D93CEC"/>
    <w:rsid w:val="00D94165"/>
    <w:rsid w:val="00D956D9"/>
    <w:rsid w:val="00D96465"/>
    <w:rsid w:val="00D96AA1"/>
    <w:rsid w:val="00D96EAA"/>
    <w:rsid w:val="00DA04D7"/>
    <w:rsid w:val="00DA0B16"/>
    <w:rsid w:val="00DA1283"/>
    <w:rsid w:val="00DA155E"/>
    <w:rsid w:val="00DA2149"/>
    <w:rsid w:val="00DA2177"/>
    <w:rsid w:val="00DA29E1"/>
    <w:rsid w:val="00DA2F34"/>
    <w:rsid w:val="00DA2F68"/>
    <w:rsid w:val="00DA3294"/>
    <w:rsid w:val="00DA39DF"/>
    <w:rsid w:val="00DA3EF4"/>
    <w:rsid w:val="00DA4269"/>
    <w:rsid w:val="00DA4B6A"/>
    <w:rsid w:val="00DA4EBA"/>
    <w:rsid w:val="00DA675F"/>
    <w:rsid w:val="00DA746D"/>
    <w:rsid w:val="00DA7697"/>
    <w:rsid w:val="00DA7EBB"/>
    <w:rsid w:val="00DA7FEF"/>
    <w:rsid w:val="00DB01BC"/>
    <w:rsid w:val="00DB06B7"/>
    <w:rsid w:val="00DB18CD"/>
    <w:rsid w:val="00DB1E16"/>
    <w:rsid w:val="00DB2CC4"/>
    <w:rsid w:val="00DB33E1"/>
    <w:rsid w:val="00DB3F13"/>
    <w:rsid w:val="00DB4FF5"/>
    <w:rsid w:val="00DB6034"/>
    <w:rsid w:val="00DB747C"/>
    <w:rsid w:val="00DB75AC"/>
    <w:rsid w:val="00DC042F"/>
    <w:rsid w:val="00DC1B9F"/>
    <w:rsid w:val="00DC2236"/>
    <w:rsid w:val="00DC2488"/>
    <w:rsid w:val="00DC2F8A"/>
    <w:rsid w:val="00DC486A"/>
    <w:rsid w:val="00DC53CD"/>
    <w:rsid w:val="00DC5C31"/>
    <w:rsid w:val="00DC6A7E"/>
    <w:rsid w:val="00DC70A1"/>
    <w:rsid w:val="00DC7471"/>
    <w:rsid w:val="00DC7761"/>
    <w:rsid w:val="00DD019D"/>
    <w:rsid w:val="00DD1EDD"/>
    <w:rsid w:val="00DD2BF8"/>
    <w:rsid w:val="00DD2FC7"/>
    <w:rsid w:val="00DD45DA"/>
    <w:rsid w:val="00DD478D"/>
    <w:rsid w:val="00DD5B7A"/>
    <w:rsid w:val="00DD5D52"/>
    <w:rsid w:val="00DD759C"/>
    <w:rsid w:val="00DD7922"/>
    <w:rsid w:val="00DE09AC"/>
    <w:rsid w:val="00DE138E"/>
    <w:rsid w:val="00DE1B54"/>
    <w:rsid w:val="00DE2BB9"/>
    <w:rsid w:val="00DE2DCE"/>
    <w:rsid w:val="00DE3DFD"/>
    <w:rsid w:val="00DE41EA"/>
    <w:rsid w:val="00DE43FB"/>
    <w:rsid w:val="00DE53D4"/>
    <w:rsid w:val="00DE68F4"/>
    <w:rsid w:val="00DE6934"/>
    <w:rsid w:val="00DE6F5A"/>
    <w:rsid w:val="00DE7196"/>
    <w:rsid w:val="00DE7F4E"/>
    <w:rsid w:val="00DF002F"/>
    <w:rsid w:val="00DF07A4"/>
    <w:rsid w:val="00DF0D11"/>
    <w:rsid w:val="00DF0F0F"/>
    <w:rsid w:val="00DF2798"/>
    <w:rsid w:val="00DF286C"/>
    <w:rsid w:val="00DF30BC"/>
    <w:rsid w:val="00DF33B4"/>
    <w:rsid w:val="00DF383D"/>
    <w:rsid w:val="00DF44E2"/>
    <w:rsid w:val="00DF450D"/>
    <w:rsid w:val="00DF4A04"/>
    <w:rsid w:val="00DF58AE"/>
    <w:rsid w:val="00DF5EF4"/>
    <w:rsid w:val="00DF6BE6"/>
    <w:rsid w:val="00DF7579"/>
    <w:rsid w:val="00DF766C"/>
    <w:rsid w:val="00DF7BA2"/>
    <w:rsid w:val="00E00384"/>
    <w:rsid w:val="00E006E6"/>
    <w:rsid w:val="00E01488"/>
    <w:rsid w:val="00E01DE2"/>
    <w:rsid w:val="00E01E03"/>
    <w:rsid w:val="00E020A9"/>
    <w:rsid w:val="00E0271A"/>
    <w:rsid w:val="00E034FE"/>
    <w:rsid w:val="00E03ECC"/>
    <w:rsid w:val="00E0554B"/>
    <w:rsid w:val="00E05940"/>
    <w:rsid w:val="00E064FD"/>
    <w:rsid w:val="00E06529"/>
    <w:rsid w:val="00E06CF9"/>
    <w:rsid w:val="00E06FB1"/>
    <w:rsid w:val="00E07A9C"/>
    <w:rsid w:val="00E1010F"/>
    <w:rsid w:val="00E10CFF"/>
    <w:rsid w:val="00E112B7"/>
    <w:rsid w:val="00E11723"/>
    <w:rsid w:val="00E12498"/>
    <w:rsid w:val="00E127C1"/>
    <w:rsid w:val="00E128B2"/>
    <w:rsid w:val="00E1294B"/>
    <w:rsid w:val="00E12F25"/>
    <w:rsid w:val="00E13060"/>
    <w:rsid w:val="00E138E7"/>
    <w:rsid w:val="00E148D6"/>
    <w:rsid w:val="00E14A9C"/>
    <w:rsid w:val="00E14C62"/>
    <w:rsid w:val="00E154AD"/>
    <w:rsid w:val="00E17029"/>
    <w:rsid w:val="00E17114"/>
    <w:rsid w:val="00E17309"/>
    <w:rsid w:val="00E17AFD"/>
    <w:rsid w:val="00E214AE"/>
    <w:rsid w:val="00E214F5"/>
    <w:rsid w:val="00E22365"/>
    <w:rsid w:val="00E2257E"/>
    <w:rsid w:val="00E22D50"/>
    <w:rsid w:val="00E23EB7"/>
    <w:rsid w:val="00E2465E"/>
    <w:rsid w:val="00E259AD"/>
    <w:rsid w:val="00E26F6B"/>
    <w:rsid w:val="00E276BD"/>
    <w:rsid w:val="00E30246"/>
    <w:rsid w:val="00E3075D"/>
    <w:rsid w:val="00E30990"/>
    <w:rsid w:val="00E31D71"/>
    <w:rsid w:val="00E31F78"/>
    <w:rsid w:val="00E3239C"/>
    <w:rsid w:val="00E324C3"/>
    <w:rsid w:val="00E328DC"/>
    <w:rsid w:val="00E33B5D"/>
    <w:rsid w:val="00E35798"/>
    <w:rsid w:val="00E35A33"/>
    <w:rsid w:val="00E363E9"/>
    <w:rsid w:val="00E366FB"/>
    <w:rsid w:val="00E368B8"/>
    <w:rsid w:val="00E36AC1"/>
    <w:rsid w:val="00E374BD"/>
    <w:rsid w:val="00E375C8"/>
    <w:rsid w:val="00E376BD"/>
    <w:rsid w:val="00E37805"/>
    <w:rsid w:val="00E4031B"/>
    <w:rsid w:val="00E40844"/>
    <w:rsid w:val="00E40A7D"/>
    <w:rsid w:val="00E419B3"/>
    <w:rsid w:val="00E41DB2"/>
    <w:rsid w:val="00E433AC"/>
    <w:rsid w:val="00E43772"/>
    <w:rsid w:val="00E44CE2"/>
    <w:rsid w:val="00E44FC6"/>
    <w:rsid w:val="00E456ED"/>
    <w:rsid w:val="00E45C94"/>
    <w:rsid w:val="00E46447"/>
    <w:rsid w:val="00E46709"/>
    <w:rsid w:val="00E46FC5"/>
    <w:rsid w:val="00E47266"/>
    <w:rsid w:val="00E5035A"/>
    <w:rsid w:val="00E50EF7"/>
    <w:rsid w:val="00E51A5E"/>
    <w:rsid w:val="00E52277"/>
    <w:rsid w:val="00E522C5"/>
    <w:rsid w:val="00E5257A"/>
    <w:rsid w:val="00E5298B"/>
    <w:rsid w:val="00E53952"/>
    <w:rsid w:val="00E53FF9"/>
    <w:rsid w:val="00E54DE1"/>
    <w:rsid w:val="00E54E39"/>
    <w:rsid w:val="00E569E5"/>
    <w:rsid w:val="00E56A73"/>
    <w:rsid w:val="00E56D5F"/>
    <w:rsid w:val="00E56F94"/>
    <w:rsid w:val="00E57991"/>
    <w:rsid w:val="00E57BA5"/>
    <w:rsid w:val="00E57F78"/>
    <w:rsid w:val="00E608F7"/>
    <w:rsid w:val="00E6120F"/>
    <w:rsid w:val="00E635A3"/>
    <w:rsid w:val="00E6390C"/>
    <w:rsid w:val="00E64788"/>
    <w:rsid w:val="00E64D74"/>
    <w:rsid w:val="00E65047"/>
    <w:rsid w:val="00E65631"/>
    <w:rsid w:val="00E6632B"/>
    <w:rsid w:val="00E66D76"/>
    <w:rsid w:val="00E66FE4"/>
    <w:rsid w:val="00E70462"/>
    <w:rsid w:val="00E71D73"/>
    <w:rsid w:val="00E728E8"/>
    <w:rsid w:val="00E72BF6"/>
    <w:rsid w:val="00E747F8"/>
    <w:rsid w:val="00E7520D"/>
    <w:rsid w:val="00E75F49"/>
    <w:rsid w:val="00E76E0B"/>
    <w:rsid w:val="00E76E27"/>
    <w:rsid w:val="00E774F4"/>
    <w:rsid w:val="00E7790F"/>
    <w:rsid w:val="00E77B2B"/>
    <w:rsid w:val="00E801FB"/>
    <w:rsid w:val="00E81790"/>
    <w:rsid w:val="00E824D4"/>
    <w:rsid w:val="00E82630"/>
    <w:rsid w:val="00E82AC0"/>
    <w:rsid w:val="00E830A7"/>
    <w:rsid w:val="00E83801"/>
    <w:rsid w:val="00E839F5"/>
    <w:rsid w:val="00E83DA9"/>
    <w:rsid w:val="00E8409D"/>
    <w:rsid w:val="00E848DC"/>
    <w:rsid w:val="00E853AB"/>
    <w:rsid w:val="00E86297"/>
    <w:rsid w:val="00E869FF"/>
    <w:rsid w:val="00E87696"/>
    <w:rsid w:val="00E87F6F"/>
    <w:rsid w:val="00E900EC"/>
    <w:rsid w:val="00E9085B"/>
    <w:rsid w:val="00E908C8"/>
    <w:rsid w:val="00E90FA2"/>
    <w:rsid w:val="00E9104D"/>
    <w:rsid w:val="00E910A1"/>
    <w:rsid w:val="00E91A99"/>
    <w:rsid w:val="00E9277B"/>
    <w:rsid w:val="00E929A6"/>
    <w:rsid w:val="00E92C29"/>
    <w:rsid w:val="00E9477D"/>
    <w:rsid w:val="00E94929"/>
    <w:rsid w:val="00E94A74"/>
    <w:rsid w:val="00E94C32"/>
    <w:rsid w:val="00E94FF8"/>
    <w:rsid w:val="00E95638"/>
    <w:rsid w:val="00E95ABF"/>
    <w:rsid w:val="00E95D81"/>
    <w:rsid w:val="00E965C6"/>
    <w:rsid w:val="00E9699D"/>
    <w:rsid w:val="00E97336"/>
    <w:rsid w:val="00E97F5A"/>
    <w:rsid w:val="00EA03B4"/>
    <w:rsid w:val="00EA0D5D"/>
    <w:rsid w:val="00EA0F03"/>
    <w:rsid w:val="00EA1025"/>
    <w:rsid w:val="00EA132A"/>
    <w:rsid w:val="00EA133B"/>
    <w:rsid w:val="00EA1A81"/>
    <w:rsid w:val="00EA1D74"/>
    <w:rsid w:val="00EA2A60"/>
    <w:rsid w:val="00EA332A"/>
    <w:rsid w:val="00EA382E"/>
    <w:rsid w:val="00EA47F9"/>
    <w:rsid w:val="00EA4FF7"/>
    <w:rsid w:val="00EA5C8D"/>
    <w:rsid w:val="00EA5D65"/>
    <w:rsid w:val="00EA641F"/>
    <w:rsid w:val="00EA74C9"/>
    <w:rsid w:val="00EA7857"/>
    <w:rsid w:val="00EA7DEA"/>
    <w:rsid w:val="00EB0DEC"/>
    <w:rsid w:val="00EB19FE"/>
    <w:rsid w:val="00EB4091"/>
    <w:rsid w:val="00EB46DE"/>
    <w:rsid w:val="00EB51D0"/>
    <w:rsid w:val="00EB52B5"/>
    <w:rsid w:val="00EB5D5C"/>
    <w:rsid w:val="00EB66AD"/>
    <w:rsid w:val="00EB6B14"/>
    <w:rsid w:val="00EB6C7F"/>
    <w:rsid w:val="00EB6D6E"/>
    <w:rsid w:val="00EB7DA2"/>
    <w:rsid w:val="00EC1155"/>
    <w:rsid w:val="00EC126F"/>
    <w:rsid w:val="00EC1354"/>
    <w:rsid w:val="00EC15BC"/>
    <w:rsid w:val="00EC20D6"/>
    <w:rsid w:val="00EC2E82"/>
    <w:rsid w:val="00EC334D"/>
    <w:rsid w:val="00EC4C35"/>
    <w:rsid w:val="00EC522F"/>
    <w:rsid w:val="00EC64DB"/>
    <w:rsid w:val="00EC6584"/>
    <w:rsid w:val="00EC72B1"/>
    <w:rsid w:val="00EC7711"/>
    <w:rsid w:val="00EC796D"/>
    <w:rsid w:val="00EC7C65"/>
    <w:rsid w:val="00EC7FBB"/>
    <w:rsid w:val="00ED031C"/>
    <w:rsid w:val="00ED119B"/>
    <w:rsid w:val="00ED11E1"/>
    <w:rsid w:val="00ED12A5"/>
    <w:rsid w:val="00ED1C10"/>
    <w:rsid w:val="00ED3B11"/>
    <w:rsid w:val="00ED422C"/>
    <w:rsid w:val="00ED49CB"/>
    <w:rsid w:val="00ED4C52"/>
    <w:rsid w:val="00ED535D"/>
    <w:rsid w:val="00ED5AB6"/>
    <w:rsid w:val="00ED7BCF"/>
    <w:rsid w:val="00ED7CBE"/>
    <w:rsid w:val="00EE003B"/>
    <w:rsid w:val="00EE0F10"/>
    <w:rsid w:val="00EE11FE"/>
    <w:rsid w:val="00EE15E2"/>
    <w:rsid w:val="00EE21BC"/>
    <w:rsid w:val="00EE2745"/>
    <w:rsid w:val="00EE3874"/>
    <w:rsid w:val="00EE3A35"/>
    <w:rsid w:val="00EE3A9C"/>
    <w:rsid w:val="00EE417A"/>
    <w:rsid w:val="00EE4246"/>
    <w:rsid w:val="00EE511E"/>
    <w:rsid w:val="00EE515C"/>
    <w:rsid w:val="00EE52DC"/>
    <w:rsid w:val="00EE5A21"/>
    <w:rsid w:val="00EE6CDF"/>
    <w:rsid w:val="00EF0852"/>
    <w:rsid w:val="00EF097F"/>
    <w:rsid w:val="00EF1F93"/>
    <w:rsid w:val="00EF2DC4"/>
    <w:rsid w:val="00EF3D84"/>
    <w:rsid w:val="00EF4C45"/>
    <w:rsid w:val="00EF600A"/>
    <w:rsid w:val="00EF6578"/>
    <w:rsid w:val="00EF67DC"/>
    <w:rsid w:val="00EF78C6"/>
    <w:rsid w:val="00F0040E"/>
    <w:rsid w:val="00F03AB7"/>
    <w:rsid w:val="00F0437C"/>
    <w:rsid w:val="00F0483F"/>
    <w:rsid w:val="00F04BA6"/>
    <w:rsid w:val="00F06ED0"/>
    <w:rsid w:val="00F07948"/>
    <w:rsid w:val="00F07A8B"/>
    <w:rsid w:val="00F07FD7"/>
    <w:rsid w:val="00F104AB"/>
    <w:rsid w:val="00F112AA"/>
    <w:rsid w:val="00F1157E"/>
    <w:rsid w:val="00F11851"/>
    <w:rsid w:val="00F11D01"/>
    <w:rsid w:val="00F12E17"/>
    <w:rsid w:val="00F13092"/>
    <w:rsid w:val="00F14CBC"/>
    <w:rsid w:val="00F15CB8"/>
    <w:rsid w:val="00F1619E"/>
    <w:rsid w:val="00F16EDC"/>
    <w:rsid w:val="00F17699"/>
    <w:rsid w:val="00F179DC"/>
    <w:rsid w:val="00F20713"/>
    <w:rsid w:val="00F20F02"/>
    <w:rsid w:val="00F20F24"/>
    <w:rsid w:val="00F21469"/>
    <w:rsid w:val="00F21CBC"/>
    <w:rsid w:val="00F228B3"/>
    <w:rsid w:val="00F22AB4"/>
    <w:rsid w:val="00F230C0"/>
    <w:rsid w:val="00F232B9"/>
    <w:rsid w:val="00F23758"/>
    <w:rsid w:val="00F2408B"/>
    <w:rsid w:val="00F241B3"/>
    <w:rsid w:val="00F24B76"/>
    <w:rsid w:val="00F256FE"/>
    <w:rsid w:val="00F25D27"/>
    <w:rsid w:val="00F26612"/>
    <w:rsid w:val="00F26736"/>
    <w:rsid w:val="00F26ACC"/>
    <w:rsid w:val="00F3112B"/>
    <w:rsid w:val="00F320A3"/>
    <w:rsid w:val="00F3311C"/>
    <w:rsid w:val="00F33B4A"/>
    <w:rsid w:val="00F3426B"/>
    <w:rsid w:val="00F346DC"/>
    <w:rsid w:val="00F35193"/>
    <w:rsid w:val="00F35CD4"/>
    <w:rsid w:val="00F35F4C"/>
    <w:rsid w:val="00F3615B"/>
    <w:rsid w:val="00F36163"/>
    <w:rsid w:val="00F3629C"/>
    <w:rsid w:val="00F36FC5"/>
    <w:rsid w:val="00F36FCE"/>
    <w:rsid w:val="00F40D5C"/>
    <w:rsid w:val="00F40F04"/>
    <w:rsid w:val="00F41B0E"/>
    <w:rsid w:val="00F41EAF"/>
    <w:rsid w:val="00F42105"/>
    <w:rsid w:val="00F42659"/>
    <w:rsid w:val="00F42772"/>
    <w:rsid w:val="00F42985"/>
    <w:rsid w:val="00F433A1"/>
    <w:rsid w:val="00F43A49"/>
    <w:rsid w:val="00F44BF6"/>
    <w:rsid w:val="00F4501D"/>
    <w:rsid w:val="00F45322"/>
    <w:rsid w:val="00F45E32"/>
    <w:rsid w:val="00F46603"/>
    <w:rsid w:val="00F4730D"/>
    <w:rsid w:val="00F47FD4"/>
    <w:rsid w:val="00F500E3"/>
    <w:rsid w:val="00F5018E"/>
    <w:rsid w:val="00F50344"/>
    <w:rsid w:val="00F50B6C"/>
    <w:rsid w:val="00F52AC4"/>
    <w:rsid w:val="00F53ECD"/>
    <w:rsid w:val="00F546BF"/>
    <w:rsid w:val="00F547B2"/>
    <w:rsid w:val="00F55C9A"/>
    <w:rsid w:val="00F56815"/>
    <w:rsid w:val="00F56B64"/>
    <w:rsid w:val="00F57242"/>
    <w:rsid w:val="00F5793A"/>
    <w:rsid w:val="00F57CCA"/>
    <w:rsid w:val="00F57FCC"/>
    <w:rsid w:val="00F61687"/>
    <w:rsid w:val="00F62945"/>
    <w:rsid w:val="00F62E39"/>
    <w:rsid w:val="00F63972"/>
    <w:rsid w:val="00F64C67"/>
    <w:rsid w:val="00F6560A"/>
    <w:rsid w:val="00F65BA7"/>
    <w:rsid w:val="00F66393"/>
    <w:rsid w:val="00F67FB3"/>
    <w:rsid w:val="00F707D1"/>
    <w:rsid w:val="00F70A3E"/>
    <w:rsid w:val="00F70DE1"/>
    <w:rsid w:val="00F70E52"/>
    <w:rsid w:val="00F71428"/>
    <w:rsid w:val="00F7185B"/>
    <w:rsid w:val="00F721FA"/>
    <w:rsid w:val="00F722ED"/>
    <w:rsid w:val="00F72CF7"/>
    <w:rsid w:val="00F743FE"/>
    <w:rsid w:val="00F7510D"/>
    <w:rsid w:val="00F754BE"/>
    <w:rsid w:val="00F756C5"/>
    <w:rsid w:val="00F7578E"/>
    <w:rsid w:val="00F75F28"/>
    <w:rsid w:val="00F7707E"/>
    <w:rsid w:val="00F77404"/>
    <w:rsid w:val="00F77F18"/>
    <w:rsid w:val="00F8080B"/>
    <w:rsid w:val="00F80C43"/>
    <w:rsid w:val="00F813F5"/>
    <w:rsid w:val="00F81567"/>
    <w:rsid w:val="00F81FAC"/>
    <w:rsid w:val="00F81FE9"/>
    <w:rsid w:val="00F82079"/>
    <w:rsid w:val="00F82223"/>
    <w:rsid w:val="00F825E4"/>
    <w:rsid w:val="00F8261A"/>
    <w:rsid w:val="00F82664"/>
    <w:rsid w:val="00F8267D"/>
    <w:rsid w:val="00F82E0B"/>
    <w:rsid w:val="00F8457D"/>
    <w:rsid w:val="00F85133"/>
    <w:rsid w:val="00F85DFA"/>
    <w:rsid w:val="00F860F7"/>
    <w:rsid w:val="00F87305"/>
    <w:rsid w:val="00F87E57"/>
    <w:rsid w:val="00F900A4"/>
    <w:rsid w:val="00F900C6"/>
    <w:rsid w:val="00F903A5"/>
    <w:rsid w:val="00F9150D"/>
    <w:rsid w:val="00F923A4"/>
    <w:rsid w:val="00F92941"/>
    <w:rsid w:val="00F93971"/>
    <w:rsid w:val="00F941BB"/>
    <w:rsid w:val="00F94EE1"/>
    <w:rsid w:val="00F952B7"/>
    <w:rsid w:val="00F954AC"/>
    <w:rsid w:val="00F95931"/>
    <w:rsid w:val="00F96864"/>
    <w:rsid w:val="00F96A8B"/>
    <w:rsid w:val="00F97AA9"/>
    <w:rsid w:val="00FA00BA"/>
    <w:rsid w:val="00FA0B2E"/>
    <w:rsid w:val="00FA13F6"/>
    <w:rsid w:val="00FA2D12"/>
    <w:rsid w:val="00FA2FDF"/>
    <w:rsid w:val="00FA329A"/>
    <w:rsid w:val="00FA37F1"/>
    <w:rsid w:val="00FA3C88"/>
    <w:rsid w:val="00FA3E4B"/>
    <w:rsid w:val="00FA4555"/>
    <w:rsid w:val="00FA50ED"/>
    <w:rsid w:val="00FA521E"/>
    <w:rsid w:val="00FA6F3B"/>
    <w:rsid w:val="00FA7053"/>
    <w:rsid w:val="00FA72FD"/>
    <w:rsid w:val="00FB091D"/>
    <w:rsid w:val="00FB1BDC"/>
    <w:rsid w:val="00FB281B"/>
    <w:rsid w:val="00FB2E1E"/>
    <w:rsid w:val="00FB372D"/>
    <w:rsid w:val="00FB3977"/>
    <w:rsid w:val="00FB3CDE"/>
    <w:rsid w:val="00FB46FC"/>
    <w:rsid w:val="00FB4C38"/>
    <w:rsid w:val="00FB52C9"/>
    <w:rsid w:val="00FB5758"/>
    <w:rsid w:val="00FB582B"/>
    <w:rsid w:val="00FB58E3"/>
    <w:rsid w:val="00FB5CA5"/>
    <w:rsid w:val="00FB7CB6"/>
    <w:rsid w:val="00FC112E"/>
    <w:rsid w:val="00FC17B3"/>
    <w:rsid w:val="00FC1B89"/>
    <w:rsid w:val="00FC2B34"/>
    <w:rsid w:val="00FC4106"/>
    <w:rsid w:val="00FC4733"/>
    <w:rsid w:val="00FC4D8B"/>
    <w:rsid w:val="00FC4E7F"/>
    <w:rsid w:val="00FC5453"/>
    <w:rsid w:val="00FC563A"/>
    <w:rsid w:val="00FC5DA1"/>
    <w:rsid w:val="00FC5DB9"/>
    <w:rsid w:val="00FC612D"/>
    <w:rsid w:val="00FC620C"/>
    <w:rsid w:val="00FC6459"/>
    <w:rsid w:val="00FC6664"/>
    <w:rsid w:val="00FC6BBD"/>
    <w:rsid w:val="00FC700C"/>
    <w:rsid w:val="00FC7431"/>
    <w:rsid w:val="00FC798D"/>
    <w:rsid w:val="00FC7FF3"/>
    <w:rsid w:val="00FD0B2D"/>
    <w:rsid w:val="00FD0E60"/>
    <w:rsid w:val="00FD0F54"/>
    <w:rsid w:val="00FD1B32"/>
    <w:rsid w:val="00FD1BAD"/>
    <w:rsid w:val="00FD2A89"/>
    <w:rsid w:val="00FD32D7"/>
    <w:rsid w:val="00FD3790"/>
    <w:rsid w:val="00FD4921"/>
    <w:rsid w:val="00FD499B"/>
    <w:rsid w:val="00FD49F2"/>
    <w:rsid w:val="00FD4CF4"/>
    <w:rsid w:val="00FD5CE2"/>
    <w:rsid w:val="00FE081E"/>
    <w:rsid w:val="00FE0894"/>
    <w:rsid w:val="00FE0BD1"/>
    <w:rsid w:val="00FE0C87"/>
    <w:rsid w:val="00FE1F3A"/>
    <w:rsid w:val="00FE1FD9"/>
    <w:rsid w:val="00FE2F16"/>
    <w:rsid w:val="00FE3A41"/>
    <w:rsid w:val="00FE3DA4"/>
    <w:rsid w:val="00FE4D70"/>
    <w:rsid w:val="00FE4D97"/>
    <w:rsid w:val="00FE50A7"/>
    <w:rsid w:val="00FE5A4C"/>
    <w:rsid w:val="00FE5DD6"/>
    <w:rsid w:val="00FF1DB3"/>
    <w:rsid w:val="00FF2518"/>
    <w:rsid w:val="00FF2655"/>
    <w:rsid w:val="00FF2667"/>
    <w:rsid w:val="00FF292C"/>
    <w:rsid w:val="00FF30E9"/>
    <w:rsid w:val="00FF3302"/>
    <w:rsid w:val="00FF3947"/>
    <w:rsid w:val="00FF6267"/>
    <w:rsid w:val="00FF6E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1B"/>
    <w:rPr>
      <w:sz w:val="24"/>
      <w:szCs w:val="24"/>
      <w:lang w:bidi="en-US"/>
    </w:rPr>
  </w:style>
  <w:style w:type="paragraph" w:styleId="Heading1">
    <w:name w:val="heading 1"/>
    <w:basedOn w:val="Normal"/>
    <w:next w:val="Normal"/>
    <w:link w:val="Heading1Char"/>
    <w:autoRedefine/>
    <w:uiPriority w:val="9"/>
    <w:qFormat/>
    <w:rsid w:val="00344215"/>
    <w:pPr>
      <w:keepNext/>
      <w:numPr>
        <w:numId w:val="13"/>
      </w:numPr>
      <w:spacing w:after="240"/>
      <w:ind w:left="720"/>
      <w:outlineLvl w:val="0"/>
    </w:pPr>
    <w:rPr>
      <w:b/>
      <w:bCs/>
      <w:kern w:val="32"/>
    </w:rPr>
  </w:style>
  <w:style w:type="paragraph" w:styleId="Heading2">
    <w:name w:val="heading 2"/>
    <w:basedOn w:val="Normal"/>
    <w:next w:val="Normal"/>
    <w:link w:val="Heading2Char"/>
    <w:autoRedefine/>
    <w:uiPriority w:val="9"/>
    <w:qFormat/>
    <w:rsid w:val="00D16A72"/>
    <w:pPr>
      <w:keepNext/>
      <w:spacing w:after="240"/>
      <w:ind w:left="1440" w:hanging="720"/>
      <w:outlineLvl w:val="1"/>
    </w:pPr>
    <w:rPr>
      <w:rFonts w:eastAsiaTheme="minorHAnsi"/>
      <w:b/>
      <w:iCs/>
      <w:lang w:bidi="ar-SA"/>
    </w:rPr>
  </w:style>
  <w:style w:type="paragraph" w:styleId="Heading3">
    <w:name w:val="heading 3"/>
    <w:basedOn w:val="ListParagraph"/>
    <w:next w:val="Normal"/>
    <w:link w:val="Heading3Char"/>
    <w:autoRedefine/>
    <w:uiPriority w:val="9"/>
    <w:qFormat/>
    <w:rsid w:val="0014037C"/>
    <w:pPr>
      <w:spacing w:after="240"/>
      <w:ind w:left="2160" w:hanging="720"/>
      <w:outlineLvl w:val="2"/>
    </w:pPr>
    <w:rPr>
      <w:b/>
      <w:bCs/>
    </w:rPr>
  </w:style>
  <w:style w:type="paragraph" w:styleId="Heading4">
    <w:name w:val="heading 4"/>
    <w:basedOn w:val="Normal"/>
    <w:next w:val="Normal"/>
    <w:link w:val="Heading4Char"/>
    <w:uiPriority w:val="9"/>
    <w:qFormat/>
    <w:rsid w:val="00C03A7B"/>
    <w:pPr>
      <w:keepNext/>
      <w:spacing w:after="240"/>
      <w:outlineLvl w:val="3"/>
    </w:pPr>
    <w:rPr>
      <w:rFonts w:ascii="Times New Roman Bold" w:hAnsi="Times New Roman Bold"/>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215"/>
    <w:rPr>
      <w:b/>
      <w:bCs/>
      <w:kern w:val="32"/>
      <w:sz w:val="24"/>
      <w:szCs w:val="24"/>
      <w:lang w:bidi="en-US"/>
    </w:rPr>
  </w:style>
  <w:style w:type="character" w:customStyle="1" w:styleId="Heading2Char">
    <w:name w:val="Heading 2 Char"/>
    <w:link w:val="Heading2"/>
    <w:uiPriority w:val="9"/>
    <w:rsid w:val="00D16A72"/>
    <w:rPr>
      <w:rFonts w:eastAsiaTheme="minorHAnsi"/>
      <w:b/>
      <w:iCs/>
      <w:sz w:val="24"/>
      <w:szCs w:val="24"/>
    </w:rPr>
  </w:style>
  <w:style w:type="character" w:customStyle="1" w:styleId="Heading3Char">
    <w:name w:val="Heading 3 Char"/>
    <w:link w:val="Heading3"/>
    <w:uiPriority w:val="9"/>
    <w:rsid w:val="0014037C"/>
    <w:rPr>
      <w:b/>
      <w:bCs/>
      <w:sz w:val="24"/>
      <w:szCs w:val="24"/>
      <w:lang w:bidi="en-US"/>
    </w:rPr>
  </w:style>
  <w:style w:type="character" w:customStyle="1" w:styleId="Heading4Char">
    <w:name w:val="Heading 4 Char"/>
    <w:link w:val="Heading4"/>
    <w:uiPriority w:val="9"/>
    <w:rsid w:val="00C03A7B"/>
    <w:rPr>
      <w:rFonts w:ascii="Times New Roman Bold" w:hAnsi="Times New Roman Bold"/>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 Char1,Char1"/>
    <w:basedOn w:val="Normal"/>
    <w:link w:val="FooterChar"/>
    <w:uiPriority w:val="99"/>
    <w:unhideWhenUsed/>
    <w:pPr>
      <w:tabs>
        <w:tab w:val="center" w:pos="4680"/>
        <w:tab w:val="right" w:pos="9360"/>
      </w:tabs>
    </w:pPr>
  </w:style>
  <w:style w:type="character" w:customStyle="1" w:styleId="FooterChar">
    <w:name w:val="Footer Char"/>
    <w:aliases w:val=" Char1 Char,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uiPriority w:val="99"/>
    <w:rsid w:val="00635194"/>
    <w:rPr>
      <w:rFonts w:ascii="Calibri" w:eastAsia="Calibri" w:hAnsi="Calibri"/>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rsid w:val="0025063D"/>
    <w:pPr>
      <w:tabs>
        <w:tab w:val="decimal" w:leader="dot" w:pos="9360"/>
      </w:tabs>
      <w:spacing w:after="240"/>
      <w:ind w:left="720" w:hanging="720"/>
      <w:outlineLvl w:val="0"/>
    </w:pPr>
  </w:style>
  <w:style w:type="paragraph" w:styleId="TOC2">
    <w:name w:val="toc 2"/>
    <w:basedOn w:val="Normal"/>
    <w:next w:val="Normal"/>
    <w:autoRedefine/>
    <w:uiPriority w:val="39"/>
    <w:unhideWhenUsed/>
    <w:qFormat/>
    <w:rsid w:val="00FA7053"/>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CD4802"/>
    <w:pPr>
      <w:tabs>
        <w:tab w:val="left" w:pos="2160"/>
        <w:tab w:val="decimal" w:leader="dot" w:pos="9360"/>
      </w:tabs>
      <w:spacing w:after="240"/>
      <w:ind w:left="2160" w:hanging="720"/>
      <w:outlineLvl w:val="2"/>
    </w:pPr>
  </w:style>
  <w:style w:type="paragraph" w:styleId="BodyTextIndent3">
    <w:name w:val="Body Text Indent 3"/>
    <w:basedOn w:val="Normal"/>
    <w:link w:val="BodyTextIndent3Char"/>
    <w:uiPriority w:val="99"/>
    <w:unhideWhenUsed/>
    <w:rsid w:val="00A6600B"/>
    <w:pPr>
      <w:spacing w:after="120"/>
      <w:ind w:left="360"/>
    </w:pPr>
    <w:rPr>
      <w:sz w:val="16"/>
      <w:szCs w:val="16"/>
    </w:rPr>
  </w:style>
  <w:style w:type="character" w:customStyle="1" w:styleId="BodyTextIndent3Char">
    <w:name w:val="Body Text Indent 3 Char"/>
    <w:basedOn w:val="DefaultParagraphFont"/>
    <w:link w:val="BodyTextIndent3"/>
    <w:uiPriority w:val="99"/>
    <w:rsid w:val="00A6600B"/>
    <w:rPr>
      <w:sz w:val="16"/>
      <w:szCs w:val="16"/>
      <w:lang w:bidi="en-US"/>
    </w:rPr>
  </w:style>
  <w:style w:type="paragraph" w:styleId="List">
    <w:name w:val="List"/>
    <w:basedOn w:val="Normal"/>
    <w:rsid w:val="008C5191"/>
    <w:pPr>
      <w:ind w:left="360" w:hanging="360"/>
    </w:pPr>
    <w:rPr>
      <w:szCs w:val="20"/>
      <w:lang w:bidi="ar-SA"/>
    </w:rPr>
  </w:style>
  <w:style w:type="paragraph" w:styleId="TOC4">
    <w:name w:val="toc 4"/>
    <w:basedOn w:val="Normal"/>
    <w:next w:val="Normal"/>
    <w:autoRedefine/>
    <w:uiPriority w:val="39"/>
    <w:unhideWhenUsed/>
    <w:rsid w:val="00232E84"/>
    <w:pPr>
      <w:tabs>
        <w:tab w:val="decimal" w:leader="dot" w:pos="8640"/>
      </w:tabs>
      <w:spacing w:after="240"/>
    </w:pPr>
  </w:style>
  <w:style w:type="character" w:customStyle="1" w:styleId="UnresolvedMention2">
    <w:name w:val="Unresolved Mention2"/>
    <w:basedOn w:val="DefaultParagraphFont"/>
    <w:uiPriority w:val="99"/>
    <w:rsid w:val="00E8409D"/>
    <w:rPr>
      <w:color w:val="605E5C"/>
      <w:shd w:val="clear" w:color="auto" w:fill="E1DFDD"/>
    </w:rPr>
  </w:style>
  <w:style w:type="character" w:styleId="FollowedHyperlink">
    <w:name w:val="FollowedHyperlink"/>
    <w:basedOn w:val="DefaultParagraphFont"/>
    <w:uiPriority w:val="99"/>
    <w:semiHidden/>
    <w:unhideWhenUsed/>
    <w:rsid w:val="00D5018A"/>
    <w:rPr>
      <w:color w:val="954F72" w:themeColor="followedHyperlink"/>
      <w:u w:val="single"/>
    </w:rPr>
  </w:style>
  <w:style w:type="paragraph" w:styleId="NormalWeb">
    <w:name w:val="Normal (Web)"/>
    <w:basedOn w:val="Normal"/>
    <w:uiPriority w:val="99"/>
    <w:semiHidden/>
    <w:unhideWhenUsed/>
    <w:rsid w:val="00725F86"/>
    <w:pPr>
      <w:spacing w:before="100" w:beforeAutospacing="1" w:after="100" w:afterAutospacing="1"/>
    </w:pPr>
    <w:rPr>
      <w:lang w:bidi="ar-SA"/>
    </w:rPr>
  </w:style>
  <w:style w:type="paragraph" w:customStyle="1" w:styleId="answer">
    <w:name w:val="answer"/>
    <w:basedOn w:val="Normal"/>
    <w:link w:val="answerChar"/>
    <w:rsid w:val="005136FD"/>
    <w:pPr>
      <w:suppressAutoHyphens/>
      <w:spacing w:line="480" w:lineRule="auto"/>
      <w:ind w:left="720" w:hanging="720"/>
      <w:jc w:val="both"/>
    </w:pPr>
    <w:rPr>
      <w:snapToGrid w:val="0"/>
      <w:lang w:bidi="ar-SA"/>
    </w:rPr>
  </w:style>
  <w:style w:type="character" w:customStyle="1" w:styleId="answerChar">
    <w:name w:val="answer Char"/>
    <w:link w:val="answer"/>
    <w:rsid w:val="005136FD"/>
    <w:rPr>
      <w:snapToGrid w:val="0"/>
      <w:sz w:val="24"/>
      <w:szCs w:val="24"/>
    </w:rPr>
  </w:style>
  <w:style w:type="paragraph" w:customStyle="1" w:styleId="Body">
    <w:name w:val="Body"/>
    <w:rsid w:val="00B1742D"/>
    <w:pPr>
      <w:pBdr>
        <w:top w:val="nil"/>
        <w:left w:val="nil"/>
        <w:bottom w:val="nil"/>
        <w:right w:val="nil"/>
        <w:between w:val="nil"/>
        <w:bar w:val="nil"/>
      </w:pBdr>
      <w:tabs>
        <w:tab w:val="left" w:pos="720"/>
      </w:tabs>
      <w:ind w:left="720" w:hanging="720"/>
    </w:pPr>
    <w:rPr>
      <w:rFonts w:eastAsia="PMingLiU" w:cs="Arial Unicode MS"/>
      <w:color w:val="000000"/>
      <w:sz w:val="24"/>
      <w:szCs w:val="24"/>
      <w:u w:color="000000"/>
      <w:bdr w:val="nil"/>
      <w:lang w:val="de-DE"/>
      <w14:textOutline w14:w="0">
        <w14:noFill/>
        <w14:bevel/>
      </w14:textOutline>
    </w:rPr>
  </w:style>
  <w:style w:type="paragraph" w:customStyle="1" w:styleId="answer2">
    <w:name w:val="answer2"/>
    <w:basedOn w:val="BodyTextIndent2"/>
    <w:rsid w:val="001C26F5"/>
    <w:pPr>
      <w:spacing w:after="0"/>
      <w:ind w:left="720" w:firstLine="720"/>
      <w:jc w:val="both"/>
    </w:pPr>
    <w:rPr>
      <w:snapToGrid w:val="0"/>
      <w:lang w:bidi="ar-SA"/>
    </w:rPr>
  </w:style>
  <w:style w:type="paragraph" w:styleId="BodyTextIndent2">
    <w:name w:val="Body Text Indent 2"/>
    <w:basedOn w:val="Normal"/>
    <w:link w:val="BodyTextIndent2Char"/>
    <w:uiPriority w:val="99"/>
    <w:semiHidden/>
    <w:unhideWhenUsed/>
    <w:rsid w:val="001C26F5"/>
    <w:pPr>
      <w:spacing w:after="120" w:line="480" w:lineRule="auto"/>
      <w:ind w:left="360"/>
    </w:pPr>
  </w:style>
  <w:style w:type="character" w:customStyle="1" w:styleId="BodyTextIndent2Char">
    <w:name w:val="Body Text Indent 2 Char"/>
    <w:basedOn w:val="DefaultParagraphFont"/>
    <w:link w:val="BodyTextIndent2"/>
    <w:uiPriority w:val="99"/>
    <w:semiHidden/>
    <w:rsid w:val="001C26F5"/>
    <w:rPr>
      <w:sz w:val="24"/>
      <w:szCs w:val="24"/>
      <w:lang w:bidi="en-US"/>
    </w:rPr>
  </w:style>
  <w:style w:type="paragraph" w:customStyle="1" w:styleId="1Answer">
    <w:name w:val="1. Answer"/>
    <w:basedOn w:val="Normal"/>
    <w:next w:val="Normal"/>
    <w:link w:val="1AnswerChar"/>
    <w:qFormat/>
    <w:rsid w:val="00E2257E"/>
    <w:pPr>
      <w:tabs>
        <w:tab w:val="left" w:pos="720"/>
      </w:tabs>
      <w:spacing w:after="240" w:line="360" w:lineRule="auto"/>
      <w:ind w:left="720" w:hanging="720"/>
      <w:jc w:val="both"/>
    </w:pPr>
    <w:rPr>
      <w:lang w:bidi="ar-SA"/>
    </w:rPr>
  </w:style>
  <w:style w:type="character" w:customStyle="1" w:styleId="1AnswerChar">
    <w:name w:val="1. Answer Char"/>
    <w:link w:val="1Answer"/>
    <w:rsid w:val="00E22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yperlink" Target="mailto:robert.eubanks@ohioAGO.gov" TargetMode="External" /><Relationship Id="rId15" Type="http://schemas.openxmlformats.org/officeDocument/2006/relationships/hyperlink" Target="mailto:shaun.lyons@ohioAGO.gov" TargetMode="External" /><Relationship Id="rId16" Type="http://schemas.openxmlformats.org/officeDocument/2006/relationships/hyperlink" Target="mailto:werner.marg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warnock@bricker.com" TargetMode="External" /><Relationship Id="rId21" Type="http://schemas.openxmlformats.org/officeDocument/2006/relationships/hyperlink" Target="mailto:kherrnstein@bricker.com" TargetMode="External" /><Relationship Id="rId22" Type="http://schemas.openxmlformats.org/officeDocument/2006/relationships/hyperlink" Target="mailto:ktreadway@oneenergyllc.com" TargetMode="External" /><Relationship Id="rId23" Type="http://schemas.openxmlformats.org/officeDocument/2006/relationships/hyperlink" Target="mailto:jdunn@oneenergyllc.com" TargetMode="External" /><Relationship Id="rId24" Type="http://schemas.openxmlformats.org/officeDocument/2006/relationships/hyperlink" Target="mailto:dborchers@bricker.com" TargetMode="External" /><Relationship Id="rId25" Type="http://schemas.openxmlformats.org/officeDocument/2006/relationships/hyperlink" Target="mailto:Fdarr2019@gmail.com" TargetMode="External" /><Relationship Id="rId26" Type="http://schemas.openxmlformats.org/officeDocument/2006/relationships/hyperlink" Target="mailto:paul@carpenterlipps.com" TargetMode="External" /><Relationship Id="rId27" Type="http://schemas.openxmlformats.org/officeDocument/2006/relationships/hyperlink" Target="mailto:rdove@keglerbrown.com" TargetMode="External" /><Relationship Id="rId28" Type="http://schemas.openxmlformats.org/officeDocument/2006/relationships/hyperlink" Target="mailto:nbobb@keglerbrown.com" TargetMode="External" /><Relationship Id="rId29" Type="http://schemas.openxmlformats.org/officeDocument/2006/relationships/hyperlink" Target="mailto:trent@hubaydougherty.com" TargetMode="External" /><Relationship Id="rId3" Type="http://schemas.openxmlformats.org/officeDocument/2006/relationships/webSettings" Target="webSettings.xml" /><Relationship Id="rId30" Type="http://schemas.openxmlformats.org/officeDocument/2006/relationships/hyperlink" Target="mailto:matthew.sandor@puco.ohio.gov" TargetMode="External" /><Relationship Id="rId31" Type="http://schemas.openxmlformats.org/officeDocument/2006/relationships/hyperlink" Target="mailto:nicholas.walstra@puco.ohio.gov" TargetMode="External" /><Relationship Id="rId32" Type="http://schemas.openxmlformats.org/officeDocument/2006/relationships/hyperlink" Target="mailto:Rocco.dascenzo@duke-energy.com" TargetMode="External" /><Relationship Id="rId33" Type="http://schemas.openxmlformats.org/officeDocument/2006/relationships/hyperlink" Target="mailto:Jeanne.kingery@duke-energy.com" TargetMode="External" /><Relationship Id="rId34" Type="http://schemas.openxmlformats.org/officeDocument/2006/relationships/hyperlink" Target="mailto:Larisa.vaysman@duke-energy.com" TargetMode="External" /><Relationship Id="rId35" Type="http://schemas.openxmlformats.org/officeDocument/2006/relationships/hyperlink" Target="mailto:elyse.akhbari@duke-energy.com" TargetMode="External" /><Relationship Id="rId36" Type="http://schemas.openxmlformats.org/officeDocument/2006/relationships/hyperlink" Target="mailto:ebrama@taftlaw.com" TargetMode="External" /><Relationship Id="rId37" Type="http://schemas.openxmlformats.org/officeDocument/2006/relationships/hyperlink" Target="mailto:kverhalen@taftlaw.com" TargetMode="External" /><Relationship Id="rId38" Type="http://schemas.openxmlformats.org/officeDocument/2006/relationships/hyperlink" Target="mailto:Bethany.allen@igs.com" TargetMode="External" /><Relationship Id="rId39" Type="http://schemas.openxmlformats.org/officeDocument/2006/relationships/hyperlink" Target="mailto:Joe.oliker@igs.com" TargetMode="External" /><Relationship Id="rId4" Type="http://schemas.openxmlformats.org/officeDocument/2006/relationships/fontTable" Target="fontTable.xml" /><Relationship Id="rId40" Type="http://schemas.openxmlformats.org/officeDocument/2006/relationships/hyperlink" Target="mailto:Evan.betterton@igs.com" TargetMode="External" /><Relationship Id="rId41" Type="http://schemas.openxmlformats.org/officeDocument/2006/relationships/hyperlink" Target="mailto:Stacie.cathcart@igs.com" TargetMode="External" /><Relationship Id="rId42" Type="http://schemas.openxmlformats.org/officeDocument/2006/relationships/hyperlink" Target="mailto:michael.nugent@igs.com" TargetMode="External" /><Relationship Id="rId43" Type="http://schemas.openxmlformats.org/officeDocument/2006/relationships/hyperlink" Target="mailto:jlang@calfee.com" TargetMode="External" /><Relationship Id="rId44" Type="http://schemas.openxmlformats.org/officeDocument/2006/relationships/hyperlink" Target="mailto:gjewell@calfee.com" TargetMode="External" /><Relationship Id="rId45" Type="http://schemas.openxmlformats.org/officeDocument/2006/relationships/hyperlink" Target="mailto:gwhaling@calfee.com" TargetMode="External" /><Relationship Id="rId46" Type="http://schemas.openxmlformats.org/officeDocument/2006/relationships/hyperlink" Target="mailto:sfranson@calfee.com" TargetMode="External" /><Relationship Id="rId47" Type="http://schemas.openxmlformats.org/officeDocument/2006/relationships/hyperlink" Target="mailto:dromig@nationwideenergypartners.com" TargetMode="External" /><Relationship Id="rId48" Type="http://schemas.openxmlformats.org/officeDocument/2006/relationships/hyperlink" Target="mailto:Bojko@carpenterlipps.com" TargetMode="External" /><Relationship Id="rId49" Type="http://schemas.openxmlformats.org/officeDocument/2006/relationships/hyperlink" Target="mailto:Wygonski@carpenterlipps.com" TargetMode="External" /><Relationship Id="rId5" Type="http://schemas.openxmlformats.org/officeDocument/2006/relationships/customXml" Target="../customXml/item1.xml" /><Relationship Id="rId50" Type="http://schemas.openxmlformats.org/officeDocument/2006/relationships/hyperlink" Target="mailto:cgrundmann@spilmanlaw.com" TargetMode="External" /><Relationship Id="rId51" Type="http://schemas.openxmlformats.org/officeDocument/2006/relationships/hyperlink" Target="mailto:dwilliamson@spilmanlaw.com" TargetMode="External" /><Relationship Id="rId52" Type="http://schemas.openxmlformats.org/officeDocument/2006/relationships/hyperlink" Target="mailto:cpirik@dickinsonwright.com" TargetMode="External" /><Relationship Id="rId53" Type="http://schemas.openxmlformats.org/officeDocument/2006/relationships/hyperlink" Target="mailto:todonnell@dickinsonwright.com" TargetMode="External" /><Relationship Id="rId54" Type="http://schemas.openxmlformats.org/officeDocument/2006/relationships/hyperlink" Target="mailto:mmcdonnell@dickinsonwright.com" TargetMode="External" /><Relationship Id="rId55" Type="http://schemas.openxmlformats.org/officeDocument/2006/relationships/footer" Target="footer3.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011-7065-4BB5-AD35-592BDD3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7240</Words>
  <Characters>41272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2022-11-14T21:28:08Z</dcterms:created>
  <dcterms:modified xsi:type="dcterms:W3CDTF">2022-11-14T21:28:08Z</dcterms:modified>
</cp:coreProperties>
</file>