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B28" w:rsidRPr="0070059A" w:rsidRDefault="008C00D8" w:rsidP="00517B28">
      <w:pPr>
        <w:spacing w:after="0" w:line="240" w:lineRule="auto"/>
        <w:jc w:val="center"/>
        <w:rPr>
          <w:rFonts w:cs="Times New Roman"/>
          <w:b/>
          <w:szCs w:val="24"/>
        </w:rPr>
      </w:pPr>
      <w:bookmarkStart w:id="0" w:name="_GoBack"/>
      <w:bookmarkEnd w:id="0"/>
      <w:r w:rsidRPr="0070059A">
        <w:rPr>
          <w:rFonts w:cs="Times New Roman"/>
          <w:b/>
          <w:szCs w:val="24"/>
        </w:rPr>
        <w:t>BEFORE</w:t>
      </w:r>
    </w:p>
    <w:p w:rsidR="00517B28" w:rsidRPr="0070059A" w:rsidRDefault="008C00D8" w:rsidP="00517B28">
      <w:pPr>
        <w:spacing w:after="0" w:line="240" w:lineRule="auto"/>
        <w:jc w:val="center"/>
        <w:rPr>
          <w:rFonts w:cs="Times New Roman"/>
          <w:b/>
          <w:szCs w:val="24"/>
        </w:rPr>
      </w:pPr>
      <w:r w:rsidRPr="0070059A">
        <w:rPr>
          <w:rFonts w:cs="Times New Roman"/>
          <w:b/>
          <w:szCs w:val="24"/>
        </w:rPr>
        <w:t>THE PUBLIC UTILITIES COMMISSION OF OHIO</w:t>
      </w:r>
    </w:p>
    <w:p w:rsidR="00517B28" w:rsidRPr="0070059A" w:rsidRDefault="008C00D8" w:rsidP="00517B28">
      <w:pPr>
        <w:spacing w:after="0" w:line="240" w:lineRule="auto"/>
        <w:jc w:val="center"/>
        <w:rPr>
          <w:rFonts w:cs="Times New Roman"/>
          <w:b/>
          <w:szCs w:val="24"/>
        </w:rPr>
      </w:pPr>
    </w:p>
    <w:tbl>
      <w:tblPr>
        <w:tblW w:w="10358" w:type="dxa"/>
        <w:tblLook w:val="01E0" w:firstRow="1" w:lastRow="1" w:firstColumn="1" w:lastColumn="1" w:noHBand="0" w:noVBand="0"/>
      </w:tblPr>
      <w:tblGrid>
        <w:gridCol w:w="5238"/>
        <w:gridCol w:w="480"/>
        <w:gridCol w:w="4640"/>
      </w:tblGrid>
      <w:tr w:rsidR="007A6222" w:rsidTr="00517B28">
        <w:trPr>
          <w:trHeight w:val="807"/>
        </w:trPr>
        <w:tc>
          <w:tcPr>
            <w:tcW w:w="5238" w:type="dxa"/>
            <w:shd w:val="clear" w:color="auto" w:fill="auto"/>
          </w:tcPr>
          <w:p w:rsidR="00517B28" w:rsidRPr="0070059A" w:rsidRDefault="008C00D8" w:rsidP="00B41A3E">
            <w:pPr>
              <w:autoSpaceDE w:val="0"/>
              <w:autoSpaceDN w:val="0"/>
              <w:adjustRightInd w:val="0"/>
              <w:spacing w:after="0" w:line="240" w:lineRule="auto"/>
              <w:rPr>
                <w:rFonts w:cs="Times New Roman"/>
                <w:szCs w:val="24"/>
              </w:rPr>
            </w:pPr>
            <w:r w:rsidRPr="0070059A">
              <w:rPr>
                <w:rFonts w:cs="Times New Roman"/>
                <w:szCs w:val="24"/>
              </w:rPr>
              <w:t xml:space="preserve">In the Matter of the </w:t>
            </w:r>
            <w:r>
              <w:rPr>
                <w:rFonts w:cs="Times New Roman"/>
                <w:szCs w:val="24"/>
              </w:rPr>
              <w:t>A</w:t>
            </w:r>
            <w:r w:rsidRPr="0070059A">
              <w:rPr>
                <w:rFonts w:cs="Times New Roman"/>
                <w:szCs w:val="24"/>
              </w:rPr>
              <w:t>pplication of the Dayton Power and Light Company for an Increase in Electric Distribution Rates.</w:t>
            </w: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r w:rsidRPr="0070059A">
              <w:rPr>
                <w:rFonts w:cs="Times New Roman"/>
                <w:szCs w:val="24"/>
              </w:rPr>
              <w:t xml:space="preserve">In the Matter of the Application of the Dayton Power and Light Company for Approval to </w:t>
            </w:r>
            <w:r w:rsidRPr="0070059A">
              <w:rPr>
                <w:rFonts w:cs="Times New Roman"/>
                <w:szCs w:val="24"/>
              </w:rPr>
              <w:t>Change Accounting Methods.</w:t>
            </w: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Tariff Approval.</w:t>
            </w:r>
          </w:p>
        </w:tc>
        <w:tc>
          <w:tcPr>
            <w:tcW w:w="480" w:type="dxa"/>
            <w:shd w:val="clear" w:color="auto" w:fill="auto"/>
          </w:tcPr>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tc>
        <w:tc>
          <w:tcPr>
            <w:tcW w:w="4640" w:type="dxa"/>
            <w:shd w:val="clear" w:color="auto" w:fill="auto"/>
          </w:tcPr>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r w:rsidRPr="0070059A">
              <w:rPr>
                <w:rFonts w:cs="Times New Roman"/>
                <w:szCs w:val="24"/>
              </w:rPr>
              <w:t>Case No. 15-1830-EL-AIR</w:t>
            </w: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r w:rsidRPr="0070059A">
              <w:rPr>
                <w:rFonts w:cs="Times New Roman"/>
                <w:szCs w:val="24"/>
              </w:rPr>
              <w:t>Case No. 15-1831-EL-AAM</w:t>
            </w:r>
          </w:p>
          <w:p w:rsidR="00517B28" w:rsidRPr="0070059A" w:rsidRDefault="008C00D8" w:rsidP="00517B28">
            <w:pPr>
              <w:spacing w:after="0" w:line="240" w:lineRule="auto"/>
              <w:rPr>
                <w:rFonts w:cs="Times New Roman"/>
                <w:szCs w:val="24"/>
              </w:rPr>
            </w:pPr>
          </w:p>
          <w:p w:rsidR="00517B28" w:rsidRPr="0070059A" w:rsidRDefault="008C00D8" w:rsidP="00517B28">
            <w:pPr>
              <w:spacing w:after="0" w:line="240" w:lineRule="auto"/>
              <w:rPr>
                <w:rFonts w:cs="Times New Roman"/>
                <w:szCs w:val="24"/>
              </w:rPr>
            </w:pPr>
          </w:p>
          <w:p w:rsidR="00517B28" w:rsidRPr="0070059A" w:rsidRDefault="008C00D8" w:rsidP="00517B28">
            <w:pPr>
              <w:spacing w:after="0" w:line="240" w:lineRule="auto"/>
              <w:rPr>
                <w:rFonts w:cs="Times New Roman"/>
                <w:szCs w:val="24"/>
              </w:rPr>
            </w:pPr>
            <w:r w:rsidRPr="0070059A">
              <w:rPr>
                <w:rFonts w:cs="Times New Roman"/>
                <w:szCs w:val="24"/>
              </w:rPr>
              <w:t>Case No. 15-1832-EL-ATA</w:t>
            </w:r>
          </w:p>
          <w:p w:rsidR="00517B28" w:rsidRPr="0070059A" w:rsidRDefault="008C00D8" w:rsidP="00517B28">
            <w:pPr>
              <w:pStyle w:val="HTMLPreformatted"/>
              <w:rPr>
                <w:rFonts w:ascii="Times New Roman" w:hAnsi="Times New Roman" w:cs="Times New Roman"/>
                <w:sz w:val="24"/>
                <w:szCs w:val="24"/>
              </w:rPr>
            </w:pPr>
          </w:p>
        </w:tc>
      </w:tr>
    </w:tbl>
    <w:p w:rsidR="00517B28" w:rsidRPr="0070059A" w:rsidRDefault="008C00D8" w:rsidP="00517B28">
      <w:pPr>
        <w:keepNext/>
        <w:pBdr>
          <w:bottom w:val="single" w:sz="12" w:space="1" w:color="auto"/>
        </w:pBdr>
        <w:spacing w:after="0" w:line="240" w:lineRule="auto"/>
        <w:ind w:left="720" w:hanging="720"/>
        <w:outlineLvl w:val="0"/>
        <w:rPr>
          <w:rFonts w:cs="Times New Roman"/>
          <w:b/>
          <w:caps/>
          <w:szCs w:val="24"/>
        </w:rPr>
      </w:pPr>
    </w:p>
    <w:p w:rsidR="00517B28" w:rsidRPr="0070059A" w:rsidRDefault="008C00D8" w:rsidP="00517B28">
      <w:pPr>
        <w:pStyle w:val="HTMLPreformatted"/>
        <w:rPr>
          <w:rFonts w:ascii="Times New Roman" w:hAnsi="Times New Roman" w:cs="Times New Roman"/>
          <w:b/>
          <w:bCs/>
          <w:i/>
          <w:sz w:val="24"/>
          <w:szCs w:val="24"/>
        </w:rPr>
      </w:pPr>
    </w:p>
    <w:p w:rsidR="00517B28" w:rsidRPr="0070059A" w:rsidRDefault="008C00D8" w:rsidP="00517B28">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REPLY</w:t>
      </w:r>
      <w:r>
        <w:rPr>
          <w:rFonts w:ascii="Times New Roman" w:hAnsi="Times New Roman" w:cs="Times New Roman"/>
          <w:b/>
          <w:bCs/>
          <w:sz w:val="24"/>
          <w:szCs w:val="24"/>
        </w:rPr>
        <w:t xml:space="preserve"> BRIEF</w:t>
      </w:r>
    </w:p>
    <w:p w:rsidR="00517B28" w:rsidRPr="0070059A" w:rsidRDefault="008C00D8" w:rsidP="00517B28">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 xml:space="preserve">BY </w:t>
      </w:r>
    </w:p>
    <w:p w:rsidR="00517B28" w:rsidRPr="0070059A" w:rsidRDefault="008C00D8" w:rsidP="00517B28">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 xml:space="preserve">THE OFFICE OF THE </w:t>
      </w:r>
      <w:r w:rsidRPr="0070059A">
        <w:rPr>
          <w:rFonts w:ascii="Times New Roman" w:hAnsi="Times New Roman" w:cs="Times New Roman"/>
          <w:b/>
          <w:bCs/>
          <w:sz w:val="24"/>
          <w:szCs w:val="24"/>
        </w:rPr>
        <w:t>OHIO CONSUMERS</w:t>
      </w:r>
      <w:r>
        <w:rPr>
          <w:rFonts w:ascii="Times New Roman" w:hAnsi="Times New Roman" w:cs="Times New Roman"/>
          <w:b/>
          <w:bCs/>
          <w:sz w:val="24"/>
          <w:szCs w:val="24"/>
        </w:rPr>
        <w:t>’</w:t>
      </w:r>
      <w:r w:rsidRPr="0070059A">
        <w:rPr>
          <w:rFonts w:ascii="Times New Roman" w:hAnsi="Times New Roman" w:cs="Times New Roman"/>
          <w:b/>
          <w:bCs/>
          <w:sz w:val="24"/>
          <w:szCs w:val="24"/>
        </w:rPr>
        <w:t xml:space="preserve"> COUNSEL</w:t>
      </w:r>
    </w:p>
    <w:p w:rsidR="00517B28" w:rsidRPr="0070059A" w:rsidRDefault="008C00D8" w:rsidP="00517B28">
      <w:pPr>
        <w:pStyle w:val="HTMLPreformatted"/>
        <w:pBdr>
          <w:bottom w:val="single" w:sz="12" w:space="1" w:color="auto"/>
        </w:pBdr>
        <w:jc w:val="center"/>
        <w:rPr>
          <w:rFonts w:ascii="Times New Roman" w:hAnsi="Times New Roman" w:cs="Times New Roman"/>
          <w:b/>
          <w:bCs/>
          <w:sz w:val="24"/>
          <w:szCs w:val="24"/>
        </w:rPr>
      </w:pPr>
    </w:p>
    <w:p w:rsidR="00517B28" w:rsidRPr="0070059A" w:rsidRDefault="008C00D8" w:rsidP="00517B28">
      <w:pPr>
        <w:spacing w:after="0" w:line="240" w:lineRule="auto"/>
        <w:ind w:left="3600" w:firstLine="720"/>
        <w:rPr>
          <w:rFonts w:eastAsiaTheme="minorEastAsia" w:cs="Times New Roman"/>
          <w:szCs w:val="24"/>
        </w:rPr>
      </w:pPr>
    </w:p>
    <w:p w:rsidR="00517B28" w:rsidRPr="0070059A" w:rsidRDefault="008C00D8" w:rsidP="00517B28">
      <w:pPr>
        <w:spacing w:after="0" w:line="240" w:lineRule="auto"/>
        <w:ind w:left="3600" w:firstLine="720"/>
        <w:rPr>
          <w:rFonts w:eastAsiaTheme="minorEastAsia" w:cs="Times New Roman"/>
          <w:szCs w:val="24"/>
        </w:rPr>
      </w:pPr>
    </w:p>
    <w:p w:rsidR="00517B28" w:rsidRPr="0070059A" w:rsidRDefault="008C00D8" w:rsidP="00517B28">
      <w:pPr>
        <w:spacing w:after="0" w:line="240" w:lineRule="auto"/>
        <w:ind w:left="3600" w:firstLine="720"/>
        <w:rPr>
          <w:rFonts w:eastAsiaTheme="minorEastAsia" w:cs="Times New Roman"/>
          <w:szCs w:val="24"/>
        </w:rPr>
      </w:pPr>
    </w:p>
    <w:p w:rsidR="00517B28" w:rsidRPr="0070059A" w:rsidRDefault="008C00D8" w:rsidP="00517B28">
      <w:pPr>
        <w:spacing w:after="0" w:line="240" w:lineRule="auto"/>
        <w:ind w:left="3600" w:firstLine="720"/>
        <w:rPr>
          <w:rFonts w:eastAsiaTheme="minorEastAsia" w:cs="Times New Roman"/>
          <w:szCs w:val="24"/>
        </w:rPr>
      </w:pPr>
    </w:p>
    <w:p w:rsidR="00517B28" w:rsidRPr="0070059A" w:rsidRDefault="008C00D8" w:rsidP="00517B28">
      <w:pPr>
        <w:spacing w:after="0" w:line="240" w:lineRule="auto"/>
        <w:ind w:left="3600" w:firstLine="720"/>
        <w:rPr>
          <w:rFonts w:eastAsiaTheme="minorEastAsia" w:cs="Times New Roman"/>
          <w:szCs w:val="24"/>
        </w:rPr>
      </w:pPr>
    </w:p>
    <w:p w:rsidR="00517B28" w:rsidRPr="0070059A" w:rsidRDefault="008C00D8" w:rsidP="00517B28">
      <w:pPr>
        <w:spacing w:after="0" w:line="240" w:lineRule="auto"/>
        <w:ind w:left="3600" w:firstLine="720"/>
        <w:rPr>
          <w:rFonts w:eastAsiaTheme="minorEastAsia" w:cs="Times New Roman"/>
          <w:szCs w:val="24"/>
        </w:rPr>
      </w:pPr>
    </w:p>
    <w:p w:rsidR="00517B28" w:rsidRPr="0070059A" w:rsidRDefault="008C00D8" w:rsidP="00517B28">
      <w:pPr>
        <w:spacing w:after="0" w:line="240" w:lineRule="auto"/>
        <w:ind w:left="3600" w:firstLine="720"/>
        <w:rPr>
          <w:rFonts w:eastAsiaTheme="minorEastAsia" w:cs="Times New Roman"/>
          <w:szCs w:val="24"/>
        </w:rPr>
      </w:pPr>
    </w:p>
    <w:p w:rsidR="00517B28" w:rsidRPr="0070059A" w:rsidRDefault="008C00D8" w:rsidP="00517B28">
      <w:pPr>
        <w:spacing w:after="0" w:line="240" w:lineRule="auto"/>
        <w:ind w:left="3600" w:firstLine="720"/>
        <w:rPr>
          <w:rFonts w:eastAsiaTheme="minorEastAsia" w:cs="Times New Roman"/>
          <w:szCs w:val="24"/>
        </w:rPr>
      </w:pPr>
    </w:p>
    <w:p w:rsidR="00517B28" w:rsidRPr="0070059A" w:rsidRDefault="008C00D8" w:rsidP="00517B28">
      <w:pPr>
        <w:spacing w:after="0" w:line="240" w:lineRule="auto"/>
        <w:ind w:left="3600" w:firstLine="720"/>
        <w:rPr>
          <w:rFonts w:eastAsiaTheme="minorEastAsia" w:cs="Times New Roman"/>
          <w:szCs w:val="24"/>
        </w:rPr>
      </w:pPr>
    </w:p>
    <w:p w:rsidR="00517B28" w:rsidRPr="0070059A" w:rsidRDefault="008C00D8" w:rsidP="00517B28">
      <w:pPr>
        <w:spacing w:after="0" w:line="240" w:lineRule="auto"/>
        <w:ind w:left="3600" w:firstLine="720"/>
        <w:rPr>
          <w:rFonts w:eastAsiaTheme="minorEastAsia" w:cs="Times New Roman"/>
          <w:szCs w:val="24"/>
        </w:rPr>
      </w:pPr>
      <w:r w:rsidRPr="0070059A">
        <w:rPr>
          <w:rFonts w:eastAsiaTheme="minorEastAsia" w:cs="Times New Roman"/>
          <w:szCs w:val="24"/>
        </w:rPr>
        <w:t>BRUCE WESTON (0016973)</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OHIO CONSUMERS</w:t>
      </w:r>
      <w:r>
        <w:rPr>
          <w:rFonts w:eastAsiaTheme="minorEastAsia" w:cs="Times New Roman"/>
          <w:szCs w:val="24"/>
        </w:rPr>
        <w:t>’</w:t>
      </w:r>
      <w:r w:rsidRPr="0070059A">
        <w:rPr>
          <w:rFonts w:eastAsiaTheme="minorEastAsia" w:cs="Times New Roman"/>
          <w:szCs w:val="24"/>
        </w:rPr>
        <w:t xml:space="preserve"> COUNSEL</w:t>
      </w:r>
    </w:p>
    <w:p w:rsidR="00517B28" w:rsidRPr="0070059A" w:rsidRDefault="008C00D8" w:rsidP="00517B28">
      <w:pPr>
        <w:spacing w:after="0" w:line="240" w:lineRule="auto"/>
        <w:ind w:firstLine="4320"/>
        <w:rPr>
          <w:rFonts w:eastAsiaTheme="minorEastAsia" w:cs="Times New Roman"/>
          <w:szCs w:val="24"/>
        </w:rPr>
      </w:pP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Christopher Healey (0086027)</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Counsel of Record</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Terry L. Etter (0067445)</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Assistant Consumers</w:t>
      </w:r>
      <w:r>
        <w:rPr>
          <w:rFonts w:eastAsiaTheme="minorEastAsia" w:cs="Times New Roman"/>
          <w:szCs w:val="24"/>
        </w:rPr>
        <w:t>’</w:t>
      </w:r>
      <w:r w:rsidRPr="0070059A">
        <w:rPr>
          <w:rFonts w:eastAsiaTheme="minorEastAsia" w:cs="Times New Roman"/>
          <w:szCs w:val="24"/>
        </w:rPr>
        <w:t xml:space="preserve"> Counsel</w:t>
      </w:r>
    </w:p>
    <w:p w:rsidR="00517B28" w:rsidRPr="0070059A" w:rsidRDefault="008C00D8" w:rsidP="00517B28">
      <w:pPr>
        <w:spacing w:after="0" w:line="240" w:lineRule="auto"/>
        <w:ind w:firstLine="4320"/>
        <w:rPr>
          <w:rFonts w:eastAsiaTheme="minorEastAsia" w:cs="Times New Roman"/>
          <w:szCs w:val="24"/>
        </w:rPr>
      </w:pPr>
    </w:p>
    <w:p w:rsidR="00517B28" w:rsidRPr="0070059A" w:rsidRDefault="008C00D8" w:rsidP="00517B28">
      <w:pPr>
        <w:spacing w:after="0" w:line="240" w:lineRule="auto"/>
        <w:ind w:firstLine="4320"/>
        <w:rPr>
          <w:rFonts w:eastAsiaTheme="minorEastAsia" w:cs="Times New Roman"/>
          <w:b/>
          <w:szCs w:val="24"/>
        </w:rPr>
      </w:pPr>
      <w:r w:rsidRPr="0070059A">
        <w:rPr>
          <w:rFonts w:eastAsiaTheme="minorEastAsia" w:cs="Times New Roman"/>
          <w:b/>
          <w:szCs w:val="24"/>
        </w:rPr>
        <w:t>Office of the Ohio Consumers</w:t>
      </w:r>
      <w:r>
        <w:rPr>
          <w:rFonts w:eastAsiaTheme="minorEastAsia" w:cs="Times New Roman"/>
          <w:b/>
          <w:szCs w:val="24"/>
        </w:rPr>
        <w:t>’</w:t>
      </w:r>
      <w:r w:rsidRPr="0070059A">
        <w:rPr>
          <w:rFonts w:eastAsiaTheme="minorEastAsia" w:cs="Times New Roman"/>
          <w:b/>
          <w:szCs w:val="24"/>
        </w:rPr>
        <w:t xml:space="preserve"> Counsel</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65 East State Street, 7th Floor</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Co</w:t>
      </w:r>
      <w:r w:rsidRPr="0070059A">
        <w:rPr>
          <w:rFonts w:eastAsiaTheme="minorEastAsia" w:cs="Times New Roman"/>
          <w:szCs w:val="24"/>
        </w:rPr>
        <w:t>lumbus, Ohio 43215</w:t>
      </w:r>
      <w:r>
        <w:rPr>
          <w:rFonts w:eastAsiaTheme="minorEastAsia" w:cs="Times New Roman"/>
          <w:szCs w:val="24"/>
        </w:rPr>
        <w:t>-4213</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Telephone [Healey]: 614-466-9571</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Telephone [Etter]: 614-466-7964</w:t>
      </w:r>
    </w:p>
    <w:p w:rsidR="00517B28" w:rsidRPr="0070059A" w:rsidRDefault="008C00D8" w:rsidP="00517B28">
      <w:pPr>
        <w:spacing w:after="0" w:line="240" w:lineRule="auto"/>
        <w:ind w:firstLine="4320"/>
        <w:rPr>
          <w:rStyle w:val="Hyperlink"/>
          <w:rFonts w:eastAsiaTheme="minorEastAsia" w:cs="Times New Roman"/>
          <w:szCs w:val="24"/>
        </w:rPr>
      </w:pPr>
      <w:r w:rsidRPr="0070059A">
        <w:rPr>
          <w:rFonts w:eastAsiaTheme="minorEastAsia" w:cs="Times New Roman"/>
          <w:szCs w:val="24"/>
        </w:rPr>
        <w:t>christopher.healey@occ.ohio.gov</w:t>
      </w:r>
    </w:p>
    <w:p w:rsidR="00517B28" w:rsidRDefault="008C00D8" w:rsidP="00517B28">
      <w:pPr>
        <w:spacing w:after="0" w:line="240" w:lineRule="auto"/>
        <w:ind w:firstLine="4320"/>
        <w:rPr>
          <w:rStyle w:val="Hyperlink"/>
          <w:rFonts w:eastAsiaTheme="minorEastAsia" w:cs="Times New Roman"/>
          <w:szCs w:val="24"/>
        </w:rPr>
      </w:pPr>
      <w:r w:rsidRPr="00C44056">
        <w:rPr>
          <w:rFonts w:eastAsiaTheme="minorEastAsia" w:cs="Times New Roman"/>
          <w:szCs w:val="24"/>
        </w:rPr>
        <w:t>terry.etter@occ.ohio.gov</w:t>
      </w:r>
    </w:p>
    <w:p w:rsidR="00517B28" w:rsidRPr="00EE19CA" w:rsidRDefault="008C00D8" w:rsidP="00517B28">
      <w:pPr>
        <w:spacing w:after="0" w:line="240" w:lineRule="auto"/>
        <w:ind w:firstLine="4320"/>
        <w:rPr>
          <w:rFonts w:eastAsiaTheme="minorEastAsia" w:cs="Times New Roman"/>
          <w:szCs w:val="24"/>
        </w:rPr>
      </w:pPr>
      <w:r w:rsidRPr="00EE19CA">
        <w:rPr>
          <w:rStyle w:val="Hyperlink"/>
          <w:rFonts w:eastAsiaTheme="minorEastAsia" w:cs="Times New Roman"/>
          <w:color w:val="auto"/>
          <w:szCs w:val="24"/>
          <w:u w:val="none"/>
        </w:rPr>
        <w:t>(</w:t>
      </w:r>
      <w:r>
        <w:rPr>
          <w:rStyle w:val="Hyperlink"/>
          <w:rFonts w:eastAsiaTheme="minorEastAsia" w:cs="Times New Roman"/>
          <w:color w:val="auto"/>
          <w:szCs w:val="24"/>
          <w:u w:val="none"/>
        </w:rPr>
        <w:t>will accept service via email</w:t>
      </w:r>
      <w:r w:rsidRPr="00EE19CA">
        <w:rPr>
          <w:rStyle w:val="Hyperlink"/>
          <w:rFonts w:eastAsiaTheme="minorEastAsia" w:cs="Times New Roman"/>
          <w:color w:val="auto"/>
          <w:szCs w:val="24"/>
          <w:u w:val="none"/>
        </w:rPr>
        <w:t>)</w:t>
      </w:r>
    </w:p>
    <w:p w:rsidR="001512F7" w:rsidRDefault="008C00D8" w:rsidP="001512F7">
      <w:pPr>
        <w:spacing w:after="0" w:line="240" w:lineRule="auto"/>
        <w:rPr>
          <w:rFonts w:cs="Times New Roman"/>
          <w:szCs w:val="24"/>
        </w:rPr>
      </w:pPr>
    </w:p>
    <w:p w:rsidR="00517B28" w:rsidRPr="0070059A" w:rsidRDefault="008C00D8" w:rsidP="001512F7">
      <w:pPr>
        <w:spacing w:after="0" w:line="240" w:lineRule="auto"/>
        <w:rPr>
          <w:rFonts w:cs="Times New Roman"/>
          <w:szCs w:val="24"/>
        </w:rPr>
      </w:pPr>
      <w:r>
        <w:rPr>
          <w:rFonts w:cs="Times New Roman"/>
          <w:szCs w:val="24"/>
        </w:rPr>
        <w:t>August 27, 2018</w:t>
      </w:r>
    </w:p>
    <w:p w:rsidR="00517B28" w:rsidRPr="0070059A" w:rsidRDefault="008C00D8" w:rsidP="00517B28">
      <w:pPr>
        <w:rPr>
          <w:rFonts w:eastAsiaTheme="minorEastAsia" w:cs="Times New Roman"/>
          <w:szCs w:val="24"/>
        </w:rPr>
        <w:sectPr w:rsidR="00517B28" w:rsidRPr="0070059A" w:rsidSect="00517B28">
          <w:pgSz w:w="12240" w:h="15840"/>
          <w:pgMar w:top="1440" w:right="1800" w:bottom="1440" w:left="1800" w:header="720" w:footer="720" w:gutter="0"/>
          <w:pgNumType w:start="2"/>
          <w:cols w:space="720"/>
          <w:docGrid w:linePitch="360"/>
        </w:sectPr>
      </w:pPr>
    </w:p>
    <w:p w:rsidR="00517B28" w:rsidRPr="0070059A" w:rsidRDefault="008C00D8" w:rsidP="00517B28">
      <w:pPr>
        <w:jc w:val="center"/>
        <w:rPr>
          <w:rFonts w:eastAsiaTheme="minorEastAsia" w:cs="Times New Roman"/>
          <w:b/>
          <w:szCs w:val="24"/>
          <w:u w:val="single"/>
        </w:rPr>
      </w:pPr>
      <w:r w:rsidRPr="0070059A">
        <w:rPr>
          <w:rFonts w:eastAsiaTheme="minorEastAsia" w:cs="Times New Roman"/>
          <w:b/>
          <w:szCs w:val="24"/>
          <w:u w:val="single"/>
        </w:rPr>
        <w:lastRenderedPageBreak/>
        <w:t>TABLE OF CONTENTS</w:t>
      </w:r>
    </w:p>
    <w:p w:rsidR="00517B28" w:rsidRPr="0070059A" w:rsidRDefault="008C00D8" w:rsidP="00517B28">
      <w:pPr>
        <w:jc w:val="right"/>
        <w:rPr>
          <w:rFonts w:eastAsiaTheme="minorEastAsia" w:cs="Times New Roman"/>
          <w:szCs w:val="24"/>
        </w:rPr>
      </w:pPr>
      <w:r w:rsidRPr="0070059A">
        <w:rPr>
          <w:rFonts w:eastAsiaTheme="minorEastAsia" w:cs="Times New Roman"/>
          <w:b/>
          <w:szCs w:val="24"/>
        </w:rPr>
        <w:t>PAGE</w:t>
      </w:r>
    </w:p>
    <w:p w:rsidR="00740211" w:rsidRDefault="008C00D8">
      <w:pPr>
        <w:pStyle w:val="TOC1"/>
        <w:rPr>
          <w:rFonts w:asciiTheme="minorHAnsi" w:eastAsiaTheme="minorEastAsia" w:hAnsiTheme="minorHAnsi" w:cstheme="minorBidi"/>
          <w:caps w:val="0"/>
          <w:noProof/>
          <w:sz w:val="22"/>
          <w:szCs w:val="22"/>
          <w:lang w:bidi="he-IL"/>
        </w:rPr>
      </w:pPr>
      <w:r>
        <w:rPr>
          <w:rFonts w:eastAsiaTheme="minorEastAsia"/>
          <w:caps w:val="0"/>
        </w:rPr>
        <w:fldChar w:fldCharType="begin"/>
      </w:r>
      <w:r>
        <w:rPr>
          <w:rFonts w:eastAsiaTheme="minorEastAsia"/>
          <w:caps w:val="0"/>
        </w:rPr>
        <w:instrText xml:space="preserve"> TOC \o "1-3" \h \z \u </w:instrText>
      </w:r>
      <w:r>
        <w:rPr>
          <w:rFonts w:eastAsiaTheme="minorEastAsia"/>
          <w:caps w:val="0"/>
        </w:rPr>
        <w:fldChar w:fldCharType="separate"/>
      </w:r>
      <w:hyperlink w:anchor="_Toc523152226" w:history="1">
        <w:r w:rsidRPr="00AD3623">
          <w:rPr>
            <w:rStyle w:val="Hyperlink"/>
            <w:noProof/>
          </w:rPr>
          <w:t>I.</w:t>
        </w:r>
        <w:r>
          <w:rPr>
            <w:rFonts w:asciiTheme="minorHAnsi" w:eastAsiaTheme="minorEastAsia" w:hAnsiTheme="minorHAnsi" w:cstheme="minorBidi"/>
            <w:caps w:val="0"/>
            <w:noProof/>
            <w:sz w:val="22"/>
            <w:szCs w:val="22"/>
            <w:lang w:bidi="he-IL"/>
          </w:rPr>
          <w:tab/>
        </w:r>
        <w:r w:rsidRPr="00AD3623">
          <w:rPr>
            <w:rStyle w:val="Hyperlink"/>
            <w:noProof/>
          </w:rPr>
          <w:t>RECOMMENDATIONS</w:t>
        </w:r>
        <w:r>
          <w:rPr>
            <w:noProof/>
            <w:webHidden/>
          </w:rPr>
          <w:tab/>
        </w:r>
        <w:r>
          <w:rPr>
            <w:noProof/>
            <w:webHidden/>
          </w:rPr>
          <w:fldChar w:fldCharType="begin"/>
        </w:r>
        <w:r>
          <w:rPr>
            <w:noProof/>
            <w:webHidden/>
          </w:rPr>
          <w:instrText xml:space="preserve"> PAGEREF _Toc523152226 \h </w:instrText>
        </w:r>
        <w:r>
          <w:rPr>
            <w:noProof/>
            <w:webHidden/>
          </w:rPr>
        </w:r>
        <w:r>
          <w:rPr>
            <w:noProof/>
            <w:webHidden/>
          </w:rPr>
          <w:fldChar w:fldCharType="separate"/>
        </w:r>
        <w:r>
          <w:rPr>
            <w:noProof/>
            <w:webHidden/>
          </w:rPr>
          <w:t>3</w:t>
        </w:r>
        <w:r>
          <w:rPr>
            <w:noProof/>
            <w:webHidden/>
          </w:rPr>
          <w:fldChar w:fldCharType="end"/>
        </w:r>
      </w:hyperlink>
    </w:p>
    <w:p w:rsidR="00740211" w:rsidRDefault="008C00D8">
      <w:pPr>
        <w:pStyle w:val="TOC2"/>
        <w:tabs>
          <w:tab w:val="left" w:pos="1440"/>
        </w:tabs>
        <w:rPr>
          <w:rFonts w:asciiTheme="minorHAnsi" w:eastAsiaTheme="minorEastAsia" w:hAnsiTheme="minorHAnsi"/>
          <w:noProof/>
          <w:sz w:val="22"/>
          <w:lang w:bidi="he-IL"/>
        </w:rPr>
      </w:pPr>
      <w:hyperlink w:anchor="_Toc523152227" w:history="1">
        <w:r w:rsidRPr="00AD3623">
          <w:rPr>
            <w:rStyle w:val="Hyperlink"/>
            <w:noProof/>
          </w:rPr>
          <w:t>A.</w:t>
        </w:r>
        <w:r>
          <w:rPr>
            <w:rFonts w:asciiTheme="minorHAnsi" w:eastAsiaTheme="minorEastAsia" w:hAnsiTheme="minorHAnsi"/>
            <w:noProof/>
            <w:sz w:val="22"/>
            <w:lang w:bidi="he-IL"/>
          </w:rPr>
          <w:tab/>
        </w:r>
        <w:r w:rsidRPr="00AD3623">
          <w:rPr>
            <w:rStyle w:val="Hyperlink"/>
            <w:noProof/>
          </w:rPr>
          <w:t>The PUCO should reject the Marketers’ proposal to unj</w:t>
        </w:r>
        <w:r w:rsidRPr="00AD3623">
          <w:rPr>
            <w:rStyle w:val="Hyperlink"/>
            <w:noProof/>
          </w:rPr>
          <w:t>ustly and unreasonably increase the cost that standard service offer customers pay for distribution service.</w:t>
        </w:r>
        <w:r>
          <w:rPr>
            <w:noProof/>
            <w:webHidden/>
          </w:rPr>
          <w:tab/>
        </w:r>
        <w:r>
          <w:rPr>
            <w:noProof/>
            <w:webHidden/>
          </w:rPr>
          <w:fldChar w:fldCharType="begin"/>
        </w:r>
        <w:r>
          <w:rPr>
            <w:noProof/>
            <w:webHidden/>
          </w:rPr>
          <w:instrText xml:space="preserve"> PAGEREF _Toc523152227 \h </w:instrText>
        </w:r>
        <w:r>
          <w:rPr>
            <w:noProof/>
            <w:webHidden/>
          </w:rPr>
        </w:r>
        <w:r>
          <w:rPr>
            <w:noProof/>
            <w:webHidden/>
          </w:rPr>
          <w:fldChar w:fldCharType="separate"/>
        </w:r>
        <w:r>
          <w:rPr>
            <w:noProof/>
            <w:webHidden/>
          </w:rPr>
          <w:t>3</w:t>
        </w:r>
        <w:r>
          <w:rPr>
            <w:noProof/>
            <w:webHidden/>
          </w:rPr>
          <w:fldChar w:fldCharType="end"/>
        </w:r>
      </w:hyperlink>
    </w:p>
    <w:p w:rsidR="00740211" w:rsidRDefault="008C00D8">
      <w:pPr>
        <w:pStyle w:val="TOC3"/>
        <w:tabs>
          <w:tab w:val="left" w:pos="2160"/>
        </w:tabs>
        <w:rPr>
          <w:rFonts w:asciiTheme="minorHAnsi" w:eastAsiaTheme="minorEastAsia" w:hAnsiTheme="minorHAnsi"/>
          <w:noProof/>
          <w:sz w:val="22"/>
          <w:lang w:bidi="he-IL"/>
        </w:rPr>
      </w:pPr>
      <w:hyperlink w:anchor="_Toc523152228" w:history="1">
        <w:r w:rsidRPr="00AD3623">
          <w:rPr>
            <w:rStyle w:val="Hyperlink"/>
            <w:noProof/>
          </w:rPr>
          <w:t>1.</w:t>
        </w:r>
        <w:r>
          <w:rPr>
            <w:rFonts w:asciiTheme="minorHAnsi" w:eastAsiaTheme="minorEastAsia" w:hAnsiTheme="minorHAnsi"/>
            <w:noProof/>
            <w:sz w:val="22"/>
            <w:lang w:bidi="he-IL"/>
          </w:rPr>
          <w:tab/>
        </w:r>
        <w:r w:rsidRPr="00AD3623">
          <w:rPr>
            <w:rStyle w:val="Hyperlink"/>
            <w:noProof/>
          </w:rPr>
          <w:t xml:space="preserve">The Marketers’ </w:t>
        </w:r>
        <w:r w:rsidRPr="00AD3623">
          <w:rPr>
            <w:rStyle w:val="Hyperlink"/>
            <w:noProof/>
          </w:rPr>
          <w:t>proposal is unlawful because it requires the PUCO to create new riders in a base rate case, which would constitute unlawful single-issue ratemaking.</w:t>
        </w:r>
        <w:r>
          <w:rPr>
            <w:noProof/>
            <w:webHidden/>
          </w:rPr>
          <w:tab/>
        </w:r>
        <w:r>
          <w:rPr>
            <w:noProof/>
            <w:webHidden/>
          </w:rPr>
          <w:fldChar w:fldCharType="begin"/>
        </w:r>
        <w:r>
          <w:rPr>
            <w:noProof/>
            <w:webHidden/>
          </w:rPr>
          <w:instrText xml:space="preserve"> PAGEREF _Toc523152228 \h </w:instrText>
        </w:r>
        <w:r>
          <w:rPr>
            <w:noProof/>
            <w:webHidden/>
          </w:rPr>
        </w:r>
        <w:r>
          <w:rPr>
            <w:noProof/>
            <w:webHidden/>
          </w:rPr>
          <w:fldChar w:fldCharType="separate"/>
        </w:r>
        <w:r>
          <w:rPr>
            <w:noProof/>
            <w:webHidden/>
          </w:rPr>
          <w:t>3</w:t>
        </w:r>
        <w:r>
          <w:rPr>
            <w:noProof/>
            <w:webHidden/>
          </w:rPr>
          <w:fldChar w:fldCharType="end"/>
        </w:r>
      </w:hyperlink>
    </w:p>
    <w:p w:rsidR="00740211" w:rsidRDefault="008C00D8">
      <w:pPr>
        <w:pStyle w:val="TOC3"/>
        <w:tabs>
          <w:tab w:val="left" w:pos="2160"/>
        </w:tabs>
        <w:rPr>
          <w:rFonts w:asciiTheme="minorHAnsi" w:eastAsiaTheme="minorEastAsia" w:hAnsiTheme="minorHAnsi"/>
          <w:noProof/>
          <w:sz w:val="22"/>
          <w:lang w:bidi="he-IL"/>
        </w:rPr>
      </w:pPr>
      <w:hyperlink w:anchor="_Toc523152229" w:history="1">
        <w:r w:rsidRPr="00AD3623">
          <w:rPr>
            <w:rStyle w:val="Hyperlink"/>
            <w:noProof/>
          </w:rPr>
          <w:t>2.</w:t>
        </w:r>
        <w:r>
          <w:rPr>
            <w:rFonts w:asciiTheme="minorHAnsi" w:eastAsiaTheme="minorEastAsia" w:hAnsiTheme="minorHAnsi"/>
            <w:noProof/>
            <w:sz w:val="22"/>
            <w:lang w:bidi="he-IL"/>
          </w:rPr>
          <w:tab/>
        </w:r>
        <w:r w:rsidRPr="00AD3623">
          <w:rPr>
            <w:rStyle w:val="Hyperlink"/>
            <w:noProof/>
          </w:rPr>
          <w:t>The standard service offer benefits all customers. All customers should pay the distribution costs associated with it.</w:t>
        </w:r>
        <w:r>
          <w:rPr>
            <w:noProof/>
            <w:webHidden/>
          </w:rPr>
          <w:tab/>
        </w:r>
        <w:r>
          <w:rPr>
            <w:noProof/>
            <w:webHidden/>
          </w:rPr>
          <w:fldChar w:fldCharType="begin"/>
        </w:r>
        <w:r>
          <w:rPr>
            <w:noProof/>
            <w:webHidden/>
          </w:rPr>
          <w:instrText xml:space="preserve"> PAGEREF _Toc523152229 \h </w:instrText>
        </w:r>
        <w:r>
          <w:rPr>
            <w:noProof/>
            <w:webHidden/>
          </w:rPr>
        </w:r>
        <w:r>
          <w:rPr>
            <w:noProof/>
            <w:webHidden/>
          </w:rPr>
          <w:fldChar w:fldCharType="separate"/>
        </w:r>
        <w:r>
          <w:rPr>
            <w:noProof/>
            <w:webHidden/>
          </w:rPr>
          <w:t>5</w:t>
        </w:r>
        <w:r>
          <w:rPr>
            <w:noProof/>
            <w:webHidden/>
          </w:rPr>
          <w:fldChar w:fldCharType="end"/>
        </w:r>
      </w:hyperlink>
    </w:p>
    <w:p w:rsidR="00740211" w:rsidRDefault="008C00D8">
      <w:pPr>
        <w:pStyle w:val="TOC3"/>
        <w:tabs>
          <w:tab w:val="left" w:pos="2160"/>
        </w:tabs>
        <w:rPr>
          <w:rFonts w:asciiTheme="minorHAnsi" w:eastAsiaTheme="minorEastAsia" w:hAnsiTheme="minorHAnsi"/>
          <w:noProof/>
          <w:sz w:val="22"/>
          <w:lang w:bidi="he-IL"/>
        </w:rPr>
      </w:pPr>
      <w:hyperlink w:anchor="_Toc523152230" w:history="1">
        <w:r w:rsidRPr="00AD3623">
          <w:rPr>
            <w:rStyle w:val="Hyperlink"/>
            <w:noProof/>
          </w:rPr>
          <w:t>3.</w:t>
        </w:r>
        <w:r>
          <w:rPr>
            <w:rFonts w:asciiTheme="minorHAnsi" w:eastAsiaTheme="minorEastAsia" w:hAnsiTheme="minorHAnsi"/>
            <w:noProof/>
            <w:sz w:val="22"/>
            <w:lang w:bidi="he-IL"/>
          </w:rPr>
          <w:tab/>
        </w:r>
        <w:r w:rsidRPr="00AD3623">
          <w:rPr>
            <w:rStyle w:val="Hyperlink"/>
            <w:noProof/>
          </w:rPr>
          <w:t>The PUCO should give no weight to Mr. Hess’s testimony because he ignored the changes that the Settlement made to the Staff Report.</w:t>
        </w:r>
        <w:r>
          <w:rPr>
            <w:noProof/>
            <w:webHidden/>
          </w:rPr>
          <w:tab/>
        </w:r>
        <w:r>
          <w:rPr>
            <w:noProof/>
            <w:webHidden/>
          </w:rPr>
          <w:fldChar w:fldCharType="begin"/>
        </w:r>
        <w:r>
          <w:rPr>
            <w:noProof/>
            <w:webHidden/>
          </w:rPr>
          <w:instrText xml:space="preserve"> PAGEREF _Toc523152230 \h </w:instrText>
        </w:r>
        <w:r>
          <w:rPr>
            <w:noProof/>
            <w:webHidden/>
          </w:rPr>
        </w:r>
        <w:r>
          <w:rPr>
            <w:noProof/>
            <w:webHidden/>
          </w:rPr>
          <w:fldChar w:fldCharType="separate"/>
        </w:r>
        <w:r>
          <w:rPr>
            <w:noProof/>
            <w:webHidden/>
          </w:rPr>
          <w:t>6</w:t>
        </w:r>
        <w:r>
          <w:rPr>
            <w:noProof/>
            <w:webHidden/>
          </w:rPr>
          <w:fldChar w:fldCharType="end"/>
        </w:r>
      </w:hyperlink>
    </w:p>
    <w:p w:rsidR="00740211" w:rsidRDefault="008C00D8">
      <w:pPr>
        <w:pStyle w:val="TOC3"/>
        <w:tabs>
          <w:tab w:val="left" w:pos="2160"/>
        </w:tabs>
        <w:rPr>
          <w:rFonts w:asciiTheme="minorHAnsi" w:eastAsiaTheme="minorEastAsia" w:hAnsiTheme="minorHAnsi"/>
          <w:noProof/>
          <w:sz w:val="22"/>
          <w:lang w:bidi="he-IL"/>
        </w:rPr>
      </w:pPr>
      <w:hyperlink w:anchor="_Toc523152231" w:history="1">
        <w:r w:rsidRPr="00AD3623">
          <w:rPr>
            <w:rStyle w:val="Hyperlink"/>
            <w:noProof/>
          </w:rPr>
          <w:t>4.</w:t>
        </w:r>
        <w:r>
          <w:rPr>
            <w:rFonts w:asciiTheme="minorHAnsi" w:eastAsiaTheme="minorEastAsia" w:hAnsiTheme="minorHAnsi"/>
            <w:noProof/>
            <w:sz w:val="22"/>
            <w:lang w:bidi="he-IL"/>
          </w:rPr>
          <w:tab/>
        </w:r>
        <w:r w:rsidRPr="00AD3623">
          <w:rPr>
            <w:rStyle w:val="Hyperlink"/>
            <w:noProof/>
          </w:rPr>
          <w:t>The errors in Mr. Hess’s testimony make it unreliable.</w:t>
        </w:r>
        <w:r>
          <w:rPr>
            <w:noProof/>
            <w:webHidden/>
          </w:rPr>
          <w:tab/>
        </w:r>
        <w:r>
          <w:rPr>
            <w:noProof/>
            <w:webHidden/>
          </w:rPr>
          <w:fldChar w:fldCharType="begin"/>
        </w:r>
        <w:r>
          <w:rPr>
            <w:noProof/>
            <w:webHidden/>
          </w:rPr>
          <w:instrText xml:space="preserve"> PAGEREF _Toc523152231 \h </w:instrText>
        </w:r>
        <w:r>
          <w:rPr>
            <w:noProof/>
            <w:webHidden/>
          </w:rPr>
        </w:r>
        <w:r>
          <w:rPr>
            <w:noProof/>
            <w:webHidden/>
          </w:rPr>
          <w:fldChar w:fldCharType="separate"/>
        </w:r>
        <w:r>
          <w:rPr>
            <w:noProof/>
            <w:webHidden/>
          </w:rPr>
          <w:t>8</w:t>
        </w:r>
        <w:r>
          <w:rPr>
            <w:noProof/>
            <w:webHidden/>
          </w:rPr>
          <w:fldChar w:fldCharType="end"/>
        </w:r>
      </w:hyperlink>
    </w:p>
    <w:p w:rsidR="00740211" w:rsidRDefault="008C00D8">
      <w:pPr>
        <w:pStyle w:val="TOC3"/>
        <w:tabs>
          <w:tab w:val="left" w:pos="2160"/>
        </w:tabs>
        <w:rPr>
          <w:rFonts w:asciiTheme="minorHAnsi" w:eastAsiaTheme="minorEastAsia" w:hAnsiTheme="minorHAnsi"/>
          <w:noProof/>
          <w:sz w:val="22"/>
          <w:lang w:bidi="he-IL"/>
        </w:rPr>
      </w:pPr>
      <w:hyperlink w:anchor="_Toc523152232" w:history="1">
        <w:r w:rsidRPr="00AD3623">
          <w:rPr>
            <w:rStyle w:val="Hyperlink"/>
            <w:noProof/>
          </w:rPr>
          <w:t>5.</w:t>
        </w:r>
        <w:r>
          <w:rPr>
            <w:rFonts w:asciiTheme="minorHAnsi" w:eastAsiaTheme="minorEastAsia" w:hAnsiTheme="minorHAnsi"/>
            <w:noProof/>
            <w:sz w:val="22"/>
            <w:lang w:bidi="he-IL"/>
          </w:rPr>
          <w:tab/>
        </w:r>
        <w:r w:rsidRPr="00AD3623">
          <w:rPr>
            <w:rStyle w:val="Hyperlink"/>
            <w:noProof/>
          </w:rPr>
          <w:t>The Marketers’ proposal would</w:t>
        </w:r>
        <w:r w:rsidRPr="00AD3623">
          <w:rPr>
            <w:rStyle w:val="Hyperlink"/>
            <w:noProof/>
          </w:rPr>
          <w:t xml:space="preserve"> cause residential customers to pay cross subsidies.</w:t>
        </w:r>
        <w:r>
          <w:rPr>
            <w:noProof/>
            <w:webHidden/>
          </w:rPr>
          <w:tab/>
        </w:r>
        <w:r>
          <w:rPr>
            <w:noProof/>
            <w:webHidden/>
          </w:rPr>
          <w:fldChar w:fldCharType="begin"/>
        </w:r>
        <w:r>
          <w:rPr>
            <w:noProof/>
            <w:webHidden/>
          </w:rPr>
          <w:instrText xml:space="preserve"> PAGEREF _Toc523152232 \h </w:instrText>
        </w:r>
        <w:r>
          <w:rPr>
            <w:noProof/>
            <w:webHidden/>
          </w:rPr>
        </w:r>
        <w:r>
          <w:rPr>
            <w:noProof/>
            <w:webHidden/>
          </w:rPr>
          <w:fldChar w:fldCharType="separate"/>
        </w:r>
        <w:r>
          <w:rPr>
            <w:noProof/>
            <w:webHidden/>
          </w:rPr>
          <w:t>9</w:t>
        </w:r>
        <w:r>
          <w:rPr>
            <w:noProof/>
            <w:webHidden/>
          </w:rPr>
          <w:fldChar w:fldCharType="end"/>
        </w:r>
      </w:hyperlink>
    </w:p>
    <w:p w:rsidR="00740211" w:rsidRDefault="008C00D8">
      <w:pPr>
        <w:pStyle w:val="TOC3"/>
        <w:tabs>
          <w:tab w:val="left" w:pos="2160"/>
        </w:tabs>
        <w:rPr>
          <w:rFonts w:asciiTheme="minorHAnsi" w:eastAsiaTheme="minorEastAsia" w:hAnsiTheme="minorHAnsi"/>
          <w:noProof/>
          <w:sz w:val="22"/>
          <w:lang w:bidi="he-IL"/>
        </w:rPr>
      </w:pPr>
      <w:hyperlink w:anchor="_Toc523152233" w:history="1">
        <w:r w:rsidRPr="00AD3623">
          <w:rPr>
            <w:rStyle w:val="Hyperlink"/>
            <w:noProof/>
          </w:rPr>
          <w:t>6.</w:t>
        </w:r>
        <w:r>
          <w:rPr>
            <w:rFonts w:asciiTheme="minorHAnsi" w:eastAsiaTheme="minorEastAsia" w:hAnsiTheme="minorHAnsi"/>
            <w:noProof/>
            <w:sz w:val="22"/>
            <w:lang w:bidi="he-IL"/>
          </w:rPr>
          <w:tab/>
        </w:r>
        <w:r w:rsidRPr="00AD3623">
          <w:rPr>
            <w:rStyle w:val="Hyperlink"/>
            <w:noProof/>
          </w:rPr>
          <w:t>Mr. Hess unreasonably assumed that some distribution costs should be bo</w:t>
        </w:r>
        <w:r w:rsidRPr="00AD3623">
          <w:rPr>
            <w:rStyle w:val="Hyperlink"/>
            <w:noProof/>
          </w:rPr>
          <w:t>rne exclusively by SSO customers but that zero distribution costs should be borne exclusively by shopping customers.</w:t>
        </w:r>
        <w:r>
          <w:rPr>
            <w:noProof/>
            <w:webHidden/>
          </w:rPr>
          <w:tab/>
        </w:r>
        <w:r>
          <w:rPr>
            <w:noProof/>
            <w:webHidden/>
          </w:rPr>
          <w:fldChar w:fldCharType="begin"/>
        </w:r>
        <w:r>
          <w:rPr>
            <w:noProof/>
            <w:webHidden/>
          </w:rPr>
          <w:instrText xml:space="preserve"> PAGEREF _Toc523152233 \h </w:instrText>
        </w:r>
        <w:r>
          <w:rPr>
            <w:noProof/>
            <w:webHidden/>
          </w:rPr>
        </w:r>
        <w:r>
          <w:rPr>
            <w:noProof/>
            <w:webHidden/>
          </w:rPr>
          <w:fldChar w:fldCharType="separate"/>
        </w:r>
        <w:r>
          <w:rPr>
            <w:noProof/>
            <w:webHidden/>
          </w:rPr>
          <w:t>10</w:t>
        </w:r>
        <w:r>
          <w:rPr>
            <w:noProof/>
            <w:webHidden/>
          </w:rPr>
          <w:fldChar w:fldCharType="end"/>
        </w:r>
      </w:hyperlink>
    </w:p>
    <w:p w:rsidR="00740211" w:rsidRDefault="008C00D8">
      <w:pPr>
        <w:pStyle w:val="TOC2"/>
        <w:tabs>
          <w:tab w:val="left" w:pos="1440"/>
        </w:tabs>
        <w:rPr>
          <w:rFonts w:asciiTheme="minorHAnsi" w:eastAsiaTheme="minorEastAsia" w:hAnsiTheme="minorHAnsi"/>
          <w:noProof/>
          <w:sz w:val="22"/>
          <w:lang w:bidi="he-IL"/>
        </w:rPr>
      </w:pPr>
      <w:hyperlink w:anchor="_Toc523152234" w:history="1">
        <w:r w:rsidRPr="00AD3623">
          <w:rPr>
            <w:rStyle w:val="Hyperlink"/>
            <w:noProof/>
          </w:rPr>
          <w:t>B.</w:t>
        </w:r>
        <w:r>
          <w:rPr>
            <w:rFonts w:asciiTheme="minorHAnsi" w:eastAsiaTheme="minorEastAsia" w:hAnsiTheme="minorHAnsi"/>
            <w:noProof/>
            <w:sz w:val="22"/>
            <w:lang w:bidi="he-IL"/>
          </w:rPr>
          <w:tab/>
        </w:r>
        <w:r w:rsidRPr="00AD3623">
          <w:rPr>
            <w:rStyle w:val="Hyperlink"/>
            <w:noProof/>
          </w:rPr>
          <w:t>The Set</w:t>
        </w:r>
        <w:r w:rsidRPr="00AD3623">
          <w:rPr>
            <w:rStyle w:val="Hyperlink"/>
            <w:noProof/>
          </w:rPr>
          <w:t>tlement does not result in DP&amp;L charging customers for competitive services through non-competitive distribution rates.</w:t>
        </w:r>
        <w:r>
          <w:rPr>
            <w:noProof/>
            <w:webHidden/>
          </w:rPr>
          <w:tab/>
        </w:r>
        <w:r>
          <w:rPr>
            <w:noProof/>
            <w:webHidden/>
          </w:rPr>
          <w:fldChar w:fldCharType="begin"/>
        </w:r>
        <w:r>
          <w:rPr>
            <w:noProof/>
            <w:webHidden/>
          </w:rPr>
          <w:instrText xml:space="preserve"> PAGEREF _Toc523152234 \h </w:instrText>
        </w:r>
        <w:r>
          <w:rPr>
            <w:noProof/>
            <w:webHidden/>
          </w:rPr>
        </w:r>
        <w:r>
          <w:rPr>
            <w:noProof/>
            <w:webHidden/>
          </w:rPr>
          <w:fldChar w:fldCharType="separate"/>
        </w:r>
        <w:r>
          <w:rPr>
            <w:noProof/>
            <w:webHidden/>
          </w:rPr>
          <w:t>12</w:t>
        </w:r>
        <w:r>
          <w:rPr>
            <w:noProof/>
            <w:webHidden/>
          </w:rPr>
          <w:fldChar w:fldCharType="end"/>
        </w:r>
      </w:hyperlink>
    </w:p>
    <w:p w:rsidR="00740211" w:rsidRDefault="008C00D8">
      <w:pPr>
        <w:pStyle w:val="TOC2"/>
        <w:tabs>
          <w:tab w:val="left" w:pos="1440"/>
        </w:tabs>
        <w:rPr>
          <w:rFonts w:asciiTheme="minorHAnsi" w:eastAsiaTheme="minorEastAsia" w:hAnsiTheme="minorHAnsi"/>
          <w:noProof/>
          <w:sz w:val="22"/>
          <w:lang w:bidi="he-IL"/>
        </w:rPr>
      </w:pPr>
      <w:hyperlink w:anchor="_Toc523152235" w:history="1">
        <w:r w:rsidRPr="00AD3623">
          <w:rPr>
            <w:rStyle w:val="Hyperlink"/>
            <w:noProof/>
          </w:rPr>
          <w:t>C.</w:t>
        </w:r>
        <w:r>
          <w:rPr>
            <w:rFonts w:asciiTheme="minorHAnsi" w:eastAsiaTheme="minorEastAsia" w:hAnsiTheme="minorHAnsi"/>
            <w:noProof/>
            <w:sz w:val="22"/>
            <w:lang w:bidi="he-IL"/>
          </w:rPr>
          <w:tab/>
        </w:r>
        <w:r w:rsidRPr="00AD3623">
          <w:rPr>
            <w:rStyle w:val="Hyperlink"/>
            <w:noProof/>
          </w:rPr>
          <w:t>R.C. 4928.143(B)(2)(g) does not require the PUCO to adopt the Marketers’ proposal to increase costs to SSO customers.</w:t>
        </w:r>
        <w:r>
          <w:rPr>
            <w:noProof/>
            <w:webHidden/>
          </w:rPr>
          <w:tab/>
        </w:r>
        <w:r>
          <w:rPr>
            <w:noProof/>
            <w:webHidden/>
          </w:rPr>
          <w:fldChar w:fldCharType="begin"/>
        </w:r>
        <w:r>
          <w:rPr>
            <w:noProof/>
            <w:webHidden/>
          </w:rPr>
          <w:instrText xml:space="preserve"> PAGEREF _Toc523152235 \h </w:instrText>
        </w:r>
        <w:r>
          <w:rPr>
            <w:noProof/>
            <w:webHidden/>
          </w:rPr>
        </w:r>
        <w:r>
          <w:rPr>
            <w:noProof/>
            <w:webHidden/>
          </w:rPr>
          <w:fldChar w:fldCharType="separate"/>
        </w:r>
        <w:r>
          <w:rPr>
            <w:noProof/>
            <w:webHidden/>
          </w:rPr>
          <w:t>13</w:t>
        </w:r>
        <w:r>
          <w:rPr>
            <w:noProof/>
            <w:webHidden/>
          </w:rPr>
          <w:fldChar w:fldCharType="end"/>
        </w:r>
      </w:hyperlink>
    </w:p>
    <w:p w:rsidR="00740211" w:rsidRDefault="008C00D8">
      <w:pPr>
        <w:pStyle w:val="TOC2"/>
        <w:tabs>
          <w:tab w:val="left" w:pos="1440"/>
        </w:tabs>
        <w:rPr>
          <w:rFonts w:asciiTheme="minorHAnsi" w:eastAsiaTheme="minorEastAsia" w:hAnsiTheme="minorHAnsi"/>
          <w:noProof/>
          <w:sz w:val="22"/>
          <w:lang w:bidi="he-IL"/>
        </w:rPr>
      </w:pPr>
      <w:hyperlink w:anchor="_Toc523152236" w:history="1">
        <w:r w:rsidRPr="00AD3623">
          <w:rPr>
            <w:rStyle w:val="Hyperlink"/>
            <w:noProof/>
          </w:rPr>
          <w:t>D.</w:t>
        </w:r>
        <w:r>
          <w:rPr>
            <w:rFonts w:asciiTheme="minorHAnsi" w:eastAsiaTheme="minorEastAsia" w:hAnsiTheme="minorHAnsi"/>
            <w:noProof/>
            <w:sz w:val="22"/>
            <w:lang w:bidi="he-IL"/>
          </w:rPr>
          <w:tab/>
        </w:r>
        <w:r w:rsidRPr="00AD3623">
          <w:rPr>
            <w:rStyle w:val="Hyperlink"/>
            <w:noProof/>
          </w:rPr>
          <w:t>State</w:t>
        </w:r>
        <w:r w:rsidRPr="00AD3623">
          <w:rPr>
            <w:rStyle w:val="Hyperlink"/>
            <w:noProof/>
          </w:rPr>
          <w:t xml:space="preserve"> policies under R.C. 4928.02 support approval of the Settlement, not the Marketers’ proposal to increase costs to SSO customers.</w:t>
        </w:r>
        <w:r>
          <w:rPr>
            <w:noProof/>
            <w:webHidden/>
          </w:rPr>
          <w:tab/>
        </w:r>
        <w:r>
          <w:rPr>
            <w:noProof/>
            <w:webHidden/>
          </w:rPr>
          <w:fldChar w:fldCharType="begin"/>
        </w:r>
        <w:r>
          <w:rPr>
            <w:noProof/>
            <w:webHidden/>
          </w:rPr>
          <w:instrText xml:space="preserve"> PAGEREF _Toc523152236 \h </w:instrText>
        </w:r>
        <w:r>
          <w:rPr>
            <w:noProof/>
            <w:webHidden/>
          </w:rPr>
        </w:r>
        <w:r>
          <w:rPr>
            <w:noProof/>
            <w:webHidden/>
          </w:rPr>
          <w:fldChar w:fldCharType="separate"/>
        </w:r>
        <w:r>
          <w:rPr>
            <w:noProof/>
            <w:webHidden/>
          </w:rPr>
          <w:t>14</w:t>
        </w:r>
        <w:r>
          <w:rPr>
            <w:noProof/>
            <w:webHidden/>
          </w:rPr>
          <w:fldChar w:fldCharType="end"/>
        </w:r>
      </w:hyperlink>
    </w:p>
    <w:p w:rsidR="00740211" w:rsidRDefault="008C00D8">
      <w:pPr>
        <w:pStyle w:val="TOC1"/>
        <w:rPr>
          <w:rFonts w:asciiTheme="minorHAnsi" w:eastAsiaTheme="minorEastAsia" w:hAnsiTheme="minorHAnsi" w:cstheme="minorBidi"/>
          <w:caps w:val="0"/>
          <w:noProof/>
          <w:sz w:val="22"/>
          <w:szCs w:val="22"/>
          <w:lang w:bidi="he-IL"/>
        </w:rPr>
      </w:pPr>
      <w:hyperlink w:anchor="_Toc523152237" w:history="1">
        <w:r w:rsidRPr="00AD3623">
          <w:rPr>
            <w:rStyle w:val="Hyperlink"/>
            <w:noProof/>
          </w:rPr>
          <w:t>II.</w:t>
        </w:r>
        <w:r>
          <w:rPr>
            <w:rFonts w:asciiTheme="minorHAnsi" w:eastAsiaTheme="minorEastAsia" w:hAnsiTheme="minorHAnsi" w:cstheme="minorBidi"/>
            <w:caps w:val="0"/>
            <w:noProof/>
            <w:sz w:val="22"/>
            <w:szCs w:val="22"/>
            <w:lang w:bidi="he-IL"/>
          </w:rPr>
          <w:tab/>
        </w:r>
        <w:r w:rsidRPr="00AD3623">
          <w:rPr>
            <w:rStyle w:val="Hyperlink"/>
            <w:noProof/>
          </w:rPr>
          <w:t>CONCLUSION</w:t>
        </w:r>
        <w:r>
          <w:rPr>
            <w:noProof/>
            <w:webHidden/>
          </w:rPr>
          <w:tab/>
        </w:r>
        <w:r>
          <w:rPr>
            <w:noProof/>
            <w:webHidden/>
          </w:rPr>
          <w:fldChar w:fldCharType="begin"/>
        </w:r>
        <w:r>
          <w:rPr>
            <w:noProof/>
            <w:webHidden/>
          </w:rPr>
          <w:instrText xml:space="preserve"> PAGEREF _Toc523152237 \h </w:instrText>
        </w:r>
        <w:r>
          <w:rPr>
            <w:noProof/>
            <w:webHidden/>
          </w:rPr>
        </w:r>
        <w:r>
          <w:rPr>
            <w:noProof/>
            <w:webHidden/>
          </w:rPr>
          <w:fldChar w:fldCharType="separate"/>
        </w:r>
        <w:r>
          <w:rPr>
            <w:noProof/>
            <w:webHidden/>
          </w:rPr>
          <w:t>15</w:t>
        </w:r>
        <w:r>
          <w:rPr>
            <w:noProof/>
            <w:webHidden/>
          </w:rPr>
          <w:fldChar w:fldCharType="end"/>
        </w:r>
      </w:hyperlink>
    </w:p>
    <w:p w:rsidR="00517B28" w:rsidRPr="0070059A" w:rsidRDefault="008C00D8" w:rsidP="00517B28">
      <w:pPr>
        <w:rPr>
          <w:rFonts w:eastAsiaTheme="minorEastAsia" w:cs="Times New Roman"/>
          <w:szCs w:val="24"/>
        </w:rPr>
        <w:sectPr w:rsidR="00517B28" w:rsidRPr="0070059A" w:rsidSect="00517B28">
          <w:headerReference w:type="default" r:id="rId7"/>
          <w:footerReference w:type="default" r:id="rId8"/>
          <w:pgSz w:w="12240" w:h="15840"/>
          <w:pgMar w:top="1440" w:right="1800" w:bottom="1440" w:left="1800" w:header="720" w:footer="720" w:gutter="0"/>
          <w:pgNumType w:fmt="lowerRoman" w:start="1"/>
          <w:cols w:space="720"/>
          <w:docGrid w:linePitch="360"/>
        </w:sectPr>
      </w:pPr>
      <w:r>
        <w:rPr>
          <w:rFonts w:eastAsiaTheme="minorEastAsia" w:cs="Times New Roman"/>
          <w:caps/>
          <w:szCs w:val="24"/>
        </w:rPr>
        <w:fldChar w:fldCharType="end"/>
      </w:r>
    </w:p>
    <w:p w:rsidR="00517B28" w:rsidRPr="0070059A" w:rsidRDefault="008C00D8" w:rsidP="00517B28">
      <w:pPr>
        <w:spacing w:after="0" w:line="240" w:lineRule="auto"/>
        <w:jc w:val="center"/>
        <w:rPr>
          <w:rFonts w:cs="Times New Roman"/>
          <w:b/>
          <w:szCs w:val="24"/>
        </w:rPr>
      </w:pPr>
      <w:r w:rsidRPr="0070059A">
        <w:rPr>
          <w:rFonts w:cs="Times New Roman"/>
          <w:b/>
          <w:szCs w:val="24"/>
        </w:rPr>
        <w:lastRenderedPageBreak/>
        <w:t>BEFORE</w:t>
      </w:r>
    </w:p>
    <w:p w:rsidR="00517B28" w:rsidRPr="0070059A" w:rsidRDefault="008C00D8" w:rsidP="00517B28">
      <w:pPr>
        <w:spacing w:after="0" w:line="240" w:lineRule="auto"/>
        <w:jc w:val="center"/>
        <w:rPr>
          <w:rFonts w:cs="Times New Roman"/>
          <w:b/>
          <w:szCs w:val="24"/>
        </w:rPr>
      </w:pPr>
      <w:r w:rsidRPr="0070059A">
        <w:rPr>
          <w:rFonts w:cs="Times New Roman"/>
          <w:b/>
          <w:szCs w:val="24"/>
        </w:rPr>
        <w:t xml:space="preserve">THE </w:t>
      </w:r>
      <w:r w:rsidRPr="0070059A">
        <w:rPr>
          <w:rFonts w:cs="Times New Roman"/>
          <w:b/>
          <w:szCs w:val="24"/>
        </w:rPr>
        <w:t>PUBLIC UTILITIES COMMISSION OF OHIO</w:t>
      </w:r>
    </w:p>
    <w:p w:rsidR="00517B28" w:rsidRPr="0070059A" w:rsidRDefault="008C00D8" w:rsidP="00517B28">
      <w:pPr>
        <w:spacing w:after="0" w:line="240" w:lineRule="auto"/>
        <w:jc w:val="center"/>
        <w:rPr>
          <w:rFonts w:cs="Times New Roman"/>
          <w:b/>
          <w:szCs w:val="24"/>
        </w:rPr>
      </w:pPr>
    </w:p>
    <w:tbl>
      <w:tblPr>
        <w:tblW w:w="10358" w:type="dxa"/>
        <w:tblLook w:val="01E0" w:firstRow="1" w:lastRow="1" w:firstColumn="1" w:lastColumn="1" w:noHBand="0" w:noVBand="0"/>
      </w:tblPr>
      <w:tblGrid>
        <w:gridCol w:w="5238"/>
        <w:gridCol w:w="480"/>
        <w:gridCol w:w="4640"/>
      </w:tblGrid>
      <w:tr w:rsidR="007A6222" w:rsidTr="00517B28">
        <w:trPr>
          <w:trHeight w:val="807"/>
        </w:trPr>
        <w:tc>
          <w:tcPr>
            <w:tcW w:w="5238" w:type="dxa"/>
            <w:shd w:val="clear" w:color="auto" w:fill="auto"/>
          </w:tcPr>
          <w:p w:rsidR="00517B28" w:rsidRPr="0070059A" w:rsidRDefault="008C00D8" w:rsidP="00517B28">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an Increase in Electric Distribution Rates.</w:t>
            </w: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Approval to Change Accou</w:t>
            </w:r>
            <w:r w:rsidRPr="0070059A">
              <w:rPr>
                <w:rFonts w:cs="Times New Roman"/>
                <w:szCs w:val="24"/>
              </w:rPr>
              <w:t>nting Methods.</w:t>
            </w: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Tariff Approval.</w:t>
            </w:r>
          </w:p>
        </w:tc>
        <w:tc>
          <w:tcPr>
            <w:tcW w:w="480" w:type="dxa"/>
            <w:shd w:val="clear" w:color="auto" w:fill="auto"/>
          </w:tcPr>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17B28" w:rsidRPr="0070059A" w:rsidRDefault="008C00D8" w:rsidP="00517B28">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tc>
        <w:tc>
          <w:tcPr>
            <w:tcW w:w="4640" w:type="dxa"/>
            <w:shd w:val="clear" w:color="auto" w:fill="auto"/>
          </w:tcPr>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r w:rsidRPr="0070059A">
              <w:rPr>
                <w:rFonts w:cs="Times New Roman"/>
                <w:szCs w:val="24"/>
              </w:rPr>
              <w:t>Case No. 15-1830-EL-AIR</w:t>
            </w: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p>
          <w:p w:rsidR="00517B28" w:rsidRPr="0070059A" w:rsidRDefault="008C00D8" w:rsidP="00517B28">
            <w:pPr>
              <w:autoSpaceDE w:val="0"/>
              <w:autoSpaceDN w:val="0"/>
              <w:adjustRightInd w:val="0"/>
              <w:spacing w:after="0" w:line="240" w:lineRule="auto"/>
              <w:rPr>
                <w:rFonts w:cs="Times New Roman"/>
                <w:szCs w:val="24"/>
              </w:rPr>
            </w:pPr>
            <w:r w:rsidRPr="0070059A">
              <w:rPr>
                <w:rFonts w:cs="Times New Roman"/>
                <w:szCs w:val="24"/>
              </w:rPr>
              <w:t>Case No. 15-1831-EL-AAM</w:t>
            </w:r>
          </w:p>
          <w:p w:rsidR="00517B28" w:rsidRPr="0070059A" w:rsidRDefault="008C00D8" w:rsidP="00517B28">
            <w:pPr>
              <w:spacing w:after="0" w:line="240" w:lineRule="auto"/>
              <w:rPr>
                <w:rFonts w:cs="Times New Roman"/>
                <w:szCs w:val="24"/>
              </w:rPr>
            </w:pPr>
          </w:p>
          <w:p w:rsidR="00517B28" w:rsidRPr="0070059A" w:rsidRDefault="008C00D8" w:rsidP="00517B28">
            <w:pPr>
              <w:spacing w:after="0" w:line="240" w:lineRule="auto"/>
              <w:rPr>
                <w:rFonts w:cs="Times New Roman"/>
                <w:szCs w:val="24"/>
              </w:rPr>
            </w:pPr>
          </w:p>
          <w:p w:rsidR="00517B28" w:rsidRPr="0070059A" w:rsidRDefault="008C00D8" w:rsidP="00517B28">
            <w:pPr>
              <w:spacing w:after="0" w:line="240" w:lineRule="auto"/>
              <w:rPr>
                <w:rFonts w:cs="Times New Roman"/>
                <w:szCs w:val="24"/>
              </w:rPr>
            </w:pPr>
            <w:r w:rsidRPr="0070059A">
              <w:rPr>
                <w:rFonts w:cs="Times New Roman"/>
                <w:szCs w:val="24"/>
              </w:rPr>
              <w:t>Case No. 15-1832-EL-ATA</w:t>
            </w:r>
          </w:p>
          <w:p w:rsidR="00517B28" w:rsidRPr="0070059A" w:rsidRDefault="008C00D8" w:rsidP="00517B28">
            <w:pPr>
              <w:pStyle w:val="HTMLPreformatted"/>
              <w:rPr>
                <w:rFonts w:ascii="Times New Roman" w:hAnsi="Times New Roman" w:cs="Times New Roman"/>
                <w:sz w:val="24"/>
                <w:szCs w:val="24"/>
              </w:rPr>
            </w:pPr>
          </w:p>
        </w:tc>
      </w:tr>
    </w:tbl>
    <w:p w:rsidR="00517B28" w:rsidRPr="0070059A" w:rsidRDefault="008C00D8" w:rsidP="00517B28">
      <w:pPr>
        <w:keepNext/>
        <w:pBdr>
          <w:bottom w:val="single" w:sz="12" w:space="1" w:color="auto"/>
        </w:pBdr>
        <w:spacing w:after="0"/>
        <w:ind w:left="720" w:hanging="720"/>
        <w:outlineLvl w:val="0"/>
        <w:rPr>
          <w:rFonts w:cs="Times New Roman"/>
          <w:b/>
          <w:caps/>
          <w:szCs w:val="24"/>
        </w:rPr>
      </w:pPr>
    </w:p>
    <w:p w:rsidR="00517B28" w:rsidRPr="0070059A" w:rsidRDefault="008C00D8" w:rsidP="00517B28">
      <w:pPr>
        <w:pStyle w:val="HTMLPreformatted"/>
        <w:rPr>
          <w:rFonts w:ascii="Times New Roman" w:hAnsi="Times New Roman" w:cs="Times New Roman"/>
          <w:b/>
          <w:bCs/>
          <w:i/>
          <w:sz w:val="24"/>
          <w:szCs w:val="24"/>
        </w:rPr>
      </w:pPr>
    </w:p>
    <w:p w:rsidR="00517B28" w:rsidRPr="0070059A" w:rsidRDefault="008C00D8" w:rsidP="00517B28">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REPLY</w:t>
      </w:r>
      <w:r>
        <w:rPr>
          <w:rFonts w:ascii="Times New Roman" w:hAnsi="Times New Roman" w:cs="Times New Roman"/>
          <w:b/>
          <w:bCs/>
          <w:sz w:val="24"/>
          <w:szCs w:val="24"/>
        </w:rPr>
        <w:t xml:space="preserve"> BRIEF</w:t>
      </w:r>
    </w:p>
    <w:p w:rsidR="00517B28" w:rsidRPr="0070059A" w:rsidRDefault="008C00D8" w:rsidP="00517B28">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BY</w:t>
      </w:r>
    </w:p>
    <w:p w:rsidR="00517B28" w:rsidRPr="0070059A" w:rsidRDefault="008C00D8" w:rsidP="00517B28">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THE OFFICE OF THE OHIO CONSUMERS</w:t>
      </w:r>
      <w:r>
        <w:rPr>
          <w:rFonts w:ascii="Times New Roman" w:hAnsi="Times New Roman" w:cs="Times New Roman"/>
          <w:b/>
          <w:bCs/>
          <w:sz w:val="24"/>
          <w:szCs w:val="24"/>
        </w:rPr>
        <w:t>’</w:t>
      </w:r>
      <w:r w:rsidRPr="0070059A">
        <w:rPr>
          <w:rFonts w:ascii="Times New Roman" w:hAnsi="Times New Roman" w:cs="Times New Roman"/>
          <w:b/>
          <w:bCs/>
          <w:sz w:val="24"/>
          <w:szCs w:val="24"/>
        </w:rPr>
        <w:t xml:space="preserve"> COUNSEL</w:t>
      </w:r>
    </w:p>
    <w:p w:rsidR="00517B28" w:rsidRPr="0070059A" w:rsidRDefault="008C00D8" w:rsidP="00517B28">
      <w:pPr>
        <w:pStyle w:val="HTMLPreformatted"/>
        <w:pBdr>
          <w:bottom w:val="single" w:sz="12" w:space="1" w:color="auto"/>
        </w:pBdr>
        <w:jc w:val="center"/>
        <w:rPr>
          <w:rFonts w:ascii="Times New Roman" w:hAnsi="Times New Roman" w:cs="Times New Roman"/>
          <w:b/>
          <w:bCs/>
          <w:sz w:val="24"/>
          <w:szCs w:val="24"/>
        </w:rPr>
      </w:pPr>
    </w:p>
    <w:p w:rsidR="00762D16" w:rsidRDefault="008C00D8" w:rsidP="006069AC">
      <w:pPr>
        <w:spacing w:before="240" w:after="0" w:line="480" w:lineRule="auto"/>
        <w:ind w:firstLine="720"/>
        <w:rPr>
          <w:rFonts w:cs="Times New Roman"/>
          <w:szCs w:val="24"/>
        </w:rPr>
      </w:pPr>
      <w:r>
        <w:rPr>
          <w:rFonts w:cs="Times New Roman"/>
          <w:szCs w:val="24"/>
        </w:rPr>
        <w:t xml:space="preserve">Marketers (the </w:t>
      </w:r>
      <w:r>
        <w:rPr>
          <w:rFonts w:cs="Times New Roman"/>
          <w:szCs w:val="24"/>
        </w:rPr>
        <w:t>Retail Energy Supply Association and IGS Energy</w:t>
      </w:r>
      <w:r>
        <w:rPr>
          <w:rFonts w:cs="Times New Roman"/>
          <w:szCs w:val="24"/>
        </w:rPr>
        <w:t>)</w:t>
      </w:r>
      <w:r>
        <w:rPr>
          <w:rFonts w:cs="Times New Roman"/>
          <w:szCs w:val="24"/>
        </w:rPr>
        <w:t xml:space="preserve"> want to increase</w:t>
      </w:r>
      <w:r>
        <w:rPr>
          <w:rFonts w:cs="Times New Roman"/>
          <w:szCs w:val="24"/>
        </w:rPr>
        <w:t xml:space="preserve"> what consumers pay to DP&amp;L if those consumers do not switch their electric generation service to marke</w:t>
      </w:r>
      <w:r w:rsidRPr="0038179E">
        <w:rPr>
          <w:rFonts w:cs="Times New Roman"/>
          <w:szCs w:val="24"/>
        </w:rPr>
        <w:t xml:space="preserve">ters. </w:t>
      </w:r>
      <w:r>
        <w:rPr>
          <w:rFonts w:cs="Times New Roman"/>
          <w:szCs w:val="24"/>
        </w:rPr>
        <w:t>B</w:t>
      </w:r>
      <w:r w:rsidRPr="0038179E">
        <w:rPr>
          <w:rFonts w:cs="Times New Roman"/>
          <w:szCs w:val="24"/>
        </w:rPr>
        <w:t>ad idea.</w:t>
      </w:r>
      <w:r>
        <w:rPr>
          <w:rFonts w:cs="Times New Roman"/>
          <w:szCs w:val="24"/>
        </w:rPr>
        <w:t xml:space="preserve"> </w:t>
      </w:r>
      <w:r>
        <w:rPr>
          <w:rFonts w:cs="Times New Roman"/>
          <w:szCs w:val="24"/>
        </w:rPr>
        <w:t xml:space="preserve">The Marketers’ scheme is the latest version of </w:t>
      </w:r>
      <w:r>
        <w:rPr>
          <w:rFonts w:cs="Times New Roman"/>
          <w:szCs w:val="24"/>
        </w:rPr>
        <w:t>their regulatory offensive against energy utilities’ standard offers</w:t>
      </w:r>
      <w:r>
        <w:rPr>
          <w:rFonts w:cs="Times New Roman"/>
          <w:szCs w:val="24"/>
        </w:rPr>
        <w:t>—</w:t>
      </w:r>
      <w:r>
        <w:rPr>
          <w:rFonts w:cs="Times New Roman"/>
          <w:szCs w:val="24"/>
        </w:rPr>
        <w:t>and against Ohio consumers</w:t>
      </w:r>
      <w:r>
        <w:rPr>
          <w:rFonts w:cs="Times New Roman"/>
          <w:szCs w:val="24"/>
        </w:rPr>
        <w:t xml:space="preserve"> who benefit from the standard offer</w:t>
      </w:r>
      <w:r>
        <w:rPr>
          <w:rFonts w:cs="Times New Roman"/>
          <w:szCs w:val="24"/>
        </w:rPr>
        <w:t>. Consumers benefit from the market price of the competitively</w:t>
      </w:r>
      <w:r>
        <w:rPr>
          <w:rFonts w:cs="Times New Roman"/>
          <w:szCs w:val="24"/>
        </w:rPr>
        <w:t>-</w:t>
      </w:r>
      <w:r>
        <w:rPr>
          <w:rFonts w:cs="Times New Roman"/>
          <w:szCs w:val="24"/>
        </w:rPr>
        <w:t xml:space="preserve">bid standard service offer when they select it for their </w:t>
      </w:r>
      <w:r>
        <w:rPr>
          <w:rFonts w:cs="Times New Roman"/>
          <w:szCs w:val="24"/>
        </w:rPr>
        <w:t>energy</w:t>
      </w:r>
      <w:r>
        <w:rPr>
          <w:rFonts w:cs="Times New Roman"/>
          <w:szCs w:val="24"/>
        </w:rPr>
        <w:t>,</w:t>
      </w:r>
      <w:r>
        <w:rPr>
          <w:rFonts w:cs="Times New Roman"/>
          <w:szCs w:val="24"/>
        </w:rPr>
        <w:t xml:space="preserve"> and they benefit from it as a price to compare when they are shopping for marketer offers.</w:t>
      </w:r>
    </w:p>
    <w:p w:rsidR="00740211" w:rsidRDefault="008C00D8" w:rsidP="006069AC">
      <w:pPr>
        <w:spacing w:after="0" w:line="480" w:lineRule="auto"/>
        <w:ind w:firstLine="720"/>
        <w:rPr>
          <w:rFonts w:cs="Times New Roman"/>
          <w:szCs w:val="24"/>
        </w:rPr>
        <w:sectPr w:rsidR="00740211" w:rsidSect="00517B28">
          <w:headerReference w:type="default" r:id="rId9"/>
          <w:footerReference w:type="default" r:id="rId10"/>
          <w:pgSz w:w="12240" w:h="15840"/>
          <w:pgMar w:top="1440" w:right="1800" w:bottom="1440" w:left="1800" w:header="720" w:footer="720" w:gutter="0"/>
          <w:pgNumType w:start="1"/>
          <w:cols w:space="720"/>
          <w:docGrid w:linePitch="360"/>
        </w:sectPr>
      </w:pPr>
      <w:r>
        <w:rPr>
          <w:rFonts w:cs="Times New Roman"/>
          <w:szCs w:val="24"/>
        </w:rPr>
        <w:t xml:space="preserve">The Settlement between </w:t>
      </w:r>
      <w:r>
        <w:rPr>
          <w:rFonts w:cs="Times New Roman"/>
          <w:szCs w:val="24"/>
        </w:rPr>
        <w:t>DP&amp;L, OCC, the PUCO Staff and othe</w:t>
      </w:r>
      <w:r w:rsidRPr="0038179E">
        <w:rPr>
          <w:rFonts w:cs="Times New Roman"/>
          <w:szCs w:val="24"/>
        </w:rPr>
        <w:t>rs</w:t>
      </w:r>
      <w:r>
        <w:rPr>
          <w:rFonts w:cs="Times New Roman"/>
          <w:szCs w:val="24"/>
        </w:rPr>
        <w:t>—</w:t>
      </w:r>
      <w:r w:rsidRPr="0038179E">
        <w:rPr>
          <w:rFonts w:cs="Times New Roman"/>
          <w:szCs w:val="24"/>
        </w:rPr>
        <w:t>which</w:t>
      </w:r>
      <w:r w:rsidRPr="0038179E">
        <w:rPr>
          <w:rFonts w:cs="Times New Roman"/>
          <w:szCs w:val="24"/>
        </w:rPr>
        <w:t xml:space="preserve"> the</w:t>
      </w:r>
      <w:r>
        <w:rPr>
          <w:rFonts w:cs="Times New Roman"/>
          <w:szCs w:val="24"/>
        </w:rPr>
        <w:t xml:space="preserve"> Marketers oppose</w:t>
      </w:r>
      <w:r>
        <w:rPr>
          <w:rFonts w:cs="Times New Roman"/>
          <w:szCs w:val="24"/>
        </w:rPr>
        <w:t>—</w:t>
      </w:r>
      <w:r>
        <w:rPr>
          <w:rFonts w:cs="Times New Roman"/>
          <w:szCs w:val="24"/>
        </w:rPr>
        <w:t>protects DP&amp;L’s standard offer and the benefit that</w:t>
      </w:r>
      <w:r>
        <w:rPr>
          <w:rFonts w:cs="Times New Roman"/>
          <w:szCs w:val="24"/>
        </w:rPr>
        <w:t xml:space="preserve"> all consumers receive from it. But t</w:t>
      </w:r>
      <w:r>
        <w:rPr>
          <w:rFonts w:cs="Times New Roman"/>
          <w:szCs w:val="24"/>
        </w:rPr>
        <w:t xml:space="preserve">he Marketers propose, through the testimony of Edward Hess, </w:t>
      </w:r>
      <w:r>
        <w:rPr>
          <w:rFonts w:cs="Times New Roman"/>
          <w:szCs w:val="24"/>
        </w:rPr>
        <w:t>to require</w:t>
      </w:r>
      <w:r>
        <w:rPr>
          <w:rFonts w:cs="Times New Roman"/>
          <w:szCs w:val="24"/>
        </w:rPr>
        <w:t xml:space="preserve"> </w:t>
      </w:r>
      <w:r>
        <w:rPr>
          <w:rFonts w:cs="Times New Roman"/>
          <w:szCs w:val="24"/>
        </w:rPr>
        <w:t>DP&amp;L</w:t>
      </w:r>
      <w:r>
        <w:rPr>
          <w:rFonts w:cs="Times New Roman"/>
          <w:szCs w:val="24"/>
        </w:rPr>
        <w:t xml:space="preserve"> to charge </w:t>
      </w:r>
      <w:r>
        <w:rPr>
          <w:rFonts w:cs="Times New Roman"/>
          <w:szCs w:val="24"/>
        </w:rPr>
        <w:t xml:space="preserve">its </w:t>
      </w:r>
      <w:r w:rsidRPr="000D333D">
        <w:rPr>
          <w:rFonts w:cs="Times New Roman"/>
          <w:szCs w:val="24"/>
        </w:rPr>
        <w:t>Standard Service Offer (“SSO”) customers</w:t>
      </w:r>
      <w:r>
        <w:rPr>
          <w:rFonts w:cs="Times New Roman"/>
          <w:szCs w:val="24"/>
        </w:rPr>
        <w:t xml:space="preserve"> </w:t>
      </w:r>
      <w:r w:rsidRPr="005A15B3">
        <w:rPr>
          <w:rFonts w:cs="Times New Roman"/>
          <w:szCs w:val="24"/>
        </w:rPr>
        <w:t>more</w:t>
      </w:r>
      <w:r>
        <w:rPr>
          <w:rFonts w:cs="Times New Roman"/>
          <w:szCs w:val="24"/>
        </w:rPr>
        <w:t xml:space="preserve"> for electric distribution service. The Marketers’ scheme would </w:t>
      </w:r>
      <w:r>
        <w:rPr>
          <w:rFonts w:cs="Times New Roman"/>
          <w:szCs w:val="24"/>
        </w:rPr>
        <w:t>be implemented throu</w:t>
      </w:r>
      <w:r>
        <w:rPr>
          <w:rFonts w:cs="Times New Roman"/>
          <w:szCs w:val="24"/>
        </w:rPr>
        <w:t xml:space="preserve">gh two new </w:t>
      </w:r>
    </w:p>
    <w:p w:rsidR="006069AC" w:rsidRDefault="008C00D8" w:rsidP="00740211">
      <w:pPr>
        <w:spacing w:after="0" w:line="480" w:lineRule="auto"/>
        <w:rPr>
          <w:rFonts w:cs="Times New Roman"/>
          <w:szCs w:val="24"/>
        </w:rPr>
      </w:pPr>
      <w:r>
        <w:rPr>
          <w:rFonts w:cs="Times New Roman"/>
          <w:szCs w:val="24"/>
        </w:rPr>
        <w:lastRenderedPageBreak/>
        <w:t>riders.</w:t>
      </w:r>
      <w:r>
        <w:rPr>
          <w:rStyle w:val="FootnoteReference"/>
          <w:rFonts w:cs="Times New Roman"/>
          <w:szCs w:val="24"/>
        </w:rPr>
        <w:footnoteReference w:id="1"/>
      </w:r>
      <w:r>
        <w:rPr>
          <w:rFonts w:cs="Times New Roman"/>
          <w:szCs w:val="24"/>
        </w:rPr>
        <w:t xml:space="preserve"> All customers would receive a credit on their bills through a new “credit rider.”</w:t>
      </w:r>
      <w:r>
        <w:rPr>
          <w:rStyle w:val="FootnoteReference"/>
          <w:rFonts w:cs="Times New Roman"/>
          <w:szCs w:val="24"/>
        </w:rPr>
        <w:footnoteReference w:id="2"/>
      </w:r>
      <w:r>
        <w:rPr>
          <w:rFonts w:cs="Times New Roman"/>
          <w:szCs w:val="24"/>
        </w:rPr>
        <w:t xml:space="preserve"> The total amount of the credit rider ($11.4 million) would then be charged back to customers through an avoidable rider—but only SSO customers would pay this avoidable rider.</w:t>
      </w:r>
      <w:r>
        <w:rPr>
          <w:rStyle w:val="FootnoteReference"/>
          <w:rFonts w:cs="Times New Roman"/>
          <w:szCs w:val="24"/>
        </w:rPr>
        <w:footnoteReference w:id="3"/>
      </w:r>
      <w:r>
        <w:rPr>
          <w:rFonts w:cs="Times New Roman"/>
          <w:szCs w:val="24"/>
        </w:rPr>
        <w:t xml:space="preserve"> </w:t>
      </w:r>
      <w:r>
        <w:rPr>
          <w:rFonts w:cs="Times New Roman"/>
          <w:szCs w:val="24"/>
        </w:rPr>
        <w:t>The result would be that SSO customers would pay more for their electric servic</w:t>
      </w:r>
      <w:r>
        <w:rPr>
          <w:rFonts w:cs="Times New Roman"/>
          <w:szCs w:val="24"/>
        </w:rPr>
        <w:t>e. This is because</w:t>
      </w:r>
      <w:r>
        <w:rPr>
          <w:rFonts w:cs="Times New Roman"/>
          <w:szCs w:val="24"/>
        </w:rPr>
        <w:t xml:space="preserve"> under the Marketers’ proposal, </w:t>
      </w:r>
      <w:r>
        <w:rPr>
          <w:rFonts w:cs="Times New Roman"/>
          <w:szCs w:val="24"/>
        </w:rPr>
        <w:t xml:space="preserve">the Marketers’ </w:t>
      </w:r>
      <w:r>
        <w:rPr>
          <w:rFonts w:cs="Times New Roman"/>
          <w:szCs w:val="24"/>
        </w:rPr>
        <w:t xml:space="preserve">customers </w:t>
      </w:r>
      <w:r>
        <w:rPr>
          <w:rFonts w:cs="Times New Roman"/>
          <w:szCs w:val="24"/>
        </w:rPr>
        <w:t>would</w:t>
      </w:r>
      <w:r>
        <w:rPr>
          <w:rFonts w:cs="Times New Roman"/>
          <w:szCs w:val="24"/>
        </w:rPr>
        <w:t xml:space="preserve"> receive a discount on their distribution service, and SSO customers </w:t>
      </w:r>
      <w:r>
        <w:rPr>
          <w:rFonts w:cs="Times New Roman"/>
          <w:szCs w:val="24"/>
        </w:rPr>
        <w:t>would</w:t>
      </w:r>
      <w:r>
        <w:rPr>
          <w:rFonts w:cs="Times New Roman"/>
          <w:szCs w:val="24"/>
        </w:rPr>
        <w:t xml:space="preserve"> pay for that discount.</w:t>
      </w:r>
    </w:p>
    <w:p w:rsidR="006069AC" w:rsidRDefault="008C00D8" w:rsidP="006069AC">
      <w:pPr>
        <w:spacing w:after="0" w:line="480" w:lineRule="auto"/>
        <w:ind w:firstLine="720"/>
        <w:rPr>
          <w:rFonts w:cs="Times New Roman"/>
          <w:szCs w:val="24"/>
        </w:rPr>
      </w:pPr>
      <w:r>
        <w:rPr>
          <w:rFonts w:cs="Times New Roman"/>
          <w:szCs w:val="24"/>
        </w:rPr>
        <w:t>The Marketers</w:t>
      </w:r>
      <w:r>
        <w:rPr>
          <w:rFonts w:cs="Times New Roman"/>
          <w:szCs w:val="24"/>
        </w:rPr>
        <w:t xml:space="preserve"> claim </w:t>
      </w:r>
      <w:r w:rsidRPr="0038179E">
        <w:rPr>
          <w:rFonts w:cs="Times New Roman"/>
          <w:szCs w:val="24"/>
        </w:rPr>
        <w:t xml:space="preserve">that </w:t>
      </w:r>
      <w:r w:rsidRPr="0038179E">
        <w:rPr>
          <w:rFonts w:cs="Times New Roman"/>
          <w:szCs w:val="24"/>
        </w:rPr>
        <w:t>t</w:t>
      </w:r>
      <w:r>
        <w:rPr>
          <w:rFonts w:cs="Times New Roman"/>
          <w:szCs w:val="24"/>
        </w:rPr>
        <w:t>heir</w:t>
      </w:r>
      <w:r>
        <w:rPr>
          <w:rFonts w:cs="Times New Roman"/>
          <w:szCs w:val="24"/>
        </w:rPr>
        <w:t xml:space="preserve"> proposal is</w:t>
      </w:r>
      <w:r>
        <w:rPr>
          <w:rFonts w:cs="Times New Roman"/>
          <w:szCs w:val="24"/>
        </w:rPr>
        <w:t xml:space="preserve"> justified</w:t>
      </w:r>
      <w:r>
        <w:rPr>
          <w:rFonts w:cs="Times New Roman"/>
          <w:szCs w:val="24"/>
        </w:rPr>
        <w:t xml:space="preserve"> based on the </w:t>
      </w:r>
      <w:r>
        <w:rPr>
          <w:rFonts w:cs="Times New Roman"/>
          <w:szCs w:val="24"/>
        </w:rPr>
        <w:t>(</w:t>
      </w:r>
      <w:r>
        <w:rPr>
          <w:rFonts w:cs="Times New Roman"/>
          <w:szCs w:val="24"/>
        </w:rPr>
        <w:t>false</w:t>
      </w:r>
      <w:r>
        <w:rPr>
          <w:rFonts w:cs="Times New Roman"/>
          <w:szCs w:val="24"/>
        </w:rPr>
        <w:t>)</w:t>
      </w:r>
      <w:r>
        <w:rPr>
          <w:rFonts w:cs="Times New Roman"/>
          <w:szCs w:val="24"/>
        </w:rPr>
        <w:t xml:space="preserve"> narrative that </w:t>
      </w:r>
      <w:r>
        <w:rPr>
          <w:rFonts w:cs="Times New Roman"/>
          <w:szCs w:val="24"/>
        </w:rPr>
        <w:t xml:space="preserve">their </w:t>
      </w:r>
      <w:r>
        <w:rPr>
          <w:rFonts w:cs="Times New Roman"/>
          <w:szCs w:val="24"/>
        </w:rPr>
        <w:t xml:space="preserve">customers are being penalized by paying for generation service twice: once </w:t>
      </w:r>
      <w:r>
        <w:rPr>
          <w:rFonts w:cs="Times New Roman"/>
          <w:szCs w:val="24"/>
        </w:rPr>
        <w:t>to</w:t>
      </w:r>
      <w:r>
        <w:rPr>
          <w:rFonts w:cs="Times New Roman"/>
          <w:szCs w:val="24"/>
        </w:rPr>
        <w:t xml:space="preserve"> their marketer and once through DP&amp;L’s distribution rates. This simply is not true. Shopping customers pay their marketer for generation. SSO customers pay </w:t>
      </w:r>
      <w:r>
        <w:rPr>
          <w:rFonts w:cs="Times New Roman"/>
          <w:szCs w:val="24"/>
        </w:rPr>
        <w:t>DP&amp;L for their SSO generation. All customers pay DP&amp;L for distribution service</w:t>
      </w:r>
      <w:r>
        <w:rPr>
          <w:rFonts w:cs="Times New Roman"/>
          <w:szCs w:val="24"/>
        </w:rPr>
        <w:t>, which does not include a generation component</w:t>
      </w:r>
      <w:r>
        <w:rPr>
          <w:rFonts w:cs="Times New Roman"/>
          <w:szCs w:val="24"/>
        </w:rPr>
        <w:t>.</w:t>
      </w:r>
      <w:r>
        <w:rPr>
          <w:rFonts w:cs="Times New Roman"/>
          <w:szCs w:val="24"/>
        </w:rPr>
        <w:t xml:space="preserve"> No one is paying twice for generation.</w:t>
      </w:r>
      <w:r>
        <w:rPr>
          <w:rFonts w:cs="Times New Roman"/>
          <w:szCs w:val="24"/>
        </w:rPr>
        <w:t xml:space="preserve"> Of course, despite their claimed justification, the Marketers’ proposal is better for mark</w:t>
      </w:r>
      <w:r>
        <w:rPr>
          <w:rFonts w:cs="Times New Roman"/>
          <w:szCs w:val="24"/>
        </w:rPr>
        <w:t>eter profits.</w:t>
      </w:r>
    </w:p>
    <w:p w:rsidR="0038179E" w:rsidRDefault="008C00D8" w:rsidP="006069AC">
      <w:pPr>
        <w:spacing w:after="0" w:line="480" w:lineRule="auto"/>
        <w:ind w:firstLine="720"/>
        <w:rPr>
          <w:rFonts w:cs="Times New Roman"/>
          <w:szCs w:val="24"/>
        </w:rPr>
      </w:pPr>
      <w:r>
        <w:rPr>
          <w:rFonts w:cs="Times New Roman"/>
          <w:szCs w:val="24"/>
        </w:rPr>
        <w:t>The PUCO should reject the Marketers’ self-serving proposal to artificially increase distribution charges to SSO customers. This anti-market approach violates basi</w:t>
      </w:r>
      <w:r>
        <w:rPr>
          <w:rFonts w:cs="Times New Roman"/>
          <w:szCs w:val="24"/>
        </w:rPr>
        <w:t>c</w:t>
      </w:r>
      <w:r>
        <w:rPr>
          <w:rFonts w:cs="Times New Roman"/>
          <w:szCs w:val="24"/>
        </w:rPr>
        <w:t xml:space="preserve"> principles of </w:t>
      </w:r>
      <w:r>
        <w:rPr>
          <w:rFonts w:cs="Times New Roman"/>
          <w:szCs w:val="24"/>
        </w:rPr>
        <w:t xml:space="preserve">economic </w:t>
      </w:r>
      <w:r>
        <w:rPr>
          <w:rFonts w:cs="Times New Roman"/>
          <w:szCs w:val="24"/>
        </w:rPr>
        <w:t xml:space="preserve">competition by giving </w:t>
      </w:r>
      <w:r>
        <w:rPr>
          <w:rFonts w:cs="Times New Roman"/>
          <w:szCs w:val="24"/>
        </w:rPr>
        <w:t>m</w:t>
      </w:r>
      <w:r>
        <w:rPr>
          <w:rFonts w:cs="Times New Roman"/>
          <w:szCs w:val="24"/>
        </w:rPr>
        <w:t xml:space="preserve">arketers an unfair competitive </w:t>
      </w:r>
      <w:r>
        <w:rPr>
          <w:rFonts w:cs="Times New Roman"/>
          <w:szCs w:val="24"/>
        </w:rPr>
        <w:t>advantage over the SSO.</w:t>
      </w:r>
      <w:r>
        <w:rPr>
          <w:rFonts w:cs="Times New Roman"/>
          <w:szCs w:val="24"/>
        </w:rPr>
        <w:t xml:space="preserve"> </w:t>
      </w:r>
      <w:r>
        <w:rPr>
          <w:rFonts w:cs="Times New Roman"/>
          <w:szCs w:val="24"/>
        </w:rPr>
        <w:t xml:space="preserve">And the Marketers’ plan would increase the SSO that is a price to compare for all consumers considering marketer offers, meaning that higher-priced marketer offers would appear more attractive to consumers. </w:t>
      </w:r>
    </w:p>
    <w:p w:rsidR="0054149B" w:rsidRDefault="008C00D8" w:rsidP="006069AC">
      <w:pPr>
        <w:spacing w:after="0" w:line="480" w:lineRule="auto"/>
        <w:ind w:firstLine="720"/>
        <w:rPr>
          <w:rFonts w:cs="Times New Roman"/>
          <w:szCs w:val="24"/>
        </w:rPr>
      </w:pPr>
      <w:r>
        <w:rPr>
          <w:rFonts w:cs="Times New Roman"/>
          <w:szCs w:val="24"/>
        </w:rPr>
        <w:t>Their plan does not bene</w:t>
      </w:r>
      <w:r>
        <w:rPr>
          <w:rFonts w:cs="Times New Roman"/>
          <w:szCs w:val="24"/>
        </w:rPr>
        <w:t>fit customers or the public interest. To the contrary, it would affirmatively and materially harm customers by increasing the cost of the market-</w:t>
      </w:r>
      <w:r>
        <w:rPr>
          <w:rFonts w:cs="Times New Roman"/>
          <w:szCs w:val="24"/>
        </w:rPr>
        <w:lastRenderedPageBreak/>
        <w:t>based SSO, which is a critical default generation service available to all customers</w:t>
      </w:r>
      <w:r>
        <w:rPr>
          <w:rFonts w:cs="Times New Roman"/>
          <w:szCs w:val="24"/>
        </w:rPr>
        <w:t xml:space="preserve">—shopping and non-shopping </w:t>
      </w:r>
      <w:r>
        <w:rPr>
          <w:rFonts w:cs="Times New Roman"/>
          <w:szCs w:val="24"/>
        </w:rPr>
        <w:t>alike</w:t>
      </w:r>
      <w:r>
        <w:rPr>
          <w:rFonts w:cs="Times New Roman"/>
          <w:szCs w:val="24"/>
        </w:rPr>
        <w:t>.</w:t>
      </w:r>
      <w:r>
        <w:rPr>
          <w:rFonts w:cs="Times New Roman"/>
          <w:szCs w:val="24"/>
        </w:rPr>
        <w:t xml:space="preserve"> </w:t>
      </w:r>
    </w:p>
    <w:p w:rsidR="00B70392" w:rsidRPr="00394858" w:rsidRDefault="008C00D8" w:rsidP="00D715C6">
      <w:pPr>
        <w:pStyle w:val="Heading1"/>
      </w:pPr>
      <w:bookmarkStart w:id="1" w:name="_Toc523152226"/>
      <w:r>
        <w:t>I.</w:t>
      </w:r>
      <w:r>
        <w:tab/>
        <w:t>RECOMMENDATIONS</w:t>
      </w:r>
      <w:bookmarkEnd w:id="1"/>
    </w:p>
    <w:p w:rsidR="00394858" w:rsidRPr="00394858" w:rsidRDefault="008C00D8" w:rsidP="00740211">
      <w:pPr>
        <w:pStyle w:val="Heading2"/>
      </w:pPr>
      <w:bookmarkStart w:id="2" w:name="_Toc523152227"/>
      <w:r w:rsidRPr="00394858">
        <w:t>A.</w:t>
      </w:r>
      <w:r>
        <w:tab/>
        <w:t xml:space="preserve">The </w:t>
      </w:r>
      <w:r>
        <w:t>PUCO should reject the Marketers’ proposal to unjustly and unreasonably increase the cost that</w:t>
      </w:r>
      <w:r>
        <w:t xml:space="preserve"> standard service offer</w:t>
      </w:r>
      <w:r>
        <w:t xml:space="preserve"> customers pay for </w:t>
      </w:r>
      <w:r>
        <w:t>distribution service</w:t>
      </w:r>
      <w:r>
        <w:t>.</w:t>
      </w:r>
      <w:bookmarkEnd w:id="2"/>
    </w:p>
    <w:p w:rsidR="00314CCD" w:rsidRDefault="008C00D8" w:rsidP="00B70392">
      <w:pPr>
        <w:spacing w:after="0" w:line="480" w:lineRule="auto"/>
        <w:ind w:firstLine="720"/>
      </w:pPr>
      <w:r>
        <w:t xml:space="preserve">Marketer witness Edward Hess proposes a multi-step reallocation process designed to increase the cost of the standard service offer and thus make shopping more appealing to customers (to the benefit of the Marketers </w:t>
      </w:r>
      <w:r>
        <w:t>who</w:t>
      </w:r>
      <w:r>
        <w:t xml:space="preserve"> sponsor his testimony). But the PUCO</w:t>
      </w:r>
      <w:r>
        <w:t xml:space="preserve"> need not delve into the details of his assumptions and calculations</w:t>
      </w:r>
      <w:r>
        <w:t xml:space="preserve"> (which as discussed below, are flawed)</w:t>
      </w:r>
      <w:r>
        <w:t>.</w:t>
      </w:r>
      <w:r>
        <w:t xml:space="preserve"> </w:t>
      </w:r>
      <w:r>
        <w:t>Instead, the PUCO should reject the very premise o</w:t>
      </w:r>
      <w:r w:rsidRPr="004F5E62">
        <w:t xml:space="preserve">f </w:t>
      </w:r>
      <w:r w:rsidRPr="004F5E62">
        <w:t xml:space="preserve">the Marketers’ </w:t>
      </w:r>
      <w:r w:rsidRPr="004F5E62">
        <w:t>p</w:t>
      </w:r>
      <w:r>
        <w:t xml:space="preserve">roposal because </w:t>
      </w:r>
      <w:r>
        <w:t>it ignores the fundamental fact</w:t>
      </w:r>
      <w:r>
        <w:t xml:space="preserve"> </w:t>
      </w:r>
      <w:r>
        <w:t xml:space="preserve">that </w:t>
      </w:r>
      <w:r w:rsidRPr="00137044">
        <w:rPr>
          <w:i/>
        </w:rPr>
        <w:t>all</w:t>
      </w:r>
      <w:r>
        <w:t xml:space="preserve"> customers benefit from</w:t>
      </w:r>
      <w:r>
        <w:t xml:space="preserve"> the standard service offer and thus </w:t>
      </w:r>
      <w:r w:rsidRPr="00137044">
        <w:rPr>
          <w:i/>
        </w:rPr>
        <w:t>all</w:t>
      </w:r>
      <w:r>
        <w:t xml:space="preserve"> customers should pay for the distribution costs associated with the SSO.</w:t>
      </w:r>
    </w:p>
    <w:p w:rsidR="00975455" w:rsidRPr="00A76AE1" w:rsidRDefault="008C00D8" w:rsidP="00740211">
      <w:pPr>
        <w:pStyle w:val="Heading3"/>
        <w:rPr>
          <w:rFonts w:asciiTheme="minorHAnsi" w:hAnsiTheme="minorHAnsi"/>
          <w:sz w:val="22"/>
        </w:rPr>
      </w:pPr>
      <w:bookmarkStart w:id="3" w:name="_Toc523152228"/>
      <w:r>
        <w:t>1</w:t>
      </w:r>
      <w:r w:rsidRPr="00A76AE1">
        <w:t>.</w:t>
      </w:r>
      <w:r w:rsidRPr="00A76AE1">
        <w:tab/>
        <w:t xml:space="preserve">The Marketers’ proposal is unlawful because it requires the PUCO to create new riders in a base rate case, which would constitute unlawful </w:t>
      </w:r>
      <w:r w:rsidRPr="00A76AE1">
        <w:t>single-issue ratemaking.</w:t>
      </w:r>
      <w:bookmarkEnd w:id="3"/>
    </w:p>
    <w:p w:rsidR="00975455" w:rsidRDefault="008C00D8" w:rsidP="00975455">
      <w:pPr>
        <w:spacing w:after="0" w:line="480" w:lineRule="auto"/>
        <w:ind w:firstLine="720"/>
      </w:pPr>
      <w:r>
        <w:t>A long line of Ohio Supreme Court cases emphasizes the PUCO’s status as a creature of statute that can exercise only the authority granted to it by the Ohio General Assembly.</w:t>
      </w:r>
      <w:r>
        <w:rPr>
          <w:rStyle w:val="FootnoteReference"/>
        </w:rPr>
        <w:footnoteReference w:id="4"/>
      </w:r>
      <w:r>
        <w:t xml:space="preserve"> In base rate cases like this one involving DP&amp;L, the PU</w:t>
      </w:r>
      <w:r>
        <w:t>CO must following the “detailed, comprehensive and ... mandatory ratemaking formula under R.C. 4909.15.”</w:t>
      </w:r>
      <w:r>
        <w:rPr>
          <w:rStyle w:val="FootnoteReference"/>
        </w:rPr>
        <w:footnoteReference w:id="5"/>
      </w:r>
      <w:r>
        <w:t xml:space="preserve"> That mandatory ratemaking formula does not include single-issue ratemaking, </w:t>
      </w:r>
      <w:r>
        <w:lastRenderedPageBreak/>
        <w:t>as the PUCO recently recognized: “single-issue ratemaking ... is not autho</w:t>
      </w:r>
      <w:r>
        <w:t>rized by R.C. Chapter 4909.”</w:t>
      </w:r>
      <w:r>
        <w:rPr>
          <w:rStyle w:val="FootnoteReference"/>
        </w:rPr>
        <w:footnoteReference w:id="6"/>
      </w:r>
    </w:p>
    <w:p w:rsidR="00975455" w:rsidRDefault="008C00D8" w:rsidP="00975455">
      <w:pPr>
        <w:spacing w:after="0" w:line="480" w:lineRule="auto"/>
        <w:ind w:firstLine="720"/>
      </w:pPr>
      <w:r>
        <w:rPr>
          <w:rFonts w:cs="Times New Roman"/>
          <w:szCs w:val="24"/>
        </w:rPr>
        <w:t xml:space="preserve">The Supreme Court of Ohio, in </w:t>
      </w:r>
      <w:r>
        <w:rPr>
          <w:rFonts w:cs="Times New Roman"/>
          <w:i/>
          <w:szCs w:val="24"/>
        </w:rPr>
        <w:t>Pike Natural Gas Company v. PUCO</w:t>
      </w:r>
      <w:r w:rsidRPr="00EA6B42">
        <w:rPr>
          <w:rFonts w:cs="Times New Roman"/>
          <w:szCs w:val="24"/>
        </w:rPr>
        <w:t>,</w:t>
      </w:r>
      <w:r>
        <w:rPr>
          <w:rFonts w:cs="Times New Roman"/>
          <w:szCs w:val="24"/>
        </w:rPr>
        <w:t xml:space="preserve"> found that the PUCO can only approve a single-issue adjustment clause </w:t>
      </w:r>
      <w:r w:rsidRPr="00A937FA">
        <w:rPr>
          <w:rFonts w:cs="Times New Roman"/>
          <w:szCs w:val="24"/>
        </w:rPr>
        <w:t>when authorized by statute</w:t>
      </w:r>
      <w:r>
        <w:rPr>
          <w:rFonts w:cs="Times New Roman"/>
          <w:szCs w:val="24"/>
        </w:rPr>
        <w:t>.</w:t>
      </w:r>
      <w:r>
        <w:rPr>
          <w:rStyle w:val="FootnoteReference"/>
          <w:rFonts w:cs="Times New Roman"/>
          <w:szCs w:val="24"/>
        </w:rPr>
        <w:footnoteReference w:id="7"/>
      </w:r>
      <w:r>
        <w:rPr>
          <w:rFonts w:cs="Times New Roman"/>
          <w:szCs w:val="24"/>
        </w:rPr>
        <w:t xml:space="preserve"> There, the utility proposed an excise tax adjustment clause tha</w:t>
      </w:r>
      <w:r>
        <w:rPr>
          <w:rFonts w:cs="Times New Roman"/>
          <w:szCs w:val="24"/>
        </w:rPr>
        <w:t>t would have allowed it to “pass through immediately to its customers any increase in state excise taxes resulting from increased gas costs.”</w:t>
      </w:r>
      <w:r>
        <w:rPr>
          <w:rStyle w:val="FootnoteReference"/>
          <w:rFonts w:cs="Times New Roman"/>
          <w:szCs w:val="24"/>
        </w:rPr>
        <w:footnoteReference w:id="8"/>
      </w:r>
      <w:r>
        <w:rPr>
          <w:rFonts w:cs="Times New Roman"/>
          <w:szCs w:val="24"/>
        </w:rPr>
        <w:t xml:space="preserve"> The Court found that this adjustment clause—the same as a “rider” using today’s terminology—was unlawful because </w:t>
      </w:r>
      <w:r>
        <w:rPr>
          <w:rFonts w:cs="Times New Roman"/>
          <w:szCs w:val="24"/>
        </w:rPr>
        <w:t>there was no statute specifically authorizing it.</w:t>
      </w:r>
      <w:r>
        <w:rPr>
          <w:rStyle w:val="FootnoteReference"/>
          <w:rFonts w:cs="Times New Roman"/>
          <w:szCs w:val="24"/>
        </w:rPr>
        <w:footnoteReference w:id="9"/>
      </w:r>
    </w:p>
    <w:p w:rsidR="00975455" w:rsidRDefault="008C00D8" w:rsidP="00975455">
      <w:pPr>
        <w:spacing w:after="0" w:line="480" w:lineRule="auto"/>
        <w:ind w:firstLine="720"/>
      </w:pPr>
      <w:r>
        <w:t>To implement their proposal to shift costs from shopping customers to SSO customers, the Marketers recommend that the PUCO create two new riders: a credit rider for all customers and an avoidable rider tha</w:t>
      </w:r>
      <w:r>
        <w:t>t only SSO customers pay.</w:t>
      </w:r>
      <w:r>
        <w:rPr>
          <w:rStyle w:val="FootnoteReference"/>
        </w:rPr>
        <w:footnoteReference w:id="10"/>
      </w:r>
      <w:r>
        <w:t xml:space="preserve"> Under the Marketers’ proposal, these riders would be set initially in this rate case and then adjusted every six months thereafter.</w:t>
      </w:r>
      <w:r>
        <w:rPr>
          <w:rStyle w:val="FootnoteReference"/>
        </w:rPr>
        <w:footnoteReference w:id="11"/>
      </w:r>
      <w:r>
        <w:t xml:space="preserve"> That is, the riders would be periodically adjusted in separate proceedings and outside the conte</w:t>
      </w:r>
      <w:r>
        <w:t>xt of a base rate case.</w:t>
      </w:r>
      <w:r>
        <w:rPr>
          <w:rStyle w:val="FootnoteReference"/>
        </w:rPr>
        <w:footnoteReference w:id="12"/>
      </w:r>
      <w:r>
        <w:t xml:space="preserve"> The Marketers do not propose that the entirety of DP&amp;L’s base distribution rates be addressed each time these newly-proposed riders are updated.</w:t>
      </w:r>
      <w:r>
        <w:rPr>
          <w:rStyle w:val="FootnoteReference"/>
        </w:rPr>
        <w:footnoteReference w:id="13"/>
      </w:r>
      <w:r>
        <w:t xml:space="preserve"> </w:t>
      </w:r>
    </w:p>
    <w:p w:rsidR="00975455" w:rsidRDefault="008C00D8" w:rsidP="00975455">
      <w:pPr>
        <w:spacing w:after="0" w:line="480" w:lineRule="auto"/>
        <w:ind w:firstLine="720"/>
      </w:pPr>
      <w:r>
        <w:lastRenderedPageBreak/>
        <w:t>Adjusting individual rate components periodically between rate cases is the definiti</w:t>
      </w:r>
      <w:r>
        <w:t>on of single-issue ratemaking. And because single-issue ratemaking is not allowed under R.C. Chapter 4909, the PUCO lacks statutory authority to approve the Marketers’ proposed riders.</w:t>
      </w:r>
    </w:p>
    <w:p w:rsidR="00141D4A" w:rsidRPr="007506D9" w:rsidRDefault="008C00D8" w:rsidP="00740211">
      <w:pPr>
        <w:pStyle w:val="Heading3"/>
      </w:pPr>
      <w:bookmarkStart w:id="4" w:name="_Toc523152229"/>
      <w:r>
        <w:t>2</w:t>
      </w:r>
      <w:r w:rsidRPr="007506D9">
        <w:t>.</w:t>
      </w:r>
      <w:r w:rsidRPr="007506D9">
        <w:tab/>
        <w:t>The standard service offer benefits all customers</w:t>
      </w:r>
      <w:r w:rsidRPr="007506D9">
        <w:t xml:space="preserve">. All customers </w:t>
      </w:r>
      <w:r w:rsidRPr="007506D9">
        <w:t>should pay t</w:t>
      </w:r>
      <w:r w:rsidRPr="007506D9">
        <w:t>he distribution costs associated with it.</w:t>
      </w:r>
      <w:bookmarkEnd w:id="4"/>
    </w:p>
    <w:p w:rsidR="00141D4A" w:rsidRDefault="008C00D8" w:rsidP="00B70392">
      <w:pPr>
        <w:spacing w:after="0" w:line="480" w:lineRule="auto"/>
        <w:ind w:firstLine="720"/>
      </w:pPr>
      <w:r w:rsidRPr="004F5E62">
        <w:t xml:space="preserve">The Marketers propose, through witness </w:t>
      </w:r>
      <w:r w:rsidRPr="004F5E62">
        <w:t>Hess</w:t>
      </w:r>
      <w:r w:rsidRPr="004F5E62">
        <w:t xml:space="preserve">, that </w:t>
      </w:r>
      <w:r w:rsidRPr="004F5E62">
        <w:t>distribution costs be shifted from shopping customers to SSO customers based on his theory that certain distribution costs are related exclusively to th</w:t>
      </w:r>
      <w:r w:rsidRPr="004F5E62">
        <w:t>e SSO.</w:t>
      </w:r>
      <w:r>
        <w:rPr>
          <w:rStyle w:val="FootnoteReference"/>
        </w:rPr>
        <w:footnoteReference w:id="14"/>
      </w:r>
      <w:r w:rsidRPr="004F5E62">
        <w:t xml:space="preserve"> Ignoring for the moment the numerous technical deficiencies in </w:t>
      </w:r>
      <w:r w:rsidRPr="004F5E62">
        <w:t xml:space="preserve">such a </w:t>
      </w:r>
      <w:r w:rsidRPr="004F5E62">
        <w:t xml:space="preserve">proposal (which are discussed below), </w:t>
      </w:r>
      <w:r w:rsidRPr="004F5E62">
        <w:t xml:space="preserve">the </w:t>
      </w:r>
      <w:r w:rsidRPr="004F5E62">
        <w:t>pro</w:t>
      </w:r>
      <w:r>
        <w:t xml:space="preserve">posal fails for </w:t>
      </w:r>
      <w:r>
        <w:t>a more</w:t>
      </w:r>
      <w:r>
        <w:t xml:space="preserve"> fundamental reason: all customers benefit from the SSO, so it is just and reasonable for all SSO-related distr</w:t>
      </w:r>
      <w:r>
        <w:t>ibution costs to be allocated to the distribution function and paid by all customers.</w:t>
      </w:r>
    </w:p>
    <w:p w:rsidR="00217B4B" w:rsidRDefault="008C00D8" w:rsidP="00B70392">
      <w:pPr>
        <w:spacing w:after="0" w:line="480" w:lineRule="auto"/>
        <w:ind w:firstLine="720"/>
      </w:pPr>
      <w:r>
        <w:t xml:space="preserve">DP&amp;L is required by law to provide a standard service offer: “[A]n electric distribution utility </w:t>
      </w:r>
      <w:r w:rsidRPr="00217B4B">
        <w:t>shall</w:t>
      </w:r>
      <w:r>
        <w:t xml:space="preserve"> provide consumers, on a comparable and nondiscriminatory basis with</w:t>
      </w:r>
      <w:r>
        <w:t>in its certified territory, a standard service offer of all competitive retail electric services to maintain essential electric service to customers, including a firm supply of electric generation service.”</w:t>
      </w:r>
      <w:r>
        <w:rPr>
          <w:rStyle w:val="FootnoteReference"/>
        </w:rPr>
        <w:footnoteReference w:id="15"/>
      </w:r>
      <w:r>
        <w:t xml:space="preserve"> This statute is unambiguous: the SSO must be ava</w:t>
      </w:r>
      <w:r>
        <w:t xml:space="preserve">ilable to all customers, all the time. It serves as the default service for those customers who do not want to shop, and it provides a safety net for customers when their supplier fails to </w:t>
      </w:r>
      <w:r>
        <w:lastRenderedPageBreak/>
        <w:t>provide service for any reason, including the supplier’s bankruptcy</w:t>
      </w:r>
      <w:r>
        <w:t>.</w:t>
      </w:r>
      <w:r>
        <w:rPr>
          <w:rStyle w:val="FootnoteReference"/>
        </w:rPr>
        <w:footnoteReference w:id="16"/>
      </w:r>
      <w:r>
        <w:t xml:space="preserve"> This undeniably benefits even those customers who shop, because they could, at any moment, need </w:t>
      </w:r>
      <w:r>
        <w:t xml:space="preserve">or want </w:t>
      </w:r>
      <w:r>
        <w:t xml:space="preserve">to </w:t>
      </w:r>
      <w:r>
        <w:t>revert</w:t>
      </w:r>
      <w:r>
        <w:t xml:space="preserve"> to the SSO.</w:t>
      </w:r>
    </w:p>
    <w:p w:rsidR="00415DA1" w:rsidRDefault="008C00D8" w:rsidP="00B70392">
      <w:pPr>
        <w:spacing w:after="0" w:line="480" w:lineRule="auto"/>
        <w:ind w:firstLine="720"/>
      </w:pPr>
      <w:r>
        <w:t>In fact, Mr. Hess</w:t>
      </w:r>
      <w:r>
        <w:t xml:space="preserve"> </w:t>
      </w:r>
      <w:r>
        <w:t xml:space="preserve">agrees </w:t>
      </w:r>
      <w:r>
        <w:t>with OCC witness Willis</w:t>
      </w:r>
      <w:r>
        <w:rPr>
          <w:rStyle w:val="FootnoteReference"/>
          <w:rFonts w:cs="Times New Roman"/>
          <w:szCs w:val="24"/>
        </w:rPr>
        <w:footnoteReference w:id="17"/>
      </w:r>
      <w:r>
        <w:t xml:space="preserve"> and PUCO Staff witness Smith</w:t>
      </w:r>
      <w:r>
        <w:rPr>
          <w:rStyle w:val="FootnoteReference"/>
          <w:rFonts w:cs="Times New Roman"/>
          <w:szCs w:val="24"/>
        </w:rPr>
        <w:footnoteReference w:id="18"/>
      </w:r>
      <w:r>
        <w:t xml:space="preserve"> </w:t>
      </w:r>
      <w:r>
        <w:t xml:space="preserve">that </w:t>
      </w:r>
      <w:r w:rsidRPr="00954159">
        <w:t>all</w:t>
      </w:r>
      <w:r>
        <w:t xml:space="preserve"> customers benefit from the SSO</w:t>
      </w:r>
      <w:r>
        <w:t>, statin</w:t>
      </w:r>
      <w:r>
        <w:t>g</w:t>
      </w:r>
      <w:r>
        <w:t>: “The availability of the SSO service does benefit the customers who have shopped, yes.”</w:t>
      </w:r>
      <w:r>
        <w:rPr>
          <w:rStyle w:val="FootnoteReference"/>
        </w:rPr>
        <w:footnoteReference w:id="19"/>
      </w:r>
    </w:p>
    <w:p w:rsidR="00137044" w:rsidRPr="00A50D00" w:rsidRDefault="008C00D8" w:rsidP="00B70392">
      <w:pPr>
        <w:spacing w:after="0" w:line="480" w:lineRule="auto"/>
        <w:ind w:firstLine="720"/>
        <w:rPr>
          <w:rFonts w:cs="Times New Roman"/>
          <w:szCs w:val="24"/>
        </w:rPr>
      </w:pPr>
      <w:r>
        <w:rPr>
          <w:rFonts w:cs="Times New Roman"/>
          <w:szCs w:val="24"/>
        </w:rPr>
        <w:t>This should be both the beginning and the end of the PUCO’s analysis of this issue. All customers benefit from the statutorily</w:t>
      </w:r>
      <w:r>
        <w:rPr>
          <w:rFonts w:cs="Times New Roman"/>
          <w:szCs w:val="24"/>
        </w:rPr>
        <w:t>-required SSO, so distribution costs t</w:t>
      </w:r>
      <w:r>
        <w:rPr>
          <w:rFonts w:cs="Times New Roman"/>
          <w:szCs w:val="24"/>
        </w:rPr>
        <w:t xml:space="preserve">hat </w:t>
      </w:r>
      <w:r>
        <w:rPr>
          <w:rFonts w:cs="Times New Roman"/>
          <w:szCs w:val="24"/>
        </w:rPr>
        <w:t>DP&amp;L</w:t>
      </w:r>
      <w:r>
        <w:rPr>
          <w:rFonts w:cs="Times New Roman"/>
          <w:szCs w:val="24"/>
        </w:rPr>
        <w:t xml:space="preserve"> incurs to provide a standard service offer should be paid by all customers. This alone should </w:t>
      </w:r>
      <w:r>
        <w:rPr>
          <w:rFonts w:cs="Times New Roman"/>
          <w:szCs w:val="24"/>
        </w:rPr>
        <w:t>convince</w:t>
      </w:r>
      <w:r>
        <w:rPr>
          <w:rFonts w:cs="Times New Roman"/>
          <w:szCs w:val="24"/>
        </w:rPr>
        <w:t xml:space="preserve"> the PUCO to deny </w:t>
      </w:r>
      <w:r w:rsidRPr="004F5E62">
        <w:rPr>
          <w:rFonts w:cs="Times New Roman"/>
          <w:szCs w:val="24"/>
        </w:rPr>
        <w:t>the Marketers’</w:t>
      </w:r>
      <w:r>
        <w:rPr>
          <w:rFonts w:cs="Times New Roman"/>
          <w:szCs w:val="24"/>
        </w:rPr>
        <w:t xml:space="preserve"> unfair plan to artificially increase the cost</w:t>
      </w:r>
      <w:r>
        <w:rPr>
          <w:rFonts w:cs="Times New Roman"/>
          <w:szCs w:val="24"/>
        </w:rPr>
        <w:t>s</w:t>
      </w:r>
      <w:r>
        <w:rPr>
          <w:rFonts w:cs="Times New Roman"/>
          <w:szCs w:val="24"/>
        </w:rPr>
        <w:t xml:space="preserve"> that SSO customers pay for distribution service.</w:t>
      </w:r>
    </w:p>
    <w:p w:rsidR="00E34280" w:rsidRPr="007506D9" w:rsidRDefault="008C00D8" w:rsidP="00740211">
      <w:pPr>
        <w:pStyle w:val="Heading3"/>
        <w:rPr>
          <w:rFonts w:asciiTheme="minorHAnsi" w:hAnsiTheme="minorHAnsi"/>
          <w:sz w:val="22"/>
        </w:rPr>
      </w:pPr>
      <w:bookmarkStart w:id="5" w:name="_Toc523152230"/>
      <w:r>
        <w:t>3</w:t>
      </w:r>
      <w:r w:rsidRPr="007506D9">
        <w:t>.</w:t>
      </w:r>
      <w:r w:rsidRPr="007506D9">
        <w:tab/>
      </w:r>
      <w:r w:rsidRPr="007506D9">
        <w:t xml:space="preserve">The PUCO should give </w:t>
      </w:r>
      <w:r>
        <w:t xml:space="preserve">no </w:t>
      </w:r>
      <w:r w:rsidRPr="007506D9">
        <w:t xml:space="preserve">weight to Mr. Hess’s testimony because he ignored </w:t>
      </w:r>
      <w:r w:rsidRPr="007506D9">
        <w:t xml:space="preserve">the </w:t>
      </w:r>
      <w:r w:rsidRPr="007506D9">
        <w:t>changes t</w:t>
      </w:r>
      <w:r w:rsidRPr="007506D9">
        <w:t>hat the Settlement made to</w:t>
      </w:r>
      <w:r w:rsidRPr="007506D9">
        <w:t xml:space="preserve"> the Staff Report.</w:t>
      </w:r>
      <w:bookmarkEnd w:id="5"/>
    </w:p>
    <w:p w:rsidR="00E64164" w:rsidRDefault="008C00D8" w:rsidP="007506D9">
      <w:pPr>
        <w:spacing w:after="0" w:line="480" w:lineRule="auto"/>
        <w:ind w:firstLine="720"/>
      </w:pPr>
      <w:r>
        <w:t>The Settlement</w:t>
      </w:r>
      <w:r>
        <w:rPr>
          <w:rStyle w:val="FootnoteReference"/>
        </w:rPr>
        <w:footnoteReference w:id="20"/>
      </w:r>
      <w:r>
        <w:t xml:space="preserve"> modifies the assumptions and calculations that were included in the Staff Report in this case. Mr. Hess’s te</w:t>
      </w:r>
      <w:r>
        <w:t>stimony, however, ignores all of these modifications and instead relies on cal</w:t>
      </w:r>
      <w:r>
        <w:t>c</w:t>
      </w:r>
      <w:r>
        <w:t xml:space="preserve">ulations using </w:t>
      </w:r>
      <w:r>
        <w:t xml:space="preserve">old </w:t>
      </w:r>
      <w:r>
        <w:t xml:space="preserve">data from the Staff Report. His testimony should be </w:t>
      </w:r>
      <w:r w:rsidRPr="004F5E62">
        <w:t xml:space="preserve">afforded </w:t>
      </w:r>
      <w:r w:rsidRPr="004F5E62">
        <w:t xml:space="preserve">no </w:t>
      </w:r>
      <w:r w:rsidRPr="004F5E62">
        <w:t>weight</w:t>
      </w:r>
      <w:r>
        <w:t>.</w:t>
      </w:r>
      <w:r>
        <w:t xml:space="preserve"> </w:t>
      </w:r>
      <w:r w:rsidRPr="0085227D">
        <w:t xml:space="preserve">Mr. Hess’s testimony was not updated to address the Settlement or the PUCO’s criteria </w:t>
      </w:r>
      <w:r w:rsidRPr="0085227D">
        <w:t>for considering settlements.</w:t>
      </w:r>
    </w:p>
    <w:p w:rsidR="00E64164" w:rsidRDefault="008C00D8" w:rsidP="00E64164">
      <w:pPr>
        <w:spacing w:after="0" w:line="480" w:lineRule="auto"/>
        <w:ind w:firstLine="720"/>
      </w:pPr>
      <w:r>
        <w:lastRenderedPageBreak/>
        <w:t xml:space="preserve">First, the Settlement makes five different adjustments to DP&amp;L’s operating expenses: (i) a $5.6 million adjustment to reflect employee labor costs, (ii) a $1.9 million adjustment for property tax expense, (iii) a $5 million </w:t>
      </w:r>
      <w:r>
        <w:t>adjustment for vegetation management, (iv) a $1.5 million adjustment for energy efficiency, and (v) a $329,000 adjustment for miscellaneous general expenses.</w:t>
      </w:r>
      <w:r>
        <w:rPr>
          <w:rStyle w:val="FootnoteReference"/>
        </w:rPr>
        <w:footnoteReference w:id="21"/>
      </w:r>
      <w:r>
        <w:t xml:space="preserve"> Mr. Hess </w:t>
      </w:r>
      <w:r>
        <w:t>account</w:t>
      </w:r>
      <w:r>
        <w:t>ed</w:t>
      </w:r>
      <w:r>
        <w:t xml:space="preserve"> for </w:t>
      </w:r>
      <w:r>
        <w:t>none</w:t>
      </w:r>
      <w:r>
        <w:t xml:space="preserve"> of these adjustments in his testimony</w:t>
      </w:r>
      <w:r>
        <w:t>.</w:t>
      </w:r>
      <w:r>
        <w:rPr>
          <w:rStyle w:val="FootnoteReference"/>
        </w:rPr>
        <w:footnoteReference w:id="22"/>
      </w:r>
      <w:r>
        <w:t xml:space="preserve"> </w:t>
      </w:r>
    </w:p>
    <w:p w:rsidR="005A59AD" w:rsidRDefault="008C00D8" w:rsidP="00E64164">
      <w:pPr>
        <w:spacing w:after="0" w:line="480" w:lineRule="auto"/>
        <w:ind w:firstLine="720"/>
      </w:pPr>
      <w:r>
        <w:t>Second, the Settlement chang</w:t>
      </w:r>
      <w:r>
        <w:t>e</w:t>
      </w:r>
      <w:r>
        <w:t>d</w:t>
      </w:r>
      <w:r>
        <w:t xml:space="preserve"> the gross-revenue conversion factor</w:t>
      </w:r>
      <w:r>
        <w:t xml:space="preserve"> (“GRCF”)</w:t>
      </w:r>
      <w:r>
        <w:t xml:space="preserve"> that was used in the Staff Report</w:t>
      </w:r>
      <w:r>
        <w:t>.</w:t>
      </w:r>
      <w:r>
        <w:t xml:space="preserve"> </w:t>
      </w:r>
      <w:r>
        <w:t>T</w:t>
      </w:r>
      <w:r>
        <w:t>he Staff Report</w:t>
      </w:r>
      <w:r>
        <w:t>’s 1.549732 GRCF</w:t>
      </w:r>
      <w:r>
        <w:t xml:space="preserve"> was based on the old 35% federal income tax rate and not the current 21% rate under the federal Tax Cuts and Jobs Act of 2017.</w:t>
      </w:r>
      <w:r>
        <w:rPr>
          <w:rStyle w:val="FootnoteReference"/>
        </w:rPr>
        <w:footnoteReference w:id="23"/>
      </w:r>
      <w:r>
        <w:t xml:space="preserve"> Under the Se</w:t>
      </w:r>
      <w:r>
        <w:t xml:space="preserve">ttlement, the applicable </w:t>
      </w:r>
      <w:r>
        <w:t>GRCF</w:t>
      </w:r>
      <w:r>
        <w:t xml:space="preserve"> is 1.275097.</w:t>
      </w:r>
      <w:r>
        <w:rPr>
          <w:rStyle w:val="FootnoteReference"/>
        </w:rPr>
        <w:footnoteReference w:id="24"/>
      </w:r>
      <w:r>
        <w:t xml:space="preserve"> Mr. Hess use</w:t>
      </w:r>
      <w:r>
        <w:t>d</w:t>
      </w:r>
      <w:r>
        <w:t xml:space="preserve"> </w:t>
      </w:r>
      <w:r>
        <w:t>the</w:t>
      </w:r>
      <w:r>
        <w:t xml:space="preserve"> 1.549732 </w:t>
      </w:r>
      <w:r>
        <w:t xml:space="preserve">GRCF </w:t>
      </w:r>
      <w:r>
        <w:t>in his analysis</w:t>
      </w:r>
      <w:r>
        <w:t>.</w:t>
      </w:r>
      <w:r>
        <w:rPr>
          <w:rStyle w:val="FootnoteReference"/>
        </w:rPr>
        <w:footnoteReference w:id="25"/>
      </w:r>
      <w:r>
        <w:t xml:space="preserve"> </w:t>
      </w:r>
      <w:r>
        <w:t>And he</w:t>
      </w:r>
      <w:r>
        <w:t xml:space="preserve"> admitted that the results of his analysis would be different had he used the correct GRCF.</w:t>
      </w:r>
      <w:r>
        <w:rPr>
          <w:rStyle w:val="FootnoteReference"/>
        </w:rPr>
        <w:footnoteReference w:id="26"/>
      </w:r>
    </w:p>
    <w:p w:rsidR="00A914C7" w:rsidRDefault="008C00D8" w:rsidP="00E64164">
      <w:pPr>
        <w:spacing w:after="0" w:line="480" w:lineRule="auto"/>
        <w:ind w:firstLine="720"/>
      </w:pPr>
      <w:r>
        <w:t>Third, in his analysis, Mr. Hess used a rate of return that was</w:t>
      </w:r>
      <w:r>
        <w:t xml:space="preserve"> based on the Staff Report’s midpoint rate of return of 7.75%.</w:t>
      </w:r>
      <w:r>
        <w:rPr>
          <w:rStyle w:val="FootnoteReference"/>
        </w:rPr>
        <w:footnoteReference w:id="27"/>
      </w:r>
      <w:r>
        <w:t xml:space="preserve"> But the Settlement proposes a 7.27% rate of return, not 7.75%.</w:t>
      </w:r>
      <w:r>
        <w:rPr>
          <w:rStyle w:val="FootnoteReference"/>
        </w:rPr>
        <w:footnoteReference w:id="28"/>
      </w:r>
      <w:r>
        <w:t xml:space="preserve"> Mr. Hess did not update his analysis to use the Settlement’s proposed rate of return. In fact, he testified that</w:t>
      </w:r>
      <w:r>
        <w:t xml:space="preserve"> he</w:t>
      </w:r>
      <w:r>
        <w:t xml:space="preserve"> is incapable</w:t>
      </w:r>
      <w:r>
        <w:t xml:space="preserve"> of doing the necessary calculations </w:t>
      </w:r>
      <w:r>
        <w:lastRenderedPageBreak/>
        <w:t>using the Settlement’s proposed rate of return, and that he did not even know what rate of return was used in the Settlement.</w:t>
      </w:r>
      <w:r>
        <w:rPr>
          <w:rStyle w:val="FootnoteReference"/>
        </w:rPr>
        <w:footnoteReference w:id="29"/>
      </w:r>
    </w:p>
    <w:p w:rsidR="00E34280" w:rsidRDefault="008C00D8" w:rsidP="00817FB9">
      <w:pPr>
        <w:spacing w:after="0" w:line="480" w:lineRule="auto"/>
        <w:ind w:firstLine="720"/>
      </w:pPr>
      <w:r>
        <w:t xml:space="preserve">Mr. Hess’s testimony is </w:t>
      </w:r>
      <w:r w:rsidRPr="004F5E62">
        <w:t>not relevant</w:t>
      </w:r>
      <w:r>
        <w:t xml:space="preserve"> because it is based on numbers from the Staff Report th</w:t>
      </w:r>
      <w:r>
        <w:t>at have been changed under the Settlement. Mr. Hess</w:t>
      </w:r>
      <w:r>
        <w:t xml:space="preserve"> (and the Marketers)</w:t>
      </w:r>
      <w:r>
        <w:t xml:space="preserve"> ha</w:t>
      </w:r>
      <w:r>
        <w:t>d</w:t>
      </w:r>
      <w:r>
        <w:t xml:space="preserve"> a month after the Settlement was filed to update his analysis to account for the Settlement.</w:t>
      </w:r>
      <w:r>
        <w:rPr>
          <w:rStyle w:val="FootnoteReference"/>
        </w:rPr>
        <w:footnoteReference w:id="30"/>
      </w:r>
      <w:r>
        <w:t xml:space="preserve"> </w:t>
      </w:r>
      <w:r>
        <w:t>F</w:t>
      </w:r>
      <w:r>
        <w:t xml:space="preserve">or reasons unknown, </w:t>
      </w:r>
      <w:r>
        <w:t>he</w:t>
      </w:r>
      <w:r>
        <w:t xml:space="preserve"> ignored the Settlement and instead relied on old numbers that </w:t>
      </w:r>
      <w:r>
        <w:t xml:space="preserve">are no longer applicable to this case. </w:t>
      </w:r>
      <w:r w:rsidRPr="004F5E62">
        <w:t>T</w:t>
      </w:r>
      <w:r w:rsidRPr="004F5E62">
        <w:t>he</w:t>
      </w:r>
      <w:r>
        <w:t xml:space="preserve"> PUCO should give </w:t>
      </w:r>
      <w:r w:rsidRPr="004F5E62">
        <w:t xml:space="preserve">no </w:t>
      </w:r>
      <w:r w:rsidRPr="004F5E62">
        <w:t>we</w:t>
      </w:r>
      <w:r w:rsidRPr="004F5E62">
        <w:t>ight</w:t>
      </w:r>
      <w:r>
        <w:t xml:space="preserve"> to Mr. Hess’s testimony.</w:t>
      </w:r>
    </w:p>
    <w:p w:rsidR="00E34280" w:rsidRPr="007506D9" w:rsidRDefault="008C00D8" w:rsidP="00740211">
      <w:pPr>
        <w:pStyle w:val="Heading3"/>
        <w:rPr>
          <w:rFonts w:asciiTheme="minorHAnsi" w:hAnsiTheme="minorHAnsi"/>
          <w:sz w:val="22"/>
        </w:rPr>
      </w:pPr>
      <w:bookmarkStart w:id="6" w:name="_Toc523152231"/>
      <w:r>
        <w:t>4</w:t>
      </w:r>
      <w:r w:rsidRPr="007506D9">
        <w:t>.</w:t>
      </w:r>
      <w:r w:rsidRPr="007506D9">
        <w:tab/>
      </w:r>
      <w:bookmarkStart w:id="7" w:name="_Hlk522526173"/>
      <w:r w:rsidRPr="007506D9">
        <w:t xml:space="preserve">The errors in </w:t>
      </w:r>
      <w:r w:rsidRPr="007506D9">
        <w:t xml:space="preserve">Mr. Hess’s </w:t>
      </w:r>
      <w:r w:rsidRPr="007506D9">
        <w:t xml:space="preserve">testimony </w:t>
      </w:r>
      <w:r w:rsidRPr="007506D9">
        <w:t>make it</w:t>
      </w:r>
      <w:r w:rsidRPr="007506D9">
        <w:t xml:space="preserve"> unreliable.</w:t>
      </w:r>
      <w:bookmarkEnd w:id="6"/>
    </w:p>
    <w:bookmarkEnd w:id="7"/>
    <w:p w:rsidR="00E34280" w:rsidRDefault="008C00D8" w:rsidP="00B70392">
      <w:pPr>
        <w:spacing w:after="0" w:line="480" w:lineRule="auto"/>
        <w:ind w:firstLine="720"/>
      </w:pPr>
      <w:r>
        <w:t xml:space="preserve">Mr. Hess proved himself an unreliable witness by filing testimony that contains </w:t>
      </w:r>
      <w:r w:rsidRPr="004F5E62">
        <w:t xml:space="preserve">numerous </w:t>
      </w:r>
      <w:r>
        <w:t xml:space="preserve">errors. </w:t>
      </w:r>
    </w:p>
    <w:p w:rsidR="007B50E3" w:rsidRDefault="008C00D8" w:rsidP="00E358AD">
      <w:pPr>
        <w:spacing w:after="0" w:line="480" w:lineRule="auto"/>
        <w:ind w:firstLine="720"/>
      </w:pPr>
      <w:bookmarkStart w:id="8" w:name="_Hlk523144868"/>
      <w:r>
        <w:t>Mr. H</w:t>
      </w:r>
      <w:r>
        <w:t>ess</w:t>
      </w:r>
      <w:r>
        <w:t>’s calculations are internally inconsistent. On his Exhibit JEH-1, he propose</w:t>
      </w:r>
      <w:r>
        <w:t>d</w:t>
      </w:r>
      <w:r>
        <w:t xml:space="preserve"> that $11,235,576 be shifted from shopping to SSO customers, and he claim</w:t>
      </w:r>
      <w:r>
        <w:t>ed</w:t>
      </w:r>
      <w:r>
        <w:t xml:space="preserve"> that this number </w:t>
      </w:r>
      <w:r>
        <w:t>wa</w:t>
      </w:r>
      <w:r>
        <w:t>s derived from his Exhibit JEH-2.</w:t>
      </w:r>
      <w:r>
        <w:rPr>
          <w:rStyle w:val="FootnoteReference"/>
        </w:rPr>
        <w:footnoteReference w:id="31"/>
      </w:r>
      <w:r>
        <w:t xml:space="preserve"> But that number is nowhere to be found on Exhibit JEH-2.</w:t>
      </w:r>
      <w:r>
        <w:rPr>
          <w:rStyle w:val="FootnoteReference"/>
        </w:rPr>
        <w:footnoteReference w:id="32"/>
      </w:r>
      <w:r>
        <w:t xml:space="preserve"> When asked about the discrepancy on cross-examination, Mr. Hess admitted that he filed the wrong Exhibit JEH-2 with his testimony</w:t>
      </w:r>
      <w:r>
        <w:t>.</w:t>
      </w:r>
      <w:r>
        <w:rPr>
          <w:rStyle w:val="FootnoteReference"/>
        </w:rPr>
        <w:footnoteReference w:id="33"/>
      </w:r>
      <w:r>
        <w:t xml:space="preserve"> At the beginning of his direct examination, Mr. Hess’s counsel as</w:t>
      </w:r>
      <w:r>
        <w:t xml:space="preserve">ked if he had any corrections </w:t>
      </w:r>
      <w:r>
        <w:lastRenderedPageBreak/>
        <w:t>to his testimony.</w:t>
      </w:r>
      <w:r>
        <w:rPr>
          <w:rStyle w:val="FootnoteReference"/>
        </w:rPr>
        <w:footnoteReference w:id="34"/>
      </w:r>
      <w:r>
        <w:t xml:space="preserve"> Mr. Hess responded that he did not.</w:t>
      </w:r>
      <w:r>
        <w:rPr>
          <w:rStyle w:val="FootnoteReference"/>
        </w:rPr>
        <w:footnoteReference w:id="35"/>
      </w:r>
      <w:r>
        <w:t xml:space="preserve"> Yet on cross examination, when the error was brought to his </w:t>
      </w:r>
      <w:r w:rsidRPr="004F5E62">
        <w:t xml:space="preserve">attention, </w:t>
      </w:r>
      <w:r>
        <w:t>he was able to immediately pinpoint two data points among the hundreds on Exhibit JEH-2 as the sour</w:t>
      </w:r>
      <w:r>
        <w:t>ce of the error.</w:t>
      </w:r>
      <w:r>
        <w:rPr>
          <w:rStyle w:val="FootnoteReference"/>
        </w:rPr>
        <w:footnoteReference w:id="36"/>
      </w:r>
      <w:r>
        <w:t xml:space="preserve"> </w:t>
      </w:r>
      <w:r>
        <w:t xml:space="preserve">Thus, it appears that Mr. Hess was already aware of this error but declined to fix it when asked by his counsel. </w:t>
      </w:r>
    </w:p>
    <w:bookmarkEnd w:id="8"/>
    <w:p w:rsidR="007B50E3" w:rsidRDefault="008C00D8" w:rsidP="00B70392">
      <w:pPr>
        <w:spacing w:after="0" w:line="480" w:lineRule="auto"/>
        <w:ind w:firstLine="720"/>
      </w:pPr>
      <w:r>
        <w:t>Mr. Hess made other mistakes as well. For example, on several occasions, he used stale data without explanation. In calculat</w:t>
      </w:r>
      <w:r>
        <w:t xml:space="preserve">ing his proposed rider rates, he used </w:t>
      </w:r>
      <w:r>
        <w:t>revenue data from December 31, 2015 and customer count numbers from March 31, 2016, even though more recent data is available.</w:t>
      </w:r>
      <w:r>
        <w:rPr>
          <w:rStyle w:val="FootnoteReference"/>
        </w:rPr>
        <w:footnoteReference w:id="37"/>
      </w:r>
      <w:r>
        <w:t xml:space="preserve"> </w:t>
      </w:r>
      <w:r>
        <w:t xml:space="preserve">Mr. Hess’s calculations on Exhibit JEH-1 suggest that residential customers used 2.76 </w:t>
      </w:r>
      <w:r w:rsidRPr="005A15B3">
        <w:t>tril</w:t>
      </w:r>
      <w:r w:rsidRPr="005A15B3">
        <w:t>lion</w:t>
      </w:r>
      <w:r>
        <w:t xml:space="preserve"> kWh in a single year</w:t>
      </w:r>
      <w:r>
        <w:t>,</w:t>
      </w:r>
      <w:r>
        <w:rPr>
          <w:rStyle w:val="FootnoteReference"/>
        </w:rPr>
        <w:footnoteReference w:id="38"/>
      </w:r>
      <w:r>
        <w:t xml:space="preserve"> </w:t>
      </w:r>
      <w:r w:rsidRPr="004F5E62">
        <w:t xml:space="preserve">but </w:t>
      </w:r>
      <w:r w:rsidRPr="004F5E62">
        <w:t>Mr. Hess</w:t>
      </w:r>
      <w:r>
        <w:t xml:space="preserve"> admitted on cross examination that </w:t>
      </w:r>
      <w:r>
        <w:t>he</w:t>
      </w:r>
      <w:r>
        <w:t xml:space="preserve"> meant 2.76 billion, not trillion.</w:t>
      </w:r>
      <w:r>
        <w:rPr>
          <w:rStyle w:val="FootnoteReference"/>
        </w:rPr>
        <w:footnoteReference w:id="39"/>
      </w:r>
      <w:r>
        <w:t xml:space="preserve"> And as described above, Mr. Hess’s calculations are based on data from the Staff Report that has been modified in the Settlement, thus making </w:t>
      </w:r>
      <w:r>
        <w:t>all of his calculations inaccurate.</w:t>
      </w:r>
      <w:r>
        <w:rPr>
          <w:rStyle w:val="FootnoteReference"/>
        </w:rPr>
        <w:footnoteReference w:id="40"/>
      </w:r>
      <w:r>
        <w:t xml:space="preserve"> </w:t>
      </w:r>
      <w:r>
        <w:t>The PUCO should not rely on a</w:t>
      </w:r>
      <w:r>
        <w:t>n</w:t>
      </w:r>
      <w:r>
        <w:t xml:space="preserve"> analysis </w:t>
      </w:r>
      <w:r>
        <w:t xml:space="preserve">that </w:t>
      </w:r>
      <w:r>
        <w:t>contains unsupportable assumptions and mathematical errors.</w:t>
      </w:r>
    </w:p>
    <w:p w:rsidR="008944B1" w:rsidRPr="007506D9" w:rsidRDefault="008C00D8" w:rsidP="00740211">
      <w:pPr>
        <w:pStyle w:val="Heading3"/>
      </w:pPr>
      <w:bookmarkStart w:id="9" w:name="_Toc523152232"/>
      <w:r>
        <w:t>5</w:t>
      </w:r>
      <w:r w:rsidRPr="007506D9">
        <w:t>.</w:t>
      </w:r>
      <w:r w:rsidRPr="007506D9">
        <w:tab/>
      </w:r>
      <w:bookmarkStart w:id="10" w:name="_Hlk522526181"/>
      <w:r w:rsidRPr="004F5E62">
        <w:t xml:space="preserve">The Marketers’ </w:t>
      </w:r>
      <w:r w:rsidRPr="007506D9">
        <w:t xml:space="preserve">proposal would </w:t>
      </w:r>
      <w:r w:rsidRPr="007506D9">
        <w:t xml:space="preserve">cause residential customers to pay </w:t>
      </w:r>
      <w:r w:rsidRPr="007506D9">
        <w:t>cross</w:t>
      </w:r>
      <w:r w:rsidRPr="007506D9">
        <w:t xml:space="preserve"> </w:t>
      </w:r>
      <w:r w:rsidRPr="007506D9">
        <w:t>subsidies.</w:t>
      </w:r>
      <w:bookmarkEnd w:id="9"/>
    </w:p>
    <w:bookmarkEnd w:id="10"/>
    <w:p w:rsidR="008944B1" w:rsidRDefault="008C00D8" w:rsidP="00B70392">
      <w:pPr>
        <w:spacing w:after="0" w:line="480" w:lineRule="auto"/>
        <w:ind w:firstLine="720"/>
      </w:pPr>
      <w:r>
        <w:t xml:space="preserve">Not only does </w:t>
      </w:r>
      <w:r w:rsidRPr="004F5E62">
        <w:t xml:space="preserve">the Marketers’ </w:t>
      </w:r>
      <w:r>
        <w:t xml:space="preserve">proposal </w:t>
      </w:r>
      <w:r>
        <w:t xml:space="preserve">unreasonably shift costs from shopping customers to SSO customers, </w:t>
      </w:r>
      <w:r>
        <w:t xml:space="preserve">but </w:t>
      </w:r>
      <w:r>
        <w:t xml:space="preserve">it results in unreasonable interclass subsidies paid by </w:t>
      </w:r>
      <w:r>
        <w:lastRenderedPageBreak/>
        <w:t xml:space="preserve">residential consumers. Under </w:t>
      </w:r>
      <w:r w:rsidRPr="00755393">
        <w:t xml:space="preserve">the Marketers’ </w:t>
      </w:r>
      <w:r>
        <w:t>proposal, residential SSO customers would pay an additional $10.5 million in</w:t>
      </w:r>
      <w:r>
        <w:t xml:space="preserve"> distribution</w:t>
      </w:r>
      <w:r>
        <w:t xml:space="preserve"> costs</w:t>
      </w:r>
      <w:r w:rsidRPr="004F5E62">
        <w:t>.</w:t>
      </w:r>
      <w:r>
        <w:rPr>
          <w:rStyle w:val="FootnoteReference"/>
        </w:rPr>
        <w:footnoteReference w:id="41"/>
      </w:r>
      <w:r w:rsidRPr="004F5E62">
        <w:t xml:space="preserve"> Under </w:t>
      </w:r>
      <w:r w:rsidRPr="00755393">
        <w:t>the Marketers’</w:t>
      </w:r>
      <w:r>
        <w:t xml:space="preserve"> proposed credit rider, however, residential customers would receive a total credit of only $10.2 million.</w:t>
      </w:r>
      <w:r>
        <w:rPr>
          <w:rStyle w:val="FootnoteReference"/>
        </w:rPr>
        <w:footnoteReference w:id="42"/>
      </w:r>
      <w:r>
        <w:t xml:space="preserve"> Thus, about $300,000 in costs would be shifted from commercial and industrial customers to residential cus</w:t>
      </w:r>
      <w:r>
        <w:t>tomers, which is an unreasonable cross-subsidy.</w:t>
      </w:r>
    </w:p>
    <w:p w:rsidR="00AC49E0" w:rsidRPr="007506D9" w:rsidRDefault="008C00D8" w:rsidP="00740211">
      <w:pPr>
        <w:pStyle w:val="Heading3"/>
        <w:rPr>
          <w:rFonts w:asciiTheme="minorHAnsi" w:hAnsiTheme="minorHAnsi"/>
          <w:sz w:val="22"/>
        </w:rPr>
      </w:pPr>
      <w:bookmarkStart w:id="11" w:name="_Toc523152233"/>
      <w:r>
        <w:t>6</w:t>
      </w:r>
      <w:r w:rsidRPr="007506D9">
        <w:t>.</w:t>
      </w:r>
      <w:r w:rsidRPr="007506D9">
        <w:tab/>
      </w:r>
      <w:bookmarkStart w:id="12" w:name="_Hlk522526186"/>
      <w:r w:rsidRPr="007506D9">
        <w:t>Mr. Hess unreasonably assumed that some distribution costs should be borne exclusively by SSO customers but that zero distribution costs should be borne exclusively by shopping customers.</w:t>
      </w:r>
      <w:bookmarkEnd w:id="11"/>
    </w:p>
    <w:bookmarkEnd w:id="12"/>
    <w:p w:rsidR="008944B1" w:rsidRDefault="008C00D8" w:rsidP="00B70392">
      <w:pPr>
        <w:spacing w:after="0" w:line="480" w:lineRule="auto"/>
        <w:ind w:firstLine="720"/>
      </w:pPr>
      <w:r>
        <w:t>Mr. Hess’s testim</w:t>
      </w:r>
      <w:r>
        <w:t xml:space="preserve">ony relies on the flawed belief that some distribution costs pertain exclusively to the SSO and thus should be paid exclusively by SSO customers. </w:t>
      </w:r>
      <w:r>
        <w:t>But e</w:t>
      </w:r>
      <w:r>
        <w:t>ven if one were to adopt this erroneous view, the flip side would be that some distribution costs pertain</w:t>
      </w:r>
      <w:r>
        <w:t xml:space="preserve"> exclusively to shopping and thus should be paid exclusively by shopping customers. Mr. Hess calculates $11</w:t>
      </w:r>
      <w:r>
        <w:t>.4</w:t>
      </w:r>
      <w:r>
        <w:t xml:space="preserve"> million in SSO-related distribution costs to be assigned </w:t>
      </w:r>
      <w:r>
        <w:t xml:space="preserve">exclusively </w:t>
      </w:r>
      <w:r>
        <w:t>to SSO customers, but he claims that there are $0 in shopping-related costs t</w:t>
      </w:r>
      <w:r>
        <w:t>hat should be assigned exclusively to shopping customers.</w:t>
      </w:r>
      <w:r>
        <w:rPr>
          <w:rStyle w:val="FootnoteReference"/>
        </w:rPr>
        <w:footnoteReference w:id="43"/>
      </w:r>
      <w:r>
        <w:t xml:space="preserve"> </w:t>
      </w:r>
      <w:r>
        <w:t>This makes no sense</w:t>
      </w:r>
      <w:r w:rsidRPr="00975455">
        <w:t>.</w:t>
      </w:r>
    </w:p>
    <w:p w:rsidR="005F3CF4" w:rsidRDefault="008C00D8" w:rsidP="00C93BCC">
      <w:pPr>
        <w:spacing w:after="0" w:line="480" w:lineRule="auto"/>
        <w:ind w:firstLine="720"/>
      </w:pPr>
      <w:r>
        <w:t>For example, one of Mr. Hess’s prime examples of an alleged cost that should be allocated exclusively to SSO customers is call center costs.</w:t>
      </w:r>
      <w:r>
        <w:rPr>
          <w:rStyle w:val="FootnoteReference"/>
        </w:rPr>
        <w:footnoteReference w:id="44"/>
      </w:r>
      <w:r>
        <w:t xml:space="preserve"> According to Mr. Hess, when a cust</w:t>
      </w:r>
      <w:r>
        <w:t>omer calls DP&amp;L to complain about the SSO, the costs that DP&amp;L incurs responding to that call should be paid only by SSO customers.</w:t>
      </w:r>
      <w:r>
        <w:rPr>
          <w:rStyle w:val="FootnoteReference"/>
        </w:rPr>
        <w:footnoteReference w:id="45"/>
      </w:r>
      <w:r>
        <w:t xml:space="preserve"> But when a customer </w:t>
      </w:r>
      <w:r>
        <w:lastRenderedPageBreak/>
        <w:t>calls DP&amp;L to complain about shopping, Mr. Hess does not believe that the costs that DP&amp;L incurs respon</w:t>
      </w:r>
      <w:r>
        <w:t>ding to that call should be paid only by shopping customers.</w:t>
      </w:r>
      <w:r>
        <w:rPr>
          <w:rStyle w:val="FootnoteReference"/>
        </w:rPr>
        <w:footnoteReference w:id="46"/>
      </w:r>
      <w:r>
        <w:t xml:space="preserve"> </w:t>
      </w:r>
      <w:r>
        <w:t xml:space="preserve">This inconsistency </w:t>
      </w:r>
      <w:r w:rsidRPr="00975455">
        <w:t xml:space="preserve">highlights an </w:t>
      </w:r>
      <w:r w:rsidRPr="00975455">
        <w:t>approach</w:t>
      </w:r>
      <w:r w:rsidRPr="00975455">
        <w:t xml:space="preserve"> that </w:t>
      </w:r>
      <w:r>
        <w:t>provide</w:t>
      </w:r>
      <w:r>
        <w:t>s</w:t>
      </w:r>
      <w:r>
        <w:t xml:space="preserve"> an unfair result that benefits Marketers at the expense of SSO customers.</w:t>
      </w:r>
    </w:p>
    <w:p w:rsidR="005F3CF4" w:rsidRDefault="008C00D8" w:rsidP="00C93BCC">
      <w:pPr>
        <w:spacing w:after="0" w:line="480" w:lineRule="auto"/>
        <w:ind w:firstLine="720"/>
      </w:pPr>
      <w:r>
        <w:t>On examination by Attorney Examiner Price, Mr. Hess testified re</w:t>
      </w:r>
      <w:r>
        <w:t xml:space="preserve">garding costs that DP&amp;L incurs to implement supplier consolidated billing for shopping customers. He testified that he believes that all customers, including SSO customers, should pay for these costs because “non-shopping customers could benefit from this </w:t>
      </w:r>
      <w:r>
        <w:t>at some point in time.”</w:t>
      </w:r>
      <w:r>
        <w:rPr>
          <w:rStyle w:val="FootnoteReference"/>
        </w:rPr>
        <w:footnoteReference w:id="47"/>
      </w:r>
      <w:r>
        <w:t xml:space="preserve"> He also admitted that the same is true for the SSO: all customers can benefit from the SSO at some point in time because it is available to all customers.</w:t>
      </w:r>
      <w:r>
        <w:rPr>
          <w:rStyle w:val="FootnoteReference"/>
        </w:rPr>
        <w:footnoteReference w:id="48"/>
      </w:r>
      <w:r>
        <w:t xml:space="preserve"> Yet despite the obvious parallel, he continued to insist that only SSO cust</w:t>
      </w:r>
      <w:r>
        <w:t>omers should pay for costs</w:t>
      </w:r>
      <w:r>
        <w:t xml:space="preserve"> exclusively related to the SSO</w:t>
      </w:r>
      <w:r>
        <w:t>, but all customers should pay for costs</w:t>
      </w:r>
      <w:r>
        <w:t xml:space="preserve"> exclusively related to shopping</w:t>
      </w:r>
      <w:r>
        <w:t xml:space="preserve">. </w:t>
      </w:r>
    </w:p>
    <w:p w:rsidR="00C93BCC" w:rsidRDefault="008C00D8" w:rsidP="00C93BCC">
      <w:pPr>
        <w:spacing w:after="0" w:line="480" w:lineRule="auto"/>
        <w:ind w:firstLine="720"/>
      </w:pPr>
      <w:r w:rsidRPr="00975455">
        <w:t xml:space="preserve">The Marketers’ </w:t>
      </w:r>
      <w:r w:rsidRPr="00975455">
        <w:t>proposal</w:t>
      </w:r>
      <w:r w:rsidRPr="00975455">
        <w:t xml:space="preserve"> would have the dubious ach</w:t>
      </w:r>
      <w:r w:rsidRPr="00975455">
        <w:t>ievement</w:t>
      </w:r>
      <w:r w:rsidRPr="00975455">
        <w:t xml:space="preserve"> of artificially inflating consumers’ cost of the SSO, inflating the SSO as a reference point for shopping customers trying to save money, and enabling higher prices for marketers competing against the SSO. </w:t>
      </w:r>
      <w:r w:rsidRPr="00975455">
        <w:t xml:space="preserve">The PUCO should reject </w:t>
      </w:r>
      <w:r w:rsidRPr="00975455">
        <w:t>this approach which harms,</w:t>
      </w:r>
      <w:r w:rsidRPr="00975455">
        <w:t xml:space="preserve"> not helps customers. </w:t>
      </w:r>
    </w:p>
    <w:p w:rsidR="00A40419" w:rsidRPr="006F62B7" w:rsidRDefault="008C00D8" w:rsidP="00740211">
      <w:pPr>
        <w:pStyle w:val="Heading2"/>
      </w:pPr>
      <w:bookmarkStart w:id="13" w:name="_Toc523152234"/>
      <w:r>
        <w:lastRenderedPageBreak/>
        <w:t>B.</w:t>
      </w:r>
      <w:r>
        <w:tab/>
        <w:t xml:space="preserve">The Settlement does not result </w:t>
      </w:r>
      <w:r>
        <w:t>in DP&amp;L charging customers for competitive services through non-competitive distribution rates</w:t>
      </w:r>
      <w:r>
        <w:t>.</w:t>
      </w:r>
      <w:bookmarkEnd w:id="13"/>
    </w:p>
    <w:p w:rsidR="00B23BF8" w:rsidRDefault="008C00D8" w:rsidP="00A40419">
      <w:pPr>
        <w:spacing w:after="0" w:line="480" w:lineRule="auto"/>
        <w:ind w:firstLine="720"/>
        <w:rPr>
          <w:rFonts w:cs="Times New Roman"/>
          <w:szCs w:val="24"/>
        </w:rPr>
      </w:pPr>
      <w:r>
        <w:rPr>
          <w:rFonts w:cs="Times New Roman"/>
          <w:szCs w:val="24"/>
        </w:rPr>
        <w:t>IGS states that the PUCO “has no authority to regulate or provide compensation to support competitive r</w:t>
      </w:r>
      <w:r>
        <w:rPr>
          <w:rFonts w:cs="Times New Roman"/>
          <w:szCs w:val="24"/>
        </w:rPr>
        <w:t>etail electric service through distribution rates.”</w:t>
      </w:r>
      <w:r>
        <w:rPr>
          <w:rStyle w:val="FootnoteReference"/>
          <w:rFonts w:cs="Times New Roman"/>
          <w:szCs w:val="24"/>
        </w:rPr>
        <w:footnoteReference w:id="49"/>
      </w:r>
      <w:r>
        <w:rPr>
          <w:rFonts w:cs="Times New Roman"/>
          <w:szCs w:val="24"/>
        </w:rPr>
        <w:t xml:space="preserve"> This is true. But it is also irrelevant, because nothing in the Settlement requires the PUCO to regulate or provide compensation for competitive services through distribution rates. </w:t>
      </w:r>
    </w:p>
    <w:p w:rsidR="00B23BF8" w:rsidRDefault="008C00D8" w:rsidP="00A40419">
      <w:pPr>
        <w:spacing w:after="0" w:line="480" w:lineRule="auto"/>
        <w:ind w:firstLine="720"/>
        <w:rPr>
          <w:rFonts w:cs="Times New Roman"/>
          <w:szCs w:val="24"/>
        </w:rPr>
      </w:pPr>
      <w:r>
        <w:rPr>
          <w:rFonts w:cs="Times New Roman"/>
          <w:szCs w:val="24"/>
        </w:rPr>
        <w:t>The Settlement relat</w:t>
      </w:r>
      <w:r>
        <w:rPr>
          <w:rFonts w:cs="Times New Roman"/>
          <w:szCs w:val="24"/>
        </w:rPr>
        <w:t xml:space="preserve">es exclusively to non-competitive distribution charges to customers. Mr. Hess’s own analysis demonstrates this. </w:t>
      </w:r>
      <w:r>
        <w:rPr>
          <w:rFonts w:cs="Times New Roman"/>
          <w:szCs w:val="24"/>
        </w:rPr>
        <w:t>In calculating the amount that he proposes to shift to SSO customers, he bas</w:t>
      </w:r>
      <w:r>
        <w:rPr>
          <w:rFonts w:cs="Times New Roman"/>
          <w:szCs w:val="24"/>
        </w:rPr>
        <w:t>es</w:t>
      </w:r>
      <w:r>
        <w:rPr>
          <w:rFonts w:cs="Times New Roman"/>
          <w:szCs w:val="24"/>
        </w:rPr>
        <w:t xml:space="preserve"> his analysis on various </w:t>
      </w:r>
      <w:r w:rsidRPr="004D723F">
        <w:rPr>
          <w:rFonts w:cs="Times New Roman"/>
          <w:szCs w:val="24"/>
        </w:rPr>
        <w:t>distribution</w:t>
      </w:r>
      <w:r>
        <w:rPr>
          <w:rFonts w:cs="Times New Roman"/>
          <w:szCs w:val="24"/>
        </w:rPr>
        <w:t>-related FERC accounts.</w:t>
      </w:r>
      <w:r>
        <w:rPr>
          <w:rStyle w:val="FootnoteReference"/>
          <w:rFonts w:cs="Times New Roman"/>
          <w:szCs w:val="24"/>
        </w:rPr>
        <w:footnoteReference w:id="50"/>
      </w:r>
      <w:r>
        <w:rPr>
          <w:rFonts w:cs="Times New Roman"/>
          <w:szCs w:val="24"/>
        </w:rPr>
        <w:t xml:space="preserve"> Nota</w:t>
      </w:r>
      <w:r>
        <w:rPr>
          <w:rFonts w:cs="Times New Roman"/>
          <w:szCs w:val="24"/>
        </w:rPr>
        <w:t>bly, he does not claim that the expenses in these accounts should be included in DP&amp;L’s electric security plan</w:t>
      </w:r>
      <w:r>
        <w:rPr>
          <w:rFonts w:cs="Times New Roman"/>
          <w:szCs w:val="24"/>
        </w:rPr>
        <w:t xml:space="preserve"> (“ESP”)</w:t>
      </w:r>
      <w:r>
        <w:rPr>
          <w:rFonts w:cs="Times New Roman"/>
          <w:szCs w:val="24"/>
        </w:rPr>
        <w:t>.</w:t>
      </w:r>
    </w:p>
    <w:p w:rsidR="004D723F" w:rsidRDefault="008C00D8" w:rsidP="00A40419">
      <w:pPr>
        <w:spacing w:after="0" w:line="480" w:lineRule="auto"/>
        <w:ind w:firstLine="720"/>
        <w:rPr>
          <w:rFonts w:cs="Times New Roman"/>
          <w:szCs w:val="24"/>
        </w:rPr>
      </w:pPr>
      <w:r>
        <w:rPr>
          <w:rFonts w:cs="Times New Roman"/>
          <w:szCs w:val="24"/>
        </w:rPr>
        <w:t xml:space="preserve">If </w:t>
      </w:r>
      <w:r>
        <w:rPr>
          <w:rFonts w:cs="Times New Roman"/>
          <w:szCs w:val="24"/>
        </w:rPr>
        <w:t>Mr.</w:t>
      </w:r>
      <w:r>
        <w:rPr>
          <w:rFonts w:cs="Times New Roman"/>
          <w:szCs w:val="24"/>
        </w:rPr>
        <w:t xml:space="preserve"> Hess believed that the costs in question were costs for competitive services, then he would have testified that it was wholly improper to include them in distribution-related FERC accounts in the first place. But he does not challenge DP&amp;L’s inclusion of </w:t>
      </w:r>
      <w:r>
        <w:rPr>
          <w:rFonts w:cs="Times New Roman"/>
          <w:szCs w:val="24"/>
        </w:rPr>
        <w:t>these costs in distribution accounts. This fatally undermines IGS’s argument on brief that the Settlement would result in competitive costs being included in non-competitive distribution rates.</w:t>
      </w:r>
      <w:r>
        <w:rPr>
          <w:rStyle w:val="FootnoteReference"/>
          <w:rFonts w:cs="Times New Roman"/>
          <w:szCs w:val="24"/>
        </w:rPr>
        <w:footnoteReference w:id="51"/>
      </w:r>
    </w:p>
    <w:p w:rsidR="004D723F" w:rsidRPr="004D723F" w:rsidRDefault="008C00D8" w:rsidP="00A40419">
      <w:pPr>
        <w:spacing w:after="0" w:line="480" w:lineRule="auto"/>
        <w:ind w:firstLine="720"/>
        <w:rPr>
          <w:rFonts w:cs="Times New Roman"/>
          <w:szCs w:val="24"/>
        </w:rPr>
      </w:pPr>
      <w:r>
        <w:rPr>
          <w:rFonts w:cs="Times New Roman"/>
          <w:szCs w:val="24"/>
        </w:rPr>
        <w:t>IGS is right that the PUCO should not charge customers for co</w:t>
      </w:r>
      <w:r>
        <w:rPr>
          <w:rFonts w:cs="Times New Roman"/>
          <w:szCs w:val="24"/>
        </w:rPr>
        <w:t xml:space="preserve">mpetitive services through monopoly distribution rates. </w:t>
      </w:r>
      <w:r>
        <w:rPr>
          <w:rFonts w:cs="Times New Roman"/>
          <w:szCs w:val="24"/>
        </w:rPr>
        <w:t xml:space="preserve">But in this case, the distribution rates in the Settlement do not include charges for competitive services. </w:t>
      </w:r>
      <w:r>
        <w:rPr>
          <w:rFonts w:cs="Times New Roman"/>
          <w:szCs w:val="24"/>
        </w:rPr>
        <w:t xml:space="preserve">The Settlement complies with </w:t>
      </w:r>
      <w:r>
        <w:rPr>
          <w:rFonts w:cs="Times New Roman"/>
          <w:szCs w:val="24"/>
        </w:rPr>
        <w:lastRenderedPageBreak/>
        <w:t>the law by charging customers only for distribution-related ser</w:t>
      </w:r>
      <w:r>
        <w:rPr>
          <w:rFonts w:cs="Times New Roman"/>
          <w:szCs w:val="24"/>
        </w:rPr>
        <w:t>vices through base distribution rates.</w:t>
      </w:r>
    </w:p>
    <w:p w:rsidR="00A40419" w:rsidRPr="006F62B7" w:rsidRDefault="008C00D8" w:rsidP="00740211">
      <w:pPr>
        <w:pStyle w:val="Heading2"/>
      </w:pPr>
      <w:bookmarkStart w:id="14" w:name="_Toc523152235"/>
      <w:r>
        <w:t>C.</w:t>
      </w:r>
      <w:r>
        <w:tab/>
        <w:t>R.C. 4928.143(B)(2)(g) does not require the PUCO to adopt the Marketers’ proposal to increase costs to SSO customers.</w:t>
      </w:r>
      <w:bookmarkEnd w:id="14"/>
    </w:p>
    <w:p w:rsidR="006F62B7" w:rsidRDefault="008C00D8" w:rsidP="006F62B7">
      <w:pPr>
        <w:spacing w:after="0" w:line="480" w:lineRule="auto"/>
        <w:ind w:firstLine="720"/>
        <w:rPr>
          <w:rFonts w:cs="Times New Roman"/>
          <w:szCs w:val="24"/>
        </w:rPr>
      </w:pPr>
      <w:r>
        <w:rPr>
          <w:rFonts w:cs="Times New Roman"/>
          <w:szCs w:val="24"/>
        </w:rPr>
        <w:t xml:space="preserve">IGS cites R.C. 4928.143(B)(2)(g) and suggests that it requires the PUCO to adopt the Marketers’ </w:t>
      </w:r>
      <w:r>
        <w:rPr>
          <w:rFonts w:cs="Times New Roman"/>
          <w:szCs w:val="24"/>
        </w:rPr>
        <w:t>unbundling proposal.</w:t>
      </w:r>
      <w:r>
        <w:rPr>
          <w:rStyle w:val="FootnoteReference"/>
          <w:rFonts w:cs="Times New Roman"/>
          <w:szCs w:val="24"/>
        </w:rPr>
        <w:footnoteReference w:id="52"/>
      </w:r>
      <w:r>
        <w:rPr>
          <w:rFonts w:cs="Times New Roman"/>
          <w:szCs w:val="24"/>
        </w:rPr>
        <w:t xml:space="preserve"> But IGS misreads this statute. It says nothing at all about how a utility may charge SSO or shopping customers for distribution service.</w:t>
      </w:r>
    </w:p>
    <w:p w:rsidR="00B012EC" w:rsidRDefault="008C00D8" w:rsidP="006F62B7">
      <w:pPr>
        <w:spacing w:after="0" w:line="480" w:lineRule="auto"/>
        <w:ind w:firstLine="720"/>
        <w:rPr>
          <w:rFonts w:cs="Times New Roman"/>
          <w:szCs w:val="24"/>
        </w:rPr>
      </w:pPr>
      <w:r>
        <w:rPr>
          <w:rFonts w:cs="Times New Roman"/>
          <w:szCs w:val="24"/>
        </w:rPr>
        <w:t xml:space="preserve">R.C. 4928.143(B)(2) is a list of the types of </w:t>
      </w:r>
      <w:r>
        <w:rPr>
          <w:rFonts w:cs="Times New Roman"/>
          <w:szCs w:val="24"/>
        </w:rPr>
        <w:t>items</w:t>
      </w:r>
      <w:r>
        <w:rPr>
          <w:rFonts w:cs="Times New Roman"/>
          <w:szCs w:val="24"/>
        </w:rPr>
        <w:t xml:space="preserve"> that may </w:t>
      </w:r>
      <w:r>
        <w:rPr>
          <w:rFonts w:cs="Times New Roman"/>
          <w:szCs w:val="24"/>
        </w:rPr>
        <w:t xml:space="preserve">be </w:t>
      </w:r>
      <w:r>
        <w:rPr>
          <w:rFonts w:cs="Times New Roman"/>
          <w:szCs w:val="24"/>
        </w:rPr>
        <w:t>include</w:t>
      </w:r>
      <w:r>
        <w:rPr>
          <w:rFonts w:cs="Times New Roman"/>
          <w:szCs w:val="24"/>
        </w:rPr>
        <w:t>d</w:t>
      </w:r>
      <w:r>
        <w:rPr>
          <w:rFonts w:cs="Times New Roman"/>
          <w:szCs w:val="24"/>
        </w:rPr>
        <w:t xml:space="preserve"> in an electric security </w:t>
      </w:r>
      <w:r>
        <w:rPr>
          <w:rFonts w:cs="Times New Roman"/>
          <w:szCs w:val="24"/>
        </w:rPr>
        <w:t>plan. Notably, subsection (B)(2) is discretionary and not limiting; it provides that an electric security plan “</w:t>
      </w:r>
      <w:r w:rsidRPr="00B012EC">
        <w:rPr>
          <w:rFonts w:cs="Times New Roman"/>
          <w:szCs w:val="24"/>
        </w:rPr>
        <w:t>may provide</w:t>
      </w:r>
      <w:r>
        <w:rPr>
          <w:rFonts w:cs="Times New Roman"/>
          <w:szCs w:val="24"/>
        </w:rPr>
        <w:t>” the enumerated provisions “</w:t>
      </w:r>
      <w:r w:rsidRPr="00B012EC">
        <w:rPr>
          <w:rFonts w:cs="Times New Roman"/>
          <w:szCs w:val="24"/>
        </w:rPr>
        <w:t>without limitation</w:t>
      </w:r>
      <w:r>
        <w:rPr>
          <w:rFonts w:cs="Times New Roman"/>
          <w:szCs w:val="24"/>
        </w:rPr>
        <w:t>.”</w:t>
      </w:r>
      <w:r>
        <w:rPr>
          <w:rStyle w:val="FootnoteReference"/>
          <w:rFonts w:cs="Times New Roman"/>
          <w:szCs w:val="24"/>
        </w:rPr>
        <w:footnoteReference w:id="53"/>
      </w:r>
      <w:r>
        <w:rPr>
          <w:rFonts w:cs="Times New Roman"/>
          <w:szCs w:val="24"/>
        </w:rPr>
        <w:t xml:space="preserve"> In contrast, the immediately preceding subsection (B)(1) includes mandatory requirements for what must be included in an electric security plan.</w:t>
      </w:r>
      <w:r>
        <w:rPr>
          <w:rStyle w:val="FootnoteReference"/>
          <w:rFonts w:cs="Times New Roman"/>
          <w:szCs w:val="24"/>
        </w:rPr>
        <w:footnoteReference w:id="54"/>
      </w:r>
    </w:p>
    <w:p w:rsidR="006F62B7" w:rsidRDefault="008C00D8" w:rsidP="006F62B7">
      <w:pPr>
        <w:spacing w:after="0" w:line="480" w:lineRule="auto"/>
        <w:ind w:firstLine="720"/>
        <w:rPr>
          <w:rFonts w:cs="Times New Roman"/>
          <w:szCs w:val="24"/>
        </w:rPr>
      </w:pPr>
      <w:r>
        <w:rPr>
          <w:rFonts w:cs="Times New Roman"/>
          <w:szCs w:val="24"/>
        </w:rPr>
        <w:t xml:space="preserve">One of the things that an </w:t>
      </w:r>
      <w:r>
        <w:rPr>
          <w:rFonts w:cs="Times New Roman"/>
          <w:szCs w:val="24"/>
        </w:rPr>
        <w:t>ESP</w:t>
      </w:r>
      <w:r>
        <w:rPr>
          <w:rFonts w:cs="Times New Roman"/>
          <w:szCs w:val="24"/>
        </w:rPr>
        <w:t xml:space="preserve"> </w:t>
      </w:r>
      <w:r>
        <w:rPr>
          <w:rFonts w:cs="Times New Roman"/>
          <w:i/>
          <w:szCs w:val="24"/>
        </w:rPr>
        <w:t>may</w:t>
      </w:r>
      <w:r>
        <w:rPr>
          <w:rFonts w:cs="Times New Roman"/>
          <w:szCs w:val="24"/>
        </w:rPr>
        <w:t xml:space="preserve"> provide is a provision “relating to transmission, ancillary, congestion, or</w:t>
      </w:r>
      <w:r>
        <w:rPr>
          <w:rFonts w:cs="Times New Roman"/>
          <w:szCs w:val="24"/>
        </w:rPr>
        <w:t xml:space="preserve"> any related service required for the standard service offer, including provisions for the recovery of any cost of such service that the electric distribution utility incurs on or after that date pursuant to the standard service offer.”</w:t>
      </w:r>
      <w:r>
        <w:rPr>
          <w:rStyle w:val="FootnoteReference"/>
          <w:rFonts w:cs="Times New Roman"/>
          <w:szCs w:val="24"/>
        </w:rPr>
        <w:footnoteReference w:id="55"/>
      </w:r>
      <w:r>
        <w:rPr>
          <w:rFonts w:cs="Times New Roman"/>
          <w:szCs w:val="24"/>
        </w:rPr>
        <w:t xml:space="preserve"> This is the statut</w:t>
      </w:r>
      <w:r>
        <w:rPr>
          <w:rFonts w:cs="Times New Roman"/>
          <w:szCs w:val="24"/>
        </w:rPr>
        <w:t xml:space="preserve">e that IGS cites, purportedly for the proposition that the law </w:t>
      </w:r>
      <w:r w:rsidRPr="00434F06">
        <w:rPr>
          <w:rFonts w:cs="Times New Roman"/>
          <w:szCs w:val="24"/>
        </w:rPr>
        <w:t xml:space="preserve">requires all </w:t>
      </w:r>
      <w:r>
        <w:rPr>
          <w:rFonts w:cs="Times New Roman"/>
          <w:szCs w:val="24"/>
        </w:rPr>
        <w:t xml:space="preserve">SSO costs to be included in an </w:t>
      </w:r>
      <w:r>
        <w:rPr>
          <w:rFonts w:cs="Times New Roman"/>
          <w:szCs w:val="24"/>
        </w:rPr>
        <w:t>ESP</w:t>
      </w:r>
      <w:r>
        <w:rPr>
          <w:rFonts w:cs="Times New Roman"/>
          <w:szCs w:val="24"/>
        </w:rPr>
        <w:t>.</w:t>
      </w:r>
      <w:r>
        <w:rPr>
          <w:rStyle w:val="FootnoteReference"/>
          <w:rFonts w:cs="Times New Roman"/>
          <w:szCs w:val="24"/>
        </w:rPr>
        <w:footnoteReference w:id="56"/>
      </w:r>
      <w:r>
        <w:rPr>
          <w:rFonts w:cs="Times New Roman"/>
          <w:szCs w:val="24"/>
        </w:rPr>
        <w:t xml:space="preserve"> But this is not what the statute says. </w:t>
      </w:r>
      <w:r>
        <w:rPr>
          <w:rFonts w:cs="Times New Roman"/>
          <w:szCs w:val="24"/>
        </w:rPr>
        <w:lastRenderedPageBreak/>
        <w:t>The statute merely says that a utility may, at its discretion, include in its electric security plan a r</w:t>
      </w:r>
      <w:r>
        <w:rPr>
          <w:rFonts w:cs="Times New Roman"/>
          <w:szCs w:val="24"/>
        </w:rPr>
        <w:t>equest to recover SSO costs through the plan.</w:t>
      </w:r>
    </w:p>
    <w:p w:rsidR="00B012EC" w:rsidRPr="00B012EC" w:rsidRDefault="008C00D8" w:rsidP="006F62B7">
      <w:pPr>
        <w:spacing w:after="0" w:line="480" w:lineRule="auto"/>
        <w:ind w:firstLine="720"/>
        <w:rPr>
          <w:rFonts w:cs="Times New Roman"/>
          <w:szCs w:val="24"/>
        </w:rPr>
      </w:pPr>
      <w:r>
        <w:rPr>
          <w:rFonts w:cs="Times New Roman"/>
          <w:szCs w:val="24"/>
        </w:rPr>
        <w:t xml:space="preserve">Indeed, DP&amp;L does in fact charge customers a substantial amount for SSO service under its electric security plan. </w:t>
      </w:r>
      <w:r>
        <w:t>SSO customers are charged for their SSO generation costs through a bypassable generation rider c</w:t>
      </w:r>
      <w:r>
        <w:t>alled the Standard Offer Rate rider, not through base rates.</w:t>
      </w:r>
      <w:r>
        <w:rPr>
          <w:rStyle w:val="FootnoteReference"/>
        </w:rPr>
        <w:footnoteReference w:id="57"/>
      </w:r>
      <w:r>
        <w:t xml:space="preserve"> A typical residential SSO customer using 1,000 kWh per month would be charged $55.62 per month under this rider for its SSO generation charges.</w:t>
      </w:r>
      <w:r>
        <w:rPr>
          <w:rStyle w:val="FootnoteReference"/>
        </w:rPr>
        <w:footnoteReference w:id="58"/>
      </w:r>
      <w:r>
        <w:t xml:space="preserve"> These generation charges are paid exclusively by </w:t>
      </w:r>
      <w:r>
        <w:t>SSO customers, so there is no subsidy.</w:t>
      </w:r>
    </w:p>
    <w:p w:rsidR="006F62B7" w:rsidRDefault="008C00D8" w:rsidP="006F62B7">
      <w:pPr>
        <w:spacing w:after="0" w:line="480" w:lineRule="auto"/>
        <w:ind w:firstLine="720"/>
        <w:rPr>
          <w:rFonts w:cs="Times New Roman"/>
          <w:szCs w:val="24"/>
        </w:rPr>
      </w:pPr>
      <w:r>
        <w:rPr>
          <w:rFonts w:cs="Times New Roman"/>
          <w:szCs w:val="24"/>
        </w:rPr>
        <w:t xml:space="preserve">The PUCO should reject IGS’s </w:t>
      </w:r>
      <w:r>
        <w:rPr>
          <w:rFonts w:cs="Times New Roman"/>
          <w:szCs w:val="24"/>
        </w:rPr>
        <w:t>erroneous</w:t>
      </w:r>
      <w:r>
        <w:rPr>
          <w:rFonts w:cs="Times New Roman"/>
          <w:szCs w:val="24"/>
        </w:rPr>
        <w:t xml:space="preserve"> interpretation of R.C. 4928.143(B)(2)(g). This statute does not prohibit a utility from recovering distribution costs from customers simply because </w:t>
      </w:r>
      <w:r>
        <w:rPr>
          <w:rFonts w:cs="Times New Roman"/>
          <w:szCs w:val="24"/>
        </w:rPr>
        <w:t>they</w:t>
      </w:r>
      <w:r>
        <w:rPr>
          <w:rFonts w:cs="Times New Roman"/>
          <w:szCs w:val="24"/>
        </w:rPr>
        <w:t xml:space="preserve"> </w:t>
      </w:r>
      <w:r>
        <w:rPr>
          <w:rFonts w:cs="Times New Roman"/>
          <w:szCs w:val="24"/>
        </w:rPr>
        <w:t>are</w:t>
      </w:r>
      <w:r>
        <w:rPr>
          <w:rFonts w:cs="Times New Roman"/>
          <w:szCs w:val="24"/>
        </w:rPr>
        <w:t xml:space="preserve"> SSO customers.</w:t>
      </w:r>
    </w:p>
    <w:p w:rsidR="00F94EAD" w:rsidRPr="00F94EAD" w:rsidRDefault="008C00D8" w:rsidP="00740211">
      <w:pPr>
        <w:pStyle w:val="Heading2"/>
      </w:pPr>
      <w:bookmarkStart w:id="15" w:name="_Toc523152236"/>
      <w:r>
        <w:t>D.</w:t>
      </w:r>
      <w:r>
        <w:tab/>
      </w:r>
      <w:r>
        <w:t>Sta</w:t>
      </w:r>
      <w:r>
        <w:t>te policies under R.C. 4928.02 support approval of the Settlement, not the Marketers’ proposal to increase costs to SSO customers.</w:t>
      </w:r>
      <w:bookmarkEnd w:id="15"/>
    </w:p>
    <w:p w:rsidR="00A57872" w:rsidRDefault="008C00D8" w:rsidP="007B7B25">
      <w:pPr>
        <w:spacing w:after="0" w:line="480" w:lineRule="auto"/>
        <w:ind w:firstLine="720"/>
      </w:pPr>
      <w:r>
        <w:t xml:space="preserve">The Marketers’ argue that state energy policies under R.C. 4928.02 support their proposal to increase costs to SSO customers </w:t>
      </w:r>
      <w:r>
        <w:t>and that the Settlement contradicts these policies.</w:t>
      </w:r>
      <w:r>
        <w:rPr>
          <w:rStyle w:val="FootnoteReference"/>
        </w:rPr>
        <w:footnoteReference w:id="59"/>
      </w:r>
      <w:r>
        <w:t xml:space="preserve"> The Marketers are wrong. </w:t>
      </w:r>
      <w:r>
        <w:t>The policies support the Settlement, and the Marketers’ proposal would violate those state policies.</w:t>
      </w:r>
    </w:p>
    <w:p w:rsidR="007B7B25" w:rsidRDefault="008C00D8" w:rsidP="007B7B25">
      <w:pPr>
        <w:spacing w:after="0" w:line="480" w:lineRule="auto"/>
        <w:ind w:firstLine="720"/>
      </w:pPr>
      <w:r>
        <w:t xml:space="preserve">R.C. 4928.02(A) provides that it is state policy to ensure the “availability </w:t>
      </w:r>
      <w:r>
        <w:t xml:space="preserve">to consumers of adequate, reliable, safe, efficient, nondiscriminatory, and reasonably priced </w:t>
      </w:r>
      <w:r>
        <w:lastRenderedPageBreak/>
        <w:t>retail electric service.” The Settlement supports this policy by protecting the SSO, which is a market-based generation offer available to all customers. The Sett</w:t>
      </w:r>
      <w:r>
        <w:t>lement does not adopt the Marketers’ proposal to increase costs to SSO customers, which would discriminate against SSO customers and result in unjust and unreasonable distribution charges to SSO customers.</w:t>
      </w:r>
    </w:p>
    <w:p w:rsidR="0036694D" w:rsidRDefault="008C00D8" w:rsidP="007B7B25">
      <w:pPr>
        <w:spacing w:after="0" w:line="480" w:lineRule="auto"/>
        <w:ind w:firstLine="720"/>
      </w:pPr>
      <w:r>
        <w:t>R.C. 4928.02(B) provides that it is state policy t</w:t>
      </w:r>
      <w:r>
        <w:t xml:space="preserve">o ensure the “availability of unbundled and comparable retail electric service that provides consumers with the supplier, price, terms, conditions, and quality options they elect to meet their respective needs.” The Settlement supports this policy because </w:t>
      </w:r>
      <w:r>
        <w:t>under the Settlement, customers retain the option to shop or to obtain generation from the competitively-priced SSO.</w:t>
      </w:r>
    </w:p>
    <w:p w:rsidR="0036694D" w:rsidRDefault="008C00D8" w:rsidP="007B7B25">
      <w:pPr>
        <w:spacing w:after="0" w:line="480" w:lineRule="auto"/>
        <w:ind w:firstLine="720"/>
      </w:pPr>
      <w:r>
        <w:t>R.C. 4928.02(H) provides that it is state policy to ensure “effective competition in the provision of retail electric service by avoiding a</w:t>
      </w:r>
      <w:r>
        <w:t>nticompetitive subsidies flowing from a noncompetitive retail electric service to a competitive retail electric service or to a product or service other than retail electric service, and vice versa.” The Marketers’ proposal would violate this policy by art</w:t>
      </w:r>
      <w:r>
        <w:t>ificially increasing the cost of the SSO, thus distorting the market for generation in Ohio.</w:t>
      </w:r>
    </w:p>
    <w:p w:rsidR="00D715C6" w:rsidRDefault="008C00D8" w:rsidP="00D715C6">
      <w:pPr>
        <w:spacing w:after="0" w:line="240" w:lineRule="auto"/>
        <w:ind w:firstLine="720"/>
      </w:pPr>
    </w:p>
    <w:p w:rsidR="00517B28" w:rsidRPr="0070059A" w:rsidRDefault="008C00D8" w:rsidP="00D715C6">
      <w:pPr>
        <w:pStyle w:val="Heading1"/>
      </w:pPr>
      <w:bookmarkStart w:id="16" w:name="_Toc496786176"/>
      <w:bookmarkStart w:id="17" w:name="_Toc511223240"/>
      <w:bookmarkStart w:id="18" w:name="_Toc523152237"/>
      <w:r>
        <w:t>II</w:t>
      </w:r>
      <w:r w:rsidRPr="0070059A">
        <w:t>.</w:t>
      </w:r>
      <w:r w:rsidRPr="0070059A">
        <w:tab/>
        <w:t>CONCLUSION</w:t>
      </w:r>
      <w:bookmarkEnd w:id="16"/>
      <w:bookmarkEnd w:id="17"/>
      <w:bookmarkEnd w:id="18"/>
    </w:p>
    <w:p w:rsidR="00517B28" w:rsidRDefault="008C00D8" w:rsidP="00517B28">
      <w:pPr>
        <w:spacing w:after="0" w:line="480" w:lineRule="auto"/>
        <w:ind w:firstLine="720"/>
        <w:rPr>
          <w:rFonts w:cs="Times New Roman"/>
          <w:szCs w:val="24"/>
        </w:rPr>
      </w:pPr>
      <w:r>
        <w:rPr>
          <w:rFonts w:cs="Times New Roman"/>
          <w:szCs w:val="24"/>
        </w:rPr>
        <w:t>The PUCO should approve the Settlement in this case because it passes the PUCO’s three-prong test for settlements.</w:t>
      </w:r>
      <w:r>
        <w:rPr>
          <w:rStyle w:val="FootnoteReference"/>
          <w:rFonts w:cs="Times New Roman"/>
          <w:szCs w:val="24"/>
        </w:rPr>
        <w:footnoteReference w:id="60"/>
      </w:r>
      <w:r>
        <w:rPr>
          <w:rFonts w:cs="Times New Roman"/>
          <w:szCs w:val="24"/>
        </w:rPr>
        <w:t xml:space="preserve"> The PUCO should not modify the Settlement to adopt the Marketers’ unjust and unreasonable proposal to artificially increase the cost that SSO customers pay for distribution service. The standard service offer is an </w:t>
      </w:r>
      <w:r>
        <w:rPr>
          <w:rFonts w:cs="Times New Roman"/>
          <w:szCs w:val="24"/>
        </w:rPr>
        <w:lastRenderedPageBreak/>
        <w:t>important option for all customers to us</w:t>
      </w:r>
      <w:r>
        <w:rPr>
          <w:rFonts w:cs="Times New Roman"/>
          <w:szCs w:val="24"/>
        </w:rPr>
        <w:t xml:space="preserve">e as a </w:t>
      </w:r>
      <w:r>
        <w:rPr>
          <w:rFonts w:cs="Times New Roman"/>
          <w:szCs w:val="24"/>
        </w:rPr>
        <w:t>default generation service and as a price</w:t>
      </w:r>
      <w:r>
        <w:rPr>
          <w:rFonts w:cs="Times New Roman"/>
          <w:szCs w:val="24"/>
        </w:rPr>
        <w:t>-</w:t>
      </w:r>
      <w:r>
        <w:rPr>
          <w:rFonts w:cs="Times New Roman"/>
          <w:szCs w:val="24"/>
        </w:rPr>
        <w:t>to</w:t>
      </w:r>
      <w:r>
        <w:rPr>
          <w:rFonts w:cs="Times New Roman"/>
          <w:szCs w:val="24"/>
        </w:rPr>
        <w:t>-</w:t>
      </w:r>
      <w:r>
        <w:rPr>
          <w:rFonts w:cs="Times New Roman"/>
          <w:szCs w:val="24"/>
        </w:rPr>
        <w:t xml:space="preserve">compare when considering offers from marketers. It is competitively </w:t>
      </w:r>
      <w:r>
        <w:rPr>
          <w:rFonts w:cs="Times New Roman"/>
          <w:szCs w:val="24"/>
        </w:rPr>
        <w:t>sourced,</w:t>
      </w:r>
      <w:r>
        <w:rPr>
          <w:rFonts w:cs="Times New Roman"/>
          <w:szCs w:val="24"/>
        </w:rPr>
        <w:t xml:space="preserve"> and market based. The Marketers’ proposal would manipulate markets in their favor. The PUCO should reject their approach and ap</w:t>
      </w:r>
      <w:r>
        <w:rPr>
          <w:rFonts w:cs="Times New Roman"/>
          <w:szCs w:val="24"/>
        </w:rPr>
        <w:t>prove the Settlement without modification.</w:t>
      </w:r>
    </w:p>
    <w:p w:rsidR="004D4F46" w:rsidRDefault="008C00D8" w:rsidP="00517B28">
      <w:pPr>
        <w:ind w:firstLine="4320"/>
        <w:rPr>
          <w:rFonts w:cs="Times New Roman"/>
          <w:szCs w:val="24"/>
        </w:rPr>
      </w:pPr>
    </w:p>
    <w:p w:rsidR="00DE5397" w:rsidRDefault="008C00D8">
      <w:pPr>
        <w:rPr>
          <w:rFonts w:cs="Times New Roman"/>
          <w:szCs w:val="24"/>
        </w:rPr>
      </w:pPr>
    </w:p>
    <w:p w:rsidR="00517B28" w:rsidRPr="0070059A" w:rsidRDefault="008C00D8" w:rsidP="00517B28">
      <w:pPr>
        <w:ind w:firstLine="4320"/>
        <w:rPr>
          <w:rFonts w:cs="Times New Roman"/>
          <w:szCs w:val="24"/>
        </w:rPr>
      </w:pPr>
      <w:r w:rsidRPr="0070059A">
        <w:rPr>
          <w:rFonts w:cs="Times New Roman"/>
          <w:szCs w:val="24"/>
        </w:rPr>
        <w:t>Respectfully submitted,</w:t>
      </w:r>
    </w:p>
    <w:p w:rsidR="00517B28" w:rsidRPr="0070059A" w:rsidRDefault="008C00D8" w:rsidP="00517B28">
      <w:pPr>
        <w:spacing w:after="0" w:line="240" w:lineRule="auto"/>
        <w:ind w:left="3600" w:firstLine="720"/>
        <w:rPr>
          <w:rFonts w:eastAsiaTheme="minorEastAsia" w:cs="Times New Roman"/>
          <w:szCs w:val="24"/>
        </w:rPr>
      </w:pPr>
      <w:r w:rsidRPr="0070059A">
        <w:rPr>
          <w:rFonts w:eastAsiaTheme="minorEastAsia" w:cs="Times New Roman"/>
          <w:szCs w:val="24"/>
        </w:rPr>
        <w:t>BRUCE WESTON (0016973)</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OHIO CONSUMERS</w:t>
      </w:r>
      <w:r>
        <w:rPr>
          <w:rFonts w:eastAsiaTheme="minorEastAsia" w:cs="Times New Roman"/>
          <w:szCs w:val="24"/>
        </w:rPr>
        <w:t>’</w:t>
      </w:r>
      <w:r w:rsidRPr="0070059A">
        <w:rPr>
          <w:rFonts w:eastAsiaTheme="minorEastAsia" w:cs="Times New Roman"/>
          <w:szCs w:val="24"/>
        </w:rPr>
        <w:t xml:space="preserve"> COUNSEL</w:t>
      </w:r>
    </w:p>
    <w:p w:rsidR="00517B28" w:rsidRPr="0070059A" w:rsidRDefault="008C00D8" w:rsidP="00517B28">
      <w:pPr>
        <w:spacing w:after="0" w:line="240" w:lineRule="auto"/>
        <w:ind w:firstLine="4320"/>
        <w:rPr>
          <w:rFonts w:eastAsiaTheme="minorEastAsia" w:cs="Times New Roman"/>
          <w:szCs w:val="24"/>
        </w:rPr>
      </w:pPr>
    </w:p>
    <w:p w:rsidR="00517B28" w:rsidRPr="00A00BDB" w:rsidRDefault="008C00D8" w:rsidP="00517B28">
      <w:pPr>
        <w:spacing w:after="0" w:line="240" w:lineRule="auto"/>
        <w:ind w:firstLine="4320"/>
        <w:rPr>
          <w:rFonts w:eastAsiaTheme="minorEastAsia" w:cs="Times New Roman"/>
          <w:i/>
          <w:szCs w:val="24"/>
          <w:u w:val="single"/>
        </w:rPr>
      </w:pPr>
      <w:r>
        <w:rPr>
          <w:rFonts w:eastAsiaTheme="minorEastAsia" w:cs="Times New Roman"/>
          <w:i/>
          <w:szCs w:val="24"/>
          <w:u w:val="single"/>
        </w:rPr>
        <w:t>/s/ Christopher Healey</w:t>
      </w:r>
      <w:r>
        <w:rPr>
          <w:rFonts w:eastAsiaTheme="minorEastAsia" w:cs="Times New Roman"/>
          <w:i/>
          <w:szCs w:val="24"/>
          <w:u w:val="single"/>
        </w:rPr>
        <w:tab/>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Christopher Healey (0086027)</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Counsel of Record</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Terry L. Etter (0067445)</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Assistant Consumers</w:t>
      </w:r>
      <w:r>
        <w:rPr>
          <w:rFonts w:eastAsiaTheme="minorEastAsia" w:cs="Times New Roman"/>
          <w:szCs w:val="24"/>
        </w:rPr>
        <w:t>’</w:t>
      </w:r>
      <w:r w:rsidRPr="0070059A">
        <w:rPr>
          <w:rFonts w:eastAsiaTheme="minorEastAsia" w:cs="Times New Roman"/>
          <w:szCs w:val="24"/>
        </w:rPr>
        <w:t xml:space="preserve"> Counsel</w:t>
      </w:r>
    </w:p>
    <w:p w:rsidR="00517B28" w:rsidRPr="0070059A" w:rsidRDefault="008C00D8" w:rsidP="00517B28">
      <w:pPr>
        <w:spacing w:after="0" w:line="240" w:lineRule="auto"/>
        <w:ind w:firstLine="4320"/>
        <w:rPr>
          <w:rFonts w:eastAsiaTheme="minorEastAsia" w:cs="Times New Roman"/>
          <w:szCs w:val="24"/>
        </w:rPr>
      </w:pPr>
    </w:p>
    <w:p w:rsidR="00517B28" w:rsidRPr="0070059A" w:rsidRDefault="008C00D8" w:rsidP="00517B28">
      <w:pPr>
        <w:spacing w:after="0" w:line="240" w:lineRule="auto"/>
        <w:ind w:firstLine="4320"/>
        <w:rPr>
          <w:rFonts w:eastAsiaTheme="minorEastAsia" w:cs="Times New Roman"/>
          <w:b/>
          <w:szCs w:val="24"/>
        </w:rPr>
      </w:pPr>
      <w:r w:rsidRPr="0070059A">
        <w:rPr>
          <w:rFonts w:eastAsiaTheme="minorEastAsia" w:cs="Times New Roman"/>
          <w:b/>
          <w:szCs w:val="24"/>
        </w:rPr>
        <w:t>Office of the</w:t>
      </w:r>
      <w:r w:rsidRPr="0070059A">
        <w:rPr>
          <w:rFonts w:eastAsiaTheme="minorEastAsia" w:cs="Times New Roman"/>
          <w:b/>
          <w:szCs w:val="24"/>
        </w:rPr>
        <w:t xml:space="preserve"> Ohio Consumers</w:t>
      </w:r>
      <w:r>
        <w:rPr>
          <w:rFonts w:eastAsiaTheme="minorEastAsia" w:cs="Times New Roman"/>
          <w:b/>
          <w:szCs w:val="24"/>
        </w:rPr>
        <w:t>’</w:t>
      </w:r>
      <w:r w:rsidRPr="0070059A">
        <w:rPr>
          <w:rFonts w:eastAsiaTheme="minorEastAsia" w:cs="Times New Roman"/>
          <w:b/>
          <w:szCs w:val="24"/>
        </w:rPr>
        <w:t xml:space="preserve"> Counsel</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65 East State Street, 7th Floor</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Columbus, Ohio 43215</w:t>
      </w:r>
      <w:r>
        <w:rPr>
          <w:rFonts w:eastAsiaTheme="minorEastAsia" w:cs="Times New Roman"/>
          <w:szCs w:val="24"/>
        </w:rPr>
        <w:t>-4213</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Telephone [Healey]: 614-466-9571</w:t>
      </w:r>
    </w:p>
    <w:p w:rsidR="00517B28" w:rsidRPr="0070059A" w:rsidRDefault="008C00D8" w:rsidP="00517B28">
      <w:pPr>
        <w:spacing w:after="0" w:line="240" w:lineRule="auto"/>
        <w:ind w:firstLine="4320"/>
        <w:rPr>
          <w:rFonts w:eastAsiaTheme="minorEastAsia" w:cs="Times New Roman"/>
          <w:szCs w:val="24"/>
        </w:rPr>
      </w:pPr>
      <w:r w:rsidRPr="0070059A">
        <w:rPr>
          <w:rFonts w:eastAsiaTheme="minorEastAsia" w:cs="Times New Roman"/>
          <w:szCs w:val="24"/>
        </w:rPr>
        <w:t>Telephone [Etter]: 614-466-7964</w:t>
      </w:r>
    </w:p>
    <w:p w:rsidR="00517B28" w:rsidRPr="0070059A" w:rsidRDefault="008C00D8" w:rsidP="00517B28">
      <w:pPr>
        <w:spacing w:after="0" w:line="240" w:lineRule="auto"/>
        <w:ind w:firstLine="4320"/>
        <w:rPr>
          <w:rStyle w:val="Hyperlink"/>
          <w:rFonts w:eastAsiaTheme="minorEastAsia" w:cs="Times New Roman"/>
          <w:szCs w:val="24"/>
        </w:rPr>
      </w:pPr>
      <w:r w:rsidRPr="0070059A">
        <w:rPr>
          <w:rFonts w:eastAsiaTheme="minorEastAsia" w:cs="Times New Roman"/>
          <w:szCs w:val="24"/>
        </w:rPr>
        <w:t>christopher.healey@occ.ohio.gov</w:t>
      </w:r>
    </w:p>
    <w:p w:rsidR="00517B28" w:rsidRPr="0070059A" w:rsidRDefault="008C00D8" w:rsidP="00517B28">
      <w:pPr>
        <w:spacing w:after="0" w:line="240" w:lineRule="auto"/>
        <w:ind w:firstLine="4320"/>
        <w:rPr>
          <w:rFonts w:eastAsiaTheme="minorEastAsia" w:cs="Times New Roman"/>
          <w:color w:val="0000FF"/>
          <w:szCs w:val="24"/>
          <w:u w:val="single"/>
        </w:rPr>
      </w:pPr>
      <w:r w:rsidRPr="0070059A">
        <w:rPr>
          <w:rFonts w:eastAsiaTheme="minorEastAsia" w:cs="Times New Roman"/>
          <w:szCs w:val="24"/>
        </w:rPr>
        <w:t>terry.etter@occ.ohio.gov</w:t>
      </w:r>
    </w:p>
    <w:p w:rsidR="00517B28" w:rsidRDefault="008C00D8" w:rsidP="00517B28">
      <w:pPr>
        <w:ind w:firstLine="4320"/>
        <w:rPr>
          <w:rFonts w:eastAsiaTheme="minorEastAsia" w:cs="Times New Roman"/>
          <w:szCs w:val="24"/>
        </w:rPr>
        <w:sectPr w:rsidR="00517B28" w:rsidSect="00740211">
          <w:footerReference w:type="default" r:id="rId11"/>
          <w:pgSz w:w="12240" w:h="15840"/>
          <w:pgMar w:top="1440" w:right="1800" w:bottom="1440" w:left="1800" w:header="720" w:footer="720" w:gutter="0"/>
          <w:pgNumType w:start="2"/>
          <w:cols w:space="720"/>
          <w:docGrid w:linePitch="360"/>
        </w:sectPr>
      </w:pPr>
      <w:r w:rsidRPr="0070059A">
        <w:rPr>
          <w:rFonts w:eastAsiaTheme="minorEastAsia" w:cs="Times New Roman"/>
          <w:szCs w:val="24"/>
        </w:rPr>
        <w:t>(</w:t>
      </w:r>
      <w:r>
        <w:rPr>
          <w:rFonts w:eastAsiaTheme="minorEastAsia" w:cs="Times New Roman"/>
          <w:szCs w:val="24"/>
        </w:rPr>
        <w:t>wi</w:t>
      </w:r>
      <w:r>
        <w:rPr>
          <w:rFonts w:eastAsiaTheme="minorEastAsia" w:cs="Times New Roman"/>
          <w:szCs w:val="24"/>
        </w:rPr>
        <w:t>ll accept service via email</w:t>
      </w:r>
      <w:r w:rsidRPr="0070059A">
        <w:rPr>
          <w:rFonts w:eastAsiaTheme="minorEastAsia" w:cs="Times New Roman"/>
          <w:szCs w:val="24"/>
        </w:rPr>
        <w:t>)</w:t>
      </w:r>
    </w:p>
    <w:p w:rsidR="00517B28" w:rsidRPr="0070059A" w:rsidRDefault="008C00D8" w:rsidP="00517B28">
      <w:pPr>
        <w:spacing w:after="0" w:line="480" w:lineRule="auto"/>
        <w:ind w:firstLine="720"/>
        <w:jc w:val="center"/>
        <w:rPr>
          <w:rFonts w:eastAsiaTheme="minorEastAsia" w:cs="Times New Roman"/>
          <w:b/>
          <w:szCs w:val="24"/>
          <w:u w:val="single"/>
        </w:rPr>
      </w:pPr>
      <w:r w:rsidRPr="0070059A">
        <w:rPr>
          <w:rFonts w:eastAsiaTheme="minorEastAsia" w:cs="Times New Roman"/>
          <w:b/>
          <w:szCs w:val="24"/>
          <w:u w:val="single"/>
        </w:rPr>
        <w:lastRenderedPageBreak/>
        <w:t>CERTIFICATE OF SERVICE</w:t>
      </w:r>
    </w:p>
    <w:p w:rsidR="00517B28" w:rsidRPr="0070059A" w:rsidRDefault="008C00D8" w:rsidP="00517B28">
      <w:pPr>
        <w:spacing w:after="0" w:line="480" w:lineRule="auto"/>
        <w:ind w:firstLine="720"/>
        <w:rPr>
          <w:rFonts w:eastAsiaTheme="minorEastAsia" w:cs="Times New Roman"/>
          <w:szCs w:val="24"/>
        </w:rPr>
      </w:pPr>
      <w:r w:rsidRPr="0070059A">
        <w:rPr>
          <w:rFonts w:eastAsiaTheme="minorEastAsia" w:cs="Times New Roman"/>
          <w:szCs w:val="24"/>
        </w:rPr>
        <w:t>I hereby certify that a copy of th</w:t>
      </w:r>
      <w:r>
        <w:rPr>
          <w:rFonts w:eastAsiaTheme="minorEastAsia" w:cs="Times New Roman"/>
          <w:szCs w:val="24"/>
        </w:rPr>
        <w:t xml:space="preserve">is </w:t>
      </w:r>
      <w:r>
        <w:rPr>
          <w:rFonts w:eastAsiaTheme="minorEastAsia" w:cs="Times New Roman"/>
          <w:szCs w:val="24"/>
        </w:rPr>
        <w:t>Reply</w:t>
      </w:r>
      <w:r>
        <w:rPr>
          <w:rFonts w:eastAsiaTheme="minorEastAsia" w:cs="Times New Roman"/>
          <w:szCs w:val="24"/>
        </w:rPr>
        <w:t xml:space="preserve"> Brief</w:t>
      </w:r>
      <w:r w:rsidRPr="0070059A">
        <w:rPr>
          <w:rFonts w:eastAsiaTheme="minorEastAsia" w:cs="Times New Roman"/>
          <w:szCs w:val="24"/>
        </w:rPr>
        <w:t xml:space="preserve"> was served on the persons stated below via electronic transmission, this </w:t>
      </w:r>
      <w:r>
        <w:rPr>
          <w:rFonts w:eastAsiaTheme="minorEastAsia" w:cs="Times New Roman"/>
          <w:szCs w:val="24"/>
        </w:rPr>
        <w:t>2</w:t>
      </w:r>
      <w:r>
        <w:rPr>
          <w:rFonts w:eastAsiaTheme="minorEastAsia" w:cs="Times New Roman"/>
          <w:szCs w:val="24"/>
        </w:rPr>
        <w:t>7</w:t>
      </w:r>
      <w:r w:rsidRPr="0070059A">
        <w:rPr>
          <w:rFonts w:eastAsiaTheme="minorEastAsia" w:cs="Times New Roman"/>
          <w:szCs w:val="24"/>
        </w:rPr>
        <w:t xml:space="preserve">th day of </w:t>
      </w:r>
      <w:r>
        <w:rPr>
          <w:rFonts w:eastAsiaTheme="minorEastAsia" w:cs="Times New Roman"/>
          <w:szCs w:val="24"/>
        </w:rPr>
        <w:t>August</w:t>
      </w:r>
      <w:r w:rsidRPr="0070059A">
        <w:rPr>
          <w:rFonts w:eastAsiaTheme="minorEastAsia" w:cs="Times New Roman"/>
          <w:szCs w:val="24"/>
        </w:rPr>
        <w:t xml:space="preserve"> 2018.</w:t>
      </w:r>
    </w:p>
    <w:p w:rsidR="00517B28" w:rsidRPr="0070059A" w:rsidRDefault="008C00D8" w:rsidP="00517B28">
      <w:pPr>
        <w:spacing w:after="0" w:line="240" w:lineRule="auto"/>
        <w:ind w:firstLine="720"/>
        <w:rPr>
          <w:rFonts w:eastAsiaTheme="minorEastAsia" w:cs="Times New Roman"/>
          <w:i/>
          <w:szCs w:val="24"/>
        </w:rPr>
      </w:pP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Pr>
          <w:rFonts w:eastAsiaTheme="minorEastAsia" w:cs="Times New Roman"/>
          <w:i/>
          <w:szCs w:val="24"/>
          <w:u w:val="single"/>
        </w:rPr>
        <w:t>/s/ Christopher Healey</w:t>
      </w:r>
      <w:r>
        <w:rPr>
          <w:rFonts w:eastAsiaTheme="minorEastAsia" w:cs="Times New Roman"/>
          <w:i/>
          <w:szCs w:val="24"/>
          <w:u w:val="single"/>
        </w:rPr>
        <w:tab/>
      </w:r>
    </w:p>
    <w:p w:rsidR="00517B28" w:rsidRPr="0070059A" w:rsidRDefault="008C00D8" w:rsidP="00517B28">
      <w:pPr>
        <w:spacing w:after="0" w:line="240" w:lineRule="auto"/>
        <w:ind w:firstLine="720"/>
        <w:rPr>
          <w:rFonts w:eastAsiaTheme="minorEastAsia" w:cs="Times New Roman"/>
          <w:szCs w:val="24"/>
        </w:rPr>
      </w:pP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t>Christopher Healey</w:t>
      </w:r>
    </w:p>
    <w:p w:rsidR="00517B28" w:rsidRPr="0070059A" w:rsidRDefault="008C00D8" w:rsidP="00517B28">
      <w:pPr>
        <w:spacing w:after="0" w:line="240" w:lineRule="auto"/>
        <w:ind w:firstLine="720"/>
        <w:rPr>
          <w:rFonts w:eastAsiaTheme="minorEastAsia" w:cs="Times New Roman"/>
          <w:szCs w:val="24"/>
        </w:rPr>
      </w:pP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t>Counsel of Record</w:t>
      </w:r>
    </w:p>
    <w:p w:rsidR="00517B28" w:rsidRPr="0070059A" w:rsidRDefault="008C00D8" w:rsidP="00517B28">
      <w:pPr>
        <w:spacing w:after="0" w:line="480" w:lineRule="auto"/>
        <w:ind w:firstLine="720"/>
        <w:jc w:val="center"/>
        <w:rPr>
          <w:rFonts w:eastAsiaTheme="minorEastAsia" w:cs="Times New Roman"/>
          <w:szCs w:val="24"/>
        </w:rPr>
      </w:pPr>
    </w:p>
    <w:p w:rsidR="00517B28" w:rsidRPr="0070059A" w:rsidRDefault="008C00D8" w:rsidP="00517B28">
      <w:pPr>
        <w:spacing w:after="0" w:line="240" w:lineRule="auto"/>
        <w:ind w:firstLine="720"/>
        <w:jc w:val="center"/>
        <w:rPr>
          <w:rFonts w:eastAsiaTheme="minorEastAsia" w:cs="Times New Roman"/>
          <w:b/>
          <w:szCs w:val="24"/>
        </w:rPr>
      </w:pPr>
      <w:r w:rsidRPr="0070059A">
        <w:rPr>
          <w:rFonts w:eastAsiaTheme="minorEastAsia" w:cs="Times New Roman"/>
          <w:b/>
          <w:szCs w:val="24"/>
        </w:rPr>
        <w:t>SERVICE LIST</w:t>
      </w:r>
    </w:p>
    <w:p w:rsidR="00517B28" w:rsidRPr="0070059A" w:rsidRDefault="008C00D8" w:rsidP="00517B28">
      <w:pPr>
        <w:pStyle w:val="CommentText"/>
        <w:rPr>
          <w:b/>
          <w:u w:val="single"/>
        </w:rPr>
      </w:pPr>
    </w:p>
    <w:tbl>
      <w:tblPr>
        <w:tblStyle w:val="TableGrid"/>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117"/>
      </w:tblGrid>
      <w:tr w:rsidR="007A6222" w:rsidTr="00517B28">
        <w:tc>
          <w:tcPr>
            <w:tcW w:w="4680" w:type="dxa"/>
          </w:tcPr>
          <w:p w:rsidR="00517B28" w:rsidRPr="00E96F6D" w:rsidRDefault="008C00D8" w:rsidP="00517B28">
            <w:pPr>
              <w:autoSpaceDE w:val="0"/>
              <w:autoSpaceDN w:val="0"/>
              <w:adjustRightInd w:val="0"/>
              <w:rPr>
                <w:rFonts w:cs="Times New Roman"/>
                <w:szCs w:val="24"/>
              </w:rPr>
            </w:pPr>
            <w:r>
              <w:rPr>
                <w:rFonts w:cs="Times New Roman"/>
                <w:szCs w:val="24"/>
              </w:rPr>
              <w:t>Thomas.mcnamee@ohioattorneygeneral.gov</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Bojko@carpenterlipps.com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ORourke@carpenterlipps.com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ghiloni@carpenterlipps.com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sechler@carpenterlipps.com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dboehm@BKLlawfirm.com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mkurtz@BKLlawfirm.com </w:t>
            </w:r>
          </w:p>
          <w:p w:rsidR="00517B28" w:rsidRPr="00E96F6D" w:rsidRDefault="008C00D8" w:rsidP="00517B28">
            <w:pPr>
              <w:autoSpaceDE w:val="0"/>
              <w:autoSpaceDN w:val="0"/>
              <w:adjustRightInd w:val="0"/>
              <w:rPr>
                <w:rFonts w:cs="Times New Roman"/>
                <w:szCs w:val="24"/>
              </w:rPr>
            </w:pPr>
            <w:r w:rsidRPr="00E96F6D">
              <w:rPr>
                <w:rFonts w:cs="Times New Roman"/>
                <w:szCs w:val="24"/>
              </w:rPr>
              <w:t>jkylercohn@BKLlawfirm.</w:t>
            </w:r>
            <w:r w:rsidRPr="00E96F6D">
              <w:rPr>
                <w:rFonts w:cs="Times New Roman"/>
                <w:szCs w:val="24"/>
              </w:rPr>
              <w:t xml:space="preserve">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sam@mwncmh.com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fdarr@mwncmh.com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mpritchard@mwncmh.com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jlang@calfee.com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talexander@calfee.com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slesser@calfee.com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jvickers@elpc.org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tdougherty@theOEC.org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mleppla@theOEC.org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jfinnigan@edf.org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swilliams@nrdc.org </w:t>
            </w:r>
          </w:p>
          <w:p w:rsidR="00517B28" w:rsidRPr="00E96F6D" w:rsidRDefault="008C00D8" w:rsidP="00517B28">
            <w:pPr>
              <w:rPr>
                <w:rFonts w:cs="Times New Roman"/>
                <w:szCs w:val="24"/>
              </w:rPr>
            </w:pPr>
            <w:r w:rsidRPr="00E96F6D">
              <w:rPr>
                <w:rFonts w:cs="Times New Roman"/>
                <w:szCs w:val="24"/>
              </w:rPr>
              <w:t xml:space="preserve">rdove@attorneydove.com  </w:t>
            </w:r>
          </w:p>
          <w:p w:rsidR="00517B28" w:rsidRPr="00E96F6D" w:rsidRDefault="008C00D8" w:rsidP="00517B28">
            <w:pPr>
              <w:rPr>
                <w:rFonts w:cs="Times New Roman"/>
                <w:szCs w:val="24"/>
              </w:rPr>
            </w:pPr>
            <w:r w:rsidRPr="00E96F6D">
              <w:rPr>
                <w:rFonts w:cs="Times New Roman"/>
                <w:szCs w:val="24"/>
              </w:rPr>
              <w:t xml:space="preserve">kfield@elpc.org </w:t>
            </w:r>
          </w:p>
          <w:p w:rsidR="00517B28" w:rsidRPr="00E96F6D" w:rsidRDefault="008C00D8" w:rsidP="00517B28">
            <w:pPr>
              <w:rPr>
                <w:rFonts w:cs="Times New Roman"/>
                <w:szCs w:val="24"/>
              </w:rPr>
            </w:pPr>
            <w:r w:rsidRPr="00E96F6D">
              <w:rPr>
                <w:rFonts w:cs="Times New Roman"/>
                <w:szCs w:val="24"/>
              </w:rPr>
              <w:t xml:space="preserve">mfleisher@elpc.org </w:t>
            </w:r>
          </w:p>
          <w:p w:rsidR="00517B28" w:rsidRPr="00E96F6D" w:rsidRDefault="008C00D8" w:rsidP="00517B28">
            <w:pPr>
              <w:rPr>
                <w:rFonts w:cs="Times New Roman"/>
                <w:szCs w:val="24"/>
              </w:rPr>
            </w:pPr>
          </w:p>
          <w:p w:rsidR="00517B28" w:rsidRPr="00E96F6D" w:rsidRDefault="008C00D8" w:rsidP="00517B28">
            <w:pPr>
              <w:autoSpaceDE w:val="0"/>
              <w:autoSpaceDN w:val="0"/>
              <w:adjustRightInd w:val="0"/>
              <w:rPr>
                <w:rFonts w:cs="Times New Roman"/>
                <w:szCs w:val="24"/>
              </w:rPr>
            </w:pPr>
            <w:r w:rsidRPr="00E96F6D">
              <w:rPr>
                <w:rFonts w:cs="Times New Roman"/>
                <w:szCs w:val="24"/>
              </w:rPr>
              <w:t>Attorney Examiners:</w:t>
            </w:r>
          </w:p>
          <w:p w:rsidR="00517B28" w:rsidRDefault="008C00D8" w:rsidP="00517B28">
            <w:pPr>
              <w:rPr>
                <w:rFonts w:cs="Times New Roman"/>
                <w:szCs w:val="24"/>
              </w:rPr>
            </w:pPr>
            <w:r w:rsidRPr="00E96F6D">
              <w:rPr>
                <w:rFonts w:cs="Times New Roman"/>
                <w:szCs w:val="24"/>
              </w:rPr>
              <w:t xml:space="preserve">gregory.price@puc.state.oh.us </w:t>
            </w:r>
          </w:p>
          <w:p w:rsidR="00517B28" w:rsidRPr="00E96F6D" w:rsidRDefault="008C00D8" w:rsidP="00517B28">
            <w:pPr>
              <w:rPr>
                <w:rFonts w:cs="Times New Roman"/>
                <w:szCs w:val="24"/>
              </w:rPr>
            </w:pPr>
            <w:r>
              <w:rPr>
                <w:rFonts w:cs="Times New Roman"/>
                <w:szCs w:val="24"/>
              </w:rPr>
              <w:t>patricia.schabo@puc.state.oh.us</w:t>
            </w:r>
          </w:p>
        </w:tc>
        <w:tc>
          <w:tcPr>
            <w:tcW w:w="4114" w:type="dxa"/>
          </w:tcPr>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Michael.schuler@aes.com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djireland@ficlaw.com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jsharkey@ficlaw.com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Kurt.Helfrich@ThompsonHine.com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Stephanie.Chmiel@ThompsonHine.com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Michael.Austin@ThompsonHine.com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mfleisher@elpc.org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dparram@taftlaw.com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thomas.jernigan.3@us.af.mil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cmooney@ohiopartners.org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jschlesinger@kfwlaw.com </w:t>
            </w:r>
          </w:p>
          <w:p w:rsidR="00517B28" w:rsidRPr="00E96F6D" w:rsidRDefault="008C00D8" w:rsidP="00517B28">
            <w:pPr>
              <w:autoSpaceDE w:val="0"/>
              <w:autoSpaceDN w:val="0"/>
              <w:adjustRightInd w:val="0"/>
              <w:rPr>
                <w:rFonts w:cs="Times New Roman"/>
                <w:szCs w:val="24"/>
              </w:rPr>
            </w:pPr>
            <w:r w:rsidRPr="00E96F6D">
              <w:rPr>
                <w:rFonts w:cs="Times New Roman"/>
                <w:szCs w:val="24"/>
              </w:rPr>
              <w:t>dborchers@bricker.com</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mwarnock@bricker.com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ejacobs@ablelaw.org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joliker@igsenergy.com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lhawrot@spilmanlaw.com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dwilliamson@spilmanlaw.com </w:t>
            </w:r>
          </w:p>
          <w:p w:rsidR="00517B28" w:rsidRPr="00E96F6D" w:rsidRDefault="008C00D8" w:rsidP="00517B28">
            <w:pPr>
              <w:autoSpaceDE w:val="0"/>
              <w:autoSpaceDN w:val="0"/>
              <w:adjustRightInd w:val="0"/>
              <w:rPr>
                <w:rFonts w:cs="Times New Roman"/>
                <w:szCs w:val="24"/>
              </w:rPr>
            </w:pPr>
            <w:r w:rsidRPr="00E96F6D">
              <w:rPr>
                <w:rFonts w:cs="Times New Roman"/>
                <w:szCs w:val="24"/>
              </w:rPr>
              <w:t xml:space="preserve">charris@spilmanlaw.com </w:t>
            </w:r>
          </w:p>
          <w:p w:rsidR="00517B28" w:rsidRPr="00E96F6D" w:rsidRDefault="008C00D8" w:rsidP="00517B28">
            <w:pPr>
              <w:autoSpaceDE w:val="0"/>
              <w:autoSpaceDN w:val="0"/>
              <w:adjustRightInd w:val="0"/>
              <w:rPr>
                <w:rFonts w:cs="Times New Roman"/>
                <w:szCs w:val="24"/>
              </w:rPr>
            </w:pPr>
            <w:r w:rsidRPr="00E96F6D">
              <w:rPr>
                <w:rFonts w:cs="Times New Roman"/>
                <w:szCs w:val="24"/>
              </w:rPr>
              <w:t>mjsettineri@vorys.com</w:t>
            </w:r>
          </w:p>
          <w:p w:rsidR="00517B28" w:rsidRPr="00E96F6D" w:rsidRDefault="008C00D8" w:rsidP="00517B28">
            <w:pPr>
              <w:rPr>
                <w:rFonts w:cs="Times New Roman"/>
                <w:szCs w:val="24"/>
              </w:rPr>
            </w:pPr>
            <w:r w:rsidRPr="00E96F6D">
              <w:rPr>
                <w:rFonts w:cs="Times New Roman"/>
                <w:szCs w:val="24"/>
              </w:rPr>
              <w:t>glpetrucci@vorys.com</w:t>
            </w:r>
          </w:p>
          <w:p w:rsidR="00517B28" w:rsidRPr="00E96F6D" w:rsidRDefault="008C00D8" w:rsidP="00517B28">
            <w:pPr>
              <w:autoSpaceDE w:val="0"/>
              <w:autoSpaceDN w:val="0"/>
              <w:adjustRightInd w:val="0"/>
              <w:rPr>
                <w:rFonts w:cs="Times New Roman"/>
                <w:szCs w:val="24"/>
              </w:rPr>
            </w:pPr>
            <w:r w:rsidRPr="00E96F6D">
              <w:rPr>
                <w:rFonts w:cs="Times New Roman"/>
                <w:szCs w:val="24"/>
              </w:rPr>
              <w:t>whitt@whitt-sturtevant.com</w:t>
            </w:r>
          </w:p>
          <w:p w:rsidR="00517B28" w:rsidRPr="00E96F6D" w:rsidRDefault="008C00D8" w:rsidP="00517B28">
            <w:pPr>
              <w:autoSpaceDE w:val="0"/>
              <w:autoSpaceDN w:val="0"/>
              <w:adjustRightInd w:val="0"/>
              <w:rPr>
                <w:rFonts w:cs="Times New Roman"/>
                <w:szCs w:val="24"/>
              </w:rPr>
            </w:pPr>
            <w:r w:rsidRPr="00E96F6D">
              <w:rPr>
                <w:rFonts w:cs="Times New Roman"/>
                <w:szCs w:val="24"/>
              </w:rPr>
              <w:t>campbell@whitt-sturtevant.com</w:t>
            </w:r>
          </w:p>
          <w:p w:rsidR="00517B28" w:rsidRPr="00E96F6D" w:rsidRDefault="008C00D8" w:rsidP="00517B28">
            <w:pPr>
              <w:rPr>
                <w:rFonts w:cs="Times New Roman"/>
                <w:szCs w:val="24"/>
              </w:rPr>
            </w:pPr>
            <w:r w:rsidRPr="00E96F6D">
              <w:rPr>
                <w:rFonts w:cs="Times New Roman"/>
                <w:szCs w:val="24"/>
              </w:rPr>
              <w:t>glover@whitt-sturtevant.com</w:t>
            </w:r>
          </w:p>
          <w:p w:rsidR="00517B28" w:rsidRPr="00E96F6D" w:rsidRDefault="008C00D8" w:rsidP="00517B28">
            <w:pPr>
              <w:rPr>
                <w:rFonts w:cs="Times New Roman"/>
                <w:szCs w:val="24"/>
              </w:rPr>
            </w:pPr>
            <w:r w:rsidRPr="00E96F6D">
              <w:rPr>
                <w:rFonts w:cs="Times New Roman"/>
                <w:szCs w:val="24"/>
              </w:rPr>
              <w:t>jdoll@djflawfirm.com</w:t>
            </w:r>
          </w:p>
          <w:p w:rsidR="00517B28" w:rsidRPr="00E96F6D" w:rsidRDefault="008C00D8" w:rsidP="00517B28">
            <w:pPr>
              <w:rPr>
                <w:rFonts w:cs="Times New Roman"/>
                <w:szCs w:val="24"/>
              </w:rPr>
            </w:pPr>
            <w:r w:rsidRPr="00E96F6D">
              <w:rPr>
                <w:rFonts w:cs="Times New Roman"/>
                <w:szCs w:val="24"/>
              </w:rPr>
              <w:t xml:space="preserve">mcrawford@gjflawfirm.com </w:t>
            </w:r>
          </w:p>
          <w:p w:rsidR="00517B28" w:rsidRPr="00E96F6D" w:rsidRDefault="008C00D8" w:rsidP="00517B28">
            <w:pPr>
              <w:rPr>
                <w:rFonts w:cs="Times New Roman"/>
                <w:szCs w:val="24"/>
              </w:rPr>
            </w:pPr>
          </w:p>
          <w:p w:rsidR="00517B28" w:rsidRPr="00E96F6D" w:rsidRDefault="008C00D8" w:rsidP="00517B28">
            <w:pPr>
              <w:rPr>
                <w:rFonts w:cs="Times New Roman"/>
                <w:szCs w:val="24"/>
              </w:rPr>
            </w:pPr>
          </w:p>
          <w:p w:rsidR="00517B28" w:rsidRPr="00E96F6D" w:rsidRDefault="008C00D8" w:rsidP="00517B28">
            <w:pPr>
              <w:rPr>
                <w:rFonts w:cs="Times New Roman"/>
                <w:szCs w:val="24"/>
              </w:rPr>
            </w:pPr>
          </w:p>
        </w:tc>
      </w:tr>
    </w:tbl>
    <w:p w:rsidR="00517B28" w:rsidRPr="0070059A" w:rsidRDefault="008C00D8" w:rsidP="00517B28">
      <w:pPr>
        <w:rPr>
          <w:rFonts w:cs="Times New Roman"/>
          <w:szCs w:val="24"/>
        </w:rPr>
      </w:pPr>
    </w:p>
    <w:sectPr w:rsidR="00517B28" w:rsidRPr="0070059A" w:rsidSect="00517B28">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0D8" w:rsidRDefault="008C00D8">
      <w:pPr>
        <w:spacing w:after="0" w:line="240" w:lineRule="auto"/>
      </w:pPr>
      <w:r>
        <w:separator/>
      </w:r>
    </w:p>
  </w:endnote>
  <w:endnote w:type="continuationSeparator" w:id="0">
    <w:p w:rsidR="008C00D8" w:rsidRDefault="008C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788345"/>
      <w:docPartObj>
        <w:docPartGallery w:val="Page Numbers (Bottom of Page)"/>
        <w:docPartUnique/>
      </w:docPartObj>
    </w:sdtPr>
    <w:sdtEndPr>
      <w:rPr>
        <w:noProof/>
      </w:rPr>
    </w:sdtEndPr>
    <w:sdtContent>
      <w:p w:rsidR="004F5E62" w:rsidRDefault="008C00D8">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4F5E62" w:rsidRDefault="008C0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62" w:rsidRDefault="008C00D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016092"/>
      <w:docPartObj>
        <w:docPartGallery w:val="Page Numbers (Bottom of Page)"/>
        <w:docPartUnique/>
      </w:docPartObj>
    </w:sdtPr>
    <w:sdtEndPr>
      <w:rPr>
        <w:noProof/>
      </w:rPr>
    </w:sdtEndPr>
    <w:sdtContent>
      <w:p w:rsidR="00740211" w:rsidRDefault="008C00D8">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62" w:rsidRDefault="008C00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0D8" w:rsidRDefault="008C00D8" w:rsidP="00517B28">
      <w:pPr>
        <w:spacing w:after="0" w:line="240" w:lineRule="auto"/>
      </w:pPr>
      <w:r>
        <w:separator/>
      </w:r>
    </w:p>
  </w:footnote>
  <w:footnote w:type="continuationSeparator" w:id="0">
    <w:p w:rsidR="008C00D8" w:rsidRDefault="008C00D8" w:rsidP="00517B28">
      <w:pPr>
        <w:spacing w:after="0" w:line="240" w:lineRule="auto"/>
      </w:pPr>
      <w:r>
        <w:continuationSeparator/>
      </w:r>
    </w:p>
  </w:footnote>
  <w:footnote w:id="1">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RESA/IGS Ex. 2 (the “Hess Testimony”) at 5:5-10.</w:t>
      </w:r>
    </w:p>
  </w:footnote>
  <w:footnote w:id="2">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Id.</w:t>
      </w:r>
      <w:r w:rsidRPr="00740211">
        <w:rPr>
          <w:rFonts w:asciiTheme="majorBidi" w:hAnsiTheme="majorBidi" w:cstheme="majorBidi"/>
        </w:rPr>
        <w:t xml:space="preserve"> at 5:6-8.</w:t>
      </w:r>
    </w:p>
  </w:footnote>
  <w:footnote w:id="3">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Id.</w:t>
      </w:r>
      <w:r w:rsidRPr="00740211">
        <w:rPr>
          <w:rFonts w:asciiTheme="majorBidi" w:hAnsiTheme="majorBidi" w:cstheme="majorBidi"/>
        </w:rPr>
        <w:t xml:space="preserve"> at 5:8-10.</w:t>
      </w:r>
    </w:p>
  </w:footnote>
  <w:footnote w:id="4">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See, e.g., Ohio Bell Tel. Co. v. PUCO</w:t>
      </w:r>
      <w:r w:rsidRPr="00740211">
        <w:rPr>
          <w:rFonts w:asciiTheme="majorBidi" w:hAnsiTheme="majorBidi" w:cstheme="majorBidi"/>
        </w:rPr>
        <w:t xml:space="preserve">, 17 Ohio St. 2d 45, 47 (1969) (“The commission is a creature of statute and has only those powers given to it by statute.”); </w:t>
      </w:r>
      <w:r w:rsidRPr="00740211">
        <w:rPr>
          <w:rFonts w:asciiTheme="majorBidi" w:hAnsiTheme="majorBidi" w:cstheme="majorBidi"/>
          <w:i/>
        </w:rPr>
        <w:t>In</w:t>
      </w:r>
      <w:r w:rsidRPr="00740211">
        <w:rPr>
          <w:rFonts w:asciiTheme="majorBidi" w:hAnsiTheme="majorBidi" w:cstheme="majorBidi"/>
          <w:i/>
        </w:rPr>
        <w:t xml:space="preserve"> re Ohio Power Co.</w:t>
      </w:r>
      <w:r w:rsidRPr="00740211">
        <w:rPr>
          <w:rFonts w:asciiTheme="majorBidi" w:hAnsiTheme="majorBidi" w:cstheme="majorBidi"/>
        </w:rPr>
        <w:t>, 144 Ohio St. 3d 1, 9 (2015).</w:t>
      </w:r>
    </w:p>
  </w:footnote>
  <w:footnote w:id="5">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Columbus S. Power Co. v. PUCO</w:t>
      </w:r>
      <w:r w:rsidRPr="00740211">
        <w:rPr>
          <w:rFonts w:asciiTheme="majorBidi" w:hAnsiTheme="majorBidi" w:cstheme="majorBidi"/>
        </w:rPr>
        <w:t>, 67 Ohio St. 3d 535, 537 (1993).</w:t>
      </w:r>
    </w:p>
  </w:footnote>
  <w:footnote w:id="6">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In re Application of [FirstEnergy] for Authority to Provide for a Standard Service Offer</w:t>
      </w:r>
      <w:r w:rsidRPr="00740211">
        <w:rPr>
          <w:rFonts w:asciiTheme="majorBidi" w:hAnsiTheme="majorBidi" w:cstheme="majorBidi"/>
        </w:rPr>
        <w:t xml:space="preserve">, Case No. 14-1297-EL-SSO, Fifth Entry on Rehearing </w:t>
      </w:r>
      <w:r w:rsidRPr="00740211">
        <w:rPr>
          <w:rFonts w:asciiTheme="majorBidi" w:hAnsiTheme="majorBidi" w:cstheme="majorBidi"/>
        </w:rPr>
        <w:t>¶ 290 (Oct. 12, 2016).</w:t>
      </w:r>
    </w:p>
  </w:footnote>
  <w:footnote w:id="7">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68 Ohio St. 2d 181, 183 (1981).</w:t>
      </w:r>
    </w:p>
  </w:footnote>
  <w:footnote w:id="8">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Id.</w:t>
      </w:r>
    </w:p>
  </w:footnote>
  <w:footnote w:id="9">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Id.</w:t>
      </w:r>
      <w:r w:rsidRPr="00740211">
        <w:rPr>
          <w:rFonts w:asciiTheme="majorBidi" w:hAnsiTheme="majorBidi" w:cstheme="majorBidi"/>
        </w:rPr>
        <w:t xml:space="preserve"> at 183-87.</w:t>
      </w:r>
    </w:p>
  </w:footnote>
  <w:footnote w:id="10">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5:5-10. </w:t>
      </w:r>
      <w:r w:rsidRPr="00740211">
        <w:rPr>
          <w:rFonts w:asciiTheme="majorBidi" w:hAnsiTheme="majorBidi" w:cstheme="majorBidi"/>
          <w:i/>
        </w:rPr>
        <w:t xml:space="preserve">See also </w:t>
      </w:r>
      <w:r w:rsidRPr="00740211">
        <w:rPr>
          <w:rFonts w:asciiTheme="majorBidi" w:hAnsiTheme="majorBidi" w:cstheme="majorBidi"/>
        </w:rPr>
        <w:t>IGS Brief at 23-24.</w:t>
      </w:r>
    </w:p>
  </w:footnote>
  <w:footnote w:id="11">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19:11-12 (“I recommend that every 6 months Dayton re-calculate both the credit rider and the avoida</w:t>
      </w:r>
      <w:r w:rsidRPr="00740211">
        <w:rPr>
          <w:rFonts w:asciiTheme="majorBidi" w:hAnsiTheme="majorBidi" w:cstheme="majorBidi"/>
        </w:rPr>
        <w:t>ble rider to ensure it is not over- or under-recovering costs."); Tr. Vol. I at 125:77-9.</w:t>
      </w:r>
    </w:p>
  </w:footnote>
  <w:footnote w:id="12">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125:10-13.</w:t>
      </w:r>
    </w:p>
  </w:footnote>
  <w:footnote w:id="13">
    <w:p w:rsidR="00975455"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See generally</w:t>
      </w:r>
      <w:r w:rsidRPr="00740211">
        <w:rPr>
          <w:rFonts w:asciiTheme="majorBidi" w:hAnsiTheme="majorBidi" w:cstheme="majorBidi"/>
        </w:rPr>
        <w:t xml:space="preserve"> Hess Testimony.</w:t>
      </w:r>
    </w:p>
  </w:footnote>
  <w:footnote w:id="14">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4:14-5:4, Exhibit JEH-1.</w:t>
      </w:r>
    </w:p>
  </w:footnote>
  <w:footnote w:id="15">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R.C. 4928.141(A).</w:t>
      </w:r>
    </w:p>
  </w:footnote>
  <w:footnote w:id="16">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R.C. 4928.14 (“The failure of a supplier</w:t>
      </w:r>
      <w:r w:rsidRPr="00740211">
        <w:rPr>
          <w:rFonts w:asciiTheme="majorBidi" w:hAnsiTheme="majorBidi" w:cstheme="majorBidi"/>
        </w:rPr>
        <w:t xml:space="preserve"> to provide retail generation service to customers within the certified territory of an electric distribution utility shall result in the supplier’s customers, after reasonable notice, defaulting to the utility’s standard service offer...”).</w:t>
      </w:r>
    </w:p>
  </w:footnote>
  <w:footnote w:id="17">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OCC Ex. 1 (the “Willis Testimony”) at 8:9-17 (it is important to “preserv[e] for consumers the benefit of the competitively bid standard service offer”).</w:t>
      </w:r>
    </w:p>
  </w:footnote>
  <w:footnote w:id="18">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II at 324:16-18 (“Q. And do you believe the retail customers benefit from the SSO? A. Yes.</w:t>
      </w:r>
      <w:r w:rsidRPr="00740211">
        <w:rPr>
          <w:rFonts w:asciiTheme="majorBidi" w:hAnsiTheme="majorBidi" w:cstheme="majorBidi"/>
        </w:rPr>
        <w:t>”).</w:t>
      </w:r>
    </w:p>
  </w:footnote>
  <w:footnote w:id="19">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154:7-10.</w:t>
      </w:r>
    </w:p>
  </w:footnote>
  <w:footnote w:id="20">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Joint Ex. 1.</w:t>
      </w:r>
    </w:p>
  </w:footnote>
  <w:footnote w:id="21">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Settlement at 5-6.</w:t>
      </w:r>
    </w:p>
  </w:footnote>
  <w:footnote w:id="22">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I. at 140:13-141:4 (Hess cross examination) (“Q. Did you account for any of these adjustments when you made your allocations in any of the exhibits to your testimony? A. I did not.”).</w:t>
      </w:r>
    </w:p>
  </w:footnote>
  <w:footnote w:id="23">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Settlement at Exhibit 1 (Schedule A-1 using a gross revenue conversion factor of 1.275097); Staff Report at Schedule A-1 (using a gross revenue conversion factor of 1.549732).</w:t>
      </w:r>
    </w:p>
  </w:footnote>
  <w:footnote w:id="24">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Settlement at Exhibit 1 (Schedule A-1).</w:t>
      </w:r>
    </w:p>
  </w:footnote>
  <w:footnote w:id="25">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142:10-14 (“Q. So you did not update this – the GRCF in your analysis to account for the fact that there’s a different gross revenue conversion factor under the Stipulation? A. I did not.”).</w:t>
      </w:r>
    </w:p>
  </w:footnote>
  <w:footnote w:id="26">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145:11-18.</w:t>
      </w:r>
    </w:p>
  </w:footnote>
  <w:footnote w:id="27">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Exh</w:t>
      </w:r>
      <w:r w:rsidRPr="00740211">
        <w:rPr>
          <w:rFonts w:asciiTheme="majorBidi" w:hAnsiTheme="majorBidi" w:cstheme="majorBidi"/>
        </w:rPr>
        <w:t>ibit JEH-3; Tr. Vol. I at 144:5-22.</w:t>
      </w:r>
    </w:p>
  </w:footnote>
  <w:footnote w:id="28">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Settlement at Exhibit 1.</w:t>
      </w:r>
    </w:p>
  </w:footnote>
  <w:footnote w:id="29">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144:23-145:13.</w:t>
      </w:r>
    </w:p>
  </w:footnote>
  <w:footnote w:id="30">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See</w:t>
      </w:r>
      <w:r w:rsidRPr="00740211">
        <w:rPr>
          <w:rFonts w:asciiTheme="majorBidi" w:hAnsiTheme="majorBidi" w:cstheme="majorBidi"/>
        </w:rPr>
        <w:t xml:space="preserve"> Settlement (dated June 18, 2018); Hess Testimony (dated July 16, 2018).</w:t>
      </w:r>
    </w:p>
  </w:footnote>
  <w:footnote w:id="31">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Exhibit JEH-1.</w:t>
      </w:r>
    </w:p>
  </w:footnote>
  <w:footnote w:id="32">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Id.</w:t>
      </w:r>
      <w:r w:rsidRPr="00740211">
        <w:rPr>
          <w:rFonts w:asciiTheme="majorBidi" w:hAnsiTheme="majorBidi" w:cstheme="majorBidi"/>
        </w:rPr>
        <w:t xml:space="preserve"> at Exhibit JEH-2.</w:t>
      </w:r>
    </w:p>
  </w:footnote>
  <w:footnote w:id="33">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150:11-15</w:t>
      </w:r>
      <w:r w:rsidRPr="00740211">
        <w:rPr>
          <w:rFonts w:asciiTheme="majorBidi" w:hAnsiTheme="majorBidi" w:cstheme="majorBidi"/>
        </w:rPr>
        <w:t xml:space="preserve">1:5 (Hess cross examination) (“I don’t think JEH-2 was the one that should have been filed. ... JEH-2 was updated. I don’t think this is the updated schedule.”). </w:t>
      </w:r>
      <w:r w:rsidRPr="00740211">
        <w:rPr>
          <w:rFonts w:asciiTheme="majorBidi" w:hAnsiTheme="majorBidi" w:cstheme="majorBidi"/>
          <w:i/>
        </w:rPr>
        <w:t>See also</w:t>
      </w:r>
      <w:r w:rsidRPr="00740211">
        <w:rPr>
          <w:rFonts w:asciiTheme="majorBidi" w:hAnsiTheme="majorBidi" w:cstheme="majorBidi"/>
        </w:rPr>
        <w:t xml:space="preserve"> Tr. Vol. I at 150:18-22 (“MR. HEALEY: ... I’d like the record to reflect that [Mr. He</w:t>
      </w:r>
      <w:r w:rsidRPr="00740211">
        <w:rPr>
          <w:rFonts w:asciiTheme="majorBidi" w:hAnsiTheme="majorBidi" w:cstheme="majorBidi"/>
        </w:rPr>
        <w:t>ss] filed the wrong exhibit with his testimony and didn’t catch it. EXAMINER PRICE: I think that’s pretty clear on the record now.”).</w:t>
      </w:r>
    </w:p>
  </w:footnote>
  <w:footnote w:id="34">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116:11-12.</w:t>
      </w:r>
    </w:p>
  </w:footnote>
  <w:footnote w:id="35">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116:13.</w:t>
      </w:r>
    </w:p>
  </w:footnote>
  <w:footnote w:id="36">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150:17-151:5.</w:t>
      </w:r>
    </w:p>
  </w:footnote>
  <w:footnote w:id="37">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Exhibits JEH-1 and JE</w:t>
      </w:r>
      <w:r w:rsidRPr="00740211">
        <w:rPr>
          <w:rFonts w:asciiTheme="majorBidi" w:hAnsiTheme="majorBidi" w:cstheme="majorBidi"/>
        </w:rPr>
        <w:t>H-4; Tr. Vol. I at 150:7-10 (“Q. And you’re aware that there’s more recent data on shopping statistics available, correct? A. Yes.”).</w:t>
      </w:r>
    </w:p>
  </w:footnote>
  <w:footnote w:id="38">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Exhibit JEH-1 (showing 2,761,000,000 MWH sales to residential customers).</w:t>
      </w:r>
    </w:p>
  </w:footnote>
  <w:footnote w:id="39">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149:3-18.</w:t>
      </w:r>
    </w:p>
  </w:footnote>
  <w:footnote w:id="40">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See supra</w:t>
      </w:r>
      <w:r w:rsidRPr="00740211">
        <w:rPr>
          <w:rFonts w:asciiTheme="majorBidi" w:hAnsiTheme="majorBidi" w:cstheme="majorBidi"/>
        </w:rPr>
        <w:t xml:space="preserve"> § I.A.2.</w:t>
      </w:r>
    </w:p>
  </w:footnote>
  <w:footnote w:id="41">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Exhibit JEH-1.</w:t>
      </w:r>
    </w:p>
  </w:footnote>
  <w:footnote w:id="42">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Id.</w:t>
      </w:r>
    </w:p>
  </w:footnote>
  <w:footnote w:id="43">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Exhibit JEH-2. </w:t>
      </w:r>
      <w:r w:rsidRPr="00740211">
        <w:rPr>
          <w:rFonts w:asciiTheme="majorBidi" w:hAnsiTheme="majorBidi" w:cstheme="majorBidi"/>
          <w:i/>
        </w:rPr>
        <w:t xml:space="preserve">See also </w:t>
      </w:r>
      <w:r w:rsidRPr="00740211">
        <w:rPr>
          <w:rFonts w:asciiTheme="majorBidi" w:hAnsiTheme="majorBidi" w:cstheme="majorBidi"/>
        </w:rPr>
        <w:t>IGS Brief at 20-21.</w:t>
      </w:r>
    </w:p>
  </w:footnote>
  <w:footnote w:id="44">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8:15-9:2, 14:14-15.</w:t>
      </w:r>
    </w:p>
  </w:footnote>
  <w:footnote w:id="45">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128:6-13.</w:t>
      </w:r>
    </w:p>
  </w:footnote>
  <w:footnote w:id="46">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Pr>
          <w:rFonts w:asciiTheme="majorBidi" w:hAnsiTheme="majorBidi" w:cstheme="majorBidi"/>
        </w:rPr>
        <w:t xml:space="preserve"> Tr. Vol. I at 128:15-130:6.</w:t>
      </w:r>
      <w:r w:rsidRPr="00740211">
        <w:rPr>
          <w:rFonts w:asciiTheme="majorBidi" w:hAnsiTheme="majorBidi" w:cstheme="majorBidi"/>
        </w:rPr>
        <w:t xml:space="preserve"> </w:t>
      </w:r>
    </w:p>
  </w:footnote>
  <w:footnote w:id="47">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165:6-13.</w:t>
      </w:r>
    </w:p>
  </w:footnote>
  <w:footnote w:id="48">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Tr. Vol. I at 154:7-10 (“Q. SSO service does benefit customers who shopped, right? A. The availability of the SSO service does benefit the customers who have shopped, yes.”).</w:t>
      </w:r>
    </w:p>
  </w:footnote>
  <w:footnote w:id="49">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IGS Brief at 34.</w:t>
      </w:r>
    </w:p>
  </w:footnote>
  <w:footnote w:id="50">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Hess Testimony at Exhibit JEH-2.</w:t>
      </w:r>
    </w:p>
  </w:footnote>
  <w:footnote w:id="51">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IGS Brief at 33-37.</w:t>
      </w:r>
    </w:p>
  </w:footnote>
  <w:footnote w:id="52">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Id</w:t>
      </w:r>
      <w:r w:rsidRPr="00740211">
        <w:rPr>
          <w:rFonts w:asciiTheme="majorBidi" w:hAnsiTheme="majorBidi" w:cstheme="majorBidi"/>
          <w:i/>
        </w:rPr>
        <w:t xml:space="preserve">. </w:t>
      </w:r>
      <w:r w:rsidRPr="00740211">
        <w:rPr>
          <w:rFonts w:asciiTheme="majorBidi" w:hAnsiTheme="majorBidi" w:cstheme="majorBidi"/>
        </w:rPr>
        <w:t>at 35.</w:t>
      </w:r>
    </w:p>
  </w:footnote>
  <w:footnote w:id="53">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R.C. 4928.143(B)(2) (“The plan may provide for or include, without limitation, any of the following:...”). The Supreme Court of Ohio has ruled that the provision limits the types of items that may be included in an ESP to those enumerated in (B)(2), but n</w:t>
      </w:r>
      <w:r w:rsidRPr="00740211">
        <w:rPr>
          <w:rFonts w:asciiTheme="majorBidi" w:hAnsiTheme="majorBidi" w:cstheme="majorBidi"/>
        </w:rPr>
        <w:t xml:space="preserve">ot the amount that can be collected for each item. </w:t>
      </w:r>
      <w:r w:rsidRPr="00740211">
        <w:rPr>
          <w:rFonts w:asciiTheme="majorBidi" w:hAnsiTheme="majorBidi" w:cstheme="majorBidi"/>
          <w:i/>
        </w:rPr>
        <w:t>In re Application of Columbus S. Power Co.,</w:t>
      </w:r>
      <w:r w:rsidRPr="00740211">
        <w:rPr>
          <w:rFonts w:asciiTheme="majorBidi" w:hAnsiTheme="majorBidi" w:cstheme="majorBidi"/>
        </w:rPr>
        <w:t>128 Ohio St. 3d 512, ¶¶ 31-35 (2011).</w:t>
      </w:r>
    </w:p>
  </w:footnote>
  <w:footnote w:id="54">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R.C. 4928.143(B)(1) (“An electric security plan shall include provisions relating to the supply and pricing of electric ge</w:t>
      </w:r>
      <w:r w:rsidRPr="00740211">
        <w:rPr>
          <w:rFonts w:asciiTheme="majorBidi" w:hAnsiTheme="majorBidi" w:cstheme="majorBidi"/>
        </w:rPr>
        <w:t>neration service.”).</w:t>
      </w:r>
    </w:p>
  </w:footnote>
  <w:footnote w:id="55">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R.C. 4928.143(B)(2)(g).</w:t>
      </w:r>
    </w:p>
  </w:footnote>
  <w:footnote w:id="56">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IGS Brief at 35.</w:t>
      </w:r>
    </w:p>
  </w:footnote>
  <w:footnote w:id="57">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See</w:t>
      </w:r>
      <w:r w:rsidRPr="00740211">
        <w:rPr>
          <w:rFonts w:asciiTheme="majorBidi" w:hAnsiTheme="majorBidi" w:cstheme="majorBidi"/>
        </w:rPr>
        <w:t xml:space="preserve"> DP&amp;L Eighteenth Revised Sheet No. G10, </w:t>
      </w:r>
      <w:r w:rsidRPr="00740211">
        <w:rPr>
          <w:rFonts w:asciiTheme="majorBidi" w:hAnsiTheme="majorBidi" w:cstheme="majorBidi"/>
          <w:i/>
        </w:rPr>
        <w:t>available at</w:t>
      </w:r>
      <w:r w:rsidRPr="00740211">
        <w:rPr>
          <w:rFonts w:asciiTheme="majorBidi" w:hAnsiTheme="majorBidi" w:cstheme="majorBidi"/>
        </w:rPr>
        <w:t xml:space="preserve"> </w:t>
      </w:r>
      <w:r w:rsidRPr="00740211">
        <w:rPr>
          <w:rFonts w:asciiTheme="majorBidi" w:hAnsiTheme="majorBidi" w:cstheme="majorBidi"/>
        </w:rPr>
        <w:t>https://www.puco.ohio.gov/emplibrary/files/docketing/tariffs/Electric/The%20Dayton%20Power%20and%20Light%20Company/PUCO%2017%20Gener</w:t>
      </w:r>
      <w:r w:rsidRPr="00740211">
        <w:rPr>
          <w:rFonts w:asciiTheme="majorBidi" w:hAnsiTheme="majorBidi" w:cstheme="majorBidi"/>
        </w:rPr>
        <w:t>ation.pdf</w:t>
      </w:r>
      <w:r w:rsidRPr="00740211">
        <w:rPr>
          <w:rFonts w:asciiTheme="majorBidi" w:hAnsiTheme="majorBidi" w:cstheme="majorBidi"/>
        </w:rPr>
        <w:t xml:space="preserve">. </w:t>
      </w:r>
    </w:p>
  </w:footnote>
  <w:footnote w:id="58">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Id.</w:t>
      </w:r>
      <w:r w:rsidRPr="00740211">
        <w:rPr>
          <w:rFonts w:asciiTheme="majorBidi" w:hAnsiTheme="majorBidi" w:cstheme="majorBidi"/>
        </w:rPr>
        <w:t xml:space="preserve"> ($0.0563604 * 750 kwh + $0.0533893 * 250 kwh = $55.617).</w:t>
      </w:r>
    </w:p>
  </w:footnote>
  <w:footnote w:id="59">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RESA Brief at 7; IGS Brief at 37-39.</w:t>
      </w:r>
    </w:p>
  </w:footnote>
  <w:footnote w:id="60">
    <w:p w:rsidR="004F5E62" w:rsidRPr="00740211" w:rsidRDefault="008C00D8" w:rsidP="00740211">
      <w:pPr>
        <w:pStyle w:val="FootnoteText"/>
        <w:spacing w:after="120"/>
        <w:rPr>
          <w:rFonts w:asciiTheme="majorBidi" w:hAnsiTheme="majorBidi" w:cstheme="majorBidi"/>
        </w:rPr>
      </w:pPr>
      <w:r w:rsidRPr="00740211">
        <w:rPr>
          <w:rStyle w:val="FootnoteReference"/>
          <w:rFonts w:asciiTheme="majorBidi" w:hAnsiTheme="majorBidi" w:cstheme="majorBidi"/>
        </w:rPr>
        <w:footnoteRef/>
      </w:r>
      <w:r w:rsidRPr="00740211">
        <w:rPr>
          <w:rFonts w:asciiTheme="majorBidi" w:hAnsiTheme="majorBidi" w:cstheme="majorBidi"/>
        </w:rPr>
        <w:t xml:space="preserve"> </w:t>
      </w:r>
      <w:r w:rsidRPr="00740211">
        <w:rPr>
          <w:rFonts w:asciiTheme="majorBidi" w:hAnsiTheme="majorBidi" w:cstheme="majorBidi"/>
          <w:i/>
        </w:rPr>
        <w:t>See</w:t>
      </w:r>
      <w:r w:rsidRPr="00740211">
        <w:rPr>
          <w:rFonts w:asciiTheme="majorBidi" w:hAnsiTheme="majorBidi" w:cstheme="majorBidi"/>
        </w:rPr>
        <w:t xml:space="preserve"> OCC Initial Brief (Aug. 17,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62" w:rsidRPr="004571C7" w:rsidRDefault="008C00D8">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62" w:rsidRPr="004571C7" w:rsidRDefault="008C00D8">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5E8"/>
    <w:multiLevelType w:val="hybridMultilevel"/>
    <w:tmpl w:val="81C4A802"/>
    <w:lvl w:ilvl="0" w:tplc="6BBEFAC8">
      <w:start w:val="1"/>
      <w:numFmt w:val="bullet"/>
      <w:lvlText w:val=""/>
      <w:lvlJc w:val="left"/>
      <w:pPr>
        <w:ind w:left="1500" w:hanging="360"/>
      </w:pPr>
      <w:rPr>
        <w:rFonts w:ascii="Symbol" w:hAnsi="Symbol" w:hint="default"/>
      </w:rPr>
    </w:lvl>
    <w:lvl w:ilvl="1" w:tplc="8F486764" w:tentative="1">
      <w:start w:val="1"/>
      <w:numFmt w:val="bullet"/>
      <w:lvlText w:val="o"/>
      <w:lvlJc w:val="left"/>
      <w:pPr>
        <w:ind w:left="2220" w:hanging="360"/>
      </w:pPr>
      <w:rPr>
        <w:rFonts w:ascii="Courier New" w:hAnsi="Courier New" w:cs="Courier New" w:hint="default"/>
      </w:rPr>
    </w:lvl>
    <w:lvl w:ilvl="2" w:tplc="C7106D9C" w:tentative="1">
      <w:start w:val="1"/>
      <w:numFmt w:val="bullet"/>
      <w:lvlText w:val=""/>
      <w:lvlJc w:val="left"/>
      <w:pPr>
        <w:ind w:left="2940" w:hanging="360"/>
      </w:pPr>
      <w:rPr>
        <w:rFonts w:ascii="Wingdings" w:hAnsi="Wingdings" w:hint="default"/>
      </w:rPr>
    </w:lvl>
    <w:lvl w:ilvl="3" w:tplc="998ACD7C" w:tentative="1">
      <w:start w:val="1"/>
      <w:numFmt w:val="bullet"/>
      <w:lvlText w:val=""/>
      <w:lvlJc w:val="left"/>
      <w:pPr>
        <w:ind w:left="3660" w:hanging="360"/>
      </w:pPr>
      <w:rPr>
        <w:rFonts w:ascii="Symbol" w:hAnsi="Symbol" w:hint="default"/>
      </w:rPr>
    </w:lvl>
    <w:lvl w:ilvl="4" w:tplc="BC6E5FC2" w:tentative="1">
      <w:start w:val="1"/>
      <w:numFmt w:val="bullet"/>
      <w:lvlText w:val="o"/>
      <w:lvlJc w:val="left"/>
      <w:pPr>
        <w:ind w:left="4380" w:hanging="360"/>
      </w:pPr>
      <w:rPr>
        <w:rFonts w:ascii="Courier New" w:hAnsi="Courier New" w:cs="Courier New" w:hint="default"/>
      </w:rPr>
    </w:lvl>
    <w:lvl w:ilvl="5" w:tplc="213666B8" w:tentative="1">
      <w:start w:val="1"/>
      <w:numFmt w:val="bullet"/>
      <w:lvlText w:val=""/>
      <w:lvlJc w:val="left"/>
      <w:pPr>
        <w:ind w:left="5100" w:hanging="360"/>
      </w:pPr>
      <w:rPr>
        <w:rFonts w:ascii="Wingdings" w:hAnsi="Wingdings" w:hint="default"/>
      </w:rPr>
    </w:lvl>
    <w:lvl w:ilvl="6" w:tplc="34CA887E" w:tentative="1">
      <w:start w:val="1"/>
      <w:numFmt w:val="bullet"/>
      <w:lvlText w:val=""/>
      <w:lvlJc w:val="left"/>
      <w:pPr>
        <w:ind w:left="5820" w:hanging="360"/>
      </w:pPr>
      <w:rPr>
        <w:rFonts w:ascii="Symbol" w:hAnsi="Symbol" w:hint="default"/>
      </w:rPr>
    </w:lvl>
    <w:lvl w:ilvl="7" w:tplc="B2784CDE" w:tentative="1">
      <w:start w:val="1"/>
      <w:numFmt w:val="bullet"/>
      <w:lvlText w:val="o"/>
      <w:lvlJc w:val="left"/>
      <w:pPr>
        <w:ind w:left="6540" w:hanging="360"/>
      </w:pPr>
      <w:rPr>
        <w:rFonts w:ascii="Courier New" w:hAnsi="Courier New" w:cs="Courier New" w:hint="default"/>
      </w:rPr>
    </w:lvl>
    <w:lvl w:ilvl="8" w:tplc="5B82FD88" w:tentative="1">
      <w:start w:val="1"/>
      <w:numFmt w:val="bullet"/>
      <w:lvlText w:val=""/>
      <w:lvlJc w:val="left"/>
      <w:pPr>
        <w:ind w:left="7260" w:hanging="360"/>
      </w:pPr>
      <w:rPr>
        <w:rFonts w:ascii="Wingdings" w:hAnsi="Wingdings" w:hint="default"/>
      </w:rPr>
    </w:lvl>
  </w:abstractNum>
  <w:abstractNum w:abstractNumId="1" w15:restartNumberingAfterBreak="0">
    <w:nsid w:val="0E917C66"/>
    <w:multiLevelType w:val="hybridMultilevel"/>
    <w:tmpl w:val="E4ECEF8A"/>
    <w:lvl w:ilvl="0" w:tplc="A2365E4C">
      <w:start w:val="1"/>
      <w:numFmt w:val="lowerRoman"/>
      <w:lvlText w:val="%1."/>
      <w:lvlJc w:val="left"/>
      <w:pPr>
        <w:ind w:left="2160" w:hanging="720"/>
      </w:pPr>
      <w:rPr>
        <w:rFonts w:hint="default"/>
      </w:rPr>
    </w:lvl>
    <w:lvl w:ilvl="1" w:tplc="EBC6B956" w:tentative="1">
      <w:start w:val="1"/>
      <w:numFmt w:val="lowerLetter"/>
      <w:lvlText w:val="%2."/>
      <w:lvlJc w:val="left"/>
      <w:pPr>
        <w:ind w:left="2520" w:hanging="360"/>
      </w:pPr>
    </w:lvl>
    <w:lvl w:ilvl="2" w:tplc="CE4AA042" w:tentative="1">
      <w:start w:val="1"/>
      <w:numFmt w:val="lowerRoman"/>
      <w:lvlText w:val="%3."/>
      <w:lvlJc w:val="right"/>
      <w:pPr>
        <w:ind w:left="3240" w:hanging="180"/>
      </w:pPr>
    </w:lvl>
    <w:lvl w:ilvl="3" w:tplc="93CA265E" w:tentative="1">
      <w:start w:val="1"/>
      <w:numFmt w:val="decimal"/>
      <w:lvlText w:val="%4."/>
      <w:lvlJc w:val="left"/>
      <w:pPr>
        <w:ind w:left="3960" w:hanging="360"/>
      </w:pPr>
    </w:lvl>
    <w:lvl w:ilvl="4" w:tplc="2C04EB60" w:tentative="1">
      <w:start w:val="1"/>
      <w:numFmt w:val="lowerLetter"/>
      <w:lvlText w:val="%5."/>
      <w:lvlJc w:val="left"/>
      <w:pPr>
        <w:ind w:left="4680" w:hanging="360"/>
      </w:pPr>
    </w:lvl>
    <w:lvl w:ilvl="5" w:tplc="69CAFC6E" w:tentative="1">
      <w:start w:val="1"/>
      <w:numFmt w:val="lowerRoman"/>
      <w:lvlText w:val="%6."/>
      <w:lvlJc w:val="right"/>
      <w:pPr>
        <w:ind w:left="5400" w:hanging="180"/>
      </w:pPr>
    </w:lvl>
    <w:lvl w:ilvl="6" w:tplc="B0BE1596" w:tentative="1">
      <w:start w:val="1"/>
      <w:numFmt w:val="decimal"/>
      <w:lvlText w:val="%7."/>
      <w:lvlJc w:val="left"/>
      <w:pPr>
        <w:ind w:left="6120" w:hanging="360"/>
      </w:pPr>
    </w:lvl>
    <w:lvl w:ilvl="7" w:tplc="732CE8BC" w:tentative="1">
      <w:start w:val="1"/>
      <w:numFmt w:val="lowerLetter"/>
      <w:lvlText w:val="%8."/>
      <w:lvlJc w:val="left"/>
      <w:pPr>
        <w:ind w:left="6840" w:hanging="360"/>
      </w:pPr>
    </w:lvl>
    <w:lvl w:ilvl="8" w:tplc="1FA20C30" w:tentative="1">
      <w:start w:val="1"/>
      <w:numFmt w:val="lowerRoman"/>
      <w:lvlText w:val="%9."/>
      <w:lvlJc w:val="right"/>
      <w:pPr>
        <w:ind w:left="7560" w:hanging="180"/>
      </w:pPr>
    </w:lvl>
  </w:abstractNum>
  <w:abstractNum w:abstractNumId="2" w15:restartNumberingAfterBreak="0">
    <w:nsid w:val="11D67B51"/>
    <w:multiLevelType w:val="hybridMultilevel"/>
    <w:tmpl w:val="4E687A04"/>
    <w:lvl w:ilvl="0" w:tplc="C7827E1A">
      <w:start w:val="1"/>
      <w:numFmt w:val="bullet"/>
      <w:lvlText w:val=""/>
      <w:lvlJc w:val="left"/>
      <w:pPr>
        <w:ind w:left="1440" w:hanging="360"/>
      </w:pPr>
      <w:rPr>
        <w:rFonts w:ascii="Symbol" w:hAnsi="Symbol" w:hint="default"/>
      </w:rPr>
    </w:lvl>
    <w:lvl w:ilvl="1" w:tplc="3F7CF09C" w:tentative="1">
      <w:start w:val="1"/>
      <w:numFmt w:val="bullet"/>
      <w:lvlText w:val="o"/>
      <w:lvlJc w:val="left"/>
      <w:pPr>
        <w:ind w:left="2160" w:hanging="360"/>
      </w:pPr>
      <w:rPr>
        <w:rFonts w:ascii="Courier New" w:hAnsi="Courier New" w:cs="Courier New" w:hint="default"/>
      </w:rPr>
    </w:lvl>
    <w:lvl w:ilvl="2" w:tplc="4D066F78" w:tentative="1">
      <w:start w:val="1"/>
      <w:numFmt w:val="bullet"/>
      <w:lvlText w:val=""/>
      <w:lvlJc w:val="left"/>
      <w:pPr>
        <w:ind w:left="2880" w:hanging="360"/>
      </w:pPr>
      <w:rPr>
        <w:rFonts w:ascii="Wingdings" w:hAnsi="Wingdings" w:hint="default"/>
      </w:rPr>
    </w:lvl>
    <w:lvl w:ilvl="3" w:tplc="C46C0F6C" w:tentative="1">
      <w:start w:val="1"/>
      <w:numFmt w:val="bullet"/>
      <w:lvlText w:val=""/>
      <w:lvlJc w:val="left"/>
      <w:pPr>
        <w:ind w:left="3600" w:hanging="360"/>
      </w:pPr>
      <w:rPr>
        <w:rFonts w:ascii="Symbol" w:hAnsi="Symbol" w:hint="default"/>
      </w:rPr>
    </w:lvl>
    <w:lvl w:ilvl="4" w:tplc="1C6E10D6" w:tentative="1">
      <w:start w:val="1"/>
      <w:numFmt w:val="bullet"/>
      <w:lvlText w:val="o"/>
      <w:lvlJc w:val="left"/>
      <w:pPr>
        <w:ind w:left="4320" w:hanging="360"/>
      </w:pPr>
      <w:rPr>
        <w:rFonts w:ascii="Courier New" w:hAnsi="Courier New" w:cs="Courier New" w:hint="default"/>
      </w:rPr>
    </w:lvl>
    <w:lvl w:ilvl="5" w:tplc="306E4D80" w:tentative="1">
      <w:start w:val="1"/>
      <w:numFmt w:val="bullet"/>
      <w:lvlText w:val=""/>
      <w:lvlJc w:val="left"/>
      <w:pPr>
        <w:ind w:left="5040" w:hanging="360"/>
      </w:pPr>
      <w:rPr>
        <w:rFonts w:ascii="Wingdings" w:hAnsi="Wingdings" w:hint="default"/>
      </w:rPr>
    </w:lvl>
    <w:lvl w:ilvl="6" w:tplc="74E03C6E" w:tentative="1">
      <w:start w:val="1"/>
      <w:numFmt w:val="bullet"/>
      <w:lvlText w:val=""/>
      <w:lvlJc w:val="left"/>
      <w:pPr>
        <w:ind w:left="5760" w:hanging="360"/>
      </w:pPr>
      <w:rPr>
        <w:rFonts w:ascii="Symbol" w:hAnsi="Symbol" w:hint="default"/>
      </w:rPr>
    </w:lvl>
    <w:lvl w:ilvl="7" w:tplc="D854969A" w:tentative="1">
      <w:start w:val="1"/>
      <w:numFmt w:val="bullet"/>
      <w:lvlText w:val="o"/>
      <w:lvlJc w:val="left"/>
      <w:pPr>
        <w:ind w:left="6480" w:hanging="360"/>
      </w:pPr>
      <w:rPr>
        <w:rFonts w:ascii="Courier New" w:hAnsi="Courier New" w:cs="Courier New" w:hint="default"/>
      </w:rPr>
    </w:lvl>
    <w:lvl w:ilvl="8" w:tplc="3AA2B0C0" w:tentative="1">
      <w:start w:val="1"/>
      <w:numFmt w:val="bullet"/>
      <w:lvlText w:val=""/>
      <w:lvlJc w:val="left"/>
      <w:pPr>
        <w:ind w:left="7200" w:hanging="360"/>
      </w:pPr>
      <w:rPr>
        <w:rFonts w:ascii="Wingdings" w:hAnsi="Wingdings" w:hint="default"/>
      </w:rPr>
    </w:lvl>
  </w:abstractNum>
  <w:abstractNum w:abstractNumId="3" w15:restartNumberingAfterBreak="0">
    <w:nsid w:val="120869DC"/>
    <w:multiLevelType w:val="hybridMultilevel"/>
    <w:tmpl w:val="6A9E9E06"/>
    <w:lvl w:ilvl="0" w:tplc="DEDE93C6">
      <w:start w:val="1"/>
      <w:numFmt w:val="upperLetter"/>
      <w:lvlText w:val="%1."/>
      <w:lvlJc w:val="left"/>
      <w:pPr>
        <w:ind w:left="1080" w:hanging="360"/>
      </w:pPr>
      <w:rPr>
        <w:rFonts w:hint="default"/>
      </w:rPr>
    </w:lvl>
    <w:lvl w:ilvl="1" w:tplc="92DC67D6" w:tentative="1">
      <w:start w:val="1"/>
      <w:numFmt w:val="lowerLetter"/>
      <w:lvlText w:val="%2."/>
      <w:lvlJc w:val="left"/>
      <w:pPr>
        <w:ind w:left="1800" w:hanging="360"/>
      </w:pPr>
    </w:lvl>
    <w:lvl w:ilvl="2" w:tplc="F676BFA8" w:tentative="1">
      <w:start w:val="1"/>
      <w:numFmt w:val="lowerRoman"/>
      <w:lvlText w:val="%3."/>
      <w:lvlJc w:val="right"/>
      <w:pPr>
        <w:ind w:left="2520" w:hanging="180"/>
      </w:pPr>
    </w:lvl>
    <w:lvl w:ilvl="3" w:tplc="181AE762" w:tentative="1">
      <w:start w:val="1"/>
      <w:numFmt w:val="decimal"/>
      <w:lvlText w:val="%4."/>
      <w:lvlJc w:val="left"/>
      <w:pPr>
        <w:ind w:left="3240" w:hanging="360"/>
      </w:pPr>
    </w:lvl>
    <w:lvl w:ilvl="4" w:tplc="45984C2A" w:tentative="1">
      <w:start w:val="1"/>
      <w:numFmt w:val="lowerLetter"/>
      <w:lvlText w:val="%5."/>
      <w:lvlJc w:val="left"/>
      <w:pPr>
        <w:ind w:left="3960" w:hanging="360"/>
      </w:pPr>
    </w:lvl>
    <w:lvl w:ilvl="5" w:tplc="740A47BE" w:tentative="1">
      <w:start w:val="1"/>
      <w:numFmt w:val="lowerRoman"/>
      <w:lvlText w:val="%6."/>
      <w:lvlJc w:val="right"/>
      <w:pPr>
        <w:ind w:left="4680" w:hanging="180"/>
      </w:pPr>
    </w:lvl>
    <w:lvl w:ilvl="6" w:tplc="A7C6F446" w:tentative="1">
      <w:start w:val="1"/>
      <w:numFmt w:val="decimal"/>
      <w:lvlText w:val="%7."/>
      <w:lvlJc w:val="left"/>
      <w:pPr>
        <w:ind w:left="5400" w:hanging="360"/>
      </w:pPr>
    </w:lvl>
    <w:lvl w:ilvl="7" w:tplc="C4D24BF6" w:tentative="1">
      <w:start w:val="1"/>
      <w:numFmt w:val="lowerLetter"/>
      <w:lvlText w:val="%8."/>
      <w:lvlJc w:val="left"/>
      <w:pPr>
        <w:ind w:left="6120" w:hanging="360"/>
      </w:pPr>
    </w:lvl>
    <w:lvl w:ilvl="8" w:tplc="ABCC4576" w:tentative="1">
      <w:start w:val="1"/>
      <w:numFmt w:val="lowerRoman"/>
      <w:lvlText w:val="%9."/>
      <w:lvlJc w:val="right"/>
      <w:pPr>
        <w:ind w:left="6840" w:hanging="180"/>
      </w:pPr>
    </w:lvl>
  </w:abstractNum>
  <w:abstractNum w:abstractNumId="4" w15:restartNumberingAfterBreak="0">
    <w:nsid w:val="16434D23"/>
    <w:multiLevelType w:val="hybridMultilevel"/>
    <w:tmpl w:val="4266BC12"/>
    <w:lvl w:ilvl="0" w:tplc="2012C5E0">
      <w:start w:val="1"/>
      <w:numFmt w:val="decimal"/>
      <w:lvlText w:val="%1."/>
      <w:lvlJc w:val="left"/>
      <w:pPr>
        <w:ind w:left="720" w:hanging="360"/>
      </w:pPr>
    </w:lvl>
    <w:lvl w:ilvl="1" w:tplc="C2CEE4D2" w:tentative="1">
      <w:start w:val="1"/>
      <w:numFmt w:val="lowerLetter"/>
      <w:lvlText w:val="%2."/>
      <w:lvlJc w:val="left"/>
      <w:pPr>
        <w:ind w:left="1440" w:hanging="360"/>
      </w:pPr>
    </w:lvl>
    <w:lvl w:ilvl="2" w:tplc="0960146E" w:tentative="1">
      <w:start w:val="1"/>
      <w:numFmt w:val="lowerRoman"/>
      <w:lvlText w:val="%3."/>
      <w:lvlJc w:val="right"/>
      <w:pPr>
        <w:ind w:left="2160" w:hanging="180"/>
      </w:pPr>
    </w:lvl>
    <w:lvl w:ilvl="3" w:tplc="0A802A54" w:tentative="1">
      <w:start w:val="1"/>
      <w:numFmt w:val="decimal"/>
      <w:lvlText w:val="%4."/>
      <w:lvlJc w:val="left"/>
      <w:pPr>
        <w:ind w:left="2880" w:hanging="360"/>
      </w:pPr>
    </w:lvl>
    <w:lvl w:ilvl="4" w:tplc="46A6B468" w:tentative="1">
      <w:start w:val="1"/>
      <w:numFmt w:val="lowerLetter"/>
      <w:lvlText w:val="%5."/>
      <w:lvlJc w:val="left"/>
      <w:pPr>
        <w:ind w:left="3600" w:hanging="360"/>
      </w:pPr>
    </w:lvl>
    <w:lvl w:ilvl="5" w:tplc="A84ABF8A" w:tentative="1">
      <w:start w:val="1"/>
      <w:numFmt w:val="lowerRoman"/>
      <w:lvlText w:val="%6."/>
      <w:lvlJc w:val="right"/>
      <w:pPr>
        <w:ind w:left="4320" w:hanging="180"/>
      </w:pPr>
    </w:lvl>
    <w:lvl w:ilvl="6" w:tplc="84AE9408" w:tentative="1">
      <w:start w:val="1"/>
      <w:numFmt w:val="decimal"/>
      <w:lvlText w:val="%7."/>
      <w:lvlJc w:val="left"/>
      <w:pPr>
        <w:ind w:left="5040" w:hanging="360"/>
      </w:pPr>
    </w:lvl>
    <w:lvl w:ilvl="7" w:tplc="8028E9E4" w:tentative="1">
      <w:start w:val="1"/>
      <w:numFmt w:val="lowerLetter"/>
      <w:lvlText w:val="%8."/>
      <w:lvlJc w:val="left"/>
      <w:pPr>
        <w:ind w:left="5760" w:hanging="360"/>
      </w:pPr>
    </w:lvl>
    <w:lvl w:ilvl="8" w:tplc="8DD6B632" w:tentative="1">
      <w:start w:val="1"/>
      <w:numFmt w:val="lowerRoman"/>
      <w:lvlText w:val="%9."/>
      <w:lvlJc w:val="right"/>
      <w:pPr>
        <w:ind w:left="6480" w:hanging="180"/>
      </w:pPr>
    </w:lvl>
  </w:abstractNum>
  <w:abstractNum w:abstractNumId="5" w15:restartNumberingAfterBreak="0">
    <w:nsid w:val="16531888"/>
    <w:multiLevelType w:val="hybridMultilevel"/>
    <w:tmpl w:val="3E640366"/>
    <w:lvl w:ilvl="0" w:tplc="94121C04">
      <w:start w:val="1"/>
      <w:numFmt w:val="upperLetter"/>
      <w:lvlText w:val="%1."/>
      <w:lvlJc w:val="left"/>
      <w:pPr>
        <w:ind w:left="1080" w:hanging="360"/>
      </w:pPr>
      <w:rPr>
        <w:rFonts w:hint="default"/>
      </w:rPr>
    </w:lvl>
    <w:lvl w:ilvl="1" w:tplc="48FC4E48" w:tentative="1">
      <w:start w:val="1"/>
      <w:numFmt w:val="lowerLetter"/>
      <w:lvlText w:val="%2."/>
      <w:lvlJc w:val="left"/>
      <w:pPr>
        <w:ind w:left="1800" w:hanging="360"/>
      </w:pPr>
    </w:lvl>
    <w:lvl w:ilvl="2" w:tplc="7480B46C" w:tentative="1">
      <w:start w:val="1"/>
      <w:numFmt w:val="lowerRoman"/>
      <w:lvlText w:val="%3."/>
      <w:lvlJc w:val="right"/>
      <w:pPr>
        <w:ind w:left="2520" w:hanging="180"/>
      </w:pPr>
    </w:lvl>
    <w:lvl w:ilvl="3" w:tplc="236AF454" w:tentative="1">
      <w:start w:val="1"/>
      <w:numFmt w:val="decimal"/>
      <w:lvlText w:val="%4."/>
      <w:lvlJc w:val="left"/>
      <w:pPr>
        <w:ind w:left="3240" w:hanging="360"/>
      </w:pPr>
    </w:lvl>
    <w:lvl w:ilvl="4" w:tplc="F1F01C28" w:tentative="1">
      <w:start w:val="1"/>
      <w:numFmt w:val="lowerLetter"/>
      <w:lvlText w:val="%5."/>
      <w:lvlJc w:val="left"/>
      <w:pPr>
        <w:ind w:left="3960" w:hanging="360"/>
      </w:pPr>
    </w:lvl>
    <w:lvl w:ilvl="5" w:tplc="7E3AF286" w:tentative="1">
      <w:start w:val="1"/>
      <w:numFmt w:val="lowerRoman"/>
      <w:lvlText w:val="%6."/>
      <w:lvlJc w:val="right"/>
      <w:pPr>
        <w:ind w:left="4680" w:hanging="180"/>
      </w:pPr>
    </w:lvl>
    <w:lvl w:ilvl="6" w:tplc="8026AB90" w:tentative="1">
      <w:start w:val="1"/>
      <w:numFmt w:val="decimal"/>
      <w:lvlText w:val="%7."/>
      <w:lvlJc w:val="left"/>
      <w:pPr>
        <w:ind w:left="5400" w:hanging="360"/>
      </w:pPr>
    </w:lvl>
    <w:lvl w:ilvl="7" w:tplc="42BC94B6" w:tentative="1">
      <w:start w:val="1"/>
      <w:numFmt w:val="lowerLetter"/>
      <w:lvlText w:val="%8."/>
      <w:lvlJc w:val="left"/>
      <w:pPr>
        <w:ind w:left="6120" w:hanging="360"/>
      </w:pPr>
    </w:lvl>
    <w:lvl w:ilvl="8" w:tplc="86889694" w:tentative="1">
      <w:start w:val="1"/>
      <w:numFmt w:val="lowerRoman"/>
      <w:lvlText w:val="%9."/>
      <w:lvlJc w:val="right"/>
      <w:pPr>
        <w:ind w:left="6840" w:hanging="180"/>
      </w:pPr>
    </w:lvl>
  </w:abstractNum>
  <w:abstractNum w:abstractNumId="6" w15:restartNumberingAfterBreak="0">
    <w:nsid w:val="16852F47"/>
    <w:multiLevelType w:val="hybridMultilevel"/>
    <w:tmpl w:val="D8689506"/>
    <w:lvl w:ilvl="0" w:tplc="58B0B760">
      <w:start w:val="1"/>
      <w:numFmt w:val="bullet"/>
      <w:lvlText w:val=""/>
      <w:lvlJc w:val="left"/>
      <w:pPr>
        <w:ind w:left="1440" w:hanging="360"/>
      </w:pPr>
      <w:rPr>
        <w:rFonts w:ascii="Symbol" w:hAnsi="Symbol" w:hint="default"/>
      </w:rPr>
    </w:lvl>
    <w:lvl w:ilvl="1" w:tplc="4DD40CAE" w:tentative="1">
      <w:start w:val="1"/>
      <w:numFmt w:val="bullet"/>
      <w:lvlText w:val="o"/>
      <w:lvlJc w:val="left"/>
      <w:pPr>
        <w:ind w:left="2160" w:hanging="360"/>
      </w:pPr>
      <w:rPr>
        <w:rFonts w:ascii="Courier New" w:hAnsi="Courier New" w:cs="Courier New" w:hint="default"/>
      </w:rPr>
    </w:lvl>
    <w:lvl w:ilvl="2" w:tplc="ED6AA1BA" w:tentative="1">
      <w:start w:val="1"/>
      <w:numFmt w:val="bullet"/>
      <w:lvlText w:val=""/>
      <w:lvlJc w:val="left"/>
      <w:pPr>
        <w:ind w:left="2880" w:hanging="360"/>
      </w:pPr>
      <w:rPr>
        <w:rFonts w:ascii="Wingdings" w:hAnsi="Wingdings" w:hint="default"/>
      </w:rPr>
    </w:lvl>
    <w:lvl w:ilvl="3" w:tplc="061E3046" w:tentative="1">
      <w:start w:val="1"/>
      <w:numFmt w:val="bullet"/>
      <w:lvlText w:val=""/>
      <w:lvlJc w:val="left"/>
      <w:pPr>
        <w:ind w:left="3600" w:hanging="360"/>
      </w:pPr>
      <w:rPr>
        <w:rFonts w:ascii="Symbol" w:hAnsi="Symbol" w:hint="default"/>
      </w:rPr>
    </w:lvl>
    <w:lvl w:ilvl="4" w:tplc="7748776A" w:tentative="1">
      <w:start w:val="1"/>
      <w:numFmt w:val="bullet"/>
      <w:lvlText w:val="o"/>
      <w:lvlJc w:val="left"/>
      <w:pPr>
        <w:ind w:left="4320" w:hanging="360"/>
      </w:pPr>
      <w:rPr>
        <w:rFonts w:ascii="Courier New" w:hAnsi="Courier New" w:cs="Courier New" w:hint="default"/>
      </w:rPr>
    </w:lvl>
    <w:lvl w:ilvl="5" w:tplc="87BE2F34" w:tentative="1">
      <w:start w:val="1"/>
      <w:numFmt w:val="bullet"/>
      <w:lvlText w:val=""/>
      <w:lvlJc w:val="left"/>
      <w:pPr>
        <w:ind w:left="5040" w:hanging="360"/>
      </w:pPr>
      <w:rPr>
        <w:rFonts w:ascii="Wingdings" w:hAnsi="Wingdings" w:hint="default"/>
      </w:rPr>
    </w:lvl>
    <w:lvl w:ilvl="6" w:tplc="2A0A12AA" w:tentative="1">
      <w:start w:val="1"/>
      <w:numFmt w:val="bullet"/>
      <w:lvlText w:val=""/>
      <w:lvlJc w:val="left"/>
      <w:pPr>
        <w:ind w:left="5760" w:hanging="360"/>
      </w:pPr>
      <w:rPr>
        <w:rFonts w:ascii="Symbol" w:hAnsi="Symbol" w:hint="default"/>
      </w:rPr>
    </w:lvl>
    <w:lvl w:ilvl="7" w:tplc="7CD80824" w:tentative="1">
      <w:start w:val="1"/>
      <w:numFmt w:val="bullet"/>
      <w:lvlText w:val="o"/>
      <w:lvlJc w:val="left"/>
      <w:pPr>
        <w:ind w:left="6480" w:hanging="360"/>
      </w:pPr>
      <w:rPr>
        <w:rFonts w:ascii="Courier New" w:hAnsi="Courier New" w:cs="Courier New" w:hint="default"/>
      </w:rPr>
    </w:lvl>
    <w:lvl w:ilvl="8" w:tplc="CDE8B956" w:tentative="1">
      <w:start w:val="1"/>
      <w:numFmt w:val="bullet"/>
      <w:lvlText w:val=""/>
      <w:lvlJc w:val="left"/>
      <w:pPr>
        <w:ind w:left="7200" w:hanging="360"/>
      </w:pPr>
      <w:rPr>
        <w:rFonts w:ascii="Wingdings" w:hAnsi="Wingdings" w:hint="default"/>
      </w:rPr>
    </w:lvl>
  </w:abstractNum>
  <w:abstractNum w:abstractNumId="7" w15:restartNumberingAfterBreak="0">
    <w:nsid w:val="181B7BC4"/>
    <w:multiLevelType w:val="hybridMultilevel"/>
    <w:tmpl w:val="C0505468"/>
    <w:lvl w:ilvl="0" w:tplc="1CC4D5E8">
      <w:start w:val="1"/>
      <w:numFmt w:val="bullet"/>
      <w:lvlText w:val=""/>
      <w:lvlJc w:val="left"/>
      <w:pPr>
        <w:ind w:left="1440" w:hanging="360"/>
      </w:pPr>
      <w:rPr>
        <w:rFonts w:ascii="Symbol" w:hAnsi="Symbol" w:hint="default"/>
      </w:rPr>
    </w:lvl>
    <w:lvl w:ilvl="1" w:tplc="BD3A1384" w:tentative="1">
      <w:start w:val="1"/>
      <w:numFmt w:val="bullet"/>
      <w:lvlText w:val="o"/>
      <w:lvlJc w:val="left"/>
      <w:pPr>
        <w:ind w:left="2160" w:hanging="360"/>
      </w:pPr>
      <w:rPr>
        <w:rFonts w:ascii="Courier New" w:hAnsi="Courier New" w:cs="Courier New" w:hint="default"/>
      </w:rPr>
    </w:lvl>
    <w:lvl w:ilvl="2" w:tplc="184A2D6A" w:tentative="1">
      <w:start w:val="1"/>
      <w:numFmt w:val="bullet"/>
      <w:lvlText w:val=""/>
      <w:lvlJc w:val="left"/>
      <w:pPr>
        <w:ind w:left="2880" w:hanging="360"/>
      </w:pPr>
      <w:rPr>
        <w:rFonts w:ascii="Wingdings" w:hAnsi="Wingdings" w:hint="default"/>
      </w:rPr>
    </w:lvl>
    <w:lvl w:ilvl="3" w:tplc="AB382FAC" w:tentative="1">
      <w:start w:val="1"/>
      <w:numFmt w:val="bullet"/>
      <w:lvlText w:val=""/>
      <w:lvlJc w:val="left"/>
      <w:pPr>
        <w:ind w:left="3600" w:hanging="360"/>
      </w:pPr>
      <w:rPr>
        <w:rFonts w:ascii="Symbol" w:hAnsi="Symbol" w:hint="default"/>
      </w:rPr>
    </w:lvl>
    <w:lvl w:ilvl="4" w:tplc="2994725E" w:tentative="1">
      <w:start w:val="1"/>
      <w:numFmt w:val="bullet"/>
      <w:lvlText w:val="o"/>
      <w:lvlJc w:val="left"/>
      <w:pPr>
        <w:ind w:left="4320" w:hanging="360"/>
      </w:pPr>
      <w:rPr>
        <w:rFonts w:ascii="Courier New" w:hAnsi="Courier New" w:cs="Courier New" w:hint="default"/>
      </w:rPr>
    </w:lvl>
    <w:lvl w:ilvl="5" w:tplc="FCA8523C" w:tentative="1">
      <w:start w:val="1"/>
      <w:numFmt w:val="bullet"/>
      <w:lvlText w:val=""/>
      <w:lvlJc w:val="left"/>
      <w:pPr>
        <w:ind w:left="5040" w:hanging="360"/>
      </w:pPr>
      <w:rPr>
        <w:rFonts w:ascii="Wingdings" w:hAnsi="Wingdings" w:hint="default"/>
      </w:rPr>
    </w:lvl>
    <w:lvl w:ilvl="6" w:tplc="516AD114" w:tentative="1">
      <w:start w:val="1"/>
      <w:numFmt w:val="bullet"/>
      <w:lvlText w:val=""/>
      <w:lvlJc w:val="left"/>
      <w:pPr>
        <w:ind w:left="5760" w:hanging="360"/>
      </w:pPr>
      <w:rPr>
        <w:rFonts w:ascii="Symbol" w:hAnsi="Symbol" w:hint="default"/>
      </w:rPr>
    </w:lvl>
    <w:lvl w:ilvl="7" w:tplc="7102F7B2" w:tentative="1">
      <w:start w:val="1"/>
      <w:numFmt w:val="bullet"/>
      <w:lvlText w:val="o"/>
      <w:lvlJc w:val="left"/>
      <w:pPr>
        <w:ind w:left="6480" w:hanging="360"/>
      </w:pPr>
      <w:rPr>
        <w:rFonts w:ascii="Courier New" w:hAnsi="Courier New" w:cs="Courier New" w:hint="default"/>
      </w:rPr>
    </w:lvl>
    <w:lvl w:ilvl="8" w:tplc="F68C1F68" w:tentative="1">
      <w:start w:val="1"/>
      <w:numFmt w:val="bullet"/>
      <w:lvlText w:val=""/>
      <w:lvlJc w:val="left"/>
      <w:pPr>
        <w:ind w:left="7200" w:hanging="360"/>
      </w:pPr>
      <w:rPr>
        <w:rFonts w:ascii="Wingdings" w:hAnsi="Wingdings" w:hint="default"/>
      </w:rPr>
    </w:lvl>
  </w:abstractNum>
  <w:abstractNum w:abstractNumId="8" w15:restartNumberingAfterBreak="0">
    <w:nsid w:val="1EDF7D22"/>
    <w:multiLevelType w:val="hybridMultilevel"/>
    <w:tmpl w:val="B478F428"/>
    <w:lvl w:ilvl="0" w:tplc="284E8A20">
      <w:start w:val="1"/>
      <w:numFmt w:val="bullet"/>
      <w:lvlText w:val=""/>
      <w:lvlJc w:val="left"/>
      <w:pPr>
        <w:ind w:left="1800" w:hanging="360"/>
      </w:pPr>
      <w:rPr>
        <w:rFonts w:ascii="Symbol" w:eastAsiaTheme="minorHAnsi" w:hAnsi="Symbol" w:cstheme="minorBidi" w:hint="default"/>
      </w:rPr>
    </w:lvl>
    <w:lvl w:ilvl="1" w:tplc="68144BD4" w:tentative="1">
      <w:start w:val="1"/>
      <w:numFmt w:val="bullet"/>
      <w:lvlText w:val="o"/>
      <w:lvlJc w:val="left"/>
      <w:pPr>
        <w:ind w:left="2160" w:hanging="360"/>
      </w:pPr>
      <w:rPr>
        <w:rFonts w:ascii="Courier New" w:hAnsi="Courier New" w:cs="Courier New" w:hint="default"/>
      </w:rPr>
    </w:lvl>
    <w:lvl w:ilvl="2" w:tplc="8FA2C7A4" w:tentative="1">
      <w:start w:val="1"/>
      <w:numFmt w:val="bullet"/>
      <w:lvlText w:val=""/>
      <w:lvlJc w:val="left"/>
      <w:pPr>
        <w:ind w:left="2880" w:hanging="360"/>
      </w:pPr>
      <w:rPr>
        <w:rFonts w:ascii="Wingdings" w:hAnsi="Wingdings" w:hint="default"/>
      </w:rPr>
    </w:lvl>
    <w:lvl w:ilvl="3" w:tplc="92EA7D58" w:tentative="1">
      <w:start w:val="1"/>
      <w:numFmt w:val="bullet"/>
      <w:lvlText w:val=""/>
      <w:lvlJc w:val="left"/>
      <w:pPr>
        <w:ind w:left="3600" w:hanging="360"/>
      </w:pPr>
      <w:rPr>
        <w:rFonts w:ascii="Symbol" w:hAnsi="Symbol" w:hint="default"/>
      </w:rPr>
    </w:lvl>
    <w:lvl w:ilvl="4" w:tplc="4106E674" w:tentative="1">
      <w:start w:val="1"/>
      <w:numFmt w:val="bullet"/>
      <w:lvlText w:val="o"/>
      <w:lvlJc w:val="left"/>
      <w:pPr>
        <w:ind w:left="4320" w:hanging="360"/>
      </w:pPr>
      <w:rPr>
        <w:rFonts w:ascii="Courier New" w:hAnsi="Courier New" w:cs="Courier New" w:hint="default"/>
      </w:rPr>
    </w:lvl>
    <w:lvl w:ilvl="5" w:tplc="97B21C2E" w:tentative="1">
      <w:start w:val="1"/>
      <w:numFmt w:val="bullet"/>
      <w:lvlText w:val=""/>
      <w:lvlJc w:val="left"/>
      <w:pPr>
        <w:ind w:left="5040" w:hanging="360"/>
      </w:pPr>
      <w:rPr>
        <w:rFonts w:ascii="Wingdings" w:hAnsi="Wingdings" w:hint="default"/>
      </w:rPr>
    </w:lvl>
    <w:lvl w:ilvl="6" w:tplc="73B465B2" w:tentative="1">
      <w:start w:val="1"/>
      <w:numFmt w:val="bullet"/>
      <w:lvlText w:val=""/>
      <w:lvlJc w:val="left"/>
      <w:pPr>
        <w:ind w:left="5760" w:hanging="360"/>
      </w:pPr>
      <w:rPr>
        <w:rFonts w:ascii="Symbol" w:hAnsi="Symbol" w:hint="default"/>
      </w:rPr>
    </w:lvl>
    <w:lvl w:ilvl="7" w:tplc="C6F2AC9C" w:tentative="1">
      <w:start w:val="1"/>
      <w:numFmt w:val="bullet"/>
      <w:lvlText w:val="o"/>
      <w:lvlJc w:val="left"/>
      <w:pPr>
        <w:ind w:left="6480" w:hanging="360"/>
      </w:pPr>
      <w:rPr>
        <w:rFonts w:ascii="Courier New" w:hAnsi="Courier New" w:cs="Courier New" w:hint="default"/>
      </w:rPr>
    </w:lvl>
    <w:lvl w:ilvl="8" w:tplc="5B9CDE30" w:tentative="1">
      <w:start w:val="1"/>
      <w:numFmt w:val="bullet"/>
      <w:lvlText w:val=""/>
      <w:lvlJc w:val="left"/>
      <w:pPr>
        <w:ind w:left="7200" w:hanging="360"/>
      </w:pPr>
      <w:rPr>
        <w:rFonts w:ascii="Wingdings" w:hAnsi="Wingdings" w:hint="default"/>
      </w:rPr>
    </w:lvl>
  </w:abstractNum>
  <w:abstractNum w:abstractNumId="9" w15:restartNumberingAfterBreak="0">
    <w:nsid w:val="225253DB"/>
    <w:multiLevelType w:val="hybridMultilevel"/>
    <w:tmpl w:val="AF76EA04"/>
    <w:lvl w:ilvl="0" w:tplc="CE9A75DE">
      <w:start w:val="1"/>
      <w:numFmt w:val="bullet"/>
      <w:lvlText w:val=""/>
      <w:lvlJc w:val="left"/>
      <w:pPr>
        <w:ind w:left="1080" w:hanging="360"/>
      </w:pPr>
      <w:rPr>
        <w:rFonts w:ascii="Symbol" w:eastAsiaTheme="minorHAnsi" w:hAnsi="Symbol" w:cstheme="minorBidi" w:hint="default"/>
      </w:rPr>
    </w:lvl>
    <w:lvl w:ilvl="1" w:tplc="62A4893E" w:tentative="1">
      <w:start w:val="1"/>
      <w:numFmt w:val="bullet"/>
      <w:lvlText w:val="o"/>
      <w:lvlJc w:val="left"/>
      <w:pPr>
        <w:ind w:left="1800" w:hanging="360"/>
      </w:pPr>
      <w:rPr>
        <w:rFonts w:ascii="Courier New" w:hAnsi="Courier New" w:cs="Courier New" w:hint="default"/>
      </w:rPr>
    </w:lvl>
    <w:lvl w:ilvl="2" w:tplc="A82AC78C" w:tentative="1">
      <w:start w:val="1"/>
      <w:numFmt w:val="bullet"/>
      <w:lvlText w:val=""/>
      <w:lvlJc w:val="left"/>
      <w:pPr>
        <w:ind w:left="2520" w:hanging="360"/>
      </w:pPr>
      <w:rPr>
        <w:rFonts w:ascii="Wingdings" w:hAnsi="Wingdings" w:hint="default"/>
      </w:rPr>
    </w:lvl>
    <w:lvl w:ilvl="3" w:tplc="BDEED2E8" w:tentative="1">
      <w:start w:val="1"/>
      <w:numFmt w:val="bullet"/>
      <w:lvlText w:val=""/>
      <w:lvlJc w:val="left"/>
      <w:pPr>
        <w:ind w:left="3240" w:hanging="360"/>
      </w:pPr>
      <w:rPr>
        <w:rFonts w:ascii="Symbol" w:hAnsi="Symbol" w:hint="default"/>
      </w:rPr>
    </w:lvl>
    <w:lvl w:ilvl="4" w:tplc="93AA4B6E" w:tentative="1">
      <w:start w:val="1"/>
      <w:numFmt w:val="bullet"/>
      <w:lvlText w:val="o"/>
      <w:lvlJc w:val="left"/>
      <w:pPr>
        <w:ind w:left="3960" w:hanging="360"/>
      </w:pPr>
      <w:rPr>
        <w:rFonts w:ascii="Courier New" w:hAnsi="Courier New" w:cs="Courier New" w:hint="default"/>
      </w:rPr>
    </w:lvl>
    <w:lvl w:ilvl="5" w:tplc="49A6CD14" w:tentative="1">
      <w:start w:val="1"/>
      <w:numFmt w:val="bullet"/>
      <w:lvlText w:val=""/>
      <w:lvlJc w:val="left"/>
      <w:pPr>
        <w:ind w:left="4680" w:hanging="360"/>
      </w:pPr>
      <w:rPr>
        <w:rFonts w:ascii="Wingdings" w:hAnsi="Wingdings" w:hint="default"/>
      </w:rPr>
    </w:lvl>
    <w:lvl w:ilvl="6" w:tplc="12D4A988" w:tentative="1">
      <w:start w:val="1"/>
      <w:numFmt w:val="bullet"/>
      <w:lvlText w:val=""/>
      <w:lvlJc w:val="left"/>
      <w:pPr>
        <w:ind w:left="5400" w:hanging="360"/>
      </w:pPr>
      <w:rPr>
        <w:rFonts w:ascii="Symbol" w:hAnsi="Symbol" w:hint="default"/>
      </w:rPr>
    </w:lvl>
    <w:lvl w:ilvl="7" w:tplc="3D52F8B8" w:tentative="1">
      <w:start w:val="1"/>
      <w:numFmt w:val="bullet"/>
      <w:lvlText w:val="o"/>
      <w:lvlJc w:val="left"/>
      <w:pPr>
        <w:ind w:left="6120" w:hanging="360"/>
      </w:pPr>
      <w:rPr>
        <w:rFonts w:ascii="Courier New" w:hAnsi="Courier New" w:cs="Courier New" w:hint="default"/>
      </w:rPr>
    </w:lvl>
    <w:lvl w:ilvl="8" w:tplc="475AAAFA" w:tentative="1">
      <w:start w:val="1"/>
      <w:numFmt w:val="bullet"/>
      <w:lvlText w:val=""/>
      <w:lvlJc w:val="left"/>
      <w:pPr>
        <w:ind w:left="6840" w:hanging="360"/>
      </w:pPr>
      <w:rPr>
        <w:rFonts w:ascii="Wingdings" w:hAnsi="Wingdings" w:hint="default"/>
      </w:rPr>
    </w:lvl>
  </w:abstractNum>
  <w:abstractNum w:abstractNumId="10" w15:restartNumberingAfterBreak="0">
    <w:nsid w:val="2E9C49AE"/>
    <w:multiLevelType w:val="hybridMultilevel"/>
    <w:tmpl w:val="FD1A5134"/>
    <w:lvl w:ilvl="0" w:tplc="566AB1D0">
      <w:start w:val="1"/>
      <w:numFmt w:val="bullet"/>
      <w:lvlText w:val=""/>
      <w:lvlJc w:val="left"/>
      <w:pPr>
        <w:ind w:left="1080" w:hanging="360"/>
      </w:pPr>
      <w:rPr>
        <w:rFonts w:ascii="Symbol" w:eastAsiaTheme="minorHAnsi" w:hAnsi="Symbol" w:cstheme="minorBidi" w:hint="default"/>
      </w:rPr>
    </w:lvl>
    <w:lvl w:ilvl="1" w:tplc="FA2E6166" w:tentative="1">
      <w:start w:val="1"/>
      <w:numFmt w:val="bullet"/>
      <w:lvlText w:val="o"/>
      <w:lvlJc w:val="left"/>
      <w:pPr>
        <w:ind w:left="1800" w:hanging="360"/>
      </w:pPr>
      <w:rPr>
        <w:rFonts w:ascii="Courier New" w:hAnsi="Courier New" w:cs="Courier New" w:hint="default"/>
      </w:rPr>
    </w:lvl>
    <w:lvl w:ilvl="2" w:tplc="E4006EE6" w:tentative="1">
      <w:start w:val="1"/>
      <w:numFmt w:val="bullet"/>
      <w:lvlText w:val=""/>
      <w:lvlJc w:val="left"/>
      <w:pPr>
        <w:ind w:left="2520" w:hanging="360"/>
      </w:pPr>
      <w:rPr>
        <w:rFonts w:ascii="Wingdings" w:hAnsi="Wingdings" w:hint="default"/>
      </w:rPr>
    </w:lvl>
    <w:lvl w:ilvl="3" w:tplc="05062752" w:tentative="1">
      <w:start w:val="1"/>
      <w:numFmt w:val="bullet"/>
      <w:lvlText w:val=""/>
      <w:lvlJc w:val="left"/>
      <w:pPr>
        <w:ind w:left="3240" w:hanging="360"/>
      </w:pPr>
      <w:rPr>
        <w:rFonts w:ascii="Symbol" w:hAnsi="Symbol" w:hint="default"/>
      </w:rPr>
    </w:lvl>
    <w:lvl w:ilvl="4" w:tplc="BC581F76" w:tentative="1">
      <w:start w:val="1"/>
      <w:numFmt w:val="bullet"/>
      <w:lvlText w:val="o"/>
      <w:lvlJc w:val="left"/>
      <w:pPr>
        <w:ind w:left="3960" w:hanging="360"/>
      </w:pPr>
      <w:rPr>
        <w:rFonts w:ascii="Courier New" w:hAnsi="Courier New" w:cs="Courier New" w:hint="default"/>
      </w:rPr>
    </w:lvl>
    <w:lvl w:ilvl="5" w:tplc="7DC2150A" w:tentative="1">
      <w:start w:val="1"/>
      <w:numFmt w:val="bullet"/>
      <w:lvlText w:val=""/>
      <w:lvlJc w:val="left"/>
      <w:pPr>
        <w:ind w:left="4680" w:hanging="360"/>
      </w:pPr>
      <w:rPr>
        <w:rFonts w:ascii="Wingdings" w:hAnsi="Wingdings" w:hint="default"/>
      </w:rPr>
    </w:lvl>
    <w:lvl w:ilvl="6" w:tplc="979E1EEC" w:tentative="1">
      <w:start w:val="1"/>
      <w:numFmt w:val="bullet"/>
      <w:lvlText w:val=""/>
      <w:lvlJc w:val="left"/>
      <w:pPr>
        <w:ind w:left="5400" w:hanging="360"/>
      </w:pPr>
      <w:rPr>
        <w:rFonts w:ascii="Symbol" w:hAnsi="Symbol" w:hint="default"/>
      </w:rPr>
    </w:lvl>
    <w:lvl w:ilvl="7" w:tplc="9AA41330" w:tentative="1">
      <w:start w:val="1"/>
      <w:numFmt w:val="bullet"/>
      <w:lvlText w:val="o"/>
      <w:lvlJc w:val="left"/>
      <w:pPr>
        <w:ind w:left="6120" w:hanging="360"/>
      </w:pPr>
      <w:rPr>
        <w:rFonts w:ascii="Courier New" w:hAnsi="Courier New" w:cs="Courier New" w:hint="default"/>
      </w:rPr>
    </w:lvl>
    <w:lvl w:ilvl="8" w:tplc="66B45FAE" w:tentative="1">
      <w:start w:val="1"/>
      <w:numFmt w:val="bullet"/>
      <w:lvlText w:val=""/>
      <w:lvlJc w:val="left"/>
      <w:pPr>
        <w:ind w:left="6840" w:hanging="360"/>
      </w:pPr>
      <w:rPr>
        <w:rFonts w:ascii="Wingdings" w:hAnsi="Wingdings" w:hint="default"/>
      </w:rPr>
    </w:lvl>
  </w:abstractNum>
  <w:abstractNum w:abstractNumId="11" w15:restartNumberingAfterBreak="0">
    <w:nsid w:val="2FC55A88"/>
    <w:multiLevelType w:val="hybridMultilevel"/>
    <w:tmpl w:val="9C54CB3E"/>
    <w:lvl w:ilvl="0" w:tplc="EF54234A">
      <w:start w:val="1"/>
      <w:numFmt w:val="bullet"/>
      <w:lvlText w:val=""/>
      <w:lvlJc w:val="left"/>
      <w:pPr>
        <w:ind w:left="1080" w:hanging="360"/>
      </w:pPr>
      <w:rPr>
        <w:rFonts w:ascii="Symbol" w:eastAsiaTheme="minorHAnsi" w:hAnsi="Symbol" w:cstheme="minorBidi" w:hint="default"/>
      </w:rPr>
    </w:lvl>
    <w:lvl w:ilvl="1" w:tplc="11D21EA8" w:tentative="1">
      <w:start w:val="1"/>
      <w:numFmt w:val="bullet"/>
      <w:lvlText w:val="o"/>
      <w:lvlJc w:val="left"/>
      <w:pPr>
        <w:ind w:left="1800" w:hanging="360"/>
      </w:pPr>
      <w:rPr>
        <w:rFonts w:ascii="Courier New" w:hAnsi="Courier New" w:cs="Courier New" w:hint="default"/>
      </w:rPr>
    </w:lvl>
    <w:lvl w:ilvl="2" w:tplc="64E63E88" w:tentative="1">
      <w:start w:val="1"/>
      <w:numFmt w:val="bullet"/>
      <w:lvlText w:val=""/>
      <w:lvlJc w:val="left"/>
      <w:pPr>
        <w:ind w:left="2520" w:hanging="360"/>
      </w:pPr>
      <w:rPr>
        <w:rFonts w:ascii="Wingdings" w:hAnsi="Wingdings" w:hint="default"/>
      </w:rPr>
    </w:lvl>
    <w:lvl w:ilvl="3" w:tplc="5B58A644" w:tentative="1">
      <w:start w:val="1"/>
      <w:numFmt w:val="bullet"/>
      <w:lvlText w:val=""/>
      <w:lvlJc w:val="left"/>
      <w:pPr>
        <w:ind w:left="3240" w:hanging="360"/>
      </w:pPr>
      <w:rPr>
        <w:rFonts w:ascii="Symbol" w:hAnsi="Symbol" w:hint="default"/>
      </w:rPr>
    </w:lvl>
    <w:lvl w:ilvl="4" w:tplc="EE946774" w:tentative="1">
      <w:start w:val="1"/>
      <w:numFmt w:val="bullet"/>
      <w:lvlText w:val="o"/>
      <w:lvlJc w:val="left"/>
      <w:pPr>
        <w:ind w:left="3960" w:hanging="360"/>
      </w:pPr>
      <w:rPr>
        <w:rFonts w:ascii="Courier New" w:hAnsi="Courier New" w:cs="Courier New" w:hint="default"/>
      </w:rPr>
    </w:lvl>
    <w:lvl w:ilvl="5" w:tplc="4B8A54F8" w:tentative="1">
      <w:start w:val="1"/>
      <w:numFmt w:val="bullet"/>
      <w:lvlText w:val=""/>
      <w:lvlJc w:val="left"/>
      <w:pPr>
        <w:ind w:left="4680" w:hanging="360"/>
      </w:pPr>
      <w:rPr>
        <w:rFonts w:ascii="Wingdings" w:hAnsi="Wingdings" w:hint="default"/>
      </w:rPr>
    </w:lvl>
    <w:lvl w:ilvl="6" w:tplc="3B2437E2" w:tentative="1">
      <w:start w:val="1"/>
      <w:numFmt w:val="bullet"/>
      <w:lvlText w:val=""/>
      <w:lvlJc w:val="left"/>
      <w:pPr>
        <w:ind w:left="5400" w:hanging="360"/>
      </w:pPr>
      <w:rPr>
        <w:rFonts w:ascii="Symbol" w:hAnsi="Symbol" w:hint="default"/>
      </w:rPr>
    </w:lvl>
    <w:lvl w:ilvl="7" w:tplc="476C623E" w:tentative="1">
      <w:start w:val="1"/>
      <w:numFmt w:val="bullet"/>
      <w:lvlText w:val="o"/>
      <w:lvlJc w:val="left"/>
      <w:pPr>
        <w:ind w:left="6120" w:hanging="360"/>
      </w:pPr>
      <w:rPr>
        <w:rFonts w:ascii="Courier New" w:hAnsi="Courier New" w:cs="Courier New" w:hint="default"/>
      </w:rPr>
    </w:lvl>
    <w:lvl w:ilvl="8" w:tplc="5276EE26" w:tentative="1">
      <w:start w:val="1"/>
      <w:numFmt w:val="bullet"/>
      <w:lvlText w:val=""/>
      <w:lvlJc w:val="left"/>
      <w:pPr>
        <w:ind w:left="6840" w:hanging="360"/>
      </w:pPr>
      <w:rPr>
        <w:rFonts w:ascii="Wingdings" w:hAnsi="Wingdings" w:hint="default"/>
      </w:rPr>
    </w:lvl>
  </w:abstractNum>
  <w:abstractNum w:abstractNumId="12" w15:restartNumberingAfterBreak="0">
    <w:nsid w:val="32C026C5"/>
    <w:multiLevelType w:val="hybridMultilevel"/>
    <w:tmpl w:val="3F061DD6"/>
    <w:lvl w:ilvl="0" w:tplc="0BA4E30A">
      <w:start w:val="1"/>
      <w:numFmt w:val="bullet"/>
      <w:lvlText w:val=""/>
      <w:lvlJc w:val="left"/>
      <w:pPr>
        <w:ind w:left="2160" w:hanging="360"/>
      </w:pPr>
      <w:rPr>
        <w:rFonts w:ascii="Symbol" w:hAnsi="Symbol" w:hint="default"/>
      </w:rPr>
    </w:lvl>
    <w:lvl w:ilvl="1" w:tplc="A41C4C62" w:tentative="1">
      <w:start w:val="1"/>
      <w:numFmt w:val="bullet"/>
      <w:lvlText w:val="o"/>
      <w:lvlJc w:val="left"/>
      <w:pPr>
        <w:ind w:left="2880" w:hanging="360"/>
      </w:pPr>
      <w:rPr>
        <w:rFonts w:ascii="Courier New" w:hAnsi="Courier New" w:cs="Courier New" w:hint="default"/>
      </w:rPr>
    </w:lvl>
    <w:lvl w:ilvl="2" w:tplc="9CC0ECC4" w:tentative="1">
      <w:start w:val="1"/>
      <w:numFmt w:val="bullet"/>
      <w:lvlText w:val=""/>
      <w:lvlJc w:val="left"/>
      <w:pPr>
        <w:ind w:left="3600" w:hanging="360"/>
      </w:pPr>
      <w:rPr>
        <w:rFonts w:ascii="Wingdings" w:hAnsi="Wingdings" w:hint="default"/>
      </w:rPr>
    </w:lvl>
    <w:lvl w:ilvl="3" w:tplc="C794F78C" w:tentative="1">
      <w:start w:val="1"/>
      <w:numFmt w:val="bullet"/>
      <w:lvlText w:val=""/>
      <w:lvlJc w:val="left"/>
      <w:pPr>
        <w:ind w:left="4320" w:hanging="360"/>
      </w:pPr>
      <w:rPr>
        <w:rFonts w:ascii="Symbol" w:hAnsi="Symbol" w:hint="default"/>
      </w:rPr>
    </w:lvl>
    <w:lvl w:ilvl="4" w:tplc="7300549A" w:tentative="1">
      <w:start w:val="1"/>
      <w:numFmt w:val="bullet"/>
      <w:lvlText w:val="o"/>
      <w:lvlJc w:val="left"/>
      <w:pPr>
        <w:ind w:left="5040" w:hanging="360"/>
      </w:pPr>
      <w:rPr>
        <w:rFonts w:ascii="Courier New" w:hAnsi="Courier New" w:cs="Courier New" w:hint="default"/>
      </w:rPr>
    </w:lvl>
    <w:lvl w:ilvl="5" w:tplc="163C7272" w:tentative="1">
      <w:start w:val="1"/>
      <w:numFmt w:val="bullet"/>
      <w:lvlText w:val=""/>
      <w:lvlJc w:val="left"/>
      <w:pPr>
        <w:ind w:left="5760" w:hanging="360"/>
      </w:pPr>
      <w:rPr>
        <w:rFonts w:ascii="Wingdings" w:hAnsi="Wingdings" w:hint="default"/>
      </w:rPr>
    </w:lvl>
    <w:lvl w:ilvl="6" w:tplc="E2B4A37A" w:tentative="1">
      <w:start w:val="1"/>
      <w:numFmt w:val="bullet"/>
      <w:lvlText w:val=""/>
      <w:lvlJc w:val="left"/>
      <w:pPr>
        <w:ind w:left="6480" w:hanging="360"/>
      </w:pPr>
      <w:rPr>
        <w:rFonts w:ascii="Symbol" w:hAnsi="Symbol" w:hint="default"/>
      </w:rPr>
    </w:lvl>
    <w:lvl w:ilvl="7" w:tplc="F34C63AC" w:tentative="1">
      <w:start w:val="1"/>
      <w:numFmt w:val="bullet"/>
      <w:lvlText w:val="o"/>
      <w:lvlJc w:val="left"/>
      <w:pPr>
        <w:ind w:left="7200" w:hanging="360"/>
      </w:pPr>
      <w:rPr>
        <w:rFonts w:ascii="Courier New" w:hAnsi="Courier New" w:cs="Courier New" w:hint="default"/>
      </w:rPr>
    </w:lvl>
    <w:lvl w:ilvl="8" w:tplc="2FB82AAC" w:tentative="1">
      <w:start w:val="1"/>
      <w:numFmt w:val="bullet"/>
      <w:lvlText w:val=""/>
      <w:lvlJc w:val="left"/>
      <w:pPr>
        <w:ind w:left="7920" w:hanging="360"/>
      </w:pPr>
      <w:rPr>
        <w:rFonts w:ascii="Wingdings" w:hAnsi="Wingdings" w:hint="default"/>
      </w:rPr>
    </w:lvl>
  </w:abstractNum>
  <w:abstractNum w:abstractNumId="13" w15:restartNumberingAfterBreak="0">
    <w:nsid w:val="341B351C"/>
    <w:multiLevelType w:val="hybridMultilevel"/>
    <w:tmpl w:val="66263FE6"/>
    <w:lvl w:ilvl="0" w:tplc="E326E7A2">
      <w:start w:val="1"/>
      <w:numFmt w:val="bullet"/>
      <w:lvlText w:val=""/>
      <w:lvlJc w:val="left"/>
      <w:pPr>
        <w:ind w:left="720" w:hanging="360"/>
      </w:pPr>
      <w:rPr>
        <w:rFonts w:ascii="Symbol" w:hAnsi="Symbol" w:hint="default"/>
      </w:rPr>
    </w:lvl>
    <w:lvl w:ilvl="1" w:tplc="AE9E6694" w:tentative="1">
      <w:start w:val="1"/>
      <w:numFmt w:val="bullet"/>
      <w:lvlText w:val="o"/>
      <w:lvlJc w:val="left"/>
      <w:pPr>
        <w:ind w:left="1440" w:hanging="360"/>
      </w:pPr>
      <w:rPr>
        <w:rFonts w:ascii="Courier New" w:hAnsi="Courier New" w:cs="Courier New" w:hint="default"/>
      </w:rPr>
    </w:lvl>
    <w:lvl w:ilvl="2" w:tplc="AB849B56" w:tentative="1">
      <w:start w:val="1"/>
      <w:numFmt w:val="bullet"/>
      <w:lvlText w:val=""/>
      <w:lvlJc w:val="left"/>
      <w:pPr>
        <w:ind w:left="2160" w:hanging="360"/>
      </w:pPr>
      <w:rPr>
        <w:rFonts w:ascii="Wingdings" w:hAnsi="Wingdings" w:hint="default"/>
      </w:rPr>
    </w:lvl>
    <w:lvl w:ilvl="3" w:tplc="CA5A6E88" w:tentative="1">
      <w:start w:val="1"/>
      <w:numFmt w:val="bullet"/>
      <w:lvlText w:val=""/>
      <w:lvlJc w:val="left"/>
      <w:pPr>
        <w:ind w:left="2880" w:hanging="360"/>
      </w:pPr>
      <w:rPr>
        <w:rFonts w:ascii="Symbol" w:hAnsi="Symbol" w:hint="default"/>
      </w:rPr>
    </w:lvl>
    <w:lvl w:ilvl="4" w:tplc="F5AE960C" w:tentative="1">
      <w:start w:val="1"/>
      <w:numFmt w:val="bullet"/>
      <w:lvlText w:val="o"/>
      <w:lvlJc w:val="left"/>
      <w:pPr>
        <w:ind w:left="3600" w:hanging="360"/>
      </w:pPr>
      <w:rPr>
        <w:rFonts w:ascii="Courier New" w:hAnsi="Courier New" w:cs="Courier New" w:hint="default"/>
      </w:rPr>
    </w:lvl>
    <w:lvl w:ilvl="5" w:tplc="AF747886" w:tentative="1">
      <w:start w:val="1"/>
      <w:numFmt w:val="bullet"/>
      <w:lvlText w:val=""/>
      <w:lvlJc w:val="left"/>
      <w:pPr>
        <w:ind w:left="4320" w:hanging="360"/>
      </w:pPr>
      <w:rPr>
        <w:rFonts w:ascii="Wingdings" w:hAnsi="Wingdings" w:hint="default"/>
      </w:rPr>
    </w:lvl>
    <w:lvl w:ilvl="6" w:tplc="1D4892F0" w:tentative="1">
      <w:start w:val="1"/>
      <w:numFmt w:val="bullet"/>
      <w:lvlText w:val=""/>
      <w:lvlJc w:val="left"/>
      <w:pPr>
        <w:ind w:left="5040" w:hanging="360"/>
      </w:pPr>
      <w:rPr>
        <w:rFonts w:ascii="Symbol" w:hAnsi="Symbol" w:hint="default"/>
      </w:rPr>
    </w:lvl>
    <w:lvl w:ilvl="7" w:tplc="688C4F00" w:tentative="1">
      <w:start w:val="1"/>
      <w:numFmt w:val="bullet"/>
      <w:lvlText w:val="o"/>
      <w:lvlJc w:val="left"/>
      <w:pPr>
        <w:ind w:left="5760" w:hanging="360"/>
      </w:pPr>
      <w:rPr>
        <w:rFonts w:ascii="Courier New" w:hAnsi="Courier New" w:cs="Courier New" w:hint="default"/>
      </w:rPr>
    </w:lvl>
    <w:lvl w:ilvl="8" w:tplc="11868684" w:tentative="1">
      <w:start w:val="1"/>
      <w:numFmt w:val="bullet"/>
      <w:lvlText w:val=""/>
      <w:lvlJc w:val="left"/>
      <w:pPr>
        <w:ind w:left="6480" w:hanging="360"/>
      </w:pPr>
      <w:rPr>
        <w:rFonts w:ascii="Wingdings" w:hAnsi="Wingdings" w:hint="default"/>
      </w:rPr>
    </w:lvl>
  </w:abstractNum>
  <w:abstractNum w:abstractNumId="14" w15:restartNumberingAfterBreak="0">
    <w:nsid w:val="341C49C1"/>
    <w:multiLevelType w:val="hybridMultilevel"/>
    <w:tmpl w:val="80BC2690"/>
    <w:lvl w:ilvl="0" w:tplc="F45AB566">
      <w:start w:val="1"/>
      <w:numFmt w:val="bullet"/>
      <w:lvlText w:val=""/>
      <w:lvlJc w:val="left"/>
      <w:pPr>
        <w:ind w:left="1440" w:hanging="360"/>
      </w:pPr>
      <w:rPr>
        <w:rFonts w:ascii="Symbol" w:hAnsi="Symbol" w:hint="default"/>
      </w:rPr>
    </w:lvl>
    <w:lvl w:ilvl="1" w:tplc="A5BE09AE" w:tentative="1">
      <w:start w:val="1"/>
      <w:numFmt w:val="bullet"/>
      <w:lvlText w:val="o"/>
      <w:lvlJc w:val="left"/>
      <w:pPr>
        <w:ind w:left="2160" w:hanging="360"/>
      </w:pPr>
      <w:rPr>
        <w:rFonts w:ascii="Courier New" w:hAnsi="Courier New" w:cs="Courier New" w:hint="default"/>
      </w:rPr>
    </w:lvl>
    <w:lvl w:ilvl="2" w:tplc="979CC69C" w:tentative="1">
      <w:start w:val="1"/>
      <w:numFmt w:val="bullet"/>
      <w:lvlText w:val=""/>
      <w:lvlJc w:val="left"/>
      <w:pPr>
        <w:ind w:left="2880" w:hanging="360"/>
      </w:pPr>
      <w:rPr>
        <w:rFonts w:ascii="Wingdings" w:hAnsi="Wingdings" w:hint="default"/>
      </w:rPr>
    </w:lvl>
    <w:lvl w:ilvl="3" w:tplc="F95E49F0" w:tentative="1">
      <w:start w:val="1"/>
      <w:numFmt w:val="bullet"/>
      <w:lvlText w:val=""/>
      <w:lvlJc w:val="left"/>
      <w:pPr>
        <w:ind w:left="3600" w:hanging="360"/>
      </w:pPr>
      <w:rPr>
        <w:rFonts w:ascii="Symbol" w:hAnsi="Symbol" w:hint="default"/>
      </w:rPr>
    </w:lvl>
    <w:lvl w:ilvl="4" w:tplc="14C899C8" w:tentative="1">
      <w:start w:val="1"/>
      <w:numFmt w:val="bullet"/>
      <w:lvlText w:val="o"/>
      <w:lvlJc w:val="left"/>
      <w:pPr>
        <w:ind w:left="4320" w:hanging="360"/>
      </w:pPr>
      <w:rPr>
        <w:rFonts w:ascii="Courier New" w:hAnsi="Courier New" w:cs="Courier New" w:hint="default"/>
      </w:rPr>
    </w:lvl>
    <w:lvl w:ilvl="5" w:tplc="1910FB7E" w:tentative="1">
      <w:start w:val="1"/>
      <w:numFmt w:val="bullet"/>
      <w:lvlText w:val=""/>
      <w:lvlJc w:val="left"/>
      <w:pPr>
        <w:ind w:left="5040" w:hanging="360"/>
      </w:pPr>
      <w:rPr>
        <w:rFonts w:ascii="Wingdings" w:hAnsi="Wingdings" w:hint="default"/>
      </w:rPr>
    </w:lvl>
    <w:lvl w:ilvl="6" w:tplc="BD305B56" w:tentative="1">
      <w:start w:val="1"/>
      <w:numFmt w:val="bullet"/>
      <w:lvlText w:val=""/>
      <w:lvlJc w:val="left"/>
      <w:pPr>
        <w:ind w:left="5760" w:hanging="360"/>
      </w:pPr>
      <w:rPr>
        <w:rFonts w:ascii="Symbol" w:hAnsi="Symbol" w:hint="default"/>
      </w:rPr>
    </w:lvl>
    <w:lvl w:ilvl="7" w:tplc="71CAEACA" w:tentative="1">
      <w:start w:val="1"/>
      <w:numFmt w:val="bullet"/>
      <w:lvlText w:val="o"/>
      <w:lvlJc w:val="left"/>
      <w:pPr>
        <w:ind w:left="6480" w:hanging="360"/>
      </w:pPr>
      <w:rPr>
        <w:rFonts w:ascii="Courier New" w:hAnsi="Courier New" w:cs="Courier New" w:hint="default"/>
      </w:rPr>
    </w:lvl>
    <w:lvl w:ilvl="8" w:tplc="C5EEE73E" w:tentative="1">
      <w:start w:val="1"/>
      <w:numFmt w:val="bullet"/>
      <w:lvlText w:val=""/>
      <w:lvlJc w:val="left"/>
      <w:pPr>
        <w:ind w:left="7200" w:hanging="360"/>
      </w:pPr>
      <w:rPr>
        <w:rFonts w:ascii="Wingdings" w:hAnsi="Wingdings" w:hint="default"/>
      </w:rPr>
    </w:lvl>
  </w:abstractNum>
  <w:abstractNum w:abstractNumId="15" w15:restartNumberingAfterBreak="0">
    <w:nsid w:val="3E434FDA"/>
    <w:multiLevelType w:val="hybridMultilevel"/>
    <w:tmpl w:val="3B28E9AA"/>
    <w:lvl w:ilvl="0" w:tplc="3EE0A5F2">
      <w:start w:val="1"/>
      <w:numFmt w:val="bullet"/>
      <w:lvlText w:val=""/>
      <w:lvlJc w:val="left"/>
      <w:pPr>
        <w:ind w:left="1440" w:hanging="360"/>
      </w:pPr>
      <w:rPr>
        <w:rFonts w:ascii="Symbol" w:hAnsi="Symbol" w:hint="default"/>
      </w:rPr>
    </w:lvl>
    <w:lvl w:ilvl="1" w:tplc="C3E6E020" w:tentative="1">
      <w:start w:val="1"/>
      <w:numFmt w:val="bullet"/>
      <w:lvlText w:val="o"/>
      <w:lvlJc w:val="left"/>
      <w:pPr>
        <w:ind w:left="2160" w:hanging="360"/>
      </w:pPr>
      <w:rPr>
        <w:rFonts w:ascii="Courier New" w:hAnsi="Courier New" w:cs="Courier New" w:hint="default"/>
      </w:rPr>
    </w:lvl>
    <w:lvl w:ilvl="2" w:tplc="C408E5C0" w:tentative="1">
      <w:start w:val="1"/>
      <w:numFmt w:val="bullet"/>
      <w:lvlText w:val=""/>
      <w:lvlJc w:val="left"/>
      <w:pPr>
        <w:ind w:left="2880" w:hanging="360"/>
      </w:pPr>
      <w:rPr>
        <w:rFonts w:ascii="Wingdings" w:hAnsi="Wingdings" w:hint="default"/>
      </w:rPr>
    </w:lvl>
    <w:lvl w:ilvl="3" w:tplc="721E83AA" w:tentative="1">
      <w:start w:val="1"/>
      <w:numFmt w:val="bullet"/>
      <w:lvlText w:val=""/>
      <w:lvlJc w:val="left"/>
      <w:pPr>
        <w:ind w:left="3600" w:hanging="360"/>
      </w:pPr>
      <w:rPr>
        <w:rFonts w:ascii="Symbol" w:hAnsi="Symbol" w:hint="default"/>
      </w:rPr>
    </w:lvl>
    <w:lvl w:ilvl="4" w:tplc="AA8A133C" w:tentative="1">
      <w:start w:val="1"/>
      <w:numFmt w:val="bullet"/>
      <w:lvlText w:val="o"/>
      <w:lvlJc w:val="left"/>
      <w:pPr>
        <w:ind w:left="4320" w:hanging="360"/>
      </w:pPr>
      <w:rPr>
        <w:rFonts w:ascii="Courier New" w:hAnsi="Courier New" w:cs="Courier New" w:hint="default"/>
      </w:rPr>
    </w:lvl>
    <w:lvl w:ilvl="5" w:tplc="32CE513A" w:tentative="1">
      <w:start w:val="1"/>
      <w:numFmt w:val="bullet"/>
      <w:lvlText w:val=""/>
      <w:lvlJc w:val="left"/>
      <w:pPr>
        <w:ind w:left="5040" w:hanging="360"/>
      </w:pPr>
      <w:rPr>
        <w:rFonts w:ascii="Wingdings" w:hAnsi="Wingdings" w:hint="default"/>
      </w:rPr>
    </w:lvl>
    <w:lvl w:ilvl="6" w:tplc="7CE277CE" w:tentative="1">
      <w:start w:val="1"/>
      <w:numFmt w:val="bullet"/>
      <w:lvlText w:val=""/>
      <w:lvlJc w:val="left"/>
      <w:pPr>
        <w:ind w:left="5760" w:hanging="360"/>
      </w:pPr>
      <w:rPr>
        <w:rFonts w:ascii="Symbol" w:hAnsi="Symbol" w:hint="default"/>
      </w:rPr>
    </w:lvl>
    <w:lvl w:ilvl="7" w:tplc="A4C0D28C" w:tentative="1">
      <w:start w:val="1"/>
      <w:numFmt w:val="bullet"/>
      <w:lvlText w:val="o"/>
      <w:lvlJc w:val="left"/>
      <w:pPr>
        <w:ind w:left="6480" w:hanging="360"/>
      </w:pPr>
      <w:rPr>
        <w:rFonts w:ascii="Courier New" w:hAnsi="Courier New" w:cs="Courier New" w:hint="default"/>
      </w:rPr>
    </w:lvl>
    <w:lvl w:ilvl="8" w:tplc="CDFCDFD2" w:tentative="1">
      <w:start w:val="1"/>
      <w:numFmt w:val="bullet"/>
      <w:lvlText w:val=""/>
      <w:lvlJc w:val="left"/>
      <w:pPr>
        <w:ind w:left="7200" w:hanging="360"/>
      </w:pPr>
      <w:rPr>
        <w:rFonts w:ascii="Wingdings" w:hAnsi="Wingdings" w:hint="default"/>
      </w:rPr>
    </w:lvl>
  </w:abstractNum>
  <w:abstractNum w:abstractNumId="16" w15:restartNumberingAfterBreak="0">
    <w:nsid w:val="3F182D98"/>
    <w:multiLevelType w:val="hybridMultilevel"/>
    <w:tmpl w:val="C1DE0546"/>
    <w:lvl w:ilvl="0" w:tplc="0A860ABE">
      <w:start w:val="1"/>
      <w:numFmt w:val="bullet"/>
      <w:lvlText w:val=""/>
      <w:lvlJc w:val="left"/>
      <w:pPr>
        <w:ind w:left="1440" w:hanging="360"/>
      </w:pPr>
      <w:rPr>
        <w:rFonts w:ascii="Symbol" w:hAnsi="Symbol" w:hint="default"/>
      </w:rPr>
    </w:lvl>
    <w:lvl w:ilvl="1" w:tplc="8670F750" w:tentative="1">
      <w:start w:val="1"/>
      <w:numFmt w:val="bullet"/>
      <w:lvlText w:val="o"/>
      <w:lvlJc w:val="left"/>
      <w:pPr>
        <w:ind w:left="2160" w:hanging="360"/>
      </w:pPr>
      <w:rPr>
        <w:rFonts w:ascii="Courier New" w:hAnsi="Courier New" w:cs="Courier New" w:hint="default"/>
      </w:rPr>
    </w:lvl>
    <w:lvl w:ilvl="2" w:tplc="440862F6" w:tentative="1">
      <w:start w:val="1"/>
      <w:numFmt w:val="bullet"/>
      <w:lvlText w:val=""/>
      <w:lvlJc w:val="left"/>
      <w:pPr>
        <w:ind w:left="2880" w:hanging="360"/>
      </w:pPr>
      <w:rPr>
        <w:rFonts w:ascii="Wingdings" w:hAnsi="Wingdings" w:hint="default"/>
      </w:rPr>
    </w:lvl>
    <w:lvl w:ilvl="3" w:tplc="E7044148" w:tentative="1">
      <w:start w:val="1"/>
      <w:numFmt w:val="bullet"/>
      <w:lvlText w:val=""/>
      <w:lvlJc w:val="left"/>
      <w:pPr>
        <w:ind w:left="3600" w:hanging="360"/>
      </w:pPr>
      <w:rPr>
        <w:rFonts w:ascii="Symbol" w:hAnsi="Symbol" w:hint="default"/>
      </w:rPr>
    </w:lvl>
    <w:lvl w:ilvl="4" w:tplc="C5922806" w:tentative="1">
      <w:start w:val="1"/>
      <w:numFmt w:val="bullet"/>
      <w:lvlText w:val="o"/>
      <w:lvlJc w:val="left"/>
      <w:pPr>
        <w:ind w:left="4320" w:hanging="360"/>
      </w:pPr>
      <w:rPr>
        <w:rFonts w:ascii="Courier New" w:hAnsi="Courier New" w:cs="Courier New" w:hint="default"/>
      </w:rPr>
    </w:lvl>
    <w:lvl w:ilvl="5" w:tplc="E580F1E8" w:tentative="1">
      <w:start w:val="1"/>
      <w:numFmt w:val="bullet"/>
      <w:lvlText w:val=""/>
      <w:lvlJc w:val="left"/>
      <w:pPr>
        <w:ind w:left="5040" w:hanging="360"/>
      </w:pPr>
      <w:rPr>
        <w:rFonts w:ascii="Wingdings" w:hAnsi="Wingdings" w:hint="default"/>
      </w:rPr>
    </w:lvl>
    <w:lvl w:ilvl="6" w:tplc="1B40B1A2" w:tentative="1">
      <w:start w:val="1"/>
      <w:numFmt w:val="bullet"/>
      <w:lvlText w:val=""/>
      <w:lvlJc w:val="left"/>
      <w:pPr>
        <w:ind w:left="5760" w:hanging="360"/>
      </w:pPr>
      <w:rPr>
        <w:rFonts w:ascii="Symbol" w:hAnsi="Symbol" w:hint="default"/>
      </w:rPr>
    </w:lvl>
    <w:lvl w:ilvl="7" w:tplc="0144FDE4" w:tentative="1">
      <w:start w:val="1"/>
      <w:numFmt w:val="bullet"/>
      <w:lvlText w:val="o"/>
      <w:lvlJc w:val="left"/>
      <w:pPr>
        <w:ind w:left="6480" w:hanging="360"/>
      </w:pPr>
      <w:rPr>
        <w:rFonts w:ascii="Courier New" w:hAnsi="Courier New" w:cs="Courier New" w:hint="default"/>
      </w:rPr>
    </w:lvl>
    <w:lvl w:ilvl="8" w:tplc="DA7A16EA" w:tentative="1">
      <w:start w:val="1"/>
      <w:numFmt w:val="bullet"/>
      <w:lvlText w:val=""/>
      <w:lvlJc w:val="left"/>
      <w:pPr>
        <w:ind w:left="7200" w:hanging="360"/>
      </w:pPr>
      <w:rPr>
        <w:rFonts w:ascii="Wingdings" w:hAnsi="Wingdings" w:hint="default"/>
      </w:rPr>
    </w:lvl>
  </w:abstractNum>
  <w:abstractNum w:abstractNumId="17" w15:restartNumberingAfterBreak="0">
    <w:nsid w:val="3FBA7527"/>
    <w:multiLevelType w:val="hybridMultilevel"/>
    <w:tmpl w:val="68B09446"/>
    <w:lvl w:ilvl="0" w:tplc="97DEC716">
      <w:start w:val="1"/>
      <w:numFmt w:val="bullet"/>
      <w:lvlText w:val=""/>
      <w:lvlJc w:val="left"/>
      <w:pPr>
        <w:ind w:left="360" w:hanging="360"/>
      </w:pPr>
      <w:rPr>
        <w:rFonts w:ascii="Symbol" w:hAnsi="Symbol" w:hint="default"/>
      </w:rPr>
    </w:lvl>
    <w:lvl w:ilvl="1" w:tplc="1E3C553C" w:tentative="1">
      <w:start w:val="1"/>
      <w:numFmt w:val="bullet"/>
      <w:lvlText w:val="o"/>
      <w:lvlJc w:val="left"/>
      <w:pPr>
        <w:ind w:left="1080" w:hanging="360"/>
      </w:pPr>
      <w:rPr>
        <w:rFonts w:ascii="Courier New" w:hAnsi="Courier New" w:cs="Courier New" w:hint="default"/>
      </w:rPr>
    </w:lvl>
    <w:lvl w:ilvl="2" w:tplc="4BCC62C2" w:tentative="1">
      <w:start w:val="1"/>
      <w:numFmt w:val="bullet"/>
      <w:lvlText w:val=""/>
      <w:lvlJc w:val="left"/>
      <w:pPr>
        <w:ind w:left="1800" w:hanging="360"/>
      </w:pPr>
      <w:rPr>
        <w:rFonts w:ascii="Wingdings" w:hAnsi="Wingdings" w:hint="default"/>
      </w:rPr>
    </w:lvl>
    <w:lvl w:ilvl="3" w:tplc="4ADC3A82" w:tentative="1">
      <w:start w:val="1"/>
      <w:numFmt w:val="bullet"/>
      <w:lvlText w:val=""/>
      <w:lvlJc w:val="left"/>
      <w:pPr>
        <w:ind w:left="2520" w:hanging="360"/>
      </w:pPr>
      <w:rPr>
        <w:rFonts w:ascii="Symbol" w:hAnsi="Symbol" w:hint="default"/>
      </w:rPr>
    </w:lvl>
    <w:lvl w:ilvl="4" w:tplc="1F2084CE" w:tentative="1">
      <w:start w:val="1"/>
      <w:numFmt w:val="bullet"/>
      <w:lvlText w:val="o"/>
      <w:lvlJc w:val="left"/>
      <w:pPr>
        <w:ind w:left="3240" w:hanging="360"/>
      </w:pPr>
      <w:rPr>
        <w:rFonts w:ascii="Courier New" w:hAnsi="Courier New" w:cs="Courier New" w:hint="default"/>
      </w:rPr>
    </w:lvl>
    <w:lvl w:ilvl="5" w:tplc="37122D66" w:tentative="1">
      <w:start w:val="1"/>
      <w:numFmt w:val="bullet"/>
      <w:lvlText w:val=""/>
      <w:lvlJc w:val="left"/>
      <w:pPr>
        <w:ind w:left="3960" w:hanging="360"/>
      </w:pPr>
      <w:rPr>
        <w:rFonts w:ascii="Wingdings" w:hAnsi="Wingdings" w:hint="default"/>
      </w:rPr>
    </w:lvl>
    <w:lvl w:ilvl="6" w:tplc="045ED328" w:tentative="1">
      <w:start w:val="1"/>
      <w:numFmt w:val="bullet"/>
      <w:lvlText w:val=""/>
      <w:lvlJc w:val="left"/>
      <w:pPr>
        <w:ind w:left="4680" w:hanging="360"/>
      </w:pPr>
      <w:rPr>
        <w:rFonts w:ascii="Symbol" w:hAnsi="Symbol" w:hint="default"/>
      </w:rPr>
    </w:lvl>
    <w:lvl w:ilvl="7" w:tplc="343E74CC" w:tentative="1">
      <w:start w:val="1"/>
      <w:numFmt w:val="bullet"/>
      <w:lvlText w:val="o"/>
      <w:lvlJc w:val="left"/>
      <w:pPr>
        <w:ind w:left="5400" w:hanging="360"/>
      </w:pPr>
      <w:rPr>
        <w:rFonts w:ascii="Courier New" w:hAnsi="Courier New" w:cs="Courier New" w:hint="default"/>
      </w:rPr>
    </w:lvl>
    <w:lvl w:ilvl="8" w:tplc="4A3074C4" w:tentative="1">
      <w:start w:val="1"/>
      <w:numFmt w:val="bullet"/>
      <w:lvlText w:val=""/>
      <w:lvlJc w:val="left"/>
      <w:pPr>
        <w:ind w:left="6120" w:hanging="360"/>
      </w:pPr>
      <w:rPr>
        <w:rFonts w:ascii="Wingdings" w:hAnsi="Wingdings" w:hint="default"/>
      </w:rPr>
    </w:lvl>
  </w:abstractNum>
  <w:abstractNum w:abstractNumId="18" w15:restartNumberingAfterBreak="0">
    <w:nsid w:val="460C0552"/>
    <w:multiLevelType w:val="hybridMultilevel"/>
    <w:tmpl w:val="887ED6B8"/>
    <w:lvl w:ilvl="0" w:tplc="E4AAFF44">
      <w:start w:val="1"/>
      <w:numFmt w:val="bullet"/>
      <w:lvlText w:val=""/>
      <w:lvlJc w:val="left"/>
      <w:pPr>
        <w:ind w:left="1440" w:hanging="360"/>
      </w:pPr>
      <w:rPr>
        <w:rFonts w:ascii="Symbol" w:hAnsi="Symbol" w:hint="default"/>
      </w:rPr>
    </w:lvl>
    <w:lvl w:ilvl="1" w:tplc="8A100368">
      <w:start w:val="1"/>
      <w:numFmt w:val="bullet"/>
      <w:lvlText w:val="o"/>
      <w:lvlJc w:val="left"/>
      <w:pPr>
        <w:ind w:left="2160" w:hanging="360"/>
      </w:pPr>
      <w:rPr>
        <w:rFonts w:ascii="Courier New" w:hAnsi="Courier New" w:cs="Courier New" w:hint="default"/>
      </w:rPr>
    </w:lvl>
    <w:lvl w:ilvl="2" w:tplc="26C23202" w:tentative="1">
      <w:start w:val="1"/>
      <w:numFmt w:val="bullet"/>
      <w:lvlText w:val=""/>
      <w:lvlJc w:val="left"/>
      <w:pPr>
        <w:ind w:left="2880" w:hanging="360"/>
      </w:pPr>
      <w:rPr>
        <w:rFonts w:ascii="Wingdings" w:hAnsi="Wingdings" w:hint="default"/>
      </w:rPr>
    </w:lvl>
    <w:lvl w:ilvl="3" w:tplc="06DA326E" w:tentative="1">
      <w:start w:val="1"/>
      <w:numFmt w:val="bullet"/>
      <w:lvlText w:val=""/>
      <w:lvlJc w:val="left"/>
      <w:pPr>
        <w:ind w:left="3600" w:hanging="360"/>
      </w:pPr>
      <w:rPr>
        <w:rFonts w:ascii="Symbol" w:hAnsi="Symbol" w:hint="default"/>
      </w:rPr>
    </w:lvl>
    <w:lvl w:ilvl="4" w:tplc="3678EE9E" w:tentative="1">
      <w:start w:val="1"/>
      <w:numFmt w:val="bullet"/>
      <w:lvlText w:val="o"/>
      <w:lvlJc w:val="left"/>
      <w:pPr>
        <w:ind w:left="4320" w:hanging="360"/>
      </w:pPr>
      <w:rPr>
        <w:rFonts w:ascii="Courier New" w:hAnsi="Courier New" w:cs="Courier New" w:hint="default"/>
      </w:rPr>
    </w:lvl>
    <w:lvl w:ilvl="5" w:tplc="C8B08A88" w:tentative="1">
      <w:start w:val="1"/>
      <w:numFmt w:val="bullet"/>
      <w:lvlText w:val=""/>
      <w:lvlJc w:val="left"/>
      <w:pPr>
        <w:ind w:left="5040" w:hanging="360"/>
      </w:pPr>
      <w:rPr>
        <w:rFonts w:ascii="Wingdings" w:hAnsi="Wingdings" w:hint="default"/>
      </w:rPr>
    </w:lvl>
    <w:lvl w:ilvl="6" w:tplc="084CB14A" w:tentative="1">
      <w:start w:val="1"/>
      <w:numFmt w:val="bullet"/>
      <w:lvlText w:val=""/>
      <w:lvlJc w:val="left"/>
      <w:pPr>
        <w:ind w:left="5760" w:hanging="360"/>
      </w:pPr>
      <w:rPr>
        <w:rFonts w:ascii="Symbol" w:hAnsi="Symbol" w:hint="default"/>
      </w:rPr>
    </w:lvl>
    <w:lvl w:ilvl="7" w:tplc="0D6C4134" w:tentative="1">
      <w:start w:val="1"/>
      <w:numFmt w:val="bullet"/>
      <w:lvlText w:val="o"/>
      <w:lvlJc w:val="left"/>
      <w:pPr>
        <w:ind w:left="6480" w:hanging="360"/>
      </w:pPr>
      <w:rPr>
        <w:rFonts w:ascii="Courier New" w:hAnsi="Courier New" w:cs="Courier New" w:hint="default"/>
      </w:rPr>
    </w:lvl>
    <w:lvl w:ilvl="8" w:tplc="E2C66B26" w:tentative="1">
      <w:start w:val="1"/>
      <w:numFmt w:val="bullet"/>
      <w:lvlText w:val=""/>
      <w:lvlJc w:val="left"/>
      <w:pPr>
        <w:ind w:left="7200" w:hanging="360"/>
      </w:pPr>
      <w:rPr>
        <w:rFonts w:ascii="Wingdings" w:hAnsi="Wingdings" w:hint="default"/>
      </w:rPr>
    </w:lvl>
  </w:abstractNum>
  <w:abstractNum w:abstractNumId="19" w15:restartNumberingAfterBreak="0">
    <w:nsid w:val="560D72B8"/>
    <w:multiLevelType w:val="hybridMultilevel"/>
    <w:tmpl w:val="4964DA58"/>
    <w:lvl w:ilvl="0" w:tplc="B2588D60">
      <w:start w:val="1"/>
      <w:numFmt w:val="bullet"/>
      <w:lvlText w:val=""/>
      <w:lvlJc w:val="left"/>
      <w:pPr>
        <w:ind w:left="1080" w:hanging="360"/>
      </w:pPr>
      <w:rPr>
        <w:rFonts w:ascii="Symbol" w:eastAsiaTheme="minorHAnsi" w:hAnsi="Symbol" w:cstheme="minorBidi" w:hint="default"/>
      </w:rPr>
    </w:lvl>
    <w:lvl w:ilvl="1" w:tplc="43FA4B9C" w:tentative="1">
      <w:start w:val="1"/>
      <w:numFmt w:val="bullet"/>
      <w:lvlText w:val="o"/>
      <w:lvlJc w:val="left"/>
      <w:pPr>
        <w:ind w:left="1800" w:hanging="360"/>
      </w:pPr>
      <w:rPr>
        <w:rFonts w:ascii="Courier New" w:hAnsi="Courier New" w:cs="Courier New" w:hint="default"/>
      </w:rPr>
    </w:lvl>
    <w:lvl w:ilvl="2" w:tplc="FE280846" w:tentative="1">
      <w:start w:val="1"/>
      <w:numFmt w:val="bullet"/>
      <w:lvlText w:val=""/>
      <w:lvlJc w:val="left"/>
      <w:pPr>
        <w:ind w:left="2520" w:hanging="360"/>
      </w:pPr>
      <w:rPr>
        <w:rFonts w:ascii="Wingdings" w:hAnsi="Wingdings" w:hint="default"/>
      </w:rPr>
    </w:lvl>
    <w:lvl w:ilvl="3" w:tplc="D594427C" w:tentative="1">
      <w:start w:val="1"/>
      <w:numFmt w:val="bullet"/>
      <w:lvlText w:val=""/>
      <w:lvlJc w:val="left"/>
      <w:pPr>
        <w:ind w:left="3240" w:hanging="360"/>
      </w:pPr>
      <w:rPr>
        <w:rFonts w:ascii="Symbol" w:hAnsi="Symbol" w:hint="default"/>
      </w:rPr>
    </w:lvl>
    <w:lvl w:ilvl="4" w:tplc="1CBE00A8" w:tentative="1">
      <w:start w:val="1"/>
      <w:numFmt w:val="bullet"/>
      <w:lvlText w:val="o"/>
      <w:lvlJc w:val="left"/>
      <w:pPr>
        <w:ind w:left="3960" w:hanging="360"/>
      </w:pPr>
      <w:rPr>
        <w:rFonts w:ascii="Courier New" w:hAnsi="Courier New" w:cs="Courier New" w:hint="default"/>
      </w:rPr>
    </w:lvl>
    <w:lvl w:ilvl="5" w:tplc="A8DECE82" w:tentative="1">
      <w:start w:val="1"/>
      <w:numFmt w:val="bullet"/>
      <w:lvlText w:val=""/>
      <w:lvlJc w:val="left"/>
      <w:pPr>
        <w:ind w:left="4680" w:hanging="360"/>
      </w:pPr>
      <w:rPr>
        <w:rFonts w:ascii="Wingdings" w:hAnsi="Wingdings" w:hint="default"/>
      </w:rPr>
    </w:lvl>
    <w:lvl w:ilvl="6" w:tplc="F4981CCA" w:tentative="1">
      <w:start w:val="1"/>
      <w:numFmt w:val="bullet"/>
      <w:lvlText w:val=""/>
      <w:lvlJc w:val="left"/>
      <w:pPr>
        <w:ind w:left="5400" w:hanging="360"/>
      </w:pPr>
      <w:rPr>
        <w:rFonts w:ascii="Symbol" w:hAnsi="Symbol" w:hint="default"/>
      </w:rPr>
    </w:lvl>
    <w:lvl w:ilvl="7" w:tplc="D2D002A4" w:tentative="1">
      <w:start w:val="1"/>
      <w:numFmt w:val="bullet"/>
      <w:lvlText w:val="o"/>
      <w:lvlJc w:val="left"/>
      <w:pPr>
        <w:ind w:left="6120" w:hanging="360"/>
      </w:pPr>
      <w:rPr>
        <w:rFonts w:ascii="Courier New" w:hAnsi="Courier New" w:cs="Courier New" w:hint="default"/>
      </w:rPr>
    </w:lvl>
    <w:lvl w:ilvl="8" w:tplc="99A270EE" w:tentative="1">
      <w:start w:val="1"/>
      <w:numFmt w:val="bullet"/>
      <w:lvlText w:val=""/>
      <w:lvlJc w:val="left"/>
      <w:pPr>
        <w:ind w:left="6840" w:hanging="360"/>
      </w:pPr>
      <w:rPr>
        <w:rFonts w:ascii="Wingdings" w:hAnsi="Wingdings" w:hint="default"/>
      </w:rPr>
    </w:lvl>
  </w:abstractNum>
  <w:abstractNum w:abstractNumId="20" w15:restartNumberingAfterBreak="0">
    <w:nsid w:val="5AE83163"/>
    <w:multiLevelType w:val="hybridMultilevel"/>
    <w:tmpl w:val="CC30DCD0"/>
    <w:lvl w:ilvl="0" w:tplc="71F44272">
      <w:start w:val="1"/>
      <w:numFmt w:val="upperLetter"/>
      <w:lvlText w:val="%1."/>
      <w:lvlJc w:val="left"/>
      <w:pPr>
        <w:ind w:left="1080" w:hanging="360"/>
      </w:pPr>
      <w:rPr>
        <w:rFonts w:hint="default"/>
      </w:rPr>
    </w:lvl>
    <w:lvl w:ilvl="1" w:tplc="6C323E0E" w:tentative="1">
      <w:start w:val="1"/>
      <w:numFmt w:val="lowerLetter"/>
      <w:lvlText w:val="%2."/>
      <w:lvlJc w:val="left"/>
      <w:pPr>
        <w:ind w:left="1800" w:hanging="360"/>
      </w:pPr>
    </w:lvl>
    <w:lvl w:ilvl="2" w:tplc="320452DE" w:tentative="1">
      <w:start w:val="1"/>
      <w:numFmt w:val="lowerRoman"/>
      <w:lvlText w:val="%3."/>
      <w:lvlJc w:val="right"/>
      <w:pPr>
        <w:ind w:left="2520" w:hanging="180"/>
      </w:pPr>
    </w:lvl>
    <w:lvl w:ilvl="3" w:tplc="8438C690" w:tentative="1">
      <w:start w:val="1"/>
      <w:numFmt w:val="decimal"/>
      <w:lvlText w:val="%4."/>
      <w:lvlJc w:val="left"/>
      <w:pPr>
        <w:ind w:left="3240" w:hanging="360"/>
      </w:pPr>
    </w:lvl>
    <w:lvl w:ilvl="4" w:tplc="34448E1C" w:tentative="1">
      <w:start w:val="1"/>
      <w:numFmt w:val="lowerLetter"/>
      <w:lvlText w:val="%5."/>
      <w:lvlJc w:val="left"/>
      <w:pPr>
        <w:ind w:left="3960" w:hanging="360"/>
      </w:pPr>
    </w:lvl>
    <w:lvl w:ilvl="5" w:tplc="42EE39F8" w:tentative="1">
      <w:start w:val="1"/>
      <w:numFmt w:val="lowerRoman"/>
      <w:lvlText w:val="%6."/>
      <w:lvlJc w:val="right"/>
      <w:pPr>
        <w:ind w:left="4680" w:hanging="180"/>
      </w:pPr>
    </w:lvl>
    <w:lvl w:ilvl="6" w:tplc="6EEE2C0E" w:tentative="1">
      <w:start w:val="1"/>
      <w:numFmt w:val="decimal"/>
      <w:lvlText w:val="%7."/>
      <w:lvlJc w:val="left"/>
      <w:pPr>
        <w:ind w:left="5400" w:hanging="360"/>
      </w:pPr>
    </w:lvl>
    <w:lvl w:ilvl="7" w:tplc="6A72F168" w:tentative="1">
      <w:start w:val="1"/>
      <w:numFmt w:val="lowerLetter"/>
      <w:lvlText w:val="%8."/>
      <w:lvlJc w:val="left"/>
      <w:pPr>
        <w:ind w:left="6120" w:hanging="360"/>
      </w:pPr>
    </w:lvl>
    <w:lvl w:ilvl="8" w:tplc="C04EEE74" w:tentative="1">
      <w:start w:val="1"/>
      <w:numFmt w:val="lowerRoman"/>
      <w:lvlText w:val="%9."/>
      <w:lvlJc w:val="right"/>
      <w:pPr>
        <w:ind w:left="6840" w:hanging="180"/>
      </w:pPr>
    </w:lvl>
  </w:abstractNum>
  <w:abstractNum w:abstractNumId="21" w15:restartNumberingAfterBreak="0">
    <w:nsid w:val="5F74287D"/>
    <w:multiLevelType w:val="hybridMultilevel"/>
    <w:tmpl w:val="1760228A"/>
    <w:lvl w:ilvl="0" w:tplc="B9268ED4">
      <w:start w:val="1"/>
      <w:numFmt w:val="decimal"/>
      <w:lvlText w:val="%1."/>
      <w:lvlJc w:val="left"/>
      <w:pPr>
        <w:ind w:left="1800" w:hanging="360"/>
      </w:pPr>
      <w:rPr>
        <w:rFonts w:hint="default"/>
      </w:rPr>
    </w:lvl>
    <w:lvl w:ilvl="1" w:tplc="BC7677DC" w:tentative="1">
      <w:start w:val="1"/>
      <w:numFmt w:val="lowerLetter"/>
      <w:lvlText w:val="%2."/>
      <w:lvlJc w:val="left"/>
      <w:pPr>
        <w:ind w:left="2520" w:hanging="360"/>
      </w:pPr>
    </w:lvl>
    <w:lvl w:ilvl="2" w:tplc="94D42E0A" w:tentative="1">
      <w:start w:val="1"/>
      <w:numFmt w:val="lowerRoman"/>
      <w:lvlText w:val="%3."/>
      <w:lvlJc w:val="right"/>
      <w:pPr>
        <w:ind w:left="3240" w:hanging="180"/>
      </w:pPr>
    </w:lvl>
    <w:lvl w:ilvl="3" w:tplc="98C08D80" w:tentative="1">
      <w:start w:val="1"/>
      <w:numFmt w:val="decimal"/>
      <w:lvlText w:val="%4."/>
      <w:lvlJc w:val="left"/>
      <w:pPr>
        <w:ind w:left="3960" w:hanging="360"/>
      </w:pPr>
    </w:lvl>
    <w:lvl w:ilvl="4" w:tplc="0044949C" w:tentative="1">
      <w:start w:val="1"/>
      <w:numFmt w:val="lowerLetter"/>
      <w:lvlText w:val="%5."/>
      <w:lvlJc w:val="left"/>
      <w:pPr>
        <w:ind w:left="4680" w:hanging="360"/>
      </w:pPr>
    </w:lvl>
    <w:lvl w:ilvl="5" w:tplc="89C4974E" w:tentative="1">
      <w:start w:val="1"/>
      <w:numFmt w:val="lowerRoman"/>
      <w:lvlText w:val="%6."/>
      <w:lvlJc w:val="right"/>
      <w:pPr>
        <w:ind w:left="5400" w:hanging="180"/>
      </w:pPr>
    </w:lvl>
    <w:lvl w:ilvl="6" w:tplc="FF9211E0" w:tentative="1">
      <w:start w:val="1"/>
      <w:numFmt w:val="decimal"/>
      <w:lvlText w:val="%7."/>
      <w:lvlJc w:val="left"/>
      <w:pPr>
        <w:ind w:left="6120" w:hanging="360"/>
      </w:pPr>
    </w:lvl>
    <w:lvl w:ilvl="7" w:tplc="3B520922" w:tentative="1">
      <w:start w:val="1"/>
      <w:numFmt w:val="lowerLetter"/>
      <w:lvlText w:val="%8."/>
      <w:lvlJc w:val="left"/>
      <w:pPr>
        <w:ind w:left="6840" w:hanging="360"/>
      </w:pPr>
    </w:lvl>
    <w:lvl w:ilvl="8" w:tplc="B5BC9E04" w:tentative="1">
      <w:start w:val="1"/>
      <w:numFmt w:val="lowerRoman"/>
      <w:lvlText w:val="%9."/>
      <w:lvlJc w:val="right"/>
      <w:pPr>
        <w:ind w:left="7560" w:hanging="180"/>
      </w:pPr>
    </w:lvl>
  </w:abstractNum>
  <w:abstractNum w:abstractNumId="22" w15:restartNumberingAfterBreak="0">
    <w:nsid w:val="6509486F"/>
    <w:multiLevelType w:val="hybridMultilevel"/>
    <w:tmpl w:val="CDE0B5AE"/>
    <w:lvl w:ilvl="0" w:tplc="26329722">
      <w:start w:val="1"/>
      <w:numFmt w:val="upperLetter"/>
      <w:lvlText w:val="%1."/>
      <w:lvlJc w:val="left"/>
      <w:pPr>
        <w:ind w:left="1080" w:hanging="360"/>
      </w:pPr>
      <w:rPr>
        <w:rFonts w:hint="default"/>
      </w:rPr>
    </w:lvl>
    <w:lvl w:ilvl="1" w:tplc="86667150" w:tentative="1">
      <w:start w:val="1"/>
      <w:numFmt w:val="lowerLetter"/>
      <w:lvlText w:val="%2."/>
      <w:lvlJc w:val="left"/>
      <w:pPr>
        <w:ind w:left="1800" w:hanging="360"/>
      </w:pPr>
    </w:lvl>
    <w:lvl w:ilvl="2" w:tplc="8FD0C6CE" w:tentative="1">
      <w:start w:val="1"/>
      <w:numFmt w:val="lowerRoman"/>
      <w:lvlText w:val="%3."/>
      <w:lvlJc w:val="right"/>
      <w:pPr>
        <w:ind w:left="2520" w:hanging="180"/>
      </w:pPr>
    </w:lvl>
    <w:lvl w:ilvl="3" w:tplc="6E2C302C" w:tentative="1">
      <w:start w:val="1"/>
      <w:numFmt w:val="decimal"/>
      <w:lvlText w:val="%4."/>
      <w:lvlJc w:val="left"/>
      <w:pPr>
        <w:ind w:left="3240" w:hanging="360"/>
      </w:pPr>
    </w:lvl>
    <w:lvl w:ilvl="4" w:tplc="7B0CF260" w:tentative="1">
      <w:start w:val="1"/>
      <w:numFmt w:val="lowerLetter"/>
      <w:lvlText w:val="%5."/>
      <w:lvlJc w:val="left"/>
      <w:pPr>
        <w:ind w:left="3960" w:hanging="360"/>
      </w:pPr>
    </w:lvl>
    <w:lvl w:ilvl="5" w:tplc="FCA6F54E" w:tentative="1">
      <w:start w:val="1"/>
      <w:numFmt w:val="lowerRoman"/>
      <w:lvlText w:val="%6."/>
      <w:lvlJc w:val="right"/>
      <w:pPr>
        <w:ind w:left="4680" w:hanging="180"/>
      </w:pPr>
    </w:lvl>
    <w:lvl w:ilvl="6" w:tplc="4538F5A2" w:tentative="1">
      <w:start w:val="1"/>
      <w:numFmt w:val="decimal"/>
      <w:lvlText w:val="%7."/>
      <w:lvlJc w:val="left"/>
      <w:pPr>
        <w:ind w:left="5400" w:hanging="360"/>
      </w:pPr>
    </w:lvl>
    <w:lvl w:ilvl="7" w:tplc="F86ABB30" w:tentative="1">
      <w:start w:val="1"/>
      <w:numFmt w:val="lowerLetter"/>
      <w:lvlText w:val="%8."/>
      <w:lvlJc w:val="left"/>
      <w:pPr>
        <w:ind w:left="6120" w:hanging="360"/>
      </w:pPr>
    </w:lvl>
    <w:lvl w:ilvl="8" w:tplc="AE547092" w:tentative="1">
      <w:start w:val="1"/>
      <w:numFmt w:val="lowerRoman"/>
      <w:lvlText w:val="%9."/>
      <w:lvlJc w:val="right"/>
      <w:pPr>
        <w:ind w:left="6840" w:hanging="180"/>
      </w:pPr>
    </w:lvl>
  </w:abstractNum>
  <w:abstractNum w:abstractNumId="23" w15:restartNumberingAfterBreak="0">
    <w:nsid w:val="68B11564"/>
    <w:multiLevelType w:val="hybridMultilevel"/>
    <w:tmpl w:val="91E8E09A"/>
    <w:lvl w:ilvl="0" w:tplc="F9D4C20A">
      <w:start w:val="1"/>
      <w:numFmt w:val="bullet"/>
      <w:lvlText w:val=""/>
      <w:lvlJc w:val="left"/>
      <w:pPr>
        <w:ind w:left="1440" w:hanging="360"/>
      </w:pPr>
      <w:rPr>
        <w:rFonts w:ascii="Symbol" w:hAnsi="Symbol" w:hint="default"/>
      </w:rPr>
    </w:lvl>
    <w:lvl w:ilvl="1" w:tplc="7DC0C0A4" w:tentative="1">
      <w:start w:val="1"/>
      <w:numFmt w:val="bullet"/>
      <w:lvlText w:val="o"/>
      <w:lvlJc w:val="left"/>
      <w:pPr>
        <w:ind w:left="2160" w:hanging="360"/>
      </w:pPr>
      <w:rPr>
        <w:rFonts w:ascii="Courier New" w:hAnsi="Courier New" w:cs="Courier New" w:hint="default"/>
      </w:rPr>
    </w:lvl>
    <w:lvl w:ilvl="2" w:tplc="C3E247FE" w:tentative="1">
      <w:start w:val="1"/>
      <w:numFmt w:val="bullet"/>
      <w:lvlText w:val=""/>
      <w:lvlJc w:val="left"/>
      <w:pPr>
        <w:ind w:left="2880" w:hanging="360"/>
      </w:pPr>
      <w:rPr>
        <w:rFonts w:ascii="Wingdings" w:hAnsi="Wingdings" w:hint="default"/>
      </w:rPr>
    </w:lvl>
    <w:lvl w:ilvl="3" w:tplc="40345716" w:tentative="1">
      <w:start w:val="1"/>
      <w:numFmt w:val="bullet"/>
      <w:lvlText w:val=""/>
      <w:lvlJc w:val="left"/>
      <w:pPr>
        <w:ind w:left="3600" w:hanging="360"/>
      </w:pPr>
      <w:rPr>
        <w:rFonts w:ascii="Symbol" w:hAnsi="Symbol" w:hint="default"/>
      </w:rPr>
    </w:lvl>
    <w:lvl w:ilvl="4" w:tplc="69CC3212" w:tentative="1">
      <w:start w:val="1"/>
      <w:numFmt w:val="bullet"/>
      <w:lvlText w:val="o"/>
      <w:lvlJc w:val="left"/>
      <w:pPr>
        <w:ind w:left="4320" w:hanging="360"/>
      </w:pPr>
      <w:rPr>
        <w:rFonts w:ascii="Courier New" w:hAnsi="Courier New" w:cs="Courier New" w:hint="default"/>
      </w:rPr>
    </w:lvl>
    <w:lvl w:ilvl="5" w:tplc="385EDB34" w:tentative="1">
      <w:start w:val="1"/>
      <w:numFmt w:val="bullet"/>
      <w:lvlText w:val=""/>
      <w:lvlJc w:val="left"/>
      <w:pPr>
        <w:ind w:left="5040" w:hanging="360"/>
      </w:pPr>
      <w:rPr>
        <w:rFonts w:ascii="Wingdings" w:hAnsi="Wingdings" w:hint="default"/>
      </w:rPr>
    </w:lvl>
    <w:lvl w:ilvl="6" w:tplc="06880C1A" w:tentative="1">
      <w:start w:val="1"/>
      <w:numFmt w:val="bullet"/>
      <w:lvlText w:val=""/>
      <w:lvlJc w:val="left"/>
      <w:pPr>
        <w:ind w:left="5760" w:hanging="360"/>
      </w:pPr>
      <w:rPr>
        <w:rFonts w:ascii="Symbol" w:hAnsi="Symbol" w:hint="default"/>
      </w:rPr>
    </w:lvl>
    <w:lvl w:ilvl="7" w:tplc="8A94ECBC" w:tentative="1">
      <w:start w:val="1"/>
      <w:numFmt w:val="bullet"/>
      <w:lvlText w:val="o"/>
      <w:lvlJc w:val="left"/>
      <w:pPr>
        <w:ind w:left="6480" w:hanging="360"/>
      </w:pPr>
      <w:rPr>
        <w:rFonts w:ascii="Courier New" w:hAnsi="Courier New" w:cs="Courier New" w:hint="default"/>
      </w:rPr>
    </w:lvl>
    <w:lvl w:ilvl="8" w:tplc="A3CE8168" w:tentative="1">
      <w:start w:val="1"/>
      <w:numFmt w:val="bullet"/>
      <w:lvlText w:val=""/>
      <w:lvlJc w:val="left"/>
      <w:pPr>
        <w:ind w:left="7200" w:hanging="360"/>
      </w:pPr>
      <w:rPr>
        <w:rFonts w:ascii="Wingdings" w:hAnsi="Wingdings" w:hint="default"/>
      </w:rPr>
    </w:lvl>
  </w:abstractNum>
  <w:abstractNum w:abstractNumId="24" w15:restartNumberingAfterBreak="0">
    <w:nsid w:val="74B223F9"/>
    <w:multiLevelType w:val="hybridMultilevel"/>
    <w:tmpl w:val="FC6C5D6A"/>
    <w:lvl w:ilvl="0" w:tplc="9D16CB02">
      <w:start w:val="1"/>
      <w:numFmt w:val="decimal"/>
      <w:lvlText w:val="%1."/>
      <w:lvlJc w:val="left"/>
      <w:pPr>
        <w:ind w:left="2160" w:hanging="360"/>
      </w:pPr>
    </w:lvl>
    <w:lvl w:ilvl="1" w:tplc="B308BFAA" w:tentative="1">
      <w:start w:val="1"/>
      <w:numFmt w:val="lowerLetter"/>
      <w:lvlText w:val="%2."/>
      <w:lvlJc w:val="left"/>
      <w:pPr>
        <w:ind w:left="2880" w:hanging="360"/>
      </w:pPr>
    </w:lvl>
    <w:lvl w:ilvl="2" w:tplc="9158447E" w:tentative="1">
      <w:start w:val="1"/>
      <w:numFmt w:val="lowerRoman"/>
      <w:lvlText w:val="%3."/>
      <w:lvlJc w:val="right"/>
      <w:pPr>
        <w:ind w:left="3600" w:hanging="180"/>
      </w:pPr>
    </w:lvl>
    <w:lvl w:ilvl="3" w:tplc="0FEAD1F4" w:tentative="1">
      <w:start w:val="1"/>
      <w:numFmt w:val="decimal"/>
      <w:lvlText w:val="%4."/>
      <w:lvlJc w:val="left"/>
      <w:pPr>
        <w:ind w:left="4320" w:hanging="360"/>
      </w:pPr>
    </w:lvl>
    <w:lvl w:ilvl="4" w:tplc="1DDABFB0" w:tentative="1">
      <w:start w:val="1"/>
      <w:numFmt w:val="lowerLetter"/>
      <w:lvlText w:val="%5."/>
      <w:lvlJc w:val="left"/>
      <w:pPr>
        <w:ind w:left="5040" w:hanging="360"/>
      </w:pPr>
    </w:lvl>
    <w:lvl w:ilvl="5" w:tplc="43B87A64" w:tentative="1">
      <w:start w:val="1"/>
      <w:numFmt w:val="lowerRoman"/>
      <w:lvlText w:val="%6."/>
      <w:lvlJc w:val="right"/>
      <w:pPr>
        <w:ind w:left="5760" w:hanging="180"/>
      </w:pPr>
    </w:lvl>
    <w:lvl w:ilvl="6" w:tplc="E74E513A" w:tentative="1">
      <w:start w:val="1"/>
      <w:numFmt w:val="decimal"/>
      <w:lvlText w:val="%7."/>
      <w:lvlJc w:val="left"/>
      <w:pPr>
        <w:ind w:left="6480" w:hanging="360"/>
      </w:pPr>
    </w:lvl>
    <w:lvl w:ilvl="7" w:tplc="90E2B232" w:tentative="1">
      <w:start w:val="1"/>
      <w:numFmt w:val="lowerLetter"/>
      <w:lvlText w:val="%8."/>
      <w:lvlJc w:val="left"/>
      <w:pPr>
        <w:ind w:left="7200" w:hanging="360"/>
      </w:pPr>
    </w:lvl>
    <w:lvl w:ilvl="8" w:tplc="B66281D8" w:tentative="1">
      <w:start w:val="1"/>
      <w:numFmt w:val="lowerRoman"/>
      <w:lvlText w:val="%9."/>
      <w:lvlJc w:val="right"/>
      <w:pPr>
        <w:ind w:left="7920" w:hanging="180"/>
      </w:pPr>
    </w:lvl>
  </w:abstractNum>
  <w:abstractNum w:abstractNumId="25" w15:restartNumberingAfterBreak="0">
    <w:nsid w:val="7EDB64E8"/>
    <w:multiLevelType w:val="hybridMultilevel"/>
    <w:tmpl w:val="DAF81468"/>
    <w:lvl w:ilvl="0" w:tplc="3B10336C">
      <w:start w:val="1"/>
      <w:numFmt w:val="bullet"/>
      <w:lvlText w:val=""/>
      <w:lvlJc w:val="left"/>
      <w:pPr>
        <w:ind w:left="1440" w:hanging="360"/>
      </w:pPr>
      <w:rPr>
        <w:rFonts w:ascii="Symbol" w:hAnsi="Symbol" w:hint="default"/>
      </w:rPr>
    </w:lvl>
    <w:lvl w:ilvl="1" w:tplc="2EB08278" w:tentative="1">
      <w:start w:val="1"/>
      <w:numFmt w:val="bullet"/>
      <w:lvlText w:val="o"/>
      <w:lvlJc w:val="left"/>
      <w:pPr>
        <w:ind w:left="2160" w:hanging="360"/>
      </w:pPr>
      <w:rPr>
        <w:rFonts w:ascii="Courier New" w:hAnsi="Courier New" w:cs="Courier New" w:hint="default"/>
      </w:rPr>
    </w:lvl>
    <w:lvl w:ilvl="2" w:tplc="92D46C8A" w:tentative="1">
      <w:start w:val="1"/>
      <w:numFmt w:val="bullet"/>
      <w:lvlText w:val=""/>
      <w:lvlJc w:val="left"/>
      <w:pPr>
        <w:ind w:left="2880" w:hanging="360"/>
      </w:pPr>
      <w:rPr>
        <w:rFonts w:ascii="Wingdings" w:hAnsi="Wingdings" w:hint="default"/>
      </w:rPr>
    </w:lvl>
    <w:lvl w:ilvl="3" w:tplc="48925A54" w:tentative="1">
      <w:start w:val="1"/>
      <w:numFmt w:val="bullet"/>
      <w:lvlText w:val=""/>
      <w:lvlJc w:val="left"/>
      <w:pPr>
        <w:ind w:left="3600" w:hanging="360"/>
      </w:pPr>
      <w:rPr>
        <w:rFonts w:ascii="Symbol" w:hAnsi="Symbol" w:hint="default"/>
      </w:rPr>
    </w:lvl>
    <w:lvl w:ilvl="4" w:tplc="D9B46278" w:tentative="1">
      <w:start w:val="1"/>
      <w:numFmt w:val="bullet"/>
      <w:lvlText w:val="o"/>
      <w:lvlJc w:val="left"/>
      <w:pPr>
        <w:ind w:left="4320" w:hanging="360"/>
      </w:pPr>
      <w:rPr>
        <w:rFonts w:ascii="Courier New" w:hAnsi="Courier New" w:cs="Courier New" w:hint="default"/>
      </w:rPr>
    </w:lvl>
    <w:lvl w:ilvl="5" w:tplc="34BEE996" w:tentative="1">
      <w:start w:val="1"/>
      <w:numFmt w:val="bullet"/>
      <w:lvlText w:val=""/>
      <w:lvlJc w:val="left"/>
      <w:pPr>
        <w:ind w:left="5040" w:hanging="360"/>
      </w:pPr>
      <w:rPr>
        <w:rFonts w:ascii="Wingdings" w:hAnsi="Wingdings" w:hint="default"/>
      </w:rPr>
    </w:lvl>
    <w:lvl w:ilvl="6" w:tplc="9D4E3ECC" w:tentative="1">
      <w:start w:val="1"/>
      <w:numFmt w:val="bullet"/>
      <w:lvlText w:val=""/>
      <w:lvlJc w:val="left"/>
      <w:pPr>
        <w:ind w:left="5760" w:hanging="360"/>
      </w:pPr>
      <w:rPr>
        <w:rFonts w:ascii="Symbol" w:hAnsi="Symbol" w:hint="default"/>
      </w:rPr>
    </w:lvl>
    <w:lvl w:ilvl="7" w:tplc="815E79EC" w:tentative="1">
      <w:start w:val="1"/>
      <w:numFmt w:val="bullet"/>
      <w:lvlText w:val="o"/>
      <w:lvlJc w:val="left"/>
      <w:pPr>
        <w:ind w:left="6480" w:hanging="360"/>
      </w:pPr>
      <w:rPr>
        <w:rFonts w:ascii="Courier New" w:hAnsi="Courier New" w:cs="Courier New" w:hint="default"/>
      </w:rPr>
    </w:lvl>
    <w:lvl w:ilvl="8" w:tplc="CA7A5426"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7"/>
  </w:num>
  <w:num w:numId="4">
    <w:abstractNumId w:val="7"/>
  </w:num>
  <w:num w:numId="5">
    <w:abstractNumId w:val="12"/>
  </w:num>
  <w:num w:numId="6">
    <w:abstractNumId w:val="23"/>
  </w:num>
  <w:num w:numId="7">
    <w:abstractNumId w:val="25"/>
  </w:num>
  <w:num w:numId="8">
    <w:abstractNumId w:val="6"/>
  </w:num>
  <w:num w:numId="9">
    <w:abstractNumId w:val="14"/>
  </w:num>
  <w:num w:numId="10">
    <w:abstractNumId w:val="13"/>
  </w:num>
  <w:num w:numId="11">
    <w:abstractNumId w:val="4"/>
  </w:num>
  <w:num w:numId="12">
    <w:abstractNumId w:val="16"/>
  </w:num>
  <w:num w:numId="13">
    <w:abstractNumId w:val="21"/>
  </w:num>
  <w:num w:numId="14">
    <w:abstractNumId w:val="5"/>
  </w:num>
  <w:num w:numId="15">
    <w:abstractNumId w:val="20"/>
  </w:num>
  <w:num w:numId="16">
    <w:abstractNumId w:val="22"/>
  </w:num>
  <w:num w:numId="17">
    <w:abstractNumId w:val="15"/>
  </w:num>
  <w:num w:numId="18">
    <w:abstractNumId w:val="9"/>
  </w:num>
  <w:num w:numId="19">
    <w:abstractNumId w:val="19"/>
  </w:num>
  <w:num w:numId="20">
    <w:abstractNumId w:val="11"/>
  </w:num>
  <w:num w:numId="21">
    <w:abstractNumId w:val="10"/>
  </w:num>
  <w:num w:numId="22">
    <w:abstractNumId w:val="8"/>
  </w:num>
  <w:num w:numId="23">
    <w:abstractNumId w:val="18"/>
  </w:num>
  <w:num w:numId="24">
    <w:abstractNumId w:val="2"/>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22"/>
    <w:rsid w:val="007A6222"/>
    <w:rsid w:val="008C00D8"/>
    <w:rsid w:val="00BB7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5F2DE-BF2C-4135-95E2-58FA8CD2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D715C6"/>
    <w:pPr>
      <w:keepNext/>
      <w:keepLines/>
      <w:spacing w:after="240" w:line="240" w:lineRule="auto"/>
      <w:ind w:left="720" w:hanging="720"/>
      <w:outlineLvl w:val="0"/>
    </w:pPr>
    <w:rPr>
      <w:rFonts w:eastAsia="Times New Roman" w:cs="Times New Roman"/>
      <w:b/>
      <w:bCs/>
      <w:szCs w:val="24"/>
    </w:rPr>
  </w:style>
  <w:style w:type="paragraph" w:styleId="Heading2">
    <w:name w:val="heading 2"/>
    <w:basedOn w:val="Normal"/>
    <w:next w:val="Normal"/>
    <w:link w:val="Heading2Char"/>
    <w:autoRedefine/>
    <w:uiPriority w:val="9"/>
    <w:unhideWhenUsed/>
    <w:qFormat/>
    <w:rsid w:val="00740211"/>
    <w:pPr>
      <w:keepNext/>
      <w:keepLines/>
      <w:spacing w:after="240" w:line="240" w:lineRule="auto"/>
      <w:ind w:left="1440" w:right="720" w:hanging="720"/>
      <w:outlineLvl w:val="1"/>
    </w:pPr>
    <w:rPr>
      <w:rFonts w:eastAsia="Times New Roman" w:cs="Times New Roman"/>
      <w:b/>
      <w:bCs/>
      <w:szCs w:val="24"/>
    </w:rPr>
  </w:style>
  <w:style w:type="paragraph" w:styleId="Heading3">
    <w:name w:val="heading 3"/>
    <w:basedOn w:val="Normal"/>
    <w:next w:val="Normal"/>
    <w:link w:val="Heading3Char"/>
    <w:autoRedefine/>
    <w:uiPriority w:val="9"/>
    <w:unhideWhenUsed/>
    <w:qFormat/>
    <w:rsid w:val="00740211"/>
    <w:pPr>
      <w:keepNext/>
      <w:keepLines/>
      <w:spacing w:after="240" w:line="240" w:lineRule="auto"/>
      <w:ind w:left="2160" w:right="720" w:hanging="720"/>
      <w:outlineLvl w:val="2"/>
    </w:pPr>
    <w:rPr>
      <w:rFonts w:eastAsia="Times New Roman" w:cs="Times New Roman"/>
      <w:b/>
      <w:bCs/>
      <w:szCs w:val="24"/>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eastAsiaTheme="majorEastAsia" w:hAnsi="Times New Roman Bold"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021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6F040C"/>
    <w:rPr>
      <w:rFonts w:ascii="Courier New" w:eastAsia="Courier New" w:hAnsi="Courier New" w:cs="Courier New"/>
      <w:sz w:val="20"/>
      <w:szCs w:val="20"/>
    </w:rPr>
  </w:style>
  <w:style w:type="paragraph" w:styleId="FootnoteText">
    <w:name w:val="footnote text"/>
    <w:basedOn w:val="Normal"/>
    <w:link w:val="FootnoteTextChar"/>
    <w:uiPriority w:val="99"/>
    <w:unhideWhenUsed/>
    <w:rsid w:val="00076C6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076C62"/>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D715C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402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semiHidden/>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715C6"/>
    <w:pPr>
      <w:tabs>
        <w:tab w:val="decimal" w:leader="dot" w:pos="8640"/>
      </w:tabs>
      <w:spacing w:after="240" w:line="240" w:lineRule="auto"/>
      <w:ind w:left="720" w:hanging="720"/>
      <w:outlineLvl w:val="0"/>
    </w:pPr>
    <w:rPr>
      <w:rFonts w:eastAsia="Times New Roman" w:cs="Times New Roman"/>
      <w:caps/>
      <w:szCs w:val="24"/>
    </w:rPr>
  </w:style>
  <w:style w:type="paragraph" w:styleId="TOC2">
    <w:name w:val="toc 2"/>
    <w:basedOn w:val="Normal"/>
    <w:next w:val="Normal"/>
    <w:autoRedefine/>
    <w:uiPriority w:val="39"/>
    <w:unhideWhenUsed/>
    <w:rsid w:val="00D715C6"/>
    <w:pPr>
      <w:tabs>
        <w:tab w:val="decimal" w:leader="dot" w:pos="8640"/>
      </w:tabs>
      <w:spacing w:after="240" w:line="240" w:lineRule="auto"/>
      <w:ind w:left="1440" w:hanging="720"/>
      <w:outlineLvl w:val="1"/>
    </w:pPr>
  </w:style>
  <w:style w:type="paragraph" w:styleId="TOC3">
    <w:name w:val="toc 3"/>
    <w:basedOn w:val="Normal"/>
    <w:next w:val="Normal"/>
    <w:autoRedefine/>
    <w:uiPriority w:val="39"/>
    <w:unhideWhenUsed/>
    <w:qFormat/>
    <w:rsid w:val="00D715C6"/>
    <w:pPr>
      <w:tabs>
        <w:tab w:val="decimal" w:leader="dot" w:pos="864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eastAsiaTheme="majorEastAsia" w:hAnsi="Times New Roman Bold" w:cstheme="majorBidi"/>
      <w:b/>
      <w:bCs/>
      <w:iCs/>
      <w:sz w:val="24"/>
    </w:rPr>
  </w:style>
  <w:style w:type="character" w:customStyle="1" w:styleId="Heading5Char">
    <w:name w:val="Heading 5 Char"/>
    <w:basedOn w:val="DefaultParagraphFont"/>
    <w:link w:val="Heading5"/>
    <w:uiPriority w:val="9"/>
    <w:rsid w:val="00D446C5"/>
    <w:rPr>
      <w:rFonts w:ascii="Times New Roman" w:eastAsiaTheme="majorEastAsia" w:hAnsi="Times New Roman"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paragraph" w:styleId="BodyTextIndent3">
    <w:name w:val="Body Text Indent 3"/>
    <w:basedOn w:val="Normal"/>
    <w:link w:val="BodyTextIndent3Char"/>
    <w:rsid w:val="00467AAD"/>
    <w:pPr>
      <w:spacing w:after="0"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467AA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EE19CA"/>
    <w:rPr>
      <w:color w:val="808080"/>
      <w:shd w:val="clear" w:color="auto" w:fill="E6E6E6"/>
    </w:rPr>
  </w:style>
  <w:style w:type="character" w:customStyle="1" w:styleId="UnresolvedMention2">
    <w:name w:val="Unresolved Mention2"/>
    <w:basedOn w:val="DefaultParagraphFont"/>
    <w:uiPriority w:val="99"/>
    <w:rsid w:val="002F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4135</Words>
  <Characters>23158</Characters>
  <Application>Microsoft Office Word</Application>
  <DocSecurity>0</DocSecurity>
  <Lines>413</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Williams</dc:creator>
  <cp:lastModifiedBy>Jamie Williams</cp:lastModifiedBy>
  <cp:revision>2</cp:revision>
  <dcterms:created xsi:type="dcterms:W3CDTF">2018-08-27T20:56:00Z</dcterms:created>
  <dcterms:modified xsi:type="dcterms:W3CDTF">2018-08-27T20:56:00Z</dcterms:modified>
</cp:coreProperties>
</file>