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98" w:rsidRDefault="00AF4098" w:rsidP="00AF409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Before the</w:t>
      </w:r>
    </w:p>
    <w:p w:rsidR="00AF4098" w:rsidRDefault="00AF4098" w:rsidP="00AF409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Federal Communications Commission</w:t>
      </w:r>
    </w:p>
    <w:p w:rsidR="00AF4098" w:rsidRDefault="00AF4098" w:rsidP="00AF409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Washington, D.C. 20554</w:t>
      </w:r>
    </w:p>
    <w:p w:rsidR="00AF4098" w:rsidRDefault="00AF4098" w:rsidP="00AF4098">
      <w:pPr>
        <w:autoSpaceDE w:val="0"/>
        <w:autoSpaceDN w:val="0"/>
        <w:adjustRightInd w:val="0"/>
        <w:spacing w:after="0" w:line="240" w:lineRule="auto"/>
        <w:jc w:val="center"/>
        <w:rPr>
          <w:rFonts w:ascii="Times New Roman" w:hAnsi="Times New Roman"/>
          <w:b/>
          <w:bCs/>
          <w:sz w:val="26"/>
          <w:szCs w:val="26"/>
        </w:rPr>
      </w:pPr>
    </w:p>
    <w:p w:rsidR="00AF4098" w:rsidRDefault="00AF4098" w:rsidP="00AF4098">
      <w:pPr>
        <w:autoSpaceDE w:val="0"/>
        <w:autoSpaceDN w:val="0"/>
        <w:adjustRightInd w:val="0"/>
        <w:spacing w:after="0" w:line="240" w:lineRule="auto"/>
        <w:rPr>
          <w:rFonts w:ascii="Times New Roman" w:hAnsi="Times New Roman"/>
          <w:b/>
          <w:bCs/>
          <w:sz w:val="26"/>
          <w:szCs w:val="26"/>
        </w:rPr>
      </w:pPr>
    </w:p>
    <w:tbl>
      <w:tblPr>
        <w:tblW w:w="0" w:type="auto"/>
        <w:tblLook w:val="04A0" w:firstRow="1" w:lastRow="0" w:firstColumn="1" w:lastColumn="0" w:noHBand="0" w:noVBand="1"/>
      </w:tblPr>
      <w:tblGrid>
        <w:gridCol w:w="4608"/>
        <w:gridCol w:w="540"/>
        <w:gridCol w:w="4428"/>
      </w:tblGrid>
      <w:tr w:rsidR="00E364F5" w:rsidRPr="00EB3004" w:rsidTr="00EB3004">
        <w:tc>
          <w:tcPr>
            <w:tcW w:w="4608" w:type="dxa"/>
            <w:shd w:val="clear" w:color="auto" w:fill="auto"/>
          </w:tcPr>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In the Matter of</w:t>
            </w: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TracFone Wireless, Inc.</w:t>
            </w: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Petition for Declaratory Ruling</w:t>
            </w:r>
          </w:p>
        </w:tc>
        <w:tc>
          <w:tcPr>
            <w:tcW w:w="540" w:type="dxa"/>
            <w:shd w:val="clear" w:color="auto" w:fill="auto"/>
          </w:tcPr>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w:t>
            </w: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w:t>
            </w: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w:t>
            </w: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w:t>
            </w: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w:t>
            </w:r>
          </w:p>
        </w:tc>
        <w:tc>
          <w:tcPr>
            <w:tcW w:w="4428" w:type="dxa"/>
            <w:shd w:val="clear" w:color="auto" w:fill="auto"/>
          </w:tcPr>
          <w:p w:rsidR="00E364F5" w:rsidRPr="00EB3004" w:rsidRDefault="00E364F5" w:rsidP="00EB3004">
            <w:pPr>
              <w:autoSpaceDE w:val="0"/>
              <w:autoSpaceDN w:val="0"/>
              <w:adjustRightInd w:val="0"/>
              <w:spacing w:after="0" w:line="240" w:lineRule="auto"/>
              <w:rPr>
                <w:rFonts w:ascii="Times New Roman" w:hAnsi="Times New Roman"/>
                <w:b/>
                <w:bCs/>
                <w:sz w:val="26"/>
                <w:szCs w:val="26"/>
              </w:rPr>
            </w:pP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WC Docket No. 09-197</w:t>
            </w: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WC Docket No. 03-109</w:t>
            </w:r>
          </w:p>
        </w:tc>
      </w:tr>
    </w:tbl>
    <w:p w:rsidR="00AF4098" w:rsidRDefault="00AF4098" w:rsidP="00AF4098">
      <w:pPr>
        <w:autoSpaceDE w:val="0"/>
        <w:autoSpaceDN w:val="0"/>
        <w:adjustRightInd w:val="0"/>
        <w:spacing w:after="0" w:line="240" w:lineRule="auto"/>
        <w:rPr>
          <w:rFonts w:ascii="Times New Roman" w:hAnsi="Times New Roman"/>
          <w:b/>
          <w:bCs/>
          <w:sz w:val="26"/>
          <w:szCs w:val="26"/>
        </w:rPr>
      </w:pPr>
    </w:p>
    <w:p w:rsidR="00AF4098" w:rsidRDefault="00AF4098" w:rsidP="00AF4098">
      <w:pPr>
        <w:autoSpaceDE w:val="0"/>
        <w:autoSpaceDN w:val="0"/>
        <w:adjustRightInd w:val="0"/>
        <w:spacing w:after="0" w:line="240" w:lineRule="auto"/>
        <w:rPr>
          <w:rFonts w:ascii="Times New Roman" w:hAnsi="Times New Roman"/>
          <w:b/>
          <w:bCs/>
          <w:sz w:val="26"/>
          <w:szCs w:val="26"/>
        </w:rPr>
      </w:pPr>
    </w:p>
    <w:p w:rsidR="00AF4098" w:rsidRDefault="00AF4098" w:rsidP="00AF4098">
      <w:pPr>
        <w:autoSpaceDE w:val="0"/>
        <w:autoSpaceDN w:val="0"/>
        <w:adjustRightInd w:val="0"/>
        <w:spacing w:after="0" w:line="240" w:lineRule="auto"/>
        <w:rPr>
          <w:rFonts w:ascii="Times New Roman" w:hAnsi="Times New Roman"/>
          <w:b/>
          <w:bCs/>
          <w:sz w:val="26"/>
          <w:szCs w:val="26"/>
        </w:rPr>
      </w:pPr>
    </w:p>
    <w:p w:rsidR="00AF4098" w:rsidRDefault="00AF4098" w:rsidP="00AF4098">
      <w:pPr>
        <w:autoSpaceDE w:val="0"/>
        <w:autoSpaceDN w:val="0"/>
        <w:adjustRightInd w:val="0"/>
        <w:spacing w:after="0" w:line="240" w:lineRule="auto"/>
        <w:rPr>
          <w:rFonts w:ascii="Times New Roman" w:hAnsi="Times New Roman"/>
          <w:b/>
          <w:bCs/>
          <w:sz w:val="26"/>
          <w:szCs w:val="26"/>
        </w:rPr>
      </w:pPr>
    </w:p>
    <w:p w:rsidR="00AF4098" w:rsidRDefault="00AF4098" w:rsidP="00AF4098">
      <w:pPr>
        <w:pBdr>
          <w:top w:val="single" w:sz="4" w:space="1" w:color="auto"/>
          <w:bottom w:val="single" w:sz="4" w:space="1" w:color="auto"/>
        </w:pBdr>
        <w:autoSpaceDE w:val="0"/>
        <w:autoSpaceDN w:val="0"/>
        <w:adjustRightInd w:val="0"/>
        <w:spacing w:after="0" w:line="240" w:lineRule="auto"/>
        <w:jc w:val="center"/>
        <w:rPr>
          <w:rFonts w:ascii="Times New Roman" w:hAnsi="Times New Roman"/>
          <w:b/>
          <w:bCs/>
          <w:sz w:val="26"/>
          <w:szCs w:val="26"/>
        </w:rPr>
      </w:pPr>
    </w:p>
    <w:p w:rsidR="00AF4098" w:rsidRPr="00E364F5" w:rsidRDefault="00AF4098" w:rsidP="00AF4098">
      <w:pPr>
        <w:pBdr>
          <w:top w:val="single" w:sz="4" w:space="1" w:color="auto"/>
          <w:bottom w:val="single" w:sz="4" w:space="1" w:color="auto"/>
        </w:pBdr>
        <w:autoSpaceDE w:val="0"/>
        <w:autoSpaceDN w:val="0"/>
        <w:adjustRightInd w:val="0"/>
        <w:spacing w:after="0" w:line="240" w:lineRule="auto"/>
        <w:jc w:val="center"/>
        <w:rPr>
          <w:rFonts w:ascii="Times New Roman" w:hAnsi="Times New Roman"/>
          <w:b/>
          <w:bCs/>
          <w:sz w:val="28"/>
          <w:szCs w:val="28"/>
        </w:rPr>
      </w:pPr>
      <w:r w:rsidRPr="00E364F5">
        <w:rPr>
          <w:rFonts w:ascii="Times New Roman" w:hAnsi="Times New Roman"/>
          <w:b/>
          <w:bCs/>
          <w:sz w:val="28"/>
          <w:szCs w:val="28"/>
        </w:rPr>
        <w:t>COMMENTS</w:t>
      </w:r>
    </w:p>
    <w:p w:rsidR="00AF4098" w:rsidRDefault="00AF4098" w:rsidP="00AF4098">
      <w:pPr>
        <w:pBdr>
          <w:top w:val="single" w:sz="4" w:space="1" w:color="auto"/>
          <w:bottom w:val="single" w:sz="4" w:space="1" w:color="auto"/>
        </w:pBd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SUBMITTED ON BEHALF OF THE STAFF OF</w:t>
      </w:r>
    </w:p>
    <w:p w:rsidR="00AF4098" w:rsidRDefault="00AF4098" w:rsidP="00AF4098">
      <w:pPr>
        <w:pBdr>
          <w:top w:val="single" w:sz="4" w:space="1" w:color="auto"/>
          <w:bottom w:val="single" w:sz="4" w:space="1" w:color="auto"/>
        </w:pBd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THE PUBLIC UTILITIES COMMISSION OF OHIO</w:t>
      </w:r>
    </w:p>
    <w:p w:rsidR="00AF4098" w:rsidRDefault="00AF4098" w:rsidP="00AF4098">
      <w:pPr>
        <w:pBdr>
          <w:top w:val="single" w:sz="4" w:space="1" w:color="auto"/>
          <w:bottom w:val="single" w:sz="4" w:space="1" w:color="auto"/>
        </w:pBdr>
        <w:autoSpaceDE w:val="0"/>
        <w:autoSpaceDN w:val="0"/>
        <w:adjustRightInd w:val="0"/>
        <w:spacing w:after="0" w:line="240" w:lineRule="auto"/>
        <w:rPr>
          <w:rFonts w:ascii="Times New Roman" w:hAnsi="Times New Roman"/>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E364F5" w:rsidRDefault="00E364F5" w:rsidP="005150DE">
      <w:pPr>
        <w:autoSpaceDE w:val="0"/>
        <w:autoSpaceDN w:val="0"/>
        <w:adjustRightInd w:val="0"/>
        <w:spacing w:after="0" w:line="240" w:lineRule="auto"/>
        <w:jc w:val="center"/>
        <w:rPr>
          <w:rFonts w:ascii="Times New Roman" w:hAnsi="Times New Roman"/>
          <w:b/>
          <w:bCs/>
          <w:sz w:val="26"/>
          <w:szCs w:val="26"/>
        </w:rPr>
      </w:pPr>
    </w:p>
    <w:p w:rsidR="00E364F5" w:rsidRDefault="00E364F5" w:rsidP="005150DE">
      <w:pPr>
        <w:autoSpaceDE w:val="0"/>
        <w:autoSpaceDN w:val="0"/>
        <w:adjustRightInd w:val="0"/>
        <w:spacing w:after="0" w:line="240" w:lineRule="auto"/>
        <w:jc w:val="center"/>
        <w:rPr>
          <w:rFonts w:ascii="Times New Roman" w:hAnsi="Times New Roman"/>
          <w:b/>
          <w:bCs/>
          <w:sz w:val="26"/>
          <w:szCs w:val="26"/>
        </w:rPr>
      </w:pPr>
    </w:p>
    <w:p w:rsidR="00E364F5" w:rsidRDefault="00E364F5" w:rsidP="005150DE">
      <w:pPr>
        <w:autoSpaceDE w:val="0"/>
        <w:autoSpaceDN w:val="0"/>
        <w:adjustRightInd w:val="0"/>
        <w:spacing w:after="0" w:line="240" w:lineRule="auto"/>
        <w:jc w:val="center"/>
        <w:rPr>
          <w:rFonts w:ascii="Times New Roman" w:hAnsi="Times New Roman"/>
          <w:b/>
          <w:bCs/>
          <w:sz w:val="26"/>
          <w:szCs w:val="26"/>
        </w:rPr>
      </w:pPr>
    </w:p>
    <w:p w:rsidR="00E364F5" w:rsidRDefault="00E364F5" w:rsidP="005150DE">
      <w:pPr>
        <w:autoSpaceDE w:val="0"/>
        <w:autoSpaceDN w:val="0"/>
        <w:adjustRightInd w:val="0"/>
        <w:spacing w:after="0" w:line="240" w:lineRule="auto"/>
        <w:jc w:val="center"/>
        <w:rPr>
          <w:rFonts w:ascii="Times New Roman" w:hAnsi="Times New Roman"/>
          <w:b/>
          <w:bCs/>
          <w:sz w:val="26"/>
          <w:szCs w:val="26"/>
        </w:rPr>
      </w:pPr>
    </w:p>
    <w:p w:rsidR="00E364F5" w:rsidRDefault="00E364F5" w:rsidP="005150DE">
      <w:pPr>
        <w:autoSpaceDE w:val="0"/>
        <w:autoSpaceDN w:val="0"/>
        <w:adjustRightInd w:val="0"/>
        <w:spacing w:after="0" w:line="240" w:lineRule="auto"/>
        <w:jc w:val="center"/>
        <w:rPr>
          <w:rFonts w:ascii="Times New Roman" w:hAnsi="Times New Roman"/>
          <w:b/>
          <w:bCs/>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AF4098" w:rsidRPr="00AF4098" w:rsidRDefault="00AF4098" w:rsidP="005150DE">
      <w:pPr>
        <w:autoSpaceDE w:val="0"/>
        <w:autoSpaceDN w:val="0"/>
        <w:adjustRightInd w:val="0"/>
        <w:spacing w:after="0" w:line="240" w:lineRule="auto"/>
        <w:jc w:val="center"/>
        <w:rPr>
          <w:rFonts w:ascii="Times New Roman" w:hAnsi="Times New Roman"/>
          <w:bCs/>
          <w:sz w:val="26"/>
          <w:szCs w:val="26"/>
        </w:rPr>
      </w:pPr>
      <w:r w:rsidRPr="00AF4098">
        <w:rPr>
          <w:rFonts w:ascii="Times New Roman" w:hAnsi="Times New Roman"/>
          <w:bCs/>
          <w:sz w:val="26"/>
          <w:szCs w:val="26"/>
        </w:rPr>
        <w:t>Dated:  December 23, 2010</w:t>
      </w:r>
    </w:p>
    <w:p w:rsidR="002D605F" w:rsidRDefault="002D605F" w:rsidP="005150DE">
      <w:pPr>
        <w:autoSpaceDE w:val="0"/>
        <w:autoSpaceDN w:val="0"/>
        <w:adjustRightInd w:val="0"/>
        <w:spacing w:after="0" w:line="240" w:lineRule="auto"/>
        <w:jc w:val="center"/>
        <w:rPr>
          <w:rFonts w:ascii="Times New Roman" w:hAnsi="Times New Roman"/>
          <w:b/>
          <w:bCs/>
          <w:sz w:val="26"/>
          <w:szCs w:val="26"/>
        </w:rPr>
        <w:sectPr w:rsidR="002D605F" w:rsidSect="002D605F">
          <w:footerReference w:type="default" r:id="rId9"/>
          <w:footerReference w:type="first" r:id="rId10"/>
          <w:pgSz w:w="12240" w:h="15840"/>
          <w:pgMar w:top="1440" w:right="1440" w:bottom="1440" w:left="1440" w:header="720" w:footer="720" w:gutter="0"/>
          <w:pgNumType w:fmt="lowerRoman" w:start="1"/>
          <w:cols w:space="720"/>
          <w:titlePg/>
          <w:docGrid w:linePitch="360"/>
        </w:sectPr>
      </w:pPr>
    </w:p>
    <w:p w:rsidR="0017546C" w:rsidRDefault="004A2D07">
      <w:pPr>
        <w:pStyle w:val="TOC1"/>
        <w:rPr>
          <w:rFonts w:asciiTheme="minorHAnsi" w:eastAsiaTheme="minorEastAsia" w:hAnsiTheme="minorHAnsi" w:cstheme="minorBidi"/>
          <w:noProof/>
          <w:sz w:val="22"/>
        </w:rPr>
      </w:pPr>
      <w:r>
        <w:rPr>
          <w:b/>
          <w:bCs/>
          <w:szCs w:val="26"/>
        </w:rPr>
        <w:lastRenderedPageBreak/>
        <w:fldChar w:fldCharType="begin"/>
      </w:r>
      <w:r>
        <w:rPr>
          <w:b/>
          <w:bCs/>
          <w:szCs w:val="26"/>
        </w:rPr>
        <w:instrText xml:space="preserve"> TOC \o "1-3" \u </w:instrText>
      </w:r>
      <w:r>
        <w:rPr>
          <w:b/>
          <w:bCs/>
          <w:szCs w:val="26"/>
        </w:rPr>
        <w:fldChar w:fldCharType="separate"/>
      </w:r>
      <w:r w:rsidR="0017546C">
        <w:rPr>
          <w:noProof/>
        </w:rPr>
        <w:t>INTRODUCTION AND SUMMARY</w:t>
      </w:r>
      <w:r w:rsidR="0017546C">
        <w:rPr>
          <w:noProof/>
        </w:rPr>
        <w:tab/>
      </w:r>
      <w:r w:rsidR="0017546C">
        <w:rPr>
          <w:noProof/>
        </w:rPr>
        <w:fldChar w:fldCharType="begin"/>
      </w:r>
      <w:r w:rsidR="0017546C">
        <w:rPr>
          <w:noProof/>
        </w:rPr>
        <w:instrText xml:space="preserve"> PAGEREF _Toc280868060 \h </w:instrText>
      </w:r>
      <w:r w:rsidR="0017546C">
        <w:rPr>
          <w:noProof/>
        </w:rPr>
      </w:r>
      <w:r w:rsidR="0017546C">
        <w:rPr>
          <w:noProof/>
        </w:rPr>
        <w:fldChar w:fldCharType="separate"/>
      </w:r>
      <w:r w:rsidR="0034667E">
        <w:rPr>
          <w:noProof/>
        </w:rPr>
        <w:t>1</w:t>
      </w:r>
      <w:r w:rsidR="0017546C">
        <w:rPr>
          <w:noProof/>
        </w:rPr>
        <w:fldChar w:fldCharType="end"/>
      </w:r>
    </w:p>
    <w:p w:rsidR="0017546C" w:rsidRDefault="0017546C">
      <w:pPr>
        <w:pStyle w:val="TOC1"/>
        <w:rPr>
          <w:rFonts w:asciiTheme="minorHAnsi" w:eastAsiaTheme="minorEastAsia" w:hAnsiTheme="minorHAnsi" w:cstheme="minorBidi"/>
          <w:noProof/>
          <w:sz w:val="22"/>
        </w:rPr>
      </w:pPr>
      <w:r>
        <w:rPr>
          <w:noProof/>
        </w:rPr>
        <w:t>DISCUSSION</w:t>
      </w:r>
      <w:r>
        <w:rPr>
          <w:noProof/>
        </w:rPr>
        <w:tab/>
      </w:r>
      <w:r>
        <w:rPr>
          <w:noProof/>
        </w:rPr>
        <w:fldChar w:fldCharType="begin"/>
      </w:r>
      <w:r>
        <w:rPr>
          <w:noProof/>
        </w:rPr>
        <w:instrText xml:space="preserve"> PAGEREF _Toc280868061 \h </w:instrText>
      </w:r>
      <w:r>
        <w:rPr>
          <w:noProof/>
        </w:rPr>
      </w:r>
      <w:r>
        <w:rPr>
          <w:noProof/>
        </w:rPr>
        <w:fldChar w:fldCharType="separate"/>
      </w:r>
      <w:r w:rsidR="0034667E">
        <w:rPr>
          <w:noProof/>
        </w:rPr>
        <w:t>2</w:t>
      </w:r>
      <w:r>
        <w:rPr>
          <w:noProof/>
        </w:rPr>
        <w:fldChar w:fldCharType="end"/>
      </w:r>
    </w:p>
    <w:p w:rsidR="0017546C" w:rsidRDefault="0017546C">
      <w:pPr>
        <w:pStyle w:val="TOC2"/>
        <w:tabs>
          <w:tab w:val="left" w:pos="1440"/>
        </w:tabs>
        <w:rPr>
          <w:rFonts w:asciiTheme="minorHAnsi" w:eastAsiaTheme="minorEastAsia" w:hAnsiTheme="minorHAnsi" w:cstheme="minorBidi"/>
          <w:noProof/>
          <w:sz w:val="22"/>
        </w:rPr>
      </w:pPr>
      <w:r>
        <w:rPr>
          <w:noProof/>
        </w:rPr>
        <w:t>I.</w:t>
      </w:r>
      <w:r>
        <w:rPr>
          <w:rFonts w:asciiTheme="minorHAnsi" w:eastAsiaTheme="minorEastAsia" w:hAnsiTheme="minorHAnsi" w:cstheme="minorBidi"/>
          <w:noProof/>
          <w:sz w:val="22"/>
        </w:rPr>
        <w:tab/>
      </w:r>
      <w:r>
        <w:rPr>
          <w:noProof/>
        </w:rPr>
        <w:t>Link Up support should only be provided for “connections” tied to carrier facilities.</w:t>
      </w:r>
      <w:r>
        <w:rPr>
          <w:noProof/>
        </w:rPr>
        <w:tab/>
      </w:r>
      <w:r>
        <w:rPr>
          <w:noProof/>
        </w:rPr>
        <w:fldChar w:fldCharType="begin"/>
      </w:r>
      <w:r>
        <w:rPr>
          <w:noProof/>
        </w:rPr>
        <w:instrText xml:space="preserve"> PAGEREF _Toc280868062 \h </w:instrText>
      </w:r>
      <w:r>
        <w:rPr>
          <w:noProof/>
        </w:rPr>
      </w:r>
      <w:r>
        <w:rPr>
          <w:noProof/>
        </w:rPr>
        <w:fldChar w:fldCharType="separate"/>
      </w:r>
      <w:r w:rsidR="0034667E">
        <w:rPr>
          <w:noProof/>
        </w:rPr>
        <w:t>2</w:t>
      </w:r>
      <w:r>
        <w:rPr>
          <w:noProof/>
        </w:rPr>
        <w:fldChar w:fldCharType="end"/>
      </w:r>
    </w:p>
    <w:p w:rsidR="0017546C" w:rsidRDefault="0017546C">
      <w:pPr>
        <w:pStyle w:val="TOC2"/>
        <w:tabs>
          <w:tab w:val="left" w:pos="1440"/>
        </w:tabs>
        <w:rPr>
          <w:rFonts w:asciiTheme="minorHAnsi" w:eastAsiaTheme="minorEastAsia" w:hAnsiTheme="minorHAnsi" w:cstheme="minorBidi"/>
          <w:noProof/>
          <w:sz w:val="22"/>
        </w:rPr>
      </w:pPr>
      <w:r>
        <w:rPr>
          <w:noProof/>
        </w:rPr>
        <w:t>II.</w:t>
      </w:r>
      <w:r>
        <w:rPr>
          <w:rFonts w:asciiTheme="minorHAnsi" w:eastAsiaTheme="minorEastAsia" w:hAnsiTheme="minorHAnsi" w:cstheme="minorBidi"/>
          <w:noProof/>
          <w:sz w:val="22"/>
        </w:rPr>
        <w:tab/>
      </w:r>
      <w:r>
        <w:rPr>
          <w:noProof/>
        </w:rPr>
        <w:t>Wireline ETCs must receive approval from the appropriate authority prior to offering wireless lifeline service or modifying a wireless lifeline service offering.</w:t>
      </w:r>
      <w:r>
        <w:rPr>
          <w:noProof/>
        </w:rPr>
        <w:tab/>
      </w:r>
      <w:r>
        <w:rPr>
          <w:noProof/>
        </w:rPr>
        <w:fldChar w:fldCharType="begin"/>
      </w:r>
      <w:r>
        <w:rPr>
          <w:noProof/>
        </w:rPr>
        <w:instrText xml:space="preserve"> PAGEREF _Toc280868063 \h </w:instrText>
      </w:r>
      <w:r>
        <w:rPr>
          <w:noProof/>
        </w:rPr>
      </w:r>
      <w:r>
        <w:rPr>
          <w:noProof/>
        </w:rPr>
        <w:fldChar w:fldCharType="separate"/>
      </w:r>
      <w:r w:rsidR="0034667E">
        <w:rPr>
          <w:noProof/>
        </w:rPr>
        <w:t>6</w:t>
      </w:r>
      <w:r>
        <w:rPr>
          <w:noProof/>
        </w:rPr>
        <w:fldChar w:fldCharType="end"/>
      </w:r>
    </w:p>
    <w:p w:rsidR="0017546C" w:rsidRDefault="0017546C">
      <w:pPr>
        <w:pStyle w:val="TOC2"/>
        <w:tabs>
          <w:tab w:val="left" w:pos="1440"/>
        </w:tabs>
        <w:rPr>
          <w:rFonts w:asciiTheme="minorHAnsi" w:eastAsiaTheme="minorEastAsia" w:hAnsiTheme="minorHAnsi" w:cstheme="minorBidi"/>
          <w:noProof/>
          <w:sz w:val="22"/>
        </w:rPr>
      </w:pPr>
      <w:r>
        <w:rPr>
          <w:noProof/>
        </w:rPr>
        <w:t>III.</w:t>
      </w:r>
      <w:r>
        <w:rPr>
          <w:rFonts w:asciiTheme="minorHAnsi" w:eastAsiaTheme="minorEastAsia" w:hAnsiTheme="minorHAnsi" w:cstheme="minorBidi"/>
          <w:noProof/>
          <w:sz w:val="22"/>
        </w:rPr>
        <w:tab/>
      </w:r>
      <w:r>
        <w:rPr>
          <w:noProof/>
        </w:rPr>
        <w:t>Wireless ETCs must provide service using, in part, their own facilities to be eligible for universal service support.</w:t>
      </w:r>
      <w:r>
        <w:rPr>
          <w:noProof/>
        </w:rPr>
        <w:tab/>
      </w:r>
      <w:r>
        <w:rPr>
          <w:noProof/>
        </w:rPr>
        <w:fldChar w:fldCharType="begin"/>
      </w:r>
      <w:r>
        <w:rPr>
          <w:noProof/>
        </w:rPr>
        <w:instrText xml:space="preserve"> PAGEREF _Toc280868064 \h </w:instrText>
      </w:r>
      <w:r>
        <w:rPr>
          <w:noProof/>
        </w:rPr>
      </w:r>
      <w:r>
        <w:rPr>
          <w:noProof/>
        </w:rPr>
        <w:fldChar w:fldCharType="separate"/>
      </w:r>
      <w:r w:rsidR="0034667E">
        <w:rPr>
          <w:noProof/>
        </w:rPr>
        <w:t>8</w:t>
      </w:r>
      <w:r>
        <w:rPr>
          <w:noProof/>
        </w:rPr>
        <w:fldChar w:fldCharType="end"/>
      </w:r>
    </w:p>
    <w:p w:rsidR="0017546C" w:rsidRDefault="0017546C">
      <w:pPr>
        <w:pStyle w:val="TOC1"/>
        <w:rPr>
          <w:rFonts w:asciiTheme="minorHAnsi" w:eastAsiaTheme="minorEastAsia" w:hAnsiTheme="minorHAnsi" w:cstheme="minorBidi"/>
          <w:noProof/>
          <w:sz w:val="22"/>
        </w:rPr>
      </w:pPr>
      <w:r>
        <w:rPr>
          <w:noProof/>
        </w:rPr>
        <w:t>CONCLUSION</w:t>
      </w:r>
      <w:r>
        <w:rPr>
          <w:noProof/>
        </w:rPr>
        <w:tab/>
      </w:r>
      <w:r>
        <w:rPr>
          <w:noProof/>
        </w:rPr>
        <w:fldChar w:fldCharType="begin"/>
      </w:r>
      <w:r>
        <w:rPr>
          <w:noProof/>
        </w:rPr>
        <w:instrText xml:space="preserve"> PAGEREF _Toc280868065 \h </w:instrText>
      </w:r>
      <w:r>
        <w:rPr>
          <w:noProof/>
        </w:rPr>
      </w:r>
      <w:r>
        <w:rPr>
          <w:noProof/>
        </w:rPr>
        <w:fldChar w:fldCharType="separate"/>
      </w:r>
      <w:r w:rsidR="0034667E">
        <w:rPr>
          <w:noProof/>
        </w:rPr>
        <w:t>10</w:t>
      </w:r>
      <w:r>
        <w:rPr>
          <w:noProof/>
        </w:rPr>
        <w:fldChar w:fldCharType="end"/>
      </w:r>
    </w:p>
    <w:p w:rsidR="00AF4098" w:rsidRDefault="004A2D07" w:rsidP="005150DE">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fldChar w:fldCharType="end"/>
      </w:r>
    </w:p>
    <w:p w:rsidR="00AF4098" w:rsidRDefault="00AF4098" w:rsidP="005150DE">
      <w:pPr>
        <w:autoSpaceDE w:val="0"/>
        <w:autoSpaceDN w:val="0"/>
        <w:adjustRightInd w:val="0"/>
        <w:spacing w:after="0" w:line="240" w:lineRule="auto"/>
        <w:jc w:val="center"/>
        <w:rPr>
          <w:rFonts w:ascii="Times New Roman" w:hAnsi="Times New Roman"/>
          <w:b/>
          <w:bCs/>
          <w:sz w:val="26"/>
          <w:szCs w:val="26"/>
        </w:rPr>
      </w:pPr>
    </w:p>
    <w:p w:rsidR="002D605F" w:rsidRDefault="002D605F" w:rsidP="005150DE">
      <w:pPr>
        <w:autoSpaceDE w:val="0"/>
        <w:autoSpaceDN w:val="0"/>
        <w:adjustRightInd w:val="0"/>
        <w:spacing w:after="0" w:line="240" w:lineRule="auto"/>
        <w:jc w:val="center"/>
        <w:rPr>
          <w:rFonts w:ascii="Times New Roman" w:hAnsi="Times New Roman"/>
          <w:b/>
          <w:bCs/>
          <w:sz w:val="26"/>
          <w:szCs w:val="26"/>
        </w:rPr>
        <w:sectPr w:rsidR="002D605F" w:rsidSect="002D605F">
          <w:headerReference w:type="first" r:id="rId11"/>
          <w:footerReference w:type="first" r:id="rId12"/>
          <w:pgSz w:w="12240" w:h="15840"/>
          <w:pgMar w:top="1440" w:right="1440" w:bottom="1440" w:left="1440" w:header="720" w:footer="720" w:gutter="0"/>
          <w:pgNumType w:fmt="lowerRoman" w:start="1"/>
          <w:cols w:space="720"/>
          <w:titlePg/>
          <w:docGrid w:linePitch="360"/>
        </w:sectPr>
      </w:pPr>
    </w:p>
    <w:p w:rsidR="005150DE" w:rsidRDefault="005150DE" w:rsidP="005150DE">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lastRenderedPageBreak/>
        <w:t>Before the</w:t>
      </w:r>
    </w:p>
    <w:p w:rsidR="005150DE" w:rsidRDefault="005150DE" w:rsidP="005150DE">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Federal Communications Commission</w:t>
      </w:r>
    </w:p>
    <w:p w:rsidR="005150DE" w:rsidRDefault="005150DE" w:rsidP="005150DE">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Washington, D.C. 20554</w:t>
      </w:r>
    </w:p>
    <w:p w:rsidR="005150DE" w:rsidRDefault="005150DE" w:rsidP="005150DE">
      <w:pPr>
        <w:autoSpaceDE w:val="0"/>
        <w:autoSpaceDN w:val="0"/>
        <w:adjustRightInd w:val="0"/>
        <w:spacing w:after="0" w:line="240" w:lineRule="auto"/>
        <w:jc w:val="center"/>
        <w:rPr>
          <w:rFonts w:ascii="Times New Roman" w:hAnsi="Times New Roman"/>
          <w:b/>
          <w:bCs/>
          <w:sz w:val="26"/>
          <w:szCs w:val="26"/>
        </w:rPr>
      </w:pPr>
    </w:p>
    <w:p w:rsidR="005150DE" w:rsidRDefault="005150DE" w:rsidP="005150DE">
      <w:pPr>
        <w:autoSpaceDE w:val="0"/>
        <w:autoSpaceDN w:val="0"/>
        <w:adjustRightInd w:val="0"/>
        <w:spacing w:after="0" w:line="240" w:lineRule="auto"/>
        <w:rPr>
          <w:rFonts w:ascii="Times New Roman" w:hAnsi="Times New Roman"/>
          <w:b/>
          <w:bCs/>
          <w:sz w:val="26"/>
          <w:szCs w:val="26"/>
        </w:rPr>
      </w:pPr>
    </w:p>
    <w:tbl>
      <w:tblPr>
        <w:tblW w:w="0" w:type="auto"/>
        <w:tblLook w:val="04A0" w:firstRow="1" w:lastRow="0" w:firstColumn="1" w:lastColumn="0" w:noHBand="0" w:noVBand="1"/>
      </w:tblPr>
      <w:tblGrid>
        <w:gridCol w:w="4608"/>
        <w:gridCol w:w="540"/>
        <w:gridCol w:w="4428"/>
      </w:tblGrid>
      <w:tr w:rsidR="00E364F5" w:rsidRPr="00EB3004" w:rsidTr="00EB3004">
        <w:tc>
          <w:tcPr>
            <w:tcW w:w="4608" w:type="dxa"/>
            <w:shd w:val="clear" w:color="auto" w:fill="auto"/>
          </w:tcPr>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In the Matter of</w:t>
            </w: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TracFone Wireless, Inc.</w:t>
            </w: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Petition for Declaratory Ruling</w:t>
            </w:r>
          </w:p>
        </w:tc>
        <w:tc>
          <w:tcPr>
            <w:tcW w:w="540" w:type="dxa"/>
            <w:shd w:val="clear" w:color="auto" w:fill="auto"/>
          </w:tcPr>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w:t>
            </w: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w:t>
            </w: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w:t>
            </w: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w:t>
            </w: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w:t>
            </w:r>
          </w:p>
        </w:tc>
        <w:tc>
          <w:tcPr>
            <w:tcW w:w="4428" w:type="dxa"/>
            <w:shd w:val="clear" w:color="auto" w:fill="auto"/>
          </w:tcPr>
          <w:p w:rsidR="00E364F5" w:rsidRPr="00EB3004" w:rsidRDefault="00E364F5" w:rsidP="00EB3004">
            <w:pPr>
              <w:autoSpaceDE w:val="0"/>
              <w:autoSpaceDN w:val="0"/>
              <w:adjustRightInd w:val="0"/>
              <w:spacing w:after="0" w:line="240" w:lineRule="auto"/>
              <w:rPr>
                <w:rFonts w:ascii="Times New Roman" w:hAnsi="Times New Roman"/>
                <w:b/>
                <w:bCs/>
                <w:sz w:val="26"/>
                <w:szCs w:val="26"/>
              </w:rPr>
            </w:pP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WC Docket No. 09-197</w:t>
            </w: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p>
          <w:p w:rsidR="00E364F5" w:rsidRPr="00EB3004" w:rsidRDefault="00E364F5" w:rsidP="00EB3004">
            <w:pPr>
              <w:autoSpaceDE w:val="0"/>
              <w:autoSpaceDN w:val="0"/>
              <w:adjustRightInd w:val="0"/>
              <w:spacing w:after="0" w:line="240" w:lineRule="auto"/>
              <w:rPr>
                <w:rFonts w:ascii="Times New Roman" w:hAnsi="Times New Roman"/>
                <w:b/>
                <w:bCs/>
                <w:sz w:val="26"/>
                <w:szCs w:val="26"/>
              </w:rPr>
            </w:pPr>
            <w:r w:rsidRPr="00EB3004">
              <w:rPr>
                <w:rFonts w:ascii="Times New Roman" w:hAnsi="Times New Roman"/>
                <w:b/>
                <w:bCs/>
                <w:sz w:val="26"/>
                <w:szCs w:val="26"/>
              </w:rPr>
              <w:t>WC Docket No. 03-109</w:t>
            </w:r>
          </w:p>
        </w:tc>
      </w:tr>
    </w:tbl>
    <w:p w:rsidR="00E364F5" w:rsidRDefault="00E364F5" w:rsidP="00E364F5">
      <w:pPr>
        <w:autoSpaceDE w:val="0"/>
        <w:autoSpaceDN w:val="0"/>
        <w:adjustRightInd w:val="0"/>
        <w:spacing w:after="0" w:line="240" w:lineRule="auto"/>
        <w:rPr>
          <w:rFonts w:ascii="Times New Roman" w:hAnsi="Times New Roman"/>
          <w:b/>
          <w:bCs/>
          <w:sz w:val="26"/>
          <w:szCs w:val="26"/>
        </w:rPr>
      </w:pPr>
    </w:p>
    <w:p w:rsidR="00E364F5" w:rsidRDefault="00E364F5" w:rsidP="00E364F5">
      <w:pPr>
        <w:autoSpaceDE w:val="0"/>
        <w:autoSpaceDN w:val="0"/>
        <w:adjustRightInd w:val="0"/>
        <w:spacing w:after="0" w:line="240" w:lineRule="auto"/>
        <w:rPr>
          <w:rFonts w:ascii="Times New Roman" w:hAnsi="Times New Roman"/>
          <w:b/>
          <w:bCs/>
          <w:sz w:val="26"/>
          <w:szCs w:val="26"/>
        </w:rPr>
      </w:pPr>
    </w:p>
    <w:p w:rsidR="00E364F5" w:rsidRDefault="00E364F5" w:rsidP="00E364F5">
      <w:pPr>
        <w:autoSpaceDE w:val="0"/>
        <w:autoSpaceDN w:val="0"/>
        <w:adjustRightInd w:val="0"/>
        <w:spacing w:after="0" w:line="240" w:lineRule="auto"/>
        <w:rPr>
          <w:rFonts w:ascii="Times New Roman" w:hAnsi="Times New Roman"/>
          <w:b/>
          <w:bCs/>
          <w:sz w:val="26"/>
          <w:szCs w:val="26"/>
        </w:rPr>
      </w:pPr>
    </w:p>
    <w:p w:rsidR="00E364F5" w:rsidRDefault="00E364F5" w:rsidP="00E364F5">
      <w:pPr>
        <w:autoSpaceDE w:val="0"/>
        <w:autoSpaceDN w:val="0"/>
        <w:adjustRightInd w:val="0"/>
        <w:spacing w:after="0" w:line="240" w:lineRule="auto"/>
        <w:rPr>
          <w:rFonts w:ascii="Times New Roman" w:hAnsi="Times New Roman"/>
          <w:b/>
          <w:bCs/>
          <w:sz w:val="26"/>
          <w:szCs w:val="26"/>
        </w:rPr>
      </w:pPr>
    </w:p>
    <w:p w:rsidR="00E364F5" w:rsidRDefault="00E364F5" w:rsidP="00E364F5">
      <w:pPr>
        <w:pBdr>
          <w:top w:val="single" w:sz="4" w:space="1" w:color="auto"/>
          <w:bottom w:val="single" w:sz="4" w:space="1" w:color="auto"/>
        </w:pBdr>
        <w:autoSpaceDE w:val="0"/>
        <w:autoSpaceDN w:val="0"/>
        <w:adjustRightInd w:val="0"/>
        <w:spacing w:after="0" w:line="240" w:lineRule="auto"/>
        <w:jc w:val="center"/>
        <w:rPr>
          <w:rFonts w:ascii="Times New Roman" w:hAnsi="Times New Roman"/>
          <w:b/>
          <w:bCs/>
          <w:sz w:val="26"/>
          <w:szCs w:val="26"/>
        </w:rPr>
      </w:pPr>
    </w:p>
    <w:p w:rsidR="00E364F5" w:rsidRPr="00E364F5" w:rsidRDefault="00E364F5" w:rsidP="00E364F5">
      <w:pPr>
        <w:pBdr>
          <w:top w:val="single" w:sz="4" w:space="1" w:color="auto"/>
          <w:bottom w:val="single" w:sz="4" w:space="1" w:color="auto"/>
        </w:pBdr>
        <w:autoSpaceDE w:val="0"/>
        <w:autoSpaceDN w:val="0"/>
        <w:adjustRightInd w:val="0"/>
        <w:spacing w:after="0" w:line="240" w:lineRule="auto"/>
        <w:jc w:val="center"/>
        <w:rPr>
          <w:rFonts w:ascii="Times New Roman" w:hAnsi="Times New Roman"/>
          <w:b/>
          <w:bCs/>
          <w:sz w:val="28"/>
          <w:szCs w:val="28"/>
        </w:rPr>
      </w:pPr>
      <w:r w:rsidRPr="00E364F5">
        <w:rPr>
          <w:rFonts w:ascii="Times New Roman" w:hAnsi="Times New Roman"/>
          <w:b/>
          <w:bCs/>
          <w:sz w:val="28"/>
          <w:szCs w:val="28"/>
        </w:rPr>
        <w:t>COMMENTS</w:t>
      </w:r>
    </w:p>
    <w:p w:rsidR="00E364F5" w:rsidRDefault="00E364F5" w:rsidP="00E364F5">
      <w:pPr>
        <w:pBdr>
          <w:top w:val="single" w:sz="4" w:space="1" w:color="auto"/>
          <w:bottom w:val="single" w:sz="4" w:space="1" w:color="auto"/>
        </w:pBd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SUBMITTED ON BEHALF OF THE STAFF OF</w:t>
      </w:r>
    </w:p>
    <w:p w:rsidR="00E364F5" w:rsidRDefault="00E364F5" w:rsidP="00E364F5">
      <w:pPr>
        <w:pBdr>
          <w:top w:val="single" w:sz="4" w:space="1" w:color="auto"/>
          <w:bottom w:val="single" w:sz="4" w:space="1" w:color="auto"/>
        </w:pBd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THE PUBLIC UTILITIES COMMISSION OF OHIO</w:t>
      </w:r>
    </w:p>
    <w:p w:rsidR="00E364F5" w:rsidRDefault="00E364F5" w:rsidP="00E364F5">
      <w:pPr>
        <w:pBdr>
          <w:top w:val="single" w:sz="4" w:space="1" w:color="auto"/>
          <w:bottom w:val="single" w:sz="4" w:space="1" w:color="auto"/>
        </w:pBdr>
        <w:autoSpaceDE w:val="0"/>
        <w:autoSpaceDN w:val="0"/>
        <w:adjustRightInd w:val="0"/>
        <w:spacing w:after="0" w:line="240" w:lineRule="auto"/>
        <w:rPr>
          <w:rFonts w:ascii="Times New Roman" w:hAnsi="Times New Roman"/>
          <w:sz w:val="26"/>
          <w:szCs w:val="26"/>
        </w:rPr>
      </w:pPr>
    </w:p>
    <w:p w:rsidR="007A78C6" w:rsidRDefault="007A78C6"/>
    <w:p w:rsidR="00781C8D" w:rsidRPr="00781C8D" w:rsidRDefault="00781C8D" w:rsidP="00E364F5">
      <w:pPr>
        <w:pStyle w:val="Heading1"/>
      </w:pPr>
      <w:bookmarkStart w:id="0" w:name="_Toc280868060"/>
      <w:r>
        <w:t>INTRODUCTION AND SUMMARY</w:t>
      </w:r>
      <w:bookmarkEnd w:id="0"/>
    </w:p>
    <w:p w:rsidR="005150DE" w:rsidRDefault="005150DE" w:rsidP="00E364F5">
      <w:pPr>
        <w:pStyle w:val="Textstyle"/>
      </w:pPr>
      <w:r w:rsidRPr="00781C8D">
        <w:tab/>
        <w:t>On December 8, 2010, the Federal Commun</w:t>
      </w:r>
      <w:r w:rsidR="001C6D07">
        <w:t>ications Commission (FCC) issued</w:t>
      </w:r>
      <w:r w:rsidRPr="00781C8D">
        <w:t xml:space="preserve"> a public notice s</w:t>
      </w:r>
      <w:r w:rsidR="00A06A43">
        <w:t>eeking comment on a petition for</w:t>
      </w:r>
      <w:r w:rsidRPr="00781C8D">
        <w:t xml:space="preserve"> declaratory ruling filed by TracFone Wireless, Inc. (TracFone) on December 1, 2010.  </w:t>
      </w:r>
      <w:r w:rsidR="004C7D48" w:rsidRPr="00781C8D">
        <w:t>TracFone’s petition asks the FCC for a declaratory ruling “regarding the Link Up support eligible telecommunications carriers (ETCs) may receive, the designation of wireless ETCs, and the req</w:t>
      </w:r>
      <w:r w:rsidR="00A06A43">
        <w:t>uirement that ETCs offer services</w:t>
      </w:r>
      <w:r w:rsidR="004C7D48" w:rsidRPr="00781C8D">
        <w:t xml:space="preserve"> using their own facilities.”</w:t>
      </w:r>
      <w:r w:rsidR="004C7D48" w:rsidRPr="00781C8D">
        <w:rPr>
          <w:rStyle w:val="FootnoteReference"/>
          <w:sz w:val="24"/>
        </w:rPr>
        <w:footnoteReference w:id="1"/>
      </w:r>
      <w:r w:rsidR="00B1096E">
        <w:t xml:space="preserve">  The issues raised in TracFone’</w:t>
      </w:r>
      <w:r w:rsidR="004C7D48" w:rsidRPr="00781C8D">
        <w:t>s petition are matters of concern to the Ohio Public Utilit</w:t>
      </w:r>
      <w:r w:rsidR="00A06A43">
        <w:t>ies Commission</w:t>
      </w:r>
      <w:r w:rsidR="004C7D48" w:rsidRPr="00781C8D">
        <w:t xml:space="preserve"> </w:t>
      </w:r>
      <w:r w:rsidR="008B23ED">
        <w:t xml:space="preserve">of Ohio </w:t>
      </w:r>
      <w:r w:rsidR="004C7D48" w:rsidRPr="00781C8D">
        <w:t xml:space="preserve">and its staff and are </w:t>
      </w:r>
      <w:r w:rsidR="004C7D48" w:rsidRPr="00781C8D">
        <w:lastRenderedPageBreak/>
        <w:t xml:space="preserve">germane to matters presently pending </w:t>
      </w:r>
      <w:r w:rsidR="00781C8D" w:rsidRPr="00781C8D">
        <w:t>before the Ohio Commission.</w:t>
      </w:r>
      <w:r w:rsidR="00781C8D" w:rsidRPr="00781C8D">
        <w:rPr>
          <w:rStyle w:val="FootnoteReference"/>
          <w:sz w:val="24"/>
        </w:rPr>
        <w:footnoteReference w:id="2"/>
      </w:r>
      <w:r w:rsidR="00781C8D" w:rsidRPr="00781C8D">
        <w:t xml:space="preserve">  Accordingly, the staff of the Ohio Commission (Ohio Staff) </w:t>
      </w:r>
      <w:r w:rsidR="00C602F5">
        <w:t>is</w:t>
      </w:r>
      <w:r w:rsidR="00781C8D" w:rsidRPr="00781C8D">
        <w:t xml:space="preserve"> pleased to present its comments to the FCC for consideration.</w:t>
      </w:r>
    </w:p>
    <w:p w:rsidR="00781C8D" w:rsidRDefault="00781C8D" w:rsidP="00E364F5">
      <w:pPr>
        <w:pStyle w:val="Heading1"/>
      </w:pPr>
      <w:bookmarkStart w:id="2" w:name="_Toc280868061"/>
      <w:r w:rsidRPr="00781C8D">
        <w:t>DISCUSSION</w:t>
      </w:r>
      <w:bookmarkEnd w:id="2"/>
    </w:p>
    <w:p w:rsidR="00C30E01" w:rsidRPr="00781C8D" w:rsidRDefault="00C30E01" w:rsidP="00E364F5">
      <w:pPr>
        <w:pStyle w:val="Textstyle"/>
      </w:pPr>
      <w:r>
        <w:tab/>
        <w:t>It is no secret that since wireless carriers began offering Lifeline service, the size of the universal service fund has incre</w:t>
      </w:r>
      <w:r w:rsidR="00BA4F7E">
        <w:t xml:space="preserve">ased dramatically.  </w:t>
      </w:r>
      <w:r w:rsidR="001C6D07">
        <w:t xml:space="preserve">As such, </w:t>
      </w:r>
      <w:r w:rsidR="007D2952">
        <w:t>when</w:t>
      </w:r>
      <w:r w:rsidR="00011C9F">
        <w:t xml:space="preserve"> considering issues involving the universal service fund, including those issues raised in the TracFone petition, </w:t>
      </w:r>
      <w:r w:rsidR="007D2952">
        <w:t>key underlying policies</w:t>
      </w:r>
      <w:r w:rsidR="003324F1">
        <w:t>, specifically</w:t>
      </w:r>
      <w:r w:rsidR="007D2952">
        <w:t xml:space="preserve"> </w:t>
      </w:r>
      <w:r w:rsidR="00011C9F">
        <w:t xml:space="preserve">controlling the size of the fund and ensuring against </w:t>
      </w:r>
      <w:r w:rsidR="003439E6">
        <w:t xml:space="preserve">waste, </w:t>
      </w:r>
      <w:r w:rsidR="00011C9F">
        <w:t xml:space="preserve">fraud, </w:t>
      </w:r>
      <w:r w:rsidR="003439E6">
        <w:t xml:space="preserve">and </w:t>
      </w:r>
      <w:r w:rsidR="00011C9F">
        <w:t>abuse</w:t>
      </w:r>
      <w:r w:rsidR="001C6D07">
        <w:t xml:space="preserve"> of the </w:t>
      </w:r>
      <w:r w:rsidR="003439E6">
        <w:t>fund</w:t>
      </w:r>
      <w:r w:rsidR="007D2952">
        <w:t xml:space="preserve"> must be taken into account</w:t>
      </w:r>
      <w:r w:rsidR="003439E6">
        <w:t>.  Accordingly, Ohio Staff generally agrees with TracFone’s assertion that forbearance is necessary for non-facili</w:t>
      </w:r>
      <w:r w:rsidR="00452BD2">
        <w:softHyphen/>
      </w:r>
      <w:r w:rsidR="003439E6">
        <w:t xml:space="preserve">ties-based Lifeline service </w:t>
      </w:r>
      <w:r w:rsidR="008B23ED">
        <w:t xml:space="preserve">and </w:t>
      </w:r>
      <w:r w:rsidR="003439E6">
        <w:t>will briefly address each of the issues raised in TracFone’s petition</w:t>
      </w:r>
      <w:r w:rsidR="00E74285">
        <w:t>.</w:t>
      </w:r>
    </w:p>
    <w:p w:rsidR="00781C8D" w:rsidRDefault="00E364F5" w:rsidP="00452BD2">
      <w:pPr>
        <w:pStyle w:val="Heading2"/>
      </w:pPr>
      <w:bookmarkStart w:id="3" w:name="_Toc280868062"/>
      <w:r>
        <w:t>I.</w:t>
      </w:r>
      <w:r>
        <w:tab/>
      </w:r>
      <w:r w:rsidR="00781C8D" w:rsidRPr="009E661C">
        <w:t xml:space="preserve">Link Up </w:t>
      </w:r>
      <w:r w:rsidR="00EB3004">
        <w:t>s</w:t>
      </w:r>
      <w:r w:rsidR="00781C8D" w:rsidRPr="009E661C">
        <w:t xml:space="preserve">upport </w:t>
      </w:r>
      <w:r w:rsidR="00EB3004" w:rsidRPr="009E661C">
        <w:t>should only be provided for “connections”</w:t>
      </w:r>
      <w:r w:rsidR="00EB3004">
        <w:t xml:space="preserve"> tied to car</w:t>
      </w:r>
      <w:r w:rsidR="00452BD2">
        <w:softHyphen/>
      </w:r>
      <w:r w:rsidR="00EB3004">
        <w:t>rier facilities</w:t>
      </w:r>
      <w:r w:rsidR="00AF4098">
        <w:t>.</w:t>
      </w:r>
      <w:bookmarkEnd w:id="3"/>
    </w:p>
    <w:p w:rsidR="00FF7AD7" w:rsidRDefault="00E364F5" w:rsidP="00E364F5">
      <w:pPr>
        <w:pStyle w:val="Textstyle"/>
      </w:pPr>
      <w:r>
        <w:tab/>
      </w:r>
      <w:r w:rsidR="000C6CDD">
        <w:t>As the TracFone petition points out, the purpose of the Link Up program is to pro</w:t>
      </w:r>
      <w:r w:rsidR="00452BD2">
        <w:softHyphen/>
      </w:r>
      <w:r w:rsidR="000C6CDD">
        <w:t xml:space="preserve">vide eligible low-income subscribers with discounts on initial customary charges for </w:t>
      </w:r>
      <w:r w:rsidR="000C6CDD">
        <w:lastRenderedPageBreak/>
        <w:t>commencement of telecommunications service.</w:t>
      </w:r>
      <w:r w:rsidR="000C6CDD">
        <w:rPr>
          <w:rStyle w:val="FootnoteReference"/>
          <w:sz w:val="24"/>
        </w:rPr>
        <w:footnoteReference w:id="3"/>
      </w:r>
      <w:r w:rsidR="000C6CDD">
        <w:t xml:space="preserve">  TracFone argues that pursuant to the FCC’s rules, an ETC should only receive reimbursement for reducing its customary charges for commencing service or for deferring the payment of such charges.</w:t>
      </w:r>
      <w:r w:rsidR="007D2952">
        <w:rPr>
          <w:rStyle w:val="FootnoteReference"/>
          <w:sz w:val="24"/>
        </w:rPr>
        <w:footnoteReference w:id="4"/>
      </w:r>
      <w:r w:rsidR="001F641D">
        <w:t xml:space="preserve"> </w:t>
      </w:r>
      <w:r w:rsidR="00FF7AD7" w:rsidRPr="00FF7AD7">
        <w:t>Ohio Staff generally agrees with TracFone’s assertion that ETCs should only receive reim</w:t>
      </w:r>
      <w:r w:rsidR="00452BD2">
        <w:softHyphen/>
      </w:r>
      <w:r w:rsidR="00FF7AD7" w:rsidRPr="00FF7AD7">
        <w:t>bursement from the Link</w:t>
      </w:r>
      <w:r w:rsidR="008B23ED">
        <w:t xml:space="preserve"> </w:t>
      </w:r>
      <w:r w:rsidR="00FF7AD7" w:rsidRPr="00FF7AD7">
        <w:t xml:space="preserve">Up program for </w:t>
      </w:r>
      <w:r w:rsidR="00FF7AD7">
        <w:t>commencing service or for deferring such a charge without interest.</w:t>
      </w:r>
      <w:r w:rsidR="00B1096E">
        <w:t xml:space="preserve">  </w:t>
      </w:r>
      <w:r w:rsidR="00FF7AD7">
        <w:t>Ohio Staff believes</w:t>
      </w:r>
      <w:r w:rsidR="000C6CDD">
        <w:t>, however,</w:t>
      </w:r>
      <w:r w:rsidR="00FF7AD7">
        <w:t xml:space="preserve"> that </w:t>
      </w:r>
      <w:r w:rsidR="000C6CDD">
        <w:t>“</w:t>
      </w:r>
      <w:r w:rsidR="00FF7AD7">
        <w:t>commenc</w:t>
      </w:r>
      <w:r w:rsidR="007D2952">
        <w:t>ing</w:t>
      </w:r>
      <w:r w:rsidR="00FF7AD7">
        <w:t xml:space="preserve"> service</w:t>
      </w:r>
      <w:r w:rsidR="000C6CDD">
        <w:t>” means</w:t>
      </w:r>
      <w:r w:rsidR="00FF7AD7">
        <w:t xml:space="preserve"> </w:t>
      </w:r>
      <w:r w:rsidR="00E12199">
        <w:t xml:space="preserve">an </w:t>
      </w:r>
      <w:r w:rsidR="00FF7AD7">
        <w:t xml:space="preserve">actual </w:t>
      </w:r>
      <w:r w:rsidR="000C6CDD">
        <w:t xml:space="preserve">physical </w:t>
      </w:r>
      <w:r w:rsidR="00FF7AD7">
        <w:t>connection of facilities</w:t>
      </w:r>
      <w:r w:rsidR="000C6CDD">
        <w:t xml:space="preserve"> and does not </w:t>
      </w:r>
      <w:r w:rsidR="00EB3004">
        <w:t>include “activation</w:t>
      </w:r>
      <w:r w:rsidR="000C6CDD">
        <w:t>” as alluded to in the TracFone petition.</w:t>
      </w:r>
      <w:r w:rsidR="000C6CDD">
        <w:rPr>
          <w:rStyle w:val="FootnoteReference"/>
          <w:sz w:val="24"/>
        </w:rPr>
        <w:footnoteReference w:id="5"/>
      </w:r>
    </w:p>
    <w:p w:rsidR="000C6CDD" w:rsidRDefault="00E364F5" w:rsidP="00E364F5">
      <w:pPr>
        <w:pStyle w:val="Textstyle"/>
      </w:pPr>
      <w:r>
        <w:tab/>
      </w:r>
      <w:r w:rsidR="008C29B4">
        <w:t>47 C.F.R. 54.411 (a) provides:</w:t>
      </w:r>
    </w:p>
    <w:p w:rsidR="008C29B4" w:rsidRDefault="00E364F5" w:rsidP="00E364F5">
      <w:pPr>
        <w:pStyle w:val="Blockquote"/>
      </w:pPr>
      <w:r>
        <w:t>(a)</w:t>
      </w:r>
      <w:r>
        <w:tab/>
      </w:r>
      <w:r w:rsidR="008C29B4">
        <w:t>For purposes of this subpart, the term Link Up shall describe the following assistance program for qualifying low-income consumers, which an eligible telecommunications carrier shall offer as part of its obli</w:t>
      </w:r>
      <w:r w:rsidR="008B23ED">
        <w:t>gation set forth in §§54.101(a)</w:t>
      </w:r>
      <w:r w:rsidR="008C29B4">
        <w:t>(9) and 54.101(b):</w:t>
      </w:r>
    </w:p>
    <w:p w:rsidR="008C29B4" w:rsidRDefault="00E364F5" w:rsidP="00E364F5">
      <w:pPr>
        <w:pStyle w:val="Blockquote"/>
      </w:pPr>
      <w:r>
        <w:t>(1)</w:t>
      </w:r>
      <w:r>
        <w:tab/>
      </w:r>
      <w:r w:rsidR="008C29B4">
        <w:t>A reduction in the carrier’s customary charge for com</w:t>
      </w:r>
      <w:r w:rsidR="00452BD2">
        <w:softHyphen/>
      </w:r>
      <w:r w:rsidR="008C29B4">
        <w:t>mencing telecommunications service</w:t>
      </w:r>
      <w:r w:rsidR="008C29B4" w:rsidRPr="007B7FE9">
        <w:t xml:space="preserve"> for a single telecom</w:t>
      </w:r>
      <w:r w:rsidR="00654150">
        <w:softHyphen/>
      </w:r>
      <w:r w:rsidR="008C29B4" w:rsidRPr="007B7FE9">
        <w:t>munications connection</w:t>
      </w:r>
      <w:r w:rsidR="008C29B4" w:rsidRPr="00E364F5">
        <w:rPr>
          <w:b/>
          <w:i/>
        </w:rPr>
        <w:t xml:space="preserve"> at a consumer’s principal place of residence</w:t>
      </w:r>
      <w:r w:rsidR="008C29B4">
        <w:t>.  The reduction shall be half of the c</w:t>
      </w:r>
      <w:r w:rsidR="001F641D">
        <w:t>ustomer charge or $30.00, which</w:t>
      </w:r>
      <w:r w:rsidR="008C29B4">
        <w:t>ever is less; and</w:t>
      </w:r>
    </w:p>
    <w:p w:rsidR="008C29B4" w:rsidRDefault="00E364F5" w:rsidP="00E364F5">
      <w:pPr>
        <w:pStyle w:val="Blockquote"/>
      </w:pPr>
      <w:r>
        <w:t>(2)</w:t>
      </w:r>
      <w:r>
        <w:tab/>
      </w:r>
      <w:r w:rsidR="008C29B4">
        <w:t xml:space="preserve">A deferred schedule for payment of the charges assessed for commencing service, for which the consumer does not pay interest.  The interest charges not assessed to the consumer shall be for connection charges up to $200.00 that are deferred for a period not to exceed one year.  </w:t>
      </w:r>
      <w:r w:rsidR="008C29B4" w:rsidRPr="00E364F5">
        <w:rPr>
          <w:b/>
          <w:i/>
        </w:rPr>
        <w:t xml:space="preserve">Charges </w:t>
      </w:r>
      <w:r w:rsidR="008C29B4" w:rsidRPr="00E364F5">
        <w:rPr>
          <w:b/>
          <w:i/>
        </w:rPr>
        <w:lastRenderedPageBreak/>
        <w:t>assessed for commencing service include any charges that the carrier customarily assesses to connect subscribers to the network.</w:t>
      </w:r>
      <w:r w:rsidR="008C29B4">
        <w:t xml:space="preserve">  These charges do not include any permissible security deposit</w:t>
      </w:r>
      <w:r w:rsidR="0047656A">
        <w:t xml:space="preserve"> </w:t>
      </w:r>
      <w:r w:rsidR="00E12199">
        <w:t>requirements</w:t>
      </w:r>
      <w:r w:rsidR="0047656A">
        <w:t>.</w:t>
      </w:r>
      <w:r w:rsidR="003324F1">
        <w:t xml:space="preserve">  (Emphasis added).</w:t>
      </w:r>
    </w:p>
    <w:p w:rsidR="008C29B4" w:rsidRDefault="008C29B4" w:rsidP="004A2D07">
      <w:pPr>
        <w:pStyle w:val="Textstyle"/>
      </w:pPr>
      <w:r>
        <w:t>Taken toge</w:t>
      </w:r>
      <w:r w:rsidR="00BC7371">
        <w:t>ther,</w:t>
      </w:r>
      <w:r>
        <w:t xml:space="preserve"> these subsections of §54.411(a) clearly </w:t>
      </w:r>
      <w:r w:rsidR="003A7B66">
        <w:t>indicate that the commencement of service invo</w:t>
      </w:r>
      <w:r w:rsidR="00091518">
        <w:t xml:space="preserve">lves an actual physical </w:t>
      </w:r>
      <w:r w:rsidR="003A7B66">
        <w:t>connection to</w:t>
      </w:r>
      <w:r w:rsidR="004D5033">
        <w:t xml:space="preserve"> the telecommunications network.  </w:t>
      </w:r>
      <w:r w:rsidR="00AB2A05">
        <w:t xml:space="preserve">The rule’s reference to “a consumer’s principal place of residence” </w:t>
      </w:r>
      <w:r w:rsidR="00091518">
        <w:t>foresees</w:t>
      </w:r>
      <w:r w:rsidR="00AB2A05">
        <w:t xml:space="preserve"> a physical joining of the carrier’s facilities with those of the </w:t>
      </w:r>
      <w:r w:rsidR="007F28E1">
        <w:t>subscriber</w:t>
      </w:r>
      <w:r w:rsidR="003324F1">
        <w:t xml:space="preserve">. </w:t>
      </w:r>
      <w:r w:rsidR="004D5033">
        <w:t xml:space="preserve"> While TracFone refers to a connection, it also refers to an “activation,” which does not in itself necessarily imply a connection to the w</w:t>
      </w:r>
      <w:r w:rsidR="003324F1">
        <w:t xml:space="preserve">ireless carrier’s facilities.  </w:t>
      </w:r>
      <w:r w:rsidR="002E4B72">
        <w:t>Ohio Staff does not believe that TracFone intended for the terms “connection” and “activation” to be used interchangeably and</w:t>
      </w:r>
      <w:r w:rsidR="003324F1">
        <w:t>,</w:t>
      </w:r>
      <w:r w:rsidR="002E4B72">
        <w:t xml:space="preserve"> by using both terms, </w:t>
      </w:r>
      <w:r w:rsidR="003324F1">
        <w:t xml:space="preserve">TracFone is, </w:t>
      </w:r>
      <w:r w:rsidR="002E4B72">
        <w:t>in fact, makin</w:t>
      </w:r>
      <w:r w:rsidR="003324F1">
        <w:t xml:space="preserve">g a distinction between them.  </w:t>
      </w:r>
      <w:r w:rsidR="002E4B72">
        <w:t>If, however,</w:t>
      </w:r>
      <w:r w:rsidR="00AB2A05">
        <w:t xml:space="preserve"> </w:t>
      </w:r>
      <w:r w:rsidR="00D66DF0">
        <w:t xml:space="preserve">the rule </w:t>
      </w:r>
      <w:r w:rsidR="006B63C3">
        <w:t>was</w:t>
      </w:r>
      <w:r w:rsidR="00E12199">
        <w:t xml:space="preserve"> intended to </w:t>
      </w:r>
      <w:r w:rsidR="00D66DF0">
        <w:t>contemplate</w:t>
      </w:r>
      <w:r w:rsidR="004D5033">
        <w:t xml:space="preserve"> something other than a physical connection to the carrier’s facilities, </w:t>
      </w:r>
      <w:r w:rsidR="007F28E1">
        <w:t xml:space="preserve">then </w:t>
      </w:r>
      <w:r w:rsidR="00AB2A05">
        <w:t>i</w:t>
      </w:r>
      <w:r w:rsidR="00354957">
        <w:t>t would not</w:t>
      </w:r>
      <w:r w:rsidR="00D66DF0">
        <w:t xml:space="preserve"> </w:t>
      </w:r>
      <w:r w:rsidR="007F28E1">
        <w:t>include the phrase</w:t>
      </w:r>
      <w:r w:rsidR="00BC7371">
        <w:t xml:space="preserve"> “at a consumer</w:t>
      </w:r>
      <w:r w:rsidR="007F28E1">
        <w:t>’s principal place of resi</w:t>
      </w:r>
      <w:r w:rsidR="00452BD2">
        <w:softHyphen/>
      </w:r>
      <w:r w:rsidR="007F28E1">
        <w:t>dence</w:t>
      </w:r>
      <w:r w:rsidR="00BC7371">
        <w:t xml:space="preserve">” </w:t>
      </w:r>
      <w:r w:rsidR="00461128">
        <w:t xml:space="preserve">to further </w:t>
      </w:r>
      <w:r w:rsidR="002131A9">
        <w:t xml:space="preserve">clarify </w:t>
      </w:r>
      <w:r w:rsidR="00091518">
        <w:t>the rule’s apparent intent to require a joining of carrier and sub</w:t>
      </w:r>
      <w:r w:rsidR="00452BD2">
        <w:softHyphen/>
      </w:r>
      <w:r w:rsidR="00091518">
        <w:t>scriber facilities</w:t>
      </w:r>
      <w:r w:rsidR="00461128">
        <w:t xml:space="preserve">. </w:t>
      </w:r>
      <w:r w:rsidR="00BC7371">
        <w:t xml:space="preserve"> Consequently, reimbursement under the Link Up program m</w:t>
      </w:r>
      <w:r w:rsidR="00091518">
        <w:t xml:space="preserve">ust be predicated on a </w:t>
      </w:r>
      <w:r w:rsidR="00BC7371">
        <w:t xml:space="preserve">connection </w:t>
      </w:r>
      <w:r w:rsidR="004D5033">
        <w:t xml:space="preserve">by the subscriber </w:t>
      </w:r>
      <w:r w:rsidR="00BC7371">
        <w:t xml:space="preserve">to the </w:t>
      </w:r>
      <w:r w:rsidR="0047656A">
        <w:t>ETC’s facilities</w:t>
      </w:r>
      <w:r w:rsidR="00BC7371">
        <w:t>.</w:t>
      </w:r>
    </w:p>
    <w:p w:rsidR="00354957" w:rsidRDefault="00354957" w:rsidP="004A2D07">
      <w:pPr>
        <w:pStyle w:val="Textstyle"/>
      </w:pPr>
      <w:r>
        <w:tab/>
        <w:t xml:space="preserve">Ohio Staff agrees with TracFone that connection charges must be </w:t>
      </w:r>
      <w:r w:rsidR="00EB2110">
        <w:t>“</w:t>
      </w:r>
      <w:r>
        <w:t>customary</w:t>
      </w:r>
      <w:r w:rsidR="00EB2110">
        <w:t>”</w:t>
      </w:r>
      <w:r>
        <w:t xml:space="preserve"> to qualify for Link Up reimbursement</w:t>
      </w:r>
      <w:r w:rsidR="00B66FD9">
        <w:t xml:space="preserve">.  </w:t>
      </w:r>
      <w:r w:rsidR="009456D9">
        <w:t>According to Tr</w:t>
      </w:r>
      <w:r w:rsidR="00EB2110">
        <w:t>acFone, “customary” charges are u</w:t>
      </w:r>
      <w:r w:rsidR="009456D9">
        <w:t>sual or regular charges routinely imposed by carriers upon their subscribers for the commencement of service.</w:t>
      </w:r>
      <w:r w:rsidR="009456D9">
        <w:rPr>
          <w:rStyle w:val="FootnoteReference"/>
          <w:sz w:val="24"/>
        </w:rPr>
        <w:footnoteReference w:id="6"/>
      </w:r>
      <w:r w:rsidR="00EB2110">
        <w:t xml:space="preserve">  Furthermore, such charges must be actual charges that must </w:t>
      </w:r>
      <w:r w:rsidR="00EB2110">
        <w:lastRenderedPageBreak/>
        <w:t>be paid by subscribers to commence service.</w:t>
      </w:r>
      <w:r w:rsidR="00EB2110">
        <w:rPr>
          <w:rStyle w:val="FootnoteReference"/>
          <w:sz w:val="24"/>
        </w:rPr>
        <w:footnoteReference w:id="7"/>
      </w:r>
      <w:r w:rsidR="00EB2110">
        <w:t xml:space="preserve">  TracFone alleges that at least one ETC is essentially fabricating “customary” charges for the purpose of receiving reimbursement from the Link Up program.</w:t>
      </w:r>
      <w:r w:rsidR="00A90F56">
        <w:rPr>
          <w:rStyle w:val="FootnoteReference"/>
          <w:sz w:val="24"/>
        </w:rPr>
        <w:footnoteReference w:id="8"/>
      </w:r>
      <w:r w:rsidR="00EB2110">
        <w:t xml:space="preserve">  To the extent that this allegation is true, Ohio Staff agrees that s</w:t>
      </w:r>
      <w:r w:rsidR="00A90F56">
        <w:t xml:space="preserve">uch </w:t>
      </w:r>
      <w:r w:rsidR="003439E6">
        <w:t>“</w:t>
      </w:r>
      <w:r w:rsidR="00A90F56">
        <w:t>conduct constitutes waste, fraud and abuse of USF funds, is in facial violation of applicable Commission rules</w:t>
      </w:r>
      <w:r w:rsidR="003324F1">
        <w:t>, and</w:t>
      </w:r>
      <w:r w:rsidR="00A90F56">
        <w:t xml:space="preserve"> must not be countenanced by the Commission.”</w:t>
      </w:r>
      <w:r w:rsidR="00A90F56">
        <w:rPr>
          <w:rStyle w:val="FootnoteReference"/>
          <w:sz w:val="24"/>
        </w:rPr>
        <w:footnoteReference w:id="9"/>
      </w:r>
      <w:r w:rsidR="00A90F56">
        <w:t xml:space="preserve">  If </w:t>
      </w:r>
      <w:r w:rsidR="00E12199">
        <w:t>it</w:t>
      </w:r>
      <w:r w:rsidR="00A90F56">
        <w:t xml:space="preserve"> </w:t>
      </w:r>
      <w:r w:rsidR="00531C66">
        <w:t xml:space="preserve">can be </w:t>
      </w:r>
      <w:r w:rsidR="007B7FE9">
        <w:t>proven that</w:t>
      </w:r>
      <w:r w:rsidR="00A90F56">
        <w:t xml:space="preserve"> any ETC</w:t>
      </w:r>
      <w:r w:rsidR="00E12199">
        <w:t xml:space="preserve"> engages in such conduct</w:t>
      </w:r>
      <w:r w:rsidR="00A90F56">
        <w:t>, Ohio Staff urges the FCC to take swift and decisive action to protect the integrity of the universal service fund.  Addition</w:t>
      </w:r>
      <w:r w:rsidR="00452BD2">
        <w:softHyphen/>
      </w:r>
      <w:r w:rsidR="00A90F56">
        <w:t>ally, for the r</w:t>
      </w:r>
      <w:r w:rsidR="007A08D6">
        <w:t>easons stated above, reimbursement for “customary” charges should be made where an actual connection to facilities is involved regardless of how “customary” such charges may otherwise be.</w:t>
      </w:r>
      <w:r w:rsidR="009C2F1A">
        <w:t xml:space="preserve">  A</w:t>
      </w:r>
      <w:r w:rsidR="00D66DF0">
        <w:t>n</w:t>
      </w:r>
      <w:r w:rsidR="009C2F1A">
        <w:t xml:space="preserve"> </w:t>
      </w:r>
      <w:r w:rsidR="00D66DF0">
        <w:t>ETC</w:t>
      </w:r>
      <w:r w:rsidR="009C2F1A">
        <w:t xml:space="preserve"> should seek a </w:t>
      </w:r>
      <w:r w:rsidR="00B1096E">
        <w:t xml:space="preserve">forbearance </w:t>
      </w:r>
      <w:r w:rsidR="009C2F1A">
        <w:t xml:space="preserve">prior to assessing any “customary” charge not related to an actual connection if </w:t>
      </w:r>
      <w:r w:rsidR="00D66DF0">
        <w:t>it</w:t>
      </w:r>
      <w:r w:rsidR="009C2F1A">
        <w:t xml:space="preserve"> wishes to receive reim</w:t>
      </w:r>
      <w:r w:rsidR="00452BD2">
        <w:softHyphen/>
      </w:r>
      <w:r w:rsidR="009C2F1A">
        <w:t>bursement from the universal service fund.</w:t>
      </w:r>
    </w:p>
    <w:p w:rsidR="00354957" w:rsidRDefault="00354957" w:rsidP="004A2D07">
      <w:pPr>
        <w:pStyle w:val="Textstyle"/>
      </w:pPr>
      <w:r>
        <w:tab/>
      </w:r>
      <w:r w:rsidR="003D30F1">
        <w:t xml:space="preserve">Ohio Staff </w:t>
      </w:r>
      <w:r w:rsidR="00FC29B4">
        <w:t xml:space="preserve">believes that the FCC’s rules are clear that </w:t>
      </w:r>
      <w:r w:rsidR="004D5033">
        <w:t xml:space="preserve">Link Up reimbursement is tied to a connection to </w:t>
      </w:r>
      <w:r w:rsidR="00B553D5">
        <w:t xml:space="preserve">a carrier’s facilities. </w:t>
      </w:r>
      <w:r w:rsidR="00091518">
        <w:t xml:space="preserve"> </w:t>
      </w:r>
      <w:r w:rsidR="004D5033">
        <w:t xml:space="preserve">What is unclear, however, is what constitutes </w:t>
      </w:r>
      <w:r w:rsidR="003324F1">
        <w:t>“</w:t>
      </w:r>
      <w:r w:rsidR="004D5033">
        <w:t>wireless facilities</w:t>
      </w:r>
      <w:r w:rsidR="003324F1">
        <w:t>”</w:t>
      </w:r>
      <w:r w:rsidR="004D5033">
        <w:t xml:space="preserve"> for purposes of Link Up </w:t>
      </w:r>
      <w:r w:rsidR="002E4B72">
        <w:t xml:space="preserve">reimbursement.  </w:t>
      </w:r>
      <w:r w:rsidR="00091518">
        <w:t>As more wireless carriers enter</w:t>
      </w:r>
      <w:r w:rsidR="00B553D5">
        <w:t xml:space="preserve"> the Lifeline market, </w:t>
      </w:r>
      <w:r w:rsidR="00091518">
        <w:t xml:space="preserve">they will wish to provide </w:t>
      </w:r>
      <w:r w:rsidR="00B1096E">
        <w:t xml:space="preserve">connection </w:t>
      </w:r>
      <w:r w:rsidR="00091518">
        <w:t>discounts to subscribers and, in turn, receive reimbursement from the universal service fund.</w:t>
      </w:r>
      <w:r w:rsidR="00C16E0A">
        <w:t xml:space="preserve">  </w:t>
      </w:r>
      <w:r w:rsidR="00091518">
        <w:t xml:space="preserve">Consequently, </w:t>
      </w:r>
      <w:r w:rsidR="00B553D5">
        <w:t>Ohio Staff requests guidance from the FCC</w:t>
      </w:r>
      <w:r w:rsidR="00091518">
        <w:t xml:space="preserve"> </w:t>
      </w:r>
      <w:r w:rsidR="00D15268">
        <w:t xml:space="preserve">regarding </w:t>
      </w:r>
      <w:r w:rsidR="002E4B72">
        <w:t xml:space="preserve">what constitutes </w:t>
      </w:r>
      <w:r w:rsidR="003324F1">
        <w:t>“</w:t>
      </w:r>
      <w:r w:rsidR="002E4B72">
        <w:t>wireless facilities</w:t>
      </w:r>
      <w:r w:rsidR="003324F1">
        <w:t>”</w:t>
      </w:r>
      <w:r w:rsidR="002E4B72">
        <w:t xml:space="preserve"> for purposes of </w:t>
      </w:r>
      <w:r w:rsidR="00D15268">
        <w:t xml:space="preserve">the </w:t>
      </w:r>
      <w:r w:rsidR="002E4B72">
        <w:t xml:space="preserve">Link Up </w:t>
      </w:r>
      <w:r w:rsidR="00D15268">
        <w:t>program</w:t>
      </w:r>
      <w:r w:rsidR="002E4B72">
        <w:t>.</w:t>
      </w:r>
      <w:r w:rsidR="00C16E0A">
        <w:t xml:space="preserve">  </w:t>
      </w:r>
    </w:p>
    <w:p w:rsidR="009D59EB" w:rsidRPr="001E238A" w:rsidRDefault="004A2D07" w:rsidP="00452BD2">
      <w:pPr>
        <w:pStyle w:val="Heading2"/>
      </w:pPr>
      <w:bookmarkStart w:id="4" w:name="_Toc280868063"/>
      <w:r>
        <w:lastRenderedPageBreak/>
        <w:t>II.</w:t>
      </w:r>
      <w:r>
        <w:tab/>
      </w:r>
      <w:r w:rsidR="00322423" w:rsidRPr="001E238A">
        <w:t xml:space="preserve">Wireline ETCs </w:t>
      </w:r>
      <w:r w:rsidRPr="001E238A">
        <w:t>must receive approval from the appropriate authority prior to offering wireless lifeline service or modifying a wireless lifeline service offering</w:t>
      </w:r>
      <w:r w:rsidR="00322423" w:rsidRPr="001E238A">
        <w:t>.</w:t>
      </w:r>
      <w:bookmarkEnd w:id="4"/>
    </w:p>
    <w:p w:rsidR="00322423" w:rsidRDefault="004A2D07" w:rsidP="004A2D07">
      <w:pPr>
        <w:pStyle w:val="Textstyle"/>
      </w:pPr>
      <w:r>
        <w:tab/>
      </w:r>
      <w:r w:rsidR="00322423">
        <w:t xml:space="preserve">TracFone </w:t>
      </w:r>
      <w:r w:rsidR="00B2058F">
        <w:t>posits</w:t>
      </w:r>
      <w:r w:rsidR="00322423">
        <w:t xml:space="preserve"> </w:t>
      </w:r>
      <w:r w:rsidR="00B2058F">
        <w:t>that wireline ETCs may not provide wireless Lifeline service as an ETC without first being designated as an ETC by the appropriate authority.</w:t>
      </w:r>
      <w:r w:rsidR="00B2058F">
        <w:rPr>
          <w:rStyle w:val="FootnoteReference"/>
          <w:sz w:val="24"/>
        </w:rPr>
        <w:footnoteReference w:id="10"/>
      </w:r>
      <w:r w:rsidR="00B2058F">
        <w:t xml:space="preserve"> </w:t>
      </w:r>
      <w:r w:rsidR="00D66DF0">
        <w:t>Carrie</w:t>
      </w:r>
      <w:r w:rsidR="00531C66">
        <w:t>r</w:t>
      </w:r>
      <w:r w:rsidR="00D66DF0">
        <w:t>s</w:t>
      </w:r>
      <w:r w:rsidR="00E843C0">
        <w:t xml:space="preserve"> designated as ETC</w:t>
      </w:r>
      <w:r w:rsidR="00D66DF0">
        <w:t>s</w:t>
      </w:r>
      <w:r w:rsidR="00E843C0">
        <w:t xml:space="preserve"> for the purpose of offering </w:t>
      </w:r>
      <w:r w:rsidR="00D66DF0">
        <w:t xml:space="preserve">wireline </w:t>
      </w:r>
      <w:r w:rsidR="00E843C0">
        <w:t xml:space="preserve">Lifeline service may not rely on </w:t>
      </w:r>
      <w:r w:rsidR="00D66DF0">
        <w:t>their</w:t>
      </w:r>
      <w:r w:rsidR="00E843C0">
        <w:t xml:space="preserve"> wireline designation for purposes of offering wireless Lifeline service.</w:t>
      </w:r>
      <w:r w:rsidR="00E843C0">
        <w:rPr>
          <w:rStyle w:val="FootnoteReference"/>
          <w:sz w:val="24"/>
        </w:rPr>
        <w:footnoteReference w:id="11"/>
      </w:r>
      <w:r w:rsidR="00E843C0">
        <w:t xml:space="preserve">  In other words, carriers wishing to provide both wireline and wireless Lifeline service must first be designated as </w:t>
      </w:r>
      <w:r w:rsidR="007D2396">
        <w:t xml:space="preserve">an </w:t>
      </w:r>
      <w:r w:rsidR="00E843C0">
        <w:t xml:space="preserve">ETC by the appropriate authority for each service type prior to offering both services.  </w:t>
      </w:r>
      <w:r w:rsidR="00B1096E">
        <w:t xml:space="preserve">Ohio Staff believes that the Communications Act contemplates two separate designations and agrees with TracFone’s position.  </w:t>
      </w:r>
      <w:r w:rsidR="005D6B88">
        <w:t>H</w:t>
      </w:r>
      <w:r w:rsidR="00ED2106">
        <w:t xml:space="preserve">owever, </w:t>
      </w:r>
      <w:r w:rsidR="005D6B88">
        <w:t xml:space="preserve">it is </w:t>
      </w:r>
      <w:r w:rsidR="00ED2106">
        <w:t>Ohio Staff</w:t>
      </w:r>
      <w:r w:rsidR="005D6B88">
        <w:t>’s position that no</w:t>
      </w:r>
      <w:r w:rsidR="00A24398">
        <w:t xml:space="preserve">t only must a carrier receive ETC designation prior to offering </w:t>
      </w:r>
      <w:r w:rsidR="00B1096E">
        <w:t>wireless</w:t>
      </w:r>
      <w:r w:rsidR="00A24398">
        <w:t xml:space="preserve"> Lifeline service, </w:t>
      </w:r>
      <w:r w:rsidR="005D6B88">
        <w:t xml:space="preserve">but </w:t>
      </w:r>
      <w:r w:rsidR="00A24398">
        <w:t>it should also receive approval from the appropriate author</w:t>
      </w:r>
      <w:r w:rsidR="00452BD2">
        <w:softHyphen/>
      </w:r>
      <w:r w:rsidR="00A24398">
        <w:t xml:space="preserve">ity prior to modifying its </w:t>
      </w:r>
      <w:r w:rsidR="000A656D">
        <w:t xml:space="preserve">wireless </w:t>
      </w:r>
      <w:r w:rsidR="00A24398">
        <w:t>Lifeline service offering in any way.</w:t>
      </w:r>
    </w:p>
    <w:p w:rsidR="00BA4F7E" w:rsidRDefault="004A2D07" w:rsidP="004A2D07">
      <w:pPr>
        <w:pStyle w:val="Textstyle"/>
      </w:pPr>
      <w:r>
        <w:tab/>
      </w:r>
      <w:r w:rsidR="00BA4F7E">
        <w:t xml:space="preserve">Historically, Lifeline service was provided by wireline carriers who </w:t>
      </w:r>
      <w:r w:rsidR="00B1096E">
        <w:t>were</w:t>
      </w:r>
      <w:r w:rsidR="00BA4F7E">
        <w:t xml:space="preserve"> </w:t>
      </w:r>
      <w:r w:rsidR="00B1096E">
        <w:t xml:space="preserve">most </w:t>
      </w:r>
      <w:r w:rsidR="00BA4F7E">
        <w:t>often the incu</w:t>
      </w:r>
      <w:r w:rsidR="001F641D">
        <w:t>mbent local exchange carrier (</w:t>
      </w:r>
      <w:r w:rsidR="00BA4F7E">
        <w:t>I</w:t>
      </w:r>
      <w:r w:rsidR="001F641D">
        <w:t>L</w:t>
      </w:r>
      <w:r w:rsidR="00BA4F7E">
        <w:t xml:space="preserve">EC) </w:t>
      </w:r>
      <w:r w:rsidR="00B1096E">
        <w:t>in</w:t>
      </w:r>
      <w:r w:rsidR="00BA4F7E">
        <w:t xml:space="preserve"> an area.  These carriers, under the oversight of their respective state commissions, provided a predetermined discount to eligible subscribers.  Often, this was a discount on </w:t>
      </w:r>
      <w:r w:rsidR="00531C66">
        <w:t xml:space="preserve">the </w:t>
      </w:r>
      <w:r w:rsidR="00B1096E">
        <w:t xml:space="preserve">rate for </w:t>
      </w:r>
      <w:r w:rsidR="00BA4F7E">
        <w:t>basic local exchange ser</w:t>
      </w:r>
      <w:r w:rsidR="00452BD2">
        <w:softHyphen/>
      </w:r>
      <w:r w:rsidR="00BA4F7E">
        <w:t>vice, but in recent years has come to include discounts on packages</w:t>
      </w:r>
      <w:r w:rsidR="00B1096E">
        <w:t xml:space="preserve"> as well.</w:t>
      </w:r>
      <w:r w:rsidR="00BA4F7E">
        <w:t xml:space="preserve">  In either </w:t>
      </w:r>
      <w:r w:rsidR="00D66DF0">
        <w:t>case</w:t>
      </w:r>
      <w:r w:rsidR="00BA4F7E">
        <w:t xml:space="preserve"> – basic service or </w:t>
      </w:r>
      <w:r w:rsidR="00B1096E">
        <w:t xml:space="preserve">a </w:t>
      </w:r>
      <w:r w:rsidR="00BA4F7E">
        <w:t xml:space="preserve">package – the discount amount was the same and the value </w:t>
      </w:r>
      <w:r w:rsidR="00BA4F7E">
        <w:lastRenderedPageBreak/>
        <w:t>received by the subscriber was clearly understood.  The introduction of wireless Lifeline service</w:t>
      </w:r>
      <w:r w:rsidR="00D66DF0">
        <w:t>, however,</w:t>
      </w:r>
      <w:r w:rsidR="00BA4F7E">
        <w:t xml:space="preserve"> has in many respects muddie</w:t>
      </w:r>
      <w:r w:rsidR="00B1096E">
        <w:t>d</w:t>
      </w:r>
      <w:r w:rsidR="00BA4F7E">
        <w:t xml:space="preserve"> the waters in terms of the value received by eligible subscribers.</w:t>
      </w:r>
    </w:p>
    <w:p w:rsidR="00310C3F" w:rsidRDefault="004A2D07" w:rsidP="004A2D07">
      <w:pPr>
        <w:pStyle w:val="Textstyle"/>
      </w:pPr>
      <w:r>
        <w:tab/>
      </w:r>
      <w:r w:rsidR="00531C66">
        <w:t>Some w</w:t>
      </w:r>
      <w:r w:rsidR="007678C8">
        <w:t>ireless carriers</w:t>
      </w:r>
      <w:r w:rsidR="00BA4F7E">
        <w:t xml:space="preserve">, particularly </w:t>
      </w:r>
      <w:r w:rsidR="007678C8">
        <w:t xml:space="preserve">those offering </w:t>
      </w:r>
      <w:r w:rsidR="00BA4F7E">
        <w:t>prepaid wireless Lifeline ser</w:t>
      </w:r>
      <w:r w:rsidR="00452BD2">
        <w:softHyphen/>
      </w:r>
      <w:r w:rsidR="00BA4F7E">
        <w:t xml:space="preserve">vice, </w:t>
      </w:r>
      <w:r w:rsidR="00531C66">
        <w:t xml:space="preserve">have chosen to </w:t>
      </w:r>
      <w:r w:rsidR="007678C8">
        <w:t xml:space="preserve">offer eligible subscribers Lifeline service at no cost. This is </w:t>
      </w:r>
      <w:r w:rsidR="00A06A43">
        <w:t xml:space="preserve">a </w:t>
      </w:r>
      <w:r w:rsidR="007678C8">
        <w:t>distinct departure from traditional Lifeline offerings in which the subscriber receive</w:t>
      </w:r>
      <w:r w:rsidR="00531C66">
        <w:t>s</w:t>
      </w:r>
      <w:r w:rsidR="007678C8">
        <w:t xml:space="preserve"> a discount, but </w:t>
      </w:r>
      <w:r w:rsidR="00531C66">
        <w:t xml:space="preserve">is </w:t>
      </w:r>
      <w:r w:rsidR="007678C8">
        <w:t>still responsible to pay any remaining difference between the amount</w:t>
      </w:r>
      <w:r w:rsidR="00531C66">
        <w:t xml:space="preserve"> of the dis</w:t>
      </w:r>
      <w:r w:rsidR="00452BD2">
        <w:softHyphen/>
      </w:r>
      <w:r w:rsidR="00531C66">
        <w:t>count</w:t>
      </w:r>
      <w:r w:rsidR="007678C8">
        <w:t xml:space="preserve"> and the cost of the service.  </w:t>
      </w:r>
      <w:r w:rsidR="002F74E8">
        <w:t>Nevertheless, l</w:t>
      </w:r>
      <w:r w:rsidR="00CE2C66">
        <w:t>ike carriers offering</w:t>
      </w:r>
      <w:r w:rsidR="002F74E8">
        <w:t xml:space="preserve"> traditional Lifeline service, w</w:t>
      </w:r>
      <w:r w:rsidR="00CE2C66">
        <w:t>ireless car</w:t>
      </w:r>
      <w:r w:rsidR="002F74E8">
        <w:t xml:space="preserve">riers </w:t>
      </w:r>
      <w:r w:rsidR="00CE2C66">
        <w:t xml:space="preserve">may </w:t>
      </w:r>
      <w:r w:rsidR="002F74E8">
        <w:t>be reimbursed</w:t>
      </w:r>
      <w:r w:rsidR="00CE2C66">
        <w:t xml:space="preserve"> up to </w:t>
      </w:r>
      <w:r w:rsidR="008B23ED">
        <w:t>maximum allowable reimbursement per</w:t>
      </w:r>
      <w:r w:rsidR="00CE2C66">
        <w:t xml:space="preserve"> subscriber</w:t>
      </w:r>
      <w:r w:rsidR="003324F1">
        <w:t>,</w:t>
      </w:r>
      <w:r w:rsidR="00CE2C66">
        <w:t xml:space="preserve"> per month</w:t>
      </w:r>
      <w:r w:rsidR="003324F1">
        <w:t>,</w:t>
      </w:r>
      <w:r w:rsidR="00CE2C66">
        <w:t xml:space="preserve"> from the universal service fund.  However, unlike traditional Lifeline service in which the value received by the subscriber i</w:t>
      </w:r>
      <w:r w:rsidR="002F74E8">
        <w:t>s</w:t>
      </w:r>
      <w:r w:rsidR="00CE2C66">
        <w:t xml:space="preserve"> the amount of the dis</w:t>
      </w:r>
      <w:r w:rsidR="00452BD2">
        <w:softHyphen/>
      </w:r>
      <w:r w:rsidR="00CE2C66">
        <w:t>count, the value received by</w:t>
      </w:r>
      <w:r w:rsidR="002F74E8">
        <w:t xml:space="preserve"> a </w:t>
      </w:r>
      <w:r w:rsidR="00CE2C66">
        <w:t>wireless</w:t>
      </w:r>
      <w:r w:rsidR="002F74E8">
        <w:t xml:space="preserve"> subscriber is determined by whatever the wireles</w:t>
      </w:r>
      <w:r w:rsidR="008B23ED">
        <w:t xml:space="preserve">s carrier’s </w:t>
      </w:r>
      <w:r w:rsidR="002F74E8">
        <w:t>offering</w:t>
      </w:r>
      <w:r w:rsidR="00D66DF0">
        <w:t xml:space="preserve"> may be</w:t>
      </w:r>
      <w:r w:rsidR="003324F1">
        <w:t xml:space="preserve">. </w:t>
      </w:r>
      <w:r w:rsidR="002F74E8">
        <w:t xml:space="preserve"> </w:t>
      </w:r>
      <w:r w:rsidR="00F90C83">
        <w:t xml:space="preserve">Wireless carriers, of course, may offer a variety of </w:t>
      </w:r>
      <w:r w:rsidR="008B23ED">
        <w:t xml:space="preserve">airtime </w:t>
      </w:r>
      <w:r w:rsidR="00F90C83">
        <w:t xml:space="preserve">minute and feature combinations to </w:t>
      </w:r>
      <w:r w:rsidR="00A06A43">
        <w:t xml:space="preserve">their </w:t>
      </w:r>
      <w:r w:rsidR="00F90C83">
        <w:t xml:space="preserve">subscribers.  Some subscribers may receive more </w:t>
      </w:r>
      <w:r w:rsidR="008B23ED">
        <w:t xml:space="preserve">airtime </w:t>
      </w:r>
      <w:r w:rsidR="00F90C83">
        <w:t xml:space="preserve">minutes and fewer features such as texting or data service, while others may opt for fewer </w:t>
      </w:r>
      <w:r w:rsidR="008B23ED">
        <w:t xml:space="preserve">airtime </w:t>
      </w:r>
      <w:r w:rsidR="00F90C83">
        <w:t xml:space="preserve">minutes with more features.  </w:t>
      </w:r>
    </w:p>
    <w:p w:rsidR="00BA4F7E" w:rsidRDefault="004A2D07" w:rsidP="004A2D07">
      <w:pPr>
        <w:pStyle w:val="Textstyle"/>
      </w:pPr>
      <w:r>
        <w:tab/>
      </w:r>
      <w:r w:rsidR="00F90C83">
        <w:t xml:space="preserve">It is the duty of the appropriate authority, be it a state commission or the FCC, to </w:t>
      </w:r>
      <w:r w:rsidR="00D66DF0">
        <w:t>ensure</w:t>
      </w:r>
      <w:r w:rsidR="00F90C83">
        <w:t xml:space="preserve"> that eligible subscribers and the broader base of rate payers who support the uni</w:t>
      </w:r>
      <w:r w:rsidR="00452BD2">
        <w:softHyphen/>
      </w:r>
      <w:r w:rsidR="00F90C83">
        <w:t>versal service fund receive adequate value for the stated purpose of Lifeline.</w:t>
      </w:r>
      <w:r w:rsidR="005D6B88">
        <w:t xml:space="preserve">  When des</w:t>
      </w:r>
      <w:r w:rsidR="00452BD2">
        <w:softHyphen/>
      </w:r>
      <w:r w:rsidR="005D6B88">
        <w:t xml:space="preserve">ignating a </w:t>
      </w:r>
      <w:r w:rsidR="007869C7">
        <w:t xml:space="preserve">carrier as a </w:t>
      </w:r>
      <w:r w:rsidR="00B1096E">
        <w:t>wireless</w:t>
      </w:r>
      <w:r w:rsidR="005D6B88">
        <w:t xml:space="preserve"> ETC, the designating authority makes </w:t>
      </w:r>
      <w:r w:rsidR="00A06A43">
        <w:t xml:space="preserve">a </w:t>
      </w:r>
      <w:r w:rsidR="005D6B88">
        <w:t>determination that, at that time, subscribers and ratepayers are, i</w:t>
      </w:r>
      <w:r w:rsidR="00310C3F">
        <w:t>n fact, receiving adequate value from the wireless carrier</w:t>
      </w:r>
      <w:r w:rsidR="005D6B88">
        <w:t xml:space="preserve">. </w:t>
      </w:r>
      <w:r w:rsidR="00A06A43">
        <w:t xml:space="preserve">Unlike traditional wireline Lifeline service in which </w:t>
      </w:r>
      <w:r w:rsidR="00310C3F">
        <w:t xml:space="preserve">the value </w:t>
      </w:r>
      <w:r w:rsidR="00A06A43">
        <w:t>pro</w:t>
      </w:r>
      <w:r w:rsidR="00452BD2">
        <w:softHyphen/>
      </w:r>
      <w:r w:rsidR="00A06A43">
        <w:lastRenderedPageBreak/>
        <w:t xml:space="preserve">vided </w:t>
      </w:r>
      <w:r w:rsidR="00310C3F">
        <w:t xml:space="preserve">does not change even if the service offering does, </w:t>
      </w:r>
      <w:r w:rsidR="00A06A43">
        <w:t xml:space="preserve">the value provided by a </w:t>
      </w:r>
      <w:r w:rsidR="00545A8A">
        <w:t xml:space="preserve">wireless </w:t>
      </w:r>
      <w:r w:rsidR="00A06A43">
        <w:t>carrier offering Lifeline service at no cost may change when a service offering changes</w:t>
      </w:r>
      <w:r w:rsidR="00310C3F">
        <w:t>.  Consequently, should a wireless carrier wish to alter or modify its Lifeline service offer</w:t>
      </w:r>
      <w:r w:rsidR="00452BD2">
        <w:softHyphen/>
      </w:r>
      <w:r w:rsidR="00310C3F">
        <w:t xml:space="preserve">ing from that which it proposed in its application for ETC designation, it should first receive approval from the appropriate designating authority.  Otherwise, the designating authority will not be able to protect the integrity of the universal service fund by ensuring that subscribers and ratepayers receive adequate value from the wireless carrier. </w:t>
      </w:r>
    </w:p>
    <w:p w:rsidR="003D30F1" w:rsidRPr="001E238A" w:rsidRDefault="006011E4" w:rsidP="00452BD2">
      <w:pPr>
        <w:pStyle w:val="Heading2"/>
      </w:pPr>
      <w:bookmarkStart w:id="5" w:name="_Toc280868064"/>
      <w:r>
        <w:t>II</w:t>
      </w:r>
      <w:r w:rsidR="003324F1">
        <w:t>I</w:t>
      </w:r>
      <w:r>
        <w:t>.</w:t>
      </w:r>
      <w:r>
        <w:tab/>
      </w:r>
      <w:r w:rsidR="00545A8A">
        <w:t xml:space="preserve">Wireless </w:t>
      </w:r>
      <w:r w:rsidR="003D30F1" w:rsidRPr="001E238A">
        <w:t>ETCs</w:t>
      </w:r>
      <w:r w:rsidR="001E238A" w:rsidRPr="001E238A">
        <w:t xml:space="preserve"> </w:t>
      </w:r>
      <w:r w:rsidR="004A2D07" w:rsidRPr="001E238A">
        <w:t>must provide service using, in part, their own facili</w:t>
      </w:r>
      <w:r w:rsidR="00452BD2">
        <w:softHyphen/>
      </w:r>
      <w:r w:rsidR="004A2D07" w:rsidRPr="001E238A">
        <w:t>ties to be eligible for uni</w:t>
      </w:r>
      <w:r w:rsidR="00654150">
        <w:softHyphen/>
      </w:r>
      <w:r w:rsidR="004A2D07" w:rsidRPr="001E238A">
        <w:t>versal service support</w:t>
      </w:r>
      <w:r w:rsidR="001E238A" w:rsidRPr="001E238A">
        <w:t>.</w:t>
      </w:r>
      <w:bookmarkEnd w:id="5"/>
    </w:p>
    <w:p w:rsidR="003F46EA" w:rsidRDefault="005B5EE1" w:rsidP="004A2D07">
      <w:pPr>
        <w:pStyle w:val="Textstyle"/>
      </w:pPr>
      <w:r>
        <w:tab/>
      </w:r>
      <w:r w:rsidR="003F46EA">
        <w:t>Ohio Staff agrees with TracFone that Section 214(e)(1)(A) unequivocally requires a carrier designated as an ETC</w:t>
      </w:r>
      <w:r>
        <w:t xml:space="preserve"> to provide service using, in part, its own facilities</w:t>
      </w:r>
      <w:r w:rsidR="003324F1">
        <w:t>,</w:t>
      </w:r>
      <w:r w:rsidR="001E238A">
        <w:t xml:space="preserve"> to be eligible to receive universal service support</w:t>
      </w:r>
      <w:r>
        <w:t>.</w:t>
      </w:r>
      <w:r>
        <w:rPr>
          <w:rStyle w:val="FootnoteReference"/>
          <w:sz w:val="24"/>
        </w:rPr>
        <w:footnoteReference w:id="12"/>
      </w:r>
      <w:r w:rsidR="00C16E0A">
        <w:t xml:space="preserve">  </w:t>
      </w:r>
      <w:r w:rsidR="009C2F1A">
        <w:t>Consequently, any wireless carrier that is not providing service using, at least in part, its own facilities, should request a forbear</w:t>
      </w:r>
      <w:r w:rsidR="00452BD2">
        <w:softHyphen/>
      </w:r>
      <w:r w:rsidR="009C2F1A">
        <w:t>ance from the FCC to be eligible to receive such reimbursement.</w:t>
      </w:r>
    </w:p>
    <w:p w:rsidR="009C2F1A" w:rsidRDefault="004A2D07" w:rsidP="004A2D07">
      <w:pPr>
        <w:pStyle w:val="Textstyle"/>
      </w:pPr>
      <w:r>
        <w:tab/>
      </w:r>
      <w:r w:rsidR="009C2F1A">
        <w:t xml:space="preserve">Historically, </w:t>
      </w:r>
      <w:r w:rsidR="008B23ED">
        <w:t>a</w:t>
      </w:r>
      <w:r w:rsidR="009C2F1A">
        <w:t>ll ILECs were by default ETCs and, as a</w:t>
      </w:r>
      <w:r w:rsidR="001C3AF5">
        <w:t xml:space="preserve"> condition of being eligible to apply for </w:t>
      </w:r>
      <w:r w:rsidR="008B23ED">
        <w:t>universal service support</w:t>
      </w:r>
      <w:r w:rsidR="001C3AF5">
        <w:t>, were required to provide services to eligible low-income subscribers through the Lifeline and Link Up programs.  The reimbursement</w:t>
      </w:r>
      <w:r w:rsidR="00CA33D7">
        <w:t>s</w:t>
      </w:r>
      <w:r w:rsidR="001C3AF5">
        <w:t xml:space="preserve"> </w:t>
      </w:r>
      <w:r w:rsidR="00CA33D7">
        <w:t>provided under these programs were</w:t>
      </w:r>
      <w:r w:rsidR="001C3AF5">
        <w:t xml:space="preserve"> intended to offset a </w:t>
      </w:r>
      <w:r w:rsidR="00545A8A">
        <w:t>portion of the costs incurred by</w:t>
      </w:r>
      <w:r w:rsidR="001C3AF5">
        <w:t xml:space="preserve"> the ILEC in providing </w:t>
      </w:r>
      <w:r w:rsidR="00CA33D7">
        <w:t>s</w:t>
      </w:r>
      <w:r w:rsidR="001C3AF5">
        <w:t xml:space="preserve">ervice to these subscribers, including facilities-related costs.  </w:t>
      </w:r>
      <w:r w:rsidR="00CA33D7">
        <w:t>In recent years, a distinction has been made between high</w:t>
      </w:r>
      <w:r w:rsidR="001F641D">
        <w:t xml:space="preserve">-cost support and Lifeline/Link </w:t>
      </w:r>
      <w:r w:rsidR="00CA33D7">
        <w:t xml:space="preserve">Up </w:t>
      </w:r>
      <w:r w:rsidR="00CA33D7">
        <w:lastRenderedPageBreak/>
        <w:t xml:space="preserve">reimbursement when designating ETCs.  Nevertheless, Ohio Staff believes that the underlying purpose of Lifeline and Link Up reimbursement remains.  If a carrier </w:t>
      </w:r>
      <w:r w:rsidR="00545A8A">
        <w:t>seeking designation as an ETC does not connect its own facilities or provide</w:t>
      </w:r>
      <w:r w:rsidR="00CA33D7">
        <w:t xml:space="preserve"> service using its own facilities, it should not be eligible to receive reimbursement for the costs of doing so without </w:t>
      </w:r>
      <w:r w:rsidR="00545A8A">
        <w:t xml:space="preserve">first </w:t>
      </w:r>
      <w:r w:rsidR="00CA33D7">
        <w:t xml:space="preserve">receiving a forbearance from the FCC.  </w:t>
      </w:r>
    </w:p>
    <w:p w:rsidR="00690990" w:rsidRDefault="004A2D07" w:rsidP="004A2D07">
      <w:pPr>
        <w:pStyle w:val="Textstyle"/>
      </w:pPr>
      <w:r>
        <w:tab/>
      </w:r>
      <w:r w:rsidR="00CA33D7">
        <w:t>As a part of the section 214 facilities</w:t>
      </w:r>
      <w:r w:rsidR="00D15268">
        <w:t>-based</w:t>
      </w:r>
      <w:r w:rsidR="00CA33D7">
        <w:t xml:space="preserve"> requirement, </w:t>
      </w:r>
      <w:r w:rsidR="008B23ED">
        <w:t>Ohio S</w:t>
      </w:r>
      <w:r w:rsidR="00CA33D7">
        <w:t xml:space="preserve">taff agrees with </w:t>
      </w:r>
      <w:r w:rsidR="00D15268">
        <w:t>TracFone that it is not sufficient for a carrier</w:t>
      </w:r>
      <w:r w:rsidR="00545A8A">
        <w:t xml:space="preserve"> seeking ETC designation</w:t>
      </w:r>
      <w:r w:rsidR="00D15268">
        <w:t xml:space="preserve"> to simply own facilities to </w:t>
      </w:r>
      <w:r w:rsidR="00545A8A">
        <w:t>qualify for</w:t>
      </w:r>
      <w:r w:rsidR="00D15268">
        <w:t xml:space="preserve"> </w:t>
      </w:r>
      <w:r w:rsidR="008B23ED">
        <w:t>universal service support</w:t>
      </w:r>
      <w:r w:rsidR="00D15268">
        <w:t xml:space="preserve"> in a </w:t>
      </w:r>
      <w:r w:rsidR="00545A8A">
        <w:t xml:space="preserve">given </w:t>
      </w:r>
      <w:r w:rsidR="00D15268">
        <w:t>state.</w:t>
      </w:r>
      <w:r w:rsidR="00D15268">
        <w:rPr>
          <w:rStyle w:val="FootnoteReference"/>
          <w:sz w:val="24"/>
        </w:rPr>
        <w:footnoteReference w:id="13"/>
      </w:r>
      <w:proofErr w:type="gramStart"/>
      <w:r w:rsidR="00656547">
        <w:t xml:space="preserve"> </w:t>
      </w:r>
      <w:proofErr w:type="gramEnd"/>
      <w:r w:rsidR="00656547">
        <w:t>Ohio Staff also agrees that a carrier wishing to provide wireless Lifeline service may not rely upon the fact that it owns wireline facilities in a particular state to satisfy the facilities-based requirement.</w:t>
      </w:r>
      <w:r w:rsidR="00656547">
        <w:rPr>
          <w:rStyle w:val="FootnoteReference"/>
          <w:sz w:val="24"/>
        </w:rPr>
        <w:footnoteReference w:id="14"/>
      </w:r>
      <w:r w:rsidR="00656547">
        <w:t xml:space="preserve">  </w:t>
      </w:r>
      <w:r w:rsidR="00D15268">
        <w:t>The carrier must</w:t>
      </w:r>
      <w:r w:rsidR="00656547">
        <w:t xml:space="preserve"> own facilities sufficient to provide the type of service it wishes to offer in a state and use at least a portion of th</w:t>
      </w:r>
      <w:r w:rsidR="003324F1">
        <w:t>o</w:t>
      </w:r>
      <w:r w:rsidR="00656547">
        <w:t>se</w:t>
      </w:r>
      <w:r w:rsidR="00D15268">
        <w:t xml:space="preserve"> facilities</w:t>
      </w:r>
      <w:r w:rsidR="00656547">
        <w:t xml:space="preserve"> </w:t>
      </w:r>
      <w:r w:rsidR="00D15268">
        <w:t xml:space="preserve">to provide </w:t>
      </w:r>
      <w:r w:rsidR="00656547">
        <w:t>the s</w:t>
      </w:r>
      <w:r w:rsidR="00D15268">
        <w:t xml:space="preserve">ervice within </w:t>
      </w:r>
      <w:r w:rsidR="00656547">
        <w:t>that</w:t>
      </w:r>
      <w:r w:rsidR="00D15268">
        <w:t xml:space="preserve"> state </w:t>
      </w:r>
      <w:r w:rsidR="00545A8A">
        <w:t>for which it will seek</w:t>
      </w:r>
      <w:r w:rsidR="00D15268">
        <w:t xml:space="preserve"> reimbursement</w:t>
      </w:r>
      <w:r w:rsidR="00545A8A">
        <w:t xml:space="preserve"> as an ETC</w:t>
      </w:r>
      <w:r w:rsidR="00D15268">
        <w:t>.</w:t>
      </w:r>
      <w:r w:rsidR="00690990">
        <w:rPr>
          <w:rStyle w:val="FootnoteReference"/>
          <w:sz w:val="24"/>
        </w:rPr>
        <w:footnoteReference w:id="15"/>
      </w:r>
      <w:r w:rsidR="00D15268">
        <w:t xml:space="preserve">  Otherwise, a carrier </w:t>
      </w:r>
      <w:r w:rsidR="00656547">
        <w:t xml:space="preserve">designated as an ETC </w:t>
      </w:r>
      <w:r w:rsidR="00D15268">
        <w:t xml:space="preserve">could own </w:t>
      </w:r>
      <w:r w:rsidR="00BD3A9B">
        <w:t>a</w:t>
      </w:r>
      <w:r w:rsidR="00D15268">
        <w:t xml:space="preserve"> switch </w:t>
      </w:r>
      <w:r w:rsidR="00421899">
        <w:t xml:space="preserve">of any type </w:t>
      </w:r>
      <w:r w:rsidR="00D15268">
        <w:t xml:space="preserve">that it uses in </w:t>
      </w:r>
      <w:r w:rsidR="003324F1">
        <w:t xml:space="preserve">only </w:t>
      </w:r>
      <w:r w:rsidR="00BD3A9B">
        <w:t>one</w:t>
      </w:r>
      <w:r w:rsidR="00D15268">
        <w:t xml:space="preserve"> particular state, but poten</w:t>
      </w:r>
      <w:r w:rsidR="00452BD2">
        <w:softHyphen/>
      </w:r>
      <w:r w:rsidR="00D15268">
        <w:t xml:space="preserve">tially be eligible to receive Lifeline support in every state.  </w:t>
      </w:r>
      <w:r w:rsidR="00690990">
        <w:t xml:space="preserve">Ohio Staff </w:t>
      </w:r>
      <w:r w:rsidR="00A9683F">
        <w:t>believes that the facilities-based requirement is intended to prevent such a result.</w:t>
      </w:r>
    </w:p>
    <w:p w:rsidR="003439E6" w:rsidRDefault="004A2D07" w:rsidP="004A2D07">
      <w:pPr>
        <w:pStyle w:val="Textstyle"/>
      </w:pPr>
      <w:r>
        <w:tab/>
      </w:r>
      <w:r w:rsidR="00690990">
        <w:t xml:space="preserve">While Ohio Staff strongly supports a narrow reading of the 214 facilities-based requirement, it also recognizes that </w:t>
      </w:r>
      <w:r w:rsidR="00A9683F">
        <w:t xml:space="preserve">entrance of wireless carriers into the Lifeline market raises questions as to what constitutes </w:t>
      </w:r>
      <w:r w:rsidR="003324F1">
        <w:t>“</w:t>
      </w:r>
      <w:r w:rsidR="00A9683F">
        <w:t>wireless facilities</w:t>
      </w:r>
      <w:r w:rsidR="003324F1">
        <w:t>.”</w:t>
      </w:r>
      <w:r w:rsidR="00A9683F">
        <w:t xml:space="preserve">  Consequently, Ohio Staff </w:t>
      </w:r>
      <w:r w:rsidR="00A9683F">
        <w:lastRenderedPageBreak/>
        <w:t>requests guidance from the FCC as to how wireless facilities should be defined for pur</w:t>
      </w:r>
      <w:r w:rsidR="00452BD2">
        <w:softHyphen/>
      </w:r>
      <w:r w:rsidR="00A9683F">
        <w:t>poses of satisfying the facilities-based requirement.</w:t>
      </w:r>
    </w:p>
    <w:p w:rsidR="00A55BC0" w:rsidRPr="00A55BC0" w:rsidRDefault="00A55BC0" w:rsidP="004A2D07">
      <w:pPr>
        <w:pStyle w:val="Heading1"/>
      </w:pPr>
      <w:bookmarkStart w:id="6" w:name="_Toc280868065"/>
      <w:r w:rsidRPr="00A55BC0">
        <w:t>CONCLUSION</w:t>
      </w:r>
      <w:bookmarkEnd w:id="6"/>
    </w:p>
    <w:p w:rsidR="00690990" w:rsidRDefault="004A2D07" w:rsidP="004A2D07">
      <w:pPr>
        <w:pStyle w:val="Textstyle"/>
      </w:pPr>
      <w:r>
        <w:tab/>
      </w:r>
      <w:r w:rsidR="00A55BC0">
        <w:t xml:space="preserve">Wireless Lifeline service provides many new and exciting service opportunities to eligible low-income subscribers that were not previously available to them.  With these opportunities, however, come </w:t>
      </w:r>
      <w:r w:rsidR="00AF4098">
        <w:t xml:space="preserve">new </w:t>
      </w:r>
      <w:r w:rsidR="00A55BC0">
        <w:t xml:space="preserve">issues </w:t>
      </w:r>
      <w:r w:rsidR="00AF4098">
        <w:t>that must be addressed to ensure that the integ</w:t>
      </w:r>
      <w:r w:rsidR="00452BD2">
        <w:softHyphen/>
      </w:r>
      <w:r w:rsidR="00AF4098">
        <w:t>rity of the universal service fund is protected.  Ohio Staff commends TracFone for raising some of these issues in its petition</w:t>
      </w:r>
      <w:r w:rsidR="003324F1">
        <w:t>,</w:t>
      </w:r>
      <w:r w:rsidR="00AF4098">
        <w:t xml:space="preserve"> and encourages the FCC to provide the clarifications</w:t>
      </w:r>
      <w:r w:rsidR="00452BD2">
        <w:t xml:space="preserve"> </w:t>
      </w:r>
      <w:r w:rsidR="00AF4098">
        <w:t>sought by TracFone</w:t>
      </w:r>
      <w:r w:rsidR="007121BB">
        <w:t xml:space="preserve"> in light</w:t>
      </w:r>
      <w:r w:rsidR="00452BD2">
        <w:t xml:space="preserve"> of the additional concerns and </w:t>
      </w:r>
      <w:r w:rsidR="007121BB">
        <w:t>recommendations raised by Ohio Staff in these</w:t>
      </w:r>
      <w:r w:rsidR="00A55BC0">
        <w:t xml:space="preserve"> </w:t>
      </w:r>
      <w:r w:rsidR="007121BB">
        <w:t>comments.  Ohio Staff appreciates the opportunity to comment in this proceeding.</w:t>
      </w:r>
    </w:p>
    <w:p w:rsidR="004A2D07" w:rsidRPr="007A78D7" w:rsidRDefault="004A2D07" w:rsidP="004A2D07">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Respectfully submitted,</w:t>
      </w:r>
    </w:p>
    <w:p w:rsidR="004A2D07" w:rsidRPr="007A78D7" w:rsidRDefault="004A2D07" w:rsidP="004A2D07">
      <w:pPr>
        <w:tabs>
          <w:tab w:val="left" w:pos="9360"/>
        </w:tabs>
        <w:spacing w:after="0" w:line="240" w:lineRule="auto"/>
        <w:ind w:left="4320"/>
        <w:rPr>
          <w:rFonts w:ascii="Times New Roman" w:hAnsi="Times New Roman"/>
          <w:sz w:val="26"/>
          <w:szCs w:val="26"/>
        </w:rPr>
      </w:pPr>
    </w:p>
    <w:p w:rsidR="004A2D07" w:rsidRPr="007A78D7" w:rsidRDefault="004A2D07" w:rsidP="004A2D07">
      <w:pPr>
        <w:tabs>
          <w:tab w:val="left" w:pos="9360"/>
        </w:tabs>
        <w:spacing w:after="0" w:line="240" w:lineRule="auto"/>
        <w:ind w:left="4320"/>
        <w:rPr>
          <w:rFonts w:ascii="Times New Roman" w:hAnsi="Times New Roman"/>
          <w:sz w:val="26"/>
          <w:szCs w:val="26"/>
        </w:rPr>
      </w:pPr>
    </w:p>
    <w:p w:rsidR="004A2D07" w:rsidRPr="007A78D7" w:rsidRDefault="004A2D07" w:rsidP="004A2D07">
      <w:pPr>
        <w:tabs>
          <w:tab w:val="left" w:pos="9360"/>
        </w:tabs>
        <w:spacing w:after="0" w:line="240" w:lineRule="auto"/>
        <w:ind w:left="4320"/>
        <w:rPr>
          <w:rFonts w:ascii="Brush Script MT" w:hAnsi="Brush Script MT"/>
          <w:sz w:val="36"/>
          <w:szCs w:val="36"/>
          <w:u w:val="single"/>
        </w:rPr>
      </w:pPr>
      <w:r w:rsidRPr="007A78D7">
        <w:rPr>
          <w:rFonts w:ascii="Brush Script MT" w:hAnsi="Brush Script MT"/>
          <w:sz w:val="36"/>
          <w:szCs w:val="36"/>
          <w:u w:val="single"/>
        </w:rPr>
        <w:t xml:space="preserve">/s/ </w:t>
      </w:r>
      <w:r>
        <w:rPr>
          <w:rFonts w:ascii="Brush Script MT" w:hAnsi="Brush Script MT"/>
          <w:sz w:val="36"/>
          <w:szCs w:val="36"/>
          <w:u w:val="single"/>
        </w:rPr>
        <w:t>Stephen A. Reilly</w:t>
      </w:r>
      <w:r w:rsidRPr="007A78D7">
        <w:rPr>
          <w:rFonts w:ascii="Brush Script MT" w:hAnsi="Brush Script MT"/>
          <w:sz w:val="36"/>
          <w:szCs w:val="36"/>
          <w:u w:val="single"/>
        </w:rPr>
        <w:tab/>
      </w:r>
    </w:p>
    <w:p w:rsidR="004A2D07" w:rsidRPr="007A78D7" w:rsidRDefault="004A2D07" w:rsidP="004A2D07">
      <w:pPr>
        <w:tabs>
          <w:tab w:val="left" w:pos="9360"/>
        </w:tabs>
        <w:spacing w:after="0" w:line="240" w:lineRule="auto"/>
        <w:ind w:left="4320"/>
        <w:rPr>
          <w:rFonts w:ascii="Times New Roman" w:hAnsi="Times New Roman"/>
          <w:b/>
          <w:sz w:val="26"/>
          <w:szCs w:val="26"/>
        </w:rPr>
      </w:pPr>
      <w:r>
        <w:rPr>
          <w:rFonts w:ascii="Times New Roman" w:hAnsi="Times New Roman"/>
          <w:b/>
          <w:sz w:val="26"/>
          <w:szCs w:val="26"/>
        </w:rPr>
        <w:t>Stephen A. Reilly</w:t>
      </w:r>
    </w:p>
    <w:p w:rsidR="004A2D07" w:rsidRPr="007A78D7" w:rsidRDefault="004A2D07" w:rsidP="004A2D07">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180 East Broad Street, 6</w:t>
      </w:r>
      <w:r w:rsidRPr="007A78D7">
        <w:rPr>
          <w:rFonts w:ascii="Times New Roman" w:hAnsi="Times New Roman"/>
          <w:sz w:val="26"/>
          <w:szCs w:val="26"/>
          <w:vertAlign w:val="superscript"/>
        </w:rPr>
        <w:t>th</w:t>
      </w:r>
      <w:r w:rsidRPr="007A78D7">
        <w:rPr>
          <w:rFonts w:ascii="Times New Roman" w:hAnsi="Times New Roman"/>
          <w:sz w:val="26"/>
          <w:szCs w:val="26"/>
        </w:rPr>
        <w:t xml:space="preserve"> Floor</w:t>
      </w:r>
    </w:p>
    <w:p w:rsidR="004A2D07" w:rsidRPr="007A78D7" w:rsidRDefault="004A2D07" w:rsidP="004A2D07">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Columbus, OH  43215-3793</w:t>
      </w:r>
    </w:p>
    <w:p w:rsidR="004A2D07" w:rsidRPr="007A78D7" w:rsidRDefault="004A2D07" w:rsidP="004A2D07">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614.466.4397 (telephone)</w:t>
      </w:r>
    </w:p>
    <w:p w:rsidR="004A2D07" w:rsidRPr="007A78D7" w:rsidRDefault="004A2D07" w:rsidP="004A2D07">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614.644.8764 (fax)</w:t>
      </w:r>
    </w:p>
    <w:p w:rsidR="004A2D07" w:rsidRPr="007A78D7" w:rsidRDefault="0034667E" w:rsidP="004A2D07">
      <w:pPr>
        <w:tabs>
          <w:tab w:val="left" w:pos="9360"/>
        </w:tabs>
        <w:spacing w:after="0" w:line="240" w:lineRule="auto"/>
        <w:ind w:left="4320"/>
        <w:rPr>
          <w:rFonts w:ascii="Times New Roman" w:hAnsi="Times New Roman"/>
          <w:sz w:val="26"/>
          <w:szCs w:val="26"/>
        </w:rPr>
      </w:pPr>
      <w:hyperlink r:id="rId13" w:history="1">
        <w:r w:rsidR="004A2D07" w:rsidRPr="00E205D1">
          <w:rPr>
            <w:rStyle w:val="Hyperlink"/>
            <w:rFonts w:ascii="Times New Roman" w:hAnsi="Times New Roman"/>
            <w:sz w:val="26"/>
            <w:szCs w:val="26"/>
          </w:rPr>
          <w:t>stephen.reilly@puc.state.oh.us</w:t>
        </w:r>
      </w:hyperlink>
    </w:p>
    <w:p w:rsidR="004A2D07" w:rsidRPr="007A78D7" w:rsidRDefault="004A2D07" w:rsidP="004A2D07">
      <w:pPr>
        <w:tabs>
          <w:tab w:val="left" w:pos="9360"/>
        </w:tabs>
        <w:spacing w:after="0" w:line="240" w:lineRule="auto"/>
        <w:ind w:left="4320"/>
        <w:rPr>
          <w:rFonts w:ascii="Times New Roman" w:hAnsi="Times New Roman"/>
          <w:sz w:val="26"/>
          <w:szCs w:val="26"/>
        </w:rPr>
      </w:pPr>
    </w:p>
    <w:p w:rsidR="004A2D07" w:rsidRPr="007A78D7" w:rsidRDefault="004A2D07" w:rsidP="004A2D07">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 xml:space="preserve">Counsel for </w:t>
      </w:r>
    </w:p>
    <w:p w:rsidR="004A2D07" w:rsidRPr="007A78D7" w:rsidRDefault="004A2D07" w:rsidP="004A2D07">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The Public Utilities Commission of Ohio</w:t>
      </w:r>
    </w:p>
    <w:p w:rsidR="004A2D07" w:rsidRPr="007A78D7" w:rsidRDefault="004A2D07" w:rsidP="004A2D07">
      <w:pPr>
        <w:tabs>
          <w:tab w:val="left" w:pos="9360"/>
        </w:tabs>
        <w:spacing w:after="0" w:line="240" w:lineRule="auto"/>
        <w:ind w:left="4320"/>
        <w:rPr>
          <w:rFonts w:ascii="Times New Roman" w:hAnsi="Times New Roman"/>
          <w:sz w:val="26"/>
          <w:szCs w:val="26"/>
        </w:rPr>
      </w:pPr>
    </w:p>
    <w:p w:rsidR="004A2D07" w:rsidRDefault="004A2D07" w:rsidP="004A2D07">
      <w:pPr>
        <w:pStyle w:val="Textstyle"/>
      </w:pPr>
    </w:p>
    <w:p w:rsidR="004A2D07" w:rsidRPr="00570D1F" w:rsidRDefault="004A2D07" w:rsidP="004A2D07">
      <w:pPr>
        <w:pStyle w:val="Textstyle"/>
      </w:pPr>
      <w:r>
        <w:t>Dated:  December 23, 2010</w:t>
      </w:r>
    </w:p>
    <w:p w:rsidR="004A2D07" w:rsidRDefault="004A2D07" w:rsidP="004A2D07">
      <w:pPr>
        <w:pStyle w:val="Textstyle"/>
      </w:pPr>
    </w:p>
    <w:sectPr w:rsidR="004A2D07" w:rsidSect="002D605F">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67E" w:rsidRDefault="0034667E" w:rsidP="004C7D48">
      <w:pPr>
        <w:spacing w:after="0" w:line="240" w:lineRule="auto"/>
      </w:pPr>
      <w:r>
        <w:separator/>
      </w:r>
    </w:p>
  </w:endnote>
  <w:endnote w:type="continuationSeparator" w:id="0">
    <w:p w:rsidR="0034667E" w:rsidRDefault="0034667E" w:rsidP="004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7E" w:rsidRDefault="0034667E">
    <w:pPr>
      <w:pStyle w:val="Footer"/>
      <w:jc w:val="center"/>
    </w:pPr>
    <w:r>
      <w:fldChar w:fldCharType="begin"/>
    </w:r>
    <w:r>
      <w:instrText xml:space="preserve"> PAGE   \* MERGEFORMAT </w:instrText>
    </w:r>
    <w:r>
      <w:fldChar w:fldCharType="separate"/>
    </w:r>
    <w:r>
      <w:rPr>
        <w:noProof/>
      </w:rPr>
      <w:t>11</w:t>
    </w:r>
    <w:r>
      <w:rPr>
        <w:noProof/>
      </w:rPr>
      <w:fldChar w:fldCharType="end"/>
    </w:r>
  </w:p>
  <w:p w:rsidR="0034667E" w:rsidRDefault="003466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7E" w:rsidRDefault="0034667E">
    <w:pPr>
      <w:pStyle w:val="Footer"/>
      <w:jc w:val="center"/>
    </w:pPr>
  </w:p>
  <w:p w:rsidR="0034667E" w:rsidRDefault="003466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7E" w:rsidRPr="00EB3004" w:rsidRDefault="0034667E">
    <w:pPr>
      <w:pStyle w:val="Footer"/>
      <w:jc w:val="center"/>
      <w:rPr>
        <w:rFonts w:ascii="Times New Roman" w:hAnsi="Times New Roman"/>
        <w:sz w:val="24"/>
        <w:szCs w:val="24"/>
      </w:rPr>
    </w:pPr>
    <w:r w:rsidRPr="00EB3004">
      <w:rPr>
        <w:rFonts w:ascii="Times New Roman" w:hAnsi="Times New Roman"/>
        <w:sz w:val="24"/>
        <w:szCs w:val="24"/>
      </w:rPr>
      <w:fldChar w:fldCharType="begin"/>
    </w:r>
    <w:r w:rsidRPr="00EB3004">
      <w:rPr>
        <w:rFonts w:ascii="Times New Roman" w:hAnsi="Times New Roman"/>
        <w:sz w:val="24"/>
        <w:szCs w:val="24"/>
      </w:rPr>
      <w:instrText xml:space="preserve"> PAGE   \* MERGEFORMAT </w:instrText>
    </w:r>
    <w:r w:rsidRPr="00EB3004">
      <w:rPr>
        <w:rFonts w:ascii="Times New Roman" w:hAnsi="Times New Roman"/>
        <w:sz w:val="24"/>
        <w:szCs w:val="24"/>
      </w:rPr>
      <w:fldChar w:fldCharType="separate"/>
    </w:r>
    <w:r>
      <w:rPr>
        <w:rFonts w:ascii="Times New Roman" w:hAnsi="Times New Roman"/>
        <w:noProof/>
        <w:sz w:val="24"/>
        <w:szCs w:val="24"/>
      </w:rPr>
      <w:t>i</w:t>
    </w:r>
    <w:r w:rsidRPr="00EB3004">
      <w:rPr>
        <w:rFonts w:ascii="Times New Roman" w:hAnsi="Times New Roman"/>
        <w:noProof/>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7E" w:rsidRPr="004A2D07" w:rsidRDefault="0034667E">
    <w:pPr>
      <w:pStyle w:val="Footer"/>
      <w:jc w:val="center"/>
      <w:rPr>
        <w:rFonts w:ascii="Times New Roman" w:hAnsi="Times New Roman"/>
        <w:sz w:val="24"/>
        <w:szCs w:val="24"/>
      </w:rPr>
    </w:pPr>
    <w:r w:rsidRPr="004A2D07">
      <w:rPr>
        <w:rFonts w:ascii="Times New Roman" w:hAnsi="Times New Roman"/>
        <w:sz w:val="24"/>
        <w:szCs w:val="24"/>
      </w:rPr>
      <w:fldChar w:fldCharType="begin"/>
    </w:r>
    <w:r w:rsidRPr="004A2D07">
      <w:rPr>
        <w:rFonts w:ascii="Times New Roman" w:hAnsi="Times New Roman"/>
        <w:sz w:val="24"/>
        <w:szCs w:val="24"/>
      </w:rPr>
      <w:instrText xml:space="preserve"> PAGE   \* MERGEFORMAT </w:instrText>
    </w:r>
    <w:r w:rsidRPr="004A2D07">
      <w:rPr>
        <w:rFonts w:ascii="Times New Roman" w:hAnsi="Times New Roman"/>
        <w:sz w:val="24"/>
        <w:szCs w:val="24"/>
      </w:rPr>
      <w:fldChar w:fldCharType="separate"/>
    </w:r>
    <w:r>
      <w:rPr>
        <w:rFonts w:ascii="Times New Roman" w:hAnsi="Times New Roman"/>
        <w:noProof/>
        <w:sz w:val="24"/>
        <w:szCs w:val="24"/>
      </w:rPr>
      <w:t>2</w:t>
    </w:r>
    <w:r w:rsidRPr="004A2D07">
      <w:rPr>
        <w:rFonts w:ascii="Times New Roman" w:hAnsi="Times New Roman"/>
        <w:noProof/>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7E" w:rsidRPr="00EB3004" w:rsidRDefault="0034667E" w:rsidP="00EB3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67E" w:rsidRDefault="0034667E" w:rsidP="004C7D48">
      <w:pPr>
        <w:spacing w:after="0" w:line="240" w:lineRule="auto"/>
      </w:pPr>
      <w:r>
        <w:separator/>
      </w:r>
    </w:p>
  </w:footnote>
  <w:footnote w:type="continuationSeparator" w:id="0">
    <w:p w:rsidR="0034667E" w:rsidRDefault="0034667E" w:rsidP="004C7D48">
      <w:pPr>
        <w:spacing w:after="0" w:line="240" w:lineRule="auto"/>
      </w:pPr>
      <w:r>
        <w:continuationSeparator/>
      </w:r>
    </w:p>
  </w:footnote>
  <w:footnote w:id="1">
    <w:p w:rsidR="0034667E" w:rsidRPr="00E364F5" w:rsidRDefault="0034667E" w:rsidP="00E364F5">
      <w:pPr>
        <w:pStyle w:val="FootnoteText"/>
      </w:pPr>
      <w:r>
        <w:rPr>
          <w:rStyle w:val="FootnoteReference"/>
        </w:rPr>
        <w:footnoteRef/>
      </w:r>
      <w:r>
        <w:t xml:space="preserve"> </w:t>
      </w:r>
      <w:r>
        <w:tab/>
      </w:r>
      <w:r>
        <w:tab/>
      </w:r>
      <w:r w:rsidRPr="00E364F5">
        <w:rPr>
          <w:i/>
        </w:rPr>
        <w:t>Wireline Competition Bureau Seeks Comment on TracFone Petition for Declara</w:t>
      </w:r>
      <w:r>
        <w:rPr>
          <w:i/>
        </w:rPr>
        <w:softHyphen/>
      </w:r>
      <w:r w:rsidRPr="00E364F5">
        <w:rPr>
          <w:i/>
        </w:rPr>
        <w:t>tory Ruling on Universal Service Issues</w:t>
      </w:r>
      <w:r w:rsidRPr="00E364F5">
        <w:t>, WC Docket Nos. 09-197, 03-109, Public Notice, DA 10-2324 (</w:t>
      </w:r>
      <w:bookmarkStart w:id="1" w:name="_GoBack"/>
      <w:bookmarkEnd w:id="1"/>
      <w:r w:rsidRPr="00E364F5">
        <w:t>December 8, 2010).</w:t>
      </w:r>
    </w:p>
  </w:footnote>
  <w:footnote w:id="2">
    <w:p w:rsidR="0034667E" w:rsidRDefault="0034667E">
      <w:pPr>
        <w:pStyle w:val="FootnoteText"/>
      </w:pPr>
      <w:r>
        <w:rPr>
          <w:rStyle w:val="FootnoteReference"/>
        </w:rPr>
        <w:footnoteRef/>
      </w:r>
      <w:r>
        <w:t xml:space="preserve"> </w:t>
      </w:r>
      <w:r>
        <w:tab/>
      </w:r>
      <w:r>
        <w:tab/>
      </w:r>
      <w:r w:rsidRPr="00A9683F">
        <w:rPr>
          <w:i/>
        </w:rPr>
        <w:t>See In the Matter of Application of Nexus Communications Inc. dba TSI for Desig</w:t>
      </w:r>
      <w:r>
        <w:rPr>
          <w:i/>
        </w:rPr>
        <w:softHyphen/>
      </w:r>
      <w:r w:rsidRPr="00A9683F">
        <w:rPr>
          <w:i/>
        </w:rPr>
        <w:t>nation as an Eligible Telecommunications Carrier in the State of Ohio for the Lim</w:t>
      </w:r>
      <w:r>
        <w:rPr>
          <w:i/>
        </w:rPr>
        <w:softHyphen/>
      </w:r>
      <w:r w:rsidRPr="00A9683F">
        <w:rPr>
          <w:i/>
        </w:rPr>
        <w:t>ited Purpose of Offering Lifeline and Link Up Service to Qualifying Households</w:t>
      </w:r>
      <w:r>
        <w:t xml:space="preserve">, Case No. 10-432-TP-COI (April 2, 2010); </w:t>
      </w:r>
      <w:r w:rsidRPr="00A9683F">
        <w:rPr>
          <w:i/>
        </w:rPr>
        <w:t>In the Matter of the Commission Investigation into the Provision of Pre-Paid Lifeline Service by Competitive Eligible Telecommunica</w:t>
      </w:r>
      <w:r>
        <w:rPr>
          <w:i/>
        </w:rPr>
        <w:softHyphen/>
      </w:r>
      <w:r w:rsidRPr="00A9683F">
        <w:rPr>
          <w:i/>
        </w:rPr>
        <w:t>tions Carriers</w:t>
      </w:r>
      <w:r>
        <w:t>, Case No. 10-2377-TP-COI (November 3, 2010).</w:t>
      </w:r>
    </w:p>
  </w:footnote>
  <w:footnote w:id="3">
    <w:p w:rsidR="0034667E" w:rsidRDefault="0034667E" w:rsidP="000C6CDD">
      <w:pPr>
        <w:pStyle w:val="FootnoteText"/>
      </w:pPr>
      <w:r>
        <w:rPr>
          <w:rStyle w:val="FootnoteReference"/>
        </w:rPr>
        <w:footnoteRef/>
      </w:r>
      <w:r>
        <w:t xml:space="preserve"> </w:t>
      </w:r>
      <w:r>
        <w:tab/>
      </w:r>
      <w:r>
        <w:tab/>
      </w:r>
      <w:r w:rsidRPr="009E661C">
        <w:rPr>
          <w:i/>
        </w:rPr>
        <w:t>See In th</w:t>
      </w:r>
      <w:r>
        <w:rPr>
          <w:i/>
        </w:rPr>
        <w:t>e Matter of TracFone Wireless, I</w:t>
      </w:r>
      <w:r w:rsidRPr="009E661C">
        <w:rPr>
          <w:i/>
        </w:rPr>
        <w:t>nc. Petition for Declaratory Ruling, Peti</w:t>
      </w:r>
      <w:r>
        <w:rPr>
          <w:i/>
        </w:rPr>
        <w:softHyphen/>
      </w:r>
      <w:r w:rsidRPr="009E661C">
        <w:rPr>
          <w:i/>
        </w:rPr>
        <w:t>tion for Declaratory Ruling</w:t>
      </w:r>
      <w:r>
        <w:t>, WC Docket No. 09-197, CC Docket No. 96-45 at 4 (December 1, 2010) (</w:t>
      </w:r>
      <w:r>
        <w:rPr>
          <w:i/>
        </w:rPr>
        <w:t>TracFone Petition</w:t>
      </w:r>
      <w:r>
        <w:t>).</w:t>
      </w:r>
    </w:p>
  </w:footnote>
  <w:footnote w:id="4">
    <w:p w:rsidR="0034667E" w:rsidRDefault="0034667E" w:rsidP="007D2952">
      <w:pPr>
        <w:pStyle w:val="FootnoteText"/>
      </w:pPr>
      <w:r>
        <w:rPr>
          <w:rStyle w:val="FootnoteReference"/>
        </w:rPr>
        <w:footnoteRef/>
      </w:r>
      <w:r w:rsidRPr="00FF7AD7">
        <w:rPr>
          <w:i/>
        </w:rPr>
        <w:t xml:space="preserve"> </w:t>
      </w:r>
      <w:r>
        <w:rPr>
          <w:i/>
        </w:rPr>
        <w:tab/>
      </w:r>
      <w:r>
        <w:rPr>
          <w:i/>
        </w:rPr>
        <w:tab/>
        <w:t>See id.</w:t>
      </w:r>
    </w:p>
  </w:footnote>
  <w:footnote w:id="5">
    <w:p w:rsidR="0034667E" w:rsidRDefault="0034667E">
      <w:pPr>
        <w:pStyle w:val="FootnoteText"/>
      </w:pPr>
      <w:r>
        <w:rPr>
          <w:rStyle w:val="FootnoteReference"/>
        </w:rPr>
        <w:footnoteRef/>
      </w:r>
      <w:r>
        <w:t xml:space="preserve"> </w:t>
      </w:r>
      <w:r>
        <w:tab/>
      </w:r>
      <w:r>
        <w:tab/>
      </w:r>
      <w:r w:rsidRPr="00FC29B4">
        <w:rPr>
          <w:i/>
        </w:rPr>
        <w:t>See id</w:t>
      </w:r>
      <w:r>
        <w:t>. at 5-9.</w:t>
      </w:r>
    </w:p>
  </w:footnote>
  <w:footnote w:id="6">
    <w:p w:rsidR="0034667E" w:rsidRDefault="0034667E">
      <w:pPr>
        <w:pStyle w:val="FootnoteText"/>
      </w:pPr>
      <w:r>
        <w:rPr>
          <w:rStyle w:val="FootnoteReference"/>
        </w:rPr>
        <w:footnoteRef/>
      </w:r>
      <w:r>
        <w:t xml:space="preserve"> </w:t>
      </w:r>
      <w:r>
        <w:tab/>
      </w:r>
      <w:r>
        <w:tab/>
      </w:r>
      <w:r w:rsidRPr="009456D9">
        <w:rPr>
          <w:i/>
        </w:rPr>
        <w:t xml:space="preserve">See </w:t>
      </w:r>
      <w:r>
        <w:rPr>
          <w:i/>
        </w:rPr>
        <w:t>TracFone Petition</w:t>
      </w:r>
      <w:r>
        <w:t xml:space="preserve"> at 4.</w:t>
      </w:r>
    </w:p>
  </w:footnote>
  <w:footnote w:id="7">
    <w:p w:rsidR="0034667E" w:rsidRDefault="0034667E">
      <w:pPr>
        <w:pStyle w:val="FootnoteText"/>
      </w:pPr>
      <w:r>
        <w:rPr>
          <w:rStyle w:val="FootnoteReference"/>
        </w:rPr>
        <w:footnoteRef/>
      </w:r>
      <w:r>
        <w:t xml:space="preserve"> </w:t>
      </w:r>
      <w:r>
        <w:tab/>
      </w:r>
      <w:r>
        <w:tab/>
      </w:r>
      <w:r w:rsidRPr="009456D9">
        <w:rPr>
          <w:i/>
        </w:rPr>
        <w:t xml:space="preserve">See </w:t>
      </w:r>
      <w:r>
        <w:rPr>
          <w:i/>
        </w:rPr>
        <w:t>TracFone Petition</w:t>
      </w:r>
      <w:r>
        <w:t xml:space="preserve"> at 4</w:t>
      </w:r>
      <w:r w:rsidRPr="00A90F56">
        <w:rPr>
          <w:i/>
        </w:rPr>
        <w:t>.</w:t>
      </w:r>
    </w:p>
  </w:footnote>
  <w:footnote w:id="8">
    <w:p w:rsidR="0034667E" w:rsidRDefault="0034667E">
      <w:pPr>
        <w:pStyle w:val="FootnoteText"/>
      </w:pPr>
      <w:r>
        <w:rPr>
          <w:rStyle w:val="FootnoteReference"/>
        </w:rPr>
        <w:footnoteRef/>
      </w:r>
      <w:r>
        <w:t xml:space="preserve"> </w:t>
      </w:r>
      <w:r>
        <w:tab/>
      </w:r>
      <w:r>
        <w:tab/>
      </w:r>
      <w:r w:rsidRPr="00A90F56">
        <w:rPr>
          <w:i/>
        </w:rPr>
        <w:t>Id.</w:t>
      </w:r>
    </w:p>
  </w:footnote>
  <w:footnote w:id="9">
    <w:p w:rsidR="0034667E" w:rsidRDefault="0034667E">
      <w:pPr>
        <w:pStyle w:val="FootnoteText"/>
      </w:pPr>
      <w:r>
        <w:rPr>
          <w:rStyle w:val="FootnoteReference"/>
        </w:rPr>
        <w:footnoteRef/>
      </w:r>
      <w:r>
        <w:t xml:space="preserve"> </w:t>
      </w:r>
      <w:r>
        <w:tab/>
      </w:r>
      <w:r>
        <w:tab/>
      </w:r>
      <w:r w:rsidRPr="00A90F56">
        <w:rPr>
          <w:i/>
        </w:rPr>
        <w:t>Id.</w:t>
      </w:r>
      <w:r>
        <w:t xml:space="preserve"> at 4-5.</w:t>
      </w:r>
    </w:p>
  </w:footnote>
  <w:footnote w:id="10">
    <w:p w:rsidR="0034667E" w:rsidRDefault="0034667E">
      <w:pPr>
        <w:pStyle w:val="FootnoteText"/>
      </w:pPr>
      <w:r>
        <w:rPr>
          <w:rStyle w:val="FootnoteReference"/>
        </w:rPr>
        <w:footnoteRef/>
      </w:r>
      <w:r>
        <w:t xml:space="preserve"> </w:t>
      </w:r>
      <w:r>
        <w:tab/>
      </w:r>
      <w:r>
        <w:tab/>
      </w:r>
      <w:r>
        <w:rPr>
          <w:i/>
        </w:rPr>
        <w:t>TracFone Petition</w:t>
      </w:r>
      <w:r>
        <w:t xml:space="preserve"> at 9.</w:t>
      </w:r>
    </w:p>
  </w:footnote>
  <w:footnote w:id="11">
    <w:p w:rsidR="0034667E" w:rsidRDefault="0034667E">
      <w:pPr>
        <w:pStyle w:val="FootnoteText"/>
      </w:pPr>
      <w:r>
        <w:rPr>
          <w:rStyle w:val="FootnoteReference"/>
        </w:rPr>
        <w:footnoteRef/>
      </w:r>
      <w:r>
        <w:t xml:space="preserve"> </w:t>
      </w:r>
      <w:r>
        <w:tab/>
      </w:r>
      <w:r>
        <w:tab/>
      </w:r>
      <w:r w:rsidRPr="00E843C0">
        <w:rPr>
          <w:i/>
        </w:rPr>
        <w:t>See id</w:t>
      </w:r>
      <w:r>
        <w:t>. at 10-12.</w:t>
      </w:r>
    </w:p>
  </w:footnote>
  <w:footnote w:id="12">
    <w:p w:rsidR="0034667E" w:rsidRDefault="0034667E">
      <w:pPr>
        <w:pStyle w:val="FootnoteText"/>
      </w:pPr>
      <w:r>
        <w:rPr>
          <w:rStyle w:val="FootnoteReference"/>
        </w:rPr>
        <w:footnoteRef/>
      </w:r>
      <w:r>
        <w:t xml:space="preserve"> </w:t>
      </w:r>
      <w:r>
        <w:tab/>
      </w:r>
      <w:r>
        <w:tab/>
      </w:r>
      <w:r w:rsidRPr="001C3AF5">
        <w:rPr>
          <w:i/>
        </w:rPr>
        <w:t xml:space="preserve">See </w:t>
      </w:r>
      <w:r>
        <w:rPr>
          <w:i/>
        </w:rPr>
        <w:t>TracFone Petition</w:t>
      </w:r>
      <w:r>
        <w:t xml:space="preserve"> at 13, quoting 47 U.S.C. 214(e)(1)(A) (2010).</w:t>
      </w:r>
    </w:p>
  </w:footnote>
  <w:footnote w:id="13">
    <w:p w:rsidR="0034667E" w:rsidRDefault="0034667E">
      <w:pPr>
        <w:pStyle w:val="FootnoteText"/>
      </w:pPr>
      <w:r>
        <w:rPr>
          <w:rStyle w:val="FootnoteReference"/>
        </w:rPr>
        <w:footnoteRef/>
      </w:r>
      <w:r>
        <w:t xml:space="preserve"> </w:t>
      </w:r>
      <w:r>
        <w:tab/>
      </w:r>
      <w:r>
        <w:tab/>
      </w:r>
      <w:r w:rsidRPr="00D15268">
        <w:rPr>
          <w:i/>
        </w:rPr>
        <w:t xml:space="preserve">See </w:t>
      </w:r>
      <w:r>
        <w:rPr>
          <w:i/>
        </w:rPr>
        <w:t>TracFone Petition</w:t>
      </w:r>
      <w:r>
        <w:t xml:space="preserve"> at 17.</w:t>
      </w:r>
    </w:p>
  </w:footnote>
  <w:footnote w:id="14">
    <w:p w:rsidR="0034667E" w:rsidRDefault="0034667E">
      <w:pPr>
        <w:pStyle w:val="FootnoteText"/>
      </w:pPr>
      <w:r>
        <w:rPr>
          <w:rStyle w:val="FootnoteReference"/>
        </w:rPr>
        <w:footnoteRef/>
      </w:r>
      <w:r>
        <w:t xml:space="preserve"> </w:t>
      </w:r>
      <w:r>
        <w:tab/>
      </w:r>
      <w:r>
        <w:tab/>
      </w:r>
      <w:r w:rsidRPr="00656547">
        <w:rPr>
          <w:i/>
        </w:rPr>
        <w:t>See id.</w:t>
      </w:r>
    </w:p>
  </w:footnote>
  <w:footnote w:id="15">
    <w:p w:rsidR="0034667E" w:rsidRPr="003324F1" w:rsidRDefault="0034667E">
      <w:pPr>
        <w:pStyle w:val="FootnoteText"/>
      </w:pPr>
      <w:r>
        <w:rPr>
          <w:rStyle w:val="FootnoteReference"/>
        </w:rPr>
        <w:footnoteRef/>
      </w:r>
      <w:r>
        <w:t xml:space="preserve"> </w:t>
      </w:r>
      <w:r>
        <w:tab/>
      </w:r>
      <w:r>
        <w:tab/>
      </w:r>
      <w:r w:rsidRPr="00690990">
        <w:rPr>
          <w:i/>
        </w:rPr>
        <w:t xml:space="preserve">See </w:t>
      </w:r>
      <w:r>
        <w:rPr>
          <w:i/>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7E" w:rsidRDefault="0034667E" w:rsidP="004A2D07">
    <w:pPr>
      <w:pStyle w:val="Header"/>
      <w:jc w:val="center"/>
      <w:rPr>
        <w:rFonts w:ascii="Times New Roman" w:hAnsi="Times New Roman"/>
        <w:b/>
        <w:sz w:val="28"/>
        <w:szCs w:val="28"/>
      </w:rPr>
    </w:pPr>
    <w:r>
      <w:rPr>
        <w:rFonts w:ascii="Times New Roman" w:hAnsi="Times New Roman"/>
        <w:b/>
        <w:sz w:val="28"/>
        <w:szCs w:val="28"/>
      </w:rPr>
      <w:t>TABLE OF CONTENTS</w:t>
    </w:r>
  </w:p>
  <w:p w:rsidR="0034667E" w:rsidRPr="004A2D07" w:rsidRDefault="0034667E" w:rsidP="004A2D07">
    <w:pPr>
      <w:pStyle w:val="Header"/>
      <w:jc w:val="right"/>
      <w:rPr>
        <w:rFonts w:ascii="Times New Roman" w:hAnsi="Times New Roman"/>
        <w:b/>
        <w:sz w:val="28"/>
        <w:szCs w:val="28"/>
      </w:rPr>
    </w:pPr>
    <w:r>
      <w:rPr>
        <w:rFonts w:ascii="Times New Roman" w:hAnsi="Times New Roman"/>
        <w:b/>
        <w:sz w:val="28"/>
        <w:szCs w:val="28"/>
      </w:rPr>
      <w:t>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7E" w:rsidRDefault="003466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7E" w:rsidRPr="004A2D07" w:rsidRDefault="0034667E" w:rsidP="004A2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3A5B"/>
    <w:multiLevelType w:val="hybridMultilevel"/>
    <w:tmpl w:val="10D4FDD6"/>
    <w:lvl w:ilvl="0" w:tplc="BDA86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F96780"/>
    <w:multiLevelType w:val="hybridMultilevel"/>
    <w:tmpl w:val="3068576C"/>
    <w:lvl w:ilvl="0" w:tplc="8FFC61B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287F2B"/>
    <w:multiLevelType w:val="hybridMultilevel"/>
    <w:tmpl w:val="3E3AA53E"/>
    <w:lvl w:ilvl="0" w:tplc="C78865D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5E369D"/>
    <w:multiLevelType w:val="hybridMultilevel"/>
    <w:tmpl w:val="9500C3BA"/>
    <w:lvl w:ilvl="0" w:tplc="4DDC50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5285C"/>
    <w:multiLevelType w:val="hybridMultilevel"/>
    <w:tmpl w:val="8E1EBE3A"/>
    <w:lvl w:ilvl="0" w:tplc="32E850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234A9F"/>
    <w:multiLevelType w:val="hybridMultilevel"/>
    <w:tmpl w:val="B6CA0C82"/>
    <w:lvl w:ilvl="0" w:tplc="30603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DF7C56"/>
    <w:multiLevelType w:val="hybridMultilevel"/>
    <w:tmpl w:val="C7408898"/>
    <w:lvl w:ilvl="0" w:tplc="9EF81E4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proofState w:spelling="clean" w:grammar="clean"/>
  <w:doNotTrackMove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0DE"/>
    <w:rsid w:val="00011C9F"/>
    <w:rsid w:val="000440E9"/>
    <w:rsid w:val="0007315C"/>
    <w:rsid w:val="00083F2F"/>
    <w:rsid w:val="00091518"/>
    <w:rsid w:val="000A656D"/>
    <w:rsid w:val="000C6CDD"/>
    <w:rsid w:val="00123FAD"/>
    <w:rsid w:val="0012774C"/>
    <w:rsid w:val="00133D76"/>
    <w:rsid w:val="0017546C"/>
    <w:rsid w:val="001C3AF5"/>
    <w:rsid w:val="001C6D07"/>
    <w:rsid w:val="001E238A"/>
    <w:rsid w:val="001F641D"/>
    <w:rsid w:val="00212646"/>
    <w:rsid w:val="002131A9"/>
    <w:rsid w:val="00292717"/>
    <w:rsid w:val="002D605F"/>
    <w:rsid w:val="002E4B72"/>
    <w:rsid w:val="002F74E8"/>
    <w:rsid w:val="00310C3F"/>
    <w:rsid w:val="00322423"/>
    <w:rsid w:val="003324F1"/>
    <w:rsid w:val="003439E6"/>
    <w:rsid w:val="0034667E"/>
    <w:rsid w:val="00354957"/>
    <w:rsid w:val="003620D0"/>
    <w:rsid w:val="00366434"/>
    <w:rsid w:val="003830D1"/>
    <w:rsid w:val="003A7B66"/>
    <w:rsid w:val="003D30F1"/>
    <w:rsid w:val="003E69EA"/>
    <w:rsid w:val="003F46EA"/>
    <w:rsid w:val="00421899"/>
    <w:rsid w:val="004345EF"/>
    <w:rsid w:val="00452BD2"/>
    <w:rsid w:val="00461128"/>
    <w:rsid w:val="0047656A"/>
    <w:rsid w:val="004A2D07"/>
    <w:rsid w:val="004C70FF"/>
    <w:rsid w:val="004C7D48"/>
    <w:rsid w:val="004D441F"/>
    <w:rsid w:val="004D5033"/>
    <w:rsid w:val="005150DE"/>
    <w:rsid w:val="00531C66"/>
    <w:rsid w:val="00545A8A"/>
    <w:rsid w:val="00570A50"/>
    <w:rsid w:val="005B5EE1"/>
    <w:rsid w:val="005D6B88"/>
    <w:rsid w:val="006011E4"/>
    <w:rsid w:val="00654150"/>
    <w:rsid w:val="00656547"/>
    <w:rsid w:val="00670BE9"/>
    <w:rsid w:val="00690990"/>
    <w:rsid w:val="006B63C3"/>
    <w:rsid w:val="007121BB"/>
    <w:rsid w:val="00716DE9"/>
    <w:rsid w:val="007366AA"/>
    <w:rsid w:val="007678C8"/>
    <w:rsid w:val="00781C8D"/>
    <w:rsid w:val="007869C7"/>
    <w:rsid w:val="00790E12"/>
    <w:rsid w:val="007A08D6"/>
    <w:rsid w:val="007A78C6"/>
    <w:rsid w:val="007B7FE9"/>
    <w:rsid w:val="007D1829"/>
    <w:rsid w:val="007D2396"/>
    <w:rsid w:val="007D2952"/>
    <w:rsid w:val="007F28E1"/>
    <w:rsid w:val="0088428F"/>
    <w:rsid w:val="008B23ED"/>
    <w:rsid w:val="008C29B4"/>
    <w:rsid w:val="008E37CD"/>
    <w:rsid w:val="008F7AB8"/>
    <w:rsid w:val="009456D9"/>
    <w:rsid w:val="0097641F"/>
    <w:rsid w:val="009B563E"/>
    <w:rsid w:val="009C2F1A"/>
    <w:rsid w:val="009D59EB"/>
    <w:rsid w:val="009E661C"/>
    <w:rsid w:val="00A0279D"/>
    <w:rsid w:val="00A06A43"/>
    <w:rsid w:val="00A2423B"/>
    <w:rsid w:val="00A24398"/>
    <w:rsid w:val="00A26420"/>
    <w:rsid w:val="00A55BC0"/>
    <w:rsid w:val="00A61879"/>
    <w:rsid w:val="00A64E61"/>
    <w:rsid w:val="00A73D1E"/>
    <w:rsid w:val="00A90F56"/>
    <w:rsid w:val="00A9683F"/>
    <w:rsid w:val="00AA2F83"/>
    <w:rsid w:val="00AB2A05"/>
    <w:rsid w:val="00AF2C00"/>
    <w:rsid w:val="00AF4098"/>
    <w:rsid w:val="00B1096E"/>
    <w:rsid w:val="00B2058F"/>
    <w:rsid w:val="00B43B6A"/>
    <w:rsid w:val="00B553D5"/>
    <w:rsid w:val="00B66FD9"/>
    <w:rsid w:val="00BA4F7E"/>
    <w:rsid w:val="00BC7371"/>
    <w:rsid w:val="00BD3A9B"/>
    <w:rsid w:val="00C106C4"/>
    <w:rsid w:val="00C16BCA"/>
    <w:rsid w:val="00C16E0A"/>
    <w:rsid w:val="00C30E01"/>
    <w:rsid w:val="00C602F5"/>
    <w:rsid w:val="00CA33D7"/>
    <w:rsid w:val="00CE2C66"/>
    <w:rsid w:val="00D15268"/>
    <w:rsid w:val="00D36A9E"/>
    <w:rsid w:val="00D66DF0"/>
    <w:rsid w:val="00DB2C06"/>
    <w:rsid w:val="00E03CBD"/>
    <w:rsid w:val="00E12199"/>
    <w:rsid w:val="00E364F5"/>
    <w:rsid w:val="00E522FB"/>
    <w:rsid w:val="00E74285"/>
    <w:rsid w:val="00E843C0"/>
    <w:rsid w:val="00EB2110"/>
    <w:rsid w:val="00EB3004"/>
    <w:rsid w:val="00EC0634"/>
    <w:rsid w:val="00ED2106"/>
    <w:rsid w:val="00F5679D"/>
    <w:rsid w:val="00F768F8"/>
    <w:rsid w:val="00F90C83"/>
    <w:rsid w:val="00FC29B4"/>
    <w:rsid w:val="00FC7A38"/>
    <w:rsid w:val="00FF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DE"/>
    <w:pPr>
      <w:spacing w:after="200" w:line="276" w:lineRule="auto"/>
    </w:pPr>
    <w:rPr>
      <w:sz w:val="22"/>
      <w:szCs w:val="22"/>
    </w:rPr>
  </w:style>
  <w:style w:type="paragraph" w:styleId="Heading1">
    <w:name w:val="heading 1"/>
    <w:basedOn w:val="Normal"/>
    <w:next w:val="Normal"/>
    <w:link w:val="Heading1Char"/>
    <w:autoRedefine/>
    <w:uiPriority w:val="9"/>
    <w:qFormat/>
    <w:rsid w:val="00E364F5"/>
    <w:pPr>
      <w:keepNext/>
      <w:spacing w:before="360" w:after="240" w:line="240" w:lineRule="auto"/>
      <w:jc w:val="center"/>
      <w:outlineLvl w:val="0"/>
    </w:pPr>
    <w:rPr>
      <w:rFonts w:ascii="Times New Roman" w:hAnsi="Times New Roman"/>
      <w:b/>
      <w:bCs/>
      <w:kern w:val="32"/>
      <w:sz w:val="28"/>
      <w:szCs w:val="32"/>
    </w:rPr>
  </w:style>
  <w:style w:type="paragraph" w:styleId="Heading2">
    <w:name w:val="heading 2"/>
    <w:basedOn w:val="Normal"/>
    <w:next w:val="Normal"/>
    <w:link w:val="Heading2Char"/>
    <w:autoRedefine/>
    <w:uiPriority w:val="9"/>
    <w:unhideWhenUsed/>
    <w:qFormat/>
    <w:rsid w:val="00452BD2"/>
    <w:pPr>
      <w:keepNext/>
      <w:spacing w:before="360" w:after="240" w:line="240" w:lineRule="auto"/>
      <w:ind w:left="2160" w:right="1440" w:hanging="720"/>
      <w:outlineLvl w:val="1"/>
    </w:pPr>
    <w:rPr>
      <w:rFonts w:ascii="Times New Roman" w:hAnsi="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4A2D07"/>
    <w:pPr>
      <w:spacing w:before="240" w:after="240" w:line="240" w:lineRule="auto"/>
      <w:ind w:left="720" w:hanging="720"/>
      <w:jc w:val="both"/>
    </w:pPr>
    <w:rPr>
      <w:rFonts w:ascii="Times New Roman" w:hAnsi="Times New Roman"/>
      <w:sz w:val="24"/>
      <w:szCs w:val="20"/>
    </w:rPr>
  </w:style>
  <w:style w:type="character" w:customStyle="1" w:styleId="FootnoteTextChar">
    <w:name w:val="Footnote Text Char"/>
    <w:link w:val="FootnoteText"/>
    <w:uiPriority w:val="99"/>
    <w:rsid w:val="004A2D07"/>
    <w:rPr>
      <w:rFonts w:ascii="Times New Roman" w:hAnsi="Times New Roman"/>
      <w:sz w:val="24"/>
    </w:rPr>
  </w:style>
  <w:style w:type="character" w:styleId="FootnoteReference">
    <w:name w:val="footnote reference"/>
    <w:uiPriority w:val="99"/>
    <w:semiHidden/>
    <w:unhideWhenUsed/>
    <w:rsid w:val="004C7D48"/>
    <w:rPr>
      <w:vertAlign w:val="superscript"/>
    </w:rPr>
  </w:style>
  <w:style w:type="paragraph" w:styleId="ListParagraph">
    <w:name w:val="List Paragraph"/>
    <w:basedOn w:val="Normal"/>
    <w:uiPriority w:val="34"/>
    <w:qFormat/>
    <w:rsid w:val="00781C8D"/>
    <w:pPr>
      <w:ind w:left="720"/>
      <w:contextualSpacing/>
    </w:pPr>
  </w:style>
  <w:style w:type="paragraph" w:styleId="Header">
    <w:name w:val="header"/>
    <w:basedOn w:val="Normal"/>
    <w:link w:val="HeaderChar"/>
    <w:uiPriority w:val="99"/>
    <w:unhideWhenUsed/>
    <w:rsid w:val="00F768F8"/>
    <w:pPr>
      <w:tabs>
        <w:tab w:val="center" w:pos="4680"/>
        <w:tab w:val="right" w:pos="9360"/>
      </w:tabs>
    </w:pPr>
  </w:style>
  <w:style w:type="character" w:customStyle="1" w:styleId="HeaderChar">
    <w:name w:val="Header Char"/>
    <w:link w:val="Header"/>
    <w:uiPriority w:val="99"/>
    <w:rsid w:val="00F768F8"/>
    <w:rPr>
      <w:sz w:val="22"/>
      <w:szCs w:val="22"/>
    </w:rPr>
  </w:style>
  <w:style w:type="paragraph" w:styleId="Footer">
    <w:name w:val="footer"/>
    <w:basedOn w:val="Normal"/>
    <w:link w:val="FooterChar"/>
    <w:uiPriority w:val="99"/>
    <w:unhideWhenUsed/>
    <w:rsid w:val="00F768F8"/>
    <w:pPr>
      <w:tabs>
        <w:tab w:val="center" w:pos="4680"/>
        <w:tab w:val="right" w:pos="9360"/>
      </w:tabs>
    </w:pPr>
  </w:style>
  <w:style w:type="character" w:customStyle="1" w:styleId="FooterChar">
    <w:name w:val="Footer Char"/>
    <w:link w:val="Footer"/>
    <w:uiPriority w:val="99"/>
    <w:rsid w:val="00F768F8"/>
    <w:rPr>
      <w:sz w:val="22"/>
      <w:szCs w:val="22"/>
    </w:rPr>
  </w:style>
  <w:style w:type="paragraph" w:styleId="BalloonText">
    <w:name w:val="Balloon Text"/>
    <w:basedOn w:val="Normal"/>
    <w:link w:val="BalloonTextChar"/>
    <w:uiPriority w:val="99"/>
    <w:semiHidden/>
    <w:unhideWhenUsed/>
    <w:rsid w:val="007B7F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7FE9"/>
    <w:rPr>
      <w:rFonts w:ascii="Tahoma" w:hAnsi="Tahoma" w:cs="Tahoma"/>
      <w:sz w:val="16"/>
      <w:szCs w:val="16"/>
    </w:rPr>
  </w:style>
  <w:style w:type="table" w:styleId="TableGrid">
    <w:name w:val="Table Grid"/>
    <w:basedOn w:val="TableNormal"/>
    <w:uiPriority w:val="59"/>
    <w:rsid w:val="00E364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E364F5"/>
    <w:rPr>
      <w:rFonts w:ascii="Times New Roman" w:eastAsia="Times New Roman" w:hAnsi="Times New Roman" w:cs="Times New Roman"/>
      <w:b/>
      <w:bCs/>
      <w:kern w:val="32"/>
      <w:sz w:val="28"/>
      <w:szCs w:val="32"/>
    </w:rPr>
  </w:style>
  <w:style w:type="paragraph" w:customStyle="1" w:styleId="Textstyle">
    <w:name w:val="Text style"/>
    <w:basedOn w:val="Normal"/>
    <w:autoRedefine/>
    <w:rsid w:val="00E364F5"/>
    <w:pPr>
      <w:spacing w:after="0" w:line="480" w:lineRule="auto"/>
      <w:jc w:val="both"/>
    </w:pPr>
    <w:rPr>
      <w:rFonts w:ascii="Times New Roman" w:hAnsi="Times New Roman"/>
      <w:sz w:val="26"/>
      <w:szCs w:val="24"/>
    </w:rPr>
  </w:style>
  <w:style w:type="character" w:customStyle="1" w:styleId="Heading2Char">
    <w:name w:val="Heading 2 Char"/>
    <w:link w:val="Heading2"/>
    <w:uiPriority w:val="9"/>
    <w:rsid w:val="00452BD2"/>
    <w:rPr>
      <w:rFonts w:ascii="Times New Roman" w:hAnsi="Times New Roman"/>
      <w:b/>
      <w:bCs/>
      <w:iCs/>
      <w:sz w:val="28"/>
      <w:szCs w:val="28"/>
    </w:rPr>
  </w:style>
  <w:style w:type="paragraph" w:customStyle="1" w:styleId="Blockquote">
    <w:name w:val="Block quote"/>
    <w:basedOn w:val="ListParagraph"/>
    <w:autoRedefine/>
    <w:rsid w:val="00E364F5"/>
    <w:pPr>
      <w:tabs>
        <w:tab w:val="left" w:pos="0"/>
      </w:tabs>
      <w:spacing w:after="240" w:line="240" w:lineRule="auto"/>
      <w:ind w:left="1440" w:right="1440"/>
      <w:contextualSpacing w:val="0"/>
      <w:jc w:val="both"/>
    </w:pPr>
    <w:rPr>
      <w:rFonts w:ascii="Times New Roman" w:hAnsi="Times New Roman"/>
      <w:sz w:val="26"/>
      <w:szCs w:val="24"/>
    </w:rPr>
  </w:style>
  <w:style w:type="paragraph" w:styleId="EndnoteText">
    <w:name w:val="endnote text"/>
    <w:basedOn w:val="Normal"/>
    <w:link w:val="EndnoteTextChar"/>
    <w:uiPriority w:val="99"/>
    <w:semiHidden/>
    <w:unhideWhenUsed/>
    <w:rsid w:val="00E364F5"/>
    <w:rPr>
      <w:sz w:val="20"/>
      <w:szCs w:val="20"/>
    </w:rPr>
  </w:style>
  <w:style w:type="character" w:customStyle="1" w:styleId="EndnoteTextChar">
    <w:name w:val="Endnote Text Char"/>
    <w:basedOn w:val="DefaultParagraphFont"/>
    <w:link w:val="EndnoteText"/>
    <w:uiPriority w:val="99"/>
    <w:semiHidden/>
    <w:rsid w:val="00E364F5"/>
  </w:style>
  <w:style w:type="character" w:styleId="EndnoteReference">
    <w:name w:val="endnote reference"/>
    <w:uiPriority w:val="99"/>
    <w:semiHidden/>
    <w:unhideWhenUsed/>
    <w:rsid w:val="00E364F5"/>
    <w:rPr>
      <w:vertAlign w:val="superscript"/>
    </w:rPr>
  </w:style>
  <w:style w:type="character" w:styleId="Hyperlink">
    <w:name w:val="Hyperlink"/>
    <w:uiPriority w:val="99"/>
    <w:unhideWhenUsed/>
    <w:rsid w:val="004A2D07"/>
    <w:rPr>
      <w:color w:val="0000FF"/>
      <w:u w:val="single"/>
    </w:rPr>
  </w:style>
  <w:style w:type="paragraph" w:styleId="TOC1">
    <w:name w:val="toc 1"/>
    <w:basedOn w:val="Normal"/>
    <w:next w:val="Normal"/>
    <w:autoRedefine/>
    <w:uiPriority w:val="39"/>
    <w:unhideWhenUsed/>
    <w:rsid w:val="004A2D07"/>
    <w:pPr>
      <w:tabs>
        <w:tab w:val="right" w:leader="dot" w:pos="9346"/>
      </w:tabs>
      <w:spacing w:before="240" w:after="240" w:line="240" w:lineRule="auto"/>
      <w:ind w:left="720" w:right="1440" w:hanging="720"/>
    </w:pPr>
    <w:rPr>
      <w:rFonts w:ascii="Times New Roman" w:hAnsi="Times New Roman"/>
      <w:sz w:val="26"/>
    </w:rPr>
  </w:style>
  <w:style w:type="paragraph" w:styleId="TOC2">
    <w:name w:val="toc 2"/>
    <w:basedOn w:val="Normal"/>
    <w:next w:val="Normal"/>
    <w:autoRedefine/>
    <w:uiPriority w:val="39"/>
    <w:unhideWhenUsed/>
    <w:rsid w:val="004A2D07"/>
    <w:pPr>
      <w:tabs>
        <w:tab w:val="right" w:leader="dot" w:pos="9350"/>
      </w:tabs>
      <w:spacing w:before="240" w:after="240" w:line="240" w:lineRule="auto"/>
      <w:ind w:left="1440" w:right="1440" w:hanging="720"/>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phen.reilly@puc.state.oh.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931F2-131E-4D6A-92FD-0AABA3C7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dc:creator>
  <cp:lastModifiedBy>Keeton, Kim</cp:lastModifiedBy>
  <cp:revision>11</cp:revision>
  <cp:lastPrinted>2010-12-23T18:28:00Z</cp:lastPrinted>
  <dcterms:created xsi:type="dcterms:W3CDTF">2010-12-23T14:02:00Z</dcterms:created>
  <dcterms:modified xsi:type="dcterms:W3CDTF">2010-12-23T18:40:00Z</dcterms:modified>
</cp:coreProperties>
</file>