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eastAsia="Times New Roman"/>
          <w:b/>
          <w:smallCaps/>
          <w:sz w:val="28"/>
          <w:szCs w:val="24"/>
        </w:rPr>
      </w:pPr>
      <w:r>
        <w:rPr>
          <w:rFonts w:eastAsia="Times New Roman"/>
          <w:b/>
          <w:smallCaps/>
          <w:sz w:val="28"/>
          <w:szCs w:val="24"/>
        </w:rPr>
        <w:t>Before</w:t>
      </w:r>
    </w:p>
    <w:p>
      <w:pPr>
        <w:spacing w:after="200" w:line="276" w:lineRule="auto"/>
        <w:jc w:val="center"/>
        <w:rPr>
          <w:rFonts w:eastAsia="Times New Roman"/>
          <w:b/>
          <w:smallCaps/>
          <w:sz w:val="28"/>
        </w:rPr>
      </w:pPr>
      <w:r>
        <w:rPr>
          <w:rFonts w:eastAsia="Times New Roman"/>
          <w:b/>
          <w:smallCaps/>
          <w:sz w:val="28"/>
        </w:rPr>
        <w:t>The Public Utilities Commission of Ohio</w:t>
      </w:r>
    </w:p>
    <w:p>
      <w:pPr>
        <w:rPr>
          <w:rFonts w:eastAsia="Times New Roman"/>
          <w:sz w:val="20"/>
          <w:szCs w:val="20"/>
        </w:rPr>
      </w:pPr>
    </w:p>
    <w:p>
      <w:pPr>
        <w:tabs>
          <w:tab w:val="left" w:pos="4680"/>
        </w:tabs>
        <w:rPr>
          <w:rFonts w:eastAsia="Times New Roman" w:cs="Times New Roman"/>
          <w:szCs w:val="24"/>
        </w:rPr>
      </w:pPr>
      <w:r>
        <w:rPr>
          <w:rFonts w:eastAsia="Times New Roman" w:cs="Times New Roman"/>
          <w:szCs w:val="24"/>
        </w:rPr>
        <w:t xml:space="preserve">In the Matter of the Application of </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 xml:space="preserve">The Dayton Power and Light Company </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12-426-EL-SSO</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Its Market Rate Offer.</w:t>
      </w:r>
      <w:r>
        <w:rPr>
          <w:rFonts w:eastAsia="Times New Roman" w:cs="Times New Roman"/>
          <w:szCs w:val="24"/>
        </w:rPr>
        <w:tab/>
        <w:t>)</w:t>
      </w:r>
    </w:p>
    <w:p>
      <w:pPr>
        <w:tabs>
          <w:tab w:val="left" w:pos="4680"/>
          <w:tab w:val="left" w:pos="5400"/>
        </w:tabs>
        <w:rPr>
          <w:rFonts w:eastAsia="Times New Roman" w:cs="Times New Roman"/>
          <w:sz w:val="20"/>
          <w:szCs w:val="20"/>
        </w:rPr>
      </w:pPr>
    </w:p>
    <w:p>
      <w:pPr>
        <w:tabs>
          <w:tab w:val="left" w:pos="4680"/>
          <w:tab w:val="left" w:pos="540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12-427-EL-ATA</w:t>
      </w:r>
    </w:p>
    <w:p>
      <w:pPr>
        <w:tabs>
          <w:tab w:val="left" w:pos="468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Revised Tariffs.</w:t>
      </w:r>
      <w:r>
        <w:rPr>
          <w:rFonts w:eastAsia="Times New Roman" w:cs="Times New Roman"/>
          <w:szCs w:val="24"/>
        </w:rPr>
        <w:tab/>
        <w:t>)</w:t>
      </w:r>
    </w:p>
    <w:p>
      <w:pPr>
        <w:tabs>
          <w:tab w:val="left" w:pos="5040"/>
        </w:tabs>
        <w:rPr>
          <w:rFonts w:eastAsia="Times New Roman" w:cs="Times New Roman"/>
          <w:sz w:val="20"/>
          <w:szCs w:val="20"/>
        </w:rPr>
      </w:pPr>
    </w:p>
    <w:p>
      <w:pPr>
        <w:tabs>
          <w:tab w:val="left" w:pos="468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 w:val="left" w:pos="540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12-428-EL-AAM</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Certain Accounting </w:t>
      </w:r>
      <w:r>
        <w:rPr>
          <w:rFonts w:eastAsia="Times New Roman" w:cs="Times New Roman"/>
          <w:szCs w:val="24"/>
        </w:rPr>
        <w:tab/>
        <w:t>)</w:t>
      </w:r>
    </w:p>
    <w:p>
      <w:pPr>
        <w:tabs>
          <w:tab w:val="left" w:pos="4680"/>
        </w:tabs>
        <w:rPr>
          <w:rFonts w:eastAsia="Times New Roman" w:cs="Times New Roman"/>
          <w:szCs w:val="24"/>
        </w:rPr>
      </w:pPr>
      <w:proofErr w:type="gramStart"/>
      <w:r>
        <w:rPr>
          <w:rFonts w:eastAsia="Times New Roman" w:cs="Times New Roman"/>
          <w:szCs w:val="24"/>
        </w:rPr>
        <w:t>Authority.</w:t>
      </w:r>
      <w:proofErr w:type="gramEnd"/>
      <w:r>
        <w:rPr>
          <w:rFonts w:eastAsia="Times New Roman" w:cs="Times New Roman"/>
          <w:szCs w:val="24"/>
        </w:rPr>
        <w:tab/>
        <w:t>)</w:t>
      </w:r>
    </w:p>
    <w:p>
      <w:pPr>
        <w:tabs>
          <w:tab w:val="left" w:pos="4680"/>
        </w:tabs>
        <w:rPr>
          <w:rFonts w:eastAsia="Times New Roman" w:cs="Times New Roman"/>
          <w:sz w:val="20"/>
          <w:szCs w:val="20"/>
        </w:rPr>
      </w:pPr>
    </w:p>
    <w:p>
      <w:pPr>
        <w:tabs>
          <w:tab w:val="left" w:pos="468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 w:val="left" w:pos="540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12-429-EL-WVR</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Waiver of Certain Commission Rules.</w:t>
      </w:r>
      <w:r>
        <w:rPr>
          <w:rFonts w:eastAsia="Times New Roman" w:cs="Times New Roman"/>
          <w:szCs w:val="24"/>
        </w:rPr>
        <w:tab/>
        <w:t>)</w:t>
      </w:r>
    </w:p>
    <w:p>
      <w:pPr>
        <w:tabs>
          <w:tab w:val="left" w:pos="4680"/>
          <w:tab w:val="left" w:pos="5400"/>
        </w:tabs>
        <w:rPr>
          <w:rFonts w:eastAsia="Times New Roman" w:cs="Times New Roman"/>
          <w:sz w:val="20"/>
          <w:szCs w:val="20"/>
        </w:rPr>
      </w:pPr>
    </w:p>
    <w:p>
      <w:pPr>
        <w:tabs>
          <w:tab w:val="left" w:pos="4680"/>
          <w:tab w:val="left" w:pos="540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12-672-EL-RDR</w:t>
      </w:r>
    </w:p>
    <w:p>
      <w:pPr>
        <w:tabs>
          <w:tab w:val="left" w:pos="4680"/>
        </w:tabs>
        <w:rPr>
          <w:rFonts w:eastAsia="Times New Roman" w:cs="Times New Roman"/>
          <w:szCs w:val="24"/>
        </w:rPr>
      </w:pPr>
      <w:proofErr w:type="gramStart"/>
      <w:r>
        <w:rPr>
          <w:rFonts w:eastAsia="Times New Roman" w:cs="Times New Roman"/>
          <w:szCs w:val="24"/>
        </w:rPr>
        <w:t>to</w:t>
      </w:r>
      <w:proofErr w:type="gramEnd"/>
      <w:r>
        <w:rPr>
          <w:rFonts w:eastAsia="Times New Roman" w:cs="Times New Roman"/>
          <w:szCs w:val="24"/>
        </w:rPr>
        <w:t xml:space="preserve"> Establish Tariff Riders.</w:t>
      </w:r>
      <w:r>
        <w:rPr>
          <w:rFonts w:eastAsia="Times New Roman" w:cs="Times New Roman"/>
          <w:szCs w:val="24"/>
        </w:rPr>
        <w:tab/>
        <w:t>)</w:t>
      </w:r>
    </w:p>
    <w:p>
      <w:pPr>
        <w:tabs>
          <w:tab w:val="left" w:pos="4680"/>
        </w:tabs>
        <w:rPr>
          <w:rFonts w:eastAsia="Times New Roman" w:cs="Times New Roman"/>
          <w:szCs w:val="24"/>
        </w:rPr>
      </w:pPr>
    </w:p>
    <w:p>
      <w:pPr>
        <w:tabs>
          <w:tab w:val="left" w:pos="4680"/>
        </w:tabs>
        <w:rPr>
          <w:rFonts w:eastAsia="Times New Roman" w:cs="Times New Roman"/>
          <w:szCs w:val="24"/>
        </w:rPr>
      </w:pPr>
    </w:p>
    <w:p>
      <w:pPr>
        <w:tabs>
          <w:tab w:val="left" w:pos="4680"/>
        </w:tabs>
        <w:rPr>
          <w:rFonts w:eastAsia="Times New Roman" w:cs="Times New Roman"/>
          <w:szCs w:val="24"/>
        </w:rPr>
      </w:pPr>
    </w:p>
    <w:p>
      <w:pPr>
        <w:jc w:val="left"/>
        <w:rPr>
          <w:b/>
          <w:smallCaps/>
          <w:sz w:val="20"/>
          <w:szCs w:val="20"/>
        </w:rPr>
      </w:pPr>
      <w:r>
        <w:rPr>
          <w:b/>
          <w:smallCaps/>
          <w:szCs w:val="24"/>
        </w:rPr>
        <w:t>_____________________________________________________________________</w:t>
      </w:r>
    </w:p>
    <w:p>
      <w:pPr>
        <w:jc w:val="center"/>
        <w:rPr>
          <w:b/>
          <w:sz w:val="20"/>
          <w:szCs w:val="20"/>
        </w:rPr>
      </w:pPr>
    </w:p>
    <w:p>
      <w:pPr>
        <w:jc w:val="center"/>
        <w:rPr>
          <w:rFonts w:ascii="Arial Bold" w:hAnsi="Arial Bold"/>
          <w:b/>
          <w:szCs w:val="24"/>
        </w:rPr>
      </w:pPr>
      <w:r>
        <w:rPr>
          <w:rFonts w:ascii="Arial Bold" w:hAnsi="Arial Bold"/>
          <w:b/>
          <w:szCs w:val="24"/>
        </w:rPr>
        <w:t>JOINT MOVANTS’</w:t>
      </w:r>
    </w:p>
    <w:p>
      <w:pPr>
        <w:jc w:val="center"/>
        <w:rPr>
          <w:rFonts w:ascii="Arial Bold" w:hAnsi="Arial Bold"/>
          <w:b/>
          <w:szCs w:val="24"/>
        </w:rPr>
      </w:pPr>
      <w:r>
        <w:rPr>
          <w:rFonts w:ascii="Arial Bold" w:hAnsi="Arial Bold"/>
          <w:b/>
          <w:szCs w:val="24"/>
        </w:rPr>
        <w:t>MEMORANDUM IN OPPOSITION TO</w:t>
      </w:r>
    </w:p>
    <w:p>
      <w:pPr>
        <w:jc w:val="center"/>
        <w:rPr>
          <w:rFonts w:ascii="Arial Bold" w:hAnsi="Arial Bold"/>
          <w:b/>
          <w:szCs w:val="24"/>
        </w:rPr>
      </w:pPr>
      <w:r>
        <w:rPr>
          <w:rFonts w:ascii="Arial Bold" w:hAnsi="Arial Bold"/>
          <w:b/>
          <w:szCs w:val="24"/>
        </w:rPr>
        <w:t>THE DAYTON POWER AND LIGHT COMPANY’S WAIVER REQUEST</w:t>
      </w:r>
    </w:p>
    <w:p>
      <w:pPr>
        <w:jc w:val="center"/>
        <w:rPr>
          <w:rFonts w:ascii="Arial Bold" w:hAnsi="Arial Bold"/>
          <w:b/>
          <w:sz w:val="20"/>
          <w:szCs w:val="20"/>
        </w:rPr>
      </w:pPr>
      <w:r>
        <w:rPr>
          <w:rFonts w:ascii="Arial Bold" w:hAnsi="Arial Bold"/>
          <w:b/>
          <w:szCs w:val="24"/>
        </w:rPr>
        <w:t>______________________________________________________________________</w:t>
      </w: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color w:val="000000"/>
        </w:rPr>
      </w:pPr>
    </w:p>
    <w:p>
      <w:pPr>
        <w:tabs>
          <w:tab w:val="left" w:pos="4320"/>
          <w:tab w:val="right" w:pos="8640"/>
        </w:tabs>
        <w:rPr>
          <w:b/>
          <w:color w:val="000000"/>
        </w:rPr>
      </w:pPr>
      <w:r>
        <w:rPr>
          <w:b/>
          <w:color w:val="000000"/>
        </w:rPr>
        <w:t>November 21, 2012</w:t>
      </w:r>
    </w:p>
    <w:p>
      <w:pPr>
        <w:jc w:val="center"/>
        <w:rPr>
          <w:rFonts w:eastAsia="Times New Roman"/>
          <w:b/>
          <w:smallCaps/>
          <w:sz w:val="28"/>
          <w:szCs w:val="24"/>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pPr>
        <w:jc w:val="center"/>
        <w:rPr>
          <w:rFonts w:eastAsia="Times New Roman"/>
          <w:b/>
          <w:smallCaps/>
          <w:sz w:val="28"/>
          <w:szCs w:val="24"/>
        </w:rPr>
      </w:pPr>
      <w:r>
        <w:rPr>
          <w:rFonts w:eastAsia="Times New Roman"/>
          <w:b/>
          <w:smallCaps/>
          <w:sz w:val="28"/>
          <w:szCs w:val="24"/>
        </w:rPr>
        <w:lastRenderedPageBreak/>
        <w:t>Before</w:t>
      </w:r>
    </w:p>
    <w:p>
      <w:pPr>
        <w:spacing w:after="200" w:line="276" w:lineRule="auto"/>
        <w:jc w:val="center"/>
        <w:rPr>
          <w:rFonts w:eastAsia="Times New Roman"/>
          <w:b/>
          <w:smallCaps/>
          <w:sz w:val="28"/>
        </w:rPr>
      </w:pPr>
      <w:r>
        <w:rPr>
          <w:rFonts w:eastAsia="Times New Roman"/>
          <w:b/>
          <w:smallCaps/>
          <w:sz w:val="28"/>
        </w:rPr>
        <w:t>The Public Utilities Commission of Ohio</w:t>
      </w:r>
    </w:p>
    <w:p>
      <w:pPr>
        <w:rPr>
          <w:rFonts w:eastAsia="Times New Roman"/>
          <w:sz w:val="20"/>
          <w:szCs w:val="20"/>
        </w:rPr>
      </w:pPr>
    </w:p>
    <w:p>
      <w:pPr>
        <w:tabs>
          <w:tab w:val="left" w:pos="4680"/>
        </w:tabs>
        <w:rPr>
          <w:rFonts w:eastAsia="Times New Roman" w:cs="Times New Roman"/>
          <w:szCs w:val="24"/>
        </w:rPr>
      </w:pPr>
      <w:r>
        <w:rPr>
          <w:rFonts w:eastAsia="Times New Roman" w:cs="Times New Roman"/>
          <w:szCs w:val="24"/>
        </w:rPr>
        <w:t xml:space="preserve">In the Matter of the Application of </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 xml:space="preserve">The Dayton Power and Light Company </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12-426-EL-SSO</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Its Market Rate Offer.</w:t>
      </w:r>
      <w:r>
        <w:rPr>
          <w:rFonts w:eastAsia="Times New Roman" w:cs="Times New Roman"/>
          <w:szCs w:val="24"/>
        </w:rPr>
        <w:tab/>
        <w:t>)</w:t>
      </w:r>
    </w:p>
    <w:p>
      <w:pPr>
        <w:tabs>
          <w:tab w:val="left" w:pos="4680"/>
          <w:tab w:val="left" w:pos="5400"/>
        </w:tabs>
        <w:rPr>
          <w:rFonts w:eastAsia="Times New Roman" w:cs="Times New Roman"/>
          <w:sz w:val="20"/>
          <w:szCs w:val="20"/>
        </w:rPr>
      </w:pPr>
    </w:p>
    <w:p>
      <w:pPr>
        <w:tabs>
          <w:tab w:val="left" w:pos="4680"/>
          <w:tab w:val="left" w:pos="540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12-427-EL-ATA</w:t>
      </w:r>
    </w:p>
    <w:p>
      <w:pPr>
        <w:tabs>
          <w:tab w:val="left" w:pos="468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Revised Tariffs.</w:t>
      </w:r>
      <w:r>
        <w:rPr>
          <w:rFonts w:eastAsia="Times New Roman" w:cs="Times New Roman"/>
          <w:szCs w:val="24"/>
        </w:rPr>
        <w:tab/>
        <w:t>)</w:t>
      </w:r>
    </w:p>
    <w:p>
      <w:pPr>
        <w:tabs>
          <w:tab w:val="left" w:pos="5040"/>
        </w:tabs>
        <w:rPr>
          <w:rFonts w:eastAsia="Times New Roman" w:cs="Times New Roman"/>
          <w:sz w:val="20"/>
          <w:szCs w:val="20"/>
        </w:rPr>
      </w:pPr>
    </w:p>
    <w:p>
      <w:pPr>
        <w:tabs>
          <w:tab w:val="left" w:pos="468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 w:val="left" w:pos="540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12-428-EL-AAM</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Approval of Certain Accounting </w:t>
      </w:r>
      <w:r>
        <w:rPr>
          <w:rFonts w:eastAsia="Times New Roman" w:cs="Times New Roman"/>
          <w:szCs w:val="24"/>
        </w:rPr>
        <w:tab/>
        <w:t>)</w:t>
      </w:r>
    </w:p>
    <w:p>
      <w:pPr>
        <w:tabs>
          <w:tab w:val="left" w:pos="4680"/>
        </w:tabs>
        <w:rPr>
          <w:rFonts w:eastAsia="Times New Roman" w:cs="Times New Roman"/>
          <w:szCs w:val="24"/>
        </w:rPr>
      </w:pPr>
      <w:proofErr w:type="gramStart"/>
      <w:r>
        <w:rPr>
          <w:rFonts w:eastAsia="Times New Roman" w:cs="Times New Roman"/>
          <w:szCs w:val="24"/>
        </w:rPr>
        <w:t>Authority.</w:t>
      </w:r>
      <w:proofErr w:type="gramEnd"/>
      <w:r>
        <w:rPr>
          <w:rFonts w:eastAsia="Times New Roman" w:cs="Times New Roman"/>
          <w:szCs w:val="24"/>
        </w:rPr>
        <w:tab/>
        <w:t>)</w:t>
      </w:r>
    </w:p>
    <w:p>
      <w:pPr>
        <w:tabs>
          <w:tab w:val="left" w:pos="4680"/>
        </w:tabs>
        <w:rPr>
          <w:rFonts w:eastAsia="Times New Roman" w:cs="Times New Roman"/>
          <w:sz w:val="20"/>
          <w:szCs w:val="20"/>
        </w:rPr>
      </w:pPr>
    </w:p>
    <w:p>
      <w:pPr>
        <w:tabs>
          <w:tab w:val="left" w:pos="468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 w:val="left" w:pos="540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12-429-EL-WVR</w:t>
      </w:r>
    </w:p>
    <w:p>
      <w:pPr>
        <w:tabs>
          <w:tab w:val="left" w:pos="4680"/>
          <w:tab w:val="left" w:pos="5400"/>
        </w:tabs>
        <w:rPr>
          <w:rFonts w:eastAsia="Times New Roman" w:cs="Times New Roman"/>
          <w:szCs w:val="24"/>
        </w:rPr>
      </w:pPr>
      <w:proofErr w:type="gramStart"/>
      <w:r>
        <w:rPr>
          <w:rFonts w:eastAsia="Times New Roman" w:cs="Times New Roman"/>
          <w:szCs w:val="24"/>
        </w:rPr>
        <w:t>for</w:t>
      </w:r>
      <w:proofErr w:type="gramEnd"/>
      <w:r>
        <w:rPr>
          <w:rFonts w:eastAsia="Times New Roman" w:cs="Times New Roman"/>
          <w:szCs w:val="24"/>
        </w:rPr>
        <w:t xml:space="preserve"> Waiver of Certain Commission Rules.</w:t>
      </w:r>
      <w:r>
        <w:rPr>
          <w:rFonts w:eastAsia="Times New Roman" w:cs="Times New Roman"/>
          <w:szCs w:val="24"/>
        </w:rPr>
        <w:tab/>
        <w:t>)</w:t>
      </w:r>
    </w:p>
    <w:p>
      <w:pPr>
        <w:tabs>
          <w:tab w:val="left" w:pos="4680"/>
          <w:tab w:val="left" w:pos="5400"/>
        </w:tabs>
        <w:rPr>
          <w:rFonts w:eastAsia="Times New Roman" w:cs="Times New Roman"/>
          <w:sz w:val="20"/>
          <w:szCs w:val="20"/>
        </w:rPr>
      </w:pPr>
    </w:p>
    <w:p>
      <w:pPr>
        <w:tabs>
          <w:tab w:val="left" w:pos="4680"/>
          <w:tab w:val="left" w:pos="5400"/>
        </w:tabs>
        <w:rPr>
          <w:rFonts w:eastAsia="Times New Roman" w:cs="Times New Roman"/>
          <w:szCs w:val="24"/>
        </w:rPr>
      </w:pPr>
      <w:r>
        <w:rPr>
          <w:rFonts w:eastAsia="Times New Roman" w:cs="Times New Roman"/>
          <w:szCs w:val="24"/>
        </w:rPr>
        <w:t>In the Matter of the Application of</w:t>
      </w:r>
      <w:r>
        <w:rPr>
          <w:rFonts w:eastAsia="Times New Roman" w:cs="Times New Roman"/>
          <w:szCs w:val="24"/>
        </w:rPr>
        <w:tab/>
        <w:t>)</w:t>
      </w:r>
    </w:p>
    <w:p>
      <w:pPr>
        <w:tabs>
          <w:tab w:val="left" w:pos="4680"/>
        </w:tabs>
        <w:rPr>
          <w:rFonts w:eastAsia="Times New Roman" w:cs="Times New Roman"/>
          <w:szCs w:val="24"/>
        </w:rPr>
      </w:pPr>
      <w:r>
        <w:rPr>
          <w:rFonts w:eastAsia="Times New Roman" w:cs="Times New Roman"/>
          <w:szCs w:val="24"/>
        </w:rPr>
        <w:t>The Dayton Power and Light Company</w:t>
      </w:r>
      <w:r>
        <w:rPr>
          <w:rFonts w:eastAsia="Times New Roman" w:cs="Times New Roman"/>
          <w:szCs w:val="24"/>
        </w:rPr>
        <w:tab/>
        <w:t>)</w:t>
      </w:r>
      <w:r>
        <w:rPr>
          <w:rFonts w:eastAsia="Times New Roman" w:cs="Times New Roman"/>
          <w:szCs w:val="24"/>
        </w:rPr>
        <w:tab/>
      </w:r>
      <w:r>
        <w:rPr>
          <w:rFonts w:eastAsia="Times New Roman" w:cs="Times New Roman"/>
          <w:szCs w:val="24"/>
        </w:rPr>
        <w:tab/>
        <w:t>Case No. 12-672-EL-RDR</w:t>
      </w:r>
    </w:p>
    <w:p>
      <w:pPr>
        <w:tabs>
          <w:tab w:val="left" w:pos="4680"/>
        </w:tabs>
        <w:rPr>
          <w:rFonts w:eastAsia="Times New Roman" w:cs="Times New Roman"/>
          <w:szCs w:val="24"/>
        </w:rPr>
      </w:pPr>
      <w:proofErr w:type="gramStart"/>
      <w:r>
        <w:rPr>
          <w:rFonts w:eastAsia="Times New Roman" w:cs="Times New Roman"/>
          <w:szCs w:val="24"/>
        </w:rPr>
        <w:t>to</w:t>
      </w:r>
      <w:proofErr w:type="gramEnd"/>
      <w:r>
        <w:rPr>
          <w:rFonts w:eastAsia="Times New Roman" w:cs="Times New Roman"/>
          <w:szCs w:val="24"/>
        </w:rPr>
        <w:t xml:space="preserve"> Establish Tariff Riders.</w:t>
      </w:r>
      <w:r>
        <w:rPr>
          <w:rFonts w:eastAsia="Times New Roman" w:cs="Times New Roman"/>
          <w:szCs w:val="24"/>
        </w:rPr>
        <w:tab/>
        <w:t>)</w:t>
      </w:r>
    </w:p>
    <w:p>
      <w:pPr>
        <w:jc w:val="left"/>
        <w:rPr>
          <w:b/>
          <w:smallCaps/>
          <w:sz w:val="20"/>
          <w:szCs w:val="20"/>
        </w:rPr>
      </w:pPr>
      <w:r>
        <w:rPr>
          <w:b/>
          <w:smallCaps/>
          <w:szCs w:val="24"/>
        </w:rPr>
        <w:t>_____________________________________________________________________</w:t>
      </w:r>
    </w:p>
    <w:p>
      <w:pPr>
        <w:jc w:val="center"/>
        <w:rPr>
          <w:b/>
          <w:sz w:val="20"/>
          <w:szCs w:val="20"/>
        </w:rPr>
      </w:pPr>
    </w:p>
    <w:p>
      <w:pPr>
        <w:jc w:val="center"/>
        <w:rPr>
          <w:rFonts w:ascii="Arial Bold" w:hAnsi="Arial Bold"/>
          <w:b/>
          <w:szCs w:val="24"/>
        </w:rPr>
      </w:pPr>
      <w:r>
        <w:rPr>
          <w:rFonts w:ascii="Arial Bold" w:hAnsi="Arial Bold"/>
          <w:b/>
          <w:szCs w:val="24"/>
        </w:rPr>
        <w:t>JOINT MOVANTS’</w:t>
      </w:r>
      <w:r>
        <w:rPr>
          <w:rStyle w:val="FootnoteReference"/>
          <w:rFonts w:ascii="Arial Bold" w:hAnsi="Arial Bold"/>
          <w:b/>
          <w:szCs w:val="24"/>
        </w:rPr>
        <w:footnoteReference w:id="1"/>
      </w:r>
    </w:p>
    <w:p>
      <w:pPr>
        <w:jc w:val="center"/>
        <w:rPr>
          <w:rFonts w:ascii="Arial Bold" w:hAnsi="Arial Bold"/>
          <w:b/>
          <w:szCs w:val="24"/>
        </w:rPr>
      </w:pPr>
      <w:r>
        <w:rPr>
          <w:rFonts w:ascii="Arial Bold" w:hAnsi="Arial Bold"/>
          <w:b/>
          <w:szCs w:val="24"/>
        </w:rPr>
        <w:t>MEMORANDUM IN OPPOSITION TO</w:t>
      </w:r>
    </w:p>
    <w:p>
      <w:pPr>
        <w:jc w:val="center"/>
        <w:rPr>
          <w:rFonts w:ascii="Arial Bold" w:hAnsi="Arial Bold"/>
          <w:b/>
          <w:szCs w:val="24"/>
        </w:rPr>
      </w:pPr>
      <w:r>
        <w:rPr>
          <w:rFonts w:ascii="Arial Bold" w:hAnsi="Arial Bold"/>
          <w:b/>
          <w:szCs w:val="24"/>
        </w:rPr>
        <w:t>THE DAYTON POWER AND LIGHT COMPANY’S WAIVER REQUEST</w:t>
      </w:r>
    </w:p>
    <w:p>
      <w:pPr>
        <w:jc w:val="center"/>
        <w:rPr>
          <w:rFonts w:ascii="Arial Bold" w:hAnsi="Arial Bold"/>
          <w:b/>
          <w:sz w:val="20"/>
          <w:szCs w:val="20"/>
        </w:rPr>
      </w:pPr>
      <w:r>
        <w:rPr>
          <w:rFonts w:ascii="Arial Bold" w:hAnsi="Arial Bold"/>
          <w:b/>
          <w:szCs w:val="24"/>
        </w:rPr>
        <w:t>______________________________________________________________________</w:t>
      </w:r>
    </w:p>
    <w:p>
      <w:pPr>
        <w:tabs>
          <w:tab w:val="left" w:pos="4320"/>
          <w:tab w:val="right" w:pos="8640"/>
        </w:tabs>
        <w:rPr>
          <w:color w:val="000000"/>
        </w:rPr>
      </w:pPr>
    </w:p>
    <w:p>
      <w:pPr>
        <w:pStyle w:val="Heading1"/>
      </w:pPr>
      <w:r>
        <w:t>Background</w:t>
      </w:r>
    </w:p>
    <w:p>
      <w:pPr>
        <w:spacing w:line="480" w:lineRule="auto"/>
        <w:rPr>
          <w:color w:val="000000"/>
        </w:rPr>
      </w:pPr>
      <w:r>
        <w:rPr>
          <w:color w:val="000000"/>
        </w:rPr>
        <w:tab/>
      </w:r>
      <w:r>
        <w:t xml:space="preserve">On October 5, 2012, the Dayton Power and Light Company (“DP&amp;L”) filed an application (“Application”) to establish a standard service offer (“SSO”) in the form of an electric security plan (“ESP”).  DP&amp;L’s Application, however, failed to comply with the standard filing requirements for an ESP as established by Rule 4901:1-35-03, Ohio </w:t>
      </w:r>
      <w:r>
        <w:lastRenderedPageBreak/>
        <w:t xml:space="preserve">Administrative Code (“O.A.C.”). </w:t>
      </w:r>
      <w:r>
        <w:rPr>
          <w:color w:val="000000"/>
        </w:rPr>
        <w:t xml:space="preserve"> Accordingly, on October 22, 2012, a joint motion</w:t>
      </w:r>
      <w:r>
        <w:rPr>
          <w:rStyle w:val="FootnoteReference"/>
          <w:color w:val="000000"/>
        </w:rPr>
        <w:footnoteReference w:id="2"/>
      </w:r>
      <w:r>
        <w:rPr>
          <w:color w:val="000000"/>
        </w:rPr>
        <w:t xml:space="preserve"> was filed seeking an order from the Public Utilities Commission of Ohio (“Commission”) directing DP&amp;L to comply with the standard filing requirements and requested the Commission stay the procedural schedule until DP&amp;L complies.  </w:t>
      </w:r>
    </w:p>
    <w:p>
      <w:pPr>
        <w:spacing w:line="480" w:lineRule="auto"/>
        <w:ind w:firstLine="720"/>
        <w:rPr>
          <w:color w:val="000000"/>
        </w:rPr>
      </w:pPr>
      <w:r>
        <w:rPr>
          <w:color w:val="000000"/>
        </w:rPr>
        <w:t>DP&amp;L responded on November 6, 2012 acknowledging that its Application was not in compliance with several standard filing requirements.</w:t>
      </w:r>
      <w:r>
        <w:rPr>
          <w:rStyle w:val="FootnoteReference"/>
          <w:color w:val="000000"/>
        </w:rPr>
        <w:footnoteReference w:id="3"/>
      </w:r>
      <w:r>
        <w:rPr>
          <w:color w:val="000000"/>
        </w:rPr>
        <w:t xml:space="preserve">  DP&amp;L stated that it would remedy some of the violations identified by the joint motion at some point in the future through a supplemental filing.  On November 8, 2012, DP&amp;L filed its supplement to its Application (“Supplement”).</w:t>
      </w:r>
      <w:r>
        <w:rPr>
          <w:rStyle w:val="FootnoteReference"/>
          <w:color w:val="000000"/>
        </w:rPr>
        <w:footnoteReference w:id="4"/>
      </w:r>
      <w:r>
        <w:rPr>
          <w:color w:val="000000"/>
        </w:rPr>
        <w:t xml:space="preserve">  </w:t>
      </w:r>
    </w:p>
    <w:p>
      <w:pPr>
        <w:spacing w:line="480" w:lineRule="auto"/>
        <w:ind w:firstLine="720"/>
        <w:rPr>
          <w:color w:val="000000"/>
        </w:rPr>
      </w:pPr>
      <w:r>
        <w:rPr>
          <w:color w:val="000000"/>
        </w:rPr>
        <w:t>Relevant to this pleading, the Supplement also requests a waiver of Commission Rule 4901:1-36-04, O.A.C., which requires an electric distribution utility’s (“EDU”) transmission cost recovery rider (“TCRR”) to be fully bypassable.  Although Rule 4901:1-36:02(B), O.A.C., allows the Commission to waive any requirement of Chapter 4901:1-36, O.A.C., for good cause, DP&amp;L failed to offer any reason to justify a waiver of the rule (instead citing to previously filed testimony).</w:t>
      </w:r>
      <w:r>
        <w:rPr>
          <w:rStyle w:val="FootnoteReference"/>
          <w:color w:val="000000"/>
        </w:rPr>
        <w:footnoteReference w:id="5"/>
      </w:r>
      <w:r>
        <w:rPr>
          <w:color w:val="000000"/>
        </w:rPr>
        <w:t xml:space="preserve">  Moreover, as discussed below, DP&amp;L cannot demonstrate good cause exists to waive this requirement.</w:t>
      </w:r>
    </w:p>
    <w:p>
      <w:pPr>
        <w:jc w:val="left"/>
        <w:rPr>
          <w:rFonts w:eastAsiaTheme="majorEastAsia"/>
          <w:b/>
          <w:bCs/>
          <w:color w:val="010000"/>
          <w:szCs w:val="28"/>
          <w:highlight w:val="lightGray"/>
        </w:rPr>
      </w:pPr>
      <w:r>
        <w:rPr>
          <w:caps/>
          <w:color w:val="010000"/>
          <w:highlight w:val="lightGray"/>
        </w:rPr>
        <w:br w:type="page"/>
      </w:r>
    </w:p>
    <w:p>
      <w:pPr>
        <w:pStyle w:val="Heading1"/>
      </w:pPr>
      <w:r>
        <w:lastRenderedPageBreak/>
        <w:t>Argument</w:t>
      </w:r>
    </w:p>
    <w:p>
      <w:pPr>
        <w:pStyle w:val="Heading2"/>
      </w:pPr>
      <w:r>
        <w:t>DP&amp;L’s request for a waiver of Rule 4901:1-36-04, O.A.C., should be denied because DP&amp;L has not and cannot demonstrate good cause for a waiver of the rule.</w:t>
      </w:r>
    </w:p>
    <w:p>
      <w:pPr>
        <w:pStyle w:val="ListParagraph"/>
        <w:spacing w:line="480" w:lineRule="auto"/>
        <w:ind w:left="0" w:firstLine="720"/>
      </w:pPr>
      <w:r>
        <w:t>Although the Commission may waive any requirement in Chapter 4901:1-36, O.A.C., the Commission may only do so upon “good cause shown.”</w:t>
      </w:r>
      <w:r>
        <w:rPr>
          <w:rStyle w:val="FootnoteReference"/>
        </w:rPr>
        <w:footnoteReference w:id="6"/>
      </w:r>
      <w:r>
        <w:t xml:space="preserve">  DP&amp;L’s Supplement, however, fails to offer any reason for a waiver of Rule 4901:1-36-04, O.A.C.  Instead, to support its request for a waiver, DP&amp;L simply includes a generic citation to the pre-filed testimony of DP&amp;L witness Hale.  For this reason alone, the Commission should deny DP&amp;L’s waiver request.  </w:t>
      </w:r>
    </w:p>
    <w:p>
      <w:pPr>
        <w:pStyle w:val="ListParagraph"/>
        <w:spacing w:line="480" w:lineRule="auto"/>
        <w:ind w:left="0" w:firstLine="720"/>
      </w:pPr>
      <w:r>
        <w:t xml:space="preserve">If, however, the Commission decides to undertake DP&amp;L’s invitation to search through DP&amp;L’s pre-filed testimony for a demonstration of “good cause shown,” the Commission will still not find that requisite support.  Ms. Hale’s testimony does not specifically request or address a waiver of Rule 4901:1-36-04, O.A.C.  Rather, her testimony only offers vague and </w:t>
      </w:r>
      <w:proofErr w:type="spellStart"/>
      <w:r>
        <w:t>conclusory</w:t>
      </w:r>
      <w:proofErr w:type="spellEnd"/>
      <w:r>
        <w:t xml:space="preserve"> reasons for establishing the TCRR on a partly non-bypassable basis.  </w:t>
      </w:r>
    </w:p>
    <w:p>
      <w:pPr>
        <w:pStyle w:val="ListParagraph"/>
        <w:spacing w:line="480" w:lineRule="auto"/>
        <w:ind w:left="0" w:firstLine="720"/>
      </w:pPr>
      <w:r>
        <w:t xml:space="preserve">First, Ms. Hale claims that network integration transmission service (”NITS”) charges already practically function as non-bypassable charges.  According to Ms. Hale’s testimony, DP&amp;L currently charges SSO customers NITS charges, while competitive retail electric service (“CRES”) providers serving shopping customers in DP&amp;L’s territory pay DP&amp;L, through PJM Interconnection, L.L.C. (“PJM”), their share of </w:t>
      </w:r>
      <w:r>
        <w:lastRenderedPageBreak/>
        <w:t>NITS costs.</w:t>
      </w:r>
      <w:r>
        <w:rPr>
          <w:rStyle w:val="FootnoteReference"/>
        </w:rPr>
        <w:footnoteReference w:id="7"/>
      </w:r>
      <w:r>
        <w:t xml:space="preserve">  Ms. Hale then extends the costs to be collected on a non-bypassable basis to other cost categories that Ms. Hale describes as non-market based.</w:t>
      </w:r>
      <w:r>
        <w:rPr>
          <w:rStyle w:val="FootnoteReference"/>
        </w:rPr>
        <w:footnoteReference w:id="8"/>
      </w:r>
      <w:r>
        <w:t xml:space="preserve">  </w:t>
      </w:r>
    </w:p>
    <w:p>
      <w:pPr>
        <w:pStyle w:val="ListParagraph"/>
        <w:spacing w:line="480" w:lineRule="auto"/>
        <w:ind w:left="0" w:firstLine="720"/>
      </w:pPr>
      <w:r>
        <w:t>Ms. Hale’s testimony describing NITS charges as effectively being non-bypassable, which has not been subject to cross-examination, is factually incorrect.  Although Ms. Hale is correct that DP&amp;L and CRES providers are assessed NITS charges in the same manner, there is no symmetry between how DP&amp;L and CRES providers recover those costs from customers.  For instance, DP&amp;L allocates its annual NITS revenue requirement between customer classes based upon the class’s proportional contribution to DP&amp;L’s single coincident peak.  Once the individual class annual revenue requirement is allocated, for customers served under commercial and industrial rate schedules (</w:t>
      </w:r>
      <w:r>
        <w:rPr>
          <w:i/>
        </w:rPr>
        <w:t>e.g.</w:t>
      </w:r>
      <w:r>
        <w:t xml:space="preserve">, </w:t>
      </w:r>
      <w:r>
        <w:rPr>
          <w:szCs w:val="24"/>
        </w:rPr>
        <w:t>High Voltage, Primary-Substation, Secondary, Primary</w:t>
      </w:r>
      <w:r>
        <w:t xml:space="preserve">), this NITS-related revenue requirement is then collected from individual customers based upon a demand charge applied to the customer’s maximum monthly billing demand.  </w:t>
      </w:r>
    </w:p>
    <w:p>
      <w:pPr>
        <w:pStyle w:val="ListParagraph"/>
        <w:spacing w:line="480" w:lineRule="auto"/>
        <w:ind w:left="0" w:firstLine="720"/>
      </w:pPr>
      <w:r>
        <w:t xml:space="preserve">Shopping commercial and industrial customers, however, are not required to pay a NITS charge to their CRES provider based upon their maximum monthly billing demand.  Because NITS charges are assessed upon CRES providers by PJM on behalf of the customers they are serving, the price that shopping customers pay for NITS is a function of their negotiated price with their CRES supplier.  For example, a shopping customer may elect to negotiate an all-in delivery fixed price for generation and transmission with their CRES provider.  In such a case, the CRES provider will assume all risk associated with the movement up or down in the rate charged by PJM for NITS.  </w:t>
      </w:r>
      <w:r>
        <w:lastRenderedPageBreak/>
        <w:t xml:space="preserve">Alternatively, a shopping customer could contract with a CRES provider and agree to pay a price for NITS that reflects their contribution to PJM’s single coincident peak.  Such an arrangement would be consistent with how PJM determines billing determinants for transmission service and would provide a price signal to the customer to reduce demand during peak load conditions.  Thus, although there is symmetry between the </w:t>
      </w:r>
      <w:proofErr w:type="gramStart"/>
      <w:r>
        <w:t>rate</w:t>
      </w:r>
      <w:proofErr w:type="gramEnd"/>
      <w:r>
        <w:t xml:space="preserve"> that PJM charges DP&amp;L and CRES providers for NITS (among other transmission services billed by PJM), there simply will never be symmetry between how DP&amp;L bills non-shopping customers for transmission service and how a CRES provider may bill a customer for transmission service.  Taking away a customer’s ability to negotiate a pricing structure that is best suited for its individual needs simply is not a benefit to customers.</w:t>
      </w:r>
    </w:p>
    <w:p>
      <w:pPr>
        <w:pStyle w:val="ListParagraph"/>
        <w:spacing w:line="480" w:lineRule="auto"/>
        <w:ind w:left="0" w:firstLine="720"/>
      </w:pPr>
      <w:r>
        <w:t>The only other rationale for making a significant portion of the TCRR non-bypassable is a question and answer on page 5 of Ms. Hale’s pre-filed testimony:</w:t>
      </w:r>
    </w:p>
    <w:p>
      <w:pPr>
        <w:pStyle w:val="BodyDblSp5"/>
        <w:widowControl w:val="0"/>
        <w:spacing w:line="240" w:lineRule="auto"/>
        <w:ind w:left="1440" w:right="720"/>
        <w:jc w:val="both"/>
        <w:rPr>
          <w:rFonts w:ascii="Arial" w:hAnsi="Arial" w:cs="Arial"/>
        </w:rPr>
      </w:pPr>
      <w:r>
        <w:rPr>
          <w:rFonts w:ascii="Arial" w:hAnsi="Arial" w:cs="Arial"/>
        </w:rPr>
        <w:t>Q.</w:t>
      </w:r>
      <w:r>
        <w:rPr>
          <w:rFonts w:ascii="Arial" w:hAnsi="Arial" w:cs="Arial"/>
        </w:rPr>
        <w:tab/>
        <w:t>How will the non-bypassable charge TCRR-N benefit customers?</w:t>
      </w:r>
    </w:p>
    <w:p>
      <w:pPr>
        <w:pStyle w:val="ListParagraph"/>
        <w:ind w:left="1440" w:right="720" w:hanging="720"/>
      </w:pPr>
      <w:r>
        <w:t>A.</w:t>
      </w:r>
      <w:r>
        <w:tab/>
        <w:t>When the Company becomes responsible for these costs for all customers, DP&amp;L removes the requirement for wholesale or retail suppliers to include them in their product.  Excluding these costs should lower the generation price that suppliers charge to their customers.  Additionally, moving these costs to a non-bypassable charge should cause less variation in the price to compare, making it easier for customers to compare offers from alternative retail electric generation suppliers.</w:t>
      </w:r>
    </w:p>
    <w:p>
      <w:pPr>
        <w:pStyle w:val="ListParagraph"/>
        <w:ind w:left="0" w:right="720" w:firstLine="720"/>
      </w:pPr>
    </w:p>
    <w:p>
      <w:pPr>
        <w:pStyle w:val="ListParagraph"/>
        <w:spacing w:line="480" w:lineRule="auto"/>
        <w:ind w:left="0" w:firstLine="720"/>
      </w:pPr>
      <w:r>
        <w:t xml:space="preserve">While is it mathematically true that if all other factors are held constant, removing NITS charges from the product bidders are requested to provide in an auction (to establish prices for DP&amp;L’s ESP) should result in a lower bid price, this does not necessarily support a conclusion that customers will benefit.  First, as discussed at page 25 of the pre-filed testimony of DP&amp;L witness Chambers, the majority (62%) of DP&amp;L </w:t>
      </w:r>
      <w:r>
        <w:lastRenderedPageBreak/>
        <w:t xml:space="preserve">customers are presently shopping.  Therefore, as discussed above, these customers pay for NITS transmission service through their CRES provider and there is no evidence to show how forcing shopping customers to pay DP&amp;L for transmission services rather than their CRES providers is a benefit.  As discussed previously, it may have a negative effect on some customers by shifting risk to them or preventing them from negotiating with CRES providers to craft solutions to meet their individual needs. </w:t>
      </w:r>
    </w:p>
    <w:p>
      <w:pPr>
        <w:pStyle w:val="ListParagraph"/>
        <w:spacing w:line="480" w:lineRule="auto"/>
        <w:ind w:left="0" w:firstLine="720"/>
      </w:pPr>
      <w:r>
        <w:t xml:space="preserve">Second, Ms. Hale’s testimony fails to demonstrate how a non-bypassable TCRR will stabilize the price-to-compare:  all DP&amp;L plans to do </w:t>
      </w:r>
      <w:proofErr w:type="gramStart"/>
      <w:r>
        <w:t>is</w:t>
      </w:r>
      <w:proofErr w:type="gramEnd"/>
      <w:r>
        <w:t xml:space="preserve"> require shopping customers to pay DP&amp;L a cost that they would otherwise pay to their CRES provider.  While this will have the effect of lowering the price-to-compare, since the charge is no longer bypassable, it will not lower the amount customers ultimately end up paying.  And furthermore, simply removing transmission charges from the calculation of the price-to-compare will not in and of itself stabilize the price-to-compare.  The price-to-compare will be largely outside the scope of DP&amp;L’s control as it will be largely dictated by the price established by the competitive bid process (“CBP”) auctions to establish the ESP rates.  And other bypassable charges will continue to fluctuate and alter the price-to-compare as they have in the past.  For instance DP&amp;L’s FUEL Rider, the Reliability Pricing Model (“RPM”) Rider, the bypassable portion of the TCRR, and the Alternative Energy Rider (“AER”) will all vary over the term of the ESP (as they are eventually phased out).</w:t>
      </w:r>
    </w:p>
    <w:p>
      <w:pPr>
        <w:pStyle w:val="ListParagraph"/>
        <w:spacing w:line="480" w:lineRule="auto"/>
        <w:ind w:left="0" w:firstLine="720"/>
      </w:pPr>
      <w:r>
        <w:t xml:space="preserve">Third, DP&amp;L has failed to detail how it plans to ensure that shopping customers do not pay twice for the same transmission services.  Customers that are currently taking service from a CRES provider compensate the CRES provider in accordance </w:t>
      </w:r>
      <w:r>
        <w:lastRenderedPageBreak/>
        <w:t xml:space="preserve">with the terms of their contract.  DP&amp;L’s decision that it wants to bill those shopping customers directly does not change the terms of those customers’ contracts with CRES providers; rather, those customers must continue paying their CRES provider an agreed-upon price.  For example, a customer who has an all-in price with its CRES provider will continue to pay that all-in price to its CRES provider regardless of whether or not the CRES provider’s costs have gone up or down.  If these customers then have to pay the non-bypassable TCRR charge to DP&amp;L as well, they will effectively pay for the same transmission service twice.  Since the majority of DP&amp;L customers are presently shopping, if those customers have fixed price contracts with their CRES providers, DP&amp;L’s proposed change to make NITS a non-bypassable charge could result in a higher overall price for electricity, which is certainly not a benefit.   </w:t>
      </w:r>
    </w:p>
    <w:p>
      <w:pPr>
        <w:pStyle w:val="ListParagraph"/>
        <w:spacing w:line="480" w:lineRule="auto"/>
        <w:ind w:left="0" w:firstLine="720"/>
      </w:pPr>
      <w:r>
        <w:t>In summary, DP&amp;L’s testimony fails to demonstrate good cause exists for a waiver of Rule 4901:1-36-04, O.A.C.  DP&amp;L’s waiver request was not accompanied by any supporting rationale for the waiver request.  Providing a citation to pre-filed testimony falls well short of demonstrating good cause.  And furthermore, the vague rationales for making part of the TCRR non-bypassable contained in Ms. Hale’s testimony are either factually incorrect or simply not a benefit to customers; and for some customers could result in unjustly being billed twice for the same service.  For these reasons, the Commission should deny DP&amp;L’s waiver request.</w:t>
      </w:r>
    </w:p>
    <w:p>
      <w:pPr>
        <w:pStyle w:val="Heading2"/>
      </w:pPr>
      <w:r>
        <w:t>In any event, the Commission should not grant DP&amp;L’s waiver request until after the evidentiary hearing in this proceeding.</w:t>
      </w:r>
    </w:p>
    <w:p>
      <w:pPr>
        <w:pStyle w:val="ListParagraph"/>
        <w:spacing w:line="480" w:lineRule="auto"/>
        <w:ind w:left="0" w:firstLine="720"/>
      </w:pPr>
      <w:r>
        <w:t xml:space="preserve">If the Commission does not deny DP&amp;L’s waiver request due to its failure to demonstrate good cause, the Commission should not, in any event, grant DP&amp;L’s waiver request until after the evidentiary hearing.  The factual assertions contained in </w:t>
      </w:r>
      <w:r>
        <w:lastRenderedPageBreak/>
        <w:t>Ms. Hale’s testimony have not been subjected to the rigors of cross-examination and parties have not been provided an opportunity to present their own evidence on the unreasonableness of DP&amp;L’s request.  Accordingly, should the Commission not deny DP&amp;L’s waiver request outright at this time, it should hold its ruling in abeyance until it issues its final decision in this proceeding.</w:t>
      </w:r>
    </w:p>
    <w:p>
      <w:pPr>
        <w:pStyle w:val="Heading1"/>
      </w:pPr>
      <w:r>
        <w:t>CONCLUSION</w:t>
      </w:r>
    </w:p>
    <w:p>
      <w:pPr>
        <w:pStyle w:val="ListParagraph"/>
        <w:spacing w:line="480" w:lineRule="auto"/>
        <w:ind w:left="0" w:firstLine="720"/>
      </w:pPr>
      <w:r>
        <w:t>For the foregoing reasons, the Commission should deny DP&amp;L’s request for a waiver of Rule 4901:1-36-04, O.A.C., or at least withhold its decision until after the evidentiary hearing.</w:t>
      </w:r>
    </w:p>
    <w:p>
      <w:pPr>
        <w:tabs>
          <w:tab w:val="left" w:pos="4320"/>
          <w:tab w:val="right" w:pos="8640"/>
        </w:tabs>
        <w:jc w:val="center"/>
        <w:rPr>
          <w:rFonts w:eastAsia="Calibri"/>
          <w:color w:val="000000" w:themeColor="text1"/>
          <w:sz w:val="20"/>
          <w:szCs w:val="20"/>
          <w:u w:val="single"/>
        </w:rPr>
      </w:pPr>
      <w:r>
        <w:t>Respectfully submitted,</w:t>
      </w:r>
    </w:p>
    <w:p>
      <w:pPr>
        <w:tabs>
          <w:tab w:val="right" w:pos="4320"/>
        </w:tabs>
        <w:rPr>
          <w:rFonts w:eastAsia="Calibri"/>
          <w:color w:val="000000" w:themeColor="text1"/>
          <w:sz w:val="20"/>
          <w:szCs w:val="20"/>
          <w:u w:val="single"/>
        </w:rPr>
      </w:pPr>
    </w:p>
    <w:p>
      <w:pPr>
        <w:tabs>
          <w:tab w:val="right" w:pos="4320"/>
        </w:tabs>
        <w:rPr>
          <w:rFonts w:eastAsia="Calibri"/>
          <w:color w:val="000000" w:themeColor="text1"/>
          <w:sz w:val="20"/>
          <w:szCs w:val="20"/>
          <w:u w:val="single"/>
        </w:rPr>
      </w:pPr>
    </w:p>
    <w:p>
      <w:pPr>
        <w:tabs>
          <w:tab w:val="right" w:pos="4320"/>
        </w:tabs>
        <w:rPr>
          <w:rFonts w:eastAsia="Calibri"/>
          <w:color w:val="000000" w:themeColor="text1"/>
          <w:sz w:val="20"/>
          <w:szCs w:val="20"/>
          <w:u w:val="single"/>
        </w:rPr>
        <w:sectPr>
          <w:pgSz w:w="12240" w:h="15840" w:code="1"/>
          <w:pgMar w:top="1440" w:right="1440" w:bottom="1440" w:left="1440" w:header="720" w:footer="720" w:gutter="0"/>
          <w:pgNumType w:start="1"/>
          <w:cols w:space="720"/>
          <w:titlePg/>
          <w:docGrid w:linePitch="360"/>
        </w:sectPr>
      </w:pPr>
    </w:p>
    <w:p>
      <w:pPr>
        <w:tabs>
          <w:tab w:val="right" w:pos="4320"/>
        </w:tabs>
        <w:rPr>
          <w:rFonts w:eastAsia="Calibri"/>
          <w:color w:val="000000" w:themeColor="text1"/>
          <w:sz w:val="20"/>
          <w:szCs w:val="20"/>
          <w:u w:val="single"/>
        </w:rPr>
      </w:pPr>
      <w:r>
        <w:rPr>
          <w:rFonts w:eastAsia="Calibri"/>
          <w:color w:val="000000" w:themeColor="text1"/>
          <w:sz w:val="20"/>
          <w:szCs w:val="20"/>
          <w:u w:val="single"/>
        </w:rPr>
        <w:lastRenderedPageBreak/>
        <w:t>/s/ Matthew R. Pritchard</w:t>
      </w:r>
      <w:r>
        <w:rPr>
          <w:rFonts w:eastAsia="Calibri"/>
          <w:color w:val="000000" w:themeColor="text1"/>
          <w:sz w:val="20"/>
          <w:szCs w:val="20"/>
          <w:u w:val="single"/>
        </w:rPr>
        <w:tab/>
      </w:r>
    </w:p>
    <w:p>
      <w:pPr>
        <w:tabs>
          <w:tab w:val="left" w:pos="2160"/>
          <w:tab w:val="left" w:pos="2280"/>
        </w:tabs>
        <w:rPr>
          <w:rFonts w:eastAsia="Calibri"/>
          <w:color w:val="000000" w:themeColor="text1"/>
          <w:sz w:val="20"/>
          <w:szCs w:val="20"/>
        </w:rPr>
      </w:pPr>
      <w:r>
        <w:rPr>
          <w:rFonts w:eastAsia="Calibri"/>
          <w:color w:val="000000" w:themeColor="text1"/>
          <w:sz w:val="20"/>
          <w:szCs w:val="20"/>
        </w:rPr>
        <w:t>Samuel C. Randazzo</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Frank P. Darr</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Joseph E. Oliker</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Matthew R. Pritchard</w:t>
      </w:r>
    </w:p>
    <w:p>
      <w:pPr>
        <w:tabs>
          <w:tab w:val="left" w:pos="2160"/>
          <w:tab w:val="left" w:pos="2280"/>
        </w:tabs>
        <w:jc w:val="left"/>
        <w:rPr>
          <w:rFonts w:eastAsia="Calibri"/>
          <w:color w:val="000000" w:themeColor="text1"/>
          <w:sz w:val="20"/>
          <w:szCs w:val="20"/>
        </w:rPr>
      </w:pPr>
      <w:proofErr w:type="spellStart"/>
      <w:r>
        <w:rPr>
          <w:rFonts w:eastAsia="Calibri"/>
          <w:color w:val="000000" w:themeColor="text1"/>
          <w:sz w:val="20"/>
          <w:szCs w:val="20"/>
        </w:rPr>
        <w:t>McNees</w:t>
      </w:r>
      <w:proofErr w:type="spellEnd"/>
      <w:r>
        <w:rPr>
          <w:rFonts w:eastAsia="Calibri"/>
          <w:color w:val="000000" w:themeColor="text1"/>
          <w:sz w:val="20"/>
          <w:szCs w:val="20"/>
        </w:rPr>
        <w:t xml:space="preserve"> Wallace &amp; </w:t>
      </w:r>
      <w:proofErr w:type="spellStart"/>
      <w:r>
        <w:rPr>
          <w:rFonts w:eastAsia="Calibri"/>
          <w:color w:val="000000" w:themeColor="text1"/>
          <w:sz w:val="20"/>
          <w:szCs w:val="20"/>
        </w:rPr>
        <w:t>Nurick</w:t>
      </w:r>
      <w:proofErr w:type="spellEnd"/>
      <w:r>
        <w:rPr>
          <w:rFonts w:eastAsia="Calibri"/>
          <w:color w:val="000000" w:themeColor="text1"/>
          <w:sz w:val="20"/>
          <w:szCs w:val="20"/>
        </w:rPr>
        <w:t xml:space="preserve"> LLC</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21 East State Street, 17th Floor</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Columbus, OH  43215</w:t>
      </w:r>
    </w:p>
    <w:p>
      <w:pPr>
        <w:tabs>
          <w:tab w:val="left" w:pos="2160"/>
          <w:tab w:val="left" w:pos="2280"/>
        </w:tabs>
        <w:jc w:val="left"/>
        <w:rPr>
          <w:rFonts w:eastAsia="Calibri"/>
          <w:color w:val="000000" w:themeColor="text1"/>
          <w:sz w:val="20"/>
          <w:szCs w:val="20"/>
        </w:rPr>
      </w:pPr>
      <w:r>
        <w:rPr>
          <w:rFonts w:eastAsia="Calibri"/>
          <w:sz w:val="20"/>
          <w:szCs w:val="20"/>
        </w:rPr>
        <w:t>sam@mwncmh.com</w:t>
      </w:r>
    </w:p>
    <w:p>
      <w:pPr>
        <w:tabs>
          <w:tab w:val="left" w:pos="2160"/>
          <w:tab w:val="left" w:pos="2280"/>
        </w:tabs>
        <w:jc w:val="left"/>
        <w:rPr>
          <w:rFonts w:eastAsia="Calibri"/>
          <w:color w:val="000000" w:themeColor="text1"/>
          <w:sz w:val="20"/>
          <w:szCs w:val="20"/>
        </w:rPr>
      </w:pPr>
      <w:r>
        <w:rPr>
          <w:rFonts w:eastAsia="Calibri"/>
          <w:sz w:val="20"/>
          <w:szCs w:val="20"/>
        </w:rPr>
        <w:t>fdarr@mwncmh.com</w:t>
      </w:r>
    </w:p>
    <w:p>
      <w:pPr>
        <w:tabs>
          <w:tab w:val="left" w:pos="2160"/>
          <w:tab w:val="left" w:pos="2280"/>
        </w:tabs>
        <w:jc w:val="left"/>
        <w:rPr>
          <w:rFonts w:eastAsia="Calibri"/>
          <w:color w:val="000000" w:themeColor="text1"/>
          <w:sz w:val="20"/>
          <w:szCs w:val="20"/>
        </w:rPr>
      </w:pPr>
      <w:r>
        <w:rPr>
          <w:rFonts w:eastAsia="Calibri"/>
          <w:sz w:val="20"/>
          <w:szCs w:val="20"/>
        </w:rPr>
        <w:t>joliker@mwncmh.com</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mpritchard@mwncmh.com</w:t>
      </w:r>
    </w:p>
    <w:p>
      <w:pPr>
        <w:tabs>
          <w:tab w:val="left" w:pos="2160"/>
          <w:tab w:val="left" w:pos="2280"/>
        </w:tabs>
        <w:jc w:val="left"/>
        <w:rPr>
          <w:rFonts w:eastAsia="Calibri"/>
          <w:color w:val="000000" w:themeColor="text1"/>
          <w:sz w:val="20"/>
          <w:szCs w:val="20"/>
        </w:rPr>
      </w:pPr>
    </w:p>
    <w:p>
      <w:pPr>
        <w:tabs>
          <w:tab w:val="left" w:pos="2160"/>
          <w:tab w:val="left" w:pos="2280"/>
        </w:tabs>
        <w:jc w:val="left"/>
        <w:rPr>
          <w:rFonts w:eastAsia="Calibri"/>
          <w:b/>
          <w:smallCaps/>
          <w:color w:val="000000" w:themeColor="text1"/>
          <w:sz w:val="20"/>
          <w:szCs w:val="20"/>
        </w:rPr>
      </w:pPr>
      <w:r>
        <w:rPr>
          <w:rFonts w:eastAsia="Calibri"/>
          <w:b/>
          <w:smallCaps/>
          <w:color w:val="000000" w:themeColor="text1"/>
          <w:sz w:val="20"/>
          <w:szCs w:val="20"/>
        </w:rPr>
        <w:t>Attorneys for Industrial Energy Users-Ohio</w:t>
      </w:r>
    </w:p>
    <w:p>
      <w:pPr>
        <w:tabs>
          <w:tab w:val="right" w:pos="4320"/>
        </w:tabs>
        <w:jc w:val="left"/>
        <w:rPr>
          <w:rFonts w:eastAsia="Calibri"/>
          <w:color w:val="000000" w:themeColor="text1"/>
          <w:sz w:val="20"/>
          <w:szCs w:val="20"/>
        </w:rPr>
      </w:pPr>
    </w:p>
    <w:p>
      <w:pPr>
        <w:tabs>
          <w:tab w:val="right" w:pos="4320"/>
        </w:tabs>
        <w:jc w:val="left"/>
        <w:rPr>
          <w:rFonts w:eastAsia="Calibri"/>
          <w:color w:val="000000" w:themeColor="text1"/>
          <w:sz w:val="20"/>
          <w:szCs w:val="20"/>
        </w:rPr>
      </w:pPr>
    </w:p>
    <w:p>
      <w:pPr>
        <w:tabs>
          <w:tab w:val="right" w:pos="4320"/>
        </w:tabs>
        <w:jc w:val="left"/>
        <w:rPr>
          <w:rFonts w:eastAsia="Calibri"/>
          <w:color w:val="000000" w:themeColor="text1"/>
          <w:sz w:val="20"/>
          <w:szCs w:val="20"/>
        </w:rPr>
      </w:pPr>
    </w:p>
    <w:p>
      <w:pPr>
        <w:tabs>
          <w:tab w:val="right" w:pos="4320"/>
        </w:tabs>
        <w:jc w:val="left"/>
        <w:rPr>
          <w:rFonts w:eastAsia="Calibri"/>
          <w:color w:val="000000" w:themeColor="text1"/>
          <w:sz w:val="20"/>
          <w:szCs w:val="20"/>
          <w:u w:val="single"/>
        </w:rPr>
      </w:pPr>
      <w:r>
        <w:rPr>
          <w:rFonts w:eastAsia="Calibri"/>
          <w:color w:val="000000" w:themeColor="text1"/>
          <w:sz w:val="20"/>
          <w:szCs w:val="20"/>
          <w:u w:val="single"/>
        </w:rPr>
        <w:t>/s/ Colleen L. Mooney</w:t>
      </w:r>
      <w:r>
        <w:rPr>
          <w:rFonts w:eastAsia="Calibri"/>
          <w:color w:val="000000" w:themeColor="text1"/>
          <w:sz w:val="20"/>
          <w:szCs w:val="20"/>
          <w:u w:val="single"/>
        </w:rPr>
        <w:tab/>
      </w:r>
    </w:p>
    <w:p>
      <w:pPr>
        <w:jc w:val="left"/>
        <w:rPr>
          <w:color w:val="000000" w:themeColor="text1"/>
          <w:sz w:val="20"/>
          <w:szCs w:val="20"/>
        </w:rPr>
      </w:pPr>
      <w:r>
        <w:rPr>
          <w:color w:val="000000" w:themeColor="text1"/>
          <w:sz w:val="20"/>
          <w:szCs w:val="20"/>
        </w:rPr>
        <w:t>Colleen L. Mooney</w:t>
      </w:r>
    </w:p>
    <w:p>
      <w:pPr>
        <w:jc w:val="left"/>
        <w:rPr>
          <w:color w:val="000000" w:themeColor="text1"/>
          <w:sz w:val="20"/>
          <w:szCs w:val="20"/>
        </w:rPr>
      </w:pPr>
      <w:r>
        <w:rPr>
          <w:color w:val="000000" w:themeColor="text1"/>
          <w:sz w:val="20"/>
          <w:szCs w:val="20"/>
        </w:rPr>
        <w:t>Ohio Partners for Affordable Energy</w:t>
      </w:r>
    </w:p>
    <w:p>
      <w:pPr>
        <w:jc w:val="left"/>
        <w:rPr>
          <w:color w:val="000000" w:themeColor="text1"/>
          <w:sz w:val="20"/>
          <w:szCs w:val="20"/>
        </w:rPr>
      </w:pPr>
      <w:r>
        <w:rPr>
          <w:color w:val="000000" w:themeColor="text1"/>
          <w:sz w:val="20"/>
          <w:szCs w:val="20"/>
        </w:rPr>
        <w:t>231 West Lima Street</w:t>
      </w:r>
    </w:p>
    <w:p>
      <w:pPr>
        <w:jc w:val="left"/>
        <w:rPr>
          <w:color w:val="000000" w:themeColor="text1"/>
          <w:sz w:val="20"/>
          <w:szCs w:val="20"/>
        </w:rPr>
      </w:pPr>
      <w:r>
        <w:rPr>
          <w:color w:val="000000" w:themeColor="text1"/>
          <w:sz w:val="20"/>
          <w:szCs w:val="20"/>
        </w:rPr>
        <w:t>Findlay, OH  45839</w:t>
      </w:r>
    </w:p>
    <w:p>
      <w:pPr>
        <w:jc w:val="left"/>
        <w:rPr>
          <w:color w:val="000000" w:themeColor="text1"/>
          <w:sz w:val="20"/>
          <w:szCs w:val="20"/>
        </w:rPr>
      </w:pPr>
      <w:r>
        <w:rPr>
          <w:sz w:val="20"/>
          <w:szCs w:val="20"/>
        </w:rPr>
        <w:t>cmooney2@columbus.rr.com</w:t>
      </w:r>
    </w:p>
    <w:p>
      <w:pPr>
        <w:jc w:val="left"/>
        <w:rPr>
          <w:color w:val="000000" w:themeColor="text1"/>
          <w:sz w:val="20"/>
          <w:szCs w:val="20"/>
        </w:rPr>
      </w:pPr>
    </w:p>
    <w:p>
      <w:pPr>
        <w:jc w:val="left"/>
        <w:rPr>
          <w:b/>
          <w:smallCaps/>
          <w:color w:val="000000" w:themeColor="text1"/>
          <w:sz w:val="20"/>
          <w:szCs w:val="20"/>
        </w:rPr>
      </w:pPr>
      <w:r>
        <w:rPr>
          <w:b/>
          <w:smallCaps/>
          <w:color w:val="000000" w:themeColor="text1"/>
          <w:sz w:val="20"/>
          <w:szCs w:val="20"/>
        </w:rPr>
        <w:t>Attorney for Ohio Partners for Affordable Energy</w:t>
      </w:r>
    </w:p>
    <w:p>
      <w:pPr>
        <w:tabs>
          <w:tab w:val="right" w:pos="4320"/>
        </w:tabs>
        <w:jc w:val="left"/>
        <w:rPr>
          <w:rFonts w:eastAsia="Calibri"/>
          <w:color w:val="000000" w:themeColor="text1"/>
          <w:sz w:val="20"/>
          <w:szCs w:val="20"/>
          <w:u w:val="single"/>
        </w:rPr>
      </w:pPr>
    </w:p>
    <w:p>
      <w:pPr>
        <w:tabs>
          <w:tab w:val="right" w:pos="4320"/>
        </w:tabs>
        <w:jc w:val="left"/>
        <w:rPr>
          <w:rFonts w:eastAsia="Calibri"/>
          <w:color w:val="000000" w:themeColor="text1"/>
          <w:sz w:val="20"/>
          <w:szCs w:val="20"/>
          <w:u w:val="single"/>
        </w:rPr>
      </w:pPr>
    </w:p>
    <w:p>
      <w:pPr>
        <w:tabs>
          <w:tab w:val="left" w:pos="2160"/>
          <w:tab w:val="left" w:pos="2280"/>
        </w:tabs>
        <w:jc w:val="left"/>
        <w:rPr>
          <w:rFonts w:eastAsia="Calibri"/>
          <w:b/>
          <w:smallCaps/>
          <w:color w:val="000000" w:themeColor="text1"/>
          <w:sz w:val="20"/>
          <w:szCs w:val="20"/>
        </w:rPr>
      </w:pPr>
    </w:p>
    <w:p>
      <w:pPr>
        <w:tabs>
          <w:tab w:val="right" w:pos="4320"/>
        </w:tabs>
        <w:jc w:val="left"/>
        <w:rPr>
          <w:rFonts w:eastAsia="Calibri"/>
          <w:color w:val="000000" w:themeColor="text1"/>
          <w:sz w:val="20"/>
          <w:szCs w:val="20"/>
          <w:u w:val="single"/>
        </w:rPr>
      </w:pPr>
      <w:r>
        <w:rPr>
          <w:rFonts w:eastAsia="Calibri"/>
          <w:color w:val="000000" w:themeColor="text1"/>
          <w:sz w:val="20"/>
          <w:szCs w:val="20"/>
          <w:u w:val="single"/>
        </w:rPr>
        <w:br w:type="column"/>
      </w:r>
      <w:r>
        <w:rPr>
          <w:rFonts w:eastAsia="Calibri"/>
          <w:color w:val="000000" w:themeColor="text1"/>
          <w:sz w:val="20"/>
          <w:szCs w:val="20"/>
          <w:u w:val="single"/>
        </w:rPr>
        <w:lastRenderedPageBreak/>
        <w:t>/s/ Kimberly W. Bojko</w:t>
      </w:r>
      <w:r>
        <w:rPr>
          <w:rFonts w:eastAsia="Calibri"/>
          <w:color w:val="000000" w:themeColor="text1"/>
          <w:sz w:val="20"/>
          <w:szCs w:val="20"/>
          <w:u w:val="single"/>
        </w:rPr>
        <w:tab/>
      </w:r>
    </w:p>
    <w:p>
      <w:pPr>
        <w:jc w:val="left"/>
        <w:rPr>
          <w:bCs/>
          <w:color w:val="000000" w:themeColor="text1"/>
          <w:sz w:val="20"/>
          <w:szCs w:val="20"/>
        </w:rPr>
      </w:pPr>
      <w:r>
        <w:rPr>
          <w:bCs/>
          <w:color w:val="000000" w:themeColor="text1"/>
          <w:sz w:val="20"/>
          <w:szCs w:val="20"/>
        </w:rPr>
        <w:t>Kimberly W. Bojko</w:t>
      </w:r>
    </w:p>
    <w:p>
      <w:pPr>
        <w:jc w:val="left"/>
        <w:rPr>
          <w:smallCaps/>
          <w:color w:val="000000" w:themeColor="text1"/>
          <w:sz w:val="20"/>
          <w:szCs w:val="20"/>
        </w:rPr>
      </w:pPr>
      <w:r>
        <w:rPr>
          <w:smallCaps/>
          <w:color w:val="000000" w:themeColor="text1"/>
          <w:sz w:val="20"/>
          <w:szCs w:val="20"/>
        </w:rPr>
        <w:t xml:space="preserve">Carpenter </w:t>
      </w:r>
      <w:proofErr w:type="spellStart"/>
      <w:r>
        <w:rPr>
          <w:smallCaps/>
          <w:color w:val="000000" w:themeColor="text1"/>
          <w:sz w:val="20"/>
          <w:szCs w:val="20"/>
        </w:rPr>
        <w:t>Lipps</w:t>
      </w:r>
      <w:proofErr w:type="spellEnd"/>
      <w:r>
        <w:rPr>
          <w:smallCaps/>
          <w:color w:val="000000" w:themeColor="text1"/>
          <w:sz w:val="20"/>
          <w:szCs w:val="20"/>
        </w:rPr>
        <w:t xml:space="preserve"> &amp; Leland LLP</w:t>
      </w:r>
    </w:p>
    <w:p>
      <w:pPr>
        <w:jc w:val="left"/>
        <w:rPr>
          <w:color w:val="000000" w:themeColor="text1"/>
          <w:sz w:val="20"/>
          <w:szCs w:val="20"/>
        </w:rPr>
      </w:pPr>
      <w:r>
        <w:rPr>
          <w:color w:val="000000" w:themeColor="text1"/>
          <w:sz w:val="20"/>
          <w:szCs w:val="20"/>
        </w:rPr>
        <w:t xml:space="preserve">280 </w:t>
      </w:r>
      <w:proofErr w:type="gramStart"/>
      <w:r>
        <w:rPr>
          <w:color w:val="000000" w:themeColor="text1"/>
          <w:sz w:val="20"/>
          <w:szCs w:val="20"/>
        </w:rPr>
        <w:t>Plaza</w:t>
      </w:r>
      <w:proofErr w:type="gramEnd"/>
      <w:r>
        <w:rPr>
          <w:color w:val="000000" w:themeColor="text1"/>
          <w:sz w:val="20"/>
          <w:szCs w:val="20"/>
        </w:rPr>
        <w:t>, Suite 1300</w:t>
      </w:r>
    </w:p>
    <w:p>
      <w:pPr>
        <w:jc w:val="left"/>
        <w:rPr>
          <w:color w:val="000000" w:themeColor="text1"/>
          <w:sz w:val="20"/>
          <w:szCs w:val="20"/>
        </w:rPr>
      </w:pPr>
      <w:r>
        <w:rPr>
          <w:color w:val="000000" w:themeColor="text1"/>
          <w:sz w:val="20"/>
          <w:szCs w:val="20"/>
        </w:rPr>
        <w:t>280 N. High Street</w:t>
      </w:r>
    </w:p>
    <w:p>
      <w:pPr>
        <w:jc w:val="left"/>
        <w:rPr>
          <w:color w:val="000000" w:themeColor="text1"/>
          <w:sz w:val="20"/>
          <w:szCs w:val="20"/>
        </w:rPr>
      </w:pPr>
      <w:r>
        <w:rPr>
          <w:color w:val="000000" w:themeColor="text1"/>
          <w:sz w:val="20"/>
          <w:szCs w:val="20"/>
        </w:rPr>
        <w:t>Columbus, OH  43215</w:t>
      </w:r>
    </w:p>
    <w:p>
      <w:pPr>
        <w:jc w:val="left"/>
        <w:rPr>
          <w:color w:val="000000" w:themeColor="text1"/>
          <w:sz w:val="20"/>
          <w:szCs w:val="20"/>
        </w:rPr>
      </w:pPr>
      <w:r>
        <w:rPr>
          <w:sz w:val="20"/>
          <w:szCs w:val="20"/>
        </w:rPr>
        <w:t>bojko@carpenterlipps.com</w:t>
      </w:r>
    </w:p>
    <w:p>
      <w:pPr>
        <w:tabs>
          <w:tab w:val="left" w:pos="2160"/>
          <w:tab w:val="left" w:pos="2280"/>
        </w:tabs>
        <w:jc w:val="left"/>
        <w:rPr>
          <w:rFonts w:eastAsia="Calibri"/>
          <w:b/>
          <w:color w:val="000000" w:themeColor="text1"/>
          <w:sz w:val="20"/>
          <w:szCs w:val="20"/>
        </w:rPr>
      </w:pPr>
    </w:p>
    <w:p>
      <w:pPr>
        <w:jc w:val="left"/>
        <w:rPr>
          <w:b/>
          <w:smallCaps/>
          <w:color w:val="000000" w:themeColor="text1"/>
          <w:sz w:val="20"/>
        </w:rPr>
      </w:pPr>
      <w:r>
        <w:rPr>
          <w:b/>
          <w:smallCaps/>
          <w:color w:val="000000" w:themeColor="text1"/>
          <w:sz w:val="20"/>
        </w:rPr>
        <w:t xml:space="preserve">Attorney for </w:t>
      </w:r>
      <w:proofErr w:type="spellStart"/>
      <w:r>
        <w:rPr>
          <w:b/>
          <w:smallCaps/>
          <w:color w:val="000000" w:themeColor="text1"/>
          <w:sz w:val="20"/>
        </w:rPr>
        <w:t>SolarVision</w:t>
      </w:r>
      <w:proofErr w:type="spellEnd"/>
      <w:r>
        <w:rPr>
          <w:b/>
          <w:smallCaps/>
          <w:color w:val="000000" w:themeColor="text1"/>
          <w:sz w:val="20"/>
        </w:rPr>
        <w:t>, LLC</w:t>
      </w:r>
    </w:p>
    <w:p>
      <w:pPr>
        <w:tabs>
          <w:tab w:val="left" w:pos="2160"/>
          <w:tab w:val="left" w:pos="2280"/>
        </w:tabs>
        <w:jc w:val="left"/>
        <w:rPr>
          <w:rFonts w:eastAsia="Calibri"/>
          <w:b/>
          <w:smallCaps/>
          <w:color w:val="000000" w:themeColor="text1"/>
          <w:sz w:val="20"/>
          <w:szCs w:val="20"/>
        </w:rPr>
      </w:pPr>
    </w:p>
    <w:p>
      <w:pPr>
        <w:tabs>
          <w:tab w:val="right" w:pos="4320"/>
        </w:tabs>
        <w:jc w:val="left"/>
        <w:rPr>
          <w:rFonts w:eastAsia="Calibri"/>
          <w:color w:val="000000" w:themeColor="text1"/>
          <w:sz w:val="20"/>
          <w:szCs w:val="20"/>
          <w:u w:val="single"/>
        </w:rPr>
      </w:pPr>
    </w:p>
    <w:p>
      <w:pPr>
        <w:tabs>
          <w:tab w:val="right" w:pos="4320"/>
        </w:tabs>
        <w:jc w:val="left"/>
        <w:rPr>
          <w:rFonts w:eastAsia="Calibri"/>
          <w:color w:val="000000" w:themeColor="text1"/>
          <w:sz w:val="20"/>
          <w:szCs w:val="20"/>
          <w:u w:val="single"/>
        </w:rPr>
      </w:pPr>
    </w:p>
    <w:p>
      <w:pPr>
        <w:tabs>
          <w:tab w:val="right" w:pos="4320"/>
        </w:tabs>
        <w:jc w:val="left"/>
        <w:rPr>
          <w:color w:val="000000"/>
          <w:sz w:val="20"/>
          <w:szCs w:val="20"/>
          <w:u w:val="single"/>
        </w:rPr>
      </w:pPr>
      <w:r>
        <w:rPr>
          <w:color w:val="000000"/>
          <w:sz w:val="20"/>
          <w:szCs w:val="20"/>
          <w:u w:val="single"/>
        </w:rPr>
        <w:t>/s/ Steven M. Sherman</w:t>
      </w:r>
      <w:r>
        <w:rPr>
          <w:color w:val="000000"/>
          <w:sz w:val="20"/>
          <w:szCs w:val="20"/>
          <w:u w:val="single"/>
        </w:rPr>
        <w:tab/>
      </w:r>
    </w:p>
    <w:p>
      <w:pPr>
        <w:tabs>
          <w:tab w:val="left" w:pos="2160"/>
          <w:tab w:val="left" w:pos="2280"/>
        </w:tabs>
        <w:jc w:val="left"/>
        <w:rPr>
          <w:sz w:val="20"/>
          <w:szCs w:val="20"/>
        </w:rPr>
      </w:pPr>
      <w:r>
        <w:rPr>
          <w:sz w:val="20"/>
          <w:szCs w:val="20"/>
        </w:rPr>
        <w:t>Steven M. Sherman</w:t>
      </w:r>
    </w:p>
    <w:p>
      <w:pPr>
        <w:tabs>
          <w:tab w:val="left" w:pos="2160"/>
          <w:tab w:val="left" w:pos="2280"/>
        </w:tabs>
        <w:jc w:val="left"/>
        <w:rPr>
          <w:sz w:val="20"/>
          <w:szCs w:val="20"/>
        </w:rPr>
      </w:pPr>
      <w:r>
        <w:rPr>
          <w:sz w:val="20"/>
          <w:szCs w:val="20"/>
        </w:rPr>
        <w:t>Joshua D. Hague</w:t>
      </w:r>
    </w:p>
    <w:p>
      <w:pPr>
        <w:tabs>
          <w:tab w:val="left" w:pos="2160"/>
          <w:tab w:val="left" w:pos="2280"/>
        </w:tabs>
        <w:jc w:val="left"/>
        <w:rPr>
          <w:sz w:val="20"/>
          <w:szCs w:val="20"/>
        </w:rPr>
      </w:pPr>
      <w:r>
        <w:rPr>
          <w:sz w:val="20"/>
          <w:szCs w:val="20"/>
        </w:rPr>
        <w:t>Grant E. Chapman</w:t>
      </w:r>
    </w:p>
    <w:p>
      <w:pPr>
        <w:tabs>
          <w:tab w:val="left" w:pos="2160"/>
          <w:tab w:val="left" w:pos="2280"/>
        </w:tabs>
        <w:jc w:val="left"/>
        <w:rPr>
          <w:sz w:val="20"/>
          <w:szCs w:val="20"/>
        </w:rPr>
      </w:pPr>
      <w:r>
        <w:rPr>
          <w:sz w:val="20"/>
          <w:szCs w:val="20"/>
        </w:rPr>
        <w:t xml:space="preserve">Krieg </w:t>
      </w:r>
      <w:proofErr w:type="spellStart"/>
      <w:r>
        <w:rPr>
          <w:sz w:val="20"/>
          <w:szCs w:val="20"/>
        </w:rPr>
        <w:t>DeVault</w:t>
      </w:r>
      <w:proofErr w:type="spellEnd"/>
      <w:r>
        <w:rPr>
          <w:sz w:val="20"/>
          <w:szCs w:val="20"/>
        </w:rPr>
        <w:t>, LLP</w:t>
      </w:r>
    </w:p>
    <w:p>
      <w:pPr>
        <w:tabs>
          <w:tab w:val="left" w:pos="2160"/>
          <w:tab w:val="left" w:pos="2280"/>
        </w:tabs>
        <w:jc w:val="left"/>
        <w:rPr>
          <w:sz w:val="20"/>
          <w:szCs w:val="20"/>
        </w:rPr>
      </w:pPr>
      <w:r>
        <w:rPr>
          <w:sz w:val="20"/>
          <w:szCs w:val="20"/>
        </w:rPr>
        <w:t>One Indiana Square, Suite 2800</w:t>
      </w:r>
    </w:p>
    <w:p>
      <w:pPr>
        <w:tabs>
          <w:tab w:val="left" w:pos="2160"/>
          <w:tab w:val="left" w:pos="2280"/>
        </w:tabs>
        <w:jc w:val="left"/>
        <w:rPr>
          <w:sz w:val="20"/>
          <w:szCs w:val="20"/>
        </w:rPr>
      </w:pPr>
      <w:r>
        <w:rPr>
          <w:sz w:val="20"/>
          <w:szCs w:val="20"/>
        </w:rPr>
        <w:t>Indianapolis, Indiana  46204-2079</w:t>
      </w:r>
    </w:p>
    <w:p>
      <w:pPr>
        <w:tabs>
          <w:tab w:val="left" w:pos="2160"/>
          <w:tab w:val="left" w:pos="2280"/>
        </w:tabs>
        <w:jc w:val="left"/>
        <w:rPr>
          <w:sz w:val="20"/>
          <w:szCs w:val="20"/>
        </w:rPr>
      </w:pPr>
      <w:r>
        <w:rPr>
          <w:sz w:val="20"/>
          <w:szCs w:val="20"/>
        </w:rPr>
        <w:t>ssherman@kdlegal.com</w:t>
      </w:r>
    </w:p>
    <w:p>
      <w:pPr>
        <w:tabs>
          <w:tab w:val="left" w:pos="2160"/>
          <w:tab w:val="left" w:pos="2280"/>
        </w:tabs>
        <w:jc w:val="left"/>
        <w:rPr>
          <w:sz w:val="20"/>
          <w:szCs w:val="20"/>
        </w:rPr>
      </w:pPr>
      <w:r>
        <w:rPr>
          <w:sz w:val="20"/>
          <w:szCs w:val="20"/>
        </w:rPr>
        <w:t>jhague@kdlegal.com</w:t>
      </w:r>
    </w:p>
    <w:p>
      <w:pPr>
        <w:tabs>
          <w:tab w:val="left" w:pos="2160"/>
          <w:tab w:val="left" w:pos="2280"/>
        </w:tabs>
        <w:jc w:val="left"/>
        <w:rPr>
          <w:sz w:val="20"/>
          <w:szCs w:val="20"/>
        </w:rPr>
      </w:pPr>
      <w:r>
        <w:rPr>
          <w:sz w:val="20"/>
          <w:szCs w:val="20"/>
        </w:rPr>
        <w:t>gchapman@kdlegal.com</w:t>
      </w:r>
    </w:p>
    <w:p>
      <w:pPr>
        <w:tabs>
          <w:tab w:val="left" w:pos="2160"/>
          <w:tab w:val="left" w:pos="2280"/>
        </w:tabs>
        <w:jc w:val="left"/>
        <w:rPr>
          <w:sz w:val="20"/>
          <w:szCs w:val="20"/>
        </w:rPr>
      </w:pPr>
    </w:p>
    <w:p>
      <w:pPr>
        <w:tabs>
          <w:tab w:val="left" w:pos="2160"/>
          <w:tab w:val="left" w:pos="2280"/>
        </w:tabs>
        <w:jc w:val="left"/>
        <w:rPr>
          <w:rFonts w:ascii="Arial Bold" w:hAnsi="Arial Bold"/>
          <w:b/>
          <w:smallCaps/>
          <w:sz w:val="20"/>
          <w:szCs w:val="20"/>
        </w:rPr>
      </w:pPr>
      <w:r>
        <w:rPr>
          <w:rFonts w:ascii="Arial Bold" w:hAnsi="Arial Bold"/>
          <w:b/>
          <w:smallCaps/>
          <w:sz w:val="20"/>
          <w:szCs w:val="20"/>
        </w:rPr>
        <w:t>Attorneys for Wal-Mart Stores East, LP and Sam’s East, Inc.</w:t>
      </w:r>
    </w:p>
    <w:p>
      <w:pPr>
        <w:tabs>
          <w:tab w:val="left" w:pos="2160"/>
          <w:tab w:val="left" w:pos="2280"/>
        </w:tabs>
        <w:jc w:val="left"/>
        <w:rPr>
          <w:b/>
          <w:sz w:val="20"/>
          <w:szCs w:val="20"/>
        </w:rPr>
      </w:pPr>
    </w:p>
    <w:p>
      <w:pPr>
        <w:tabs>
          <w:tab w:val="right" w:pos="4320"/>
        </w:tabs>
        <w:jc w:val="left"/>
        <w:rPr>
          <w:rFonts w:eastAsia="Calibri"/>
          <w:color w:val="000000" w:themeColor="text1"/>
          <w:sz w:val="20"/>
          <w:szCs w:val="20"/>
          <w:u w:val="single"/>
        </w:rPr>
      </w:pPr>
      <w:r>
        <w:rPr>
          <w:rFonts w:eastAsia="Calibri"/>
          <w:color w:val="000000" w:themeColor="text1"/>
          <w:sz w:val="20"/>
          <w:szCs w:val="20"/>
          <w:u w:val="single"/>
        </w:rPr>
        <w:br w:type="column"/>
      </w:r>
      <w:r>
        <w:rPr>
          <w:rFonts w:eastAsia="Calibri"/>
          <w:color w:val="000000" w:themeColor="text1"/>
          <w:sz w:val="20"/>
          <w:szCs w:val="20"/>
          <w:u w:val="single"/>
        </w:rPr>
        <w:lastRenderedPageBreak/>
        <w:t>/s/ M. Anthony Long</w:t>
      </w:r>
      <w:r>
        <w:rPr>
          <w:rFonts w:eastAsia="Calibri"/>
          <w:color w:val="000000" w:themeColor="text1"/>
          <w:sz w:val="20"/>
          <w:szCs w:val="20"/>
          <w:u w:val="single"/>
        </w:rPr>
        <w:tab/>
      </w:r>
    </w:p>
    <w:p>
      <w:pPr>
        <w:tabs>
          <w:tab w:val="left" w:pos="2160"/>
          <w:tab w:val="left" w:pos="2280"/>
        </w:tabs>
        <w:jc w:val="left"/>
        <w:rPr>
          <w:b/>
          <w:color w:val="000000" w:themeColor="text1"/>
          <w:sz w:val="20"/>
          <w:szCs w:val="20"/>
        </w:rPr>
      </w:pPr>
      <w:r>
        <w:rPr>
          <w:color w:val="000000" w:themeColor="text1"/>
          <w:sz w:val="20"/>
          <w:szCs w:val="20"/>
        </w:rPr>
        <w:t>M. Anthony Long</w:t>
      </w:r>
    </w:p>
    <w:p>
      <w:pPr>
        <w:tabs>
          <w:tab w:val="left" w:pos="2160"/>
          <w:tab w:val="left" w:pos="2280"/>
        </w:tabs>
        <w:jc w:val="left"/>
        <w:rPr>
          <w:color w:val="000000" w:themeColor="text1"/>
          <w:sz w:val="20"/>
          <w:szCs w:val="20"/>
        </w:rPr>
      </w:pPr>
      <w:proofErr w:type="gramStart"/>
      <w:r>
        <w:rPr>
          <w:color w:val="000000" w:themeColor="text1"/>
          <w:sz w:val="20"/>
          <w:szCs w:val="20"/>
        </w:rPr>
        <w:t>Honda of America Mfg., Inc.</w:t>
      </w:r>
      <w:proofErr w:type="gramEnd"/>
    </w:p>
    <w:p>
      <w:pPr>
        <w:tabs>
          <w:tab w:val="left" w:pos="2160"/>
          <w:tab w:val="left" w:pos="2280"/>
        </w:tabs>
        <w:jc w:val="left"/>
        <w:rPr>
          <w:color w:val="000000" w:themeColor="text1"/>
          <w:sz w:val="20"/>
          <w:szCs w:val="20"/>
        </w:rPr>
      </w:pPr>
      <w:r>
        <w:rPr>
          <w:color w:val="000000" w:themeColor="text1"/>
          <w:sz w:val="20"/>
          <w:szCs w:val="20"/>
        </w:rPr>
        <w:t>24000 Honda Parkway</w:t>
      </w:r>
    </w:p>
    <w:p>
      <w:pPr>
        <w:tabs>
          <w:tab w:val="left" w:pos="2160"/>
          <w:tab w:val="left" w:pos="2280"/>
        </w:tabs>
        <w:jc w:val="left"/>
        <w:rPr>
          <w:color w:val="000000" w:themeColor="text1"/>
          <w:sz w:val="20"/>
          <w:szCs w:val="20"/>
        </w:rPr>
      </w:pPr>
      <w:r>
        <w:rPr>
          <w:color w:val="000000" w:themeColor="text1"/>
          <w:sz w:val="20"/>
          <w:szCs w:val="20"/>
        </w:rPr>
        <w:t>Marysville, OH  43040</w:t>
      </w:r>
    </w:p>
    <w:p>
      <w:pPr>
        <w:tabs>
          <w:tab w:val="left" w:pos="2160"/>
          <w:tab w:val="left" w:pos="2280"/>
        </w:tabs>
        <w:jc w:val="left"/>
        <w:rPr>
          <w:color w:val="000000" w:themeColor="text1"/>
          <w:sz w:val="20"/>
          <w:szCs w:val="20"/>
        </w:rPr>
      </w:pPr>
      <w:r>
        <w:rPr>
          <w:sz w:val="20"/>
          <w:szCs w:val="20"/>
        </w:rPr>
        <w:t>tony_long@ham.honda.com</w:t>
      </w:r>
    </w:p>
    <w:p>
      <w:pPr>
        <w:tabs>
          <w:tab w:val="left" w:pos="2160"/>
          <w:tab w:val="left" w:pos="2280"/>
        </w:tabs>
        <w:jc w:val="left"/>
        <w:rPr>
          <w:b/>
          <w:smallCaps/>
          <w:sz w:val="20"/>
          <w:szCs w:val="20"/>
        </w:rPr>
      </w:pPr>
    </w:p>
    <w:p>
      <w:pPr>
        <w:tabs>
          <w:tab w:val="left" w:pos="2160"/>
          <w:tab w:val="left" w:pos="2280"/>
        </w:tabs>
        <w:jc w:val="left"/>
        <w:rPr>
          <w:b/>
          <w:smallCaps/>
          <w:sz w:val="20"/>
          <w:szCs w:val="20"/>
        </w:rPr>
      </w:pPr>
      <w:proofErr w:type="gramStart"/>
      <w:r>
        <w:rPr>
          <w:b/>
          <w:smallCaps/>
          <w:sz w:val="20"/>
          <w:szCs w:val="20"/>
        </w:rPr>
        <w:t>Attorney for Honda of America Manufacturing, Inc.</w:t>
      </w:r>
      <w:proofErr w:type="gramEnd"/>
    </w:p>
    <w:p>
      <w:pPr>
        <w:tabs>
          <w:tab w:val="left" w:pos="2160"/>
          <w:tab w:val="left" w:pos="2280"/>
        </w:tabs>
        <w:jc w:val="left"/>
        <w:rPr>
          <w:b/>
          <w:smallCaps/>
          <w:sz w:val="20"/>
          <w:szCs w:val="20"/>
        </w:rPr>
      </w:pPr>
    </w:p>
    <w:p>
      <w:pPr>
        <w:tabs>
          <w:tab w:val="left" w:pos="2160"/>
          <w:tab w:val="left" w:pos="2280"/>
        </w:tabs>
        <w:jc w:val="left"/>
        <w:rPr>
          <w:b/>
          <w:smallCaps/>
          <w:sz w:val="20"/>
          <w:szCs w:val="20"/>
        </w:rPr>
      </w:pPr>
    </w:p>
    <w:p>
      <w:pPr>
        <w:tabs>
          <w:tab w:val="left" w:pos="2160"/>
          <w:tab w:val="left" w:pos="2280"/>
        </w:tabs>
        <w:jc w:val="left"/>
        <w:rPr>
          <w:b/>
          <w:smallCaps/>
          <w:sz w:val="20"/>
          <w:szCs w:val="20"/>
        </w:rPr>
      </w:pPr>
    </w:p>
    <w:p>
      <w:pPr>
        <w:tabs>
          <w:tab w:val="right" w:pos="4320"/>
        </w:tabs>
        <w:jc w:val="left"/>
        <w:rPr>
          <w:rFonts w:eastAsia="Calibri"/>
          <w:color w:val="000000" w:themeColor="text1"/>
          <w:sz w:val="20"/>
          <w:szCs w:val="20"/>
          <w:u w:val="single"/>
        </w:rPr>
      </w:pPr>
      <w:r>
        <w:rPr>
          <w:rFonts w:eastAsia="Calibri"/>
          <w:color w:val="000000" w:themeColor="text1"/>
          <w:sz w:val="20"/>
          <w:szCs w:val="20"/>
          <w:u w:val="single"/>
        </w:rPr>
        <w:t>/s/ J. Thomas Siwo</w:t>
      </w:r>
      <w:r>
        <w:rPr>
          <w:rFonts w:eastAsia="Calibri"/>
          <w:color w:val="000000" w:themeColor="text1"/>
          <w:sz w:val="20"/>
          <w:szCs w:val="20"/>
          <w:u w:val="single"/>
        </w:rPr>
        <w:tab/>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J. Thomas Siwo</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Matthew W. Warnock</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BRICKER &amp; ECKLER LLP</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100 South Third Street</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Columbus, OH  43215</w:t>
      </w:r>
    </w:p>
    <w:p>
      <w:pPr>
        <w:tabs>
          <w:tab w:val="left" w:pos="2160"/>
          <w:tab w:val="left" w:pos="2280"/>
        </w:tabs>
        <w:jc w:val="left"/>
        <w:rPr>
          <w:rFonts w:eastAsia="Calibri"/>
          <w:color w:val="000000" w:themeColor="text1"/>
          <w:sz w:val="20"/>
          <w:szCs w:val="20"/>
        </w:rPr>
      </w:pPr>
      <w:r>
        <w:rPr>
          <w:rFonts w:eastAsia="Calibri"/>
          <w:sz w:val="20"/>
          <w:szCs w:val="20"/>
        </w:rPr>
        <w:t>tsiwo@bricker.com</w:t>
      </w:r>
    </w:p>
    <w:p>
      <w:pPr>
        <w:tabs>
          <w:tab w:val="left" w:pos="2160"/>
          <w:tab w:val="left" w:pos="2280"/>
        </w:tabs>
        <w:jc w:val="left"/>
        <w:rPr>
          <w:rFonts w:eastAsia="Calibri"/>
          <w:color w:val="000000" w:themeColor="text1"/>
          <w:sz w:val="20"/>
          <w:szCs w:val="20"/>
        </w:rPr>
      </w:pPr>
      <w:r>
        <w:rPr>
          <w:rFonts w:eastAsia="Calibri"/>
          <w:color w:val="000000" w:themeColor="text1"/>
          <w:sz w:val="20"/>
          <w:szCs w:val="20"/>
        </w:rPr>
        <w:t>mwarnock@bricker.com</w:t>
      </w:r>
    </w:p>
    <w:p>
      <w:pPr>
        <w:tabs>
          <w:tab w:val="left" w:pos="2160"/>
          <w:tab w:val="left" w:pos="2280"/>
        </w:tabs>
        <w:jc w:val="left"/>
        <w:rPr>
          <w:rFonts w:eastAsia="Calibri"/>
          <w:color w:val="000000" w:themeColor="text1"/>
          <w:sz w:val="20"/>
          <w:szCs w:val="20"/>
        </w:rPr>
      </w:pPr>
    </w:p>
    <w:p>
      <w:pPr>
        <w:tabs>
          <w:tab w:val="left" w:pos="2160"/>
          <w:tab w:val="left" w:pos="2280"/>
        </w:tabs>
        <w:jc w:val="left"/>
        <w:rPr>
          <w:rFonts w:eastAsia="Calibri"/>
          <w:b/>
          <w:smallCaps/>
          <w:color w:val="000000" w:themeColor="text1"/>
          <w:sz w:val="20"/>
          <w:szCs w:val="20"/>
        </w:rPr>
      </w:pPr>
      <w:r>
        <w:rPr>
          <w:rFonts w:eastAsia="Calibri"/>
          <w:b/>
          <w:smallCaps/>
          <w:color w:val="000000" w:themeColor="text1"/>
          <w:sz w:val="20"/>
          <w:szCs w:val="20"/>
        </w:rPr>
        <w:t>Attorneys for the OMA Energy Group</w:t>
      </w:r>
    </w:p>
    <w:p>
      <w:pPr>
        <w:tabs>
          <w:tab w:val="left" w:pos="2160"/>
          <w:tab w:val="left" w:pos="2280"/>
        </w:tabs>
        <w:rPr>
          <w:b/>
          <w:smallCaps/>
          <w:sz w:val="20"/>
          <w:szCs w:val="20"/>
        </w:rPr>
      </w:pPr>
    </w:p>
    <w:p>
      <w:pPr>
        <w:tabs>
          <w:tab w:val="left" w:pos="2160"/>
          <w:tab w:val="left" w:pos="2280"/>
        </w:tabs>
        <w:jc w:val="left"/>
        <w:rPr>
          <w:b/>
          <w:sz w:val="22"/>
        </w:rPr>
      </w:pPr>
    </w:p>
    <w:p>
      <w:pPr>
        <w:ind w:left="4320"/>
        <w:rPr>
          <w:rFonts w:eastAsia="Times New Roman"/>
          <w:szCs w:val="24"/>
        </w:rPr>
        <w:sectPr>
          <w:type w:val="continuous"/>
          <w:pgSz w:w="12240" w:h="15840" w:code="1"/>
          <w:pgMar w:top="1440" w:right="1440" w:bottom="1440" w:left="1440" w:header="720" w:footer="720" w:gutter="0"/>
          <w:cols w:num="2" w:space="720"/>
          <w:titlePg/>
          <w:docGrid w:linePitch="360"/>
        </w:sectPr>
      </w:pPr>
    </w:p>
    <w:p>
      <w:pPr>
        <w:tabs>
          <w:tab w:val="left" w:pos="2160"/>
          <w:tab w:val="left" w:pos="2280"/>
        </w:tabs>
        <w:jc w:val="center"/>
        <w:rPr>
          <w:rFonts w:ascii="Arial Bold" w:hAnsi="Arial Bold"/>
          <w:b/>
          <w:smallCaps/>
          <w:sz w:val="28"/>
          <w:u w:val="single"/>
        </w:rPr>
      </w:pPr>
      <w:r>
        <w:rPr>
          <w:rFonts w:ascii="Arial Bold" w:hAnsi="Arial Bold"/>
          <w:b/>
          <w:smallCaps/>
          <w:sz w:val="28"/>
          <w:u w:val="single"/>
        </w:rPr>
        <w:lastRenderedPageBreak/>
        <w:t>Certificate Of Service</w:t>
      </w:r>
    </w:p>
    <w:p/>
    <w:p>
      <w:pPr>
        <w:pStyle w:val="BodyText"/>
        <w:spacing w:line="480" w:lineRule="auto"/>
        <w:ind w:firstLine="720"/>
        <w:rPr>
          <w:b/>
          <w:smallCaps/>
        </w:rPr>
      </w:pPr>
      <w:r>
        <w:t xml:space="preserve">I hereby certify that a copy of the foregoing </w:t>
      </w:r>
      <w:r>
        <w:rPr>
          <w:i/>
        </w:rPr>
        <w:t xml:space="preserve">Joint </w:t>
      </w:r>
      <w:proofErr w:type="spellStart"/>
      <w:proofErr w:type="gramStart"/>
      <w:r>
        <w:rPr>
          <w:i/>
        </w:rPr>
        <w:t>Movants</w:t>
      </w:r>
      <w:proofErr w:type="spellEnd"/>
      <w:r>
        <w:rPr>
          <w:i/>
        </w:rPr>
        <w:t>’ Memorandum in Opposition to The</w:t>
      </w:r>
      <w:proofErr w:type="gramEnd"/>
      <w:r>
        <w:rPr>
          <w:i/>
        </w:rPr>
        <w:t xml:space="preserve"> Dayton Power and Light Company’s Waiver Request </w:t>
      </w:r>
      <w:r>
        <w:t>was served upon the following parties of record this 21</w:t>
      </w:r>
      <w:r>
        <w:rPr>
          <w:vertAlign w:val="superscript"/>
        </w:rPr>
        <w:t>st</w:t>
      </w:r>
      <w:r>
        <w:t xml:space="preserve"> day of November 2012, </w:t>
      </w:r>
      <w:r>
        <w:rPr>
          <w:i/>
        </w:rPr>
        <w:t>via</w:t>
      </w:r>
      <w:r>
        <w:t xml:space="preserve"> electronic transmission, hand-delivery or first class U.S. mail, postage prepaid.</w:t>
      </w:r>
    </w:p>
    <w:p>
      <w:pPr>
        <w:tabs>
          <w:tab w:val="left" w:pos="2160"/>
          <w:tab w:val="left" w:pos="2280"/>
        </w:tabs>
        <w:rPr>
          <w:u w:val="single"/>
        </w:rPr>
      </w:pPr>
      <w:r>
        <w:tab/>
      </w:r>
      <w:r>
        <w:tab/>
      </w:r>
      <w:r>
        <w:tab/>
      </w:r>
      <w:r>
        <w:tab/>
      </w:r>
      <w:r>
        <w:tab/>
      </w:r>
      <w:r>
        <w:tab/>
      </w:r>
      <w:r>
        <w:rPr>
          <w:u w:val="single"/>
        </w:rPr>
        <w:t>/s</w:t>
      </w:r>
      <w:proofErr w:type="gramStart"/>
      <w:r>
        <w:rPr>
          <w:u w:val="single"/>
        </w:rPr>
        <w:t>/  Matthew</w:t>
      </w:r>
      <w:proofErr w:type="gramEnd"/>
      <w:r>
        <w:rPr>
          <w:u w:val="single"/>
        </w:rPr>
        <w:t xml:space="preserve"> R. Pritchard</w:t>
      </w:r>
      <w:r>
        <w:rPr>
          <w:u w:val="single"/>
        </w:rPr>
        <w:tab/>
      </w:r>
      <w:r>
        <w:rPr>
          <w:u w:val="single"/>
        </w:rPr>
        <w:tab/>
      </w:r>
      <w:r>
        <w:rPr>
          <w:u w:val="single"/>
        </w:rPr>
        <w:tab/>
      </w:r>
    </w:p>
    <w:p>
      <w:pPr>
        <w:tabs>
          <w:tab w:val="left" w:pos="2160"/>
          <w:tab w:val="left" w:pos="2280"/>
        </w:tabs>
        <w:rPr>
          <w:sz w:val="22"/>
        </w:rPr>
      </w:pPr>
      <w:r>
        <w:rPr>
          <w:szCs w:val="24"/>
        </w:rPr>
        <w:tab/>
      </w:r>
      <w:r>
        <w:rPr>
          <w:szCs w:val="24"/>
        </w:rPr>
        <w:tab/>
      </w:r>
      <w:r>
        <w:rPr>
          <w:szCs w:val="24"/>
        </w:rPr>
        <w:tab/>
      </w:r>
      <w:r>
        <w:rPr>
          <w:szCs w:val="24"/>
        </w:rPr>
        <w:tab/>
      </w:r>
      <w:r>
        <w:rPr>
          <w:szCs w:val="24"/>
        </w:rPr>
        <w:tab/>
      </w:r>
      <w:r>
        <w:rPr>
          <w:szCs w:val="24"/>
        </w:rPr>
        <w:tab/>
        <w:t>Matthew R. Pritchard</w:t>
      </w:r>
    </w:p>
    <w:p>
      <w:pPr>
        <w:tabs>
          <w:tab w:val="left" w:pos="2160"/>
          <w:tab w:val="left" w:pos="2280"/>
        </w:tabs>
        <w:rPr>
          <w:sz w:val="22"/>
        </w:rPr>
      </w:pPr>
    </w:p>
    <w:p>
      <w:pPr>
        <w:tabs>
          <w:tab w:val="left" w:pos="2160"/>
          <w:tab w:val="left" w:pos="2280"/>
        </w:tabs>
        <w:rPr>
          <w:sz w:val="22"/>
        </w:rPr>
        <w:sectPr>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pPr>
        <w:tabs>
          <w:tab w:val="left" w:pos="2160"/>
          <w:tab w:val="left" w:pos="2280"/>
        </w:tabs>
        <w:rPr>
          <w:sz w:val="20"/>
          <w:szCs w:val="20"/>
        </w:rPr>
      </w:pPr>
      <w:r>
        <w:rPr>
          <w:sz w:val="20"/>
          <w:szCs w:val="20"/>
        </w:rPr>
        <w:lastRenderedPageBreak/>
        <w:t>Judi L. Sobecki</w:t>
      </w:r>
    </w:p>
    <w:p>
      <w:pPr>
        <w:tabs>
          <w:tab w:val="left" w:pos="2160"/>
          <w:tab w:val="left" w:pos="2280"/>
        </w:tabs>
        <w:rPr>
          <w:sz w:val="20"/>
          <w:szCs w:val="20"/>
        </w:rPr>
      </w:pPr>
      <w:r>
        <w:rPr>
          <w:sz w:val="20"/>
          <w:szCs w:val="20"/>
        </w:rPr>
        <w:t>The Dayton Power and Light Company</w:t>
      </w:r>
    </w:p>
    <w:p>
      <w:pPr>
        <w:tabs>
          <w:tab w:val="left" w:pos="2160"/>
          <w:tab w:val="left" w:pos="2280"/>
        </w:tabs>
        <w:rPr>
          <w:sz w:val="20"/>
          <w:szCs w:val="20"/>
        </w:rPr>
      </w:pPr>
      <w:r>
        <w:rPr>
          <w:sz w:val="20"/>
          <w:szCs w:val="20"/>
        </w:rPr>
        <w:t>1065 Woodman Drive</w:t>
      </w:r>
    </w:p>
    <w:p>
      <w:pPr>
        <w:tabs>
          <w:tab w:val="left" w:pos="2160"/>
          <w:tab w:val="left" w:pos="2280"/>
        </w:tabs>
        <w:rPr>
          <w:sz w:val="20"/>
          <w:szCs w:val="20"/>
        </w:rPr>
      </w:pPr>
      <w:r>
        <w:rPr>
          <w:sz w:val="20"/>
          <w:szCs w:val="20"/>
        </w:rPr>
        <w:t>Dayton, OH  45432</w:t>
      </w:r>
    </w:p>
    <w:p>
      <w:pPr>
        <w:tabs>
          <w:tab w:val="left" w:pos="2160"/>
          <w:tab w:val="left" w:pos="2280"/>
        </w:tabs>
        <w:rPr>
          <w:sz w:val="20"/>
          <w:szCs w:val="20"/>
        </w:rPr>
      </w:pPr>
      <w:r>
        <w:rPr>
          <w:sz w:val="20"/>
          <w:szCs w:val="20"/>
        </w:rPr>
        <w:t>judi.sobecki@dplinc.com</w:t>
      </w:r>
    </w:p>
    <w:p>
      <w:pPr>
        <w:tabs>
          <w:tab w:val="left" w:pos="2160"/>
          <w:tab w:val="left" w:pos="2280"/>
        </w:tabs>
        <w:rPr>
          <w:sz w:val="20"/>
          <w:szCs w:val="20"/>
        </w:rPr>
      </w:pPr>
    </w:p>
    <w:p>
      <w:pPr>
        <w:tabs>
          <w:tab w:val="left" w:pos="2160"/>
          <w:tab w:val="left" w:pos="2280"/>
        </w:tabs>
        <w:rPr>
          <w:sz w:val="20"/>
          <w:szCs w:val="20"/>
        </w:rPr>
      </w:pPr>
      <w:r>
        <w:rPr>
          <w:sz w:val="20"/>
          <w:szCs w:val="20"/>
        </w:rPr>
        <w:t>Charles J. Faruki</w:t>
      </w:r>
    </w:p>
    <w:p>
      <w:pPr>
        <w:tabs>
          <w:tab w:val="left" w:pos="2160"/>
          <w:tab w:val="left" w:pos="2280"/>
        </w:tabs>
        <w:rPr>
          <w:sz w:val="20"/>
          <w:szCs w:val="20"/>
        </w:rPr>
      </w:pPr>
      <w:r>
        <w:rPr>
          <w:sz w:val="20"/>
          <w:szCs w:val="20"/>
        </w:rPr>
        <w:t>Jeffrey S. Sharkey</w:t>
      </w:r>
    </w:p>
    <w:p>
      <w:pPr>
        <w:tabs>
          <w:tab w:val="left" w:pos="2160"/>
          <w:tab w:val="left" w:pos="2280"/>
        </w:tabs>
        <w:rPr>
          <w:sz w:val="20"/>
          <w:szCs w:val="20"/>
        </w:rPr>
      </w:pPr>
      <w:r>
        <w:rPr>
          <w:sz w:val="20"/>
          <w:szCs w:val="20"/>
        </w:rPr>
        <w:t>Faruki, Ireland and Cox PLL</w:t>
      </w:r>
    </w:p>
    <w:p>
      <w:pPr>
        <w:tabs>
          <w:tab w:val="left" w:pos="2160"/>
          <w:tab w:val="left" w:pos="2280"/>
        </w:tabs>
        <w:rPr>
          <w:sz w:val="20"/>
          <w:szCs w:val="20"/>
        </w:rPr>
      </w:pPr>
      <w:r>
        <w:rPr>
          <w:sz w:val="20"/>
          <w:szCs w:val="20"/>
        </w:rPr>
        <w:t>500 Courthous</w:t>
      </w:r>
      <w:bookmarkStart w:id="0" w:name="_GoBack"/>
      <w:bookmarkEnd w:id="0"/>
      <w:r>
        <w:rPr>
          <w:sz w:val="20"/>
          <w:szCs w:val="20"/>
        </w:rPr>
        <w:t xml:space="preserve">e </w:t>
      </w:r>
      <w:proofErr w:type="gramStart"/>
      <w:r>
        <w:rPr>
          <w:sz w:val="20"/>
          <w:szCs w:val="20"/>
        </w:rPr>
        <w:t>Plaza</w:t>
      </w:r>
      <w:proofErr w:type="gramEnd"/>
      <w:r>
        <w:rPr>
          <w:sz w:val="20"/>
          <w:szCs w:val="20"/>
        </w:rPr>
        <w:t>, SW</w:t>
      </w:r>
    </w:p>
    <w:p>
      <w:pPr>
        <w:tabs>
          <w:tab w:val="left" w:pos="2160"/>
          <w:tab w:val="left" w:pos="2280"/>
        </w:tabs>
        <w:rPr>
          <w:sz w:val="20"/>
          <w:szCs w:val="20"/>
        </w:rPr>
      </w:pPr>
      <w:r>
        <w:rPr>
          <w:sz w:val="20"/>
          <w:szCs w:val="20"/>
        </w:rPr>
        <w:t>10 North Ludlow Street</w:t>
      </w:r>
    </w:p>
    <w:p>
      <w:pPr>
        <w:tabs>
          <w:tab w:val="left" w:pos="2160"/>
          <w:tab w:val="left" w:pos="2280"/>
        </w:tabs>
        <w:rPr>
          <w:sz w:val="20"/>
          <w:szCs w:val="20"/>
        </w:rPr>
      </w:pPr>
      <w:r>
        <w:rPr>
          <w:sz w:val="20"/>
          <w:szCs w:val="20"/>
        </w:rPr>
        <w:t>Dayton, OH  45402</w:t>
      </w:r>
    </w:p>
    <w:p>
      <w:pPr>
        <w:tabs>
          <w:tab w:val="left" w:pos="2160"/>
          <w:tab w:val="left" w:pos="2280"/>
        </w:tabs>
        <w:rPr>
          <w:sz w:val="20"/>
          <w:szCs w:val="20"/>
        </w:rPr>
      </w:pPr>
      <w:r>
        <w:rPr>
          <w:sz w:val="20"/>
          <w:szCs w:val="20"/>
        </w:rPr>
        <w:t>cfaruki@ficlaw.com</w:t>
      </w:r>
    </w:p>
    <w:p>
      <w:pPr>
        <w:tabs>
          <w:tab w:val="left" w:pos="2160"/>
          <w:tab w:val="left" w:pos="2280"/>
        </w:tabs>
        <w:rPr>
          <w:sz w:val="20"/>
          <w:szCs w:val="20"/>
        </w:rPr>
      </w:pPr>
      <w:r>
        <w:rPr>
          <w:sz w:val="20"/>
          <w:szCs w:val="20"/>
        </w:rPr>
        <w:t>jsharkey@ficlaw.com</w:t>
      </w:r>
    </w:p>
    <w:p>
      <w:pPr>
        <w:tabs>
          <w:tab w:val="left" w:pos="2160"/>
          <w:tab w:val="left" w:pos="2280"/>
        </w:tabs>
        <w:rPr>
          <w:sz w:val="20"/>
          <w:szCs w:val="20"/>
        </w:rPr>
      </w:pPr>
    </w:p>
    <w:p>
      <w:pPr>
        <w:tabs>
          <w:tab w:val="left" w:pos="2160"/>
          <w:tab w:val="left" w:pos="2280"/>
        </w:tabs>
        <w:rPr>
          <w:sz w:val="20"/>
          <w:szCs w:val="20"/>
        </w:rPr>
      </w:pPr>
      <w:r>
        <w:rPr>
          <w:b/>
          <w:sz w:val="20"/>
          <w:szCs w:val="20"/>
        </w:rPr>
        <w:t>On Behalf of the Dayton Power and Light Company</w:t>
      </w:r>
    </w:p>
    <w:p>
      <w:pPr>
        <w:tabs>
          <w:tab w:val="left" w:pos="2160"/>
          <w:tab w:val="left" w:pos="2280"/>
        </w:tabs>
        <w:rPr>
          <w:sz w:val="20"/>
          <w:szCs w:val="20"/>
        </w:rPr>
      </w:pPr>
    </w:p>
    <w:p>
      <w:pPr>
        <w:tabs>
          <w:tab w:val="left" w:pos="2160"/>
          <w:tab w:val="left" w:pos="2280"/>
        </w:tabs>
        <w:rPr>
          <w:sz w:val="20"/>
          <w:szCs w:val="20"/>
        </w:rPr>
      </w:pPr>
      <w:r>
        <w:rPr>
          <w:sz w:val="20"/>
          <w:szCs w:val="20"/>
        </w:rPr>
        <w:t>Lisa G. McAlister</w:t>
      </w:r>
    </w:p>
    <w:p>
      <w:pPr>
        <w:tabs>
          <w:tab w:val="left" w:pos="2160"/>
          <w:tab w:val="left" w:pos="2280"/>
        </w:tabs>
        <w:rPr>
          <w:sz w:val="20"/>
          <w:szCs w:val="20"/>
        </w:rPr>
      </w:pPr>
      <w:r>
        <w:rPr>
          <w:sz w:val="20"/>
          <w:szCs w:val="20"/>
        </w:rPr>
        <w:t>Matthew W. Warnock</w:t>
      </w:r>
    </w:p>
    <w:p>
      <w:pPr>
        <w:tabs>
          <w:tab w:val="left" w:pos="2160"/>
          <w:tab w:val="left" w:pos="2280"/>
        </w:tabs>
        <w:rPr>
          <w:sz w:val="20"/>
          <w:szCs w:val="20"/>
        </w:rPr>
      </w:pPr>
      <w:r>
        <w:rPr>
          <w:sz w:val="20"/>
          <w:szCs w:val="20"/>
        </w:rPr>
        <w:t>J. Thomas Siwo</w:t>
      </w:r>
    </w:p>
    <w:p>
      <w:pPr>
        <w:tabs>
          <w:tab w:val="left" w:pos="2160"/>
          <w:tab w:val="left" w:pos="2280"/>
        </w:tabs>
        <w:rPr>
          <w:sz w:val="20"/>
          <w:szCs w:val="20"/>
        </w:rPr>
      </w:pPr>
      <w:r>
        <w:rPr>
          <w:sz w:val="20"/>
          <w:szCs w:val="20"/>
        </w:rPr>
        <w:t xml:space="preserve">Bricker &amp; </w:t>
      </w:r>
      <w:proofErr w:type="spellStart"/>
      <w:r>
        <w:rPr>
          <w:sz w:val="20"/>
          <w:szCs w:val="20"/>
        </w:rPr>
        <w:t>Eckler</w:t>
      </w:r>
      <w:proofErr w:type="spellEnd"/>
      <w:r>
        <w:rPr>
          <w:sz w:val="20"/>
          <w:szCs w:val="20"/>
        </w:rPr>
        <w:t xml:space="preserve"> LLP</w:t>
      </w:r>
    </w:p>
    <w:p>
      <w:pPr>
        <w:tabs>
          <w:tab w:val="left" w:pos="2160"/>
          <w:tab w:val="left" w:pos="2280"/>
        </w:tabs>
        <w:rPr>
          <w:sz w:val="20"/>
          <w:szCs w:val="20"/>
        </w:rPr>
      </w:pPr>
      <w:r>
        <w:rPr>
          <w:sz w:val="20"/>
          <w:szCs w:val="20"/>
        </w:rPr>
        <w:t>100 South Third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lmcalister@bricker.com</w:t>
      </w:r>
    </w:p>
    <w:p>
      <w:pPr>
        <w:tabs>
          <w:tab w:val="left" w:pos="2160"/>
          <w:tab w:val="left" w:pos="2280"/>
        </w:tabs>
        <w:rPr>
          <w:sz w:val="20"/>
          <w:szCs w:val="20"/>
        </w:rPr>
      </w:pPr>
      <w:r>
        <w:rPr>
          <w:sz w:val="20"/>
          <w:szCs w:val="20"/>
        </w:rPr>
        <w:t>mwarnock@bricker.com</w:t>
      </w:r>
    </w:p>
    <w:p>
      <w:pPr>
        <w:tabs>
          <w:tab w:val="left" w:pos="2160"/>
          <w:tab w:val="left" w:pos="2280"/>
        </w:tabs>
        <w:rPr>
          <w:sz w:val="20"/>
          <w:szCs w:val="20"/>
        </w:rPr>
      </w:pPr>
      <w:r>
        <w:rPr>
          <w:sz w:val="20"/>
          <w:szCs w:val="20"/>
        </w:rPr>
        <w:t>tsiwo@bricker.com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the OMA Energy Group</w:t>
      </w:r>
    </w:p>
    <w:p>
      <w:pPr>
        <w:tabs>
          <w:tab w:val="left" w:pos="2160"/>
          <w:tab w:val="left" w:pos="2280"/>
        </w:tabs>
        <w:rPr>
          <w:b/>
          <w:sz w:val="20"/>
          <w:szCs w:val="20"/>
        </w:rPr>
      </w:pPr>
    </w:p>
    <w:p>
      <w:pPr>
        <w:tabs>
          <w:tab w:val="left" w:pos="2160"/>
          <w:tab w:val="left" w:pos="2280"/>
        </w:tabs>
        <w:rPr>
          <w:sz w:val="20"/>
          <w:szCs w:val="20"/>
        </w:rPr>
      </w:pPr>
      <w:r>
        <w:rPr>
          <w:sz w:val="20"/>
          <w:szCs w:val="20"/>
        </w:rPr>
        <w:t>Mark A. Whitt</w:t>
      </w:r>
    </w:p>
    <w:p>
      <w:pPr>
        <w:tabs>
          <w:tab w:val="left" w:pos="2160"/>
          <w:tab w:val="left" w:pos="2280"/>
        </w:tabs>
        <w:rPr>
          <w:sz w:val="20"/>
          <w:szCs w:val="20"/>
        </w:rPr>
      </w:pPr>
      <w:r>
        <w:rPr>
          <w:sz w:val="20"/>
          <w:szCs w:val="20"/>
        </w:rPr>
        <w:t>Andrew J. Campbell</w:t>
      </w:r>
    </w:p>
    <w:p>
      <w:pPr>
        <w:tabs>
          <w:tab w:val="left" w:pos="2160"/>
          <w:tab w:val="left" w:pos="2280"/>
        </w:tabs>
        <w:rPr>
          <w:sz w:val="20"/>
          <w:szCs w:val="20"/>
        </w:rPr>
      </w:pPr>
      <w:r>
        <w:rPr>
          <w:sz w:val="20"/>
          <w:szCs w:val="20"/>
        </w:rPr>
        <w:t>Whitt Sturtevant LLP</w:t>
      </w:r>
    </w:p>
    <w:p>
      <w:pPr>
        <w:tabs>
          <w:tab w:val="left" w:pos="2160"/>
          <w:tab w:val="left" w:pos="2280"/>
        </w:tabs>
        <w:rPr>
          <w:sz w:val="20"/>
          <w:szCs w:val="20"/>
        </w:rPr>
      </w:pPr>
      <w:r>
        <w:rPr>
          <w:sz w:val="20"/>
          <w:szCs w:val="20"/>
        </w:rPr>
        <w:t>PNC Plaza, Ste. 2020</w:t>
      </w:r>
    </w:p>
    <w:p>
      <w:pPr>
        <w:tabs>
          <w:tab w:val="left" w:pos="2160"/>
          <w:tab w:val="left" w:pos="2280"/>
        </w:tabs>
        <w:rPr>
          <w:sz w:val="20"/>
          <w:szCs w:val="20"/>
        </w:rPr>
      </w:pPr>
      <w:r>
        <w:rPr>
          <w:sz w:val="20"/>
          <w:szCs w:val="20"/>
        </w:rPr>
        <w:t>155 East Broad St.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whitt@whitt-sturtevant.com</w:t>
      </w:r>
    </w:p>
    <w:p>
      <w:pPr>
        <w:tabs>
          <w:tab w:val="left" w:pos="2160"/>
          <w:tab w:val="left" w:pos="2280"/>
        </w:tabs>
        <w:rPr>
          <w:sz w:val="20"/>
          <w:szCs w:val="20"/>
        </w:rPr>
      </w:pPr>
      <w:r>
        <w:rPr>
          <w:sz w:val="20"/>
          <w:szCs w:val="20"/>
        </w:rPr>
        <w:t>campbell@whitt-sturtevant.com</w:t>
      </w:r>
    </w:p>
    <w:p>
      <w:pPr>
        <w:tabs>
          <w:tab w:val="left" w:pos="2160"/>
          <w:tab w:val="left" w:pos="2280"/>
        </w:tabs>
        <w:rPr>
          <w:sz w:val="20"/>
          <w:szCs w:val="20"/>
        </w:rPr>
      </w:pPr>
    </w:p>
    <w:p>
      <w:pPr>
        <w:tabs>
          <w:tab w:val="left" w:pos="2160"/>
          <w:tab w:val="left" w:pos="2280"/>
        </w:tabs>
        <w:rPr>
          <w:sz w:val="20"/>
          <w:szCs w:val="20"/>
        </w:rPr>
      </w:pPr>
      <w:r>
        <w:rPr>
          <w:sz w:val="20"/>
          <w:szCs w:val="20"/>
        </w:rPr>
        <w:br w:type="column"/>
      </w:r>
      <w:r>
        <w:rPr>
          <w:sz w:val="20"/>
          <w:szCs w:val="20"/>
        </w:rPr>
        <w:lastRenderedPageBreak/>
        <w:t>Vincent Parisi</w:t>
      </w:r>
    </w:p>
    <w:p>
      <w:pPr>
        <w:tabs>
          <w:tab w:val="left" w:pos="2160"/>
          <w:tab w:val="left" w:pos="2280"/>
        </w:tabs>
        <w:rPr>
          <w:sz w:val="20"/>
          <w:szCs w:val="20"/>
        </w:rPr>
      </w:pPr>
      <w:r>
        <w:rPr>
          <w:sz w:val="20"/>
          <w:szCs w:val="20"/>
        </w:rPr>
        <w:t>Matthew White</w:t>
      </w:r>
    </w:p>
    <w:p>
      <w:pPr>
        <w:tabs>
          <w:tab w:val="left" w:pos="2160"/>
          <w:tab w:val="left" w:pos="2280"/>
        </w:tabs>
        <w:rPr>
          <w:sz w:val="20"/>
          <w:szCs w:val="20"/>
        </w:rPr>
      </w:pPr>
      <w:r>
        <w:rPr>
          <w:sz w:val="20"/>
          <w:szCs w:val="20"/>
        </w:rPr>
        <w:t>Interstate Gas Supply, Inc.</w:t>
      </w:r>
    </w:p>
    <w:p>
      <w:pPr>
        <w:tabs>
          <w:tab w:val="left" w:pos="2160"/>
          <w:tab w:val="left" w:pos="2280"/>
        </w:tabs>
        <w:rPr>
          <w:sz w:val="20"/>
          <w:szCs w:val="20"/>
        </w:rPr>
      </w:pPr>
      <w:r>
        <w:rPr>
          <w:sz w:val="20"/>
          <w:szCs w:val="20"/>
        </w:rPr>
        <w:t>6100 Emerald Parkway</w:t>
      </w:r>
    </w:p>
    <w:p>
      <w:pPr>
        <w:tabs>
          <w:tab w:val="left" w:pos="2160"/>
          <w:tab w:val="left" w:pos="2280"/>
        </w:tabs>
        <w:rPr>
          <w:sz w:val="20"/>
          <w:szCs w:val="20"/>
        </w:rPr>
      </w:pPr>
      <w:r>
        <w:rPr>
          <w:sz w:val="20"/>
          <w:szCs w:val="20"/>
        </w:rPr>
        <w:t>Dublin, OH  43016</w:t>
      </w:r>
    </w:p>
    <w:p>
      <w:pPr>
        <w:tabs>
          <w:tab w:val="left" w:pos="2160"/>
          <w:tab w:val="left" w:pos="2280"/>
        </w:tabs>
        <w:rPr>
          <w:sz w:val="20"/>
          <w:szCs w:val="20"/>
        </w:rPr>
      </w:pPr>
      <w:r>
        <w:rPr>
          <w:sz w:val="20"/>
          <w:szCs w:val="20"/>
        </w:rPr>
        <w:t>vparisi@igsenergy.com</w:t>
      </w:r>
    </w:p>
    <w:p>
      <w:pPr>
        <w:tabs>
          <w:tab w:val="left" w:pos="2160"/>
          <w:tab w:val="left" w:pos="2280"/>
        </w:tabs>
        <w:rPr>
          <w:sz w:val="20"/>
          <w:szCs w:val="20"/>
        </w:rPr>
      </w:pPr>
      <w:r>
        <w:rPr>
          <w:sz w:val="20"/>
          <w:szCs w:val="20"/>
        </w:rPr>
        <w:t>mswhite@igsenergy.com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On Behalf of Interstate Gas Supply, Inc.</w:t>
      </w:r>
      <w:proofErr w:type="gramEnd"/>
    </w:p>
    <w:p>
      <w:pPr>
        <w:tabs>
          <w:tab w:val="left" w:pos="2160"/>
          <w:tab w:val="left" w:pos="2280"/>
        </w:tabs>
        <w:rPr>
          <w:b/>
          <w:sz w:val="20"/>
          <w:szCs w:val="20"/>
        </w:rPr>
      </w:pPr>
    </w:p>
    <w:p>
      <w:pPr>
        <w:tabs>
          <w:tab w:val="left" w:pos="2160"/>
          <w:tab w:val="left" w:pos="2280"/>
        </w:tabs>
        <w:rPr>
          <w:sz w:val="20"/>
          <w:szCs w:val="20"/>
        </w:rPr>
      </w:pPr>
      <w:r>
        <w:rPr>
          <w:sz w:val="20"/>
          <w:szCs w:val="20"/>
        </w:rPr>
        <w:t>Joseph P. Serio</w:t>
      </w:r>
    </w:p>
    <w:p>
      <w:pPr>
        <w:tabs>
          <w:tab w:val="left" w:pos="2160"/>
          <w:tab w:val="left" w:pos="2280"/>
        </w:tabs>
        <w:rPr>
          <w:sz w:val="20"/>
          <w:szCs w:val="20"/>
        </w:rPr>
      </w:pPr>
      <w:r>
        <w:rPr>
          <w:sz w:val="20"/>
          <w:szCs w:val="20"/>
        </w:rPr>
        <w:t>Melissa R. Yost</w:t>
      </w:r>
    </w:p>
    <w:p>
      <w:pPr>
        <w:tabs>
          <w:tab w:val="left" w:pos="2160"/>
          <w:tab w:val="left" w:pos="2280"/>
        </w:tabs>
        <w:rPr>
          <w:sz w:val="20"/>
          <w:szCs w:val="20"/>
        </w:rPr>
      </w:pPr>
      <w:r>
        <w:rPr>
          <w:sz w:val="20"/>
          <w:szCs w:val="20"/>
        </w:rPr>
        <w:t>Office of the Ohio Consumers’ Counsel</w:t>
      </w:r>
    </w:p>
    <w:p>
      <w:pPr>
        <w:tabs>
          <w:tab w:val="left" w:pos="2160"/>
          <w:tab w:val="left" w:pos="2280"/>
        </w:tabs>
        <w:rPr>
          <w:sz w:val="20"/>
          <w:szCs w:val="20"/>
        </w:rPr>
      </w:pPr>
      <w:r>
        <w:rPr>
          <w:sz w:val="20"/>
          <w:szCs w:val="20"/>
        </w:rPr>
        <w:t>10 West Broad St., Ste. 1800</w:t>
      </w:r>
    </w:p>
    <w:p>
      <w:pPr>
        <w:tabs>
          <w:tab w:val="left" w:pos="2160"/>
          <w:tab w:val="left" w:pos="2280"/>
        </w:tabs>
        <w:rPr>
          <w:sz w:val="20"/>
          <w:szCs w:val="20"/>
        </w:rPr>
      </w:pPr>
      <w:r>
        <w:rPr>
          <w:sz w:val="20"/>
          <w:szCs w:val="20"/>
        </w:rPr>
        <w:t>Columbus, OH  43215-3485</w:t>
      </w:r>
    </w:p>
    <w:p>
      <w:pPr>
        <w:tabs>
          <w:tab w:val="left" w:pos="2160"/>
          <w:tab w:val="left" w:pos="2280"/>
        </w:tabs>
        <w:rPr>
          <w:sz w:val="20"/>
          <w:szCs w:val="20"/>
        </w:rPr>
      </w:pPr>
      <w:r>
        <w:rPr>
          <w:sz w:val="20"/>
          <w:szCs w:val="20"/>
        </w:rPr>
        <w:t>serio@occ.state.oh.us</w:t>
      </w:r>
    </w:p>
    <w:p>
      <w:pPr>
        <w:tabs>
          <w:tab w:val="left" w:pos="2160"/>
          <w:tab w:val="left" w:pos="2280"/>
        </w:tabs>
        <w:rPr>
          <w:sz w:val="20"/>
          <w:szCs w:val="20"/>
        </w:rPr>
      </w:pPr>
      <w:r>
        <w:rPr>
          <w:sz w:val="20"/>
          <w:szCs w:val="20"/>
        </w:rPr>
        <w:t>yost@occ.state.oh.us</w:t>
      </w:r>
    </w:p>
    <w:p>
      <w:pPr>
        <w:tabs>
          <w:tab w:val="left" w:pos="2160"/>
          <w:tab w:val="left" w:pos="2280"/>
        </w:tabs>
        <w:rPr>
          <w:sz w:val="20"/>
          <w:szCs w:val="20"/>
        </w:rPr>
      </w:pPr>
    </w:p>
    <w:p>
      <w:pPr>
        <w:tabs>
          <w:tab w:val="left" w:pos="2160"/>
          <w:tab w:val="left" w:pos="2280"/>
        </w:tabs>
        <w:rPr>
          <w:b/>
          <w:sz w:val="20"/>
          <w:szCs w:val="20"/>
        </w:rPr>
      </w:pPr>
      <w:r>
        <w:rPr>
          <w:b/>
          <w:sz w:val="20"/>
          <w:szCs w:val="20"/>
        </w:rPr>
        <w:t xml:space="preserve">On Behalf of the Office of the </w:t>
      </w:r>
    </w:p>
    <w:p>
      <w:pPr>
        <w:tabs>
          <w:tab w:val="left" w:pos="2160"/>
          <w:tab w:val="left" w:pos="2280"/>
        </w:tabs>
        <w:rPr>
          <w:b/>
          <w:sz w:val="20"/>
          <w:szCs w:val="20"/>
        </w:rPr>
      </w:pPr>
      <w:r>
        <w:rPr>
          <w:b/>
          <w:sz w:val="20"/>
          <w:szCs w:val="20"/>
        </w:rPr>
        <w:t>Ohio Consumers’ Counsel</w:t>
      </w:r>
    </w:p>
    <w:p>
      <w:pPr>
        <w:tabs>
          <w:tab w:val="left" w:pos="2160"/>
          <w:tab w:val="left" w:pos="2280"/>
        </w:tabs>
        <w:rPr>
          <w:b/>
          <w:sz w:val="20"/>
          <w:szCs w:val="20"/>
        </w:rPr>
      </w:pPr>
    </w:p>
    <w:p>
      <w:pPr>
        <w:tabs>
          <w:tab w:val="left" w:pos="2160"/>
          <w:tab w:val="left" w:pos="2280"/>
        </w:tabs>
        <w:rPr>
          <w:sz w:val="20"/>
          <w:szCs w:val="20"/>
        </w:rPr>
      </w:pPr>
      <w:r>
        <w:rPr>
          <w:sz w:val="20"/>
          <w:szCs w:val="20"/>
        </w:rPr>
        <w:t>Amy B. Spiller</w:t>
      </w:r>
    </w:p>
    <w:p>
      <w:pPr>
        <w:tabs>
          <w:tab w:val="left" w:pos="2160"/>
          <w:tab w:val="left" w:pos="2280"/>
        </w:tabs>
        <w:rPr>
          <w:sz w:val="20"/>
          <w:szCs w:val="20"/>
        </w:rPr>
      </w:pPr>
      <w:r>
        <w:rPr>
          <w:sz w:val="20"/>
          <w:szCs w:val="20"/>
        </w:rPr>
        <w:t>Jeanne W. Kingery</w:t>
      </w:r>
    </w:p>
    <w:p>
      <w:pPr>
        <w:tabs>
          <w:tab w:val="left" w:pos="2160"/>
          <w:tab w:val="left" w:pos="2280"/>
        </w:tabs>
        <w:rPr>
          <w:sz w:val="20"/>
          <w:szCs w:val="20"/>
        </w:rPr>
      </w:pPr>
      <w:r>
        <w:rPr>
          <w:sz w:val="20"/>
          <w:szCs w:val="20"/>
        </w:rPr>
        <w:t>139 East Fourth Street</w:t>
      </w:r>
    </w:p>
    <w:p>
      <w:pPr>
        <w:tabs>
          <w:tab w:val="left" w:pos="2160"/>
          <w:tab w:val="left" w:pos="2280"/>
        </w:tabs>
        <w:rPr>
          <w:sz w:val="20"/>
          <w:szCs w:val="20"/>
        </w:rPr>
      </w:pPr>
      <w:r>
        <w:rPr>
          <w:sz w:val="20"/>
          <w:szCs w:val="20"/>
        </w:rPr>
        <w:t>1303-Main</w:t>
      </w:r>
    </w:p>
    <w:p>
      <w:pPr>
        <w:tabs>
          <w:tab w:val="left" w:pos="2160"/>
          <w:tab w:val="left" w:pos="2280"/>
        </w:tabs>
        <w:rPr>
          <w:sz w:val="20"/>
          <w:szCs w:val="20"/>
        </w:rPr>
      </w:pPr>
      <w:r>
        <w:rPr>
          <w:sz w:val="20"/>
          <w:szCs w:val="20"/>
        </w:rPr>
        <w:t>Cincinnati, OH  45202</w:t>
      </w:r>
    </w:p>
    <w:p>
      <w:pPr>
        <w:tabs>
          <w:tab w:val="left" w:pos="2160"/>
          <w:tab w:val="left" w:pos="2280"/>
        </w:tabs>
        <w:rPr>
          <w:sz w:val="20"/>
          <w:szCs w:val="20"/>
        </w:rPr>
      </w:pPr>
      <w:r>
        <w:rPr>
          <w:sz w:val="20"/>
          <w:szCs w:val="20"/>
        </w:rPr>
        <w:t>Amy.spiller@duke-energy.com</w:t>
      </w:r>
    </w:p>
    <w:p>
      <w:pPr>
        <w:tabs>
          <w:tab w:val="left" w:pos="2160"/>
          <w:tab w:val="left" w:pos="2280"/>
        </w:tabs>
        <w:rPr>
          <w:sz w:val="20"/>
          <w:szCs w:val="20"/>
        </w:rPr>
      </w:pPr>
      <w:r>
        <w:rPr>
          <w:sz w:val="20"/>
          <w:szCs w:val="20"/>
        </w:rPr>
        <w:t>Jeanne.kingery@duke-energy.com</w:t>
      </w:r>
    </w:p>
    <w:p>
      <w:pPr>
        <w:tabs>
          <w:tab w:val="left" w:pos="2160"/>
          <w:tab w:val="left" w:pos="2280"/>
        </w:tabs>
        <w:rPr>
          <w:sz w:val="20"/>
          <w:szCs w:val="20"/>
        </w:rPr>
      </w:pPr>
    </w:p>
    <w:p>
      <w:pPr>
        <w:tabs>
          <w:tab w:val="left" w:pos="2160"/>
          <w:tab w:val="left" w:pos="2280"/>
        </w:tabs>
        <w:rPr>
          <w:sz w:val="20"/>
          <w:szCs w:val="20"/>
        </w:rPr>
      </w:pPr>
      <w:r>
        <w:rPr>
          <w:sz w:val="20"/>
          <w:szCs w:val="20"/>
        </w:rPr>
        <w:t>Philip B. Sineneng</w:t>
      </w:r>
    </w:p>
    <w:p>
      <w:pPr>
        <w:tabs>
          <w:tab w:val="left" w:pos="2160"/>
          <w:tab w:val="left" w:pos="2280"/>
        </w:tabs>
        <w:rPr>
          <w:sz w:val="20"/>
          <w:szCs w:val="20"/>
        </w:rPr>
      </w:pPr>
      <w:r>
        <w:rPr>
          <w:sz w:val="20"/>
          <w:szCs w:val="20"/>
        </w:rPr>
        <w:t>Thompson Hine LLP</w:t>
      </w:r>
    </w:p>
    <w:p>
      <w:pPr>
        <w:tabs>
          <w:tab w:val="left" w:pos="2160"/>
          <w:tab w:val="left" w:pos="2280"/>
        </w:tabs>
        <w:rPr>
          <w:sz w:val="20"/>
          <w:szCs w:val="20"/>
        </w:rPr>
      </w:pPr>
      <w:r>
        <w:rPr>
          <w:sz w:val="20"/>
          <w:szCs w:val="20"/>
        </w:rPr>
        <w:t>41 S. High Street, Suite 1700</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Philip.Sineneng@ThompsonHine.com</w:t>
      </w:r>
    </w:p>
    <w:p>
      <w:pPr>
        <w:tabs>
          <w:tab w:val="left" w:pos="2160"/>
          <w:tab w:val="left" w:pos="2280"/>
        </w:tabs>
        <w:rPr>
          <w:sz w:val="20"/>
          <w:szCs w:val="20"/>
        </w:rPr>
      </w:pPr>
    </w:p>
    <w:p>
      <w:pPr>
        <w:tabs>
          <w:tab w:val="left" w:pos="2160"/>
          <w:tab w:val="left" w:pos="2280"/>
        </w:tabs>
        <w:rPr>
          <w:b/>
          <w:sz w:val="20"/>
          <w:szCs w:val="20"/>
        </w:rPr>
      </w:pPr>
      <w:r>
        <w:rPr>
          <w:b/>
          <w:sz w:val="20"/>
          <w:szCs w:val="20"/>
        </w:rPr>
        <w:t xml:space="preserve">On Behalf of Duke Energy Retail </w:t>
      </w:r>
    </w:p>
    <w:p>
      <w:pPr>
        <w:tabs>
          <w:tab w:val="left" w:pos="2160"/>
          <w:tab w:val="left" w:pos="2280"/>
        </w:tabs>
        <w:rPr>
          <w:b/>
          <w:sz w:val="20"/>
          <w:szCs w:val="20"/>
        </w:rPr>
      </w:pPr>
      <w:proofErr w:type="gramStart"/>
      <w:r>
        <w:rPr>
          <w:b/>
          <w:sz w:val="20"/>
          <w:szCs w:val="20"/>
        </w:rPr>
        <w:t>Sales, LLC and Duke Energy Commercial Asset Management, Inc.</w:t>
      </w:r>
      <w:proofErr w:type="gramEnd"/>
    </w:p>
    <w:p>
      <w:pPr>
        <w:tabs>
          <w:tab w:val="left" w:pos="2160"/>
          <w:tab w:val="left" w:pos="2280"/>
        </w:tabs>
        <w:rPr>
          <w:b/>
          <w:sz w:val="20"/>
          <w:szCs w:val="20"/>
        </w:rPr>
      </w:pPr>
    </w:p>
    <w:p>
      <w:pPr>
        <w:tabs>
          <w:tab w:val="left" w:pos="2160"/>
          <w:tab w:val="left" w:pos="2280"/>
        </w:tabs>
        <w:rPr>
          <w:sz w:val="20"/>
          <w:szCs w:val="20"/>
        </w:rPr>
      </w:pPr>
      <w:r>
        <w:rPr>
          <w:sz w:val="20"/>
          <w:szCs w:val="20"/>
        </w:rPr>
        <w:br w:type="column"/>
      </w:r>
      <w:r>
        <w:rPr>
          <w:sz w:val="20"/>
          <w:szCs w:val="20"/>
        </w:rPr>
        <w:lastRenderedPageBreak/>
        <w:t>Robert A. McMahon</w:t>
      </w:r>
    </w:p>
    <w:p>
      <w:pPr>
        <w:tabs>
          <w:tab w:val="left" w:pos="2160"/>
          <w:tab w:val="left" w:pos="2280"/>
        </w:tabs>
        <w:rPr>
          <w:sz w:val="20"/>
          <w:szCs w:val="20"/>
        </w:rPr>
      </w:pPr>
      <w:proofErr w:type="spellStart"/>
      <w:r>
        <w:rPr>
          <w:sz w:val="20"/>
          <w:szCs w:val="20"/>
        </w:rPr>
        <w:t>Eberly</w:t>
      </w:r>
      <w:proofErr w:type="spellEnd"/>
      <w:r>
        <w:rPr>
          <w:sz w:val="20"/>
          <w:szCs w:val="20"/>
        </w:rPr>
        <w:t xml:space="preserve"> McMahon, LLC</w:t>
      </w:r>
    </w:p>
    <w:p>
      <w:pPr>
        <w:tabs>
          <w:tab w:val="left" w:pos="2160"/>
          <w:tab w:val="left" w:pos="2280"/>
        </w:tabs>
        <w:rPr>
          <w:sz w:val="20"/>
          <w:szCs w:val="20"/>
        </w:rPr>
      </w:pPr>
      <w:r>
        <w:rPr>
          <w:sz w:val="20"/>
          <w:szCs w:val="20"/>
        </w:rPr>
        <w:t>2321 Kemper Lane, Ste. 100</w:t>
      </w:r>
    </w:p>
    <w:p>
      <w:pPr>
        <w:tabs>
          <w:tab w:val="left" w:pos="2160"/>
          <w:tab w:val="left" w:pos="2280"/>
        </w:tabs>
        <w:rPr>
          <w:sz w:val="20"/>
          <w:szCs w:val="20"/>
        </w:rPr>
      </w:pPr>
      <w:r>
        <w:rPr>
          <w:sz w:val="20"/>
          <w:szCs w:val="20"/>
        </w:rPr>
        <w:t>Cincinnati, OH  45206</w:t>
      </w:r>
    </w:p>
    <w:p>
      <w:pPr>
        <w:tabs>
          <w:tab w:val="left" w:pos="2160"/>
          <w:tab w:val="left" w:pos="2280"/>
        </w:tabs>
        <w:rPr>
          <w:sz w:val="20"/>
          <w:szCs w:val="20"/>
        </w:rPr>
      </w:pPr>
      <w:r>
        <w:rPr>
          <w:sz w:val="20"/>
          <w:szCs w:val="20"/>
        </w:rPr>
        <w:t>bmcmahon@emh-law.com</w:t>
      </w:r>
    </w:p>
    <w:p>
      <w:pPr>
        <w:tabs>
          <w:tab w:val="left" w:pos="2160"/>
          <w:tab w:val="left" w:pos="2280"/>
        </w:tabs>
        <w:rPr>
          <w:sz w:val="20"/>
          <w:szCs w:val="20"/>
        </w:rPr>
      </w:pPr>
    </w:p>
    <w:p>
      <w:pPr>
        <w:tabs>
          <w:tab w:val="left" w:pos="2160"/>
          <w:tab w:val="left" w:pos="2280"/>
        </w:tabs>
        <w:rPr>
          <w:sz w:val="20"/>
          <w:szCs w:val="20"/>
        </w:rPr>
      </w:pPr>
      <w:r>
        <w:rPr>
          <w:sz w:val="20"/>
          <w:szCs w:val="20"/>
        </w:rPr>
        <w:t>Rocco D’Ascenzo</w:t>
      </w:r>
    </w:p>
    <w:p>
      <w:pPr>
        <w:tabs>
          <w:tab w:val="left" w:pos="2160"/>
          <w:tab w:val="left" w:pos="2280"/>
        </w:tabs>
        <w:rPr>
          <w:sz w:val="20"/>
          <w:szCs w:val="20"/>
        </w:rPr>
      </w:pPr>
      <w:r>
        <w:rPr>
          <w:sz w:val="20"/>
          <w:szCs w:val="20"/>
        </w:rPr>
        <w:t>Elizabeth Watts</w:t>
      </w:r>
    </w:p>
    <w:p>
      <w:pPr>
        <w:tabs>
          <w:tab w:val="left" w:pos="2160"/>
          <w:tab w:val="left" w:pos="2280"/>
        </w:tabs>
        <w:rPr>
          <w:sz w:val="20"/>
          <w:szCs w:val="20"/>
        </w:rPr>
      </w:pPr>
      <w:r>
        <w:rPr>
          <w:sz w:val="20"/>
          <w:szCs w:val="20"/>
        </w:rPr>
        <w:t>139 East Fourth Street</w:t>
      </w:r>
    </w:p>
    <w:p>
      <w:pPr>
        <w:tabs>
          <w:tab w:val="left" w:pos="2160"/>
          <w:tab w:val="left" w:pos="2280"/>
        </w:tabs>
        <w:rPr>
          <w:sz w:val="20"/>
          <w:szCs w:val="20"/>
        </w:rPr>
      </w:pPr>
      <w:r>
        <w:rPr>
          <w:sz w:val="20"/>
          <w:szCs w:val="20"/>
        </w:rPr>
        <w:t>1303-Main</w:t>
      </w:r>
    </w:p>
    <w:p>
      <w:pPr>
        <w:tabs>
          <w:tab w:val="left" w:pos="2160"/>
          <w:tab w:val="left" w:pos="2280"/>
        </w:tabs>
        <w:rPr>
          <w:sz w:val="20"/>
          <w:szCs w:val="20"/>
        </w:rPr>
      </w:pPr>
      <w:r>
        <w:rPr>
          <w:sz w:val="20"/>
          <w:szCs w:val="20"/>
        </w:rPr>
        <w:t>Cincinnati, OH  45202</w:t>
      </w:r>
    </w:p>
    <w:p>
      <w:pPr>
        <w:tabs>
          <w:tab w:val="left" w:pos="2160"/>
          <w:tab w:val="left" w:pos="2280"/>
        </w:tabs>
        <w:rPr>
          <w:sz w:val="20"/>
          <w:szCs w:val="20"/>
        </w:rPr>
      </w:pPr>
      <w:r>
        <w:rPr>
          <w:sz w:val="20"/>
          <w:szCs w:val="20"/>
        </w:rPr>
        <w:t>Elizabeth.Watts@duke-energy.com</w:t>
      </w:r>
    </w:p>
    <w:p>
      <w:pPr>
        <w:tabs>
          <w:tab w:val="left" w:pos="2160"/>
          <w:tab w:val="left" w:pos="2280"/>
        </w:tabs>
        <w:rPr>
          <w:sz w:val="20"/>
          <w:szCs w:val="20"/>
        </w:rPr>
      </w:pPr>
      <w:r>
        <w:rPr>
          <w:sz w:val="20"/>
          <w:szCs w:val="20"/>
        </w:rPr>
        <w:t>Rocco.D’Ascenzo@duke-energy.com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On Behalf of Duke Energy Ohio, Inc.</w:t>
      </w:r>
      <w:proofErr w:type="gramEnd"/>
    </w:p>
    <w:p>
      <w:pPr>
        <w:tabs>
          <w:tab w:val="left" w:pos="2160"/>
          <w:tab w:val="left" w:pos="2280"/>
        </w:tabs>
        <w:rPr>
          <w:b/>
          <w:sz w:val="20"/>
          <w:szCs w:val="20"/>
        </w:rPr>
      </w:pPr>
    </w:p>
    <w:p>
      <w:pPr>
        <w:tabs>
          <w:tab w:val="left" w:pos="2160"/>
          <w:tab w:val="left" w:pos="2280"/>
        </w:tabs>
        <w:rPr>
          <w:sz w:val="20"/>
          <w:szCs w:val="20"/>
        </w:rPr>
      </w:pPr>
      <w:r>
        <w:rPr>
          <w:sz w:val="20"/>
          <w:szCs w:val="20"/>
        </w:rPr>
        <w:t>David F. Boehm</w:t>
      </w:r>
    </w:p>
    <w:p>
      <w:pPr>
        <w:tabs>
          <w:tab w:val="left" w:pos="2160"/>
          <w:tab w:val="left" w:pos="2280"/>
        </w:tabs>
        <w:rPr>
          <w:sz w:val="20"/>
          <w:szCs w:val="20"/>
        </w:rPr>
      </w:pPr>
      <w:r>
        <w:rPr>
          <w:sz w:val="20"/>
          <w:szCs w:val="20"/>
        </w:rPr>
        <w:t>Michael L. Kurtz</w:t>
      </w:r>
    </w:p>
    <w:p>
      <w:pPr>
        <w:tabs>
          <w:tab w:val="left" w:pos="2160"/>
          <w:tab w:val="left" w:pos="2280"/>
        </w:tabs>
        <w:rPr>
          <w:sz w:val="20"/>
          <w:szCs w:val="20"/>
        </w:rPr>
      </w:pPr>
      <w:r>
        <w:rPr>
          <w:sz w:val="20"/>
          <w:szCs w:val="20"/>
        </w:rPr>
        <w:t>Boehm, Kurtz &amp; Lowry</w:t>
      </w:r>
    </w:p>
    <w:p>
      <w:pPr>
        <w:tabs>
          <w:tab w:val="left" w:pos="2160"/>
          <w:tab w:val="left" w:pos="2280"/>
        </w:tabs>
        <w:rPr>
          <w:sz w:val="20"/>
          <w:szCs w:val="20"/>
        </w:rPr>
      </w:pPr>
      <w:r>
        <w:rPr>
          <w:sz w:val="20"/>
          <w:szCs w:val="20"/>
        </w:rPr>
        <w:t>36 East 7</w:t>
      </w:r>
      <w:r>
        <w:rPr>
          <w:sz w:val="20"/>
          <w:szCs w:val="20"/>
          <w:vertAlign w:val="superscript"/>
        </w:rPr>
        <w:t>th</w:t>
      </w:r>
      <w:r>
        <w:rPr>
          <w:sz w:val="20"/>
          <w:szCs w:val="20"/>
        </w:rPr>
        <w:t xml:space="preserve"> Street, Ste. 1510</w:t>
      </w:r>
    </w:p>
    <w:p>
      <w:pPr>
        <w:tabs>
          <w:tab w:val="left" w:pos="2160"/>
          <w:tab w:val="left" w:pos="2280"/>
        </w:tabs>
        <w:rPr>
          <w:sz w:val="20"/>
          <w:szCs w:val="20"/>
        </w:rPr>
      </w:pPr>
      <w:r>
        <w:rPr>
          <w:sz w:val="20"/>
          <w:szCs w:val="20"/>
        </w:rPr>
        <w:t>Cincinnati, OH  45202</w:t>
      </w:r>
    </w:p>
    <w:p>
      <w:pPr>
        <w:tabs>
          <w:tab w:val="left" w:pos="2160"/>
          <w:tab w:val="left" w:pos="2280"/>
        </w:tabs>
        <w:rPr>
          <w:sz w:val="20"/>
          <w:szCs w:val="20"/>
        </w:rPr>
      </w:pPr>
      <w:r>
        <w:rPr>
          <w:sz w:val="20"/>
          <w:szCs w:val="20"/>
        </w:rPr>
        <w:t>dboehm@BKLlawfirm.com</w:t>
      </w:r>
    </w:p>
    <w:p>
      <w:pPr>
        <w:tabs>
          <w:tab w:val="left" w:pos="2160"/>
          <w:tab w:val="left" w:pos="2280"/>
        </w:tabs>
        <w:rPr>
          <w:sz w:val="20"/>
          <w:szCs w:val="20"/>
        </w:rPr>
      </w:pPr>
      <w:r>
        <w:rPr>
          <w:sz w:val="20"/>
          <w:szCs w:val="20"/>
        </w:rPr>
        <w:t>mkurtz@BKLlawfirm.com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On Behalf of Ohio Energy Group.</w:t>
      </w:r>
      <w:proofErr w:type="gramEnd"/>
    </w:p>
    <w:p>
      <w:pPr>
        <w:tabs>
          <w:tab w:val="left" w:pos="2160"/>
          <w:tab w:val="left" w:pos="2280"/>
        </w:tabs>
        <w:rPr>
          <w:sz w:val="20"/>
          <w:szCs w:val="20"/>
        </w:rPr>
      </w:pPr>
    </w:p>
    <w:p>
      <w:pPr>
        <w:tabs>
          <w:tab w:val="left" w:pos="2160"/>
          <w:tab w:val="left" w:pos="2280"/>
        </w:tabs>
        <w:rPr>
          <w:b/>
          <w:sz w:val="20"/>
          <w:szCs w:val="20"/>
        </w:rPr>
      </w:pPr>
      <w:r>
        <w:rPr>
          <w:sz w:val="20"/>
          <w:szCs w:val="20"/>
        </w:rPr>
        <w:t>M. Anthony Long</w:t>
      </w:r>
    </w:p>
    <w:p>
      <w:pPr>
        <w:tabs>
          <w:tab w:val="left" w:pos="2160"/>
          <w:tab w:val="left" w:pos="2280"/>
        </w:tabs>
        <w:rPr>
          <w:sz w:val="20"/>
          <w:szCs w:val="20"/>
        </w:rPr>
      </w:pPr>
      <w:proofErr w:type="gramStart"/>
      <w:r>
        <w:rPr>
          <w:sz w:val="20"/>
          <w:szCs w:val="20"/>
        </w:rPr>
        <w:t>Honda of America Mfg., Inc.</w:t>
      </w:r>
      <w:proofErr w:type="gramEnd"/>
    </w:p>
    <w:p>
      <w:pPr>
        <w:tabs>
          <w:tab w:val="left" w:pos="2160"/>
          <w:tab w:val="left" w:pos="2280"/>
        </w:tabs>
        <w:rPr>
          <w:sz w:val="20"/>
          <w:szCs w:val="20"/>
        </w:rPr>
      </w:pPr>
      <w:r>
        <w:rPr>
          <w:sz w:val="20"/>
          <w:szCs w:val="20"/>
        </w:rPr>
        <w:t>24000 Honda Parkway</w:t>
      </w:r>
    </w:p>
    <w:p>
      <w:pPr>
        <w:tabs>
          <w:tab w:val="left" w:pos="2160"/>
          <w:tab w:val="left" w:pos="2280"/>
        </w:tabs>
        <w:rPr>
          <w:sz w:val="20"/>
          <w:szCs w:val="20"/>
        </w:rPr>
      </w:pPr>
      <w:r>
        <w:rPr>
          <w:sz w:val="20"/>
          <w:szCs w:val="20"/>
        </w:rPr>
        <w:t>Marysville, OH  43040</w:t>
      </w:r>
    </w:p>
    <w:p>
      <w:pPr>
        <w:tabs>
          <w:tab w:val="left" w:pos="2160"/>
          <w:tab w:val="left" w:pos="2280"/>
        </w:tabs>
        <w:rPr>
          <w:sz w:val="20"/>
          <w:szCs w:val="20"/>
        </w:rPr>
      </w:pPr>
      <w:r>
        <w:rPr>
          <w:sz w:val="20"/>
          <w:szCs w:val="20"/>
        </w:rPr>
        <w:t>tony_long@ham.honda.com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Honda of America</w:t>
      </w:r>
    </w:p>
    <w:p>
      <w:pPr>
        <w:tabs>
          <w:tab w:val="left" w:pos="2160"/>
          <w:tab w:val="left" w:pos="2280"/>
        </w:tabs>
        <w:rPr>
          <w:b/>
          <w:sz w:val="20"/>
          <w:szCs w:val="20"/>
        </w:rPr>
      </w:pPr>
      <w:r>
        <w:rPr>
          <w:b/>
          <w:sz w:val="20"/>
          <w:szCs w:val="20"/>
        </w:rPr>
        <w:t>Manufacturing, Inc.</w:t>
      </w:r>
    </w:p>
    <w:p>
      <w:pPr>
        <w:tabs>
          <w:tab w:val="left" w:pos="2160"/>
          <w:tab w:val="left" w:pos="2280"/>
        </w:tabs>
        <w:rPr>
          <w:sz w:val="20"/>
          <w:szCs w:val="20"/>
        </w:rPr>
      </w:pPr>
    </w:p>
    <w:p>
      <w:pPr>
        <w:tabs>
          <w:tab w:val="left" w:pos="2160"/>
          <w:tab w:val="left" w:pos="2280"/>
        </w:tabs>
        <w:rPr>
          <w:sz w:val="20"/>
          <w:szCs w:val="20"/>
        </w:rPr>
      </w:pPr>
      <w:r>
        <w:rPr>
          <w:sz w:val="20"/>
          <w:szCs w:val="20"/>
        </w:rPr>
        <w:t>Mark A. Hayden</w:t>
      </w:r>
    </w:p>
    <w:p>
      <w:pPr>
        <w:tabs>
          <w:tab w:val="left" w:pos="2160"/>
          <w:tab w:val="left" w:pos="2280"/>
        </w:tabs>
        <w:rPr>
          <w:sz w:val="20"/>
          <w:szCs w:val="20"/>
        </w:rPr>
      </w:pPr>
      <w:r>
        <w:rPr>
          <w:sz w:val="20"/>
          <w:szCs w:val="20"/>
        </w:rPr>
        <w:t>FirstEnergy Service Company</w:t>
      </w:r>
    </w:p>
    <w:p>
      <w:pPr>
        <w:tabs>
          <w:tab w:val="left" w:pos="2160"/>
          <w:tab w:val="left" w:pos="2280"/>
        </w:tabs>
        <w:rPr>
          <w:sz w:val="20"/>
          <w:szCs w:val="20"/>
        </w:rPr>
      </w:pPr>
      <w:r>
        <w:rPr>
          <w:sz w:val="20"/>
          <w:szCs w:val="20"/>
        </w:rPr>
        <w:t>76 South Main Street</w:t>
      </w:r>
    </w:p>
    <w:p>
      <w:pPr>
        <w:tabs>
          <w:tab w:val="left" w:pos="2160"/>
          <w:tab w:val="left" w:pos="2280"/>
        </w:tabs>
        <w:rPr>
          <w:sz w:val="20"/>
          <w:szCs w:val="20"/>
        </w:rPr>
      </w:pPr>
      <w:r>
        <w:rPr>
          <w:sz w:val="20"/>
          <w:szCs w:val="20"/>
        </w:rPr>
        <w:t>Akron, OH  44308</w:t>
      </w:r>
    </w:p>
    <w:p>
      <w:pPr>
        <w:tabs>
          <w:tab w:val="left" w:pos="2160"/>
          <w:tab w:val="left" w:pos="2280"/>
        </w:tabs>
        <w:rPr>
          <w:sz w:val="20"/>
          <w:szCs w:val="20"/>
        </w:rPr>
      </w:pPr>
      <w:r>
        <w:rPr>
          <w:sz w:val="20"/>
          <w:szCs w:val="20"/>
        </w:rPr>
        <w:t>haydenm@firstenergycorp.com</w:t>
      </w:r>
    </w:p>
    <w:p>
      <w:pPr>
        <w:tabs>
          <w:tab w:val="left" w:pos="2160"/>
          <w:tab w:val="left" w:pos="2280"/>
        </w:tabs>
        <w:rPr>
          <w:sz w:val="20"/>
          <w:szCs w:val="20"/>
        </w:rPr>
      </w:pPr>
    </w:p>
    <w:p>
      <w:pPr>
        <w:tabs>
          <w:tab w:val="left" w:pos="2160"/>
          <w:tab w:val="left" w:pos="2280"/>
        </w:tabs>
        <w:rPr>
          <w:sz w:val="20"/>
          <w:szCs w:val="20"/>
        </w:rPr>
      </w:pPr>
      <w:r>
        <w:rPr>
          <w:sz w:val="20"/>
          <w:szCs w:val="20"/>
        </w:rPr>
        <w:t>James F. Lang</w:t>
      </w:r>
    </w:p>
    <w:p>
      <w:pPr>
        <w:tabs>
          <w:tab w:val="left" w:pos="2160"/>
          <w:tab w:val="left" w:pos="2280"/>
        </w:tabs>
        <w:rPr>
          <w:sz w:val="20"/>
          <w:szCs w:val="20"/>
        </w:rPr>
      </w:pPr>
      <w:r>
        <w:rPr>
          <w:sz w:val="20"/>
          <w:szCs w:val="20"/>
        </w:rPr>
        <w:t>Laura C. McBride</w:t>
      </w:r>
    </w:p>
    <w:p>
      <w:pPr>
        <w:tabs>
          <w:tab w:val="left" w:pos="2160"/>
          <w:tab w:val="left" w:pos="2280"/>
        </w:tabs>
        <w:rPr>
          <w:sz w:val="20"/>
          <w:szCs w:val="20"/>
        </w:rPr>
      </w:pPr>
      <w:r>
        <w:rPr>
          <w:sz w:val="20"/>
          <w:szCs w:val="20"/>
        </w:rPr>
        <w:t>N. Trevor Alexander</w:t>
      </w:r>
    </w:p>
    <w:p>
      <w:pPr>
        <w:tabs>
          <w:tab w:val="left" w:pos="2160"/>
          <w:tab w:val="left" w:pos="2280"/>
        </w:tabs>
        <w:rPr>
          <w:sz w:val="20"/>
          <w:szCs w:val="20"/>
        </w:rPr>
      </w:pPr>
      <w:proofErr w:type="spellStart"/>
      <w:r>
        <w:rPr>
          <w:sz w:val="20"/>
          <w:szCs w:val="20"/>
        </w:rPr>
        <w:t>Calfee</w:t>
      </w:r>
      <w:proofErr w:type="spellEnd"/>
      <w:r>
        <w:rPr>
          <w:sz w:val="20"/>
          <w:szCs w:val="20"/>
        </w:rPr>
        <w:t xml:space="preserve">, Halter &amp; </w:t>
      </w:r>
      <w:proofErr w:type="spellStart"/>
      <w:r>
        <w:rPr>
          <w:sz w:val="20"/>
          <w:szCs w:val="20"/>
        </w:rPr>
        <w:t>Grisswold</w:t>
      </w:r>
      <w:proofErr w:type="spellEnd"/>
      <w:r>
        <w:rPr>
          <w:sz w:val="20"/>
          <w:szCs w:val="20"/>
        </w:rPr>
        <w:t xml:space="preserve"> LLP</w:t>
      </w:r>
    </w:p>
    <w:p>
      <w:pPr>
        <w:tabs>
          <w:tab w:val="left" w:pos="2160"/>
          <w:tab w:val="left" w:pos="2280"/>
        </w:tabs>
        <w:rPr>
          <w:sz w:val="20"/>
          <w:szCs w:val="20"/>
        </w:rPr>
      </w:pPr>
      <w:r>
        <w:rPr>
          <w:sz w:val="20"/>
          <w:szCs w:val="20"/>
        </w:rPr>
        <w:t xml:space="preserve">1400 </w:t>
      </w:r>
      <w:proofErr w:type="spellStart"/>
      <w:r>
        <w:rPr>
          <w:sz w:val="20"/>
          <w:szCs w:val="20"/>
        </w:rPr>
        <w:t>KeyBank</w:t>
      </w:r>
      <w:proofErr w:type="spellEnd"/>
      <w:r>
        <w:rPr>
          <w:sz w:val="20"/>
          <w:szCs w:val="20"/>
        </w:rPr>
        <w:t xml:space="preserve"> Center</w:t>
      </w:r>
    </w:p>
    <w:p>
      <w:pPr>
        <w:tabs>
          <w:tab w:val="left" w:pos="2160"/>
          <w:tab w:val="left" w:pos="2280"/>
        </w:tabs>
        <w:rPr>
          <w:sz w:val="20"/>
          <w:szCs w:val="20"/>
        </w:rPr>
      </w:pPr>
      <w:r>
        <w:rPr>
          <w:sz w:val="20"/>
          <w:szCs w:val="20"/>
        </w:rPr>
        <w:t>800 Superior Avenue</w:t>
      </w:r>
    </w:p>
    <w:p>
      <w:pPr>
        <w:tabs>
          <w:tab w:val="left" w:pos="2160"/>
          <w:tab w:val="left" w:pos="2280"/>
        </w:tabs>
        <w:rPr>
          <w:sz w:val="20"/>
          <w:szCs w:val="20"/>
        </w:rPr>
      </w:pPr>
      <w:r>
        <w:rPr>
          <w:sz w:val="20"/>
          <w:szCs w:val="20"/>
        </w:rPr>
        <w:t>Cleveland, OH  44114</w:t>
      </w:r>
    </w:p>
    <w:p>
      <w:pPr>
        <w:tabs>
          <w:tab w:val="left" w:pos="2160"/>
          <w:tab w:val="left" w:pos="2280"/>
        </w:tabs>
        <w:rPr>
          <w:sz w:val="20"/>
          <w:szCs w:val="20"/>
        </w:rPr>
      </w:pPr>
      <w:r>
        <w:rPr>
          <w:sz w:val="20"/>
          <w:szCs w:val="20"/>
        </w:rPr>
        <w:t>jlang@calfee.com</w:t>
      </w:r>
    </w:p>
    <w:p>
      <w:pPr>
        <w:tabs>
          <w:tab w:val="left" w:pos="2160"/>
          <w:tab w:val="left" w:pos="2280"/>
        </w:tabs>
        <w:rPr>
          <w:sz w:val="20"/>
          <w:szCs w:val="20"/>
        </w:rPr>
      </w:pPr>
      <w:r>
        <w:rPr>
          <w:sz w:val="20"/>
          <w:szCs w:val="20"/>
        </w:rPr>
        <w:t>lmcbride@calfee.com</w:t>
      </w:r>
    </w:p>
    <w:p>
      <w:pPr>
        <w:tabs>
          <w:tab w:val="left" w:pos="2160"/>
          <w:tab w:val="left" w:pos="2280"/>
        </w:tabs>
        <w:rPr>
          <w:sz w:val="20"/>
          <w:szCs w:val="20"/>
        </w:rPr>
      </w:pPr>
      <w:r>
        <w:rPr>
          <w:sz w:val="20"/>
          <w:szCs w:val="20"/>
        </w:rPr>
        <w:t>talexander@calfee.com</w:t>
      </w:r>
    </w:p>
    <w:p>
      <w:pPr>
        <w:tabs>
          <w:tab w:val="left" w:pos="2160"/>
          <w:tab w:val="left" w:pos="2280"/>
        </w:tabs>
        <w:rPr>
          <w:sz w:val="20"/>
          <w:szCs w:val="20"/>
        </w:rPr>
      </w:pPr>
    </w:p>
    <w:p>
      <w:pPr>
        <w:tabs>
          <w:tab w:val="left" w:pos="2160"/>
          <w:tab w:val="left" w:pos="2280"/>
        </w:tabs>
        <w:rPr>
          <w:sz w:val="20"/>
          <w:szCs w:val="20"/>
        </w:rPr>
      </w:pPr>
      <w:r>
        <w:rPr>
          <w:sz w:val="20"/>
          <w:szCs w:val="20"/>
        </w:rPr>
        <w:br w:type="column"/>
      </w:r>
      <w:r>
        <w:rPr>
          <w:sz w:val="20"/>
          <w:szCs w:val="20"/>
        </w:rPr>
        <w:lastRenderedPageBreak/>
        <w:t xml:space="preserve">David A. </w:t>
      </w:r>
    </w:p>
    <w:p>
      <w:pPr>
        <w:tabs>
          <w:tab w:val="left" w:pos="2160"/>
          <w:tab w:val="left" w:pos="2280"/>
        </w:tabs>
        <w:rPr>
          <w:sz w:val="20"/>
          <w:szCs w:val="20"/>
        </w:rPr>
      </w:pPr>
      <w:r>
        <w:rPr>
          <w:sz w:val="20"/>
          <w:szCs w:val="20"/>
        </w:rPr>
        <w:t>Jones Day</w:t>
      </w:r>
    </w:p>
    <w:p>
      <w:pPr>
        <w:tabs>
          <w:tab w:val="left" w:pos="2160"/>
          <w:tab w:val="left" w:pos="2280"/>
        </w:tabs>
        <w:rPr>
          <w:sz w:val="20"/>
          <w:szCs w:val="20"/>
        </w:rPr>
      </w:pPr>
      <w:r>
        <w:rPr>
          <w:sz w:val="20"/>
          <w:szCs w:val="20"/>
        </w:rPr>
        <w:t>North Point</w:t>
      </w:r>
    </w:p>
    <w:p>
      <w:pPr>
        <w:tabs>
          <w:tab w:val="left" w:pos="2160"/>
          <w:tab w:val="left" w:pos="2280"/>
        </w:tabs>
        <w:rPr>
          <w:sz w:val="20"/>
          <w:szCs w:val="20"/>
        </w:rPr>
      </w:pPr>
      <w:r>
        <w:rPr>
          <w:sz w:val="20"/>
          <w:szCs w:val="20"/>
        </w:rPr>
        <w:t>901 Lakeside Avenue</w:t>
      </w:r>
    </w:p>
    <w:p>
      <w:pPr>
        <w:tabs>
          <w:tab w:val="left" w:pos="2160"/>
          <w:tab w:val="left" w:pos="2280"/>
        </w:tabs>
        <w:rPr>
          <w:sz w:val="20"/>
          <w:szCs w:val="20"/>
        </w:rPr>
      </w:pPr>
      <w:r>
        <w:rPr>
          <w:sz w:val="20"/>
          <w:szCs w:val="20"/>
        </w:rPr>
        <w:t>Cleveland, OH  44114</w:t>
      </w:r>
    </w:p>
    <w:p>
      <w:pPr>
        <w:tabs>
          <w:tab w:val="left" w:pos="2160"/>
          <w:tab w:val="left" w:pos="2280"/>
        </w:tabs>
        <w:rPr>
          <w:sz w:val="20"/>
          <w:szCs w:val="20"/>
        </w:rPr>
      </w:pPr>
      <w:r>
        <w:rPr>
          <w:sz w:val="20"/>
          <w:szCs w:val="20"/>
        </w:rPr>
        <w:t>dakutik@jonesday.com</w:t>
      </w:r>
    </w:p>
    <w:p>
      <w:pPr>
        <w:tabs>
          <w:tab w:val="left" w:pos="2160"/>
          <w:tab w:val="left" w:pos="2280"/>
        </w:tabs>
        <w:rPr>
          <w:sz w:val="20"/>
          <w:szCs w:val="20"/>
        </w:rPr>
      </w:pPr>
    </w:p>
    <w:p>
      <w:pPr>
        <w:tabs>
          <w:tab w:val="left" w:pos="2160"/>
          <w:tab w:val="left" w:pos="2280"/>
        </w:tabs>
        <w:rPr>
          <w:sz w:val="20"/>
          <w:szCs w:val="20"/>
        </w:rPr>
      </w:pPr>
      <w:r>
        <w:rPr>
          <w:sz w:val="20"/>
          <w:szCs w:val="20"/>
        </w:rPr>
        <w:t>Allison E. Haedt</w:t>
      </w:r>
    </w:p>
    <w:p>
      <w:pPr>
        <w:tabs>
          <w:tab w:val="left" w:pos="2160"/>
          <w:tab w:val="left" w:pos="2280"/>
        </w:tabs>
        <w:rPr>
          <w:sz w:val="20"/>
          <w:szCs w:val="20"/>
        </w:rPr>
      </w:pPr>
      <w:r>
        <w:rPr>
          <w:sz w:val="20"/>
          <w:szCs w:val="20"/>
        </w:rPr>
        <w:t>Jones Day</w:t>
      </w:r>
    </w:p>
    <w:p>
      <w:pPr>
        <w:tabs>
          <w:tab w:val="left" w:pos="2160"/>
          <w:tab w:val="left" w:pos="2280"/>
        </w:tabs>
        <w:rPr>
          <w:sz w:val="20"/>
          <w:szCs w:val="20"/>
        </w:rPr>
      </w:pPr>
      <w:r>
        <w:rPr>
          <w:sz w:val="20"/>
          <w:szCs w:val="20"/>
        </w:rPr>
        <w:t>325 John H. McConnell Blvd., Ste. 600</w:t>
      </w:r>
    </w:p>
    <w:p>
      <w:pPr>
        <w:tabs>
          <w:tab w:val="left" w:pos="2160"/>
          <w:tab w:val="left" w:pos="2280"/>
        </w:tabs>
        <w:rPr>
          <w:sz w:val="20"/>
          <w:szCs w:val="20"/>
        </w:rPr>
      </w:pPr>
      <w:r>
        <w:rPr>
          <w:sz w:val="20"/>
          <w:szCs w:val="20"/>
        </w:rPr>
        <w:t>PO Box 165017</w:t>
      </w:r>
    </w:p>
    <w:p>
      <w:pPr>
        <w:tabs>
          <w:tab w:val="left" w:pos="2160"/>
          <w:tab w:val="left" w:pos="2280"/>
        </w:tabs>
        <w:rPr>
          <w:sz w:val="20"/>
          <w:szCs w:val="20"/>
        </w:rPr>
      </w:pPr>
      <w:r>
        <w:rPr>
          <w:sz w:val="20"/>
          <w:szCs w:val="20"/>
        </w:rPr>
        <w:t>Columbus, OH  43216-5017</w:t>
      </w:r>
    </w:p>
    <w:p>
      <w:pPr>
        <w:tabs>
          <w:tab w:val="left" w:pos="2160"/>
          <w:tab w:val="left" w:pos="2280"/>
        </w:tabs>
        <w:rPr>
          <w:sz w:val="20"/>
          <w:szCs w:val="20"/>
        </w:rPr>
      </w:pPr>
      <w:r>
        <w:rPr>
          <w:sz w:val="20"/>
          <w:szCs w:val="20"/>
        </w:rPr>
        <w:t>aehaedt@jonesday.com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On Behalf of FirstEnergy Solutions Corp.</w:t>
      </w:r>
      <w:proofErr w:type="gramEnd"/>
    </w:p>
    <w:p>
      <w:pPr>
        <w:tabs>
          <w:tab w:val="left" w:pos="2160"/>
          <w:tab w:val="left" w:pos="2280"/>
        </w:tabs>
        <w:rPr>
          <w:b/>
          <w:sz w:val="20"/>
          <w:szCs w:val="20"/>
        </w:rPr>
      </w:pPr>
    </w:p>
    <w:p>
      <w:pPr>
        <w:tabs>
          <w:tab w:val="left" w:pos="2160"/>
          <w:tab w:val="left" w:pos="2280"/>
        </w:tabs>
        <w:rPr>
          <w:sz w:val="20"/>
          <w:szCs w:val="20"/>
        </w:rPr>
      </w:pPr>
      <w:r>
        <w:rPr>
          <w:sz w:val="20"/>
          <w:szCs w:val="20"/>
        </w:rPr>
        <w:t>Jay E. Jadwin</w:t>
      </w:r>
    </w:p>
    <w:p>
      <w:pPr>
        <w:tabs>
          <w:tab w:val="left" w:pos="2160"/>
          <w:tab w:val="left" w:pos="2280"/>
        </w:tabs>
        <w:rPr>
          <w:sz w:val="20"/>
          <w:szCs w:val="20"/>
        </w:rPr>
      </w:pPr>
      <w:r>
        <w:rPr>
          <w:sz w:val="20"/>
          <w:szCs w:val="20"/>
        </w:rPr>
        <w:t>155 W. Nationwide Blvd., Ste. 500</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jejadwin@aep.com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AEP Retail Energy Partners LLC</w:t>
      </w:r>
    </w:p>
    <w:p>
      <w:pPr>
        <w:tabs>
          <w:tab w:val="left" w:pos="2160"/>
          <w:tab w:val="left" w:pos="2280"/>
        </w:tabs>
        <w:rPr>
          <w:sz w:val="20"/>
          <w:szCs w:val="20"/>
        </w:rPr>
      </w:pPr>
    </w:p>
    <w:p>
      <w:pPr>
        <w:tabs>
          <w:tab w:val="left" w:pos="2160"/>
          <w:tab w:val="left" w:pos="2280"/>
        </w:tabs>
        <w:rPr>
          <w:sz w:val="20"/>
          <w:szCs w:val="20"/>
        </w:rPr>
      </w:pPr>
      <w:r>
        <w:rPr>
          <w:sz w:val="20"/>
          <w:szCs w:val="20"/>
        </w:rPr>
        <w:t>Richard L. Sites</w:t>
      </w:r>
    </w:p>
    <w:p>
      <w:pPr>
        <w:tabs>
          <w:tab w:val="left" w:pos="2160"/>
          <w:tab w:val="left" w:pos="2280"/>
        </w:tabs>
        <w:rPr>
          <w:sz w:val="20"/>
          <w:szCs w:val="20"/>
        </w:rPr>
      </w:pPr>
      <w:proofErr w:type="gramStart"/>
      <w:r>
        <w:rPr>
          <w:sz w:val="20"/>
          <w:szCs w:val="20"/>
        </w:rPr>
        <w:t>155 E. Broad Street, 15</w:t>
      </w:r>
      <w:r>
        <w:rPr>
          <w:sz w:val="20"/>
          <w:szCs w:val="20"/>
          <w:vertAlign w:val="superscript"/>
        </w:rPr>
        <w:t>th</w:t>
      </w:r>
      <w:r>
        <w:rPr>
          <w:sz w:val="20"/>
          <w:szCs w:val="20"/>
        </w:rPr>
        <w:t xml:space="preserve"> </w:t>
      </w:r>
      <w:proofErr w:type="spellStart"/>
      <w:r>
        <w:rPr>
          <w:sz w:val="20"/>
          <w:szCs w:val="20"/>
        </w:rPr>
        <w:t>Flr</w:t>
      </w:r>
      <w:proofErr w:type="spellEnd"/>
      <w:r>
        <w:rPr>
          <w:sz w:val="20"/>
          <w:szCs w:val="20"/>
        </w:rPr>
        <w:t>.</w:t>
      </w:r>
      <w:proofErr w:type="gramEnd"/>
    </w:p>
    <w:p>
      <w:pPr>
        <w:tabs>
          <w:tab w:val="left" w:pos="2160"/>
          <w:tab w:val="left" w:pos="2280"/>
        </w:tabs>
        <w:rPr>
          <w:sz w:val="20"/>
          <w:szCs w:val="20"/>
        </w:rPr>
      </w:pPr>
      <w:r>
        <w:rPr>
          <w:sz w:val="20"/>
          <w:szCs w:val="20"/>
        </w:rPr>
        <w:t>Columbus, OH  43215-3620</w:t>
      </w:r>
    </w:p>
    <w:p>
      <w:pPr>
        <w:tabs>
          <w:tab w:val="left" w:pos="2160"/>
          <w:tab w:val="left" w:pos="2280"/>
        </w:tabs>
        <w:rPr>
          <w:sz w:val="20"/>
          <w:szCs w:val="20"/>
        </w:rPr>
      </w:pPr>
      <w:r>
        <w:rPr>
          <w:sz w:val="20"/>
          <w:szCs w:val="20"/>
        </w:rPr>
        <w:t>ricks@ohanet.org</w:t>
      </w:r>
    </w:p>
    <w:p>
      <w:pPr>
        <w:tabs>
          <w:tab w:val="left" w:pos="2160"/>
          <w:tab w:val="left" w:pos="2280"/>
        </w:tabs>
        <w:rPr>
          <w:sz w:val="20"/>
          <w:szCs w:val="20"/>
        </w:rPr>
      </w:pPr>
    </w:p>
    <w:p>
      <w:pPr>
        <w:tabs>
          <w:tab w:val="left" w:pos="2160"/>
          <w:tab w:val="left" w:pos="2280"/>
        </w:tabs>
        <w:rPr>
          <w:sz w:val="20"/>
          <w:szCs w:val="20"/>
        </w:rPr>
      </w:pPr>
      <w:r>
        <w:rPr>
          <w:sz w:val="20"/>
          <w:szCs w:val="20"/>
        </w:rPr>
        <w:t>Thomas J. O’Brien</w:t>
      </w:r>
    </w:p>
    <w:p>
      <w:pPr>
        <w:tabs>
          <w:tab w:val="left" w:pos="2160"/>
          <w:tab w:val="left" w:pos="2280"/>
        </w:tabs>
        <w:rPr>
          <w:sz w:val="20"/>
          <w:szCs w:val="20"/>
        </w:rPr>
      </w:pPr>
      <w:r>
        <w:rPr>
          <w:sz w:val="20"/>
          <w:szCs w:val="20"/>
        </w:rPr>
        <w:t xml:space="preserve">Bricker &amp; </w:t>
      </w:r>
      <w:proofErr w:type="spellStart"/>
      <w:r>
        <w:rPr>
          <w:sz w:val="20"/>
          <w:szCs w:val="20"/>
        </w:rPr>
        <w:t>Eckler</w:t>
      </w:r>
      <w:proofErr w:type="spellEnd"/>
      <w:r>
        <w:rPr>
          <w:sz w:val="20"/>
          <w:szCs w:val="20"/>
        </w:rPr>
        <w:t xml:space="preserve"> LLP</w:t>
      </w:r>
    </w:p>
    <w:p>
      <w:pPr>
        <w:tabs>
          <w:tab w:val="left" w:pos="2160"/>
          <w:tab w:val="left" w:pos="2280"/>
        </w:tabs>
        <w:rPr>
          <w:sz w:val="20"/>
          <w:szCs w:val="20"/>
        </w:rPr>
      </w:pPr>
      <w:r>
        <w:rPr>
          <w:sz w:val="20"/>
          <w:szCs w:val="20"/>
        </w:rPr>
        <w:t>100 S. Third St.</w:t>
      </w:r>
    </w:p>
    <w:p>
      <w:pPr>
        <w:tabs>
          <w:tab w:val="left" w:pos="2160"/>
          <w:tab w:val="left" w:pos="2280"/>
        </w:tabs>
        <w:rPr>
          <w:sz w:val="20"/>
          <w:szCs w:val="20"/>
        </w:rPr>
      </w:pPr>
      <w:r>
        <w:rPr>
          <w:sz w:val="20"/>
          <w:szCs w:val="20"/>
        </w:rPr>
        <w:t>Columbus, OH  43215-4291</w:t>
      </w:r>
    </w:p>
    <w:p>
      <w:pPr>
        <w:tabs>
          <w:tab w:val="left" w:pos="2160"/>
          <w:tab w:val="left" w:pos="2280"/>
        </w:tabs>
        <w:rPr>
          <w:sz w:val="20"/>
          <w:szCs w:val="20"/>
        </w:rPr>
      </w:pPr>
      <w:r>
        <w:rPr>
          <w:sz w:val="20"/>
          <w:szCs w:val="20"/>
        </w:rPr>
        <w:t>tobrien@bricker.com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Ohio Hospital Association</w:t>
      </w:r>
    </w:p>
    <w:p>
      <w:pPr>
        <w:tabs>
          <w:tab w:val="left" w:pos="2160"/>
          <w:tab w:val="left" w:pos="2280"/>
        </w:tabs>
        <w:rPr>
          <w:b/>
          <w:sz w:val="20"/>
          <w:szCs w:val="20"/>
        </w:rPr>
      </w:pPr>
    </w:p>
    <w:p>
      <w:pPr>
        <w:tabs>
          <w:tab w:val="left" w:pos="2160"/>
          <w:tab w:val="left" w:pos="2280"/>
        </w:tabs>
        <w:rPr>
          <w:sz w:val="20"/>
          <w:szCs w:val="20"/>
        </w:rPr>
      </w:pPr>
      <w:r>
        <w:rPr>
          <w:sz w:val="20"/>
          <w:szCs w:val="20"/>
        </w:rPr>
        <w:t>Joseph M. Clark</w:t>
      </w:r>
    </w:p>
    <w:p>
      <w:pPr>
        <w:tabs>
          <w:tab w:val="left" w:pos="2160"/>
          <w:tab w:val="left" w:pos="2280"/>
        </w:tabs>
        <w:rPr>
          <w:sz w:val="20"/>
          <w:szCs w:val="20"/>
        </w:rPr>
      </w:pPr>
      <w:r>
        <w:rPr>
          <w:sz w:val="20"/>
          <w:szCs w:val="20"/>
        </w:rPr>
        <w:t>Direct Energy</w:t>
      </w:r>
    </w:p>
    <w:p>
      <w:pPr>
        <w:tabs>
          <w:tab w:val="left" w:pos="2160"/>
          <w:tab w:val="left" w:pos="2280"/>
        </w:tabs>
        <w:rPr>
          <w:sz w:val="20"/>
          <w:szCs w:val="20"/>
        </w:rPr>
      </w:pPr>
      <w:r>
        <w:rPr>
          <w:sz w:val="20"/>
          <w:szCs w:val="20"/>
        </w:rPr>
        <w:t>6641 North High Street, Suite 200</w:t>
      </w:r>
    </w:p>
    <w:p>
      <w:pPr>
        <w:tabs>
          <w:tab w:val="left" w:pos="2160"/>
          <w:tab w:val="left" w:pos="2280"/>
        </w:tabs>
        <w:rPr>
          <w:sz w:val="20"/>
          <w:szCs w:val="20"/>
        </w:rPr>
      </w:pPr>
      <w:r>
        <w:rPr>
          <w:sz w:val="20"/>
          <w:szCs w:val="20"/>
        </w:rPr>
        <w:t>Worthington, OH  43085</w:t>
      </w:r>
    </w:p>
    <w:p>
      <w:pPr>
        <w:tabs>
          <w:tab w:val="left" w:pos="2160"/>
          <w:tab w:val="left" w:pos="2280"/>
        </w:tabs>
        <w:rPr>
          <w:sz w:val="20"/>
          <w:szCs w:val="20"/>
        </w:rPr>
      </w:pPr>
      <w:r>
        <w:rPr>
          <w:sz w:val="20"/>
          <w:szCs w:val="20"/>
        </w:rPr>
        <w:t>jmclark@directenergy.com</w:t>
      </w:r>
    </w:p>
    <w:p>
      <w:pPr>
        <w:tabs>
          <w:tab w:val="left" w:pos="2160"/>
          <w:tab w:val="left" w:pos="2280"/>
        </w:tabs>
        <w:rPr>
          <w:sz w:val="20"/>
          <w:szCs w:val="20"/>
        </w:rPr>
      </w:pPr>
    </w:p>
    <w:p>
      <w:pPr>
        <w:tabs>
          <w:tab w:val="left" w:pos="2160"/>
          <w:tab w:val="left" w:pos="2280"/>
        </w:tabs>
        <w:rPr>
          <w:sz w:val="20"/>
          <w:szCs w:val="20"/>
        </w:rPr>
      </w:pPr>
      <w:r>
        <w:rPr>
          <w:sz w:val="20"/>
          <w:szCs w:val="20"/>
        </w:rPr>
        <w:t>Christopher L. Miller</w:t>
      </w:r>
    </w:p>
    <w:p>
      <w:pPr>
        <w:tabs>
          <w:tab w:val="left" w:pos="2160"/>
          <w:tab w:val="left" w:pos="2280"/>
        </w:tabs>
        <w:rPr>
          <w:sz w:val="20"/>
          <w:szCs w:val="20"/>
        </w:rPr>
      </w:pPr>
      <w:r>
        <w:rPr>
          <w:sz w:val="20"/>
          <w:szCs w:val="20"/>
        </w:rPr>
        <w:t>Gregory H. Dunn</w:t>
      </w:r>
    </w:p>
    <w:p>
      <w:pPr>
        <w:tabs>
          <w:tab w:val="left" w:pos="2160"/>
          <w:tab w:val="left" w:pos="2280"/>
        </w:tabs>
        <w:rPr>
          <w:sz w:val="20"/>
          <w:szCs w:val="20"/>
        </w:rPr>
      </w:pPr>
      <w:r>
        <w:rPr>
          <w:sz w:val="20"/>
          <w:szCs w:val="20"/>
        </w:rPr>
        <w:t>Asim Z. Haque</w:t>
      </w:r>
    </w:p>
    <w:p>
      <w:pPr>
        <w:tabs>
          <w:tab w:val="left" w:pos="2160"/>
          <w:tab w:val="left" w:pos="2280"/>
        </w:tabs>
        <w:rPr>
          <w:sz w:val="20"/>
          <w:szCs w:val="20"/>
        </w:rPr>
      </w:pPr>
      <w:r>
        <w:rPr>
          <w:sz w:val="20"/>
          <w:szCs w:val="20"/>
        </w:rPr>
        <w:t>Alan G. Starkoff</w:t>
      </w:r>
    </w:p>
    <w:p>
      <w:pPr>
        <w:tabs>
          <w:tab w:val="left" w:pos="2160"/>
          <w:tab w:val="left" w:pos="2280"/>
        </w:tabs>
        <w:rPr>
          <w:sz w:val="20"/>
          <w:szCs w:val="20"/>
        </w:rPr>
      </w:pPr>
      <w:r>
        <w:rPr>
          <w:sz w:val="20"/>
          <w:szCs w:val="20"/>
        </w:rPr>
        <w:t>Ice Miller LLP</w:t>
      </w:r>
    </w:p>
    <w:p>
      <w:pPr>
        <w:tabs>
          <w:tab w:val="left" w:pos="2160"/>
          <w:tab w:val="left" w:pos="2280"/>
        </w:tabs>
        <w:rPr>
          <w:sz w:val="20"/>
          <w:szCs w:val="20"/>
        </w:rPr>
      </w:pPr>
      <w:r>
        <w:rPr>
          <w:sz w:val="20"/>
          <w:szCs w:val="20"/>
        </w:rPr>
        <w:t>250 West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christopher.miller@icemiller.com</w:t>
      </w:r>
    </w:p>
    <w:p>
      <w:pPr>
        <w:tabs>
          <w:tab w:val="left" w:pos="2160"/>
          <w:tab w:val="left" w:pos="2280"/>
        </w:tabs>
        <w:rPr>
          <w:sz w:val="20"/>
          <w:szCs w:val="20"/>
        </w:rPr>
      </w:pPr>
      <w:r>
        <w:rPr>
          <w:sz w:val="20"/>
          <w:szCs w:val="20"/>
        </w:rPr>
        <w:t>gregory.dunn@icemiller.com</w:t>
      </w:r>
    </w:p>
    <w:p>
      <w:pPr>
        <w:tabs>
          <w:tab w:val="left" w:pos="2160"/>
          <w:tab w:val="left" w:pos="2280"/>
        </w:tabs>
        <w:rPr>
          <w:rStyle w:val="Hyperlink"/>
          <w:color w:val="auto"/>
          <w:sz w:val="20"/>
          <w:szCs w:val="20"/>
          <w:u w:val="none"/>
        </w:rPr>
      </w:pPr>
      <w:r>
        <w:rPr>
          <w:sz w:val="20"/>
          <w:szCs w:val="20"/>
        </w:rPr>
        <w:t>asim.haque@icemiller.com</w:t>
      </w:r>
    </w:p>
    <w:p>
      <w:pPr>
        <w:tabs>
          <w:tab w:val="left" w:pos="2160"/>
          <w:tab w:val="left" w:pos="2280"/>
        </w:tabs>
        <w:rPr>
          <w:sz w:val="20"/>
          <w:szCs w:val="20"/>
        </w:rPr>
      </w:pPr>
      <w:r>
        <w:rPr>
          <w:sz w:val="20"/>
          <w:szCs w:val="20"/>
        </w:rPr>
        <w:t>alan.starkoff@icemiller.com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Direct Energy Services, LLC and Direct Energy Business, LLC</w:t>
      </w:r>
    </w:p>
    <w:p>
      <w:pPr>
        <w:tabs>
          <w:tab w:val="left" w:pos="2160"/>
          <w:tab w:val="left" w:pos="2280"/>
        </w:tabs>
        <w:rPr>
          <w:b/>
          <w:sz w:val="20"/>
          <w:szCs w:val="20"/>
        </w:rPr>
      </w:pPr>
    </w:p>
    <w:p>
      <w:pPr>
        <w:tabs>
          <w:tab w:val="left" w:pos="2160"/>
          <w:tab w:val="left" w:pos="2280"/>
        </w:tabs>
        <w:rPr>
          <w:sz w:val="20"/>
          <w:szCs w:val="20"/>
        </w:rPr>
      </w:pPr>
      <w:r>
        <w:rPr>
          <w:sz w:val="20"/>
          <w:szCs w:val="20"/>
        </w:rPr>
        <w:t>M. Howard Petricoff</w:t>
      </w:r>
    </w:p>
    <w:p>
      <w:pPr>
        <w:tabs>
          <w:tab w:val="left" w:pos="2160"/>
          <w:tab w:val="left" w:pos="2280"/>
        </w:tabs>
        <w:rPr>
          <w:sz w:val="20"/>
          <w:szCs w:val="20"/>
        </w:rPr>
      </w:pPr>
      <w:r>
        <w:rPr>
          <w:sz w:val="20"/>
          <w:szCs w:val="20"/>
        </w:rPr>
        <w:t>Stephen M. Howard</w:t>
      </w:r>
    </w:p>
    <w:p>
      <w:pPr>
        <w:tabs>
          <w:tab w:val="left" w:pos="2160"/>
          <w:tab w:val="left" w:pos="2280"/>
        </w:tabs>
        <w:rPr>
          <w:sz w:val="20"/>
          <w:szCs w:val="20"/>
        </w:rPr>
      </w:pPr>
      <w:proofErr w:type="spellStart"/>
      <w:r>
        <w:rPr>
          <w:sz w:val="20"/>
          <w:szCs w:val="20"/>
        </w:rPr>
        <w:t>Vorys</w:t>
      </w:r>
      <w:proofErr w:type="spellEnd"/>
      <w:r>
        <w:rPr>
          <w:sz w:val="20"/>
          <w:szCs w:val="20"/>
        </w:rPr>
        <w:t xml:space="preserve">, </w:t>
      </w:r>
      <w:proofErr w:type="spellStart"/>
      <w:r>
        <w:rPr>
          <w:sz w:val="20"/>
          <w:szCs w:val="20"/>
        </w:rPr>
        <w:t>Sater</w:t>
      </w:r>
      <w:proofErr w:type="spellEnd"/>
      <w:r>
        <w:rPr>
          <w:sz w:val="20"/>
          <w:szCs w:val="20"/>
        </w:rPr>
        <w:t>, Seymour &amp; Pease LLP</w:t>
      </w:r>
    </w:p>
    <w:p>
      <w:pPr>
        <w:tabs>
          <w:tab w:val="left" w:pos="2160"/>
          <w:tab w:val="left" w:pos="2280"/>
        </w:tabs>
        <w:rPr>
          <w:sz w:val="20"/>
          <w:szCs w:val="20"/>
        </w:rPr>
      </w:pPr>
      <w:r>
        <w:rPr>
          <w:sz w:val="20"/>
          <w:szCs w:val="20"/>
        </w:rPr>
        <w:t>52 East Gay Street</w:t>
      </w:r>
    </w:p>
    <w:p>
      <w:pPr>
        <w:tabs>
          <w:tab w:val="left" w:pos="2160"/>
          <w:tab w:val="left" w:pos="2280"/>
        </w:tabs>
        <w:rPr>
          <w:sz w:val="20"/>
          <w:szCs w:val="20"/>
        </w:rPr>
      </w:pPr>
      <w:r>
        <w:rPr>
          <w:sz w:val="20"/>
          <w:szCs w:val="20"/>
        </w:rPr>
        <w:t>PO Box 1008</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mhpetricoff@vorys.com</w:t>
      </w:r>
    </w:p>
    <w:p>
      <w:pPr>
        <w:tabs>
          <w:tab w:val="left" w:pos="2160"/>
          <w:tab w:val="left" w:pos="2280"/>
        </w:tabs>
        <w:rPr>
          <w:rStyle w:val="Hyperlink"/>
          <w:color w:val="auto"/>
          <w:sz w:val="20"/>
          <w:szCs w:val="20"/>
          <w:u w:val="none"/>
        </w:rPr>
      </w:pPr>
      <w:r>
        <w:rPr>
          <w:sz w:val="20"/>
          <w:szCs w:val="20"/>
        </w:rPr>
        <w:t>smhoward@vorys.com</w:t>
      </w:r>
    </w:p>
    <w:p>
      <w:pPr>
        <w:tabs>
          <w:tab w:val="left" w:pos="2160"/>
          <w:tab w:val="left" w:pos="2280"/>
        </w:tabs>
        <w:rPr>
          <w:rStyle w:val="Hyperlink"/>
          <w:color w:val="auto"/>
          <w:sz w:val="20"/>
          <w:szCs w:val="20"/>
          <w:u w:val="none"/>
        </w:rPr>
      </w:pPr>
    </w:p>
    <w:p>
      <w:pPr>
        <w:tabs>
          <w:tab w:val="left" w:pos="2160"/>
          <w:tab w:val="left" w:pos="2280"/>
        </w:tabs>
        <w:rPr>
          <w:rStyle w:val="Hyperlink"/>
          <w:color w:val="auto"/>
          <w:sz w:val="20"/>
          <w:szCs w:val="20"/>
          <w:u w:val="none"/>
        </w:rPr>
      </w:pPr>
      <w:r>
        <w:rPr>
          <w:rStyle w:val="Hyperlink"/>
          <w:color w:val="auto"/>
          <w:sz w:val="20"/>
          <w:szCs w:val="20"/>
          <w:u w:val="none"/>
        </w:rPr>
        <w:t>Scott C. Solberg</w:t>
      </w:r>
    </w:p>
    <w:p>
      <w:pPr>
        <w:tabs>
          <w:tab w:val="left" w:pos="2160"/>
          <w:tab w:val="left" w:pos="2280"/>
        </w:tabs>
        <w:rPr>
          <w:rStyle w:val="Hyperlink"/>
          <w:color w:val="auto"/>
          <w:sz w:val="20"/>
          <w:szCs w:val="20"/>
          <w:u w:val="none"/>
        </w:rPr>
      </w:pPr>
      <w:proofErr w:type="spellStart"/>
      <w:r>
        <w:rPr>
          <w:rStyle w:val="Hyperlink"/>
          <w:color w:val="auto"/>
          <w:sz w:val="20"/>
          <w:szCs w:val="20"/>
          <w:u w:val="none"/>
        </w:rPr>
        <w:t>Eimer</w:t>
      </w:r>
      <w:proofErr w:type="spellEnd"/>
      <w:r>
        <w:rPr>
          <w:rStyle w:val="Hyperlink"/>
          <w:color w:val="auto"/>
          <w:sz w:val="20"/>
          <w:szCs w:val="20"/>
          <w:u w:val="none"/>
        </w:rPr>
        <w:t xml:space="preserve"> Stahl LLP</w:t>
      </w:r>
    </w:p>
    <w:p>
      <w:pPr>
        <w:tabs>
          <w:tab w:val="left" w:pos="2160"/>
          <w:tab w:val="left" w:pos="2280"/>
        </w:tabs>
        <w:rPr>
          <w:rStyle w:val="Hyperlink"/>
          <w:color w:val="auto"/>
          <w:sz w:val="20"/>
          <w:szCs w:val="20"/>
          <w:u w:val="none"/>
        </w:rPr>
      </w:pPr>
      <w:r>
        <w:rPr>
          <w:rStyle w:val="Hyperlink"/>
          <w:color w:val="auto"/>
          <w:sz w:val="20"/>
          <w:szCs w:val="20"/>
          <w:u w:val="none"/>
        </w:rPr>
        <w:t>224 S. Michigan Ave., Suite 1100</w:t>
      </w:r>
    </w:p>
    <w:p>
      <w:pPr>
        <w:tabs>
          <w:tab w:val="left" w:pos="2160"/>
          <w:tab w:val="left" w:pos="2280"/>
        </w:tabs>
        <w:rPr>
          <w:rStyle w:val="Hyperlink"/>
          <w:color w:val="auto"/>
          <w:sz w:val="20"/>
          <w:szCs w:val="20"/>
          <w:u w:val="none"/>
        </w:rPr>
      </w:pPr>
      <w:r>
        <w:rPr>
          <w:rStyle w:val="Hyperlink"/>
          <w:color w:val="auto"/>
          <w:sz w:val="20"/>
          <w:szCs w:val="20"/>
          <w:u w:val="none"/>
        </w:rPr>
        <w:t>Chicago, IL  60604</w:t>
      </w:r>
    </w:p>
    <w:p>
      <w:pPr>
        <w:tabs>
          <w:tab w:val="left" w:pos="2160"/>
          <w:tab w:val="left" w:pos="2280"/>
        </w:tabs>
        <w:rPr>
          <w:sz w:val="20"/>
          <w:szCs w:val="20"/>
        </w:rPr>
      </w:pPr>
      <w:r>
        <w:rPr>
          <w:sz w:val="20"/>
          <w:szCs w:val="20"/>
        </w:rPr>
        <w:t>ssolberg@EimerStahl.com</w:t>
      </w:r>
    </w:p>
    <w:p>
      <w:pPr>
        <w:tabs>
          <w:tab w:val="left" w:pos="2160"/>
          <w:tab w:val="left" w:pos="2280"/>
        </w:tabs>
        <w:rPr>
          <w:sz w:val="20"/>
          <w:szCs w:val="20"/>
        </w:rPr>
      </w:pPr>
    </w:p>
    <w:p>
      <w:pPr>
        <w:tabs>
          <w:tab w:val="left" w:pos="2160"/>
          <w:tab w:val="left" w:pos="2280"/>
        </w:tabs>
        <w:rPr>
          <w:b/>
          <w:sz w:val="20"/>
          <w:szCs w:val="20"/>
        </w:rPr>
      </w:pPr>
      <w:r>
        <w:rPr>
          <w:b/>
          <w:sz w:val="20"/>
          <w:szCs w:val="20"/>
        </w:rPr>
        <w:t xml:space="preserve">On Behalf of the Retail Energy Supply Association, Exelon Generation Company, LLC, Exelon Energy Company, Inc. Constellation Energy Commodities Group, Inc. and Constellation </w:t>
      </w:r>
      <w:proofErr w:type="spellStart"/>
      <w:r>
        <w:rPr>
          <w:b/>
          <w:sz w:val="20"/>
          <w:szCs w:val="20"/>
        </w:rPr>
        <w:t>NewEnergy</w:t>
      </w:r>
      <w:proofErr w:type="spellEnd"/>
      <w:r>
        <w:rPr>
          <w:b/>
          <w:sz w:val="20"/>
          <w:szCs w:val="20"/>
        </w:rPr>
        <w:t>, Inc.</w:t>
      </w:r>
    </w:p>
    <w:p>
      <w:pPr>
        <w:tabs>
          <w:tab w:val="left" w:pos="2160"/>
          <w:tab w:val="left" w:pos="2280"/>
        </w:tabs>
        <w:rPr>
          <w:sz w:val="20"/>
          <w:szCs w:val="20"/>
        </w:rPr>
      </w:pPr>
    </w:p>
    <w:p>
      <w:pPr>
        <w:tabs>
          <w:tab w:val="left" w:pos="2160"/>
          <w:tab w:val="left" w:pos="2280"/>
        </w:tabs>
        <w:rPr>
          <w:b/>
          <w:sz w:val="20"/>
          <w:szCs w:val="20"/>
        </w:rPr>
      </w:pPr>
      <w:r>
        <w:rPr>
          <w:sz w:val="20"/>
          <w:szCs w:val="20"/>
        </w:rPr>
        <w:t>Cathryn N. Loucas</w:t>
      </w:r>
    </w:p>
    <w:p>
      <w:pPr>
        <w:tabs>
          <w:tab w:val="left" w:pos="2160"/>
          <w:tab w:val="left" w:pos="2280"/>
        </w:tabs>
        <w:rPr>
          <w:sz w:val="20"/>
          <w:szCs w:val="20"/>
        </w:rPr>
      </w:pPr>
      <w:r>
        <w:rPr>
          <w:sz w:val="20"/>
          <w:szCs w:val="20"/>
        </w:rPr>
        <w:t>Trent A. Dougherty</w:t>
      </w:r>
    </w:p>
    <w:p>
      <w:pPr>
        <w:tabs>
          <w:tab w:val="left" w:pos="2160"/>
          <w:tab w:val="left" w:pos="2280"/>
        </w:tabs>
        <w:rPr>
          <w:sz w:val="20"/>
          <w:szCs w:val="20"/>
        </w:rPr>
      </w:pPr>
      <w:r>
        <w:rPr>
          <w:sz w:val="20"/>
          <w:szCs w:val="20"/>
        </w:rPr>
        <w:t>Ohio Environmental Council</w:t>
      </w:r>
    </w:p>
    <w:p>
      <w:pPr>
        <w:tabs>
          <w:tab w:val="left" w:pos="2160"/>
          <w:tab w:val="left" w:pos="2280"/>
        </w:tabs>
        <w:rPr>
          <w:sz w:val="20"/>
          <w:szCs w:val="20"/>
        </w:rPr>
      </w:pPr>
      <w:r>
        <w:rPr>
          <w:sz w:val="20"/>
          <w:szCs w:val="20"/>
        </w:rPr>
        <w:t>1207 Grandview Avenue, Ste. 201</w:t>
      </w:r>
    </w:p>
    <w:p>
      <w:pPr>
        <w:tabs>
          <w:tab w:val="left" w:pos="2160"/>
          <w:tab w:val="left" w:pos="2280"/>
        </w:tabs>
        <w:rPr>
          <w:sz w:val="20"/>
          <w:szCs w:val="20"/>
        </w:rPr>
      </w:pPr>
      <w:r>
        <w:rPr>
          <w:sz w:val="20"/>
          <w:szCs w:val="20"/>
        </w:rPr>
        <w:t>Columbus, OH  43215-3449</w:t>
      </w:r>
    </w:p>
    <w:p>
      <w:pPr>
        <w:rPr>
          <w:sz w:val="20"/>
          <w:szCs w:val="20"/>
        </w:rPr>
      </w:pPr>
      <w:r>
        <w:rPr>
          <w:sz w:val="20"/>
          <w:szCs w:val="20"/>
        </w:rPr>
        <w:t>trent@theoec.org</w:t>
      </w:r>
    </w:p>
    <w:p>
      <w:pPr>
        <w:rPr>
          <w:sz w:val="20"/>
          <w:szCs w:val="20"/>
        </w:rPr>
      </w:pPr>
      <w:r>
        <w:rPr>
          <w:sz w:val="20"/>
          <w:szCs w:val="20"/>
        </w:rPr>
        <w:t>cathy@theoec.org</w:t>
      </w:r>
    </w:p>
    <w:p>
      <w:pPr>
        <w:rPr>
          <w:sz w:val="20"/>
          <w:szCs w:val="20"/>
        </w:rPr>
      </w:pPr>
    </w:p>
    <w:p>
      <w:pPr>
        <w:rPr>
          <w:b/>
          <w:sz w:val="20"/>
          <w:szCs w:val="20"/>
        </w:rPr>
      </w:pPr>
      <w:r>
        <w:rPr>
          <w:b/>
          <w:sz w:val="20"/>
          <w:szCs w:val="20"/>
        </w:rPr>
        <w:t>On Behalf of the Ohio Environmental</w:t>
      </w:r>
    </w:p>
    <w:p>
      <w:pPr>
        <w:rPr>
          <w:b/>
          <w:sz w:val="20"/>
          <w:szCs w:val="20"/>
        </w:rPr>
      </w:pPr>
      <w:r>
        <w:rPr>
          <w:b/>
          <w:sz w:val="20"/>
          <w:szCs w:val="20"/>
        </w:rPr>
        <w:t xml:space="preserve">Council </w:t>
      </w:r>
    </w:p>
    <w:p>
      <w:pPr>
        <w:tabs>
          <w:tab w:val="left" w:pos="2160"/>
          <w:tab w:val="left" w:pos="2280"/>
        </w:tabs>
        <w:rPr>
          <w:sz w:val="20"/>
          <w:szCs w:val="20"/>
        </w:rPr>
      </w:pPr>
    </w:p>
    <w:p>
      <w:pPr>
        <w:tabs>
          <w:tab w:val="left" w:pos="2160"/>
          <w:tab w:val="left" w:pos="2280"/>
        </w:tabs>
        <w:rPr>
          <w:sz w:val="20"/>
          <w:szCs w:val="20"/>
        </w:rPr>
      </w:pPr>
      <w:r>
        <w:rPr>
          <w:sz w:val="20"/>
          <w:szCs w:val="20"/>
        </w:rPr>
        <w:t>Stephanie M. Chmiel</w:t>
      </w:r>
    </w:p>
    <w:p>
      <w:pPr>
        <w:tabs>
          <w:tab w:val="left" w:pos="2160"/>
          <w:tab w:val="left" w:pos="2280"/>
        </w:tabs>
        <w:rPr>
          <w:sz w:val="20"/>
          <w:szCs w:val="20"/>
        </w:rPr>
      </w:pPr>
      <w:r>
        <w:rPr>
          <w:sz w:val="20"/>
          <w:szCs w:val="20"/>
        </w:rPr>
        <w:t>Michael L. Dillard, Jr.</w:t>
      </w:r>
    </w:p>
    <w:p>
      <w:pPr>
        <w:tabs>
          <w:tab w:val="left" w:pos="2160"/>
          <w:tab w:val="left" w:pos="2280"/>
        </w:tabs>
        <w:rPr>
          <w:sz w:val="20"/>
          <w:szCs w:val="20"/>
        </w:rPr>
      </w:pPr>
      <w:r>
        <w:rPr>
          <w:sz w:val="20"/>
          <w:szCs w:val="20"/>
        </w:rPr>
        <w:t>Philip B. Sineneng</w:t>
      </w:r>
    </w:p>
    <w:p>
      <w:pPr>
        <w:tabs>
          <w:tab w:val="left" w:pos="2160"/>
          <w:tab w:val="left" w:pos="2280"/>
        </w:tabs>
        <w:rPr>
          <w:sz w:val="20"/>
          <w:szCs w:val="20"/>
        </w:rPr>
      </w:pPr>
      <w:r>
        <w:rPr>
          <w:sz w:val="20"/>
          <w:szCs w:val="20"/>
        </w:rPr>
        <w:t>Thompson Hine LLP</w:t>
      </w:r>
    </w:p>
    <w:p>
      <w:pPr>
        <w:tabs>
          <w:tab w:val="left" w:pos="2160"/>
          <w:tab w:val="left" w:pos="2280"/>
        </w:tabs>
        <w:rPr>
          <w:sz w:val="20"/>
          <w:szCs w:val="20"/>
        </w:rPr>
      </w:pPr>
      <w:r>
        <w:rPr>
          <w:sz w:val="20"/>
          <w:szCs w:val="20"/>
        </w:rPr>
        <w:t>41 South High Street, Ste. 1700</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Stephanie.Chmiel@ThompsonHine.com</w:t>
      </w:r>
    </w:p>
    <w:p>
      <w:pPr>
        <w:tabs>
          <w:tab w:val="left" w:pos="2160"/>
          <w:tab w:val="left" w:pos="2280"/>
        </w:tabs>
        <w:rPr>
          <w:rStyle w:val="Hyperlink"/>
          <w:color w:val="auto"/>
          <w:sz w:val="20"/>
          <w:szCs w:val="20"/>
          <w:u w:val="none"/>
        </w:rPr>
      </w:pPr>
      <w:r>
        <w:rPr>
          <w:sz w:val="20"/>
          <w:szCs w:val="20"/>
        </w:rPr>
        <w:t>Michael.Dillard@ThompsonHine.com</w:t>
      </w:r>
    </w:p>
    <w:p>
      <w:pPr>
        <w:tabs>
          <w:tab w:val="left" w:pos="2160"/>
          <w:tab w:val="left" w:pos="2280"/>
        </w:tabs>
        <w:rPr>
          <w:sz w:val="20"/>
          <w:szCs w:val="20"/>
        </w:rPr>
      </w:pPr>
      <w:r>
        <w:rPr>
          <w:rStyle w:val="Hyperlink"/>
          <w:color w:val="auto"/>
          <w:sz w:val="20"/>
          <w:szCs w:val="20"/>
          <w:u w:val="none"/>
        </w:rPr>
        <w:t>Philip.sineneng@ThompsonHine.com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On Behalf of Border Energy Electric, Inc.</w:t>
      </w:r>
      <w:proofErr w:type="gramEnd"/>
    </w:p>
    <w:p>
      <w:pPr>
        <w:tabs>
          <w:tab w:val="left" w:pos="2160"/>
          <w:tab w:val="left" w:pos="2280"/>
        </w:tabs>
        <w:rPr>
          <w:b/>
          <w:sz w:val="20"/>
          <w:szCs w:val="20"/>
        </w:rPr>
      </w:pPr>
    </w:p>
    <w:p>
      <w:pPr>
        <w:tabs>
          <w:tab w:val="left" w:pos="2160"/>
          <w:tab w:val="left" w:pos="2280"/>
        </w:tabs>
        <w:rPr>
          <w:sz w:val="20"/>
          <w:szCs w:val="20"/>
        </w:rPr>
      </w:pPr>
      <w:r>
        <w:rPr>
          <w:sz w:val="20"/>
          <w:szCs w:val="20"/>
        </w:rPr>
        <w:t>Matthew J. Satterwhite</w:t>
      </w:r>
    </w:p>
    <w:p>
      <w:pPr>
        <w:tabs>
          <w:tab w:val="left" w:pos="2160"/>
          <w:tab w:val="left" w:pos="2280"/>
        </w:tabs>
        <w:rPr>
          <w:sz w:val="20"/>
          <w:szCs w:val="20"/>
        </w:rPr>
      </w:pPr>
      <w:r>
        <w:rPr>
          <w:sz w:val="20"/>
          <w:szCs w:val="20"/>
        </w:rPr>
        <w:t>Steven T. Nourse</w:t>
      </w:r>
    </w:p>
    <w:p>
      <w:pPr>
        <w:tabs>
          <w:tab w:val="left" w:pos="2160"/>
          <w:tab w:val="left" w:pos="2280"/>
        </w:tabs>
        <w:rPr>
          <w:sz w:val="20"/>
          <w:szCs w:val="20"/>
        </w:rPr>
      </w:pPr>
      <w:r>
        <w:rPr>
          <w:sz w:val="20"/>
          <w:szCs w:val="20"/>
        </w:rPr>
        <w:t>American Electric Power Service Corp.</w:t>
      </w:r>
    </w:p>
    <w:p>
      <w:pPr>
        <w:tabs>
          <w:tab w:val="left" w:pos="2160"/>
          <w:tab w:val="left" w:pos="2280"/>
        </w:tabs>
        <w:rPr>
          <w:sz w:val="20"/>
          <w:szCs w:val="20"/>
        </w:rPr>
      </w:pPr>
      <w:r>
        <w:rPr>
          <w:sz w:val="20"/>
          <w:szCs w:val="20"/>
        </w:rPr>
        <w:t>1 Riverside Plaza, 29</w:t>
      </w:r>
      <w:r>
        <w:rPr>
          <w:sz w:val="20"/>
          <w:szCs w:val="20"/>
          <w:vertAlign w:val="superscript"/>
        </w:rPr>
        <w:t>th</w:t>
      </w:r>
      <w:r>
        <w:rPr>
          <w:sz w:val="20"/>
          <w:szCs w:val="20"/>
        </w:rPr>
        <w:t xml:space="preserve"> Floor</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mjsatterwhite@aep.com</w:t>
      </w:r>
    </w:p>
    <w:p>
      <w:pPr>
        <w:tabs>
          <w:tab w:val="left" w:pos="2160"/>
          <w:tab w:val="left" w:pos="2280"/>
        </w:tabs>
        <w:rPr>
          <w:sz w:val="20"/>
          <w:szCs w:val="20"/>
        </w:rPr>
      </w:pPr>
      <w:r>
        <w:rPr>
          <w:sz w:val="20"/>
          <w:szCs w:val="20"/>
        </w:rPr>
        <w:t>stnourse@aep.com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the Ohio Power Company</w:t>
      </w:r>
    </w:p>
    <w:p>
      <w:pPr>
        <w:tabs>
          <w:tab w:val="left" w:pos="2160"/>
          <w:tab w:val="left" w:pos="2280"/>
        </w:tabs>
        <w:rPr>
          <w:sz w:val="20"/>
          <w:szCs w:val="20"/>
        </w:rPr>
      </w:pPr>
    </w:p>
    <w:p>
      <w:pPr>
        <w:tabs>
          <w:tab w:val="left" w:pos="2160"/>
          <w:tab w:val="left" w:pos="2280"/>
        </w:tabs>
        <w:rPr>
          <w:sz w:val="20"/>
          <w:szCs w:val="20"/>
        </w:rPr>
      </w:pPr>
      <w:r>
        <w:rPr>
          <w:sz w:val="20"/>
          <w:szCs w:val="20"/>
        </w:rPr>
        <w:br w:type="column"/>
      </w:r>
      <w:r>
        <w:rPr>
          <w:sz w:val="20"/>
          <w:szCs w:val="20"/>
        </w:rPr>
        <w:lastRenderedPageBreak/>
        <w:t>Kimberly W. Bojko</w:t>
      </w:r>
    </w:p>
    <w:p>
      <w:pPr>
        <w:tabs>
          <w:tab w:val="left" w:pos="2160"/>
          <w:tab w:val="left" w:pos="2280"/>
        </w:tabs>
        <w:rPr>
          <w:sz w:val="20"/>
          <w:szCs w:val="20"/>
        </w:rPr>
      </w:pPr>
      <w:r>
        <w:rPr>
          <w:sz w:val="20"/>
          <w:szCs w:val="20"/>
        </w:rPr>
        <w:t>Joel E. Sechler</w:t>
      </w:r>
    </w:p>
    <w:p>
      <w:pPr>
        <w:tabs>
          <w:tab w:val="left" w:pos="2160"/>
          <w:tab w:val="left" w:pos="2280"/>
        </w:tabs>
        <w:rPr>
          <w:sz w:val="20"/>
          <w:szCs w:val="20"/>
        </w:rPr>
      </w:pPr>
      <w:r>
        <w:rPr>
          <w:sz w:val="20"/>
          <w:szCs w:val="20"/>
        </w:rPr>
        <w:t xml:space="preserve">Carpenter </w:t>
      </w:r>
      <w:proofErr w:type="spellStart"/>
      <w:r>
        <w:rPr>
          <w:sz w:val="20"/>
          <w:szCs w:val="20"/>
        </w:rPr>
        <w:t>Lipps</w:t>
      </w:r>
      <w:proofErr w:type="spellEnd"/>
      <w:r>
        <w:rPr>
          <w:sz w:val="20"/>
          <w:szCs w:val="20"/>
        </w:rPr>
        <w:t xml:space="preserve"> &amp; Leland LLP</w:t>
      </w:r>
    </w:p>
    <w:p>
      <w:pPr>
        <w:tabs>
          <w:tab w:val="left" w:pos="2160"/>
          <w:tab w:val="left" w:pos="2280"/>
        </w:tabs>
        <w:rPr>
          <w:sz w:val="20"/>
          <w:szCs w:val="20"/>
        </w:rPr>
      </w:pPr>
      <w:r>
        <w:rPr>
          <w:sz w:val="20"/>
          <w:szCs w:val="20"/>
        </w:rPr>
        <w:t xml:space="preserve">280 </w:t>
      </w:r>
      <w:proofErr w:type="gramStart"/>
      <w:r>
        <w:rPr>
          <w:sz w:val="20"/>
          <w:szCs w:val="20"/>
        </w:rPr>
        <w:t>Plaza</w:t>
      </w:r>
      <w:proofErr w:type="gramEnd"/>
      <w:r>
        <w:rPr>
          <w:sz w:val="20"/>
          <w:szCs w:val="20"/>
        </w:rPr>
        <w:t>, Suite 1300</w:t>
      </w:r>
    </w:p>
    <w:p>
      <w:pPr>
        <w:tabs>
          <w:tab w:val="left" w:pos="2160"/>
          <w:tab w:val="left" w:pos="2280"/>
        </w:tabs>
        <w:rPr>
          <w:sz w:val="20"/>
          <w:szCs w:val="20"/>
        </w:rPr>
      </w:pPr>
      <w:r>
        <w:rPr>
          <w:sz w:val="20"/>
          <w:szCs w:val="20"/>
        </w:rPr>
        <w:t>280 North High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Bojko@carpenterlipps.com</w:t>
      </w:r>
    </w:p>
    <w:p>
      <w:pPr>
        <w:tabs>
          <w:tab w:val="left" w:pos="2160"/>
          <w:tab w:val="left" w:pos="2280"/>
        </w:tabs>
        <w:rPr>
          <w:sz w:val="20"/>
          <w:szCs w:val="20"/>
        </w:rPr>
      </w:pPr>
      <w:r>
        <w:rPr>
          <w:sz w:val="20"/>
          <w:szCs w:val="20"/>
        </w:rPr>
        <w:t>sechler@carpenterlipps.com</w:t>
      </w:r>
    </w:p>
    <w:p>
      <w:pPr>
        <w:tabs>
          <w:tab w:val="left" w:pos="2160"/>
          <w:tab w:val="left" w:pos="2280"/>
        </w:tabs>
        <w:rPr>
          <w:sz w:val="20"/>
          <w:szCs w:val="20"/>
        </w:rPr>
      </w:pPr>
    </w:p>
    <w:p>
      <w:pPr>
        <w:tabs>
          <w:tab w:val="left" w:pos="2160"/>
          <w:tab w:val="left" w:pos="2280"/>
        </w:tabs>
        <w:rPr>
          <w:b/>
          <w:sz w:val="20"/>
          <w:szCs w:val="20"/>
        </w:rPr>
      </w:pPr>
      <w:r>
        <w:rPr>
          <w:b/>
          <w:sz w:val="20"/>
          <w:szCs w:val="20"/>
        </w:rPr>
        <w:t xml:space="preserve">On Behalf of </w:t>
      </w:r>
      <w:proofErr w:type="spellStart"/>
      <w:r>
        <w:rPr>
          <w:b/>
          <w:sz w:val="20"/>
          <w:szCs w:val="20"/>
        </w:rPr>
        <w:t>SolarVision</w:t>
      </w:r>
      <w:proofErr w:type="spellEnd"/>
      <w:r>
        <w:rPr>
          <w:b/>
          <w:sz w:val="20"/>
          <w:szCs w:val="20"/>
        </w:rPr>
        <w:t>, LLC</w:t>
      </w:r>
    </w:p>
    <w:p>
      <w:pPr>
        <w:tabs>
          <w:tab w:val="left" w:pos="2160"/>
          <w:tab w:val="left" w:pos="2280"/>
        </w:tabs>
        <w:rPr>
          <w:sz w:val="20"/>
          <w:szCs w:val="20"/>
        </w:rPr>
      </w:pPr>
    </w:p>
    <w:p>
      <w:pPr>
        <w:tabs>
          <w:tab w:val="left" w:pos="2160"/>
          <w:tab w:val="left" w:pos="2280"/>
        </w:tabs>
        <w:rPr>
          <w:sz w:val="20"/>
          <w:szCs w:val="20"/>
        </w:rPr>
      </w:pPr>
      <w:r>
        <w:rPr>
          <w:sz w:val="20"/>
          <w:szCs w:val="20"/>
        </w:rPr>
        <w:t>Mark S. Yurick</w:t>
      </w:r>
    </w:p>
    <w:p>
      <w:pPr>
        <w:tabs>
          <w:tab w:val="left" w:pos="2160"/>
          <w:tab w:val="left" w:pos="2280"/>
        </w:tabs>
        <w:rPr>
          <w:sz w:val="20"/>
          <w:szCs w:val="20"/>
        </w:rPr>
      </w:pPr>
      <w:r>
        <w:rPr>
          <w:sz w:val="20"/>
          <w:szCs w:val="20"/>
        </w:rPr>
        <w:t>Zachary D. Kravitz</w:t>
      </w:r>
    </w:p>
    <w:p>
      <w:pPr>
        <w:tabs>
          <w:tab w:val="left" w:pos="2160"/>
          <w:tab w:val="left" w:pos="2280"/>
        </w:tabs>
        <w:rPr>
          <w:sz w:val="20"/>
          <w:szCs w:val="20"/>
        </w:rPr>
      </w:pPr>
      <w:r>
        <w:rPr>
          <w:sz w:val="20"/>
          <w:szCs w:val="20"/>
        </w:rPr>
        <w:t>Taft, Stettinius &amp; Hollister LLP</w:t>
      </w:r>
    </w:p>
    <w:p>
      <w:pPr>
        <w:tabs>
          <w:tab w:val="left" w:pos="2160"/>
          <w:tab w:val="left" w:pos="2280"/>
        </w:tabs>
        <w:rPr>
          <w:sz w:val="20"/>
          <w:szCs w:val="20"/>
        </w:rPr>
      </w:pPr>
      <w:r>
        <w:rPr>
          <w:sz w:val="20"/>
          <w:szCs w:val="20"/>
        </w:rPr>
        <w:t>65 East State Street, Ste. 1000</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myurick@taftlaw.com</w:t>
      </w:r>
    </w:p>
    <w:p>
      <w:pPr>
        <w:tabs>
          <w:tab w:val="left" w:pos="2160"/>
          <w:tab w:val="left" w:pos="2280"/>
        </w:tabs>
        <w:rPr>
          <w:sz w:val="20"/>
          <w:szCs w:val="20"/>
        </w:rPr>
      </w:pPr>
      <w:r>
        <w:rPr>
          <w:sz w:val="20"/>
          <w:szCs w:val="20"/>
        </w:rPr>
        <w:t>zkravitz@taftlaw.com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Kroger Company</w:t>
      </w:r>
    </w:p>
    <w:p>
      <w:pPr>
        <w:tabs>
          <w:tab w:val="left" w:pos="2160"/>
          <w:tab w:val="left" w:pos="2280"/>
        </w:tabs>
        <w:rPr>
          <w:sz w:val="20"/>
          <w:szCs w:val="20"/>
        </w:rPr>
      </w:pPr>
    </w:p>
    <w:p>
      <w:pPr>
        <w:tabs>
          <w:tab w:val="left" w:pos="2160"/>
          <w:tab w:val="left" w:pos="2280"/>
        </w:tabs>
        <w:rPr>
          <w:sz w:val="20"/>
          <w:szCs w:val="20"/>
        </w:rPr>
      </w:pPr>
      <w:r>
        <w:rPr>
          <w:sz w:val="20"/>
          <w:szCs w:val="20"/>
        </w:rPr>
        <w:t>Matthew R. Cox</w:t>
      </w:r>
    </w:p>
    <w:p>
      <w:pPr>
        <w:tabs>
          <w:tab w:val="left" w:pos="2160"/>
          <w:tab w:val="left" w:pos="2280"/>
        </w:tabs>
        <w:rPr>
          <w:sz w:val="20"/>
          <w:szCs w:val="20"/>
        </w:rPr>
      </w:pPr>
      <w:r>
        <w:rPr>
          <w:sz w:val="20"/>
          <w:szCs w:val="20"/>
        </w:rPr>
        <w:t>Matthew Cox Law, Ltd.</w:t>
      </w:r>
    </w:p>
    <w:p>
      <w:pPr>
        <w:tabs>
          <w:tab w:val="left" w:pos="2160"/>
          <w:tab w:val="left" w:pos="2280"/>
        </w:tabs>
        <w:rPr>
          <w:sz w:val="20"/>
          <w:szCs w:val="20"/>
        </w:rPr>
      </w:pPr>
      <w:r>
        <w:rPr>
          <w:sz w:val="20"/>
          <w:szCs w:val="20"/>
        </w:rPr>
        <w:t>4145 St. Theresa Blvd.</w:t>
      </w:r>
    </w:p>
    <w:p>
      <w:pPr>
        <w:tabs>
          <w:tab w:val="left" w:pos="2160"/>
          <w:tab w:val="left" w:pos="2280"/>
        </w:tabs>
        <w:rPr>
          <w:sz w:val="20"/>
          <w:szCs w:val="20"/>
        </w:rPr>
      </w:pPr>
      <w:r>
        <w:rPr>
          <w:sz w:val="20"/>
          <w:szCs w:val="20"/>
        </w:rPr>
        <w:t>Avon, OH  44011</w:t>
      </w:r>
    </w:p>
    <w:p>
      <w:pPr>
        <w:tabs>
          <w:tab w:val="left" w:pos="2160"/>
          <w:tab w:val="left" w:pos="2280"/>
        </w:tabs>
        <w:rPr>
          <w:rStyle w:val="Hyperlink"/>
          <w:color w:val="auto"/>
          <w:sz w:val="20"/>
          <w:szCs w:val="20"/>
          <w:u w:val="none"/>
        </w:rPr>
      </w:pPr>
      <w:r>
        <w:rPr>
          <w:sz w:val="20"/>
          <w:szCs w:val="20"/>
        </w:rPr>
        <w:t>matt@matthewcoxlaw.com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the Council of Smaller Enterprises</w:t>
      </w:r>
    </w:p>
    <w:p>
      <w:pPr>
        <w:tabs>
          <w:tab w:val="left" w:pos="2160"/>
          <w:tab w:val="left" w:pos="2280"/>
        </w:tabs>
        <w:rPr>
          <w:sz w:val="20"/>
          <w:szCs w:val="20"/>
        </w:rPr>
      </w:pPr>
    </w:p>
    <w:p>
      <w:pPr>
        <w:tabs>
          <w:tab w:val="left" w:pos="2160"/>
          <w:tab w:val="left" w:pos="2280"/>
        </w:tabs>
        <w:rPr>
          <w:sz w:val="20"/>
          <w:szCs w:val="20"/>
        </w:rPr>
      </w:pPr>
      <w:r>
        <w:rPr>
          <w:sz w:val="20"/>
          <w:szCs w:val="20"/>
        </w:rPr>
        <w:t>Colleen L. Mooney</w:t>
      </w:r>
    </w:p>
    <w:p>
      <w:pPr>
        <w:tabs>
          <w:tab w:val="left" w:pos="2160"/>
          <w:tab w:val="left" w:pos="2280"/>
        </w:tabs>
        <w:rPr>
          <w:sz w:val="20"/>
          <w:szCs w:val="20"/>
        </w:rPr>
      </w:pPr>
      <w:r>
        <w:rPr>
          <w:sz w:val="20"/>
          <w:szCs w:val="20"/>
        </w:rPr>
        <w:t>Ohio Partners for Affordable Energy</w:t>
      </w:r>
    </w:p>
    <w:p>
      <w:pPr>
        <w:tabs>
          <w:tab w:val="left" w:pos="2160"/>
          <w:tab w:val="left" w:pos="2280"/>
        </w:tabs>
        <w:rPr>
          <w:sz w:val="20"/>
          <w:szCs w:val="20"/>
        </w:rPr>
      </w:pPr>
      <w:r>
        <w:rPr>
          <w:sz w:val="20"/>
          <w:szCs w:val="20"/>
        </w:rPr>
        <w:t>231 West Lima Street</w:t>
      </w:r>
    </w:p>
    <w:p>
      <w:pPr>
        <w:tabs>
          <w:tab w:val="left" w:pos="2160"/>
          <w:tab w:val="left" w:pos="2280"/>
        </w:tabs>
        <w:rPr>
          <w:sz w:val="20"/>
          <w:szCs w:val="20"/>
        </w:rPr>
      </w:pPr>
      <w:r>
        <w:rPr>
          <w:sz w:val="20"/>
          <w:szCs w:val="20"/>
        </w:rPr>
        <w:t>P.O. Box 1793</w:t>
      </w:r>
    </w:p>
    <w:p>
      <w:pPr>
        <w:tabs>
          <w:tab w:val="left" w:pos="2160"/>
          <w:tab w:val="left" w:pos="2280"/>
        </w:tabs>
        <w:rPr>
          <w:sz w:val="20"/>
          <w:szCs w:val="20"/>
        </w:rPr>
      </w:pPr>
      <w:r>
        <w:rPr>
          <w:sz w:val="20"/>
          <w:szCs w:val="20"/>
        </w:rPr>
        <w:t>Findlay, OH  45839-1793</w:t>
      </w:r>
    </w:p>
    <w:p>
      <w:pPr>
        <w:tabs>
          <w:tab w:val="left" w:pos="2160"/>
          <w:tab w:val="left" w:pos="2280"/>
        </w:tabs>
        <w:rPr>
          <w:sz w:val="20"/>
          <w:szCs w:val="20"/>
        </w:rPr>
      </w:pPr>
      <w:r>
        <w:rPr>
          <w:sz w:val="20"/>
          <w:szCs w:val="20"/>
        </w:rPr>
        <w:t>cmooney2@columbus.rr.com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Ohio Partners for Affordable Energy</w:t>
      </w:r>
    </w:p>
    <w:p>
      <w:pPr>
        <w:tabs>
          <w:tab w:val="left" w:pos="2160"/>
          <w:tab w:val="left" w:pos="2280"/>
        </w:tabs>
        <w:rPr>
          <w:sz w:val="20"/>
          <w:szCs w:val="20"/>
        </w:rPr>
      </w:pPr>
    </w:p>
    <w:p>
      <w:pPr>
        <w:tabs>
          <w:tab w:val="left" w:pos="2160"/>
          <w:tab w:val="left" w:pos="2280"/>
        </w:tabs>
        <w:rPr>
          <w:sz w:val="20"/>
          <w:szCs w:val="20"/>
        </w:rPr>
      </w:pPr>
      <w:r>
        <w:rPr>
          <w:sz w:val="20"/>
          <w:szCs w:val="20"/>
        </w:rPr>
        <w:t>Gregory J. Poulos</w:t>
      </w:r>
    </w:p>
    <w:p>
      <w:pPr>
        <w:tabs>
          <w:tab w:val="left" w:pos="2160"/>
          <w:tab w:val="left" w:pos="2280"/>
        </w:tabs>
        <w:rPr>
          <w:sz w:val="20"/>
          <w:szCs w:val="20"/>
        </w:rPr>
      </w:pPr>
      <w:proofErr w:type="spellStart"/>
      <w:r>
        <w:rPr>
          <w:sz w:val="20"/>
          <w:szCs w:val="20"/>
        </w:rPr>
        <w:t>EnerNoc</w:t>
      </w:r>
      <w:proofErr w:type="spellEnd"/>
      <w:r>
        <w:rPr>
          <w:sz w:val="20"/>
          <w:szCs w:val="20"/>
        </w:rPr>
        <w:t>, Inc.</w:t>
      </w:r>
    </w:p>
    <w:p>
      <w:pPr>
        <w:tabs>
          <w:tab w:val="left" w:pos="2160"/>
          <w:tab w:val="left" w:pos="2280"/>
        </w:tabs>
        <w:rPr>
          <w:sz w:val="20"/>
          <w:szCs w:val="20"/>
        </w:rPr>
      </w:pPr>
      <w:r>
        <w:rPr>
          <w:sz w:val="20"/>
          <w:szCs w:val="20"/>
        </w:rPr>
        <w:t>471 E. Broad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gpoulos@enernoc.com</w:t>
      </w:r>
    </w:p>
    <w:p>
      <w:pPr>
        <w:tabs>
          <w:tab w:val="left" w:pos="2160"/>
          <w:tab w:val="left" w:pos="2280"/>
        </w:tabs>
        <w:rPr>
          <w:sz w:val="20"/>
          <w:szCs w:val="20"/>
        </w:rPr>
      </w:pPr>
    </w:p>
    <w:p>
      <w:pPr>
        <w:tabs>
          <w:tab w:val="left" w:pos="2160"/>
          <w:tab w:val="left" w:pos="2280"/>
        </w:tabs>
        <w:rPr>
          <w:b/>
          <w:sz w:val="20"/>
          <w:szCs w:val="20"/>
        </w:rPr>
      </w:pPr>
      <w:proofErr w:type="gramStart"/>
      <w:r>
        <w:rPr>
          <w:b/>
          <w:sz w:val="20"/>
          <w:szCs w:val="20"/>
        </w:rPr>
        <w:t xml:space="preserve">On Behalf of </w:t>
      </w:r>
      <w:proofErr w:type="spellStart"/>
      <w:r>
        <w:rPr>
          <w:b/>
          <w:sz w:val="20"/>
          <w:szCs w:val="20"/>
        </w:rPr>
        <w:t>EnerNOC</w:t>
      </w:r>
      <w:proofErr w:type="spellEnd"/>
      <w:r>
        <w:rPr>
          <w:b/>
          <w:sz w:val="20"/>
          <w:szCs w:val="20"/>
        </w:rPr>
        <w:t>, Inc.</w:t>
      </w:r>
      <w:proofErr w:type="gramEnd"/>
    </w:p>
    <w:p>
      <w:pPr>
        <w:tabs>
          <w:tab w:val="left" w:pos="2160"/>
          <w:tab w:val="left" w:pos="2280"/>
        </w:tabs>
        <w:rPr>
          <w:sz w:val="20"/>
          <w:szCs w:val="20"/>
        </w:rPr>
      </w:pPr>
    </w:p>
    <w:p>
      <w:pPr>
        <w:tabs>
          <w:tab w:val="left" w:pos="2160"/>
          <w:tab w:val="left" w:pos="2280"/>
        </w:tabs>
        <w:rPr>
          <w:sz w:val="20"/>
          <w:szCs w:val="20"/>
        </w:rPr>
      </w:pPr>
      <w:r>
        <w:rPr>
          <w:sz w:val="20"/>
          <w:szCs w:val="20"/>
        </w:rPr>
        <w:br w:type="column"/>
      </w:r>
      <w:r>
        <w:rPr>
          <w:sz w:val="20"/>
          <w:szCs w:val="20"/>
        </w:rPr>
        <w:lastRenderedPageBreak/>
        <w:t>Steven M. Sherman</w:t>
      </w:r>
    </w:p>
    <w:p>
      <w:pPr>
        <w:tabs>
          <w:tab w:val="left" w:pos="2160"/>
          <w:tab w:val="left" w:pos="2280"/>
        </w:tabs>
        <w:rPr>
          <w:sz w:val="20"/>
          <w:szCs w:val="20"/>
        </w:rPr>
      </w:pPr>
      <w:r>
        <w:rPr>
          <w:sz w:val="20"/>
          <w:szCs w:val="20"/>
        </w:rPr>
        <w:t>Joshua D. Hague</w:t>
      </w:r>
    </w:p>
    <w:p>
      <w:pPr>
        <w:tabs>
          <w:tab w:val="left" w:pos="2160"/>
          <w:tab w:val="left" w:pos="2280"/>
        </w:tabs>
        <w:rPr>
          <w:sz w:val="20"/>
          <w:szCs w:val="20"/>
        </w:rPr>
      </w:pPr>
      <w:r>
        <w:rPr>
          <w:sz w:val="20"/>
          <w:szCs w:val="20"/>
        </w:rPr>
        <w:t>Grant E. Chapman</w:t>
      </w:r>
    </w:p>
    <w:p>
      <w:pPr>
        <w:tabs>
          <w:tab w:val="left" w:pos="2160"/>
          <w:tab w:val="left" w:pos="2280"/>
        </w:tabs>
        <w:rPr>
          <w:sz w:val="20"/>
          <w:szCs w:val="20"/>
        </w:rPr>
      </w:pPr>
      <w:r>
        <w:rPr>
          <w:sz w:val="20"/>
          <w:szCs w:val="20"/>
        </w:rPr>
        <w:t xml:space="preserve">Krieg </w:t>
      </w:r>
      <w:proofErr w:type="spellStart"/>
      <w:r>
        <w:rPr>
          <w:sz w:val="20"/>
          <w:szCs w:val="20"/>
        </w:rPr>
        <w:t>DeVault</w:t>
      </w:r>
      <w:proofErr w:type="spellEnd"/>
      <w:r>
        <w:rPr>
          <w:sz w:val="20"/>
          <w:szCs w:val="20"/>
        </w:rPr>
        <w:t>, LLP</w:t>
      </w:r>
    </w:p>
    <w:p>
      <w:pPr>
        <w:tabs>
          <w:tab w:val="left" w:pos="2160"/>
          <w:tab w:val="left" w:pos="2280"/>
        </w:tabs>
        <w:rPr>
          <w:sz w:val="20"/>
          <w:szCs w:val="20"/>
        </w:rPr>
      </w:pPr>
      <w:r>
        <w:rPr>
          <w:sz w:val="20"/>
          <w:szCs w:val="20"/>
        </w:rPr>
        <w:t>One Indiana Square, Suite 2800</w:t>
      </w:r>
    </w:p>
    <w:p>
      <w:pPr>
        <w:tabs>
          <w:tab w:val="left" w:pos="2160"/>
          <w:tab w:val="left" w:pos="2280"/>
        </w:tabs>
        <w:rPr>
          <w:sz w:val="20"/>
          <w:szCs w:val="20"/>
        </w:rPr>
      </w:pPr>
      <w:r>
        <w:rPr>
          <w:sz w:val="20"/>
          <w:szCs w:val="20"/>
        </w:rPr>
        <w:t>Indianapolis, Indiana  46204-2079</w:t>
      </w:r>
    </w:p>
    <w:p>
      <w:pPr>
        <w:tabs>
          <w:tab w:val="left" w:pos="2160"/>
          <w:tab w:val="left" w:pos="2280"/>
        </w:tabs>
        <w:rPr>
          <w:sz w:val="20"/>
          <w:szCs w:val="20"/>
        </w:rPr>
      </w:pPr>
      <w:r>
        <w:rPr>
          <w:sz w:val="20"/>
          <w:szCs w:val="20"/>
        </w:rPr>
        <w:t>ssherman@kdlegal.com</w:t>
      </w:r>
    </w:p>
    <w:p>
      <w:pPr>
        <w:tabs>
          <w:tab w:val="left" w:pos="2160"/>
          <w:tab w:val="left" w:pos="2280"/>
        </w:tabs>
        <w:rPr>
          <w:sz w:val="20"/>
          <w:szCs w:val="20"/>
        </w:rPr>
      </w:pPr>
      <w:r>
        <w:rPr>
          <w:sz w:val="20"/>
          <w:szCs w:val="20"/>
        </w:rPr>
        <w:t>jhague@kdlegal.com</w:t>
      </w:r>
    </w:p>
    <w:p>
      <w:pPr>
        <w:tabs>
          <w:tab w:val="left" w:pos="2160"/>
          <w:tab w:val="left" w:pos="2280"/>
        </w:tabs>
        <w:rPr>
          <w:sz w:val="20"/>
          <w:szCs w:val="20"/>
        </w:rPr>
      </w:pPr>
      <w:r>
        <w:rPr>
          <w:sz w:val="20"/>
          <w:szCs w:val="20"/>
        </w:rPr>
        <w:t>gchapman@kdlegal.com</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Wal-Mart Stores East, LP and Sam’s East, Inc.</w:t>
      </w:r>
    </w:p>
    <w:p>
      <w:pPr>
        <w:tabs>
          <w:tab w:val="left" w:pos="2160"/>
          <w:tab w:val="left" w:pos="2280"/>
        </w:tabs>
        <w:rPr>
          <w:sz w:val="20"/>
          <w:szCs w:val="20"/>
        </w:rPr>
      </w:pPr>
    </w:p>
    <w:p>
      <w:pPr>
        <w:tabs>
          <w:tab w:val="left" w:pos="2160"/>
          <w:tab w:val="left" w:pos="2280"/>
        </w:tabs>
        <w:rPr>
          <w:sz w:val="20"/>
          <w:szCs w:val="20"/>
        </w:rPr>
      </w:pPr>
      <w:r>
        <w:rPr>
          <w:sz w:val="20"/>
          <w:szCs w:val="20"/>
        </w:rPr>
        <w:t>Ellis Jacobs</w:t>
      </w:r>
    </w:p>
    <w:p>
      <w:pPr>
        <w:tabs>
          <w:tab w:val="left" w:pos="2160"/>
          <w:tab w:val="left" w:pos="2280"/>
        </w:tabs>
        <w:rPr>
          <w:sz w:val="20"/>
          <w:szCs w:val="20"/>
        </w:rPr>
      </w:pPr>
      <w:proofErr w:type="gramStart"/>
      <w:r>
        <w:rPr>
          <w:sz w:val="20"/>
          <w:szCs w:val="20"/>
        </w:rPr>
        <w:t>Advocates for Basic Legal Equality, Inc.</w:t>
      </w:r>
      <w:proofErr w:type="gramEnd"/>
    </w:p>
    <w:p>
      <w:pPr>
        <w:tabs>
          <w:tab w:val="left" w:pos="2160"/>
          <w:tab w:val="left" w:pos="2280"/>
        </w:tabs>
        <w:rPr>
          <w:sz w:val="20"/>
          <w:szCs w:val="20"/>
        </w:rPr>
      </w:pPr>
      <w:r>
        <w:rPr>
          <w:sz w:val="20"/>
          <w:szCs w:val="20"/>
        </w:rPr>
        <w:t>333 W. First Street, Suite 500B</w:t>
      </w:r>
    </w:p>
    <w:p>
      <w:pPr>
        <w:tabs>
          <w:tab w:val="left" w:pos="2160"/>
          <w:tab w:val="left" w:pos="2280"/>
        </w:tabs>
        <w:rPr>
          <w:sz w:val="20"/>
          <w:szCs w:val="20"/>
        </w:rPr>
      </w:pPr>
      <w:r>
        <w:rPr>
          <w:sz w:val="20"/>
          <w:szCs w:val="20"/>
        </w:rPr>
        <w:t>Dayton, OH  45402</w:t>
      </w:r>
    </w:p>
    <w:p>
      <w:pPr>
        <w:tabs>
          <w:tab w:val="left" w:pos="2160"/>
          <w:tab w:val="left" w:pos="2280"/>
        </w:tabs>
        <w:rPr>
          <w:sz w:val="20"/>
          <w:szCs w:val="20"/>
        </w:rPr>
      </w:pPr>
      <w:r>
        <w:rPr>
          <w:sz w:val="20"/>
          <w:szCs w:val="20"/>
        </w:rPr>
        <w:t>ejacobs@ablelaw.org.</w:t>
      </w:r>
    </w:p>
    <w:p>
      <w:pPr>
        <w:tabs>
          <w:tab w:val="left" w:pos="2160"/>
          <w:tab w:val="left" w:pos="2280"/>
        </w:tabs>
        <w:rPr>
          <w:sz w:val="20"/>
          <w:szCs w:val="20"/>
        </w:rPr>
      </w:pPr>
    </w:p>
    <w:p>
      <w:pPr>
        <w:tabs>
          <w:tab w:val="left" w:pos="2160"/>
          <w:tab w:val="left" w:pos="2280"/>
        </w:tabs>
        <w:rPr>
          <w:b/>
          <w:sz w:val="20"/>
          <w:szCs w:val="20"/>
        </w:rPr>
      </w:pPr>
      <w:r>
        <w:rPr>
          <w:b/>
          <w:sz w:val="20"/>
          <w:szCs w:val="20"/>
        </w:rPr>
        <w:t>On Behalf of Edgemont Neighborhood Coalition</w:t>
      </w:r>
    </w:p>
    <w:p>
      <w:pPr>
        <w:tabs>
          <w:tab w:val="left" w:pos="2160"/>
          <w:tab w:val="left" w:pos="2280"/>
        </w:tabs>
        <w:rPr>
          <w:sz w:val="20"/>
          <w:szCs w:val="20"/>
        </w:rPr>
      </w:pPr>
    </w:p>
    <w:p>
      <w:pPr>
        <w:tabs>
          <w:tab w:val="left" w:pos="2160"/>
          <w:tab w:val="left" w:pos="2280"/>
        </w:tabs>
        <w:rPr>
          <w:sz w:val="20"/>
          <w:szCs w:val="20"/>
        </w:rPr>
      </w:pPr>
      <w:r>
        <w:rPr>
          <w:sz w:val="20"/>
          <w:szCs w:val="20"/>
        </w:rPr>
        <w:t>Thomas McNamee</w:t>
      </w:r>
    </w:p>
    <w:p>
      <w:pPr>
        <w:tabs>
          <w:tab w:val="left" w:pos="2160"/>
          <w:tab w:val="left" w:pos="2280"/>
        </w:tabs>
        <w:rPr>
          <w:sz w:val="20"/>
          <w:szCs w:val="20"/>
        </w:rPr>
      </w:pPr>
      <w:r>
        <w:rPr>
          <w:sz w:val="20"/>
          <w:szCs w:val="20"/>
        </w:rPr>
        <w:t>Devin Parram</w:t>
      </w:r>
    </w:p>
    <w:p>
      <w:pPr>
        <w:tabs>
          <w:tab w:val="left" w:pos="2160"/>
          <w:tab w:val="left" w:pos="2280"/>
        </w:tabs>
        <w:rPr>
          <w:sz w:val="20"/>
          <w:szCs w:val="20"/>
        </w:rPr>
      </w:pPr>
      <w:r>
        <w:rPr>
          <w:sz w:val="20"/>
          <w:szCs w:val="20"/>
        </w:rPr>
        <w:t>Assistant Attorney’s General</w:t>
      </w:r>
    </w:p>
    <w:p>
      <w:pPr>
        <w:tabs>
          <w:tab w:val="left" w:pos="2160"/>
          <w:tab w:val="left" w:pos="2280"/>
        </w:tabs>
        <w:rPr>
          <w:sz w:val="20"/>
          <w:szCs w:val="20"/>
        </w:rPr>
      </w:pPr>
      <w:r>
        <w:rPr>
          <w:sz w:val="20"/>
          <w:szCs w:val="20"/>
        </w:rPr>
        <w:t>Attorney General’s Office</w:t>
      </w:r>
    </w:p>
    <w:p>
      <w:pPr>
        <w:tabs>
          <w:tab w:val="left" w:pos="2160"/>
          <w:tab w:val="left" w:pos="2280"/>
        </w:tabs>
        <w:rPr>
          <w:sz w:val="20"/>
          <w:szCs w:val="20"/>
        </w:rPr>
      </w:pPr>
      <w:r>
        <w:rPr>
          <w:sz w:val="20"/>
          <w:szCs w:val="20"/>
        </w:rPr>
        <w:t>180 East Broad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Thomas.mcnamee@puc.state.oh.us</w:t>
      </w:r>
    </w:p>
    <w:p>
      <w:pPr>
        <w:tabs>
          <w:tab w:val="left" w:pos="2160"/>
          <w:tab w:val="left" w:pos="2280"/>
        </w:tabs>
        <w:rPr>
          <w:sz w:val="20"/>
          <w:szCs w:val="20"/>
        </w:rPr>
      </w:pPr>
      <w:r>
        <w:rPr>
          <w:sz w:val="20"/>
          <w:szCs w:val="20"/>
        </w:rPr>
        <w:t>Devin.parram@puc.state.oh.us</w:t>
      </w:r>
    </w:p>
    <w:p>
      <w:pPr>
        <w:tabs>
          <w:tab w:val="left" w:pos="2160"/>
          <w:tab w:val="left" w:pos="2280"/>
        </w:tabs>
        <w:rPr>
          <w:sz w:val="20"/>
          <w:szCs w:val="20"/>
        </w:rPr>
      </w:pPr>
    </w:p>
    <w:p>
      <w:pPr>
        <w:tabs>
          <w:tab w:val="left" w:pos="2160"/>
          <w:tab w:val="left" w:pos="2280"/>
        </w:tabs>
        <w:rPr>
          <w:b/>
          <w:sz w:val="20"/>
          <w:szCs w:val="20"/>
        </w:rPr>
      </w:pPr>
      <w:r>
        <w:rPr>
          <w:b/>
          <w:sz w:val="20"/>
          <w:szCs w:val="20"/>
        </w:rPr>
        <w:t>On Behalf the Staff of the Public Utilities Commission of Ohio</w:t>
      </w:r>
    </w:p>
    <w:p>
      <w:pPr>
        <w:tabs>
          <w:tab w:val="left" w:pos="2160"/>
          <w:tab w:val="left" w:pos="2280"/>
        </w:tabs>
        <w:rPr>
          <w:sz w:val="20"/>
          <w:szCs w:val="20"/>
        </w:rPr>
      </w:pPr>
    </w:p>
    <w:p>
      <w:pPr>
        <w:tabs>
          <w:tab w:val="left" w:pos="2160"/>
          <w:tab w:val="left" w:pos="2280"/>
        </w:tabs>
        <w:rPr>
          <w:sz w:val="20"/>
          <w:szCs w:val="20"/>
        </w:rPr>
      </w:pPr>
      <w:r>
        <w:rPr>
          <w:sz w:val="20"/>
          <w:szCs w:val="20"/>
        </w:rPr>
        <w:t>Mandy Willey</w:t>
      </w:r>
    </w:p>
    <w:p>
      <w:pPr>
        <w:tabs>
          <w:tab w:val="left" w:pos="2160"/>
          <w:tab w:val="left" w:pos="2280"/>
        </w:tabs>
        <w:rPr>
          <w:sz w:val="20"/>
          <w:szCs w:val="20"/>
        </w:rPr>
      </w:pPr>
      <w:r>
        <w:rPr>
          <w:sz w:val="20"/>
          <w:szCs w:val="20"/>
        </w:rPr>
        <w:t>Gregory Price</w:t>
      </w:r>
    </w:p>
    <w:p>
      <w:pPr>
        <w:tabs>
          <w:tab w:val="left" w:pos="2160"/>
          <w:tab w:val="left" w:pos="2280"/>
        </w:tabs>
        <w:rPr>
          <w:sz w:val="20"/>
          <w:szCs w:val="20"/>
        </w:rPr>
      </w:pPr>
      <w:r>
        <w:rPr>
          <w:sz w:val="20"/>
          <w:szCs w:val="20"/>
        </w:rPr>
        <w:t xml:space="preserve">Bryce </w:t>
      </w:r>
      <w:proofErr w:type="spellStart"/>
      <w:r>
        <w:rPr>
          <w:sz w:val="20"/>
          <w:szCs w:val="20"/>
        </w:rPr>
        <w:t>McKenney</w:t>
      </w:r>
      <w:proofErr w:type="spellEnd"/>
    </w:p>
    <w:p>
      <w:pPr>
        <w:tabs>
          <w:tab w:val="left" w:pos="2160"/>
          <w:tab w:val="left" w:pos="2280"/>
        </w:tabs>
        <w:rPr>
          <w:sz w:val="20"/>
          <w:szCs w:val="20"/>
        </w:rPr>
      </w:pPr>
      <w:r>
        <w:rPr>
          <w:sz w:val="20"/>
          <w:szCs w:val="20"/>
        </w:rPr>
        <w:t>Attorney Examiners</w:t>
      </w:r>
    </w:p>
    <w:p>
      <w:pPr>
        <w:tabs>
          <w:tab w:val="left" w:pos="2160"/>
          <w:tab w:val="left" w:pos="2280"/>
        </w:tabs>
        <w:rPr>
          <w:sz w:val="20"/>
          <w:szCs w:val="20"/>
        </w:rPr>
      </w:pPr>
      <w:r>
        <w:rPr>
          <w:sz w:val="20"/>
          <w:szCs w:val="20"/>
        </w:rPr>
        <w:t>Public Utilities Commission of Ohio</w:t>
      </w:r>
    </w:p>
    <w:p>
      <w:pPr>
        <w:tabs>
          <w:tab w:val="left" w:pos="2160"/>
          <w:tab w:val="left" w:pos="2280"/>
        </w:tabs>
        <w:rPr>
          <w:sz w:val="20"/>
          <w:szCs w:val="20"/>
        </w:rPr>
      </w:pPr>
      <w:r>
        <w:rPr>
          <w:sz w:val="20"/>
          <w:szCs w:val="20"/>
        </w:rPr>
        <w:t>180 East Broad Street</w:t>
      </w:r>
    </w:p>
    <w:p>
      <w:pPr>
        <w:tabs>
          <w:tab w:val="left" w:pos="2160"/>
          <w:tab w:val="left" w:pos="2280"/>
        </w:tabs>
        <w:rPr>
          <w:sz w:val="20"/>
          <w:szCs w:val="20"/>
        </w:rPr>
      </w:pPr>
      <w:r>
        <w:rPr>
          <w:sz w:val="20"/>
          <w:szCs w:val="20"/>
        </w:rPr>
        <w:t>Columbus, OH  43215</w:t>
      </w:r>
    </w:p>
    <w:p>
      <w:pPr>
        <w:tabs>
          <w:tab w:val="left" w:pos="2160"/>
          <w:tab w:val="left" w:pos="2280"/>
        </w:tabs>
        <w:rPr>
          <w:sz w:val="20"/>
          <w:szCs w:val="20"/>
        </w:rPr>
      </w:pPr>
      <w:r>
        <w:rPr>
          <w:sz w:val="20"/>
          <w:szCs w:val="20"/>
        </w:rPr>
        <w:t>Mandy.willey@puc.state.oh.us</w:t>
      </w:r>
    </w:p>
    <w:p>
      <w:pPr>
        <w:tabs>
          <w:tab w:val="left" w:pos="2160"/>
          <w:tab w:val="left" w:pos="2280"/>
        </w:tabs>
        <w:rPr>
          <w:rStyle w:val="Hyperlink"/>
          <w:color w:val="auto"/>
          <w:sz w:val="20"/>
          <w:szCs w:val="20"/>
          <w:u w:val="none"/>
        </w:rPr>
      </w:pPr>
      <w:r>
        <w:rPr>
          <w:sz w:val="20"/>
          <w:szCs w:val="20"/>
        </w:rPr>
        <w:t>Gregory.price@puc.state.oh.us</w:t>
      </w:r>
    </w:p>
    <w:p>
      <w:pPr>
        <w:tabs>
          <w:tab w:val="left" w:pos="2160"/>
          <w:tab w:val="left" w:pos="2280"/>
        </w:tabs>
        <w:rPr>
          <w:rStyle w:val="Hyperlink"/>
          <w:color w:val="000000" w:themeColor="text1"/>
          <w:sz w:val="20"/>
          <w:szCs w:val="20"/>
          <w:u w:val="none"/>
        </w:rPr>
      </w:pPr>
      <w:r>
        <w:rPr>
          <w:sz w:val="20"/>
          <w:szCs w:val="20"/>
        </w:rPr>
        <w:t>Bryce.mckenney@puc.state.oh.us</w:t>
      </w:r>
    </w:p>
    <w:p>
      <w:pPr>
        <w:tabs>
          <w:tab w:val="left" w:pos="2160"/>
          <w:tab w:val="left" w:pos="2280"/>
        </w:tabs>
        <w:rPr>
          <w:rStyle w:val="Hyperlink"/>
          <w:color w:val="auto"/>
          <w:sz w:val="20"/>
          <w:szCs w:val="20"/>
          <w:u w:val="none"/>
        </w:rPr>
      </w:pPr>
    </w:p>
    <w:p>
      <w:pPr>
        <w:tabs>
          <w:tab w:val="left" w:pos="2160"/>
          <w:tab w:val="left" w:pos="2280"/>
        </w:tabs>
        <w:rPr>
          <w:b/>
          <w:sz w:val="20"/>
          <w:szCs w:val="20"/>
        </w:rPr>
      </w:pPr>
      <w:r>
        <w:rPr>
          <w:b/>
          <w:sz w:val="20"/>
          <w:szCs w:val="20"/>
        </w:rPr>
        <w:t>Attorney Examiners</w:t>
      </w:r>
    </w:p>
    <w:p>
      <w:pPr>
        <w:tabs>
          <w:tab w:val="left" w:pos="2160"/>
          <w:tab w:val="left" w:pos="2280"/>
        </w:tabs>
        <w:rPr>
          <w:sz w:val="20"/>
          <w:szCs w:val="20"/>
        </w:rPr>
      </w:pPr>
    </w:p>
    <w:sectPr>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306E6A93" w:usb1="0062F3A0" w:usb2="00000000" w:usb3="0062F388" w:csb0="0049000F" w:csb1="0073006E"/>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16"/>
      </w:rPr>
      <w:t>{C39135:3 }</w:t>
    </w:r>
    <w:r>
      <w:rPr>
        <w:noProof/>
        <w:sz w:val="16"/>
      </w:rPr>
      <w:tab/>
    </w:r>
    <w:r>
      <w:rPr>
        <w:noProof/>
        <w:sz w:val="22"/>
        <w:szCs w:val="22"/>
      </w:rPr>
      <w:fldChar w:fldCharType="begin"/>
    </w:r>
    <w:r>
      <w:rPr>
        <w:noProof/>
        <w:sz w:val="22"/>
        <w:szCs w:val="22"/>
      </w:rPr>
      <w:instrText xml:space="preserve"> PAGE   \* MERGEFORMAT </w:instrText>
    </w:r>
    <w:r>
      <w:rPr>
        <w:noProof/>
        <w:sz w:val="22"/>
        <w:szCs w:val="22"/>
      </w:rPr>
      <w:fldChar w:fldCharType="separate"/>
    </w:r>
    <w:r>
      <w:rPr>
        <w:noProof/>
        <w:sz w:val="22"/>
        <w:szCs w:val="22"/>
      </w:rPr>
      <w:t>9</w:t>
    </w:r>
    <w:r>
      <w:rPr>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16"/>
      </w:rPr>
      <w:t>{C39135:3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16"/>
      </w:rPr>
      <w:t>{C39135:3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16"/>
      </w:rPr>
      <w:t>{C39135:3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noProof/>
        </w:rPr>
      </w:pPr>
      <w:r>
        <w:rPr>
          <w:noProof/>
        </w:rPr>
        <w:separator/>
      </w:r>
    </w:p>
  </w:footnote>
  <w:footnote w:type="continuationSeparator" w:id="0">
    <w:p>
      <w:r>
        <w:continuationSeparator/>
      </w:r>
    </w:p>
  </w:footnote>
  <w:footnote w:id="1">
    <w:p>
      <w:pPr>
        <w:pStyle w:val="FootnoteText"/>
        <w:jc w:val="both"/>
      </w:pPr>
      <w:r>
        <w:rPr>
          <w:rStyle w:val="FootnoteReference"/>
        </w:rPr>
        <w:footnoteRef/>
      </w:r>
      <w:r>
        <w:t xml:space="preserve"> The Joint </w:t>
      </w:r>
      <w:proofErr w:type="spellStart"/>
      <w:r>
        <w:t>Movants</w:t>
      </w:r>
      <w:proofErr w:type="spellEnd"/>
      <w:r>
        <w:t xml:space="preserve"> filing this pleading are Honda of America Manufacturing, Inc. (“Honda), Industrial Energy Users-Ohio (“IEU-Ohio”), the OMA Energy Group (“OMAEG”), the Ohio Partners for Affordable Energy (“OPAE”), </w:t>
      </w:r>
      <w:proofErr w:type="spellStart"/>
      <w:r>
        <w:t>SolarVision</w:t>
      </w:r>
      <w:proofErr w:type="spellEnd"/>
      <w:r>
        <w:t xml:space="preserve">, LLC and Wal-Mart Stores East, LP and Sam’s East, Inc. </w:t>
      </w:r>
    </w:p>
  </w:footnote>
  <w:footnote w:id="2">
    <w:p>
      <w:pPr>
        <w:pStyle w:val="FootnoteText"/>
        <w:jc w:val="both"/>
      </w:pPr>
      <w:r>
        <w:rPr>
          <w:rStyle w:val="FootnoteReference"/>
        </w:rPr>
        <w:footnoteRef/>
      </w:r>
      <w:r>
        <w:t xml:space="preserve"> The parties to the October 22, 2012 joint motion included Industrial Energy Users-Ohio (“IEU-Ohio”), Ohio Partners for Affordable Energy (“OPAE”), The Kroger Company (“Kroger”), the Ohio Energy Group (“OEG”), Honda of America Manufacturing, Inc. (“Honda”), </w:t>
      </w:r>
      <w:proofErr w:type="spellStart"/>
      <w:r>
        <w:t>SolarVision</w:t>
      </w:r>
      <w:proofErr w:type="spellEnd"/>
      <w:r>
        <w:t>, LLC (“</w:t>
      </w:r>
      <w:proofErr w:type="spellStart"/>
      <w:r>
        <w:t>SolarVision</w:t>
      </w:r>
      <w:proofErr w:type="spellEnd"/>
      <w:r>
        <w:t>”), the OMA Energy Group (“OMAEG”) and the Office of the Ohio Consumers’ Counsel (“OCC”).</w:t>
      </w:r>
    </w:p>
  </w:footnote>
  <w:footnote w:id="3">
    <w:p>
      <w:pPr>
        <w:autoSpaceDE w:val="0"/>
        <w:autoSpaceDN w:val="0"/>
        <w:adjustRightInd w:val="0"/>
        <w:spacing w:after="120"/>
        <w:rPr>
          <w:sz w:val="20"/>
          <w:szCs w:val="20"/>
        </w:rPr>
      </w:pPr>
      <w:r>
        <w:rPr>
          <w:rStyle w:val="FootnoteReference"/>
          <w:sz w:val="20"/>
          <w:szCs w:val="20"/>
        </w:rPr>
        <w:footnoteRef/>
      </w:r>
      <w:r>
        <w:rPr>
          <w:sz w:val="20"/>
          <w:szCs w:val="20"/>
        </w:rPr>
        <w:t xml:space="preserve"> </w:t>
      </w:r>
      <w:r>
        <w:rPr>
          <w:i/>
          <w:sz w:val="20"/>
          <w:szCs w:val="20"/>
        </w:rPr>
        <w:t xml:space="preserve">See </w:t>
      </w:r>
      <w:r>
        <w:rPr>
          <w:sz w:val="20"/>
          <w:szCs w:val="20"/>
        </w:rPr>
        <w:t xml:space="preserve">The Dayton Power and Light Company’s Memorandum in Opposition to the Joint </w:t>
      </w:r>
      <w:proofErr w:type="spellStart"/>
      <w:r>
        <w:rPr>
          <w:sz w:val="20"/>
          <w:szCs w:val="20"/>
        </w:rPr>
        <w:t>Movants</w:t>
      </w:r>
      <w:proofErr w:type="spellEnd"/>
      <w:r>
        <w:rPr>
          <w:sz w:val="20"/>
          <w:szCs w:val="20"/>
        </w:rPr>
        <w:t>’ Motion Seeking an Order Directing the Dayton Power and Light Company to Comply with the Standard Filing Requirements for an Electric Security Plan and Memorandum in Support and Memorandum Contra the Dayton Power and Light Company’s Request for Waivers at 2 (Nov. 6, 2012) (</w:t>
      </w:r>
      <w:proofErr w:type="spellStart"/>
      <w:r>
        <w:rPr>
          <w:sz w:val="20"/>
          <w:szCs w:val="20"/>
        </w:rPr>
        <w:t>refiled</w:t>
      </w:r>
      <w:proofErr w:type="spellEnd"/>
      <w:r>
        <w:rPr>
          <w:sz w:val="20"/>
          <w:szCs w:val="20"/>
        </w:rPr>
        <w:t xml:space="preserve"> with docketing on Nov. 8, 2012) (hereinafter “DP&amp;L Memorandum in Opposition”).</w:t>
      </w:r>
    </w:p>
  </w:footnote>
  <w:footnote w:id="4">
    <w:p>
      <w:pPr>
        <w:pStyle w:val="FootnoteText"/>
        <w:jc w:val="both"/>
      </w:pPr>
      <w:r>
        <w:rPr>
          <w:rStyle w:val="FootnoteReference"/>
        </w:rPr>
        <w:footnoteRef/>
      </w:r>
      <w:r>
        <w:t xml:space="preserve"> </w:t>
      </w:r>
      <w:proofErr w:type="gramStart"/>
      <w:r>
        <w:t>The Dayton Power and Light Company’s Supplement to its ESP Application (Nov. 8, 2012) (“Supplement”).</w:t>
      </w:r>
      <w:proofErr w:type="gramEnd"/>
    </w:p>
  </w:footnote>
  <w:footnote w:id="5">
    <w:p>
      <w:pPr>
        <w:pStyle w:val="FootnoteText"/>
      </w:pPr>
      <w:r>
        <w:rPr>
          <w:rStyle w:val="FootnoteReference"/>
        </w:rPr>
        <w:footnoteRef/>
      </w:r>
      <w:r>
        <w:t xml:space="preserve"> Supplement at 2.</w:t>
      </w:r>
    </w:p>
  </w:footnote>
  <w:footnote w:id="6">
    <w:p>
      <w:pPr>
        <w:pStyle w:val="FootnoteText"/>
      </w:pPr>
      <w:r>
        <w:rPr>
          <w:rStyle w:val="FootnoteReference"/>
        </w:rPr>
        <w:footnoteRef/>
      </w:r>
      <w:r>
        <w:t xml:space="preserve"> Rule 4901:1-36-02, O.A.C.</w:t>
      </w:r>
    </w:p>
  </w:footnote>
  <w:footnote w:id="7">
    <w:p>
      <w:pPr>
        <w:pStyle w:val="FootnoteText"/>
      </w:pPr>
      <w:r>
        <w:rPr>
          <w:rStyle w:val="FootnoteReference"/>
        </w:rPr>
        <w:footnoteRef/>
      </w:r>
      <w:r>
        <w:t xml:space="preserve"> Direct Testimony of Claire E. Hale at 4 (Oct. 5, 2012). </w:t>
      </w:r>
    </w:p>
  </w:footnote>
  <w:footnote w:id="8">
    <w:p>
      <w:pPr>
        <w:pStyle w:val="FootnoteText"/>
        <w:rPr>
          <w:i/>
        </w:rPr>
      </w:pPr>
      <w:r>
        <w:rPr>
          <w:rStyle w:val="FootnoteReference"/>
        </w:rPr>
        <w:footnoteRef/>
      </w:r>
      <w:r>
        <w:t xml:space="preserve"> </w:t>
      </w:r>
      <w:r>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18B10606"/>
    <w:multiLevelType w:val="hybridMultilevel"/>
    <w:tmpl w:val="66F410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42F65"/>
    <w:multiLevelType w:val="hybridMultilevel"/>
    <w:tmpl w:val="09CC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71568"/>
    <w:multiLevelType w:val="multilevel"/>
    <w:tmpl w:val="11320E68"/>
    <w:name w:val="IEU-Ohi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6">
    <w:nsid w:val="70DD2B2F"/>
    <w:multiLevelType w:val="hybridMultilevel"/>
    <w:tmpl w:val="2FFC3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5"/>
  </w:num>
  <w:num w:numId="3">
    <w:abstractNumId w:val="5"/>
  </w:num>
  <w:num w:numId="4">
    <w:abstractNumId w:val="5"/>
  </w:num>
  <w:num w:numId="5">
    <w:abstractNumId w:val="1"/>
  </w:num>
  <w:num w:numId="6">
    <w:abstractNumId w:val="3"/>
  </w:num>
  <w:num w:numId="7">
    <w:abstractNumId w:val="0"/>
  </w:num>
  <w:num w:numId="8">
    <w:abstractNumId w:val="0"/>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jc w:val="both"/>
    </w:pPr>
    <w:rPr>
      <w:rFonts w:ascii="Arial" w:eastAsiaTheme="minorHAnsi" w:hAnsi="Arial" w:cs="Arial"/>
      <w:sz w:val="24"/>
      <w:szCs w:val="22"/>
    </w:rPr>
  </w:style>
  <w:style w:type="paragraph" w:styleId="Heading1">
    <w:name w:val="heading 1"/>
    <w:basedOn w:val="Normal"/>
    <w:next w:val="Normal"/>
    <w:link w:val="Heading1Char"/>
    <w:uiPriority w:val="9"/>
    <w:qFormat/>
    <w:pPr>
      <w:numPr>
        <w:numId w:val="4"/>
      </w:numPr>
      <w:tabs>
        <w:tab w:val="clear" w:pos="720"/>
      </w:tabs>
      <w:spacing w:after="240"/>
      <w:outlineLvl w:val="0"/>
    </w:pPr>
    <w:rPr>
      <w:rFonts w:eastAsiaTheme="majorEastAsia"/>
      <w:b/>
      <w:bCs/>
      <w:caps/>
      <w:szCs w:val="28"/>
      <w:u w:val="single"/>
    </w:rPr>
  </w:style>
  <w:style w:type="paragraph" w:styleId="Heading2">
    <w:name w:val="heading 2"/>
    <w:basedOn w:val="Normal"/>
    <w:next w:val="Normal"/>
    <w:link w:val="Heading2Char"/>
    <w:uiPriority w:val="9"/>
    <w:qFormat/>
    <w:pPr>
      <w:numPr>
        <w:ilvl w:val="1"/>
        <w:numId w:val="4"/>
      </w:numPr>
      <w:spacing w:after="240"/>
      <w:outlineLvl w:val="1"/>
    </w:pPr>
    <w:rPr>
      <w:rFonts w:eastAsiaTheme="majorEastAsia"/>
      <w:b/>
      <w:bCs/>
      <w:szCs w:val="26"/>
    </w:rPr>
  </w:style>
  <w:style w:type="paragraph" w:styleId="Heading3">
    <w:name w:val="heading 3"/>
    <w:basedOn w:val="Normal"/>
    <w:next w:val="Normal"/>
    <w:link w:val="Heading3Char"/>
    <w:uiPriority w:val="9"/>
    <w:qFormat/>
    <w:pPr>
      <w:numPr>
        <w:ilvl w:val="2"/>
        <w:numId w:val="4"/>
      </w:numPr>
      <w:spacing w:after="240"/>
      <w:outlineLvl w:val="2"/>
    </w:pPr>
    <w:rPr>
      <w:rFonts w:eastAsiaTheme="majorEastAsia"/>
      <w:b/>
      <w:bCs/>
      <w:szCs w:val="20"/>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b/>
      <w:bCs/>
      <w:i/>
      <w:iCs/>
      <w:szCs w:val="20"/>
    </w:rPr>
  </w:style>
  <w:style w:type="paragraph" w:styleId="Heading5">
    <w:name w:val="heading 5"/>
    <w:basedOn w:val="Normal"/>
    <w:next w:val="Normal"/>
    <w:link w:val="Heading5Char"/>
    <w:uiPriority w:val="9"/>
    <w:semiHidden/>
    <w:unhideWhenUsed/>
    <w:pPr>
      <w:numPr>
        <w:ilvl w:val="4"/>
        <w:numId w:val="4"/>
      </w:numPr>
      <w:spacing w:after="24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pPr>
      <w:numPr>
        <w:ilvl w:val="5"/>
        <w:numId w:val="4"/>
      </w:numPr>
      <w:spacing w:after="240"/>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pPr>
      <w:numPr>
        <w:ilvl w:val="6"/>
        <w:numId w:val="4"/>
      </w:numPr>
      <w:spacing w:after="240"/>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pPr>
      <w:numPr>
        <w:ilvl w:val="7"/>
        <w:numId w:val="4"/>
      </w:numPr>
      <w:spacing w:after="240"/>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pPr>
      <w:numPr>
        <w:ilvl w:val="8"/>
        <w:numId w:val="4"/>
      </w:numPr>
      <w:spacing w:after="240"/>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jc w:val="left"/>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jc w:val="left"/>
    </w:pPr>
    <w:rPr>
      <w:rFonts w:eastAsia="Times New Roman"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jc w:val="left"/>
    </w:pPr>
    <w:rPr>
      <w:rFonts w:eastAsia="Times New Roman" w:cs="Times New Roman"/>
      <w:szCs w:val="20"/>
    </w:rPr>
  </w:style>
  <w:style w:type="paragraph" w:styleId="ListNumber">
    <w:name w:val="List Number"/>
    <w:basedOn w:val="Normal"/>
    <w:uiPriority w:val="99"/>
    <w:qFormat/>
    <w:pPr>
      <w:numPr>
        <w:numId w:val="8"/>
      </w:numPr>
      <w:spacing w:after="240"/>
      <w:contextualSpacing/>
      <w:jc w:val="left"/>
    </w:pPr>
    <w:rPr>
      <w:rFonts w:eastAsia="Times New Roman" w:cs="Times New Roman"/>
      <w:szCs w:val="20"/>
    </w:r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jc w:val="left"/>
    </w:pPr>
    <w:rPr>
      <w:rFonts w:eastAsia="Times New Roman" w:cs="Times New Roman"/>
      <w:sz w:val="23"/>
      <w:szCs w:val="20"/>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jc w:val="left"/>
    </w:pPr>
    <w:rPr>
      <w:rFonts w:eastAsia="Times New Roman" w:cs="Times New Roman"/>
      <w:szCs w:val="20"/>
    </w:rPr>
  </w:style>
  <w:style w:type="paragraph" w:customStyle="1" w:styleId="LeftIndent">
    <w:name w:val="Left Indent"/>
    <w:aliases w:val="LeftInd"/>
    <w:basedOn w:val="Normal"/>
    <w:uiPriority w:val="11"/>
    <w:qFormat/>
    <w:pPr>
      <w:spacing w:after="240"/>
      <w:ind w:left="720"/>
      <w:jc w:val="left"/>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jc w:val="left"/>
    </w:pPr>
    <w:rPr>
      <w:rFonts w:eastAsia="Times New Roman" w:cs="Times New Roman"/>
      <w:szCs w:val="20"/>
    </w:rPr>
  </w:style>
  <w:style w:type="paragraph" w:customStyle="1" w:styleId="NoIndent">
    <w:name w:val="No Indent"/>
    <w:aliases w:val="NoInd"/>
    <w:basedOn w:val="Normal"/>
    <w:qFormat/>
    <w:pPr>
      <w:spacing w:after="240"/>
      <w:jc w:val="left"/>
    </w:pPr>
    <w:rPr>
      <w:rFonts w:eastAsia="Times New Roman" w:cs="Times New Roman"/>
      <w:szCs w:val="20"/>
    </w:rPr>
  </w:style>
  <w:style w:type="paragraph" w:customStyle="1" w:styleId="DoubleIndent5">
    <w:name w:val="Double Indent .5"/>
    <w:aliases w:val="DblInd5"/>
    <w:basedOn w:val="Normal"/>
    <w:uiPriority w:val="2"/>
    <w:qFormat/>
    <w:pPr>
      <w:spacing w:after="240"/>
      <w:ind w:left="720" w:right="720"/>
      <w:jc w:val="left"/>
    </w:pPr>
    <w:rPr>
      <w:rFonts w:eastAsia="Times New Roman" w:cs="Times New Roman"/>
      <w:iCs/>
      <w:szCs w:val="20"/>
    </w:rPr>
  </w:style>
  <w:style w:type="paragraph" w:styleId="Header">
    <w:name w:val="header"/>
    <w:basedOn w:val="Normal"/>
    <w:link w:val="HeaderChar"/>
    <w:uiPriority w:val="99"/>
    <w:unhideWhenUsed/>
    <w:pPr>
      <w:tabs>
        <w:tab w:val="center" w:pos="4680"/>
        <w:tab w:val="right" w:pos="9360"/>
      </w:tabs>
      <w:jc w:val="left"/>
    </w:pPr>
    <w:rPr>
      <w:rFonts w:eastAsia="Times New Roman" w:cs="Times New Roman"/>
      <w:szCs w:val="20"/>
    </w:r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jc w:val="left"/>
    </w:pPr>
    <w:rPr>
      <w:rFonts w:eastAsia="Times New Roman" w:cs="Times New Roman"/>
      <w:szCs w:val="20"/>
    </w:r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pPr>
      <w:ind w:left="720"/>
      <w:contextualSpacing/>
    </w:pPr>
  </w:style>
  <w:style w:type="paragraph" w:customStyle="1" w:styleId="BodyDoubleSp5">
    <w:name w:val="*Body Double Sp .5"/>
    <w:aliases w:val="BD5"/>
    <w:basedOn w:val="Normal"/>
    <w:pPr>
      <w:spacing w:after="240" w:line="480" w:lineRule="auto"/>
      <w:jc w:val="left"/>
    </w:pPr>
    <w:rPr>
      <w:rFonts w:ascii="Times New Roman" w:eastAsia="Times New Roman" w:hAnsi="Times New Roman" w:cs="Times New Roman"/>
      <w:bCs/>
      <w:szCs w:val="24"/>
    </w:rPr>
  </w:style>
  <w:style w:type="paragraph" w:customStyle="1" w:styleId="BodyDblSp5">
    <w:name w:val="*Body Dbl Sp .5"/>
    <w:aliases w:val="BDS5"/>
    <w:basedOn w:val="Normal"/>
    <w:pPr>
      <w:spacing w:after="240" w:line="480" w:lineRule="auto"/>
      <w:ind w:left="720" w:hanging="720"/>
      <w:jc w:val="left"/>
    </w:pPr>
    <w:rPr>
      <w:rFonts w:ascii="Times New Roman Bold" w:eastAsia="Times New Roman" w:hAnsi="Times New Roman Bold" w:cs="Times New Roman"/>
      <w:b/>
      <w:szCs w:val="24"/>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sz w:val="24"/>
      <w:szCs w:val="22"/>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sz w:val="24"/>
      <w:szCs w:val="22"/>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sz w:val="24"/>
      <w:szCs w:val="22"/>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Arial"/>
      <w:b/>
      <w:bCs/>
    </w:rPr>
  </w:style>
  <w:style w:type="paragraph" w:styleId="Revision">
    <w:name w:val="Revision"/>
    <w:hidden/>
    <w:uiPriority w:val="99"/>
    <w:semiHidden/>
    <w:rPr>
      <w:rFonts w:ascii="Arial" w:eastAsiaTheme="minorHAnsi" w:hAnsi="Arial" w:cs="Arial"/>
      <w:sz w:val="24"/>
      <w:szCs w:val="22"/>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Arial" w:hAnsi="Arial" w:cs="Arial"/>
      <w:sz w:val="24"/>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jc w:val="both"/>
    </w:pPr>
    <w:rPr>
      <w:rFonts w:ascii="Arial" w:eastAsiaTheme="minorHAnsi" w:hAnsi="Arial" w:cs="Arial"/>
      <w:sz w:val="24"/>
      <w:szCs w:val="22"/>
    </w:rPr>
  </w:style>
  <w:style w:type="paragraph" w:styleId="Heading1">
    <w:name w:val="heading 1"/>
    <w:basedOn w:val="Normal"/>
    <w:next w:val="Normal"/>
    <w:link w:val="Heading1Char"/>
    <w:uiPriority w:val="9"/>
    <w:qFormat/>
    <w:rsid w:val="008368EA"/>
    <w:pPr>
      <w:numPr>
        <w:numId w:val="4"/>
      </w:numPr>
      <w:tabs>
        <w:tab w:val="clear" w:pos="720"/>
      </w:tabs>
      <w:spacing w:after="240"/>
      <w:outlineLvl w:val="0"/>
    </w:pPr>
    <w:rPr>
      <w:rFonts w:eastAsiaTheme="majorEastAsia"/>
      <w:b/>
      <w:bCs/>
      <w:caps/>
      <w:szCs w:val="28"/>
      <w:u w:val="single"/>
    </w:rPr>
  </w:style>
  <w:style w:type="paragraph" w:styleId="Heading2">
    <w:name w:val="heading 2"/>
    <w:basedOn w:val="Normal"/>
    <w:next w:val="Normal"/>
    <w:link w:val="Heading2Char"/>
    <w:uiPriority w:val="9"/>
    <w:qFormat/>
    <w:rsid w:val="008368EA"/>
    <w:pPr>
      <w:numPr>
        <w:ilvl w:val="1"/>
        <w:numId w:val="4"/>
      </w:numPr>
      <w:spacing w:after="240"/>
      <w:outlineLvl w:val="1"/>
    </w:pPr>
    <w:rPr>
      <w:rFonts w:eastAsiaTheme="majorEastAsia"/>
      <w:b/>
      <w:bCs/>
      <w:szCs w:val="26"/>
    </w:rPr>
  </w:style>
  <w:style w:type="paragraph" w:styleId="Heading3">
    <w:name w:val="heading 3"/>
    <w:basedOn w:val="Normal"/>
    <w:next w:val="Normal"/>
    <w:link w:val="Heading3Char"/>
    <w:uiPriority w:val="9"/>
    <w:qFormat/>
    <w:rsid w:val="008368EA"/>
    <w:pPr>
      <w:numPr>
        <w:ilvl w:val="2"/>
        <w:numId w:val="4"/>
      </w:numPr>
      <w:spacing w:after="240"/>
      <w:outlineLvl w:val="2"/>
    </w:pPr>
    <w:rPr>
      <w:rFonts w:eastAsiaTheme="majorEastAsia"/>
      <w:b/>
      <w:bCs/>
      <w:szCs w:val="20"/>
    </w:rPr>
  </w:style>
  <w:style w:type="paragraph" w:styleId="Heading4">
    <w:name w:val="heading 4"/>
    <w:basedOn w:val="Normal"/>
    <w:next w:val="Normal"/>
    <w:link w:val="Heading4Char"/>
    <w:uiPriority w:val="9"/>
    <w:unhideWhenUsed/>
    <w:qFormat/>
    <w:rsid w:val="008368EA"/>
    <w:pPr>
      <w:numPr>
        <w:ilvl w:val="3"/>
        <w:numId w:val="4"/>
      </w:numPr>
      <w:spacing w:after="240"/>
      <w:outlineLvl w:val="3"/>
    </w:pPr>
    <w:rPr>
      <w:rFonts w:eastAsiaTheme="majorEastAsia"/>
      <w:b/>
      <w:bCs/>
      <w:i/>
      <w:iCs/>
      <w:szCs w:val="20"/>
    </w:rPr>
  </w:style>
  <w:style w:type="paragraph" w:styleId="Heading5">
    <w:name w:val="heading 5"/>
    <w:basedOn w:val="Normal"/>
    <w:next w:val="Normal"/>
    <w:link w:val="Heading5Char"/>
    <w:uiPriority w:val="9"/>
    <w:semiHidden/>
    <w:unhideWhenUsed/>
    <w:rsid w:val="008368EA"/>
    <w:pPr>
      <w:numPr>
        <w:ilvl w:val="4"/>
        <w:numId w:val="4"/>
      </w:numPr>
      <w:spacing w:after="24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rsid w:val="008368EA"/>
    <w:pPr>
      <w:numPr>
        <w:ilvl w:val="5"/>
        <w:numId w:val="4"/>
      </w:numPr>
      <w:spacing w:after="240"/>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rsid w:val="008368EA"/>
    <w:pPr>
      <w:numPr>
        <w:ilvl w:val="6"/>
        <w:numId w:val="4"/>
      </w:numPr>
      <w:spacing w:after="240"/>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rsid w:val="008368EA"/>
    <w:pPr>
      <w:numPr>
        <w:ilvl w:val="7"/>
        <w:numId w:val="4"/>
      </w:numPr>
      <w:spacing w:after="240"/>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rsid w:val="008368EA"/>
    <w:pPr>
      <w:numPr>
        <w:ilvl w:val="8"/>
        <w:numId w:val="4"/>
      </w:numPr>
      <w:spacing w:after="240"/>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8EA"/>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8368EA"/>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8368EA"/>
    <w:rPr>
      <w:rFonts w:ascii="Arial" w:eastAsiaTheme="majorEastAsia" w:hAnsi="Arial" w:cs="Arial"/>
      <w:b/>
      <w:bCs/>
      <w:sz w:val="24"/>
    </w:rPr>
  </w:style>
  <w:style w:type="character" w:customStyle="1" w:styleId="Heading4Char">
    <w:name w:val="Heading 4 Char"/>
    <w:basedOn w:val="DefaultParagraphFont"/>
    <w:link w:val="Heading4"/>
    <w:uiPriority w:val="9"/>
    <w:rsid w:val="008368EA"/>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jc w:val="left"/>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jc w:val="left"/>
    </w:pPr>
    <w:rPr>
      <w:rFonts w:eastAsia="Times New Roman"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jc w:val="left"/>
    </w:pPr>
    <w:rPr>
      <w:rFonts w:eastAsia="Times New Roman" w:cs="Times New Roman"/>
      <w:szCs w:val="20"/>
    </w:rPr>
  </w:style>
  <w:style w:type="paragraph" w:styleId="ListNumber">
    <w:name w:val="List Number"/>
    <w:basedOn w:val="Normal"/>
    <w:uiPriority w:val="99"/>
    <w:qFormat/>
    <w:pPr>
      <w:numPr>
        <w:numId w:val="8"/>
      </w:numPr>
      <w:spacing w:after="240"/>
      <w:contextualSpacing/>
      <w:jc w:val="left"/>
    </w:pPr>
    <w:rPr>
      <w:rFonts w:eastAsia="Times New Roman" w:cs="Times New Roman"/>
      <w:szCs w:val="20"/>
    </w:r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jc w:val="left"/>
    </w:pPr>
    <w:rPr>
      <w:rFonts w:eastAsia="Times New Roman" w:cs="Times New Roman"/>
      <w:sz w:val="23"/>
      <w:szCs w:val="20"/>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jc w:val="left"/>
    </w:pPr>
    <w:rPr>
      <w:rFonts w:eastAsia="Times New Roman" w:cs="Times New Roman"/>
      <w:szCs w:val="20"/>
    </w:rPr>
  </w:style>
  <w:style w:type="paragraph" w:customStyle="1" w:styleId="LeftIndent">
    <w:name w:val="Left Indent"/>
    <w:aliases w:val="LeftInd"/>
    <w:basedOn w:val="Normal"/>
    <w:uiPriority w:val="11"/>
    <w:qFormat/>
    <w:pPr>
      <w:spacing w:after="240"/>
      <w:ind w:left="720"/>
      <w:jc w:val="left"/>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jc w:val="left"/>
    </w:pPr>
    <w:rPr>
      <w:rFonts w:eastAsia="Times New Roman" w:cs="Times New Roman"/>
      <w:szCs w:val="20"/>
    </w:rPr>
  </w:style>
  <w:style w:type="paragraph" w:customStyle="1" w:styleId="NoIndent">
    <w:name w:val="No Indent"/>
    <w:aliases w:val="NoInd"/>
    <w:basedOn w:val="Normal"/>
    <w:qFormat/>
    <w:pPr>
      <w:spacing w:after="240"/>
      <w:jc w:val="left"/>
    </w:pPr>
    <w:rPr>
      <w:rFonts w:eastAsia="Times New Roman" w:cs="Times New Roman"/>
      <w:szCs w:val="20"/>
    </w:rPr>
  </w:style>
  <w:style w:type="paragraph" w:customStyle="1" w:styleId="DoubleIndent5">
    <w:name w:val="Double Indent .5"/>
    <w:aliases w:val="DblInd5"/>
    <w:basedOn w:val="Normal"/>
    <w:uiPriority w:val="2"/>
    <w:qFormat/>
    <w:pPr>
      <w:spacing w:after="240"/>
      <w:ind w:left="720" w:right="720"/>
      <w:jc w:val="left"/>
    </w:pPr>
    <w:rPr>
      <w:rFonts w:eastAsia="Times New Roman" w:cs="Times New Roman"/>
      <w:iCs/>
      <w:szCs w:val="20"/>
    </w:rPr>
  </w:style>
  <w:style w:type="paragraph" w:styleId="Header">
    <w:name w:val="header"/>
    <w:basedOn w:val="Normal"/>
    <w:link w:val="HeaderChar"/>
    <w:uiPriority w:val="99"/>
    <w:unhideWhenUsed/>
    <w:pPr>
      <w:tabs>
        <w:tab w:val="center" w:pos="4680"/>
        <w:tab w:val="right" w:pos="9360"/>
      </w:tabs>
      <w:jc w:val="left"/>
    </w:pPr>
    <w:rPr>
      <w:rFonts w:eastAsia="Times New Roman" w:cs="Times New Roman"/>
      <w:szCs w:val="20"/>
    </w:r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jc w:val="left"/>
    </w:pPr>
    <w:rPr>
      <w:rFonts w:eastAsia="Times New Roman" w:cs="Times New Roman"/>
      <w:szCs w:val="20"/>
    </w:r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pPr>
      <w:ind w:left="720"/>
      <w:contextualSpacing/>
    </w:pPr>
  </w:style>
  <w:style w:type="paragraph" w:customStyle="1" w:styleId="BodyDoubleSp5">
    <w:name w:val="*Body Double Sp .5"/>
    <w:aliases w:val="BD5"/>
    <w:basedOn w:val="Normal"/>
    <w:pPr>
      <w:spacing w:after="240" w:line="480" w:lineRule="auto"/>
      <w:jc w:val="left"/>
    </w:pPr>
    <w:rPr>
      <w:rFonts w:ascii="Times New Roman" w:eastAsia="Times New Roman" w:hAnsi="Times New Roman" w:cs="Times New Roman"/>
      <w:bCs/>
      <w:szCs w:val="24"/>
    </w:rPr>
  </w:style>
  <w:style w:type="paragraph" w:customStyle="1" w:styleId="BodyDblSp5">
    <w:name w:val="*Body Dbl Sp .5"/>
    <w:aliases w:val="BDS5"/>
    <w:basedOn w:val="Normal"/>
    <w:pPr>
      <w:spacing w:after="240" w:line="480" w:lineRule="auto"/>
      <w:ind w:left="720" w:hanging="720"/>
      <w:jc w:val="left"/>
    </w:pPr>
    <w:rPr>
      <w:rFonts w:ascii="Times New Roman Bold" w:eastAsia="Times New Roman" w:hAnsi="Times New Roman Bold" w:cs="Times New Roman"/>
      <w:b/>
      <w:szCs w:val="24"/>
    </w:rPr>
  </w:style>
  <w:style w:type="character" w:customStyle="1" w:styleId="Heading5Char">
    <w:name w:val="Heading 5 Char"/>
    <w:basedOn w:val="DefaultParagraphFont"/>
    <w:link w:val="Heading5"/>
    <w:uiPriority w:val="9"/>
    <w:semiHidden/>
    <w:rsid w:val="008368EA"/>
    <w:rPr>
      <w:rFonts w:asciiTheme="majorHAnsi" w:eastAsiaTheme="majorEastAsia" w:hAnsiTheme="majorHAnsi" w:cs="Arial"/>
      <w:color w:val="243F60" w:themeColor="accent1" w:themeShade="7F"/>
      <w:sz w:val="24"/>
      <w:szCs w:val="22"/>
    </w:rPr>
  </w:style>
  <w:style w:type="character" w:customStyle="1" w:styleId="Heading6Char">
    <w:name w:val="Heading 6 Char"/>
    <w:basedOn w:val="DefaultParagraphFont"/>
    <w:link w:val="Heading6"/>
    <w:uiPriority w:val="9"/>
    <w:semiHidden/>
    <w:rsid w:val="008368EA"/>
    <w:rPr>
      <w:rFonts w:asciiTheme="majorHAnsi" w:eastAsiaTheme="majorEastAsia" w:hAnsiTheme="majorHAnsi" w:cs="Arial"/>
      <w:iCs/>
      <w:color w:val="243F60" w:themeColor="accent1" w:themeShade="7F"/>
      <w:sz w:val="24"/>
      <w:szCs w:val="22"/>
    </w:rPr>
  </w:style>
  <w:style w:type="character" w:customStyle="1" w:styleId="Heading7Char">
    <w:name w:val="Heading 7 Char"/>
    <w:basedOn w:val="DefaultParagraphFont"/>
    <w:link w:val="Heading7"/>
    <w:uiPriority w:val="9"/>
    <w:semiHidden/>
    <w:rsid w:val="008368EA"/>
    <w:rPr>
      <w:rFonts w:asciiTheme="majorHAnsi" w:eastAsiaTheme="majorEastAsia" w:hAnsiTheme="majorHAnsi" w:cs="Arial"/>
      <w:iCs/>
      <w:color w:val="404040" w:themeColor="text1" w:themeTint="BF"/>
      <w:sz w:val="24"/>
      <w:szCs w:val="22"/>
    </w:rPr>
  </w:style>
  <w:style w:type="character" w:customStyle="1" w:styleId="Heading8Char">
    <w:name w:val="Heading 8 Char"/>
    <w:basedOn w:val="DefaultParagraphFont"/>
    <w:link w:val="Heading8"/>
    <w:uiPriority w:val="9"/>
    <w:semiHidden/>
    <w:rsid w:val="008368EA"/>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8368EA"/>
    <w:rPr>
      <w:rFonts w:asciiTheme="majorHAnsi" w:eastAsiaTheme="majorEastAsia" w:hAnsiTheme="majorHAnsi" w:cs="Arial"/>
      <w:iCs/>
      <w:color w:val="404040" w:themeColor="text1" w:themeTint="BF"/>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924A2B"/>
    <w:rPr>
      <w:sz w:val="16"/>
      <w:szCs w:val="16"/>
    </w:rPr>
  </w:style>
  <w:style w:type="paragraph" w:styleId="CommentText">
    <w:name w:val="annotation text"/>
    <w:basedOn w:val="Normal"/>
    <w:link w:val="CommentTextChar"/>
    <w:uiPriority w:val="99"/>
    <w:semiHidden/>
    <w:unhideWhenUsed/>
    <w:rsid w:val="00924A2B"/>
    <w:rPr>
      <w:sz w:val="20"/>
      <w:szCs w:val="20"/>
    </w:rPr>
  </w:style>
  <w:style w:type="character" w:customStyle="1" w:styleId="CommentTextChar">
    <w:name w:val="Comment Text Char"/>
    <w:basedOn w:val="DefaultParagraphFont"/>
    <w:link w:val="CommentText"/>
    <w:uiPriority w:val="99"/>
    <w:semiHidden/>
    <w:rsid w:val="00924A2B"/>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924A2B"/>
    <w:rPr>
      <w:b/>
      <w:bCs/>
    </w:rPr>
  </w:style>
  <w:style w:type="character" w:customStyle="1" w:styleId="CommentSubjectChar">
    <w:name w:val="Comment Subject Char"/>
    <w:basedOn w:val="CommentTextChar"/>
    <w:link w:val="CommentSubject"/>
    <w:uiPriority w:val="99"/>
    <w:semiHidden/>
    <w:rsid w:val="00924A2B"/>
    <w:rPr>
      <w:rFonts w:ascii="Arial" w:eastAsiaTheme="minorHAnsi" w:hAnsi="Arial" w:cs="Arial"/>
      <w:b/>
      <w:bCs/>
    </w:rPr>
  </w:style>
  <w:style w:type="paragraph" w:styleId="Revision">
    <w:name w:val="Revision"/>
    <w:hidden/>
    <w:uiPriority w:val="99"/>
    <w:semiHidden/>
    <w:rsid w:val="00924A2B"/>
    <w:rPr>
      <w:rFonts w:ascii="Arial" w:eastAsiaTheme="minorHAnsi" w:hAnsi="Arial" w:cs="Arial"/>
      <w:sz w:val="24"/>
      <w:szCs w:val="22"/>
    </w:rPr>
  </w:style>
  <w:style w:type="paragraph" w:styleId="BodyText">
    <w:name w:val="Body Text"/>
    <w:basedOn w:val="Normal"/>
    <w:link w:val="BodyTextChar"/>
    <w:rsid w:val="007C7EE5"/>
    <w:rPr>
      <w:rFonts w:eastAsia="Times New Roman"/>
      <w:szCs w:val="24"/>
    </w:rPr>
  </w:style>
  <w:style w:type="character" w:customStyle="1" w:styleId="BodyTextChar">
    <w:name w:val="Body Text Char"/>
    <w:basedOn w:val="DefaultParagraphFont"/>
    <w:link w:val="BodyText"/>
    <w:rsid w:val="007C7EE5"/>
    <w:rPr>
      <w:rFonts w:ascii="Arial" w:hAnsi="Arial" w:cs="Arial"/>
      <w:sz w:val="24"/>
      <w:szCs w:val="24"/>
    </w:rPr>
  </w:style>
  <w:style w:type="character" w:styleId="Hyperlink">
    <w:name w:val="Hyperlink"/>
    <w:basedOn w:val="DefaultParagraphFont"/>
    <w:uiPriority w:val="99"/>
    <w:unhideWhenUsed/>
    <w:rsid w:val="007C7E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A813F-141F-44B2-8AA6-2076839F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3112</Words>
  <Characters>17996</Characters>
  <Application>Microsoft Office Word</Application>
  <DocSecurity>0</DocSecurity>
  <PresentationFormat/>
  <Lines>663</Lines>
  <Paragraphs>394</Paragraphs>
  <ScaleCrop>false</ScaleCrop>
  <HeadingPairs>
    <vt:vector size="2" baseType="variant">
      <vt:variant>
        <vt:lpstr>Title</vt:lpstr>
      </vt:variant>
      <vt:variant>
        <vt:i4>1</vt:i4>
      </vt:variant>
    </vt:vector>
  </HeadingPairs>
  <TitlesOfParts>
    <vt:vector size="1" baseType="lpstr">
      <vt:lpstr>Memo contra DP&amp;L's supplemental TCRR waiver request (12-426) (C39135-3).DOCX</vt:lpstr>
    </vt:vector>
  </TitlesOfParts>
  <LinksUpToDate>false</LinksUpToDate>
  <CharactersWithSpaces>20854</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DP&amp;L's supplemental TCRR waiver request (12-426) (C39135-3).DOCX</dc:title>
  <dc:subject>C39135:3 /font=8</dc:subject>
  <dc:creator/>
  <cp:lastModifiedBy/>
  <cp:revision>1</cp:revision>
  <cp:lastPrinted>2012-11-15T17:32:00Z</cp:lastPrinted>
  <dcterms:created xsi:type="dcterms:W3CDTF">2012-11-21T18:53:00Z</dcterms:created>
  <dcterms:modified xsi:type="dcterms:W3CDTF">2012-11-21T18:53:00Z</dcterms:modified>
</cp:coreProperties>
</file>