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8847071" w14:textId="77777777" w:rsidR="009D6B05" w:rsidRDefault="009D6B05">
      <w:pPr>
        <w:pStyle w:val="HTMLPreformatted"/>
        <w:jc w:val="center"/>
        <w:rPr>
          <w:rFonts w:ascii="Times New Roman" w:hAnsi="Times New Roman"/>
          <w:b/>
          <w:bCs/>
          <w:sz w:val="24"/>
        </w:rPr>
      </w:pPr>
      <w:bookmarkStart w:id="0" w:name="_GoBack"/>
      <w:bookmarkEnd w:id="0"/>
      <w:r>
        <w:rPr>
          <w:rFonts w:ascii="Times New Roman" w:hAnsi="Times New Roman"/>
          <w:b/>
          <w:bCs/>
          <w:sz w:val="24"/>
        </w:rPr>
        <w:t>BEFORE</w:t>
      </w:r>
    </w:p>
    <w:p w14:paraId="1BDA894D" w14:textId="77777777" w:rsidR="009D6B05" w:rsidRDefault="009D6B05">
      <w:pPr>
        <w:pStyle w:val="HTMLPreformatted"/>
        <w:jc w:val="center"/>
        <w:rPr>
          <w:rFonts w:ascii="Times New Roman" w:hAnsi="Times New Roman"/>
          <w:sz w:val="24"/>
        </w:rPr>
      </w:pPr>
      <w:r>
        <w:rPr>
          <w:rFonts w:ascii="Times New Roman" w:hAnsi="Times New Roman"/>
          <w:b/>
          <w:bCs/>
          <w:sz w:val="24"/>
        </w:rPr>
        <w:t xml:space="preserve">THE PUBLIC UTILITIES </w:t>
      </w:r>
      <w:r w:rsidR="005851FE">
        <w:rPr>
          <w:rFonts w:ascii="Times New Roman" w:hAnsi="Times New Roman"/>
          <w:b/>
          <w:bCs/>
          <w:sz w:val="24"/>
        </w:rPr>
        <w:t>COMMISSION</w:t>
      </w:r>
      <w:r>
        <w:rPr>
          <w:rFonts w:ascii="Times New Roman" w:hAnsi="Times New Roman"/>
          <w:b/>
          <w:bCs/>
          <w:sz w:val="24"/>
        </w:rPr>
        <w:t xml:space="preserve"> OF OHIO</w:t>
      </w:r>
    </w:p>
    <w:p w14:paraId="29D2182E" w14:textId="77777777" w:rsidR="009D6B05" w:rsidRDefault="009D6B05">
      <w:pPr>
        <w:pStyle w:val="HTMLPreformatted"/>
        <w:rPr>
          <w:rFonts w:ascii="Times New Roman" w:hAnsi="Times New Roman"/>
          <w:sz w:val="24"/>
        </w:rPr>
      </w:pPr>
    </w:p>
    <w:tbl>
      <w:tblPr>
        <w:tblW w:w="9542" w:type="dxa"/>
        <w:tblLook w:val="01E0" w:firstRow="1" w:lastRow="1" w:firstColumn="1" w:lastColumn="1" w:noHBand="0" w:noVBand="0"/>
      </w:tblPr>
      <w:tblGrid>
        <w:gridCol w:w="4518"/>
        <w:gridCol w:w="540"/>
        <w:gridCol w:w="4484"/>
      </w:tblGrid>
      <w:tr w:rsidR="009D6B05" w14:paraId="716130D9" w14:textId="77777777" w:rsidTr="003C4F62">
        <w:trPr>
          <w:trHeight w:val="807"/>
        </w:trPr>
        <w:tc>
          <w:tcPr>
            <w:tcW w:w="4518" w:type="dxa"/>
            <w:shd w:val="clear" w:color="auto" w:fill="auto"/>
          </w:tcPr>
          <w:p w14:paraId="7BF661F1" w14:textId="0472B5F9" w:rsidR="009D6B05" w:rsidRDefault="003C4F62">
            <w:pPr>
              <w:pStyle w:val="HTMLPreformatted"/>
              <w:rPr>
                <w:rFonts w:ascii="Times New Roman" w:hAnsi="Times New Roman" w:cs="Times New Roman"/>
                <w:sz w:val="24"/>
                <w:szCs w:val="24"/>
              </w:rPr>
            </w:pPr>
            <w:r w:rsidRPr="00A044B5">
              <w:rPr>
                <w:rFonts w:ascii="Times New Roman" w:hAnsi="Times New Roman" w:cs="Times New Roman"/>
                <w:sz w:val="24"/>
                <w:szCs w:val="24"/>
              </w:rPr>
              <w:t>In the Matter of</w:t>
            </w:r>
            <w:r>
              <w:rPr>
                <w:rFonts w:ascii="Times New Roman" w:hAnsi="Times New Roman" w:cs="Times New Roman"/>
                <w:sz w:val="24"/>
                <w:szCs w:val="24"/>
              </w:rPr>
              <w:t xml:space="preserve"> </w:t>
            </w:r>
            <w:r w:rsidRPr="004F5E00">
              <w:rPr>
                <w:rFonts w:ascii="Times New Roman" w:hAnsi="Times New Roman" w:cs="Times New Roman"/>
                <w:sz w:val="24"/>
                <w:szCs w:val="24"/>
              </w:rPr>
              <w:t xml:space="preserve">the </w:t>
            </w:r>
            <w:r>
              <w:rPr>
                <w:rFonts w:ascii="Times New Roman" w:hAnsi="Times New Roman" w:cs="Times New Roman"/>
                <w:sz w:val="24"/>
                <w:szCs w:val="24"/>
              </w:rPr>
              <w:t>A</w:t>
            </w:r>
            <w:r w:rsidRPr="004F5E00">
              <w:rPr>
                <w:rFonts w:ascii="Times New Roman" w:hAnsi="Times New Roman" w:cs="Times New Roman"/>
                <w:sz w:val="24"/>
                <w:szCs w:val="24"/>
              </w:rPr>
              <w:t>pplication of Duke Energy Ohio, Inc. for Approval of a Grid Modernization Opt-Out Tariff and for a Change in Accounting Procedures Including a Cost Recovery Mechanism</w:t>
            </w:r>
            <w:r w:rsidR="009D6B05">
              <w:rPr>
                <w:rFonts w:ascii="Times New Roman" w:hAnsi="Times New Roman" w:cs="Times New Roman"/>
                <w:sz w:val="24"/>
                <w:szCs w:val="24"/>
              </w:rPr>
              <w:t>.</w:t>
            </w:r>
          </w:p>
        </w:tc>
        <w:tc>
          <w:tcPr>
            <w:tcW w:w="540" w:type="dxa"/>
            <w:shd w:val="clear" w:color="auto" w:fill="auto"/>
          </w:tcPr>
          <w:p w14:paraId="36185476" w14:textId="77777777" w:rsidR="009D6B05" w:rsidRDefault="009D6B05">
            <w:pPr>
              <w:pStyle w:val="HTMLPreformatted"/>
              <w:rPr>
                <w:rFonts w:ascii="Times New Roman" w:hAnsi="Times New Roman"/>
                <w:sz w:val="24"/>
              </w:rPr>
            </w:pPr>
            <w:r>
              <w:rPr>
                <w:rFonts w:ascii="Times New Roman" w:hAnsi="Times New Roman"/>
                <w:sz w:val="24"/>
              </w:rPr>
              <w:t>)</w:t>
            </w:r>
          </w:p>
          <w:p w14:paraId="5E6CFAB9" w14:textId="77777777" w:rsidR="009D6B05" w:rsidRDefault="009D6B05">
            <w:pPr>
              <w:pStyle w:val="HTMLPreformatted"/>
              <w:rPr>
                <w:rFonts w:ascii="Times New Roman" w:hAnsi="Times New Roman"/>
                <w:sz w:val="24"/>
              </w:rPr>
            </w:pPr>
            <w:r>
              <w:rPr>
                <w:rFonts w:ascii="Times New Roman" w:hAnsi="Times New Roman"/>
                <w:sz w:val="24"/>
              </w:rPr>
              <w:t>)</w:t>
            </w:r>
          </w:p>
          <w:p w14:paraId="15DB6C78" w14:textId="77777777" w:rsidR="009D6B05" w:rsidRDefault="009D6B05">
            <w:pPr>
              <w:pStyle w:val="HTMLPreformatted"/>
              <w:rPr>
                <w:rFonts w:ascii="Times New Roman" w:hAnsi="Times New Roman"/>
                <w:sz w:val="24"/>
              </w:rPr>
            </w:pPr>
            <w:r>
              <w:rPr>
                <w:rFonts w:ascii="Times New Roman" w:hAnsi="Times New Roman"/>
                <w:sz w:val="24"/>
              </w:rPr>
              <w:t>)</w:t>
            </w:r>
          </w:p>
          <w:p w14:paraId="3FBBD0D9" w14:textId="77777777" w:rsidR="009D6B05" w:rsidRDefault="009D6B05">
            <w:pPr>
              <w:pStyle w:val="HTMLPreformatted"/>
              <w:rPr>
                <w:rFonts w:ascii="Times New Roman" w:hAnsi="Times New Roman"/>
                <w:sz w:val="24"/>
              </w:rPr>
            </w:pPr>
            <w:r>
              <w:rPr>
                <w:rFonts w:ascii="Times New Roman" w:hAnsi="Times New Roman"/>
                <w:sz w:val="24"/>
              </w:rPr>
              <w:t>)</w:t>
            </w:r>
          </w:p>
          <w:p w14:paraId="1DDCE23B" w14:textId="2347E1EF" w:rsidR="003C4F62" w:rsidRDefault="003C4F62">
            <w:pPr>
              <w:pStyle w:val="HTMLPreformatted"/>
              <w:rPr>
                <w:rFonts w:ascii="Times New Roman" w:hAnsi="Times New Roman"/>
                <w:sz w:val="24"/>
              </w:rPr>
            </w:pPr>
            <w:r>
              <w:rPr>
                <w:rFonts w:ascii="Times New Roman" w:hAnsi="Times New Roman"/>
                <w:sz w:val="24"/>
              </w:rPr>
              <w:t>)</w:t>
            </w:r>
          </w:p>
        </w:tc>
        <w:tc>
          <w:tcPr>
            <w:tcW w:w="4484" w:type="dxa"/>
            <w:shd w:val="clear" w:color="auto" w:fill="auto"/>
          </w:tcPr>
          <w:p w14:paraId="3DDFB279" w14:textId="77777777" w:rsidR="009D6B05" w:rsidRDefault="009D6B05">
            <w:pPr>
              <w:pStyle w:val="HTMLPreformatted"/>
              <w:rPr>
                <w:rFonts w:ascii="Times New Roman" w:hAnsi="Times New Roman"/>
                <w:sz w:val="24"/>
              </w:rPr>
            </w:pPr>
          </w:p>
          <w:p w14:paraId="49CE98E8" w14:textId="7B150096" w:rsidR="009D6B05" w:rsidRDefault="009D6B05">
            <w:pPr>
              <w:pStyle w:val="HTMLPreformatted"/>
              <w:rPr>
                <w:rFonts w:ascii="Times New Roman" w:hAnsi="Times New Roman"/>
                <w:sz w:val="24"/>
              </w:rPr>
            </w:pPr>
            <w:r>
              <w:rPr>
                <w:rFonts w:ascii="Times New Roman" w:hAnsi="Times New Roman"/>
                <w:sz w:val="24"/>
              </w:rPr>
              <w:t xml:space="preserve">Case No. </w:t>
            </w:r>
            <w:r w:rsidR="003C4F62">
              <w:rPr>
                <w:rFonts w:ascii="Times New Roman" w:hAnsi="Times New Roman"/>
                <w:sz w:val="24"/>
              </w:rPr>
              <w:t>14-1160</w:t>
            </w:r>
            <w:r>
              <w:rPr>
                <w:rFonts w:ascii="Times New Roman" w:hAnsi="Times New Roman"/>
                <w:sz w:val="24"/>
              </w:rPr>
              <w:t>-EL-</w:t>
            </w:r>
            <w:r w:rsidR="003C4F62">
              <w:rPr>
                <w:rFonts w:ascii="Times New Roman" w:hAnsi="Times New Roman"/>
                <w:sz w:val="24"/>
              </w:rPr>
              <w:t>UNC</w:t>
            </w:r>
          </w:p>
          <w:p w14:paraId="6FC464F6" w14:textId="3EBB3849" w:rsidR="003C4F62" w:rsidRDefault="003C4F62">
            <w:pPr>
              <w:pStyle w:val="HTMLPreformatted"/>
              <w:rPr>
                <w:rFonts w:ascii="Times New Roman" w:hAnsi="Times New Roman"/>
                <w:sz w:val="24"/>
              </w:rPr>
            </w:pPr>
            <w:r w:rsidRPr="00A044B5">
              <w:rPr>
                <w:rFonts w:ascii="Times New Roman" w:hAnsi="Times New Roman"/>
                <w:sz w:val="24"/>
              </w:rPr>
              <w:t xml:space="preserve">Case No. </w:t>
            </w:r>
            <w:r>
              <w:rPr>
                <w:rFonts w:ascii="Times New Roman" w:hAnsi="Times New Roman"/>
                <w:sz w:val="24"/>
              </w:rPr>
              <w:t>14-1161-EL-AAM</w:t>
            </w:r>
          </w:p>
          <w:p w14:paraId="15CCEB07" w14:textId="77777777" w:rsidR="009D6B05" w:rsidRDefault="009D6B05">
            <w:pPr>
              <w:pStyle w:val="HTMLPreformatted"/>
              <w:rPr>
                <w:rFonts w:ascii="Times New Roman" w:hAnsi="Times New Roman"/>
                <w:sz w:val="24"/>
              </w:rPr>
            </w:pPr>
          </w:p>
        </w:tc>
      </w:tr>
    </w:tbl>
    <w:p w14:paraId="389BF5B6" w14:textId="5C6235EA" w:rsidR="009D6B05" w:rsidRDefault="009D6B05">
      <w:pPr>
        <w:pStyle w:val="HTMLPreformatted"/>
        <w:rPr>
          <w:rFonts w:ascii="Times New Roman" w:hAnsi="Times New Roman"/>
          <w:sz w:val="24"/>
        </w:rPr>
      </w:pPr>
      <w:r>
        <w:rPr>
          <w:rFonts w:ascii="Times New Roman" w:hAnsi="Times New Roman"/>
          <w:sz w:val="24"/>
        </w:rPr>
        <w:tab/>
      </w:r>
    </w:p>
    <w:p w14:paraId="522E0AC7" w14:textId="77777777" w:rsidR="009D6B05" w:rsidRDefault="009D6B05">
      <w:pPr>
        <w:pStyle w:val="HTMLPreformatted"/>
        <w:pBdr>
          <w:top w:val="single" w:sz="12" w:space="1" w:color="auto"/>
        </w:pBdr>
        <w:rPr>
          <w:rFonts w:ascii="Times New Roman" w:hAnsi="Times New Roman"/>
          <w:sz w:val="24"/>
        </w:rPr>
      </w:pPr>
    </w:p>
    <w:p w14:paraId="4B604EF5" w14:textId="4A29236B" w:rsidR="009D6B05" w:rsidRDefault="000E1AD0">
      <w:pPr>
        <w:jc w:val="center"/>
        <w:rPr>
          <w:b/>
          <w:bCs/>
        </w:rPr>
      </w:pPr>
      <w:r>
        <w:rPr>
          <w:b/>
        </w:rPr>
        <w:t xml:space="preserve">REPLY TO </w:t>
      </w:r>
      <w:r w:rsidR="003C4F62">
        <w:rPr>
          <w:b/>
        </w:rPr>
        <w:t>DUKE’S</w:t>
      </w:r>
      <w:r>
        <w:rPr>
          <w:b/>
        </w:rPr>
        <w:t xml:space="preserve"> MEMORANDUM CONTRA</w:t>
      </w:r>
      <w:r w:rsidR="003C4F62">
        <w:rPr>
          <w:b/>
        </w:rPr>
        <w:t xml:space="preserve"> MOTION TO AMEND PROCEDURAL SCHEDULE</w:t>
      </w:r>
    </w:p>
    <w:p w14:paraId="48C1DE9A" w14:textId="77777777" w:rsidR="009D6B05" w:rsidRDefault="009D6B05">
      <w:pPr>
        <w:jc w:val="center"/>
        <w:rPr>
          <w:b/>
          <w:bCs/>
        </w:rPr>
      </w:pPr>
      <w:r>
        <w:rPr>
          <w:b/>
          <w:bCs/>
        </w:rPr>
        <w:t>BY</w:t>
      </w:r>
    </w:p>
    <w:p w14:paraId="50858C5E" w14:textId="77777777" w:rsidR="009D6B05" w:rsidRDefault="009D6B05">
      <w:pPr>
        <w:jc w:val="center"/>
        <w:rPr>
          <w:b/>
          <w:bCs/>
        </w:rPr>
      </w:pPr>
      <w:r>
        <w:rPr>
          <w:b/>
          <w:bCs/>
        </w:rPr>
        <w:t>THE OFFICE OF THE OHIO CONSUMERS’ COUNSEL</w:t>
      </w:r>
    </w:p>
    <w:p w14:paraId="2E66C47F" w14:textId="77777777" w:rsidR="009D6B05" w:rsidRDefault="009D6B05">
      <w:pPr>
        <w:pBdr>
          <w:bottom w:val="single" w:sz="12" w:space="1" w:color="auto"/>
        </w:pBdr>
        <w:tabs>
          <w:tab w:val="left" w:pos="4320"/>
        </w:tabs>
      </w:pPr>
    </w:p>
    <w:p w14:paraId="378D0784" w14:textId="77777777" w:rsidR="009D6B05" w:rsidRDefault="009D6B05">
      <w:pPr>
        <w:tabs>
          <w:tab w:val="left" w:pos="4320"/>
        </w:tabs>
      </w:pPr>
    </w:p>
    <w:p w14:paraId="0BAD3B24" w14:textId="295493F9" w:rsidR="005A24FF" w:rsidRPr="000E1AD0" w:rsidRDefault="00A4521D" w:rsidP="00A4521D">
      <w:pPr>
        <w:tabs>
          <w:tab w:val="left" w:pos="720"/>
        </w:tabs>
        <w:spacing w:before="120" w:line="480" w:lineRule="auto"/>
        <w:rPr>
          <w:b/>
        </w:rPr>
      </w:pPr>
      <w:r>
        <w:rPr>
          <w:b/>
        </w:rPr>
        <w:t>I.</w:t>
      </w:r>
      <w:r>
        <w:rPr>
          <w:b/>
        </w:rPr>
        <w:tab/>
      </w:r>
      <w:r w:rsidR="000E1AD0" w:rsidRPr="000E1AD0">
        <w:rPr>
          <w:b/>
        </w:rPr>
        <w:t>INTRODUCTION</w:t>
      </w:r>
    </w:p>
    <w:p w14:paraId="375948E8" w14:textId="1B2C81C2" w:rsidR="00C72799" w:rsidRPr="00C72799" w:rsidRDefault="00C72799" w:rsidP="00C72799">
      <w:pPr>
        <w:pStyle w:val="BodyTextIndent3"/>
        <w:widowControl w:val="0"/>
        <w:spacing w:line="480" w:lineRule="auto"/>
      </w:pPr>
      <w:r w:rsidRPr="00C72799">
        <w:t>In these cases, Duke Energy Ohio, Inc. (“Duke”) is proposing t</w:t>
      </w:r>
      <w:r w:rsidR="007A33AC">
        <w:t>w</w:t>
      </w:r>
      <w:r w:rsidRPr="00C72799">
        <w:t>o</w:t>
      </w:r>
      <w:r w:rsidR="007A33AC">
        <w:t xml:space="preserve"> new</w:t>
      </w:r>
      <w:r w:rsidRPr="00C72799">
        <w:t xml:space="preserve"> charge</w:t>
      </w:r>
      <w:r w:rsidR="007A33AC">
        <w:t>s to</w:t>
      </w:r>
      <w:r w:rsidRPr="00C72799">
        <w:t xml:space="preserve"> residential customers for </w:t>
      </w:r>
      <w:r w:rsidRPr="00C72799">
        <w:rPr>
          <w:b/>
        </w:rPr>
        <w:t>not</w:t>
      </w:r>
      <w:r w:rsidRPr="00C72799">
        <w:t xml:space="preserve"> having an advanced electric meter at their homes.  Duke seeks to establish a one-time charge of $1,073.10 </w:t>
      </w:r>
      <w:r w:rsidR="007A33AC">
        <w:t>to remove an advanced meter that was already installed and to replace it with a non-advanced meter.</w:t>
      </w:r>
      <w:r w:rsidR="007A33AC" w:rsidRPr="007A33AC">
        <w:rPr>
          <w:vertAlign w:val="superscript"/>
        </w:rPr>
        <w:t xml:space="preserve"> </w:t>
      </w:r>
      <w:r w:rsidR="007A33AC" w:rsidRPr="00C72799">
        <w:rPr>
          <w:vertAlign w:val="superscript"/>
        </w:rPr>
        <w:footnoteReference w:id="2"/>
      </w:r>
      <w:r w:rsidR="007A33AC">
        <w:t xml:space="preserve">  Duke also proposes </w:t>
      </w:r>
      <w:r w:rsidRPr="00C72799">
        <w:t xml:space="preserve">a monthly meter reading charge of </w:t>
      </w:r>
      <w:r w:rsidRPr="00C72799">
        <w:rPr>
          <w:szCs w:val="24"/>
        </w:rPr>
        <w:t>$40.63</w:t>
      </w:r>
      <w:r w:rsidR="007A33AC">
        <w:rPr>
          <w:szCs w:val="24"/>
        </w:rPr>
        <w:t>, regardless of whether the customer’s meter is actually read in a given month</w:t>
      </w:r>
      <w:r w:rsidRPr="00C72799">
        <w:rPr>
          <w:szCs w:val="24"/>
        </w:rPr>
        <w:t>.</w:t>
      </w:r>
      <w:r w:rsidR="007A33AC">
        <w:rPr>
          <w:rStyle w:val="FootnoteReference"/>
          <w:szCs w:val="24"/>
        </w:rPr>
        <w:footnoteReference w:id="3"/>
      </w:r>
      <w:r w:rsidRPr="00C72799">
        <w:rPr>
          <w:szCs w:val="24"/>
        </w:rPr>
        <w:t xml:space="preserve">  </w:t>
      </w:r>
    </w:p>
    <w:p w14:paraId="774EB662" w14:textId="77777777" w:rsidR="00C72799" w:rsidRPr="00C72799" w:rsidRDefault="00C72799" w:rsidP="00C72799">
      <w:pPr>
        <w:spacing w:line="480" w:lineRule="auto"/>
        <w:ind w:firstLine="720"/>
      </w:pPr>
      <w:r w:rsidRPr="00C72799">
        <w:t>On August 5, 2015, the Public Utilities Commission of Ohio (“PUCO”) issued an Entry establishing a procedural schedule for these cases.  Among other things, the Entry requires Duke and intervenors to file testimony by September 18, 2015.</w:t>
      </w:r>
      <w:r w:rsidRPr="00C72799">
        <w:rPr>
          <w:vertAlign w:val="superscript"/>
        </w:rPr>
        <w:footnoteReference w:id="4"/>
      </w:r>
      <w:r w:rsidRPr="00C72799">
        <w:t xml:space="preserve">  The PUCO </w:t>
      </w:r>
      <w:r w:rsidRPr="00C72799">
        <w:lastRenderedPageBreak/>
        <w:t>Staff’s testimony is due two weeks later, on October 2, 2015, and the hearing is scheduled for October 15, 2015.</w:t>
      </w:r>
      <w:r w:rsidRPr="00C72799">
        <w:rPr>
          <w:vertAlign w:val="superscript"/>
        </w:rPr>
        <w:footnoteReference w:id="5"/>
      </w:r>
    </w:p>
    <w:p w14:paraId="469E8D69" w14:textId="5E8C8D2C" w:rsidR="000E1AD0" w:rsidRDefault="00E55273" w:rsidP="007A33AC">
      <w:pPr>
        <w:tabs>
          <w:tab w:val="left" w:pos="720"/>
        </w:tabs>
        <w:spacing w:line="480" w:lineRule="auto"/>
        <w:ind w:firstLine="720"/>
      </w:pPr>
      <w:r>
        <w:t>On August 19, 2015, t</w:t>
      </w:r>
      <w:r w:rsidR="00C72799" w:rsidRPr="00C72799">
        <w:t>he Office of the Ohio Consumers’ Counsel (“OCC”),</w:t>
      </w:r>
      <w:r>
        <w:t xml:space="preserve"> filed a motion asking</w:t>
      </w:r>
      <w:r w:rsidR="00C72799" w:rsidRPr="00C72799">
        <w:t xml:space="preserve"> the PUCO to amend the procedural schedule.  OCC ask</w:t>
      </w:r>
      <w:r>
        <w:t>ed</w:t>
      </w:r>
      <w:r w:rsidR="00C72799" w:rsidRPr="00C72799">
        <w:t xml:space="preserve"> the PUCO to move the due date of intervenor testimony to the same date that the PUCO Staff’s testimony is due, i.e., October 2, 2015.  </w:t>
      </w:r>
      <w:r>
        <w:t>OCC noted that Duke has the burden of proof in this case, but did not file testimony with the Application.</w:t>
      </w:r>
      <w:r>
        <w:rPr>
          <w:rStyle w:val="FootnoteReference"/>
        </w:rPr>
        <w:footnoteReference w:id="6"/>
      </w:r>
      <w:r>
        <w:t xml:space="preserve">  OCC stated that intervenors should have an opportunity to fully examine Duke’s claims before filing testimony of their own, which would assist the PUCO in having a more complete and better-informed record.</w:t>
      </w:r>
      <w:r>
        <w:rPr>
          <w:rStyle w:val="FootnoteReference"/>
        </w:rPr>
        <w:footnoteReference w:id="7"/>
      </w:r>
      <w:r>
        <w:t xml:space="preserve">  Allowing intervenors to file their testimony after Duke would also be consistent with other cases</w:t>
      </w:r>
      <w:r w:rsidR="000E1AD0">
        <w:t>.</w:t>
      </w:r>
      <w:r>
        <w:rPr>
          <w:rStyle w:val="FootnoteReference"/>
        </w:rPr>
        <w:footnoteReference w:id="8"/>
      </w:r>
      <w:r w:rsidR="002C07EE">
        <w:t xml:space="preserve">  OCC does not ask for the start of the hearing to be delayed.</w:t>
      </w:r>
    </w:p>
    <w:p w14:paraId="04B999D4" w14:textId="32E52F6F" w:rsidR="00364418" w:rsidRDefault="00364418" w:rsidP="007A33AC">
      <w:pPr>
        <w:tabs>
          <w:tab w:val="left" w:pos="720"/>
        </w:tabs>
        <w:spacing w:line="480" w:lineRule="auto"/>
        <w:ind w:firstLine="720"/>
      </w:pPr>
      <w:r>
        <w:t xml:space="preserve">Duke filed a Memorandum Contra OCC’s Motion on August 25, 2015.  </w:t>
      </w:r>
      <w:r w:rsidR="00F83F41">
        <w:t>Duke asserts that OCC has not been precluded from fully examining the costs at issue in this case.</w:t>
      </w:r>
      <w:r w:rsidR="00F83F41">
        <w:rPr>
          <w:rStyle w:val="FootnoteReference"/>
        </w:rPr>
        <w:footnoteReference w:id="9"/>
      </w:r>
      <w:r w:rsidR="00F83F41">
        <w:t xml:space="preserve">  Duke also contends that </w:t>
      </w:r>
      <w:r w:rsidR="00A218A6">
        <w:t>granting</w:t>
      </w:r>
      <w:r w:rsidR="00F83F41">
        <w:t xml:space="preserve"> OCC’s </w:t>
      </w:r>
      <w:r w:rsidR="00A218A6">
        <w:t>motion would allow intervenors to file the equivalent of reply or</w:t>
      </w:r>
      <w:r w:rsidR="00F83F41">
        <w:t xml:space="preserve"> rebut</w:t>
      </w:r>
      <w:r w:rsidR="00A218A6">
        <w:t>tal</w:t>
      </w:r>
      <w:r w:rsidR="00F83F41">
        <w:t xml:space="preserve"> testimony.</w:t>
      </w:r>
      <w:r w:rsidR="00F83F41">
        <w:rPr>
          <w:rStyle w:val="FootnoteReference"/>
        </w:rPr>
        <w:footnoteReference w:id="10"/>
      </w:r>
      <w:r w:rsidR="00F83F41">
        <w:t xml:space="preserve">  In addition, Duke claims that OCC is </w:t>
      </w:r>
      <w:r w:rsidR="00F83F41">
        <w:lastRenderedPageBreak/>
        <w:t>asking for more time to write testimony.</w:t>
      </w:r>
      <w:r w:rsidR="00F83F41">
        <w:rPr>
          <w:rStyle w:val="FootnoteReference"/>
        </w:rPr>
        <w:footnoteReference w:id="11"/>
      </w:r>
      <w:r w:rsidR="00F83F41">
        <w:t xml:space="preserve">  All these assertions are untrue, as discussed below.</w:t>
      </w:r>
      <w:r w:rsidR="00F934BA">
        <w:rPr>
          <w:rStyle w:val="FootnoteReference"/>
        </w:rPr>
        <w:footnoteReference w:id="12"/>
      </w:r>
    </w:p>
    <w:p w14:paraId="513B239A" w14:textId="42D4828C" w:rsidR="000E1AD0" w:rsidRPr="000E1AD0" w:rsidRDefault="00A4521D" w:rsidP="00A4521D">
      <w:pPr>
        <w:tabs>
          <w:tab w:val="left" w:pos="720"/>
        </w:tabs>
        <w:spacing w:before="240" w:line="480" w:lineRule="auto"/>
        <w:rPr>
          <w:b/>
        </w:rPr>
      </w:pPr>
      <w:r>
        <w:rPr>
          <w:b/>
        </w:rPr>
        <w:t>II.</w:t>
      </w:r>
      <w:r>
        <w:rPr>
          <w:b/>
        </w:rPr>
        <w:tab/>
      </w:r>
      <w:r w:rsidR="00F83F41">
        <w:rPr>
          <w:b/>
        </w:rPr>
        <w:t>REPLY</w:t>
      </w:r>
    </w:p>
    <w:p w14:paraId="2BC57CDC" w14:textId="0249DA51" w:rsidR="004A1895" w:rsidRPr="00410C53" w:rsidRDefault="00410C53" w:rsidP="007E2E62">
      <w:pPr>
        <w:numPr>
          <w:ilvl w:val="0"/>
          <w:numId w:val="23"/>
        </w:numPr>
        <w:tabs>
          <w:tab w:val="left" w:pos="720"/>
        </w:tabs>
        <w:spacing w:after="240"/>
        <w:ind w:left="1440" w:right="720" w:hanging="720"/>
        <w:rPr>
          <w:rFonts w:eastAsia="Calibri"/>
          <w:b/>
          <w:szCs w:val="24"/>
        </w:rPr>
      </w:pPr>
      <w:r>
        <w:rPr>
          <w:rFonts w:eastAsia="Calibri"/>
          <w:b/>
          <w:szCs w:val="24"/>
        </w:rPr>
        <w:t xml:space="preserve">Duke mischaracterizes what is being sought in OCC’s Motion to Amend. </w:t>
      </w:r>
    </w:p>
    <w:p w14:paraId="4D744238" w14:textId="1554E9DE" w:rsidR="00410C53" w:rsidRDefault="00410C53" w:rsidP="00410C53">
      <w:pPr>
        <w:tabs>
          <w:tab w:val="left" w:pos="720"/>
        </w:tabs>
        <w:spacing w:line="480" w:lineRule="auto"/>
        <w:ind w:firstLine="720"/>
        <w:rPr>
          <w:rFonts w:eastAsia="Calibri"/>
          <w:szCs w:val="24"/>
        </w:rPr>
      </w:pPr>
      <w:r>
        <w:rPr>
          <w:rFonts w:eastAsia="Calibri"/>
          <w:szCs w:val="24"/>
        </w:rPr>
        <w:t>Duke asserts that OCC “requires more time for discovery, and if necessary, depositions of Duke Energy Ohio’s witness(es).”</w:t>
      </w:r>
      <w:r>
        <w:rPr>
          <w:rStyle w:val="FootnoteReference"/>
          <w:rFonts w:eastAsia="Calibri"/>
          <w:szCs w:val="24"/>
        </w:rPr>
        <w:footnoteReference w:id="13"/>
      </w:r>
      <w:r>
        <w:rPr>
          <w:rFonts w:eastAsia="Calibri"/>
          <w:szCs w:val="24"/>
        </w:rPr>
        <w:t xml:space="preserve">  </w:t>
      </w:r>
      <w:r w:rsidR="00CD4FF2">
        <w:rPr>
          <w:rFonts w:eastAsia="Calibri"/>
          <w:szCs w:val="24"/>
        </w:rPr>
        <w:t xml:space="preserve">Duke does not cite to the portion of the Motion to Amend where OCC asks for additional for discovery.  In fact, OCC did not make such a request.  </w:t>
      </w:r>
      <w:r>
        <w:rPr>
          <w:rFonts w:eastAsia="Calibri"/>
          <w:szCs w:val="24"/>
        </w:rPr>
        <w:t>Duke has mischaracterized the nature of OCC’s Motion to Amend.</w:t>
      </w:r>
    </w:p>
    <w:p w14:paraId="13758ECE" w14:textId="5B25A5FE" w:rsidR="003C4F62" w:rsidRDefault="00410C53" w:rsidP="00410C53">
      <w:pPr>
        <w:tabs>
          <w:tab w:val="left" w:pos="720"/>
        </w:tabs>
        <w:spacing w:line="480" w:lineRule="auto"/>
        <w:ind w:firstLine="720"/>
      </w:pPr>
      <w:r>
        <w:rPr>
          <w:rFonts w:eastAsia="Calibri"/>
          <w:szCs w:val="24"/>
        </w:rPr>
        <w:t>OCC</w:t>
      </w:r>
      <w:r w:rsidR="00132BB0">
        <w:rPr>
          <w:rFonts w:eastAsia="Calibri"/>
          <w:szCs w:val="24"/>
        </w:rPr>
        <w:t xml:space="preserve"> does not</w:t>
      </w:r>
      <w:r w:rsidR="00510A4E">
        <w:rPr>
          <w:rFonts w:eastAsia="Calibri"/>
          <w:szCs w:val="24"/>
        </w:rPr>
        <w:t xml:space="preserve"> seek</w:t>
      </w:r>
      <w:r w:rsidR="00132BB0">
        <w:rPr>
          <w:rFonts w:eastAsia="Calibri"/>
          <w:szCs w:val="24"/>
        </w:rPr>
        <w:t xml:space="preserve"> additional time for discovery</w:t>
      </w:r>
      <w:r>
        <w:rPr>
          <w:rFonts w:eastAsia="Calibri"/>
          <w:szCs w:val="24"/>
        </w:rPr>
        <w:t>.  There is no discovery cut-off date in these proceedings, hence Ohio Adm. Code 4901-1-17 applies.  That rule allows, except in long-term forecasting cases, that “</w:t>
      </w:r>
      <w:r>
        <w:t xml:space="preserve">discovery may begin immediately after a proceeding is commenced and should be completed as expeditiously as possible.  Unless otherwise ordered for good cause shown, discovery must be completed prior to the commencement of the hearing.”  Thus, parties may conduct </w:t>
      </w:r>
      <w:r w:rsidR="00A4521D">
        <w:t xml:space="preserve">discovery in these proceedings </w:t>
      </w:r>
      <w:r>
        <w:t>at any time so long as it is completed by the hearing date.</w:t>
      </w:r>
    </w:p>
    <w:p w14:paraId="5AAC68CC" w14:textId="3595A97F" w:rsidR="00010B5A" w:rsidRDefault="00132BB0" w:rsidP="00010B5A">
      <w:pPr>
        <w:tabs>
          <w:tab w:val="left" w:pos="720"/>
        </w:tabs>
        <w:spacing w:line="480" w:lineRule="auto"/>
        <w:ind w:firstLine="720"/>
      </w:pPr>
      <w:r>
        <w:t xml:space="preserve">OCC’s Motion to Amend merely asks that intervenors be allowed to file their testimony after Duke has filed its testimony.  Duke has not yet filed support, in the record of these proceedings, for the alleged costs it intends to collect from customers who do not have an advanced meter.  That support will not be filed until September 18, 2015, the day </w:t>
      </w:r>
      <w:r>
        <w:lastRenderedPageBreak/>
        <w:t xml:space="preserve">intervenors must file their own testimony under the current procedural schedule.  </w:t>
      </w:r>
      <w:r w:rsidR="00010B5A">
        <w:t xml:space="preserve">Although OCC has conducted discovery on the Application as filed, OCC cannot be certain that its discovery has addressed all the issues Duke may raise in its testimony.  </w:t>
      </w:r>
    </w:p>
    <w:p w14:paraId="74AD3B72" w14:textId="4B8BC151" w:rsidR="000D46E7" w:rsidRDefault="00010B5A" w:rsidP="00010B5A">
      <w:pPr>
        <w:tabs>
          <w:tab w:val="left" w:pos="720"/>
        </w:tabs>
        <w:spacing w:line="480" w:lineRule="auto"/>
        <w:ind w:firstLine="720"/>
        <w:rPr>
          <w:rFonts w:eastAsia="Calibri"/>
          <w:szCs w:val="24"/>
        </w:rPr>
      </w:pPr>
      <w:r>
        <w:t>In order to assist the PUCO in compiling a complete and well-informed record, i</w:t>
      </w:r>
      <w:r w:rsidR="00132BB0">
        <w:t xml:space="preserve">ntervenors should have the opportunity to further explore Duke’s testimony </w:t>
      </w:r>
      <w:r w:rsidR="00132BB0" w:rsidRPr="00010B5A">
        <w:rPr>
          <w:i/>
        </w:rPr>
        <w:t>before</w:t>
      </w:r>
      <w:r w:rsidR="00132BB0">
        <w:t xml:space="preserve"> they must file their own testimony.  That is best done through depositions, but at the moment </w:t>
      </w:r>
      <w:r>
        <w:t xml:space="preserve">Duke has submitted </w:t>
      </w:r>
      <w:r w:rsidR="00132BB0">
        <w:t>no witness testimony on which to base depositions.</w:t>
      </w:r>
      <w:r>
        <w:t xml:space="preserve">  That is the reason for OCC’s Motion to Amend, and the PUCO should grant the Motion.</w:t>
      </w:r>
    </w:p>
    <w:p w14:paraId="025DCF3A" w14:textId="7E79544E" w:rsidR="000D46E7" w:rsidRPr="000D46E7" w:rsidRDefault="00410C53" w:rsidP="007E2E62">
      <w:pPr>
        <w:numPr>
          <w:ilvl w:val="0"/>
          <w:numId w:val="23"/>
        </w:numPr>
        <w:tabs>
          <w:tab w:val="left" w:pos="720"/>
        </w:tabs>
        <w:spacing w:after="240"/>
        <w:ind w:left="1440" w:right="720" w:hanging="720"/>
        <w:rPr>
          <w:rFonts w:eastAsia="Calibri"/>
          <w:b/>
          <w:szCs w:val="24"/>
        </w:rPr>
      </w:pPr>
      <w:r>
        <w:rPr>
          <w:rFonts w:eastAsia="Calibri"/>
          <w:b/>
          <w:szCs w:val="24"/>
        </w:rPr>
        <w:t xml:space="preserve">Until Duke files testimony in this proceeding, intervenors can only guess at the actual basis for Duke’s claimed costs for removing/replacing an advanced meter and for reading a non-advanced meter each month. </w:t>
      </w:r>
    </w:p>
    <w:p w14:paraId="62B676B5" w14:textId="6F726D16" w:rsidR="00591F07" w:rsidRDefault="003463C8" w:rsidP="00591F07">
      <w:pPr>
        <w:tabs>
          <w:tab w:val="left" w:pos="720"/>
        </w:tabs>
        <w:spacing w:line="480" w:lineRule="auto"/>
        <w:ind w:firstLine="720"/>
      </w:pPr>
      <w:r>
        <w:rPr>
          <w:rFonts w:eastAsia="Calibri"/>
          <w:szCs w:val="24"/>
        </w:rPr>
        <w:t>Duke filed its Application on June 27, 2014.  Two months later</w:t>
      </w:r>
      <w:r w:rsidR="00F934BA">
        <w:rPr>
          <w:rFonts w:eastAsia="Calibri"/>
          <w:szCs w:val="24"/>
        </w:rPr>
        <w:t xml:space="preserve"> and on its own initiative</w:t>
      </w:r>
      <w:r>
        <w:rPr>
          <w:rFonts w:eastAsia="Calibri"/>
          <w:szCs w:val="24"/>
        </w:rPr>
        <w:t xml:space="preserve">, OCC filed </w:t>
      </w:r>
      <w:r w:rsidR="00CD4FF2">
        <w:rPr>
          <w:rFonts w:eastAsia="Calibri"/>
          <w:szCs w:val="24"/>
        </w:rPr>
        <w:t>Initial O</w:t>
      </w:r>
      <w:r>
        <w:rPr>
          <w:rFonts w:eastAsia="Calibri"/>
          <w:szCs w:val="24"/>
        </w:rPr>
        <w:t>bjections to the Application</w:t>
      </w:r>
      <w:r w:rsidR="00CD4FF2">
        <w:rPr>
          <w:rFonts w:eastAsia="Calibri"/>
          <w:szCs w:val="24"/>
        </w:rPr>
        <w:t>.</w:t>
      </w:r>
      <w:r w:rsidR="00CD4FF2">
        <w:rPr>
          <w:rStyle w:val="FootnoteReference"/>
          <w:rFonts w:eastAsia="Calibri"/>
          <w:szCs w:val="24"/>
        </w:rPr>
        <w:footnoteReference w:id="14"/>
      </w:r>
      <w:r>
        <w:rPr>
          <w:rFonts w:eastAsia="Calibri"/>
          <w:szCs w:val="24"/>
        </w:rPr>
        <w:t xml:space="preserve"> </w:t>
      </w:r>
      <w:r w:rsidR="00CD4FF2">
        <w:rPr>
          <w:rFonts w:eastAsia="Calibri"/>
          <w:szCs w:val="24"/>
        </w:rPr>
        <w:t xml:space="preserve"> OCC’s Initial Objections </w:t>
      </w:r>
      <w:r w:rsidR="00510A4E">
        <w:rPr>
          <w:rFonts w:eastAsia="Calibri"/>
          <w:szCs w:val="24"/>
        </w:rPr>
        <w:t xml:space="preserve">observed </w:t>
      </w:r>
      <w:r w:rsidR="00CD4FF2">
        <w:rPr>
          <w:rFonts w:eastAsia="Calibri"/>
          <w:szCs w:val="24"/>
        </w:rPr>
        <w:t xml:space="preserve">that </w:t>
      </w:r>
      <w:r w:rsidR="00CD4FF2" w:rsidRPr="00CD4FF2">
        <w:t xml:space="preserve">Duke has not provided sufficient documentation in the record of this proceeding to support its claim </w:t>
      </w:r>
      <w:r w:rsidR="00CD4FF2">
        <w:t xml:space="preserve">regarding the costs it </w:t>
      </w:r>
      <w:r w:rsidR="00CD4FF2" w:rsidRPr="00CD4FF2">
        <w:t>would incur to implement the opt-out service.</w:t>
      </w:r>
      <w:r w:rsidR="00CD4FF2" w:rsidRPr="00CD4FF2">
        <w:rPr>
          <w:vertAlign w:val="superscript"/>
        </w:rPr>
        <w:footnoteReference w:id="15"/>
      </w:r>
      <w:r w:rsidR="00CD4FF2" w:rsidRPr="00CD4FF2">
        <w:t xml:space="preserve">  </w:t>
      </w:r>
      <w:r w:rsidR="00510A4E">
        <w:t>OCC also noted that Duke’s proposed</w:t>
      </w:r>
      <w:r w:rsidR="00CD4FF2" w:rsidRPr="00CD4FF2">
        <w:t xml:space="preserve"> per-customer charges are based on unsupported assumptions regarding the number of customers who would choose not to have an advanced meter at their homes.</w:t>
      </w:r>
      <w:r w:rsidR="00510A4E">
        <w:rPr>
          <w:rStyle w:val="FootnoteReference"/>
        </w:rPr>
        <w:footnoteReference w:id="16"/>
      </w:r>
      <w:r w:rsidR="00CD4FF2" w:rsidRPr="00CD4FF2">
        <w:t xml:space="preserve">  In addition, </w:t>
      </w:r>
      <w:r w:rsidR="00510A4E">
        <w:t xml:space="preserve">OCC stated that </w:t>
      </w:r>
      <w:r w:rsidR="00CD4FF2" w:rsidRPr="00CD4FF2">
        <w:t xml:space="preserve">Duke has not </w:t>
      </w:r>
      <w:r w:rsidR="00CD4FF2" w:rsidRPr="00CD4FF2">
        <w:lastRenderedPageBreak/>
        <w:t>explained the details concerning its proposal to defer information technology costs</w:t>
      </w:r>
      <w:r w:rsidR="00510A4E">
        <w:t xml:space="preserve"> and that has not offered details of the annual costs or how the annual costs were calculated</w:t>
      </w:r>
      <w:r w:rsidR="00CD4FF2" w:rsidRPr="00CD4FF2">
        <w:t>.</w:t>
      </w:r>
      <w:r w:rsidR="00510A4E">
        <w:rPr>
          <w:rStyle w:val="FootnoteReference"/>
        </w:rPr>
        <w:footnoteReference w:id="17"/>
      </w:r>
      <w:r w:rsidR="002D0C15">
        <w:t xml:space="preserve">  </w:t>
      </w:r>
    </w:p>
    <w:p w14:paraId="679C4D72" w14:textId="2480FFD6" w:rsidR="003C4F62" w:rsidRDefault="00591F07" w:rsidP="00591F07">
      <w:pPr>
        <w:tabs>
          <w:tab w:val="left" w:pos="720"/>
        </w:tabs>
        <w:spacing w:line="480" w:lineRule="auto"/>
        <w:ind w:firstLine="720"/>
      </w:pPr>
      <w:r>
        <w:t>A year has passed since OCC filed its Initial Objections and Duke has yet to provide any documentation in the record of these proceedings in response to OCC’s objections or in support of the Application.  The record support for Duke’s Application is as inadequate today as it was when the Application was filed.</w:t>
      </w:r>
    </w:p>
    <w:p w14:paraId="3A8A0DBE" w14:textId="4DC7D191" w:rsidR="00591F07" w:rsidRDefault="00591F07" w:rsidP="00591F07">
      <w:pPr>
        <w:tabs>
          <w:tab w:val="left" w:pos="720"/>
        </w:tabs>
        <w:spacing w:line="480" w:lineRule="auto"/>
        <w:ind w:firstLine="720"/>
        <w:rPr>
          <w:rFonts w:eastAsia="Calibri"/>
          <w:szCs w:val="24"/>
        </w:rPr>
      </w:pPr>
      <w:r>
        <w:rPr>
          <w:rFonts w:eastAsia="Calibri"/>
          <w:szCs w:val="24"/>
        </w:rPr>
        <w:t>Duke has the burden of proof in these cases regarding the alleged costs and the calculations for the customer charges.</w:t>
      </w:r>
      <w:r w:rsidR="005174F7">
        <w:rPr>
          <w:rStyle w:val="FootnoteReference"/>
          <w:rFonts w:eastAsia="Calibri"/>
          <w:szCs w:val="24"/>
        </w:rPr>
        <w:footnoteReference w:id="18"/>
      </w:r>
      <w:r>
        <w:rPr>
          <w:rFonts w:eastAsia="Calibri"/>
          <w:szCs w:val="24"/>
        </w:rPr>
        <w:t xml:space="preserve">  Yet Duke has not explained its costs or its calculations in the record.  Intervenors should not </w:t>
      </w:r>
      <w:r w:rsidR="005174F7">
        <w:rPr>
          <w:rFonts w:eastAsia="Calibri"/>
          <w:szCs w:val="24"/>
        </w:rPr>
        <w:t xml:space="preserve">have </w:t>
      </w:r>
      <w:r>
        <w:rPr>
          <w:rFonts w:eastAsia="Calibri"/>
          <w:szCs w:val="24"/>
        </w:rPr>
        <w:t xml:space="preserve">to only guess what Duke will include in its testimony before filing their own testimony.  Duke should be required to file </w:t>
      </w:r>
      <w:r w:rsidR="00916233">
        <w:rPr>
          <w:rFonts w:eastAsia="Calibri"/>
          <w:szCs w:val="24"/>
        </w:rPr>
        <w:t xml:space="preserve">its </w:t>
      </w:r>
      <w:r>
        <w:rPr>
          <w:rFonts w:eastAsia="Calibri"/>
          <w:szCs w:val="24"/>
        </w:rPr>
        <w:t xml:space="preserve">testimony first, so </w:t>
      </w:r>
      <w:r w:rsidR="00011F3B">
        <w:rPr>
          <w:rFonts w:eastAsia="Calibri"/>
          <w:szCs w:val="24"/>
        </w:rPr>
        <w:t>the record</w:t>
      </w:r>
      <w:r>
        <w:rPr>
          <w:rFonts w:eastAsia="Calibri"/>
          <w:szCs w:val="24"/>
        </w:rPr>
        <w:t xml:space="preserve"> </w:t>
      </w:r>
      <w:r w:rsidR="00011F3B">
        <w:rPr>
          <w:rFonts w:eastAsia="Calibri"/>
          <w:szCs w:val="24"/>
        </w:rPr>
        <w:t>may</w:t>
      </w:r>
      <w:r>
        <w:rPr>
          <w:rFonts w:eastAsia="Calibri"/>
          <w:szCs w:val="24"/>
        </w:rPr>
        <w:t xml:space="preserve"> </w:t>
      </w:r>
      <w:r w:rsidR="00011F3B">
        <w:rPr>
          <w:rFonts w:eastAsia="Calibri"/>
          <w:szCs w:val="24"/>
        </w:rPr>
        <w:t xml:space="preserve">contain an </w:t>
      </w:r>
      <w:r w:rsidR="00916233">
        <w:rPr>
          <w:rFonts w:eastAsia="Calibri"/>
          <w:szCs w:val="24"/>
        </w:rPr>
        <w:t>explanation of the alleged costs at issue in these proceedings before intervenors file their testimony.</w:t>
      </w:r>
    </w:p>
    <w:p w14:paraId="044CF99E" w14:textId="64B72518" w:rsidR="00A218A6" w:rsidRPr="00A218A6" w:rsidRDefault="00A218A6" w:rsidP="007E2E62">
      <w:pPr>
        <w:tabs>
          <w:tab w:val="left" w:pos="720"/>
        </w:tabs>
        <w:spacing w:after="240"/>
        <w:ind w:left="1440" w:right="720" w:hanging="720"/>
        <w:rPr>
          <w:rFonts w:eastAsia="Calibri"/>
          <w:b/>
          <w:szCs w:val="24"/>
        </w:rPr>
      </w:pPr>
      <w:r>
        <w:rPr>
          <w:rFonts w:eastAsia="Calibri"/>
          <w:b/>
          <w:szCs w:val="24"/>
        </w:rPr>
        <w:t>C.</w:t>
      </w:r>
      <w:r>
        <w:rPr>
          <w:rFonts w:eastAsia="Calibri"/>
          <w:b/>
          <w:szCs w:val="24"/>
        </w:rPr>
        <w:tab/>
      </w:r>
      <w:r w:rsidR="00410C53">
        <w:rPr>
          <w:rFonts w:eastAsia="Calibri"/>
          <w:b/>
          <w:szCs w:val="24"/>
        </w:rPr>
        <w:t>Duke’s assertions about the nature of intervenors</w:t>
      </w:r>
      <w:r w:rsidR="00373ABC">
        <w:rPr>
          <w:rFonts w:eastAsia="Calibri"/>
          <w:b/>
          <w:szCs w:val="24"/>
        </w:rPr>
        <w:t>’</w:t>
      </w:r>
      <w:r w:rsidR="00410C53">
        <w:rPr>
          <w:rFonts w:eastAsia="Calibri"/>
          <w:b/>
          <w:szCs w:val="24"/>
        </w:rPr>
        <w:t xml:space="preserve"> testimony and the need for Duke to file supplemental testimony are baseless</w:t>
      </w:r>
      <w:r w:rsidR="00410C53" w:rsidRPr="000D46E7">
        <w:rPr>
          <w:rFonts w:eastAsia="Calibri"/>
          <w:b/>
          <w:szCs w:val="24"/>
        </w:rPr>
        <w:t>.</w:t>
      </w:r>
    </w:p>
    <w:p w14:paraId="15612622" w14:textId="0E4DF9D8" w:rsidR="005174F7" w:rsidRDefault="00D01EE0" w:rsidP="005174F7">
      <w:pPr>
        <w:tabs>
          <w:tab w:val="left" w:pos="720"/>
        </w:tabs>
        <w:spacing w:line="480" w:lineRule="auto"/>
        <w:ind w:firstLine="720"/>
        <w:rPr>
          <w:rFonts w:eastAsia="Calibri"/>
          <w:szCs w:val="24"/>
        </w:rPr>
      </w:pPr>
      <w:r>
        <w:rPr>
          <w:rFonts w:eastAsia="Calibri"/>
          <w:szCs w:val="24"/>
        </w:rPr>
        <w:t xml:space="preserve"> </w:t>
      </w:r>
      <w:r w:rsidR="005174F7">
        <w:rPr>
          <w:rFonts w:eastAsia="Calibri"/>
          <w:szCs w:val="24"/>
        </w:rPr>
        <w:t>Duke claims: “The focus of OCC’s testimony is necessarily upon the Company’s original application.  Allowing OCC to file testimony later in the proceeding will permit OCC to submit the equivalent of reply testimony or rebuttal testimony.  If OCC were permitted to do so, it would then become necessary to allow the Company to file supplemental testimony to respond.</w:t>
      </w:r>
      <w:r w:rsidR="005C244A">
        <w:rPr>
          <w:rFonts w:eastAsia="Calibri"/>
          <w:szCs w:val="24"/>
        </w:rPr>
        <w:t>”</w:t>
      </w:r>
      <w:r w:rsidR="005C244A">
        <w:rPr>
          <w:rStyle w:val="FootnoteReference"/>
          <w:rFonts w:eastAsia="Calibri"/>
          <w:szCs w:val="24"/>
        </w:rPr>
        <w:footnoteReference w:id="19"/>
      </w:r>
      <w:r w:rsidR="005C244A">
        <w:rPr>
          <w:rFonts w:eastAsia="Calibri"/>
          <w:szCs w:val="24"/>
        </w:rPr>
        <w:t xml:space="preserve">  Duke is wrong.</w:t>
      </w:r>
    </w:p>
    <w:p w14:paraId="162115CC" w14:textId="4676E09B" w:rsidR="005C244A" w:rsidRDefault="005C244A" w:rsidP="005174F7">
      <w:pPr>
        <w:tabs>
          <w:tab w:val="left" w:pos="720"/>
        </w:tabs>
        <w:spacing w:line="480" w:lineRule="auto"/>
        <w:ind w:firstLine="720"/>
        <w:rPr>
          <w:rFonts w:eastAsia="Calibri"/>
          <w:szCs w:val="24"/>
        </w:rPr>
      </w:pPr>
      <w:r>
        <w:rPr>
          <w:rFonts w:eastAsia="Calibri"/>
          <w:szCs w:val="24"/>
        </w:rPr>
        <w:lastRenderedPageBreak/>
        <w:t xml:space="preserve">The focus of OCC’s testimony – and indeed this entire proceeding – is not only the inadequate Application, but also Duke’s support for the alleged costs.  Intervenors cannot examine the costs included in the Application without knowing the justification for the costs that Duke will have in the record.  </w:t>
      </w:r>
      <w:r w:rsidR="0097564C">
        <w:rPr>
          <w:rFonts w:eastAsia="Calibri"/>
          <w:szCs w:val="24"/>
        </w:rPr>
        <w:t>That justification has not yet occurred, but is supposed to be included in Duke’s testimony to be filed on September 18, 2015 (nearly 15 months after the Application was filed).</w:t>
      </w:r>
    </w:p>
    <w:p w14:paraId="5896595D" w14:textId="73471B84" w:rsidR="00490CDC" w:rsidRPr="0097564C" w:rsidRDefault="0097564C" w:rsidP="00490CDC">
      <w:pPr>
        <w:tabs>
          <w:tab w:val="left" w:pos="720"/>
        </w:tabs>
        <w:spacing w:line="480" w:lineRule="auto"/>
        <w:ind w:firstLine="720"/>
        <w:rPr>
          <w:rFonts w:eastAsia="Calibri"/>
          <w:szCs w:val="24"/>
        </w:rPr>
      </w:pPr>
      <w:r>
        <w:rPr>
          <w:rFonts w:eastAsia="Calibri"/>
          <w:szCs w:val="24"/>
        </w:rPr>
        <w:t>Intervenors’ testimony</w:t>
      </w:r>
      <w:r w:rsidR="00011F3B">
        <w:rPr>
          <w:rFonts w:eastAsia="Calibri"/>
          <w:szCs w:val="24"/>
        </w:rPr>
        <w:t xml:space="preserve"> – even if filed after Duke’s testimony –</w:t>
      </w:r>
      <w:r>
        <w:rPr>
          <w:rFonts w:eastAsia="Calibri"/>
          <w:szCs w:val="24"/>
        </w:rPr>
        <w:t xml:space="preserve"> should not be considered to be reply or rebuttal testimony, but instead is initial direct testimony that examines what hopefully will be the justification for the costs involved.  </w:t>
      </w:r>
      <w:r w:rsidR="00490CDC">
        <w:rPr>
          <w:rFonts w:eastAsia="Calibri"/>
          <w:szCs w:val="24"/>
        </w:rPr>
        <w:t>As discussed above, that examination cannot occur until after Duke files its initial testimony.</w:t>
      </w:r>
      <w:r w:rsidR="00CB6C8E">
        <w:rPr>
          <w:rFonts w:eastAsia="Calibri"/>
          <w:szCs w:val="24"/>
        </w:rPr>
        <w:t xml:space="preserve">  Further, Duke should not be allowed to file supplemental testimony, as it requests.</w:t>
      </w:r>
      <w:r w:rsidR="00CB6C8E">
        <w:rPr>
          <w:rStyle w:val="FootnoteReference"/>
          <w:rFonts w:eastAsia="Calibri"/>
          <w:szCs w:val="24"/>
        </w:rPr>
        <w:footnoteReference w:id="20"/>
      </w:r>
      <w:r w:rsidR="00CB6C8E">
        <w:rPr>
          <w:rFonts w:eastAsia="Calibri"/>
          <w:szCs w:val="24"/>
        </w:rPr>
        <w:t xml:space="preserve">  Supplemental testimony is usually allowed only when the applicant has filed supporting testimony with the application.</w:t>
      </w:r>
      <w:r w:rsidR="00CB6C8E">
        <w:rPr>
          <w:rStyle w:val="FootnoteReference"/>
          <w:rFonts w:eastAsia="Calibri"/>
          <w:szCs w:val="24"/>
        </w:rPr>
        <w:footnoteReference w:id="21"/>
      </w:r>
      <w:r w:rsidR="00CB6C8E">
        <w:rPr>
          <w:rFonts w:eastAsia="Calibri"/>
          <w:szCs w:val="24"/>
        </w:rPr>
        <w:t xml:space="preserve">  Duke has had ample opportunity to justify its costs in the record and has not done so.  Any issue regarding rebuttal testimony should be raised at hearing.</w:t>
      </w:r>
      <w:r w:rsidR="00F934BA">
        <w:rPr>
          <w:rStyle w:val="FootnoteReference"/>
          <w:rFonts w:eastAsia="Calibri"/>
          <w:szCs w:val="24"/>
        </w:rPr>
        <w:footnoteReference w:id="22"/>
      </w:r>
    </w:p>
    <w:p w14:paraId="5A637C6A" w14:textId="6DA0FA64" w:rsidR="000E1AD0" w:rsidRPr="000E1AD0" w:rsidRDefault="007E2E62" w:rsidP="00891DEA">
      <w:pPr>
        <w:tabs>
          <w:tab w:val="left" w:pos="720"/>
        </w:tabs>
        <w:spacing w:before="240" w:line="480" w:lineRule="auto"/>
        <w:rPr>
          <w:b/>
        </w:rPr>
      </w:pPr>
      <w:r>
        <w:rPr>
          <w:b/>
        </w:rPr>
        <w:br w:type="page"/>
      </w:r>
      <w:r w:rsidR="00891DEA">
        <w:rPr>
          <w:b/>
        </w:rPr>
        <w:lastRenderedPageBreak/>
        <w:t>III.</w:t>
      </w:r>
      <w:r w:rsidR="00891DEA">
        <w:rPr>
          <w:b/>
        </w:rPr>
        <w:tab/>
      </w:r>
      <w:r w:rsidR="000E1AD0" w:rsidRPr="000E1AD0">
        <w:rPr>
          <w:b/>
        </w:rPr>
        <w:t>CONCLUSION</w:t>
      </w:r>
    </w:p>
    <w:p w14:paraId="45A9413F" w14:textId="49942CD3" w:rsidR="000E1AD0" w:rsidRPr="000E1AD0" w:rsidRDefault="00DA5898" w:rsidP="00DA5898">
      <w:pPr>
        <w:tabs>
          <w:tab w:val="left" w:pos="720"/>
        </w:tabs>
        <w:spacing w:line="480" w:lineRule="auto"/>
        <w:ind w:firstLine="720"/>
        <w:rPr>
          <w:szCs w:val="24"/>
        </w:rPr>
      </w:pPr>
      <w:r>
        <w:rPr>
          <w:rFonts w:eastAsia="Calibri"/>
          <w:szCs w:val="24"/>
        </w:rPr>
        <w:t xml:space="preserve">Duke’s arguments </w:t>
      </w:r>
      <w:r w:rsidR="00A4521D">
        <w:rPr>
          <w:rFonts w:eastAsia="Calibri"/>
          <w:szCs w:val="24"/>
        </w:rPr>
        <w:t xml:space="preserve">against </w:t>
      </w:r>
      <w:r>
        <w:rPr>
          <w:rFonts w:eastAsia="Calibri"/>
          <w:szCs w:val="24"/>
        </w:rPr>
        <w:t>OCC’s Motion to Amend are baseless and mischaracterize the nature of OCC’s Motion.  OCC’s proposal that intervenors file testimony in these cases by October 2, 2015 would not delay the hearing and would not disadvantage any party.  The PUCO should grant OCC’s Motion to Amend the Procedural Schedule in these proceedings</w:t>
      </w:r>
      <w:r w:rsidR="000E1AD0" w:rsidRPr="000E1AD0">
        <w:rPr>
          <w:rFonts w:eastAsia="Calibri"/>
          <w:szCs w:val="24"/>
        </w:rPr>
        <w:t>.</w:t>
      </w:r>
    </w:p>
    <w:p w14:paraId="10FF0EDB" w14:textId="77777777" w:rsidR="009D6B05" w:rsidRDefault="009D6B05">
      <w:pPr>
        <w:autoSpaceDE w:val="0"/>
        <w:autoSpaceDN w:val="0"/>
        <w:adjustRightInd w:val="0"/>
        <w:ind w:left="4320"/>
        <w:rPr>
          <w:szCs w:val="24"/>
        </w:rPr>
      </w:pPr>
      <w:r>
        <w:rPr>
          <w:szCs w:val="24"/>
        </w:rPr>
        <w:t>Respectfully submitted,</w:t>
      </w:r>
    </w:p>
    <w:p w14:paraId="23E99F3B" w14:textId="77777777" w:rsidR="009D6B05" w:rsidRDefault="009D6B05">
      <w:pPr>
        <w:autoSpaceDE w:val="0"/>
        <w:autoSpaceDN w:val="0"/>
        <w:adjustRightInd w:val="0"/>
        <w:ind w:left="4320"/>
        <w:rPr>
          <w:szCs w:val="24"/>
        </w:rPr>
      </w:pPr>
    </w:p>
    <w:p w14:paraId="058F7873" w14:textId="77777777" w:rsidR="003C4F62" w:rsidRPr="003C4F62" w:rsidRDefault="003C4F62" w:rsidP="003C4F62">
      <w:pPr>
        <w:tabs>
          <w:tab w:val="left" w:pos="4320"/>
        </w:tabs>
        <w:ind w:left="4320"/>
        <w:rPr>
          <w:szCs w:val="24"/>
        </w:rPr>
      </w:pPr>
      <w:r w:rsidRPr="003C4F62">
        <w:rPr>
          <w:szCs w:val="24"/>
        </w:rPr>
        <w:t>BRUCE J. WESTON (0016973)</w:t>
      </w:r>
    </w:p>
    <w:p w14:paraId="6C0C7F75" w14:textId="77777777" w:rsidR="003C4F62" w:rsidRPr="003C4F62" w:rsidRDefault="003C4F62" w:rsidP="003C4F62">
      <w:pPr>
        <w:tabs>
          <w:tab w:val="left" w:pos="4320"/>
        </w:tabs>
        <w:ind w:left="4320"/>
        <w:rPr>
          <w:szCs w:val="24"/>
        </w:rPr>
      </w:pPr>
      <w:r w:rsidRPr="003C4F62">
        <w:rPr>
          <w:szCs w:val="24"/>
        </w:rPr>
        <w:t>OHIO CONSUMERS’ COUNSEL</w:t>
      </w:r>
    </w:p>
    <w:p w14:paraId="3682A7BC" w14:textId="77777777" w:rsidR="003C4F62" w:rsidRPr="003C4F62" w:rsidRDefault="003C4F62" w:rsidP="003C4F62">
      <w:pPr>
        <w:tabs>
          <w:tab w:val="left" w:pos="4320"/>
        </w:tabs>
        <w:rPr>
          <w:szCs w:val="24"/>
        </w:rPr>
      </w:pPr>
      <w:r w:rsidRPr="003C4F62">
        <w:rPr>
          <w:szCs w:val="24"/>
        </w:rPr>
        <w:tab/>
      </w:r>
    </w:p>
    <w:p w14:paraId="4D69B748" w14:textId="4F53E7BA" w:rsidR="003C4F62" w:rsidRPr="003C4F62" w:rsidRDefault="003C4F62" w:rsidP="003C4F62">
      <w:pPr>
        <w:ind w:left="4320"/>
        <w:rPr>
          <w:i/>
          <w:u w:val="single"/>
        </w:rPr>
      </w:pPr>
      <w:r w:rsidRPr="003C4F62">
        <w:rPr>
          <w:i/>
          <w:u w:val="single"/>
        </w:rPr>
        <w:t>/s/</w:t>
      </w:r>
      <w:r w:rsidR="007E2E62">
        <w:rPr>
          <w:i/>
          <w:u w:val="single"/>
        </w:rPr>
        <w:t xml:space="preserve"> </w:t>
      </w:r>
      <w:r w:rsidRPr="003C4F62">
        <w:rPr>
          <w:i/>
          <w:u w:val="single"/>
        </w:rPr>
        <w:t xml:space="preserve">Terry L. Etter         </w:t>
      </w:r>
      <w:r w:rsidRPr="003C4F62">
        <w:rPr>
          <w:i/>
          <w:u w:val="single"/>
        </w:rPr>
        <w:tab/>
      </w:r>
      <w:r w:rsidRPr="003C4F62">
        <w:rPr>
          <w:i/>
          <w:u w:val="single"/>
        </w:rPr>
        <w:tab/>
        <w:t xml:space="preserve">          </w:t>
      </w:r>
      <w:r w:rsidRPr="003C4F62">
        <w:rPr>
          <w:i/>
          <w:u w:val="single"/>
        </w:rPr>
        <w:tab/>
      </w:r>
    </w:p>
    <w:p w14:paraId="6BA912C8" w14:textId="77777777" w:rsidR="003C4F62" w:rsidRPr="003C4F62" w:rsidRDefault="003C4F62" w:rsidP="003C4F62">
      <w:pPr>
        <w:tabs>
          <w:tab w:val="left" w:pos="4320"/>
        </w:tabs>
        <w:ind w:left="4320"/>
        <w:rPr>
          <w:szCs w:val="24"/>
        </w:rPr>
      </w:pPr>
      <w:r w:rsidRPr="003C4F62">
        <w:rPr>
          <w:szCs w:val="24"/>
        </w:rPr>
        <w:t>Terry L. Etter (0067445), Counsel of Record</w:t>
      </w:r>
    </w:p>
    <w:p w14:paraId="50426363" w14:textId="77777777" w:rsidR="003C4F62" w:rsidRPr="003C4F62" w:rsidRDefault="003C4F62" w:rsidP="003C4F62">
      <w:pPr>
        <w:tabs>
          <w:tab w:val="left" w:pos="4320"/>
        </w:tabs>
        <w:ind w:left="4320"/>
        <w:rPr>
          <w:szCs w:val="24"/>
        </w:rPr>
      </w:pPr>
      <w:r w:rsidRPr="003C4F62">
        <w:rPr>
          <w:szCs w:val="24"/>
        </w:rPr>
        <w:t>Assistant Consumers’ Counsel</w:t>
      </w:r>
    </w:p>
    <w:p w14:paraId="1DEBB9FD" w14:textId="77777777" w:rsidR="003C4F62" w:rsidRPr="003C4F62" w:rsidRDefault="003C4F62" w:rsidP="003C4F62">
      <w:pPr>
        <w:keepNext/>
        <w:spacing w:before="120"/>
        <w:ind w:left="4320"/>
        <w:outlineLvl w:val="0"/>
        <w:rPr>
          <w:b/>
          <w:szCs w:val="24"/>
        </w:rPr>
      </w:pPr>
      <w:r w:rsidRPr="003C4F62">
        <w:rPr>
          <w:b/>
          <w:szCs w:val="24"/>
        </w:rPr>
        <w:t>Office of the Ohio Consumers’ Counsel</w:t>
      </w:r>
    </w:p>
    <w:p w14:paraId="774ADD66" w14:textId="77777777" w:rsidR="003C4F62" w:rsidRPr="003C4F62" w:rsidRDefault="003C4F62" w:rsidP="003C4F62">
      <w:pPr>
        <w:keepNext/>
        <w:ind w:left="4320"/>
        <w:outlineLvl w:val="0"/>
        <w:rPr>
          <w:szCs w:val="24"/>
        </w:rPr>
      </w:pPr>
      <w:r w:rsidRPr="003C4F62">
        <w:rPr>
          <w:szCs w:val="24"/>
        </w:rPr>
        <w:t>10 West Broad Street, Suite 1800</w:t>
      </w:r>
    </w:p>
    <w:p w14:paraId="0E1C7EA1" w14:textId="77777777" w:rsidR="003C4F62" w:rsidRPr="003C4F62" w:rsidRDefault="003C4F62" w:rsidP="003C4F62">
      <w:pPr>
        <w:keepNext/>
        <w:ind w:left="4320"/>
        <w:outlineLvl w:val="0"/>
        <w:rPr>
          <w:szCs w:val="24"/>
        </w:rPr>
      </w:pPr>
      <w:r w:rsidRPr="003C4F62">
        <w:rPr>
          <w:szCs w:val="24"/>
        </w:rPr>
        <w:t>Columbus, Ohio 43215-3485</w:t>
      </w:r>
    </w:p>
    <w:p w14:paraId="7632A19B" w14:textId="77777777" w:rsidR="003C4F62" w:rsidRPr="003C4F62" w:rsidRDefault="003C4F62" w:rsidP="003C4F62">
      <w:pPr>
        <w:autoSpaceDE w:val="0"/>
        <w:autoSpaceDN w:val="0"/>
        <w:adjustRightInd w:val="0"/>
        <w:ind w:left="4320"/>
        <w:rPr>
          <w:szCs w:val="24"/>
        </w:rPr>
      </w:pPr>
      <w:r w:rsidRPr="003C4F62">
        <w:rPr>
          <w:szCs w:val="24"/>
        </w:rPr>
        <w:t>Telephone: (614) 466-7964 (Etter direct)</w:t>
      </w:r>
    </w:p>
    <w:p w14:paraId="0F6E9D37" w14:textId="6C7EE0D4" w:rsidR="003C4F62" w:rsidRDefault="00A701B3" w:rsidP="003C4F62">
      <w:pPr>
        <w:ind w:left="4320"/>
        <w:rPr>
          <w:szCs w:val="24"/>
        </w:rPr>
      </w:pPr>
      <w:hyperlink r:id="rId8" w:history="1">
        <w:r w:rsidR="007E2E62" w:rsidRPr="00904F9D">
          <w:rPr>
            <w:rStyle w:val="Hyperlink"/>
            <w:szCs w:val="24"/>
          </w:rPr>
          <w:t>Terry.Etter@occ.ohio.gov</w:t>
        </w:r>
      </w:hyperlink>
    </w:p>
    <w:p w14:paraId="01CFE2DC" w14:textId="53B2BDBF" w:rsidR="00562248" w:rsidRPr="00746C80" w:rsidRDefault="003C4F62" w:rsidP="003C4F62">
      <w:pPr>
        <w:ind w:left="4320"/>
        <w:rPr>
          <w:szCs w:val="24"/>
        </w:rPr>
      </w:pPr>
      <w:r w:rsidRPr="003C4F62">
        <w:rPr>
          <w:szCs w:val="24"/>
        </w:rPr>
        <w:t>(willing to accept email service)</w:t>
      </w:r>
    </w:p>
    <w:p w14:paraId="1FE64220" w14:textId="77777777" w:rsidR="00E133CA" w:rsidRDefault="00E133CA" w:rsidP="00562248">
      <w:pPr>
        <w:jc w:val="center"/>
        <w:rPr>
          <w:b/>
          <w:bCs/>
          <w:u w:val="single"/>
        </w:rPr>
      </w:pPr>
    </w:p>
    <w:p w14:paraId="5F838A2F" w14:textId="77777777" w:rsidR="00E133CA" w:rsidRDefault="00E133CA" w:rsidP="00562248">
      <w:pPr>
        <w:jc w:val="center"/>
        <w:rPr>
          <w:b/>
          <w:bCs/>
          <w:u w:val="single"/>
        </w:rPr>
      </w:pPr>
    </w:p>
    <w:p w14:paraId="1F3EC5D9" w14:textId="33098B29" w:rsidR="009D6B05" w:rsidRPr="00D623D0" w:rsidRDefault="00C54163" w:rsidP="00562248">
      <w:pPr>
        <w:jc w:val="center"/>
        <w:rPr>
          <w:szCs w:val="24"/>
        </w:rPr>
      </w:pPr>
      <w:r>
        <w:rPr>
          <w:b/>
          <w:bCs/>
          <w:u w:val="single"/>
        </w:rPr>
        <w:br w:type="page"/>
      </w:r>
      <w:r w:rsidR="009D6B05">
        <w:rPr>
          <w:b/>
          <w:bCs/>
          <w:u w:val="single"/>
        </w:rPr>
        <w:lastRenderedPageBreak/>
        <w:t>CERTIFICATE OF SERVICE</w:t>
      </w:r>
    </w:p>
    <w:p w14:paraId="4638EAF4" w14:textId="28E68B35" w:rsidR="009D6B05" w:rsidRDefault="009D6B05">
      <w:pPr>
        <w:spacing w:line="480" w:lineRule="atLeast"/>
      </w:pPr>
      <w:r>
        <w:tab/>
        <w:t xml:space="preserve">I hereby certify that a copy of the foregoing </w:t>
      </w:r>
      <w:r w:rsidR="000E1AD0">
        <w:t>Reply</w:t>
      </w:r>
      <w:r w:rsidR="00F73EA5">
        <w:t xml:space="preserve"> </w:t>
      </w:r>
      <w:r>
        <w:t xml:space="preserve">was served on the persons stated below via </w:t>
      </w:r>
      <w:r w:rsidR="00746C80">
        <w:t>electronic service</w:t>
      </w:r>
      <w:r>
        <w:t xml:space="preserve"> this </w:t>
      </w:r>
      <w:r w:rsidR="003C4F62">
        <w:t>3</w:t>
      </w:r>
      <w:r w:rsidR="000E1AD0">
        <w:t>1</w:t>
      </w:r>
      <w:r w:rsidR="000E1AD0" w:rsidRPr="007818E4">
        <w:rPr>
          <w:vertAlign w:val="superscript"/>
        </w:rPr>
        <w:t>st</w:t>
      </w:r>
      <w:r w:rsidR="007818E4">
        <w:t xml:space="preserve"> </w:t>
      </w:r>
      <w:r>
        <w:t xml:space="preserve">day of </w:t>
      </w:r>
      <w:r w:rsidR="000E1AD0">
        <w:t>August</w:t>
      </w:r>
      <w:r>
        <w:t xml:space="preserve"> 201</w:t>
      </w:r>
      <w:r w:rsidR="003C4F62">
        <w:t>5</w:t>
      </w:r>
      <w:r>
        <w:t>.</w:t>
      </w:r>
    </w:p>
    <w:p w14:paraId="109A6A4F" w14:textId="77777777" w:rsidR="009D6B05" w:rsidRDefault="009D6B05">
      <w:pPr>
        <w:tabs>
          <w:tab w:val="left" w:pos="4320"/>
        </w:tabs>
      </w:pPr>
    </w:p>
    <w:p w14:paraId="39F5899F" w14:textId="77777777" w:rsidR="009D6B05" w:rsidRDefault="009D6B05">
      <w:pPr>
        <w:tabs>
          <w:tab w:val="left" w:pos="4320"/>
        </w:tabs>
      </w:pPr>
    </w:p>
    <w:p w14:paraId="1BAD5C20" w14:textId="77777777" w:rsidR="009D6B05" w:rsidRDefault="009D6B05">
      <w:pPr>
        <w:tabs>
          <w:tab w:val="left" w:pos="4320"/>
        </w:tabs>
        <w:rPr>
          <w:u w:val="single"/>
        </w:rPr>
      </w:pPr>
      <w:r>
        <w:rPr>
          <w:szCs w:val="24"/>
        </w:rPr>
        <w:tab/>
      </w:r>
      <w:r w:rsidR="00884CD9">
        <w:rPr>
          <w:i/>
          <w:szCs w:val="24"/>
          <w:u w:val="single"/>
        </w:rPr>
        <w:t>/s/ Terry L. Etter</w:t>
      </w:r>
      <w:r w:rsidR="00884CD9">
        <w:rPr>
          <w:i/>
          <w:szCs w:val="24"/>
          <w:u w:val="single"/>
        </w:rPr>
        <w:tab/>
      </w:r>
      <w:r w:rsidR="00884CD9">
        <w:rPr>
          <w:i/>
          <w:szCs w:val="24"/>
          <w:u w:val="single"/>
        </w:rPr>
        <w:tab/>
      </w:r>
      <w:r w:rsidR="00884CD9">
        <w:rPr>
          <w:i/>
          <w:szCs w:val="24"/>
          <w:u w:val="single"/>
        </w:rPr>
        <w:tab/>
      </w:r>
      <w:r>
        <w:rPr>
          <w:u w:val="single"/>
        </w:rPr>
        <w:t> </w:t>
      </w:r>
    </w:p>
    <w:p w14:paraId="64B3F66A" w14:textId="77777777" w:rsidR="009D6B05" w:rsidRDefault="009D6B05">
      <w:pPr>
        <w:tabs>
          <w:tab w:val="left" w:pos="4320"/>
        </w:tabs>
        <w:ind w:left="4320"/>
        <w:rPr>
          <w:szCs w:val="24"/>
        </w:rPr>
      </w:pPr>
      <w:r>
        <w:rPr>
          <w:szCs w:val="24"/>
        </w:rPr>
        <w:t>Terry L. Etter</w:t>
      </w:r>
    </w:p>
    <w:p w14:paraId="67012296" w14:textId="77777777" w:rsidR="009D6B05" w:rsidRDefault="009D6B05">
      <w:pPr>
        <w:tabs>
          <w:tab w:val="left" w:pos="4320"/>
        </w:tabs>
      </w:pPr>
      <w:r>
        <w:tab/>
        <w:t>Assistant Consumers’ Counsel</w:t>
      </w:r>
    </w:p>
    <w:p w14:paraId="3198CBC7" w14:textId="77777777" w:rsidR="009D6B05" w:rsidRDefault="009D6B05">
      <w:pPr>
        <w:pStyle w:val="CommentSubject"/>
      </w:pPr>
    </w:p>
    <w:p w14:paraId="4DCE71BA" w14:textId="77777777" w:rsidR="009D6B05" w:rsidRDefault="009D6B05">
      <w:pPr>
        <w:pStyle w:val="CommentText"/>
      </w:pPr>
    </w:p>
    <w:p w14:paraId="03EDBDA6" w14:textId="77777777" w:rsidR="009D6B05" w:rsidRDefault="009D6B05">
      <w:pPr>
        <w:pStyle w:val="CommentText"/>
        <w:jc w:val="center"/>
        <w:rPr>
          <w:b/>
          <w:u w:val="single"/>
        </w:rPr>
      </w:pPr>
      <w:r>
        <w:rPr>
          <w:b/>
          <w:u w:val="single"/>
        </w:rPr>
        <w:t>SERVICE LIST</w:t>
      </w:r>
    </w:p>
    <w:p w14:paraId="52912AF2" w14:textId="77777777" w:rsidR="009D6B05" w:rsidRDefault="009D6B05">
      <w:pPr>
        <w:pStyle w:val="BodyText"/>
        <w:rPr>
          <w:b/>
          <w:bCs/>
        </w:rPr>
      </w:pPr>
    </w:p>
    <w:p w14:paraId="01C1E6BD" w14:textId="77777777" w:rsidR="009D6B05" w:rsidRDefault="009D6B05">
      <w:pPr>
        <w:pStyle w:val="BodyText"/>
        <w:rPr>
          <w:b/>
          <w:bCs/>
        </w:rPr>
      </w:pPr>
    </w:p>
    <w:tbl>
      <w:tblPr>
        <w:tblW w:w="0" w:type="auto"/>
        <w:tblLook w:val="01E0" w:firstRow="1" w:lastRow="1" w:firstColumn="1" w:lastColumn="1" w:noHBand="0" w:noVBand="0"/>
      </w:tblPr>
      <w:tblGrid>
        <w:gridCol w:w="4428"/>
        <w:gridCol w:w="4428"/>
      </w:tblGrid>
      <w:tr w:rsidR="003C4F62" w:rsidRPr="00CA4366" w14:paraId="794C842E" w14:textId="77777777" w:rsidTr="0038004D">
        <w:tc>
          <w:tcPr>
            <w:tcW w:w="4428" w:type="dxa"/>
            <w:shd w:val="clear" w:color="auto" w:fill="auto"/>
          </w:tcPr>
          <w:p w14:paraId="2BC74519" w14:textId="77777777" w:rsidR="008D552B" w:rsidRPr="00CA4366" w:rsidRDefault="008D552B" w:rsidP="008D552B">
            <w:pPr>
              <w:autoSpaceDE w:val="0"/>
              <w:autoSpaceDN w:val="0"/>
              <w:adjustRightInd w:val="0"/>
              <w:rPr>
                <w:bCs/>
              </w:rPr>
            </w:pPr>
            <w:r w:rsidRPr="00CA4366">
              <w:rPr>
                <w:bCs/>
              </w:rPr>
              <w:t>William Wright</w:t>
            </w:r>
          </w:p>
          <w:p w14:paraId="16B2A8E0" w14:textId="77777777" w:rsidR="008D552B" w:rsidRPr="00CA4366" w:rsidRDefault="008D552B" w:rsidP="008D552B">
            <w:pPr>
              <w:autoSpaceDE w:val="0"/>
              <w:autoSpaceDN w:val="0"/>
              <w:adjustRightInd w:val="0"/>
              <w:rPr>
                <w:bCs/>
              </w:rPr>
            </w:pPr>
            <w:r w:rsidRPr="00CA4366">
              <w:rPr>
                <w:bCs/>
              </w:rPr>
              <w:t>Chief, Public Utilities Section</w:t>
            </w:r>
          </w:p>
          <w:p w14:paraId="5F055637" w14:textId="77777777" w:rsidR="008D552B" w:rsidRPr="00CA4366" w:rsidRDefault="008D552B" w:rsidP="008D552B">
            <w:pPr>
              <w:autoSpaceDE w:val="0"/>
              <w:autoSpaceDN w:val="0"/>
              <w:adjustRightInd w:val="0"/>
              <w:rPr>
                <w:bCs/>
              </w:rPr>
            </w:pPr>
            <w:r w:rsidRPr="00CA4366">
              <w:rPr>
                <w:bCs/>
              </w:rPr>
              <w:t>Attorney General’s Office</w:t>
            </w:r>
          </w:p>
          <w:p w14:paraId="6AC968B3" w14:textId="77777777" w:rsidR="008D552B" w:rsidRPr="00CA4366" w:rsidRDefault="008D552B" w:rsidP="008D552B">
            <w:pPr>
              <w:autoSpaceDE w:val="0"/>
              <w:autoSpaceDN w:val="0"/>
              <w:adjustRightInd w:val="0"/>
              <w:rPr>
                <w:bCs/>
              </w:rPr>
            </w:pPr>
            <w:smartTag w:uri="urn:schemas-microsoft-com:office:smarttags" w:element="Street">
              <w:smartTag w:uri="urn:schemas-microsoft-com:office:smarttags" w:element="address">
                <w:r w:rsidRPr="00CA4366">
                  <w:rPr>
                    <w:bCs/>
                  </w:rPr>
                  <w:t>180 East Broad Street</w:t>
                </w:r>
              </w:smartTag>
            </w:smartTag>
            <w:r w:rsidRPr="00CA4366">
              <w:rPr>
                <w:bCs/>
              </w:rPr>
              <w:t>, 6</w:t>
            </w:r>
            <w:r w:rsidRPr="00E81D88">
              <w:rPr>
                <w:bCs/>
              </w:rPr>
              <w:t>th</w:t>
            </w:r>
            <w:r w:rsidRPr="00CA4366">
              <w:rPr>
                <w:bCs/>
              </w:rPr>
              <w:t xml:space="preserve"> Floor</w:t>
            </w:r>
          </w:p>
          <w:p w14:paraId="4BC28A5F" w14:textId="77777777" w:rsidR="008D552B" w:rsidRPr="00CA4366" w:rsidRDefault="008D552B" w:rsidP="008D552B">
            <w:pPr>
              <w:autoSpaceDE w:val="0"/>
              <w:autoSpaceDN w:val="0"/>
              <w:adjustRightInd w:val="0"/>
              <w:rPr>
                <w:bCs/>
              </w:rPr>
            </w:pPr>
            <w:r w:rsidRPr="00CA4366">
              <w:rPr>
                <w:bCs/>
              </w:rPr>
              <w:t>Columbus, Ohio 43215</w:t>
            </w:r>
          </w:p>
          <w:p w14:paraId="60A9A352" w14:textId="0F515F28" w:rsidR="003C4F62" w:rsidRDefault="00A701B3" w:rsidP="008D552B">
            <w:pPr>
              <w:pStyle w:val="BodyText"/>
              <w:rPr>
                <w:bCs/>
              </w:rPr>
            </w:pPr>
            <w:hyperlink r:id="rId9" w:history="1">
              <w:r w:rsidR="007E2E62" w:rsidRPr="00904F9D">
                <w:rPr>
                  <w:rStyle w:val="Hyperlink"/>
                  <w:bCs/>
                </w:rPr>
                <w:t>william.wright@puc.state.oh.us</w:t>
              </w:r>
            </w:hyperlink>
          </w:p>
          <w:p w14:paraId="4D238571" w14:textId="01433535" w:rsidR="007E2E62" w:rsidRPr="00CA4366" w:rsidRDefault="007E2E62" w:rsidP="008D552B">
            <w:pPr>
              <w:pStyle w:val="BodyText"/>
              <w:rPr>
                <w:bCs/>
              </w:rPr>
            </w:pPr>
          </w:p>
        </w:tc>
        <w:tc>
          <w:tcPr>
            <w:tcW w:w="4428" w:type="dxa"/>
            <w:shd w:val="clear" w:color="auto" w:fill="auto"/>
          </w:tcPr>
          <w:p w14:paraId="66C312FF" w14:textId="77777777" w:rsidR="003C4F62" w:rsidRPr="00CA4366" w:rsidRDefault="003C4F62" w:rsidP="0038004D">
            <w:pPr>
              <w:autoSpaceDE w:val="0"/>
              <w:autoSpaceDN w:val="0"/>
              <w:adjustRightInd w:val="0"/>
              <w:rPr>
                <w:szCs w:val="24"/>
              </w:rPr>
            </w:pPr>
            <w:r w:rsidRPr="00CA4366">
              <w:rPr>
                <w:szCs w:val="24"/>
              </w:rPr>
              <w:t>Amy B. Spiller</w:t>
            </w:r>
          </w:p>
          <w:p w14:paraId="64BC9D65" w14:textId="77777777" w:rsidR="003C4F62" w:rsidRPr="00CA4366" w:rsidRDefault="003C4F62" w:rsidP="0038004D">
            <w:pPr>
              <w:autoSpaceDE w:val="0"/>
              <w:autoSpaceDN w:val="0"/>
              <w:adjustRightInd w:val="0"/>
              <w:rPr>
                <w:szCs w:val="24"/>
              </w:rPr>
            </w:pPr>
            <w:r>
              <w:t>Elizabeth</w:t>
            </w:r>
            <w:r w:rsidRPr="00CA4366">
              <w:rPr>
                <w:szCs w:val="24"/>
              </w:rPr>
              <w:t xml:space="preserve"> H. Watts</w:t>
            </w:r>
          </w:p>
          <w:p w14:paraId="32EF26F3" w14:textId="77777777" w:rsidR="003C4F62" w:rsidRPr="00CA4366" w:rsidRDefault="003C4F62" w:rsidP="0038004D">
            <w:pPr>
              <w:autoSpaceDE w:val="0"/>
              <w:autoSpaceDN w:val="0"/>
              <w:adjustRightInd w:val="0"/>
              <w:rPr>
                <w:szCs w:val="24"/>
              </w:rPr>
            </w:pPr>
            <w:r w:rsidRPr="00CA4366">
              <w:rPr>
                <w:szCs w:val="24"/>
              </w:rPr>
              <w:t>Duke Energy Ohio</w:t>
            </w:r>
            <w:r>
              <w:rPr>
                <w:szCs w:val="24"/>
              </w:rPr>
              <w:t>, Inc.</w:t>
            </w:r>
          </w:p>
          <w:p w14:paraId="1BB60A67" w14:textId="77777777" w:rsidR="003C4F62" w:rsidRPr="00CA4366" w:rsidRDefault="003C4F62" w:rsidP="0038004D">
            <w:pPr>
              <w:autoSpaceDE w:val="0"/>
              <w:autoSpaceDN w:val="0"/>
              <w:adjustRightInd w:val="0"/>
              <w:rPr>
                <w:rFonts w:eastAsia="MS Mincho"/>
                <w:szCs w:val="24"/>
                <w:lang w:eastAsia="ja-JP"/>
              </w:rPr>
            </w:pPr>
            <w:r w:rsidRPr="00CA4366">
              <w:rPr>
                <w:rFonts w:eastAsia="MS Mincho"/>
                <w:szCs w:val="24"/>
                <w:lang w:eastAsia="ja-JP"/>
              </w:rPr>
              <w:t>139 E. Fourth Street</w:t>
            </w:r>
          </w:p>
          <w:p w14:paraId="31B9C7E4" w14:textId="77777777" w:rsidR="003C4F62" w:rsidRPr="00CA4366" w:rsidRDefault="003C4F62" w:rsidP="0038004D">
            <w:pPr>
              <w:pStyle w:val="BodyText"/>
              <w:rPr>
                <w:rFonts w:eastAsia="MS Mincho"/>
                <w:szCs w:val="24"/>
                <w:lang w:eastAsia="ja-JP"/>
              </w:rPr>
            </w:pPr>
            <w:r w:rsidRPr="00CA4366">
              <w:rPr>
                <w:rFonts w:eastAsia="MS Mincho"/>
                <w:szCs w:val="24"/>
                <w:lang w:eastAsia="ja-JP"/>
              </w:rPr>
              <w:t>Cincinnati, Ohio 45201-0960</w:t>
            </w:r>
          </w:p>
          <w:p w14:paraId="3F3651B1" w14:textId="63EF258E" w:rsidR="003C4F62" w:rsidRDefault="00A701B3" w:rsidP="0038004D">
            <w:pPr>
              <w:autoSpaceDE w:val="0"/>
              <w:autoSpaceDN w:val="0"/>
              <w:adjustRightInd w:val="0"/>
              <w:rPr>
                <w:rFonts w:eastAsia="MS Mincho"/>
                <w:szCs w:val="24"/>
                <w:lang w:eastAsia="ja-JP"/>
              </w:rPr>
            </w:pPr>
            <w:hyperlink r:id="rId10" w:history="1">
              <w:r w:rsidR="007E2E62" w:rsidRPr="00904F9D">
                <w:rPr>
                  <w:rStyle w:val="Hyperlink"/>
                  <w:rFonts w:eastAsia="MS Mincho"/>
                  <w:szCs w:val="24"/>
                  <w:lang w:eastAsia="ja-JP"/>
                </w:rPr>
                <w:t>Amy.Spiller@duke-energy.com</w:t>
              </w:r>
            </w:hyperlink>
          </w:p>
          <w:p w14:paraId="108A7D03" w14:textId="66FD8310" w:rsidR="003C4F62" w:rsidRDefault="00A701B3" w:rsidP="0038004D">
            <w:pPr>
              <w:pStyle w:val="BodyText"/>
              <w:rPr>
                <w:rFonts w:eastAsia="MS Mincho"/>
                <w:szCs w:val="24"/>
                <w:lang w:eastAsia="ja-JP"/>
              </w:rPr>
            </w:pPr>
            <w:hyperlink r:id="rId11" w:history="1">
              <w:r w:rsidR="007E2E62" w:rsidRPr="00904F9D">
                <w:rPr>
                  <w:rStyle w:val="Hyperlink"/>
                  <w:rFonts w:eastAsia="MS Mincho"/>
                  <w:szCs w:val="24"/>
                  <w:lang w:eastAsia="ja-JP"/>
                </w:rPr>
                <w:t>Elizabeth.Watts@duke-energy.com</w:t>
              </w:r>
            </w:hyperlink>
          </w:p>
          <w:p w14:paraId="21E8C14E" w14:textId="77777777" w:rsidR="007E2E62" w:rsidRPr="00CA4366" w:rsidRDefault="007E2E62" w:rsidP="0038004D">
            <w:pPr>
              <w:pStyle w:val="BodyText"/>
              <w:rPr>
                <w:szCs w:val="24"/>
              </w:rPr>
            </w:pPr>
          </w:p>
        </w:tc>
      </w:tr>
    </w:tbl>
    <w:p w14:paraId="0777D76B" w14:textId="77777777" w:rsidR="003C4F62" w:rsidRDefault="003C4F62" w:rsidP="003C4F62">
      <w:pPr>
        <w:pStyle w:val="BodyText"/>
        <w:rPr>
          <w:b/>
          <w:bCs/>
        </w:rPr>
      </w:pPr>
    </w:p>
    <w:tbl>
      <w:tblPr>
        <w:tblW w:w="9018" w:type="dxa"/>
        <w:tblLook w:val="01E0" w:firstRow="1" w:lastRow="1" w:firstColumn="1" w:lastColumn="1" w:noHBand="0" w:noVBand="0"/>
      </w:tblPr>
      <w:tblGrid>
        <w:gridCol w:w="4428"/>
        <w:gridCol w:w="4590"/>
      </w:tblGrid>
      <w:tr w:rsidR="003C4F62" w:rsidRPr="00B01C9C" w14:paraId="628D0F42" w14:textId="77777777" w:rsidTr="0038004D">
        <w:tc>
          <w:tcPr>
            <w:tcW w:w="4428" w:type="dxa"/>
            <w:shd w:val="clear" w:color="auto" w:fill="auto"/>
          </w:tcPr>
          <w:p w14:paraId="1B8FDD58" w14:textId="77777777" w:rsidR="003C4F62" w:rsidRDefault="003C4F62" w:rsidP="0038004D">
            <w:pPr>
              <w:pStyle w:val="BodyText"/>
              <w:rPr>
                <w:bCs/>
              </w:rPr>
            </w:pPr>
            <w:r>
              <w:rPr>
                <w:bCs/>
              </w:rPr>
              <w:t>Attorney Examiner:</w:t>
            </w:r>
          </w:p>
          <w:p w14:paraId="792B38A8" w14:textId="77777777" w:rsidR="003C4F62" w:rsidRDefault="003C4F62" w:rsidP="0038004D">
            <w:pPr>
              <w:pStyle w:val="BodyText"/>
              <w:rPr>
                <w:bCs/>
              </w:rPr>
            </w:pPr>
          </w:p>
          <w:p w14:paraId="0A296E02" w14:textId="4C7CD978" w:rsidR="003C4F62" w:rsidRDefault="00A701B3" w:rsidP="0038004D">
            <w:pPr>
              <w:pStyle w:val="BodyText"/>
              <w:rPr>
                <w:bCs/>
              </w:rPr>
            </w:pPr>
            <w:hyperlink r:id="rId12" w:history="1">
              <w:r w:rsidR="003C4F62" w:rsidRPr="002F7265">
                <w:rPr>
                  <w:rStyle w:val="Hyperlink"/>
                  <w:bCs/>
                </w:rPr>
                <w:t>Bryce.mckenney@puc.state.oh.us</w:t>
              </w:r>
            </w:hyperlink>
          </w:p>
          <w:p w14:paraId="726E08A2" w14:textId="77777777" w:rsidR="003C4F62" w:rsidRPr="00CA4366" w:rsidRDefault="003C4F62" w:rsidP="0038004D">
            <w:pPr>
              <w:pStyle w:val="BodyText"/>
              <w:rPr>
                <w:bCs/>
              </w:rPr>
            </w:pPr>
          </w:p>
        </w:tc>
        <w:tc>
          <w:tcPr>
            <w:tcW w:w="4590" w:type="dxa"/>
            <w:shd w:val="clear" w:color="auto" w:fill="auto"/>
          </w:tcPr>
          <w:p w14:paraId="024E1AC1" w14:textId="77777777" w:rsidR="003C4F62" w:rsidRPr="003A3576" w:rsidRDefault="003C4F62" w:rsidP="0038004D">
            <w:pPr>
              <w:autoSpaceDE w:val="0"/>
              <w:autoSpaceDN w:val="0"/>
              <w:adjustRightInd w:val="0"/>
              <w:rPr>
                <w:rFonts w:eastAsia="Calibri"/>
                <w:szCs w:val="24"/>
              </w:rPr>
            </w:pPr>
            <w:r w:rsidRPr="003A3576">
              <w:rPr>
                <w:rFonts w:eastAsia="Calibri"/>
                <w:szCs w:val="24"/>
              </w:rPr>
              <w:t>Colleen L. Mooney</w:t>
            </w:r>
          </w:p>
          <w:p w14:paraId="096500CF" w14:textId="77777777" w:rsidR="003C4F62" w:rsidRPr="003A3576" w:rsidRDefault="003C4F62" w:rsidP="0038004D">
            <w:pPr>
              <w:autoSpaceDE w:val="0"/>
              <w:autoSpaceDN w:val="0"/>
              <w:adjustRightInd w:val="0"/>
              <w:rPr>
                <w:rFonts w:eastAsia="Calibri"/>
                <w:szCs w:val="24"/>
              </w:rPr>
            </w:pPr>
            <w:r w:rsidRPr="003A3576">
              <w:rPr>
                <w:rFonts w:eastAsia="Calibri"/>
                <w:szCs w:val="24"/>
              </w:rPr>
              <w:t>Ohio Partners for Affordable Energy</w:t>
            </w:r>
          </w:p>
          <w:p w14:paraId="02DCBC81" w14:textId="77777777" w:rsidR="003C4F62" w:rsidRPr="003A3576" w:rsidRDefault="003C4F62" w:rsidP="0038004D">
            <w:pPr>
              <w:autoSpaceDE w:val="0"/>
              <w:autoSpaceDN w:val="0"/>
              <w:adjustRightInd w:val="0"/>
              <w:rPr>
                <w:rFonts w:eastAsia="Calibri"/>
                <w:szCs w:val="24"/>
              </w:rPr>
            </w:pPr>
            <w:r w:rsidRPr="003A3576">
              <w:rPr>
                <w:rFonts w:eastAsia="Calibri"/>
                <w:szCs w:val="24"/>
              </w:rPr>
              <w:t>231 West Lima Street</w:t>
            </w:r>
          </w:p>
          <w:p w14:paraId="693846EA" w14:textId="77777777" w:rsidR="003C4F62" w:rsidRDefault="003C4F62" w:rsidP="0038004D">
            <w:pPr>
              <w:autoSpaceDE w:val="0"/>
              <w:autoSpaceDN w:val="0"/>
              <w:adjustRightInd w:val="0"/>
              <w:rPr>
                <w:rFonts w:eastAsia="Calibri"/>
                <w:szCs w:val="24"/>
              </w:rPr>
            </w:pPr>
            <w:r w:rsidRPr="003A3576">
              <w:rPr>
                <w:rFonts w:eastAsia="Calibri"/>
                <w:szCs w:val="24"/>
              </w:rPr>
              <w:t>Findlay, Ohio 45839-1793</w:t>
            </w:r>
          </w:p>
          <w:p w14:paraId="2F057A72" w14:textId="40AE59AD" w:rsidR="003C4F62" w:rsidRDefault="00A701B3" w:rsidP="0038004D">
            <w:pPr>
              <w:autoSpaceDE w:val="0"/>
              <w:autoSpaceDN w:val="0"/>
              <w:adjustRightInd w:val="0"/>
              <w:rPr>
                <w:rFonts w:eastAsia="Calibri"/>
                <w:szCs w:val="24"/>
              </w:rPr>
            </w:pPr>
            <w:hyperlink r:id="rId13" w:history="1">
              <w:r w:rsidR="003C4F62" w:rsidRPr="007C38AA">
                <w:rPr>
                  <w:rStyle w:val="Hyperlink"/>
                  <w:rFonts w:eastAsia="Calibri"/>
                  <w:szCs w:val="24"/>
                </w:rPr>
                <w:t>cmooney@ohiopartners.org</w:t>
              </w:r>
            </w:hyperlink>
          </w:p>
          <w:p w14:paraId="00373F89" w14:textId="77777777" w:rsidR="003C4F62" w:rsidRPr="00B01C9C" w:rsidRDefault="003C4F62" w:rsidP="0038004D">
            <w:pPr>
              <w:autoSpaceDE w:val="0"/>
              <w:autoSpaceDN w:val="0"/>
              <w:adjustRightInd w:val="0"/>
              <w:rPr>
                <w:szCs w:val="24"/>
              </w:rPr>
            </w:pPr>
          </w:p>
        </w:tc>
      </w:tr>
    </w:tbl>
    <w:p w14:paraId="06BDA2E7" w14:textId="77777777" w:rsidR="009D6B05" w:rsidRDefault="009D6B05">
      <w:pPr>
        <w:autoSpaceDE w:val="0"/>
        <w:autoSpaceDN w:val="0"/>
        <w:adjustRightInd w:val="0"/>
        <w:rPr>
          <w:szCs w:val="24"/>
        </w:rPr>
      </w:pPr>
    </w:p>
    <w:sectPr w:rsidR="009D6B05" w:rsidSect="007E2E62">
      <w:footerReference w:type="default" r:id="rId14"/>
      <w:pgSz w:w="12240" w:h="15840"/>
      <w:pgMar w:top="1440" w:right="1800" w:bottom="1440" w:left="1800" w:header="720" w:footer="720" w:gutter="0"/>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F192BE3" w14:textId="77777777" w:rsidR="00A701B3" w:rsidRDefault="00A701B3">
      <w:r>
        <w:separator/>
      </w:r>
    </w:p>
  </w:endnote>
  <w:endnote w:type="continuationSeparator" w:id="0">
    <w:p w14:paraId="10537C07" w14:textId="77777777" w:rsidR="00A701B3" w:rsidRDefault="00A701B3">
      <w:r>
        <w:continuationSeparator/>
      </w:r>
    </w:p>
  </w:endnote>
  <w:endnote w:type="continuationNotice" w:id="1">
    <w:p w14:paraId="6FEFC125" w14:textId="77777777" w:rsidR="00A701B3" w:rsidRDefault="00A701B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auto"/>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A738E7" w14:textId="77777777" w:rsidR="004C6EC0" w:rsidRPr="004C6EC0" w:rsidRDefault="004C6EC0">
    <w:pPr>
      <w:pStyle w:val="Footer"/>
      <w:jc w:val="center"/>
      <w:rPr>
        <w:sz w:val="24"/>
        <w:szCs w:val="24"/>
      </w:rPr>
    </w:pPr>
    <w:r w:rsidRPr="004C6EC0">
      <w:rPr>
        <w:sz w:val="24"/>
        <w:szCs w:val="24"/>
      </w:rPr>
      <w:fldChar w:fldCharType="begin"/>
    </w:r>
    <w:r w:rsidRPr="004C6EC0">
      <w:rPr>
        <w:sz w:val="24"/>
        <w:szCs w:val="24"/>
      </w:rPr>
      <w:instrText xml:space="preserve"> PAGE   \* MERGEFORMAT </w:instrText>
    </w:r>
    <w:r w:rsidRPr="004C6EC0">
      <w:rPr>
        <w:sz w:val="24"/>
        <w:szCs w:val="24"/>
      </w:rPr>
      <w:fldChar w:fldCharType="separate"/>
    </w:r>
    <w:r w:rsidR="00E80C52">
      <w:rPr>
        <w:noProof/>
        <w:sz w:val="24"/>
        <w:szCs w:val="24"/>
      </w:rPr>
      <w:t>8</w:t>
    </w:r>
    <w:r w:rsidRPr="004C6EC0">
      <w:rPr>
        <w:noProof/>
        <w:sz w:val="24"/>
        <w:szCs w:val="24"/>
      </w:rPr>
      <w:fldChar w:fldCharType="end"/>
    </w:r>
  </w:p>
  <w:p w14:paraId="6A3ED2AD" w14:textId="77777777" w:rsidR="004C6EC0" w:rsidRDefault="004C6EC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190CFDC" w14:textId="77777777" w:rsidR="00A701B3" w:rsidRDefault="00A701B3">
      <w:r>
        <w:separator/>
      </w:r>
    </w:p>
  </w:footnote>
  <w:footnote w:type="continuationSeparator" w:id="0">
    <w:p w14:paraId="2DEA238A" w14:textId="77777777" w:rsidR="00A701B3" w:rsidRDefault="00A701B3">
      <w:r>
        <w:continuationSeparator/>
      </w:r>
    </w:p>
  </w:footnote>
  <w:footnote w:type="continuationNotice" w:id="1">
    <w:p w14:paraId="750E3406" w14:textId="77777777" w:rsidR="00A701B3" w:rsidRDefault="00A701B3"/>
  </w:footnote>
  <w:footnote w:id="2">
    <w:p w14:paraId="138FFAE4" w14:textId="19A9124C" w:rsidR="007A33AC" w:rsidRDefault="007A33AC" w:rsidP="007A33AC">
      <w:pPr>
        <w:pStyle w:val="FootnoteText"/>
      </w:pPr>
      <w:r>
        <w:rPr>
          <w:rStyle w:val="FootnoteReference"/>
        </w:rPr>
        <w:footnoteRef/>
      </w:r>
      <w:r>
        <w:t xml:space="preserve"> Application (June 27, 2014) at 3.  If Duke is granted the deferral authority it seeks, the charge would be $126.70.  Id. at 4.</w:t>
      </w:r>
    </w:p>
  </w:footnote>
  <w:footnote w:id="3">
    <w:p w14:paraId="157AB4A3" w14:textId="5A56FA38" w:rsidR="007A33AC" w:rsidRDefault="007A33AC">
      <w:pPr>
        <w:pStyle w:val="FootnoteText"/>
      </w:pPr>
      <w:r>
        <w:rPr>
          <w:rStyle w:val="FootnoteReference"/>
        </w:rPr>
        <w:footnoteRef/>
      </w:r>
      <w:r>
        <w:t xml:space="preserve"> See id.</w:t>
      </w:r>
    </w:p>
  </w:footnote>
  <w:footnote w:id="4">
    <w:p w14:paraId="407287A0" w14:textId="77777777" w:rsidR="00C72799" w:rsidRDefault="00C72799" w:rsidP="00C72799">
      <w:pPr>
        <w:pStyle w:val="FootnoteText"/>
      </w:pPr>
      <w:r>
        <w:rPr>
          <w:rStyle w:val="FootnoteReference"/>
        </w:rPr>
        <w:footnoteRef/>
      </w:r>
      <w:r>
        <w:t xml:space="preserve"> Entry (August 5, 2015) at 2.</w:t>
      </w:r>
    </w:p>
  </w:footnote>
  <w:footnote w:id="5">
    <w:p w14:paraId="04C9DB85" w14:textId="77777777" w:rsidR="00C72799" w:rsidRDefault="00C72799" w:rsidP="00C72799">
      <w:pPr>
        <w:pStyle w:val="FootnoteText"/>
      </w:pPr>
      <w:r>
        <w:rPr>
          <w:rStyle w:val="FootnoteReference"/>
        </w:rPr>
        <w:footnoteRef/>
      </w:r>
      <w:r>
        <w:t xml:space="preserve"> Id.</w:t>
      </w:r>
    </w:p>
  </w:footnote>
  <w:footnote w:id="6">
    <w:p w14:paraId="42F24505" w14:textId="429D4AF5" w:rsidR="00E55273" w:rsidRDefault="00E55273">
      <w:pPr>
        <w:pStyle w:val="FootnoteText"/>
      </w:pPr>
      <w:r>
        <w:rPr>
          <w:rStyle w:val="FootnoteReference"/>
        </w:rPr>
        <w:footnoteRef/>
      </w:r>
      <w:r>
        <w:t xml:space="preserve"> OCC Motion, Memorandum in Support at 2.</w:t>
      </w:r>
    </w:p>
  </w:footnote>
  <w:footnote w:id="7">
    <w:p w14:paraId="1C6B2287" w14:textId="64704578" w:rsidR="00E55273" w:rsidRDefault="00E55273">
      <w:pPr>
        <w:pStyle w:val="FootnoteText"/>
      </w:pPr>
      <w:r>
        <w:rPr>
          <w:rStyle w:val="FootnoteReference"/>
        </w:rPr>
        <w:footnoteRef/>
      </w:r>
      <w:r>
        <w:t xml:space="preserve"> Id. at 2-3.</w:t>
      </w:r>
    </w:p>
  </w:footnote>
  <w:footnote w:id="8">
    <w:p w14:paraId="470DF391" w14:textId="19EA1DDE" w:rsidR="00E55273" w:rsidRDefault="00E55273">
      <w:pPr>
        <w:pStyle w:val="FootnoteText"/>
      </w:pPr>
      <w:r>
        <w:rPr>
          <w:rStyle w:val="FootnoteReference"/>
        </w:rPr>
        <w:footnoteRef/>
      </w:r>
      <w:r>
        <w:t xml:space="preserve"> Id. at 3.</w:t>
      </w:r>
    </w:p>
  </w:footnote>
  <w:footnote w:id="9">
    <w:p w14:paraId="60E4A40C" w14:textId="76EE65E3" w:rsidR="00F83F41" w:rsidRDefault="00F83F41">
      <w:pPr>
        <w:pStyle w:val="FootnoteText"/>
      </w:pPr>
      <w:r>
        <w:rPr>
          <w:rStyle w:val="FootnoteReference"/>
        </w:rPr>
        <w:footnoteRef/>
      </w:r>
      <w:r>
        <w:t xml:space="preserve"> Memorandum Contra at 2-3.</w:t>
      </w:r>
    </w:p>
  </w:footnote>
  <w:footnote w:id="10">
    <w:p w14:paraId="1301CFB5" w14:textId="382353E6" w:rsidR="00F83F41" w:rsidRDefault="00F83F41">
      <w:pPr>
        <w:pStyle w:val="FootnoteText"/>
      </w:pPr>
      <w:r>
        <w:rPr>
          <w:rStyle w:val="FootnoteReference"/>
        </w:rPr>
        <w:footnoteRef/>
      </w:r>
      <w:r>
        <w:t xml:space="preserve"> Id. at 3.</w:t>
      </w:r>
    </w:p>
  </w:footnote>
  <w:footnote w:id="11">
    <w:p w14:paraId="390327B7" w14:textId="28FF09A0" w:rsidR="00F83F41" w:rsidRDefault="00F83F41">
      <w:pPr>
        <w:pStyle w:val="FootnoteText"/>
      </w:pPr>
      <w:r>
        <w:rPr>
          <w:rStyle w:val="FootnoteReference"/>
        </w:rPr>
        <w:footnoteRef/>
      </w:r>
      <w:r>
        <w:t xml:space="preserve"> Id. at </w:t>
      </w:r>
      <w:r w:rsidR="00410C53">
        <w:t xml:space="preserve">3, </w:t>
      </w:r>
      <w:r>
        <w:t>4.</w:t>
      </w:r>
    </w:p>
  </w:footnote>
  <w:footnote w:id="12">
    <w:p w14:paraId="1D59758A" w14:textId="7070B212" w:rsidR="00F934BA" w:rsidRDefault="00F934BA">
      <w:pPr>
        <w:pStyle w:val="FootnoteText"/>
      </w:pPr>
      <w:r>
        <w:rPr>
          <w:rStyle w:val="FootnoteReference"/>
        </w:rPr>
        <w:footnoteRef/>
      </w:r>
      <w:r>
        <w:t xml:space="preserve"> If OCC does not address an argument raised by Duke in is memorandum contra, that should not be construed to mean OCC acquiesces to the argument.</w:t>
      </w:r>
    </w:p>
  </w:footnote>
  <w:footnote w:id="13">
    <w:p w14:paraId="71E90D46" w14:textId="1291753A" w:rsidR="00410C53" w:rsidRDefault="00410C53">
      <w:pPr>
        <w:pStyle w:val="FootnoteText"/>
      </w:pPr>
      <w:r>
        <w:rPr>
          <w:rStyle w:val="FootnoteReference"/>
        </w:rPr>
        <w:footnoteRef/>
      </w:r>
      <w:r>
        <w:t xml:space="preserve"> Id. at 3.  See also id. at 4.</w:t>
      </w:r>
    </w:p>
  </w:footnote>
  <w:footnote w:id="14">
    <w:p w14:paraId="2BF3F5E2" w14:textId="7BE154D4" w:rsidR="00CD4FF2" w:rsidRDefault="00CD4FF2">
      <w:pPr>
        <w:pStyle w:val="FootnoteText"/>
      </w:pPr>
      <w:r>
        <w:rPr>
          <w:rStyle w:val="FootnoteReference"/>
        </w:rPr>
        <w:footnoteRef/>
      </w:r>
      <w:r>
        <w:t xml:space="preserve"> Initial Objections to Duke</w:t>
      </w:r>
      <w:r w:rsidR="005174F7">
        <w:t>’</w:t>
      </w:r>
      <w:r>
        <w:t>s Proposal to Charge Residential Customers up to $1,073.10 as a One-Time Fee Plus $40.63 in Monthly Charges for Declining a Smart Meter in Their Home and to Other Proposals in the Application by the Office of the Ohio Consumers’ Counsel (August 27, 2014).</w:t>
      </w:r>
    </w:p>
  </w:footnote>
  <w:footnote w:id="15">
    <w:p w14:paraId="22A0E32C" w14:textId="6F087857" w:rsidR="00CD4FF2" w:rsidRDefault="00CD4FF2" w:rsidP="00CD4FF2">
      <w:pPr>
        <w:pStyle w:val="FootnoteText"/>
      </w:pPr>
      <w:r>
        <w:rPr>
          <w:rStyle w:val="FootnoteReference"/>
        </w:rPr>
        <w:footnoteRef/>
      </w:r>
      <w:r>
        <w:t xml:space="preserve"> Id. at 2.</w:t>
      </w:r>
    </w:p>
  </w:footnote>
  <w:footnote w:id="16">
    <w:p w14:paraId="717963F2" w14:textId="1ECFE15E" w:rsidR="00510A4E" w:rsidRDefault="00510A4E">
      <w:pPr>
        <w:pStyle w:val="FootnoteText"/>
      </w:pPr>
      <w:r>
        <w:rPr>
          <w:rStyle w:val="FootnoteReference"/>
        </w:rPr>
        <w:footnoteRef/>
      </w:r>
      <w:r>
        <w:t xml:space="preserve"> Id.</w:t>
      </w:r>
    </w:p>
  </w:footnote>
  <w:footnote w:id="17">
    <w:p w14:paraId="0832EFF6" w14:textId="07BE8A17" w:rsidR="00510A4E" w:rsidRDefault="00510A4E">
      <w:pPr>
        <w:pStyle w:val="FootnoteText"/>
      </w:pPr>
      <w:r>
        <w:rPr>
          <w:rStyle w:val="FootnoteReference"/>
        </w:rPr>
        <w:footnoteRef/>
      </w:r>
      <w:r>
        <w:t xml:space="preserve"> Id. at 2-3.</w:t>
      </w:r>
    </w:p>
  </w:footnote>
  <w:footnote w:id="18">
    <w:p w14:paraId="5C92A5E3" w14:textId="1B4FC52C" w:rsidR="005174F7" w:rsidRDefault="005174F7">
      <w:pPr>
        <w:pStyle w:val="FootnoteText"/>
      </w:pPr>
      <w:r>
        <w:rPr>
          <w:rStyle w:val="FootnoteReference"/>
        </w:rPr>
        <w:footnoteRef/>
      </w:r>
      <w:r>
        <w:t xml:space="preserve"> Despite Duke’s claims regarding OCC’s opportunity for discovery (see Memorandum Contra at 3), Duke has the burden of justifying the costs it alleges.</w:t>
      </w:r>
    </w:p>
  </w:footnote>
  <w:footnote w:id="19">
    <w:p w14:paraId="1A5890B0" w14:textId="55897A2E" w:rsidR="005C244A" w:rsidRDefault="005C244A">
      <w:pPr>
        <w:pStyle w:val="FootnoteText"/>
      </w:pPr>
      <w:r>
        <w:rPr>
          <w:rStyle w:val="FootnoteReference"/>
        </w:rPr>
        <w:footnoteRef/>
      </w:r>
      <w:r>
        <w:t xml:space="preserve"> Id.</w:t>
      </w:r>
    </w:p>
  </w:footnote>
  <w:footnote w:id="20">
    <w:p w14:paraId="2779AB8B" w14:textId="54B8320E" w:rsidR="00CB6C8E" w:rsidRDefault="00CB6C8E">
      <w:pPr>
        <w:pStyle w:val="FootnoteText"/>
      </w:pPr>
      <w:r>
        <w:rPr>
          <w:rStyle w:val="FootnoteReference"/>
        </w:rPr>
        <w:footnoteRef/>
      </w:r>
      <w:r>
        <w:t xml:space="preserve"> Id.</w:t>
      </w:r>
    </w:p>
  </w:footnote>
  <w:footnote w:id="21">
    <w:p w14:paraId="05521FA1" w14:textId="400BCACB" w:rsidR="00CB6C8E" w:rsidRDefault="00CB6C8E">
      <w:pPr>
        <w:pStyle w:val="FootnoteText"/>
      </w:pPr>
      <w:r>
        <w:rPr>
          <w:rStyle w:val="FootnoteReference"/>
        </w:rPr>
        <w:footnoteRef/>
      </w:r>
      <w:r>
        <w:t xml:space="preserve"> See, e.g., </w:t>
      </w:r>
      <w:r w:rsidRPr="00490CDC">
        <w:rPr>
          <w:i/>
        </w:rPr>
        <w:t>In the Matter of the Application of Duke Energy Ohio, Inc., to Adjust Rider DR-IM and Rider AU for 2014 Grid Modernization Costs</w:t>
      </w:r>
      <w:r>
        <w:t xml:space="preserve">, Case No. 15-883-GE-RDR, Entry (July 1, 2015) at 2 setting a </w:t>
      </w:r>
      <w:r w:rsidRPr="00261596">
        <w:rPr>
          <w:rFonts w:eastAsia="Calibri"/>
          <w:szCs w:val="24"/>
        </w:rPr>
        <w:t xml:space="preserve">procedural schedule </w:t>
      </w:r>
      <w:r>
        <w:rPr>
          <w:rFonts w:eastAsia="Calibri"/>
          <w:szCs w:val="24"/>
        </w:rPr>
        <w:t>calling</w:t>
      </w:r>
      <w:r w:rsidRPr="00261596">
        <w:rPr>
          <w:rFonts w:eastAsia="Calibri"/>
          <w:szCs w:val="24"/>
        </w:rPr>
        <w:t xml:space="preserve"> for a comment period, and if no settlement is reached, PUCO Staff and intervenor testimony is due November 6, 2015 and Duke supplemental testimony is due November 13, 2015</w:t>
      </w:r>
      <w:r>
        <w:rPr>
          <w:rFonts w:eastAsia="Calibri"/>
          <w:szCs w:val="24"/>
        </w:rPr>
        <w:t xml:space="preserve">.  But Duke filed supporting testimony with its application in that case.  See id., </w:t>
      </w:r>
      <w:r>
        <w:t>Application (June 4, 2015); id., Direct Testimony of Donald L. Schneider Jr. (June 4, 2015); id., Direct Testimony of Peggy A. Laub (June 4, 2015).</w:t>
      </w:r>
    </w:p>
  </w:footnote>
  <w:footnote w:id="22">
    <w:p w14:paraId="2F25D8F7" w14:textId="3713F351" w:rsidR="00F934BA" w:rsidRDefault="00F934BA">
      <w:pPr>
        <w:pStyle w:val="FootnoteText"/>
      </w:pPr>
      <w:r>
        <w:rPr>
          <w:rStyle w:val="FootnoteReference"/>
        </w:rPr>
        <w:footnoteRef/>
      </w:r>
      <w:r>
        <w:t xml:space="preserve"> Duke also asserts that “it is well-settled procedure that Staff file their testimony last – not at the same time as intervenors.”  Memorandum Contra at 4.  As discussed in footnote 20 above, that is not always the case.  Further, under the August 5 Entry there are nearly two weeks between the current October 2 deadline for PUCO Staff testimony and the hearing date.  This is ample time to accommodate the PUCO Staff, if necessary.</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CA6AAD4"/>
    <w:lvl w:ilvl="0">
      <w:start w:val="1"/>
      <w:numFmt w:val="decimal"/>
      <w:lvlText w:val="%1."/>
      <w:lvlJc w:val="left"/>
      <w:pPr>
        <w:tabs>
          <w:tab w:val="num" w:pos="1800"/>
        </w:tabs>
        <w:ind w:left="1800" w:hanging="360"/>
      </w:pPr>
    </w:lvl>
  </w:abstractNum>
  <w:abstractNum w:abstractNumId="1">
    <w:nsid w:val="FFFFFF7D"/>
    <w:multiLevelType w:val="singleLevel"/>
    <w:tmpl w:val="7C6CDEE8"/>
    <w:lvl w:ilvl="0">
      <w:start w:val="1"/>
      <w:numFmt w:val="decimal"/>
      <w:lvlText w:val="%1."/>
      <w:lvlJc w:val="left"/>
      <w:pPr>
        <w:tabs>
          <w:tab w:val="num" w:pos="1440"/>
        </w:tabs>
        <w:ind w:left="1440" w:hanging="360"/>
      </w:pPr>
    </w:lvl>
  </w:abstractNum>
  <w:abstractNum w:abstractNumId="2">
    <w:nsid w:val="FFFFFF7E"/>
    <w:multiLevelType w:val="singleLevel"/>
    <w:tmpl w:val="ACE08C14"/>
    <w:lvl w:ilvl="0">
      <w:start w:val="1"/>
      <w:numFmt w:val="decimal"/>
      <w:lvlText w:val="%1."/>
      <w:lvlJc w:val="left"/>
      <w:pPr>
        <w:tabs>
          <w:tab w:val="num" w:pos="1080"/>
        </w:tabs>
        <w:ind w:left="1080" w:hanging="360"/>
      </w:pPr>
    </w:lvl>
  </w:abstractNum>
  <w:abstractNum w:abstractNumId="3">
    <w:nsid w:val="FFFFFF7F"/>
    <w:multiLevelType w:val="singleLevel"/>
    <w:tmpl w:val="5C3CBDD6"/>
    <w:lvl w:ilvl="0">
      <w:start w:val="1"/>
      <w:numFmt w:val="decimal"/>
      <w:lvlText w:val="%1."/>
      <w:lvlJc w:val="left"/>
      <w:pPr>
        <w:tabs>
          <w:tab w:val="num" w:pos="720"/>
        </w:tabs>
        <w:ind w:left="720" w:hanging="360"/>
      </w:pPr>
    </w:lvl>
  </w:abstractNum>
  <w:abstractNum w:abstractNumId="4">
    <w:nsid w:val="FFFFFF80"/>
    <w:multiLevelType w:val="singleLevel"/>
    <w:tmpl w:val="AF5605CA"/>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CE04EC7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9842BDB8"/>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F71ED7C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76E0F408"/>
    <w:lvl w:ilvl="0">
      <w:start w:val="1"/>
      <w:numFmt w:val="decimal"/>
      <w:lvlText w:val="%1."/>
      <w:lvlJc w:val="left"/>
      <w:pPr>
        <w:tabs>
          <w:tab w:val="num" w:pos="360"/>
        </w:tabs>
        <w:ind w:left="360" w:hanging="360"/>
      </w:pPr>
    </w:lvl>
  </w:abstractNum>
  <w:abstractNum w:abstractNumId="9">
    <w:nsid w:val="FFFFFF89"/>
    <w:multiLevelType w:val="singleLevel"/>
    <w:tmpl w:val="75B6270E"/>
    <w:lvl w:ilvl="0">
      <w:start w:val="1"/>
      <w:numFmt w:val="bullet"/>
      <w:lvlText w:val=""/>
      <w:lvlJc w:val="left"/>
      <w:pPr>
        <w:tabs>
          <w:tab w:val="num" w:pos="360"/>
        </w:tabs>
        <w:ind w:left="360" w:hanging="360"/>
      </w:pPr>
      <w:rPr>
        <w:rFonts w:ascii="Symbol" w:hAnsi="Symbol" w:hint="default"/>
      </w:rPr>
    </w:lvl>
  </w:abstractNum>
  <w:abstractNum w:abstractNumId="10">
    <w:nsid w:val="03284FD3"/>
    <w:multiLevelType w:val="hybridMultilevel"/>
    <w:tmpl w:val="5C00BE38"/>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E1E3D83"/>
    <w:multiLevelType w:val="hybridMultilevel"/>
    <w:tmpl w:val="F9AA8B3C"/>
    <w:lvl w:ilvl="0" w:tplc="04090015">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2241240"/>
    <w:multiLevelType w:val="hybridMultilevel"/>
    <w:tmpl w:val="92646C06"/>
    <w:lvl w:ilvl="0" w:tplc="7DD61B5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18A93B29"/>
    <w:multiLevelType w:val="hybridMultilevel"/>
    <w:tmpl w:val="ECD8C0C6"/>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F754C5B"/>
    <w:multiLevelType w:val="hybridMultilevel"/>
    <w:tmpl w:val="2176F0D6"/>
    <w:lvl w:ilvl="0" w:tplc="A83EFA3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35804A5"/>
    <w:multiLevelType w:val="hybridMultilevel"/>
    <w:tmpl w:val="0C464DFC"/>
    <w:lvl w:ilvl="0" w:tplc="2EE2E75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39B34FC2"/>
    <w:multiLevelType w:val="hybridMultilevel"/>
    <w:tmpl w:val="F9AA8B3C"/>
    <w:lvl w:ilvl="0" w:tplc="04090015">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FB41392"/>
    <w:multiLevelType w:val="hybridMultilevel"/>
    <w:tmpl w:val="4E4ABE66"/>
    <w:lvl w:ilvl="0" w:tplc="982C543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4E0E416D"/>
    <w:multiLevelType w:val="hybridMultilevel"/>
    <w:tmpl w:val="511AEB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54DB2949"/>
    <w:multiLevelType w:val="hybridMultilevel"/>
    <w:tmpl w:val="9C24ADC6"/>
    <w:lvl w:ilvl="0" w:tplc="31A60BB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65582483"/>
    <w:multiLevelType w:val="hybridMultilevel"/>
    <w:tmpl w:val="6A6E7BA4"/>
    <w:lvl w:ilvl="0" w:tplc="CC0C74C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6AC54484"/>
    <w:multiLevelType w:val="hybridMultilevel"/>
    <w:tmpl w:val="2036FB12"/>
    <w:lvl w:ilvl="0" w:tplc="CF7A207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2E46BA8"/>
    <w:multiLevelType w:val="hybridMultilevel"/>
    <w:tmpl w:val="0AA24726"/>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6"/>
  </w:num>
  <w:num w:numId="3">
    <w:abstractNumId w:val="11"/>
  </w:num>
  <w:num w:numId="4">
    <w:abstractNumId w:val="14"/>
  </w:num>
  <w:num w:numId="5">
    <w:abstractNumId w:val="20"/>
  </w:num>
  <w:num w:numId="6">
    <w:abstractNumId w:val="17"/>
  </w:num>
  <w:num w:numId="7">
    <w:abstractNumId w:val="15"/>
  </w:num>
  <w:num w:numId="8">
    <w:abstractNumId w:val="12"/>
  </w:num>
  <w:num w:numId="9">
    <w:abstractNumId w:val="13"/>
  </w:num>
  <w:num w:numId="10">
    <w:abstractNumId w:val="22"/>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8"/>
  </w:num>
  <w:num w:numId="22">
    <w:abstractNumId w:val="21"/>
  </w:num>
  <w:num w:numId="2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NotTrackMoves/>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54100"/>
    <w:rsid w:val="000014DB"/>
    <w:rsid w:val="000044E6"/>
    <w:rsid w:val="00006AB4"/>
    <w:rsid w:val="00010B5A"/>
    <w:rsid w:val="00011F3B"/>
    <w:rsid w:val="000122B2"/>
    <w:rsid w:val="00014821"/>
    <w:rsid w:val="0003236D"/>
    <w:rsid w:val="000328D5"/>
    <w:rsid w:val="000348CE"/>
    <w:rsid w:val="00043DD7"/>
    <w:rsid w:val="00047186"/>
    <w:rsid w:val="000472C5"/>
    <w:rsid w:val="00047E70"/>
    <w:rsid w:val="00051CAC"/>
    <w:rsid w:val="00060227"/>
    <w:rsid w:val="000603B9"/>
    <w:rsid w:val="00072034"/>
    <w:rsid w:val="00075F35"/>
    <w:rsid w:val="00082C16"/>
    <w:rsid w:val="00087747"/>
    <w:rsid w:val="000A077B"/>
    <w:rsid w:val="000A3F9A"/>
    <w:rsid w:val="000A56AE"/>
    <w:rsid w:val="000A60A9"/>
    <w:rsid w:val="000B0176"/>
    <w:rsid w:val="000C3B8A"/>
    <w:rsid w:val="000D46E7"/>
    <w:rsid w:val="000D6317"/>
    <w:rsid w:val="000D6712"/>
    <w:rsid w:val="000E1AD0"/>
    <w:rsid w:val="000F1325"/>
    <w:rsid w:val="000F6023"/>
    <w:rsid w:val="00130482"/>
    <w:rsid w:val="00132BB0"/>
    <w:rsid w:val="00134C4A"/>
    <w:rsid w:val="00135F48"/>
    <w:rsid w:val="00141B85"/>
    <w:rsid w:val="00145C53"/>
    <w:rsid w:val="00147E56"/>
    <w:rsid w:val="001504F8"/>
    <w:rsid w:val="001578F9"/>
    <w:rsid w:val="001627D2"/>
    <w:rsid w:val="001810E7"/>
    <w:rsid w:val="001A680D"/>
    <w:rsid w:val="001B3D4A"/>
    <w:rsid w:val="001C573D"/>
    <w:rsid w:val="001F0C8B"/>
    <w:rsid w:val="001F184E"/>
    <w:rsid w:val="001F3BC2"/>
    <w:rsid w:val="002116C9"/>
    <w:rsid w:val="00214273"/>
    <w:rsid w:val="00225FE9"/>
    <w:rsid w:val="00231F13"/>
    <w:rsid w:val="0023481E"/>
    <w:rsid w:val="00241E27"/>
    <w:rsid w:val="002471B4"/>
    <w:rsid w:val="00250289"/>
    <w:rsid w:val="00254100"/>
    <w:rsid w:val="00263D74"/>
    <w:rsid w:val="00263F40"/>
    <w:rsid w:val="00282771"/>
    <w:rsid w:val="00290ADD"/>
    <w:rsid w:val="002969DB"/>
    <w:rsid w:val="002A1389"/>
    <w:rsid w:val="002A2CCA"/>
    <w:rsid w:val="002A4C5E"/>
    <w:rsid w:val="002A7D4E"/>
    <w:rsid w:val="002B6293"/>
    <w:rsid w:val="002B67FA"/>
    <w:rsid w:val="002C07EE"/>
    <w:rsid w:val="002C27D1"/>
    <w:rsid w:val="002C6CA8"/>
    <w:rsid w:val="002D0C15"/>
    <w:rsid w:val="002D5961"/>
    <w:rsid w:val="002E0597"/>
    <w:rsid w:val="002E1443"/>
    <w:rsid w:val="002F076F"/>
    <w:rsid w:val="002F59BD"/>
    <w:rsid w:val="00302BF7"/>
    <w:rsid w:val="00315F09"/>
    <w:rsid w:val="003369D3"/>
    <w:rsid w:val="003407F3"/>
    <w:rsid w:val="003463C8"/>
    <w:rsid w:val="00355E52"/>
    <w:rsid w:val="00356D84"/>
    <w:rsid w:val="00364418"/>
    <w:rsid w:val="00364991"/>
    <w:rsid w:val="003722A8"/>
    <w:rsid w:val="00373ABC"/>
    <w:rsid w:val="00373EB3"/>
    <w:rsid w:val="00383E37"/>
    <w:rsid w:val="003858C2"/>
    <w:rsid w:val="00391FC3"/>
    <w:rsid w:val="00392BE2"/>
    <w:rsid w:val="003B1E56"/>
    <w:rsid w:val="003C4F62"/>
    <w:rsid w:val="003F5C39"/>
    <w:rsid w:val="003F5D72"/>
    <w:rsid w:val="00400631"/>
    <w:rsid w:val="00400EA3"/>
    <w:rsid w:val="0040278F"/>
    <w:rsid w:val="00410C53"/>
    <w:rsid w:val="004244CA"/>
    <w:rsid w:val="004248F5"/>
    <w:rsid w:val="00435807"/>
    <w:rsid w:val="0044225D"/>
    <w:rsid w:val="00447AE2"/>
    <w:rsid w:val="00455A3A"/>
    <w:rsid w:val="00456446"/>
    <w:rsid w:val="00462F7B"/>
    <w:rsid w:val="0048652D"/>
    <w:rsid w:val="00490CDC"/>
    <w:rsid w:val="004A03EB"/>
    <w:rsid w:val="004A05E8"/>
    <w:rsid w:val="004A1895"/>
    <w:rsid w:val="004A2631"/>
    <w:rsid w:val="004A2710"/>
    <w:rsid w:val="004B1327"/>
    <w:rsid w:val="004B1ADF"/>
    <w:rsid w:val="004B6026"/>
    <w:rsid w:val="004C5203"/>
    <w:rsid w:val="004C6EC0"/>
    <w:rsid w:val="004D25E6"/>
    <w:rsid w:val="004D2C9F"/>
    <w:rsid w:val="004E2351"/>
    <w:rsid w:val="004E50C5"/>
    <w:rsid w:val="004F2297"/>
    <w:rsid w:val="005010E3"/>
    <w:rsid w:val="00501C60"/>
    <w:rsid w:val="00501F8F"/>
    <w:rsid w:val="005046B3"/>
    <w:rsid w:val="00507238"/>
    <w:rsid w:val="00510A4E"/>
    <w:rsid w:val="0051128C"/>
    <w:rsid w:val="005174F7"/>
    <w:rsid w:val="00530EE7"/>
    <w:rsid w:val="00532461"/>
    <w:rsid w:val="005516A3"/>
    <w:rsid w:val="00562248"/>
    <w:rsid w:val="005769F9"/>
    <w:rsid w:val="00581CFF"/>
    <w:rsid w:val="005851FE"/>
    <w:rsid w:val="00586FCF"/>
    <w:rsid w:val="00591F07"/>
    <w:rsid w:val="00593365"/>
    <w:rsid w:val="005975E2"/>
    <w:rsid w:val="005A24FF"/>
    <w:rsid w:val="005A7A31"/>
    <w:rsid w:val="005B0882"/>
    <w:rsid w:val="005C1307"/>
    <w:rsid w:val="005C244A"/>
    <w:rsid w:val="005C4DC5"/>
    <w:rsid w:val="005D122F"/>
    <w:rsid w:val="005E2BE8"/>
    <w:rsid w:val="005E48CA"/>
    <w:rsid w:val="005E731D"/>
    <w:rsid w:val="005F1C95"/>
    <w:rsid w:val="005F6B74"/>
    <w:rsid w:val="00604F3F"/>
    <w:rsid w:val="006153DA"/>
    <w:rsid w:val="00626B70"/>
    <w:rsid w:val="00653705"/>
    <w:rsid w:val="00654E17"/>
    <w:rsid w:val="00662ED8"/>
    <w:rsid w:val="00672DC2"/>
    <w:rsid w:val="0067577F"/>
    <w:rsid w:val="00691C31"/>
    <w:rsid w:val="0069273E"/>
    <w:rsid w:val="006B0ACC"/>
    <w:rsid w:val="006B0F7E"/>
    <w:rsid w:val="006B4BE4"/>
    <w:rsid w:val="006B754F"/>
    <w:rsid w:val="006C66B8"/>
    <w:rsid w:val="006D0C2E"/>
    <w:rsid w:val="006D4722"/>
    <w:rsid w:val="006F1E67"/>
    <w:rsid w:val="006F25E3"/>
    <w:rsid w:val="00700861"/>
    <w:rsid w:val="00701DBD"/>
    <w:rsid w:val="00704A5C"/>
    <w:rsid w:val="007145DB"/>
    <w:rsid w:val="0071591C"/>
    <w:rsid w:val="00717328"/>
    <w:rsid w:val="0072091D"/>
    <w:rsid w:val="0072213F"/>
    <w:rsid w:val="00722786"/>
    <w:rsid w:val="007300A0"/>
    <w:rsid w:val="00746154"/>
    <w:rsid w:val="00746C80"/>
    <w:rsid w:val="00750E4B"/>
    <w:rsid w:val="00753313"/>
    <w:rsid w:val="00760DA9"/>
    <w:rsid w:val="00763A9D"/>
    <w:rsid w:val="00780DC9"/>
    <w:rsid w:val="007818E4"/>
    <w:rsid w:val="0079138E"/>
    <w:rsid w:val="007955F2"/>
    <w:rsid w:val="00796705"/>
    <w:rsid w:val="007A004B"/>
    <w:rsid w:val="007A33AC"/>
    <w:rsid w:val="007B7EB1"/>
    <w:rsid w:val="007C55DA"/>
    <w:rsid w:val="007D22E5"/>
    <w:rsid w:val="007E2E62"/>
    <w:rsid w:val="007E4821"/>
    <w:rsid w:val="007F58FA"/>
    <w:rsid w:val="00800BC2"/>
    <w:rsid w:val="00806350"/>
    <w:rsid w:val="008220C0"/>
    <w:rsid w:val="00822814"/>
    <w:rsid w:val="008403E0"/>
    <w:rsid w:val="008559C9"/>
    <w:rsid w:val="00870AF5"/>
    <w:rsid w:val="00872390"/>
    <w:rsid w:val="00872795"/>
    <w:rsid w:val="00875A32"/>
    <w:rsid w:val="00877E20"/>
    <w:rsid w:val="00884544"/>
    <w:rsid w:val="00884CD9"/>
    <w:rsid w:val="008901E8"/>
    <w:rsid w:val="0089067D"/>
    <w:rsid w:val="00891DEA"/>
    <w:rsid w:val="00892D54"/>
    <w:rsid w:val="008A23F9"/>
    <w:rsid w:val="008A40E1"/>
    <w:rsid w:val="008A7A54"/>
    <w:rsid w:val="008A7F35"/>
    <w:rsid w:val="008C5E3C"/>
    <w:rsid w:val="008D2C5B"/>
    <w:rsid w:val="008D552B"/>
    <w:rsid w:val="008D7090"/>
    <w:rsid w:val="008E5069"/>
    <w:rsid w:val="008E5D5C"/>
    <w:rsid w:val="008F11E8"/>
    <w:rsid w:val="008F4477"/>
    <w:rsid w:val="00916233"/>
    <w:rsid w:val="00921DCA"/>
    <w:rsid w:val="00923DF9"/>
    <w:rsid w:val="0093184C"/>
    <w:rsid w:val="00944D0B"/>
    <w:rsid w:val="00960482"/>
    <w:rsid w:val="0097564C"/>
    <w:rsid w:val="00985727"/>
    <w:rsid w:val="00994600"/>
    <w:rsid w:val="00995F38"/>
    <w:rsid w:val="00995FAC"/>
    <w:rsid w:val="009B3697"/>
    <w:rsid w:val="009B66E0"/>
    <w:rsid w:val="009C3205"/>
    <w:rsid w:val="009C380C"/>
    <w:rsid w:val="009D1731"/>
    <w:rsid w:val="009D6B05"/>
    <w:rsid w:val="009E766B"/>
    <w:rsid w:val="009F405E"/>
    <w:rsid w:val="009F428C"/>
    <w:rsid w:val="009F54A8"/>
    <w:rsid w:val="00A02F52"/>
    <w:rsid w:val="00A133BB"/>
    <w:rsid w:val="00A13BD8"/>
    <w:rsid w:val="00A218A6"/>
    <w:rsid w:val="00A340CE"/>
    <w:rsid w:val="00A401D8"/>
    <w:rsid w:val="00A4521D"/>
    <w:rsid w:val="00A50D25"/>
    <w:rsid w:val="00A6294D"/>
    <w:rsid w:val="00A645AA"/>
    <w:rsid w:val="00A701B3"/>
    <w:rsid w:val="00A76D08"/>
    <w:rsid w:val="00A81149"/>
    <w:rsid w:val="00A9167C"/>
    <w:rsid w:val="00A960D3"/>
    <w:rsid w:val="00A96E80"/>
    <w:rsid w:val="00AA6C49"/>
    <w:rsid w:val="00AC5338"/>
    <w:rsid w:val="00AE594F"/>
    <w:rsid w:val="00AE7F14"/>
    <w:rsid w:val="00B04B21"/>
    <w:rsid w:val="00B10C2F"/>
    <w:rsid w:val="00B11C7F"/>
    <w:rsid w:val="00B21BAB"/>
    <w:rsid w:val="00B25673"/>
    <w:rsid w:val="00B34484"/>
    <w:rsid w:val="00B35B6A"/>
    <w:rsid w:val="00B51020"/>
    <w:rsid w:val="00B546BA"/>
    <w:rsid w:val="00B55596"/>
    <w:rsid w:val="00B74B17"/>
    <w:rsid w:val="00B77E77"/>
    <w:rsid w:val="00B913BF"/>
    <w:rsid w:val="00B91AAC"/>
    <w:rsid w:val="00B96B7E"/>
    <w:rsid w:val="00BC1D77"/>
    <w:rsid w:val="00BC5EB8"/>
    <w:rsid w:val="00BD18FB"/>
    <w:rsid w:val="00BE03F9"/>
    <w:rsid w:val="00BE06FC"/>
    <w:rsid w:val="00BE5DD6"/>
    <w:rsid w:val="00BF04AF"/>
    <w:rsid w:val="00BF07E3"/>
    <w:rsid w:val="00BF5E46"/>
    <w:rsid w:val="00C13CCA"/>
    <w:rsid w:val="00C44DB6"/>
    <w:rsid w:val="00C531BD"/>
    <w:rsid w:val="00C54163"/>
    <w:rsid w:val="00C56A30"/>
    <w:rsid w:val="00C61F1A"/>
    <w:rsid w:val="00C72799"/>
    <w:rsid w:val="00C76E1C"/>
    <w:rsid w:val="00C85FE5"/>
    <w:rsid w:val="00C90AD2"/>
    <w:rsid w:val="00CB6C8E"/>
    <w:rsid w:val="00CC199D"/>
    <w:rsid w:val="00CD1C57"/>
    <w:rsid w:val="00CD4FF2"/>
    <w:rsid w:val="00CD6795"/>
    <w:rsid w:val="00CE137A"/>
    <w:rsid w:val="00CE3B9B"/>
    <w:rsid w:val="00CE5A2F"/>
    <w:rsid w:val="00D01EE0"/>
    <w:rsid w:val="00D1207E"/>
    <w:rsid w:val="00D122FF"/>
    <w:rsid w:val="00D16E8A"/>
    <w:rsid w:val="00D47F18"/>
    <w:rsid w:val="00D623D0"/>
    <w:rsid w:val="00D71564"/>
    <w:rsid w:val="00D77104"/>
    <w:rsid w:val="00D7731F"/>
    <w:rsid w:val="00D912DD"/>
    <w:rsid w:val="00D93AC2"/>
    <w:rsid w:val="00D94920"/>
    <w:rsid w:val="00D95E1A"/>
    <w:rsid w:val="00DA5898"/>
    <w:rsid w:val="00DA7812"/>
    <w:rsid w:val="00DB0483"/>
    <w:rsid w:val="00DB5E0B"/>
    <w:rsid w:val="00DC7042"/>
    <w:rsid w:val="00E133CA"/>
    <w:rsid w:val="00E13858"/>
    <w:rsid w:val="00E17045"/>
    <w:rsid w:val="00E208AE"/>
    <w:rsid w:val="00E20F15"/>
    <w:rsid w:val="00E2225A"/>
    <w:rsid w:val="00E237B6"/>
    <w:rsid w:val="00E310E4"/>
    <w:rsid w:val="00E37F8B"/>
    <w:rsid w:val="00E40131"/>
    <w:rsid w:val="00E40BEB"/>
    <w:rsid w:val="00E516AF"/>
    <w:rsid w:val="00E55273"/>
    <w:rsid w:val="00E55C6F"/>
    <w:rsid w:val="00E756F5"/>
    <w:rsid w:val="00E80C52"/>
    <w:rsid w:val="00E91C6D"/>
    <w:rsid w:val="00E96A54"/>
    <w:rsid w:val="00EA1815"/>
    <w:rsid w:val="00EB3AC3"/>
    <w:rsid w:val="00EB7413"/>
    <w:rsid w:val="00EC1B8D"/>
    <w:rsid w:val="00ED0C03"/>
    <w:rsid w:val="00ED4644"/>
    <w:rsid w:val="00EE548E"/>
    <w:rsid w:val="00EF3F5D"/>
    <w:rsid w:val="00EF70AD"/>
    <w:rsid w:val="00F2244B"/>
    <w:rsid w:val="00F224C6"/>
    <w:rsid w:val="00F252AC"/>
    <w:rsid w:val="00F263FF"/>
    <w:rsid w:val="00F30222"/>
    <w:rsid w:val="00F32760"/>
    <w:rsid w:val="00F35D11"/>
    <w:rsid w:val="00F445C6"/>
    <w:rsid w:val="00F4690F"/>
    <w:rsid w:val="00F50A5F"/>
    <w:rsid w:val="00F5515F"/>
    <w:rsid w:val="00F57612"/>
    <w:rsid w:val="00F642B7"/>
    <w:rsid w:val="00F70D93"/>
    <w:rsid w:val="00F73EA5"/>
    <w:rsid w:val="00F74802"/>
    <w:rsid w:val="00F759CE"/>
    <w:rsid w:val="00F829EC"/>
    <w:rsid w:val="00F83F41"/>
    <w:rsid w:val="00F85DC9"/>
    <w:rsid w:val="00F8733D"/>
    <w:rsid w:val="00F934BA"/>
    <w:rsid w:val="00FA28D4"/>
    <w:rsid w:val="00FC1D56"/>
    <w:rsid w:val="00FC70D9"/>
    <w:rsid w:val="00FD363F"/>
    <w:rsid w:val="00FD3F13"/>
    <w:rsid w:val="00FD4371"/>
    <w:rsid w:val="00FF1A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34484"/>
    <w:rPr>
      <w:sz w:val="24"/>
    </w:rPr>
  </w:style>
  <w:style w:type="paragraph" w:styleId="Heading1">
    <w:name w:val="heading 1"/>
    <w:basedOn w:val="Normal"/>
    <w:next w:val="Normal"/>
    <w:autoRedefine/>
    <w:qFormat/>
    <w:rsid w:val="00B34484"/>
    <w:pPr>
      <w:keepNext/>
      <w:spacing w:after="240"/>
      <w:ind w:left="720" w:hanging="720"/>
      <w:outlineLvl w:val="0"/>
    </w:pPr>
    <w:rPr>
      <w:rFonts w:ascii="Times New Roman Bold" w:hAnsi="Times New Roman Bold"/>
      <w:b/>
      <w:caps/>
      <w:szCs w:val="24"/>
    </w:rPr>
  </w:style>
  <w:style w:type="paragraph" w:styleId="Heading2">
    <w:name w:val="heading 2"/>
    <w:basedOn w:val="Normal"/>
    <w:next w:val="Normal"/>
    <w:autoRedefine/>
    <w:qFormat/>
    <w:rsid w:val="00B34484"/>
    <w:pPr>
      <w:keepNext/>
      <w:tabs>
        <w:tab w:val="left" w:pos="4320"/>
      </w:tabs>
      <w:spacing w:after="240"/>
      <w:ind w:left="1440" w:hanging="720"/>
      <w:outlineLvl w:val="1"/>
    </w:pPr>
    <w:rPr>
      <w:rFonts w:ascii="Times New Roman Bold" w:hAnsi="Times New Roman Bold"/>
      <w:b/>
    </w:rPr>
  </w:style>
  <w:style w:type="paragraph" w:styleId="Heading3">
    <w:name w:val="heading 3"/>
    <w:basedOn w:val="Normal"/>
    <w:next w:val="Normal"/>
    <w:link w:val="Heading3Char"/>
    <w:autoRedefine/>
    <w:unhideWhenUsed/>
    <w:qFormat/>
    <w:rsid w:val="00B34484"/>
    <w:pPr>
      <w:keepNext/>
      <w:spacing w:after="240"/>
      <w:ind w:left="2160" w:hanging="720"/>
      <w:outlineLvl w:val="2"/>
    </w:pPr>
    <w:rPr>
      <w:rFonts w:ascii="Times New Roman Bold" w:hAnsi="Times New Roman Bold"/>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rPr>
  </w:style>
  <w:style w:type="paragraph" w:styleId="Footer">
    <w:name w:val="footer"/>
    <w:basedOn w:val="Normal"/>
    <w:link w:val="FooterChar"/>
    <w:uiPriority w:val="99"/>
    <w:pPr>
      <w:tabs>
        <w:tab w:val="center" w:pos="4320"/>
        <w:tab w:val="right" w:pos="8640"/>
      </w:tabs>
    </w:pPr>
    <w:rPr>
      <w:sz w:val="20"/>
    </w:rPr>
  </w:style>
  <w:style w:type="paragraph" w:styleId="FootnoteText">
    <w:name w:val="footnote text"/>
    <w:aliases w:val="Footnote Text Char4 Char,Footnote Text Char Char4 Char,Footnote Text Char4 Char1 Char Char,Footnote Text Char Char4 Char1 Char Char,Footnote Text Char5 Char1 Char Char Char Char Char,Footnote Text Char2,Footnote Text Cha"/>
    <w:basedOn w:val="Normal"/>
    <w:link w:val="FootnoteTextChar"/>
    <w:pPr>
      <w:spacing w:before="120"/>
    </w:pPr>
    <w:rPr>
      <w:sz w:val="20"/>
    </w:rPr>
  </w:style>
  <w:style w:type="character" w:styleId="FootnoteReference">
    <w:name w:val="footnote reference"/>
    <w:aliases w:val="o,fr,Style 3,Style 13,Appel note de bas de p,Style 12,(NECG) Footnote Reference,Style 124"/>
    <w:semiHidden/>
    <w:rPr>
      <w:vertAlign w:val="superscript"/>
    </w:rPr>
  </w:style>
  <w:style w:type="paragraph" w:styleId="BodyTextIndent">
    <w:name w:val="Body Text Indent"/>
    <w:basedOn w:val="Normal"/>
    <w:link w:val="BodyTextIndentChar"/>
    <w:pPr>
      <w:spacing w:line="480" w:lineRule="auto"/>
      <w:ind w:firstLine="720"/>
    </w:pPr>
  </w:style>
  <w:style w:type="paragraph" w:styleId="BodyTextIndent3">
    <w:name w:val="Body Text Indent 3"/>
    <w:basedOn w:val="Normal"/>
    <w:link w:val="BodyTextIndent3Char"/>
    <w:pPr>
      <w:spacing w:line="480" w:lineRule="atLeast"/>
      <w:ind w:firstLine="720"/>
    </w:pPr>
  </w:style>
  <w:style w:type="paragraph" w:styleId="BodyTextIndent2">
    <w:name w:val="Body Text Indent 2"/>
    <w:basedOn w:val="Normal"/>
    <w:pPr>
      <w:tabs>
        <w:tab w:val="left" w:pos="720"/>
      </w:tabs>
      <w:spacing w:before="240" w:after="240"/>
      <w:ind w:left="1464" w:hanging="744"/>
    </w:pPr>
  </w:style>
  <w:style w:type="character" w:styleId="PageNumber">
    <w:name w:val="page number"/>
    <w:basedOn w:val="DefaultParagraphFont"/>
  </w:style>
  <w:style w:type="paragraph" w:styleId="BodyText">
    <w:name w:val="Body Text"/>
    <w:basedOn w:val="Normal"/>
    <w:link w:val="BodyTextChar"/>
    <w:pPr>
      <w:jc w:val="both"/>
    </w:pPr>
  </w:style>
  <w:style w:type="paragraph" w:styleId="Header">
    <w:name w:val="header"/>
    <w:basedOn w:val="Normal"/>
    <w:pPr>
      <w:tabs>
        <w:tab w:val="center" w:pos="4320"/>
        <w:tab w:val="right" w:pos="8640"/>
      </w:tabs>
    </w:pPr>
  </w:style>
  <w:style w:type="paragraph" w:styleId="CommentText">
    <w:name w:val="annotation text"/>
    <w:basedOn w:val="Normal"/>
    <w:semiHidden/>
    <w:rPr>
      <w:szCs w:val="24"/>
    </w:rPr>
  </w:style>
  <w:style w:type="paragraph" w:styleId="CommentSubject">
    <w:name w:val="annotation subject"/>
    <w:basedOn w:val="CommentText"/>
    <w:next w:val="CommentText"/>
    <w:semiHidden/>
    <w:rPr>
      <w:szCs w:val="20"/>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W-BodyTextIndent3">
    <w:name w:val="WW-Body Text Indent 3"/>
    <w:basedOn w:val="Normal"/>
    <w:pPr>
      <w:suppressAutoHyphens/>
      <w:spacing w:line="480" w:lineRule="atLeast"/>
      <w:ind w:firstLine="720"/>
    </w:pPr>
    <w:rPr>
      <w:lang w:eastAsia="ar-SA"/>
    </w:rPr>
  </w:style>
  <w:style w:type="character" w:styleId="CommentReference">
    <w:name w:val="annotation reference"/>
    <w:semiHidden/>
    <w:rPr>
      <w:sz w:val="16"/>
      <w:szCs w:val="16"/>
    </w:rPr>
  </w:style>
  <w:style w:type="paragraph" w:styleId="BalloonText">
    <w:name w:val="Balloon Text"/>
    <w:basedOn w:val="Normal"/>
    <w:semiHidden/>
    <w:rPr>
      <w:rFonts w:ascii="Tahoma" w:hAnsi="Tahoma" w:cs="Tahoma"/>
      <w:sz w:val="16"/>
      <w:szCs w:val="16"/>
    </w:rPr>
  </w:style>
  <w:style w:type="character" w:styleId="Hyperlink">
    <w:name w:val="Hyperlink"/>
    <w:uiPriority w:val="99"/>
    <w:rPr>
      <w:color w:val="0000FF"/>
      <w:u w:val="single"/>
    </w:rPr>
  </w:style>
  <w:style w:type="character" w:customStyle="1" w:styleId="caps">
    <w:name w:val="caps"/>
    <w:basedOn w:val="DefaultParagraphFont"/>
  </w:style>
  <w:style w:type="character" w:customStyle="1" w:styleId="FootnoteTextChar">
    <w:name w:val="Footnote Text Char"/>
    <w:aliases w:val="Footnote Text Char4 Char Char1,Footnote Text Char Char4 Char Char1,Footnote Text Char4 Char1 Char Char Char1,Footnote Text Char Char4 Char1 Char Char Char1,Footnote Text Char5 Char1 Char Char Char Char Char Char1"/>
    <w:link w:val="FootnoteText"/>
    <w:locked/>
    <w:rPr>
      <w:lang w:val="en-US" w:eastAsia="en-US" w:bidi="ar-SA"/>
    </w:rPr>
  </w:style>
  <w:style w:type="paragraph" w:styleId="Date">
    <w:name w:val="Date"/>
    <w:basedOn w:val="Normal"/>
    <w:next w:val="Normal"/>
  </w:style>
  <w:style w:type="paragraph" w:styleId="ListParagraph">
    <w:name w:val="List Paragraph"/>
    <w:basedOn w:val="Normal"/>
    <w:uiPriority w:val="34"/>
    <w:qFormat/>
    <w:rsid w:val="00B913BF"/>
    <w:pPr>
      <w:spacing w:after="200" w:line="276" w:lineRule="auto"/>
      <w:ind w:left="720"/>
      <w:contextualSpacing/>
    </w:pPr>
    <w:rPr>
      <w:rFonts w:ascii="Calibri" w:eastAsia="Calibri" w:hAnsi="Calibri"/>
      <w:sz w:val="22"/>
      <w:szCs w:val="22"/>
    </w:rPr>
  </w:style>
  <w:style w:type="character" w:customStyle="1" w:styleId="FootnoteTextChar1">
    <w:name w:val="Footnote Text Char1"/>
    <w:aliases w:val="Footnote Text Char4 Char Char,Footnote Text Char Char4 Char Char,Footnote Text Char4 Char1 Char Char Char,Footnote Text Char Char4 Char1 Char Char Char,Footnote Text Char5 Char1 Char Char Char Char Char Char,Footnote Text Char2 Char2"/>
    <w:uiPriority w:val="99"/>
    <w:semiHidden/>
    <w:locked/>
    <w:rsid w:val="002F076F"/>
    <w:rPr>
      <w:sz w:val="24"/>
      <w:szCs w:val="24"/>
      <w:lang w:val="en-US" w:eastAsia="en-US" w:bidi="ar-SA"/>
    </w:rPr>
  </w:style>
  <w:style w:type="character" w:customStyle="1" w:styleId="FooterChar">
    <w:name w:val="Footer Char"/>
    <w:link w:val="Footer"/>
    <w:uiPriority w:val="99"/>
    <w:rsid w:val="00B77E77"/>
  </w:style>
  <w:style w:type="character" w:customStyle="1" w:styleId="Heading3Char">
    <w:name w:val="Heading 3 Char"/>
    <w:link w:val="Heading3"/>
    <w:rsid w:val="00B34484"/>
    <w:rPr>
      <w:rFonts w:ascii="Times New Roman Bold" w:eastAsia="Times New Roman" w:hAnsi="Times New Roman Bold" w:cs="Times New Roman"/>
      <w:b/>
      <w:bCs/>
      <w:sz w:val="24"/>
      <w:szCs w:val="26"/>
    </w:rPr>
  </w:style>
  <w:style w:type="character" w:customStyle="1" w:styleId="BodyTextChar">
    <w:name w:val="Body Text Char"/>
    <w:link w:val="BodyText"/>
    <w:rsid w:val="00B34484"/>
    <w:rPr>
      <w:sz w:val="24"/>
    </w:rPr>
  </w:style>
  <w:style w:type="character" w:customStyle="1" w:styleId="BodyTextIndentChar">
    <w:name w:val="Body Text Indent Char"/>
    <w:link w:val="BodyTextIndent"/>
    <w:rsid w:val="00B34484"/>
    <w:rPr>
      <w:sz w:val="24"/>
    </w:rPr>
  </w:style>
  <w:style w:type="paragraph" w:styleId="TOC1">
    <w:name w:val="toc 1"/>
    <w:basedOn w:val="Normal"/>
    <w:next w:val="Normal"/>
    <w:autoRedefine/>
    <w:uiPriority w:val="39"/>
    <w:rsid w:val="00872390"/>
    <w:pPr>
      <w:tabs>
        <w:tab w:val="left" w:pos="720"/>
        <w:tab w:val="decimal" w:leader="dot" w:pos="8640"/>
      </w:tabs>
      <w:spacing w:after="120"/>
      <w:ind w:left="720" w:hanging="720"/>
    </w:pPr>
  </w:style>
  <w:style w:type="paragraph" w:styleId="TOC2">
    <w:name w:val="toc 2"/>
    <w:basedOn w:val="Normal"/>
    <w:next w:val="Normal"/>
    <w:autoRedefine/>
    <w:uiPriority w:val="39"/>
    <w:rsid w:val="00872390"/>
    <w:pPr>
      <w:tabs>
        <w:tab w:val="left" w:pos="720"/>
        <w:tab w:val="left" w:pos="1440"/>
        <w:tab w:val="decimal" w:leader="dot" w:pos="8640"/>
      </w:tabs>
      <w:spacing w:after="120"/>
      <w:ind w:left="1440" w:hanging="720"/>
    </w:pPr>
  </w:style>
  <w:style w:type="paragraph" w:styleId="TOC3">
    <w:name w:val="toc 3"/>
    <w:basedOn w:val="Normal"/>
    <w:next w:val="Normal"/>
    <w:autoRedefine/>
    <w:uiPriority w:val="39"/>
    <w:rsid w:val="00872390"/>
    <w:pPr>
      <w:tabs>
        <w:tab w:val="left" w:pos="720"/>
        <w:tab w:val="left" w:pos="1440"/>
        <w:tab w:val="decimal" w:leader="dot" w:pos="8640"/>
      </w:tabs>
      <w:spacing w:after="120"/>
      <w:ind w:left="2160" w:hanging="720"/>
    </w:pPr>
  </w:style>
  <w:style w:type="paragraph" w:styleId="Revision">
    <w:name w:val="Revision"/>
    <w:hidden/>
    <w:uiPriority w:val="99"/>
    <w:semiHidden/>
    <w:rsid w:val="008D2C5B"/>
    <w:rPr>
      <w:sz w:val="24"/>
    </w:rPr>
  </w:style>
  <w:style w:type="character" w:customStyle="1" w:styleId="term1">
    <w:name w:val="term1"/>
    <w:basedOn w:val="DefaultParagraphFont"/>
    <w:rsid w:val="00B96B7E"/>
    <w:rPr>
      <w:b/>
      <w:bCs/>
    </w:rPr>
  </w:style>
  <w:style w:type="character" w:customStyle="1" w:styleId="BodyTextIndent3Char">
    <w:name w:val="Body Text Indent 3 Char"/>
    <w:basedOn w:val="DefaultParagraphFont"/>
    <w:link w:val="BodyTextIndent3"/>
    <w:rsid w:val="00C72799"/>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34484"/>
    <w:rPr>
      <w:sz w:val="24"/>
    </w:rPr>
  </w:style>
  <w:style w:type="paragraph" w:styleId="Heading1">
    <w:name w:val="heading 1"/>
    <w:basedOn w:val="Normal"/>
    <w:next w:val="Normal"/>
    <w:autoRedefine/>
    <w:qFormat/>
    <w:rsid w:val="00B34484"/>
    <w:pPr>
      <w:keepNext/>
      <w:spacing w:after="240"/>
      <w:ind w:left="720" w:hanging="720"/>
      <w:outlineLvl w:val="0"/>
    </w:pPr>
    <w:rPr>
      <w:rFonts w:ascii="Times New Roman Bold" w:hAnsi="Times New Roman Bold"/>
      <w:b/>
      <w:caps/>
      <w:szCs w:val="24"/>
    </w:rPr>
  </w:style>
  <w:style w:type="paragraph" w:styleId="Heading2">
    <w:name w:val="heading 2"/>
    <w:basedOn w:val="Normal"/>
    <w:next w:val="Normal"/>
    <w:autoRedefine/>
    <w:qFormat/>
    <w:rsid w:val="00B34484"/>
    <w:pPr>
      <w:keepNext/>
      <w:tabs>
        <w:tab w:val="left" w:pos="4320"/>
      </w:tabs>
      <w:spacing w:after="240"/>
      <w:ind w:left="1440" w:hanging="720"/>
      <w:outlineLvl w:val="1"/>
    </w:pPr>
    <w:rPr>
      <w:rFonts w:ascii="Times New Roman Bold" w:hAnsi="Times New Roman Bold"/>
      <w:b/>
    </w:rPr>
  </w:style>
  <w:style w:type="paragraph" w:styleId="Heading3">
    <w:name w:val="heading 3"/>
    <w:basedOn w:val="Normal"/>
    <w:next w:val="Normal"/>
    <w:link w:val="Heading3Char"/>
    <w:autoRedefine/>
    <w:unhideWhenUsed/>
    <w:qFormat/>
    <w:rsid w:val="00B34484"/>
    <w:pPr>
      <w:keepNext/>
      <w:spacing w:after="240"/>
      <w:ind w:left="2160" w:hanging="720"/>
      <w:outlineLvl w:val="2"/>
    </w:pPr>
    <w:rPr>
      <w:rFonts w:ascii="Times New Roman Bold" w:hAnsi="Times New Roman Bold"/>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rPr>
  </w:style>
  <w:style w:type="paragraph" w:styleId="Footer">
    <w:name w:val="footer"/>
    <w:basedOn w:val="Normal"/>
    <w:link w:val="FooterChar"/>
    <w:uiPriority w:val="99"/>
    <w:pPr>
      <w:tabs>
        <w:tab w:val="center" w:pos="4320"/>
        <w:tab w:val="right" w:pos="8640"/>
      </w:tabs>
    </w:pPr>
    <w:rPr>
      <w:sz w:val="20"/>
    </w:rPr>
  </w:style>
  <w:style w:type="paragraph" w:styleId="FootnoteText">
    <w:name w:val="footnote text"/>
    <w:aliases w:val="Footnote Text Char4 Char,Footnote Text Char Char4 Char,Footnote Text Char4 Char1 Char Char,Footnote Text Char Char4 Char1 Char Char,Footnote Text Char5 Char1 Char Char Char Char Char,Footnote Text Char2,Footnote Text Cha"/>
    <w:basedOn w:val="Normal"/>
    <w:link w:val="FootnoteTextChar"/>
    <w:pPr>
      <w:spacing w:before="120"/>
    </w:pPr>
    <w:rPr>
      <w:sz w:val="20"/>
    </w:rPr>
  </w:style>
  <w:style w:type="character" w:styleId="FootnoteReference">
    <w:name w:val="footnote reference"/>
    <w:aliases w:val="o,fr,Style 3,Style 13,Appel note de bas de p,Style 12,(NECG) Footnote Reference,Style 124"/>
    <w:semiHidden/>
    <w:rPr>
      <w:vertAlign w:val="superscript"/>
    </w:rPr>
  </w:style>
  <w:style w:type="paragraph" w:styleId="BodyTextIndent">
    <w:name w:val="Body Text Indent"/>
    <w:basedOn w:val="Normal"/>
    <w:link w:val="BodyTextIndentChar"/>
    <w:pPr>
      <w:spacing w:line="480" w:lineRule="auto"/>
      <w:ind w:firstLine="720"/>
    </w:pPr>
  </w:style>
  <w:style w:type="paragraph" w:styleId="BodyTextIndent3">
    <w:name w:val="Body Text Indent 3"/>
    <w:basedOn w:val="Normal"/>
    <w:link w:val="BodyTextIndent3Char"/>
    <w:pPr>
      <w:spacing w:line="480" w:lineRule="atLeast"/>
      <w:ind w:firstLine="720"/>
    </w:pPr>
  </w:style>
  <w:style w:type="paragraph" w:styleId="BodyTextIndent2">
    <w:name w:val="Body Text Indent 2"/>
    <w:basedOn w:val="Normal"/>
    <w:pPr>
      <w:tabs>
        <w:tab w:val="left" w:pos="720"/>
      </w:tabs>
      <w:spacing w:before="240" w:after="240"/>
      <w:ind w:left="1464" w:hanging="744"/>
    </w:pPr>
  </w:style>
  <w:style w:type="character" w:styleId="PageNumber">
    <w:name w:val="page number"/>
    <w:basedOn w:val="DefaultParagraphFont"/>
  </w:style>
  <w:style w:type="paragraph" w:styleId="BodyText">
    <w:name w:val="Body Text"/>
    <w:basedOn w:val="Normal"/>
    <w:link w:val="BodyTextChar"/>
    <w:pPr>
      <w:jc w:val="both"/>
    </w:pPr>
  </w:style>
  <w:style w:type="paragraph" w:styleId="Header">
    <w:name w:val="header"/>
    <w:basedOn w:val="Normal"/>
    <w:pPr>
      <w:tabs>
        <w:tab w:val="center" w:pos="4320"/>
        <w:tab w:val="right" w:pos="8640"/>
      </w:tabs>
    </w:pPr>
  </w:style>
  <w:style w:type="paragraph" w:styleId="CommentText">
    <w:name w:val="annotation text"/>
    <w:basedOn w:val="Normal"/>
    <w:semiHidden/>
    <w:rPr>
      <w:szCs w:val="24"/>
    </w:rPr>
  </w:style>
  <w:style w:type="paragraph" w:styleId="CommentSubject">
    <w:name w:val="annotation subject"/>
    <w:basedOn w:val="CommentText"/>
    <w:next w:val="CommentText"/>
    <w:semiHidden/>
    <w:rPr>
      <w:szCs w:val="20"/>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W-BodyTextIndent3">
    <w:name w:val="WW-Body Text Indent 3"/>
    <w:basedOn w:val="Normal"/>
    <w:pPr>
      <w:suppressAutoHyphens/>
      <w:spacing w:line="480" w:lineRule="atLeast"/>
      <w:ind w:firstLine="720"/>
    </w:pPr>
    <w:rPr>
      <w:lang w:eastAsia="ar-SA"/>
    </w:rPr>
  </w:style>
  <w:style w:type="character" w:styleId="CommentReference">
    <w:name w:val="annotation reference"/>
    <w:semiHidden/>
    <w:rPr>
      <w:sz w:val="16"/>
      <w:szCs w:val="16"/>
    </w:rPr>
  </w:style>
  <w:style w:type="paragraph" w:styleId="BalloonText">
    <w:name w:val="Balloon Text"/>
    <w:basedOn w:val="Normal"/>
    <w:semiHidden/>
    <w:rPr>
      <w:rFonts w:ascii="Tahoma" w:hAnsi="Tahoma" w:cs="Tahoma"/>
      <w:sz w:val="16"/>
      <w:szCs w:val="16"/>
    </w:rPr>
  </w:style>
  <w:style w:type="character" w:styleId="Hyperlink">
    <w:name w:val="Hyperlink"/>
    <w:uiPriority w:val="99"/>
    <w:rPr>
      <w:color w:val="0000FF"/>
      <w:u w:val="single"/>
    </w:rPr>
  </w:style>
  <w:style w:type="character" w:customStyle="1" w:styleId="caps">
    <w:name w:val="caps"/>
    <w:basedOn w:val="DefaultParagraphFont"/>
  </w:style>
  <w:style w:type="character" w:customStyle="1" w:styleId="FootnoteTextChar">
    <w:name w:val="Footnote Text Char"/>
    <w:aliases w:val="Footnote Text Char4 Char Char1,Footnote Text Char Char4 Char Char1,Footnote Text Char4 Char1 Char Char Char1,Footnote Text Char Char4 Char1 Char Char Char1,Footnote Text Char5 Char1 Char Char Char Char Char Char1"/>
    <w:link w:val="FootnoteText"/>
    <w:locked/>
    <w:rPr>
      <w:lang w:val="en-US" w:eastAsia="en-US" w:bidi="ar-SA"/>
    </w:rPr>
  </w:style>
  <w:style w:type="paragraph" w:styleId="Date">
    <w:name w:val="Date"/>
    <w:basedOn w:val="Normal"/>
    <w:next w:val="Normal"/>
  </w:style>
  <w:style w:type="paragraph" w:styleId="ListParagraph">
    <w:name w:val="List Paragraph"/>
    <w:basedOn w:val="Normal"/>
    <w:uiPriority w:val="34"/>
    <w:qFormat/>
    <w:rsid w:val="00B913BF"/>
    <w:pPr>
      <w:spacing w:after="200" w:line="276" w:lineRule="auto"/>
      <w:ind w:left="720"/>
      <w:contextualSpacing/>
    </w:pPr>
    <w:rPr>
      <w:rFonts w:ascii="Calibri" w:eastAsia="Calibri" w:hAnsi="Calibri"/>
      <w:sz w:val="22"/>
      <w:szCs w:val="22"/>
    </w:rPr>
  </w:style>
  <w:style w:type="character" w:customStyle="1" w:styleId="FootnoteTextChar1">
    <w:name w:val="Footnote Text Char1"/>
    <w:aliases w:val="Footnote Text Char4 Char Char,Footnote Text Char Char4 Char Char,Footnote Text Char4 Char1 Char Char Char,Footnote Text Char Char4 Char1 Char Char Char,Footnote Text Char5 Char1 Char Char Char Char Char Char,Footnote Text Char2 Char2"/>
    <w:uiPriority w:val="99"/>
    <w:semiHidden/>
    <w:locked/>
    <w:rsid w:val="002F076F"/>
    <w:rPr>
      <w:sz w:val="24"/>
      <w:szCs w:val="24"/>
      <w:lang w:val="en-US" w:eastAsia="en-US" w:bidi="ar-SA"/>
    </w:rPr>
  </w:style>
  <w:style w:type="character" w:customStyle="1" w:styleId="FooterChar">
    <w:name w:val="Footer Char"/>
    <w:link w:val="Footer"/>
    <w:uiPriority w:val="99"/>
    <w:rsid w:val="00B77E77"/>
  </w:style>
  <w:style w:type="character" w:customStyle="1" w:styleId="Heading3Char">
    <w:name w:val="Heading 3 Char"/>
    <w:link w:val="Heading3"/>
    <w:rsid w:val="00B34484"/>
    <w:rPr>
      <w:rFonts w:ascii="Times New Roman Bold" w:eastAsia="Times New Roman" w:hAnsi="Times New Roman Bold" w:cs="Times New Roman"/>
      <w:b/>
      <w:bCs/>
      <w:sz w:val="24"/>
      <w:szCs w:val="26"/>
    </w:rPr>
  </w:style>
  <w:style w:type="character" w:customStyle="1" w:styleId="BodyTextChar">
    <w:name w:val="Body Text Char"/>
    <w:link w:val="BodyText"/>
    <w:rsid w:val="00B34484"/>
    <w:rPr>
      <w:sz w:val="24"/>
    </w:rPr>
  </w:style>
  <w:style w:type="character" w:customStyle="1" w:styleId="BodyTextIndentChar">
    <w:name w:val="Body Text Indent Char"/>
    <w:link w:val="BodyTextIndent"/>
    <w:rsid w:val="00B34484"/>
    <w:rPr>
      <w:sz w:val="24"/>
    </w:rPr>
  </w:style>
  <w:style w:type="paragraph" w:styleId="TOC1">
    <w:name w:val="toc 1"/>
    <w:basedOn w:val="Normal"/>
    <w:next w:val="Normal"/>
    <w:autoRedefine/>
    <w:uiPriority w:val="39"/>
    <w:rsid w:val="00872390"/>
    <w:pPr>
      <w:tabs>
        <w:tab w:val="left" w:pos="720"/>
        <w:tab w:val="decimal" w:leader="dot" w:pos="8640"/>
      </w:tabs>
      <w:spacing w:after="120"/>
      <w:ind w:left="720" w:hanging="720"/>
    </w:pPr>
  </w:style>
  <w:style w:type="paragraph" w:styleId="TOC2">
    <w:name w:val="toc 2"/>
    <w:basedOn w:val="Normal"/>
    <w:next w:val="Normal"/>
    <w:autoRedefine/>
    <w:uiPriority w:val="39"/>
    <w:rsid w:val="00872390"/>
    <w:pPr>
      <w:tabs>
        <w:tab w:val="left" w:pos="720"/>
        <w:tab w:val="left" w:pos="1440"/>
        <w:tab w:val="decimal" w:leader="dot" w:pos="8640"/>
      </w:tabs>
      <w:spacing w:after="120"/>
      <w:ind w:left="1440" w:hanging="720"/>
    </w:pPr>
  </w:style>
  <w:style w:type="paragraph" w:styleId="TOC3">
    <w:name w:val="toc 3"/>
    <w:basedOn w:val="Normal"/>
    <w:next w:val="Normal"/>
    <w:autoRedefine/>
    <w:uiPriority w:val="39"/>
    <w:rsid w:val="00872390"/>
    <w:pPr>
      <w:tabs>
        <w:tab w:val="left" w:pos="720"/>
        <w:tab w:val="left" w:pos="1440"/>
        <w:tab w:val="decimal" w:leader="dot" w:pos="8640"/>
      </w:tabs>
      <w:spacing w:after="120"/>
      <w:ind w:left="2160" w:hanging="720"/>
    </w:pPr>
  </w:style>
  <w:style w:type="paragraph" w:styleId="Revision">
    <w:name w:val="Revision"/>
    <w:hidden/>
    <w:uiPriority w:val="99"/>
    <w:semiHidden/>
    <w:rsid w:val="008D2C5B"/>
    <w:rPr>
      <w:sz w:val="24"/>
    </w:rPr>
  </w:style>
  <w:style w:type="character" w:customStyle="1" w:styleId="term1">
    <w:name w:val="term1"/>
    <w:basedOn w:val="DefaultParagraphFont"/>
    <w:rsid w:val="00B96B7E"/>
    <w:rPr>
      <w:b/>
      <w:bCs/>
    </w:rPr>
  </w:style>
  <w:style w:type="character" w:customStyle="1" w:styleId="BodyTextIndent3Char">
    <w:name w:val="Body Text Indent 3 Char"/>
    <w:basedOn w:val="DefaultParagraphFont"/>
    <w:link w:val="BodyTextIndent3"/>
    <w:rsid w:val="00C72799"/>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2464587">
      <w:bodyDiv w:val="1"/>
      <w:marLeft w:val="0"/>
      <w:marRight w:val="0"/>
      <w:marTop w:val="0"/>
      <w:marBottom w:val="0"/>
      <w:divBdr>
        <w:top w:val="none" w:sz="0" w:space="0" w:color="auto"/>
        <w:left w:val="none" w:sz="0" w:space="0" w:color="auto"/>
        <w:bottom w:val="none" w:sz="0" w:space="0" w:color="auto"/>
        <w:right w:val="none" w:sz="0" w:space="0" w:color="auto"/>
      </w:divBdr>
    </w:div>
    <w:div w:id="323242531">
      <w:bodyDiv w:val="1"/>
      <w:marLeft w:val="0"/>
      <w:marRight w:val="0"/>
      <w:marTop w:val="0"/>
      <w:marBottom w:val="0"/>
      <w:divBdr>
        <w:top w:val="none" w:sz="0" w:space="0" w:color="auto"/>
        <w:left w:val="none" w:sz="0" w:space="0" w:color="auto"/>
        <w:bottom w:val="none" w:sz="0" w:space="0" w:color="auto"/>
        <w:right w:val="none" w:sz="0" w:space="0" w:color="auto"/>
      </w:divBdr>
    </w:div>
    <w:div w:id="567805267">
      <w:bodyDiv w:val="1"/>
      <w:marLeft w:val="0"/>
      <w:marRight w:val="0"/>
      <w:marTop w:val="0"/>
      <w:marBottom w:val="0"/>
      <w:divBdr>
        <w:top w:val="none" w:sz="0" w:space="0" w:color="auto"/>
        <w:left w:val="none" w:sz="0" w:space="0" w:color="auto"/>
        <w:bottom w:val="none" w:sz="0" w:space="0" w:color="auto"/>
        <w:right w:val="none" w:sz="0" w:space="0" w:color="auto"/>
      </w:divBdr>
    </w:div>
    <w:div w:id="673150621">
      <w:bodyDiv w:val="1"/>
      <w:marLeft w:val="48"/>
      <w:marRight w:val="48"/>
      <w:marTop w:val="48"/>
      <w:marBottom w:val="12"/>
      <w:divBdr>
        <w:top w:val="none" w:sz="0" w:space="0" w:color="auto"/>
        <w:left w:val="none" w:sz="0" w:space="0" w:color="auto"/>
        <w:bottom w:val="none" w:sz="0" w:space="0" w:color="auto"/>
        <w:right w:val="none" w:sz="0" w:space="0" w:color="auto"/>
      </w:divBdr>
      <w:divsChild>
        <w:div w:id="391739148">
          <w:marLeft w:val="0"/>
          <w:marRight w:val="0"/>
          <w:marTop w:val="0"/>
          <w:marBottom w:val="0"/>
          <w:divBdr>
            <w:top w:val="none" w:sz="0" w:space="0" w:color="auto"/>
            <w:left w:val="none" w:sz="0" w:space="0" w:color="auto"/>
            <w:bottom w:val="none" w:sz="0" w:space="0" w:color="auto"/>
            <w:right w:val="none" w:sz="0" w:space="0" w:color="auto"/>
          </w:divBdr>
        </w:div>
        <w:div w:id="429013977">
          <w:marLeft w:val="0"/>
          <w:marRight w:val="0"/>
          <w:marTop w:val="0"/>
          <w:marBottom w:val="0"/>
          <w:divBdr>
            <w:top w:val="none" w:sz="0" w:space="0" w:color="auto"/>
            <w:left w:val="none" w:sz="0" w:space="0" w:color="auto"/>
            <w:bottom w:val="none" w:sz="0" w:space="0" w:color="auto"/>
            <w:right w:val="none" w:sz="0" w:space="0" w:color="auto"/>
          </w:divBdr>
        </w:div>
        <w:div w:id="468982400">
          <w:marLeft w:val="0"/>
          <w:marRight w:val="0"/>
          <w:marTop w:val="0"/>
          <w:marBottom w:val="0"/>
          <w:divBdr>
            <w:top w:val="none" w:sz="0" w:space="0" w:color="auto"/>
            <w:left w:val="none" w:sz="0" w:space="0" w:color="auto"/>
            <w:bottom w:val="none" w:sz="0" w:space="0" w:color="auto"/>
            <w:right w:val="none" w:sz="0" w:space="0" w:color="auto"/>
          </w:divBdr>
        </w:div>
        <w:div w:id="713391440">
          <w:marLeft w:val="0"/>
          <w:marRight w:val="0"/>
          <w:marTop w:val="0"/>
          <w:marBottom w:val="0"/>
          <w:divBdr>
            <w:top w:val="none" w:sz="0" w:space="0" w:color="auto"/>
            <w:left w:val="none" w:sz="0" w:space="0" w:color="auto"/>
            <w:bottom w:val="none" w:sz="0" w:space="0" w:color="auto"/>
            <w:right w:val="none" w:sz="0" w:space="0" w:color="auto"/>
          </w:divBdr>
        </w:div>
        <w:div w:id="2062752407">
          <w:marLeft w:val="0"/>
          <w:marRight w:val="0"/>
          <w:marTop w:val="0"/>
          <w:marBottom w:val="0"/>
          <w:divBdr>
            <w:top w:val="none" w:sz="0" w:space="0" w:color="auto"/>
            <w:left w:val="none" w:sz="0" w:space="0" w:color="auto"/>
            <w:bottom w:val="none" w:sz="0" w:space="0" w:color="auto"/>
            <w:right w:val="none" w:sz="0" w:space="0" w:color="auto"/>
          </w:divBdr>
        </w:div>
      </w:divsChild>
    </w:div>
    <w:div w:id="759179504">
      <w:bodyDiv w:val="1"/>
      <w:marLeft w:val="0"/>
      <w:marRight w:val="0"/>
      <w:marTop w:val="0"/>
      <w:marBottom w:val="0"/>
      <w:divBdr>
        <w:top w:val="none" w:sz="0" w:space="0" w:color="auto"/>
        <w:left w:val="none" w:sz="0" w:space="0" w:color="auto"/>
        <w:bottom w:val="none" w:sz="0" w:space="0" w:color="auto"/>
        <w:right w:val="none" w:sz="0" w:space="0" w:color="auto"/>
      </w:divBdr>
    </w:div>
    <w:div w:id="948393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erry.Etter@occ.ohio.gov" TargetMode="External"/><Relationship Id="rId13" Type="http://schemas.openxmlformats.org/officeDocument/2006/relationships/hyperlink" Target="mailto:cmooney@ohiopartners.org"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Bryce.mckenney@puc.state.oh.u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Elizabeth.Watts@duke-energy.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Amy.Spiller@duke-energy.com" TargetMode="External"/><Relationship Id="rId4" Type="http://schemas.openxmlformats.org/officeDocument/2006/relationships/settings" Target="settings.xml"/><Relationship Id="rId9" Type="http://schemas.openxmlformats.org/officeDocument/2006/relationships/hyperlink" Target="mailto:william.wright@puc.state.oh.us"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1456</Words>
  <Characters>8305</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BEFORE</vt:lpstr>
    </vt:vector>
  </TitlesOfParts>
  <Manager/>
  <Company/>
  <LinksUpToDate>false</LinksUpToDate>
  <CharactersWithSpaces>9742</CharactersWithSpaces>
  <SharedDoc>false</SharedDoc>
  <HyperlinkBase> </HyperlinkBase>
  <HLinks>
    <vt:vector size="30" baseType="variant">
      <vt:variant>
        <vt:i4>1900596</vt:i4>
      </vt:variant>
      <vt:variant>
        <vt:i4>12</vt:i4>
      </vt:variant>
      <vt:variant>
        <vt:i4>0</vt:i4>
      </vt:variant>
      <vt:variant>
        <vt:i4>5</vt:i4>
      </vt:variant>
      <vt:variant>
        <vt:lpwstr>mailto:stnourse@aep.com</vt:lpwstr>
      </vt:variant>
      <vt:variant>
        <vt:lpwstr/>
      </vt:variant>
      <vt:variant>
        <vt:i4>1900596</vt:i4>
      </vt:variant>
      <vt:variant>
        <vt:i4>9</vt:i4>
      </vt:variant>
      <vt:variant>
        <vt:i4>0</vt:i4>
      </vt:variant>
      <vt:variant>
        <vt:i4>5</vt:i4>
      </vt:variant>
      <vt:variant>
        <vt:lpwstr>mailto:stnourse@aep.com</vt:lpwstr>
      </vt:variant>
      <vt:variant>
        <vt:lpwstr/>
      </vt:variant>
      <vt:variant>
        <vt:i4>2293828</vt:i4>
      </vt:variant>
      <vt:variant>
        <vt:i4>6</vt:i4>
      </vt:variant>
      <vt:variant>
        <vt:i4>0</vt:i4>
      </vt:variant>
      <vt:variant>
        <vt:i4>5</vt:i4>
      </vt:variant>
      <vt:variant>
        <vt:lpwstr>mailto:William.wright@puc.state.oh.us</vt:lpwstr>
      </vt:variant>
      <vt:variant>
        <vt:lpwstr/>
      </vt:variant>
      <vt:variant>
        <vt:i4>3014663</vt:i4>
      </vt:variant>
      <vt:variant>
        <vt:i4>3</vt:i4>
      </vt:variant>
      <vt:variant>
        <vt:i4>0</vt:i4>
      </vt:variant>
      <vt:variant>
        <vt:i4>5</vt:i4>
      </vt:variant>
      <vt:variant>
        <vt:lpwstr>mailto:schuler@occ.state.oh.us</vt:lpwstr>
      </vt:variant>
      <vt:variant>
        <vt:lpwstr/>
      </vt:variant>
      <vt:variant>
        <vt:i4>3014663</vt:i4>
      </vt:variant>
      <vt:variant>
        <vt:i4>0</vt:i4>
      </vt:variant>
      <vt:variant>
        <vt:i4>0</vt:i4>
      </vt:variant>
      <vt:variant>
        <vt:i4>5</vt:i4>
      </vt:variant>
      <vt:variant>
        <vt:lpwstr>mailto:schuler@occ.state.oh.us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subject> </dc:subject>
  <dc:creator/>
  <cp:keywords> </cp:keywords>
  <dc:description> </dc:description>
  <cp:lastModifiedBy/>
  <cp:revision>1</cp:revision>
  <cp:lastPrinted>2013-05-29T20:44:00Z</cp:lastPrinted>
  <dcterms:created xsi:type="dcterms:W3CDTF">2015-08-31T18:55:00Z</dcterms:created>
  <dcterms:modified xsi:type="dcterms:W3CDTF">2015-08-31T18:58:00Z</dcterms:modified>
  <cp:category> </cp:category>
  <cp:contentStatus> </cp:contentStatus>
</cp:coreProperties>
</file>