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96B42" w14:textId="77777777" w:rsidR="00DA43CB" w:rsidRDefault="00B1671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u w:val="thick"/>
        </w:rPr>
        <w:t>STANDARD CHOICE OFFER RIDER</w:t>
      </w:r>
    </w:p>
    <w:p w14:paraId="0BE47DF3" w14:textId="77777777" w:rsidR="00DA43CB" w:rsidRDefault="00DA43CB">
      <w:pPr>
        <w:rPr>
          <w:rFonts w:ascii="Arial" w:hAnsi="Arial" w:cs="Arial"/>
          <w:sz w:val="20"/>
          <w:szCs w:val="20"/>
        </w:rPr>
      </w:pPr>
    </w:p>
    <w:p w14:paraId="57C084E1" w14:textId="77777777" w:rsidR="00DA43CB" w:rsidRDefault="00B1671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thick"/>
        </w:rPr>
        <w:t>APPLICABILITY</w:t>
      </w:r>
    </w:p>
    <w:p w14:paraId="0FB68F06" w14:textId="77777777" w:rsidR="00DA43CB" w:rsidRDefault="00B16711">
      <w:pPr>
        <w:ind w:left="720" w:right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Standard Choice Offer (“SCO”) Rider is applicable to Rate 310, 311, 320 and 321 Customers.</w:t>
      </w:r>
    </w:p>
    <w:p w14:paraId="69998024" w14:textId="77777777" w:rsidR="00DA43CB" w:rsidRDefault="00DA43CB">
      <w:pPr>
        <w:rPr>
          <w:rFonts w:ascii="Arial" w:hAnsi="Arial" w:cs="Arial"/>
          <w:sz w:val="20"/>
          <w:szCs w:val="20"/>
        </w:rPr>
      </w:pPr>
    </w:p>
    <w:p w14:paraId="40D5D04D" w14:textId="77777777" w:rsidR="00DA43CB" w:rsidRDefault="00B1671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thick"/>
        </w:rPr>
        <w:t>DESCRIPTION</w:t>
      </w:r>
    </w:p>
    <w:p w14:paraId="65A4F10A" w14:textId="77777777" w:rsidR="00DA43CB" w:rsidRDefault="00DA43CB">
      <w:pPr>
        <w:rPr>
          <w:rFonts w:ascii="Arial" w:hAnsi="Arial" w:cs="Arial"/>
          <w:sz w:val="20"/>
          <w:szCs w:val="20"/>
        </w:rPr>
      </w:pPr>
    </w:p>
    <w:p w14:paraId="03BFE906" w14:textId="77777777" w:rsidR="00DA43CB" w:rsidRDefault="00B16711">
      <w:pPr>
        <w:ind w:left="720" w:right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Standard Choice Offer charge shall be the product of the Billing Ccf and the SCO Rider Rate.</w:t>
      </w:r>
    </w:p>
    <w:p w14:paraId="745B3D3B" w14:textId="77777777" w:rsidR="00DA43CB" w:rsidRDefault="00DA43CB">
      <w:pPr>
        <w:ind w:left="720" w:right="576"/>
        <w:jc w:val="both"/>
        <w:rPr>
          <w:rFonts w:ascii="Arial" w:hAnsi="Arial" w:cs="Arial"/>
          <w:sz w:val="20"/>
          <w:szCs w:val="20"/>
        </w:rPr>
      </w:pPr>
    </w:p>
    <w:p w14:paraId="6B48E728" w14:textId="77777777" w:rsidR="00DA43CB" w:rsidRDefault="00B16711">
      <w:pPr>
        <w:ind w:left="720" w:right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SCO Rider Rate each month will be the NYMEX settlement price for such month converted to a price per Mcf using a standard Btu value of 1.070, plus the Retail Price Adjustment determined in the SCO auction. The resulting rate per Mcf will be converted to a rate per Ccf for billing purposes.</w:t>
      </w:r>
    </w:p>
    <w:p w14:paraId="66D8EAEE" w14:textId="77777777" w:rsidR="00DA43CB" w:rsidRDefault="00DA43CB">
      <w:pPr>
        <w:ind w:left="720" w:right="576"/>
        <w:jc w:val="both"/>
        <w:rPr>
          <w:rFonts w:ascii="Arial" w:hAnsi="Arial" w:cs="Arial"/>
          <w:sz w:val="20"/>
          <w:szCs w:val="20"/>
        </w:rPr>
      </w:pPr>
    </w:p>
    <w:p w14:paraId="2AB9A0FA" w14:textId="77777777" w:rsidR="00DA43CB" w:rsidRDefault="00B16711">
      <w:pPr>
        <w:ind w:left="720" w:right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Retail Price Adjustment effective April 1, 2021 through March 31, 2022 is $1.16 per Mcf.</w:t>
      </w:r>
    </w:p>
    <w:p w14:paraId="2E615B9B" w14:textId="77777777" w:rsidR="00DA43CB" w:rsidRDefault="00DA43CB">
      <w:pPr>
        <w:jc w:val="both"/>
        <w:rPr>
          <w:rFonts w:ascii="Arial" w:hAnsi="Arial" w:cs="Arial"/>
          <w:sz w:val="20"/>
          <w:szCs w:val="20"/>
        </w:rPr>
      </w:pPr>
    </w:p>
    <w:p w14:paraId="68041968" w14:textId="77777777" w:rsidR="00DA43CB" w:rsidRDefault="00B1671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thick"/>
        </w:rPr>
        <w:t>SCO RIDER RATE</w:t>
      </w:r>
    </w:p>
    <w:p w14:paraId="004F8B4B" w14:textId="6EF25B1E" w:rsidR="00DA43CB" w:rsidRDefault="00B1671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SCO Rider Rate for </w:t>
      </w:r>
      <w:r w:rsidR="00AC7994">
        <w:rPr>
          <w:rFonts w:ascii="Arial" w:hAnsi="Arial" w:cs="Arial"/>
          <w:sz w:val="20"/>
          <w:szCs w:val="20"/>
        </w:rPr>
        <w:t>September</w:t>
      </w:r>
      <w:r>
        <w:rPr>
          <w:rFonts w:ascii="Arial" w:hAnsi="Arial" w:cs="Arial"/>
          <w:sz w:val="20"/>
          <w:szCs w:val="20"/>
        </w:rPr>
        <w:t xml:space="preserve"> 2021 is $</w:t>
      </w:r>
      <w:r w:rsidR="007D7B9E">
        <w:rPr>
          <w:rFonts w:ascii="Arial" w:hAnsi="Arial" w:cs="Arial"/>
          <w:sz w:val="20"/>
          <w:szCs w:val="20"/>
        </w:rPr>
        <w:t>0.58359</w:t>
      </w:r>
      <w:r>
        <w:rPr>
          <w:rFonts w:ascii="Arial" w:hAnsi="Arial" w:cs="Arial"/>
          <w:sz w:val="20"/>
          <w:szCs w:val="20"/>
        </w:rPr>
        <w:t xml:space="preserve"> per Billing </w:t>
      </w:r>
      <w:proofErr w:type="spellStart"/>
      <w:r>
        <w:rPr>
          <w:rFonts w:ascii="Arial" w:hAnsi="Arial" w:cs="Arial"/>
          <w:sz w:val="20"/>
          <w:szCs w:val="20"/>
        </w:rPr>
        <w:t>Ccf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069F6DED" w14:textId="77777777" w:rsidR="00DA43CB" w:rsidRDefault="00DA43CB">
      <w:pPr>
        <w:ind w:left="720"/>
        <w:rPr>
          <w:rFonts w:ascii="Arial" w:hAnsi="Arial" w:cs="Arial"/>
          <w:sz w:val="20"/>
          <w:szCs w:val="20"/>
        </w:rPr>
      </w:pPr>
    </w:p>
    <w:sectPr w:rsidR="00DA43CB">
      <w:headerReference w:type="default" r:id="rId6"/>
      <w:footerReference w:type="default" r:id="rId7"/>
      <w:pgSz w:w="12240" w:h="15840"/>
      <w:pgMar w:top="1440" w:right="57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4DABA" w14:textId="77777777" w:rsidR="00DA43CB" w:rsidRDefault="00B16711">
      <w:r>
        <w:separator/>
      </w:r>
    </w:p>
  </w:endnote>
  <w:endnote w:type="continuationSeparator" w:id="0">
    <w:p w14:paraId="6CE154B5" w14:textId="77777777" w:rsidR="00DA43CB" w:rsidRDefault="00B16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39B84" w14:textId="77777777" w:rsidR="00DA43CB" w:rsidRDefault="00DA43CB">
    <w:pPr>
      <w:pStyle w:val="Footer"/>
      <w:rPr>
        <w:sz w:val="20"/>
        <w:szCs w:val="20"/>
      </w:rPr>
    </w:pPr>
  </w:p>
  <w:p w14:paraId="4F92198D" w14:textId="77777777" w:rsidR="00DA43CB" w:rsidRDefault="007D7B9E">
    <w:pPr>
      <w:pStyle w:val="Footer"/>
      <w:rPr>
        <w:sz w:val="20"/>
        <w:szCs w:val="20"/>
      </w:rPr>
    </w:pPr>
    <w:r>
      <w:rPr>
        <w:sz w:val="20"/>
        <w:szCs w:val="20"/>
      </w:rPr>
      <w:pict w14:anchorId="3D112E9B">
        <v:rect id="_x0000_i1025" style="width:468pt;height:1.5pt" o:hralign="center" o:hrstd="t" o:hrnoshade="t" o:hr="t" fillcolor="black" stroked="f"/>
      </w:pict>
    </w:r>
  </w:p>
  <w:p w14:paraId="32EB2724" w14:textId="77777777" w:rsidR="00DA43CB" w:rsidRDefault="00B16711">
    <w:pPr>
      <w:widowControl w:val="0"/>
      <w:autoSpaceDE w:val="0"/>
      <w:autoSpaceDN w:val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Filed pursuant to the Opinion and Order dated August 28, 2019 in Case No. 18-0298-GA-AIR and the Entry dated January 13, 2010 in Case No. 07-1285-GA-EXM of The Public Utilities Commission of Ohio.</w:t>
    </w:r>
  </w:p>
  <w:p w14:paraId="02495FA8" w14:textId="77777777" w:rsidR="00DA43CB" w:rsidRDefault="00DA43CB">
    <w:pPr>
      <w:widowControl w:val="0"/>
      <w:autoSpaceDE w:val="0"/>
      <w:autoSpaceDN w:val="0"/>
      <w:rPr>
        <w:rFonts w:ascii="Arial" w:eastAsia="Arial" w:hAnsi="Arial" w:cs="Arial"/>
        <w:sz w:val="19"/>
        <w:szCs w:val="20"/>
      </w:rPr>
    </w:pPr>
  </w:p>
  <w:tbl>
    <w:tblPr>
      <w:tblStyle w:val="TableGrid"/>
      <w:tblW w:w="95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80"/>
      <w:gridCol w:w="4032"/>
      <w:gridCol w:w="2628"/>
    </w:tblGrid>
    <w:tr w:rsidR="00DA43CB" w14:paraId="3A208B73" w14:textId="77777777">
      <w:tc>
        <w:tcPr>
          <w:tcW w:w="2880" w:type="dxa"/>
        </w:tcPr>
        <w:p w14:paraId="53E75FC2" w14:textId="44C9608F" w:rsidR="00DA43CB" w:rsidRDefault="00B16711">
          <w:pPr>
            <w:rPr>
              <w:rFonts w:ascii="Arial" w:eastAsia="Arial" w:hAnsi="Arial" w:cs="Arial"/>
              <w:sz w:val="19"/>
              <w:szCs w:val="19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Issued </w:t>
          </w:r>
          <w:r w:rsidR="00AC7994">
            <w:rPr>
              <w:rFonts w:ascii="Arial" w:hAnsi="Arial" w:cs="Arial"/>
              <w:sz w:val="20"/>
              <w:szCs w:val="20"/>
            </w:rPr>
            <w:t>August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="00AC7994">
            <w:rPr>
              <w:rFonts w:ascii="Arial" w:hAnsi="Arial" w:cs="Arial"/>
              <w:sz w:val="20"/>
              <w:szCs w:val="20"/>
            </w:rPr>
            <w:t>27</w:t>
          </w:r>
          <w:r>
            <w:rPr>
              <w:rFonts w:ascii="Arial" w:hAnsi="Arial" w:cs="Arial"/>
              <w:sz w:val="20"/>
              <w:szCs w:val="20"/>
            </w:rPr>
            <w:t>, 2021</w:t>
          </w:r>
        </w:p>
      </w:tc>
      <w:tc>
        <w:tcPr>
          <w:tcW w:w="4032" w:type="dxa"/>
        </w:tcPr>
        <w:p w14:paraId="6E518A5D" w14:textId="77777777" w:rsidR="00DA43CB" w:rsidRDefault="00B16711">
          <w:pPr>
            <w:rPr>
              <w:rFonts w:ascii="Arial" w:eastAsia="Arial" w:hAnsi="Arial" w:cs="Arial"/>
              <w:sz w:val="19"/>
              <w:szCs w:val="19"/>
            </w:rPr>
          </w:pPr>
          <w:r>
            <w:rPr>
              <w:rFonts w:ascii="Arial" w:eastAsia="Arial" w:hAnsi="Arial" w:cs="Arial"/>
              <w:sz w:val="19"/>
              <w:szCs w:val="19"/>
            </w:rPr>
            <w:t xml:space="preserve">Issued by </w:t>
          </w:r>
          <w:r>
            <w:rPr>
              <w:rFonts w:ascii="Arial" w:hAnsi="Arial" w:cs="Arial"/>
              <w:sz w:val="20"/>
              <w:szCs w:val="20"/>
            </w:rPr>
            <w:t>Katie J. Tieken, Director</w:t>
          </w:r>
        </w:p>
      </w:tc>
      <w:tc>
        <w:tcPr>
          <w:tcW w:w="2628" w:type="dxa"/>
        </w:tcPr>
        <w:p w14:paraId="4936106A" w14:textId="3E47C91B" w:rsidR="00DA43CB" w:rsidRDefault="00B16711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 xml:space="preserve">Effective </w:t>
          </w:r>
          <w:r w:rsidR="00AC7994">
            <w:rPr>
              <w:rFonts w:ascii="Arial" w:hAnsi="Arial" w:cs="Arial"/>
              <w:sz w:val="20"/>
              <w:szCs w:val="20"/>
            </w:rPr>
            <w:t>September</w:t>
          </w:r>
          <w:r>
            <w:rPr>
              <w:rFonts w:ascii="Arial" w:hAnsi="Arial" w:cs="Arial"/>
              <w:sz w:val="20"/>
              <w:szCs w:val="20"/>
            </w:rPr>
            <w:t xml:space="preserve"> 1, 2021</w:t>
          </w:r>
        </w:p>
      </w:tc>
    </w:tr>
  </w:tbl>
  <w:p w14:paraId="0D92858F" w14:textId="77777777" w:rsidR="00DA43CB" w:rsidRDefault="00DA43CB">
    <w:pPr>
      <w:widowControl w:val="0"/>
      <w:autoSpaceDE w:val="0"/>
      <w:autoSpaceDN w:val="0"/>
      <w:rPr>
        <w:rFonts w:ascii="Arial" w:eastAsia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8E0FC" w14:textId="77777777" w:rsidR="00DA43CB" w:rsidRDefault="00B16711">
      <w:r>
        <w:separator/>
      </w:r>
    </w:p>
  </w:footnote>
  <w:footnote w:type="continuationSeparator" w:id="0">
    <w:p w14:paraId="7B0DCA88" w14:textId="77777777" w:rsidR="00DA43CB" w:rsidRDefault="00B16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60"/>
      <w:gridCol w:w="4680"/>
    </w:tblGrid>
    <w:tr w:rsidR="00DA43CB" w14:paraId="4EEB7E77" w14:textId="77777777">
      <w:trPr>
        <w:trHeight w:val="90"/>
      </w:trPr>
      <w:tc>
        <w:tcPr>
          <w:tcW w:w="5760" w:type="dxa"/>
        </w:tcPr>
        <w:p w14:paraId="0BA81A80" w14:textId="77777777" w:rsidR="00DA43CB" w:rsidRDefault="00B16711">
          <w:pPr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 xml:space="preserve">VECTREN ENERGY DELIVERY </w:t>
          </w:r>
          <w:r>
            <w:rPr>
              <w:rFonts w:ascii="Arial" w:eastAsia="Arial" w:hAnsi="Arial" w:cs="Arial"/>
              <w:sz w:val="20"/>
              <w:szCs w:val="20"/>
            </w:rPr>
            <w:t>OF</w:t>
          </w:r>
          <w:r>
            <w:rPr>
              <w:rFonts w:ascii="Arial" w:eastAsia="Arial" w:hAnsi="Arial" w:cs="Arial"/>
              <w:spacing w:val="-6"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</w:rPr>
            <w:t>OHIO,</w:t>
          </w:r>
          <w:r>
            <w:rPr>
              <w:rFonts w:ascii="Arial" w:eastAsia="Arial" w:hAnsi="Arial" w:cs="Arial"/>
              <w:spacing w:val="-4"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spacing w:val="-3"/>
              <w:sz w:val="20"/>
              <w:szCs w:val="20"/>
            </w:rPr>
            <w:t>INC.</w:t>
          </w:r>
        </w:p>
        <w:p w14:paraId="4B0D45D0" w14:textId="77777777" w:rsidR="00DA43CB" w:rsidRDefault="00B16711">
          <w:pPr>
            <w:tabs>
              <w:tab w:val="left" w:pos="6480"/>
            </w:tabs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Tariff for</w:t>
          </w:r>
          <w:r>
            <w:rPr>
              <w:rFonts w:ascii="Arial" w:eastAsia="Arial" w:hAnsi="Arial" w:cs="Arial"/>
              <w:spacing w:val="-19"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</w:rPr>
            <w:t>Gas</w:t>
          </w:r>
          <w:r>
            <w:rPr>
              <w:rFonts w:ascii="Arial" w:eastAsia="Arial" w:hAnsi="Arial" w:cs="Arial"/>
              <w:spacing w:val="-10"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</w:rPr>
            <w:t>Service</w:t>
          </w:r>
        </w:p>
        <w:p w14:paraId="573C27EF" w14:textId="77777777" w:rsidR="00DA43CB" w:rsidRDefault="00B16711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>P.U.C.O. No. 4</w:t>
          </w:r>
        </w:p>
      </w:tc>
      <w:tc>
        <w:tcPr>
          <w:tcW w:w="4680" w:type="dxa"/>
        </w:tcPr>
        <w:p w14:paraId="39D4E0D4" w14:textId="77777777" w:rsidR="00DA43CB" w:rsidRDefault="00B16711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>Sheet No. 44</w:t>
          </w:r>
        </w:p>
        <w:p w14:paraId="36C1F929" w14:textId="480F8422" w:rsidR="00DA43CB" w:rsidRDefault="00B16711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Twenty </w:t>
          </w:r>
          <w:r w:rsidR="00AC7994">
            <w:rPr>
              <w:rFonts w:ascii="Arial" w:hAnsi="Arial" w:cs="Arial"/>
              <w:sz w:val="20"/>
              <w:szCs w:val="20"/>
            </w:rPr>
            <w:t>Fourth</w:t>
          </w:r>
          <w:r>
            <w:rPr>
              <w:rFonts w:ascii="Arial" w:hAnsi="Arial" w:cs="Arial"/>
              <w:sz w:val="20"/>
              <w:szCs w:val="20"/>
            </w:rPr>
            <w:t xml:space="preserve"> Revised Page 1 of 1</w:t>
          </w:r>
        </w:p>
        <w:p w14:paraId="4A80730F" w14:textId="7F56BC98" w:rsidR="00DA43CB" w:rsidRDefault="00B16711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Cancels Twenty </w:t>
          </w:r>
          <w:r w:rsidR="00AC7994">
            <w:rPr>
              <w:rFonts w:ascii="Arial" w:hAnsi="Arial" w:cs="Arial"/>
              <w:sz w:val="20"/>
              <w:szCs w:val="20"/>
            </w:rPr>
            <w:t>Third</w:t>
          </w:r>
          <w:r>
            <w:rPr>
              <w:rFonts w:ascii="Arial" w:hAnsi="Arial" w:cs="Arial"/>
              <w:sz w:val="20"/>
              <w:szCs w:val="20"/>
            </w:rPr>
            <w:t xml:space="preserve"> Revised Page 1 of 1</w:t>
          </w:r>
        </w:p>
        <w:p w14:paraId="3CCAE622" w14:textId="77777777" w:rsidR="00DA43CB" w:rsidRDefault="00DA43CB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</w:p>
      </w:tc>
    </w:tr>
  </w:tbl>
  <w:p w14:paraId="3B5F8C73" w14:textId="77777777" w:rsidR="00DA43CB" w:rsidRDefault="00DA43CB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49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43CB"/>
    <w:rsid w:val="007D7B9E"/>
    <w:rsid w:val="00AC7994"/>
    <w:rsid w:val="00B16711"/>
    <w:rsid w:val="00DA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."/>
  <w:listSeparator w:val=","/>
  <w14:docId w14:val="43E6D901"/>
  <w15:docId w15:val="{939E4E05-111B-4365-92EE-88E25405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Vectren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Killion, Scott A.</dc:creator>
  <cp:lastModifiedBy>Ankenbrand, Brian</cp:lastModifiedBy>
  <cp:revision>4</cp:revision>
  <cp:lastPrinted>2021-08-27T19:46:00Z</cp:lastPrinted>
  <dcterms:created xsi:type="dcterms:W3CDTF">2021-07-28T20:18:00Z</dcterms:created>
  <dcterms:modified xsi:type="dcterms:W3CDTF">2021-08-27T19:55:00Z</dcterms:modified>
</cp:coreProperties>
</file>